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B2A11" w14:textId="77777777" w:rsidR="00323E72" w:rsidRPr="001559AF" w:rsidRDefault="00323E72" w:rsidP="00C37586">
      <w:pPr>
        <w:spacing w:after="0" w:line="240" w:lineRule="auto"/>
        <w:rPr>
          <w:rFonts w:ascii="Verdana" w:eastAsia="Geomanist Light" w:hAnsi="Verdana" w:cs="Arial"/>
          <w:sz w:val="24"/>
          <w:szCs w:val="24"/>
          <w:lang w:val="es-MX"/>
        </w:rPr>
      </w:pPr>
    </w:p>
    <w:p w14:paraId="48596ED1" w14:textId="77777777" w:rsidR="00323E72" w:rsidRPr="001559AF" w:rsidRDefault="00323E72" w:rsidP="00C37586">
      <w:pPr>
        <w:spacing w:after="0" w:line="240" w:lineRule="auto"/>
        <w:rPr>
          <w:rFonts w:ascii="Verdana" w:eastAsia="Geomanist Light" w:hAnsi="Verdana" w:cs="Arial"/>
          <w:sz w:val="24"/>
          <w:szCs w:val="24"/>
          <w:lang w:val="es-MX"/>
        </w:rPr>
      </w:pPr>
    </w:p>
    <w:p w14:paraId="6FE28F61" w14:textId="77777777" w:rsidR="00323E72" w:rsidRPr="001559AF" w:rsidRDefault="00323E72" w:rsidP="00C37586">
      <w:pPr>
        <w:spacing w:after="0" w:line="240" w:lineRule="auto"/>
        <w:rPr>
          <w:rFonts w:ascii="Verdana" w:eastAsia="Geomanist Light" w:hAnsi="Verdana" w:cs="Arial"/>
          <w:sz w:val="24"/>
          <w:szCs w:val="24"/>
          <w:lang w:val="es-MX"/>
        </w:rPr>
      </w:pPr>
    </w:p>
    <w:p w14:paraId="52BBABA0" w14:textId="77777777" w:rsidR="00323E72" w:rsidRPr="001559AF" w:rsidRDefault="00323E72" w:rsidP="00323E72">
      <w:pPr>
        <w:tabs>
          <w:tab w:val="left" w:pos="426"/>
        </w:tabs>
        <w:spacing w:line="276" w:lineRule="auto"/>
        <w:jc w:val="both"/>
        <w:rPr>
          <w:rFonts w:ascii="Verdana" w:eastAsia="Calibri" w:hAnsi="Verdana" w:cs="Arial"/>
          <w:b/>
          <w:bCs/>
          <w:lang w:val="es-ES_tradnl" w:eastAsia="es-ES_tradnl"/>
        </w:rPr>
      </w:pPr>
      <w:r w:rsidRPr="001559AF">
        <w:rPr>
          <w:rFonts w:ascii="Verdana" w:eastAsia="Calibri" w:hAnsi="Verdana" w:cs="Arial"/>
          <w:b/>
          <w:bCs/>
          <w:lang w:val="es-ES_tradnl" w:eastAsia="es-ES_tradnl"/>
        </w:rPr>
        <w:t xml:space="preserve">PROCEDIMIENTO SANCIONATORIO CONTRACTUAL – Citación a audiencia – Contenido – Ley 1474 de 2011 – Artículo 86 </w:t>
      </w:r>
    </w:p>
    <w:p w14:paraId="04B403E7" w14:textId="77777777" w:rsidR="00323E72" w:rsidRPr="001559AF" w:rsidRDefault="00323E72" w:rsidP="00323E72">
      <w:pPr>
        <w:tabs>
          <w:tab w:val="left" w:pos="426"/>
        </w:tabs>
        <w:spacing w:line="240" w:lineRule="auto"/>
        <w:jc w:val="both"/>
        <w:rPr>
          <w:rFonts w:ascii="Verdana" w:eastAsia="Calibri" w:hAnsi="Verdana" w:cs="Arial"/>
          <w:lang w:val="es-ES_tradnl" w:eastAsia="es-ES_tradnl"/>
        </w:rPr>
      </w:pPr>
      <w:r w:rsidRPr="001559AF">
        <w:rPr>
          <w:rFonts w:ascii="Verdana" w:eastAsia="Arial" w:hAnsi="Verdana" w:cs="Arial"/>
        </w:rPr>
        <w:t>[L]</w:t>
      </w:r>
      <w:r w:rsidRPr="001559AF">
        <w:rPr>
          <w:rFonts w:ascii="Verdana" w:eastAsia="Calibri" w:hAnsi="Verdana" w:cs="Arial"/>
          <w:lang w:val="es-ES_tradnl" w:eastAsia="es-ES_tradnl"/>
        </w:rPr>
        <w:t xml:space="preserve">a citación a la audiencia debe cumplir mínimamente los siguientes aspectos: i) señalar los hechos que soportan la actuación, en particular la descripción detallada de cuáles son las actuaciones u omisiones del contratista que materializan el incumplimiento de las obligaciones. Además, se deben </w:t>
      </w:r>
      <w:proofErr w:type="spellStart"/>
      <w:r w:rsidRPr="001559AF">
        <w:rPr>
          <w:rFonts w:ascii="Verdana" w:eastAsia="Calibri" w:hAnsi="Verdana" w:cs="Arial"/>
          <w:lang w:val="es-ES_tradnl" w:eastAsia="es-ES_tradnl"/>
        </w:rPr>
        <w:t>ii</w:t>
      </w:r>
      <w:proofErr w:type="spellEnd"/>
      <w:r w:rsidRPr="001559AF">
        <w:rPr>
          <w:rFonts w:ascii="Verdana" w:eastAsia="Calibri" w:hAnsi="Verdana" w:cs="Arial"/>
          <w:lang w:val="es-ES_tradnl" w:eastAsia="es-ES_tradnl"/>
        </w:rPr>
        <w:t xml:space="preserve">) adjuntar los informes de supervisión o de interventoría que soportan la actuación, donde la entidad fundamenta su decisión de iniciar el procedimiento sancionatorio. Asimismo, </w:t>
      </w:r>
      <w:proofErr w:type="spellStart"/>
      <w:r w:rsidRPr="001559AF">
        <w:rPr>
          <w:rFonts w:ascii="Verdana" w:eastAsia="Calibri" w:hAnsi="Verdana" w:cs="Arial"/>
          <w:lang w:val="es-ES_tradnl" w:eastAsia="es-ES_tradnl"/>
        </w:rPr>
        <w:t>iii</w:t>
      </w:r>
      <w:proofErr w:type="spellEnd"/>
      <w:r w:rsidRPr="001559AF">
        <w:rPr>
          <w:rFonts w:ascii="Verdana" w:eastAsia="Calibri" w:hAnsi="Verdana" w:cs="Arial"/>
          <w:lang w:val="es-ES_tradnl" w:eastAsia="es-ES_tradnl"/>
        </w:rPr>
        <w:t xml:space="preserve">) lo anterior debe acompañarse de las pruebas adicionales con que cuente la entidad y que sirven para acreditar el incumplimiento. iv) La citación debe contener también las normas, cláusulas u obligaciones posiblemente violadas o incumplidas por el contratista. Igualmente, v) debe indicar cuáles consecuencias podrían generarse para el contratista, verbigracia, si se pretende imponerle alguna multa, hacerse efectiva la cláusula penal o declarar la caducidad del contrato. Adicionalmente, vi) las entidades estatales podrán cuantificar los perjuicios ocasionados por el incumplimiento –inciso primero del artículo 86–, y, finalmente, </w:t>
      </w:r>
      <w:proofErr w:type="spellStart"/>
      <w:r w:rsidRPr="001559AF">
        <w:rPr>
          <w:rFonts w:ascii="Verdana" w:eastAsia="Calibri" w:hAnsi="Verdana" w:cs="Arial"/>
          <w:lang w:val="es-ES_tradnl" w:eastAsia="es-ES_tradnl"/>
        </w:rPr>
        <w:t>vii</w:t>
      </w:r>
      <w:proofErr w:type="spellEnd"/>
      <w:r w:rsidRPr="001559AF">
        <w:rPr>
          <w:rFonts w:ascii="Verdana" w:eastAsia="Calibri" w:hAnsi="Verdana" w:cs="Arial"/>
          <w:lang w:val="es-ES_tradnl" w:eastAsia="es-ES_tradnl"/>
        </w:rPr>
        <w:t>) deben indicar el lugar, fecha y hora para la realización de la audiencia, sin perjuicio de que esta se pueda efectuar por medios electrónicos.</w:t>
      </w:r>
    </w:p>
    <w:p w14:paraId="0906622E" w14:textId="77777777" w:rsidR="00323E72" w:rsidRPr="001559AF" w:rsidRDefault="00323E72" w:rsidP="00323E72">
      <w:pPr>
        <w:tabs>
          <w:tab w:val="left" w:pos="426"/>
        </w:tabs>
        <w:spacing w:line="240" w:lineRule="auto"/>
        <w:jc w:val="both"/>
        <w:rPr>
          <w:rFonts w:ascii="Verdana" w:eastAsia="Calibri" w:hAnsi="Verdana" w:cs="Arial"/>
          <w:lang w:val="es-ES" w:eastAsia="es-ES"/>
        </w:rPr>
      </w:pPr>
      <w:r w:rsidRPr="001559AF">
        <w:rPr>
          <w:rFonts w:ascii="Verdana" w:eastAsia="Calibri" w:hAnsi="Verdana" w:cs="Arial"/>
          <w:lang w:val="es-ES" w:eastAsia="es-ES"/>
        </w:rPr>
        <w:t>Como se observa, sobre la cuantificación de perjuicios ocasionados por el incumplimiento –inciso primero del artículo 86–, no se puede entender este como requisito obligatorio del contenido de la citación a la audiencia de que trata el artículo en cita, toda vez que, en el inciso respectivo de la Ley, no está contenido textualmente, no obstante, de la lectura de la norma se entiende que estos podrán ser agregados en la citación por parte de la Entidad Estatal, si así lo considera pertinente. Sin embargo, se aclara que para efectos de imponer las multas y sanciones y hacer efectiva la cláusula penal, es necesario dar a conocer dicha cuantificación al contratista en garantía de su derecho de defensa, contradicción, y al debido proceso que consagra el artículo 29 de la Constitución Política de 1991, pues con base en estos se determinará y verificará la proporcionalidad de las sanciones a aplicar.</w:t>
      </w:r>
    </w:p>
    <w:p w14:paraId="55156D63" w14:textId="77777777" w:rsidR="00323E72" w:rsidRPr="00323E72" w:rsidRDefault="00323E72" w:rsidP="00C37586">
      <w:pPr>
        <w:spacing w:after="0" w:line="240" w:lineRule="auto"/>
        <w:rPr>
          <w:rFonts w:ascii="Verdana" w:eastAsia="Geomanist Light" w:hAnsi="Verdana" w:cs="Arial"/>
          <w:lang w:val="es-ES"/>
        </w:rPr>
      </w:pPr>
    </w:p>
    <w:p w14:paraId="03E1689B" w14:textId="77777777" w:rsidR="00323E72" w:rsidRDefault="00323E72" w:rsidP="00C37586">
      <w:pPr>
        <w:spacing w:after="0" w:line="240" w:lineRule="auto"/>
        <w:rPr>
          <w:rFonts w:ascii="Verdana" w:eastAsia="Geomanist Light" w:hAnsi="Verdana" w:cs="Arial"/>
          <w:lang w:val="es-MX"/>
        </w:rPr>
      </w:pPr>
    </w:p>
    <w:p w14:paraId="58DE2090" w14:textId="77777777" w:rsidR="00323E72" w:rsidRDefault="00323E72" w:rsidP="00C37586">
      <w:pPr>
        <w:spacing w:after="0" w:line="240" w:lineRule="auto"/>
        <w:rPr>
          <w:rFonts w:ascii="Verdana" w:eastAsia="Geomanist Light" w:hAnsi="Verdana" w:cs="Arial"/>
          <w:lang w:val="es-MX"/>
        </w:rPr>
      </w:pPr>
    </w:p>
    <w:p w14:paraId="38E9A914" w14:textId="77777777" w:rsidR="00323E72" w:rsidRDefault="00323E72" w:rsidP="00C37586">
      <w:pPr>
        <w:spacing w:after="0" w:line="240" w:lineRule="auto"/>
        <w:rPr>
          <w:rFonts w:ascii="Verdana" w:eastAsia="Geomanist Light" w:hAnsi="Verdana" w:cs="Arial"/>
          <w:lang w:val="es-MX"/>
        </w:rPr>
      </w:pPr>
    </w:p>
    <w:p w14:paraId="12BC1E0D" w14:textId="77777777" w:rsidR="00323E72" w:rsidRDefault="00323E72" w:rsidP="00C37586">
      <w:pPr>
        <w:spacing w:after="0" w:line="240" w:lineRule="auto"/>
        <w:rPr>
          <w:rFonts w:ascii="Verdana" w:eastAsia="Geomanist Light" w:hAnsi="Verdana" w:cs="Arial"/>
          <w:lang w:val="es-MX"/>
        </w:rPr>
      </w:pPr>
    </w:p>
    <w:p w14:paraId="18A1B2A5" w14:textId="77777777" w:rsidR="00323E72" w:rsidRDefault="00323E72" w:rsidP="00C37586">
      <w:pPr>
        <w:spacing w:after="0" w:line="240" w:lineRule="auto"/>
        <w:rPr>
          <w:rFonts w:ascii="Verdana" w:eastAsia="Geomanist Light" w:hAnsi="Verdana" w:cs="Arial"/>
          <w:lang w:val="es-MX"/>
        </w:rPr>
      </w:pPr>
    </w:p>
    <w:p w14:paraId="7B8FB264" w14:textId="77777777" w:rsidR="00323E72" w:rsidRDefault="00323E72" w:rsidP="00C37586">
      <w:pPr>
        <w:spacing w:after="0" w:line="240" w:lineRule="auto"/>
        <w:rPr>
          <w:rFonts w:ascii="Verdana" w:eastAsia="Geomanist Light" w:hAnsi="Verdana" w:cs="Arial"/>
          <w:lang w:val="es-MX"/>
        </w:rPr>
      </w:pPr>
    </w:p>
    <w:p w14:paraId="49D6FF49" w14:textId="5C2DC2AD" w:rsidR="00C37586" w:rsidRDefault="001C2541" w:rsidP="00C37586">
      <w:pPr>
        <w:spacing w:after="0" w:line="240" w:lineRule="auto"/>
        <w:jc w:val="both"/>
        <w:rPr>
          <w:rFonts w:ascii="Verdana" w:eastAsia="Geomanist Light" w:hAnsi="Verdana" w:cs="Arial"/>
          <w:lang w:val="es-MX"/>
        </w:rPr>
      </w:pPr>
      <w:r w:rsidRPr="001C2541">
        <w:rPr>
          <w:rFonts w:ascii="Verdana" w:eastAsia="Geomanist Light" w:hAnsi="Verdana" w:cs="Arial"/>
          <w:lang w:val="es-MX"/>
        </w:rPr>
        <w:lastRenderedPageBreak/>
        <w:t xml:space="preserve">Bogotá D.C., 17 de </w:t>
      </w:r>
      <w:proofErr w:type="gramStart"/>
      <w:r w:rsidRPr="001C2541">
        <w:rPr>
          <w:rFonts w:ascii="Verdana" w:eastAsia="Geomanist Light" w:hAnsi="Verdana" w:cs="Arial"/>
          <w:lang w:val="es-MX"/>
        </w:rPr>
        <w:t>Septiembre</w:t>
      </w:r>
      <w:proofErr w:type="gramEnd"/>
      <w:r w:rsidRPr="001C2541">
        <w:rPr>
          <w:rFonts w:ascii="Verdana" w:eastAsia="Geomanist Light" w:hAnsi="Verdana" w:cs="Arial"/>
          <w:lang w:val="es-MX"/>
        </w:rPr>
        <w:t xml:space="preserve"> de 2024</w:t>
      </w:r>
    </w:p>
    <w:p w14:paraId="143EC88F" w14:textId="77777777" w:rsidR="001C2541" w:rsidRPr="004525EF" w:rsidRDefault="001C2541" w:rsidP="00C37586">
      <w:pPr>
        <w:spacing w:after="0" w:line="240" w:lineRule="auto"/>
        <w:jc w:val="both"/>
        <w:rPr>
          <w:rFonts w:ascii="Verdana" w:eastAsia="Calibri" w:hAnsi="Verdana" w:cs="Arial"/>
          <w:lang w:val="es-ES"/>
        </w:rPr>
      </w:pPr>
    </w:p>
    <w:p w14:paraId="301D5E93" w14:textId="5C15FF0B" w:rsidR="004525EF" w:rsidRPr="00FD3636" w:rsidRDefault="00932CC2" w:rsidP="00C37586">
      <w:pPr>
        <w:spacing w:after="0" w:line="240" w:lineRule="auto"/>
        <w:contextualSpacing/>
        <w:textAlignment w:val="baseline"/>
        <w:rPr>
          <w:rFonts w:ascii="Verdana" w:eastAsia="Calibri" w:hAnsi="Verdana" w:cs="Arial"/>
        </w:rPr>
      </w:pPr>
      <w:r w:rsidRPr="00932CC2">
        <w:rPr>
          <w:rStyle w:val="cf01"/>
          <w:rFonts w:ascii="Verdana" w:hAnsi="Verdana" w:cs="Arial"/>
          <w:i w:val="0"/>
          <w:iCs w:val="0"/>
          <w:noProof/>
          <w:sz w:val="22"/>
          <w:szCs w:val="22"/>
        </w:rPr>
        <w:drawing>
          <wp:anchor distT="0" distB="0" distL="114300" distR="114300" simplePos="0" relativeHeight="251658240" behindDoc="1" locked="0" layoutInCell="1" allowOverlap="1" wp14:anchorId="55A30104" wp14:editId="3E39C439">
            <wp:simplePos x="0" y="0"/>
            <wp:positionH relativeFrom="column">
              <wp:posOffset>2857206</wp:posOffset>
            </wp:positionH>
            <wp:positionV relativeFrom="paragraph">
              <wp:posOffset>4938</wp:posOffset>
            </wp:positionV>
            <wp:extent cx="2651646" cy="744921"/>
            <wp:effectExtent l="0" t="0" r="0" b="0"/>
            <wp:wrapNone/>
            <wp:docPr id="2080536182" name="Imagen 1" descr="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36182" name="Imagen 1" descr="Texto"/>
                    <pic:cNvPicPr/>
                  </pic:nvPicPr>
                  <pic:blipFill>
                    <a:blip r:embed="rId11">
                      <a:extLst>
                        <a:ext uri="{28A0092B-C50C-407E-A947-70E740481C1C}">
                          <a14:useLocalDpi xmlns:a14="http://schemas.microsoft.com/office/drawing/2010/main" val="0"/>
                        </a:ext>
                      </a:extLst>
                    </a:blip>
                    <a:stretch>
                      <a:fillRect/>
                    </a:stretch>
                  </pic:blipFill>
                  <pic:spPr>
                    <a:xfrm>
                      <a:off x="0" y="0"/>
                      <a:ext cx="2651646" cy="744921"/>
                    </a:xfrm>
                    <a:prstGeom prst="rect">
                      <a:avLst/>
                    </a:prstGeom>
                  </pic:spPr>
                </pic:pic>
              </a:graphicData>
            </a:graphic>
            <wp14:sizeRelH relativeFrom="margin">
              <wp14:pctWidth>0</wp14:pctWidth>
            </wp14:sizeRelH>
            <wp14:sizeRelV relativeFrom="margin">
              <wp14:pctHeight>0</wp14:pctHeight>
            </wp14:sizeRelV>
          </wp:anchor>
        </w:drawing>
      </w:r>
      <w:r w:rsidR="00C37586" w:rsidRPr="00FD3636">
        <w:rPr>
          <w:rFonts w:ascii="Verdana" w:eastAsia="Calibri" w:hAnsi="Verdana" w:cs="Arial"/>
        </w:rPr>
        <w:t>Señora</w:t>
      </w:r>
    </w:p>
    <w:p w14:paraId="7CFA9340" w14:textId="6EAFBE8D" w:rsidR="004525EF" w:rsidRPr="00FD3636" w:rsidRDefault="00C37586" w:rsidP="001B725F">
      <w:pPr>
        <w:spacing w:after="0" w:line="240" w:lineRule="auto"/>
        <w:contextualSpacing/>
        <w:textAlignment w:val="baseline"/>
        <w:rPr>
          <w:rStyle w:val="cf01"/>
          <w:rFonts w:ascii="Verdana" w:hAnsi="Verdana" w:cs="Arial"/>
          <w:b/>
          <w:bCs/>
          <w:i w:val="0"/>
          <w:iCs w:val="0"/>
          <w:sz w:val="22"/>
          <w:szCs w:val="22"/>
        </w:rPr>
      </w:pPr>
      <w:r w:rsidRPr="004C1FF0">
        <w:rPr>
          <w:rStyle w:val="cf01"/>
          <w:rFonts w:ascii="Verdana" w:hAnsi="Verdana" w:cs="Arial"/>
          <w:b/>
          <w:bCs/>
          <w:i w:val="0"/>
          <w:iCs w:val="0"/>
          <w:sz w:val="22"/>
          <w:szCs w:val="22"/>
        </w:rPr>
        <w:t>ELIZABETH SABAS GAVIRIA</w:t>
      </w:r>
    </w:p>
    <w:p w14:paraId="7212A08C" w14:textId="43602FC9" w:rsidR="00C37586" w:rsidRPr="00FD3636" w:rsidRDefault="00C37586" w:rsidP="001B725F">
      <w:pPr>
        <w:spacing w:after="0" w:line="240" w:lineRule="auto"/>
        <w:contextualSpacing/>
        <w:textAlignment w:val="baseline"/>
        <w:rPr>
          <w:rStyle w:val="cf01"/>
          <w:rFonts w:ascii="Verdana" w:hAnsi="Verdana" w:cs="Arial"/>
          <w:b/>
          <w:bCs/>
          <w:i w:val="0"/>
          <w:iCs w:val="0"/>
          <w:sz w:val="22"/>
          <w:szCs w:val="22"/>
        </w:rPr>
      </w:pPr>
      <w:r w:rsidRPr="004C1FF0">
        <w:rPr>
          <w:rStyle w:val="cf01"/>
          <w:rFonts w:ascii="Verdana" w:hAnsi="Verdana" w:cs="Arial"/>
          <w:b/>
          <w:bCs/>
          <w:i w:val="0"/>
          <w:iCs w:val="0"/>
          <w:sz w:val="22"/>
          <w:szCs w:val="22"/>
        </w:rPr>
        <w:t>respuestas.pqrs@gmail.com</w:t>
      </w:r>
    </w:p>
    <w:p w14:paraId="4FA6179D" w14:textId="1973F4F5" w:rsidR="00C37586" w:rsidRPr="00FD3636" w:rsidRDefault="00C37586" w:rsidP="00C37586">
      <w:pPr>
        <w:spacing w:after="0" w:line="240" w:lineRule="auto"/>
        <w:rPr>
          <w:rFonts w:ascii="Verdana" w:eastAsia="Calibri" w:hAnsi="Verdana" w:cs="Arial"/>
          <w:b/>
          <w:bCs/>
          <w:lang w:val="es-ES_tradnl" w:eastAsia="es-ES_tradnl"/>
        </w:rPr>
      </w:pPr>
      <w:r w:rsidRPr="004C1FF0">
        <w:rPr>
          <w:rStyle w:val="cf01"/>
          <w:rFonts w:ascii="Verdana" w:hAnsi="Verdana" w:cs="Arial"/>
          <w:i w:val="0"/>
          <w:iCs w:val="0"/>
          <w:sz w:val="22"/>
          <w:szCs w:val="22"/>
        </w:rPr>
        <w:t>Medellín - Antioquia</w:t>
      </w:r>
      <w:r w:rsidR="00932CC2" w:rsidRPr="00932CC2">
        <w:rPr>
          <w:noProof/>
        </w:rPr>
        <w:t xml:space="preserve"> </w:t>
      </w:r>
    </w:p>
    <w:p w14:paraId="31E4CC82" w14:textId="77777777" w:rsidR="00C37586" w:rsidRPr="004525EF" w:rsidRDefault="00C37586" w:rsidP="00C3758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77"/>
        <w:gridCol w:w="5812"/>
      </w:tblGrid>
      <w:tr w:rsidR="00C37586" w:rsidRPr="004525EF" w14:paraId="383973FD" w14:textId="77777777" w:rsidTr="007E2FEC">
        <w:trPr>
          <w:trHeight w:val="884"/>
        </w:trPr>
        <w:tc>
          <w:tcPr>
            <w:tcW w:w="2977" w:type="dxa"/>
          </w:tcPr>
          <w:p w14:paraId="31867556" w14:textId="77777777" w:rsidR="00C37586" w:rsidRPr="004525EF" w:rsidRDefault="00C37586">
            <w:pPr>
              <w:jc w:val="both"/>
              <w:rPr>
                <w:rFonts w:ascii="Verdana" w:eastAsia="Calibri" w:hAnsi="Verdana" w:cs="Arial"/>
                <w:b/>
                <w:bCs/>
                <w:lang w:val="es-ES_tradnl" w:eastAsia="es-ES_tradnl"/>
              </w:rPr>
            </w:pPr>
          </w:p>
        </w:tc>
        <w:tc>
          <w:tcPr>
            <w:tcW w:w="5812" w:type="dxa"/>
          </w:tcPr>
          <w:p w14:paraId="0E50437B" w14:textId="77777777" w:rsidR="00C37586" w:rsidRPr="004525EF" w:rsidRDefault="00C37586">
            <w:pPr>
              <w:jc w:val="both"/>
              <w:rPr>
                <w:rFonts w:ascii="Verdana" w:eastAsia="Calibri" w:hAnsi="Verdana" w:cs="Arial"/>
                <w:b/>
                <w:bCs/>
                <w:lang w:val="es-ES" w:eastAsia="es-ES"/>
              </w:rPr>
            </w:pPr>
            <w:r w:rsidRPr="004525EF">
              <w:rPr>
                <w:rFonts w:ascii="Verdana" w:eastAsia="Calibri" w:hAnsi="Verdana" w:cs="Arial"/>
                <w:b/>
                <w:bCs/>
                <w:lang w:val="es-ES" w:eastAsia="es-ES"/>
              </w:rPr>
              <w:t>Concepto C- 438 de 2024</w:t>
            </w:r>
          </w:p>
        </w:tc>
      </w:tr>
      <w:tr w:rsidR="00C37586" w:rsidRPr="004525EF" w14:paraId="6F45ABB5" w14:textId="77777777" w:rsidTr="007E2FEC">
        <w:trPr>
          <w:trHeight w:val="884"/>
        </w:trPr>
        <w:tc>
          <w:tcPr>
            <w:tcW w:w="2977" w:type="dxa"/>
          </w:tcPr>
          <w:p w14:paraId="0F23947E" w14:textId="77777777" w:rsidR="00C37586" w:rsidRPr="004525EF" w:rsidRDefault="00C37586">
            <w:pPr>
              <w:jc w:val="both"/>
              <w:rPr>
                <w:rFonts w:ascii="Verdana" w:eastAsia="Calibri" w:hAnsi="Verdana" w:cs="Arial"/>
                <w:lang w:val="es-ES_tradnl" w:eastAsia="es-ES_tradnl"/>
              </w:rPr>
            </w:pPr>
            <w:r w:rsidRPr="004525EF">
              <w:rPr>
                <w:rFonts w:ascii="Verdana" w:eastAsia="Calibri" w:hAnsi="Verdana" w:cs="Arial"/>
                <w:b/>
                <w:lang w:val="es-ES_tradnl" w:eastAsia="es-ES_tradnl"/>
              </w:rPr>
              <w:t>Temas:</w:t>
            </w:r>
            <w:r w:rsidRPr="004525EF">
              <w:rPr>
                <w:rFonts w:ascii="Verdana" w:eastAsia="Calibri" w:hAnsi="Verdana" w:cs="Arial"/>
                <w:lang w:val="es-ES_tradnl" w:eastAsia="es-ES_tradnl"/>
              </w:rPr>
              <w:t xml:space="preserve">                   </w:t>
            </w:r>
          </w:p>
        </w:tc>
        <w:tc>
          <w:tcPr>
            <w:tcW w:w="5812" w:type="dxa"/>
          </w:tcPr>
          <w:p w14:paraId="6304689C" w14:textId="77777777" w:rsidR="00C37586" w:rsidRPr="004525EF" w:rsidRDefault="00C37586">
            <w:pPr>
              <w:spacing w:line="276" w:lineRule="auto"/>
              <w:jc w:val="both"/>
              <w:rPr>
                <w:rFonts w:ascii="Verdana" w:eastAsia="Calibri" w:hAnsi="Verdana" w:cs="Arial"/>
                <w:bCs/>
                <w:lang w:val="es-ES_tradnl"/>
              </w:rPr>
            </w:pPr>
            <w:r w:rsidRPr="004525EF">
              <w:rPr>
                <w:rFonts w:ascii="Verdana" w:eastAsia="Calibri" w:hAnsi="Verdana" w:cs="Arial"/>
                <w:lang w:val="es-ES_tradnl"/>
              </w:rPr>
              <w:t xml:space="preserve">PROCEDIMIENTO SANCIONATORIO CONTRACTUAL – Citación a audiencia – Contenido – Ley 1474 de 2011 – Artículo 86 </w:t>
            </w:r>
            <w:r w:rsidRPr="004525EF">
              <w:rPr>
                <w:rFonts w:ascii="Verdana" w:eastAsia="Calibri" w:hAnsi="Verdana" w:cs="Arial"/>
                <w:bCs/>
                <w:lang w:val="es-ES_tradnl"/>
              </w:rPr>
              <w:t>– Facultad sancionatoria – Procesos sancionatorios contractuales</w:t>
            </w:r>
          </w:p>
          <w:p w14:paraId="3B2E0369" w14:textId="77777777" w:rsidR="00C37586" w:rsidRPr="004525EF" w:rsidRDefault="00C37586">
            <w:pPr>
              <w:spacing w:line="276" w:lineRule="auto"/>
              <w:jc w:val="both"/>
              <w:rPr>
                <w:rFonts w:ascii="Verdana" w:eastAsia="Calibri" w:hAnsi="Verdana" w:cs="Arial"/>
                <w:lang w:val="es-ES" w:eastAsia="es-ES"/>
              </w:rPr>
            </w:pPr>
          </w:p>
        </w:tc>
      </w:tr>
      <w:tr w:rsidR="00C37586" w:rsidRPr="004525EF" w14:paraId="1D5408F3" w14:textId="77777777" w:rsidTr="007E2FEC">
        <w:tc>
          <w:tcPr>
            <w:tcW w:w="2977" w:type="dxa"/>
          </w:tcPr>
          <w:p w14:paraId="5ED9336A" w14:textId="77777777" w:rsidR="00C37586" w:rsidRPr="004525EF" w:rsidRDefault="00C37586">
            <w:pPr>
              <w:jc w:val="both"/>
              <w:rPr>
                <w:rFonts w:ascii="Verdana" w:eastAsia="Calibri" w:hAnsi="Verdana" w:cs="Arial"/>
                <w:b/>
                <w:lang w:val="es-ES_tradnl" w:eastAsia="es-ES_tradnl"/>
              </w:rPr>
            </w:pPr>
            <w:r w:rsidRPr="004525EF">
              <w:rPr>
                <w:rFonts w:ascii="Verdana" w:eastAsia="Calibri" w:hAnsi="Verdana" w:cs="Arial"/>
                <w:b/>
                <w:lang w:val="es-ES_tradnl" w:eastAsia="es-ES_tradnl"/>
              </w:rPr>
              <w:t>Radicación:</w:t>
            </w:r>
            <w:r w:rsidRPr="004525EF">
              <w:rPr>
                <w:rFonts w:ascii="Verdana" w:eastAsia="Calibri" w:hAnsi="Verdana" w:cs="Arial"/>
                <w:lang w:val="es-ES_tradnl" w:eastAsia="es-ES_tradnl"/>
              </w:rPr>
              <w:t xml:space="preserve">               </w:t>
            </w:r>
          </w:p>
        </w:tc>
        <w:tc>
          <w:tcPr>
            <w:tcW w:w="5812" w:type="dxa"/>
          </w:tcPr>
          <w:p w14:paraId="4D9662AB" w14:textId="77777777" w:rsidR="00C37586" w:rsidRPr="004525EF" w:rsidRDefault="00C37586">
            <w:pPr>
              <w:jc w:val="both"/>
              <w:rPr>
                <w:rFonts w:ascii="Verdana" w:eastAsia="Calibri" w:hAnsi="Verdana" w:cs="Arial"/>
                <w:lang w:val="es-ES_tradnl" w:eastAsia="es-ES_tradnl"/>
              </w:rPr>
            </w:pPr>
            <w:r w:rsidRPr="004525EF">
              <w:rPr>
                <w:rFonts w:ascii="Verdana" w:eastAsia="Calibri" w:hAnsi="Verdana" w:cs="Arial"/>
                <w:lang w:val="es-ES_tradnl" w:eastAsia="es-ES_tradnl"/>
              </w:rPr>
              <w:t xml:space="preserve">Respuesta a consulta con radicado No. </w:t>
            </w:r>
            <w:r w:rsidRPr="004525EF">
              <w:rPr>
                <w:rFonts w:ascii="Verdana" w:eastAsia="Times New Roman" w:hAnsi="Verdana" w:cs="Arial"/>
                <w:lang w:eastAsia="es-CO"/>
              </w:rPr>
              <w:t>P20240802007966</w:t>
            </w:r>
          </w:p>
        </w:tc>
      </w:tr>
    </w:tbl>
    <w:p w14:paraId="3BE8090D" w14:textId="77777777" w:rsidR="00C37586" w:rsidRPr="004525EF" w:rsidRDefault="00C37586" w:rsidP="00C37586">
      <w:pPr>
        <w:spacing w:after="0" w:line="240" w:lineRule="auto"/>
        <w:jc w:val="both"/>
        <w:rPr>
          <w:rFonts w:ascii="Verdana" w:eastAsia="Calibri" w:hAnsi="Verdana" w:cs="Arial"/>
          <w:lang w:val="es-ES_tradnl" w:eastAsia="es-ES_tradnl"/>
        </w:rPr>
      </w:pPr>
    </w:p>
    <w:p w14:paraId="4FB00918" w14:textId="77777777" w:rsidR="00C37586" w:rsidRPr="004525EF" w:rsidRDefault="00C37586" w:rsidP="00C37586">
      <w:pPr>
        <w:spacing w:after="0" w:line="240" w:lineRule="auto"/>
        <w:jc w:val="both"/>
        <w:rPr>
          <w:rFonts w:ascii="Verdana" w:eastAsia="Calibri" w:hAnsi="Verdana" w:cs="Arial"/>
          <w:lang w:val="es-ES_tradnl" w:eastAsia="es-ES_tradnl"/>
        </w:rPr>
      </w:pPr>
    </w:p>
    <w:p w14:paraId="2F59C199" w14:textId="77777777" w:rsidR="00C37586" w:rsidRPr="004525EF" w:rsidRDefault="00C37586" w:rsidP="00C37586">
      <w:pPr>
        <w:spacing w:after="0" w:line="276" w:lineRule="auto"/>
        <w:jc w:val="both"/>
        <w:rPr>
          <w:rFonts w:ascii="Verdana" w:eastAsia="Calibri" w:hAnsi="Verdana" w:cs="Arial"/>
          <w:lang w:val="es-ES" w:eastAsia="es-ES"/>
        </w:rPr>
      </w:pPr>
      <w:r w:rsidRPr="004525EF">
        <w:rPr>
          <w:rFonts w:ascii="Verdana" w:eastAsia="Calibri" w:hAnsi="Verdana" w:cs="Arial"/>
          <w:lang w:val="es-ES" w:eastAsia="es-ES"/>
        </w:rPr>
        <w:t xml:space="preserve">Estimado señora Sabas: </w:t>
      </w:r>
    </w:p>
    <w:p w14:paraId="2164E94B" w14:textId="77777777" w:rsidR="00C37586" w:rsidRPr="004525EF" w:rsidRDefault="00C37586" w:rsidP="00C37586">
      <w:pPr>
        <w:tabs>
          <w:tab w:val="left" w:pos="3768"/>
        </w:tabs>
        <w:spacing w:after="0" w:line="276" w:lineRule="auto"/>
        <w:jc w:val="both"/>
        <w:rPr>
          <w:rFonts w:ascii="Verdana" w:eastAsia="Calibri" w:hAnsi="Verdana" w:cs="Arial"/>
          <w:lang w:val="es-ES" w:eastAsia="es-ES"/>
        </w:rPr>
      </w:pPr>
      <w:r w:rsidRPr="004525EF">
        <w:rPr>
          <w:rFonts w:ascii="Verdana" w:eastAsia="Calibri" w:hAnsi="Verdana" w:cs="Arial"/>
          <w:lang w:val="es-ES" w:eastAsia="es-ES"/>
        </w:rPr>
        <w:tab/>
      </w:r>
    </w:p>
    <w:p w14:paraId="3756AC80" w14:textId="77777777" w:rsidR="00C37586" w:rsidRPr="004525EF" w:rsidRDefault="00C37586" w:rsidP="00C37586">
      <w:pPr>
        <w:spacing w:after="0" w:line="276" w:lineRule="auto"/>
        <w:jc w:val="both"/>
        <w:rPr>
          <w:rFonts w:ascii="Verdana" w:eastAsia="Calibri" w:hAnsi="Verdana" w:cs="Arial"/>
          <w:lang w:val="es-ES" w:eastAsia="es-ES"/>
        </w:rPr>
      </w:pPr>
      <w:r w:rsidRPr="004525EF">
        <w:rPr>
          <w:rFonts w:ascii="Verdana" w:eastAsia="Calibri" w:hAnsi="Verdana" w:cs="Arial"/>
          <w:lang w:val="es-ES" w:eastAsia="es-ES"/>
        </w:rPr>
        <w:t>En ejercicio de la competencia otorgada por los artículos 3, numeral 5º, y 11, numeral 8º, del Decreto Ley 4170 de 2011,</w:t>
      </w:r>
      <w:r w:rsidRPr="004525EF">
        <w:rPr>
          <w:rFonts w:ascii="Verdana" w:eastAsia="Arial MT" w:hAnsi="Verdana" w:cs="Arial MT"/>
          <w:lang w:val="es-ES" w:eastAsia="es-ES"/>
        </w:rPr>
        <w:t xml:space="preserve"> </w:t>
      </w:r>
      <w:r w:rsidRPr="004525EF">
        <w:rPr>
          <w:rFonts w:ascii="Verdana" w:hAnsi="Verdana" w:cs="Arial"/>
        </w:rPr>
        <w:t xml:space="preserve">así como lo establecido en el artículo 4 de la Resolución 1707 de 2018 expedida por esta Entidad, </w:t>
      </w:r>
      <w:r w:rsidRPr="004525EF">
        <w:rPr>
          <w:rFonts w:ascii="Verdana" w:eastAsia="Calibri" w:hAnsi="Verdana" w:cs="Arial"/>
          <w:lang w:val="es-ES" w:eastAsia="es-ES"/>
        </w:rPr>
        <w:t xml:space="preserve">la Agencia Nacional de Contratación Pública – Colombia Compra Eficiente– responde su solicitud de consulta de fecha 02 de agosto de 2024, en la cual manifiesta lo siguiente: </w:t>
      </w:r>
    </w:p>
    <w:p w14:paraId="13248491" w14:textId="77777777" w:rsidR="00C37586" w:rsidRPr="004525EF" w:rsidRDefault="00C37586" w:rsidP="00C37586">
      <w:pPr>
        <w:spacing w:after="0" w:line="276" w:lineRule="auto"/>
        <w:jc w:val="both"/>
        <w:rPr>
          <w:rFonts w:ascii="Verdana" w:eastAsia="Calibri" w:hAnsi="Verdana" w:cs="Arial"/>
          <w:lang w:val="es-ES" w:eastAsia="es-ES"/>
        </w:rPr>
      </w:pPr>
    </w:p>
    <w:p w14:paraId="155DD2CF" w14:textId="2234AFF3" w:rsidR="00991C98" w:rsidRDefault="00C37586" w:rsidP="00C37586">
      <w:pPr>
        <w:autoSpaceDE w:val="0"/>
        <w:autoSpaceDN w:val="0"/>
        <w:adjustRightInd w:val="0"/>
        <w:spacing w:after="0" w:line="276" w:lineRule="auto"/>
        <w:jc w:val="both"/>
        <w:rPr>
          <w:rFonts w:ascii="Verdana" w:eastAsia="Calibri" w:hAnsi="Verdana" w:cs="Arial"/>
        </w:rPr>
      </w:pPr>
      <w:r w:rsidRPr="004525EF">
        <w:rPr>
          <w:rFonts w:ascii="Verdana" w:eastAsia="Calibri" w:hAnsi="Verdana" w:cs="Arial"/>
          <w:i/>
          <w:iCs/>
        </w:rPr>
        <w:t>“¿Puede el ordenador del gasto, en ejercicio de sus competencias sancionatorias dadas en materia de delegación contractual, iniciar el correspondiente procedimiento administrativo sancionatorio sin requerir el informe de supervisión y/o de interventoría? • En caso afirmativo, ¿Bajo qué presupuesto normativo podría fundamentarse su actuar? • En caso negativo, ¿Cómo debe proceder el ordenador del gasto en este caso?”</w:t>
      </w:r>
      <w:r w:rsidRPr="004525EF">
        <w:rPr>
          <w:rFonts w:ascii="Verdana" w:eastAsia="Calibri" w:hAnsi="Verdana" w:cs="Arial"/>
        </w:rPr>
        <w:t xml:space="preserve"> </w:t>
      </w:r>
    </w:p>
    <w:p w14:paraId="1B8E835E" w14:textId="77777777" w:rsidR="00991C98" w:rsidRPr="004525EF" w:rsidRDefault="00991C98" w:rsidP="00C37586">
      <w:pPr>
        <w:autoSpaceDE w:val="0"/>
        <w:autoSpaceDN w:val="0"/>
        <w:adjustRightInd w:val="0"/>
        <w:spacing w:after="0" w:line="276" w:lineRule="auto"/>
        <w:jc w:val="both"/>
        <w:rPr>
          <w:rFonts w:ascii="Verdana" w:eastAsia="Calibri" w:hAnsi="Verdana" w:cs="Arial"/>
        </w:rPr>
      </w:pPr>
    </w:p>
    <w:p w14:paraId="64A5E0D5" w14:textId="77777777" w:rsidR="00C37586" w:rsidRPr="004525EF" w:rsidRDefault="00C37586" w:rsidP="00C37586">
      <w:pPr>
        <w:spacing w:after="120" w:line="276" w:lineRule="auto"/>
        <w:ind w:firstLine="709"/>
        <w:jc w:val="both"/>
        <w:rPr>
          <w:rFonts w:ascii="Verdana" w:eastAsia="Calibri" w:hAnsi="Verdana" w:cs="Arial"/>
          <w:szCs w:val="24"/>
          <w:lang w:val="es-ES_tradnl" w:eastAsia="es-ES_tradnl"/>
        </w:rPr>
      </w:pPr>
      <w:r w:rsidRPr="004525E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4525EF">
        <w:rPr>
          <w:rFonts w:ascii="Verdana" w:eastAsia="Calibri" w:hAnsi="Verdana" w:cs="Arial"/>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525EF">
        <w:rPr>
          <w:rFonts w:ascii="Verdana" w:eastAsia="Calibri" w:hAnsi="Verdana" w:cs="Arial"/>
          <w:szCs w:val="24"/>
          <w:lang w:val="es-ES_tradnl" w:eastAsia="es-ES_tradnl"/>
        </w:rPr>
        <w:tab/>
      </w:r>
    </w:p>
    <w:p w14:paraId="4AAF266B" w14:textId="77777777" w:rsidR="00C37586" w:rsidRPr="004525EF" w:rsidRDefault="00C37586" w:rsidP="00C37586">
      <w:pPr>
        <w:spacing w:after="0" w:line="276" w:lineRule="auto"/>
        <w:ind w:firstLine="709"/>
        <w:jc w:val="both"/>
        <w:rPr>
          <w:rFonts w:ascii="Verdana" w:eastAsia="Calibri" w:hAnsi="Verdana" w:cs="Arial"/>
          <w:lang w:val="es-ES" w:eastAsia="es-ES"/>
        </w:rPr>
      </w:pPr>
      <w:r w:rsidRPr="004525E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C61A4F2" w14:textId="77777777" w:rsidR="00C37586" w:rsidRPr="004525EF" w:rsidRDefault="00C37586" w:rsidP="00C37586">
      <w:pPr>
        <w:spacing w:after="0" w:line="276" w:lineRule="auto"/>
        <w:ind w:firstLine="709"/>
        <w:jc w:val="both"/>
        <w:rPr>
          <w:rFonts w:ascii="Verdana" w:eastAsia="Calibri" w:hAnsi="Verdana" w:cs="Arial"/>
          <w:lang w:val="es-ES" w:eastAsia="es-ES"/>
        </w:rPr>
      </w:pPr>
    </w:p>
    <w:p w14:paraId="0901BC19" w14:textId="77777777" w:rsidR="00C37586" w:rsidRPr="004525EF" w:rsidRDefault="00C37586" w:rsidP="00C3758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525EF">
        <w:rPr>
          <w:rFonts w:ascii="Verdana" w:eastAsia="Century Gothic" w:hAnsi="Verdana" w:cs="Century Gothic"/>
          <w:b/>
          <w:bCs/>
        </w:rPr>
        <w:t>Problema planteado:</w:t>
      </w:r>
    </w:p>
    <w:p w14:paraId="2299B8F1" w14:textId="77777777" w:rsidR="00C37586" w:rsidRPr="004525EF" w:rsidRDefault="00C37586" w:rsidP="00C37586">
      <w:pPr>
        <w:tabs>
          <w:tab w:val="left" w:pos="426"/>
        </w:tabs>
        <w:spacing w:after="0" w:line="276" w:lineRule="auto"/>
        <w:jc w:val="both"/>
        <w:rPr>
          <w:rFonts w:ascii="Verdana" w:eastAsia="Century Gothic" w:hAnsi="Verdana" w:cs="Century Gothic"/>
          <w:lang w:val="es-ES"/>
        </w:rPr>
      </w:pPr>
    </w:p>
    <w:p w14:paraId="7E58AF51" w14:textId="71AB8269" w:rsidR="00C37586" w:rsidRPr="004525EF" w:rsidRDefault="00C37586" w:rsidP="00C37586">
      <w:pPr>
        <w:spacing w:after="0" w:line="276" w:lineRule="auto"/>
        <w:jc w:val="both"/>
        <w:rPr>
          <w:rFonts w:ascii="Verdana" w:eastAsia="Century Gothic" w:hAnsi="Verdana" w:cs="Century Gothic"/>
        </w:rPr>
      </w:pPr>
      <w:r w:rsidRPr="004525EF">
        <w:rPr>
          <w:rFonts w:ascii="Verdana" w:eastAsia="Century Gothic" w:hAnsi="Verdana" w:cs="Century Gothic"/>
        </w:rPr>
        <w:t xml:space="preserve">De acuerdo con el contenido de su solicitud, esta Agencia resolverá el siguiente problema jurídico: ¿Se puede iniciar un </w:t>
      </w:r>
      <w:r w:rsidR="004B7704" w:rsidRPr="004525EF">
        <w:rPr>
          <w:rFonts w:ascii="Verdana" w:eastAsia="Century Gothic" w:hAnsi="Verdana" w:cs="Century Gothic"/>
        </w:rPr>
        <w:t xml:space="preserve">procedimiento </w:t>
      </w:r>
      <w:r w:rsidRPr="004525EF">
        <w:rPr>
          <w:rFonts w:ascii="Verdana" w:eastAsia="Century Gothic" w:hAnsi="Verdana" w:cs="Century Gothic"/>
        </w:rPr>
        <w:t xml:space="preserve">sancionatorio en el marco de la normatividad vigente aun en ausencia del informe de supervisión? </w:t>
      </w:r>
    </w:p>
    <w:p w14:paraId="2B4AB85A" w14:textId="77777777" w:rsidR="00C37586" w:rsidRPr="004525EF" w:rsidRDefault="00C37586" w:rsidP="00C37586">
      <w:pPr>
        <w:spacing w:after="0" w:line="276" w:lineRule="auto"/>
        <w:jc w:val="both"/>
        <w:rPr>
          <w:rFonts w:ascii="Verdana" w:eastAsia="Calibri" w:hAnsi="Verdana" w:cs="Arial"/>
          <w:lang w:val="es-ES"/>
        </w:rPr>
      </w:pPr>
    </w:p>
    <w:p w14:paraId="6C8F2D55" w14:textId="77777777" w:rsidR="00C37586" w:rsidRPr="004525EF" w:rsidRDefault="00C37586" w:rsidP="00C375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525EF">
        <w:rPr>
          <w:rFonts w:ascii="Verdana" w:eastAsia="Century Gothic" w:hAnsi="Verdana" w:cs="Century Gothic"/>
          <w:b/>
          <w:bCs/>
        </w:rPr>
        <w:t>Respuesta:</w:t>
      </w:r>
    </w:p>
    <w:p w14:paraId="4BCB1183" w14:textId="77777777" w:rsidR="00C37586" w:rsidRPr="004525EF" w:rsidRDefault="00C37586" w:rsidP="00C3758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37586" w:rsidRPr="004525EF" w14:paraId="6E6917BD" w14:textId="77777777">
        <w:tc>
          <w:tcPr>
            <w:tcW w:w="8828" w:type="dxa"/>
            <w:shd w:val="clear" w:color="auto" w:fill="auto"/>
          </w:tcPr>
          <w:p w14:paraId="1C2E5BB7" w14:textId="77777777" w:rsidR="006B6746" w:rsidRPr="00A333E4" w:rsidRDefault="006B6746" w:rsidP="006B6746">
            <w:pPr>
              <w:spacing w:after="160" w:line="278" w:lineRule="auto"/>
              <w:jc w:val="both"/>
              <w:rPr>
                <w:rFonts w:ascii="Verdana" w:hAnsi="Verdana"/>
              </w:rPr>
            </w:pPr>
            <w:r w:rsidRPr="00A333E4">
              <w:rPr>
                <w:rFonts w:ascii="Verdana" w:hAnsi="Verdana"/>
              </w:rPr>
              <w:t>En el derecho colombiano, la contratación estatal es fundamental para el cumplimiento de los fines del Estado y la eficiente prestación de servicios públicos. La Ley 80 de 1993 y sus normas reglamentarias proporcionan a las entidades públicas herramientas para supervisar y controlar la ejecución de los contratos, incluyendo la capacidad de imponer sanciones por incumplimiento.</w:t>
            </w:r>
          </w:p>
          <w:p w14:paraId="39814523" w14:textId="77777777" w:rsidR="006B6746" w:rsidRPr="00A333E4" w:rsidRDefault="006B6746" w:rsidP="006B6746">
            <w:pPr>
              <w:spacing w:after="160" w:line="278" w:lineRule="auto"/>
              <w:jc w:val="both"/>
              <w:rPr>
                <w:rFonts w:ascii="Verdana" w:hAnsi="Verdana"/>
              </w:rPr>
            </w:pPr>
            <w:r w:rsidRPr="00A333E4">
              <w:rPr>
                <w:rFonts w:ascii="Verdana" w:hAnsi="Verdana"/>
              </w:rPr>
              <w:t>La Ley 1150 de 2007 introdujo la facultad de las entidades públicas para imponer multas y sanciones directamente, garantizando el debido proceso a través de audiencias y asegurando el derecho de defensa del contratista.</w:t>
            </w:r>
          </w:p>
          <w:p w14:paraId="2F461866" w14:textId="77777777" w:rsidR="006B6746" w:rsidRPr="00A333E4" w:rsidRDefault="006B6746" w:rsidP="006B6746">
            <w:pPr>
              <w:spacing w:after="160" w:line="278" w:lineRule="auto"/>
              <w:jc w:val="both"/>
              <w:rPr>
                <w:rFonts w:ascii="Verdana" w:hAnsi="Verdana"/>
              </w:rPr>
            </w:pPr>
            <w:r w:rsidRPr="00A333E4">
              <w:rPr>
                <w:rFonts w:ascii="Verdana" w:hAnsi="Verdana"/>
              </w:rPr>
              <w:t>Por su parte, la Ley 1474 de 2011, en su</w:t>
            </w:r>
            <w:r>
              <w:rPr>
                <w:rFonts w:ascii="Verdana" w:hAnsi="Verdana"/>
              </w:rPr>
              <w:t xml:space="preserve"> inciso primero del</w:t>
            </w:r>
            <w:r w:rsidRPr="00A333E4">
              <w:rPr>
                <w:rFonts w:ascii="Verdana" w:hAnsi="Verdana"/>
              </w:rPr>
              <w:t xml:space="preserve"> artículo 86, establece que no es obligatorio incluir ciertos requisitos en la citación a la audiencia mencionada en dicha norma, a pesar de que estos no estén textualmente detallados en el inciso. Sin embargo, se aclara que la Entidad Estatal puede agregar estos elementos en la citación si lo considera pertinente. Para imponer multas y sanciones, así como para hacer efectiva la cláusula penal, es esencial que se notifique al contratista la cuantificación de dichas </w:t>
            </w:r>
            <w:r w:rsidRPr="00A333E4">
              <w:rPr>
                <w:rFonts w:ascii="Verdana" w:hAnsi="Verdana"/>
              </w:rPr>
              <w:lastRenderedPageBreak/>
              <w:t>sanciones, asegurando su derecho a la defensa, contradicción y al debido proceso según lo estipulado en el artículo 29 de la Constitución Política de 1991. La notificación es crucial para garantizar la proporcionalidad de las sanciones a aplicar y permitir una evaluación justa del incumplimiento.</w:t>
            </w:r>
          </w:p>
          <w:p w14:paraId="3D11C96C" w14:textId="42431A48" w:rsidR="00C37586" w:rsidRPr="00CB60CB" w:rsidRDefault="006B6746" w:rsidP="00CB60CB">
            <w:pPr>
              <w:spacing w:after="160" w:line="278" w:lineRule="auto"/>
              <w:jc w:val="both"/>
              <w:rPr>
                <w:rFonts w:ascii="Verdana" w:hAnsi="Verdana"/>
              </w:rPr>
            </w:pPr>
            <w:r w:rsidRPr="00A333E4">
              <w:rPr>
                <w:rFonts w:ascii="Verdana" w:hAnsi="Verdana"/>
              </w:rPr>
              <w:t xml:space="preserve">En el marco de la contratación estatal en Colombia, la correcta aplicación de las leyes y la garantía de los derechos fundamentales del contratista son esenciales para asegurar una gestión eficaz y equitativa. La Ley 80 de 1993, la Ley 1150 de 2007 y la Ley 1474 de 2011 proporcionan un marco legal que permite a las entidades públicas supervisar y sancionar el incumplimiento de contratos, siempre respetando el debido proceso y los derechos de defensa. La aplicación adecuada de estas normativas asegura la transparencia y la justicia en la gestión de los contratos estatales, promoviendo una mayor eficiencia y responsabilidad en la ejecución de </w:t>
            </w:r>
            <w:r w:rsidR="0045426E" w:rsidRPr="00A333E4">
              <w:rPr>
                <w:rFonts w:ascii="Verdana" w:hAnsi="Verdana"/>
              </w:rPr>
              <w:t>estos</w:t>
            </w:r>
            <w:r w:rsidRPr="00A333E4">
              <w:rPr>
                <w:rFonts w:ascii="Verdana" w:hAnsi="Verdana"/>
              </w:rPr>
              <w:t>.</w:t>
            </w:r>
          </w:p>
        </w:tc>
      </w:tr>
      <w:tr w:rsidR="009A2198" w:rsidRPr="004525EF" w14:paraId="6541B170" w14:textId="77777777">
        <w:tc>
          <w:tcPr>
            <w:tcW w:w="8828" w:type="dxa"/>
            <w:shd w:val="clear" w:color="auto" w:fill="auto"/>
          </w:tcPr>
          <w:p w14:paraId="3DB1B38B" w14:textId="77777777" w:rsidR="009A2198" w:rsidRPr="00A333E4" w:rsidRDefault="009A2198" w:rsidP="006B6746">
            <w:pPr>
              <w:spacing w:line="278" w:lineRule="auto"/>
              <w:jc w:val="both"/>
              <w:rPr>
                <w:rFonts w:ascii="Verdana" w:hAnsi="Verdana"/>
              </w:rPr>
            </w:pPr>
          </w:p>
        </w:tc>
      </w:tr>
    </w:tbl>
    <w:p w14:paraId="50C08FE4" w14:textId="77777777" w:rsidR="00C37586" w:rsidRPr="004525EF" w:rsidRDefault="00C37586" w:rsidP="00C37586">
      <w:pPr>
        <w:tabs>
          <w:tab w:val="left" w:pos="142"/>
          <w:tab w:val="left" w:pos="284"/>
        </w:tabs>
        <w:spacing w:after="0" w:line="276" w:lineRule="auto"/>
        <w:jc w:val="both"/>
        <w:rPr>
          <w:rFonts w:ascii="Verdana" w:eastAsia="Century Gothic" w:hAnsi="Verdana" w:cs="Century Gothic"/>
          <w:b/>
          <w:bCs/>
          <w:lang w:val="es-ES"/>
        </w:rPr>
      </w:pPr>
    </w:p>
    <w:p w14:paraId="065CFCC4" w14:textId="77777777" w:rsidR="00C37586" w:rsidRPr="004525EF" w:rsidRDefault="00C37586" w:rsidP="00C375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525EF">
        <w:rPr>
          <w:rFonts w:ascii="Verdana" w:eastAsia="Century Gothic" w:hAnsi="Verdana" w:cs="Century Gothic"/>
          <w:b/>
          <w:bCs/>
        </w:rPr>
        <w:t>Razones de la respuesta:</w:t>
      </w:r>
    </w:p>
    <w:p w14:paraId="3859A400" w14:textId="77777777" w:rsidR="00C37586" w:rsidRPr="004525EF" w:rsidRDefault="00C37586" w:rsidP="00C37586">
      <w:pPr>
        <w:spacing w:after="0" w:line="276" w:lineRule="auto"/>
        <w:jc w:val="both"/>
        <w:rPr>
          <w:rFonts w:ascii="Verdana" w:eastAsia="Calibri" w:hAnsi="Verdana" w:cs="Arial"/>
          <w:lang w:val="es-ES"/>
        </w:rPr>
      </w:pPr>
    </w:p>
    <w:p w14:paraId="61F561B3" w14:textId="77777777" w:rsidR="00C37586" w:rsidRPr="004525EF" w:rsidRDefault="00C37586" w:rsidP="00C37586">
      <w:pPr>
        <w:spacing w:after="0" w:line="276" w:lineRule="auto"/>
        <w:jc w:val="both"/>
        <w:rPr>
          <w:rFonts w:ascii="Verdana" w:eastAsia="Calibri" w:hAnsi="Verdana" w:cs="Arial"/>
          <w:lang w:val="es-ES"/>
        </w:rPr>
      </w:pPr>
      <w:r w:rsidRPr="004525EF">
        <w:rPr>
          <w:rFonts w:ascii="Verdana" w:eastAsia="Calibri" w:hAnsi="Verdana" w:cs="Arial"/>
          <w:lang w:val="es-ES"/>
        </w:rPr>
        <w:t xml:space="preserve">Lo anterior se sustenta en las siguientes consideraciones: </w:t>
      </w:r>
    </w:p>
    <w:p w14:paraId="03B297F5" w14:textId="77777777" w:rsidR="00C37586" w:rsidRPr="004525EF" w:rsidRDefault="00C37586" w:rsidP="00C37586">
      <w:pPr>
        <w:spacing w:after="0" w:line="276" w:lineRule="auto"/>
        <w:contextualSpacing/>
        <w:jc w:val="both"/>
        <w:rPr>
          <w:rFonts w:ascii="Verdana" w:eastAsia="Calibri" w:hAnsi="Verdana" w:cs="Arial"/>
          <w:b/>
          <w:bCs/>
          <w:lang w:val="es-ES_tradnl" w:eastAsia="es-ES_tradnl"/>
          <w14:ligatures w14:val="standardContextual"/>
        </w:rPr>
      </w:pPr>
    </w:p>
    <w:p w14:paraId="757C3272" w14:textId="77777777" w:rsidR="00C37586" w:rsidRPr="004C1FF0" w:rsidRDefault="00C37586" w:rsidP="004C1FF0">
      <w:pPr>
        <w:pStyle w:val="Prrafodelista"/>
        <w:numPr>
          <w:ilvl w:val="0"/>
          <w:numId w:val="20"/>
        </w:numPr>
        <w:spacing w:after="120" w:line="276" w:lineRule="auto"/>
        <w:jc w:val="both"/>
        <w:rPr>
          <w:rFonts w:ascii="Verdana" w:eastAsia="Times New Roman" w:hAnsi="Verdana" w:cs="Arial"/>
          <w:lang w:eastAsia="es-ES"/>
          <w14:ligatures w14:val="standardContextual"/>
        </w:rPr>
      </w:pPr>
      <w:r w:rsidRPr="004C1FF0">
        <w:rPr>
          <w:rFonts w:ascii="Verdana" w:eastAsia="Times New Roman" w:hAnsi="Verdana" w:cs="Arial"/>
          <w:lang w:eastAsia="es-ES"/>
          <w14:ligatures w14:val="standardContextual"/>
        </w:rPr>
        <w:t xml:space="preserve">El artículo 86 de la Ley 1474 de 2011 establece las reglas de procedimiento, mediante las cuales se materializan los derechos y garantías derivadas del debido proceso, para su aplicación concreta en materia sancionatoria contractual. De conformidad con esta disposición,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 </w:t>
      </w:r>
    </w:p>
    <w:p w14:paraId="38A83234" w14:textId="77777777" w:rsidR="00C37586" w:rsidRPr="004C1FF0" w:rsidRDefault="00C37586" w:rsidP="004C1FF0">
      <w:pPr>
        <w:pStyle w:val="Prrafodelista"/>
        <w:numPr>
          <w:ilvl w:val="0"/>
          <w:numId w:val="20"/>
        </w:numPr>
        <w:spacing w:after="120" w:line="276" w:lineRule="auto"/>
        <w:jc w:val="both"/>
        <w:rPr>
          <w:rFonts w:ascii="Verdana" w:eastAsia="Times New Roman" w:hAnsi="Verdana" w:cs="Arial"/>
          <w:iCs/>
          <w:lang w:val="es-ES_tradnl" w:eastAsia="es-ES_tradnl"/>
          <w14:ligatures w14:val="standardContextual"/>
        </w:rPr>
      </w:pPr>
      <w:r w:rsidRPr="004C1FF0">
        <w:rPr>
          <w:rFonts w:ascii="Verdana" w:eastAsia="Times New Roman" w:hAnsi="Verdana" w:cs="Arial"/>
          <w:iCs/>
          <w:lang w:val="es-ES_tradnl" w:eastAsia="es-ES_tradnl"/>
          <w14:ligatures w14:val="standardContextual"/>
        </w:rPr>
        <w:t xml:space="preserve">Cabe destacar que esta norma no cualifica o se circunscribe a ciertos tipos de incumplimiento. En consecuencia, la declaratoria de cualquier incumplimiento, sea total o parcial, durante o posterior a la terminación del contrato e independiente de su gravedad, debe realizarse con plena observancia de las reglas procedimentales del artículo 86 de la Ley 1474 de 2011. Esto es así como consecuencia del “principio general de interpretación jurídica según el cual donde la norma no distingue, no le </w:t>
      </w:r>
      <w:r w:rsidRPr="004C1FF0">
        <w:rPr>
          <w:rFonts w:ascii="Verdana" w:eastAsia="Times New Roman" w:hAnsi="Verdana" w:cs="Arial"/>
          <w:iCs/>
          <w:lang w:val="es-ES_tradnl" w:eastAsia="es-ES_tradnl"/>
          <w14:ligatures w14:val="standardContextual"/>
        </w:rPr>
        <w:lastRenderedPageBreak/>
        <w:t>corresponde distinguir al intérprete”</w:t>
      </w:r>
      <w:r w:rsidRPr="004525EF">
        <w:rPr>
          <w:vertAlign w:val="superscript"/>
          <w:lang w:eastAsia="es-ES_tradnl"/>
        </w:rPr>
        <w:footnoteReference w:id="2"/>
      </w:r>
      <w:r w:rsidRPr="004C1FF0">
        <w:rPr>
          <w:rFonts w:ascii="Verdana" w:eastAsia="Times New Roman" w:hAnsi="Verdana" w:cs="Arial"/>
          <w:iCs/>
          <w:lang w:val="es-ES_tradnl" w:eastAsia="es-ES_tradnl"/>
          <w14:ligatures w14:val="standardContextual"/>
        </w:rPr>
        <w:t xml:space="preserve">. A la misma conclusión se llega si se tiene en consideración la necesidad de respetar el debido proceso en “todas las actuaciones administrativas” como lo ordena el artículo 29 superior. </w:t>
      </w:r>
    </w:p>
    <w:p w14:paraId="0C0905F2" w14:textId="32DD3233" w:rsidR="008547E3" w:rsidRPr="008547E3" w:rsidRDefault="00C37586" w:rsidP="008547E3">
      <w:pPr>
        <w:pStyle w:val="Prrafodelista"/>
        <w:numPr>
          <w:ilvl w:val="0"/>
          <w:numId w:val="20"/>
        </w:numPr>
        <w:spacing w:after="120" w:line="276" w:lineRule="auto"/>
        <w:jc w:val="both"/>
        <w:rPr>
          <w:rFonts w:ascii="Verdana" w:eastAsia="Times New Roman" w:hAnsi="Verdana" w:cs="Arial"/>
          <w:lang w:eastAsia="es-ES"/>
          <w14:ligatures w14:val="standardContextual"/>
        </w:rPr>
      </w:pPr>
      <w:r w:rsidRPr="004C1FF0">
        <w:rPr>
          <w:rFonts w:ascii="Verdana" w:eastAsia="Times New Roman" w:hAnsi="Verdana" w:cs="Arial"/>
          <w:lang w:eastAsia="es-ES"/>
          <w14:ligatures w14:val="standardContextual"/>
        </w:rPr>
        <w:t xml:space="preserve">De conformidad con lo anterior, el </w:t>
      </w:r>
      <w:r w:rsidR="000B5C8A">
        <w:rPr>
          <w:rStyle w:val="Refdenotaalpie"/>
          <w:rFonts w:ascii="Verdana" w:eastAsia="Times New Roman" w:hAnsi="Verdana" w:cs="Arial"/>
          <w:lang w:eastAsia="es-ES"/>
          <w14:ligatures w14:val="standardContextual"/>
        </w:rPr>
        <w:footnoteReference w:id="3"/>
      </w:r>
      <w:r w:rsidRPr="004C1FF0">
        <w:rPr>
          <w:rFonts w:ascii="Verdana" w:eastAsia="Times New Roman" w:hAnsi="Verdana" w:cs="Arial"/>
          <w:lang w:eastAsia="es-ES"/>
          <w14:ligatures w14:val="standardContextual"/>
        </w:rPr>
        <w:t>artículo 86 de la Ley 1474 de 2011 establece las etapas del procedimiento que se deben seguir, las cuales se sintetizan, de forma esquemática, así: i) c</w:t>
      </w:r>
      <w:r w:rsidRPr="004C1FF0">
        <w:rPr>
          <w:rFonts w:ascii="Verdana" w:eastAsia="Times New Roman" w:hAnsi="Verdana" w:cs="Arial"/>
          <w:i/>
          <w:iCs/>
          <w:lang w:eastAsia="es-ES"/>
          <w14:ligatures w14:val="standardContextual"/>
        </w:rPr>
        <w:t>itación a audiencia</w:t>
      </w:r>
      <w:r w:rsidRPr="004C1FF0">
        <w:rPr>
          <w:rFonts w:ascii="Verdana" w:eastAsia="Times New Roman" w:hAnsi="Verdana" w:cs="Arial"/>
          <w:lang w:eastAsia="es-ES"/>
          <w14:ligatures w14:val="standardContextual"/>
        </w:rPr>
        <w:t xml:space="preserve">. Es necesario remitir una citación a audiencia al contratista y al garante –cuando proceda–, cuyo contenido de señalará más adelante. </w:t>
      </w:r>
      <w:proofErr w:type="spellStart"/>
      <w:r w:rsidRPr="004C1FF0">
        <w:rPr>
          <w:rFonts w:ascii="Verdana" w:eastAsia="Times New Roman" w:hAnsi="Verdana" w:cs="Arial"/>
          <w:lang w:eastAsia="es-ES"/>
          <w14:ligatures w14:val="standardContextual"/>
        </w:rPr>
        <w:t>ii</w:t>
      </w:r>
      <w:proofErr w:type="spellEnd"/>
      <w:r w:rsidRPr="004C1FF0">
        <w:rPr>
          <w:rFonts w:ascii="Verdana" w:eastAsia="Times New Roman" w:hAnsi="Verdana" w:cs="Arial"/>
          <w:lang w:eastAsia="es-ES"/>
          <w14:ligatures w14:val="standardContextual"/>
        </w:rPr>
        <w:t xml:space="preserve">) </w:t>
      </w:r>
      <w:r w:rsidRPr="004C1FF0">
        <w:rPr>
          <w:rFonts w:ascii="Verdana" w:eastAsia="Times New Roman" w:hAnsi="Verdana" w:cs="Arial"/>
          <w:i/>
          <w:iCs/>
          <w:lang w:eastAsia="es-ES"/>
          <w14:ligatures w14:val="standardContextual"/>
        </w:rPr>
        <w:t>Audiencia</w:t>
      </w:r>
      <w:r w:rsidRPr="004C1FF0">
        <w:rPr>
          <w:rFonts w:ascii="Verdana" w:eastAsia="Times New Roman" w:hAnsi="Verdana" w:cs="Arial"/>
          <w:lang w:eastAsia="es-ES"/>
          <w14:ligatures w14:val="standardContextual"/>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4C1FF0">
        <w:rPr>
          <w:rFonts w:ascii="Verdana" w:eastAsia="Times New Roman" w:hAnsi="Verdana" w:cs="Arial"/>
          <w:lang w:eastAsia="es-ES"/>
          <w14:ligatures w14:val="standardContextual"/>
        </w:rPr>
        <w:t>iii</w:t>
      </w:r>
      <w:proofErr w:type="spellEnd"/>
      <w:r w:rsidRPr="004C1FF0">
        <w:rPr>
          <w:rFonts w:ascii="Verdana" w:eastAsia="Times New Roman" w:hAnsi="Verdana" w:cs="Arial"/>
          <w:lang w:eastAsia="es-ES"/>
          <w14:ligatures w14:val="standardContextual"/>
        </w:rPr>
        <w:t xml:space="preserve">) </w:t>
      </w:r>
      <w:r w:rsidRPr="004C1FF0">
        <w:rPr>
          <w:rFonts w:ascii="Verdana" w:eastAsia="Times New Roman" w:hAnsi="Verdana" w:cs="Arial"/>
          <w:i/>
          <w:iCs/>
          <w:lang w:eastAsia="es-ES"/>
          <w14:ligatures w14:val="standardContextual"/>
        </w:rPr>
        <w:t>Decisión</w:t>
      </w:r>
      <w:r w:rsidRPr="004C1FF0">
        <w:rPr>
          <w:rFonts w:ascii="Verdana" w:eastAsia="Times New Roman" w:hAnsi="Verdana" w:cs="Arial"/>
          <w:lang w:eastAsia="es-ES"/>
          <w14:ligatures w14:val="standardContextual"/>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llegue a efectuarse.</w:t>
      </w:r>
    </w:p>
    <w:p w14:paraId="45FB4013" w14:textId="132AE29E" w:rsidR="008547E3" w:rsidRDefault="00C37586" w:rsidP="008547E3">
      <w:pPr>
        <w:pStyle w:val="Prrafodelista"/>
        <w:numPr>
          <w:ilvl w:val="0"/>
          <w:numId w:val="20"/>
        </w:numPr>
        <w:jc w:val="both"/>
        <w:rPr>
          <w:rFonts w:ascii="Verdana" w:eastAsia="Calibri" w:hAnsi="Verdana" w:cs="Arial"/>
          <w:lang w:val="es-ES_tradnl" w:eastAsia="es-ES_tradnl"/>
          <w14:ligatures w14:val="standardContextual"/>
        </w:rPr>
      </w:pPr>
      <w:r w:rsidRPr="004C1FF0">
        <w:rPr>
          <w:rFonts w:ascii="Verdana" w:eastAsia="Times New Roman" w:hAnsi="Verdana" w:cs="Arial"/>
          <w:iCs/>
          <w:lang w:val="es-ES_tradnl" w:eastAsia="es-ES_tradnl"/>
          <w14:ligatures w14:val="standardContextual"/>
        </w:rPr>
        <w:t>Como precisión previa, vale la pena aclarar que e</w:t>
      </w:r>
      <w:r w:rsidRPr="004C1FF0">
        <w:rPr>
          <w:rFonts w:ascii="Verdana" w:eastAsia="Calibri" w:hAnsi="Verdana" w:cs="Arial"/>
          <w:lang w:val="es-ES_tradnl" w:eastAsia="es-ES_tradnl"/>
          <w14:ligatures w14:val="standardContextual"/>
        </w:rPr>
        <w:t>l artículo 86 de la Ley 1474 de 2011 regula un procedimiento administrativo sancionatorio dirigido a sujetos específicos: las entidades sometidas al EGCAP</w:t>
      </w:r>
      <w:r w:rsidRPr="004525EF">
        <w:rPr>
          <w:vertAlign w:val="superscript"/>
          <w:lang w:eastAsia="es-ES_tradnl"/>
        </w:rPr>
        <w:footnoteReference w:id="4"/>
      </w:r>
      <w:r w:rsidRPr="004C1FF0">
        <w:rPr>
          <w:rFonts w:ascii="Verdana" w:eastAsia="Calibri" w:hAnsi="Verdana" w:cs="Arial"/>
          <w:lang w:val="es-ES_tradnl" w:eastAsia="es-ES_tradnl"/>
          <w14:ligatures w14:val="standardContextual"/>
        </w:rPr>
        <w:t xml:space="preserve">. De ahí que las entidades de </w:t>
      </w:r>
      <w:r w:rsidRPr="004C1FF0">
        <w:rPr>
          <w:rFonts w:ascii="Verdana" w:eastAsia="Calibri" w:hAnsi="Verdana" w:cs="Arial"/>
          <w:i/>
          <w:iCs/>
          <w:lang w:val="es-ES_tradnl" w:eastAsia="es-ES_tradnl"/>
          <w14:ligatures w14:val="standardContextual"/>
        </w:rPr>
        <w:t>régimen especial</w:t>
      </w:r>
      <w:r w:rsidRPr="004525EF">
        <w:rPr>
          <w:vertAlign w:val="superscript"/>
          <w:lang w:eastAsia="es-ES_tradnl"/>
        </w:rPr>
        <w:footnoteReference w:id="5"/>
      </w:r>
      <w:r w:rsidRPr="004C1FF0">
        <w:rPr>
          <w:rFonts w:ascii="Verdana" w:eastAsia="Calibri" w:hAnsi="Verdana" w:cs="Arial"/>
          <w:lang w:val="es-ES_tradnl" w:eastAsia="es-ES_tradnl"/>
          <w14:ligatures w14:val="standardContextual"/>
        </w:rPr>
        <w:t xml:space="preserve"> en materia contractual no pueden aplicar el procedimiento administrativo sancionatorio regulado en el artículo 86 de la Ley 1474 de 2011, al no ser entidades sometidas al EGCAP, sino, por el contrario, entidades exceptuadas de este</w:t>
      </w:r>
      <w:r w:rsidRPr="004525EF">
        <w:rPr>
          <w:vertAlign w:val="superscript"/>
          <w:lang w:eastAsia="es-ES_tradnl"/>
        </w:rPr>
        <w:footnoteReference w:id="6"/>
      </w:r>
      <w:r w:rsidRPr="004C1FF0">
        <w:rPr>
          <w:rFonts w:ascii="Verdana" w:eastAsia="Calibri" w:hAnsi="Verdana" w:cs="Arial"/>
          <w:lang w:val="es-ES_tradnl" w:eastAsia="es-ES_tradnl"/>
          <w14:ligatures w14:val="standardContextual"/>
        </w:rPr>
        <w:t>. La norma indicada desarrolla el procedimiento de la siguiente manera:</w:t>
      </w:r>
    </w:p>
    <w:p w14:paraId="7EF81E9B" w14:textId="77777777" w:rsidR="007628DC" w:rsidRPr="008547E3" w:rsidRDefault="007628DC" w:rsidP="007628DC">
      <w:pPr>
        <w:pStyle w:val="Prrafodelista"/>
        <w:jc w:val="both"/>
        <w:rPr>
          <w:rFonts w:ascii="Verdana" w:eastAsia="Calibri" w:hAnsi="Verdana" w:cs="Arial"/>
          <w:lang w:val="es-ES_tradnl" w:eastAsia="es-ES_tradnl"/>
          <w14:ligatures w14:val="standardContextual"/>
        </w:rPr>
      </w:pPr>
    </w:p>
    <w:p w14:paraId="039239B8" w14:textId="7F94357F" w:rsidR="00C37586" w:rsidRPr="008547E3" w:rsidRDefault="00C37586" w:rsidP="00285874">
      <w:pPr>
        <w:pStyle w:val="Prrafodelista"/>
        <w:spacing w:before="120" w:after="120" w:line="240" w:lineRule="auto"/>
        <w:ind w:left="1134" w:right="709"/>
        <w:jc w:val="both"/>
        <w:rPr>
          <w:rFonts w:ascii="Verdana" w:hAnsi="Verdana" w:cs="Arial"/>
          <w:sz w:val="20"/>
          <w:szCs w:val="20"/>
          <w14:ligatures w14:val="standardContextual"/>
        </w:rPr>
      </w:pPr>
      <w:bookmarkStart w:id="0" w:name="86"/>
      <w:r w:rsidRPr="008547E3">
        <w:rPr>
          <w:rFonts w:ascii="Verdana" w:hAnsi="Verdana" w:cs="Arial"/>
          <w:sz w:val="20"/>
          <w:szCs w:val="20"/>
          <w14:ligatures w14:val="standardContextual"/>
        </w:rPr>
        <w:lastRenderedPageBreak/>
        <w:t xml:space="preserve">“Artículo 86. </w:t>
      </w:r>
      <w:r w:rsidR="009E53C6">
        <w:rPr>
          <w:rStyle w:val="Refdenotaalpie"/>
          <w:rFonts w:ascii="Verdana" w:hAnsi="Verdana" w:cs="Arial"/>
          <w:sz w:val="20"/>
          <w:szCs w:val="20"/>
          <w14:ligatures w14:val="standardContextual"/>
        </w:rPr>
        <w:footnoteReference w:id="7"/>
      </w:r>
      <w:r w:rsidRPr="008547E3">
        <w:rPr>
          <w:rFonts w:ascii="Verdana" w:hAnsi="Verdana" w:cs="Arial"/>
          <w:sz w:val="20"/>
          <w:szCs w:val="20"/>
          <w14:ligatures w14:val="standardContextual"/>
        </w:rPr>
        <w:t>Imposición de multas, sanciones y declaratorias de incumplimiento.</w:t>
      </w:r>
      <w:bookmarkEnd w:id="0"/>
      <w:r w:rsidRPr="008547E3">
        <w:rPr>
          <w:rFonts w:ascii="Verdana" w:hAnsi="Verdana" w:cs="Arial"/>
          <w:sz w:val="20"/>
          <w:szCs w:val="20"/>
          <w14:ligatures w14:val="standardContextual"/>
        </w:rPr>
        <w:t>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w:t>
      </w:r>
    </w:p>
    <w:p w14:paraId="1BBCF9F9" w14:textId="77777777" w:rsidR="00C37586" w:rsidRPr="004525EF" w:rsidRDefault="00C37586" w:rsidP="00C37586">
      <w:pPr>
        <w:spacing w:after="0" w:line="240" w:lineRule="auto"/>
        <w:ind w:left="709" w:right="709"/>
        <w:contextualSpacing/>
        <w:jc w:val="both"/>
        <w:rPr>
          <w:rFonts w:ascii="Verdana" w:hAnsi="Verdana" w:cs="Arial"/>
          <w:iCs/>
          <w:sz w:val="20"/>
          <w:szCs w:val="20"/>
          <w:lang w:val="es-ES_tradnl"/>
          <w14:ligatures w14:val="standardContextual"/>
        </w:rPr>
      </w:pPr>
    </w:p>
    <w:p w14:paraId="3BCE8CCA"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
          <w14:ligatures w14:val="standardContextual"/>
        </w:rPr>
      </w:pPr>
      <w:r w:rsidRPr="004C1FF0">
        <w:rPr>
          <w:rFonts w:ascii="Verdana" w:hAnsi="Verdana" w:cs="Arial"/>
          <w:i/>
          <w:iCs/>
          <w:sz w:val="20"/>
          <w:szCs w:val="20"/>
          <w:lang w:val="es-ES"/>
          <w14:ligatures w14:val="standardContextual"/>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7DFBF839"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_tradnl"/>
          <w14:ligatures w14:val="standardContextual"/>
        </w:rPr>
      </w:pPr>
    </w:p>
    <w:p w14:paraId="466E908D"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
          <w14:ligatures w14:val="standardContextual"/>
        </w:rPr>
      </w:pPr>
      <w:r w:rsidRPr="004C1FF0">
        <w:rPr>
          <w:rFonts w:ascii="Verdana" w:hAnsi="Verdana" w:cs="Arial"/>
          <w:i/>
          <w:iCs/>
          <w:sz w:val="20"/>
          <w:szCs w:val="20"/>
          <w:lang w:val="es-ES"/>
          <w14:ligatures w14:val="standardContextual"/>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1AAC5627"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_tradnl"/>
          <w14:ligatures w14:val="standardContextual"/>
        </w:rPr>
      </w:pPr>
    </w:p>
    <w:p w14:paraId="6071E358"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
          <w14:ligatures w14:val="standardContextual"/>
        </w:rPr>
      </w:pPr>
      <w:r w:rsidRPr="004C1FF0">
        <w:rPr>
          <w:rFonts w:ascii="Verdana" w:hAnsi="Verdana" w:cs="Arial"/>
          <w:i/>
          <w:iCs/>
          <w:sz w:val="20"/>
          <w:szCs w:val="20"/>
          <w:lang w:val="es-ES"/>
          <w14:ligatures w14:val="standardContextual"/>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0C2B8442"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_tradnl"/>
          <w14:ligatures w14:val="standardContextual"/>
        </w:rPr>
      </w:pPr>
    </w:p>
    <w:p w14:paraId="7C7D90EB" w14:textId="77777777" w:rsidR="00C37586" w:rsidRPr="004C1FF0" w:rsidRDefault="00C37586" w:rsidP="004C1FF0">
      <w:pPr>
        <w:spacing w:before="120" w:after="120" w:line="240" w:lineRule="auto"/>
        <w:ind w:left="1134" w:right="709"/>
        <w:contextualSpacing/>
        <w:jc w:val="both"/>
        <w:rPr>
          <w:rFonts w:ascii="Verdana" w:hAnsi="Verdana" w:cs="Arial"/>
          <w:i/>
          <w:iCs/>
          <w:sz w:val="20"/>
          <w:szCs w:val="20"/>
          <w:lang w:val="es-ES"/>
          <w14:ligatures w14:val="standardContextual"/>
        </w:rPr>
      </w:pPr>
      <w:r w:rsidRPr="004C1FF0">
        <w:rPr>
          <w:rFonts w:ascii="Verdana" w:hAnsi="Verdana" w:cs="Arial"/>
          <w:i/>
          <w:iCs/>
          <w:sz w:val="20"/>
          <w:szCs w:val="20"/>
          <w:lang w:val="es-ES"/>
          <w14:ligatures w14:val="standardContextual"/>
        </w:rPr>
        <w:t xml:space="preserve">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w:t>
      </w:r>
      <w:r w:rsidRPr="004C1FF0">
        <w:rPr>
          <w:rFonts w:ascii="Verdana" w:hAnsi="Verdana" w:cs="Arial"/>
          <w:i/>
          <w:iCs/>
          <w:sz w:val="20"/>
          <w:szCs w:val="20"/>
          <w:lang w:val="es-ES"/>
          <w14:ligatures w14:val="standardContextual"/>
        </w:rPr>
        <w:lastRenderedPageBreak/>
        <w:t>En todo caso, al adoptar la decisión, se señalará fecha y hora para reanudar la audiencia. La entidad podrá dar por terminado el procedimiento en cualquier momento, si por algún medio tiene conocimiento de la cesación de situación de incumplimiento”.</w:t>
      </w:r>
    </w:p>
    <w:p w14:paraId="782D895E" w14:textId="77777777" w:rsidR="00C37586" w:rsidRPr="004525EF" w:rsidRDefault="00C37586" w:rsidP="00C37586">
      <w:pPr>
        <w:spacing w:after="0" w:line="276" w:lineRule="auto"/>
        <w:ind w:right="142"/>
        <w:contextualSpacing/>
        <w:jc w:val="both"/>
        <w:rPr>
          <w:rFonts w:ascii="Verdana" w:eastAsia="Calibri" w:hAnsi="Verdana" w:cs="Arial"/>
          <w:szCs w:val="24"/>
          <w:lang w:val="es-ES_tradnl" w:eastAsia="es-ES_tradnl"/>
          <w14:ligatures w14:val="standardContextual"/>
        </w:rPr>
      </w:pPr>
    </w:p>
    <w:p w14:paraId="05FBE10D" w14:textId="77777777" w:rsidR="00C37586" w:rsidRPr="004C1FF0" w:rsidRDefault="00C37586" w:rsidP="004C1FF0">
      <w:pPr>
        <w:pStyle w:val="Prrafodelista"/>
        <w:numPr>
          <w:ilvl w:val="0"/>
          <w:numId w:val="21"/>
        </w:numPr>
        <w:spacing w:after="120" w:line="276" w:lineRule="auto"/>
        <w:jc w:val="both"/>
        <w:rPr>
          <w:rFonts w:ascii="Verdana" w:eastAsia="Calibri" w:hAnsi="Verdana" w:cs="Arial"/>
          <w:lang w:val="es-ES_tradnl" w:eastAsia="es-ES_tradnl"/>
          <w14:ligatures w14:val="standardContextual"/>
        </w:rPr>
      </w:pPr>
      <w:r w:rsidRPr="004C1FF0">
        <w:rPr>
          <w:rFonts w:ascii="Verdana" w:eastAsia="Calibri" w:hAnsi="Verdana" w:cs="Arial"/>
          <w:lang w:val="es-ES_tradnl" w:eastAsia="es-ES_tradnl"/>
          <w14:ligatures w14:val="standardContextual"/>
        </w:rPr>
        <w:t xml:space="preserve">Como se observa, la citación a la audiencia debe cumplir </w:t>
      </w:r>
      <w:r w:rsidRPr="004C1FF0">
        <w:rPr>
          <w:rFonts w:ascii="Verdana" w:eastAsia="Calibri" w:hAnsi="Verdana" w:cs="Arial"/>
          <w:i/>
          <w:iCs/>
          <w:lang w:val="es-ES_tradnl" w:eastAsia="es-ES_tradnl"/>
          <w14:ligatures w14:val="standardContextual"/>
        </w:rPr>
        <w:t>mínimamente</w:t>
      </w:r>
      <w:r w:rsidRPr="004C1FF0">
        <w:rPr>
          <w:rFonts w:ascii="Verdana" w:eastAsia="Calibri" w:hAnsi="Verdana" w:cs="Arial"/>
          <w:lang w:val="es-ES_tradnl" w:eastAsia="es-ES_tradnl"/>
          <w14:ligatures w14:val="standardContextual"/>
        </w:rPr>
        <w:t xml:space="preserve"> los siguientes aspectos: i) señalar los </w:t>
      </w:r>
      <w:r w:rsidRPr="004C1FF0">
        <w:rPr>
          <w:rFonts w:ascii="Verdana" w:eastAsia="Calibri" w:hAnsi="Verdana" w:cs="Arial"/>
          <w:i/>
          <w:iCs/>
          <w:lang w:val="es-ES_tradnl" w:eastAsia="es-ES_tradnl"/>
          <w14:ligatures w14:val="standardContextual"/>
        </w:rPr>
        <w:t>hechos</w:t>
      </w:r>
      <w:r w:rsidRPr="004C1FF0">
        <w:rPr>
          <w:rFonts w:ascii="Verdana" w:eastAsia="Calibri" w:hAnsi="Verdana" w:cs="Arial"/>
          <w:lang w:val="es-ES_tradnl" w:eastAsia="es-ES_tradnl"/>
          <w14:ligatures w14:val="standardContextual"/>
        </w:rPr>
        <w:t xml:space="preserve"> que soportan la actuación, en particular la descripción detallada de cuáles son las actuaciones u omisiones del contratista que materializan el incumplimiento de las obligaciones. Además, se deben </w:t>
      </w:r>
      <w:proofErr w:type="spellStart"/>
      <w:r w:rsidRPr="004C1FF0">
        <w:rPr>
          <w:rFonts w:ascii="Verdana" w:eastAsia="Calibri" w:hAnsi="Verdana" w:cs="Arial"/>
          <w:lang w:val="es-ES_tradnl" w:eastAsia="es-ES_tradnl"/>
          <w14:ligatures w14:val="standardContextual"/>
        </w:rPr>
        <w:t>ii</w:t>
      </w:r>
      <w:proofErr w:type="spellEnd"/>
      <w:r w:rsidRPr="004C1FF0">
        <w:rPr>
          <w:rFonts w:ascii="Verdana" w:eastAsia="Calibri" w:hAnsi="Verdana" w:cs="Arial"/>
          <w:lang w:val="es-ES_tradnl" w:eastAsia="es-ES_tradnl"/>
          <w14:ligatures w14:val="standardContextual"/>
        </w:rPr>
        <w:t xml:space="preserve">) adjuntar los </w:t>
      </w:r>
      <w:r w:rsidRPr="004C1FF0">
        <w:rPr>
          <w:rFonts w:ascii="Verdana" w:eastAsia="Calibri" w:hAnsi="Verdana" w:cs="Arial"/>
          <w:i/>
          <w:iCs/>
          <w:lang w:val="es-ES_tradnl" w:eastAsia="es-ES_tradnl"/>
          <w14:ligatures w14:val="standardContextual"/>
        </w:rPr>
        <w:t>informes de supervisión o de interventoría</w:t>
      </w:r>
      <w:r w:rsidRPr="004C1FF0">
        <w:rPr>
          <w:rFonts w:ascii="Verdana" w:eastAsia="Calibri" w:hAnsi="Verdana" w:cs="Arial"/>
          <w:lang w:val="es-ES_tradnl" w:eastAsia="es-ES_tradnl"/>
          <w14:ligatures w14:val="standardContextual"/>
        </w:rPr>
        <w:t xml:space="preserve"> que soportan la actuación, donde la entidad fundamenta su decisión de iniciar el procedimiento sancionatorio. Asimismo, </w:t>
      </w:r>
      <w:proofErr w:type="spellStart"/>
      <w:r w:rsidRPr="004C1FF0">
        <w:rPr>
          <w:rFonts w:ascii="Verdana" w:eastAsia="Calibri" w:hAnsi="Verdana" w:cs="Arial"/>
          <w:lang w:val="es-ES_tradnl" w:eastAsia="es-ES_tradnl"/>
          <w14:ligatures w14:val="standardContextual"/>
        </w:rPr>
        <w:t>iii</w:t>
      </w:r>
      <w:proofErr w:type="spellEnd"/>
      <w:r w:rsidRPr="004C1FF0">
        <w:rPr>
          <w:rFonts w:ascii="Verdana" w:eastAsia="Calibri" w:hAnsi="Verdana" w:cs="Arial"/>
          <w:lang w:val="es-ES_tradnl" w:eastAsia="es-ES_tradnl"/>
          <w14:ligatures w14:val="standardContextual"/>
        </w:rPr>
        <w:t xml:space="preserve">) lo anterior debe acompañarse de las </w:t>
      </w:r>
      <w:r w:rsidRPr="004C1FF0">
        <w:rPr>
          <w:rFonts w:ascii="Verdana" w:eastAsia="Calibri" w:hAnsi="Verdana" w:cs="Arial"/>
          <w:i/>
          <w:iCs/>
          <w:lang w:val="es-ES_tradnl" w:eastAsia="es-ES_tradnl"/>
          <w14:ligatures w14:val="standardContextual"/>
        </w:rPr>
        <w:t>pruebas adicionales</w:t>
      </w:r>
      <w:r w:rsidRPr="004C1FF0">
        <w:rPr>
          <w:rFonts w:ascii="Verdana" w:eastAsia="Calibri" w:hAnsi="Verdana" w:cs="Arial"/>
          <w:lang w:val="es-ES_tradnl" w:eastAsia="es-ES_tradnl"/>
          <w14:ligatures w14:val="standardContextual"/>
        </w:rPr>
        <w:t xml:space="preserve"> con que cuente la entidad y que sirven para acreditar el incumplimiento. iv) La citación debe contener también las normas, cláusulas u obligaciones posiblemente violadas o incumplidas por el contratista. Igualmente, v) debe indicar cuáles consecuencias podrían generarse para el contratista, verbigracia, si se pretende imponerle alguna multa, hacerse efectiva la cláusula penal o declarar la caducidad del contrato. Adicionalmente, vi) las entidades estatales podrán cuantificar los perjuicios ocasionados por el incumplimiento –inciso primero del artículo 86–, y, finalmente, </w:t>
      </w:r>
      <w:proofErr w:type="spellStart"/>
      <w:r w:rsidRPr="004C1FF0">
        <w:rPr>
          <w:rFonts w:ascii="Verdana" w:eastAsia="Calibri" w:hAnsi="Verdana" w:cs="Arial"/>
          <w:lang w:val="es-ES_tradnl" w:eastAsia="es-ES_tradnl"/>
          <w14:ligatures w14:val="standardContextual"/>
        </w:rPr>
        <w:t>vii</w:t>
      </w:r>
      <w:proofErr w:type="spellEnd"/>
      <w:r w:rsidRPr="004C1FF0">
        <w:rPr>
          <w:rFonts w:ascii="Verdana" w:eastAsia="Calibri" w:hAnsi="Verdana" w:cs="Arial"/>
          <w:lang w:val="es-ES_tradnl" w:eastAsia="es-ES_tradnl"/>
          <w14:ligatures w14:val="standardContextual"/>
        </w:rPr>
        <w:t>) deben indicar el lugar, fecha y hora para la realización de la audiencia, sin perjuicio de que esta se pueda efectuar por medios electrónicos</w:t>
      </w:r>
      <w:r w:rsidRPr="004525EF">
        <w:rPr>
          <w:vertAlign w:val="superscript"/>
          <w:lang w:eastAsia="es-ES_tradnl"/>
        </w:rPr>
        <w:footnoteReference w:id="8"/>
      </w:r>
      <w:r w:rsidRPr="004C1FF0">
        <w:rPr>
          <w:rFonts w:ascii="Verdana" w:eastAsia="Calibri" w:hAnsi="Verdana" w:cs="Arial"/>
          <w:lang w:val="es-ES_tradnl" w:eastAsia="es-ES_tradnl"/>
          <w14:ligatures w14:val="standardContextual"/>
        </w:rPr>
        <w:t xml:space="preserve">. </w:t>
      </w:r>
    </w:p>
    <w:p w14:paraId="2AF5539D" w14:textId="77777777" w:rsidR="00C37586" w:rsidRPr="004C1FF0" w:rsidRDefault="00C37586" w:rsidP="004C1FF0">
      <w:pPr>
        <w:pStyle w:val="Prrafodelista"/>
        <w:numPr>
          <w:ilvl w:val="0"/>
          <w:numId w:val="21"/>
        </w:numPr>
        <w:spacing w:before="240" w:line="276" w:lineRule="auto"/>
        <w:jc w:val="both"/>
        <w:rPr>
          <w:rFonts w:ascii="Verdana" w:hAnsi="Verdana"/>
        </w:rPr>
      </w:pPr>
      <w:r w:rsidRPr="004C1FF0">
        <w:rPr>
          <w:rFonts w:ascii="Verdana" w:eastAsia="Calibri" w:hAnsi="Verdana" w:cs="Arial"/>
          <w:lang w:eastAsia="es-ES"/>
        </w:rPr>
        <w:t xml:space="preserve">Como se observa, sobre la cuantificación de perjuicios </w:t>
      </w:r>
      <w:r w:rsidRPr="004C1FF0">
        <w:rPr>
          <w:rFonts w:ascii="Verdana" w:eastAsia="Arial" w:hAnsi="Verdana" w:cs="Arial"/>
        </w:rPr>
        <w:t xml:space="preserve">ocasionados por el incumplimiento –inciso primero del artículo 86–, no se puede entender este como requisito obligatorio del contenido de la citación a la audiencia de que trata el artículo en cita, toda vez que, en el inciso respectivo de la Ley, no está contenido textualmente, no obstante, de la lectura de la norma se entiende que estos podrán ser agregados en la citación por parte de la Entidad Estatal, si así lo considera pertinente. Sin embargo, se aclara que para efectos de imponer las multas y sanciones y hacer efectiva la </w:t>
      </w:r>
      <w:r w:rsidRPr="004C1FF0">
        <w:rPr>
          <w:rFonts w:ascii="Verdana" w:eastAsia="Arial" w:hAnsi="Verdana" w:cs="Arial"/>
        </w:rPr>
        <w:lastRenderedPageBreak/>
        <w:t>cláusula penal, es necesario dar a conocer dicha cuantificación al contratista en garantía de su derecho de defensa, contradicción, y al debido proceso que consagra el artículo 29 de la Constitución Política de 1991, pues con base en estos se determinará y verificará la proporcionalidad de las sanciones a aplicar.</w:t>
      </w:r>
    </w:p>
    <w:p w14:paraId="2095881A" w14:textId="683ED28A" w:rsidR="00C37586" w:rsidRPr="004C1FF0" w:rsidRDefault="00C37586" w:rsidP="004C1FF0">
      <w:pPr>
        <w:pStyle w:val="Prrafodelista"/>
        <w:numPr>
          <w:ilvl w:val="0"/>
          <w:numId w:val="21"/>
        </w:numPr>
        <w:spacing w:line="276" w:lineRule="auto"/>
        <w:jc w:val="both"/>
        <w:rPr>
          <w:rFonts w:ascii="Verdana" w:eastAsia="Times New Roman" w:hAnsi="Verdana" w:cs="Arial"/>
          <w:lang w:eastAsia="es-ES_tradnl"/>
        </w:rPr>
      </w:pPr>
      <w:r w:rsidRPr="004C1FF0">
        <w:rPr>
          <w:rFonts w:ascii="Verdana" w:eastAsia="Times New Roman" w:hAnsi="Verdana" w:cs="Arial"/>
          <w:lang w:eastAsia="es-ES_tradnl"/>
        </w:rPr>
        <w:t xml:space="preserve">Al respecto, es importante indicar que el </w:t>
      </w:r>
      <w:r w:rsidR="000B5C8A">
        <w:rPr>
          <w:rStyle w:val="Refdenotaalpie"/>
          <w:rFonts w:ascii="Verdana" w:eastAsia="Times New Roman" w:hAnsi="Verdana" w:cs="Arial"/>
          <w:lang w:eastAsia="es-ES_tradnl"/>
        </w:rPr>
        <w:footnoteReference w:id="9"/>
      </w:r>
      <w:r w:rsidRPr="004C1FF0">
        <w:rPr>
          <w:rFonts w:ascii="Verdana" w:eastAsia="Times New Roman" w:hAnsi="Verdana" w:cs="Arial"/>
          <w:lang w:eastAsia="es-ES_tradnl"/>
        </w:rPr>
        <w:t>artículo 17 de la Ley 1150 de 2007 dispuso el debido proceso como principio rector de la potestad sancionatoria de la administración en contratación estatal, y el artículo 86 de la Ley 1474 de 2011</w:t>
      </w:r>
      <w:r w:rsidR="00B954BF">
        <w:rPr>
          <w:rStyle w:val="Refdenotaalpie"/>
          <w:rFonts w:ascii="Verdana" w:eastAsia="Times New Roman" w:hAnsi="Verdana" w:cs="Arial"/>
          <w:lang w:eastAsia="es-ES_tradnl"/>
        </w:rPr>
        <w:footnoteReference w:id="10"/>
      </w:r>
      <w:r w:rsidRPr="004C1FF0">
        <w:rPr>
          <w:rFonts w:ascii="Verdana" w:eastAsia="Times New Roman" w:hAnsi="Verdana" w:cs="Arial"/>
          <w:lang w:eastAsia="es-ES_tradnl"/>
        </w:rPr>
        <w:t xml:space="preserve">, como ya lo vimos, reglamentó su procedimiento. De la lectura de dichos artículos se observa el querer, por parte del legislador, de que el contratista cuente con un procedimiento sancionatorio contractual que tenga plena garantía al debido proceso. </w:t>
      </w:r>
    </w:p>
    <w:p w14:paraId="23930DA9" w14:textId="77777777" w:rsidR="00C37586" w:rsidRPr="004C1FF0" w:rsidRDefault="00C37586" w:rsidP="004C1FF0">
      <w:pPr>
        <w:pStyle w:val="Prrafodelista"/>
        <w:numPr>
          <w:ilvl w:val="0"/>
          <w:numId w:val="21"/>
        </w:numPr>
        <w:spacing w:line="276" w:lineRule="auto"/>
        <w:jc w:val="both"/>
        <w:rPr>
          <w:rFonts w:ascii="Verdana" w:eastAsia="Times New Roman" w:hAnsi="Verdana" w:cs="Arial"/>
          <w:lang w:eastAsia="es-ES_tradnl"/>
        </w:rPr>
      </w:pPr>
      <w:r w:rsidRPr="004C1FF0">
        <w:rPr>
          <w:rFonts w:ascii="Verdana" w:eastAsia="Times New Roman" w:hAnsi="Verdana" w:cs="Arial"/>
          <w:lang w:eastAsia="es-ES_tradnl"/>
        </w:rPr>
        <w:t>La Corte Constitucional en sentencia SU 339 del 4 de mayo de 2011</w:t>
      </w:r>
      <w:r w:rsidRPr="004525EF">
        <w:rPr>
          <w:rStyle w:val="Refdenotaalpie"/>
          <w:rFonts w:ascii="Verdana" w:eastAsia="Times New Roman" w:hAnsi="Verdana" w:cs="Arial"/>
          <w:lang w:eastAsia="es-ES_tradnl"/>
        </w:rPr>
        <w:footnoteReference w:id="11"/>
      </w:r>
      <w:r w:rsidRPr="004C1FF0">
        <w:rPr>
          <w:rFonts w:ascii="Verdana" w:eastAsia="Times New Roman" w:hAnsi="Verdana" w:cs="Arial"/>
          <w:lang w:eastAsia="es-ES_tradnl"/>
        </w:rPr>
        <w:t xml:space="preserve">, indicó que el derecho al debido proceso, en ciertos casos tiene un </w:t>
      </w:r>
      <w:r w:rsidRPr="004C1FF0">
        <w:rPr>
          <w:rFonts w:ascii="Verdana" w:eastAsia="Times New Roman" w:hAnsi="Verdana" w:cs="Arial"/>
          <w:iCs/>
          <w:lang w:val="es-ES_tradnl" w:eastAsia="es-ES_tradnl"/>
        </w:rPr>
        <w:t xml:space="preserve">“carácter instrumental” pues el estricto cumplimiento de “las garantías constitutivas del debido proceso administrativo y de las regulaciones legales que determinan la actuación del poder público, </w:t>
      </w:r>
      <w:r w:rsidRPr="004C1FF0">
        <w:rPr>
          <w:rFonts w:ascii="Verdana" w:eastAsia="Times New Roman" w:hAnsi="Verdana" w:cs="Arial"/>
          <w:i/>
          <w:lang w:val="es-ES_tradnl" w:eastAsia="es-ES_tradnl"/>
        </w:rPr>
        <w:t>se deriva la salvaguarda de otros derechos fundamentales</w:t>
      </w:r>
      <w:r w:rsidRPr="004C1FF0">
        <w:rPr>
          <w:rFonts w:ascii="Verdana" w:eastAsia="Times New Roman" w:hAnsi="Verdana" w:cs="Arial"/>
          <w:iCs/>
          <w:lang w:val="es-ES_tradnl" w:eastAsia="es-ES_tradnl"/>
        </w:rPr>
        <w:t xml:space="preserve">”. </w:t>
      </w:r>
      <w:r w:rsidRPr="004C1FF0">
        <w:rPr>
          <w:rFonts w:ascii="Verdana" w:eastAsia="Times New Roman" w:hAnsi="Verdana" w:cs="Arial"/>
          <w:lang w:eastAsia="es-ES_tradnl"/>
        </w:rPr>
        <w:t xml:space="preserve">En virtud a ello, el contratista contra quien se adelanta esta clase de procedimiento administrativo sancionatorio cuenta, entre otros, con los siguientes derechos: i) a un procedimiento público; </w:t>
      </w:r>
      <w:proofErr w:type="spellStart"/>
      <w:r w:rsidRPr="004C1FF0">
        <w:rPr>
          <w:rFonts w:ascii="Verdana" w:eastAsia="Times New Roman" w:hAnsi="Verdana" w:cs="Arial"/>
          <w:lang w:eastAsia="es-ES_tradnl"/>
        </w:rPr>
        <w:t>ii</w:t>
      </w:r>
      <w:proofErr w:type="spellEnd"/>
      <w:r w:rsidRPr="004C1FF0">
        <w:rPr>
          <w:rFonts w:ascii="Verdana" w:eastAsia="Times New Roman" w:hAnsi="Verdana" w:cs="Arial"/>
          <w:lang w:eastAsia="es-ES_tradnl"/>
        </w:rPr>
        <w:t xml:space="preserve">) el ser oído antes de la decisión; </w:t>
      </w:r>
      <w:proofErr w:type="spellStart"/>
      <w:r w:rsidRPr="004C1FF0">
        <w:rPr>
          <w:rFonts w:ascii="Verdana" w:eastAsia="Times New Roman" w:hAnsi="Verdana" w:cs="Arial"/>
          <w:lang w:eastAsia="es-ES_tradnl"/>
        </w:rPr>
        <w:t>iii</w:t>
      </w:r>
      <w:proofErr w:type="spellEnd"/>
      <w:r w:rsidRPr="004C1FF0">
        <w:rPr>
          <w:rFonts w:ascii="Verdana" w:eastAsia="Times New Roman" w:hAnsi="Verdana" w:cs="Arial"/>
          <w:lang w:eastAsia="es-ES_tradnl"/>
        </w:rPr>
        <w:t xml:space="preserve">) a la defensa y contradicción; iv) a aportar pruebas y a contradecir las que se alleguen en su contra; iv) que el procedimiento se adelante ante la autoridad competente para conocer del asunto; v) a que se le otorgue un tratamiento igual que el dado a otros particulares; vi)  a que el procedimiento se adelante en un término razonable; y, </w:t>
      </w:r>
      <w:proofErr w:type="spellStart"/>
      <w:r w:rsidRPr="004C1FF0">
        <w:rPr>
          <w:rFonts w:ascii="Verdana" w:eastAsia="Times New Roman" w:hAnsi="Verdana" w:cs="Arial"/>
          <w:lang w:eastAsia="es-ES_tradnl"/>
        </w:rPr>
        <w:t>vii</w:t>
      </w:r>
      <w:proofErr w:type="spellEnd"/>
      <w:r w:rsidRPr="004C1FF0">
        <w:rPr>
          <w:rFonts w:ascii="Verdana" w:eastAsia="Times New Roman" w:hAnsi="Verdana" w:cs="Arial"/>
          <w:lang w:eastAsia="es-ES_tradnl"/>
        </w:rPr>
        <w:t>) a que las decisiones sean motivadas, debidamente notificadas y a impugnar las mismas.</w:t>
      </w:r>
    </w:p>
    <w:p w14:paraId="5B7FD96B" w14:textId="40757AE6" w:rsidR="00C37586" w:rsidRPr="00061248" w:rsidRDefault="00C37586" w:rsidP="00061248">
      <w:pPr>
        <w:pStyle w:val="Prrafodelista"/>
        <w:numPr>
          <w:ilvl w:val="0"/>
          <w:numId w:val="21"/>
        </w:numPr>
        <w:spacing w:after="120" w:line="276" w:lineRule="auto"/>
        <w:jc w:val="both"/>
        <w:rPr>
          <w:rFonts w:ascii="Verdana" w:eastAsia="Calibri" w:hAnsi="Verdana" w:cs="Arial"/>
          <w:lang w:val="es-ES_tradnl" w:eastAsia="es-ES_tradnl"/>
          <w14:ligatures w14:val="standardContextual"/>
        </w:rPr>
      </w:pPr>
      <w:r w:rsidRPr="008E0A96">
        <w:rPr>
          <w:rFonts w:ascii="Verdana" w:eastAsia="Calibri" w:hAnsi="Verdana" w:cs="Arial"/>
          <w:lang w:val="es-ES_tradnl" w:eastAsia="es-ES_tradnl"/>
          <w14:ligatures w14:val="standardContextual"/>
        </w:rPr>
        <w:t>En fin, el principio al debido proceso busca en materia de contratación estatal “en su interrelación obtener una actuación administrativa coherente a las necedades públicas sin lesionar los intereses individuales en juego”</w:t>
      </w:r>
      <w:r w:rsidR="007D29AF">
        <w:rPr>
          <w:rFonts w:ascii="Verdana" w:eastAsia="Calibri" w:hAnsi="Verdana" w:cs="Arial"/>
          <w:lang w:val="es-ES_tradnl" w:eastAsia="es-ES_tradnl"/>
          <w14:ligatures w14:val="standardContextual"/>
        </w:rPr>
        <w:t xml:space="preserve">. </w:t>
      </w:r>
      <w:r w:rsidR="007D29AF">
        <w:rPr>
          <w:rStyle w:val="Refdenotaalpie"/>
          <w:rFonts w:ascii="Verdana" w:eastAsia="Calibri" w:hAnsi="Verdana" w:cs="Arial"/>
          <w:lang w:val="es-ES_tradnl" w:eastAsia="es-ES_tradnl"/>
          <w14:ligatures w14:val="standardContextual"/>
        </w:rPr>
        <w:footnoteReference w:id="12"/>
      </w:r>
      <w:r w:rsidRPr="00061248">
        <w:rPr>
          <w:rFonts w:ascii="Verdana" w:eastAsia="Calibri" w:hAnsi="Verdana" w:cs="Arial"/>
          <w:lang w:val="es-ES_tradnl" w:eastAsia="es-ES_tradnl"/>
          <w14:ligatures w14:val="standardContextual"/>
        </w:rPr>
        <w:t>Al respecto la Corte Constitucional en sentencia T-722 de 2010</w:t>
      </w:r>
      <w:r w:rsidR="00470CD2">
        <w:rPr>
          <w:rFonts w:ascii="Verdana" w:eastAsia="Calibri" w:hAnsi="Verdana" w:cs="Arial"/>
          <w:lang w:val="es-ES_tradnl" w:eastAsia="es-ES_tradnl"/>
          <w14:ligatures w14:val="standardContextual"/>
        </w:rPr>
        <w:t xml:space="preserve">, </w:t>
      </w:r>
      <w:r w:rsidRPr="00061248">
        <w:rPr>
          <w:rFonts w:ascii="Verdana" w:eastAsia="Calibri" w:hAnsi="Verdana" w:cs="Arial"/>
          <w:lang w:val="es-ES_tradnl" w:eastAsia="es-ES_tradnl"/>
          <w14:ligatures w14:val="standardContextual"/>
        </w:rPr>
        <w:t xml:space="preserve">recordó que el derecho al debido proceso administrativo como la garantía a todas las personas de acceder a un proceso justo y adecuado, </w:t>
      </w:r>
      <w:r w:rsidRPr="00061248">
        <w:rPr>
          <w:rFonts w:ascii="Verdana" w:eastAsia="Calibri" w:hAnsi="Verdana" w:cs="Arial"/>
          <w:lang w:val="es-ES_tradnl" w:eastAsia="es-ES_tradnl"/>
          <w14:ligatures w14:val="standardContextual"/>
        </w:rPr>
        <w:lastRenderedPageBreak/>
        <w:t>permite que “la afectación o la privación de ciertos bienes jurídicos por parte del Estado, no pueda hacerse con detrimento de sus derechos fundamentales”.</w:t>
      </w:r>
    </w:p>
    <w:p w14:paraId="52C4D395" w14:textId="77777777" w:rsidR="00C37586" w:rsidRPr="004C1FF0" w:rsidRDefault="00C37586" w:rsidP="004C1FF0">
      <w:pPr>
        <w:pStyle w:val="Prrafodelista"/>
        <w:numPr>
          <w:ilvl w:val="0"/>
          <w:numId w:val="21"/>
        </w:numPr>
        <w:spacing w:after="120" w:line="276" w:lineRule="auto"/>
        <w:jc w:val="both"/>
        <w:rPr>
          <w:rFonts w:ascii="Verdana" w:eastAsia="Times New Roman" w:hAnsi="Verdana" w:cs="Arial"/>
          <w:iCs/>
          <w:lang w:val="es-ES_tradnl" w:eastAsia="es-ES_tradnl"/>
          <w14:ligatures w14:val="standardContextual"/>
        </w:rPr>
      </w:pPr>
      <w:r w:rsidRPr="004C1FF0">
        <w:rPr>
          <w:rFonts w:ascii="Verdana" w:eastAsia="Calibri" w:hAnsi="Verdana" w:cs="Arial"/>
          <w:lang w:val="es-ES_tradnl" w:eastAsia="es-ES_tradnl"/>
          <w14:ligatures w14:val="standardContextual"/>
        </w:rPr>
        <w:t xml:space="preserve">Conforme lo expuesto, es importante que la entidad acompañe la citación de la audiencia, con las pruebas que dan a lugar al reproche sancionatorio, adicionales a los informes de supervisión o de interventoría que sirven para acreditar el incumplimiento de obligaciones contractuales. </w:t>
      </w:r>
      <w:r w:rsidRPr="004C1FF0">
        <w:rPr>
          <w:rFonts w:ascii="Verdana" w:eastAsia="Arial" w:hAnsi="Verdana" w:cs="Arial"/>
          <w:lang w:eastAsia="es-ES_tradnl"/>
          <w14:ligatures w14:val="standardContextual"/>
        </w:rPr>
        <w:t xml:space="preserve">Por otro lado, </w:t>
      </w:r>
      <w:r w:rsidRPr="004C1FF0">
        <w:rPr>
          <w:rFonts w:ascii="Verdana" w:eastAsia="Calibri" w:hAnsi="Verdana" w:cs="Arial"/>
          <w:lang w:val="es-ES_tradnl" w:eastAsia="es-ES_tradnl"/>
          <w14:ligatures w14:val="standardContextual"/>
        </w:rPr>
        <w:t xml:space="preserve">debe señalarse que el literal d) del artículo 86 dispone que, en </w:t>
      </w:r>
      <w:r w:rsidRPr="004C1FF0">
        <w:rPr>
          <w:rFonts w:ascii="Verdana" w:eastAsia="Times New Roman" w:hAnsi="Verdana" w:cs="Arial"/>
          <w:iCs/>
          <w:lang w:val="es-ES_tradnl" w:eastAsia="es-ES_tradnl"/>
          <w14:ligatures w14:val="standardContextual"/>
        </w:rPr>
        <w:t xml:space="preserve">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w:t>
      </w:r>
    </w:p>
    <w:p w14:paraId="63F5E2AE" w14:textId="77777777" w:rsidR="00C37586" w:rsidRPr="004525EF" w:rsidRDefault="00C37586" w:rsidP="00C375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525EF">
        <w:rPr>
          <w:rFonts w:ascii="Verdana" w:eastAsia="Century Gothic" w:hAnsi="Verdana" w:cs="Century Gothic"/>
          <w:b/>
          <w:bCs/>
        </w:rPr>
        <w:t>Referencias normativas, jurisprudenciales y otras fuentes:</w:t>
      </w:r>
    </w:p>
    <w:p w14:paraId="6B060819" w14:textId="77777777" w:rsidR="00C37586" w:rsidRPr="004525EF" w:rsidRDefault="00C37586" w:rsidP="00C3758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37586" w:rsidRPr="004525EF" w14:paraId="33F73979" w14:textId="77777777">
        <w:trPr>
          <w:trHeight w:val="870"/>
        </w:trPr>
        <w:tc>
          <w:tcPr>
            <w:tcW w:w="8647" w:type="dxa"/>
          </w:tcPr>
          <w:p w14:paraId="67FE8B18" w14:textId="0E7148E8" w:rsidR="000B5C8A" w:rsidRDefault="000B5C8A" w:rsidP="00C37586">
            <w:pPr>
              <w:pStyle w:val="Prrafodelista"/>
              <w:numPr>
                <w:ilvl w:val="0"/>
                <w:numId w:val="17"/>
              </w:numPr>
              <w:spacing w:line="278" w:lineRule="auto"/>
              <w:jc w:val="both"/>
              <w:rPr>
                <w:rFonts w:ascii="Verdana" w:hAnsi="Verdana"/>
              </w:rPr>
            </w:pPr>
            <w:r>
              <w:rPr>
                <w:rFonts w:ascii="Verdana" w:hAnsi="Verdana"/>
              </w:rPr>
              <w:t xml:space="preserve">Constitución Política de Colombia de 1991, artículo </w:t>
            </w:r>
            <w:r w:rsidR="00F63E2E">
              <w:rPr>
                <w:rFonts w:ascii="Verdana" w:hAnsi="Verdana"/>
              </w:rPr>
              <w:t>2</w:t>
            </w:r>
            <w:r>
              <w:rPr>
                <w:rFonts w:ascii="Verdana" w:hAnsi="Verdana"/>
              </w:rPr>
              <w:t xml:space="preserve">9. </w:t>
            </w:r>
          </w:p>
          <w:p w14:paraId="196BCD7E" w14:textId="4405D25F" w:rsidR="000B5C8A" w:rsidRPr="000B5C8A" w:rsidRDefault="000B5C8A" w:rsidP="000B5C8A">
            <w:pPr>
              <w:pStyle w:val="Prrafodelista"/>
              <w:numPr>
                <w:ilvl w:val="0"/>
                <w:numId w:val="17"/>
              </w:numPr>
              <w:spacing w:after="160" w:line="278" w:lineRule="auto"/>
              <w:jc w:val="both"/>
              <w:rPr>
                <w:rFonts w:ascii="Verdana" w:hAnsi="Verdana"/>
              </w:rPr>
            </w:pPr>
            <w:r w:rsidRPr="004C1FF0">
              <w:rPr>
                <w:rFonts w:ascii="Verdana" w:eastAsia="Times New Roman" w:hAnsi="Verdana" w:cs="Arial"/>
                <w:lang w:eastAsia="es-ES_tradnl"/>
              </w:rPr>
              <w:t>Ley 1150 de 2007</w:t>
            </w:r>
            <w:r>
              <w:rPr>
                <w:rFonts w:ascii="Verdana" w:eastAsia="Times New Roman" w:hAnsi="Verdana" w:cs="Arial"/>
                <w:lang w:eastAsia="es-ES_tradnl"/>
              </w:rPr>
              <w:t xml:space="preserve">, </w:t>
            </w:r>
            <w:r w:rsidRPr="004C1FF0">
              <w:rPr>
                <w:rFonts w:ascii="Verdana" w:eastAsia="Times New Roman" w:hAnsi="Verdana" w:cs="Arial"/>
                <w:lang w:eastAsia="es-ES_tradnl"/>
              </w:rPr>
              <w:t>artículo 17</w:t>
            </w:r>
            <w:r>
              <w:rPr>
                <w:rFonts w:ascii="Verdana" w:eastAsia="Times New Roman" w:hAnsi="Verdana" w:cs="Arial"/>
                <w:lang w:eastAsia="es-ES_tradnl"/>
              </w:rPr>
              <w:t>.</w:t>
            </w:r>
          </w:p>
          <w:p w14:paraId="61718D95" w14:textId="2B11E304" w:rsidR="00C37586" w:rsidRDefault="00C37586" w:rsidP="00C37586">
            <w:pPr>
              <w:pStyle w:val="Prrafodelista"/>
              <w:numPr>
                <w:ilvl w:val="0"/>
                <w:numId w:val="17"/>
              </w:numPr>
              <w:spacing w:line="278" w:lineRule="auto"/>
              <w:jc w:val="both"/>
              <w:rPr>
                <w:rFonts w:ascii="Verdana" w:hAnsi="Verdana"/>
              </w:rPr>
            </w:pPr>
            <w:r w:rsidRPr="004525EF">
              <w:rPr>
                <w:rFonts w:ascii="Verdana" w:hAnsi="Verdana"/>
              </w:rPr>
              <w:t>Ley 1474 de 2011, art</w:t>
            </w:r>
            <w:r w:rsidR="000B5C8A">
              <w:rPr>
                <w:rFonts w:ascii="Verdana" w:hAnsi="Verdana"/>
              </w:rPr>
              <w:t>í</w:t>
            </w:r>
            <w:r w:rsidRPr="004525EF">
              <w:rPr>
                <w:rFonts w:ascii="Verdana" w:hAnsi="Verdana"/>
              </w:rPr>
              <w:t>culo 86</w:t>
            </w:r>
            <w:r w:rsidR="000047AF">
              <w:rPr>
                <w:rFonts w:ascii="Verdana" w:hAnsi="Verdana"/>
              </w:rPr>
              <w:t>.</w:t>
            </w:r>
          </w:p>
          <w:p w14:paraId="3CB0E9B1" w14:textId="1BAF67F0" w:rsidR="00C37586" w:rsidRPr="004525EF" w:rsidRDefault="00C37586" w:rsidP="00C37586">
            <w:pPr>
              <w:pStyle w:val="Prrafodelista"/>
              <w:numPr>
                <w:ilvl w:val="0"/>
                <w:numId w:val="17"/>
              </w:numPr>
              <w:spacing w:line="278" w:lineRule="auto"/>
              <w:jc w:val="both"/>
              <w:rPr>
                <w:rFonts w:ascii="Verdana" w:hAnsi="Verdana" w:cs="Arial"/>
                <w:color w:val="000000" w:themeColor="text1"/>
              </w:rPr>
            </w:pPr>
            <w:r w:rsidRPr="004525EF">
              <w:rPr>
                <w:rFonts w:ascii="Verdana" w:hAnsi="Verdana" w:cs="Arial"/>
                <w:color w:val="000000" w:themeColor="text1"/>
              </w:rPr>
              <w:t>Decreto Legislativo 537 de 2020</w:t>
            </w:r>
            <w:r w:rsidR="003949B8">
              <w:rPr>
                <w:rFonts w:ascii="Verdana" w:hAnsi="Verdana" w:cs="Arial"/>
                <w:color w:val="000000" w:themeColor="text1"/>
              </w:rPr>
              <w:t>.</w:t>
            </w:r>
          </w:p>
          <w:p w14:paraId="502A8ADE" w14:textId="77777777" w:rsidR="008E085D" w:rsidRPr="008E085D" w:rsidRDefault="00C37586" w:rsidP="008E0A96">
            <w:pPr>
              <w:pStyle w:val="Prrafodelista"/>
              <w:numPr>
                <w:ilvl w:val="0"/>
                <w:numId w:val="17"/>
              </w:numPr>
              <w:spacing w:line="278" w:lineRule="auto"/>
              <w:jc w:val="both"/>
              <w:rPr>
                <w:rFonts w:ascii="Verdana" w:hAnsi="Verdana" w:cs="Arial"/>
                <w:color w:val="000000" w:themeColor="text1"/>
                <w:lang w:val="es-MX"/>
              </w:rPr>
            </w:pPr>
            <w:r w:rsidRPr="004525EF">
              <w:rPr>
                <w:rFonts w:ascii="Verdana" w:hAnsi="Verdana" w:cs="Arial"/>
              </w:rPr>
              <w:t>Sentencia T-722 de 2010. Magistrado Ponente: Jorge Ignacio Pretelt.</w:t>
            </w:r>
            <w:r w:rsidR="008E0A96">
              <w:rPr>
                <w:rFonts w:ascii="Verdana" w:hAnsi="Verdana" w:cs="Arial"/>
              </w:rPr>
              <w:t xml:space="preserve"> </w:t>
            </w:r>
            <w:r w:rsidR="00C44B1E" w:rsidRPr="008E0A96">
              <w:rPr>
                <w:rFonts w:ascii="Verdana" w:hAnsi="Verdana" w:cs="Arial"/>
                <w:color w:val="000000" w:themeColor="text1"/>
              </w:rPr>
              <w:t>Corte Constitucional.</w:t>
            </w:r>
          </w:p>
          <w:p w14:paraId="22BBC355" w14:textId="6B134C63" w:rsidR="008E085D" w:rsidRPr="008E085D" w:rsidRDefault="008E085D" w:rsidP="008E085D">
            <w:pPr>
              <w:pStyle w:val="Prrafodelista"/>
              <w:numPr>
                <w:ilvl w:val="0"/>
                <w:numId w:val="17"/>
              </w:numPr>
              <w:spacing w:after="160" w:line="278" w:lineRule="auto"/>
              <w:jc w:val="both"/>
              <w:rPr>
                <w:rFonts w:ascii="Verdana" w:hAnsi="Verdana" w:cs="Arial"/>
                <w:color w:val="000000" w:themeColor="text1"/>
                <w:lang w:val="es-MX"/>
              </w:rPr>
            </w:pPr>
            <w:r w:rsidRPr="004525EF">
              <w:rPr>
                <w:rFonts w:ascii="Verdana" w:hAnsi="Verdana" w:cs="Arial"/>
              </w:rPr>
              <w:t>Sentencia de Unificación Jurisprudencial SU 339 del 4 de mayo de 2011, Magistrado ponente: Humberto Antonio Sierra Porto. Exp. T-2.735.401</w:t>
            </w:r>
            <w:r w:rsidR="003949B8">
              <w:rPr>
                <w:rFonts w:ascii="Verdana" w:hAnsi="Verdana" w:cs="Arial"/>
              </w:rPr>
              <w:t>.</w:t>
            </w:r>
          </w:p>
          <w:p w14:paraId="4607CAAD" w14:textId="4A730018" w:rsidR="00C37586" w:rsidRPr="00AE729D" w:rsidRDefault="00C44B1E" w:rsidP="00AE729D">
            <w:pPr>
              <w:pStyle w:val="Prrafodelista"/>
              <w:numPr>
                <w:ilvl w:val="0"/>
                <w:numId w:val="17"/>
              </w:numPr>
              <w:spacing w:line="278" w:lineRule="auto"/>
              <w:jc w:val="both"/>
              <w:rPr>
                <w:rFonts w:ascii="Verdana" w:hAnsi="Verdana" w:cs="Arial"/>
                <w:color w:val="000000" w:themeColor="text1"/>
                <w:lang w:val="es-MX"/>
              </w:rPr>
            </w:pPr>
            <w:r w:rsidRPr="008E0A96">
              <w:rPr>
                <w:rFonts w:ascii="Verdana" w:hAnsi="Verdana" w:cs="Arial"/>
                <w:color w:val="000000" w:themeColor="text1"/>
              </w:rPr>
              <w:t xml:space="preserve"> Sentencia C-317 de 2012</w:t>
            </w:r>
            <w:r w:rsidR="003949B8">
              <w:rPr>
                <w:rFonts w:ascii="Verdana" w:hAnsi="Verdana" w:cs="Arial"/>
                <w:color w:val="000000" w:themeColor="text1"/>
              </w:rPr>
              <w:t>.</w:t>
            </w:r>
          </w:p>
        </w:tc>
      </w:tr>
    </w:tbl>
    <w:p w14:paraId="2E649CA4" w14:textId="77777777" w:rsidR="00C37586" w:rsidRPr="004525EF" w:rsidRDefault="00C37586" w:rsidP="00C37586">
      <w:pPr>
        <w:widowControl w:val="0"/>
        <w:autoSpaceDE w:val="0"/>
        <w:autoSpaceDN w:val="0"/>
        <w:spacing w:after="0" w:line="276" w:lineRule="auto"/>
        <w:jc w:val="both"/>
        <w:rPr>
          <w:rFonts w:ascii="Verdana" w:hAnsi="Verdana" w:cs="Arial"/>
        </w:rPr>
      </w:pPr>
    </w:p>
    <w:p w14:paraId="64DA1691" w14:textId="77777777" w:rsidR="00C37586" w:rsidRPr="004525EF" w:rsidRDefault="00C37586" w:rsidP="00C3758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525EF">
        <w:rPr>
          <w:rFonts w:ascii="Verdana" w:eastAsia="Century Gothic" w:hAnsi="Verdana" w:cs="Century Gothic"/>
          <w:b/>
          <w:bCs/>
        </w:rPr>
        <w:t>Doctrina de la Agencia Nacional de Contratación Pública:</w:t>
      </w:r>
    </w:p>
    <w:p w14:paraId="1DA0B476" w14:textId="77777777" w:rsidR="00C37586" w:rsidRPr="004525EF" w:rsidRDefault="00C37586" w:rsidP="00C37586">
      <w:pPr>
        <w:widowControl w:val="0"/>
        <w:autoSpaceDE w:val="0"/>
        <w:autoSpaceDN w:val="0"/>
        <w:spacing w:after="0" w:line="276" w:lineRule="auto"/>
        <w:jc w:val="both"/>
        <w:rPr>
          <w:rFonts w:ascii="Verdana" w:hAnsi="Verdana" w:cs="Arial"/>
        </w:rPr>
      </w:pPr>
    </w:p>
    <w:p w14:paraId="2F2221F2" w14:textId="77777777" w:rsidR="00D017D2" w:rsidRPr="00213717" w:rsidRDefault="00C37586" w:rsidP="00D017D2">
      <w:pPr>
        <w:widowControl w:val="0"/>
        <w:autoSpaceDE w:val="0"/>
        <w:autoSpaceDN w:val="0"/>
        <w:spacing w:after="0" w:line="276" w:lineRule="auto"/>
        <w:jc w:val="both"/>
        <w:rPr>
          <w:rStyle w:val="normaltextrun"/>
          <w:rFonts w:ascii="Verdana" w:eastAsia="Calibri" w:hAnsi="Verdana" w:cs="Arial"/>
          <w:lang w:eastAsia="es-ES_tradnl"/>
        </w:rPr>
      </w:pPr>
      <w:r w:rsidRPr="004525EF">
        <w:rPr>
          <w:rStyle w:val="normaltextrun"/>
          <w:rFonts w:ascii="Verdana" w:hAnsi="Verdana" w:cs="Arial"/>
          <w:shd w:val="clear" w:color="auto" w:fill="FFFFFF"/>
          <w:lang w:val="es-ES"/>
        </w:rPr>
        <w:t xml:space="preserve">Sobre el tema del procedimiento sancionatorio esta Subdirección ha señalado en distintos conceptos, como el C-219 del 29 de abril de 2020, el C-280 del 6 de julio de 2020 y el C–434 del 29 de julio de 2020, C-047 del 25 de abril de 2024. </w:t>
      </w:r>
      <w:r w:rsidR="00D017D2" w:rsidRPr="00E406E8">
        <w:rPr>
          <w:rFonts w:ascii="Verdana" w:eastAsia="Calibri" w:hAnsi="Verdana" w:cs="Arial"/>
          <w:lang w:val="es-ES" w:eastAsia="es-ES_tradn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00D017D2">
        <w:rPr>
          <w:rFonts w:ascii="Verdana" w:eastAsia="Calibri" w:hAnsi="Verdana" w:cs="Arial"/>
          <w:lang w:val="es-ES" w:eastAsia="es-ES_tradnl"/>
        </w:rPr>
        <w:t xml:space="preserve"> </w:t>
      </w:r>
      <w:r w:rsidR="00D017D2" w:rsidRPr="00E406E8">
        <w:rPr>
          <w:rFonts w:ascii="Verdana" w:eastAsia="Calibri" w:hAnsi="Verdana" w:cs="Arial"/>
          <w:lang w:val="es-ES" w:eastAsia="es-ES_tradnl"/>
        </w:rPr>
        <w:t xml:space="preserve">https://relatoria.colombiacompra.gov.co/. Te </w:t>
      </w:r>
      <w:r w:rsidR="00D017D2" w:rsidRPr="00E406E8">
        <w:rPr>
          <w:rFonts w:ascii="Verdana" w:eastAsia="Calibri" w:hAnsi="Verdana" w:cs="Arial"/>
          <w:lang w:val="es-ES" w:eastAsia="es-ES_tradnl"/>
        </w:rPr>
        <w:lastRenderedPageBreak/>
        <w:t xml:space="preserve">invitamos también a revisar la tercera edición del  Boletín de Relatoría de 2024 en el cual podrás consultar en detalle el marco normativo de documentos tipo: </w:t>
      </w:r>
      <w:hyperlink r:id="rId12" w:history="1">
        <w:r w:rsidR="00D017D2" w:rsidRPr="003A4DDF">
          <w:rPr>
            <w:rStyle w:val="Hipervnculo"/>
            <w:rFonts w:ascii="Verdana" w:eastAsia="Calibri" w:hAnsi="Verdana" w:cs="Arial"/>
            <w:lang w:val="es-ES" w:eastAsia="es-ES_tradnl"/>
          </w:rPr>
          <w:t>https://www.colombiacompra.gov.co/sites/cce_public/files/files_2020/boletin_de_realtoria_iii.pdf</w:t>
        </w:r>
      </w:hyperlink>
      <w:r w:rsidR="00D017D2">
        <w:rPr>
          <w:rFonts w:ascii="Verdana" w:eastAsia="Calibri" w:hAnsi="Verdana" w:cs="Arial"/>
          <w:lang w:val="es-ES" w:eastAsia="es-ES_tradnl"/>
        </w:rPr>
        <w:t xml:space="preserve"> </w:t>
      </w:r>
    </w:p>
    <w:p w14:paraId="259D2409" w14:textId="4B7D153E" w:rsidR="00C37586" w:rsidRPr="004525EF" w:rsidRDefault="00C37586" w:rsidP="00D017D2">
      <w:pPr>
        <w:widowControl w:val="0"/>
        <w:autoSpaceDE w:val="0"/>
        <w:autoSpaceDN w:val="0"/>
        <w:spacing w:after="0" w:line="276" w:lineRule="auto"/>
        <w:jc w:val="both"/>
        <w:rPr>
          <w:rStyle w:val="normaltextrun"/>
          <w:rFonts w:ascii="Verdana" w:hAnsi="Verdana" w:cs="Arial"/>
          <w:shd w:val="clear" w:color="auto" w:fill="FFFFFF"/>
          <w:lang w:val="es-ES"/>
        </w:rPr>
      </w:pPr>
      <w:r w:rsidRPr="004525EF">
        <w:rPr>
          <w:rStyle w:val="normaltextrun"/>
          <w:rFonts w:ascii="Verdana" w:hAnsi="Verdana" w:cs="Arial"/>
          <w:shd w:val="clear" w:color="auto" w:fill="FFFFFF"/>
          <w:lang w:val="es-ES"/>
        </w:rPr>
        <w:t xml:space="preserve">      </w:t>
      </w:r>
    </w:p>
    <w:p w14:paraId="187C229F" w14:textId="77777777" w:rsidR="00C37586" w:rsidRPr="004525EF" w:rsidRDefault="00C37586" w:rsidP="00C37586">
      <w:pPr>
        <w:spacing w:after="0" w:line="240" w:lineRule="auto"/>
        <w:jc w:val="both"/>
        <w:rPr>
          <w:rFonts w:ascii="Verdana" w:hAnsi="Verdana"/>
        </w:rPr>
      </w:pPr>
      <w:r w:rsidRPr="004525EF">
        <w:rPr>
          <w:rFonts w:ascii="Verdana" w:hAnsi="Verdana"/>
        </w:rPr>
        <w:t xml:space="preserve">Por último, lo invitamos a seguirnos en las redes sociales en las cuales se difunde información institucional: </w:t>
      </w:r>
    </w:p>
    <w:p w14:paraId="6D48EDD3" w14:textId="77777777" w:rsidR="00C37586" w:rsidRPr="004525EF" w:rsidRDefault="00C37586" w:rsidP="00C37586">
      <w:pPr>
        <w:spacing w:after="0" w:line="240" w:lineRule="auto"/>
        <w:jc w:val="both"/>
        <w:rPr>
          <w:rFonts w:ascii="Verdana" w:hAnsi="Verdana"/>
        </w:rPr>
      </w:pPr>
    </w:p>
    <w:p w14:paraId="21D89D1C" w14:textId="77777777" w:rsidR="00C37586" w:rsidRPr="004525EF" w:rsidRDefault="00C37586" w:rsidP="00C37586">
      <w:pPr>
        <w:spacing w:after="0" w:line="240" w:lineRule="auto"/>
        <w:jc w:val="both"/>
        <w:rPr>
          <w:rFonts w:ascii="Verdana" w:hAnsi="Verdana"/>
        </w:rPr>
      </w:pPr>
      <w:r w:rsidRPr="004525EF">
        <w:rPr>
          <w:rFonts w:ascii="Verdana" w:hAnsi="Verdana"/>
        </w:rPr>
        <w:t xml:space="preserve">Twitter: </w:t>
      </w:r>
      <w:r w:rsidRPr="004525EF">
        <w:rPr>
          <w:rStyle w:val="Hipervnculo"/>
          <w:rFonts w:ascii="Verdana" w:hAnsi="Verdana"/>
        </w:rPr>
        <w:t>@colombiacompra</w:t>
      </w:r>
      <w:r w:rsidRPr="004525EF">
        <w:rPr>
          <w:rFonts w:ascii="Verdana" w:hAnsi="Verdana"/>
        </w:rPr>
        <w:t xml:space="preserve"> </w:t>
      </w:r>
    </w:p>
    <w:p w14:paraId="0E0FEC8E" w14:textId="77777777" w:rsidR="00C37586" w:rsidRPr="004525EF" w:rsidRDefault="00C37586" w:rsidP="00C37586">
      <w:pPr>
        <w:spacing w:after="0" w:line="240" w:lineRule="auto"/>
        <w:jc w:val="both"/>
        <w:rPr>
          <w:rFonts w:ascii="Verdana" w:hAnsi="Verdana"/>
        </w:rPr>
      </w:pPr>
      <w:r w:rsidRPr="004525EF">
        <w:rPr>
          <w:rFonts w:ascii="Verdana" w:hAnsi="Verdana"/>
        </w:rPr>
        <w:t xml:space="preserve">Facebook: </w:t>
      </w:r>
      <w:r w:rsidRPr="004525EF">
        <w:rPr>
          <w:rStyle w:val="Hipervnculo"/>
          <w:rFonts w:ascii="Verdana" w:hAnsi="Verdana"/>
        </w:rPr>
        <w:t>ColombiaCompraEficiente</w:t>
      </w:r>
    </w:p>
    <w:p w14:paraId="13F2AB9A" w14:textId="77777777" w:rsidR="00C37586" w:rsidRPr="004525EF" w:rsidRDefault="00C37586" w:rsidP="00C37586">
      <w:pPr>
        <w:spacing w:after="0" w:line="240" w:lineRule="auto"/>
        <w:jc w:val="both"/>
        <w:rPr>
          <w:rFonts w:ascii="Verdana" w:hAnsi="Verdana"/>
        </w:rPr>
      </w:pPr>
      <w:r w:rsidRPr="004525EF">
        <w:rPr>
          <w:rFonts w:ascii="Verdana" w:hAnsi="Verdana"/>
        </w:rPr>
        <w:t xml:space="preserve">LinkedIn: </w:t>
      </w:r>
      <w:r w:rsidRPr="004525EF">
        <w:rPr>
          <w:rStyle w:val="Hipervnculo"/>
          <w:rFonts w:ascii="Verdana" w:hAnsi="Verdana"/>
        </w:rPr>
        <w:t>Agencia Nacional de Contratación Pública - Colombia Compra Eficiente</w:t>
      </w:r>
      <w:r w:rsidRPr="004525EF">
        <w:rPr>
          <w:rFonts w:ascii="Verdana" w:hAnsi="Verdana"/>
        </w:rPr>
        <w:t xml:space="preserve"> Instagram: </w:t>
      </w:r>
      <w:r w:rsidRPr="004525EF">
        <w:rPr>
          <w:rStyle w:val="Hipervnculo"/>
          <w:rFonts w:ascii="Verdana" w:hAnsi="Verdana"/>
        </w:rPr>
        <w:t>@colombiacompraeficiente_cce</w:t>
      </w:r>
    </w:p>
    <w:p w14:paraId="5FADE645" w14:textId="77777777" w:rsidR="00C37586" w:rsidRPr="004525EF" w:rsidRDefault="00C37586" w:rsidP="00C37586">
      <w:pPr>
        <w:widowControl w:val="0"/>
        <w:autoSpaceDE w:val="0"/>
        <w:autoSpaceDN w:val="0"/>
        <w:spacing w:after="0" w:line="276" w:lineRule="auto"/>
        <w:jc w:val="both"/>
        <w:rPr>
          <w:rFonts w:ascii="Verdana" w:hAnsi="Verdana" w:cs="Arial"/>
        </w:rPr>
      </w:pPr>
    </w:p>
    <w:p w14:paraId="2D67CF2B" w14:textId="77777777" w:rsidR="00C37586" w:rsidRPr="004525EF" w:rsidRDefault="00C37586" w:rsidP="00C37586">
      <w:pPr>
        <w:widowControl w:val="0"/>
        <w:autoSpaceDE w:val="0"/>
        <w:autoSpaceDN w:val="0"/>
        <w:spacing w:after="0" w:line="276" w:lineRule="auto"/>
        <w:jc w:val="both"/>
        <w:rPr>
          <w:rFonts w:ascii="Verdana" w:hAnsi="Verdana" w:cs="Arial"/>
          <w:lang w:val="es-ES_tradnl"/>
        </w:rPr>
      </w:pPr>
      <w:r w:rsidRPr="004525EF">
        <w:rPr>
          <w:rFonts w:ascii="Verdana" w:hAnsi="Verdana" w:cs="Arial"/>
        </w:rPr>
        <w:t xml:space="preserve">Este concepto tiene el alcance previsto en el artículo 28 del Código de Procedimiento Administrativo y de lo Contencioso Administrativo </w:t>
      </w:r>
      <w:r w:rsidRPr="004525EF">
        <w:rPr>
          <w:rFonts w:ascii="Verdana" w:hAnsi="Verdana" w:cs="Arial"/>
          <w:lang w:val="es-ES_tradnl"/>
        </w:rPr>
        <w:t>y las expresiones aquí utilizadas con mayúscula inicial deben ser entendidas con el significado que les otorga el artículo 2.2.1.1.1.3.1. del Decreto 1082 de 2015.</w:t>
      </w:r>
    </w:p>
    <w:p w14:paraId="02835FE5" w14:textId="77777777" w:rsidR="00C37586" w:rsidRPr="004525EF" w:rsidRDefault="00C37586" w:rsidP="00C37586">
      <w:pPr>
        <w:widowControl w:val="0"/>
        <w:autoSpaceDE w:val="0"/>
        <w:autoSpaceDN w:val="0"/>
        <w:spacing w:after="0" w:line="276" w:lineRule="auto"/>
        <w:jc w:val="both"/>
        <w:rPr>
          <w:rFonts w:ascii="Verdana" w:hAnsi="Verdana" w:cs="Arial"/>
        </w:rPr>
      </w:pPr>
    </w:p>
    <w:p w14:paraId="05027B4F" w14:textId="77777777" w:rsidR="00C37586" w:rsidRPr="004525EF" w:rsidRDefault="00C37586" w:rsidP="00C37586">
      <w:pPr>
        <w:spacing w:after="0" w:line="240" w:lineRule="auto"/>
        <w:rPr>
          <w:rFonts w:ascii="Verdana" w:hAnsi="Verdana" w:cs="Arial"/>
          <w:lang w:eastAsia="es-CO"/>
        </w:rPr>
      </w:pPr>
      <w:r w:rsidRPr="004525EF">
        <w:rPr>
          <w:rFonts w:ascii="Verdana" w:eastAsia="Times New Roman" w:hAnsi="Verdana" w:cs="Arial"/>
          <w:lang w:eastAsia="es-CO"/>
        </w:rPr>
        <w:t>Atentamente,</w:t>
      </w:r>
      <w:r w:rsidRPr="004525EF">
        <w:rPr>
          <w:rFonts w:ascii="Verdana" w:hAnsi="Verdana" w:cs="Arial"/>
          <w:lang w:eastAsia="es-CO"/>
        </w:rPr>
        <w:t xml:space="preserve"> </w:t>
      </w:r>
    </w:p>
    <w:p w14:paraId="4B413222" w14:textId="0B29B8B8" w:rsidR="00C37586" w:rsidRPr="004525EF" w:rsidRDefault="00C24037" w:rsidP="00C37586">
      <w:pPr>
        <w:spacing w:line="276" w:lineRule="auto"/>
        <w:jc w:val="center"/>
        <w:rPr>
          <w:rFonts w:ascii="Verdana" w:hAnsi="Verdana" w:cs="Arial"/>
          <w:lang w:val="es-ES_tradnl" w:eastAsia="es-CO"/>
        </w:rPr>
      </w:pPr>
      <w:r w:rsidRPr="00C24037">
        <w:rPr>
          <w:rFonts w:ascii="Verdana" w:hAnsi="Verdana"/>
          <w:noProof/>
        </w:rPr>
        <w:drawing>
          <wp:inline distT="0" distB="0" distL="0" distR="0" wp14:anchorId="2E17EB96" wp14:editId="675D5128">
            <wp:extent cx="3771900" cy="1400175"/>
            <wp:effectExtent l="0" t="0" r="0" b="9525"/>
            <wp:docPr id="1631271396"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r w:rsidRPr="00C24037">
        <w:rPr>
          <w:rFonts w:ascii="Verdana" w:hAnsi="Verdana"/>
          <w:noProof/>
          <w:lang w:val="es-ES"/>
        </w:rPr>
        <w:br/>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7586" w:rsidRPr="004525EF" w14:paraId="4E663F44" w14:textId="77777777">
        <w:trPr>
          <w:trHeight w:val="315"/>
        </w:trPr>
        <w:tc>
          <w:tcPr>
            <w:tcW w:w="893" w:type="dxa"/>
            <w:vAlign w:val="center"/>
            <w:hideMark/>
          </w:tcPr>
          <w:p w14:paraId="1F2D282C" w14:textId="77777777" w:rsidR="00C37586" w:rsidRPr="004525EF" w:rsidRDefault="00C37586">
            <w:pPr>
              <w:spacing w:after="255"/>
              <w:contextualSpacing/>
              <w:rPr>
                <w:rFonts w:ascii="Verdana" w:hAnsi="Verdana" w:cs="Arial"/>
                <w:sz w:val="16"/>
                <w:szCs w:val="16"/>
                <w:lang w:val="es-ES" w:eastAsia="es-ES"/>
              </w:rPr>
            </w:pPr>
            <w:r w:rsidRPr="004525E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26AE4C5" w14:textId="77777777" w:rsidR="00C37586" w:rsidRPr="004525EF" w:rsidRDefault="00C37586">
            <w:pPr>
              <w:spacing w:after="255"/>
              <w:contextualSpacing/>
              <w:rPr>
                <w:rFonts w:ascii="Verdana" w:eastAsia="Arial" w:hAnsi="Verdana" w:cs="Arial"/>
                <w:sz w:val="16"/>
                <w:szCs w:val="16"/>
              </w:rPr>
            </w:pPr>
            <w:r w:rsidRPr="004525EF">
              <w:rPr>
                <w:rStyle w:val="normaltextrun"/>
                <w:rFonts w:ascii="Verdana" w:hAnsi="Verdana"/>
                <w:sz w:val="16"/>
                <w:szCs w:val="16"/>
              </w:rPr>
              <w:t>Gloria Ximena Moreno Guio</w:t>
            </w:r>
          </w:p>
          <w:p w14:paraId="79D729A9" w14:textId="77777777" w:rsidR="00C37586" w:rsidRPr="004525EF" w:rsidRDefault="00C37586">
            <w:pPr>
              <w:spacing w:after="255"/>
              <w:contextualSpacing/>
              <w:rPr>
                <w:rFonts w:ascii="Verdana" w:eastAsia="Arial" w:hAnsi="Verdana" w:cs="Arial"/>
                <w:sz w:val="16"/>
                <w:szCs w:val="16"/>
              </w:rPr>
            </w:pPr>
            <w:r w:rsidRPr="004525EF">
              <w:rPr>
                <w:rStyle w:val="normaltextrun"/>
                <w:rFonts w:ascii="Verdana" w:eastAsia="Arial" w:hAnsi="Verdana" w:cs="Arial"/>
                <w:sz w:val="16"/>
                <w:szCs w:val="16"/>
              </w:rPr>
              <w:t>Contratista de la Subdirección de Gestión Contractual</w:t>
            </w:r>
          </w:p>
        </w:tc>
      </w:tr>
      <w:tr w:rsidR="00C37586" w:rsidRPr="004525EF" w14:paraId="4818F273" w14:textId="77777777">
        <w:trPr>
          <w:trHeight w:val="330"/>
        </w:trPr>
        <w:tc>
          <w:tcPr>
            <w:tcW w:w="893" w:type="dxa"/>
            <w:vAlign w:val="center"/>
            <w:hideMark/>
          </w:tcPr>
          <w:p w14:paraId="4395EBBE" w14:textId="77777777" w:rsidR="00C37586" w:rsidRPr="004525EF" w:rsidRDefault="00C37586">
            <w:pPr>
              <w:spacing w:after="255"/>
              <w:contextualSpacing/>
              <w:rPr>
                <w:rFonts w:ascii="Verdana" w:hAnsi="Verdana" w:cs="Arial"/>
                <w:sz w:val="16"/>
                <w:szCs w:val="16"/>
                <w:lang w:val="es-ES" w:eastAsia="es-ES"/>
              </w:rPr>
            </w:pPr>
            <w:r w:rsidRPr="004525E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81C245" w14:textId="77777777" w:rsidR="00C37586" w:rsidRPr="004525EF" w:rsidRDefault="00C37586">
            <w:pPr>
              <w:pStyle w:val="paragraph"/>
              <w:spacing w:before="0" w:beforeAutospacing="0" w:after="0" w:afterAutospacing="0"/>
              <w:contextualSpacing/>
              <w:textAlignment w:val="baseline"/>
              <w:rPr>
                <w:rStyle w:val="normaltextrun"/>
                <w:rFonts w:ascii="Verdana" w:hAnsi="Verdana" w:cs="Arial"/>
                <w:sz w:val="16"/>
                <w:szCs w:val="16"/>
                <w:lang w:val="es-ES"/>
              </w:rPr>
            </w:pPr>
            <w:r w:rsidRPr="004525EF">
              <w:rPr>
                <w:rStyle w:val="normaltextrun"/>
                <w:rFonts w:ascii="Verdana" w:hAnsi="Verdana" w:cs="Arial"/>
                <w:sz w:val="16"/>
                <w:szCs w:val="16"/>
                <w:lang w:val="es-ES"/>
              </w:rPr>
              <w:t>Adriana Katerine López Rodríguez</w:t>
            </w:r>
          </w:p>
          <w:p w14:paraId="3206C0A3" w14:textId="77777777" w:rsidR="00C37586" w:rsidRPr="004525EF" w:rsidRDefault="00C37586">
            <w:pPr>
              <w:pStyle w:val="paragraph"/>
              <w:spacing w:before="0" w:beforeAutospacing="0" w:after="0" w:afterAutospacing="0"/>
              <w:contextualSpacing/>
              <w:textAlignment w:val="baseline"/>
              <w:rPr>
                <w:rFonts w:ascii="Verdana" w:hAnsi="Verdana" w:cs="Segoe UI"/>
                <w:sz w:val="16"/>
                <w:szCs w:val="16"/>
              </w:rPr>
            </w:pPr>
            <w:r w:rsidRPr="004525EF">
              <w:rPr>
                <w:rStyle w:val="normaltextrun"/>
                <w:rFonts w:ascii="Verdana" w:hAnsi="Verdana" w:cs="Arial"/>
                <w:sz w:val="16"/>
                <w:szCs w:val="16"/>
                <w:lang w:val="es-ES"/>
              </w:rPr>
              <w:t>Contratista de la Subdirección de Gestión Contractual</w:t>
            </w:r>
          </w:p>
        </w:tc>
      </w:tr>
      <w:tr w:rsidR="00C37586" w:rsidRPr="004525EF" w14:paraId="2892665E" w14:textId="77777777">
        <w:trPr>
          <w:trHeight w:val="300"/>
        </w:trPr>
        <w:tc>
          <w:tcPr>
            <w:tcW w:w="893" w:type="dxa"/>
            <w:vAlign w:val="center"/>
            <w:hideMark/>
          </w:tcPr>
          <w:p w14:paraId="0019F954" w14:textId="77777777" w:rsidR="00C37586" w:rsidRPr="004525EF" w:rsidRDefault="00C37586">
            <w:pPr>
              <w:spacing w:after="255"/>
              <w:contextualSpacing/>
              <w:rPr>
                <w:rFonts w:ascii="Verdana" w:hAnsi="Verdana" w:cs="Arial"/>
                <w:sz w:val="16"/>
                <w:szCs w:val="16"/>
                <w:lang w:val="es-ES" w:eastAsia="es-ES"/>
              </w:rPr>
            </w:pPr>
            <w:r w:rsidRPr="004525E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7EACEE" w14:textId="77777777" w:rsidR="00C37586" w:rsidRPr="004525EF" w:rsidRDefault="00C37586">
            <w:pPr>
              <w:spacing w:after="255"/>
              <w:contextualSpacing/>
              <w:rPr>
                <w:rFonts w:ascii="Verdana" w:eastAsia="Calibri" w:hAnsi="Verdana" w:cs="Arial"/>
                <w:sz w:val="16"/>
                <w:szCs w:val="16"/>
                <w:lang w:val="pt-BR" w:eastAsia="es-ES"/>
              </w:rPr>
            </w:pPr>
            <w:r w:rsidRPr="004525EF">
              <w:rPr>
                <w:rFonts w:ascii="Verdana" w:eastAsia="Calibri" w:hAnsi="Verdana" w:cs="Arial"/>
                <w:sz w:val="16"/>
                <w:szCs w:val="16"/>
                <w:lang w:val="pt-BR" w:eastAsia="es-ES"/>
              </w:rPr>
              <w:t>Carolina Quintero Gacharná</w:t>
            </w:r>
          </w:p>
          <w:p w14:paraId="39BD271D" w14:textId="77777777" w:rsidR="00C37586" w:rsidRPr="004525EF" w:rsidRDefault="00C37586">
            <w:pPr>
              <w:spacing w:after="255"/>
              <w:contextualSpacing/>
              <w:rPr>
                <w:rFonts w:ascii="Verdana" w:eastAsia="Calibri" w:hAnsi="Verdana" w:cs="Arial"/>
                <w:sz w:val="16"/>
                <w:szCs w:val="16"/>
                <w:lang w:val="pt-BR" w:eastAsia="es-ES"/>
              </w:rPr>
            </w:pPr>
            <w:r w:rsidRPr="004525EF">
              <w:rPr>
                <w:rFonts w:ascii="Verdana" w:eastAsia="Calibri" w:hAnsi="Verdana" w:cs="Arial"/>
                <w:sz w:val="16"/>
                <w:szCs w:val="16"/>
                <w:lang w:eastAsia="es-ES"/>
              </w:rPr>
              <w:t>Subdirectora</w:t>
            </w:r>
            <w:r w:rsidRPr="004525EF">
              <w:rPr>
                <w:rFonts w:ascii="Verdana" w:eastAsia="Calibri" w:hAnsi="Verdana" w:cs="Arial"/>
                <w:sz w:val="16"/>
                <w:szCs w:val="16"/>
                <w:lang w:val="pt-BR" w:eastAsia="es-ES"/>
              </w:rPr>
              <w:t xml:space="preserve"> de Gestión Contratual ANCP – CCE</w:t>
            </w:r>
          </w:p>
        </w:tc>
      </w:tr>
    </w:tbl>
    <w:p w14:paraId="136DEE08" w14:textId="77777777" w:rsidR="00C37586" w:rsidRPr="004525EF" w:rsidRDefault="00C37586" w:rsidP="00C37586">
      <w:pPr>
        <w:spacing w:after="0" w:line="240" w:lineRule="auto"/>
        <w:rPr>
          <w:rFonts w:ascii="Verdana" w:eastAsia="Times New Roman" w:hAnsi="Verdana" w:cs="Arial"/>
          <w:sz w:val="24"/>
          <w:szCs w:val="24"/>
          <w:lang w:val="pt-BR" w:eastAsia="es-ES"/>
        </w:rPr>
      </w:pPr>
    </w:p>
    <w:p w14:paraId="7B516020" w14:textId="77777777" w:rsidR="00C37586" w:rsidRPr="004525EF" w:rsidRDefault="00C37586" w:rsidP="00C37586">
      <w:pPr>
        <w:rPr>
          <w:rFonts w:ascii="Verdana" w:hAnsi="Verdana"/>
        </w:rPr>
      </w:pPr>
    </w:p>
    <w:p w14:paraId="0F293BF4" w14:textId="7BBFAB11" w:rsidR="00127233" w:rsidRPr="001B725F" w:rsidRDefault="00127233" w:rsidP="00E758FD">
      <w:pPr>
        <w:rPr>
          <w:rFonts w:ascii="Verdana" w:hAnsi="Verdana"/>
        </w:rPr>
      </w:pPr>
    </w:p>
    <w:sectPr w:rsidR="00127233" w:rsidRPr="001B725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470E7" w14:textId="77777777" w:rsidR="001D0335" w:rsidRDefault="001D0335" w:rsidP="004A1847">
      <w:pPr>
        <w:spacing w:after="0" w:line="240" w:lineRule="auto"/>
      </w:pPr>
      <w:r>
        <w:separator/>
      </w:r>
    </w:p>
  </w:endnote>
  <w:endnote w:type="continuationSeparator" w:id="0">
    <w:p w14:paraId="1072DC49" w14:textId="77777777" w:rsidR="001D0335" w:rsidRDefault="001D0335" w:rsidP="004A1847">
      <w:pPr>
        <w:spacing w:after="0" w:line="240" w:lineRule="auto"/>
      </w:pPr>
      <w:r>
        <w:continuationSeparator/>
      </w:r>
    </w:p>
  </w:endnote>
  <w:endnote w:type="continuationNotice" w:id="1">
    <w:p w14:paraId="52563B9F" w14:textId="77777777" w:rsidR="001D0335" w:rsidRDefault="001D03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C3F1B7" w14:textId="77777777" w:rsidR="001D0335" w:rsidRDefault="001D0335" w:rsidP="004A1847">
      <w:pPr>
        <w:spacing w:after="0" w:line="240" w:lineRule="auto"/>
      </w:pPr>
      <w:r>
        <w:separator/>
      </w:r>
    </w:p>
  </w:footnote>
  <w:footnote w:type="continuationSeparator" w:id="0">
    <w:p w14:paraId="5603CF0F" w14:textId="77777777" w:rsidR="001D0335" w:rsidRDefault="001D0335" w:rsidP="004A1847">
      <w:pPr>
        <w:spacing w:after="0" w:line="240" w:lineRule="auto"/>
      </w:pPr>
      <w:r>
        <w:continuationSeparator/>
      </w:r>
    </w:p>
  </w:footnote>
  <w:footnote w:type="continuationNotice" w:id="1">
    <w:p w14:paraId="7B1416C5" w14:textId="77777777" w:rsidR="001D0335" w:rsidRDefault="001D0335">
      <w:pPr>
        <w:spacing w:after="0" w:line="240" w:lineRule="auto"/>
      </w:pPr>
    </w:p>
  </w:footnote>
  <w:footnote w:id="2">
    <w:p w14:paraId="42991907" w14:textId="1DC6CCD2" w:rsidR="00C37586" w:rsidRPr="00E911E0" w:rsidRDefault="00C37586" w:rsidP="000B5C8A">
      <w:pPr>
        <w:pStyle w:val="Textonotapie"/>
        <w:contextualSpacing/>
        <w:jc w:val="both"/>
        <w:rPr>
          <w:rFonts w:ascii="Verdana" w:hAnsi="Verdana" w:cs="Arial"/>
          <w:color w:val="000000" w:themeColor="text1"/>
          <w:sz w:val="12"/>
          <w:szCs w:val="12"/>
        </w:rPr>
      </w:pPr>
      <w:r w:rsidRPr="00E911E0">
        <w:rPr>
          <w:rStyle w:val="Refdenotaalpie"/>
          <w:rFonts w:ascii="Verdana" w:hAnsi="Verdana" w:cs="Arial"/>
          <w:color w:val="000000" w:themeColor="text1"/>
          <w:sz w:val="12"/>
          <w:szCs w:val="12"/>
        </w:rPr>
        <w:footnoteRef/>
      </w:r>
      <w:r w:rsidRPr="00E911E0">
        <w:rPr>
          <w:rFonts w:ascii="Verdana" w:hAnsi="Verdana" w:cs="Arial"/>
          <w:color w:val="000000" w:themeColor="text1"/>
          <w:sz w:val="12"/>
          <w:szCs w:val="12"/>
        </w:rPr>
        <w:t xml:space="preserve"> Corte Constitucional. Sentencia C-317 de 2012. M.P. María Victoria Calle Correa. </w:t>
      </w:r>
    </w:p>
  </w:footnote>
  <w:footnote w:id="3">
    <w:p w14:paraId="6ADBA824" w14:textId="238A793A" w:rsidR="000B5C8A" w:rsidRDefault="000B5C8A" w:rsidP="000B5C8A">
      <w:pPr>
        <w:pStyle w:val="Textonotapie"/>
        <w:contextualSpacing/>
        <w:jc w:val="both"/>
      </w:pPr>
      <w:r w:rsidRPr="000B5C8A">
        <w:rPr>
          <w:rFonts w:ascii="Verdana" w:hAnsi="Verdana" w:cs="Arial"/>
          <w:color w:val="000000" w:themeColor="text1"/>
          <w:sz w:val="12"/>
          <w:szCs w:val="12"/>
        </w:rPr>
        <w:footnoteRef/>
      </w:r>
      <w:r w:rsidRPr="000B5C8A">
        <w:rPr>
          <w:rFonts w:ascii="Verdana" w:hAnsi="Verdana" w:cs="Arial"/>
          <w:color w:val="000000" w:themeColor="text1"/>
          <w:sz w:val="12"/>
          <w:szCs w:val="12"/>
        </w:rPr>
        <w:t xml:space="preserve"> artículo 86 de la Ley 1474 de 2011</w:t>
      </w:r>
    </w:p>
  </w:footnote>
  <w:footnote w:id="4">
    <w:p w14:paraId="0661EEF3"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Style w:val="Refdenotaalpie"/>
          <w:rFonts w:ascii="Verdana" w:hAnsi="Verdana" w:cs="Arial"/>
          <w:color w:val="000000" w:themeColor="text1"/>
          <w:sz w:val="12"/>
          <w:szCs w:val="12"/>
        </w:rPr>
        <w:footnoteRef/>
      </w:r>
      <w:r w:rsidRPr="00E911E0">
        <w:rPr>
          <w:rFonts w:ascii="Verdana" w:hAnsi="Verdana" w:cs="Arial"/>
          <w:color w:val="000000" w:themeColor="text1"/>
          <w:sz w:val="12"/>
          <w:szCs w:val="12"/>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761885BD" w14:textId="77777777" w:rsidR="00C37586" w:rsidRPr="00E911E0" w:rsidRDefault="00C37586" w:rsidP="00C37586">
      <w:pPr>
        <w:pStyle w:val="Textonotapie"/>
        <w:ind w:firstLine="709"/>
        <w:contextualSpacing/>
        <w:jc w:val="both"/>
        <w:rPr>
          <w:rFonts w:ascii="Verdana" w:hAnsi="Verdana" w:cs="Arial"/>
          <w:color w:val="000000" w:themeColor="text1"/>
          <w:sz w:val="12"/>
          <w:szCs w:val="12"/>
        </w:rPr>
      </w:pPr>
    </w:p>
  </w:footnote>
  <w:footnote w:id="5">
    <w:p w14:paraId="25CF9CF9"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Style w:val="Refdenotaalpie"/>
          <w:rFonts w:ascii="Verdana" w:hAnsi="Verdana" w:cs="Arial"/>
          <w:color w:val="000000" w:themeColor="text1"/>
          <w:sz w:val="12"/>
          <w:szCs w:val="12"/>
        </w:rPr>
        <w:footnoteRef/>
      </w:r>
      <w:r w:rsidRPr="00E911E0">
        <w:rPr>
          <w:rFonts w:ascii="Verdana" w:hAnsi="Verdana" w:cs="Arial"/>
          <w:color w:val="000000" w:themeColor="text1"/>
          <w:sz w:val="12"/>
          <w:szCs w:val="12"/>
        </w:rPr>
        <w:t xml:space="preserve"> Se entiende por entidades de </w:t>
      </w:r>
      <w:r w:rsidRPr="00E911E0">
        <w:rPr>
          <w:rFonts w:ascii="Verdana" w:hAnsi="Verdana" w:cs="Arial"/>
          <w:i/>
          <w:iCs/>
          <w:color w:val="000000" w:themeColor="text1"/>
          <w:sz w:val="12"/>
          <w:szCs w:val="12"/>
        </w:rPr>
        <w:t xml:space="preserve">régimen especial </w:t>
      </w:r>
      <w:r w:rsidRPr="00E911E0">
        <w:rPr>
          <w:rFonts w:ascii="Verdana" w:hAnsi="Verdana" w:cs="Arial"/>
          <w:color w:val="000000" w:themeColor="text1"/>
          <w:sz w:val="12"/>
          <w:szCs w:val="12"/>
        </w:rPr>
        <w:t>aquellas que tienen un régimen contractual distinto al Estatuto General de Contratación de la Administración Pública, y que por regla general se rigen por el derecho privado.</w:t>
      </w:r>
    </w:p>
    <w:p w14:paraId="28C5B2EF" w14:textId="77777777" w:rsidR="00C37586" w:rsidRPr="00E911E0" w:rsidRDefault="00C37586" w:rsidP="00C37586">
      <w:pPr>
        <w:pStyle w:val="Textonotapie"/>
        <w:ind w:firstLine="709"/>
        <w:contextualSpacing/>
        <w:jc w:val="both"/>
        <w:rPr>
          <w:rFonts w:ascii="Verdana" w:hAnsi="Verdana" w:cs="Arial"/>
          <w:color w:val="000000" w:themeColor="text1"/>
          <w:sz w:val="12"/>
          <w:szCs w:val="12"/>
          <w:lang w:val="es-CO"/>
        </w:rPr>
      </w:pPr>
    </w:p>
  </w:footnote>
  <w:footnote w:id="6">
    <w:p w14:paraId="436E3053" w14:textId="77777777" w:rsidR="00C37586" w:rsidRPr="00E911E0" w:rsidRDefault="00C37586" w:rsidP="00E911E0">
      <w:pPr>
        <w:pStyle w:val="Textonotapie"/>
        <w:contextualSpacing/>
        <w:jc w:val="both"/>
        <w:rPr>
          <w:rFonts w:ascii="Verdana" w:hAnsi="Verdana" w:cs="Arial"/>
          <w:color w:val="000000" w:themeColor="text1"/>
          <w:sz w:val="12"/>
          <w:szCs w:val="12"/>
          <w:lang w:val="es-CO"/>
        </w:rPr>
      </w:pPr>
      <w:r w:rsidRPr="00E911E0">
        <w:rPr>
          <w:rStyle w:val="Refdenotaalpie"/>
          <w:rFonts w:ascii="Verdana" w:hAnsi="Verdana" w:cs="Arial"/>
          <w:color w:val="000000" w:themeColor="text1"/>
          <w:sz w:val="12"/>
          <w:szCs w:val="12"/>
        </w:rPr>
        <w:footnoteRef/>
      </w:r>
      <w:r w:rsidRPr="00E911E0">
        <w:rPr>
          <w:rFonts w:ascii="Verdana" w:hAnsi="Verdana" w:cs="Arial"/>
          <w:color w:val="000000" w:themeColor="text1"/>
          <w:sz w:val="12"/>
          <w:szCs w:val="12"/>
        </w:rPr>
        <w:t xml:space="preserve"> Esto se ha señalado en distintos conceptos de esta Subdirección, como el C-219 del 29 de abril de 2020, el C-280 del 6 de julio de 2020 y el C–434 del 29 de julio de 2020.</w:t>
      </w:r>
    </w:p>
  </w:footnote>
  <w:footnote w:id="7">
    <w:p w14:paraId="73D54DD5" w14:textId="012824C8" w:rsidR="009E53C6" w:rsidRDefault="009E53C6">
      <w:pPr>
        <w:pStyle w:val="Textonotapie"/>
      </w:pPr>
      <w:r>
        <w:rPr>
          <w:rStyle w:val="Refdenotaalpie"/>
        </w:rPr>
        <w:footnoteRef/>
      </w:r>
      <w:r>
        <w:t xml:space="preserve"> </w:t>
      </w:r>
      <w:r w:rsidR="00C34F37" w:rsidRPr="00C34F37">
        <w:rPr>
          <w:rFonts w:ascii="Verdana" w:hAnsi="Verdana"/>
          <w:sz w:val="12"/>
          <w:szCs w:val="12"/>
        </w:rPr>
        <w:t>Articulo 86, ley 1474 de 2011</w:t>
      </w:r>
      <w:r w:rsidR="000E7B85">
        <w:rPr>
          <w:rFonts w:ascii="Verdana" w:hAnsi="Verdana"/>
          <w:sz w:val="12"/>
          <w:szCs w:val="12"/>
        </w:rPr>
        <w:t>.</w:t>
      </w:r>
    </w:p>
  </w:footnote>
  <w:footnote w:id="8">
    <w:p w14:paraId="7540AE26"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Style w:val="Refdenotaalpie"/>
          <w:rFonts w:ascii="Verdana" w:hAnsi="Verdana" w:cs="Arial"/>
          <w:color w:val="000000" w:themeColor="text1"/>
          <w:sz w:val="12"/>
          <w:szCs w:val="12"/>
        </w:rPr>
        <w:footnoteRef/>
      </w:r>
      <w:r w:rsidRPr="00E911E0">
        <w:rPr>
          <w:rFonts w:ascii="Verdana" w:hAnsi="Verdana" w:cs="Arial"/>
          <w:color w:val="000000" w:themeColor="text1"/>
          <w:sz w:val="12"/>
          <w:szCs w:val="12"/>
        </w:rPr>
        <w:t xml:space="preserve"> La posibilidad de realizar la audiencia por medios electrónicos cuenta con un fundamento adicional actual, en el Decreto Legislativo 537 de 2020, que establece lo siguiente: “Artículo 2. Adiciónese los siguientes incisos al artículo 86 de la Ley 1474 de 2011, así:</w:t>
      </w:r>
    </w:p>
    <w:p w14:paraId="4D65EB61" w14:textId="77777777" w:rsidR="00C37586" w:rsidRPr="00E911E0" w:rsidRDefault="00C37586" w:rsidP="00C37586">
      <w:pPr>
        <w:pStyle w:val="Textonotapie"/>
        <w:ind w:firstLine="709"/>
        <w:contextualSpacing/>
        <w:jc w:val="both"/>
        <w:rPr>
          <w:rFonts w:ascii="Verdana" w:hAnsi="Verdana" w:cs="Arial"/>
          <w:color w:val="000000" w:themeColor="text1"/>
          <w:sz w:val="12"/>
          <w:szCs w:val="12"/>
        </w:rPr>
      </w:pPr>
    </w:p>
    <w:p w14:paraId="5A03C094"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Fonts w:ascii="Verdana" w:hAnsi="Verdana" w:cs="Arial"/>
          <w:color w:val="000000" w:themeColor="text1"/>
          <w:sz w:val="12"/>
          <w:szCs w:val="12"/>
        </w:rPr>
        <w:t>Procedimientos sancionatorios. Durante la vigencia de la Emergencia Sanitaria declarada por el Ministerio de Salud y Protección Social, con ocasión de la pandemia derivada del Coronavirus COVID-19, las audiencias programadas de conformidad con el procedimiento establecido en el presente artículo se podrán realizar a través de medios electrónicos, los cuales deberán garantizar el acceso de los contratistas y de quienes hayan expedido la garantía.</w:t>
      </w:r>
    </w:p>
    <w:p w14:paraId="5CFFCD86" w14:textId="77777777" w:rsidR="00C37586" w:rsidRPr="00E911E0" w:rsidRDefault="00C37586" w:rsidP="00C37586">
      <w:pPr>
        <w:pStyle w:val="Textonotapie"/>
        <w:ind w:firstLine="709"/>
        <w:contextualSpacing/>
        <w:jc w:val="both"/>
        <w:rPr>
          <w:rFonts w:ascii="Verdana" w:hAnsi="Verdana" w:cs="Arial"/>
          <w:color w:val="000000" w:themeColor="text1"/>
          <w:sz w:val="12"/>
          <w:szCs w:val="12"/>
        </w:rPr>
      </w:pPr>
    </w:p>
    <w:p w14:paraId="5C7C6CC3"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Fonts w:ascii="Verdana" w:hAnsi="Verdana" w:cs="Arial"/>
          <w:color w:val="000000" w:themeColor="text1"/>
          <w:sz w:val="12"/>
          <w:szCs w:val="12"/>
        </w:rPr>
        <w:t>La entidad estatal debe elegir y garantizar los medios electrónicos y de comunicación que utilizará, así como los mecanismos para el registro de la Información generada.</w:t>
      </w:r>
    </w:p>
    <w:p w14:paraId="2C6561F0" w14:textId="77777777" w:rsidR="00C37586" w:rsidRPr="00E911E0" w:rsidRDefault="00C37586" w:rsidP="00C37586">
      <w:pPr>
        <w:pStyle w:val="Textonotapie"/>
        <w:ind w:firstLine="709"/>
        <w:contextualSpacing/>
        <w:jc w:val="both"/>
        <w:rPr>
          <w:rFonts w:ascii="Verdana" w:hAnsi="Verdana" w:cs="Arial"/>
          <w:color w:val="000000" w:themeColor="text1"/>
          <w:sz w:val="12"/>
          <w:szCs w:val="12"/>
        </w:rPr>
      </w:pPr>
    </w:p>
    <w:p w14:paraId="486AF9A5" w14:textId="77777777" w:rsidR="00C37586" w:rsidRPr="00E911E0" w:rsidRDefault="00C37586" w:rsidP="00E911E0">
      <w:pPr>
        <w:pStyle w:val="Textonotapie"/>
        <w:contextualSpacing/>
        <w:jc w:val="both"/>
        <w:rPr>
          <w:rFonts w:ascii="Verdana" w:hAnsi="Verdana" w:cs="Arial"/>
          <w:color w:val="000000" w:themeColor="text1"/>
          <w:sz w:val="12"/>
          <w:szCs w:val="12"/>
        </w:rPr>
      </w:pPr>
      <w:r w:rsidRPr="00E911E0">
        <w:rPr>
          <w:rFonts w:ascii="Verdana" w:hAnsi="Verdana" w:cs="Arial"/>
          <w:color w:val="000000" w:themeColor="text1"/>
          <w:sz w:val="12"/>
          <w:szCs w:val="12"/>
        </w:rPr>
        <w:t>Sin perjuicio de lo anterior, el ordenador del gasto o funcionario competente podrá decretar la suspensión de términos, inclusive los iniciados con anterioridad a la vigencia de este Decreto”.</w:t>
      </w:r>
    </w:p>
    <w:p w14:paraId="4AF81764" w14:textId="77777777" w:rsidR="00C37586" w:rsidRPr="00E911E0" w:rsidRDefault="00C37586" w:rsidP="00C37586">
      <w:pPr>
        <w:pStyle w:val="Textonotapie"/>
        <w:ind w:firstLine="709"/>
        <w:contextualSpacing/>
        <w:jc w:val="both"/>
        <w:rPr>
          <w:rFonts w:ascii="Verdana" w:hAnsi="Verdana" w:cs="Arial"/>
          <w:color w:val="000000" w:themeColor="text1"/>
          <w:sz w:val="12"/>
          <w:szCs w:val="12"/>
          <w:lang w:val="es-CO"/>
        </w:rPr>
      </w:pPr>
      <w:r w:rsidRPr="00E911E0">
        <w:rPr>
          <w:rFonts w:ascii="Verdana" w:hAnsi="Verdana" w:cs="Arial"/>
          <w:color w:val="000000" w:themeColor="text1"/>
          <w:sz w:val="12"/>
          <w:szCs w:val="12"/>
        </w:rPr>
        <w:t xml:space="preserve"> </w:t>
      </w:r>
    </w:p>
  </w:footnote>
  <w:footnote w:id="9">
    <w:p w14:paraId="4D1FD9EA" w14:textId="0C99E89C" w:rsidR="000B5C8A" w:rsidRDefault="000B5C8A">
      <w:pPr>
        <w:pStyle w:val="Textonotapie"/>
      </w:pPr>
      <w:r w:rsidRPr="000B5C8A">
        <w:rPr>
          <w:rFonts w:ascii="Verdana" w:hAnsi="Verdana" w:cs="Arial"/>
          <w:sz w:val="12"/>
          <w:szCs w:val="12"/>
          <w:lang w:val="es-CO"/>
        </w:rPr>
        <w:footnoteRef/>
      </w:r>
      <w:r w:rsidRPr="000B5C8A">
        <w:rPr>
          <w:rFonts w:ascii="Verdana" w:hAnsi="Verdana" w:cs="Arial"/>
          <w:sz w:val="12"/>
          <w:szCs w:val="12"/>
          <w:lang w:val="es-CO"/>
        </w:rPr>
        <w:t xml:space="preserve"> artículo 17 de la Ley 1150 de 2007</w:t>
      </w:r>
    </w:p>
  </w:footnote>
  <w:footnote w:id="10">
    <w:p w14:paraId="603203D9" w14:textId="49C5ED2E" w:rsidR="00B954BF" w:rsidRPr="00E911E0" w:rsidRDefault="00B954BF">
      <w:pPr>
        <w:pStyle w:val="Textonotapie"/>
        <w:rPr>
          <w:rFonts w:ascii="Verdana" w:hAnsi="Verdana"/>
        </w:rPr>
      </w:pPr>
      <w:r w:rsidRPr="00E911E0">
        <w:rPr>
          <w:rStyle w:val="Refdenotaalpie"/>
          <w:rFonts w:ascii="Verdana" w:hAnsi="Verdana"/>
          <w:sz w:val="12"/>
          <w:szCs w:val="12"/>
        </w:rPr>
        <w:footnoteRef/>
      </w:r>
      <w:r w:rsidRPr="00E911E0">
        <w:rPr>
          <w:rFonts w:ascii="Verdana" w:hAnsi="Verdana"/>
          <w:sz w:val="12"/>
          <w:szCs w:val="12"/>
        </w:rPr>
        <w:t xml:space="preserve"> </w:t>
      </w:r>
      <w:r w:rsidR="008E0A96" w:rsidRPr="00E911E0">
        <w:rPr>
          <w:rFonts w:ascii="Verdana" w:hAnsi="Verdana"/>
          <w:sz w:val="12"/>
          <w:szCs w:val="12"/>
        </w:rPr>
        <w:t>idem</w:t>
      </w:r>
    </w:p>
  </w:footnote>
  <w:footnote w:id="11">
    <w:p w14:paraId="2AA6391C" w14:textId="77777777" w:rsidR="00C37586" w:rsidRPr="00E911E0" w:rsidRDefault="00C37586" w:rsidP="00E911E0">
      <w:pPr>
        <w:pStyle w:val="Textonotapie"/>
        <w:jc w:val="both"/>
        <w:rPr>
          <w:rFonts w:ascii="Verdana" w:hAnsi="Verdana" w:cs="Arial"/>
          <w:sz w:val="12"/>
          <w:szCs w:val="12"/>
          <w:lang w:val="es-CO"/>
        </w:rPr>
      </w:pPr>
      <w:r w:rsidRPr="00E911E0">
        <w:rPr>
          <w:rStyle w:val="Refdenotaalpie"/>
          <w:rFonts w:ascii="Verdana" w:hAnsi="Verdana" w:cs="Arial"/>
          <w:sz w:val="12"/>
          <w:szCs w:val="12"/>
        </w:rPr>
        <w:footnoteRef/>
      </w:r>
      <w:r w:rsidRPr="00E911E0">
        <w:rPr>
          <w:rFonts w:ascii="Verdana" w:hAnsi="Verdana" w:cs="Arial"/>
          <w:sz w:val="12"/>
          <w:szCs w:val="12"/>
        </w:rPr>
        <w:t xml:space="preserve"> </w:t>
      </w:r>
      <w:r w:rsidRPr="00E911E0">
        <w:rPr>
          <w:rFonts w:ascii="Verdana" w:hAnsi="Verdana" w:cs="Arial"/>
          <w:sz w:val="12"/>
          <w:szCs w:val="12"/>
          <w:lang w:val="es-CO"/>
        </w:rPr>
        <w:t>Corte Constitucional, sentencia de Unificación Jurisprudencial SU 339 del 4 de mayo de 2011. Magistrado ponente: Humberto Antonio Sierra Porto. Exp. T-2.735.401</w:t>
      </w:r>
    </w:p>
    <w:p w14:paraId="45E9C296" w14:textId="77777777" w:rsidR="00C37586" w:rsidRPr="00E911E0" w:rsidRDefault="00C37586" w:rsidP="00C37586">
      <w:pPr>
        <w:pStyle w:val="Textonotapie"/>
        <w:ind w:firstLine="708"/>
        <w:jc w:val="both"/>
        <w:rPr>
          <w:rFonts w:ascii="Verdana" w:hAnsi="Verdana" w:cs="Arial"/>
          <w:sz w:val="12"/>
          <w:szCs w:val="12"/>
          <w:lang w:val="es-CO"/>
        </w:rPr>
      </w:pPr>
    </w:p>
  </w:footnote>
  <w:footnote w:id="12">
    <w:p w14:paraId="1E0E0E4E" w14:textId="03EDEE1A" w:rsidR="007D29AF" w:rsidRDefault="007D29AF">
      <w:pPr>
        <w:pStyle w:val="Textonotapie"/>
      </w:pPr>
      <w:r>
        <w:rPr>
          <w:rStyle w:val="Refdenotaalpie"/>
        </w:rPr>
        <w:footnoteRef/>
      </w:r>
      <w:r>
        <w:t xml:space="preserve"> </w:t>
      </w:r>
      <w:r w:rsidR="00470CD2" w:rsidRPr="00470CD2">
        <w:rPr>
          <w:rFonts w:ascii="Verdana" w:hAnsi="Verdana"/>
          <w:sz w:val="12"/>
          <w:szCs w:val="12"/>
        </w:rPr>
        <w:t>Sentencia T-722 de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2137D1"/>
    <w:multiLevelType w:val="hybridMultilevel"/>
    <w:tmpl w:val="FF46DD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FA4C4F"/>
    <w:multiLevelType w:val="hybridMultilevel"/>
    <w:tmpl w:val="E03ACA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F732EB9"/>
    <w:multiLevelType w:val="hybridMultilevel"/>
    <w:tmpl w:val="5D30799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7FD3277"/>
    <w:multiLevelType w:val="hybridMultilevel"/>
    <w:tmpl w:val="586A5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3"/>
  </w:num>
  <w:num w:numId="14" w16cid:durableId="895897244">
    <w:abstractNumId w:val="18"/>
  </w:num>
  <w:num w:numId="15" w16cid:durableId="390349800">
    <w:abstractNumId w:val="13"/>
  </w:num>
  <w:num w:numId="16" w16cid:durableId="341274352">
    <w:abstractNumId w:val="0"/>
  </w:num>
  <w:num w:numId="17" w16cid:durableId="679089576">
    <w:abstractNumId w:val="10"/>
  </w:num>
  <w:num w:numId="18" w16cid:durableId="1645235419">
    <w:abstractNumId w:val="4"/>
  </w:num>
  <w:num w:numId="19" w16cid:durableId="1608613297">
    <w:abstractNumId w:val="12"/>
  </w:num>
  <w:num w:numId="20" w16cid:durableId="879052372">
    <w:abstractNumId w:val="11"/>
  </w:num>
  <w:num w:numId="21" w16cid:durableId="19188980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7AF"/>
    <w:rsid w:val="00061248"/>
    <w:rsid w:val="00061B2A"/>
    <w:rsid w:val="00082362"/>
    <w:rsid w:val="00096CB1"/>
    <w:rsid w:val="000A3A92"/>
    <w:rsid w:val="000A5100"/>
    <w:rsid w:val="000A683E"/>
    <w:rsid w:val="000B19B9"/>
    <w:rsid w:val="000B5C8A"/>
    <w:rsid w:val="000C3026"/>
    <w:rsid w:val="000D0334"/>
    <w:rsid w:val="000E7B85"/>
    <w:rsid w:val="000E7EB8"/>
    <w:rsid w:val="000F6486"/>
    <w:rsid w:val="00125105"/>
    <w:rsid w:val="00127233"/>
    <w:rsid w:val="001559AF"/>
    <w:rsid w:val="001B6D5F"/>
    <w:rsid w:val="001B725F"/>
    <w:rsid w:val="001C2541"/>
    <w:rsid w:val="001D0335"/>
    <w:rsid w:val="001E4177"/>
    <w:rsid w:val="001F7DC6"/>
    <w:rsid w:val="00210D5F"/>
    <w:rsid w:val="00215F8B"/>
    <w:rsid w:val="002421BB"/>
    <w:rsid w:val="00251578"/>
    <w:rsid w:val="0025796E"/>
    <w:rsid w:val="002707A2"/>
    <w:rsid w:val="00285874"/>
    <w:rsid w:val="00286785"/>
    <w:rsid w:val="002951A0"/>
    <w:rsid w:val="002962BC"/>
    <w:rsid w:val="002A093D"/>
    <w:rsid w:val="002A0DD0"/>
    <w:rsid w:val="002A49AC"/>
    <w:rsid w:val="002A64FD"/>
    <w:rsid w:val="002A7E62"/>
    <w:rsid w:val="002C181E"/>
    <w:rsid w:val="002C7A84"/>
    <w:rsid w:val="002E4FD9"/>
    <w:rsid w:val="003125FD"/>
    <w:rsid w:val="00316E19"/>
    <w:rsid w:val="00322A85"/>
    <w:rsid w:val="00323E72"/>
    <w:rsid w:val="00324168"/>
    <w:rsid w:val="003448F4"/>
    <w:rsid w:val="00374F5E"/>
    <w:rsid w:val="00377479"/>
    <w:rsid w:val="00377E3E"/>
    <w:rsid w:val="003949B8"/>
    <w:rsid w:val="003A083A"/>
    <w:rsid w:val="003A26D1"/>
    <w:rsid w:val="003A2B6C"/>
    <w:rsid w:val="003A779E"/>
    <w:rsid w:val="003D0F4D"/>
    <w:rsid w:val="003D2E0D"/>
    <w:rsid w:val="003D5B0D"/>
    <w:rsid w:val="003E0499"/>
    <w:rsid w:val="003F3941"/>
    <w:rsid w:val="0040584D"/>
    <w:rsid w:val="00406575"/>
    <w:rsid w:val="0042722E"/>
    <w:rsid w:val="00444F57"/>
    <w:rsid w:val="0044528D"/>
    <w:rsid w:val="004525EF"/>
    <w:rsid w:val="0045426E"/>
    <w:rsid w:val="00467D00"/>
    <w:rsid w:val="00470CD2"/>
    <w:rsid w:val="004A1847"/>
    <w:rsid w:val="004A305D"/>
    <w:rsid w:val="004A5637"/>
    <w:rsid w:val="004B7704"/>
    <w:rsid w:val="004C1FF0"/>
    <w:rsid w:val="004D506E"/>
    <w:rsid w:val="004E2BFC"/>
    <w:rsid w:val="004F1A09"/>
    <w:rsid w:val="004F21C4"/>
    <w:rsid w:val="004F2CDC"/>
    <w:rsid w:val="004F685F"/>
    <w:rsid w:val="0050091E"/>
    <w:rsid w:val="0052296D"/>
    <w:rsid w:val="0052671D"/>
    <w:rsid w:val="005566E8"/>
    <w:rsid w:val="00574867"/>
    <w:rsid w:val="0058411D"/>
    <w:rsid w:val="00586CEB"/>
    <w:rsid w:val="00591460"/>
    <w:rsid w:val="00592628"/>
    <w:rsid w:val="00597A76"/>
    <w:rsid w:val="005B27CA"/>
    <w:rsid w:val="005B61E4"/>
    <w:rsid w:val="005C3777"/>
    <w:rsid w:val="005C5CDC"/>
    <w:rsid w:val="005C5DE8"/>
    <w:rsid w:val="005D476C"/>
    <w:rsid w:val="005F4C3D"/>
    <w:rsid w:val="00610812"/>
    <w:rsid w:val="006219F8"/>
    <w:rsid w:val="006245B2"/>
    <w:rsid w:val="00635759"/>
    <w:rsid w:val="00650FF7"/>
    <w:rsid w:val="00665D70"/>
    <w:rsid w:val="00671DAC"/>
    <w:rsid w:val="006900D9"/>
    <w:rsid w:val="006B6746"/>
    <w:rsid w:val="006D12F8"/>
    <w:rsid w:val="00706C16"/>
    <w:rsid w:val="00712A22"/>
    <w:rsid w:val="00756841"/>
    <w:rsid w:val="007628DC"/>
    <w:rsid w:val="007649AB"/>
    <w:rsid w:val="007677EA"/>
    <w:rsid w:val="00771D0C"/>
    <w:rsid w:val="007833AC"/>
    <w:rsid w:val="007A2533"/>
    <w:rsid w:val="007B268C"/>
    <w:rsid w:val="007B7171"/>
    <w:rsid w:val="007C0C0F"/>
    <w:rsid w:val="007C3DC2"/>
    <w:rsid w:val="007D29AF"/>
    <w:rsid w:val="007E2FEC"/>
    <w:rsid w:val="007E5497"/>
    <w:rsid w:val="00806F5F"/>
    <w:rsid w:val="00820278"/>
    <w:rsid w:val="008547E3"/>
    <w:rsid w:val="008645EF"/>
    <w:rsid w:val="008843B6"/>
    <w:rsid w:val="00890E0F"/>
    <w:rsid w:val="00891928"/>
    <w:rsid w:val="008A446D"/>
    <w:rsid w:val="008D180B"/>
    <w:rsid w:val="008D679E"/>
    <w:rsid w:val="008D757E"/>
    <w:rsid w:val="008E085D"/>
    <w:rsid w:val="008E0A96"/>
    <w:rsid w:val="008F0EA7"/>
    <w:rsid w:val="009031CC"/>
    <w:rsid w:val="00923EEF"/>
    <w:rsid w:val="00932CC2"/>
    <w:rsid w:val="009419F9"/>
    <w:rsid w:val="0095685E"/>
    <w:rsid w:val="00961B09"/>
    <w:rsid w:val="00965334"/>
    <w:rsid w:val="0097093E"/>
    <w:rsid w:val="00991C98"/>
    <w:rsid w:val="009A0DFA"/>
    <w:rsid w:val="009A2198"/>
    <w:rsid w:val="009A5D5F"/>
    <w:rsid w:val="009B2D26"/>
    <w:rsid w:val="009C71FA"/>
    <w:rsid w:val="009C72E7"/>
    <w:rsid w:val="009D3058"/>
    <w:rsid w:val="009E53C6"/>
    <w:rsid w:val="009F3A13"/>
    <w:rsid w:val="00A122D3"/>
    <w:rsid w:val="00A17F13"/>
    <w:rsid w:val="00A20739"/>
    <w:rsid w:val="00A24EEE"/>
    <w:rsid w:val="00A33C78"/>
    <w:rsid w:val="00AB0ADB"/>
    <w:rsid w:val="00AE04A2"/>
    <w:rsid w:val="00AE729D"/>
    <w:rsid w:val="00AF441D"/>
    <w:rsid w:val="00B01B1A"/>
    <w:rsid w:val="00B23176"/>
    <w:rsid w:val="00B34210"/>
    <w:rsid w:val="00B72CD3"/>
    <w:rsid w:val="00B72FFF"/>
    <w:rsid w:val="00B93CD3"/>
    <w:rsid w:val="00B954BF"/>
    <w:rsid w:val="00BC3D36"/>
    <w:rsid w:val="00BD7F72"/>
    <w:rsid w:val="00BE09E4"/>
    <w:rsid w:val="00BF7C05"/>
    <w:rsid w:val="00C01EEE"/>
    <w:rsid w:val="00C04FB3"/>
    <w:rsid w:val="00C24037"/>
    <w:rsid w:val="00C330EB"/>
    <w:rsid w:val="00C339F7"/>
    <w:rsid w:val="00C34F37"/>
    <w:rsid w:val="00C3622D"/>
    <w:rsid w:val="00C37586"/>
    <w:rsid w:val="00C44B1E"/>
    <w:rsid w:val="00C7061F"/>
    <w:rsid w:val="00C7480A"/>
    <w:rsid w:val="00C754BE"/>
    <w:rsid w:val="00C76B1C"/>
    <w:rsid w:val="00C82C73"/>
    <w:rsid w:val="00CB60CB"/>
    <w:rsid w:val="00CB6357"/>
    <w:rsid w:val="00CC1B26"/>
    <w:rsid w:val="00D00C17"/>
    <w:rsid w:val="00D010B3"/>
    <w:rsid w:val="00D017D2"/>
    <w:rsid w:val="00D26682"/>
    <w:rsid w:val="00D423A2"/>
    <w:rsid w:val="00D44BA4"/>
    <w:rsid w:val="00D520D8"/>
    <w:rsid w:val="00D63AC2"/>
    <w:rsid w:val="00D7383B"/>
    <w:rsid w:val="00DA231B"/>
    <w:rsid w:val="00DA23A0"/>
    <w:rsid w:val="00DB7B73"/>
    <w:rsid w:val="00DC39FC"/>
    <w:rsid w:val="00DF4476"/>
    <w:rsid w:val="00DF5254"/>
    <w:rsid w:val="00E16408"/>
    <w:rsid w:val="00E20894"/>
    <w:rsid w:val="00E245AB"/>
    <w:rsid w:val="00E2764C"/>
    <w:rsid w:val="00E27F2E"/>
    <w:rsid w:val="00E413EA"/>
    <w:rsid w:val="00E50AFE"/>
    <w:rsid w:val="00E709AE"/>
    <w:rsid w:val="00E758FD"/>
    <w:rsid w:val="00E75C92"/>
    <w:rsid w:val="00E771DC"/>
    <w:rsid w:val="00E8772A"/>
    <w:rsid w:val="00E90F6B"/>
    <w:rsid w:val="00E911E0"/>
    <w:rsid w:val="00E92C27"/>
    <w:rsid w:val="00EA0E3D"/>
    <w:rsid w:val="00EC38A7"/>
    <w:rsid w:val="00EE1AA8"/>
    <w:rsid w:val="00F31EDC"/>
    <w:rsid w:val="00F4595F"/>
    <w:rsid w:val="00F462B3"/>
    <w:rsid w:val="00F524BC"/>
    <w:rsid w:val="00F5664F"/>
    <w:rsid w:val="00F63E2E"/>
    <w:rsid w:val="00F666C4"/>
    <w:rsid w:val="00F76AFC"/>
    <w:rsid w:val="00F905A5"/>
    <w:rsid w:val="00F94DE9"/>
    <w:rsid w:val="00F970D0"/>
    <w:rsid w:val="00FA1578"/>
    <w:rsid w:val="00FA47C0"/>
    <w:rsid w:val="00FB5DD1"/>
    <w:rsid w:val="00FC2B5D"/>
    <w:rsid w:val="00FD3636"/>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343826C-BF5E-4BFF-B04C-E9ED1D2F8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37586"/>
    <w:pPr>
      <w:spacing w:line="240" w:lineRule="exact"/>
    </w:pPr>
    <w:rPr>
      <w:vertAlign w:val="superscript"/>
    </w:rPr>
  </w:style>
  <w:style w:type="character" w:customStyle="1" w:styleId="cf01">
    <w:name w:val="cf01"/>
    <w:basedOn w:val="Fuentedeprrafopredeter"/>
    <w:rsid w:val="00C37586"/>
    <w:rPr>
      <w:rFonts w:ascii="Segoe UI" w:hAnsi="Segoe UI" w:cs="Segoe UI" w:hint="default"/>
      <w:i/>
      <w:iCs/>
      <w:sz w:val="18"/>
      <w:szCs w:val="18"/>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37586"/>
    <w:rPr>
      <w:rFonts w:ascii="Geomanist Light" w:hAnsi="Geomanist Light"/>
      <w:lang w:val="es-ES"/>
    </w:rPr>
  </w:style>
  <w:style w:type="character" w:customStyle="1" w:styleId="NormalWebCar">
    <w:name w:val="Normal (Web) Car"/>
    <w:link w:val="NormalWeb"/>
    <w:uiPriority w:val="99"/>
    <w:rsid w:val="00C37586"/>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DF4476"/>
    <w:rPr>
      <w:sz w:val="16"/>
      <w:szCs w:val="16"/>
    </w:rPr>
  </w:style>
  <w:style w:type="paragraph" w:styleId="Textocomentario">
    <w:name w:val="annotation text"/>
    <w:basedOn w:val="Normal"/>
    <w:link w:val="TextocomentarioCar"/>
    <w:uiPriority w:val="99"/>
    <w:unhideWhenUsed/>
    <w:rsid w:val="00DF4476"/>
    <w:pPr>
      <w:spacing w:line="240" w:lineRule="auto"/>
    </w:pPr>
    <w:rPr>
      <w:sz w:val="20"/>
      <w:szCs w:val="20"/>
    </w:rPr>
  </w:style>
  <w:style w:type="character" w:customStyle="1" w:styleId="TextocomentarioCar">
    <w:name w:val="Texto comentario Car"/>
    <w:basedOn w:val="Fuentedeprrafopredeter"/>
    <w:link w:val="Textocomentario"/>
    <w:uiPriority w:val="99"/>
    <w:rsid w:val="00DF4476"/>
    <w:rPr>
      <w:sz w:val="20"/>
      <w:szCs w:val="20"/>
    </w:rPr>
  </w:style>
  <w:style w:type="paragraph" w:styleId="Asuntodelcomentario">
    <w:name w:val="annotation subject"/>
    <w:basedOn w:val="Textocomentario"/>
    <w:next w:val="Textocomentario"/>
    <w:link w:val="AsuntodelcomentarioCar"/>
    <w:uiPriority w:val="99"/>
    <w:semiHidden/>
    <w:unhideWhenUsed/>
    <w:rsid w:val="00DF4476"/>
    <w:rPr>
      <w:b/>
      <w:bCs/>
    </w:rPr>
  </w:style>
  <w:style w:type="character" w:customStyle="1" w:styleId="AsuntodelcomentarioCar">
    <w:name w:val="Asunto del comentario Car"/>
    <w:basedOn w:val="TextocomentarioCar"/>
    <w:link w:val="Asuntodelcomentario"/>
    <w:uiPriority w:val="99"/>
    <w:semiHidden/>
    <w:rsid w:val="00DF44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ites/cce_public/files/files_2020/boletin_de_realtoria_iii.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Props1.xml><?xml version="1.0" encoding="utf-8"?>
<ds:datastoreItem xmlns:ds="http://schemas.openxmlformats.org/officeDocument/2006/customXml" ds:itemID="{4CEE04A9-DC84-4FFC-982C-A65093D64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D3C7521-E246-4A60-B748-EA7DCEC1E482}">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3232</Words>
  <Characters>17776</Characters>
  <Application>Microsoft Office Word</Application>
  <DocSecurity>0</DocSecurity>
  <Lines>148</Lines>
  <Paragraphs>41</Paragraphs>
  <ScaleCrop>false</ScaleCrop>
  <Company/>
  <LinksUpToDate>false</LinksUpToDate>
  <CharactersWithSpaces>20967</CharactersWithSpaces>
  <SharedDoc>false</SharedDoc>
  <HLinks>
    <vt:vector size="12" baseType="variant">
      <vt:variant>
        <vt:i4>5439494</vt:i4>
      </vt:variant>
      <vt:variant>
        <vt:i4>3</vt:i4>
      </vt:variant>
      <vt:variant>
        <vt:i4>0</vt:i4>
      </vt:variant>
      <vt:variant>
        <vt:i4>5</vt:i4>
      </vt:variant>
      <vt:variant>
        <vt:lpwstr>https://www.colombiacompra.gov.co/sala-de-prensa/boletin-digital</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Ximena Moreno Guio</cp:lastModifiedBy>
  <cp:revision>10</cp:revision>
  <cp:lastPrinted>2023-01-10T21:18:00Z</cp:lastPrinted>
  <dcterms:created xsi:type="dcterms:W3CDTF">2024-09-17T14:48:00Z</dcterms:created>
  <dcterms:modified xsi:type="dcterms:W3CDTF">2024-10-23T20:32:00Z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