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E8973C" w14:textId="3A312A63" w:rsidR="00E90E7C" w:rsidRPr="001D30BE" w:rsidRDefault="00E90E7C" w:rsidP="00E90E7C">
      <w:pPr>
        <w:spacing w:after="0"/>
        <w:rPr>
          <w:rFonts w:ascii="Verdana" w:hAnsi="Verdana"/>
        </w:rPr>
      </w:pPr>
      <w:bookmarkStart w:id="0" w:name="_Hlk143780582"/>
      <w:bookmarkStart w:id="1" w:name="_Hlk172124853"/>
      <w:r w:rsidRPr="00985BF7">
        <w:rPr>
          <w:rFonts w:ascii="Arial" w:hAnsi="Arial" w:cs="Arial"/>
          <w:b/>
          <w:bCs/>
          <w:color w:val="000000" w:themeColor="text1"/>
          <w:sz w:val="21"/>
          <w:szCs w:val="21"/>
          <w:lang w:val="es-ES_tradnl"/>
        </w:rPr>
        <w:t>CONVOCATORIAS LIMITADAS A MIPYME -</w:t>
      </w:r>
      <w:r w:rsidR="00E91BFE">
        <w:rPr>
          <w:rFonts w:ascii="Arial" w:hAnsi="Arial" w:cs="Arial"/>
          <w:b/>
          <w:bCs/>
          <w:color w:val="000000" w:themeColor="text1"/>
          <w:sz w:val="21"/>
          <w:szCs w:val="21"/>
          <w:lang w:val="es-ES_tradnl"/>
        </w:rPr>
        <w:t xml:space="preserve"> L</w:t>
      </w:r>
      <w:bookmarkStart w:id="2" w:name="_GoBack"/>
      <w:bookmarkEnd w:id="2"/>
      <w:r w:rsidRPr="00985BF7">
        <w:rPr>
          <w:rFonts w:ascii="Arial" w:hAnsi="Arial" w:cs="Arial"/>
          <w:b/>
          <w:bCs/>
          <w:color w:val="000000" w:themeColor="text1"/>
          <w:sz w:val="21"/>
          <w:szCs w:val="21"/>
          <w:lang w:val="es-ES_tradnl"/>
        </w:rPr>
        <w:t>imitación territorial</w:t>
      </w:r>
    </w:p>
    <w:p w14:paraId="52FE7DA9" w14:textId="77777777" w:rsidR="00E90E7C" w:rsidRDefault="00E90E7C" w:rsidP="00E90E7C">
      <w:pPr>
        <w:spacing w:after="120" w:line="276" w:lineRule="auto"/>
        <w:jc w:val="both"/>
        <w:rPr>
          <w:rFonts w:ascii="Verdana" w:hAnsi="Verdana" w:cs="Arial"/>
          <w:color w:val="000000" w:themeColor="text1"/>
          <w:sz w:val="21"/>
          <w:szCs w:val="21"/>
          <w:lang w:val="es-ES_tradnl"/>
        </w:rPr>
      </w:pPr>
    </w:p>
    <w:p w14:paraId="0827A453" w14:textId="77777777" w:rsidR="00E90E7C" w:rsidRPr="00985BF7" w:rsidRDefault="00E90E7C" w:rsidP="039C9AAD">
      <w:pPr>
        <w:spacing w:after="120" w:line="240" w:lineRule="auto"/>
        <w:jc w:val="both"/>
        <w:rPr>
          <w:rFonts w:ascii="Verdana" w:hAnsi="Verdana" w:cs="Arial"/>
          <w:color w:val="000000" w:themeColor="text1"/>
          <w:sz w:val="21"/>
          <w:szCs w:val="21"/>
          <w:lang w:val="es-ES"/>
        </w:rPr>
      </w:pPr>
      <w:r w:rsidRPr="039C9AAD">
        <w:rPr>
          <w:rFonts w:ascii="Verdana" w:hAnsi="Verdana" w:cs="Arial"/>
          <w:color w:val="000000" w:themeColor="text1"/>
          <w:sz w:val="21"/>
          <w:szCs w:val="21"/>
          <w:lang w:val="es-ES"/>
        </w:rPr>
        <w:t>El artículo 2.2.1.2.4.2.3. del Decreto 1082 de 2015, modificado por el artículo 5 del Decreto 1860 de 2021 se refiere a las “mipyme colombianas que tengan domicilio en los departamentos o municipios en donde se va a ejecutar el contrato”. Esta precisión es importante, pues el incentivo previsto en la norma únicamente aplica en el lugar de ejecución del contratado en el que la Mipyme tiene su “domicilio”.</w:t>
      </w:r>
    </w:p>
    <w:p w14:paraId="73D7CC28" w14:textId="77777777" w:rsidR="00E90E7C" w:rsidRPr="00985BF7" w:rsidRDefault="00E90E7C" w:rsidP="00E90E7C">
      <w:pPr>
        <w:spacing w:after="120" w:line="240" w:lineRule="auto"/>
        <w:jc w:val="both"/>
        <w:rPr>
          <w:rFonts w:ascii="Verdana" w:hAnsi="Verdana" w:cs="Arial"/>
          <w:color w:val="000000" w:themeColor="text1"/>
          <w:sz w:val="21"/>
          <w:szCs w:val="21"/>
          <w:lang w:val="es-ES_tradnl"/>
        </w:rPr>
      </w:pPr>
    </w:p>
    <w:p w14:paraId="38C009BA" w14:textId="77777777" w:rsidR="00E90E7C" w:rsidRPr="00985BF7" w:rsidRDefault="00E90E7C" w:rsidP="00E90E7C">
      <w:pPr>
        <w:spacing w:after="120" w:line="240" w:lineRule="auto"/>
        <w:jc w:val="both"/>
        <w:rPr>
          <w:rFonts w:ascii="Verdana" w:hAnsi="Verdana" w:cs="Arial"/>
          <w:color w:val="000000" w:themeColor="text1"/>
          <w:sz w:val="21"/>
          <w:szCs w:val="21"/>
          <w:lang w:val="es-ES"/>
        </w:rPr>
      </w:pPr>
      <w:r w:rsidRPr="4FB4ECBF">
        <w:rPr>
          <w:rFonts w:ascii="Verdana" w:hAnsi="Verdana" w:cs="Arial"/>
          <w:color w:val="000000" w:themeColor="text1"/>
          <w:sz w:val="21"/>
          <w:szCs w:val="21"/>
          <w:lang w:val="es-ES"/>
        </w:rPr>
        <w:t>(..) no puede perderse de vista que la decisión de limitar “a Mipyme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Mipymes, no puede motu propio 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3A41ED54" w14:textId="77777777" w:rsidR="00E90E7C" w:rsidRPr="00985BF7" w:rsidRDefault="00E90E7C" w:rsidP="00E90E7C">
      <w:pPr>
        <w:spacing w:after="0" w:line="276" w:lineRule="auto"/>
        <w:jc w:val="both"/>
        <w:rPr>
          <w:rFonts w:ascii="Verdana" w:eastAsia="Calibri" w:hAnsi="Verdana" w:cs="Arial"/>
          <w:sz w:val="21"/>
          <w:szCs w:val="21"/>
          <w:lang w:val="es-ES_tradnl" w:eastAsia="es-ES"/>
        </w:rPr>
      </w:pPr>
    </w:p>
    <w:p w14:paraId="0E3A714E" w14:textId="77777777" w:rsidR="00E90E7C" w:rsidRPr="00985BF7" w:rsidRDefault="00E90E7C" w:rsidP="00E90E7C">
      <w:pPr>
        <w:spacing w:after="0" w:line="276" w:lineRule="auto"/>
        <w:jc w:val="both"/>
        <w:rPr>
          <w:rFonts w:ascii="Verdana" w:eastAsia="Calibri" w:hAnsi="Verdana" w:cs="Arial"/>
          <w:sz w:val="21"/>
          <w:szCs w:val="21"/>
          <w:lang w:val="es-ES_tradnl" w:eastAsia="es-ES"/>
        </w:rPr>
      </w:pPr>
    </w:p>
    <w:p w14:paraId="7319833E" w14:textId="77777777" w:rsidR="00E90E7C" w:rsidRPr="00985BF7" w:rsidRDefault="00E90E7C" w:rsidP="00E90E7C">
      <w:pPr>
        <w:spacing w:after="0" w:line="276" w:lineRule="auto"/>
        <w:jc w:val="both"/>
        <w:rPr>
          <w:rFonts w:ascii="Verdana" w:eastAsia="Calibri" w:hAnsi="Verdana" w:cs="Arial"/>
          <w:sz w:val="21"/>
          <w:szCs w:val="21"/>
          <w:lang w:val="es-ES_tradnl" w:eastAsia="es-ES"/>
        </w:rPr>
      </w:pPr>
    </w:p>
    <w:p w14:paraId="34CCCD6C" w14:textId="77777777" w:rsidR="00E90E7C" w:rsidRPr="00985BF7" w:rsidRDefault="00E90E7C" w:rsidP="00E90E7C">
      <w:pPr>
        <w:spacing w:after="0" w:line="276" w:lineRule="auto"/>
        <w:jc w:val="both"/>
        <w:rPr>
          <w:rFonts w:ascii="Verdana" w:eastAsia="Calibri" w:hAnsi="Verdana" w:cs="Arial"/>
          <w:sz w:val="21"/>
          <w:szCs w:val="21"/>
          <w:lang w:val="es-ES_tradnl" w:eastAsia="es-ES"/>
        </w:rPr>
      </w:pPr>
    </w:p>
    <w:p w14:paraId="2FF1714A" w14:textId="77777777" w:rsidR="00E90E7C" w:rsidRPr="00985BF7" w:rsidRDefault="00E90E7C" w:rsidP="00E90E7C">
      <w:pPr>
        <w:spacing w:after="0" w:line="276" w:lineRule="auto"/>
        <w:jc w:val="both"/>
        <w:rPr>
          <w:rFonts w:ascii="Verdana" w:eastAsia="Calibri" w:hAnsi="Verdana" w:cs="Arial"/>
          <w:sz w:val="21"/>
          <w:szCs w:val="21"/>
          <w:lang w:val="es-ES_tradnl" w:eastAsia="es-ES"/>
        </w:rPr>
      </w:pPr>
    </w:p>
    <w:p w14:paraId="5C94018B" w14:textId="77777777" w:rsidR="00E90E7C" w:rsidRPr="00985BF7" w:rsidRDefault="00E90E7C" w:rsidP="00E90E7C">
      <w:pPr>
        <w:spacing w:after="0" w:line="276" w:lineRule="auto"/>
        <w:jc w:val="both"/>
        <w:rPr>
          <w:rFonts w:ascii="Verdana" w:eastAsia="Calibri" w:hAnsi="Verdana" w:cs="Arial"/>
          <w:sz w:val="21"/>
          <w:szCs w:val="21"/>
          <w:lang w:val="es-ES_tradnl" w:eastAsia="es-ES"/>
        </w:rPr>
      </w:pPr>
    </w:p>
    <w:p w14:paraId="350C0D49" w14:textId="77777777" w:rsidR="00E90E7C" w:rsidRPr="00985BF7" w:rsidRDefault="00E90E7C" w:rsidP="00E90E7C">
      <w:pPr>
        <w:spacing w:after="0" w:line="276" w:lineRule="auto"/>
        <w:jc w:val="both"/>
        <w:rPr>
          <w:rFonts w:ascii="Verdana" w:eastAsia="Calibri" w:hAnsi="Verdana" w:cs="Arial"/>
          <w:sz w:val="21"/>
          <w:szCs w:val="21"/>
          <w:lang w:val="es-ES_tradnl" w:eastAsia="es-ES"/>
        </w:rPr>
      </w:pPr>
    </w:p>
    <w:p w14:paraId="2A66708E" w14:textId="77777777" w:rsidR="00E90E7C" w:rsidRPr="00985BF7" w:rsidRDefault="00E90E7C" w:rsidP="00E90E7C">
      <w:pPr>
        <w:spacing w:after="0" w:line="276" w:lineRule="auto"/>
        <w:jc w:val="both"/>
        <w:rPr>
          <w:rFonts w:ascii="Verdana" w:eastAsia="Calibri" w:hAnsi="Verdana" w:cs="Arial"/>
          <w:sz w:val="21"/>
          <w:szCs w:val="21"/>
          <w:lang w:val="es-ES_tradnl" w:eastAsia="es-ES"/>
        </w:rPr>
      </w:pPr>
    </w:p>
    <w:p w14:paraId="36F8B28E" w14:textId="77777777" w:rsidR="00E90E7C" w:rsidRPr="00985BF7" w:rsidRDefault="00E90E7C" w:rsidP="00E90E7C">
      <w:pPr>
        <w:spacing w:after="0" w:line="276" w:lineRule="auto"/>
        <w:jc w:val="both"/>
        <w:rPr>
          <w:rFonts w:ascii="Verdana" w:eastAsia="Calibri" w:hAnsi="Verdana" w:cs="Arial"/>
          <w:sz w:val="21"/>
          <w:szCs w:val="21"/>
          <w:lang w:val="es-ES_tradnl" w:eastAsia="es-ES"/>
        </w:rPr>
      </w:pPr>
    </w:p>
    <w:p w14:paraId="7DE6C98C" w14:textId="77777777" w:rsidR="00E90E7C" w:rsidRPr="00985BF7" w:rsidRDefault="00E90E7C" w:rsidP="00E90E7C">
      <w:pPr>
        <w:spacing w:after="0" w:line="276" w:lineRule="auto"/>
        <w:jc w:val="both"/>
        <w:rPr>
          <w:rFonts w:ascii="Verdana" w:eastAsia="Calibri" w:hAnsi="Verdana" w:cs="Arial"/>
          <w:sz w:val="21"/>
          <w:szCs w:val="21"/>
          <w:lang w:val="es-ES_tradnl" w:eastAsia="es-ES"/>
        </w:rPr>
      </w:pPr>
    </w:p>
    <w:p w14:paraId="19CF0981" w14:textId="77777777" w:rsidR="00E90E7C" w:rsidRDefault="00E90E7C" w:rsidP="00E90E7C">
      <w:pPr>
        <w:spacing w:after="0" w:line="276" w:lineRule="auto"/>
        <w:jc w:val="both"/>
        <w:rPr>
          <w:rFonts w:ascii="Verdana" w:eastAsia="Calibri" w:hAnsi="Verdana" w:cs="Arial"/>
          <w:sz w:val="21"/>
          <w:szCs w:val="21"/>
          <w:lang w:val="es-ES_tradnl" w:eastAsia="es-ES"/>
        </w:rPr>
      </w:pPr>
    </w:p>
    <w:p w14:paraId="36AC6744" w14:textId="77777777" w:rsidR="00E90E7C" w:rsidRDefault="00E90E7C" w:rsidP="00E90E7C">
      <w:pPr>
        <w:spacing w:after="0" w:line="276" w:lineRule="auto"/>
        <w:jc w:val="both"/>
        <w:rPr>
          <w:rFonts w:ascii="Verdana" w:eastAsia="Calibri" w:hAnsi="Verdana" w:cs="Arial"/>
          <w:sz w:val="21"/>
          <w:szCs w:val="21"/>
          <w:lang w:val="es-ES_tradnl" w:eastAsia="es-ES"/>
        </w:rPr>
      </w:pPr>
    </w:p>
    <w:p w14:paraId="0F026789" w14:textId="77777777" w:rsidR="00E90E7C" w:rsidRDefault="00E90E7C" w:rsidP="00E90E7C">
      <w:pPr>
        <w:spacing w:after="0" w:line="276" w:lineRule="auto"/>
        <w:jc w:val="both"/>
        <w:rPr>
          <w:rFonts w:ascii="Verdana" w:eastAsia="Calibri" w:hAnsi="Verdana" w:cs="Arial"/>
          <w:sz w:val="21"/>
          <w:szCs w:val="21"/>
          <w:lang w:val="es-ES_tradnl" w:eastAsia="es-ES"/>
        </w:rPr>
      </w:pPr>
    </w:p>
    <w:p w14:paraId="6A4A9F5A" w14:textId="77777777" w:rsidR="00E90E7C" w:rsidRPr="00985BF7" w:rsidRDefault="00E90E7C" w:rsidP="00E90E7C">
      <w:pPr>
        <w:spacing w:after="0" w:line="276" w:lineRule="auto"/>
        <w:jc w:val="both"/>
        <w:rPr>
          <w:rFonts w:ascii="Verdana" w:eastAsia="Calibri" w:hAnsi="Verdana" w:cs="Arial"/>
          <w:sz w:val="21"/>
          <w:szCs w:val="21"/>
          <w:lang w:val="es-ES_tradnl" w:eastAsia="es-ES"/>
        </w:rPr>
      </w:pPr>
    </w:p>
    <w:p w14:paraId="4BD01C75" w14:textId="77777777" w:rsidR="00E90E7C" w:rsidRPr="00985BF7" w:rsidRDefault="00E90E7C" w:rsidP="00E90E7C">
      <w:pPr>
        <w:spacing w:after="0" w:line="276" w:lineRule="auto"/>
        <w:jc w:val="both"/>
        <w:rPr>
          <w:rFonts w:ascii="Verdana" w:eastAsia="Calibri" w:hAnsi="Verdana" w:cs="Arial"/>
          <w:sz w:val="21"/>
          <w:szCs w:val="21"/>
          <w:lang w:val="es-ES_tradnl" w:eastAsia="es-ES"/>
        </w:rPr>
      </w:pPr>
    </w:p>
    <w:p w14:paraId="09E08967" w14:textId="77777777" w:rsidR="00E90E7C" w:rsidRDefault="00E90E7C" w:rsidP="00E90E7C">
      <w:pPr>
        <w:spacing w:after="0" w:line="276" w:lineRule="auto"/>
        <w:jc w:val="both"/>
        <w:rPr>
          <w:rFonts w:ascii="Verdana" w:hAnsi="Verdana"/>
        </w:rPr>
      </w:pPr>
    </w:p>
    <w:p w14:paraId="0603E02E" w14:textId="77777777" w:rsidR="00E90E7C" w:rsidRDefault="00E90E7C" w:rsidP="00E90E7C">
      <w:pPr>
        <w:spacing w:after="0" w:line="276" w:lineRule="auto"/>
        <w:jc w:val="both"/>
        <w:rPr>
          <w:rFonts w:ascii="Verdana" w:hAnsi="Verdana"/>
        </w:rPr>
      </w:pPr>
    </w:p>
    <w:p w14:paraId="5DBBFB2F" w14:textId="77777777" w:rsidR="00E90E7C" w:rsidRDefault="00E90E7C" w:rsidP="00E90E7C">
      <w:pPr>
        <w:spacing w:after="0" w:line="276" w:lineRule="auto"/>
        <w:jc w:val="both"/>
        <w:rPr>
          <w:rFonts w:ascii="Verdana" w:hAnsi="Verdana"/>
        </w:rPr>
      </w:pPr>
    </w:p>
    <w:p w14:paraId="0FA015F1" w14:textId="77777777" w:rsidR="00E90E7C" w:rsidRDefault="00E90E7C" w:rsidP="00E90E7C">
      <w:pPr>
        <w:spacing w:after="0" w:line="276" w:lineRule="auto"/>
        <w:jc w:val="both"/>
        <w:rPr>
          <w:rFonts w:ascii="Verdana" w:hAnsi="Verdana"/>
        </w:rPr>
      </w:pPr>
    </w:p>
    <w:p w14:paraId="0B766631" w14:textId="77777777" w:rsidR="00E90E7C" w:rsidRPr="00985BF7" w:rsidRDefault="00E90E7C" w:rsidP="00E90E7C">
      <w:pPr>
        <w:spacing w:after="0" w:line="276" w:lineRule="auto"/>
        <w:jc w:val="right"/>
        <w:rPr>
          <w:rFonts w:ascii="Verdana" w:eastAsia="Calibri" w:hAnsi="Verdana" w:cs="Arial"/>
          <w:sz w:val="21"/>
          <w:szCs w:val="21"/>
          <w:lang w:val="es-ES" w:eastAsia="es-ES"/>
        </w:rPr>
      </w:pPr>
    </w:p>
    <w:p w14:paraId="583B1CA6" w14:textId="77777777" w:rsidR="00E90E7C" w:rsidRDefault="00E90E7C" w:rsidP="00E90E7C">
      <w:pPr>
        <w:spacing w:after="0" w:line="276" w:lineRule="auto"/>
        <w:jc w:val="both"/>
        <w:rPr>
          <w:rFonts w:ascii="Verdana" w:eastAsia="Calibri" w:hAnsi="Verdana" w:cs="Arial"/>
          <w:lang w:val="es-ES" w:eastAsia="es-ES"/>
        </w:rPr>
      </w:pPr>
    </w:p>
    <w:p w14:paraId="6EC6E4A5" w14:textId="1838C8FA" w:rsidR="00E90E7C" w:rsidRDefault="00E90E7C" w:rsidP="00E90E7C">
      <w:pPr>
        <w:spacing w:after="0" w:line="276" w:lineRule="auto"/>
        <w:jc w:val="both"/>
        <w:rPr>
          <w:rFonts w:ascii="Verdana" w:hAnsi="Verdana"/>
        </w:rPr>
      </w:pPr>
      <w:r w:rsidRPr="0044528D">
        <w:rPr>
          <w:rFonts w:ascii="Verdana" w:hAnsi="Verdana"/>
        </w:rPr>
        <w:t xml:space="preserve">Bogotá D.C., </w:t>
      </w:r>
      <w:r w:rsidR="006D310A">
        <w:rPr>
          <w:rFonts w:ascii="Verdana" w:hAnsi="Verdana"/>
        </w:rPr>
        <w:t xml:space="preserve">23 de octubre de 2024 </w:t>
      </w:r>
    </w:p>
    <w:p w14:paraId="4562EEE1" w14:textId="77777777" w:rsidR="00B62F60" w:rsidRDefault="00B62F60" w:rsidP="00E90E7C">
      <w:pPr>
        <w:spacing w:after="0" w:line="276" w:lineRule="auto"/>
        <w:jc w:val="both"/>
        <w:rPr>
          <w:rFonts w:ascii="Verdana" w:hAnsi="Verdana"/>
        </w:rPr>
      </w:pPr>
    </w:p>
    <w:p w14:paraId="7816AB8B" w14:textId="5376E96A" w:rsidR="00B62F60" w:rsidRDefault="00B62F60" w:rsidP="00B62F60">
      <w:pPr>
        <w:spacing w:after="0" w:line="276" w:lineRule="auto"/>
        <w:jc w:val="right"/>
        <w:rPr>
          <w:rFonts w:ascii="Verdana" w:eastAsia="Calibri" w:hAnsi="Verdana" w:cs="Arial"/>
          <w:lang w:val="es-ES" w:eastAsia="es-ES"/>
        </w:rPr>
      </w:pPr>
      <w:r w:rsidRPr="00B62F60">
        <w:rPr>
          <w:rFonts w:ascii="Verdana" w:eastAsia="Calibri" w:hAnsi="Verdana" w:cs="Arial"/>
          <w:noProof/>
          <w:lang w:val="es-ES" w:eastAsia="es-ES"/>
        </w:rPr>
        <w:drawing>
          <wp:inline distT="0" distB="0" distL="0" distR="0" wp14:anchorId="13E55F8D" wp14:editId="5599C360">
            <wp:extent cx="3667637" cy="971686"/>
            <wp:effectExtent l="0" t="0" r="0" b="0"/>
            <wp:docPr id="64555905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559058" name="Imagen 1" descr="Texto&#10;&#10;Descripción generada automáticamente"/>
                    <pic:cNvPicPr/>
                  </pic:nvPicPr>
                  <pic:blipFill>
                    <a:blip r:embed="rId11"/>
                    <a:stretch>
                      <a:fillRect/>
                    </a:stretch>
                  </pic:blipFill>
                  <pic:spPr>
                    <a:xfrm>
                      <a:off x="0" y="0"/>
                      <a:ext cx="3667637" cy="971686"/>
                    </a:xfrm>
                    <a:prstGeom prst="rect">
                      <a:avLst/>
                    </a:prstGeom>
                  </pic:spPr>
                </pic:pic>
              </a:graphicData>
            </a:graphic>
          </wp:inline>
        </w:drawing>
      </w:r>
    </w:p>
    <w:p w14:paraId="5F3E6DB3" w14:textId="77777777" w:rsidR="00E90E7C" w:rsidRDefault="00E90E7C" w:rsidP="00E90E7C">
      <w:pPr>
        <w:spacing w:after="0" w:line="276" w:lineRule="auto"/>
        <w:jc w:val="both"/>
        <w:rPr>
          <w:rFonts w:ascii="Verdana" w:eastAsia="Calibri" w:hAnsi="Verdana" w:cs="Arial"/>
          <w:lang w:val="es-ES" w:eastAsia="es-ES"/>
        </w:rPr>
      </w:pPr>
    </w:p>
    <w:p w14:paraId="79034B42" w14:textId="77777777" w:rsidR="00E90E7C" w:rsidRDefault="00E90E7C" w:rsidP="00E90E7C">
      <w:pPr>
        <w:spacing w:after="0" w:line="276" w:lineRule="auto"/>
        <w:jc w:val="both"/>
        <w:rPr>
          <w:rFonts w:ascii="Verdana" w:eastAsia="Calibri" w:hAnsi="Verdana" w:cs="Arial"/>
          <w:lang w:val="es-ES" w:eastAsia="es-ES"/>
        </w:rPr>
      </w:pPr>
    </w:p>
    <w:p w14:paraId="0E6B1E03" w14:textId="77777777" w:rsidR="00E90E7C" w:rsidRDefault="00E90E7C" w:rsidP="00E90E7C">
      <w:pPr>
        <w:spacing w:after="0" w:line="276" w:lineRule="auto"/>
        <w:jc w:val="both"/>
        <w:rPr>
          <w:rFonts w:ascii="Verdana" w:eastAsia="Calibri" w:hAnsi="Verdana" w:cs="Arial"/>
          <w:lang w:val="es-ES" w:eastAsia="es-ES"/>
        </w:rPr>
      </w:pPr>
    </w:p>
    <w:p w14:paraId="3E6B1675" w14:textId="77777777" w:rsidR="00E90E7C" w:rsidRPr="005B3F16" w:rsidRDefault="00E90E7C" w:rsidP="00E90E7C">
      <w:pPr>
        <w:spacing w:after="0" w:line="276" w:lineRule="auto"/>
        <w:jc w:val="both"/>
        <w:rPr>
          <w:rFonts w:ascii="Verdana" w:eastAsia="Calibri" w:hAnsi="Verdana" w:cs="Arial"/>
          <w:lang w:val="es-ES" w:eastAsia="es-ES"/>
        </w:rPr>
      </w:pPr>
      <w:r w:rsidRPr="005B3F16">
        <w:rPr>
          <w:rFonts w:ascii="Verdana" w:eastAsia="Calibri" w:hAnsi="Verdana" w:cs="Arial"/>
          <w:lang w:val="es-ES" w:eastAsia="es-ES"/>
        </w:rPr>
        <w:t>Señor</w:t>
      </w:r>
      <w:r>
        <w:rPr>
          <w:rFonts w:ascii="Verdana" w:eastAsia="Calibri" w:hAnsi="Verdana" w:cs="Arial"/>
          <w:lang w:val="es-ES" w:eastAsia="es-ES"/>
        </w:rPr>
        <w:t>a</w:t>
      </w:r>
    </w:p>
    <w:p w14:paraId="2D495747" w14:textId="77777777" w:rsidR="00E90E7C" w:rsidRDefault="00E90E7C" w:rsidP="00E90E7C">
      <w:pPr>
        <w:spacing w:after="0" w:line="240" w:lineRule="auto"/>
        <w:rPr>
          <w:rFonts w:ascii="Verdana" w:eastAsia="Calibri" w:hAnsi="Verdana" w:cs="Arial"/>
          <w:b/>
          <w:bCs/>
          <w:lang w:eastAsia="es-ES_tradnl"/>
        </w:rPr>
      </w:pPr>
      <w:r>
        <w:rPr>
          <w:rFonts w:ascii="Verdana" w:eastAsia="Calibri" w:hAnsi="Verdana" w:cs="Arial"/>
          <w:b/>
          <w:bCs/>
          <w:lang w:eastAsia="es-ES_tradnl"/>
        </w:rPr>
        <w:t>Erika Eunice Merino Urquijo</w:t>
      </w:r>
    </w:p>
    <w:p w14:paraId="71A61149" w14:textId="77777777" w:rsidR="00E90E7C" w:rsidRPr="00EB12EA" w:rsidRDefault="001D7A24" w:rsidP="00E90E7C">
      <w:pPr>
        <w:spacing w:after="0" w:line="240" w:lineRule="auto"/>
        <w:rPr>
          <w:rFonts w:ascii="Verdana" w:eastAsia="Calibri" w:hAnsi="Verdana" w:cs="Arial"/>
          <w:lang w:eastAsia="es-ES_tradnl"/>
        </w:rPr>
      </w:pPr>
      <w:hyperlink r:id="rId12" w:history="1">
        <w:r w:rsidR="00E90E7C" w:rsidRPr="00EB12EA">
          <w:rPr>
            <w:rStyle w:val="Hipervnculo"/>
            <w:rFonts w:ascii="Verdana" w:eastAsia="Calibri" w:hAnsi="Verdana" w:cs="Arial"/>
            <w:lang w:eastAsia="es-ES_tradnl"/>
          </w:rPr>
          <w:t>erimerinou@gmail.com</w:t>
        </w:r>
      </w:hyperlink>
    </w:p>
    <w:p w14:paraId="0AF21D33" w14:textId="77777777" w:rsidR="00E90E7C" w:rsidRPr="00EB12EA" w:rsidRDefault="00E90E7C" w:rsidP="00E90E7C">
      <w:pPr>
        <w:spacing w:after="0" w:line="240" w:lineRule="auto"/>
        <w:rPr>
          <w:rFonts w:ascii="Verdana" w:eastAsia="Calibri" w:hAnsi="Verdana" w:cs="Arial"/>
          <w:lang w:eastAsia="es-ES_tradnl"/>
        </w:rPr>
      </w:pPr>
      <w:r>
        <w:rPr>
          <w:rFonts w:ascii="Verdana" w:eastAsia="Calibri" w:hAnsi="Verdana" w:cs="Arial"/>
          <w:lang w:eastAsia="es-ES_tradnl"/>
        </w:rPr>
        <w:t>L</w:t>
      </w:r>
      <w:r w:rsidRPr="00EB12EA">
        <w:rPr>
          <w:rFonts w:ascii="Verdana" w:eastAsia="Calibri" w:hAnsi="Verdana" w:cs="Arial"/>
          <w:lang w:eastAsia="es-ES_tradnl"/>
        </w:rPr>
        <w:t xml:space="preserve">a Ciudad </w:t>
      </w:r>
    </w:p>
    <w:p w14:paraId="0556F4CA" w14:textId="77777777" w:rsidR="00E90E7C" w:rsidRPr="00223573" w:rsidRDefault="00E90E7C" w:rsidP="00E90E7C">
      <w:pPr>
        <w:spacing w:after="0" w:line="276"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90E7C" w:rsidRPr="005B3F16" w14:paraId="372E1E3A" w14:textId="77777777" w:rsidTr="00CF20D9">
        <w:trPr>
          <w:trHeight w:val="884"/>
        </w:trPr>
        <w:tc>
          <w:tcPr>
            <w:tcW w:w="2689" w:type="dxa"/>
          </w:tcPr>
          <w:p w14:paraId="73F992E4" w14:textId="77777777" w:rsidR="00E90E7C" w:rsidRPr="005B3F16" w:rsidRDefault="00E90E7C" w:rsidP="00CF20D9">
            <w:pPr>
              <w:spacing w:line="276" w:lineRule="auto"/>
              <w:jc w:val="both"/>
              <w:rPr>
                <w:rFonts w:ascii="Verdana" w:eastAsia="Calibri" w:hAnsi="Verdana" w:cs="Arial"/>
                <w:b/>
                <w:bCs/>
                <w:lang w:val="es-ES_tradnl" w:eastAsia="es-ES_tradnl"/>
              </w:rPr>
            </w:pPr>
          </w:p>
        </w:tc>
        <w:tc>
          <w:tcPr>
            <w:tcW w:w="6100" w:type="dxa"/>
          </w:tcPr>
          <w:p w14:paraId="488526CB" w14:textId="77777777" w:rsidR="00E90E7C" w:rsidRPr="005B3F16" w:rsidRDefault="00E90E7C" w:rsidP="00CF20D9">
            <w:pPr>
              <w:spacing w:line="276" w:lineRule="auto"/>
              <w:jc w:val="both"/>
              <w:rPr>
                <w:rFonts w:ascii="Verdana" w:eastAsia="Calibri" w:hAnsi="Verdana" w:cs="Arial"/>
                <w:b/>
                <w:bCs/>
                <w:lang w:val="es-ES" w:eastAsia="es-ES"/>
              </w:rPr>
            </w:pPr>
            <w:r w:rsidRPr="005B3F16">
              <w:rPr>
                <w:rFonts w:ascii="Verdana" w:eastAsia="Calibri" w:hAnsi="Verdana" w:cs="Arial"/>
                <w:b/>
                <w:bCs/>
                <w:lang w:val="es-ES" w:eastAsia="es-ES"/>
              </w:rPr>
              <w:t xml:space="preserve">Concepto C- </w:t>
            </w:r>
            <w:r>
              <w:rPr>
                <w:rFonts w:ascii="Verdana" w:eastAsia="Calibri" w:hAnsi="Verdana" w:cs="Arial"/>
                <w:b/>
                <w:bCs/>
                <w:lang w:val="es-ES" w:eastAsia="es-ES"/>
              </w:rPr>
              <w:t>586</w:t>
            </w:r>
            <w:r w:rsidRPr="005B3F16">
              <w:rPr>
                <w:rFonts w:ascii="Verdana" w:eastAsia="Calibri" w:hAnsi="Verdana" w:cs="Arial"/>
                <w:b/>
                <w:bCs/>
                <w:lang w:val="es-ES" w:eastAsia="es-ES"/>
              </w:rPr>
              <w:t xml:space="preserve"> de 2024</w:t>
            </w:r>
          </w:p>
        </w:tc>
      </w:tr>
      <w:tr w:rsidR="00E90E7C" w:rsidRPr="005B3F16" w14:paraId="6A574A65" w14:textId="77777777" w:rsidTr="00CF20D9">
        <w:trPr>
          <w:trHeight w:val="884"/>
        </w:trPr>
        <w:tc>
          <w:tcPr>
            <w:tcW w:w="2689" w:type="dxa"/>
          </w:tcPr>
          <w:p w14:paraId="7F4A60CC" w14:textId="77777777" w:rsidR="00E90E7C" w:rsidRPr="005B3F16" w:rsidRDefault="00E90E7C" w:rsidP="00CF20D9">
            <w:pPr>
              <w:spacing w:line="276" w:lineRule="auto"/>
              <w:jc w:val="both"/>
              <w:rPr>
                <w:rFonts w:ascii="Verdana" w:eastAsia="Calibri" w:hAnsi="Verdana" w:cs="Arial"/>
                <w:lang w:val="es-ES_tradnl" w:eastAsia="es-ES_tradnl"/>
              </w:rPr>
            </w:pPr>
            <w:r w:rsidRPr="005B3F16">
              <w:rPr>
                <w:rFonts w:ascii="Verdana" w:eastAsia="Calibri" w:hAnsi="Verdana" w:cs="Arial"/>
                <w:b/>
                <w:lang w:val="es-ES_tradnl" w:eastAsia="es-ES_tradnl"/>
              </w:rPr>
              <w:t>Temas:</w:t>
            </w:r>
            <w:r w:rsidRPr="005B3F16">
              <w:rPr>
                <w:rFonts w:ascii="Verdana" w:eastAsia="Calibri" w:hAnsi="Verdana" w:cs="Arial"/>
                <w:lang w:val="es-ES_tradnl" w:eastAsia="es-ES_tradnl"/>
              </w:rPr>
              <w:t xml:space="preserve">                   </w:t>
            </w:r>
          </w:p>
        </w:tc>
        <w:tc>
          <w:tcPr>
            <w:tcW w:w="6100" w:type="dxa"/>
          </w:tcPr>
          <w:p w14:paraId="6370681F" w14:textId="77777777" w:rsidR="00E90E7C" w:rsidRPr="004D70E1" w:rsidRDefault="00E90E7C" w:rsidP="00CF20D9">
            <w:pPr>
              <w:pStyle w:val="paragraph"/>
              <w:shd w:val="clear" w:color="auto" w:fill="FFFFFF" w:themeFill="background1"/>
              <w:spacing w:after="120" w:line="276" w:lineRule="auto"/>
              <w:textAlignment w:val="baseline"/>
              <w:rPr>
                <w:rFonts w:ascii="Arial" w:eastAsiaTheme="minorHAnsi" w:hAnsi="Arial" w:cs="Arial"/>
                <w:b/>
                <w:bCs/>
                <w:color w:val="000000" w:themeColor="text1"/>
                <w:sz w:val="22"/>
                <w:szCs w:val="22"/>
                <w:lang w:val="es-ES_tradnl" w:eastAsia="en-US"/>
              </w:rPr>
            </w:pPr>
            <w:r w:rsidRPr="00AE7E93">
              <w:rPr>
                <w:rFonts w:ascii="Arial" w:eastAsiaTheme="minorHAnsi" w:hAnsi="Arial" w:cs="Arial"/>
                <w:b/>
                <w:bCs/>
                <w:color w:val="000000" w:themeColor="text1"/>
                <w:sz w:val="22"/>
                <w:szCs w:val="22"/>
                <w:lang w:val="es-ES_tradnl" w:eastAsia="en-US"/>
              </w:rPr>
              <w:t xml:space="preserve">CONVOCATORIAS LIMITADAS A MIPYME </w:t>
            </w:r>
            <w:r>
              <w:rPr>
                <w:rFonts w:ascii="Arial" w:eastAsiaTheme="minorHAnsi" w:hAnsi="Arial" w:cs="Arial"/>
                <w:b/>
                <w:bCs/>
                <w:color w:val="000000" w:themeColor="text1"/>
                <w:sz w:val="22"/>
                <w:szCs w:val="22"/>
                <w:lang w:val="es-ES_tradnl" w:eastAsia="en-US"/>
              </w:rPr>
              <w:t xml:space="preserve">-limitación territorial- </w:t>
            </w:r>
          </w:p>
        </w:tc>
      </w:tr>
      <w:tr w:rsidR="00E90E7C" w:rsidRPr="005B3F16" w14:paraId="7CF9B807" w14:textId="77777777" w:rsidTr="00CF20D9">
        <w:tc>
          <w:tcPr>
            <w:tcW w:w="2689" w:type="dxa"/>
          </w:tcPr>
          <w:p w14:paraId="31CDFC6E" w14:textId="77777777" w:rsidR="00E90E7C" w:rsidRPr="005B3F16" w:rsidRDefault="00E90E7C" w:rsidP="00CF20D9">
            <w:pPr>
              <w:spacing w:line="276" w:lineRule="auto"/>
              <w:jc w:val="both"/>
              <w:rPr>
                <w:rFonts w:ascii="Verdana" w:eastAsia="Calibri" w:hAnsi="Verdana" w:cs="Arial"/>
                <w:b/>
                <w:lang w:val="es-ES_tradnl" w:eastAsia="es-ES_tradnl"/>
              </w:rPr>
            </w:pPr>
            <w:r w:rsidRPr="005B3F16">
              <w:rPr>
                <w:rFonts w:ascii="Verdana" w:eastAsia="Calibri" w:hAnsi="Verdana" w:cs="Arial"/>
                <w:b/>
                <w:lang w:val="es-ES_tradnl" w:eastAsia="es-ES_tradnl"/>
              </w:rPr>
              <w:t>Radicación:</w:t>
            </w:r>
            <w:r w:rsidRPr="005B3F16">
              <w:rPr>
                <w:rFonts w:ascii="Verdana" w:eastAsia="Calibri" w:hAnsi="Verdana" w:cs="Arial"/>
                <w:lang w:val="es-ES_tradnl" w:eastAsia="es-ES_tradnl"/>
              </w:rPr>
              <w:t xml:space="preserve">               </w:t>
            </w:r>
          </w:p>
        </w:tc>
        <w:tc>
          <w:tcPr>
            <w:tcW w:w="6100" w:type="dxa"/>
          </w:tcPr>
          <w:p w14:paraId="4659C57A" w14:textId="77777777" w:rsidR="00E90E7C" w:rsidRPr="005B3F16" w:rsidRDefault="00E90E7C" w:rsidP="00CF20D9">
            <w:pPr>
              <w:spacing w:line="276" w:lineRule="auto"/>
              <w:jc w:val="both"/>
              <w:rPr>
                <w:rFonts w:ascii="Verdana" w:hAnsi="Verdana" w:cs="Arial"/>
              </w:rPr>
            </w:pPr>
            <w:r w:rsidRPr="005B3F16">
              <w:rPr>
                <w:rFonts w:ascii="Verdana" w:hAnsi="Verdana" w:cs="Arial"/>
              </w:rPr>
              <w:t xml:space="preserve">Respuesta a consulta con radicado No. </w:t>
            </w:r>
            <w:r w:rsidRPr="00630A33">
              <w:rPr>
                <w:rFonts w:ascii="Verdana" w:hAnsi="Verdana" w:cs="Arial"/>
              </w:rPr>
              <w:t> P20240910009223</w:t>
            </w:r>
          </w:p>
        </w:tc>
      </w:tr>
    </w:tbl>
    <w:p w14:paraId="1315D52A" w14:textId="77777777" w:rsidR="00E90E7C" w:rsidRPr="005B3F16" w:rsidRDefault="00E90E7C" w:rsidP="00E90E7C">
      <w:pPr>
        <w:spacing w:after="0" w:line="276" w:lineRule="auto"/>
        <w:jc w:val="both"/>
        <w:rPr>
          <w:rFonts w:ascii="Verdana" w:eastAsia="Calibri" w:hAnsi="Verdana" w:cs="Arial"/>
          <w:lang w:val="es-ES_tradnl" w:eastAsia="es-ES_tradnl"/>
        </w:rPr>
      </w:pPr>
    </w:p>
    <w:p w14:paraId="479F6008" w14:textId="77777777" w:rsidR="00E90E7C" w:rsidRPr="005B3F16" w:rsidRDefault="00E90E7C" w:rsidP="00E90E7C">
      <w:pPr>
        <w:spacing w:after="0" w:line="276" w:lineRule="auto"/>
        <w:jc w:val="both"/>
        <w:rPr>
          <w:rFonts w:ascii="Verdana" w:eastAsia="Calibri" w:hAnsi="Verdana" w:cs="Arial"/>
          <w:lang w:val="es-ES_tradnl" w:eastAsia="es-ES_tradnl"/>
        </w:rPr>
      </w:pPr>
    </w:p>
    <w:p w14:paraId="48340074" w14:textId="77777777" w:rsidR="00E90E7C" w:rsidRPr="005B3F16" w:rsidRDefault="00E90E7C" w:rsidP="00E90E7C">
      <w:pPr>
        <w:spacing w:after="0" w:line="276" w:lineRule="auto"/>
        <w:jc w:val="both"/>
        <w:rPr>
          <w:rFonts w:ascii="Verdana" w:eastAsia="Calibri" w:hAnsi="Verdana" w:cs="Arial"/>
          <w:lang w:val="es-ES" w:eastAsia="es-ES"/>
        </w:rPr>
      </w:pPr>
      <w:r w:rsidRPr="005B3F16">
        <w:rPr>
          <w:rFonts w:ascii="Verdana" w:eastAsia="Calibri" w:hAnsi="Verdana" w:cs="Arial"/>
          <w:lang w:val="es-ES" w:eastAsia="es-ES"/>
        </w:rPr>
        <w:t>Estimad</w:t>
      </w:r>
      <w:r>
        <w:rPr>
          <w:rFonts w:ascii="Verdana" w:eastAsia="Calibri" w:hAnsi="Verdana" w:cs="Arial"/>
          <w:lang w:val="es-ES" w:eastAsia="es-ES"/>
        </w:rPr>
        <w:t>a</w:t>
      </w:r>
      <w:r w:rsidRPr="005B3F16">
        <w:rPr>
          <w:rFonts w:ascii="Verdana" w:eastAsia="Calibri" w:hAnsi="Verdana" w:cs="Arial"/>
          <w:lang w:val="es-ES" w:eastAsia="es-ES"/>
        </w:rPr>
        <w:t xml:space="preserve"> señor</w:t>
      </w:r>
      <w:r>
        <w:rPr>
          <w:rFonts w:ascii="Verdana" w:eastAsia="Calibri" w:hAnsi="Verdana" w:cs="Arial"/>
          <w:lang w:val="es-ES" w:eastAsia="es-ES"/>
        </w:rPr>
        <w:t>a</w:t>
      </w:r>
      <w:r w:rsidRPr="005B3F16">
        <w:rPr>
          <w:rFonts w:ascii="Verdana" w:eastAsia="Calibri" w:hAnsi="Verdana" w:cs="Arial"/>
          <w:lang w:val="es-ES" w:eastAsia="es-ES"/>
        </w:rPr>
        <w:t xml:space="preserve"> </w:t>
      </w:r>
      <w:r>
        <w:rPr>
          <w:rFonts w:ascii="Verdana" w:eastAsia="Calibri" w:hAnsi="Verdana" w:cs="Arial"/>
          <w:lang w:val="es-ES" w:eastAsia="es-ES"/>
        </w:rPr>
        <w:t>Erika Eunice</w:t>
      </w:r>
      <w:r w:rsidRPr="005B3F16">
        <w:rPr>
          <w:rFonts w:ascii="Verdana" w:eastAsia="Calibri" w:hAnsi="Verdana" w:cs="Arial"/>
          <w:lang w:val="es-ES" w:eastAsia="es-ES"/>
        </w:rPr>
        <w:t xml:space="preserve">: </w:t>
      </w:r>
    </w:p>
    <w:p w14:paraId="0E022B0D" w14:textId="77777777" w:rsidR="00E90E7C" w:rsidRPr="005B3F16" w:rsidRDefault="00E90E7C" w:rsidP="00E90E7C">
      <w:pPr>
        <w:tabs>
          <w:tab w:val="left" w:pos="3768"/>
        </w:tabs>
        <w:spacing w:after="0" w:line="276" w:lineRule="auto"/>
        <w:jc w:val="both"/>
        <w:rPr>
          <w:rFonts w:ascii="Verdana" w:eastAsia="Calibri" w:hAnsi="Verdana" w:cs="Arial"/>
          <w:lang w:val="es-ES" w:eastAsia="es-ES"/>
        </w:rPr>
      </w:pPr>
      <w:r w:rsidRPr="005B3F16">
        <w:rPr>
          <w:rFonts w:ascii="Verdana" w:eastAsia="Calibri" w:hAnsi="Verdana" w:cs="Arial"/>
          <w:lang w:val="es-ES" w:eastAsia="es-ES"/>
        </w:rPr>
        <w:tab/>
      </w:r>
    </w:p>
    <w:p w14:paraId="043A3B16" w14:textId="77777777" w:rsidR="00E90E7C" w:rsidRPr="005B3F16" w:rsidRDefault="00E90E7C" w:rsidP="00E90E7C">
      <w:pPr>
        <w:spacing w:after="0" w:line="276" w:lineRule="auto"/>
        <w:jc w:val="both"/>
        <w:rPr>
          <w:rFonts w:ascii="Verdana" w:eastAsia="Calibri" w:hAnsi="Verdana" w:cs="Arial"/>
          <w:lang w:val="es-ES" w:eastAsia="es-ES"/>
        </w:rPr>
      </w:pPr>
      <w:r w:rsidRPr="005B3F16">
        <w:rPr>
          <w:rFonts w:ascii="Verdana" w:eastAsia="Calibri" w:hAnsi="Verdana" w:cs="Arial"/>
          <w:lang w:val="es-ES" w:eastAsia="es-ES"/>
        </w:rPr>
        <w:t>En ejercicio de la competencia otorgada por los artículos 3, numeral 5º, y 11, numeral 8º, del Decreto Ley 4170 de 2011,</w:t>
      </w:r>
      <w:r w:rsidRPr="005B3F16">
        <w:rPr>
          <w:rFonts w:ascii="Verdana" w:eastAsia="Arial MT" w:hAnsi="Verdana" w:cs="Arial MT"/>
          <w:lang w:val="es-ES" w:eastAsia="es-ES"/>
        </w:rPr>
        <w:t xml:space="preserve"> </w:t>
      </w:r>
      <w:r w:rsidRPr="005B3F16">
        <w:rPr>
          <w:rFonts w:ascii="Verdana" w:hAnsi="Verdana" w:cs="Arial"/>
        </w:rPr>
        <w:t xml:space="preserve">así como lo establecido en el artículo 4 de la Resolución 1707 de 2018 expedida por esta Entidad, </w:t>
      </w:r>
      <w:r w:rsidRPr="005B3F16">
        <w:rPr>
          <w:rFonts w:ascii="Verdana" w:eastAsia="Calibri" w:hAnsi="Verdana" w:cs="Arial"/>
          <w:lang w:val="es-ES" w:eastAsia="es-ES"/>
        </w:rPr>
        <w:t xml:space="preserve">la Agencia Nacional </w:t>
      </w:r>
      <w:r w:rsidRPr="005B3F16">
        <w:rPr>
          <w:rFonts w:ascii="Verdana" w:eastAsia="Calibri" w:hAnsi="Verdana" w:cs="Arial"/>
          <w:lang w:val="es-ES" w:eastAsia="es-ES"/>
        </w:rPr>
        <w:lastRenderedPageBreak/>
        <w:t>de Contratación Pública – Colombia Compra Eficiente– responde su solicitud de consulta de fecha</w:t>
      </w:r>
      <w:r>
        <w:rPr>
          <w:rFonts w:ascii="Verdana" w:eastAsia="Calibri" w:hAnsi="Verdana" w:cs="Arial"/>
          <w:lang w:val="es-ES" w:eastAsia="es-ES"/>
        </w:rPr>
        <w:t xml:space="preserve"> 10</w:t>
      </w:r>
      <w:r w:rsidRPr="005B3F16">
        <w:rPr>
          <w:rFonts w:ascii="Verdana" w:eastAsia="Calibri" w:hAnsi="Verdana" w:cs="Arial"/>
          <w:lang w:val="es-ES" w:eastAsia="es-ES"/>
        </w:rPr>
        <w:t xml:space="preserve"> de </w:t>
      </w:r>
      <w:r>
        <w:rPr>
          <w:rFonts w:ascii="Verdana" w:eastAsia="Calibri" w:hAnsi="Verdana" w:cs="Arial"/>
          <w:lang w:val="es-ES" w:eastAsia="es-ES"/>
        </w:rPr>
        <w:t>septiembre</w:t>
      </w:r>
      <w:r w:rsidRPr="005B3F16">
        <w:rPr>
          <w:rFonts w:ascii="Verdana" w:eastAsia="Calibri" w:hAnsi="Verdana" w:cs="Arial"/>
          <w:lang w:val="es-ES" w:eastAsia="es-ES"/>
        </w:rPr>
        <w:t xml:space="preserve"> de 2024, en la cual manifiesta lo siguiente: </w:t>
      </w:r>
    </w:p>
    <w:p w14:paraId="48F978A8" w14:textId="77777777" w:rsidR="00E90E7C" w:rsidRPr="005B3F16" w:rsidRDefault="00E90E7C" w:rsidP="00E90E7C">
      <w:pPr>
        <w:pStyle w:val="Prrafodelista"/>
        <w:tabs>
          <w:tab w:val="left" w:pos="142"/>
          <w:tab w:val="left" w:pos="284"/>
        </w:tabs>
        <w:spacing w:line="276" w:lineRule="auto"/>
        <w:ind w:left="0"/>
        <w:jc w:val="both"/>
        <w:rPr>
          <w:rFonts w:ascii="Verdana" w:hAnsi="Verdana" w:cs="Arial"/>
        </w:rPr>
      </w:pPr>
    </w:p>
    <w:p w14:paraId="2596B1AE" w14:textId="77777777" w:rsidR="00E90E7C" w:rsidRPr="005B3F16" w:rsidRDefault="00E90E7C" w:rsidP="00E90E7C">
      <w:pPr>
        <w:autoSpaceDE w:val="0"/>
        <w:autoSpaceDN w:val="0"/>
        <w:adjustRightInd w:val="0"/>
        <w:spacing w:after="0" w:line="276" w:lineRule="auto"/>
        <w:ind w:left="709" w:right="709"/>
        <w:jc w:val="both"/>
        <w:rPr>
          <w:rFonts w:ascii="Verdana" w:hAnsi="Verdana" w:cs="Arial"/>
          <w:sz w:val="21"/>
          <w:szCs w:val="21"/>
        </w:rPr>
      </w:pPr>
      <w:bookmarkStart w:id="3" w:name="_Hlk95313578"/>
      <w:r w:rsidRPr="005B3F16">
        <w:rPr>
          <w:rFonts w:ascii="Verdana" w:hAnsi="Verdana" w:cs="Arial"/>
          <w:sz w:val="21"/>
          <w:szCs w:val="21"/>
        </w:rPr>
        <w:t>“</w:t>
      </w:r>
      <w:bookmarkEnd w:id="3"/>
      <w:r w:rsidRPr="00FD05E4">
        <w:rPr>
          <w:rFonts w:ascii="Verdana" w:hAnsi="Verdana" w:cs="Arial"/>
          <w:sz w:val="21"/>
          <w:szCs w:val="21"/>
        </w:rPr>
        <w:t>Buen dia, solicito muy amablemente puedan explicarme bajo que terminos o norma</w:t>
      </w:r>
      <w:r>
        <w:rPr>
          <w:rFonts w:ascii="Verdana" w:hAnsi="Verdana" w:cs="Arial"/>
          <w:sz w:val="21"/>
          <w:szCs w:val="21"/>
        </w:rPr>
        <w:t xml:space="preserve"> </w:t>
      </w:r>
      <w:r w:rsidRPr="00FD05E4">
        <w:rPr>
          <w:rFonts w:ascii="Verdana" w:hAnsi="Verdana" w:cs="Arial"/>
          <w:sz w:val="21"/>
          <w:szCs w:val="21"/>
        </w:rPr>
        <w:t>una entidad puede limitar las ofertas a un municipio o territorio especifio.</w:t>
      </w:r>
      <w:r w:rsidRPr="005B3F16">
        <w:rPr>
          <w:rFonts w:ascii="Verdana" w:hAnsi="Verdana" w:cs="Arial"/>
          <w:sz w:val="21"/>
          <w:szCs w:val="21"/>
        </w:rPr>
        <w:t>?”</w:t>
      </w:r>
      <w:r w:rsidRPr="005B3F16">
        <w:rPr>
          <w:rFonts w:ascii="Verdana" w:eastAsia="Calibri" w:hAnsi="Verdana" w:cs="Arial"/>
          <w:sz w:val="21"/>
          <w:szCs w:val="21"/>
          <w:lang w:val="es-ES" w:eastAsia="es-ES"/>
        </w:rPr>
        <w:t xml:space="preserve"> (sic).</w:t>
      </w:r>
    </w:p>
    <w:p w14:paraId="212B223A" w14:textId="77777777" w:rsidR="00E90E7C" w:rsidRPr="005B3F16" w:rsidRDefault="00E90E7C" w:rsidP="00E90E7C">
      <w:pPr>
        <w:pStyle w:val="Prrafodelista"/>
        <w:tabs>
          <w:tab w:val="left" w:pos="142"/>
          <w:tab w:val="left" w:pos="284"/>
        </w:tabs>
        <w:spacing w:line="276" w:lineRule="auto"/>
        <w:ind w:left="0"/>
        <w:jc w:val="both"/>
        <w:rPr>
          <w:rFonts w:ascii="Verdana" w:eastAsia="Century Gothic" w:hAnsi="Verdana" w:cs="Century Gothic"/>
          <w:b/>
          <w:bCs/>
        </w:rPr>
      </w:pPr>
    </w:p>
    <w:p w14:paraId="0ECCBF86" w14:textId="77777777" w:rsidR="00E90E7C" w:rsidRPr="005B3F16" w:rsidRDefault="00E90E7C" w:rsidP="00E90E7C">
      <w:pPr>
        <w:spacing w:after="120" w:line="276" w:lineRule="auto"/>
        <w:ind w:firstLine="709"/>
        <w:jc w:val="both"/>
        <w:rPr>
          <w:rFonts w:ascii="Verdana" w:eastAsia="Calibri" w:hAnsi="Verdana" w:cs="Arial"/>
          <w:szCs w:val="24"/>
          <w:lang w:val="es-ES_tradnl" w:eastAsia="es-ES_tradnl"/>
        </w:rPr>
      </w:pPr>
      <w:r w:rsidRPr="005B3F16">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B3F16">
        <w:rPr>
          <w:rFonts w:ascii="Verdana" w:eastAsia="Calibri" w:hAnsi="Verdana" w:cs="Arial"/>
          <w:szCs w:val="24"/>
          <w:lang w:val="es-ES_tradnl" w:eastAsia="es-ES_tradnl"/>
        </w:rPr>
        <w:tab/>
      </w:r>
    </w:p>
    <w:p w14:paraId="5FDC30D9" w14:textId="77777777" w:rsidR="00E90E7C" w:rsidRPr="005B3F16" w:rsidRDefault="00E90E7C" w:rsidP="00E90E7C">
      <w:pPr>
        <w:spacing w:after="0" w:line="276" w:lineRule="auto"/>
        <w:ind w:firstLine="709"/>
        <w:jc w:val="both"/>
        <w:rPr>
          <w:rFonts w:ascii="Verdana" w:eastAsia="Calibri" w:hAnsi="Verdana" w:cs="Arial"/>
          <w:lang w:val="es-ES" w:eastAsia="es-ES"/>
        </w:rPr>
      </w:pPr>
      <w:r w:rsidRPr="005B3F1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1D4AE560" w14:textId="77777777" w:rsidR="00E90E7C" w:rsidRPr="005B3F16" w:rsidRDefault="00E90E7C" w:rsidP="00E90E7C">
      <w:pPr>
        <w:spacing w:after="0" w:line="276" w:lineRule="auto"/>
        <w:ind w:firstLine="709"/>
        <w:jc w:val="both"/>
        <w:rPr>
          <w:rFonts w:ascii="Verdana" w:eastAsia="Calibri" w:hAnsi="Verdana" w:cs="Arial"/>
          <w:lang w:val="es-ES" w:eastAsia="es-ES"/>
        </w:rPr>
      </w:pPr>
    </w:p>
    <w:p w14:paraId="5D4E66F8" w14:textId="77777777" w:rsidR="00E90E7C" w:rsidRPr="005B3F16" w:rsidRDefault="00E90E7C" w:rsidP="00E90E7C">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rPr>
      </w:pPr>
      <w:r w:rsidRPr="005B3F16">
        <w:rPr>
          <w:rFonts w:ascii="Verdana" w:eastAsia="Century Gothic" w:hAnsi="Verdana" w:cs="Century Gothic"/>
          <w:b/>
          <w:bCs/>
        </w:rPr>
        <w:t>Problema planteado:</w:t>
      </w:r>
    </w:p>
    <w:p w14:paraId="23D122CB" w14:textId="77777777" w:rsidR="00E90E7C" w:rsidRPr="005B3F16" w:rsidRDefault="00E90E7C" w:rsidP="00E90E7C">
      <w:pPr>
        <w:tabs>
          <w:tab w:val="left" w:pos="426"/>
        </w:tabs>
        <w:spacing w:after="0" w:line="276" w:lineRule="auto"/>
        <w:jc w:val="both"/>
        <w:rPr>
          <w:rFonts w:ascii="Verdana" w:eastAsia="Century Gothic" w:hAnsi="Verdana" w:cs="Century Gothic"/>
          <w:lang w:val="es-ES"/>
        </w:rPr>
      </w:pPr>
    </w:p>
    <w:p w14:paraId="29309266" w14:textId="77777777" w:rsidR="00E90E7C" w:rsidRPr="005B3F16" w:rsidRDefault="00E90E7C" w:rsidP="00E90E7C">
      <w:pPr>
        <w:spacing w:after="0" w:line="276" w:lineRule="auto"/>
        <w:jc w:val="both"/>
        <w:rPr>
          <w:rFonts w:ascii="Verdana" w:eastAsia="Century Gothic" w:hAnsi="Verdana" w:cs="Century Gothic"/>
        </w:rPr>
      </w:pPr>
      <w:r w:rsidRPr="005B3F16">
        <w:rPr>
          <w:rFonts w:ascii="Verdana" w:eastAsia="Century Gothic" w:hAnsi="Verdana" w:cs="Century Gothic"/>
        </w:rPr>
        <w:t xml:space="preserve">De acuerdo con el contenido de su solicitud, esta Agencia resolverá el siguiente problema jurídico: </w:t>
      </w:r>
      <w:r w:rsidRPr="008D40C5">
        <w:rPr>
          <w:rFonts w:ascii="Verdana" w:eastAsia="Century Gothic" w:hAnsi="Verdana" w:cs="Century Gothic"/>
        </w:rPr>
        <w:t>¿</w:t>
      </w:r>
      <w:r w:rsidRPr="008D40C5">
        <w:rPr>
          <w:rFonts w:ascii="Verdana" w:hAnsi="Verdana" w:cs="Arial"/>
          <w:sz w:val="21"/>
          <w:szCs w:val="21"/>
        </w:rPr>
        <w:t>las entidades</w:t>
      </w:r>
      <w:r>
        <w:rPr>
          <w:rFonts w:ascii="Verdana" w:hAnsi="Verdana" w:cs="Arial"/>
          <w:sz w:val="21"/>
          <w:szCs w:val="21"/>
        </w:rPr>
        <w:t xml:space="preserve"> como pueden </w:t>
      </w:r>
      <w:r w:rsidRPr="008D40C5">
        <w:rPr>
          <w:rFonts w:ascii="Verdana" w:hAnsi="Verdana" w:cs="Arial"/>
          <w:sz w:val="21"/>
          <w:szCs w:val="21"/>
        </w:rPr>
        <w:t xml:space="preserve">limitar </w:t>
      </w:r>
      <w:r>
        <w:rPr>
          <w:rFonts w:ascii="Verdana" w:hAnsi="Verdana" w:cs="Arial"/>
          <w:sz w:val="21"/>
          <w:szCs w:val="21"/>
        </w:rPr>
        <w:t xml:space="preserve">las </w:t>
      </w:r>
      <w:r w:rsidRPr="008D40C5">
        <w:rPr>
          <w:rFonts w:ascii="Verdana" w:hAnsi="Verdana" w:cs="Arial"/>
          <w:sz w:val="21"/>
          <w:szCs w:val="21"/>
        </w:rPr>
        <w:t>convocatorias territorialmente en un municipio o en un departamento especifico</w:t>
      </w:r>
      <w:r w:rsidRPr="008D40C5">
        <w:rPr>
          <w:rFonts w:ascii="Verdana" w:eastAsia="Century Gothic" w:hAnsi="Verdana" w:cs="Century Gothic"/>
        </w:rPr>
        <w:t>?</w:t>
      </w:r>
    </w:p>
    <w:p w14:paraId="476D25ED" w14:textId="77777777" w:rsidR="00E90E7C" w:rsidRPr="005B3F16" w:rsidRDefault="00E90E7C" w:rsidP="00E90E7C">
      <w:pPr>
        <w:spacing w:after="0" w:line="276" w:lineRule="auto"/>
        <w:jc w:val="both"/>
        <w:rPr>
          <w:rFonts w:ascii="Verdana" w:eastAsia="Calibri" w:hAnsi="Verdana" w:cs="Arial"/>
          <w:lang w:val="es-ES"/>
        </w:rPr>
      </w:pPr>
    </w:p>
    <w:p w14:paraId="4154CAE4" w14:textId="77777777" w:rsidR="00E90E7C" w:rsidRPr="005B3F16" w:rsidRDefault="00E90E7C" w:rsidP="00E90E7C">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B3F16">
        <w:rPr>
          <w:rFonts w:ascii="Verdana" w:eastAsia="Century Gothic" w:hAnsi="Verdana" w:cs="Century Gothic"/>
          <w:b/>
          <w:bCs/>
        </w:rPr>
        <w:t>Respuesta:</w:t>
      </w:r>
    </w:p>
    <w:p w14:paraId="6CF865D7" w14:textId="77777777" w:rsidR="00E90E7C" w:rsidRPr="005B3F16" w:rsidRDefault="00E90E7C" w:rsidP="00E90E7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90E7C" w:rsidRPr="005B3F16" w14:paraId="05E94296" w14:textId="77777777" w:rsidTr="00CF20D9">
        <w:tc>
          <w:tcPr>
            <w:tcW w:w="8828" w:type="dxa"/>
            <w:shd w:val="clear" w:color="auto" w:fill="auto"/>
          </w:tcPr>
          <w:p w14:paraId="1067E138" w14:textId="77777777" w:rsidR="00E90E7C" w:rsidRPr="005B3F16" w:rsidRDefault="00E90E7C" w:rsidP="00CF20D9">
            <w:pPr>
              <w:spacing w:after="120" w:line="276" w:lineRule="auto"/>
              <w:jc w:val="both"/>
              <w:rPr>
                <w:rFonts w:ascii="Verdana" w:eastAsia="Century Gothic" w:hAnsi="Verdana" w:cs="Century Gothic"/>
              </w:rPr>
            </w:pPr>
            <w:r w:rsidRPr="005B3F16">
              <w:rPr>
                <w:rFonts w:ascii="Verdana" w:eastAsia="Century Gothic" w:hAnsi="Verdana" w:cs="Century Gothic"/>
              </w:rPr>
              <w:lastRenderedPageBreak/>
              <w:t xml:space="preserve"> </w:t>
            </w:r>
            <w:r>
              <w:rPr>
                <w:rFonts w:ascii="Verdana" w:eastAsia="Century Gothic" w:hAnsi="Verdana" w:cs="Century Gothic"/>
              </w:rPr>
              <w:t>L</w:t>
            </w:r>
            <w:r w:rsidRPr="005B3F16">
              <w:rPr>
                <w:rFonts w:ascii="Verdana" w:eastAsia="Century Gothic" w:hAnsi="Verdana" w:cs="Century Gothic"/>
              </w:rPr>
              <w:t>a facultad de limitar convocatorias territorialmente en favor de las Mipymes con domicilio en un municipio</w:t>
            </w:r>
            <w:r>
              <w:rPr>
                <w:rFonts w:ascii="Verdana" w:eastAsia="Century Gothic" w:hAnsi="Verdana" w:cs="Century Gothic"/>
              </w:rPr>
              <w:t xml:space="preserve"> o</w:t>
            </w:r>
            <w:r w:rsidRPr="005B3F16">
              <w:rPr>
                <w:rFonts w:ascii="Verdana" w:eastAsia="Century Gothic" w:hAnsi="Verdana" w:cs="Century Gothic"/>
              </w:rPr>
              <w:t xml:space="preserve"> en un departamento específico debe ejercerse por las entidades estatales dentro del marco de lo regulado por el artículo 2.2.1.2.4.2.3 del Decreto 1082 de 2015, el cual establece como presupuesto para que las Mipymes tengan su domicilio en el lugar en donde se va a ejecutar el contrato. En ese sentido, en el marco de estas convocatorias, la exigibilidad de que el domicilio de las Mipymes se ubique en un único municipio en particular o en alguno de los municipios que conforman un departamento en concreto, depende del ámbito territorial en el que se va a desarrollar el objeto contractual. </w:t>
            </w:r>
          </w:p>
          <w:p w14:paraId="7C37DB69" w14:textId="77777777" w:rsidR="00E90E7C" w:rsidRPr="005B3F16" w:rsidRDefault="00E90E7C" w:rsidP="00CF20D9">
            <w:pPr>
              <w:spacing w:after="120" w:line="276" w:lineRule="auto"/>
              <w:jc w:val="both"/>
              <w:rPr>
                <w:rFonts w:ascii="Verdana" w:eastAsia="Century Gothic" w:hAnsi="Verdana" w:cs="Century Gothic"/>
                <w:lang w:val="es-ES"/>
              </w:rPr>
            </w:pPr>
            <w:r w:rsidRPr="005B3F16">
              <w:rPr>
                <w:rFonts w:ascii="Verdana" w:eastAsia="Century Gothic" w:hAnsi="Verdana" w:cs="Century Gothic"/>
              </w:rPr>
              <w:t xml:space="preserve">Conforme a lo anterior, sí un contrato se va a ejecutar en un único municipio, las Mipymes que participen la convocatoria limitada por el factor territorial deberán tener su domicilio principal en dicha entidad territorial.  Asimismo, tratándose de un contrato cuya ejecución deberá desplegarse en el ámbito departamental, habiéndose limitado la convocatoria según lo dispuesto en el artículo 2.2.1.2.4.2.3, podrán participar Mipymes cuyos domicilios se encuentren establecidos en alguno de los municipios que conforman el departamento en el que se va a ejecutar el contrato.   </w:t>
            </w:r>
          </w:p>
        </w:tc>
      </w:tr>
    </w:tbl>
    <w:p w14:paraId="60AC1648" w14:textId="77777777" w:rsidR="00E90E7C" w:rsidRPr="005B3F16" w:rsidRDefault="00E90E7C" w:rsidP="00E90E7C">
      <w:pPr>
        <w:tabs>
          <w:tab w:val="left" w:pos="142"/>
          <w:tab w:val="left" w:pos="284"/>
        </w:tabs>
        <w:spacing w:after="0" w:line="276" w:lineRule="auto"/>
        <w:jc w:val="both"/>
        <w:rPr>
          <w:rFonts w:ascii="Verdana" w:eastAsia="Century Gothic" w:hAnsi="Verdana" w:cs="Century Gothic"/>
          <w:b/>
          <w:bCs/>
          <w:lang w:val="es-ES"/>
        </w:rPr>
      </w:pPr>
    </w:p>
    <w:p w14:paraId="44DFC549" w14:textId="77777777" w:rsidR="00E90E7C" w:rsidRPr="005B3F16" w:rsidRDefault="00E90E7C" w:rsidP="00E90E7C">
      <w:pPr>
        <w:spacing w:after="120" w:line="276" w:lineRule="auto"/>
        <w:ind w:firstLine="708"/>
        <w:jc w:val="both"/>
        <w:rPr>
          <w:rFonts w:ascii="Verdana" w:hAnsi="Verdana" w:cs="Arial"/>
          <w:color w:val="000000" w:themeColor="text1"/>
        </w:rPr>
      </w:pPr>
      <w:r w:rsidRPr="005B3F16">
        <w:rPr>
          <w:rFonts w:ascii="Verdana" w:eastAsia="Century Gothic" w:hAnsi="Verdana" w:cs="Century Gothic"/>
          <w:b/>
          <w:bCs/>
        </w:rPr>
        <w:t>Razones de la respuesta:</w:t>
      </w:r>
      <w:r w:rsidRPr="005B3F16">
        <w:rPr>
          <w:rFonts w:ascii="Verdana" w:hAnsi="Verdana" w:cs="Arial"/>
          <w:color w:val="000000" w:themeColor="text1"/>
        </w:rPr>
        <w:t xml:space="preserve"> </w:t>
      </w:r>
    </w:p>
    <w:p w14:paraId="57A06865" w14:textId="77777777" w:rsidR="00E90E7C" w:rsidRPr="005B3F16" w:rsidRDefault="00E90E7C" w:rsidP="00E90E7C">
      <w:pPr>
        <w:spacing w:after="120" w:line="276" w:lineRule="auto"/>
        <w:ind w:firstLine="708"/>
        <w:jc w:val="both"/>
        <w:rPr>
          <w:rFonts w:ascii="Verdana" w:eastAsia="Calibri" w:hAnsi="Verdana" w:cs="Arial"/>
          <w:lang w:val="es-ES"/>
        </w:rPr>
      </w:pPr>
      <w:r w:rsidRPr="005B3F16">
        <w:rPr>
          <w:rFonts w:ascii="Verdana" w:eastAsia="Calibri" w:hAnsi="Verdana" w:cs="Arial"/>
          <w:lang w:val="es-ES"/>
        </w:rPr>
        <w:t>Lo anterior se sustenta en las siguientes consideraciones:</w:t>
      </w:r>
    </w:p>
    <w:p w14:paraId="3FD1D397" w14:textId="77777777" w:rsidR="00E90E7C" w:rsidRDefault="00E90E7C" w:rsidP="00E90E7C">
      <w:pPr>
        <w:pStyle w:val="Prrafodelista"/>
        <w:numPr>
          <w:ilvl w:val="0"/>
          <w:numId w:val="16"/>
        </w:numPr>
        <w:spacing w:after="120" w:line="276" w:lineRule="auto"/>
        <w:jc w:val="both"/>
        <w:rPr>
          <w:rFonts w:ascii="Verdana" w:hAnsi="Verdana" w:cs="Arial"/>
          <w:color w:val="000000" w:themeColor="text1"/>
          <w:lang w:val="es-ES_tradnl"/>
        </w:rPr>
      </w:pPr>
      <w:r w:rsidRPr="00AE6A98">
        <w:rPr>
          <w:rFonts w:ascii="Verdana" w:hAnsi="Verdana" w:cs="Arial"/>
          <w:color w:val="000000" w:themeColor="text1"/>
          <w:lang w:val="es-ES_tradnl"/>
        </w:rPr>
        <w:t>El artículo 34 de la Ley 2069 de 2020 establece nuevas reglas sobre la promoción al desarrollo en la contratación estatal. Concretamente, modifica el contenido del artículo 12 de la Ley 1150 de 2007, prescribiendo lo que se indica a continuación:</w:t>
      </w:r>
    </w:p>
    <w:p w14:paraId="6FAF2D15" w14:textId="77777777" w:rsidR="00E90E7C" w:rsidRDefault="00E90E7C" w:rsidP="00E90E7C">
      <w:pPr>
        <w:pStyle w:val="Prrafodelista"/>
        <w:spacing w:after="120" w:line="276" w:lineRule="auto"/>
        <w:jc w:val="both"/>
        <w:rPr>
          <w:rFonts w:ascii="Verdana" w:hAnsi="Verdana" w:cs="Arial"/>
          <w:color w:val="000000" w:themeColor="text1"/>
          <w:lang w:val="es-ES_tradnl"/>
        </w:rPr>
      </w:pPr>
    </w:p>
    <w:p w14:paraId="2E6167AE" w14:textId="77777777" w:rsidR="00E90E7C" w:rsidRDefault="00E90E7C" w:rsidP="039C9AAD">
      <w:pPr>
        <w:pStyle w:val="Prrafodelista"/>
        <w:numPr>
          <w:ilvl w:val="0"/>
          <w:numId w:val="17"/>
        </w:numPr>
        <w:spacing w:after="120" w:line="276" w:lineRule="auto"/>
        <w:jc w:val="both"/>
        <w:rPr>
          <w:rFonts w:ascii="Verdana" w:hAnsi="Verdana" w:cs="Arial"/>
          <w:color w:val="000000" w:themeColor="text1"/>
          <w:lang w:val="es-ES"/>
        </w:rPr>
      </w:pPr>
      <w:r w:rsidRPr="039C9AAD">
        <w:rPr>
          <w:rFonts w:ascii="Verdana" w:hAnsi="Verdana" w:cs="Arial"/>
          <w:color w:val="000000" w:themeColor="text1"/>
          <w:lang w:val="es-ES"/>
        </w:rPr>
        <w:t xml:space="preserve">Encomienda, con carácter imperativo, al gobierno nacional definir las condiciones y los montos para que las entidades estatales –cualquiera sea su régimen contractual–, los patrimonios autónomos constituidos por aquellas y los particulares que administren recursos públicos efectúen convocatorias limitadas a Mipymes en los procesos de contratación. Y agrega que estas convocatorias se </w:t>
      </w:r>
      <w:r w:rsidRPr="039C9AAD">
        <w:rPr>
          <w:rFonts w:ascii="Verdana" w:hAnsi="Verdana" w:cs="Arial"/>
          <w:color w:val="000000" w:themeColor="text1"/>
          <w:lang w:val="es-ES"/>
        </w:rPr>
        <w:lastRenderedPageBreak/>
        <w:t xml:space="preserve">pueden realizar también en el ámbito municipal o departamental en el que se ejecute el contrato. </w:t>
      </w:r>
    </w:p>
    <w:p w14:paraId="69D34B29" w14:textId="77777777" w:rsidR="00E90E7C" w:rsidRDefault="00E90E7C" w:rsidP="039C9AAD">
      <w:pPr>
        <w:pStyle w:val="Prrafodelista"/>
        <w:numPr>
          <w:ilvl w:val="0"/>
          <w:numId w:val="17"/>
        </w:numPr>
        <w:spacing w:after="120" w:line="276" w:lineRule="auto"/>
        <w:jc w:val="both"/>
        <w:rPr>
          <w:rFonts w:ascii="Verdana" w:hAnsi="Verdana" w:cs="Arial"/>
          <w:color w:val="000000" w:themeColor="text1"/>
          <w:lang w:val="es-ES"/>
        </w:rPr>
      </w:pPr>
      <w:r w:rsidRPr="039C9AAD">
        <w:rPr>
          <w:rFonts w:ascii="Verdana" w:hAnsi="Verdana" w:cs="Arial"/>
          <w:color w:val="000000" w:themeColor="text1"/>
          <w:lang w:val="es-ES"/>
        </w:rPr>
        <w:t>Indica que dichas convocatorias se deben efectuar siempre y cuando, antes del acto administrativo de apertura del proceso de selección, por lo menos dos (2) Mipymes hayan manifestado su interés.</w:t>
      </w:r>
    </w:p>
    <w:p w14:paraId="69F752A3" w14:textId="77777777" w:rsidR="00E90E7C" w:rsidRDefault="00E90E7C" w:rsidP="00E90E7C">
      <w:pPr>
        <w:pStyle w:val="Prrafodelista"/>
        <w:numPr>
          <w:ilvl w:val="0"/>
          <w:numId w:val="17"/>
        </w:numPr>
        <w:spacing w:after="120" w:line="276" w:lineRule="auto"/>
        <w:jc w:val="both"/>
        <w:rPr>
          <w:rFonts w:ascii="Verdana" w:hAnsi="Verdana" w:cs="Arial"/>
          <w:color w:val="000000" w:themeColor="text1"/>
        </w:rPr>
      </w:pPr>
      <w:r w:rsidRPr="2F5E6258">
        <w:rPr>
          <w:rFonts w:ascii="Verdana" w:hAnsi="Verdana" w:cs="Arial"/>
          <w:color w:val="000000" w:themeColor="text1"/>
        </w:rPr>
        <w:t>Determina que uno de los parámetros que deberá tener en cuenta el gobierno nacional para reglamentar la materia es el cumplimiento de los compromisos internacionales vigentes. Es decir que se deberán considerar las estipulaciones contenidas en los tratados comerciales suscritos entre Colombia y otros Estados.</w:t>
      </w:r>
    </w:p>
    <w:p w14:paraId="502A22E3" w14:textId="77777777" w:rsidR="00E90E7C" w:rsidRDefault="00E90E7C" w:rsidP="039C9AAD">
      <w:pPr>
        <w:pStyle w:val="Prrafodelista"/>
        <w:numPr>
          <w:ilvl w:val="0"/>
          <w:numId w:val="17"/>
        </w:numPr>
        <w:spacing w:after="120" w:line="276" w:lineRule="auto"/>
        <w:jc w:val="both"/>
        <w:rPr>
          <w:rFonts w:ascii="Verdana" w:hAnsi="Verdana" w:cs="Arial"/>
          <w:color w:val="000000" w:themeColor="text1"/>
          <w:lang w:val="es-ES"/>
        </w:rPr>
      </w:pPr>
      <w:r w:rsidRPr="039C9AAD">
        <w:rPr>
          <w:rFonts w:ascii="Verdana" w:hAnsi="Verdana" w:cs="Arial"/>
          <w:color w:val="000000" w:themeColor="text1"/>
          <w:lang w:val="es-ES"/>
        </w:rPr>
        <w:t>Establece que, en el reglamento, el gobierno nacional podría establecer condiciones preferenciales en favor de los bienes y servicios producidos por las Mipymes, sin contrariar los compromisos internacionales vigentes.</w:t>
      </w:r>
    </w:p>
    <w:p w14:paraId="7B8938FA" w14:textId="77777777" w:rsidR="00E90E7C" w:rsidRDefault="00E90E7C" w:rsidP="039C9AAD">
      <w:pPr>
        <w:pStyle w:val="Prrafodelista"/>
        <w:numPr>
          <w:ilvl w:val="0"/>
          <w:numId w:val="17"/>
        </w:numPr>
        <w:spacing w:after="120" w:line="276" w:lineRule="auto"/>
        <w:jc w:val="both"/>
        <w:rPr>
          <w:rFonts w:ascii="Verdana" w:hAnsi="Verdana" w:cs="Arial"/>
          <w:color w:val="000000" w:themeColor="text1"/>
          <w:lang w:val="es-ES"/>
        </w:rPr>
      </w:pPr>
      <w:r w:rsidRPr="039C9AAD">
        <w:rPr>
          <w:rFonts w:ascii="Verdana" w:hAnsi="Verdana" w:cs="Arial"/>
          <w:color w:val="000000" w:themeColor="text1"/>
          <w:lang w:val="es-ES"/>
        </w:rPr>
        <w:t>Aclara que tanto las convocatorias limitadas a Mipymes, como las condiciones preferenciales a favor de los bienes y servicios producidos por estas, no es óbice para que deban cumplir las exigencias técnicas y económicas del proceso de selección.</w:t>
      </w:r>
    </w:p>
    <w:p w14:paraId="5A5BB8D8" w14:textId="77777777" w:rsidR="00E90E7C" w:rsidRDefault="00E90E7C" w:rsidP="039C9AAD">
      <w:pPr>
        <w:pStyle w:val="Prrafodelista"/>
        <w:numPr>
          <w:ilvl w:val="0"/>
          <w:numId w:val="17"/>
        </w:numPr>
        <w:spacing w:after="120" w:line="276" w:lineRule="auto"/>
        <w:jc w:val="both"/>
        <w:rPr>
          <w:rFonts w:ascii="Verdana" w:hAnsi="Verdana" w:cs="Arial"/>
          <w:color w:val="000000" w:themeColor="text1"/>
          <w:lang w:val="es-ES"/>
        </w:rPr>
      </w:pPr>
      <w:r w:rsidRPr="039C9AAD">
        <w:rPr>
          <w:rFonts w:ascii="Verdana" w:hAnsi="Verdana" w:cs="Arial"/>
          <w:color w:val="000000" w:themeColor="text1"/>
          <w:lang w:val="es-ES"/>
        </w:rPr>
        <w:t xml:space="preserve"> Señala que el reglamento a cargo del gobierno nacional, además de lo referente a las convocatorias limitadas a Mipymes, deberá contener disposiciones normativas que permitan la provisión de bienes y servicios, a través de la celebración de contratos estatales con algunas personas que gozan de especial protección constitucional. Entre tales personas se encuentran las que tengan condiciones de pobreza extrema, las desplazadas por la violencia y quienes estén en procesos de reintegración o reincorporación, entre otras que incluya el reglamento.</w:t>
      </w:r>
    </w:p>
    <w:p w14:paraId="0BCF1136" w14:textId="77777777" w:rsidR="00E90E7C" w:rsidRDefault="00E90E7C" w:rsidP="039C9AAD">
      <w:pPr>
        <w:pStyle w:val="Prrafodelista"/>
        <w:numPr>
          <w:ilvl w:val="0"/>
          <w:numId w:val="17"/>
        </w:numPr>
        <w:spacing w:after="120" w:line="276" w:lineRule="auto"/>
        <w:jc w:val="both"/>
        <w:rPr>
          <w:rFonts w:ascii="Verdana" w:hAnsi="Verdana" w:cs="Arial"/>
          <w:color w:val="000000" w:themeColor="text1"/>
          <w:lang w:val="es-ES"/>
        </w:rPr>
      </w:pPr>
      <w:r w:rsidRPr="039C9AAD">
        <w:rPr>
          <w:rFonts w:ascii="Verdana" w:hAnsi="Verdana" w:cs="Arial"/>
          <w:color w:val="000000" w:themeColor="text1"/>
          <w:lang w:val="es-ES"/>
        </w:rPr>
        <w:t>Precisa que la posibilidad de participar en convocatorias limitadas a Mipymes se encuentra condicionada a que estas acrediten como mínimo un año de existencia, con el certificado expedido por la cámara de comercio respectiva o por la autoridad que sea competente para ello.</w:t>
      </w:r>
    </w:p>
    <w:p w14:paraId="21D3F6D2" w14:textId="77777777" w:rsidR="00E90E7C" w:rsidRDefault="00E90E7C" w:rsidP="00E90E7C">
      <w:pPr>
        <w:pStyle w:val="Prrafodelista"/>
        <w:numPr>
          <w:ilvl w:val="0"/>
          <w:numId w:val="17"/>
        </w:numPr>
        <w:spacing w:after="120" w:line="276" w:lineRule="auto"/>
        <w:jc w:val="both"/>
        <w:rPr>
          <w:rFonts w:ascii="Verdana" w:hAnsi="Verdana" w:cs="Arial"/>
          <w:color w:val="000000" w:themeColor="text1"/>
          <w:lang w:val="es-ES_tradnl"/>
        </w:rPr>
      </w:pPr>
      <w:r w:rsidRPr="00B67B55">
        <w:rPr>
          <w:rFonts w:ascii="Verdana" w:hAnsi="Verdana" w:cs="Arial"/>
          <w:color w:val="000000" w:themeColor="text1"/>
          <w:lang w:val="es-ES_tradnl"/>
        </w:rPr>
        <w:lastRenderedPageBreak/>
        <w:t>Hace obligatorio el cumplimiento de lo dispuesto en los artículos 90 a 95 de la Ley 418 de 1997 –normas que establecen la obligación de declarar la caducidad y la liquidación unilateral cuando el contratista beneficie grupos armados organizados al margen de la ley– en la ejecución de los contratos celebrados en virtud del artículo 34 de la Ley 2069 de 2020.</w:t>
      </w:r>
    </w:p>
    <w:p w14:paraId="5BB0A496" w14:textId="77777777" w:rsidR="00E90E7C" w:rsidRPr="00B67B55" w:rsidRDefault="00E90E7C" w:rsidP="00E90E7C">
      <w:pPr>
        <w:pStyle w:val="Prrafodelista"/>
        <w:spacing w:after="120" w:line="276" w:lineRule="auto"/>
        <w:ind w:left="1440"/>
        <w:jc w:val="both"/>
        <w:rPr>
          <w:rFonts w:ascii="Verdana" w:hAnsi="Verdana" w:cs="Arial"/>
          <w:color w:val="000000" w:themeColor="text1"/>
          <w:lang w:val="es-ES_tradnl"/>
        </w:rPr>
      </w:pPr>
    </w:p>
    <w:p w14:paraId="22A70794" w14:textId="77777777" w:rsidR="00E90E7C" w:rsidRPr="00B67B55" w:rsidRDefault="00E90E7C" w:rsidP="00E90E7C">
      <w:pPr>
        <w:pStyle w:val="Prrafodelista"/>
        <w:numPr>
          <w:ilvl w:val="0"/>
          <w:numId w:val="16"/>
        </w:numPr>
        <w:spacing w:after="120" w:line="276" w:lineRule="auto"/>
        <w:jc w:val="both"/>
        <w:rPr>
          <w:rFonts w:ascii="Verdana" w:hAnsi="Verdana" w:cs="Arial"/>
          <w:color w:val="000000" w:themeColor="text1"/>
          <w:lang w:val="es-ES_tradnl"/>
        </w:rPr>
      </w:pPr>
      <w:r w:rsidRPr="00B67B55">
        <w:rPr>
          <w:rFonts w:ascii="Verdana" w:hAnsi="Verdana" w:cs="Arial"/>
          <w:color w:val="000000" w:themeColor="text1"/>
          <w:lang w:val="es-ES_tradnl"/>
        </w:rPr>
        <w:t>A partir de lo anterior, el artículo 34 de la Ley 2069 de 2020 sustituyó íntegramente el contenido del artículo 12 de la Ley 1150 de 2007. En este sentido, frente a esta última norma se produjo el fenómeno de la subrogación, dado que la disposición en estudio contiene una regulación diferente respecto de la promoción del desarrollo en la contratación estatal. Además, el primer inciso del artículo 34 de la Ley 2069 de 2020 dispone expresamente: “Modifíquese el artículo 12 de la Ley 1150 de 2007, el cual quedará así”, lo que significa que la voluntad del legislador no estuvo dirigida a efectuar una reforma parcial del artículo 12 de la Ley 1150 de 2007, sino a modificarlo completamente, sustituyéndolo por uno nuevo.</w:t>
      </w:r>
    </w:p>
    <w:p w14:paraId="7CDA809E" w14:textId="77777777" w:rsidR="00E90E7C" w:rsidRPr="00B67B55" w:rsidRDefault="00E90E7C" w:rsidP="039C9AAD">
      <w:pPr>
        <w:pStyle w:val="Prrafodelista"/>
        <w:numPr>
          <w:ilvl w:val="0"/>
          <w:numId w:val="16"/>
        </w:numPr>
        <w:spacing w:after="120" w:line="276" w:lineRule="auto"/>
        <w:jc w:val="both"/>
        <w:rPr>
          <w:rFonts w:ascii="Verdana" w:hAnsi="Verdana" w:cs="Arial"/>
          <w:color w:val="000000" w:themeColor="text1"/>
          <w:lang w:val="es-ES"/>
        </w:rPr>
      </w:pPr>
      <w:r w:rsidRPr="039C9AAD">
        <w:rPr>
          <w:rFonts w:ascii="Verdana" w:hAnsi="Verdana" w:cs="Arial"/>
          <w:color w:val="000000" w:themeColor="text1"/>
          <w:lang w:val="es-ES"/>
        </w:rPr>
        <w:t xml:space="preserve">Por otro lado, en cuanto a lo dispuesto por el antiguo artículo 2.2.1.2.4.2.3 del Decreto 1082 de 2015, que regulaba la posibilidad de limitar convocatorias a Mipymes domiciliadas en un determinado ámbito territorial, se estima que este, al igual que el artículo 2.2.1.2.4.2.2, también se afectó por el fenómeno del decaimiento y hoy quedó sustituido por lo dispuesto en el Decreto 1860 de 2021. </w:t>
      </w:r>
    </w:p>
    <w:p w14:paraId="65853504" w14:textId="77777777" w:rsidR="00E90E7C" w:rsidRDefault="00E90E7C" w:rsidP="039C9AAD">
      <w:pPr>
        <w:pStyle w:val="Prrafodelista"/>
        <w:numPr>
          <w:ilvl w:val="0"/>
          <w:numId w:val="16"/>
        </w:numPr>
        <w:spacing w:after="120" w:line="276" w:lineRule="auto"/>
        <w:jc w:val="both"/>
        <w:rPr>
          <w:rFonts w:ascii="Verdana" w:hAnsi="Verdana" w:cs="Arial"/>
          <w:color w:val="000000" w:themeColor="text1"/>
          <w:lang w:val="es-ES"/>
        </w:rPr>
      </w:pPr>
      <w:r w:rsidRPr="039C9AAD">
        <w:rPr>
          <w:rFonts w:ascii="Verdana" w:hAnsi="Verdana" w:cs="Arial"/>
          <w:color w:val="000000" w:themeColor="text1"/>
          <w:lang w:val="es-ES"/>
        </w:rPr>
        <w:t xml:space="preserve">De otra parte, esta Agencia sobre las limitaciones territoriales para convocatorias de mipymes a la luz del antiguo artículo 2.2.1.2.4.2.3 del Decreto 1082 de 2015, –había sostenido que, para que se permitiera la participación de una Mipyme en uno de estos procesos, era necesario que esta demostrara estar domiciliada en el municipio o departamento en el que se ejecutaría el contrato, la tesis se expuso en los siguientes términos: </w:t>
      </w:r>
    </w:p>
    <w:p w14:paraId="424FD1F7" w14:textId="77777777" w:rsidR="00E90E7C" w:rsidRDefault="00E90E7C" w:rsidP="00E90E7C">
      <w:pPr>
        <w:pStyle w:val="Prrafodelista"/>
        <w:spacing w:after="120" w:line="276" w:lineRule="auto"/>
        <w:jc w:val="both"/>
        <w:rPr>
          <w:rFonts w:ascii="Verdana" w:hAnsi="Verdana" w:cs="Arial"/>
          <w:color w:val="000000" w:themeColor="text1"/>
          <w:lang w:val="es-ES_tradnl"/>
        </w:rPr>
      </w:pPr>
    </w:p>
    <w:p w14:paraId="0B36BFB5" w14:textId="77777777" w:rsidR="00E90E7C" w:rsidRDefault="00E90E7C" w:rsidP="039C9AAD">
      <w:pPr>
        <w:pStyle w:val="Prrafodelista"/>
        <w:spacing w:after="120" w:line="276" w:lineRule="auto"/>
        <w:jc w:val="both"/>
        <w:rPr>
          <w:rFonts w:ascii="Verdana" w:hAnsi="Verdana" w:cs="Arial"/>
          <w:color w:val="000000" w:themeColor="text1"/>
          <w:lang w:val="es-ES"/>
        </w:rPr>
      </w:pPr>
      <w:r w:rsidRPr="039C9AAD">
        <w:rPr>
          <w:rFonts w:ascii="Verdana" w:hAnsi="Verdana" w:cs="Arial"/>
          <w:color w:val="000000" w:themeColor="text1"/>
          <w:lang w:val="es-ES"/>
        </w:rPr>
        <w:t xml:space="preserve">“Es de resaltar que estas normas se refieren a las Mipymes nacionales genéricamente y, particularmente, a las Mipymes nacionales “domiciliadas </w:t>
      </w:r>
      <w:r w:rsidRPr="039C9AAD">
        <w:rPr>
          <w:rFonts w:ascii="Verdana" w:hAnsi="Verdana" w:cs="Arial"/>
          <w:color w:val="000000" w:themeColor="text1"/>
          <w:lang w:val="es-ES"/>
        </w:rPr>
        <w:lastRenderedPageBreak/>
        <w:t>en los departamentos o municipios en donde se va a ejecutar el contrato”. En ambos casos se refiere a Mipymes nacionales, distinguiéndolas de las empresas extranjeras. Del artículo 2.2.1.2.4.2.3. del Decreto 1082 de 2015 no se deriva que existan Mipymes del orden territorial. Esta categoría no existe en el ordenamiento jurídico. En ese sentido, toda empresa constituida bajo las leyes colombianas o que tenga su domicilio principal en el territorio colombiano y, además, cumpla los criterios previstos por la Ley 590 de 2000 y el Decreto 957 de 2019, será considerada Mipymes del orden nacional. Otra cosa es que las normas de contratación permitan que las Mipymes nacionales con “domicilio” en un municipio o departamento puedan beneficiarse en la ejecución de un contrato dentro de la entidad territorial en la que tienen su “domicilio”. De todos modos, las Mipymes domiciliadas en un municipio o departamento son Mipymes nacionales. En consecuencia, no es procedente distinguir entre Mipymes nacionales y Mipymes municipales o departamentales, habida cuenta que estas últimas no existen como categoría dentro del ordenamiento normativo.</w:t>
      </w:r>
    </w:p>
    <w:p w14:paraId="4E654776" w14:textId="77777777" w:rsidR="00E90E7C" w:rsidRDefault="00E90E7C" w:rsidP="039C9AAD">
      <w:pPr>
        <w:pStyle w:val="Prrafodelista"/>
        <w:numPr>
          <w:ilvl w:val="0"/>
          <w:numId w:val="16"/>
        </w:numPr>
        <w:spacing w:after="120" w:line="276" w:lineRule="auto"/>
        <w:jc w:val="both"/>
        <w:rPr>
          <w:rFonts w:ascii="Verdana" w:hAnsi="Verdana" w:cs="Arial"/>
          <w:color w:val="000000" w:themeColor="text1"/>
          <w:lang w:val="es-ES"/>
        </w:rPr>
      </w:pPr>
      <w:r w:rsidRPr="039C9AAD">
        <w:rPr>
          <w:rFonts w:ascii="Verdana" w:hAnsi="Verdana" w:cs="Arial"/>
          <w:color w:val="000000" w:themeColor="text1"/>
          <w:lang w:val="es-ES"/>
        </w:rPr>
        <w:t>Igualmente, se debe precisar que el artículo 2.2.1.2.4.2.3. del Decreto 1082 de 2015 se refiere a las “Mipyme nacionales domiciliadas en los departamentos o municipios en donde se va a ejecutar el contrato” “cursivas propias”, esto es, al “domicilio” y no a las “sucursales”. Esta distinción es importante porque el beneficio normativo únicamente aplica en el lugar en el que la Mipyme tiene su “domicilio”, y no en donde tiene sucursales”. (Énfasis fuera de texto)</w:t>
      </w:r>
    </w:p>
    <w:p w14:paraId="1E73695D" w14:textId="77777777" w:rsidR="00E90E7C" w:rsidRDefault="00E90E7C" w:rsidP="039C9AAD">
      <w:pPr>
        <w:pStyle w:val="Prrafodelista"/>
        <w:numPr>
          <w:ilvl w:val="0"/>
          <w:numId w:val="16"/>
        </w:numPr>
        <w:spacing w:after="120" w:line="276" w:lineRule="auto"/>
        <w:jc w:val="both"/>
        <w:rPr>
          <w:rFonts w:ascii="Verdana" w:hAnsi="Verdana" w:cs="Arial"/>
          <w:color w:val="000000" w:themeColor="text1"/>
          <w:lang w:val="es-ES"/>
        </w:rPr>
      </w:pPr>
      <w:r w:rsidRPr="039C9AAD">
        <w:rPr>
          <w:rFonts w:ascii="Verdana" w:hAnsi="Verdana" w:cs="Arial"/>
          <w:color w:val="000000" w:themeColor="text1"/>
          <w:lang w:val="es-ES"/>
        </w:rPr>
        <w:t xml:space="preserve">Como se aprecia, la postura sostenida por esta Agencia en vigencia del artículo 2.2.1.2.4.2.3 del Decreto 1082 de 2015 no contemplaba la posibilidad de que una Mipyme domiciliada en un departamento o municipio diferentes al lugar de ejecución del contrato, en atención al cual se realiza la limitación territorial, participara en un proceso de selección por el hecho de tener una sucursal en este, puesto que lo relevante es el domicilio de la Mipyme. </w:t>
      </w:r>
    </w:p>
    <w:p w14:paraId="4C9DD30D" w14:textId="77777777" w:rsidR="00E90E7C" w:rsidRDefault="00E90E7C" w:rsidP="039C9AAD">
      <w:pPr>
        <w:pStyle w:val="Prrafodelista"/>
        <w:numPr>
          <w:ilvl w:val="0"/>
          <w:numId w:val="16"/>
        </w:numPr>
        <w:spacing w:after="120" w:line="276" w:lineRule="auto"/>
        <w:jc w:val="both"/>
        <w:rPr>
          <w:rFonts w:ascii="Verdana" w:hAnsi="Verdana" w:cs="Arial"/>
          <w:color w:val="000000" w:themeColor="text1"/>
          <w:lang w:val="es-ES"/>
        </w:rPr>
      </w:pPr>
      <w:r w:rsidRPr="039C9AAD">
        <w:rPr>
          <w:rFonts w:ascii="Verdana" w:hAnsi="Verdana" w:cs="Arial"/>
          <w:color w:val="000000" w:themeColor="text1"/>
          <w:lang w:val="es-ES"/>
        </w:rPr>
        <w:t xml:space="preserve">Ahora bien, el texto del actual artículo 2.2.1.2.4.2.3, modificado por el artículo 5 del Decreto 1860 de 2021, no cambia la tesis adoptada en conceptos anteriores de Colombia Compra Eficiente emitidos antes de la </w:t>
      </w:r>
      <w:r w:rsidRPr="039C9AAD">
        <w:rPr>
          <w:rFonts w:ascii="Verdana" w:hAnsi="Verdana" w:cs="Arial"/>
          <w:color w:val="000000" w:themeColor="text1"/>
          <w:lang w:val="es-ES"/>
        </w:rPr>
        <w:lastRenderedPageBreak/>
        <w:t xml:space="preserve">expedición de este reglamento. Lo anterior en la medida que, respecto del domicilio de las mipymes en el departamento o municipio donde se ejecuta el contrato, la reglamentación no tuvo cambios. Así se desprende del texto de la nueva norma que es del siguiente tenor: </w:t>
      </w:r>
    </w:p>
    <w:p w14:paraId="5DB67163" w14:textId="77777777" w:rsidR="00E90E7C" w:rsidRDefault="00E90E7C" w:rsidP="00E90E7C">
      <w:pPr>
        <w:pStyle w:val="Prrafodelista"/>
        <w:spacing w:after="120" w:line="276" w:lineRule="auto"/>
        <w:jc w:val="both"/>
        <w:rPr>
          <w:rFonts w:ascii="Verdana" w:hAnsi="Verdana" w:cs="Arial"/>
          <w:color w:val="000000" w:themeColor="text1"/>
          <w:lang w:val="es-ES_tradnl"/>
        </w:rPr>
      </w:pPr>
    </w:p>
    <w:p w14:paraId="3B28D0BC" w14:textId="77777777" w:rsidR="00E90E7C" w:rsidRPr="00895737" w:rsidRDefault="00E90E7C" w:rsidP="00E90E7C">
      <w:pPr>
        <w:pStyle w:val="Prrafodelista"/>
        <w:spacing w:after="120" w:line="276" w:lineRule="auto"/>
        <w:jc w:val="both"/>
        <w:rPr>
          <w:rFonts w:ascii="Verdana" w:hAnsi="Verdana" w:cs="Arial"/>
          <w:color w:val="000000" w:themeColor="text1"/>
          <w:lang w:val="es-ES_tradnl"/>
        </w:rPr>
      </w:pPr>
      <w:r w:rsidRPr="00895737">
        <w:rPr>
          <w:rFonts w:ascii="Verdana" w:hAnsi="Verdana" w:cs="Arial"/>
          <w:color w:val="000000" w:themeColor="text1"/>
          <w:lang w:val="es-ES_tradnl"/>
        </w:rPr>
        <w:t>“ARTÍCULO  5. Modificaci</w:t>
      </w:r>
      <w:r w:rsidRPr="00895737">
        <w:rPr>
          <w:rFonts w:ascii="Verdana" w:hAnsi="Verdana" w:cs="Century Gothic"/>
          <w:color w:val="000000" w:themeColor="text1"/>
          <w:lang w:val="es-ES_tradnl"/>
        </w:rPr>
        <w:t>ó</w:t>
      </w:r>
      <w:r w:rsidRPr="00895737">
        <w:rPr>
          <w:rFonts w:ascii="Verdana" w:hAnsi="Verdana" w:cs="Arial"/>
          <w:color w:val="000000" w:themeColor="text1"/>
          <w:lang w:val="es-ES_tradnl"/>
        </w:rPr>
        <w:t>n de la Subsecci</w:t>
      </w:r>
      <w:r w:rsidRPr="00895737">
        <w:rPr>
          <w:rFonts w:ascii="Verdana" w:hAnsi="Verdana" w:cs="Century Gothic"/>
          <w:color w:val="000000" w:themeColor="text1"/>
          <w:lang w:val="es-ES_tradnl"/>
        </w:rPr>
        <w:t>ó</w:t>
      </w:r>
      <w:r w:rsidRPr="00895737">
        <w:rPr>
          <w:rFonts w:ascii="Verdana" w:hAnsi="Verdana" w:cs="Arial"/>
          <w:color w:val="000000" w:themeColor="text1"/>
          <w:lang w:val="es-ES_tradnl"/>
        </w:rPr>
        <w:t>n 2 de la Secci</w:t>
      </w:r>
      <w:r w:rsidRPr="00895737">
        <w:rPr>
          <w:rFonts w:ascii="Verdana" w:hAnsi="Verdana" w:cs="Century Gothic"/>
          <w:color w:val="000000" w:themeColor="text1"/>
          <w:lang w:val="es-ES_tradnl"/>
        </w:rPr>
        <w:t>ó</w:t>
      </w:r>
      <w:r w:rsidRPr="00895737">
        <w:rPr>
          <w:rFonts w:ascii="Verdana" w:hAnsi="Verdana" w:cs="Arial"/>
          <w:color w:val="000000" w:themeColor="text1"/>
          <w:lang w:val="es-ES_tradnl"/>
        </w:rPr>
        <w:t>n 4 del Cap</w:t>
      </w:r>
      <w:r w:rsidRPr="00895737">
        <w:rPr>
          <w:rFonts w:ascii="Verdana" w:hAnsi="Verdana" w:cs="Century Gothic"/>
          <w:color w:val="000000" w:themeColor="text1"/>
          <w:lang w:val="es-ES_tradnl"/>
        </w:rPr>
        <w:t>í</w:t>
      </w:r>
      <w:r w:rsidRPr="00895737">
        <w:rPr>
          <w:rFonts w:ascii="Verdana" w:hAnsi="Verdana" w:cs="Arial"/>
          <w:color w:val="000000" w:themeColor="text1"/>
          <w:lang w:val="es-ES_tradnl"/>
        </w:rPr>
        <w:t>tulo 2 del T</w:t>
      </w:r>
      <w:r w:rsidRPr="00895737">
        <w:rPr>
          <w:rFonts w:ascii="Verdana" w:hAnsi="Verdana" w:cs="Century Gothic"/>
          <w:color w:val="000000" w:themeColor="text1"/>
          <w:lang w:val="es-ES_tradnl"/>
        </w:rPr>
        <w:t>í</w:t>
      </w:r>
      <w:r w:rsidRPr="00895737">
        <w:rPr>
          <w:rFonts w:ascii="Verdana" w:hAnsi="Verdana" w:cs="Arial"/>
          <w:color w:val="000000" w:themeColor="text1"/>
          <w:lang w:val="es-ES_tradnl"/>
        </w:rPr>
        <w:t>tulo 1 de la Parte 2 del Libro 2 del Decreto 1082 de 2015. Modif</w:t>
      </w:r>
      <w:r w:rsidRPr="00895737">
        <w:rPr>
          <w:rFonts w:ascii="Verdana" w:hAnsi="Verdana" w:cs="Century Gothic"/>
          <w:color w:val="000000" w:themeColor="text1"/>
          <w:lang w:val="es-ES_tradnl"/>
        </w:rPr>
        <w:t>í</w:t>
      </w:r>
      <w:r w:rsidRPr="00895737">
        <w:rPr>
          <w:rFonts w:ascii="Verdana" w:hAnsi="Verdana" w:cs="Arial"/>
          <w:color w:val="000000" w:themeColor="text1"/>
          <w:lang w:val="es-ES_tradnl"/>
        </w:rPr>
        <w:t>quense los art</w:t>
      </w:r>
      <w:r w:rsidRPr="00895737">
        <w:rPr>
          <w:rFonts w:ascii="Verdana" w:hAnsi="Verdana" w:cs="Century Gothic"/>
          <w:color w:val="000000" w:themeColor="text1"/>
          <w:lang w:val="es-ES_tradnl"/>
        </w:rPr>
        <w:t>í</w:t>
      </w:r>
      <w:r w:rsidRPr="00895737">
        <w:rPr>
          <w:rFonts w:ascii="Verdana" w:hAnsi="Verdana" w:cs="Arial"/>
          <w:color w:val="000000" w:themeColor="text1"/>
          <w:lang w:val="es-ES_tradnl"/>
        </w:rPr>
        <w:t>culos 2.2.1.2.4.2.2., 2.2.1.2.4.2.3. y 2.2.1.2.4.2.4. de la Subsecci</w:t>
      </w:r>
      <w:r w:rsidRPr="00895737">
        <w:rPr>
          <w:rFonts w:ascii="Verdana" w:hAnsi="Verdana" w:cs="Century Gothic"/>
          <w:color w:val="000000" w:themeColor="text1"/>
          <w:lang w:val="es-ES_tradnl"/>
        </w:rPr>
        <w:t>ó</w:t>
      </w:r>
      <w:r w:rsidRPr="00895737">
        <w:rPr>
          <w:rFonts w:ascii="Verdana" w:hAnsi="Verdana" w:cs="Arial"/>
          <w:color w:val="000000" w:themeColor="text1"/>
          <w:lang w:val="es-ES_tradnl"/>
        </w:rPr>
        <w:t>n 2 de la Secci</w:t>
      </w:r>
      <w:r w:rsidRPr="00895737">
        <w:rPr>
          <w:rFonts w:ascii="Verdana" w:hAnsi="Verdana" w:cs="Century Gothic"/>
          <w:color w:val="000000" w:themeColor="text1"/>
          <w:lang w:val="es-ES_tradnl"/>
        </w:rPr>
        <w:t>ó</w:t>
      </w:r>
      <w:r w:rsidRPr="00895737">
        <w:rPr>
          <w:rFonts w:ascii="Verdana" w:hAnsi="Verdana" w:cs="Arial"/>
          <w:color w:val="000000" w:themeColor="text1"/>
          <w:lang w:val="es-ES_tradnl"/>
        </w:rPr>
        <w:t>n 4 del Cap</w:t>
      </w:r>
      <w:r w:rsidRPr="00895737">
        <w:rPr>
          <w:rFonts w:ascii="Verdana" w:hAnsi="Verdana" w:cs="Century Gothic"/>
          <w:color w:val="000000" w:themeColor="text1"/>
          <w:lang w:val="es-ES_tradnl"/>
        </w:rPr>
        <w:t>í</w:t>
      </w:r>
      <w:r w:rsidRPr="00895737">
        <w:rPr>
          <w:rFonts w:ascii="Verdana" w:hAnsi="Verdana" w:cs="Arial"/>
          <w:color w:val="000000" w:themeColor="text1"/>
          <w:lang w:val="es-ES_tradnl"/>
        </w:rPr>
        <w:t>tulo 2 del T</w:t>
      </w:r>
      <w:r w:rsidRPr="00895737">
        <w:rPr>
          <w:rFonts w:ascii="Verdana" w:hAnsi="Verdana" w:cs="Century Gothic"/>
          <w:color w:val="000000" w:themeColor="text1"/>
          <w:lang w:val="es-ES_tradnl"/>
        </w:rPr>
        <w:t>í</w:t>
      </w:r>
      <w:r w:rsidRPr="00895737">
        <w:rPr>
          <w:rFonts w:ascii="Verdana" w:hAnsi="Verdana" w:cs="Arial"/>
          <w:color w:val="000000" w:themeColor="text1"/>
          <w:lang w:val="es-ES_tradnl"/>
        </w:rPr>
        <w:t>tulo 1 de la Parte 2 del Libro 2 del Decreto 1082 de 2015, los cuales quedar</w:t>
      </w:r>
      <w:r w:rsidRPr="00895737">
        <w:rPr>
          <w:rFonts w:ascii="Verdana" w:hAnsi="Verdana" w:cs="Century Gothic"/>
          <w:color w:val="000000" w:themeColor="text1"/>
          <w:lang w:val="es-ES_tradnl"/>
        </w:rPr>
        <w:t>á</w:t>
      </w:r>
      <w:r w:rsidRPr="00895737">
        <w:rPr>
          <w:rFonts w:ascii="Verdana" w:hAnsi="Verdana" w:cs="Arial"/>
          <w:color w:val="000000" w:themeColor="text1"/>
          <w:lang w:val="es-ES_tradnl"/>
        </w:rPr>
        <w:t>n as</w:t>
      </w:r>
      <w:r w:rsidRPr="00895737">
        <w:rPr>
          <w:rFonts w:ascii="Verdana" w:hAnsi="Verdana" w:cs="Century Gothic"/>
          <w:color w:val="000000" w:themeColor="text1"/>
          <w:lang w:val="es-ES_tradnl"/>
        </w:rPr>
        <w:t>í</w:t>
      </w:r>
      <w:r w:rsidRPr="00895737">
        <w:rPr>
          <w:rFonts w:ascii="Verdana" w:hAnsi="Verdana" w:cs="Arial"/>
          <w:color w:val="000000" w:themeColor="text1"/>
          <w:lang w:val="es-ES_tradnl"/>
        </w:rPr>
        <w:t>:</w:t>
      </w:r>
    </w:p>
    <w:p w14:paraId="27DC9A1C" w14:textId="77777777" w:rsidR="00E90E7C" w:rsidRPr="005B3F16" w:rsidRDefault="00E90E7C" w:rsidP="039C9AAD">
      <w:pPr>
        <w:spacing w:after="120" w:line="276" w:lineRule="auto"/>
        <w:ind w:left="709" w:right="709" w:firstLine="708"/>
        <w:jc w:val="both"/>
        <w:rPr>
          <w:rFonts w:ascii="Verdana" w:hAnsi="Verdana" w:cs="Arial"/>
          <w:color w:val="000000" w:themeColor="text1"/>
          <w:lang w:val="es-ES"/>
        </w:rPr>
      </w:pPr>
      <w:r w:rsidRPr="039C9AAD">
        <w:rPr>
          <w:rFonts w:ascii="Verdana" w:hAnsi="Verdana" w:cs="Arial"/>
          <w:color w:val="000000" w:themeColor="text1"/>
          <w:lang w:val="es-ES"/>
        </w:rPr>
        <w:t>[…]ARTÍCULO 2.2.1.2.4.2.3. Limitaciones territoriales. De conformidad con el par</w:t>
      </w:r>
      <w:r w:rsidRPr="039C9AAD">
        <w:rPr>
          <w:rFonts w:ascii="Verdana" w:hAnsi="Verdana" w:cs="Century Gothic"/>
          <w:color w:val="000000" w:themeColor="text1"/>
          <w:lang w:val="es-ES"/>
        </w:rPr>
        <w:t>á</w:t>
      </w:r>
      <w:r w:rsidRPr="039C9AAD">
        <w:rPr>
          <w:rFonts w:ascii="Verdana" w:hAnsi="Verdana" w:cs="Arial"/>
          <w:color w:val="000000" w:themeColor="text1"/>
          <w:lang w:val="es-ES"/>
        </w:rPr>
        <w:t>grafo 1 del art</w:t>
      </w:r>
      <w:r w:rsidRPr="039C9AAD">
        <w:rPr>
          <w:rFonts w:ascii="Verdana" w:hAnsi="Verdana" w:cs="Century Gothic"/>
          <w:color w:val="000000" w:themeColor="text1"/>
          <w:lang w:val="es-ES"/>
        </w:rPr>
        <w:t>í</w:t>
      </w:r>
      <w:r w:rsidRPr="039C9AAD">
        <w:rPr>
          <w:rFonts w:ascii="Verdana" w:hAnsi="Verdana" w:cs="Arial"/>
          <w:color w:val="000000" w:themeColor="text1"/>
          <w:lang w:val="es-ES"/>
        </w:rPr>
        <w:t>culo 12 de la Ley 1150 de 2007, las Entidades Estatales, independientemente de su r</w:t>
      </w:r>
      <w:r w:rsidRPr="039C9AAD">
        <w:rPr>
          <w:rFonts w:ascii="Verdana" w:hAnsi="Verdana" w:cs="Century Gothic"/>
          <w:color w:val="000000" w:themeColor="text1"/>
          <w:lang w:val="es-ES"/>
        </w:rPr>
        <w:t>é</w:t>
      </w:r>
      <w:r w:rsidRPr="039C9AAD">
        <w:rPr>
          <w:rFonts w:ascii="Verdana" w:hAnsi="Verdana" w:cs="Arial"/>
          <w:color w:val="000000" w:themeColor="text1"/>
          <w:lang w:val="es-ES"/>
        </w:rPr>
        <w:t>gimen de contrataci</w:t>
      </w:r>
      <w:r w:rsidRPr="039C9AAD">
        <w:rPr>
          <w:rFonts w:ascii="Verdana" w:hAnsi="Verdana" w:cs="Century Gothic"/>
          <w:color w:val="000000" w:themeColor="text1"/>
          <w:lang w:val="es-ES"/>
        </w:rPr>
        <w:t>ó</w:t>
      </w:r>
      <w:r w:rsidRPr="039C9AAD">
        <w:rPr>
          <w:rFonts w:ascii="Verdana" w:hAnsi="Verdana" w:cs="Arial"/>
          <w:color w:val="000000" w:themeColor="text1"/>
          <w:lang w:val="es-ES"/>
        </w:rPr>
        <w:t>n, los patrimonios aut</w:t>
      </w:r>
      <w:r w:rsidRPr="039C9AAD">
        <w:rPr>
          <w:rFonts w:ascii="Verdana" w:hAnsi="Verdana" w:cs="Century Gothic"/>
          <w:color w:val="000000" w:themeColor="text1"/>
          <w:lang w:val="es-ES"/>
        </w:rPr>
        <w:t>ó</w:t>
      </w:r>
      <w:r w:rsidRPr="039C9AAD">
        <w:rPr>
          <w:rFonts w:ascii="Verdana" w:hAnsi="Verdana" w:cs="Arial"/>
          <w:color w:val="000000" w:themeColor="text1"/>
          <w:lang w:val="es-ES"/>
        </w:rPr>
        <w:t>nomos constituidos por Entidades Estatales y los particulares que ejecuten recursos p</w:t>
      </w:r>
      <w:r w:rsidRPr="039C9AAD">
        <w:rPr>
          <w:rFonts w:ascii="Verdana" w:hAnsi="Verdana" w:cs="Century Gothic"/>
          <w:color w:val="000000" w:themeColor="text1"/>
          <w:lang w:val="es-ES"/>
        </w:rPr>
        <w:t>ú</w:t>
      </w:r>
      <w:r w:rsidRPr="039C9AAD">
        <w:rPr>
          <w:rFonts w:ascii="Verdana" w:hAnsi="Verdana" w:cs="Arial"/>
          <w:color w:val="000000" w:themeColor="text1"/>
          <w:lang w:val="es-ES"/>
        </w:rPr>
        <w:t>blicos, pueden realizar convocatorias limitadas a Mipyme colombianas que tengan domicilio en los departamentos o municipios en donde se va a ejecutar el contrato. Cada Mipyme deber</w:t>
      </w:r>
      <w:r w:rsidRPr="039C9AAD">
        <w:rPr>
          <w:rFonts w:ascii="Verdana" w:hAnsi="Verdana" w:cs="Century Gothic"/>
          <w:color w:val="000000" w:themeColor="text1"/>
          <w:lang w:val="es-ES"/>
        </w:rPr>
        <w:t>á</w:t>
      </w:r>
      <w:r w:rsidRPr="039C9AAD">
        <w:rPr>
          <w:rFonts w:ascii="Verdana" w:hAnsi="Verdana" w:cs="Arial"/>
          <w:color w:val="000000" w:themeColor="text1"/>
          <w:lang w:val="es-ES"/>
        </w:rPr>
        <w:t xml:space="preserve"> acreditar su domicilio con los documentos a los que se refiere el siguiente artículo”. </w:t>
      </w:r>
    </w:p>
    <w:p w14:paraId="5510E788" w14:textId="77777777" w:rsidR="00E90E7C" w:rsidRDefault="00E90E7C" w:rsidP="039C9AAD">
      <w:pPr>
        <w:pStyle w:val="Prrafodelista"/>
        <w:numPr>
          <w:ilvl w:val="0"/>
          <w:numId w:val="19"/>
        </w:numPr>
        <w:spacing w:after="120" w:line="276" w:lineRule="auto"/>
        <w:jc w:val="both"/>
        <w:rPr>
          <w:rFonts w:ascii="Verdana" w:hAnsi="Verdana" w:cs="Arial"/>
          <w:color w:val="000000" w:themeColor="text1"/>
          <w:lang w:val="es-ES"/>
        </w:rPr>
      </w:pPr>
      <w:r w:rsidRPr="039C9AAD">
        <w:rPr>
          <w:rFonts w:ascii="Verdana" w:hAnsi="Verdana" w:cs="Arial"/>
          <w:color w:val="000000" w:themeColor="text1"/>
          <w:lang w:val="es-ES"/>
        </w:rPr>
        <w:t xml:space="preserve">La norma reglamentaria coincide con la redacción del parágrafo 1 del artículo 34 de la Ley 2069 de 2020, según el cual, sí es posible limitar convocatorias a la participación de mipymes “[…] del ámbito municipal o departamental correspondiente al de la ejecución del contrato”. En tales términos, la norma citada sólo contempla la posibilidad de limitar convocatorias a mipymes con domicilio en esos dos tipos de entidades territoriales. </w:t>
      </w:r>
    </w:p>
    <w:p w14:paraId="048F3190" w14:textId="77777777" w:rsidR="00E90E7C" w:rsidRDefault="00E90E7C" w:rsidP="039C9AAD">
      <w:pPr>
        <w:pStyle w:val="Prrafodelista"/>
        <w:numPr>
          <w:ilvl w:val="0"/>
          <w:numId w:val="19"/>
        </w:numPr>
        <w:spacing w:after="120" w:line="276" w:lineRule="auto"/>
        <w:jc w:val="both"/>
        <w:rPr>
          <w:rFonts w:ascii="Verdana" w:hAnsi="Verdana" w:cs="Arial"/>
          <w:color w:val="000000" w:themeColor="text1"/>
          <w:lang w:val="es-ES"/>
        </w:rPr>
      </w:pPr>
      <w:r w:rsidRPr="039C9AAD">
        <w:rPr>
          <w:rFonts w:ascii="Verdana" w:hAnsi="Verdana" w:cs="Arial"/>
          <w:color w:val="000000" w:themeColor="text1"/>
          <w:lang w:val="es-ES"/>
        </w:rPr>
        <w:t xml:space="preserve">En ese sentido, toda empresa constituida bajo las leyes colombianas o que tenga su domicilio principal en el territorio colombiano y, además, cumpla los criterios previstos por la Ley 590 de 2000 y el Decreto 957 de 2019, será considerada Mipymes nacional. Además, las normas de contratación permiten que las Mipymes nacionales puedan beneficiarse de </w:t>
      </w:r>
      <w:r w:rsidRPr="039C9AAD">
        <w:rPr>
          <w:rFonts w:ascii="Verdana" w:hAnsi="Verdana" w:cs="Arial"/>
          <w:color w:val="000000" w:themeColor="text1"/>
          <w:lang w:val="es-ES"/>
        </w:rPr>
        <w:lastRenderedPageBreak/>
        <w:t xml:space="preserve">la ejecución de un contrato dentro de la entidad territorial en la que tienen su “domicilio”. </w:t>
      </w:r>
    </w:p>
    <w:p w14:paraId="046D1D09" w14:textId="77777777" w:rsidR="00E90E7C" w:rsidRDefault="00E90E7C" w:rsidP="039C9AAD">
      <w:pPr>
        <w:pStyle w:val="Prrafodelista"/>
        <w:numPr>
          <w:ilvl w:val="0"/>
          <w:numId w:val="19"/>
        </w:numPr>
        <w:spacing w:after="120" w:line="276" w:lineRule="auto"/>
        <w:jc w:val="both"/>
        <w:rPr>
          <w:rFonts w:ascii="Verdana" w:hAnsi="Verdana" w:cs="Arial"/>
          <w:color w:val="000000" w:themeColor="text1"/>
          <w:lang w:val="es-ES"/>
        </w:rPr>
      </w:pPr>
      <w:r w:rsidRPr="039C9AAD">
        <w:rPr>
          <w:rFonts w:ascii="Verdana" w:hAnsi="Verdana" w:cs="Arial"/>
          <w:color w:val="000000" w:themeColor="text1"/>
          <w:lang w:val="es-ES"/>
        </w:rPr>
        <w:t>Ahora bien, el artículo 2.2.1.2.4.2.3. del Decreto 1082 de 2015, modificado por el artículo 5 del Decreto 1860 de 2021 se refiere a las “mipyme colombianas que tengan domicilio en los departamentos o municipios en donde se va a ejecutar el contrato”. Esta precisión es importante, pues el incentivo previsto en la norma únicamente aplica en el lugar de ejecución del contratado en el que la Mipyme tiene su “domicilio”.</w:t>
      </w:r>
    </w:p>
    <w:p w14:paraId="68FF8CD4" w14:textId="77777777" w:rsidR="00E90E7C" w:rsidRDefault="00E90E7C" w:rsidP="00E90E7C">
      <w:pPr>
        <w:pStyle w:val="Prrafodelista"/>
        <w:numPr>
          <w:ilvl w:val="0"/>
          <w:numId w:val="19"/>
        </w:numPr>
        <w:spacing w:after="120" w:line="276" w:lineRule="auto"/>
        <w:jc w:val="both"/>
        <w:rPr>
          <w:rFonts w:ascii="Verdana" w:hAnsi="Verdana" w:cs="Arial"/>
          <w:color w:val="000000" w:themeColor="text1"/>
        </w:rPr>
      </w:pPr>
      <w:r w:rsidRPr="4FB4ECBF">
        <w:rPr>
          <w:rFonts w:ascii="Verdana" w:hAnsi="Verdana" w:cs="Arial"/>
          <w:color w:val="000000" w:themeColor="text1"/>
        </w:rPr>
        <w:t>Sin perjuicio de lo anterior, no puede perderse de vista que la decisión de limitar “a Mipyme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Mipymes, no puede motu propio 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2ECA8173" w14:textId="77777777" w:rsidR="00E90E7C" w:rsidRDefault="00E90E7C" w:rsidP="00E90E7C">
      <w:pPr>
        <w:pStyle w:val="Prrafodelista"/>
        <w:numPr>
          <w:ilvl w:val="0"/>
          <w:numId w:val="19"/>
        </w:numPr>
        <w:spacing w:after="120" w:line="276" w:lineRule="auto"/>
        <w:jc w:val="both"/>
        <w:rPr>
          <w:rFonts w:ascii="Verdana" w:hAnsi="Verdana" w:cs="Arial"/>
          <w:color w:val="000000" w:themeColor="text1"/>
        </w:rPr>
      </w:pPr>
      <w:r w:rsidRPr="4FB4ECBF">
        <w:rPr>
          <w:rFonts w:ascii="Verdana" w:hAnsi="Verdana" w:cs="Arial"/>
          <w:color w:val="000000" w:themeColor="text1"/>
        </w:rPr>
        <w:t xml:space="preserve">Cumplidos los dos requisitos del artículo 2.2.1.2.4.2.2. ibídem, la entidad estatal, independientemente de su régimen de contratación, los patrimonios autónomos constituidos por entidades estatales y los particulares que ejecuten recursos públicos, pueden ─no tienen que─ decidir si limitan la convocatoria a las Mipyme colombianas domiciliadas en el municipio o departamento en el que se ejecutará el contrato. Esto de acuerdo con lo establecido en artículo 2.2.1.2.4.2.3. del Decreto 1082 de 2015 modificado por el Decreto 1860 de 2021, norma que se refiere a la facultad de la administración con el verbo infinitivo “poder”, no “deber”. </w:t>
      </w:r>
    </w:p>
    <w:p w14:paraId="29D4E9DA" w14:textId="77777777" w:rsidR="00E90E7C" w:rsidRDefault="00E90E7C" w:rsidP="039C9AAD">
      <w:pPr>
        <w:pStyle w:val="Prrafodelista"/>
        <w:numPr>
          <w:ilvl w:val="0"/>
          <w:numId w:val="19"/>
        </w:numPr>
        <w:spacing w:after="120" w:line="276" w:lineRule="auto"/>
        <w:jc w:val="both"/>
        <w:rPr>
          <w:rFonts w:ascii="Verdana" w:hAnsi="Verdana" w:cs="Arial"/>
          <w:color w:val="000000" w:themeColor="text1"/>
          <w:lang w:val="es-ES"/>
        </w:rPr>
      </w:pPr>
      <w:r w:rsidRPr="039C9AAD">
        <w:rPr>
          <w:rFonts w:ascii="Verdana" w:hAnsi="Verdana" w:cs="Arial"/>
          <w:color w:val="000000" w:themeColor="text1"/>
          <w:lang w:val="es-ES"/>
        </w:rPr>
        <w:t xml:space="preserve">Colombia Compra Eficiente ha sostenido que la decisión de limitar territorialmente una convocatoria a Mipyme es discrecional, y ha precisado que, de todos modos, la decisión debe estar justificada en los correspondientes “estudios del sector”. Así lo consideró en la consulta No. </w:t>
      </w:r>
      <w:r w:rsidRPr="039C9AAD">
        <w:rPr>
          <w:rFonts w:ascii="Verdana" w:hAnsi="Verdana" w:cs="Arial"/>
          <w:color w:val="000000" w:themeColor="text1"/>
          <w:lang w:val="es-ES"/>
        </w:rPr>
        <w:lastRenderedPageBreak/>
        <w:t>216130003241, resuelta el 30 de junio de 2016. Igualmente, en la consulta resuelta en el radicado No. 2201813000008184 del 7 de septiembre de 2018, se dijo que, de acuerdo con el artículo 2.2.1.2.4.2.3. del Decreto 1082 de 2015, las Mipyme beneficiadas deben tener su domicilio principal en el municipio o departamento donde se ejecutará el contrato para poder participar en una convocatoria limitada territorialmente.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w:t>
      </w:r>
    </w:p>
    <w:p w14:paraId="681C1833" w14:textId="77777777" w:rsidR="00E90E7C" w:rsidRPr="00FC3C8D" w:rsidRDefault="00E90E7C" w:rsidP="00E90E7C">
      <w:pPr>
        <w:pStyle w:val="Prrafodelista"/>
        <w:numPr>
          <w:ilvl w:val="0"/>
          <w:numId w:val="19"/>
        </w:numPr>
        <w:spacing w:after="120" w:line="276" w:lineRule="auto"/>
        <w:jc w:val="both"/>
        <w:rPr>
          <w:rFonts w:ascii="Verdana" w:hAnsi="Verdana" w:cs="Arial"/>
          <w:color w:val="000000" w:themeColor="text1"/>
        </w:rPr>
      </w:pPr>
      <w:r w:rsidRPr="4FB4ECBF">
        <w:rPr>
          <w:rFonts w:ascii="Verdana" w:hAnsi="Verdana" w:cs="Arial"/>
          <w:color w:val="000000" w:themeColor="text1"/>
        </w:rPr>
        <w:t xml:space="preserve"> Se debe tener presente que lo que sucede de pleno derecho es la limitación a Mipyme colombianas a la que se refiere el artículo 2.2.1.2.4.2.2. del Decreto 1082 de 2015, pero no la “limitación territorial” referida en el artículo 2.2.1.2.4.2.3. ibídem, pues esta, como ya se dijo, es facultativa para la entidad. Las únicas exigencias son que la convocatoria esté limitada a las Mipyme colombianas “domiciliadas en los departamentos o municipios en donde se va a ejecutar el contrato” y que la entidad justifique su decisión en los “estudios del sector”. No es procedente, entonces, que sean las Mipymes las que soliciten la “limitación territorial” a la que se refiere el artículo 2.2.1.2.4.2.3. del Decreto 1082 de 2015. </w:t>
      </w:r>
    </w:p>
    <w:p w14:paraId="18D94BB9" w14:textId="77777777" w:rsidR="00E90E7C" w:rsidRDefault="00E90E7C" w:rsidP="00E90E7C">
      <w:pPr>
        <w:pStyle w:val="Prrafodelista"/>
        <w:numPr>
          <w:ilvl w:val="0"/>
          <w:numId w:val="19"/>
        </w:numPr>
        <w:spacing w:after="120" w:line="276" w:lineRule="auto"/>
        <w:jc w:val="both"/>
        <w:rPr>
          <w:rFonts w:ascii="Verdana" w:hAnsi="Verdana" w:cs="Arial"/>
          <w:color w:val="000000" w:themeColor="text1"/>
        </w:rPr>
      </w:pPr>
      <w:r w:rsidRPr="4FB4ECBF">
        <w:rPr>
          <w:rFonts w:ascii="Verdana" w:hAnsi="Verdana" w:cs="Arial"/>
          <w:color w:val="000000" w:themeColor="text1"/>
        </w:rPr>
        <w:t>El origen de las Mipyme que solicitan la “limitación territorial” no es relevante frente a dicha decisión, por dos razones: primero, porque las Mipyme no están habilitadas para pedir la “limitación territorial”, lo están para pedir la “convocatoria limitada a Mipymes”, y, segundo, porque el único criterio a tener en cuenta, una vez se ha decidido justificadamente limitar territorialmente la convocatoria previamente limitada a Mipyme, es el lugar donde se va a ejecutar el contrato.</w:t>
      </w:r>
    </w:p>
    <w:p w14:paraId="633AC0F6" w14:textId="77777777" w:rsidR="00E90E7C" w:rsidRDefault="00E90E7C" w:rsidP="00E90E7C">
      <w:pPr>
        <w:pStyle w:val="Prrafodelista"/>
        <w:numPr>
          <w:ilvl w:val="0"/>
          <w:numId w:val="19"/>
        </w:numPr>
        <w:spacing w:after="120" w:line="276" w:lineRule="auto"/>
        <w:jc w:val="both"/>
        <w:rPr>
          <w:rFonts w:ascii="Verdana" w:hAnsi="Verdana" w:cs="Arial"/>
          <w:color w:val="000000" w:themeColor="text1"/>
        </w:rPr>
      </w:pPr>
      <w:r w:rsidRPr="2F5E6258">
        <w:rPr>
          <w:rFonts w:ascii="Verdana" w:hAnsi="Verdana" w:cs="Arial"/>
          <w:color w:val="000000" w:themeColor="text1"/>
        </w:rPr>
        <w:t xml:space="preserve">Finalmente, resta precisar que el domicilio de la Mipymes que quiera participar en una convocatoria limitada territorialmente se acredita con los documentos definidos en el artículo 2.2.1.2.4.2.4. del Decreto 1082 de 2015, modificado por el Decreto 1860 de 2021. En consecuencia, el requisito podrá acreditarse con una certificación acompañada, ya sea, de </w:t>
      </w:r>
      <w:r w:rsidRPr="2F5E6258">
        <w:rPr>
          <w:rFonts w:ascii="Verdana" w:hAnsi="Verdana" w:cs="Arial"/>
          <w:color w:val="000000" w:themeColor="text1"/>
        </w:rPr>
        <w:lastRenderedPageBreak/>
        <w:t xml:space="preserve">una copia del registro mercantil –persona natural–, del certificado de existencia y representación legal –persona jurídica– o del Registro Único de Proponentes – RUP, en donde conste el domicilio de la mipyme interesada en la limitación territorial de la convocatoria pública para celebrar el contrato, que corresponda con el lugar de ejecución del mismo, ya sea departamento o municipio.  </w:t>
      </w:r>
    </w:p>
    <w:p w14:paraId="60098584" w14:textId="77777777" w:rsidR="00E90E7C" w:rsidRPr="00FC3C8D" w:rsidRDefault="00E90E7C" w:rsidP="039C9AAD">
      <w:pPr>
        <w:pStyle w:val="Prrafodelista"/>
        <w:numPr>
          <w:ilvl w:val="0"/>
          <w:numId w:val="19"/>
        </w:numPr>
        <w:spacing w:after="120" w:line="276" w:lineRule="auto"/>
        <w:jc w:val="both"/>
        <w:rPr>
          <w:rFonts w:ascii="Verdana" w:hAnsi="Verdana" w:cs="Arial"/>
          <w:color w:val="000000" w:themeColor="text1"/>
          <w:lang w:val="es-ES"/>
        </w:rPr>
      </w:pPr>
      <w:r w:rsidRPr="039C9AAD">
        <w:rPr>
          <w:rFonts w:ascii="Verdana" w:hAnsi="Verdana" w:cs="Arial"/>
          <w:color w:val="000000" w:themeColor="text1"/>
          <w:lang w:val="es-ES"/>
        </w:rPr>
        <w:t>De acuerdo con la explicación precedente, no puede perderse de vista que la decisión de limitar “a Mipyme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w:t>
      </w:r>
    </w:p>
    <w:p w14:paraId="68540539" w14:textId="77777777" w:rsidR="00E90E7C" w:rsidRPr="005B3F16" w:rsidRDefault="00E90E7C" w:rsidP="00E90E7C">
      <w:pPr>
        <w:spacing w:after="0" w:line="276" w:lineRule="auto"/>
        <w:jc w:val="both"/>
        <w:rPr>
          <w:rFonts w:ascii="Verdana" w:eastAsia="Calibri" w:hAnsi="Verdana" w:cs="Arial"/>
          <w:lang w:val="es-ES"/>
        </w:rPr>
      </w:pPr>
    </w:p>
    <w:p w14:paraId="7A59479A" w14:textId="77777777" w:rsidR="00E90E7C" w:rsidRPr="005B3F16" w:rsidRDefault="00E90E7C" w:rsidP="00E90E7C">
      <w:pPr>
        <w:widowControl w:val="0"/>
        <w:autoSpaceDE w:val="0"/>
        <w:autoSpaceDN w:val="0"/>
        <w:spacing w:after="0" w:line="276" w:lineRule="auto"/>
        <w:jc w:val="both"/>
        <w:rPr>
          <w:rFonts w:ascii="Verdana" w:hAnsi="Verdana" w:cs="Arial"/>
        </w:rPr>
      </w:pPr>
    </w:p>
    <w:p w14:paraId="4E1CCE5D" w14:textId="77777777" w:rsidR="00E90E7C" w:rsidRPr="005B3F16" w:rsidRDefault="00E90E7C" w:rsidP="00E90E7C">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B3F16">
        <w:rPr>
          <w:rFonts w:ascii="Verdana" w:eastAsia="Century Gothic" w:hAnsi="Verdana" w:cs="Century Gothic"/>
          <w:b/>
          <w:bCs/>
        </w:rPr>
        <w:t>Referencias normativas, jurisprudenciales y otras fuentes:</w:t>
      </w:r>
    </w:p>
    <w:p w14:paraId="4225A385" w14:textId="77777777" w:rsidR="00E90E7C" w:rsidRPr="005B3F16" w:rsidRDefault="00E90E7C" w:rsidP="00E90E7C">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90E7C" w:rsidRPr="005B3F16" w14:paraId="1277C589" w14:textId="77777777" w:rsidTr="00CF20D9">
        <w:trPr>
          <w:trHeight w:val="870"/>
        </w:trPr>
        <w:tc>
          <w:tcPr>
            <w:tcW w:w="8647" w:type="dxa"/>
          </w:tcPr>
          <w:p w14:paraId="38FF0813" w14:textId="77777777" w:rsidR="00E90E7C" w:rsidRPr="005B3F16" w:rsidRDefault="00E90E7C" w:rsidP="00E90E7C">
            <w:pPr>
              <w:pStyle w:val="Prrafodelista"/>
              <w:widowControl w:val="0"/>
              <w:numPr>
                <w:ilvl w:val="0"/>
                <w:numId w:val="8"/>
              </w:numPr>
              <w:tabs>
                <w:tab w:val="left" w:pos="8419"/>
              </w:tabs>
              <w:autoSpaceDE w:val="0"/>
              <w:autoSpaceDN w:val="0"/>
              <w:spacing w:after="120" w:line="276" w:lineRule="auto"/>
              <w:contextualSpacing w:val="0"/>
              <w:jc w:val="both"/>
              <w:rPr>
                <w:rFonts w:ascii="Verdana" w:hAnsi="Verdana" w:cs="Arial"/>
              </w:rPr>
            </w:pPr>
            <w:r w:rsidRPr="005B3F16">
              <w:rPr>
                <w:rFonts w:ascii="Verdana" w:hAnsi="Verdana" w:cs="Arial"/>
                <w:color w:val="000000" w:themeColor="text1"/>
                <w:lang w:val="es-ES_tradnl"/>
              </w:rPr>
              <w:t>Decreto 1860 de 2021</w:t>
            </w:r>
            <w:r>
              <w:rPr>
                <w:rFonts w:ascii="Verdana" w:hAnsi="Verdana" w:cs="Arial"/>
                <w:color w:val="000000" w:themeColor="text1"/>
                <w:lang w:val="es-ES_tradnl"/>
              </w:rPr>
              <w:t>,</w:t>
            </w:r>
            <w:r w:rsidRPr="005B3F16">
              <w:rPr>
                <w:rFonts w:ascii="Verdana" w:hAnsi="Verdana" w:cs="Arial"/>
                <w:color w:val="000000" w:themeColor="text1"/>
                <w:lang w:val="es-ES_tradnl"/>
              </w:rPr>
              <w:t xml:space="preserve"> numerales 1 y 2 del artículo 2.2.1.2.4.2.2</w:t>
            </w:r>
            <w:r>
              <w:rPr>
                <w:rFonts w:ascii="Verdana" w:hAnsi="Verdana" w:cs="Arial"/>
                <w:color w:val="000000" w:themeColor="text1"/>
                <w:lang w:val="es-ES_tradnl"/>
              </w:rPr>
              <w:t xml:space="preserve">. </w:t>
            </w:r>
            <w:r w:rsidRPr="005B3F16">
              <w:rPr>
                <w:rFonts w:ascii="Verdana" w:hAnsi="Verdana" w:cs="Arial"/>
                <w:color w:val="000000" w:themeColor="text1"/>
                <w:lang w:val="es-ES_tradnl"/>
              </w:rPr>
              <w:t>artículo</w:t>
            </w:r>
            <w:r>
              <w:rPr>
                <w:rFonts w:ascii="Verdana" w:hAnsi="Verdana" w:cs="Arial"/>
                <w:color w:val="000000" w:themeColor="text1"/>
                <w:lang w:val="es-ES_tradnl"/>
              </w:rPr>
              <w:t xml:space="preserve">s, </w:t>
            </w:r>
            <w:r w:rsidRPr="005B3F16">
              <w:rPr>
                <w:rFonts w:ascii="Verdana" w:hAnsi="Verdana" w:cs="Arial"/>
                <w:color w:val="000000" w:themeColor="text1"/>
                <w:lang w:val="es-ES_tradnl"/>
              </w:rPr>
              <w:t>2.2.1.2.4.2.3 2.2.1.2.4.2.4</w:t>
            </w:r>
            <w:r>
              <w:rPr>
                <w:rFonts w:ascii="Verdana" w:hAnsi="Verdana" w:cs="Arial"/>
                <w:color w:val="000000" w:themeColor="text1"/>
                <w:lang w:val="es-ES_tradnl"/>
              </w:rPr>
              <w:t xml:space="preserve">. </w:t>
            </w:r>
            <w:r w:rsidRPr="005B3F16">
              <w:rPr>
                <w:rFonts w:ascii="Verdana" w:hAnsi="Verdana" w:cs="Arial"/>
                <w:color w:val="000000" w:themeColor="text1"/>
                <w:lang w:val="es-ES_tradnl"/>
              </w:rPr>
              <w:t>Ley 1150 de 2007</w:t>
            </w:r>
            <w:r>
              <w:rPr>
                <w:rFonts w:ascii="Verdana" w:hAnsi="Verdana" w:cs="Arial"/>
                <w:color w:val="000000" w:themeColor="text1"/>
                <w:lang w:val="es-ES_tradnl"/>
              </w:rPr>
              <w:t xml:space="preserve"> artículo 12.</w:t>
            </w:r>
          </w:p>
          <w:p w14:paraId="2AE583D1" w14:textId="77777777" w:rsidR="00E90E7C" w:rsidRPr="005B3F16" w:rsidRDefault="00E90E7C" w:rsidP="00E90E7C">
            <w:pPr>
              <w:pStyle w:val="Prrafodelista"/>
              <w:widowControl w:val="0"/>
              <w:numPr>
                <w:ilvl w:val="0"/>
                <w:numId w:val="8"/>
              </w:numPr>
              <w:tabs>
                <w:tab w:val="left" w:pos="8419"/>
              </w:tabs>
              <w:autoSpaceDE w:val="0"/>
              <w:autoSpaceDN w:val="0"/>
              <w:spacing w:after="120" w:line="276" w:lineRule="auto"/>
              <w:contextualSpacing w:val="0"/>
              <w:jc w:val="both"/>
              <w:rPr>
                <w:rFonts w:ascii="Verdana" w:hAnsi="Verdana" w:cs="Arial"/>
              </w:rPr>
            </w:pPr>
            <w:r w:rsidRPr="005B3F16">
              <w:rPr>
                <w:rFonts w:ascii="Verdana" w:hAnsi="Verdana" w:cs="Arial"/>
              </w:rPr>
              <w:t xml:space="preserve">Circular Externa Única del 27 de diciembre de 2023. Disponible en: </w:t>
            </w:r>
            <w:hyperlink r:id="rId13" w:history="1">
              <w:r w:rsidRPr="005B3F16">
                <w:rPr>
                  <w:rStyle w:val="Hipervnculo"/>
                  <w:rFonts w:ascii="Verdana" w:hAnsi="Verdana" w:cs="Arial"/>
                </w:rPr>
                <w:t>https://www.colombiacompra.gov.co/sites/cce_public/files/cce_circulares/circular_externa_unica_version_3_vf49.pdf</w:t>
              </w:r>
            </w:hyperlink>
            <w:r w:rsidRPr="005B3F16">
              <w:rPr>
                <w:rFonts w:ascii="Verdana" w:hAnsi="Verdana" w:cs="Arial"/>
              </w:rPr>
              <w:t xml:space="preserve"> </w:t>
            </w:r>
          </w:p>
          <w:p w14:paraId="41FEA445" w14:textId="77777777" w:rsidR="00E90E7C" w:rsidRPr="005B3F16" w:rsidRDefault="00E90E7C" w:rsidP="00E90E7C">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5B3F16">
              <w:rPr>
                <w:rFonts w:ascii="Verdana" w:hAnsi="Verdana" w:cs="Arial"/>
              </w:rPr>
              <w:t xml:space="preserve">Resolución </w:t>
            </w:r>
            <w:r w:rsidRPr="005B3F16">
              <w:rPr>
                <w:rFonts w:ascii="Verdana" w:eastAsia="Times New Roman" w:hAnsi="Verdana" w:cs="Arial"/>
                <w:lang w:val="es-ES_tradnl" w:eastAsia="es-ES"/>
              </w:rPr>
              <w:t xml:space="preserve">219 de 2021 de la Agencia Nacional de Contratación Pública–Colombia Compra Eficiente–. Disponible en: </w:t>
            </w:r>
            <w:hyperlink r:id="rId14" w:history="1">
              <w:r w:rsidRPr="005B3F16">
                <w:rPr>
                  <w:rStyle w:val="Hipervnculo"/>
                  <w:rFonts w:ascii="Verdana" w:eastAsia="Times New Roman" w:hAnsi="Verdana" w:cs="Arial"/>
                  <w:lang w:val="es-ES_tradnl" w:eastAsia="es-ES"/>
                </w:rPr>
                <w:t>https://www.colombiacompra.gov.co/content/04-documentos-tipo-de-licitacion-de-obra-publica-para-proyectos-de-infraestructura-social</w:t>
              </w:r>
            </w:hyperlink>
            <w:r w:rsidRPr="005B3F16">
              <w:rPr>
                <w:rFonts w:ascii="Verdana" w:eastAsia="Times New Roman" w:hAnsi="Verdana" w:cs="Arial"/>
                <w:lang w:val="es-ES_tradnl" w:eastAsia="es-ES"/>
              </w:rPr>
              <w:t xml:space="preserve"> </w:t>
            </w:r>
          </w:p>
          <w:p w14:paraId="60F0BF82" w14:textId="77777777" w:rsidR="00E90E7C" w:rsidRPr="005B3F16" w:rsidRDefault="00E90E7C" w:rsidP="00E90E7C">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5B3F16">
              <w:rPr>
                <w:rFonts w:ascii="Verdana" w:hAnsi="Verdana" w:cs="Arial"/>
              </w:rPr>
              <w:t xml:space="preserve">Jurisprudencia del Consejo de Estado. Disponible en: </w:t>
            </w:r>
            <w:hyperlink r:id="rId15" w:history="1">
              <w:r w:rsidRPr="005B3F16">
                <w:rPr>
                  <w:rStyle w:val="Hipervnculo"/>
                  <w:rFonts w:ascii="Verdana" w:hAnsi="Verdana" w:cs="Arial"/>
                </w:rPr>
                <w:t>https://relatoria.colombiacompra.gov.co/providencias-consejo-de-estado/</w:t>
              </w:r>
            </w:hyperlink>
            <w:r w:rsidRPr="005B3F16">
              <w:rPr>
                <w:rFonts w:ascii="Verdana" w:hAnsi="Verdana" w:cs="Arial"/>
              </w:rPr>
              <w:t xml:space="preserve"> </w:t>
            </w:r>
          </w:p>
          <w:p w14:paraId="0EEFD345" w14:textId="77777777" w:rsidR="00E90E7C" w:rsidRPr="005B3F16" w:rsidRDefault="00E90E7C" w:rsidP="00E90E7C">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5B3F16">
              <w:rPr>
                <w:rFonts w:ascii="Verdana" w:hAnsi="Verdana" w:cs="Arial"/>
              </w:rPr>
              <w:t>Guías y manuales expedidos por la ANCP-CCE. Disponible en:</w:t>
            </w:r>
            <w:r w:rsidRPr="005B3F16">
              <w:rPr>
                <w:rFonts w:ascii="Verdana" w:hAnsi="Verdana"/>
              </w:rPr>
              <w:t xml:space="preserve"> </w:t>
            </w:r>
            <w:hyperlink r:id="rId16" w:history="1">
              <w:r w:rsidRPr="005B3F16">
                <w:rPr>
                  <w:rStyle w:val="Hipervnculo"/>
                  <w:rFonts w:ascii="Verdana" w:hAnsi="Verdana" w:cs="Arial"/>
                </w:rPr>
                <w:t>https://www.colombiacompra.gov.co/manuales-guias-y-pliegos-</w:t>
              </w:r>
              <w:r w:rsidRPr="005B3F16">
                <w:rPr>
                  <w:rStyle w:val="Hipervnculo"/>
                  <w:rFonts w:ascii="Verdana" w:hAnsi="Verdana" w:cs="Arial"/>
                </w:rPr>
                <w:lastRenderedPageBreak/>
                <w:t>tipo/manuales-y-guias</w:t>
              </w:r>
            </w:hyperlink>
            <w:r w:rsidRPr="005B3F16">
              <w:rPr>
                <w:rFonts w:ascii="Verdana" w:hAnsi="Verdana" w:cs="Arial"/>
              </w:rPr>
              <w:t xml:space="preserve"> </w:t>
            </w:r>
          </w:p>
          <w:p w14:paraId="2188A6E8" w14:textId="77777777" w:rsidR="00E90E7C" w:rsidRPr="005B3F16" w:rsidRDefault="00E90E7C" w:rsidP="00CF20D9">
            <w:pPr>
              <w:widowControl w:val="0"/>
              <w:autoSpaceDE w:val="0"/>
              <w:autoSpaceDN w:val="0"/>
              <w:spacing w:after="120" w:line="276" w:lineRule="auto"/>
              <w:ind w:left="360"/>
              <w:jc w:val="both"/>
              <w:rPr>
                <w:rFonts w:ascii="Verdana" w:hAnsi="Verdana" w:cs="Arial"/>
              </w:rPr>
            </w:pPr>
          </w:p>
        </w:tc>
      </w:tr>
    </w:tbl>
    <w:p w14:paraId="17E1D58A" w14:textId="77777777" w:rsidR="00E90E7C" w:rsidRPr="005B3F16" w:rsidRDefault="00E90E7C" w:rsidP="00E90E7C">
      <w:pPr>
        <w:widowControl w:val="0"/>
        <w:autoSpaceDE w:val="0"/>
        <w:autoSpaceDN w:val="0"/>
        <w:spacing w:after="0" w:line="276" w:lineRule="auto"/>
        <w:jc w:val="both"/>
        <w:rPr>
          <w:rFonts w:ascii="Verdana" w:hAnsi="Verdana" w:cs="Arial"/>
        </w:rPr>
      </w:pPr>
    </w:p>
    <w:p w14:paraId="4DC9CE86" w14:textId="77777777" w:rsidR="00E90E7C" w:rsidRPr="005B3F16" w:rsidRDefault="00E90E7C" w:rsidP="00E90E7C">
      <w:pPr>
        <w:widowControl w:val="0"/>
        <w:autoSpaceDE w:val="0"/>
        <w:autoSpaceDN w:val="0"/>
        <w:spacing w:after="0" w:line="276" w:lineRule="auto"/>
        <w:jc w:val="both"/>
        <w:rPr>
          <w:rFonts w:ascii="Verdana" w:hAnsi="Verdana" w:cs="Arial"/>
        </w:rPr>
      </w:pPr>
    </w:p>
    <w:p w14:paraId="5204B7C8" w14:textId="77777777" w:rsidR="00E90E7C" w:rsidRPr="005B3F16" w:rsidRDefault="00E90E7C" w:rsidP="00E90E7C">
      <w:pPr>
        <w:widowControl w:val="0"/>
        <w:autoSpaceDE w:val="0"/>
        <w:autoSpaceDN w:val="0"/>
        <w:spacing w:after="0" w:line="276" w:lineRule="auto"/>
        <w:jc w:val="both"/>
        <w:rPr>
          <w:rFonts w:ascii="Verdana" w:hAnsi="Verdana" w:cs="Arial"/>
        </w:rPr>
      </w:pPr>
    </w:p>
    <w:p w14:paraId="1A0B49FA" w14:textId="77777777" w:rsidR="00E90E7C" w:rsidRPr="005B3F16" w:rsidRDefault="00E90E7C" w:rsidP="00E90E7C">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B3F16">
        <w:rPr>
          <w:rFonts w:ascii="Verdana" w:eastAsia="Century Gothic" w:hAnsi="Verdana" w:cs="Century Gothic"/>
          <w:b/>
          <w:bCs/>
        </w:rPr>
        <w:t>Doctrina de la Agencia Nacional de Contratación Pública:</w:t>
      </w:r>
    </w:p>
    <w:p w14:paraId="3E21B8E3" w14:textId="77777777" w:rsidR="00E90E7C" w:rsidRPr="005B3F16" w:rsidRDefault="00E90E7C" w:rsidP="00E90E7C">
      <w:pPr>
        <w:widowControl w:val="0"/>
        <w:autoSpaceDE w:val="0"/>
        <w:autoSpaceDN w:val="0"/>
        <w:spacing w:after="0" w:line="276" w:lineRule="auto"/>
        <w:jc w:val="both"/>
        <w:rPr>
          <w:rFonts w:ascii="Verdana" w:hAnsi="Verdana" w:cs="Arial"/>
        </w:rPr>
      </w:pPr>
    </w:p>
    <w:p w14:paraId="2EBEB7BB" w14:textId="77777777" w:rsidR="00E90E7C" w:rsidRPr="005B3F16" w:rsidRDefault="00E90E7C" w:rsidP="00E90E7C">
      <w:pPr>
        <w:widowControl w:val="0"/>
        <w:autoSpaceDE w:val="0"/>
        <w:autoSpaceDN w:val="0"/>
        <w:spacing w:after="0" w:line="276" w:lineRule="auto"/>
        <w:jc w:val="both"/>
        <w:rPr>
          <w:rFonts w:ascii="Verdana" w:hAnsi="Verdana" w:cs="Arial"/>
        </w:rPr>
      </w:pPr>
      <w:r w:rsidRPr="005B3F16">
        <w:rPr>
          <w:rFonts w:ascii="Verdana" w:hAnsi="Verdana" w:cs="Arial"/>
        </w:rPr>
        <w:t>La Agencia Nacional de Contratación Pública – Colombia Compra Eficiente, se ha pronunciado sobre  las limitaciones territoriales de convocatorias a Mipyme en los concepto C-705 de 7 de diciembre de 2020, C-523 del 11 de agosto de 2020, C-438 de 27 de septiembre de 2021, C- 041 del 2 de marzo de 2022 y C-460 del 18 de julio de 2022, C-523 del 16 de agosto de 2022, C- 539 del 29 de agosto de 2022, C-585 del 19 de septiembre de 2022, C-587 del 21 de septiembre de 2022, C-597 del 9 de septiembre de 2022, C-627 del 12 de septiembre de 2022, C-643 del 10 de octubre de 2022, C-662 del 13 de octubre de 2022, C-699 del 25 de octubre de 2022, C-744 del 08 de noviembre de 2022 y C-758 del 10 de noviembre de 2022, C-089 del 28 de abril de 2023</w:t>
      </w:r>
      <w:r>
        <w:rPr>
          <w:rFonts w:ascii="Verdana" w:hAnsi="Verdana" w:cs="Arial"/>
        </w:rPr>
        <w:t>, C -094 del 19 de junio de 2024, C-305 del 18 de septiembre de 2024</w:t>
      </w:r>
      <w:r w:rsidRPr="005B3F16">
        <w:rPr>
          <w:rFonts w:ascii="Verdana" w:eastAsia="Calibri" w:hAnsi="Verdana"/>
          <w:lang w:val="es-ES_tradnl"/>
        </w:rPr>
        <w:t>. Es</w:t>
      </w:r>
      <w:r w:rsidRPr="005B3F16">
        <w:rPr>
          <w:rFonts w:ascii="Verdana" w:eastAsia="Calibri" w:hAnsi="Verdana" w:cs="Arial"/>
          <w:lang w:val="es-ES_tradnl"/>
        </w:rPr>
        <w:t>tos y otros conceptos se encuentran disponibles para consulta en el Sistema de relatoría de la Agencia, al cual se puede acceder a través del siguiente enlace:</w:t>
      </w:r>
      <w:r w:rsidRPr="005B3F16">
        <w:rPr>
          <w:rFonts w:ascii="Verdana" w:eastAsia="Calibri" w:hAnsi="Verdana"/>
          <w:lang w:val="es-ES_tradnl"/>
        </w:rPr>
        <w:t xml:space="preserve"> </w:t>
      </w:r>
    </w:p>
    <w:p w14:paraId="659B3D8C" w14:textId="77777777" w:rsidR="00E90E7C" w:rsidRPr="005B3F16" w:rsidRDefault="00E90E7C" w:rsidP="00E90E7C">
      <w:pPr>
        <w:widowControl w:val="0"/>
        <w:autoSpaceDE w:val="0"/>
        <w:autoSpaceDN w:val="0"/>
        <w:spacing w:after="0" w:line="276" w:lineRule="auto"/>
        <w:jc w:val="both"/>
        <w:rPr>
          <w:rFonts w:ascii="Verdana" w:eastAsia="Calibri" w:hAnsi="Verdana"/>
          <w:lang w:val="es-ES_tradnl"/>
        </w:rPr>
      </w:pPr>
    </w:p>
    <w:p w14:paraId="0F95220B" w14:textId="77777777" w:rsidR="00E90E7C" w:rsidRDefault="001D7A24" w:rsidP="00E90E7C">
      <w:pPr>
        <w:widowControl w:val="0"/>
        <w:autoSpaceDE w:val="0"/>
        <w:autoSpaceDN w:val="0"/>
        <w:spacing w:after="0" w:line="276" w:lineRule="auto"/>
        <w:jc w:val="both"/>
        <w:rPr>
          <w:rFonts w:ascii="Verdana" w:eastAsia="Calibri" w:hAnsi="Verdana"/>
          <w:lang w:val="es-ES_tradnl"/>
        </w:rPr>
      </w:pPr>
      <w:hyperlink r:id="rId17" w:history="1">
        <w:r w:rsidR="00E90E7C" w:rsidRPr="005B3F16">
          <w:rPr>
            <w:rStyle w:val="Hipervnculo"/>
            <w:rFonts w:ascii="Verdana" w:eastAsia="Calibri" w:hAnsi="Verdana"/>
            <w:lang w:val="es-ES_tradnl"/>
          </w:rPr>
          <w:t>https://relatoria.colombiacompra.gov.co/busqueda/conceptos</w:t>
        </w:r>
      </w:hyperlink>
      <w:r w:rsidR="00E90E7C" w:rsidRPr="005B3F16">
        <w:rPr>
          <w:rFonts w:ascii="Verdana" w:eastAsia="Calibri" w:hAnsi="Verdana"/>
          <w:lang w:val="es-ES_tradnl"/>
        </w:rPr>
        <w:t xml:space="preserve">. </w:t>
      </w:r>
    </w:p>
    <w:p w14:paraId="6747AEF9" w14:textId="77777777" w:rsidR="00E90E7C" w:rsidRDefault="00E90E7C" w:rsidP="00E90E7C">
      <w:pPr>
        <w:widowControl w:val="0"/>
        <w:autoSpaceDE w:val="0"/>
        <w:autoSpaceDN w:val="0"/>
        <w:spacing w:after="0" w:line="276" w:lineRule="auto"/>
        <w:jc w:val="both"/>
        <w:rPr>
          <w:rFonts w:ascii="Verdana" w:eastAsia="Calibri" w:hAnsi="Verdana"/>
          <w:lang w:val="es-ES_tradnl"/>
        </w:rPr>
      </w:pPr>
    </w:p>
    <w:p w14:paraId="44108263" w14:textId="77777777" w:rsidR="00E90E7C" w:rsidRPr="00CD2674" w:rsidRDefault="00E90E7C" w:rsidP="00E90E7C">
      <w:pPr>
        <w:widowControl w:val="0"/>
        <w:autoSpaceDE w:val="0"/>
        <w:autoSpaceDN w:val="0"/>
        <w:spacing w:after="0" w:line="240" w:lineRule="auto"/>
        <w:jc w:val="both"/>
        <w:rPr>
          <w:rFonts w:ascii="Verdana" w:eastAsia="Calibri" w:hAnsi="Verdana"/>
        </w:rPr>
      </w:pPr>
      <w:r w:rsidRPr="00740D76">
        <w:rPr>
          <w:rFonts w:ascii="Verdana" w:eastAsia="Calibri" w:hAnsi="Verdana"/>
        </w:rPr>
        <w:t>Te invitamos a revisar la cuarta edición del Boletín de Relatoría de 2024, en el cual se explicaron los cambios más relevantes que fueron incorporados en los Documentos Tipo para el sector de Infraestructura de Transporte, en las modalidades de selección de Licitación de Obra Pública, Selección Abreviada de Menor Cuantía y Mínima Cuantía. Puede consultarlo en el siguiente enlace : </w:t>
      </w:r>
      <w:hyperlink r:id="rId18" w:tooltip="Dirección URL original: https://www.colombiacompra.gov.co/sala-de-prensa/boletin-digital/boletin-de-relatoria-2024-iv. Haga clic o pulse si confía en este vínculo." w:history="1">
        <w:r w:rsidRPr="00740D76">
          <w:rPr>
            <w:rStyle w:val="Hipervnculo"/>
            <w:rFonts w:ascii="Verdana" w:eastAsia="Calibri" w:hAnsi="Verdana"/>
          </w:rPr>
          <w:t>BOLETÍN DE RELATORÍA 2024 – IV | Colombia Compra Eficiente | Agencia Nacional de Contratación Pública</w:t>
        </w:r>
      </w:hyperlink>
    </w:p>
    <w:p w14:paraId="4866FA70" w14:textId="77777777" w:rsidR="00E90E7C" w:rsidRPr="009037D0" w:rsidRDefault="00E90E7C" w:rsidP="00E90E7C">
      <w:pPr>
        <w:widowControl w:val="0"/>
        <w:autoSpaceDE w:val="0"/>
        <w:autoSpaceDN w:val="0"/>
        <w:spacing w:after="0" w:line="276" w:lineRule="auto"/>
        <w:jc w:val="both"/>
        <w:rPr>
          <w:rFonts w:ascii="Verdana" w:eastAsia="Calibri" w:hAnsi="Verdana"/>
        </w:rPr>
      </w:pPr>
    </w:p>
    <w:p w14:paraId="31A278CC" w14:textId="77777777" w:rsidR="00E90E7C" w:rsidRPr="005B3F16" w:rsidRDefault="00E90E7C" w:rsidP="00E90E7C">
      <w:pPr>
        <w:widowControl w:val="0"/>
        <w:autoSpaceDE w:val="0"/>
        <w:autoSpaceDN w:val="0"/>
        <w:spacing w:after="0" w:line="276" w:lineRule="auto"/>
        <w:jc w:val="both"/>
        <w:rPr>
          <w:rFonts w:ascii="Verdana" w:eastAsia="Calibri" w:hAnsi="Verdana"/>
          <w:lang w:val="es-ES_tradnl"/>
        </w:rPr>
      </w:pPr>
    </w:p>
    <w:p w14:paraId="41010958" w14:textId="77777777" w:rsidR="00E90E7C" w:rsidRPr="005B3F16" w:rsidRDefault="00E90E7C" w:rsidP="00E90E7C">
      <w:pPr>
        <w:widowControl w:val="0"/>
        <w:autoSpaceDE w:val="0"/>
        <w:autoSpaceDN w:val="0"/>
        <w:spacing w:after="0" w:line="276" w:lineRule="auto"/>
        <w:jc w:val="both"/>
        <w:rPr>
          <w:rFonts w:ascii="Verdana" w:eastAsia="Calibri" w:hAnsi="Verdana" w:cs="Arial"/>
          <w:lang w:val="es-ES_tradnl"/>
        </w:rPr>
      </w:pPr>
    </w:p>
    <w:p w14:paraId="5FD049A3" w14:textId="77777777" w:rsidR="00E90E7C" w:rsidRPr="005B3F16" w:rsidRDefault="00E90E7C" w:rsidP="00E90E7C">
      <w:pPr>
        <w:spacing w:after="0" w:line="276" w:lineRule="auto"/>
        <w:jc w:val="both"/>
        <w:rPr>
          <w:rFonts w:ascii="Verdana" w:eastAsia="Calibri" w:hAnsi="Verdana" w:cs="Arial"/>
          <w:lang w:val="es-ES_tradnl"/>
        </w:rPr>
      </w:pPr>
      <w:r w:rsidRPr="005B3F16">
        <w:rPr>
          <w:rFonts w:ascii="Verdana" w:eastAsia="Calibri" w:hAnsi="Verdana" w:cs="Arial"/>
          <w:lang w:val="es-ES_tradnl"/>
        </w:rPr>
        <w:lastRenderedPageBreak/>
        <w:t xml:space="preserve">Por último, lo invitamos a seguirnos en las redes sociales en las cuales se difunde información institucional: </w:t>
      </w:r>
    </w:p>
    <w:p w14:paraId="54A5D5CB" w14:textId="77777777" w:rsidR="00E90E7C" w:rsidRPr="005B3F16" w:rsidRDefault="00E90E7C" w:rsidP="00E90E7C">
      <w:pPr>
        <w:spacing w:after="0" w:line="276" w:lineRule="auto"/>
        <w:jc w:val="both"/>
        <w:rPr>
          <w:rFonts w:ascii="Verdana" w:eastAsia="Calibri" w:hAnsi="Verdana" w:cs="Arial"/>
          <w:lang w:val="es-ES_tradnl"/>
        </w:rPr>
      </w:pPr>
    </w:p>
    <w:p w14:paraId="7907B5F1" w14:textId="77777777" w:rsidR="00E90E7C" w:rsidRPr="005B3F16" w:rsidRDefault="00E90E7C" w:rsidP="00E90E7C">
      <w:pPr>
        <w:spacing w:after="0" w:line="276" w:lineRule="auto"/>
        <w:jc w:val="both"/>
        <w:rPr>
          <w:rFonts w:ascii="Verdana" w:eastAsia="Calibri" w:hAnsi="Verdana" w:cs="Arial"/>
          <w:lang w:val="es-ES_tradnl"/>
        </w:rPr>
      </w:pPr>
      <w:r w:rsidRPr="005B3F16">
        <w:rPr>
          <w:rFonts w:ascii="Verdana" w:eastAsia="Calibri" w:hAnsi="Verdana" w:cs="Arial"/>
          <w:lang w:val="es-ES_tradnl"/>
        </w:rPr>
        <w:t xml:space="preserve">Twitter: @colombiacompra </w:t>
      </w:r>
    </w:p>
    <w:p w14:paraId="37DBDFA7" w14:textId="77777777" w:rsidR="00E90E7C" w:rsidRPr="005B3F16" w:rsidRDefault="00E90E7C" w:rsidP="00E90E7C">
      <w:pPr>
        <w:spacing w:after="0" w:line="276" w:lineRule="auto"/>
        <w:jc w:val="both"/>
        <w:rPr>
          <w:rFonts w:ascii="Verdana" w:eastAsia="Calibri" w:hAnsi="Verdana" w:cs="Arial"/>
          <w:lang w:val="es-ES"/>
        </w:rPr>
      </w:pPr>
      <w:r w:rsidRPr="2F5E6258">
        <w:rPr>
          <w:rFonts w:ascii="Verdana" w:eastAsia="Calibri" w:hAnsi="Verdana" w:cs="Arial"/>
          <w:lang w:val="es-ES"/>
        </w:rPr>
        <w:t>Facebook: ColombiaCompraEficiente</w:t>
      </w:r>
    </w:p>
    <w:p w14:paraId="091FE250" w14:textId="77777777" w:rsidR="00E90E7C" w:rsidRPr="005B3F16" w:rsidRDefault="00E90E7C" w:rsidP="00E90E7C">
      <w:pPr>
        <w:spacing w:after="0" w:line="276" w:lineRule="auto"/>
        <w:jc w:val="both"/>
        <w:rPr>
          <w:rFonts w:ascii="Verdana" w:eastAsia="Calibri" w:hAnsi="Verdana" w:cs="Arial"/>
          <w:lang w:val="es-ES_tradnl"/>
        </w:rPr>
      </w:pPr>
      <w:r w:rsidRPr="005B3F16">
        <w:rPr>
          <w:rFonts w:ascii="Verdana" w:eastAsia="Calibri" w:hAnsi="Verdana" w:cs="Arial"/>
          <w:lang w:val="es-ES_tradnl"/>
        </w:rPr>
        <w:t>LinkedIn: Agencia Nacional de Contratación Pública - Colombia Compra Eficiente Instagram: @colombiacompraeficiente_cce</w:t>
      </w:r>
    </w:p>
    <w:p w14:paraId="2E1ED38C" w14:textId="77777777" w:rsidR="00E90E7C" w:rsidRDefault="00E90E7C" w:rsidP="00E90E7C">
      <w:pPr>
        <w:widowControl w:val="0"/>
        <w:autoSpaceDE w:val="0"/>
        <w:autoSpaceDN w:val="0"/>
        <w:spacing w:after="0" w:line="276" w:lineRule="auto"/>
        <w:jc w:val="both"/>
        <w:rPr>
          <w:rFonts w:ascii="Verdana" w:eastAsia="Calibri" w:hAnsi="Verdana" w:cs="Arial"/>
          <w:lang w:val="es-ES_tradnl"/>
        </w:rPr>
      </w:pPr>
    </w:p>
    <w:p w14:paraId="6FA6710E" w14:textId="77777777" w:rsidR="00E90E7C" w:rsidRDefault="00E90E7C" w:rsidP="00E90E7C">
      <w:pPr>
        <w:widowControl w:val="0"/>
        <w:autoSpaceDE w:val="0"/>
        <w:autoSpaceDN w:val="0"/>
        <w:spacing w:after="0" w:line="276" w:lineRule="auto"/>
        <w:jc w:val="both"/>
        <w:rPr>
          <w:rFonts w:ascii="Verdana" w:eastAsia="Calibri" w:hAnsi="Verdana" w:cs="Arial"/>
          <w:lang w:val="es-ES_tradnl"/>
        </w:rPr>
      </w:pPr>
    </w:p>
    <w:p w14:paraId="5F4C2610" w14:textId="77777777" w:rsidR="00E90E7C" w:rsidRPr="005B3F16" w:rsidRDefault="00E90E7C" w:rsidP="00E90E7C">
      <w:pPr>
        <w:widowControl w:val="0"/>
        <w:autoSpaceDE w:val="0"/>
        <w:autoSpaceDN w:val="0"/>
        <w:spacing w:after="0" w:line="276" w:lineRule="auto"/>
        <w:jc w:val="both"/>
        <w:rPr>
          <w:rFonts w:ascii="Verdana" w:hAnsi="Verdana" w:cs="Arial"/>
          <w:lang w:val="es-ES_tradnl"/>
        </w:rPr>
      </w:pPr>
      <w:r w:rsidRPr="005B3F16">
        <w:rPr>
          <w:rFonts w:ascii="Verdana" w:eastAsia="Calibri" w:hAnsi="Verdana"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w:t>
      </w:r>
      <w:r w:rsidRPr="005B3F16">
        <w:rPr>
          <w:rFonts w:ascii="Verdana" w:hAnsi="Verdana" w:cs="Arial"/>
          <w:lang w:val="es-ES_tradnl"/>
        </w:rPr>
        <w:t>2 de 2015.</w:t>
      </w:r>
    </w:p>
    <w:p w14:paraId="075D16F2" w14:textId="77777777" w:rsidR="00E90E7C" w:rsidRPr="005B3F16" w:rsidRDefault="00E90E7C" w:rsidP="00E90E7C">
      <w:pPr>
        <w:widowControl w:val="0"/>
        <w:autoSpaceDE w:val="0"/>
        <w:autoSpaceDN w:val="0"/>
        <w:spacing w:after="0" w:line="276" w:lineRule="auto"/>
        <w:jc w:val="both"/>
        <w:rPr>
          <w:rFonts w:ascii="Verdana" w:hAnsi="Verdana" w:cs="Arial"/>
        </w:rPr>
      </w:pPr>
    </w:p>
    <w:p w14:paraId="1946014E" w14:textId="77777777" w:rsidR="00E90E7C" w:rsidRPr="005B3F16" w:rsidRDefault="00E90E7C" w:rsidP="00E90E7C">
      <w:pPr>
        <w:spacing w:after="0" w:line="276" w:lineRule="auto"/>
        <w:rPr>
          <w:rFonts w:ascii="Verdana" w:hAnsi="Verdana" w:cs="Arial"/>
          <w:lang w:eastAsia="es-CO"/>
        </w:rPr>
      </w:pPr>
      <w:r w:rsidRPr="005B3F16">
        <w:rPr>
          <w:rFonts w:ascii="Verdana" w:eastAsia="Times New Roman" w:hAnsi="Verdana" w:cs="Arial"/>
          <w:lang w:eastAsia="es-CO"/>
        </w:rPr>
        <w:t>Atentamente,</w:t>
      </w:r>
      <w:r w:rsidRPr="005B3F16">
        <w:rPr>
          <w:rFonts w:ascii="Verdana" w:hAnsi="Verdana" w:cs="Arial"/>
          <w:lang w:eastAsia="es-CO"/>
        </w:rPr>
        <w:t xml:space="preserve"> </w:t>
      </w:r>
    </w:p>
    <w:p w14:paraId="2DACDA70" w14:textId="77777777" w:rsidR="00E90E7C" w:rsidRPr="005B3F16" w:rsidRDefault="00E90E7C" w:rsidP="00E90E7C">
      <w:pPr>
        <w:spacing w:line="276" w:lineRule="auto"/>
        <w:rPr>
          <w:rFonts w:ascii="Verdana" w:hAnsi="Verdana"/>
          <w:noProof/>
          <w:lang w:val="es-ES_tradnl" w:eastAsia="es-CO"/>
        </w:rPr>
      </w:pPr>
    </w:p>
    <w:p w14:paraId="5B44D101" w14:textId="3BB16C14" w:rsidR="00E90E7C" w:rsidRDefault="00AE108D" w:rsidP="00E90E7C">
      <w:pPr>
        <w:spacing w:line="276" w:lineRule="auto"/>
        <w:jc w:val="center"/>
        <w:rPr>
          <w:rFonts w:ascii="Century Gothic" w:hAnsi="Century Gothic"/>
          <w:noProof/>
        </w:rPr>
      </w:pPr>
      <w:r w:rsidRPr="0065791A">
        <w:rPr>
          <w:rFonts w:ascii="Century Gothic" w:hAnsi="Century Gothic"/>
          <w:noProof/>
        </w:rPr>
        <w:drawing>
          <wp:inline distT="0" distB="0" distL="0" distR="0" wp14:anchorId="208C1076" wp14:editId="38604680">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9"/>
                    <a:stretch>
                      <a:fillRect/>
                    </a:stretch>
                  </pic:blipFill>
                  <pic:spPr>
                    <a:xfrm>
                      <a:off x="0" y="0"/>
                      <a:ext cx="3962953" cy="1867161"/>
                    </a:xfrm>
                    <a:prstGeom prst="rect">
                      <a:avLst/>
                    </a:prstGeom>
                  </pic:spPr>
                </pic:pic>
              </a:graphicData>
            </a:graphic>
          </wp:inline>
        </w:drawing>
      </w:r>
    </w:p>
    <w:p w14:paraId="7A12F6CA" w14:textId="77777777" w:rsidR="00E90E7C" w:rsidRDefault="00E90E7C" w:rsidP="00E90E7C">
      <w:pPr>
        <w:spacing w:line="276" w:lineRule="auto"/>
        <w:jc w:val="center"/>
        <w:rPr>
          <w:rFonts w:ascii="Century Gothic" w:hAnsi="Century Gothic"/>
          <w:noProof/>
          <w:lang w:val="es-ES_tradnl" w:eastAsia="es-CO"/>
        </w:rPr>
      </w:pPr>
    </w:p>
    <w:p w14:paraId="4492A502" w14:textId="77777777" w:rsidR="00E90E7C" w:rsidRPr="005B3F16" w:rsidRDefault="00E90E7C" w:rsidP="00E90E7C">
      <w:pPr>
        <w:spacing w:line="276" w:lineRule="auto"/>
        <w:jc w:val="center"/>
        <w:rPr>
          <w:rFonts w:ascii="Verdana" w:hAnsi="Verdana" w:cs="Arial"/>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90E7C" w:rsidRPr="005B3F16" w14:paraId="6E25D293" w14:textId="77777777" w:rsidTr="039C9AAD">
        <w:trPr>
          <w:trHeight w:val="315"/>
        </w:trPr>
        <w:tc>
          <w:tcPr>
            <w:tcW w:w="893" w:type="dxa"/>
            <w:vAlign w:val="center"/>
            <w:hideMark/>
          </w:tcPr>
          <w:p w14:paraId="48D120DB" w14:textId="77777777" w:rsidR="00E90E7C" w:rsidRPr="005B3F16" w:rsidRDefault="00E90E7C" w:rsidP="00CF20D9">
            <w:pPr>
              <w:spacing w:line="276" w:lineRule="auto"/>
              <w:contextualSpacing/>
              <w:rPr>
                <w:rFonts w:ascii="Verdana" w:eastAsia="Calibri" w:hAnsi="Verdana" w:cs="Arial"/>
                <w:sz w:val="16"/>
                <w:szCs w:val="16"/>
                <w:lang w:val="es-ES_tradnl"/>
              </w:rPr>
            </w:pPr>
            <w:r w:rsidRPr="005B3F16">
              <w:rPr>
                <w:rFonts w:ascii="Verdana" w:eastAsia="Calibri" w:hAnsi="Verdana" w:cs="Arial"/>
                <w:sz w:val="16"/>
                <w:szCs w:val="16"/>
                <w:lang w:val="es-ES_tradnl"/>
              </w:rPr>
              <w:t>Elaboró:</w:t>
            </w:r>
          </w:p>
        </w:tc>
        <w:tc>
          <w:tcPr>
            <w:tcW w:w="5628" w:type="dxa"/>
            <w:tcBorders>
              <w:top w:val="nil"/>
              <w:left w:val="nil"/>
              <w:bottom w:val="dotted" w:sz="4" w:space="0" w:color="7F7F7F" w:themeColor="text1" w:themeTint="80"/>
              <w:right w:val="nil"/>
            </w:tcBorders>
            <w:vAlign w:val="center"/>
            <w:hideMark/>
          </w:tcPr>
          <w:p w14:paraId="19E65750" w14:textId="77777777" w:rsidR="00E90E7C" w:rsidRPr="005B3F16" w:rsidRDefault="00E90E7C" w:rsidP="00CF20D9">
            <w:pPr>
              <w:spacing w:line="276" w:lineRule="auto"/>
              <w:contextualSpacing/>
              <w:rPr>
                <w:rFonts w:ascii="Verdana" w:eastAsia="Calibri" w:hAnsi="Verdana" w:cs="Arial"/>
                <w:sz w:val="16"/>
                <w:szCs w:val="16"/>
                <w:lang w:val="es-ES_tradnl"/>
              </w:rPr>
            </w:pPr>
            <w:r w:rsidRPr="005B3F16">
              <w:rPr>
                <w:rFonts w:ascii="Verdana" w:eastAsia="Calibri" w:hAnsi="Verdana" w:cs="Arial"/>
                <w:sz w:val="16"/>
                <w:szCs w:val="16"/>
                <w:lang w:val="es-ES_tradnl"/>
              </w:rPr>
              <w:t xml:space="preserve">María Valeska Medellín Mora </w:t>
            </w:r>
          </w:p>
          <w:p w14:paraId="34B0652A" w14:textId="77777777" w:rsidR="00E90E7C" w:rsidRPr="005B3F16" w:rsidRDefault="00E90E7C" w:rsidP="00CF20D9">
            <w:pPr>
              <w:spacing w:line="276" w:lineRule="auto"/>
              <w:contextualSpacing/>
              <w:rPr>
                <w:rFonts w:ascii="Verdana" w:eastAsia="Calibri" w:hAnsi="Verdana" w:cs="Arial"/>
                <w:sz w:val="16"/>
                <w:szCs w:val="16"/>
                <w:lang w:val="es-ES_tradnl"/>
              </w:rPr>
            </w:pPr>
            <w:r w:rsidRPr="005B3F16">
              <w:rPr>
                <w:rFonts w:ascii="Verdana" w:eastAsia="Calibri" w:hAnsi="Verdana" w:cs="Arial"/>
                <w:sz w:val="16"/>
                <w:szCs w:val="16"/>
                <w:lang w:val="es-ES_tradnl"/>
              </w:rPr>
              <w:t>Gestor T1-15</w:t>
            </w:r>
            <w:r w:rsidRPr="005B3F16">
              <w:rPr>
                <w:rFonts w:ascii="Verdana" w:eastAsia="Calibri" w:hAnsi="Verdana"/>
                <w:sz w:val="16"/>
                <w:szCs w:val="16"/>
                <w:lang w:val="es-ES_tradnl"/>
              </w:rPr>
              <w:t xml:space="preserve"> de la Subdirección de Gestión Contractual</w:t>
            </w:r>
          </w:p>
        </w:tc>
      </w:tr>
      <w:tr w:rsidR="00E90E7C" w:rsidRPr="005B3F16" w14:paraId="24BB07A8" w14:textId="77777777" w:rsidTr="039C9AAD">
        <w:trPr>
          <w:trHeight w:val="330"/>
        </w:trPr>
        <w:tc>
          <w:tcPr>
            <w:tcW w:w="893" w:type="dxa"/>
            <w:vAlign w:val="center"/>
            <w:hideMark/>
          </w:tcPr>
          <w:p w14:paraId="3C0C34D5" w14:textId="77777777" w:rsidR="00E90E7C" w:rsidRPr="005B3F16" w:rsidRDefault="00E90E7C" w:rsidP="00CF20D9">
            <w:pPr>
              <w:spacing w:line="276" w:lineRule="auto"/>
              <w:contextualSpacing/>
              <w:rPr>
                <w:rFonts w:ascii="Verdana" w:eastAsia="Calibri" w:hAnsi="Verdana" w:cs="Arial"/>
                <w:sz w:val="16"/>
                <w:szCs w:val="16"/>
                <w:lang w:val="es-ES_tradnl"/>
              </w:rPr>
            </w:pPr>
            <w:r w:rsidRPr="005B3F16">
              <w:rPr>
                <w:rFonts w:ascii="Verdana" w:eastAsia="Calibri" w:hAnsi="Verdana" w:cs="Arial"/>
                <w:sz w:val="16"/>
                <w:szCs w:val="16"/>
                <w:lang w:val="es-ES_tradnl"/>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B53AAB8" w14:textId="77777777" w:rsidR="00E90E7C" w:rsidRPr="005B3F16" w:rsidRDefault="00E90E7C" w:rsidP="039C9AAD">
            <w:pPr>
              <w:pStyle w:val="paragraph"/>
              <w:spacing w:before="0" w:beforeAutospacing="0" w:after="0" w:afterAutospacing="0" w:line="276" w:lineRule="auto"/>
              <w:contextualSpacing/>
              <w:textAlignment w:val="baseline"/>
              <w:rPr>
                <w:rFonts w:ascii="Verdana" w:eastAsia="Calibri" w:hAnsi="Verdana" w:cs="Arial"/>
                <w:sz w:val="16"/>
                <w:szCs w:val="16"/>
                <w:lang w:val="es-ES" w:eastAsia="en-US"/>
              </w:rPr>
            </w:pPr>
            <w:r w:rsidRPr="039C9AAD">
              <w:rPr>
                <w:rFonts w:ascii="Verdana" w:eastAsia="Calibri" w:hAnsi="Verdana" w:cs="Arial"/>
                <w:sz w:val="16"/>
                <w:szCs w:val="16"/>
                <w:lang w:val="es-ES" w:eastAsia="en-US"/>
              </w:rPr>
              <w:t>Adriana Katerine Lopez Rodriguez</w:t>
            </w:r>
          </w:p>
          <w:p w14:paraId="13C9186F" w14:textId="77777777" w:rsidR="00E90E7C" w:rsidRPr="005B3F16" w:rsidRDefault="00E90E7C" w:rsidP="00CF20D9">
            <w:pPr>
              <w:pStyle w:val="paragraph"/>
              <w:spacing w:before="0" w:beforeAutospacing="0" w:after="0" w:afterAutospacing="0" w:line="276" w:lineRule="auto"/>
              <w:contextualSpacing/>
              <w:textAlignment w:val="baseline"/>
              <w:rPr>
                <w:rFonts w:ascii="Verdana" w:eastAsia="Calibri" w:hAnsi="Verdana" w:cs="Arial"/>
                <w:sz w:val="16"/>
                <w:szCs w:val="16"/>
                <w:lang w:val="es-ES_tradnl" w:eastAsia="en-US"/>
              </w:rPr>
            </w:pPr>
            <w:r w:rsidRPr="005B3F16">
              <w:rPr>
                <w:rFonts w:ascii="Verdana" w:eastAsia="Calibri" w:hAnsi="Verdana"/>
                <w:sz w:val="16"/>
                <w:szCs w:val="16"/>
                <w:lang w:val="es-ES_tradnl" w:eastAsia="en-US"/>
              </w:rPr>
              <w:t>Contratista de la Subdirección de Gestión Contractual </w:t>
            </w:r>
          </w:p>
        </w:tc>
      </w:tr>
      <w:tr w:rsidR="00E90E7C" w:rsidRPr="005B3F16" w14:paraId="183311CE" w14:textId="77777777" w:rsidTr="039C9AAD">
        <w:trPr>
          <w:trHeight w:val="300"/>
        </w:trPr>
        <w:tc>
          <w:tcPr>
            <w:tcW w:w="893" w:type="dxa"/>
            <w:vAlign w:val="center"/>
          </w:tcPr>
          <w:p w14:paraId="36218DC0" w14:textId="77777777" w:rsidR="00E90E7C" w:rsidRPr="005B3F16" w:rsidRDefault="00E90E7C" w:rsidP="00CF20D9">
            <w:pPr>
              <w:spacing w:line="276" w:lineRule="auto"/>
              <w:contextualSpacing/>
              <w:rPr>
                <w:rFonts w:ascii="Verdana" w:eastAsia="Calibri" w:hAnsi="Verdana" w:cs="Arial"/>
                <w:sz w:val="16"/>
                <w:szCs w:val="16"/>
                <w:lang w:val="es-ES_tradnl"/>
              </w:rPr>
            </w:pPr>
            <w:r w:rsidRPr="005B3F16">
              <w:rPr>
                <w:rFonts w:ascii="Verdana" w:eastAsia="Calibri" w:hAnsi="Verdana" w:cs="Arial"/>
                <w:sz w:val="16"/>
                <w:szCs w:val="16"/>
                <w:lang w:val="es-ES_tradnl"/>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047D0CC" w14:textId="77777777" w:rsidR="00E90E7C" w:rsidRPr="005B3F16" w:rsidRDefault="00E90E7C" w:rsidP="039C9AAD">
            <w:pPr>
              <w:spacing w:line="276" w:lineRule="auto"/>
              <w:contextualSpacing/>
              <w:rPr>
                <w:rFonts w:ascii="Verdana" w:eastAsia="Calibri" w:hAnsi="Verdana" w:cs="Arial"/>
                <w:sz w:val="16"/>
                <w:szCs w:val="16"/>
                <w:lang w:val="es-ES"/>
              </w:rPr>
            </w:pPr>
            <w:r w:rsidRPr="039C9AAD">
              <w:rPr>
                <w:rFonts w:ascii="Verdana" w:eastAsia="Calibri" w:hAnsi="Verdana" w:cs="Arial"/>
                <w:sz w:val="16"/>
                <w:szCs w:val="16"/>
                <w:lang w:val="es-ES"/>
              </w:rPr>
              <w:t>Carolina Quintero Gacharná</w:t>
            </w:r>
          </w:p>
          <w:p w14:paraId="1E21F7FB" w14:textId="77777777" w:rsidR="00E90E7C" w:rsidRPr="005B3F16" w:rsidRDefault="00E90E7C" w:rsidP="00CF20D9">
            <w:pPr>
              <w:spacing w:line="276" w:lineRule="auto"/>
              <w:contextualSpacing/>
              <w:rPr>
                <w:rFonts w:ascii="Verdana" w:eastAsia="Calibri" w:hAnsi="Verdana" w:cs="Arial"/>
                <w:sz w:val="16"/>
                <w:szCs w:val="16"/>
                <w:lang w:val="es-ES_tradnl"/>
              </w:rPr>
            </w:pPr>
            <w:r w:rsidRPr="005B3F16">
              <w:rPr>
                <w:rFonts w:ascii="Verdana" w:eastAsia="Calibri" w:hAnsi="Verdana" w:cs="Arial"/>
                <w:sz w:val="16"/>
                <w:szCs w:val="16"/>
                <w:lang w:val="es-ES_tradnl"/>
              </w:rPr>
              <w:t>Subdirectora de Gestión Contractual ANCP – CCE</w:t>
            </w:r>
          </w:p>
        </w:tc>
      </w:tr>
    </w:tbl>
    <w:p w14:paraId="7A3ED975" w14:textId="77777777" w:rsidR="00E90E7C" w:rsidRPr="005B3F16" w:rsidRDefault="00E90E7C" w:rsidP="00E90E7C">
      <w:pPr>
        <w:spacing w:after="0" w:line="276" w:lineRule="auto"/>
        <w:rPr>
          <w:rFonts w:ascii="Verdana" w:eastAsia="Times New Roman" w:hAnsi="Verdana" w:cs="Arial"/>
          <w:sz w:val="24"/>
          <w:szCs w:val="24"/>
          <w:lang w:eastAsia="es-ES"/>
        </w:rPr>
      </w:pPr>
    </w:p>
    <w:p w14:paraId="58296499" w14:textId="77777777" w:rsidR="00E90E7C" w:rsidRPr="005B3F16" w:rsidRDefault="00E90E7C" w:rsidP="00E90E7C">
      <w:pPr>
        <w:spacing w:line="276" w:lineRule="auto"/>
        <w:rPr>
          <w:rFonts w:ascii="Verdana" w:hAnsi="Verdana"/>
        </w:rPr>
      </w:pPr>
    </w:p>
    <w:p w14:paraId="47052E9A" w14:textId="77777777" w:rsidR="00E90E7C" w:rsidRPr="005B3F16" w:rsidRDefault="00E90E7C" w:rsidP="00E90E7C">
      <w:pPr>
        <w:spacing w:after="0" w:line="276" w:lineRule="auto"/>
        <w:jc w:val="both"/>
        <w:rPr>
          <w:rFonts w:ascii="Verdana" w:hAnsi="Verdana"/>
        </w:rPr>
      </w:pPr>
    </w:p>
    <w:bookmarkEnd w:id="1"/>
    <w:p w14:paraId="2CD9AECD" w14:textId="77777777" w:rsidR="00E90E7C" w:rsidRPr="005B3F16" w:rsidRDefault="00E90E7C" w:rsidP="00E90E7C">
      <w:pPr>
        <w:spacing w:line="276" w:lineRule="auto"/>
        <w:rPr>
          <w:rFonts w:ascii="Verdana" w:hAnsi="Verdana"/>
        </w:rPr>
      </w:pPr>
    </w:p>
    <w:p w14:paraId="3613B4AE" w14:textId="77777777" w:rsidR="00E90E7C" w:rsidRPr="0044528D" w:rsidRDefault="00E90E7C" w:rsidP="00E90E7C">
      <w:pPr>
        <w:spacing w:after="0"/>
        <w:rPr>
          <w:rFonts w:ascii="Verdana" w:hAnsi="Verdana"/>
        </w:rPr>
      </w:pPr>
    </w:p>
    <w:p w14:paraId="2D07589F" w14:textId="77777777" w:rsidR="00E90E7C" w:rsidRPr="00A815BF" w:rsidRDefault="00E90E7C" w:rsidP="00E90E7C"/>
    <w:p w14:paraId="0DDF8456" w14:textId="77777777" w:rsidR="00E90E7C" w:rsidRPr="0044528D" w:rsidRDefault="00E90E7C" w:rsidP="00E90E7C">
      <w:pPr>
        <w:spacing w:after="0"/>
        <w:rPr>
          <w:rFonts w:ascii="Verdana" w:hAnsi="Verdana"/>
        </w:rPr>
      </w:pPr>
    </w:p>
    <w:bookmarkEnd w:id="0"/>
    <w:p w14:paraId="0083C991" w14:textId="5C765C2F" w:rsidR="5D8505AD" w:rsidRPr="00E90E7C" w:rsidRDefault="5D8505AD" w:rsidP="00E90E7C"/>
    <w:sectPr w:rsidR="5D8505AD" w:rsidRPr="00E90E7C" w:rsidSect="00E45F4B">
      <w:headerReference w:type="default" r:id="rId20"/>
      <w:footerReference w:type="default" r:id="rId21"/>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875D74" w14:textId="77777777" w:rsidR="001D7A24" w:rsidRDefault="001D7A24" w:rsidP="00B30448">
      <w:pPr>
        <w:spacing w:after="0" w:line="240" w:lineRule="auto"/>
      </w:pPr>
      <w:r>
        <w:separator/>
      </w:r>
    </w:p>
  </w:endnote>
  <w:endnote w:type="continuationSeparator" w:id="0">
    <w:p w14:paraId="6D9371DB" w14:textId="77777777" w:rsidR="001D7A24" w:rsidRDefault="001D7A24" w:rsidP="00B30448">
      <w:pPr>
        <w:spacing w:after="0" w:line="240" w:lineRule="auto"/>
      </w:pPr>
      <w:r>
        <w:continuationSeparator/>
      </w:r>
    </w:p>
  </w:endnote>
  <w:endnote w:type="continuationNotice" w:id="1">
    <w:p w14:paraId="76DB150E" w14:textId="77777777" w:rsidR="001D7A24" w:rsidRDefault="001D7A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2CE6A0" w14:textId="77777777" w:rsidR="001D7A24" w:rsidRDefault="001D7A24" w:rsidP="00B30448">
      <w:pPr>
        <w:spacing w:after="0" w:line="240" w:lineRule="auto"/>
      </w:pPr>
      <w:r>
        <w:separator/>
      </w:r>
    </w:p>
  </w:footnote>
  <w:footnote w:type="continuationSeparator" w:id="0">
    <w:p w14:paraId="2455D311" w14:textId="77777777" w:rsidR="001D7A24" w:rsidRDefault="001D7A24" w:rsidP="00B30448">
      <w:pPr>
        <w:spacing w:after="0" w:line="240" w:lineRule="auto"/>
      </w:pPr>
      <w:r>
        <w:continuationSeparator/>
      </w:r>
    </w:p>
  </w:footnote>
  <w:footnote w:type="continuationNotice" w:id="1">
    <w:p w14:paraId="0838780B" w14:textId="77777777" w:rsidR="001D7A24" w:rsidRDefault="001D7A2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849537" w14:textId="2A6D5254"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E411A"/>
    <w:multiLevelType w:val="multilevel"/>
    <w:tmpl w:val="A754E2EC"/>
    <w:lvl w:ilvl="0">
      <w:start w:val="14"/>
      <w:numFmt w:val="decimal"/>
      <w:lvlText w:val="%1"/>
      <w:lvlJc w:val="left"/>
      <w:pPr>
        <w:ind w:left="810" w:hanging="550"/>
      </w:pPr>
    </w:lvl>
    <w:lvl w:ilvl="1">
      <w:start w:val="5"/>
      <w:numFmt w:val="decimal"/>
      <w:lvlText w:val="%1.%2."/>
      <w:lvlJc w:val="left"/>
      <w:pPr>
        <w:ind w:left="810" w:hanging="550"/>
      </w:pPr>
      <w:rPr>
        <w:rFonts w:ascii="Arial" w:eastAsia="Arial" w:hAnsi="Arial" w:cs="Arial"/>
        <w:color w:val="000000"/>
        <w:sz w:val="22"/>
        <w:szCs w:val="22"/>
      </w:rPr>
    </w:lvl>
    <w:lvl w:ilvl="2">
      <w:start w:val="1"/>
      <w:numFmt w:val="bullet"/>
      <w:lvlText w:val="•"/>
      <w:lvlJc w:val="left"/>
      <w:pPr>
        <w:ind w:left="2484" w:hanging="550"/>
      </w:pPr>
    </w:lvl>
    <w:lvl w:ilvl="3">
      <w:start w:val="1"/>
      <w:numFmt w:val="bullet"/>
      <w:lvlText w:val="•"/>
      <w:lvlJc w:val="left"/>
      <w:pPr>
        <w:ind w:left="3316" w:hanging="550"/>
      </w:pPr>
    </w:lvl>
    <w:lvl w:ilvl="4">
      <w:start w:val="1"/>
      <w:numFmt w:val="bullet"/>
      <w:lvlText w:val="•"/>
      <w:lvlJc w:val="left"/>
      <w:pPr>
        <w:ind w:left="4148" w:hanging="550"/>
      </w:pPr>
    </w:lvl>
    <w:lvl w:ilvl="5">
      <w:start w:val="1"/>
      <w:numFmt w:val="bullet"/>
      <w:lvlText w:val="•"/>
      <w:lvlJc w:val="left"/>
      <w:pPr>
        <w:ind w:left="4980" w:hanging="550"/>
      </w:pPr>
    </w:lvl>
    <w:lvl w:ilvl="6">
      <w:start w:val="1"/>
      <w:numFmt w:val="bullet"/>
      <w:lvlText w:val="•"/>
      <w:lvlJc w:val="left"/>
      <w:pPr>
        <w:ind w:left="5812" w:hanging="550"/>
      </w:pPr>
    </w:lvl>
    <w:lvl w:ilvl="7">
      <w:start w:val="1"/>
      <w:numFmt w:val="bullet"/>
      <w:lvlText w:val="•"/>
      <w:lvlJc w:val="left"/>
      <w:pPr>
        <w:ind w:left="6644" w:hanging="550"/>
      </w:pPr>
    </w:lvl>
    <w:lvl w:ilvl="8">
      <w:start w:val="1"/>
      <w:numFmt w:val="bullet"/>
      <w:lvlText w:val="•"/>
      <w:lvlJc w:val="left"/>
      <w:pPr>
        <w:ind w:left="7476" w:hanging="550"/>
      </w:pPr>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0563B85"/>
    <w:multiLevelType w:val="hybridMultilevel"/>
    <w:tmpl w:val="8CFE8CFC"/>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6" w15:restartNumberingAfterBreak="0">
    <w:nsid w:val="2FD82040"/>
    <w:multiLevelType w:val="hybridMultilevel"/>
    <w:tmpl w:val="FEC0BA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84B50F4"/>
    <w:multiLevelType w:val="hybridMultilevel"/>
    <w:tmpl w:val="3AF8BC34"/>
    <w:lvl w:ilvl="0" w:tplc="CA280138">
      <w:start w:val="1"/>
      <w:numFmt w:val="lowerRoman"/>
      <w:lvlText w:val="%1)"/>
      <w:lvlJc w:val="left"/>
      <w:pPr>
        <w:ind w:left="1440" w:hanging="72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2" w15:restartNumberingAfterBreak="0">
    <w:nsid w:val="53C32D26"/>
    <w:multiLevelType w:val="hybridMultilevel"/>
    <w:tmpl w:val="82D46C22"/>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13" w15:restartNumberingAfterBreak="0">
    <w:nsid w:val="54290360"/>
    <w:multiLevelType w:val="hybridMultilevel"/>
    <w:tmpl w:val="35988B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597E7732"/>
    <w:multiLevelType w:val="hybridMultilevel"/>
    <w:tmpl w:val="15583C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5CC8363F"/>
    <w:multiLevelType w:val="hybridMultilevel"/>
    <w:tmpl w:val="BD96C6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E895A2E"/>
    <w:multiLevelType w:val="hybridMultilevel"/>
    <w:tmpl w:val="A52C0E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7825752D"/>
    <w:multiLevelType w:val="hybridMultilevel"/>
    <w:tmpl w:val="E23A8282"/>
    <w:lvl w:ilvl="0" w:tplc="99E6A860">
      <w:start w:val="1"/>
      <w:numFmt w:val="lowerRoman"/>
      <w:lvlText w:val="%1)"/>
      <w:lvlJc w:val="left"/>
      <w:pPr>
        <w:ind w:left="1440" w:hanging="72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8" w15:restartNumberingAfterBreak="0">
    <w:nsid w:val="7F6F2538"/>
    <w:multiLevelType w:val="hybridMultilevel"/>
    <w:tmpl w:val="A0267D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4"/>
  </w:num>
  <w:num w:numId="4">
    <w:abstractNumId w:val="1"/>
  </w:num>
  <w:num w:numId="5">
    <w:abstractNumId w:val="11"/>
  </w:num>
  <w:num w:numId="6">
    <w:abstractNumId w:val="2"/>
  </w:num>
  <w:num w:numId="7">
    <w:abstractNumId w:val="7"/>
  </w:num>
  <w:num w:numId="8">
    <w:abstractNumId w:val="10"/>
  </w:num>
  <w:num w:numId="9">
    <w:abstractNumId w:val="14"/>
  </w:num>
  <w:num w:numId="10">
    <w:abstractNumId w:val="13"/>
  </w:num>
  <w:num w:numId="11">
    <w:abstractNumId w:val="15"/>
  </w:num>
  <w:num w:numId="12">
    <w:abstractNumId w:val="17"/>
  </w:num>
  <w:num w:numId="13">
    <w:abstractNumId w:val="16"/>
  </w:num>
  <w:num w:numId="14">
    <w:abstractNumId w:val="0"/>
  </w:num>
  <w:num w:numId="15">
    <w:abstractNumId w:val="5"/>
  </w:num>
  <w:num w:numId="16">
    <w:abstractNumId w:val="6"/>
  </w:num>
  <w:num w:numId="17">
    <w:abstractNumId w:val="9"/>
  </w:num>
  <w:num w:numId="18">
    <w:abstractNumId w:val="12"/>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3F8F"/>
    <w:rsid w:val="00005BB0"/>
    <w:rsid w:val="0001025F"/>
    <w:rsid w:val="00011A77"/>
    <w:rsid w:val="0001222D"/>
    <w:rsid w:val="000135EB"/>
    <w:rsid w:val="00015D2B"/>
    <w:rsid w:val="00023823"/>
    <w:rsid w:val="0002558A"/>
    <w:rsid w:val="00027F42"/>
    <w:rsid w:val="00031584"/>
    <w:rsid w:val="00032A0E"/>
    <w:rsid w:val="00037347"/>
    <w:rsid w:val="00040A35"/>
    <w:rsid w:val="000442CC"/>
    <w:rsid w:val="00045B79"/>
    <w:rsid w:val="00047A3C"/>
    <w:rsid w:val="000556D4"/>
    <w:rsid w:val="000716AB"/>
    <w:rsid w:val="00082E4C"/>
    <w:rsid w:val="000849D5"/>
    <w:rsid w:val="0008528F"/>
    <w:rsid w:val="00090E20"/>
    <w:rsid w:val="000A6E0C"/>
    <w:rsid w:val="000A70FA"/>
    <w:rsid w:val="000A770F"/>
    <w:rsid w:val="000A7A56"/>
    <w:rsid w:val="000B1FF7"/>
    <w:rsid w:val="000B2513"/>
    <w:rsid w:val="000B4024"/>
    <w:rsid w:val="000B5FFE"/>
    <w:rsid w:val="000C3C51"/>
    <w:rsid w:val="000C7262"/>
    <w:rsid w:val="000D2A7F"/>
    <w:rsid w:val="000D49FB"/>
    <w:rsid w:val="000D4FCE"/>
    <w:rsid w:val="000E37C8"/>
    <w:rsid w:val="000E670C"/>
    <w:rsid w:val="000F2DCB"/>
    <w:rsid w:val="001079A9"/>
    <w:rsid w:val="0011037E"/>
    <w:rsid w:val="00124D0E"/>
    <w:rsid w:val="00126FA8"/>
    <w:rsid w:val="00127A6D"/>
    <w:rsid w:val="001363C7"/>
    <w:rsid w:val="00137B3F"/>
    <w:rsid w:val="00141AC5"/>
    <w:rsid w:val="00146B11"/>
    <w:rsid w:val="00147A04"/>
    <w:rsid w:val="00150EAB"/>
    <w:rsid w:val="0015476D"/>
    <w:rsid w:val="00161E13"/>
    <w:rsid w:val="00164AE0"/>
    <w:rsid w:val="00165E83"/>
    <w:rsid w:val="00166CD7"/>
    <w:rsid w:val="001706BC"/>
    <w:rsid w:val="0017120C"/>
    <w:rsid w:val="00172F3A"/>
    <w:rsid w:val="0019532A"/>
    <w:rsid w:val="0019670E"/>
    <w:rsid w:val="00197205"/>
    <w:rsid w:val="00197C18"/>
    <w:rsid w:val="001A253A"/>
    <w:rsid w:val="001A5DD4"/>
    <w:rsid w:val="001A67E9"/>
    <w:rsid w:val="001B0DE5"/>
    <w:rsid w:val="001B143B"/>
    <w:rsid w:val="001B21CA"/>
    <w:rsid w:val="001B5566"/>
    <w:rsid w:val="001C04FC"/>
    <w:rsid w:val="001C25A3"/>
    <w:rsid w:val="001C4225"/>
    <w:rsid w:val="001C5D03"/>
    <w:rsid w:val="001C7771"/>
    <w:rsid w:val="001D62FF"/>
    <w:rsid w:val="001D7A24"/>
    <w:rsid w:val="001E2B8E"/>
    <w:rsid w:val="001E5CC4"/>
    <w:rsid w:val="001F3F48"/>
    <w:rsid w:val="001F51B2"/>
    <w:rsid w:val="002000AA"/>
    <w:rsid w:val="00203EBB"/>
    <w:rsid w:val="00204109"/>
    <w:rsid w:val="0021026D"/>
    <w:rsid w:val="00211E6E"/>
    <w:rsid w:val="00212A46"/>
    <w:rsid w:val="0021401D"/>
    <w:rsid w:val="002146B8"/>
    <w:rsid w:val="00214AB9"/>
    <w:rsid w:val="00215516"/>
    <w:rsid w:val="00223573"/>
    <w:rsid w:val="00235798"/>
    <w:rsid w:val="00244C79"/>
    <w:rsid w:val="002527C2"/>
    <w:rsid w:val="002536F1"/>
    <w:rsid w:val="00270443"/>
    <w:rsid w:val="00270EE2"/>
    <w:rsid w:val="00272972"/>
    <w:rsid w:val="0028252D"/>
    <w:rsid w:val="00285F49"/>
    <w:rsid w:val="00286491"/>
    <w:rsid w:val="00291A05"/>
    <w:rsid w:val="002A097D"/>
    <w:rsid w:val="002A0F8D"/>
    <w:rsid w:val="002A65BB"/>
    <w:rsid w:val="002B6E44"/>
    <w:rsid w:val="002D47C7"/>
    <w:rsid w:val="002D5318"/>
    <w:rsid w:val="002D580F"/>
    <w:rsid w:val="002E1DB5"/>
    <w:rsid w:val="002F3468"/>
    <w:rsid w:val="002F6CCB"/>
    <w:rsid w:val="00300925"/>
    <w:rsid w:val="00304090"/>
    <w:rsid w:val="0030461E"/>
    <w:rsid w:val="0032756A"/>
    <w:rsid w:val="003304E0"/>
    <w:rsid w:val="00334EF8"/>
    <w:rsid w:val="00336408"/>
    <w:rsid w:val="00340DFB"/>
    <w:rsid w:val="0034404F"/>
    <w:rsid w:val="003471E6"/>
    <w:rsid w:val="00356980"/>
    <w:rsid w:val="00362845"/>
    <w:rsid w:val="003639DA"/>
    <w:rsid w:val="00367462"/>
    <w:rsid w:val="00371ECA"/>
    <w:rsid w:val="00372748"/>
    <w:rsid w:val="0037332A"/>
    <w:rsid w:val="0037524E"/>
    <w:rsid w:val="0038151A"/>
    <w:rsid w:val="0039082A"/>
    <w:rsid w:val="00390C21"/>
    <w:rsid w:val="003A37BD"/>
    <w:rsid w:val="003B6D94"/>
    <w:rsid w:val="003C0DF9"/>
    <w:rsid w:val="003C4C96"/>
    <w:rsid w:val="003C55E0"/>
    <w:rsid w:val="003C70A0"/>
    <w:rsid w:val="003D111E"/>
    <w:rsid w:val="003E36FF"/>
    <w:rsid w:val="003F519B"/>
    <w:rsid w:val="00404EAA"/>
    <w:rsid w:val="0040544F"/>
    <w:rsid w:val="00406A19"/>
    <w:rsid w:val="0040765F"/>
    <w:rsid w:val="0041222D"/>
    <w:rsid w:val="0041483E"/>
    <w:rsid w:val="00415369"/>
    <w:rsid w:val="004221C8"/>
    <w:rsid w:val="00425985"/>
    <w:rsid w:val="00430492"/>
    <w:rsid w:val="00432FFE"/>
    <w:rsid w:val="00434D93"/>
    <w:rsid w:val="00437D03"/>
    <w:rsid w:val="0044773D"/>
    <w:rsid w:val="00450BE7"/>
    <w:rsid w:val="00462D21"/>
    <w:rsid w:val="0046741E"/>
    <w:rsid w:val="00467EA6"/>
    <w:rsid w:val="00472CC6"/>
    <w:rsid w:val="0048026E"/>
    <w:rsid w:val="004807A9"/>
    <w:rsid w:val="004813EE"/>
    <w:rsid w:val="00484FBA"/>
    <w:rsid w:val="00490C3E"/>
    <w:rsid w:val="00493278"/>
    <w:rsid w:val="004943D9"/>
    <w:rsid w:val="004A0E7B"/>
    <w:rsid w:val="004A2F28"/>
    <w:rsid w:val="004A3498"/>
    <w:rsid w:val="004A4E52"/>
    <w:rsid w:val="004B0C45"/>
    <w:rsid w:val="004C0AB2"/>
    <w:rsid w:val="004C1619"/>
    <w:rsid w:val="004C1A26"/>
    <w:rsid w:val="004C1CC9"/>
    <w:rsid w:val="004C3755"/>
    <w:rsid w:val="004C4485"/>
    <w:rsid w:val="004D11AF"/>
    <w:rsid w:val="004D70E1"/>
    <w:rsid w:val="00500DFA"/>
    <w:rsid w:val="005019AA"/>
    <w:rsid w:val="005021BB"/>
    <w:rsid w:val="00503A2D"/>
    <w:rsid w:val="005139E7"/>
    <w:rsid w:val="005147DA"/>
    <w:rsid w:val="00515FB5"/>
    <w:rsid w:val="005207F7"/>
    <w:rsid w:val="0052365C"/>
    <w:rsid w:val="00524FF4"/>
    <w:rsid w:val="005271EB"/>
    <w:rsid w:val="005426DB"/>
    <w:rsid w:val="0055082B"/>
    <w:rsid w:val="00552503"/>
    <w:rsid w:val="00552B57"/>
    <w:rsid w:val="00557DA1"/>
    <w:rsid w:val="0056322C"/>
    <w:rsid w:val="00586562"/>
    <w:rsid w:val="0058743A"/>
    <w:rsid w:val="005928B4"/>
    <w:rsid w:val="00595120"/>
    <w:rsid w:val="005A4DB0"/>
    <w:rsid w:val="005A7B8E"/>
    <w:rsid w:val="005B012B"/>
    <w:rsid w:val="005B0C87"/>
    <w:rsid w:val="005B3F16"/>
    <w:rsid w:val="005B49B5"/>
    <w:rsid w:val="005B56F6"/>
    <w:rsid w:val="005C273B"/>
    <w:rsid w:val="005C4978"/>
    <w:rsid w:val="005D23F6"/>
    <w:rsid w:val="005D2E4E"/>
    <w:rsid w:val="005D2FA8"/>
    <w:rsid w:val="005E2281"/>
    <w:rsid w:val="005E667C"/>
    <w:rsid w:val="005E6DB2"/>
    <w:rsid w:val="005F077C"/>
    <w:rsid w:val="005F50D7"/>
    <w:rsid w:val="005F5F33"/>
    <w:rsid w:val="005F63D0"/>
    <w:rsid w:val="005F7973"/>
    <w:rsid w:val="00606D1F"/>
    <w:rsid w:val="0061690E"/>
    <w:rsid w:val="00627361"/>
    <w:rsid w:val="0063017E"/>
    <w:rsid w:val="00630A33"/>
    <w:rsid w:val="00631B28"/>
    <w:rsid w:val="006450EE"/>
    <w:rsid w:val="00645B90"/>
    <w:rsid w:val="00650991"/>
    <w:rsid w:val="006511D7"/>
    <w:rsid w:val="006528D6"/>
    <w:rsid w:val="00653E3C"/>
    <w:rsid w:val="00663D75"/>
    <w:rsid w:val="0066531E"/>
    <w:rsid w:val="00670AEF"/>
    <w:rsid w:val="00673FF4"/>
    <w:rsid w:val="00675678"/>
    <w:rsid w:val="00676A8B"/>
    <w:rsid w:val="00677012"/>
    <w:rsid w:val="006825B4"/>
    <w:rsid w:val="00682AF2"/>
    <w:rsid w:val="006864DF"/>
    <w:rsid w:val="0069217C"/>
    <w:rsid w:val="006A1D37"/>
    <w:rsid w:val="006A3C8A"/>
    <w:rsid w:val="006A7552"/>
    <w:rsid w:val="006B5953"/>
    <w:rsid w:val="006B7A81"/>
    <w:rsid w:val="006C4BAC"/>
    <w:rsid w:val="006C52F3"/>
    <w:rsid w:val="006D310A"/>
    <w:rsid w:val="006D570B"/>
    <w:rsid w:val="006D702C"/>
    <w:rsid w:val="006E1F18"/>
    <w:rsid w:val="006E7F37"/>
    <w:rsid w:val="006F3B81"/>
    <w:rsid w:val="006F4F79"/>
    <w:rsid w:val="00705B37"/>
    <w:rsid w:val="00711FD9"/>
    <w:rsid w:val="00735062"/>
    <w:rsid w:val="00745400"/>
    <w:rsid w:val="00746BA5"/>
    <w:rsid w:val="00750D05"/>
    <w:rsid w:val="00751D23"/>
    <w:rsid w:val="007534D1"/>
    <w:rsid w:val="00770577"/>
    <w:rsid w:val="00771C2A"/>
    <w:rsid w:val="00777666"/>
    <w:rsid w:val="0078159B"/>
    <w:rsid w:val="0078296B"/>
    <w:rsid w:val="00782E10"/>
    <w:rsid w:val="0078706B"/>
    <w:rsid w:val="00790836"/>
    <w:rsid w:val="00796F7F"/>
    <w:rsid w:val="00797131"/>
    <w:rsid w:val="007A3C1D"/>
    <w:rsid w:val="007A4193"/>
    <w:rsid w:val="007A7935"/>
    <w:rsid w:val="007B285D"/>
    <w:rsid w:val="007C6BC6"/>
    <w:rsid w:val="00807D79"/>
    <w:rsid w:val="00813634"/>
    <w:rsid w:val="00822821"/>
    <w:rsid w:val="00831C29"/>
    <w:rsid w:val="008430A8"/>
    <w:rsid w:val="008431EA"/>
    <w:rsid w:val="008431EF"/>
    <w:rsid w:val="008468E0"/>
    <w:rsid w:val="00865FBA"/>
    <w:rsid w:val="00871B59"/>
    <w:rsid w:val="00875457"/>
    <w:rsid w:val="00876251"/>
    <w:rsid w:val="00877D03"/>
    <w:rsid w:val="00877E96"/>
    <w:rsid w:val="008806CA"/>
    <w:rsid w:val="008815E5"/>
    <w:rsid w:val="00881D8B"/>
    <w:rsid w:val="00887B37"/>
    <w:rsid w:val="008909B9"/>
    <w:rsid w:val="00891DFC"/>
    <w:rsid w:val="00895737"/>
    <w:rsid w:val="008A49EE"/>
    <w:rsid w:val="008B12B4"/>
    <w:rsid w:val="008B7914"/>
    <w:rsid w:val="008C5D2A"/>
    <w:rsid w:val="008C7AF4"/>
    <w:rsid w:val="008D1EB8"/>
    <w:rsid w:val="008D40C5"/>
    <w:rsid w:val="008D529F"/>
    <w:rsid w:val="008D7EDD"/>
    <w:rsid w:val="008E0EB5"/>
    <w:rsid w:val="008F02FB"/>
    <w:rsid w:val="008F5CC8"/>
    <w:rsid w:val="009037D0"/>
    <w:rsid w:val="009061B8"/>
    <w:rsid w:val="00906A90"/>
    <w:rsid w:val="0091008B"/>
    <w:rsid w:val="00911EA2"/>
    <w:rsid w:val="00916C7D"/>
    <w:rsid w:val="00923D6E"/>
    <w:rsid w:val="0092575D"/>
    <w:rsid w:val="009341DA"/>
    <w:rsid w:val="00937C6B"/>
    <w:rsid w:val="009430F9"/>
    <w:rsid w:val="009442E8"/>
    <w:rsid w:val="009457B6"/>
    <w:rsid w:val="009466BA"/>
    <w:rsid w:val="00946BD0"/>
    <w:rsid w:val="00951593"/>
    <w:rsid w:val="00952B88"/>
    <w:rsid w:val="00953F42"/>
    <w:rsid w:val="0095426C"/>
    <w:rsid w:val="00962196"/>
    <w:rsid w:val="00970087"/>
    <w:rsid w:val="00971074"/>
    <w:rsid w:val="0097374B"/>
    <w:rsid w:val="009802EE"/>
    <w:rsid w:val="0098266D"/>
    <w:rsid w:val="00985BF7"/>
    <w:rsid w:val="00987B8D"/>
    <w:rsid w:val="00993749"/>
    <w:rsid w:val="00995D86"/>
    <w:rsid w:val="009A5453"/>
    <w:rsid w:val="009B1186"/>
    <w:rsid w:val="009B4D94"/>
    <w:rsid w:val="009B5E47"/>
    <w:rsid w:val="009C2871"/>
    <w:rsid w:val="009C7CB5"/>
    <w:rsid w:val="009D2600"/>
    <w:rsid w:val="009D3C33"/>
    <w:rsid w:val="009D7F3A"/>
    <w:rsid w:val="009E0355"/>
    <w:rsid w:val="009E4885"/>
    <w:rsid w:val="009F5A6D"/>
    <w:rsid w:val="00A03E81"/>
    <w:rsid w:val="00A07DB6"/>
    <w:rsid w:val="00A101E9"/>
    <w:rsid w:val="00A10A73"/>
    <w:rsid w:val="00A115F6"/>
    <w:rsid w:val="00A170B3"/>
    <w:rsid w:val="00A223D5"/>
    <w:rsid w:val="00A372A1"/>
    <w:rsid w:val="00A37D1C"/>
    <w:rsid w:val="00A47318"/>
    <w:rsid w:val="00A5453E"/>
    <w:rsid w:val="00A55848"/>
    <w:rsid w:val="00A558E2"/>
    <w:rsid w:val="00A56F6C"/>
    <w:rsid w:val="00A679CB"/>
    <w:rsid w:val="00A76C8C"/>
    <w:rsid w:val="00A815BF"/>
    <w:rsid w:val="00A85F30"/>
    <w:rsid w:val="00A9099E"/>
    <w:rsid w:val="00A91FB7"/>
    <w:rsid w:val="00A9298F"/>
    <w:rsid w:val="00AA0351"/>
    <w:rsid w:val="00AA0DA9"/>
    <w:rsid w:val="00AA132B"/>
    <w:rsid w:val="00AA5F4A"/>
    <w:rsid w:val="00AB1984"/>
    <w:rsid w:val="00AB52B1"/>
    <w:rsid w:val="00AB5486"/>
    <w:rsid w:val="00AC1CAB"/>
    <w:rsid w:val="00AC4CB3"/>
    <w:rsid w:val="00AC780D"/>
    <w:rsid w:val="00AD036B"/>
    <w:rsid w:val="00AD1996"/>
    <w:rsid w:val="00AD4099"/>
    <w:rsid w:val="00AD4901"/>
    <w:rsid w:val="00AE108D"/>
    <w:rsid w:val="00AE3817"/>
    <w:rsid w:val="00AE5EC3"/>
    <w:rsid w:val="00AE6A98"/>
    <w:rsid w:val="00AE7043"/>
    <w:rsid w:val="00B02FE0"/>
    <w:rsid w:val="00B057B6"/>
    <w:rsid w:val="00B118C5"/>
    <w:rsid w:val="00B204EC"/>
    <w:rsid w:val="00B27516"/>
    <w:rsid w:val="00B30448"/>
    <w:rsid w:val="00B34786"/>
    <w:rsid w:val="00B400EC"/>
    <w:rsid w:val="00B40162"/>
    <w:rsid w:val="00B41ACE"/>
    <w:rsid w:val="00B50156"/>
    <w:rsid w:val="00B518AD"/>
    <w:rsid w:val="00B60A96"/>
    <w:rsid w:val="00B62F60"/>
    <w:rsid w:val="00B678EC"/>
    <w:rsid w:val="00B67B55"/>
    <w:rsid w:val="00B73DDD"/>
    <w:rsid w:val="00B75AC0"/>
    <w:rsid w:val="00B76C94"/>
    <w:rsid w:val="00B772D0"/>
    <w:rsid w:val="00B836EA"/>
    <w:rsid w:val="00B83ADC"/>
    <w:rsid w:val="00B84C05"/>
    <w:rsid w:val="00B8722C"/>
    <w:rsid w:val="00B91B81"/>
    <w:rsid w:val="00B97135"/>
    <w:rsid w:val="00BB3072"/>
    <w:rsid w:val="00BC7632"/>
    <w:rsid w:val="00BD45A0"/>
    <w:rsid w:val="00BD48A9"/>
    <w:rsid w:val="00BD630F"/>
    <w:rsid w:val="00BD7EC6"/>
    <w:rsid w:val="00BE3E91"/>
    <w:rsid w:val="00BE45FE"/>
    <w:rsid w:val="00BE50C7"/>
    <w:rsid w:val="00BE56E6"/>
    <w:rsid w:val="00BE73FA"/>
    <w:rsid w:val="00BF5218"/>
    <w:rsid w:val="00BF5C2A"/>
    <w:rsid w:val="00BF6B4B"/>
    <w:rsid w:val="00BF6E77"/>
    <w:rsid w:val="00C04F07"/>
    <w:rsid w:val="00C0511C"/>
    <w:rsid w:val="00C05DED"/>
    <w:rsid w:val="00C20ACF"/>
    <w:rsid w:val="00C22307"/>
    <w:rsid w:val="00C2270F"/>
    <w:rsid w:val="00C230AA"/>
    <w:rsid w:val="00C23469"/>
    <w:rsid w:val="00C30C62"/>
    <w:rsid w:val="00C315BE"/>
    <w:rsid w:val="00C371DF"/>
    <w:rsid w:val="00C42055"/>
    <w:rsid w:val="00C44B4C"/>
    <w:rsid w:val="00C46734"/>
    <w:rsid w:val="00C47A86"/>
    <w:rsid w:val="00C53220"/>
    <w:rsid w:val="00C65562"/>
    <w:rsid w:val="00CA3347"/>
    <w:rsid w:val="00CA41EF"/>
    <w:rsid w:val="00CA4C80"/>
    <w:rsid w:val="00CB28AD"/>
    <w:rsid w:val="00CB365F"/>
    <w:rsid w:val="00CB47BC"/>
    <w:rsid w:val="00CC15C9"/>
    <w:rsid w:val="00CC299A"/>
    <w:rsid w:val="00CD03E3"/>
    <w:rsid w:val="00CD3DF5"/>
    <w:rsid w:val="00CD4B04"/>
    <w:rsid w:val="00CD738B"/>
    <w:rsid w:val="00CE617B"/>
    <w:rsid w:val="00CE6BDA"/>
    <w:rsid w:val="00CF26FF"/>
    <w:rsid w:val="00D03DBE"/>
    <w:rsid w:val="00D072C0"/>
    <w:rsid w:val="00D131D2"/>
    <w:rsid w:val="00D33A2B"/>
    <w:rsid w:val="00D34C82"/>
    <w:rsid w:val="00D3515F"/>
    <w:rsid w:val="00D3757A"/>
    <w:rsid w:val="00D45A2B"/>
    <w:rsid w:val="00D504A9"/>
    <w:rsid w:val="00D5206D"/>
    <w:rsid w:val="00D53CEB"/>
    <w:rsid w:val="00D60078"/>
    <w:rsid w:val="00D7177D"/>
    <w:rsid w:val="00D81311"/>
    <w:rsid w:val="00D8632B"/>
    <w:rsid w:val="00D9095F"/>
    <w:rsid w:val="00D93CA6"/>
    <w:rsid w:val="00DB1F59"/>
    <w:rsid w:val="00DB201E"/>
    <w:rsid w:val="00DB5D94"/>
    <w:rsid w:val="00DC075F"/>
    <w:rsid w:val="00DC0E68"/>
    <w:rsid w:val="00DC5D8C"/>
    <w:rsid w:val="00DC744B"/>
    <w:rsid w:val="00DD25ED"/>
    <w:rsid w:val="00DD68B2"/>
    <w:rsid w:val="00DE0D6E"/>
    <w:rsid w:val="00DE3E5A"/>
    <w:rsid w:val="00DE70B4"/>
    <w:rsid w:val="00DF6F0B"/>
    <w:rsid w:val="00E15AB6"/>
    <w:rsid w:val="00E1610C"/>
    <w:rsid w:val="00E16D73"/>
    <w:rsid w:val="00E23E9E"/>
    <w:rsid w:val="00E25722"/>
    <w:rsid w:val="00E27851"/>
    <w:rsid w:val="00E27F0A"/>
    <w:rsid w:val="00E4231E"/>
    <w:rsid w:val="00E4302C"/>
    <w:rsid w:val="00E44AC7"/>
    <w:rsid w:val="00E45F4B"/>
    <w:rsid w:val="00E50E08"/>
    <w:rsid w:val="00E60A16"/>
    <w:rsid w:val="00E63247"/>
    <w:rsid w:val="00E63E1B"/>
    <w:rsid w:val="00E82B6E"/>
    <w:rsid w:val="00E83657"/>
    <w:rsid w:val="00E90B63"/>
    <w:rsid w:val="00E90E7C"/>
    <w:rsid w:val="00E91BFE"/>
    <w:rsid w:val="00E92110"/>
    <w:rsid w:val="00E94258"/>
    <w:rsid w:val="00E947BD"/>
    <w:rsid w:val="00E96C18"/>
    <w:rsid w:val="00EA0B9C"/>
    <w:rsid w:val="00EA1DF7"/>
    <w:rsid w:val="00EA2CC7"/>
    <w:rsid w:val="00EA2E61"/>
    <w:rsid w:val="00EA7D7F"/>
    <w:rsid w:val="00EB01B5"/>
    <w:rsid w:val="00EB02F4"/>
    <w:rsid w:val="00EB12EA"/>
    <w:rsid w:val="00EB2FA2"/>
    <w:rsid w:val="00EB769A"/>
    <w:rsid w:val="00EC3A35"/>
    <w:rsid w:val="00ED2BF0"/>
    <w:rsid w:val="00ED7EC6"/>
    <w:rsid w:val="00EE17F2"/>
    <w:rsid w:val="00EE3138"/>
    <w:rsid w:val="00EF2AC7"/>
    <w:rsid w:val="00EF400A"/>
    <w:rsid w:val="00EF6BE4"/>
    <w:rsid w:val="00EF6E5D"/>
    <w:rsid w:val="00F02B61"/>
    <w:rsid w:val="00F07764"/>
    <w:rsid w:val="00F12517"/>
    <w:rsid w:val="00F131DD"/>
    <w:rsid w:val="00F16BA1"/>
    <w:rsid w:val="00F24435"/>
    <w:rsid w:val="00F30C0F"/>
    <w:rsid w:val="00F314E8"/>
    <w:rsid w:val="00F323A2"/>
    <w:rsid w:val="00F33B57"/>
    <w:rsid w:val="00F33D5C"/>
    <w:rsid w:val="00F345B7"/>
    <w:rsid w:val="00F34E90"/>
    <w:rsid w:val="00F356D6"/>
    <w:rsid w:val="00F4062F"/>
    <w:rsid w:val="00F47695"/>
    <w:rsid w:val="00F53BE2"/>
    <w:rsid w:val="00F55684"/>
    <w:rsid w:val="00F64D5A"/>
    <w:rsid w:val="00F675FB"/>
    <w:rsid w:val="00F709CD"/>
    <w:rsid w:val="00F906F4"/>
    <w:rsid w:val="00FA0716"/>
    <w:rsid w:val="00FA57A0"/>
    <w:rsid w:val="00FB4629"/>
    <w:rsid w:val="00FB6FB1"/>
    <w:rsid w:val="00FB7063"/>
    <w:rsid w:val="00FC302F"/>
    <w:rsid w:val="00FC3C8D"/>
    <w:rsid w:val="00FC5FA1"/>
    <w:rsid w:val="00FC7056"/>
    <w:rsid w:val="00FD05E4"/>
    <w:rsid w:val="00FD1A17"/>
    <w:rsid w:val="00FE1A00"/>
    <w:rsid w:val="024D7E2C"/>
    <w:rsid w:val="039C9AAD"/>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829058090">
      <w:bodyDiv w:val="1"/>
      <w:marLeft w:val="0"/>
      <w:marRight w:val="0"/>
      <w:marTop w:val="0"/>
      <w:marBottom w:val="0"/>
      <w:divBdr>
        <w:top w:val="none" w:sz="0" w:space="0" w:color="auto"/>
        <w:left w:val="none" w:sz="0" w:space="0" w:color="auto"/>
        <w:bottom w:val="none" w:sz="0" w:space="0" w:color="auto"/>
        <w:right w:val="none" w:sz="0" w:space="0" w:color="auto"/>
      </w:divBdr>
      <w:divsChild>
        <w:div w:id="127861344">
          <w:marLeft w:val="0"/>
          <w:marRight w:val="0"/>
          <w:marTop w:val="0"/>
          <w:marBottom w:val="0"/>
          <w:divBdr>
            <w:top w:val="none" w:sz="0" w:space="0" w:color="auto"/>
            <w:left w:val="none" w:sz="0" w:space="0" w:color="auto"/>
            <w:bottom w:val="none" w:sz="0" w:space="0" w:color="auto"/>
            <w:right w:val="none" w:sz="0" w:space="0" w:color="auto"/>
          </w:divBdr>
        </w:div>
        <w:div w:id="584609174">
          <w:marLeft w:val="0"/>
          <w:marRight w:val="0"/>
          <w:marTop w:val="0"/>
          <w:marBottom w:val="0"/>
          <w:divBdr>
            <w:top w:val="none" w:sz="0" w:space="0" w:color="auto"/>
            <w:left w:val="none" w:sz="0" w:space="0" w:color="auto"/>
            <w:bottom w:val="none" w:sz="0" w:space="0" w:color="auto"/>
            <w:right w:val="none" w:sz="0" w:space="0" w:color="auto"/>
          </w:divBdr>
        </w:div>
        <w:div w:id="127108607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circulares/circular_externa_unica_version_3_vf49.pdf" TargetMode="External"/><Relationship Id="rId18" Type="http://schemas.openxmlformats.org/officeDocument/2006/relationships/hyperlink" Target="https://nam02.safelinks.protection.outlook.com/?url=https%3A%2F%2Fwww.colombiacompra.gov.co%2Fsala-de-prensa%2Fboletin-digital%2Fboletin-de-relatoria-2024-iv&amp;data=05%7C02%7Cmaria.medellin%40colombiacompra.gov.co%7C616b83c3423e4d31151908dce489c00d%7C7b09041e245149d08cb179d5e3d8c1be%7C0%7C0%7C638636527546168926%7CUnknown%7CTWFpbGZsb3d8eyJWIjoiMC4wLjAwMDAiLCJQIjoiV2luMzIiLCJBTiI6Ik1haWwiLCJXVCI6Mn0%3D%7C0%7C%7C%7C&amp;sdata=ZWEe0M3Pg62VLewcnEHUTnHacb1ESBp8Xvgsuul7y84%3D&amp;reserved=0"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erimerinou@gmail.com" TargetMode="External"/><Relationship Id="rId17" Type="http://schemas.openxmlformats.org/officeDocument/2006/relationships/hyperlink" Target="https://relatoria.colombiacompra.gov.co/busqueda/conceptos" TargetMode="External"/><Relationship Id="rId2" Type="http://schemas.openxmlformats.org/officeDocument/2006/relationships/customXml" Target="../customXml/item2.xml"/><Relationship Id="rId16" Type="http://schemas.openxmlformats.org/officeDocument/2006/relationships/hyperlink" Target="https://www.colombiacompra.gov.co/manuales-guias-y-pliegos-tipo/manuales-y-guia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relatoria.colombiacompra.gov.co/providencias-consejo-de-estado/"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content/04-documentos-tipo-de-licitacion-de-obra-publica-para-proyectos-de-infraestructura-social"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BFE84873-E36E-4E0F-8974-B27634DB61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3696</Words>
  <Characters>20332</Characters>
  <Application>Microsoft Office Word</Application>
  <DocSecurity>0</DocSecurity>
  <Lines>169</Lines>
  <Paragraphs>47</Paragraphs>
  <ScaleCrop>false</ScaleCrop>
  <Company/>
  <LinksUpToDate>false</LinksUpToDate>
  <CharactersWithSpaces>23981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3</cp:revision>
  <dcterms:created xsi:type="dcterms:W3CDTF">2024-10-28T22:09:00Z</dcterms:created>
  <dcterms:modified xsi:type="dcterms:W3CDTF">2024-10-28T22:25:00Z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