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7F0921" w14:textId="3C7B9DE7" w:rsidR="009B1A62" w:rsidRDefault="009B1A62" w:rsidP="00D67D63">
      <w:pPr>
        <w:spacing w:after="0" w:line="240" w:lineRule="auto"/>
        <w:rPr>
          <w:rFonts w:ascii="Verdana" w:eastAsia="Calibri" w:hAnsi="Verdana" w:cs="Arial"/>
          <w:b/>
          <w:bCs/>
          <w:color w:val="000000"/>
          <w:lang w:val="es-ES_tradnl"/>
        </w:rPr>
      </w:pPr>
      <w:r w:rsidRPr="009B1A62">
        <w:rPr>
          <w:rFonts w:ascii="Verdana" w:eastAsia="Calibri" w:hAnsi="Verdana" w:cs="Arial"/>
          <w:b/>
          <w:bCs/>
          <w:color w:val="000000"/>
          <w:lang w:val="es-ES_tradnl"/>
        </w:rPr>
        <w:t>INHABILIDADES E INCOMPATIBILIDADES ― Límites a la Capacidad Jurídica</w:t>
      </w:r>
    </w:p>
    <w:p w14:paraId="6D6588C6" w14:textId="77777777" w:rsidR="009B1A62" w:rsidRDefault="009B1A62" w:rsidP="00D67D63">
      <w:pPr>
        <w:spacing w:after="0" w:line="240" w:lineRule="auto"/>
        <w:rPr>
          <w:rFonts w:ascii="Verdana" w:eastAsia="Calibri" w:hAnsi="Verdana" w:cs="Arial"/>
          <w:b/>
          <w:bCs/>
          <w:color w:val="000000"/>
          <w:lang w:val="es-ES_tradnl"/>
        </w:rPr>
      </w:pPr>
    </w:p>
    <w:p w14:paraId="7B7A740E" w14:textId="2FC4D7E5" w:rsidR="009B1A62" w:rsidRPr="009B1A62" w:rsidRDefault="009B1A62" w:rsidP="009B1A62">
      <w:pPr>
        <w:spacing w:after="0" w:line="240" w:lineRule="auto"/>
        <w:jc w:val="both"/>
        <w:rPr>
          <w:rFonts w:ascii="Verdana" w:eastAsia="Calibri" w:hAnsi="Verdana" w:cs="Arial"/>
          <w:b/>
          <w:bCs/>
          <w:color w:val="000000"/>
          <w:sz w:val="20"/>
          <w:szCs w:val="20"/>
          <w:lang w:val="es-ES_tradnl"/>
        </w:rPr>
      </w:pPr>
      <w:r w:rsidRPr="009B1A62">
        <w:rPr>
          <w:rFonts w:ascii="Verdana" w:eastAsia="Calibri" w:hAnsi="Verdana" w:cs="Arial"/>
          <w:color w:val="000000"/>
          <w:sz w:val="20"/>
          <w:szCs w:val="20"/>
          <w:lang w:val="es-ES_tradnl" w:eastAsia="es-ES_tradnl"/>
        </w:rPr>
        <w:t>L</w:t>
      </w:r>
      <w:r w:rsidRPr="009B1A62">
        <w:rPr>
          <w:rFonts w:ascii="Verdana" w:eastAsia="Calibri" w:hAnsi="Verdana" w:cs="Arial"/>
          <w:color w:val="000000"/>
          <w:sz w:val="20"/>
          <w:szCs w:val="20"/>
          <w:lang w:val="es-ES_tradnl" w:eastAsia="es-ES_tradnl"/>
        </w:rPr>
        <w:t>as inhabilidades e incompatibilidades, al ser restricciones o límites especiales a la capacidad para presentar ofertas y celebrar contratos estatales, solo pueden tipificarse en la ley o sea, deben satisfacer el principio de legalidad y su interpretación debe ser restrictiva</w:t>
      </w:r>
      <w:r w:rsidRPr="009B1A62">
        <w:rPr>
          <w:rFonts w:ascii="Verdana" w:eastAsia="Calibri" w:hAnsi="Verdana" w:cs="Arial"/>
          <w:b/>
          <w:bCs/>
          <w:color w:val="000000"/>
          <w:sz w:val="20"/>
          <w:szCs w:val="20"/>
          <w:lang w:val="es-ES_tradnl"/>
        </w:rPr>
        <w:t xml:space="preserve"> </w:t>
      </w:r>
      <w:r w:rsidRPr="009B1A62">
        <w:rPr>
          <w:rFonts w:ascii="Verdana" w:eastAsia="Calibri" w:hAnsi="Verdana" w:cs="Arial"/>
          <w:color w:val="000000"/>
          <w:sz w:val="20"/>
          <w:szCs w:val="20"/>
          <w:lang w:val="es-ES_tradnl" w:eastAsia="es-ES_tradnl"/>
        </w:rPr>
        <w:t>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w:t>
      </w:r>
    </w:p>
    <w:p w14:paraId="13B38052" w14:textId="77777777" w:rsidR="009B1A62" w:rsidRPr="009B1A62" w:rsidRDefault="009B1A62" w:rsidP="00D67D63">
      <w:pPr>
        <w:spacing w:after="0" w:line="240" w:lineRule="auto"/>
        <w:rPr>
          <w:rFonts w:ascii="Verdana" w:eastAsia="Calibri" w:hAnsi="Verdana" w:cs="Arial"/>
          <w:b/>
          <w:bCs/>
          <w:color w:val="000000"/>
          <w:lang w:val="es-ES_tradnl"/>
        </w:rPr>
      </w:pPr>
    </w:p>
    <w:p w14:paraId="33283F55" w14:textId="05C9AB48" w:rsidR="009B1A62" w:rsidRDefault="009B1A62" w:rsidP="00D67D63">
      <w:pPr>
        <w:spacing w:after="0" w:line="240" w:lineRule="auto"/>
        <w:rPr>
          <w:rFonts w:ascii="Verdana" w:eastAsia="Calibri" w:hAnsi="Verdana" w:cs="Arial"/>
          <w:b/>
          <w:bCs/>
          <w:color w:val="000000"/>
          <w:lang w:val="es-ES_tradnl"/>
        </w:rPr>
      </w:pPr>
      <w:r w:rsidRPr="009B1A62">
        <w:rPr>
          <w:rFonts w:ascii="Verdana" w:eastAsia="Calibri" w:hAnsi="Verdana" w:cs="Arial"/>
          <w:b/>
          <w:bCs/>
          <w:color w:val="000000"/>
          <w:lang w:val="es-ES_tradnl"/>
        </w:rPr>
        <w:t xml:space="preserve">INHABILIDAD </w:t>
      </w:r>
      <w:r w:rsidRPr="009B1A62">
        <w:rPr>
          <w:rFonts w:ascii="Verdana" w:eastAsia="Times New Roman" w:hAnsi="Verdana" w:cs="Arial"/>
          <w:b/>
          <w:bCs/>
          <w:lang w:eastAsia="es-ES_tradnl"/>
        </w:rPr>
        <w:t>E INCOMPATIBILIDAD</w:t>
      </w:r>
      <w:r w:rsidRPr="009B1A62">
        <w:rPr>
          <w:rFonts w:ascii="Verdana" w:eastAsia="Calibri" w:hAnsi="Verdana" w:cs="Arial"/>
          <w:b/>
          <w:bCs/>
          <w:color w:val="000000"/>
          <w:lang w:val="es-ES_tradnl"/>
        </w:rPr>
        <w:t xml:space="preserve"> </w:t>
      </w:r>
      <w:r w:rsidRPr="009B1A62">
        <w:rPr>
          <w:rFonts w:ascii="Verdana" w:eastAsia="Times New Roman" w:hAnsi="Verdana" w:cs="Arial"/>
          <w:b/>
          <w:bCs/>
          <w:lang w:eastAsia="es-ES_tradnl"/>
        </w:rPr>
        <w:t>–</w:t>
      </w:r>
      <w:r w:rsidRPr="009B1A62">
        <w:rPr>
          <w:rFonts w:ascii="Verdana" w:eastAsia="Calibri" w:hAnsi="Verdana" w:cs="Arial"/>
          <w:b/>
          <w:bCs/>
          <w:color w:val="000000"/>
          <w:lang w:val="es-ES_tradnl"/>
        </w:rPr>
        <w:t xml:space="preserve"> Ley 1474 de 2011 </w:t>
      </w:r>
      <w:r w:rsidRPr="009B1A62">
        <w:rPr>
          <w:rFonts w:ascii="Verdana" w:eastAsia="Times New Roman" w:hAnsi="Verdana" w:cs="Arial"/>
          <w:b/>
          <w:bCs/>
          <w:lang w:eastAsia="es-ES_tradnl"/>
        </w:rPr>
        <w:t>–</w:t>
      </w:r>
      <w:r w:rsidRPr="009B1A62">
        <w:rPr>
          <w:rFonts w:ascii="Verdana" w:eastAsia="Calibri" w:hAnsi="Verdana" w:cs="Arial"/>
          <w:b/>
          <w:bCs/>
          <w:color w:val="000000"/>
          <w:lang w:val="es-ES_tradnl"/>
        </w:rPr>
        <w:t xml:space="preserve"> Artículo 4 </w:t>
      </w:r>
      <w:r w:rsidRPr="009B1A62">
        <w:rPr>
          <w:rFonts w:ascii="Verdana" w:eastAsia="Times New Roman" w:hAnsi="Verdana" w:cs="Arial"/>
          <w:b/>
          <w:bCs/>
          <w:lang w:eastAsia="es-ES_tradnl"/>
        </w:rPr>
        <w:t>–</w:t>
      </w:r>
      <w:r w:rsidRPr="009B1A62">
        <w:rPr>
          <w:rFonts w:ascii="Verdana" w:eastAsia="Calibri" w:hAnsi="Verdana" w:cs="Arial"/>
          <w:b/>
          <w:bCs/>
          <w:color w:val="000000"/>
          <w:lang w:val="es-ES_tradnl"/>
        </w:rPr>
        <w:t xml:space="preserve"> Ex Empleado Público</w:t>
      </w:r>
    </w:p>
    <w:p w14:paraId="2C6E4F11" w14:textId="77777777" w:rsidR="009B1A62" w:rsidRDefault="009B1A62" w:rsidP="00D67D63">
      <w:pPr>
        <w:spacing w:after="0" w:line="240" w:lineRule="auto"/>
        <w:rPr>
          <w:rFonts w:ascii="Verdana" w:eastAsia="Times New Roman" w:hAnsi="Verdana" w:cs="Arial"/>
          <w:color w:val="000000"/>
          <w:shd w:val="clear" w:color="auto" w:fill="FFFFFF"/>
          <w:lang w:val="es-ES" w:eastAsia="es-ES_tradnl"/>
        </w:rPr>
      </w:pPr>
    </w:p>
    <w:p w14:paraId="24BC9A03" w14:textId="1EDC0F20" w:rsidR="009B1A62" w:rsidRPr="009B1A62" w:rsidRDefault="009B1A62" w:rsidP="009B1A62">
      <w:pPr>
        <w:spacing w:after="0" w:line="240" w:lineRule="auto"/>
        <w:jc w:val="both"/>
        <w:rPr>
          <w:rFonts w:ascii="Verdana" w:eastAsia="Calibri" w:hAnsi="Verdana" w:cs="Arial"/>
          <w:b/>
          <w:bCs/>
          <w:color w:val="000000"/>
          <w:sz w:val="20"/>
          <w:szCs w:val="20"/>
          <w:lang w:val="es-ES_tradnl"/>
        </w:rPr>
      </w:pPr>
      <w:r w:rsidRPr="009B1A62">
        <w:rPr>
          <w:rFonts w:ascii="Verdana" w:eastAsia="Calibri" w:hAnsi="Verdana" w:cs="Arial"/>
          <w:color w:val="000000"/>
          <w:sz w:val="20"/>
          <w:szCs w:val="20"/>
          <w:lang w:val="es-ES_tradnl" w:eastAsia="es-ES_tradnl"/>
        </w:rPr>
        <w:t>La Ley 1474 de 2011, “Por la cual se dictan normas orientadas a fortalecer los mecanismos de prevención, investigación y sanción de actos de corrupción y la efectividad del control de la gestión pública”, prevé en el artículo 4 una restricción que prohíbe a los exempleados públicos celebrar contratos estatales tras la dejación del cargo, en un ámbito y en un período definidos por el legislador</w:t>
      </w:r>
      <w:r w:rsidRPr="009B1A62">
        <w:rPr>
          <w:rFonts w:ascii="Verdana" w:eastAsia="Calibri" w:hAnsi="Verdana" w:cs="Arial"/>
          <w:color w:val="000000"/>
          <w:sz w:val="20"/>
          <w:szCs w:val="20"/>
          <w:lang w:val="es-ES_tradnl" w:eastAsia="es-ES_tradnl"/>
        </w:rPr>
        <w:t>.</w:t>
      </w:r>
    </w:p>
    <w:p w14:paraId="1D790BB2" w14:textId="77777777" w:rsidR="009B1A62" w:rsidRPr="009B1A62" w:rsidRDefault="009B1A62" w:rsidP="00D67D63">
      <w:pPr>
        <w:spacing w:after="0" w:line="240" w:lineRule="auto"/>
        <w:rPr>
          <w:rFonts w:ascii="Verdana" w:eastAsia="Calibri" w:hAnsi="Verdana" w:cs="Arial"/>
          <w:b/>
          <w:bCs/>
          <w:color w:val="000000"/>
          <w:lang w:val="es-ES_tradnl"/>
        </w:rPr>
      </w:pPr>
    </w:p>
    <w:p w14:paraId="19EC5CA7" w14:textId="3E4FE951" w:rsidR="009B1A62" w:rsidRPr="009B1A62" w:rsidRDefault="009B1A62" w:rsidP="00D67D63">
      <w:pPr>
        <w:spacing w:after="0" w:line="240" w:lineRule="auto"/>
        <w:rPr>
          <w:rFonts w:ascii="Verdana" w:eastAsia="Times New Roman" w:hAnsi="Verdana" w:cs="Arial"/>
          <w:b/>
          <w:bCs/>
          <w:lang w:eastAsia="es-ES_tradnl"/>
        </w:rPr>
      </w:pPr>
      <w:r w:rsidRPr="009B1A62">
        <w:rPr>
          <w:rFonts w:ascii="Verdana" w:eastAsia="Times New Roman" w:hAnsi="Verdana" w:cs="Arial"/>
          <w:b/>
          <w:bCs/>
          <w:lang w:eastAsia="es-ES_tradnl"/>
        </w:rPr>
        <w:t>INHABILIDADES E INCOMPATIBILIDADES – Ley 80 de 1993 – Numeral 2, literal A) – Exservidor público –</w:t>
      </w:r>
      <w:r w:rsidRPr="009B1A62">
        <w:rPr>
          <w:rFonts w:ascii="Verdana" w:hAnsi="Verdana"/>
          <w:b/>
          <w:bCs/>
        </w:rPr>
        <w:t xml:space="preserve"> N</w:t>
      </w:r>
      <w:r w:rsidRPr="009B1A62">
        <w:rPr>
          <w:rFonts w:ascii="Verdana" w:eastAsia="Times New Roman" w:hAnsi="Verdana" w:cs="Arial"/>
          <w:b/>
          <w:bCs/>
          <w:lang w:eastAsia="es-ES_tradnl"/>
        </w:rPr>
        <w:t>iveles directivo, asesor o ejecutivo – Elemento temporal (1) un año</w:t>
      </w:r>
    </w:p>
    <w:p w14:paraId="1141DB57" w14:textId="1AB6900F" w:rsidR="009B1A62" w:rsidRDefault="009B1A62" w:rsidP="00D67D63">
      <w:pPr>
        <w:spacing w:after="0" w:line="240" w:lineRule="auto"/>
        <w:rPr>
          <w:rFonts w:ascii="Verdana" w:eastAsia="Times New Roman" w:hAnsi="Verdana" w:cs="Arial"/>
          <w:b/>
          <w:bCs/>
          <w:lang w:eastAsia="es-ES_tradnl"/>
        </w:rPr>
      </w:pPr>
    </w:p>
    <w:p w14:paraId="68C15BCD" w14:textId="5729F817" w:rsidR="009B1A62" w:rsidRPr="009B1A62" w:rsidRDefault="009B1A62" w:rsidP="009B1A62">
      <w:pPr>
        <w:spacing w:after="0" w:line="240" w:lineRule="auto"/>
        <w:jc w:val="both"/>
        <w:rPr>
          <w:rFonts w:ascii="Verdana" w:eastAsia="Times New Roman" w:hAnsi="Verdana" w:cs="Arial"/>
          <w:b/>
          <w:bCs/>
          <w:sz w:val="20"/>
          <w:szCs w:val="20"/>
          <w:lang w:eastAsia="es-ES_tradnl"/>
        </w:rPr>
      </w:pPr>
      <w:r>
        <w:rPr>
          <w:rFonts w:ascii="Verdana" w:eastAsia="Arial MT" w:hAnsi="Verdana" w:cs="Arial"/>
          <w:sz w:val="20"/>
          <w:szCs w:val="20"/>
          <w:lang w:eastAsia="es-ES" w:bidi="es-ES"/>
        </w:rPr>
        <w:t>E</w:t>
      </w:r>
      <w:r w:rsidRPr="009B1A62">
        <w:rPr>
          <w:rFonts w:ascii="Verdana" w:eastAsia="Arial MT" w:hAnsi="Verdana" w:cs="Arial"/>
          <w:sz w:val="20"/>
          <w:szCs w:val="20"/>
          <w:lang w:eastAsia="es-ES" w:bidi="es-ES"/>
        </w:rPr>
        <w:t>l literal a) del numeral 2 del artículo 8 de la Ley 80 de 1993, y se configura incompatibilidad para contratar con una entidad determinada en quienes fueron miembros de junta o consejo directivo, así como en los exservidores públicos de los niveles directivo, asesor o ejecutivo. Esta restricción a la capacidad rige únicamente respecto de la entidad contratante a la que estuvo vinculado el respectivo miembro de junta o servidor, durante el año siguiente a la fecha de retiro.</w:t>
      </w:r>
    </w:p>
    <w:p w14:paraId="63D004AA" w14:textId="77777777" w:rsidR="009B1A62" w:rsidRPr="009B1A62" w:rsidRDefault="009B1A62" w:rsidP="00D67D63">
      <w:pPr>
        <w:spacing w:after="0" w:line="240" w:lineRule="auto"/>
        <w:rPr>
          <w:rFonts w:ascii="Verdana" w:eastAsia="Times New Roman" w:hAnsi="Verdana" w:cs="Arial"/>
          <w:b/>
          <w:bCs/>
          <w:lang w:eastAsia="es-ES_tradnl"/>
        </w:rPr>
      </w:pPr>
    </w:p>
    <w:p w14:paraId="0B2DF8ED" w14:textId="6C34E83B" w:rsidR="009B1A62" w:rsidRDefault="009B1A62" w:rsidP="00D67D63">
      <w:pPr>
        <w:spacing w:after="0" w:line="240" w:lineRule="auto"/>
        <w:rPr>
          <w:rFonts w:ascii="Verdana" w:eastAsia="Times New Roman" w:hAnsi="Verdana" w:cs="Arial"/>
          <w:b/>
          <w:bCs/>
          <w:lang w:eastAsia="es-ES_tradnl"/>
        </w:rPr>
      </w:pPr>
      <w:r w:rsidRPr="009B1A62">
        <w:rPr>
          <w:rFonts w:ascii="Verdana" w:eastAsia="Times New Roman" w:hAnsi="Verdana" w:cs="Arial"/>
          <w:b/>
          <w:bCs/>
          <w:lang w:eastAsia="es-ES_tradnl"/>
        </w:rPr>
        <w:t xml:space="preserve">INHABILIDADES E INCOMPATIBILIDADES – Ley 80 de 1993 – Numeral 2, literal F) – Contratación directa e indirecta – Exservidor público – Cargo Directivo – Elemento temporal (2) dos años </w:t>
      </w:r>
    </w:p>
    <w:p w14:paraId="44BE233C" w14:textId="4D5A7BC1" w:rsidR="009B1A62" w:rsidRDefault="009B1A62" w:rsidP="00D67D63">
      <w:pPr>
        <w:spacing w:after="0" w:line="240" w:lineRule="auto"/>
        <w:rPr>
          <w:rFonts w:ascii="Verdana" w:eastAsia="Times New Roman" w:hAnsi="Verdana" w:cs="Arial"/>
          <w:b/>
          <w:bCs/>
          <w:lang w:eastAsia="es-ES_tradnl"/>
        </w:rPr>
      </w:pPr>
    </w:p>
    <w:p w14:paraId="51EA7A76" w14:textId="77777777" w:rsidR="009B1A62" w:rsidRPr="009B1A62" w:rsidRDefault="009B1A62" w:rsidP="009B1A62">
      <w:pPr>
        <w:spacing w:after="120" w:line="276" w:lineRule="auto"/>
        <w:jc w:val="both"/>
        <w:rPr>
          <w:rFonts w:ascii="Verdana" w:eastAsia="Arial MT" w:hAnsi="Verdana" w:cs="Arial"/>
          <w:sz w:val="20"/>
          <w:szCs w:val="20"/>
          <w:lang w:eastAsia="es-ES" w:bidi="es-ES"/>
        </w:rPr>
      </w:pPr>
      <w:r w:rsidRPr="009B1A62">
        <w:rPr>
          <w:rFonts w:ascii="Verdana" w:eastAsia="Arial MT" w:hAnsi="Verdana" w:cs="Arial"/>
          <w:sz w:val="20"/>
          <w:szCs w:val="20"/>
          <w:lang w:eastAsia="es-ES" w:bidi="es-ES"/>
        </w:rPr>
        <w:t xml:space="preserve">Por otro lado, de conformidad con el literal f) del numeral 2 del artículo 8 de la Ley 80 de 1993, adicionado por el artículo 4 de la Ley 1474 de 2011, se configura incompatibilidad de manera directa en las personas naturales que ejercieron cargos del nivel directivo en entidades del Estado, y, de manera indirecta, en las sociedades a las que se encuentren vinculados dichos exservidores públicos, a cualquier título. La restricción a la capacidad contractual que deviene de esta causal aplica solo respecto de objetos contractuales que desarrollen tenga relación con el sector al cual el ex </w:t>
      </w:r>
      <w:r w:rsidRPr="009B1A62">
        <w:rPr>
          <w:rFonts w:ascii="Verdana" w:eastAsia="Arial MT" w:hAnsi="Verdana" w:cs="Arial"/>
          <w:sz w:val="20"/>
          <w:szCs w:val="20"/>
          <w:lang w:eastAsia="es-ES" w:bidi="es-ES"/>
        </w:rPr>
        <w:lastRenderedPageBreak/>
        <w:t xml:space="preserve">funcionario del nivel directivo prestó sus servicios y se extenderá durante los dos años siguientes a su retiro.   </w:t>
      </w:r>
    </w:p>
    <w:p w14:paraId="234A757B" w14:textId="1C5B9388" w:rsidR="009B1A62" w:rsidRPr="009B1A62" w:rsidRDefault="009B1A62" w:rsidP="009B1A62">
      <w:pPr>
        <w:spacing w:line="276" w:lineRule="auto"/>
        <w:jc w:val="both"/>
        <w:rPr>
          <w:rFonts w:ascii="Verdana" w:eastAsia="Arial MT" w:hAnsi="Verdana" w:cs="Arial"/>
          <w:sz w:val="20"/>
          <w:szCs w:val="20"/>
          <w:lang w:eastAsia="es-ES" w:bidi="es-ES"/>
        </w:rPr>
      </w:pPr>
      <w:r w:rsidRPr="009B1A62">
        <w:rPr>
          <w:rFonts w:ascii="Verdana" w:eastAsia="Arial MT" w:hAnsi="Verdana" w:cs="Arial"/>
          <w:sz w:val="20"/>
          <w:szCs w:val="20"/>
          <w:lang w:eastAsia="es-ES" w:bidi="es-ES"/>
        </w:rPr>
        <w:t>Adicionalmente, por expresa disposición del literal f) del artículo 8, numeral 2 de la Ley 80 de 1993, esta incompatibilidad también se extiende a las personas naturales que se encuentren dentro del primer grado de consanguinidad, primero de afinidad, o primero civil del exempleado público. Esto significa que personas con dicho tipo de vínculos con el exfuncionario del nivel directivo, tampoco podrán celebrar contratos estatales con objetos relacionados el sector donde este haya trabajado, hasta pasados dos años de su retiro del servicio.</w:t>
      </w:r>
    </w:p>
    <w:p w14:paraId="63A464B3" w14:textId="77777777" w:rsidR="009B1A62" w:rsidRPr="009B1A62" w:rsidRDefault="009B1A62" w:rsidP="00D67D63">
      <w:pPr>
        <w:spacing w:after="0" w:line="240" w:lineRule="auto"/>
        <w:rPr>
          <w:rFonts w:ascii="Verdana" w:eastAsia="Times New Roman" w:hAnsi="Verdana" w:cs="Arial"/>
          <w:b/>
          <w:bCs/>
          <w:lang w:eastAsia="es-ES_tradnl"/>
        </w:rPr>
      </w:pPr>
    </w:p>
    <w:p w14:paraId="50B2C8A2" w14:textId="0AA72716" w:rsidR="009B1A62" w:rsidRDefault="009B1A62" w:rsidP="00D67D63">
      <w:pPr>
        <w:spacing w:after="0" w:line="240" w:lineRule="auto"/>
        <w:rPr>
          <w:rStyle w:val="Textoennegrita"/>
          <w:rFonts w:ascii="Verdana" w:hAnsi="Verdana" w:cs="Segoe UI"/>
          <w:shd w:val="clear" w:color="auto" w:fill="FFFFFF"/>
        </w:rPr>
      </w:pPr>
      <w:r w:rsidRPr="009B1A62">
        <w:rPr>
          <w:rStyle w:val="Textoennegrita"/>
          <w:rFonts w:ascii="Verdana" w:hAnsi="Verdana" w:cs="Segoe UI"/>
          <w:shd w:val="clear" w:color="auto" w:fill="FFFFFF"/>
        </w:rPr>
        <w:t>INHABILIDADES E INCOMPATIBILIDADES – Artículo 8 de la Ley 80 de 1993, numeral 2, literal D) – Destinatarios</w:t>
      </w:r>
    </w:p>
    <w:p w14:paraId="49931D81" w14:textId="2BDFC5A4" w:rsidR="009B1A62" w:rsidRDefault="009B1A62" w:rsidP="00D67D63">
      <w:pPr>
        <w:spacing w:after="0" w:line="240" w:lineRule="auto"/>
        <w:rPr>
          <w:rStyle w:val="Textoennegrita"/>
          <w:rFonts w:ascii="Verdana" w:hAnsi="Verdana" w:cs="Segoe UI"/>
          <w:shd w:val="clear" w:color="auto" w:fill="FFFFFF"/>
        </w:rPr>
      </w:pPr>
    </w:p>
    <w:p w14:paraId="42ADEE02" w14:textId="03D1A2B4" w:rsidR="009B1A62" w:rsidRPr="009B1A62" w:rsidRDefault="009B1A62" w:rsidP="009B1A62">
      <w:pPr>
        <w:spacing w:after="0" w:line="240" w:lineRule="auto"/>
        <w:jc w:val="both"/>
        <w:rPr>
          <w:rStyle w:val="Textoennegrita"/>
          <w:rFonts w:ascii="Verdana" w:hAnsi="Verdana" w:cs="Segoe UI"/>
          <w:sz w:val="20"/>
          <w:szCs w:val="20"/>
          <w:shd w:val="clear" w:color="auto" w:fill="FFFFFF"/>
        </w:rPr>
      </w:pPr>
      <w:r>
        <w:rPr>
          <w:rFonts w:ascii="Verdana" w:eastAsia="Arial MT" w:hAnsi="Verdana" w:cs="Arial"/>
          <w:sz w:val="20"/>
          <w:szCs w:val="20"/>
          <w:lang w:val="es-ES"/>
        </w:rPr>
        <w:t>E</w:t>
      </w:r>
      <w:r w:rsidRPr="009B1A62">
        <w:rPr>
          <w:rFonts w:ascii="Verdana" w:eastAsia="Arial MT" w:hAnsi="Verdana" w:cs="Arial"/>
          <w:sz w:val="20"/>
          <w:szCs w:val="20"/>
          <w:lang w:val="es-ES"/>
        </w:rPr>
        <w:t xml:space="preserve">l literal d) del numeral 2 del artículo 8 de la Ley 80 de 1993, menciona que </w:t>
      </w:r>
      <w:r w:rsidRPr="009B1A62">
        <w:rPr>
          <w:rFonts w:ascii="Verdana" w:hAnsi="Verdana"/>
          <w:w w:val="105"/>
          <w:sz w:val="20"/>
          <w:szCs w:val="20"/>
        </w:rPr>
        <w:t>tampoco podrán participar en licitaciones o concursos ni celebrar contratos estatales con la entidad respectiva,</w:t>
      </w:r>
      <w:r w:rsidRPr="009B1A62">
        <w:rPr>
          <w:rFonts w:ascii="Verdana" w:eastAsia="Arial MT" w:hAnsi="Verdana" w:cs="Arial"/>
          <w:sz w:val="20"/>
          <w:szCs w:val="20"/>
          <w:lang w:val="es-ES"/>
        </w:rPr>
        <w:t xml:space="preserve"> algunas sociedades, que estarán inhabilitadas para contratar con la</w:t>
      </w:r>
      <w:r w:rsidRPr="009B1A62">
        <w:rPr>
          <w:rFonts w:ascii="Verdana" w:eastAsia="Arial MT" w:hAnsi="Verdana" w:cs="Arial"/>
          <w:spacing w:val="1"/>
          <w:sz w:val="20"/>
          <w:szCs w:val="20"/>
          <w:lang w:val="es-ES"/>
        </w:rPr>
        <w:t xml:space="preserve"> </w:t>
      </w:r>
      <w:r w:rsidRPr="009B1A62">
        <w:rPr>
          <w:rFonts w:ascii="Verdana" w:eastAsia="Arial MT" w:hAnsi="Verdana" w:cs="Arial"/>
          <w:sz w:val="20"/>
          <w:szCs w:val="20"/>
          <w:lang w:val="es-ES"/>
        </w:rPr>
        <w:t>entidad</w:t>
      </w:r>
      <w:r w:rsidRPr="009B1A62">
        <w:rPr>
          <w:rFonts w:ascii="Verdana" w:eastAsia="Arial MT" w:hAnsi="Verdana" w:cs="Arial"/>
          <w:spacing w:val="-7"/>
          <w:sz w:val="20"/>
          <w:szCs w:val="20"/>
          <w:lang w:val="es-ES"/>
        </w:rPr>
        <w:t xml:space="preserve"> </w:t>
      </w:r>
      <w:r w:rsidRPr="009B1A62">
        <w:rPr>
          <w:rFonts w:ascii="Verdana" w:eastAsia="Arial MT" w:hAnsi="Verdana" w:cs="Arial"/>
          <w:sz w:val="20"/>
          <w:szCs w:val="20"/>
          <w:lang w:val="es-ES"/>
        </w:rPr>
        <w:t>a</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la</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que</w:t>
      </w:r>
      <w:r w:rsidRPr="009B1A62">
        <w:rPr>
          <w:rFonts w:ascii="Verdana" w:eastAsia="Arial MT" w:hAnsi="Verdana" w:cs="Arial"/>
          <w:spacing w:val="-7"/>
          <w:sz w:val="20"/>
          <w:szCs w:val="20"/>
          <w:lang w:val="es-ES"/>
        </w:rPr>
        <w:t xml:space="preserve"> </w:t>
      </w:r>
      <w:r w:rsidRPr="009B1A62">
        <w:rPr>
          <w:rFonts w:ascii="Verdana" w:eastAsia="Arial MT" w:hAnsi="Verdana" w:cs="Arial"/>
          <w:sz w:val="20"/>
          <w:szCs w:val="20"/>
          <w:lang w:val="es-ES"/>
        </w:rPr>
        <w:t>pertenezca</w:t>
      </w:r>
      <w:r w:rsidRPr="009B1A62">
        <w:rPr>
          <w:rFonts w:ascii="Verdana" w:eastAsia="Arial MT" w:hAnsi="Verdana" w:cs="Arial"/>
          <w:spacing w:val="-7"/>
          <w:sz w:val="20"/>
          <w:szCs w:val="20"/>
          <w:lang w:val="es-ES"/>
        </w:rPr>
        <w:t xml:space="preserve"> el</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servidor</w:t>
      </w:r>
      <w:r w:rsidRPr="009B1A62">
        <w:rPr>
          <w:rFonts w:ascii="Verdana" w:eastAsia="Arial MT" w:hAnsi="Verdana" w:cs="Arial"/>
          <w:spacing w:val="-7"/>
          <w:sz w:val="20"/>
          <w:szCs w:val="20"/>
          <w:lang w:val="es-ES"/>
        </w:rPr>
        <w:t xml:space="preserve"> </w:t>
      </w:r>
      <w:r w:rsidRPr="009B1A62">
        <w:rPr>
          <w:rFonts w:ascii="Verdana" w:eastAsia="Arial MT" w:hAnsi="Verdana" w:cs="Arial"/>
          <w:sz w:val="20"/>
          <w:szCs w:val="20"/>
          <w:lang w:val="es-ES"/>
        </w:rPr>
        <w:t>público</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que:</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i) corresponda</w:t>
      </w:r>
      <w:r w:rsidRPr="009B1A62">
        <w:rPr>
          <w:rFonts w:ascii="Verdana" w:eastAsia="Arial MT" w:hAnsi="Verdana" w:cs="Arial"/>
          <w:spacing w:val="-7"/>
          <w:sz w:val="20"/>
          <w:szCs w:val="20"/>
          <w:lang w:val="es-ES"/>
        </w:rPr>
        <w:t xml:space="preserve"> </w:t>
      </w:r>
      <w:r w:rsidRPr="009B1A62">
        <w:rPr>
          <w:rFonts w:ascii="Verdana" w:eastAsia="Arial MT" w:hAnsi="Verdana" w:cs="Arial"/>
          <w:sz w:val="20"/>
          <w:szCs w:val="20"/>
          <w:lang w:val="es-ES"/>
        </w:rPr>
        <w:t>al</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nivel</w:t>
      </w:r>
      <w:r w:rsidRPr="009B1A62">
        <w:rPr>
          <w:rFonts w:ascii="Verdana" w:eastAsia="Arial MT" w:hAnsi="Verdana" w:cs="Arial"/>
          <w:spacing w:val="-7"/>
          <w:sz w:val="20"/>
          <w:szCs w:val="20"/>
          <w:lang w:val="es-ES"/>
        </w:rPr>
        <w:t xml:space="preserve"> </w:t>
      </w:r>
      <w:r w:rsidRPr="009B1A62">
        <w:rPr>
          <w:rFonts w:ascii="Verdana" w:eastAsia="Arial MT" w:hAnsi="Verdana" w:cs="Arial"/>
          <w:sz w:val="20"/>
          <w:szCs w:val="20"/>
          <w:lang w:val="es-ES"/>
        </w:rPr>
        <w:t>directivo,</w:t>
      </w:r>
      <w:r w:rsidRPr="009B1A62">
        <w:rPr>
          <w:rFonts w:ascii="Verdana" w:eastAsia="Arial MT" w:hAnsi="Verdana" w:cs="Arial"/>
          <w:spacing w:val="1"/>
          <w:sz w:val="20"/>
          <w:szCs w:val="20"/>
          <w:lang w:val="es-ES"/>
        </w:rPr>
        <w:t xml:space="preserve"> </w:t>
      </w:r>
      <w:r w:rsidRPr="009B1A62">
        <w:rPr>
          <w:rFonts w:ascii="Verdana" w:eastAsia="Arial MT" w:hAnsi="Verdana" w:cs="Arial"/>
          <w:sz w:val="20"/>
          <w:szCs w:val="20"/>
          <w:lang w:val="es-ES"/>
        </w:rPr>
        <w:t>asesor,</w:t>
      </w:r>
      <w:r w:rsidRPr="009B1A62">
        <w:rPr>
          <w:rFonts w:ascii="Verdana" w:eastAsia="Arial MT" w:hAnsi="Verdana" w:cs="Arial"/>
          <w:spacing w:val="-9"/>
          <w:sz w:val="20"/>
          <w:szCs w:val="20"/>
          <w:lang w:val="es-ES"/>
        </w:rPr>
        <w:t xml:space="preserve"> </w:t>
      </w:r>
      <w:r w:rsidRPr="009B1A62">
        <w:rPr>
          <w:rFonts w:ascii="Verdana" w:eastAsia="Arial MT" w:hAnsi="Verdana" w:cs="Arial"/>
          <w:sz w:val="20"/>
          <w:szCs w:val="20"/>
          <w:lang w:val="es-ES"/>
        </w:rPr>
        <w:t>ejecutivo</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o</w:t>
      </w:r>
      <w:r w:rsidRPr="009B1A62">
        <w:rPr>
          <w:rFonts w:ascii="Verdana" w:eastAsia="Arial MT" w:hAnsi="Verdana" w:cs="Arial"/>
          <w:spacing w:val="-10"/>
          <w:sz w:val="20"/>
          <w:szCs w:val="20"/>
          <w:lang w:val="es-ES"/>
        </w:rPr>
        <w:t xml:space="preserve"> </w:t>
      </w:r>
      <w:r w:rsidRPr="009B1A62">
        <w:rPr>
          <w:rFonts w:ascii="Verdana" w:eastAsia="Arial MT" w:hAnsi="Verdana" w:cs="Arial"/>
          <w:sz w:val="20"/>
          <w:szCs w:val="20"/>
          <w:lang w:val="es-ES"/>
        </w:rPr>
        <w:t>miembro</w:t>
      </w:r>
      <w:r w:rsidRPr="009B1A62">
        <w:rPr>
          <w:rFonts w:ascii="Verdana" w:eastAsia="Arial MT" w:hAnsi="Verdana" w:cs="Arial"/>
          <w:spacing w:val="-9"/>
          <w:sz w:val="20"/>
          <w:szCs w:val="20"/>
          <w:lang w:val="es-ES"/>
        </w:rPr>
        <w:t xml:space="preserve"> </w:t>
      </w:r>
      <w:r w:rsidRPr="009B1A62">
        <w:rPr>
          <w:rFonts w:ascii="Verdana" w:eastAsia="Arial MT" w:hAnsi="Verdana" w:cs="Arial"/>
          <w:sz w:val="20"/>
          <w:szCs w:val="20"/>
          <w:lang w:val="es-ES"/>
        </w:rPr>
        <w:t>de</w:t>
      </w:r>
      <w:r w:rsidRPr="009B1A62">
        <w:rPr>
          <w:rFonts w:ascii="Verdana" w:eastAsia="Arial MT" w:hAnsi="Verdana" w:cs="Arial"/>
          <w:spacing w:val="-10"/>
          <w:sz w:val="20"/>
          <w:szCs w:val="20"/>
          <w:lang w:val="es-ES"/>
        </w:rPr>
        <w:t xml:space="preserve"> </w:t>
      </w:r>
      <w:r w:rsidRPr="009B1A62">
        <w:rPr>
          <w:rFonts w:ascii="Verdana" w:eastAsia="Arial MT" w:hAnsi="Verdana" w:cs="Arial"/>
          <w:sz w:val="20"/>
          <w:szCs w:val="20"/>
          <w:lang w:val="es-ES"/>
        </w:rPr>
        <w:t>la</w:t>
      </w:r>
      <w:r w:rsidRPr="009B1A62">
        <w:rPr>
          <w:rFonts w:ascii="Verdana" w:eastAsia="Arial MT" w:hAnsi="Verdana" w:cs="Arial"/>
          <w:spacing w:val="-9"/>
          <w:sz w:val="20"/>
          <w:szCs w:val="20"/>
          <w:lang w:val="es-ES"/>
        </w:rPr>
        <w:t xml:space="preserve"> </w:t>
      </w:r>
      <w:r w:rsidRPr="009B1A62">
        <w:rPr>
          <w:rFonts w:ascii="Verdana" w:eastAsia="Arial MT" w:hAnsi="Verdana" w:cs="Arial"/>
          <w:sz w:val="20"/>
          <w:szCs w:val="20"/>
          <w:lang w:val="es-ES"/>
        </w:rPr>
        <w:t>junta</w:t>
      </w:r>
      <w:r w:rsidRPr="009B1A62">
        <w:rPr>
          <w:rFonts w:ascii="Verdana" w:eastAsia="Arial MT" w:hAnsi="Verdana" w:cs="Arial"/>
          <w:spacing w:val="-10"/>
          <w:sz w:val="20"/>
          <w:szCs w:val="20"/>
          <w:lang w:val="es-ES"/>
        </w:rPr>
        <w:t xml:space="preserve"> </w:t>
      </w:r>
      <w:r w:rsidRPr="009B1A62">
        <w:rPr>
          <w:rFonts w:ascii="Verdana" w:eastAsia="Arial MT" w:hAnsi="Verdana" w:cs="Arial"/>
          <w:sz w:val="20"/>
          <w:szCs w:val="20"/>
          <w:lang w:val="es-ES"/>
        </w:rPr>
        <w:t>o</w:t>
      </w:r>
      <w:r w:rsidRPr="009B1A62">
        <w:rPr>
          <w:rFonts w:ascii="Verdana" w:eastAsia="Arial MT" w:hAnsi="Verdana" w:cs="Arial"/>
          <w:spacing w:val="-9"/>
          <w:sz w:val="20"/>
          <w:szCs w:val="20"/>
          <w:lang w:val="es-ES"/>
        </w:rPr>
        <w:t xml:space="preserve"> </w:t>
      </w:r>
      <w:r w:rsidRPr="009B1A62">
        <w:rPr>
          <w:rFonts w:ascii="Verdana" w:eastAsia="Arial MT" w:hAnsi="Verdana" w:cs="Arial"/>
          <w:sz w:val="20"/>
          <w:szCs w:val="20"/>
          <w:lang w:val="es-ES"/>
        </w:rPr>
        <w:t>consejo</w:t>
      </w:r>
      <w:r w:rsidRPr="009B1A62">
        <w:rPr>
          <w:rFonts w:ascii="Verdana" w:eastAsia="Arial MT" w:hAnsi="Verdana" w:cs="Arial"/>
          <w:spacing w:val="-10"/>
          <w:sz w:val="20"/>
          <w:szCs w:val="20"/>
          <w:lang w:val="es-ES"/>
        </w:rPr>
        <w:t xml:space="preserve"> </w:t>
      </w:r>
      <w:r w:rsidRPr="009B1A62">
        <w:rPr>
          <w:rFonts w:ascii="Verdana" w:eastAsia="Arial MT" w:hAnsi="Verdana" w:cs="Arial"/>
          <w:sz w:val="20"/>
          <w:szCs w:val="20"/>
          <w:lang w:val="es-ES"/>
        </w:rPr>
        <w:t>directivo</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de</w:t>
      </w:r>
      <w:r w:rsidRPr="009B1A62">
        <w:rPr>
          <w:rFonts w:ascii="Verdana" w:eastAsia="Arial MT" w:hAnsi="Verdana" w:cs="Arial"/>
          <w:spacing w:val="-9"/>
          <w:sz w:val="20"/>
          <w:szCs w:val="20"/>
          <w:lang w:val="es-ES"/>
        </w:rPr>
        <w:t xml:space="preserve"> </w:t>
      </w:r>
      <w:r w:rsidRPr="009B1A62">
        <w:rPr>
          <w:rFonts w:ascii="Verdana" w:eastAsia="Arial MT" w:hAnsi="Verdana" w:cs="Arial"/>
          <w:sz w:val="20"/>
          <w:szCs w:val="20"/>
          <w:lang w:val="es-ES"/>
        </w:rPr>
        <w:t>la</w:t>
      </w:r>
      <w:r w:rsidRPr="009B1A62">
        <w:rPr>
          <w:rFonts w:ascii="Verdana" w:eastAsia="Arial MT" w:hAnsi="Verdana" w:cs="Arial"/>
          <w:spacing w:val="-10"/>
          <w:sz w:val="20"/>
          <w:szCs w:val="20"/>
          <w:lang w:val="es-ES"/>
        </w:rPr>
        <w:t xml:space="preserve"> </w:t>
      </w:r>
      <w:r w:rsidRPr="009B1A62">
        <w:rPr>
          <w:rFonts w:ascii="Verdana" w:eastAsia="Arial MT" w:hAnsi="Verdana" w:cs="Arial"/>
          <w:sz w:val="20"/>
          <w:szCs w:val="20"/>
          <w:lang w:val="es-ES"/>
        </w:rPr>
        <w:t>entidad</w:t>
      </w:r>
      <w:r w:rsidRPr="009B1A62">
        <w:rPr>
          <w:rFonts w:ascii="Verdana" w:eastAsia="Arial MT" w:hAnsi="Verdana" w:cs="Arial"/>
          <w:spacing w:val="-8"/>
          <w:sz w:val="20"/>
          <w:szCs w:val="20"/>
          <w:lang w:val="es-ES"/>
        </w:rPr>
        <w:t xml:space="preserve"> </w:t>
      </w:r>
      <w:r w:rsidRPr="009B1A62">
        <w:rPr>
          <w:rFonts w:ascii="Verdana" w:eastAsia="Arial MT" w:hAnsi="Verdana" w:cs="Arial"/>
          <w:sz w:val="20"/>
          <w:szCs w:val="20"/>
          <w:lang w:val="es-ES"/>
        </w:rPr>
        <w:t>contratante</w:t>
      </w:r>
      <w:r w:rsidRPr="009B1A62">
        <w:rPr>
          <w:rFonts w:ascii="Verdana" w:eastAsia="Arial MT" w:hAnsi="Verdana" w:cs="Arial"/>
          <w:spacing w:val="-10"/>
          <w:sz w:val="20"/>
          <w:szCs w:val="20"/>
          <w:lang w:val="es-ES"/>
        </w:rPr>
        <w:t xml:space="preserve"> </w:t>
      </w:r>
      <w:r w:rsidRPr="009B1A62">
        <w:rPr>
          <w:rFonts w:ascii="Verdana" w:eastAsia="Arial MT" w:hAnsi="Verdana" w:cs="Arial"/>
          <w:sz w:val="20"/>
          <w:szCs w:val="20"/>
          <w:lang w:val="es-ES"/>
        </w:rPr>
        <w:t>y</w:t>
      </w:r>
      <w:r w:rsidRPr="009B1A62">
        <w:rPr>
          <w:rFonts w:ascii="Verdana" w:eastAsia="Arial MT" w:hAnsi="Verdana" w:cs="Arial"/>
          <w:spacing w:val="-9"/>
          <w:sz w:val="20"/>
          <w:szCs w:val="20"/>
          <w:lang w:val="es-ES"/>
        </w:rPr>
        <w:t xml:space="preserve"> </w:t>
      </w:r>
      <w:r w:rsidRPr="009B1A62">
        <w:rPr>
          <w:rFonts w:ascii="Verdana" w:eastAsia="Arial MT" w:hAnsi="Verdana" w:cs="Arial"/>
          <w:sz w:val="20"/>
          <w:szCs w:val="20"/>
          <w:lang w:val="es-ES"/>
        </w:rPr>
        <w:t>ii)</w:t>
      </w:r>
      <w:r w:rsidRPr="009B1A62">
        <w:rPr>
          <w:rFonts w:ascii="Verdana" w:eastAsia="Arial MT" w:hAnsi="Verdana" w:cs="Arial"/>
          <w:spacing w:val="-59"/>
          <w:sz w:val="20"/>
          <w:szCs w:val="20"/>
          <w:lang w:val="es-ES"/>
        </w:rPr>
        <w:t xml:space="preserve"> </w:t>
      </w:r>
      <w:r w:rsidRPr="009B1A62">
        <w:rPr>
          <w:rFonts w:ascii="Verdana" w:eastAsia="Arial MT" w:hAnsi="Verdana" w:cs="Arial"/>
          <w:sz w:val="20"/>
          <w:szCs w:val="20"/>
          <w:lang w:val="es-ES"/>
        </w:rPr>
        <w:t>que</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tenga</w:t>
      </w:r>
      <w:r w:rsidRPr="009B1A62">
        <w:rPr>
          <w:rFonts w:ascii="Verdana" w:eastAsia="Arial MT" w:hAnsi="Verdana" w:cs="Arial"/>
          <w:spacing w:val="-4"/>
          <w:sz w:val="20"/>
          <w:szCs w:val="20"/>
          <w:lang w:val="es-ES"/>
        </w:rPr>
        <w:t xml:space="preserve"> </w:t>
      </w:r>
      <w:r w:rsidRPr="009B1A62">
        <w:rPr>
          <w:rFonts w:ascii="Verdana" w:eastAsia="Arial MT" w:hAnsi="Verdana" w:cs="Arial"/>
          <w:sz w:val="20"/>
          <w:szCs w:val="20"/>
          <w:lang w:val="es-ES"/>
        </w:rPr>
        <w:t>participación</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en</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esas</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personas jurídicas</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o</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ejerza</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un</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cargo</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de</w:t>
      </w:r>
      <w:r w:rsidRPr="009B1A62">
        <w:rPr>
          <w:rFonts w:ascii="Verdana" w:eastAsia="Arial MT" w:hAnsi="Verdana" w:cs="Arial"/>
          <w:spacing w:val="-5"/>
          <w:sz w:val="20"/>
          <w:szCs w:val="20"/>
          <w:lang w:val="es-ES"/>
        </w:rPr>
        <w:t xml:space="preserve"> </w:t>
      </w:r>
      <w:r w:rsidRPr="009B1A62">
        <w:rPr>
          <w:rFonts w:ascii="Verdana" w:eastAsia="Arial MT" w:hAnsi="Verdana" w:cs="Arial"/>
          <w:sz w:val="20"/>
          <w:szCs w:val="20"/>
          <w:lang w:val="es-ES"/>
        </w:rPr>
        <w:t>dirección o</w:t>
      </w:r>
      <w:r w:rsidRPr="009B1A62">
        <w:rPr>
          <w:rFonts w:ascii="Verdana" w:eastAsia="Arial MT" w:hAnsi="Verdana" w:cs="Arial"/>
          <w:spacing w:val="-1"/>
          <w:sz w:val="20"/>
          <w:szCs w:val="20"/>
          <w:lang w:val="es-ES"/>
        </w:rPr>
        <w:t xml:space="preserve"> </w:t>
      </w:r>
      <w:r w:rsidRPr="009B1A62">
        <w:rPr>
          <w:rFonts w:ascii="Verdana" w:eastAsia="Arial MT" w:hAnsi="Verdana" w:cs="Arial"/>
          <w:sz w:val="20"/>
          <w:szCs w:val="20"/>
          <w:lang w:val="es-ES"/>
        </w:rPr>
        <w:t>manejo.</w:t>
      </w:r>
    </w:p>
    <w:p w14:paraId="0C9BDDC7" w14:textId="77777777" w:rsidR="009B1A62" w:rsidRPr="009B1A62" w:rsidRDefault="009B1A62" w:rsidP="00D67D63">
      <w:pPr>
        <w:spacing w:after="0" w:line="240" w:lineRule="auto"/>
        <w:rPr>
          <w:rStyle w:val="Textoennegrita"/>
          <w:rFonts w:ascii="Verdana" w:hAnsi="Verdana" w:cs="Segoe UI"/>
          <w:shd w:val="clear" w:color="auto" w:fill="FFFFFF"/>
        </w:rPr>
      </w:pPr>
    </w:p>
    <w:p w14:paraId="5C26A2E5" w14:textId="74407B02" w:rsidR="009B1A62" w:rsidRDefault="009B1A62" w:rsidP="00D67D63">
      <w:pPr>
        <w:spacing w:after="0" w:line="240" w:lineRule="auto"/>
        <w:rPr>
          <w:rStyle w:val="Textoennegrita"/>
          <w:rFonts w:ascii="Verdana" w:hAnsi="Verdana" w:cs="Segoe UI"/>
          <w:shd w:val="clear" w:color="auto" w:fill="FFFFFF"/>
        </w:rPr>
      </w:pPr>
      <w:r w:rsidRPr="009B1A62">
        <w:rPr>
          <w:rStyle w:val="Textoennegrita"/>
          <w:rFonts w:ascii="Verdana" w:hAnsi="Verdana" w:cs="Segoe UI"/>
          <w:shd w:val="clear" w:color="auto" w:fill="FFFFFF"/>
        </w:rPr>
        <w:t>INHABILIDADES E INCOMPATIBILIDADES – Artículo 8 de la Ley 80 de 1993, numeral 2, literal E) – Miembros de las Juntas y Consejos Directivos – Sector Administrativo</w:t>
      </w:r>
    </w:p>
    <w:p w14:paraId="68BBE8BF" w14:textId="0BDCCC52" w:rsidR="009B1A62" w:rsidRDefault="009B1A62" w:rsidP="00D67D63">
      <w:pPr>
        <w:spacing w:after="0" w:line="240" w:lineRule="auto"/>
        <w:rPr>
          <w:rStyle w:val="Textoennegrita"/>
          <w:rFonts w:ascii="Verdana" w:hAnsi="Verdana" w:cs="Segoe UI"/>
          <w:shd w:val="clear" w:color="auto" w:fill="FFFFFF"/>
        </w:rPr>
      </w:pPr>
    </w:p>
    <w:p w14:paraId="73146441" w14:textId="77777777" w:rsidR="009B1A62" w:rsidRPr="009B1A62" w:rsidRDefault="009B1A62" w:rsidP="009B1A62">
      <w:pPr>
        <w:spacing w:line="276" w:lineRule="auto"/>
        <w:jc w:val="both"/>
        <w:rPr>
          <w:rFonts w:ascii="Verdana" w:hAnsi="Verdana"/>
          <w:w w:val="105"/>
          <w:sz w:val="20"/>
          <w:szCs w:val="20"/>
        </w:rPr>
      </w:pPr>
      <w:r w:rsidRPr="009B1A62">
        <w:rPr>
          <w:rFonts w:ascii="Verdana" w:eastAsia="Arial MT" w:hAnsi="Verdana" w:cs="Arial"/>
          <w:sz w:val="20"/>
          <w:szCs w:val="20"/>
          <w:lang w:val="es-ES"/>
        </w:rPr>
        <w:t xml:space="preserve">Seguidamente, el literal e) del numeral 2 ibidem, menciona que serán incompatibles </w:t>
      </w:r>
      <w:r w:rsidRPr="009B1A62">
        <w:rPr>
          <w:rFonts w:ascii="Verdana" w:hAnsi="Verdana"/>
          <w:w w:val="105"/>
          <w:sz w:val="20"/>
          <w:szCs w:val="20"/>
        </w:rPr>
        <w:t>los</w:t>
      </w:r>
      <w:r w:rsidRPr="009B1A62">
        <w:rPr>
          <w:rFonts w:ascii="Verdana" w:hAnsi="Verdana"/>
          <w:spacing w:val="-6"/>
          <w:w w:val="105"/>
          <w:sz w:val="20"/>
          <w:szCs w:val="20"/>
        </w:rPr>
        <w:t xml:space="preserve"> </w:t>
      </w:r>
      <w:r w:rsidRPr="009B1A62">
        <w:rPr>
          <w:rFonts w:ascii="Verdana" w:hAnsi="Verdana"/>
          <w:w w:val="105"/>
          <w:sz w:val="20"/>
          <w:szCs w:val="20"/>
        </w:rPr>
        <w:t>miembros</w:t>
      </w:r>
      <w:r w:rsidRPr="009B1A62">
        <w:rPr>
          <w:rFonts w:ascii="Verdana" w:hAnsi="Verdana"/>
          <w:spacing w:val="-6"/>
          <w:w w:val="105"/>
          <w:sz w:val="20"/>
          <w:szCs w:val="20"/>
        </w:rPr>
        <w:t xml:space="preserve"> </w:t>
      </w:r>
      <w:r w:rsidRPr="009B1A62">
        <w:rPr>
          <w:rFonts w:ascii="Verdana" w:hAnsi="Verdana"/>
          <w:w w:val="105"/>
          <w:sz w:val="20"/>
          <w:szCs w:val="20"/>
        </w:rPr>
        <w:t>de</w:t>
      </w:r>
      <w:r w:rsidRPr="009B1A62">
        <w:rPr>
          <w:rFonts w:ascii="Verdana" w:hAnsi="Verdana"/>
          <w:spacing w:val="-6"/>
          <w:w w:val="105"/>
          <w:sz w:val="20"/>
          <w:szCs w:val="20"/>
        </w:rPr>
        <w:t xml:space="preserve"> </w:t>
      </w:r>
      <w:r w:rsidRPr="009B1A62">
        <w:rPr>
          <w:rFonts w:ascii="Verdana" w:hAnsi="Verdana"/>
          <w:w w:val="105"/>
          <w:sz w:val="20"/>
          <w:szCs w:val="20"/>
        </w:rPr>
        <w:t>las</w:t>
      </w:r>
      <w:r w:rsidRPr="009B1A62">
        <w:rPr>
          <w:rFonts w:ascii="Verdana" w:hAnsi="Verdana"/>
          <w:spacing w:val="-6"/>
          <w:w w:val="105"/>
          <w:sz w:val="20"/>
          <w:szCs w:val="20"/>
        </w:rPr>
        <w:t xml:space="preserve"> </w:t>
      </w:r>
      <w:r w:rsidRPr="009B1A62">
        <w:rPr>
          <w:rFonts w:ascii="Verdana" w:hAnsi="Verdana"/>
          <w:w w:val="105"/>
          <w:sz w:val="20"/>
          <w:szCs w:val="20"/>
        </w:rPr>
        <w:t>juntas</w:t>
      </w:r>
      <w:r w:rsidRPr="009B1A62">
        <w:rPr>
          <w:rFonts w:ascii="Verdana" w:hAnsi="Verdana"/>
          <w:spacing w:val="-6"/>
          <w:w w:val="105"/>
          <w:sz w:val="20"/>
          <w:szCs w:val="20"/>
        </w:rPr>
        <w:t xml:space="preserve"> </w:t>
      </w:r>
      <w:r w:rsidRPr="009B1A62">
        <w:rPr>
          <w:rFonts w:ascii="Verdana" w:hAnsi="Verdana"/>
          <w:w w:val="105"/>
          <w:sz w:val="20"/>
          <w:szCs w:val="20"/>
        </w:rPr>
        <w:t>o</w:t>
      </w:r>
      <w:r w:rsidRPr="009B1A62">
        <w:rPr>
          <w:rFonts w:ascii="Verdana" w:hAnsi="Verdana"/>
          <w:spacing w:val="-5"/>
          <w:w w:val="105"/>
          <w:sz w:val="20"/>
          <w:szCs w:val="20"/>
        </w:rPr>
        <w:t xml:space="preserve"> </w:t>
      </w:r>
      <w:r w:rsidRPr="009B1A62">
        <w:rPr>
          <w:rFonts w:ascii="Verdana" w:hAnsi="Verdana"/>
          <w:w w:val="105"/>
          <w:sz w:val="20"/>
          <w:szCs w:val="20"/>
        </w:rPr>
        <w:t>consejos</w:t>
      </w:r>
      <w:r w:rsidRPr="009B1A62">
        <w:rPr>
          <w:rFonts w:ascii="Verdana" w:hAnsi="Verdana"/>
          <w:spacing w:val="-6"/>
          <w:w w:val="105"/>
          <w:sz w:val="20"/>
          <w:szCs w:val="20"/>
        </w:rPr>
        <w:t xml:space="preserve"> </w:t>
      </w:r>
      <w:r w:rsidRPr="009B1A62">
        <w:rPr>
          <w:rFonts w:ascii="Verdana" w:hAnsi="Verdana"/>
          <w:w w:val="105"/>
          <w:sz w:val="20"/>
          <w:szCs w:val="20"/>
        </w:rPr>
        <w:t>directivos.</w:t>
      </w:r>
      <w:r w:rsidRPr="009B1A62">
        <w:rPr>
          <w:rFonts w:ascii="Verdana" w:hAnsi="Verdana"/>
          <w:spacing w:val="-6"/>
          <w:w w:val="105"/>
          <w:sz w:val="20"/>
          <w:szCs w:val="20"/>
        </w:rPr>
        <w:t xml:space="preserve"> </w:t>
      </w:r>
      <w:r w:rsidRPr="009B1A62">
        <w:rPr>
          <w:rFonts w:ascii="Verdana" w:hAnsi="Verdana"/>
          <w:w w:val="105"/>
          <w:sz w:val="20"/>
          <w:szCs w:val="20"/>
        </w:rPr>
        <w:t>Esta</w:t>
      </w:r>
      <w:r w:rsidRPr="009B1A62">
        <w:rPr>
          <w:rFonts w:ascii="Verdana" w:hAnsi="Verdana"/>
          <w:spacing w:val="-6"/>
          <w:w w:val="105"/>
          <w:sz w:val="20"/>
          <w:szCs w:val="20"/>
        </w:rPr>
        <w:t xml:space="preserve"> </w:t>
      </w:r>
      <w:r w:rsidRPr="009B1A62">
        <w:rPr>
          <w:rFonts w:ascii="Verdana" w:hAnsi="Verdana"/>
          <w:w w:val="105"/>
          <w:sz w:val="20"/>
          <w:szCs w:val="20"/>
        </w:rPr>
        <w:t>incompatibilidad</w:t>
      </w:r>
      <w:r w:rsidRPr="009B1A62">
        <w:rPr>
          <w:rFonts w:ascii="Verdana" w:hAnsi="Verdana"/>
          <w:spacing w:val="-6"/>
          <w:w w:val="105"/>
          <w:sz w:val="20"/>
          <w:szCs w:val="20"/>
        </w:rPr>
        <w:t xml:space="preserve"> </w:t>
      </w:r>
      <w:r w:rsidRPr="009B1A62">
        <w:rPr>
          <w:rFonts w:ascii="Verdana" w:hAnsi="Verdana"/>
          <w:w w:val="105"/>
          <w:sz w:val="20"/>
          <w:szCs w:val="20"/>
        </w:rPr>
        <w:t>sólo</w:t>
      </w:r>
      <w:r w:rsidRPr="009B1A62">
        <w:rPr>
          <w:rFonts w:ascii="Verdana" w:hAnsi="Verdana"/>
          <w:spacing w:val="-6"/>
          <w:w w:val="105"/>
          <w:sz w:val="20"/>
          <w:szCs w:val="20"/>
        </w:rPr>
        <w:t xml:space="preserve"> </w:t>
      </w:r>
      <w:r w:rsidRPr="009B1A62">
        <w:rPr>
          <w:rFonts w:ascii="Verdana" w:hAnsi="Verdana"/>
          <w:w w:val="105"/>
          <w:sz w:val="20"/>
          <w:szCs w:val="20"/>
        </w:rPr>
        <w:t>se</w:t>
      </w:r>
      <w:r w:rsidRPr="009B1A62">
        <w:rPr>
          <w:rFonts w:ascii="Verdana" w:hAnsi="Verdana"/>
          <w:spacing w:val="-5"/>
          <w:w w:val="105"/>
          <w:sz w:val="20"/>
          <w:szCs w:val="20"/>
        </w:rPr>
        <w:t xml:space="preserve"> </w:t>
      </w:r>
      <w:r w:rsidRPr="009B1A62">
        <w:rPr>
          <w:rFonts w:ascii="Verdana" w:hAnsi="Verdana"/>
          <w:w w:val="105"/>
          <w:sz w:val="20"/>
          <w:szCs w:val="20"/>
        </w:rPr>
        <w:t>predica</w:t>
      </w:r>
      <w:r w:rsidRPr="009B1A62">
        <w:rPr>
          <w:rFonts w:ascii="Verdana" w:hAnsi="Verdana"/>
          <w:spacing w:val="-6"/>
          <w:w w:val="105"/>
          <w:sz w:val="20"/>
          <w:szCs w:val="20"/>
        </w:rPr>
        <w:t xml:space="preserve"> </w:t>
      </w:r>
      <w:r w:rsidRPr="009B1A62">
        <w:rPr>
          <w:rFonts w:ascii="Verdana" w:hAnsi="Verdana"/>
          <w:w w:val="105"/>
          <w:sz w:val="20"/>
          <w:szCs w:val="20"/>
        </w:rPr>
        <w:t>respecto</w:t>
      </w:r>
      <w:r w:rsidRPr="009B1A62">
        <w:rPr>
          <w:rFonts w:ascii="Verdana" w:hAnsi="Verdana"/>
          <w:spacing w:val="-6"/>
          <w:w w:val="105"/>
          <w:sz w:val="20"/>
          <w:szCs w:val="20"/>
        </w:rPr>
        <w:t xml:space="preserve"> </w:t>
      </w:r>
      <w:r w:rsidRPr="009B1A62">
        <w:rPr>
          <w:rFonts w:ascii="Verdana" w:hAnsi="Verdana"/>
          <w:w w:val="105"/>
          <w:sz w:val="20"/>
          <w:szCs w:val="20"/>
        </w:rPr>
        <w:t>de</w:t>
      </w:r>
      <w:r w:rsidRPr="009B1A62">
        <w:rPr>
          <w:rFonts w:ascii="Verdana" w:hAnsi="Verdana"/>
          <w:spacing w:val="-6"/>
          <w:w w:val="105"/>
          <w:sz w:val="20"/>
          <w:szCs w:val="20"/>
        </w:rPr>
        <w:t xml:space="preserve"> </w:t>
      </w:r>
      <w:r w:rsidRPr="009B1A62">
        <w:rPr>
          <w:rFonts w:ascii="Verdana" w:hAnsi="Verdana"/>
          <w:w w:val="105"/>
          <w:sz w:val="20"/>
          <w:szCs w:val="20"/>
        </w:rPr>
        <w:t>la</w:t>
      </w:r>
      <w:r w:rsidRPr="009B1A62">
        <w:rPr>
          <w:rFonts w:ascii="Verdana" w:hAnsi="Verdana"/>
          <w:spacing w:val="-6"/>
          <w:w w:val="105"/>
          <w:sz w:val="20"/>
          <w:szCs w:val="20"/>
        </w:rPr>
        <w:t xml:space="preserve"> </w:t>
      </w:r>
      <w:r w:rsidRPr="009B1A62">
        <w:rPr>
          <w:rFonts w:ascii="Verdana" w:hAnsi="Verdana"/>
          <w:w w:val="105"/>
          <w:sz w:val="20"/>
          <w:szCs w:val="20"/>
        </w:rPr>
        <w:t>entidad a</w:t>
      </w:r>
      <w:r w:rsidRPr="009B1A62">
        <w:rPr>
          <w:rFonts w:ascii="Verdana" w:hAnsi="Verdana"/>
          <w:spacing w:val="-5"/>
          <w:w w:val="105"/>
          <w:sz w:val="20"/>
          <w:szCs w:val="20"/>
        </w:rPr>
        <w:t xml:space="preserve"> </w:t>
      </w:r>
      <w:r w:rsidRPr="009B1A62">
        <w:rPr>
          <w:rFonts w:ascii="Verdana" w:hAnsi="Verdana"/>
          <w:w w:val="105"/>
          <w:sz w:val="20"/>
          <w:szCs w:val="20"/>
        </w:rPr>
        <w:t>la</w:t>
      </w:r>
      <w:r w:rsidRPr="009B1A62">
        <w:rPr>
          <w:rFonts w:ascii="Verdana" w:hAnsi="Verdana"/>
          <w:spacing w:val="-5"/>
          <w:w w:val="105"/>
          <w:sz w:val="20"/>
          <w:szCs w:val="20"/>
        </w:rPr>
        <w:t xml:space="preserve"> </w:t>
      </w:r>
      <w:r w:rsidRPr="009B1A62">
        <w:rPr>
          <w:rFonts w:ascii="Verdana" w:hAnsi="Verdana"/>
          <w:w w:val="105"/>
          <w:sz w:val="20"/>
          <w:szCs w:val="20"/>
        </w:rPr>
        <w:t>cual</w:t>
      </w:r>
      <w:r w:rsidRPr="009B1A62">
        <w:rPr>
          <w:rFonts w:ascii="Verdana" w:hAnsi="Verdana"/>
          <w:spacing w:val="-5"/>
          <w:w w:val="105"/>
          <w:sz w:val="20"/>
          <w:szCs w:val="20"/>
        </w:rPr>
        <w:t xml:space="preserve"> </w:t>
      </w:r>
      <w:r w:rsidRPr="009B1A62">
        <w:rPr>
          <w:rFonts w:ascii="Verdana" w:hAnsi="Verdana"/>
          <w:w w:val="105"/>
          <w:sz w:val="20"/>
          <w:szCs w:val="20"/>
        </w:rPr>
        <w:t>prestan</w:t>
      </w:r>
      <w:r w:rsidRPr="009B1A62">
        <w:rPr>
          <w:rFonts w:ascii="Verdana" w:hAnsi="Verdana"/>
          <w:spacing w:val="-4"/>
          <w:w w:val="105"/>
          <w:sz w:val="20"/>
          <w:szCs w:val="20"/>
        </w:rPr>
        <w:t xml:space="preserve"> </w:t>
      </w:r>
      <w:r w:rsidRPr="009B1A62">
        <w:rPr>
          <w:rFonts w:ascii="Verdana" w:hAnsi="Verdana"/>
          <w:w w:val="105"/>
          <w:sz w:val="20"/>
          <w:szCs w:val="20"/>
        </w:rPr>
        <w:t>sus</w:t>
      </w:r>
      <w:r w:rsidRPr="009B1A62">
        <w:rPr>
          <w:rFonts w:ascii="Verdana" w:hAnsi="Verdana"/>
          <w:spacing w:val="-5"/>
          <w:w w:val="105"/>
          <w:sz w:val="20"/>
          <w:szCs w:val="20"/>
        </w:rPr>
        <w:t xml:space="preserve"> </w:t>
      </w:r>
      <w:r w:rsidRPr="009B1A62">
        <w:rPr>
          <w:rFonts w:ascii="Verdana" w:hAnsi="Verdana"/>
          <w:w w:val="105"/>
          <w:sz w:val="20"/>
          <w:szCs w:val="20"/>
        </w:rPr>
        <w:t>servicios</w:t>
      </w:r>
      <w:r w:rsidRPr="009B1A62">
        <w:rPr>
          <w:rFonts w:ascii="Verdana" w:hAnsi="Verdana"/>
          <w:spacing w:val="-5"/>
          <w:w w:val="105"/>
          <w:sz w:val="20"/>
          <w:szCs w:val="20"/>
        </w:rPr>
        <w:t xml:space="preserve"> </w:t>
      </w:r>
      <w:r w:rsidRPr="009B1A62">
        <w:rPr>
          <w:rFonts w:ascii="Verdana" w:hAnsi="Verdana"/>
          <w:w w:val="105"/>
          <w:sz w:val="20"/>
          <w:szCs w:val="20"/>
        </w:rPr>
        <w:t>y</w:t>
      </w:r>
      <w:r w:rsidRPr="009B1A62">
        <w:rPr>
          <w:rFonts w:ascii="Verdana" w:hAnsi="Verdana"/>
          <w:spacing w:val="-4"/>
          <w:w w:val="105"/>
          <w:sz w:val="20"/>
          <w:szCs w:val="20"/>
        </w:rPr>
        <w:t xml:space="preserve"> </w:t>
      </w:r>
      <w:r w:rsidRPr="009B1A62">
        <w:rPr>
          <w:rFonts w:ascii="Verdana" w:hAnsi="Verdana"/>
          <w:w w:val="105"/>
          <w:sz w:val="20"/>
          <w:szCs w:val="20"/>
        </w:rPr>
        <w:t>de</w:t>
      </w:r>
      <w:r w:rsidRPr="009B1A62">
        <w:rPr>
          <w:rFonts w:ascii="Verdana" w:hAnsi="Verdana"/>
          <w:spacing w:val="-5"/>
          <w:w w:val="105"/>
          <w:sz w:val="20"/>
          <w:szCs w:val="20"/>
        </w:rPr>
        <w:t xml:space="preserve"> </w:t>
      </w:r>
      <w:r w:rsidRPr="009B1A62">
        <w:rPr>
          <w:rFonts w:ascii="Verdana" w:hAnsi="Verdana"/>
          <w:w w:val="105"/>
          <w:sz w:val="20"/>
          <w:szCs w:val="20"/>
        </w:rPr>
        <w:t>las</w:t>
      </w:r>
      <w:r w:rsidRPr="009B1A62">
        <w:rPr>
          <w:rFonts w:ascii="Verdana" w:hAnsi="Verdana"/>
          <w:spacing w:val="-5"/>
          <w:w w:val="105"/>
          <w:sz w:val="20"/>
          <w:szCs w:val="20"/>
        </w:rPr>
        <w:t xml:space="preserve"> </w:t>
      </w:r>
      <w:r w:rsidRPr="009B1A62">
        <w:rPr>
          <w:rFonts w:ascii="Verdana" w:hAnsi="Verdana"/>
          <w:w w:val="105"/>
          <w:sz w:val="20"/>
          <w:szCs w:val="20"/>
        </w:rPr>
        <w:t>del</w:t>
      </w:r>
      <w:r w:rsidRPr="009B1A62">
        <w:rPr>
          <w:rFonts w:ascii="Verdana" w:hAnsi="Verdana"/>
          <w:spacing w:val="-4"/>
          <w:w w:val="105"/>
          <w:sz w:val="20"/>
          <w:szCs w:val="20"/>
        </w:rPr>
        <w:t xml:space="preserve"> </w:t>
      </w:r>
      <w:r w:rsidRPr="009B1A62">
        <w:rPr>
          <w:rFonts w:ascii="Verdana" w:hAnsi="Verdana"/>
          <w:w w:val="105"/>
          <w:sz w:val="20"/>
          <w:szCs w:val="20"/>
        </w:rPr>
        <w:t>sector</w:t>
      </w:r>
      <w:r w:rsidRPr="009B1A62">
        <w:rPr>
          <w:rFonts w:ascii="Verdana" w:hAnsi="Verdana"/>
          <w:spacing w:val="-5"/>
          <w:w w:val="105"/>
          <w:sz w:val="20"/>
          <w:szCs w:val="20"/>
        </w:rPr>
        <w:t xml:space="preserve"> </w:t>
      </w:r>
      <w:r w:rsidRPr="009B1A62">
        <w:rPr>
          <w:rFonts w:ascii="Verdana" w:hAnsi="Verdana"/>
          <w:w w:val="105"/>
          <w:sz w:val="20"/>
          <w:szCs w:val="20"/>
        </w:rPr>
        <w:t>administrativo</w:t>
      </w:r>
      <w:r w:rsidRPr="009B1A62">
        <w:rPr>
          <w:rFonts w:ascii="Verdana" w:hAnsi="Verdana"/>
          <w:spacing w:val="-5"/>
          <w:w w:val="105"/>
          <w:sz w:val="20"/>
          <w:szCs w:val="20"/>
        </w:rPr>
        <w:t xml:space="preserve"> </w:t>
      </w:r>
      <w:r w:rsidRPr="009B1A62">
        <w:rPr>
          <w:rFonts w:ascii="Verdana" w:hAnsi="Verdana"/>
          <w:w w:val="105"/>
          <w:sz w:val="20"/>
          <w:szCs w:val="20"/>
        </w:rPr>
        <w:t>al</w:t>
      </w:r>
      <w:r w:rsidRPr="009B1A62">
        <w:rPr>
          <w:rFonts w:ascii="Verdana" w:hAnsi="Verdana"/>
          <w:spacing w:val="-4"/>
          <w:w w:val="105"/>
          <w:sz w:val="20"/>
          <w:szCs w:val="20"/>
        </w:rPr>
        <w:t xml:space="preserve"> </w:t>
      </w:r>
      <w:r w:rsidRPr="009B1A62">
        <w:rPr>
          <w:rFonts w:ascii="Verdana" w:hAnsi="Verdana"/>
          <w:w w:val="105"/>
          <w:sz w:val="20"/>
          <w:szCs w:val="20"/>
        </w:rPr>
        <w:t>que</w:t>
      </w:r>
      <w:r w:rsidRPr="009B1A62">
        <w:rPr>
          <w:rFonts w:ascii="Verdana" w:hAnsi="Verdana"/>
          <w:spacing w:val="-5"/>
          <w:w w:val="105"/>
          <w:sz w:val="20"/>
          <w:szCs w:val="20"/>
        </w:rPr>
        <w:t xml:space="preserve"> </w:t>
      </w:r>
      <w:r w:rsidRPr="009B1A62">
        <w:rPr>
          <w:rFonts w:ascii="Verdana" w:hAnsi="Verdana"/>
          <w:w w:val="105"/>
          <w:sz w:val="20"/>
          <w:szCs w:val="20"/>
        </w:rPr>
        <w:t>la</w:t>
      </w:r>
      <w:r w:rsidRPr="009B1A62">
        <w:rPr>
          <w:rFonts w:ascii="Verdana" w:hAnsi="Verdana"/>
          <w:spacing w:val="-5"/>
          <w:w w:val="105"/>
          <w:sz w:val="20"/>
          <w:szCs w:val="20"/>
        </w:rPr>
        <w:t xml:space="preserve"> </w:t>
      </w:r>
      <w:r w:rsidRPr="009B1A62">
        <w:rPr>
          <w:rFonts w:ascii="Verdana" w:hAnsi="Verdana"/>
          <w:w w:val="105"/>
          <w:sz w:val="20"/>
          <w:szCs w:val="20"/>
        </w:rPr>
        <w:t>misma</w:t>
      </w:r>
      <w:r w:rsidRPr="009B1A62">
        <w:rPr>
          <w:rFonts w:ascii="Verdana" w:hAnsi="Verdana"/>
          <w:spacing w:val="-5"/>
          <w:w w:val="105"/>
          <w:sz w:val="20"/>
          <w:szCs w:val="20"/>
        </w:rPr>
        <w:t xml:space="preserve"> </w:t>
      </w:r>
      <w:r w:rsidRPr="009B1A62">
        <w:rPr>
          <w:rFonts w:ascii="Verdana" w:hAnsi="Verdana"/>
          <w:w w:val="105"/>
          <w:sz w:val="20"/>
          <w:szCs w:val="20"/>
        </w:rPr>
        <w:t>esté</w:t>
      </w:r>
      <w:r w:rsidRPr="009B1A62">
        <w:rPr>
          <w:rFonts w:ascii="Verdana" w:hAnsi="Verdana"/>
          <w:spacing w:val="-4"/>
          <w:w w:val="105"/>
          <w:sz w:val="20"/>
          <w:szCs w:val="20"/>
        </w:rPr>
        <w:t xml:space="preserve"> </w:t>
      </w:r>
      <w:r w:rsidRPr="009B1A62">
        <w:rPr>
          <w:rFonts w:ascii="Verdana" w:hAnsi="Verdana"/>
          <w:w w:val="105"/>
          <w:sz w:val="20"/>
          <w:szCs w:val="20"/>
        </w:rPr>
        <w:t>adscrita</w:t>
      </w:r>
      <w:r w:rsidRPr="009B1A62">
        <w:rPr>
          <w:rFonts w:ascii="Verdana" w:hAnsi="Verdana"/>
          <w:spacing w:val="-5"/>
          <w:w w:val="105"/>
          <w:sz w:val="20"/>
          <w:szCs w:val="20"/>
        </w:rPr>
        <w:t xml:space="preserve"> </w:t>
      </w:r>
      <w:r w:rsidRPr="009B1A62">
        <w:rPr>
          <w:rFonts w:ascii="Verdana" w:hAnsi="Verdana"/>
          <w:w w:val="105"/>
          <w:sz w:val="20"/>
          <w:szCs w:val="20"/>
        </w:rPr>
        <w:t>o</w:t>
      </w:r>
      <w:r w:rsidRPr="009B1A62">
        <w:rPr>
          <w:rFonts w:ascii="Verdana" w:hAnsi="Verdana"/>
          <w:spacing w:val="-5"/>
          <w:w w:val="105"/>
          <w:sz w:val="20"/>
          <w:szCs w:val="20"/>
        </w:rPr>
        <w:t xml:space="preserve"> </w:t>
      </w:r>
      <w:r w:rsidRPr="009B1A62">
        <w:rPr>
          <w:rFonts w:ascii="Verdana" w:hAnsi="Verdana"/>
          <w:w w:val="105"/>
          <w:sz w:val="20"/>
          <w:szCs w:val="20"/>
        </w:rPr>
        <w:t>vinculada.</w:t>
      </w:r>
    </w:p>
    <w:p w14:paraId="30970C9A" w14:textId="77777777" w:rsidR="009B1A62" w:rsidRPr="009B1A62" w:rsidRDefault="009B1A62" w:rsidP="00D67D63">
      <w:pPr>
        <w:spacing w:after="0" w:line="240" w:lineRule="auto"/>
        <w:rPr>
          <w:rFonts w:ascii="Verdana" w:eastAsia="Geomanist Light" w:hAnsi="Verdana" w:cs="Arial"/>
          <w:b/>
          <w:bCs/>
          <w:color w:val="000000" w:themeColor="text1"/>
          <w:lang w:val="es-MX"/>
        </w:rPr>
      </w:pPr>
    </w:p>
    <w:p w14:paraId="3A6D8AF9" w14:textId="77777777" w:rsidR="009B1A62" w:rsidRDefault="009B1A62" w:rsidP="00D67D63">
      <w:pPr>
        <w:spacing w:after="0" w:line="240" w:lineRule="auto"/>
        <w:rPr>
          <w:rFonts w:ascii="Verdana" w:eastAsia="Geomanist Light" w:hAnsi="Verdana" w:cs="Arial"/>
          <w:color w:val="000000" w:themeColor="text1"/>
          <w:lang w:val="es-MX"/>
        </w:rPr>
      </w:pPr>
    </w:p>
    <w:p w14:paraId="24794563" w14:textId="77777777" w:rsidR="009B1A62" w:rsidRDefault="009B1A62" w:rsidP="00D67D63">
      <w:pPr>
        <w:spacing w:after="0" w:line="240" w:lineRule="auto"/>
        <w:rPr>
          <w:rFonts w:ascii="Verdana" w:eastAsia="Geomanist Light" w:hAnsi="Verdana" w:cs="Arial"/>
          <w:color w:val="000000" w:themeColor="text1"/>
          <w:lang w:val="es-MX"/>
        </w:rPr>
      </w:pPr>
    </w:p>
    <w:p w14:paraId="3137EBBE" w14:textId="77777777" w:rsidR="009B1A62" w:rsidRDefault="009B1A62" w:rsidP="00D67D63">
      <w:pPr>
        <w:spacing w:after="0" w:line="240" w:lineRule="auto"/>
        <w:rPr>
          <w:rFonts w:ascii="Verdana" w:eastAsia="Geomanist Light" w:hAnsi="Verdana" w:cs="Arial"/>
          <w:color w:val="000000" w:themeColor="text1"/>
          <w:lang w:val="es-MX"/>
        </w:rPr>
      </w:pPr>
    </w:p>
    <w:p w14:paraId="591772C1" w14:textId="77777777" w:rsidR="009B1A62" w:rsidRDefault="009B1A62" w:rsidP="00D67D63">
      <w:pPr>
        <w:spacing w:after="0" w:line="240" w:lineRule="auto"/>
        <w:rPr>
          <w:rFonts w:ascii="Verdana" w:eastAsia="Geomanist Light" w:hAnsi="Verdana" w:cs="Arial"/>
          <w:color w:val="000000" w:themeColor="text1"/>
          <w:lang w:val="es-MX"/>
        </w:rPr>
      </w:pPr>
    </w:p>
    <w:p w14:paraId="01110892" w14:textId="77777777" w:rsidR="009B1A62" w:rsidRDefault="009B1A62" w:rsidP="00D67D63">
      <w:pPr>
        <w:spacing w:after="0" w:line="240" w:lineRule="auto"/>
        <w:rPr>
          <w:rFonts w:ascii="Verdana" w:eastAsia="Geomanist Light" w:hAnsi="Verdana" w:cs="Arial"/>
          <w:color w:val="000000" w:themeColor="text1"/>
          <w:lang w:val="es-MX"/>
        </w:rPr>
      </w:pPr>
    </w:p>
    <w:p w14:paraId="78E73185" w14:textId="77777777" w:rsidR="009B1A62" w:rsidRDefault="009B1A62" w:rsidP="00D67D63">
      <w:pPr>
        <w:spacing w:after="0" w:line="240" w:lineRule="auto"/>
        <w:rPr>
          <w:rFonts w:ascii="Verdana" w:eastAsia="Geomanist Light" w:hAnsi="Verdana" w:cs="Arial"/>
          <w:color w:val="000000" w:themeColor="text1"/>
          <w:lang w:val="es-MX"/>
        </w:rPr>
      </w:pPr>
    </w:p>
    <w:p w14:paraId="061905C8" w14:textId="77777777" w:rsidR="009B1A62" w:rsidRDefault="009B1A62" w:rsidP="00D67D63">
      <w:pPr>
        <w:spacing w:after="0" w:line="240" w:lineRule="auto"/>
        <w:rPr>
          <w:rFonts w:ascii="Verdana" w:eastAsia="Geomanist Light" w:hAnsi="Verdana" w:cs="Arial"/>
          <w:color w:val="000000" w:themeColor="text1"/>
          <w:lang w:val="es-MX"/>
        </w:rPr>
      </w:pPr>
    </w:p>
    <w:p w14:paraId="4E5BDCE8" w14:textId="77777777" w:rsidR="009B1A62" w:rsidRDefault="009B1A62" w:rsidP="00D67D63">
      <w:pPr>
        <w:spacing w:after="0" w:line="240" w:lineRule="auto"/>
        <w:rPr>
          <w:rFonts w:ascii="Verdana" w:eastAsia="Geomanist Light" w:hAnsi="Verdana" w:cs="Arial"/>
          <w:color w:val="000000" w:themeColor="text1"/>
          <w:lang w:val="es-MX"/>
        </w:rPr>
      </w:pPr>
    </w:p>
    <w:p w14:paraId="0BECCFF1" w14:textId="77777777" w:rsidR="009B1A62" w:rsidRDefault="009B1A62" w:rsidP="00D67D63">
      <w:pPr>
        <w:spacing w:after="0" w:line="240" w:lineRule="auto"/>
        <w:rPr>
          <w:rFonts w:ascii="Verdana" w:eastAsia="Geomanist Light" w:hAnsi="Verdana" w:cs="Arial"/>
          <w:color w:val="000000" w:themeColor="text1"/>
          <w:lang w:val="es-MX"/>
        </w:rPr>
      </w:pPr>
    </w:p>
    <w:p w14:paraId="5D32767B" w14:textId="77777777" w:rsidR="009B1A62" w:rsidRDefault="009B1A62" w:rsidP="00D67D63">
      <w:pPr>
        <w:spacing w:after="0" w:line="240" w:lineRule="auto"/>
        <w:rPr>
          <w:rFonts w:ascii="Verdana" w:eastAsia="Geomanist Light" w:hAnsi="Verdana" w:cs="Arial"/>
          <w:color w:val="000000" w:themeColor="text1"/>
          <w:lang w:val="es-MX"/>
        </w:rPr>
      </w:pPr>
    </w:p>
    <w:p w14:paraId="14FB710C" w14:textId="77777777" w:rsidR="009B1A62" w:rsidRDefault="009B1A62" w:rsidP="00D67D63">
      <w:pPr>
        <w:spacing w:after="0" w:line="240" w:lineRule="auto"/>
        <w:rPr>
          <w:rFonts w:ascii="Verdana" w:eastAsia="Geomanist Light" w:hAnsi="Verdana" w:cs="Arial"/>
          <w:color w:val="000000" w:themeColor="text1"/>
          <w:lang w:val="es-MX"/>
        </w:rPr>
      </w:pPr>
    </w:p>
    <w:p w14:paraId="04F51372" w14:textId="77777777" w:rsidR="009B1A62" w:rsidRDefault="009B1A62" w:rsidP="00D67D63">
      <w:pPr>
        <w:spacing w:after="0" w:line="240" w:lineRule="auto"/>
        <w:rPr>
          <w:rFonts w:ascii="Verdana" w:eastAsia="Geomanist Light" w:hAnsi="Verdana" w:cs="Arial"/>
          <w:color w:val="000000" w:themeColor="text1"/>
          <w:lang w:val="es-MX"/>
        </w:rPr>
      </w:pPr>
    </w:p>
    <w:p w14:paraId="65E4E68C" w14:textId="001F6C71" w:rsidR="00D67D63" w:rsidRPr="005917AA" w:rsidRDefault="00D67D63" w:rsidP="00D67D63">
      <w:pPr>
        <w:spacing w:after="0" w:line="240" w:lineRule="auto"/>
        <w:rPr>
          <w:rFonts w:ascii="Verdana" w:eastAsia="Geomanist Light" w:hAnsi="Verdana" w:cs="Arial"/>
          <w:color w:val="201F1E"/>
          <w:lang w:val="es-MX"/>
        </w:rPr>
      </w:pPr>
      <w:bookmarkStart w:id="0" w:name="_GoBack"/>
      <w:bookmarkEnd w:id="0"/>
      <w:r w:rsidRPr="005917AA">
        <w:rPr>
          <w:rFonts w:ascii="Verdana" w:eastAsia="Geomanist Light" w:hAnsi="Verdana" w:cs="Arial"/>
          <w:color w:val="000000" w:themeColor="text1"/>
          <w:lang w:val="es-MX"/>
        </w:rPr>
        <w:lastRenderedPageBreak/>
        <w:t>Bogotá D.C., </w:t>
      </w:r>
      <w:r w:rsidRPr="005917AA">
        <w:rPr>
          <w:rFonts w:ascii="Verdana" w:eastAsia="Geomanist Light" w:hAnsi="Verdana" w:cs="Arial"/>
          <w:color w:val="201F1E"/>
          <w:lang w:val="es-MX"/>
        </w:rPr>
        <w:t>[Día] de [Mes.NombreCapitalizado] de [Año]</w:t>
      </w:r>
    </w:p>
    <w:p w14:paraId="196D74D5" w14:textId="77777777" w:rsidR="00D67D63" w:rsidRDefault="00D67D63" w:rsidP="00D67D63">
      <w:pPr>
        <w:spacing w:after="0" w:line="240" w:lineRule="auto"/>
        <w:jc w:val="both"/>
        <w:rPr>
          <w:rFonts w:ascii="Verdana" w:eastAsia="Calibri" w:hAnsi="Verdana" w:cs="Arial"/>
          <w:color w:val="000000"/>
          <w:lang w:val="es-ES"/>
        </w:rPr>
      </w:pPr>
    </w:p>
    <w:p w14:paraId="1727DF68" w14:textId="77777777" w:rsidR="00D67D63" w:rsidRPr="005917AA" w:rsidRDefault="00D67D63" w:rsidP="00D67D63">
      <w:pPr>
        <w:spacing w:after="0" w:line="240" w:lineRule="auto"/>
        <w:jc w:val="both"/>
        <w:rPr>
          <w:rFonts w:ascii="Verdana" w:eastAsia="Calibri" w:hAnsi="Verdana" w:cs="Arial"/>
          <w:color w:val="000000"/>
          <w:lang w:val="es-ES"/>
        </w:rPr>
      </w:pPr>
    </w:p>
    <w:p w14:paraId="6FB24BF4" w14:textId="77777777" w:rsidR="00D67D63" w:rsidRPr="00B41B1E" w:rsidRDefault="00D67D63" w:rsidP="00D67D63">
      <w:pPr>
        <w:spacing w:after="0" w:line="240" w:lineRule="auto"/>
        <w:jc w:val="both"/>
        <w:rPr>
          <w:rFonts w:ascii="Verdana" w:eastAsia="Calibri" w:hAnsi="Verdana" w:cs="Arial"/>
          <w:lang w:val="es-ES" w:eastAsia="es-ES"/>
        </w:rPr>
      </w:pPr>
      <w:r w:rsidRPr="00B41B1E">
        <w:rPr>
          <w:rFonts w:ascii="Verdana" w:eastAsia="Calibri" w:hAnsi="Verdana" w:cs="Arial"/>
          <w:lang w:val="es-ES" w:eastAsia="es-ES"/>
        </w:rPr>
        <w:t>Señor</w:t>
      </w:r>
      <w:r>
        <w:rPr>
          <w:rFonts w:ascii="Verdana" w:eastAsia="Calibri" w:hAnsi="Verdana" w:cs="Arial"/>
          <w:lang w:val="es-ES" w:eastAsia="es-ES"/>
        </w:rPr>
        <w:t>a</w:t>
      </w:r>
    </w:p>
    <w:p w14:paraId="2618D22B" w14:textId="77777777" w:rsidR="00D67D63" w:rsidRPr="00B41B1E" w:rsidRDefault="00D67D63" w:rsidP="00D67D63">
      <w:pPr>
        <w:spacing w:after="0" w:line="240" w:lineRule="auto"/>
        <w:rPr>
          <w:rFonts w:ascii="Verdana" w:eastAsia="Calibri" w:hAnsi="Verdana" w:cs="Arial"/>
          <w:b/>
          <w:bCs/>
          <w:lang w:val="es-ES" w:eastAsia="es-ES"/>
        </w:rPr>
      </w:pPr>
      <w:r w:rsidRPr="7DEBFE2C">
        <w:rPr>
          <w:rFonts w:ascii="Verdana" w:eastAsia="Calibri" w:hAnsi="Verdana" w:cs="Arial"/>
          <w:b/>
          <w:bCs/>
          <w:lang w:val="es-ES" w:eastAsia="es-ES"/>
        </w:rPr>
        <w:t>J</w:t>
      </w:r>
      <w:r>
        <w:rPr>
          <w:rFonts w:ascii="Verdana" w:eastAsia="Calibri" w:hAnsi="Verdana" w:cs="Arial"/>
          <w:b/>
          <w:bCs/>
          <w:lang w:val="es-ES" w:eastAsia="es-ES"/>
        </w:rPr>
        <w:t>essica Lorena Delgado Baquero</w:t>
      </w:r>
      <w:r w:rsidRPr="7DEBFE2C">
        <w:rPr>
          <w:rFonts w:ascii="Verdana" w:eastAsia="Calibri" w:hAnsi="Verdana" w:cs="Arial"/>
          <w:b/>
          <w:bCs/>
          <w:lang w:val="es-ES" w:eastAsia="es-ES"/>
        </w:rPr>
        <w:t xml:space="preserve">  </w:t>
      </w:r>
    </w:p>
    <w:p w14:paraId="21437F49" w14:textId="77777777" w:rsidR="00D67D63" w:rsidRPr="00B41B1E" w:rsidRDefault="00D67D63" w:rsidP="00D67D63">
      <w:pPr>
        <w:spacing w:after="0" w:line="240" w:lineRule="auto"/>
        <w:rPr>
          <w:rFonts w:ascii="Verdana" w:eastAsia="Calibri" w:hAnsi="Verdana" w:cs="Arial"/>
          <w:u w:val="single"/>
          <w:lang w:val="es-ES" w:eastAsia="es-ES"/>
        </w:rPr>
      </w:pPr>
      <w:r>
        <w:rPr>
          <w:rFonts w:ascii="Verdana" w:hAnsi="Verdana"/>
        </w:rPr>
        <w:t>Jessica.delgado@cnmh.gov.co</w:t>
      </w:r>
    </w:p>
    <w:p w14:paraId="3576C7D2" w14:textId="77777777" w:rsidR="00D67D63" w:rsidRPr="00B41B1E" w:rsidRDefault="00D67D63" w:rsidP="00D67D63">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r w:rsidRPr="00B41B1E">
        <w:rPr>
          <w:rFonts w:ascii="Verdana" w:eastAsia="Calibri" w:hAnsi="Verdana" w:cs="Arial"/>
          <w:lang w:val="es-ES" w:eastAsia="es-ES"/>
        </w:rPr>
        <w:t xml:space="preserve"> </w:t>
      </w:r>
    </w:p>
    <w:p w14:paraId="28DC94E3" w14:textId="77777777" w:rsidR="00D67D63" w:rsidRPr="005917AA" w:rsidRDefault="00D67D63" w:rsidP="00D67D63">
      <w:pPr>
        <w:spacing w:after="0" w:line="240" w:lineRule="auto"/>
        <w:rPr>
          <w:rFonts w:ascii="Verdana" w:eastAsia="Calibri" w:hAnsi="Verdana" w:cs="Arial"/>
          <w:b/>
          <w:bCs/>
          <w:color w:val="000000"/>
          <w:lang w:val="es-ES_tradnl" w:eastAsia="es-ES_tradnl"/>
        </w:rPr>
      </w:pPr>
    </w:p>
    <w:p w14:paraId="31489AE3" w14:textId="77777777" w:rsidR="00D67D63" w:rsidRPr="005917AA" w:rsidRDefault="00D67D63" w:rsidP="00D67D6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67D63" w:rsidRPr="005917AA" w14:paraId="332C530D" w14:textId="77777777" w:rsidTr="00532698">
        <w:trPr>
          <w:trHeight w:val="884"/>
        </w:trPr>
        <w:tc>
          <w:tcPr>
            <w:tcW w:w="2689" w:type="dxa"/>
          </w:tcPr>
          <w:p w14:paraId="496AC8D0" w14:textId="77777777" w:rsidR="00D67D63" w:rsidRPr="005917AA" w:rsidRDefault="00D67D63" w:rsidP="00532698">
            <w:pPr>
              <w:jc w:val="both"/>
              <w:rPr>
                <w:rFonts w:ascii="Verdana" w:eastAsia="Calibri" w:hAnsi="Verdana" w:cs="Arial"/>
                <w:b/>
                <w:bCs/>
                <w:color w:val="7030A0"/>
                <w:lang w:val="es-ES_tradnl" w:eastAsia="es-ES_tradnl"/>
              </w:rPr>
            </w:pPr>
          </w:p>
        </w:tc>
        <w:tc>
          <w:tcPr>
            <w:tcW w:w="6100" w:type="dxa"/>
          </w:tcPr>
          <w:p w14:paraId="20A69EF1" w14:textId="77777777" w:rsidR="00D67D63" w:rsidRPr="005917AA" w:rsidRDefault="00D67D63" w:rsidP="00532698">
            <w:pPr>
              <w:jc w:val="both"/>
              <w:rPr>
                <w:rFonts w:ascii="Verdana" w:eastAsia="Calibri" w:hAnsi="Verdana" w:cs="Arial"/>
                <w:b/>
                <w:bCs/>
                <w:color w:val="7030A0"/>
                <w:lang w:val="es-ES" w:eastAsia="es-ES"/>
              </w:rPr>
            </w:pPr>
            <w:r w:rsidRPr="005917AA">
              <w:rPr>
                <w:rFonts w:ascii="Verdana" w:eastAsia="Calibri" w:hAnsi="Verdana" w:cs="Arial"/>
                <w:b/>
                <w:bCs/>
                <w:lang w:val="es-ES" w:eastAsia="es-ES"/>
              </w:rPr>
              <w:t>Concepto C-</w:t>
            </w:r>
            <w:r>
              <w:rPr>
                <w:rFonts w:ascii="Verdana" w:eastAsia="Calibri" w:hAnsi="Verdana" w:cs="Arial"/>
                <w:b/>
                <w:bCs/>
                <w:lang w:val="es-ES" w:eastAsia="es-ES"/>
              </w:rPr>
              <w:t>624</w:t>
            </w:r>
            <w:r w:rsidRPr="005917AA">
              <w:rPr>
                <w:rFonts w:ascii="Verdana" w:eastAsia="Calibri" w:hAnsi="Verdana" w:cs="Arial"/>
                <w:b/>
                <w:bCs/>
                <w:color w:val="7030A0"/>
                <w:lang w:val="es-ES" w:eastAsia="es-ES"/>
              </w:rPr>
              <w:t xml:space="preserve"> </w:t>
            </w:r>
            <w:r w:rsidRPr="005917AA">
              <w:rPr>
                <w:rFonts w:ascii="Verdana" w:eastAsia="Calibri" w:hAnsi="Verdana" w:cs="Arial"/>
                <w:b/>
                <w:bCs/>
                <w:lang w:val="es-ES" w:eastAsia="es-ES"/>
              </w:rPr>
              <w:t>de</w:t>
            </w:r>
            <w:r w:rsidRPr="005917AA">
              <w:rPr>
                <w:rFonts w:ascii="Verdana" w:eastAsia="Calibri" w:hAnsi="Verdana" w:cs="Arial"/>
                <w:b/>
                <w:bCs/>
                <w:color w:val="7030A0"/>
                <w:lang w:val="es-ES" w:eastAsia="es-ES"/>
              </w:rPr>
              <w:t xml:space="preserve"> </w:t>
            </w:r>
            <w:r w:rsidRPr="00155A4A">
              <w:rPr>
                <w:rFonts w:ascii="Verdana" w:eastAsia="Calibri" w:hAnsi="Verdana" w:cs="Arial"/>
                <w:b/>
                <w:bCs/>
                <w:lang w:val="es-ES" w:eastAsia="es-ES"/>
              </w:rPr>
              <w:t>2024</w:t>
            </w:r>
          </w:p>
        </w:tc>
      </w:tr>
      <w:tr w:rsidR="00D67D63" w:rsidRPr="005917AA" w14:paraId="6149F292" w14:textId="77777777" w:rsidTr="00532698">
        <w:trPr>
          <w:trHeight w:val="884"/>
        </w:trPr>
        <w:tc>
          <w:tcPr>
            <w:tcW w:w="2689" w:type="dxa"/>
          </w:tcPr>
          <w:p w14:paraId="467AE8D9" w14:textId="77777777" w:rsidR="00D67D63" w:rsidRPr="005917AA" w:rsidRDefault="00D67D63" w:rsidP="00532698">
            <w:pPr>
              <w:jc w:val="both"/>
              <w:rPr>
                <w:rFonts w:ascii="Verdana" w:eastAsia="Calibri" w:hAnsi="Verdana" w:cs="Arial"/>
                <w:color w:val="000000"/>
                <w:lang w:val="es-ES_tradnl" w:eastAsia="es-ES_tradnl"/>
              </w:rPr>
            </w:pPr>
            <w:r w:rsidRPr="005917AA">
              <w:rPr>
                <w:rFonts w:ascii="Verdana" w:eastAsia="Calibri" w:hAnsi="Verdana" w:cs="Arial"/>
                <w:b/>
                <w:color w:val="000000"/>
                <w:lang w:val="es-ES_tradnl" w:eastAsia="es-ES_tradnl"/>
              </w:rPr>
              <w:t>Temas:</w:t>
            </w:r>
            <w:r w:rsidRPr="005917AA">
              <w:rPr>
                <w:rFonts w:ascii="Verdana" w:eastAsia="Calibri" w:hAnsi="Verdana" w:cs="Arial"/>
                <w:color w:val="000000"/>
                <w:lang w:val="es-ES_tradnl" w:eastAsia="es-ES_tradnl"/>
              </w:rPr>
              <w:t xml:space="preserve">                   </w:t>
            </w:r>
          </w:p>
        </w:tc>
        <w:tc>
          <w:tcPr>
            <w:tcW w:w="6100" w:type="dxa"/>
          </w:tcPr>
          <w:p w14:paraId="74439F7A" w14:textId="77777777" w:rsidR="00D67D63" w:rsidRPr="00FB03DC" w:rsidRDefault="00D67D63" w:rsidP="00532698">
            <w:pPr>
              <w:spacing w:line="276" w:lineRule="auto"/>
              <w:contextualSpacing/>
              <w:jc w:val="both"/>
              <w:rPr>
                <w:rFonts w:ascii="Verdana" w:eastAsia="Yu Gothic UI Semibold" w:hAnsi="Verdana" w:cs="Arial"/>
                <w:color w:val="000000" w:themeColor="text1"/>
                <w:lang w:val="es-MX"/>
              </w:rPr>
            </w:pPr>
            <w:r w:rsidRPr="00FB03DC">
              <w:rPr>
                <w:rFonts w:ascii="Verdana" w:eastAsia="Calibri" w:hAnsi="Verdana" w:cs="Arial"/>
                <w:color w:val="000000"/>
                <w:lang w:val="es-ES_tradnl"/>
              </w:rPr>
              <w:t xml:space="preserve">INHABILIDADES E INCOMPATIBILIDADES ― Límites a la Capacidad Jurídica / INHABILIDAD </w:t>
            </w:r>
            <w:r w:rsidRPr="00FB03DC">
              <w:rPr>
                <w:rFonts w:ascii="Verdana" w:eastAsia="Times New Roman" w:hAnsi="Verdana" w:cs="Arial"/>
                <w:lang w:eastAsia="es-ES_tradnl"/>
              </w:rPr>
              <w:t>E INCOMPATIBILIDAD</w:t>
            </w:r>
            <w:r w:rsidRPr="00FB03DC">
              <w:rPr>
                <w:rFonts w:ascii="Verdana" w:eastAsia="Calibri" w:hAnsi="Verdana" w:cs="Arial"/>
                <w:color w:val="000000"/>
                <w:lang w:val="es-ES_tradnl"/>
              </w:rPr>
              <w:t xml:space="preserve"> </w:t>
            </w:r>
            <w:r w:rsidRPr="00FB03DC">
              <w:rPr>
                <w:rFonts w:ascii="Verdana" w:eastAsia="Times New Roman" w:hAnsi="Verdana" w:cs="Arial"/>
                <w:lang w:eastAsia="es-ES_tradnl"/>
              </w:rPr>
              <w:t>–</w:t>
            </w:r>
            <w:r w:rsidRPr="00FB03DC">
              <w:rPr>
                <w:rFonts w:ascii="Verdana" w:eastAsia="Calibri" w:hAnsi="Verdana" w:cs="Arial"/>
                <w:color w:val="000000"/>
                <w:lang w:val="es-ES_tradnl"/>
              </w:rPr>
              <w:t xml:space="preserve"> Ley 1474 de 2011 </w:t>
            </w:r>
            <w:r w:rsidRPr="00FB03DC">
              <w:rPr>
                <w:rFonts w:ascii="Verdana" w:eastAsia="Times New Roman" w:hAnsi="Verdana" w:cs="Arial"/>
                <w:lang w:eastAsia="es-ES_tradnl"/>
              </w:rPr>
              <w:t>–</w:t>
            </w:r>
            <w:r w:rsidRPr="00FB03DC">
              <w:rPr>
                <w:rFonts w:ascii="Verdana" w:eastAsia="Calibri" w:hAnsi="Verdana" w:cs="Arial"/>
                <w:color w:val="000000"/>
                <w:lang w:val="es-ES_tradnl"/>
              </w:rPr>
              <w:t xml:space="preserve"> Artículo 4 </w:t>
            </w:r>
            <w:r w:rsidRPr="00FB03DC">
              <w:rPr>
                <w:rFonts w:ascii="Verdana" w:eastAsia="Times New Roman" w:hAnsi="Verdana" w:cs="Arial"/>
                <w:lang w:eastAsia="es-ES_tradnl"/>
              </w:rPr>
              <w:t>–</w:t>
            </w:r>
            <w:r w:rsidRPr="00FB03DC">
              <w:rPr>
                <w:rFonts w:ascii="Verdana" w:eastAsia="Calibri" w:hAnsi="Verdana" w:cs="Arial"/>
                <w:color w:val="000000"/>
                <w:lang w:val="es-ES_tradnl"/>
              </w:rPr>
              <w:t xml:space="preserve"> Ex Empleado Público / </w:t>
            </w:r>
            <w:r w:rsidRPr="00FB03DC">
              <w:rPr>
                <w:rFonts w:ascii="Verdana" w:eastAsia="Times New Roman" w:hAnsi="Verdana" w:cs="Arial"/>
                <w:lang w:eastAsia="es-ES_tradnl"/>
              </w:rPr>
              <w:t>INHABILIDADES E INCOMPATIBILIDADES – Ley 80 de 1993 – Numeral 2, literal A) – Exservidor público –</w:t>
            </w:r>
            <w:r w:rsidRPr="00FB03DC">
              <w:rPr>
                <w:rFonts w:ascii="Verdana" w:hAnsi="Verdana"/>
              </w:rPr>
              <w:t xml:space="preserve"> N</w:t>
            </w:r>
            <w:r w:rsidRPr="00FB03DC">
              <w:rPr>
                <w:rFonts w:ascii="Verdana" w:eastAsia="Times New Roman" w:hAnsi="Verdana" w:cs="Arial"/>
                <w:lang w:eastAsia="es-ES_tradnl"/>
              </w:rPr>
              <w:t xml:space="preserve">iveles directivo, asesor o ejecutivo – Elemento temporal (1) un año / INHABILIDADES E INCOMPATIBILIDADES – Ley 80 de 1993 – Numeral 2, literal F) – Contratación directa e indirecta – Exservidor público – Cargo Directivo – Elemento </w:t>
            </w:r>
            <w:r>
              <w:rPr>
                <w:rFonts w:ascii="Verdana" w:eastAsia="Times New Roman" w:hAnsi="Verdana" w:cs="Arial"/>
                <w:lang w:eastAsia="es-ES_tradnl"/>
              </w:rPr>
              <w:t>t</w:t>
            </w:r>
            <w:r w:rsidRPr="00FB03DC">
              <w:rPr>
                <w:rFonts w:ascii="Verdana" w:eastAsia="Times New Roman" w:hAnsi="Verdana" w:cs="Arial"/>
                <w:lang w:eastAsia="es-ES_tradnl"/>
              </w:rPr>
              <w:t xml:space="preserve">emporal (2) dos años / </w:t>
            </w:r>
            <w:r w:rsidRPr="00D67D63">
              <w:rPr>
                <w:rStyle w:val="Textoennegrita"/>
                <w:rFonts w:ascii="Verdana" w:hAnsi="Verdana" w:cs="Segoe UI"/>
                <w:b w:val="0"/>
                <w:bCs w:val="0"/>
                <w:shd w:val="clear" w:color="auto" w:fill="FFFFFF"/>
              </w:rPr>
              <w:t>INHABILIDADES E INCOMPATIBILIDADES – Artículo 8 de la Ley 80 de 1993, numeral 2, literal D) – Destinatarios / INHABILIDADES E INCOMPATIBILIDADES – Artículo 8 de la Ley 80 de 1993, numeral 2, literal E) – Miembros de las Juntas y Consejos Directivos – Sector Administrativo</w:t>
            </w:r>
          </w:p>
        </w:tc>
      </w:tr>
      <w:tr w:rsidR="00D67D63" w:rsidRPr="005917AA" w14:paraId="6F5AA5A0" w14:textId="77777777" w:rsidTr="00532698">
        <w:tc>
          <w:tcPr>
            <w:tcW w:w="2689" w:type="dxa"/>
          </w:tcPr>
          <w:p w14:paraId="6CEBB091" w14:textId="77777777" w:rsidR="00D67D63" w:rsidRPr="005917AA" w:rsidRDefault="00D67D63" w:rsidP="00532698">
            <w:pPr>
              <w:jc w:val="both"/>
              <w:rPr>
                <w:rFonts w:ascii="Verdana" w:eastAsia="Calibri" w:hAnsi="Verdana" w:cs="Arial"/>
                <w:b/>
                <w:lang w:val="es-ES_tradnl" w:eastAsia="es-ES_tradnl"/>
              </w:rPr>
            </w:pPr>
            <w:r w:rsidRPr="005917AA">
              <w:rPr>
                <w:rFonts w:ascii="Verdana" w:eastAsia="Calibri" w:hAnsi="Verdana" w:cs="Arial"/>
                <w:b/>
                <w:lang w:val="es-ES_tradnl" w:eastAsia="es-ES_tradnl"/>
              </w:rPr>
              <w:t>Radicación:</w:t>
            </w:r>
            <w:r w:rsidRPr="005917AA">
              <w:rPr>
                <w:rFonts w:ascii="Verdana" w:eastAsia="Calibri" w:hAnsi="Verdana" w:cs="Arial"/>
                <w:lang w:val="es-ES_tradnl" w:eastAsia="es-ES_tradnl"/>
              </w:rPr>
              <w:t xml:space="preserve">               </w:t>
            </w:r>
          </w:p>
        </w:tc>
        <w:tc>
          <w:tcPr>
            <w:tcW w:w="6100" w:type="dxa"/>
          </w:tcPr>
          <w:p w14:paraId="28E1893D" w14:textId="77777777" w:rsidR="00D67D63" w:rsidRPr="005917AA" w:rsidRDefault="00D67D63" w:rsidP="00532698">
            <w:pPr>
              <w:spacing w:line="276" w:lineRule="auto"/>
              <w:jc w:val="both"/>
              <w:rPr>
                <w:rFonts w:ascii="Verdana" w:eastAsia="Calibri" w:hAnsi="Verdana" w:cs="Arial"/>
                <w:lang w:val="es-ES_tradnl" w:eastAsia="es-ES_tradnl"/>
              </w:rPr>
            </w:pPr>
            <w:r w:rsidRPr="005917AA">
              <w:rPr>
                <w:rFonts w:ascii="Verdana" w:eastAsia="Calibri" w:hAnsi="Verdana" w:cs="Arial"/>
                <w:lang w:val="es-ES_tradnl" w:eastAsia="es-ES_tradnl"/>
              </w:rPr>
              <w:t xml:space="preserve">Respuesta a consulta con radicado No. </w:t>
            </w:r>
            <w:r w:rsidRPr="009F5CB2">
              <w:rPr>
                <w:rFonts w:ascii="Verdana" w:eastAsia="Calibri" w:hAnsi="Verdana" w:cs="Arial"/>
                <w:lang w:val="es-ES_tradnl" w:eastAsia="es-ES_tradnl"/>
              </w:rPr>
              <w:t>P20240917009488</w:t>
            </w:r>
          </w:p>
        </w:tc>
      </w:tr>
    </w:tbl>
    <w:p w14:paraId="0390DB5F" w14:textId="77777777" w:rsidR="00D67D63" w:rsidRPr="005917AA" w:rsidRDefault="00D67D63" w:rsidP="00D67D63">
      <w:pPr>
        <w:spacing w:after="0" w:line="240" w:lineRule="auto"/>
        <w:jc w:val="both"/>
        <w:rPr>
          <w:rFonts w:ascii="Verdana" w:eastAsia="Calibri" w:hAnsi="Verdana" w:cs="Arial"/>
          <w:color w:val="000000"/>
          <w:lang w:val="es-ES_tradnl" w:eastAsia="es-ES_tradnl"/>
        </w:rPr>
      </w:pPr>
    </w:p>
    <w:p w14:paraId="673C82E2" w14:textId="77777777" w:rsidR="00D67D63" w:rsidRPr="005917AA" w:rsidRDefault="00D67D63" w:rsidP="00D67D63">
      <w:pPr>
        <w:spacing w:after="0" w:line="240" w:lineRule="auto"/>
        <w:jc w:val="both"/>
        <w:rPr>
          <w:rFonts w:ascii="Verdana" w:eastAsia="Calibri" w:hAnsi="Verdana" w:cs="Arial"/>
          <w:color w:val="000000"/>
          <w:lang w:val="es-ES_tradnl" w:eastAsia="es-ES_tradnl"/>
        </w:rPr>
      </w:pPr>
    </w:p>
    <w:p w14:paraId="1775FADC" w14:textId="77777777" w:rsidR="00D67D63" w:rsidRPr="005917AA" w:rsidRDefault="00D67D63" w:rsidP="00D67D63">
      <w:pPr>
        <w:spacing w:after="0" w:line="240" w:lineRule="auto"/>
        <w:jc w:val="both"/>
        <w:rPr>
          <w:rFonts w:ascii="Verdana" w:eastAsia="Calibri" w:hAnsi="Verdana" w:cs="Arial"/>
          <w:lang w:val="es-ES" w:eastAsia="es-ES"/>
        </w:rPr>
      </w:pPr>
      <w:r w:rsidRPr="005917AA">
        <w:rPr>
          <w:rFonts w:ascii="Verdana" w:eastAsia="Calibri" w:hAnsi="Verdana" w:cs="Arial"/>
          <w:lang w:val="es-ES" w:eastAsia="es-ES"/>
        </w:rPr>
        <w:t>Estimad</w:t>
      </w:r>
      <w:r>
        <w:rPr>
          <w:rFonts w:ascii="Verdana" w:eastAsia="Calibri" w:hAnsi="Verdana" w:cs="Arial"/>
          <w:lang w:val="es-ES" w:eastAsia="es-ES"/>
        </w:rPr>
        <w:t>a</w:t>
      </w:r>
      <w:r w:rsidRPr="005917AA">
        <w:rPr>
          <w:rFonts w:ascii="Verdana" w:eastAsia="Calibri" w:hAnsi="Verdana" w:cs="Arial"/>
          <w:lang w:val="es-ES" w:eastAsia="es-ES"/>
        </w:rPr>
        <w:t xml:space="preserve"> señor</w:t>
      </w:r>
      <w:r>
        <w:rPr>
          <w:rFonts w:ascii="Verdana" w:eastAsia="Calibri" w:hAnsi="Verdana" w:cs="Arial"/>
          <w:lang w:val="es-ES" w:eastAsia="es-ES"/>
        </w:rPr>
        <w:t>a Delgado</w:t>
      </w:r>
      <w:r w:rsidRPr="005917AA">
        <w:rPr>
          <w:rFonts w:ascii="Verdana" w:eastAsia="Calibri" w:hAnsi="Verdana" w:cs="Arial"/>
          <w:lang w:val="es-ES" w:eastAsia="es-ES"/>
        </w:rPr>
        <w:t>:</w:t>
      </w:r>
    </w:p>
    <w:p w14:paraId="24258CD6" w14:textId="77777777" w:rsidR="00D67D63" w:rsidRPr="005917AA" w:rsidRDefault="00D67D63" w:rsidP="00D67D63">
      <w:pPr>
        <w:tabs>
          <w:tab w:val="left" w:pos="3768"/>
        </w:tabs>
        <w:spacing w:after="0" w:line="240" w:lineRule="auto"/>
        <w:jc w:val="both"/>
        <w:rPr>
          <w:rFonts w:ascii="Verdana" w:eastAsia="Calibri" w:hAnsi="Verdana" w:cs="Arial"/>
          <w:lang w:val="es-ES" w:eastAsia="es-ES"/>
        </w:rPr>
      </w:pPr>
      <w:r w:rsidRPr="005917AA">
        <w:rPr>
          <w:rFonts w:ascii="Verdana" w:eastAsia="Calibri" w:hAnsi="Verdana" w:cs="Arial"/>
          <w:lang w:val="es-ES" w:eastAsia="es-ES"/>
        </w:rPr>
        <w:tab/>
      </w:r>
    </w:p>
    <w:p w14:paraId="4F98A916" w14:textId="77777777" w:rsidR="00D67D63" w:rsidRDefault="00D67D63" w:rsidP="00D67D63">
      <w:pPr>
        <w:spacing w:after="0" w:line="276" w:lineRule="auto"/>
        <w:jc w:val="both"/>
        <w:rPr>
          <w:rFonts w:ascii="Verdana" w:eastAsia="Calibri" w:hAnsi="Verdana" w:cs="Arial"/>
          <w:lang w:val="es-ES" w:eastAsia="es-ES"/>
        </w:rPr>
      </w:pPr>
      <w:r w:rsidRPr="005917AA">
        <w:rPr>
          <w:rFonts w:ascii="Verdana" w:eastAsia="Calibri" w:hAnsi="Verdana" w:cs="Arial"/>
          <w:lang w:val="es-ES" w:eastAsia="es-ES"/>
        </w:rPr>
        <w:t>En ejercicio de la competencia otorgada por los artículos 3, numeral 5º, y 11, numeral 8º, del Decreto Ley 4170 de 2011,</w:t>
      </w:r>
      <w:r w:rsidRPr="005917AA">
        <w:rPr>
          <w:rFonts w:ascii="Verdana" w:eastAsia="Arial MT" w:hAnsi="Verdana" w:cs="Arial MT"/>
          <w:lang w:val="es-ES" w:eastAsia="es-ES"/>
        </w:rPr>
        <w:t xml:space="preserve"> </w:t>
      </w:r>
      <w:r w:rsidRPr="005917AA">
        <w:rPr>
          <w:rFonts w:ascii="Verdana" w:hAnsi="Verdana" w:cs="Arial"/>
        </w:rPr>
        <w:t xml:space="preserve">así como lo establecido en el artículo 4 de la Resolución 1707 de 2018 expedida por esta Entidad, </w:t>
      </w:r>
      <w:r w:rsidRPr="005917AA">
        <w:rPr>
          <w:rFonts w:ascii="Verdana" w:eastAsia="Calibri" w:hAnsi="Verdana" w:cs="Arial"/>
          <w:lang w:val="es-ES" w:eastAsia="es-ES"/>
        </w:rPr>
        <w:t>la Agencia Nacional de Contratación Pública – Colombia Compra Eficiente– responde su solicitud de consulta de</w:t>
      </w:r>
      <w:r>
        <w:rPr>
          <w:rFonts w:ascii="Verdana" w:eastAsia="Calibri" w:hAnsi="Verdana" w:cs="Arial"/>
          <w:lang w:val="es-ES" w:eastAsia="es-ES"/>
        </w:rPr>
        <w:t>l</w:t>
      </w:r>
      <w:r w:rsidRPr="005917AA">
        <w:rPr>
          <w:rFonts w:ascii="Verdana" w:eastAsia="Calibri" w:hAnsi="Verdana" w:cs="Arial"/>
          <w:lang w:val="es-ES" w:eastAsia="es-ES"/>
        </w:rPr>
        <w:t xml:space="preserve"> </w:t>
      </w:r>
      <w:r>
        <w:rPr>
          <w:rFonts w:ascii="Verdana" w:eastAsia="Calibri" w:hAnsi="Verdana" w:cs="Arial"/>
          <w:lang w:val="es-ES" w:eastAsia="es-ES"/>
        </w:rPr>
        <w:t xml:space="preserve">17 de septiembre de 2024 en la </w:t>
      </w:r>
      <w:r w:rsidRPr="005917AA">
        <w:rPr>
          <w:rFonts w:ascii="Verdana" w:eastAsia="Calibri" w:hAnsi="Verdana" w:cs="Arial"/>
          <w:lang w:val="es-ES" w:eastAsia="es-ES"/>
        </w:rPr>
        <w:t>cual manifiesta lo siguiente:</w:t>
      </w:r>
    </w:p>
    <w:p w14:paraId="2E9B8570" w14:textId="77777777" w:rsidR="00D67D63" w:rsidRDefault="00D67D63" w:rsidP="00D67D63">
      <w:pPr>
        <w:spacing w:after="0" w:line="240" w:lineRule="auto"/>
        <w:ind w:right="709"/>
        <w:jc w:val="both"/>
        <w:rPr>
          <w:rFonts w:ascii="Verdana" w:eastAsia="Century Gothic" w:hAnsi="Verdana" w:cs="Century Gothic"/>
          <w:i/>
          <w:iCs/>
          <w:sz w:val="21"/>
          <w:szCs w:val="21"/>
          <w:lang w:val="es-ES"/>
        </w:rPr>
      </w:pPr>
    </w:p>
    <w:p w14:paraId="1F5AE85D" w14:textId="77777777" w:rsidR="00D67D63" w:rsidRDefault="00D67D63" w:rsidP="00D67D63">
      <w:pPr>
        <w:spacing w:after="0" w:line="240" w:lineRule="auto"/>
        <w:ind w:right="709"/>
        <w:jc w:val="both"/>
        <w:rPr>
          <w:rFonts w:ascii="Verdana" w:eastAsia="Century Gothic" w:hAnsi="Verdana" w:cs="Century Gothic"/>
          <w:i/>
          <w:iCs/>
          <w:sz w:val="21"/>
          <w:szCs w:val="21"/>
          <w:lang w:val="es-ES"/>
        </w:rPr>
      </w:pPr>
    </w:p>
    <w:p w14:paraId="7D9106FB" w14:textId="77777777" w:rsidR="00D67D63" w:rsidRPr="004E2A49" w:rsidRDefault="00D67D63" w:rsidP="00D67D63">
      <w:pPr>
        <w:spacing w:after="0" w:line="240" w:lineRule="auto"/>
        <w:ind w:left="709" w:right="709"/>
        <w:jc w:val="both"/>
        <w:rPr>
          <w:rFonts w:ascii="Verdana" w:eastAsia="Century Gothic" w:hAnsi="Verdana" w:cs="Century Gothic"/>
          <w:i/>
          <w:iCs/>
          <w:sz w:val="20"/>
          <w:szCs w:val="20"/>
          <w:lang w:val="es-ES"/>
        </w:rPr>
      </w:pPr>
      <w:r w:rsidRPr="004E2A49">
        <w:rPr>
          <w:rFonts w:ascii="Verdana" w:hAnsi="Verdana" w:cs="Arial"/>
          <w:i/>
          <w:iCs/>
          <w:sz w:val="20"/>
          <w:szCs w:val="20"/>
        </w:rPr>
        <w:t>“</w:t>
      </w:r>
      <w:r w:rsidRPr="004E2A49">
        <w:rPr>
          <w:rFonts w:ascii="Verdana" w:hAnsi="Verdana"/>
          <w:i/>
          <w:iCs/>
          <w:sz w:val="20"/>
          <w:szCs w:val="20"/>
        </w:rPr>
        <w:t xml:space="preserve">1. Vinculación Directa o Indirecta: ¿Existen limitaciones para la contratación directa o indirecta de una persona que ha ocupado un cargo directivo en una entidad pública? En caso afirmativo, ¿cuáles son las restricciones aplicables? </w:t>
      </w:r>
    </w:p>
    <w:p w14:paraId="3FC5CB29" w14:textId="77777777" w:rsidR="00D67D63" w:rsidRPr="004E2A49" w:rsidRDefault="00D67D63" w:rsidP="00D67D63">
      <w:pPr>
        <w:spacing w:after="0" w:line="240" w:lineRule="auto"/>
        <w:ind w:left="709" w:right="709"/>
        <w:jc w:val="both"/>
        <w:rPr>
          <w:rFonts w:ascii="Verdana" w:eastAsia="Century Gothic" w:hAnsi="Verdana" w:cs="Century Gothic"/>
          <w:i/>
          <w:iCs/>
          <w:sz w:val="20"/>
          <w:szCs w:val="20"/>
          <w:lang w:val="es-ES"/>
        </w:rPr>
      </w:pPr>
      <w:r w:rsidRPr="004E2A49">
        <w:rPr>
          <w:rFonts w:ascii="Verdana" w:hAnsi="Verdana"/>
          <w:i/>
          <w:iCs/>
          <w:sz w:val="20"/>
          <w:szCs w:val="20"/>
        </w:rPr>
        <w:t>2. Periodo de Restricción: En caso de que existan limitaciones, ¿cuál es el período de tiempo durante el cual dichas restricciones están vigentes?”</w:t>
      </w:r>
    </w:p>
    <w:p w14:paraId="220FC707" w14:textId="77777777" w:rsidR="00D67D63" w:rsidRDefault="00D67D63" w:rsidP="00D67D63">
      <w:pPr>
        <w:pStyle w:val="Prrafodelista"/>
        <w:tabs>
          <w:tab w:val="left" w:pos="142"/>
          <w:tab w:val="left" w:pos="284"/>
        </w:tabs>
        <w:spacing w:line="240" w:lineRule="auto"/>
        <w:ind w:left="0"/>
        <w:jc w:val="both"/>
        <w:rPr>
          <w:rFonts w:ascii="Verdana" w:eastAsia="Century Gothic" w:hAnsi="Verdana" w:cs="Century Gothic"/>
          <w:b/>
          <w:bCs/>
        </w:rPr>
      </w:pPr>
    </w:p>
    <w:p w14:paraId="525316EE" w14:textId="77777777" w:rsidR="00D67D63" w:rsidRPr="005917AA" w:rsidRDefault="00D67D63" w:rsidP="00D67D63">
      <w:pPr>
        <w:spacing w:after="120" w:line="276" w:lineRule="auto"/>
        <w:ind w:firstLine="709"/>
        <w:jc w:val="both"/>
        <w:rPr>
          <w:rFonts w:ascii="Verdana" w:eastAsia="Calibri" w:hAnsi="Verdana" w:cs="Arial"/>
          <w:color w:val="000000"/>
          <w:lang w:val="es-ES_tradnl" w:eastAsia="es-ES_tradnl"/>
        </w:rPr>
      </w:pPr>
      <w:r w:rsidRPr="005917AA">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17AA">
        <w:rPr>
          <w:rFonts w:ascii="Verdana" w:eastAsia="Calibri" w:hAnsi="Verdana" w:cs="Arial"/>
          <w:color w:val="000000"/>
          <w:lang w:val="es-ES_tradnl" w:eastAsia="es-ES_tradnl"/>
        </w:rPr>
        <w:tab/>
      </w:r>
    </w:p>
    <w:p w14:paraId="58A39BED" w14:textId="77777777" w:rsidR="00D67D63" w:rsidRDefault="00D67D63" w:rsidP="00D67D63">
      <w:pPr>
        <w:jc w:val="both"/>
        <w:rPr>
          <w:rFonts w:ascii="Verdana" w:eastAsia="Calibri" w:hAnsi="Verdana" w:cs="Arial"/>
          <w:lang w:val="es-ES" w:eastAsia="es-ES"/>
        </w:rPr>
      </w:pPr>
      <w:r w:rsidRPr="005917AA">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w:t>
      </w:r>
      <w:r w:rsidRPr="005917AA">
        <w:rPr>
          <w:rFonts w:ascii="Verdana" w:eastAsia="Calibri" w:hAnsi="Verdana" w:cs="Arial"/>
          <w:lang w:val="es-ES" w:eastAsia="es-ES"/>
        </w:rPr>
        <w:t>ionadas con el (los) problema(s) jurídico(s) de su consulta.</w:t>
      </w:r>
    </w:p>
    <w:p w14:paraId="17A1A96B" w14:textId="77777777" w:rsidR="00D67D63" w:rsidRPr="002D648D" w:rsidRDefault="00D67D63" w:rsidP="00D67D63">
      <w:pPr>
        <w:pStyle w:val="Prrafodelista"/>
        <w:numPr>
          <w:ilvl w:val="0"/>
          <w:numId w:val="1"/>
        </w:numPr>
        <w:tabs>
          <w:tab w:val="left" w:pos="142"/>
          <w:tab w:val="left" w:pos="284"/>
        </w:tabs>
        <w:spacing w:after="0" w:line="240" w:lineRule="auto"/>
        <w:ind w:left="0" w:firstLine="0"/>
        <w:jc w:val="both"/>
        <w:rPr>
          <w:rFonts w:ascii="Verdana" w:eastAsia="Century Gothic" w:hAnsi="Verdana" w:cs="Century Gothic"/>
          <w:b/>
          <w:bCs/>
        </w:rPr>
      </w:pPr>
      <w:r w:rsidRPr="002D648D">
        <w:rPr>
          <w:rFonts w:ascii="Verdana" w:eastAsia="Century Gothic" w:hAnsi="Verdana" w:cs="Century Gothic"/>
          <w:b/>
          <w:bCs/>
        </w:rPr>
        <w:t>Problema planteado:</w:t>
      </w:r>
    </w:p>
    <w:p w14:paraId="2FED2AF0" w14:textId="77777777" w:rsidR="00D67D63" w:rsidRPr="002D648D" w:rsidRDefault="00D67D63" w:rsidP="00D67D63">
      <w:pPr>
        <w:tabs>
          <w:tab w:val="left" w:pos="426"/>
        </w:tabs>
        <w:spacing w:after="0" w:line="240" w:lineRule="auto"/>
        <w:jc w:val="both"/>
        <w:rPr>
          <w:rFonts w:ascii="Verdana" w:eastAsia="Century Gothic" w:hAnsi="Verdana" w:cs="Century Gothic"/>
          <w:lang w:val="es-ES"/>
        </w:rPr>
      </w:pPr>
    </w:p>
    <w:p w14:paraId="38951473" w14:textId="77777777" w:rsidR="00D67D63" w:rsidRPr="005F0F58" w:rsidRDefault="00D67D63" w:rsidP="00D67D63">
      <w:pPr>
        <w:spacing w:after="0" w:line="276" w:lineRule="auto"/>
        <w:jc w:val="both"/>
        <w:rPr>
          <w:rFonts w:ascii="Verdana" w:eastAsia="Century Gothic" w:hAnsi="Verdana" w:cs="Century Gothic"/>
        </w:rPr>
      </w:pPr>
      <w:r>
        <w:rPr>
          <w:rFonts w:ascii="Verdana" w:eastAsia="Century Gothic" w:hAnsi="Verdana" w:cs="Century Gothic"/>
        </w:rPr>
        <w:t>De acuerdo con su petición</w:t>
      </w:r>
      <w:r w:rsidRPr="005F0F58">
        <w:rPr>
          <w:rFonts w:ascii="Verdana" w:eastAsia="Century Gothic" w:hAnsi="Verdana" w:cs="Century Gothic"/>
        </w:rPr>
        <w:t xml:space="preserve">, se resolverá </w:t>
      </w:r>
      <w:r>
        <w:rPr>
          <w:rFonts w:ascii="Verdana" w:eastAsia="Century Gothic" w:hAnsi="Verdana" w:cs="Century Gothic"/>
        </w:rPr>
        <w:t>el</w:t>
      </w:r>
      <w:r w:rsidRPr="005F0F58">
        <w:rPr>
          <w:rFonts w:ascii="Verdana" w:eastAsia="Century Gothic" w:hAnsi="Verdana" w:cs="Century Gothic"/>
        </w:rPr>
        <w:t xml:space="preserve"> siguiente problema jurídico: </w:t>
      </w:r>
      <w:r w:rsidRPr="006C4D46">
        <w:rPr>
          <w:rFonts w:ascii="Verdana" w:eastAsia="Century Gothic" w:hAnsi="Verdana" w:cs="Century Gothic"/>
        </w:rPr>
        <w:t>¿</w:t>
      </w:r>
      <w:r w:rsidRPr="006C4D46">
        <w:rPr>
          <w:rFonts w:ascii="Verdana" w:hAnsi="Verdana"/>
        </w:rPr>
        <w:t xml:space="preserve">Existen </w:t>
      </w:r>
      <w:r w:rsidRPr="006C4D46">
        <w:rPr>
          <w:rFonts w:ascii="Verdana" w:eastAsia="Calibri" w:hAnsi="Verdana" w:cs="Arial"/>
          <w:color w:val="000000"/>
          <w:lang w:val="es-ES_tradnl" w:eastAsia="es-ES_tradnl"/>
        </w:rPr>
        <w:t>restricciones que prohíben a los exempleados públicos que hayan ejercido cargos de nivel directivo celebrar directa o indirectamente contratos estatales</w:t>
      </w:r>
      <w:r w:rsidRPr="006C4D46">
        <w:rPr>
          <w:rFonts w:ascii="Verdana" w:eastAsia="Century Gothic" w:hAnsi="Verdana" w:cs="Century Gothic"/>
        </w:rPr>
        <w:t>?</w:t>
      </w:r>
    </w:p>
    <w:p w14:paraId="4A3E62C2" w14:textId="77777777" w:rsidR="00D67D63" w:rsidRPr="00194D57" w:rsidRDefault="00D67D63" w:rsidP="00D67D63">
      <w:pPr>
        <w:spacing w:after="0" w:line="240" w:lineRule="auto"/>
        <w:jc w:val="both"/>
        <w:rPr>
          <w:rFonts w:ascii="Verdana" w:eastAsia="Calibri" w:hAnsi="Verdana" w:cs="Arial"/>
          <w:color w:val="7030A0"/>
          <w:sz w:val="20"/>
          <w:szCs w:val="20"/>
          <w:lang w:val="es-ES"/>
        </w:rPr>
      </w:pPr>
    </w:p>
    <w:p w14:paraId="565F844B" w14:textId="77777777" w:rsidR="00D67D63" w:rsidRPr="00B14A36" w:rsidRDefault="00D67D63" w:rsidP="00D67D63">
      <w:pPr>
        <w:pStyle w:val="Prrafodelista"/>
        <w:numPr>
          <w:ilvl w:val="0"/>
          <w:numId w:val="1"/>
        </w:numPr>
        <w:tabs>
          <w:tab w:val="left" w:pos="142"/>
          <w:tab w:val="left" w:pos="284"/>
        </w:tabs>
        <w:spacing w:after="0" w:line="240" w:lineRule="auto"/>
        <w:ind w:left="0" w:firstLine="0"/>
        <w:contextualSpacing w:val="0"/>
        <w:jc w:val="both"/>
        <w:rPr>
          <w:rFonts w:ascii="Verdana" w:eastAsia="Century Gothic" w:hAnsi="Verdana" w:cs="Century Gothic"/>
          <w:b/>
          <w:bCs/>
        </w:rPr>
      </w:pPr>
      <w:r w:rsidRPr="00B14A36">
        <w:rPr>
          <w:rFonts w:ascii="Verdana" w:eastAsia="Century Gothic" w:hAnsi="Verdana" w:cs="Century Gothic"/>
          <w:b/>
          <w:bCs/>
        </w:rPr>
        <w:t>Respuesta:</w:t>
      </w:r>
    </w:p>
    <w:p w14:paraId="29630697" w14:textId="77777777" w:rsidR="00D67D63" w:rsidRPr="00194D57" w:rsidRDefault="00D67D63" w:rsidP="00D67D63">
      <w:pPr>
        <w:tabs>
          <w:tab w:val="left" w:pos="142"/>
          <w:tab w:val="left" w:pos="284"/>
        </w:tabs>
        <w:spacing w:after="0" w:line="240" w:lineRule="auto"/>
        <w:jc w:val="both"/>
        <w:rPr>
          <w:rFonts w:ascii="Verdana" w:eastAsia="Century Gothic" w:hAnsi="Verdana" w:cs="Century Gothic"/>
          <w:b/>
          <w:bCs/>
          <w:sz w:val="20"/>
          <w:szCs w:val="2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67D63" w:rsidRPr="00194D57" w14:paraId="019EB944" w14:textId="77777777" w:rsidTr="00532698">
        <w:tc>
          <w:tcPr>
            <w:tcW w:w="8828" w:type="dxa"/>
            <w:shd w:val="clear" w:color="auto" w:fill="auto"/>
          </w:tcPr>
          <w:p w14:paraId="5700A46C" w14:textId="77777777" w:rsidR="00D67D63" w:rsidRPr="006168EB" w:rsidRDefault="00D67D63" w:rsidP="00532698">
            <w:pPr>
              <w:spacing w:after="120" w:line="276" w:lineRule="auto"/>
              <w:jc w:val="both"/>
              <w:rPr>
                <w:rFonts w:ascii="Verdana" w:eastAsia="Arial MT" w:hAnsi="Verdana" w:cs="Arial"/>
                <w:lang w:eastAsia="es-ES" w:bidi="es-ES"/>
              </w:rPr>
            </w:pPr>
            <w:r w:rsidRPr="006168EB">
              <w:rPr>
                <w:rFonts w:ascii="Verdana" w:hAnsi="Verdana"/>
              </w:rPr>
              <w:t xml:space="preserve">Sí. Existen </w:t>
            </w:r>
            <w:r w:rsidRPr="006168EB">
              <w:rPr>
                <w:rFonts w:ascii="Verdana" w:eastAsia="Calibri" w:hAnsi="Verdana" w:cs="Arial"/>
                <w:lang w:val="es-ES_tradnl" w:eastAsia="es-ES_tradnl"/>
              </w:rPr>
              <w:t xml:space="preserve">restricciones contempladas </w:t>
            </w:r>
            <w:r w:rsidRPr="006168EB">
              <w:rPr>
                <w:rFonts w:ascii="Verdana" w:eastAsia="Arial MT" w:hAnsi="Verdana" w:cs="Arial"/>
                <w:lang w:eastAsia="es-ES" w:bidi="es-ES"/>
              </w:rPr>
              <w:t>en el literal a) del numeral 2 del artículo 8 de la Ley 80 de 1993</w:t>
            </w:r>
            <w:r>
              <w:rPr>
                <w:rFonts w:ascii="Verdana" w:eastAsia="Arial MT" w:hAnsi="Verdana" w:cs="Arial"/>
                <w:lang w:eastAsia="es-ES" w:bidi="es-ES"/>
              </w:rPr>
              <w:t>, y</w:t>
            </w:r>
            <w:r w:rsidRPr="006168EB">
              <w:rPr>
                <w:rFonts w:ascii="Verdana" w:eastAsia="Arial MT" w:hAnsi="Verdana" w:cs="Arial"/>
                <w:lang w:eastAsia="es-ES" w:bidi="es-ES"/>
              </w:rPr>
              <w:t xml:space="preserve"> se configura incompatibilidad para contratar con una entidad determinada en quienes fueron miembros de junta o consejo directivo, así como en los exservidores públicos de los niveles directivo, asesor o </w:t>
            </w:r>
            <w:r w:rsidRPr="006168EB">
              <w:rPr>
                <w:rFonts w:ascii="Verdana" w:eastAsia="Arial MT" w:hAnsi="Verdana" w:cs="Arial"/>
                <w:lang w:eastAsia="es-ES" w:bidi="es-ES"/>
              </w:rPr>
              <w:lastRenderedPageBreak/>
              <w:t>ejecutivo. Esta restricción a la capacidad rige únicamente respecto de la entidad contratante a la que estuvo vinculado el respectivo miembro de junta o servidor, durante el año siguiente a la fecha de retiro.</w:t>
            </w:r>
          </w:p>
          <w:p w14:paraId="4EB0ADB5" w14:textId="77777777" w:rsidR="00D67D63" w:rsidRPr="006168EB" w:rsidRDefault="00D67D63" w:rsidP="00532698">
            <w:pPr>
              <w:widowControl w:val="0"/>
              <w:tabs>
                <w:tab w:val="left" w:pos="8789"/>
              </w:tabs>
              <w:autoSpaceDE w:val="0"/>
              <w:autoSpaceDN w:val="0"/>
              <w:spacing w:after="120" w:line="276" w:lineRule="auto"/>
              <w:jc w:val="both"/>
              <w:rPr>
                <w:rFonts w:ascii="Verdana" w:eastAsia="Arial MT" w:hAnsi="Verdana" w:cs="Arial"/>
                <w:lang w:val="es-ES"/>
              </w:rPr>
            </w:pPr>
            <w:r w:rsidRPr="006168EB">
              <w:rPr>
                <w:rFonts w:ascii="Verdana" w:eastAsia="Arial MT" w:hAnsi="Verdana" w:cs="Arial"/>
                <w:lang w:val="es-ES"/>
              </w:rPr>
              <w:t xml:space="preserve">Asimismo, el literal d) del numeral 2 del artículo 8 de la Ley 80 de 1993, menciona que </w:t>
            </w:r>
            <w:r w:rsidRPr="006168EB">
              <w:rPr>
                <w:rFonts w:ascii="Verdana" w:hAnsi="Verdana"/>
                <w:w w:val="105"/>
              </w:rPr>
              <w:t>tampoco podrán participar en licitaciones o concursos ni celebrar contratos estatales con la entidad respectiva,</w:t>
            </w:r>
            <w:r w:rsidRPr="006168EB">
              <w:rPr>
                <w:rFonts w:ascii="Verdana" w:eastAsia="Arial MT" w:hAnsi="Verdana" w:cs="Arial"/>
                <w:lang w:val="es-ES"/>
              </w:rPr>
              <w:t xml:space="preserve"> algunas sociedades, que estarán inhabilitadas para contratar con la</w:t>
            </w:r>
            <w:r w:rsidRPr="006168EB">
              <w:rPr>
                <w:rFonts w:ascii="Verdana" w:eastAsia="Arial MT" w:hAnsi="Verdana" w:cs="Arial"/>
                <w:spacing w:val="1"/>
                <w:lang w:val="es-ES"/>
              </w:rPr>
              <w:t xml:space="preserve"> </w:t>
            </w:r>
            <w:r w:rsidRPr="006168EB">
              <w:rPr>
                <w:rFonts w:ascii="Verdana" w:eastAsia="Arial MT" w:hAnsi="Verdana" w:cs="Arial"/>
                <w:lang w:val="es-ES"/>
              </w:rPr>
              <w:t>entidad</w:t>
            </w:r>
            <w:r w:rsidRPr="006168EB">
              <w:rPr>
                <w:rFonts w:ascii="Verdana" w:eastAsia="Arial MT" w:hAnsi="Verdana" w:cs="Arial"/>
                <w:spacing w:val="-7"/>
                <w:lang w:val="es-ES"/>
              </w:rPr>
              <w:t xml:space="preserve"> </w:t>
            </w:r>
            <w:r w:rsidRPr="006168EB">
              <w:rPr>
                <w:rFonts w:ascii="Verdana" w:eastAsia="Arial MT" w:hAnsi="Verdana" w:cs="Arial"/>
                <w:lang w:val="es-ES"/>
              </w:rPr>
              <w:t>a</w:t>
            </w:r>
            <w:r w:rsidRPr="006168EB">
              <w:rPr>
                <w:rFonts w:ascii="Verdana" w:eastAsia="Arial MT" w:hAnsi="Verdana" w:cs="Arial"/>
                <w:spacing w:val="-8"/>
                <w:lang w:val="es-ES"/>
              </w:rPr>
              <w:t xml:space="preserve"> </w:t>
            </w:r>
            <w:r w:rsidRPr="006168EB">
              <w:rPr>
                <w:rFonts w:ascii="Verdana" w:eastAsia="Arial MT" w:hAnsi="Verdana" w:cs="Arial"/>
                <w:lang w:val="es-ES"/>
              </w:rPr>
              <w:t>la</w:t>
            </w:r>
            <w:r w:rsidRPr="006168EB">
              <w:rPr>
                <w:rFonts w:ascii="Verdana" w:eastAsia="Arial MT" w:hAnsi="Verdana" w:cs="Arial"/>
                <w:spacing w:val="-8"/>
                <w:lang w:val="es-ES"/>
              </w:rPr>
              <w:t xml:space="preserve"> </w:t>
            </w:r>
            <w:r w:rsidRPr="006168EB">
              <w:rPr>
                <w:rFonts w:ascii="Verdana" w:eastAsia="Arial MT" w:hAnsi="Verdana" w:cs="Arial"/>
                <w:lang w:val="es-ES"/>
              </w:rPr>
              <w:t>que</w:t>
            </w:r>
            <w:r w:rsidRPr="006168EB">
              <w:rPr>
                <w:rFonts w:ascii="Verdana" w:eastAsia="Arial MT" w:hAnsi="Verdana" w:cs="Arial"/>
                <w:spacing w:val="-7"/>
                <w:lang w:val="es-ES"/>
              </w:rPr>
              <w:t xml:space="preserve"> </w:t>
            </w:r>
            <w:r w:rsidRPr="006168EB">
              <w:rPr>
                <w:rFonts w:ascii="Verdana" w:eastAsia="Arial MT" w:hAnsi="Verdana" w:cs="Arial"/>
                <w:lang w:val="es-ES"/>
              </w:rPr>
              <w:t>pertenezca</w:t>
            </w:r>
            <w:r w:rsidRPr="006168EB">
              <w:rPr>
                <w:rFonts w:ascii="Verdana" w:eastAsia="Arial MT" w:hAnsi="Verdana" w:cs="Arial"/>
                <w:spacing w:val="-7"/>
                <w:lang w:val="es-ES"/>
              </w:rPr>
              <w:t xml:space="preserve"> el</w:t>
            </w:r>
            <w:r w:rsidRPr="006168EB">
              <w:rPr>
                <w:rFonts w:ascii="Verdana" w:eastAsia="Arial MT" w:hAnsi="Verdana" w:cs="Arial"/>
                <w:spacing w:val="-8"/>
                <w:lang w:val="es-ES"/>
              </w:rPr>
              <w:t xml:space="preserve"> </w:t>
            </w:r>
            <w:r w:rsidRPr="006168EB">
              <w:rPr>
                <w:rFonts w:ascii="Verdana" w:eastAsia="Arial MT" w:hAnsi="Verdana" w:cs="Arial"/>
                <w:lang w:val="es-ES"/>
              </w:rPr>
              <w:t>servidor</w:t>
            </w:r>
            <w:r w:rsidRPr="006168EB">
              <w:rPr>
                <w:rFonts w:ascii="Verdana" w:eastAsia="Arial MT" w:hAnsi="Verdana" w:cs="Arial"/>
                <w:spacing w:val="-7"/>
                <w:lang w:val="es-ES"/>
              </w:rPr>
              <w:t xml:space="preserve"> </w:t>
            </w:r>
            <w:r w:rsidRPr="006168EB">
              <w:rPr>
                <w:rFonts w:ascii="Verdana" w:eastAsia="Arial MT" w:hAnsi="Verdana" w:cs="Arial"/>
                <w:lang w:val="es-ES"/>
              </w:rPr>
              <w:t>público</w:t>
            </w:r>
            <w:r w:rsidRPr="006168EB">
              <w:rPr>
                <w:rFonts w:ascii="Verdana" w:eastAsia="Arial MT" w:hAnsi="Verdana" w:cs="Arial"/>
                <w:spacing w:val="-8"/>
                <w:lang w:val="es-ES"/>
              </w:rPr>
              <w:t xml:space="preserve"> </w:t>
            </w:r>
            <w:r w:rsidRPr="006168EB">
              <w:rPr>
                <w:rFonts w:ascii="Verdana" w:eastAsia="Arial MT" w:hAnsi="Verdana" w:cs="Arial"/>
                <w:lang w:val="es-ES"/>
              </w:rPr>
              <w:t>que:</w:t>
            </w:r>
            <w:r w:rsidRPr="006168EB">
              <w:rPr>
                <w:rFonts w:ascii="Verdana" w:eastAsia="Arial MT" w:hAnsi="Verdana" w:cs="Arial"/>
                <w:spacing w:val="-8"/>
                <w:lang w:val="es-ES"/>
              </w:rPr>
              <w:t xml:space="preserve"> </w:t>
            </w:r>
            <w:r w:rsidRPr="006168EB">
              <w:rPr>
                <w:rFonts w:ascii="Verdana" w:eastAsia="Arial MT" w:hAnsi="Verdana" w:cs="Arial"/>
                <w:lang w:val="es-ES"/>
              </w:rPr>
              <w:t>i) corresponda</w:t>
            </w:r>
            <w:r w:rsidRPr="006168EB">
              <w:rPr>
                <w:rFonts w:ascii="Verdana" w:eastAsia="Arial MT" w:hAnsi="Verdana" w:cs="Arial"/>
                <w:spacing w:val="-7"/>
                <w:lang w:val="es-ES"/>
              </w:rPr>
              <w:t xml:space="preserve"> </w:t>
            </w:r>
            <w:r w:rsidRPr="006168EB">
              <w:rPr>
                <w:rFonts w:ascii="Verdana" w:eastAsia="Arial MT" w:hAnsi="Verdana" w:cs="Arial"/>
                <w:lang w:val="es-ES"/>
              </w:rPr>
              <w:t>al</w:t>
            </w:r>
            <w:r w:rsidRPr="006168EB">
              <w:rPr>
                <w:rFonts w:ascii="Verdana" w:eastAsia="Arial MT" w:hAnsi="Verdana" w:cs="Arial"/>
                <w:spacing w:val="-8"/>
                <w:lang w:val="es-ES"/>
              </w:rPr>
              <w:t xml:space="preserve"> </w:t>
            </w:r>
            <w:r w:rsidRPr="006168EB">
              <w:rPr>
                <w:rFonts w:ascii="Verdana" w:eastAsia="Arial MT" w:hAnsi="Verdana" w:cs="Arial"/>
                <w:lang w:val="es-ES"/>
              </w:rPr>
              <w:t>nivel</w:t>
            </w:r>
            <w:r w:rsidRPr="006168EB">
              <w:rPr>
                <w:rFonts w:ascii="Verdana" w:eastAsia="Arial MT" w:hAnsi="Verdana" w:cs="Arial"/>
                <w:spacing w:val="-7"/>
                <w:lang w:val="es-ES"/>
              </w:rPr>
              <w:t xml:space="preserve"> </w:t>
            </w:r>
            <w:r w:rsidRPr="006168EB">
              <w:rPr>
                <w:rFonts w:ascii="Verdana" w:eastAsia="Arial MT" w:hAnsi="Verdana" w:cs="Arial"/>
                <w:lang w:val="es-ES"/>
              </w:rPr>
              <w:t>directivo,</w:t>
            </w:r>
            <w:r w:rsidRPr="006168EB">
              <w:rPr>
                <w:rFonts w:ascii="Verdana" w:eastAsia="Arial MT" w:hAnsi="Verdana" w:cs="Arial"/>
                <w:spacing w:val="1"/>
                <w:lang w:val="es-ES"/>
              </w:rPr>
              <w:t xml:space="preserve"> </w:t>
            </w:r>
            <w:r w:rsidRPr="006168EB">
              <w:rPr>
                <w:rFonts w:ascii="Verdana" w:eastAsia="Arial MT" w:hAnsi="Verdana" w:cs="Arial"/>
                <w:lang w:val="es-ES"/>
              </w:rPr>
              <w:t>asesor,</w:t>
            </w:r>
            <w:r w:rsidRPr="006168EB">
              <w:rPr>
                <w:rFonts w:ascii="Verdana" w:eastAsia="Arial MT" w:hAnsi="Verdana" w:cs="Arial"/>
                <w:spacing w:val="-9"/>
                <w:lang w:val="es-ES"/>
              </w:rPr>
              <w:t xml:space="preserve"> </w:t>
            </w:r>
            <w:r w:rsidRPr="006168EB">
              <w:rPr>
                <w:rFonts w:ascii="Verdana" w:eastAsia="Arial MT" w:hAnsi="Verdana" w:cs="Arial"/>
                <w:lang w:val="es-ES"/>
              </w:rPr>
              <w:t>ejecutivo</w:t>
            </w:r>
            <w:r w:rsidRPr="006168EB">
              <w:rPr>
                <w:rFonts w:ascii="Verdana" w:eastAsia="Arial MT" w:hAnsi="Verdana" w:cs="Arial"/>
                <w:spacing w:val="-8"/>
                <w:lang w:val="es-ES"/>
              </w:rPr>
              <w:t xml:space="preserve"> </w:t>
            </w:r>
            <w:r w:rsidRPr="006168EB">
              <w:rPr>
                <w:rFonts w:ascii="Verdana" w:eastAsia="Arial MT" w:hAnsi="Verdana" w:cs="Arial"/>
                <w:lang w:val="es-ES"/>
              </w:rPr>
              <w:t>o</w:t>
            </w:r>
            <w:r w:rsidRPr="006168EB">
              <w:rPr>
                <w:rFonts w:ascii="Verdana" w:eastAsia="Arial MT" w:hAnsi="Verdana" w:cs="Arial"/>
                <w:spacing w:val="-10"/>
                <w:lang w:val="es-ES"/>
              </w:rPr>
              <w:t xml:space="preserve"> </w:t>
            </w:r>
            <w:r w:rsidRPr="006168EB">
              <w:rPr>
                <w:rFonts w:ascii="Verdana" w:eastAsia="Arial MT" w:hAnsi="Verdana" w:cs="Arial"/>
                <w:lang w:val="es-ES"/>
              </w:rPr>
              <w:t>miembro</w:t>
            </w:r>
            <w:r w:rsidRPr="006168EB">
              <w:rPr>
                <w:rFonts w:ascii="Verdana" w:eastAsia="Arial MT" w:hAnsi="Verdana" w:cs="Arial"/>
                <w:spacing w:val="-9"/>
                <w:lang w:val="es-ES"/>
              </w:rPr>
              <w:t xml:space="preserve"> </w:t>
            </w:r>
            <w:r w:rsidRPr="006168EB">
              <w:rPr>
                <w:rFonts w:ascii="Verdana" w:eastAsia="Arial MT" w:hAnsi="Verdana" w:cs="Arial"/>
                <w:lang w:val="es-ES"/>
              </w:rPr>
              <w:t>de</w:t>
            </w:r>
            <w:r w:rsidRPr="006168EB">
              <w:rPr>
                <w:rFonts w:ascii="Verdana" w:eastAsia="Arial MT" w:hAnsi="Verdana" w:cs="Arial"/>
                <w:spacing w:val="-10"/>
                <w:lang w:val="es-ES"/>
              </w:rPr>
              <w:t xml:space="preserve"> </w:t>
            </w:r>
            <w:r w:rsidRPr="006168EB">
              <w:rPr>
                <w:rFonts w:ascii="Verdana" w:eastAsia="Arial MT" w:hAnsi="Verdana" w:cs="Arial"/>
                <w:lang w:val="es-ES"/>
              </w:rPr>
              <w:t>la</w:t>
            </w:r>
            <w:r w:rsidRPr="006168EB">
              <w:rPr>
                <w:rFonts w:ascii="Verdana" w:eastAsia="Arial MT" w:hAnsi="Verdana" w:cs="Arial"/>
                <w:spacing w:val="-9"/>
                <w:lang w:val="es-ES"/>
              </w:rPr>
              <w:t xml:space="preserve"> </w:t>
            </w:r>
            <w:r w:rsidRPr="006168EB">
              <w:rPr>
                <w:rFonts w:ascii="Verdana" w:eastAsia="Arial MT" w:hAnsi="Verdana" w:cs="Arial"/>
                <w:lang w:val="es-ES"/>
              </w:rPr>
              <w:t>junta</w:t>
            </w:r>
            <w:r w:rsidRPr="006168EB">
              <w:rPr>
                <w:rFonts w:ascii="Verdana" w:eastAsia="Arial MT" w:hAnsi="Verdana" w:cs="Arial"/>
                <w:spacing w:val="-10"/>
                <w:lang w:val="es-ES"/>
              </w:rPr>
              <w:t xml:space="preserve"> </w:t>
            </w:r>
            <w:r w:rsidRPr="006168EB">
              <w:rPr>
                <w:rFonts w:ascii="Verdana" w:eastAsia="Arial MT" w:hAnsi="Verdana" w:cs="Arial"/>
                <w:lang w:val="es-ES"/>
              </w:rPr>
              <w:t>o</w:t>
            </w:r>
            <w:r w:rsidRPr="006168EB">
              <w:rPr>
                <w:rFonts w:ascii="Verdana" w:eastAsia="Arial MT" w:hAnsi="Verdana" w:cs="Arial"/>
                <w:spacing w:val="-9"/>
                <w:lang w:val="es-ES"/>
              </w:rPr>
              <w:t xml:space="preserve"> </w:t>
            </w:r>
            <w:r w:rsidRPr="006168EB">
              <w:rPr>
                <w:rFonts w:ascii="Verdana" w:eastAsia="Arial MT" w:hAnsi="Verdana" w:cs="Arial"/>
                <w:lang w:val="es-ES"/>
              </w:rPr>
              <w:t>consejo</w:t>
            </w:r>
            <w:r w:rsidRPr="006168EB">
              <w:rPr>
                <w:rFonts w:ascii="Verdana" w:eastAsia="Arial MT" w:hAnsi="Verdana" w:cs="Arial"/>
                <w:spacing w:val="-10"/>
                <w:lang w:val="es-ES"/>
              </w:rPr>
              <w:t xml:space="preserve"> </w:t>
            </w:r>
            <w:r w:rsidRPr="006168EB">
              <w:rPr>
                <w:rFonts w:ascii="Verdana" w:eastAsia="Arial MT" w:hAnsi="Verdana" w:cs="Arial"/>
                <w:lang w:val="es-ES"/>
              </w:rPr>
              <w:t>directivo</w:t>
            </w:r>
            <w:r w:rsidRPr="006168EB">
              <w:rPr>
                <w:rFonts w:ascii="Verdana" w:eastAsia="Arial MT" w:hAnsi="Verdana" w:cs="Arial"/>
                <w:spacing w:val="-8"/>
                <w:lang w:val="es-ES"/>
              </w:rPr>
              <w:t xml:space="preserve"> </w:t>
            </w:r>
            <w:r w:rsidRPr="006168EB">
              <w:rPr>
                <w:rFonts w:ascii="Verdana" w:eastAsia="Arial MT" w:hAnsi="Verdana" w:cs="Arial"/>
                <w:lang w:val="es-ES"/>
              </w:rPr>
              <w:t>de</w:t>
            </w:r>
            <w:r w:rsidRPr="006168EB">
              <w:rPr>
                <w:rFonts w:ascii="Verdana" w:eastAsia="Arial MT" w:hAnsi="Verdana" w:cs="Arial"/>
                <w:spacing w:val="-9"/>
                <w:lang w:val="es-ES"/>
              </w:rPr>
              <w:t xml:space="preserve"> </w:t>
            </w:r>
            <w:r w:rsidRPr="006168EB">
              <w:rPr>
                <w:rFonts w:ascii="Verdana" w:eastAsia="Arial MT" w:hAnsi="Verdana" w:cs="Arial"/>
                <w:lang w:val="es-ES"/>
              </w:rPr>
              <w:t>la</w:t>
            </w:r>
            <w:r w:rsidRPr="006168EB">
              <w:rPr>
                <w:rFonts w:ascii="Verdana" w:eastAsia="Arial MT" w:hAnsi="Verdana" w:cs="Arial"/>
                <w:spacing w:val="-10"/>
                <w:lang w:val="es-ES"/>
              </w:rPr>
              <w:t xml:space="preserve"> </w:t>
            </w:r>
            <w:r w:rsidRPr="006168EB">
              <w:rPr>
                <w:rFonts w:ascii="Verdana" w:eastAsia="Arial MT" w:hAnsi="Verdana" w:cs="Arial"/>
                <w:lang w:val="es-ES"/>
              </w:rPr>
              <w:t>entidad</w:t>
            </w:r>
            <w:r w:rsidRPr="006168EB">
              <w:rPr>
                <w:rFonts w:ascii="Verdana" w:eastAsia="Arial MT" w:hAnsi="Verdana" w:cs="Arial"/>
                <w:spacing w:val="-8"/>
                <w:lang w:val="es-ES"/>
              </w:rPr>
              <w:t xml:space="preserve"> </w:t>
            </w:r>
            <w:r w:rsidRPr="006168EB">
              <w:rPr>
                <w:rFonts w:ascii="Verdana" w:eastAsia="Arial MT" w:hAnsi="Verdana" w:cs="Arial"/>
                <w:lang w:val="es-ES"/>
              </w:rPr>
              <w:t>contratante</w:t>
            </w:r>
            <w:r w:rsidRPr="006168EB">
              <w:rPr>
                <w:rFonts w:ascii="Verdana" w:eastAsia="Arial MT" w:hAnsi="Verdana" w:cs="Arial"/>
                <w:spacing w:val="-10"/>
                <w:lang w:val="es-ES"/>
              </w:rPr>
              <w:t xml:space="preserve"> </w:t>
            </w:r>
            <w:r w:rsidRPr="006168EB">
              <w:rPr>
                <w:rFonts w:ascii="Verdana" w:eastAsia="Arial MT" w:hAnsi="Verdana" w:cs="Arial"/>
                <w:lang w:val="es-ES"/>
              </w:rPr>
              <w:t>y</w:t>
            </w:r>
            <w:r w:rsidRPr="006168EB">
              <w:rPr>
                <w:rFonts w:ascii="Verdana" w:eastAsia="Arial MT" w:hAnsi="Verdana" w:cs="Arial"/>
                <w:spacing w:val="-9"/>
                <w:lang w:val="es-ES"/>
              </w:rPr>
              <w:t xml:space="preserve"> </w:t>
            </w:r>
            <w:r w:rsidRPr="006168EB">
              <w:rPr>
                <w:rFonts w:ascii="Verdana" w:eastAsia="Arial MT" w:hAnsi="Verdana" w:cs="Arial"/>
                <w:lang w:val="es-ES"/>
              </w:rPr>
              <w:t>ii)</w:t>
            </w:r>
            <w:r w:rsidRPr="006168EB">
              <w:rPr>
                <w:rFonts w:ascii="Verdana" w:eastAsia="Arial MT" w:hAnsi="Verdana" w:cs="Arial"/>
                <w:spacing w:val="-59"/>
                <w:lang w:val="es-ES"/>
              </w:rPr>
              <w:t xml:space="preserve"> </w:t>
            </w:r>
            <w:r w:rsidRPr="006168EB">
              <w:rPr>
                <w:rFonts w:ascii="Verdana" w:eastAsia="Arial MT" w:hAnsi="Verdana" w:cs="Arial"/>
                <w:lang w:val="es-ES"/>
              </w:rPr>
              <w:t>que</w:t>
            </w:r>
            <w:r w:rsidRPr="006168EB">
              <w:rPr>
                <w:rFonts w:ascii="Verdana" w:eastAsia="Arial MT" w:hAnsi="Verdana" w:cs="Arial"/>
                <w:spacing w:val="-5"/>
                <w:lang w:val="es-ES"/>
              </w:rPr>
              <w:t xml:space="preserve"> </w:t>
            </w:r>
            <w:r w:rsidRPr="006168EB">
              <w:rPr>
                <w:rFonts w:ascii="Verdana" w:eastAsia="Arial MT" w:hAnsi="Verdana" w:cs="Arial"/>
                <w:lang w:val="es-ES"/>
              </w:rPr>
              <w:t>tenga</w:t>
            </w:r>
            <w:r w:rsidRPr="006168EB">
              <w:rPr>
                <w:rFonts w:ascii="Verdana" w:eastAsia="Arial MT" w:hAnsi="Verdana" w:cs="Arial"/>
                <w:spacing w:val="-4"/>
                <w:lang w:val="es-ES"/>
              </w:rPr>
              <w:t xml:space="preserve"> </w:t>
            </w:r>
            <w:r w:rsidRPr="006168EB">
              <w:rPr>
                <w:rFonts w:ascii="Verdana" w:eastAsia="Arial MT" w:hAnsi="Verdana" w:cs="Arial"/>
                <w:lang w:val="es-ES"/>
              </w:rPr>
              <w:t>participación</w:t>
            </w:r>
            <w:r w:rsidRPr="006168EB">
              <w:rPr>
                <w:rFonts w:ascii="Verdana" w:eastAsia="Arial MT" w:hAnsi="Verdana" w:cs="Arial"/>
                <w:spacing w:val="-5"/>
                <w:lang w:val="es-ES"/>
              </w:rPr>
              <w:t xml:space="preserve"> </w:t>
            </w:r>
            <w:r w:rsidRPr="006168EB">
              <w:rPr>
                <w:rFonts w:ascii="Verdana" w:eastAsia="Arial MT" w:hAnsi="Verdana" w:cs="Arial"/>
                <w:lang w:val="es-ES"/>
              </w:rPr>
              <w:t>en</w:t>
            </w:r>
            <w:r w:rsidRPr="006168EB">
              <w:rPr>
                <w:rFonts w:ascii="Verdana" w:eastAsia="Arial MT" w:hAnsi="Verdana" w:cs="Arial"/>
                <w:spacing w:val="-5"/>
                <w:lang w:val="es-ES"/>
              </w:rPr>
              <w:t xml:space="preserve"> </w:t>
            </w:r>
            <w:r w:rsidRPr="006168EB">
              <w:rPr>
                <w:rFonts w:ascii="Verdana" w:eastAsia="Arial MT" w:hAnsi="Verdana" w:cs="Arial"/>
                <w:lang w:val="es-ES"/>
              </w:rPr>
              <w:t>esas</w:t>
            </w:r>
            <w:r w:rsidRPr="006168EB">
              <w:rPr>
                <w:rFonts w:ascii="Verdana" w:eastAsia="Arial MT" w:hAnsi="Verdana" w:cs="Arial"/>
                <w:spacing w:val="-5"/>
                <w:lang w:val="es-ES"/>
              </w:rPr>
              <w:t xml:space="preserve"> </w:t>
            </w:r>
            <w:r w:rsidRPr="006168EB">
              <w:rPr>
                <w:rFonts w:ascii="Verdana" w:eastAsia="Arial MT" w:hAnsi="Verdana" w:cs="Arial"/>
                <w:lang w:val="es-ES"/>
              </w:rPr>
              <w:t>personas jurídicas</w:t>
            </w:r>
            <w:r w:rsidRPr="006168EB">
              <w:rPr>
                <w:rFonts w:ascii="Verdana" w:eastAsia="Arial MT" w:hAnsi="Verdana" w:cs="Arial"/>
                <w:spacing w:val="-5"/>
                <w:lang w:val="es-ES"/>
              </w:rPr>
              <w:t xml:space="preserve"> </w:t>
            </w:r>
            <w:r w:rsidRPr="006168EB">
              <w:rPr>
                <w:rFonts w:ascii="Verdana" w:eastAsia="Arial MT" w:hAnsi="Verdana" w:cs="Arial"/>
                <w:lang w:val="es-ES"/>
              </w:rPr>
              <w:t>o</w:t>
            </w:r>
            <w:r w:rsidRPr="006168EB">
              <w:rPr>
                <w:rFonts w:ascii="Verdana" w:eastAsia="Arial MT" w:hAnsi="Verdana" w:cs="Arial"/>
                <w:spacing w:val="-5"/>
                <w:lang w:val="es-ES"/>
              </w:rPr>
              <w:t xml:space="preserve"> </w:t>
            </w:r>
            <w:r w:rsidRPr="006168EB">
              <w:rPr>
                <w:rFonts w:ascii="Verdana" w:eastAsia="Arial MT" w:hAnsi="Verdana" w:cs="Arial"/>
                <w:lang w:val="es-ES"/>
              </w:rPr>
              <w:t>ejerza</w:t>
            </w:r>
            <w:r w:rsidRPr="006168EB">
              <w:rPr>
                <w:rFonts w:ascii="Verdana" w:eastAsia="Arial MT" w:hAnsi="Verdana" w:cs="Arial"/>
                <w:spacing w:val="-5"/>
                <w:lang w:val="es-ES"/>
              </w:rPr>
              <w:t xml:space="preserve"> </w:t>
            </w:r>
            <w:r w:rsidRPr="006168EB">
              <w:rPr>
                <w:rFonts w:ascii="Verdana" w:eastAsia="Arial MT" w:hAnsi="Verdana" w:cs="Arial"/>
                <w:lang w:val="es-ES"/>
              </w:rPr>
              <w:t>un</w:t>
            </w:r>
            <w:r w:rsidRPr="006168EB">
              <w:rPr>
                <w:rFonts w:ascii="Verdana" w:eastAsia="Arial MT" w:hAnsi="Verdana" w:cs="Arial"/>
                <w:spacing w:val="-5"/>
                <w:lang w:val="es-ES"/>
              </w:rPr>
              <w:t xml:space="preserve"> </w:t>
            </w:r>
            <w:r w:rsidRPr="006168EB">
              <w:rPr>
                <w:rFonts w:ascii="Verdana" w:eastAsia="Arial MT" w:hAnsi="Verdana" w:cs="Arial"/>
                <w:lang w:val="es-ES"/>
              </w:rPr>
              <w:t>cargo</w:t>
            </w:r>
            <w:r w:rsidRPr="006168EB">
              <w:rPr>
                <w:rFonts w:ascii="Verdana" w:eastAsia="Arial MT" w:hAnsi="Verdana" w:cs="Arial"/>
                <w:spacing w:val="-5"/>
                <w:lang w:val="es-ES"/>
              </w:rPr>
              <w:t xml:space="preserve"> </w:t>
            </w:r>
            <w:r w:rsidRPr="006168EB">
              <w:rPr>
                <w:rFonts w:ascii="Verdana" w:eastAsia="Arial MT" w:hAnsi="Verdana" w:cs="Arial"/>
                <w:lang w:val="es-ES"/>
              </w:rPr>
              <w:t>de</w:t>
            </w:r>
            <w:r w:rsidRPr="006168EB">
              <w:rPr>
                <w:rFonts w:ascii="Verdana" w:eastAsia="Arial MT" w:hAnsi="Verdana" w:cs="Arial"/>
                <w:spacing w:val="-5"/>
                <w:lang w:val="es-ES"/>
              </w:rPr>
              <w:t xml:space="preserve"> </w:t>
            </w:r>
            <w:r w:rsidRPr="006168EB">
              <w:rPr>
                <w:rFonts w:ascii="Verdana" w:eastAsia="Arial MT" w:hAnsi="Verdana" w:cs="Arial"/>
                <w:lang w:val="es-ES"/>
              </w:rPr>
              <w:t>dirección</w:t>
            </w:r>
            <w:r>
              <w:rPr>
                <w:rFonts w:ascii="Verdana" w:eastAsia="Arial MT" w:hAnsi="Verdana" w:cs="Arial"/>
                <w:lang w:val="es-ES"/>
              </w:rPr>
              <w:t xml:space="preserve"> </w:t>
            </w:r>
            <w:r w:rsidRPr="006168EB">
              <w:rPr>
                <w:rFonts w:ascii="Verdana" w:eastAsia="Arial MT" w:hAnsi="Verdana" w:cs="Arial"/>
                <w:lang w:val="es-ES"/>
              </w:rPr>
              <w:t>o</w:t>
            </w:r>
            <w:r w:rsidRPr="006168EB">
              <w:rPr>
                <w:rFonts w:ascii="Verdana" w:eastAsia="Arial MT" w:hAnsi="Verdana" w:cs="Arial"/>
                <w:spacing w:val="-1"/>
                <w:lang w:val="es-ES"/>
              </w:rPr>
              <w:t xml:space="preserve"> </w:t>
            </w:r>
            <w:r w:rsidRPr="006168EB">
              <w:rPr>
                <w:rFonts w:ascii="Verdana" w:eastAsia="Arial MT" w:hAnsi="Verdana" w:cs="Arial"/>
                <w:lang w:val="es-ES"/>
              </w:rPr>
              <w:t>manejo.</w:t>
            </w:r>
          </w:p>
          <w:p w14:paraId="6B04D6DD" w14:textId="77777777" w:rsidR="00D67D63" w:rsidRDefault="00D67D63" w:rsidP="00532698">
            <w:pPr>
              <w:spacing w:line="276" w:lineRule="auto"/>
              <w:jc w:val="both"/>
              <w:rPr>
                <w:rFonts w:ascii="Verdana" w:hAnsi="Verdana"/>
                <w:w w:val="105"/>
              </w:rPr>
            </w:pPr>
            <w:r w:rsidRPr="006168EB">
              <w:rPr>
                <w:rFonts w:ascii="Verdana" w:eastAsia="Arial MT" w:hAnsi="Verdana" w:cs="Arial"/>
                <w:lang w:val="es-ES"/>
              </w:rPr>
              <w:t xml:space="preserve">Seguidamente, el literal e) del numeral 2 ibidem, </w:t>
            </w:r>
            <w:r>
              <w:rPr>
                <w:rFonts w:ascii="Verdana" w:eastAsia="Arial MT" w:hAnsi="Verdana" w:cs="Arial"/>
                <w:lang w:val="es-ES"/>
              </w:rPr>
              <w:t>menciona que serán</w:t>
            </w:r>
            <w:r w:rsidRPr="006168EB">
              <w:rPr>
                <w:rFonts w:ascii="Verdana" w:eastAsia="Arial MT" w:hAnsi="Verdana" w:cs="Arial"/>
                <w:lang w:val="es-ES"/>
              </w:rPr>
              <w:t xml:space="preserve"> incompatibles </w:t>
            </w:r>
            <w:r w:rsidRPr="006168EB">
              <w:rPr>
                <w:rFonts w:ascii="Verdana" w:hAnsi="Verdana"/>
                <w:w w:val="105"/>
              </w:rPr>
              <w:t>los</w:t>
            </w:r>
            <w:r w:rsidRPr="006168EB">
              <w:rPr>
                <w:rFonts w:ascii="Verdana" w:hAnsi="Verdana"/>
                <w:spacing w:val="-6"/>
                <w:w w:val="105"/>
              </w:rPr>
              <w:t xml:space="preserve"> </w:t>
            </w:r>
            <w:r w:rsidRPr="006168EB">
              <w:rPr>
                <w:rFonts w:ascii="Verdana" w:hAnsi="Verdana"/>
                <w:w w:val="105"/>
              </w:rPr>
              <w:t>miembros</w:t>
            </w:r>
            <w:r w:rsidRPr="006168EB">
              <w:rPr>
                <w:rFonts w:ascii="Verdana" w:hAnsi="Verdana"/>
                <w:spacing w:val="-6"/>
                <w:w w:val="105"/>
              </w:rPr>
              <w:t xml:space="preserve"> </w:t>
            </w:r>
            <w:r w:rsidRPr="006168EB">
              <w:rPr>
                <w:rFonts w:ascii="Verdana" w:hAnsi="Verdana"/>
                <w:w w:val="105"/>
              </w:rPr>
              <w:t>de</w:t>
            </w:r>
            <w:r w:rsidRPr="006168EB">
              <w:rPr>
                <w:rFonts w:ascii="Verdana" w:hAnsi="Verdana"/>
                <w:spacing w:val="-6"/>
                <w:w w:val="105"/>
              </w:rPr>
              <w:t xml:space="preserve"> </w:t>
            </w:r>
            <w:r w:rsidRPr="006168EB">
              <w:rPr>
                <w:rFonts w:ascii="Verdana" w:hAnsi="Verdana"/>
                <w:w w:val="105"/>
              </w:rPr>
              <w:t>las</w:t>
            </w:r>
            <w:r w:rsidRPr="006168EB">
              <w:rPr>
                <w:rFonts w:ascii="Verdana" w:hAnsi="Verdana"/>
                <w:spacing w:val="-6"/>
                <w:w w:val="105"/>
              </w:rPr>
              <w:t xml:space="preserve"> </w:t>
            </w:r>
            <w:r w:rsidRPr="006168EB">
              <w:rPr>
                <w:rFonts w:ascii="Verdana" w:hAnsi="Verdana"/>
                <w:w w:val="105"/>
              </w:rPr>
              <w:t>juntas</w:t>
            </w:r>
            <w:r w:rsidRPr="006168EB">
              <w:rPr>
                <w:rFonts w:ascii="Verdana" w:hAnsi="Verdana"/>
                <w:spacing w:val="-6"/>
                <w:w w:val="105"/>
              </w:rPr>
              <w:t xml:space="preserve"> </w:t>
            </w:r>
            <w:r w:rsidRPr="006168EB">
              <w:rPr>
                <w:rFonts w:ascii="Verdana" w:hAnsi="Verdana"/>
                <w:w w:val="105"/>
              </w:rPr>
              <w:t>o</w:t>
            </w:r>
            <w:r w:rsidRPr="006168EB">
              <w:rPr>
                <w:rFonts w:ascii="Verdana" w:hAnsi="Verdana"/>
                <w:spacing w:val="-5"/>
                <w:w w:val="105"/>
              </w:rPr>
              <w:t xml:space="preserve"> </w:t>
            </w:r>
            <w:r w:rsidRPr="006168EB">
              <w:rPr>
                <w:rFonts w:ascii="Verdana" w:hAnsi="Verdana"/>
                <w:w w:val="105"/>
              </w:rPr>
              <w:t>consejos</w:t>
            </w:r>
            <w:r w:rsidRPr="006168EB">
              <w:rPr>
                <w:rFonts w:ascii="Verdana" w:hAnsi="Verdana"/>
                <w:spacing w:val="-6"/>
                <w:w w:val="105"/>
              </w:rPr>
              <w:t xml:space="preserve"> </w:t>
            </w:r>
            <w:r w:rsidRPr="006168EB">
              <w:rPr>
                <w:rFonts w:ascii="Verdana" w:hAnsi="Verdana"/>
                <w:w w:val="105"/>
              </w:rPr>
              <w:t>directivos.</w:t>
            </w:r>
            <w:r w:rsidRPr="006168EB">
              <w:rPr>
                <w:rFonts w:ascii="Verdana" w:hAnsi="Verdana"/>
                <w:spacing w:val="-6"/>
                <w:w w:val="105"/>
              </w:rPr>
              <w:t xml:space="preserve"> </w:t>
            </w:r>
            <w:r w:rsidRPr="006168EB">
              <w:rPr>
                <w:rFonts w:ascii="Verdana" w:hAnsi="Verdana"/>
                <w:w w:val="105"/>
              </w:rPr>
              <w:t>Esta</w:t>
            </w:r>
            <w:r w:rsidRPr="006168EB">
              <w:rPr>
                <w:rFonts w:ascii="Verdana" w:hAnsi="Verdana"/>
                <w:spacing w:val="-6"/>
                <w:w w:val="105"/>
              </w:rPr>
              <w:t xml:space="preserve"> </w:t>
            </w:r>
            <w:r w:rsidRPr="006168EB">
              <w:rPr>
                <w:rFonts w:ascii="Verdana" w:hAnsi="Verdana"/>
                <w:w w:val="105"/>
              </w:rPr>
              <w:t>incompatibilidad</w:t>
            </w:r>
            <w:r w:rsidRPr="006168EB">
              <w:rPr>
                <w:rFonts w:ascii="Verdana" w:hAnsi="Verdana"/>
                <w:spacing w:val="-6"/>
                <w:w w:val="105"/>
              </w:rPr>
              <w:t xml:space="preserve"> </w:t>
            </w:r>
            <w:r w:rsidRPr="006168EB">
              <w:rPr>
                <w:rFonts w:ascii="Verdana" w:hAnsi="Verdana"/>
                <w:w w:val="105"/>
              </w:rPr>
              <w:t>sólo</w:t>
            </w:r>
            <w:r w:rsidRPr="006168EB">
              <w:rPr>
                <w:rFonts w:ascii="Verdana" w:hAnsi="Verdana"/>
                <w:spacing w:val="-6"/>
                <w:w w:val="105"/>
              </w:rPr>
              <w:t xml:space="preserve"> </w:t>
            </w:r>
            <w:r w:rsidRPr="006168EB">
              <w:rPr>
                <w:rFonts w:ascii="Verdana" w:hAnsi="Verdana"/>
                <w:w w:val="105"/>
              </w:rPr>
              <w:t>se</w:t>
            </w:r>
            <w:r w:rsidRPr="006168EB">
              <w:rPr>
                <w:rFonts w:ascii="Verdana" w:hAnsi="Verdana"/>
                <w:spacing w:val="-5"/>
                <w:w w:val="105"/>
              </w:rPr>
              <w:t xml:space="preserve"> </w:t>
            </w:r>
            <w:r w:rsidRPr="006168EB">
              <w:rPr>
                <w:rFonts w:ascii="Verdana" w:hAnsi="Verdana"/>
                <w:w w:val="105"/>
              </w:rPr>
              <w:t>predica</w:t>
            </w:r>
            <w:r w:rsidRPr="006168EB">
              <w:rPr>
                <w:rFonts w:ascii="Verdana" w:hAnsi="Verdana"/>
                <w:spacing w:val="-6"/>
                <w:w w:val="105"/>
              </w:rPr>
              <w:t xml:space="preserve"> </w:t>
            </w:r>
            <w:r w:rsidRPr="006168EB">
              <w:rPr>
                <w:rFonts w:ascii="Verdana" w:hAnsi="Verdana"/>
                <w:w w:val="105"/>
              </w:rPr>
              <w:t>respecto</w:t>
            </w:r>
            <w:r w:rsidRPr="006168EB">
              <w:rPr>
                <w:rFonts w:ascii="Verdana" w:hAnsi="Verdana"/>
                <w:spacing w:val="-6"/>
                <w:w w:val="105"/>
              </w:rPr>
              <w:t xml:space="preserve"> </w:t>
            </w:r>
            <w:r w:rsidRPr="006168EB">
              <w:rPr>
                <w:rFonts w:ascii="Verdana" w:hAnsi="Verdana"/>
                <w:w w:val="105"/>
              </w:rPr>
              <w:t>de</w:t>
            </w:r>
            <w:r w:rsidRPr="006168EB">
              <w:rPr>
                <w:rFonts w:ascii="Verdana" w:hAnsi="Verdana"/>
                <w:spacing w:val="-6"/>
                <w:w w:val="105"/>
              </w:rPr>
              <w:t xml:space="preserve"> </w:t>
            </w:r>
            <w:r w:rsidRPr="006168EB">
              <w:rPr>
                <w:rFonts w:ascii="Verdana" w:hAnsi="Verdana"/>
                <w:w w:val="105"/>
              </w:rPr>
              <w:t>la</w:t>
            </w:r>
            <w:r w:rsidRPr="006168EB">
              <w:rPr>
                <w:rFonts w:ascii="Verdana" w:hAnsi="Verdana"/>
                <w:spacing w:val="-6"/>
                <w:w w:val="105"/>
              </w:rPr>
              <w:t xml:space="preserve"> </w:t>
            </w:r>
            <w:r w:rsidRPr="006168EB">
              <w:rPr>
                <w:rFonts w:ascii="Verdana" w:hAnsi="Verdana"/>
                <w:w w:val="105"/>
              </w:rPr>
              <w:t>entidad a</w:t>
            </w:r>
            <w:r w:rsidRPr="006168EB">
              <w:rPr>
                <w:rFonts w:ascii="Verdana" w:hAnsi="Verdana"/>
                <w:spacing w:val="-5"/>
                <w:w w:val="105"/>
              </w:rPr>
              <w:t xml:space="preserve"> </w:t>
            </w:r>
            <w:r w:rsidRPr="006168EB">
              <w:rPr>
                <w:rFonts w:ascii="Verdana" w:hAnsi="Verdana"/>
                <w:w w:val="105"/>
              </w:rPr>
              <w:t>la</w:t>
            </w:r>
            <w:r w:rsidRPr="006168EB">
              <w:rPr>
                <w:rFonts w:ascii="Verdana" w:hAnsi="Verdana"/>
                <w:spacing w:val="-5"/>
                <w:w w:val="105"/>
              </w:rPr>
              <w:t xml:space="preserve"> </w:t>
            </w:r>
            <w:r w:rsidRPr="006168EB">
              <w:rPr>
                <w:rFonts w:ascii="Verdana" w:hAnsi="Verdana"/>
                <w:w w:val="105"/>
              </w:rPr>
              <w:t>cual</w:t>
            </w:r>
            <w:r w:rsidRPr="006168EB">
              <w:rPr>
                <w:rFonts w:ascii="Verdana" w:hAnsi="Verdana"/>
                <w:spacing w:val="-5"/>
                <w:w w:val="105"/>
              </w:rPr>
              <w:t xml:space="preserve"> </w:t>
            </w:r>
            <w:r w:rsidRPr="006168EB">
              <w:rPr>
                <w:rFonts w:ascii="Verdana" w:hAnsi="Verdana"/>
                <w:w w:val="105"/>
              </w:rPr>
              <w:t>prestan</w:t>
            </w:r>
            <w:r w:rsidRPr="006168EB">
              <w:rPr>
                <w:rFonts w:ascii="Verdana" w:hAnsi="Verdana"/>
                <w:spacing w:val="-4"/>
                <w:w w:val="105"/>
              </w:rPr>
              <w:t xml:space="preserve"> </w:t>
            </w:r>
            <w:r w:rsidRPr="006168EB">
              <w:rPr>
                <w:rFonts w:ascii="Verdana" w:hAnsi="Verdana"/>
                <w:w w:val="105"/>
              </w:rPr>
              <w:t>sus</w:t>
            </w:r>
            <w:r w:rsidRPr="006168EB">
              <w:rPr>
                <w:rFonts w:ascii="Verdana" w:hAnsi="Verdana"/>
                <w:spacing w:val="-5"/>
                <w:w w:val="105"/>
              </w:rPr>
              <w:t xml:space="preserve"> </w:t>
            </w:r>
            <w:r w:rsidRPr="006168EB">
              <w:rPr>
                <w:rFonts w:ascii="Verdana" w:hAnsi="Verdana"/>
                <w:w w:val="105"/>
              </w:rPr>
              <w:t>servicios</w:t>
            </w:r>
            <w:r w:rsidRPr="006168EB">
              <w:rPr>
                <w:rFonts w:ascii="Verdana" w:hAnsi="Verdana"/>
                <w:spacing w:val="-5"/>
                <w:w w:val="105"/>
              </w:rPr>
              <w:t xml:space="preserve"> </w:t>
            </w:r>
            <w:r w:rsidRPr="006168EB">
              <w:rPr>
                <w:rFonts w:ascii="Verdana" w:hAnsi="Verdana"/>
                <w:w w:val="105"/>
              </w:rPr>
              <w:t>y</w:t>
            </w:r>
            <w:r w:rsidRPr="006168EB">
              <w:rPr>
                <w:rFonts w:ascii="Verdana" w:hAnsi="Verdana"/>
                <w:spacing w:val="-4"/>
                <w:w w:val="105"/>
              </w:rPr>
              <w:t xml:space="preserve"> </w:t>
            </w:r>
            <w:r w:rsidRPr="006168EB">
              <w:rPr>
                <w:rFonts w:ascii="Verdana" w:hAnsi="Verdana"/>
                <w:w w:val="105"/>
              </w:rPr>
              <w:t>de</w:t>
            </w:r>
            <w:r w:rsidRPr="006168EB">
              <w:rPr>
                <w:rFonts w:ascii="Verdana" w:hAnsi="Verdana"/>
                <w:spacing w:val="-5"/>
                <w:w w:val="105"/>
              </w:rPr>
              <w:t xml:space="preserve"> </w:t>
            </w:r>
            <w:r w:rsidRPr="006168EB">
              <w:rPr>
                <w:rFonts w:ascii="Verdana" w:hAnsi="Verdana"/>
                <w:w w:val="105"/>
              </w:rPr>
              <w:t>las</w:t>
            </w:r>
            <w:r w:rsidRPr="006168EB">
              <w:rPr>
                <w:rFonts w:ascii="Verdana" w:hAnsi="Verdana"/>
                <w:spacing w:val="-5"/>
                <w:w w:val="105"/>
              </w:rPr>
              <w:t xml:space="preserve"> </w:t>
            </w:r>
            <w:r w:rsidRPr="006168EB">
              <w:rPr>
                <w:rFonts w:ascii="Verdana" w:hAnsi="Verdana"/>
                <w:w w:val="105"/>
              </w:rPr>
              <w:t>del</w:t>
            </w:r>
            <w:r w:rsidRPr="006168EB">
              <w:rPr>
                <w:rFonts w:ascii="Verdana" w:hAnsi="Verdana"/>
                <w:spacing w:val="-4"/>
                <w:w w:val="105"/>
              </w:rPr>
              <w:t xml:space="preserve"> </w:t>
            </w:r>
            <w:r w:rsidRPr="006168EB">
              <w:rPr>
                <w:rFonts w:ascii="Verdana" w:hAnsi="Verdana"/>
                <w:w w:val="105"/>
              </w:rPr>
              <w:t>sector</w:t>
            </w:r>
            <w:r w:rsidRPr="006168EB">
              <w:rPr>
                <w:rFonts w:ascii="Verdana" w:hAnsi="Verdana"/>
                <w:spacing w:val="-5"/>
                <w:w w:val="105"/>
              </w:rPr>
              <w:t xml:space="preserve"> </w:t>
            </w:r>
            <w:r w:rsidRPr="006168EB">
              <w:rPr>
                <w:rFonts w:ascii="Verdana" w:hAnsi="Verdana"/>
                <w:w w:val="105"/>
              </w:rPr>
              <w:t>administrativo</w:t>
            </w:r>
            <w:r w:rsidRPr="006168EB">
              <w:rPr>
                <w:rFonts w:ascii="Verdana" w:hAnsi="Verdana"/>
                <w:spacing w:val="-5"/>
                <w:w w:val="105"/>
              </w:rPr>
              <w:t xml:space="preserve"> </w:t>
            </w:r>
            <w:r w:rsidRPr="006168EB">
              <w:rPr>
                <w:rFonts w:ascii="Verdana" w:hAnsi="Verdana"/>
                <w:w w:val="105"/>
              </w:rPr>
              <w:t>al</w:t>
            </w:r>
            <w:r w:rsidRPr="006168EB">
              <w:rPr>
                <w:rFonts w:ascii="Verdana" w:hAnsi="Verdana"/>
                <w:spacing w:val="-4"/>
                <w:w w:val="105"/>
              </w:rPr>
              <w:t xml:space="preserve"> </w:t>
            </w:r>
            <w:r w:rsidRPr="006168EB">
              <w:rPr>
                <w:rFonts w:ascii="Verdana" w:hAnsi="Verdana"/>
                <w:w w:val="105"/>
              </w:rPr>
              <w:t>que</w:t>
            </w:r>
            <w:r w:rsidRPr="006168EB">
              <w:rPr>
                <w:rFonts w:ascii="Verdana" w:hAnsi="Verdana"/>
                <w:spacing w:val="-5"/>
                <w:w w:val="105"/>
              </w:rPr>
              <w:t xml:space="preserve"> </w:t>
            </w:r>
            <w:r w:rsidRPr="006168EB">
              <w:rPr>
                <w:rFonts w:ascii="Verdana" w:hAnsi="Verdana"/>
                <w:w w:val="105"/>
              </w:rPr>
              <w:t>la</w:t>
            </w:r>
            <w:r w:rsidRPr="006168EB">
              <w:rPr>
                <w:rFonts w:ascii="Verdana" w:hAnsi="Verdana"/>
                <w:spacing w:val="-5"/>
                <w:w w:val="105"/>
              </w:rPr>
              <w:t xml:space="preserve"> </w:t>
            </w:r>
            <w:r w:rsidRPr="006168EB">
              <w:rPr>
                <w:rFonts w:ascii="Verdana" w:hAnsi="Verdana"/>
                <w:w w:val="105"/>
              </w:rPr>
              <w:t>misma</w:t>
            </w:r>
            <w:r w:rsidRPr="006168EB">
              <w:rPr>
                <w:rFonts w:ascii="Verdana" w:hAnsi="Verdana"/>
                <w:spacing w:val="-5"/>
                <w:w w:val="105"/>
              </w:rPr>
              <w:t xml:space="preserve"> </w:t>
            </w:r>
            <w:r w:rsidRPr="006168EB">
              <w:rPr>
                <w:rFonts w:ascii="Verdana" w:hAnsi="Verdana"/>
                <w:w w:val="105"/>
              </w:rPr>
              <w:t>esté</w:t>
            </w:r>
            <w:r w:rsidRPr="006168EB">
              <w:rPr>
                <w:rFonts w:ascii="Verdana" w:hAnsi="Verdana"/>
                <w:spacing w:val="-4"/>
                <w:w w:val="105"/>
              </w:rPr>
              <w:t xml:space="preserve"> </w:t>
            </w:r>
            <w:r w:rsidRPr="006168EB">
              <w:rPr>
                <w:rFonts w:ascii="Verdana" w:hAnsi="Verdana"/>
                <w:w w:val="105"/>
              </w:rPr>
              <w:t>adscrita</w:t>
            </w:r>
            <w:r w:rsidRPr="006168EB">
              <w:rPr>
                <w:rFonts w:ascii="Verdana" w:hAnsi="Verdana"/>
                <w:spacing w:val="-5"/>
                <w:w w:val="105"/>
              </w:rPr>
              <w:t xml:space="preserve"> </w:t>
            </w:r>
            <w:r w:rsidRPr="006168EB">
              <w:rPr>
                <w:rFonts w:ascii="Verdana" w:hAnsi="Verdana"/>
                <w:w w:val="105"/>
              </w:rPr>
              <w:t>o</w:t>
            </w:r>
            <w:r w:rsidRPr="006168EB">
              <w:rPr>
                <w:rFonts w:ascii="Verdana" w:hAnsi="Verdana"/>
                <w:spacing w:val="-5"/>
                <w:w w:val="105"/>
              </w:rPr>
              <w:t xml:space="preserve"> </w:t>
            </w:r>
            <w:r w:rsidRPr="006168EB">
              <w:rPr>
                <w:rFonts w:ascii="Verdana" w:hAnsi="Verdana"/>
                <w:w w:val="105"/>
              </w:rPr>
              <w:t>vinculada.</w:t>
            </w:r>
          </w:p>
          <w:p w14:paraId="33B3BB85" w14:textId="77777777" w:rsidR="00D67D63" w:rsidRDefault="00D67D63" w:rsidP="00532698">
            <w:pPr>
              <w:spacing w:line="276" w:lineRule="auto"/>
              <w:jc w:val="both"/>
              <w:rPr>
                <w:rFonts w:ascii="Verdana" w:hAnsi="Verdana"/>
                <w:w w:val="105"/>
                <w:sz w:val="20"/>
                <w:szCs w:val="20"/>
                <w:shd w:val="clear" w:color="auto" w:fill="FFFFFF"/>
              </w:rPr>
            </w:pPr>
          </w:p>
          <w:p w14:paraId="112DB210" w14:textId="77777777" w:rsidR="00D67D63" w:rsidRPr="006168EB" w:rsidRDefault="00D67D63" w:rsidP="00532698">
            <w:pPr>
              <w:spacing w:after="120" w:line="276" w:lineRule="auto"/>
              <w:jc w:val="both"/>
              <w:rPr>
                <w:rFonts w:ascii="Verdana" w:eastAsia="Arial MT" w:hAnsi="Verdana" w:cs="Arial"/>
                <w:lang w:eastAsia="es-ES" w:bidi="es-ES"/>
              </w:rPr>
            </w:pPr>
            <w:r w:rsidRPr="006168EB">
              <w:rPr>
                <w:rFonts w:ascii="Verdana" w:eastAsia="Arial MT" w:hAnsi="Verdana" w:cs="Arial"/>
                <w:lang w:eastAsia="es-ES" w:bidi="es-ES"/>
              </w:rPr>
              <w:t xml:space="preserve">Por otro lado, de conformidad con el literal f) del numeral 2 del artículo 8 de la Ley 80 de 1993, adicionado por el artículo 4 de la Ley 1474 de 2011, se configura incompatibilidad de manera directa en las personas naturales que ejercieron cargos del nivel directivo en entidades del Estado, y, de manera indirecta, en las sociedades a las que se encuentren vinculados dichos exservidores públicos, a cualquier título. La restricción a la capacidad contractual que deviene de esta causal aplica solo respecto de objetos contractuales que desarrollen tenga relación con el sector al cual el ex funcionario del nivel directivo prestó sus servicios y se extenderá durante los dos años siguientes a su retiro.   </w:t>
            </w:r>
          </w:p>
          <w:p w14:paraId="2114D400" w14:textId="77777777" w:rsidR="00D67D63" w:rsidRDefault="00D67D63" w:rsidP="00532698">
            <w:pPr>
              <w:spacing w:line="276" w:lineRule="auto"/>
              <w:jc w:val="both"/>
              <w:rPr>
                <w:rFonts w:ascii="Verdana" w:eastAsia="Arial MT" w:hAnsi="Verdana" w:cs="Arial"/>
                <w:lang w:eastAsia="es-ES" w:bidi="es-ES"/>
              </w:rPr>
            </w:pPr>
            <w:r w:rsidRPr="006168EB">
              <w:rPr>
                <w:rFonts w:ascii="Verdana" w:eastAsia="Arial MT" w:hAnsi="Verdana" w:cs="Arial"/>
                <w:lang w:eastAsia="es-ES" w:bidi="es-ES"/>
              </w:rPr>
              <w:t>Adicionalmente, por expresa disposición del literal f) del artículo 8, numeral 2 de la Ley 80 de 1993, esta incompatibilidad también se extiende a las personas naturales que se encuentren dentro del primer grado de consanguinidad, primero de afinidad, o primero civil del exempleado público. Esto significa que personas con dicho tipo de vínculos con el exfuncionario del nivel directivo, tampoco podrán celebrar contratos estatales con objetos relacionados el sector donde este haya trabajado, hasta pasados dos años de su retiro del servicio.</w:t>
            </w:r>
          </w:p>
          <w:p w14:paraId="3715C2B7" w14:textId="77777777" w:rsidR="00D67D63" w:rsidRPr="006168EB" w:rsidRDefault="00D67D63" w:rsidP="00532698">
            <w:pPr>
              <w:spacing w:line="276" w:lineRule="auto"/>
              <w:jc w:val="both"/>
              <w:rPr>
                <w:rFonts w:ascii="Verdana" w:hAnsi="Verdana"/>
              </w:rPr>
            </w:pPr>
          </w:p>
          <w:p w14:paraId="58DBC198" w14:textId="77777777" w:rsidR="00D67D63" w:rsidRPr="00AF7C8A" w:rsidRDefault="00D67D63" w:rsidP="00532698">
            <w:pPr>
              <w:spacing w:line="276" w:lineRule="auto"/>
              <w:jc w:val="both"/>
              <w:rPr>
                <w:rFonts w:ascii="Verdana" w:hAnsi="Verdana" w:cs="Arial"/>
                <w:sz w:val="20"/>
                <w:szCs w:val="20"/>
                <w:shd w:val="clear" w:color="auto" w:fill="FFFFFF"/>
              </w:rPr>
            </w:pPr>
            <w:r w:rsidRPr="006168EB">
              <w:rPr>
                <w:rFonts w:ascii="Verdana" w:hAnsi="Verdana"/>
              </w:rPr>
              <w:lastRenderedPageBreak/>
              <w:t xml:space="preserve">Consecuente con lo anterior, queda claro que </w:t>
            </w:r>
            <w:r w:rsidRPr="006168EB">
              <w:rPr>
                <w:rFonts w:ascii="Verdana" w:eastAsia="Calibri" w:hAnsi="Verdana" w:cs="Arial"/>
                <w:lang w:val="es-ES_tradnl" w:eastAsia="es-ES_tradnl"/>
              </w:rPr>
              <w:t>no se pueden celebrar contratos estatales cuyo objeto se relacione con el sector en el cual se desempeñó el exempleado público durante los términos establecidos anteriormente. Dicho de otro modo, tras haber dejado el cargo el servidor público, comienza a correr el término en el cual se aplica la restricción. Esto significa que cuando tal período haya transcurrido, en principio, los sujetos a los que se refiere</w:t>
            </w:r>
            <w:r>
              <w:rPr>
                <w:rFonts w:ascii="Verdana" w:eastAsia="Calibri" w:hAnsi="Verdana" w:cs="Arial"/>
                <w:lang w:val="es-ES_tradnl" w:eastAsia="es-ES_tradnl"/>
              </w:rPr>
              <w:t>n</w:t>
            </w:r>
            <w:r w:rsidRPr="006168EB">
              <w:rPr>
                <w:rFonts w:ascii="Verdana" w:eastAsia="Calibri" w:hAnsi="Verdana" w:cs="Arial"/>
                <w:lang w:val="es-ES_tradnl" w:eastAsia="es-ES_tradnl"/>
              </w:rPr>
              <w:t xml:space="preserve"> las causales mencionadas recobran la capacidad para celebrar contratos estatales, salvo que estén afectados por otras causales de inhabilidad o de incompatibilidad.</w:t>
            </w:r>
          </w:p>
        </w:tc>
      </w:tr>
    </w:tbl>
    <w:p w14:paraId="41361F66" w14:textId="77777777" w:rsidR="00D67D63" w:rsidRPr="00194D57" w:rsidRDefault="00D67D63" w:rsidP="00D67D63">
      <w:pPr>
        <w:tabs>
          <w:tab w:val="left" w:pos="142"/>
          <w:tab w:val="left" w:pos="284"/>
        </w:tabs>
        <w:spacing w:after="0" w:line="240" w:lineRule="auto"/>
        <w:jc w:val="both"/>
        <w:rPr>
          <w:rFonts w:ascii="Verdana" w:eastAsia="Century Gothic" w:hAnsi="Verdana" w:cs="Century Gothic"/>
          <w:b/>
          <w:bCs/>
          <w:sz w:val="20"/>
          <w:szCs w:val="20"/>
          <w:lang w:val="es-ES"/>
        </w:rPr>
      </w:pPr>
    </w:p>
    <w:p w14:paraId="545F60A6" w14:textId="77777777" w:rsidR="00D67D63" w:rsidRPr="00264C5B" w:rsidRDefault="00D67D63" w:rsidP="00D67D63">
      <w:pPr>
        <w:pStyle w:val="Prrafodelista"/>
        <w:numPr>
          <w:ilvl w:val="0"/>
          <w:numId w:val="1"/>
        </w:numPr>
        <w:tabs>
          <w:tab w:val="left" w:pos="142"/>
          <w:tab w:val="left" w:pos="284"/>
        </w:tabs>
        <w:spacing w:after="0" w:line="240" w:lineRule="auto"/>
        <w:ind w:left="0" w:firstLine="0"/>
        <w:contextualSpacing w:val="0"/>
        <w:jc w:val="both"/>
        <w:rPr>
          <w:rFonts w:ascii="Verdana" w:eastAsia="Century Gothic" w:hAnsi="Verdana" w:cs="Century Gothic"/>
          <w:b/>
          <w:bCs/>
        </w:rPr>
      </w:pPr>
      <w:r w:rsidRPr="00264C5B">
        <w:rPr>
          <w:rFonts w:ascii="Verdana" w:eastAsia="Century Gothic" w:hAnsi="Verdana" w:cs="Century Gothic"/>
          <w:b/>
          <w:bCs/>
        </w:rPr>
        <w:t>Razones de la respuesta:</w:t>
      </w:r>
    </w:p>
    <w:p w14:paraId="6A0BA861" w14:textId="77777777" w:rsidR="00D67D63" w:rsidRPr="00264C5B" w:rsidRDefault="00D67D63" w:rsidP="00D67D63">
      <w:pPr>
        <w:spacing w:after="0" w:line="240" w:lineRule="auto"/>
        <w:jc w:val="both"/>
        <w:rPr>
          <w:rFonts w:ascii="Verdana" w:eastAsia="Calibri" w:hAnsi="Verdana" w:cs="Arial"/>
          <w:color w:val="7030A0"/>
          <w:lang w:val="es-ES"/>
        </w:rPr>
      </w:pPr>
    </w:p>
    <w:p w14:paraId="5C47768A" w14:textId="77777777" w:rsidR="00D67D63" w:rsidRDefault="00D67D63" w:rsidP="00D67D63">
      <w:pPr>
        <w:spacing w:after="0" w:line="240" w:lineRule="auto"/>
        <w:jc w:val="both"/>
        <w:rPr>
          <w:rFonts w:ascii="Verdana" w:eastAsia="Calibri" w:hAnsi="Verdana" w:cs="Arial"/>
          <w:lang w:val="es-ES"/>
        </w:rPr>
      </w:pPr>
      <w:r w:rsidRPr="00264C5B">
        <w:rPr>
          <w:rFonts w:ascii="Verdana" w:eastAsia="Calibri" w:hAnsi="Verdana" w:cs="Arial"/>
          <w:lang w:val="es-ES"/>
        </w:rPr>
        <w:t>Lo anterior se sustenta en las siguientes consideraciones:</w:t>
      </w:r>
    </w:p>
    <w:p w14:paraId="3C9B7C27" w14:textId="77777777" w:rsidR="00D67D63" w:rsidRDefault="00D67D63" w:rsidP="00D67D63">
      <w:pPr>
        <w:spacing w:after="0" w:line="240" w:lineRule="auto"/>
        <w:jc w:val="both"/>
        <w:rPr>
          <w:rFonts w:ascii="Verdana" w:eastAsia="Calibri" w:hAnsi="Verdana" w:cs="Arial"/>
          <w:lang w:val="es-ES"/>
        </w:rPr>
      </w:pPr>
    </w:p>
    <w:p w14:paraId="33F6ACD9" w14:textId="77777777" w:rsidR="00D67D63" w:rsidRPr="001157F6" w:rsidRDefault="00D67D63" w:rsidP="00D67D63">
      <w:pPr>
        <w:spacing w:line="276" w:lineRule="auto"/>
        <w:jc w:val="both"/>
        <w:rPr>
          <w:rFonts w:ascii="Verdana" w:eastAsia="Calibri" w:hAnsi="Verdana" w:cs="Arial"/>
          <w:color w:val="000000"/>
          <w:lang w:val="es-ES_tradnl" w:eastAsia="es-ES_tradnl"/>
        </w:rPr>
      </w:pPr>
      <w:r w:rsidRPr="001157F6">
        <w:rPr>
          <w:rFonts w:ascii="Verdana" w:eastAsia="Calibri" w:hAnsi="Verdana" w:cs="Arial"/>
          <w:color w:val="000000"/>
          <w:lang w:val="es-ES_tradnl" w:eastAsia="es-ES_tradnl"/>
        </w:rPr>
        <w:t xml:space="preserve">En la contratación estatal la </w:t>
      </w:r>
      <w:r w:rsidRPr="008D4E30">
        <w:rPr>
          <w:rFonts w:ascii="Verdana" w:eastAsia="Calibri" w:hAnsi="Verdana" w:cs="Arial"/>
          <w:color w:val="000000"/>
          <w:lang w:val="es-ES_tradnl" w:eastAsia="es-ES_tradnl"/>
        </w:rPr>
        <w:t>capacidad</w:t>
      </w:r>
      <w:r w:rsidRPr="001157F6">
        <w:rPr>
          <w:rFonts w:ascii="Verdana" w:eastAsia="Calibri" w:hAnsi="Verdana" w:cs="Arial"/>
          <w:color w:val="000000"/>
          <w:lang w:val="es-ES_tradnl" w:eastAsia="es-ES_tradnl"/>
        </w:rPr>
        <w:t xml:space="preserve"> también es un requisito de validez de los contratos, tanto en el régimen de las entidades sujetas al Estatuto General de Contratación de la Administración Pública</w:t>
      </w:r>
      <w:r w:rsidRPr="001157F6">
        <w:rPr>
          <w:rFonts w:ascii="Verdana" w:eastAsia="Calibri" w:hAnsi="Verdana" w:cs="Arial"/>
          <w:color w:val="000000"/>
          <w:vertAlign w:val="superscript"/>
          <w:lang w:val="es-ES_tradnl" w:eastAsia="es-ES_tradnl"/>
        </w:rPr>
        <w:footnoteReference w:id="1"/>
      </w:r>
      <w:r w:rsidRPr="001157F6">
        <w:rPr>
          <w:rFonts w:ascii="Verdana" w:eastAsia="Calibri" w:hAnsi="Verdana" w:cs="Arial"/>
          <w:color w:val="000000"/>
          <w:lang w:val="es-ES_tradnl" w:eastAsia="es-ES_tradnl"/>
        </w:rPr>
        <w:t xml:space="preserve"> como en el de las entidades exceptuadas de aquel</w:t>
      </w:r>
      <w:r w:rsidRPr="001157F6">
        <w:rPr>
          <w:rFonts w:ascii="Verdana" w:eastAsia="Calibri" w:hAnsi="Verdana" w:cs="Arial"/>
          <w:color w:val="000000"/>
          <w:vertAlign w:val="superscript"/>
          <w:lang w:val="es-ES_tradnl" w:eastAsia="es-ES_tradnl"/>
        </w:rPr>
        <w:footnoteReference w:id="2"/>
      </w:r>
      <w:r w:rsidRPr="001157F6">
        <w:rPr>
          <w:rFonts w:ascii="Verdana" w:eastAsia="Calibri" w:hAnsi="Verdana" w:cs="Arial"/>
          <w:color w:val="000000"/>
          <w:lang w:val="es-ES_tradnl" w:eastAsia="es-ES_tradnl"/>
        </w:rPr>
        <w:t>.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w:t>
      </w:r>
      <w:r w:rsidRPr="001157F6">
        <w:rPr>
          <w:rFonts w:ascii="Verdana" w:eastAsia="Calibri" w:hAnsi="Verdana" w:cs="Arial"/>
          <w:color w:val="000000"/>
          <w:vertAlign w:val="superscript"/>
          <w:lang w:val="es-ES_tradnl" w:eastAsia="es-ES_tradnl"/>
        </w:rPr>
        <w:footnoteReference w:id="3"/>
      </w:r>
      <w:r w:rsidRPr="001157F6">
        <w:rPr>
          <w:rFonts w:ascii="Verdana" w:eastAsia="Calibri" w:hAnsi="Verdana" w:cs="Arial"/>
          <w:color w:val="000000"/>
          <w:lang w:val="es-ES_tradnl" w:eastAsia="es-ES_tradnl"/>
        </w:rPr>
        <w:t>–</w:t>
      </w:r>
      <w:r w:rsidRPr="001157F6">
        <w:rPr>
          <w:rFonts w:ascii="Verdana" w:eastAsia="Calibri" w:hAnsi="Verdana" w:cs="Arial"/>
          <w:color w:val="000000"/>
          <w:lang w:val="es-ES_tradnl" w:eastAsia="es-ES_tradnl"/>
        </w:rPr>
        <w:lastRenderedPageBreak/>
        <w:t>, se destaca el régimen de inhabilidades e incompatibilidades como un conjunto de enunciados normativos que imponen restricciones para los sujetos que, eventualmente, pretendan participar en los procedimientos de selección o celebrar contratos con las entidades estatales</w:t>
      </w:r>
      <w:r w:rsidRPr="001157F6">
        <w:rPr>
          <w:rFonts w:ascii="Verdana" w:eastAsia="Calibri" w:hAnsi="Verdana" w:cs="Arial"/>
          <w:color w:val="000000"/>
          <w:vertAlign w:val="superscript"/>
          <w:lang w:val="es-ES_tradnl" w:eastAsia="es-ES_tradnl"/>
        </w:rPr>
        <w:footnoteReference w:id="4"/>
      </w:r>
      <w:r w:rsidRPr="001157F6">
        <w:rPr>
          <w:rFonts w:ascii="Verdana" w:eastAsia="Calibri" w:hAnsi="Verdana" w:cs="Arial"/>
          <w:color w:val="000000"/>
          <w:lang w:val="es-ES_tradnl" w:eastAsia="es-ES_tradnl"/>
        </w:rPr>
        <w:t>.</w:t>
      </w:r>
    </w:p>
    <w:p w14:paraId="1951E204" w14:textId="77777777" w:rsidR="00D67D63" w:rsidRDefault="00D67D63" w:rsidP="00D67D63">
      <w:pPr>
        <w:spacing w:before="120" w:after="120" w:line="276" w:lineRule="auto"/>
        <w:ind w:firstLine="709"/>
        <w:jc w:val="both"/>
        <w:rPr>
          <w:rFonts w:ascii="Verdana" w:eastAsia="Calibri" w:hAnsi="Verdana" w:cs="Arial"/>
          <w:color w:val="000000"/>
          <w:lang w:val="es-ES" w:eastAsia="es-ES"/>
        </w:rPr>
      </w:pPr>
      <w:r w:rsidRPr="4552CAB1">
        <w:rPr>
          <w:rFonts w:ascii="Verdana" w:eastAsia="Calibri" w:hAnsi="Verdana" w:cs="Arial"/>
          <w:color w:val="000000"/>
          <w:lang w:val="es-ES" w:eastAsia="es-ES"/>
        </w:rPr>
        <w:t>Las inhabilidades son prohibiciones para concurrir a los procedimientos de selección y para contratar con el Estado, que se derivan: i) de la existencia de comportamientos reprochables o de sanciones anteriormente impuestas</w:t>
      </w:r>
      <w:r w:rsidRPr="4552CAB1">
        <w:rPr>
          <w:rFonts w:ascii="Verdana" w:eastAsia="Calibri" w:hAnsi="Verdana" w:cs="Arial"/>
          <w:color w:val="000000"/>
          <w:vertAlign w:val="superscript"/>
          <w:lang w:val="es-ES" w:eastAsia="es-ES"/>
        </w:rPr>
        <w:footnoteReference w:id="5"/>
      </w:r>
      <w:r w:rsidRPr="4552CAB1">
        <w:rPr>
          <w:rFonts w:ascii="Verdana" w:eastAsia="Calibri" w:hAnsi="Verdana" w:cs="Arial"/>
          <w:color w:val="000000"/>
          <w:lang w:val="es-ES" w:eastAsia="es-ES"/>
        </w:rPr>
        <w:t>, ii) de vínculos personales relativos al parentesco o al estado civil</w:t>
      </w:r>
      <w:r w:rsidRPr="4552CAB1">
        <w:rPr>
          <w:rFonts w:ascii="Verdana" w:eastAsia="Calibri" w:hAnsi="Verdana" w:cs="Arial"/>
          <w:color w:val="000000"/>
          <w:vertAlign w:val="superscript"/>
          <w:lang w:val="es-ES" w:eastAsia="es-ES"/>
        </w:rPr>
        <w:footnoteReference w:id="6"/>
      </w:r>
      <w:r w:rsidRPr="4552CAB1">
        <w:rPr>
          <w:rFonts w:ascii="Verdana" w:eastAsia="Calibri" w:hAnsi="Verdana" w:cs="Arial"/>
          <w:color w:val="000000"/>
          <w:lang w:val="es-ES" w:eastAsia="es-ES"/>
        </w:rPr>
        <w:t xml:space="preserve"> o iii) de una </w:t>
      </w:r>
      <w:r w:rsidRPr="4552CAB1">
        <w:rPr>
          <w:rFonts w:ascii="Verdana" w:eastAsia="Calibri" w:hAnsi="Verdana" w:cs="Arial"/>
          <w:color w:val="000000"/>
          <w:lang w:val="es-ES" w:eastAsia="es-ES"/>
        </w:rPr>
        <w:lastRenderedPageBreak/>
        <w:t>actividad u oficio que se desempeñó en el pasado</w:t>
      </w:r>
      <w:r w:rsidRPr="4552CAB1">
        <w:rPr>
          <w:rFonts w:ascii="Verdana" w:eastAsia="Calibri" w:hAnsi="Verdana" w:cs="Arial"/>
          <w:color w:val="000000"/>
          <w:vertAlign w:val="superscript"/>
          <w:lang w:val="es-ES" w:eastAsia="es-ES"/>
        </w:rPr>
        <w:footnoteReference w:id="7"/>
      </w:r>
      <w:r w:rsidRPr="4552CAB1">
        <w:rPr>
          <w:rFonts w:ascii="Verdana" w:eastAsia="Calibri" w:hAnsi="Verdana" w:cs="Arial"/>
          <w:color w:val="000000"/>
          <w:lang w:val="es-ES" w:eastAsia="es-ES"/>
        </w:rPr>
        <w:t>. De otro lado, las incompatibilidades son prohibiciones para participar en los procedimientos de selección y para celebrar contratos estatales, fundadas en la calidad que ostenta el sujeto interesado en realizar alguna de dichas actividades, que no puede coexistir con su calidad de proponente o contratista del Estado</w:t>
      </w:r>
      <w:r w:rsidRPr="4552CAB1">
        <w:rPr>
          <w:rFonts w:ascii="Verdana" w:eastAsia="Calibri" w:hAnsi="Verdana" w:cs="Arial"/>
          <w:color w:val="000000"/>
          <w:vertAlign w:val="superscript"/>
          <w:lang w:val="es-ES" w:eastAsia="es-ES"/>
        </w:rPr>
        <w:footnoteReference w:id="8"/>
      </w:r>
      <w:r w:rsidRPr="4552CAB1">
        <w:rPr>
          <w:rFonts w:ascii="Verdana" w:eastAsia="Calibri" w:hAnsi="Verdana" w:cs="Arial"/>
          <w:color w:val="000000"/>
          <w:lang w:val="es-ES" w:eastAsia="es-ES"/>
        </w:rPr>
        <w:t xml:space="preserve">. </w:t>
      </w:r>
    </w:p>
    <w:p w14:paraId="75587D7B" w14:textId="77777777" w:rsidR="00D67D63" w:rsidRDefault="00D67D63" w:rsidP="00D67D63">
      <w:pPr>
        <w:spacing w:before="120" w:after="120" w:line="276" w:lineRule="auto"/>
        <w:ind w:firstLine="709"/>
        <w:jc w:val="both"/>
        <w:rPr>
          <w:rFonts w:ascii="Verdana" w:eastAsia="Calibri" w:hAnsi="Verdana" w:cs="Arial"/>
          <w:color w:val="000000"/>
          <w:lang w:val="es-ES" w:eastAsia="es-ES"/>
        </w:rPr>
      </w:pPr>
      <w:r w:rsidRPr="4552CAB1">
        <w:rPr>
          <w:rFonts w:ascii="Verdana" w:eastAsia="Calibri" w:hAnsi="Verdana" w:cs="Arial"/>
          <w:color w:val="000000"/>
          <w:lang w:val="es-ES" w:eastAsia="es-ES"/>
        </w:rPr>
        <w:t xml:space="preserve">El régimen de inhabilidades e incompatibilidades en la contratación pública responde a la tendencia, vigente desde hace varias décadas en nuestro país, pero que se ha reforzado en los últimos años, de asegurar que la actividad de provisión de los bienes y servicios por parte de las entidades estatales se efectúe cumpliendo con los principios de la función administrativa y de la gestión fiscal, especialmente con probidad y transparencia. Es por ello que, como lo ha destacado la doctrina, las inhabilidades e incompatibilidades se han convertido en herramientas en la lucha contra la corrupción, adoptando paulatinamente un </w:t>
      </w:r>
      <w:r w:rsidRPr="4552CAB1">
        <w:rPr>
          <w:rFonts w:ascii="Verdana" w:eastAsia="Calibri" w:hAnsi="Verdana" w:cs="Arial"/>
          <w:color w:val="000000"/>
          <w:lang w:val="es-ES" w:eastAsia="es-ES"/>
        </w:rPr>
        <w:lastRenderedPageBreak/>
        <w:t>cariz sancionatorio o “neopunitivo”</w:t>
      </w:r>
      <w:r w:rsidRPr="4552CAB1">
        <w:rPr>
          <w:rFonts w:ascii="Verdana" w:eastAsia="Calibri" w:hAnsi="Verdana" w:cs="Arial"/>
          <w:color w:val="000000"/>
          <w:vertAlign w:val="superscript"/>
          <w:lang w:val="es-ES" w:eastAsia="es-ES"/>
        </w:rPr>
        <w:footnoteReference w:id="9"/>
      </w:r>
      <w:r w:rsidRPr="4552CAB1">
        <w:rPr>
          <w:rFonts w:ascii="Verdana" w:eastAsia="Calibri" w:hAnsi="Verdana" w:cs="Arial"/>
          <w:color w:val="000000"/>
          <w:lang w:val="es-ES" w:eastAsia="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5ED2C334" w14:textId="77777777" w:rsidR="00D67D63" w:rsidRPr="00EC1259" w:rsidRDefault="00D67D63" w:rsidP="00D67D63">
      <w:pPr>
        <w:spacing w:before="120" w:after="120" w:line="276" w:lineRule="auto"/>
        <w:ind w:firstLine="709"/>
        <w:jc w:val="both"/>
        <w:rPr>
          <w:rFonts w:ascii="Verdana" w:eastAsia="Calibri" w:hAnsi="Verdana" w:cs="Arial"/>
          <w:color w:val="000000"/>
          <w:lang w:val="es-ES_tradnl" w:eastAsia="es-ES_tradnl"/>
        </w:rPr>
      </w:pPr>
      <w:r w:rsidRPr="002F166B">
        <w:rPr>
          <w:rFonts w:ascii="Verdana" w:eastAsia="Calibri" w:hAnsi="Verdana" w:cs="Arial"/>
          <w:color w:val="000000"/>
          <w:szCs w:val="24"/>
          <w:lang w:val="es-ES_tradnl" w:eastAsia="es-ES_tradnl"/>
        </w:rPr>
        <w:t>Ahora bien, las inhabilidades e incompatibilidades como ya se mencionó, al ser restricciones o límites especiales a la capacidad para presentar ofertas y celebrar contratos estatales, solo pueden tipificarse en la ley o sea, deben satisfacer el principio de legalidad y su interpretación debe ser restrictiva</w:t>
      </w:r>
      <w:r w:rsidRPr="002F166B">
        <w:rPr>
          <w:rFonts w:ascii="Verdana" w:eastAsia="Calibri" w:hAnsi="Verdana" w:cs="Arial"/>
          <w:color w:val="000000"/>
          <w:szCs w:val="24"/>
          <w:vertAlign w:val="superscript"/>
          <w:lang w:val="es-ES_tradnl" w:eastAsia="es-ES_tradnl"/>
        </w:rPr>
        <w:footnoteReference w:id="10"/>
      </w:r>
      <w:r w:rsidRPr="002F166B">
        <w:rPr>
          <w:rFonts w:ascii="Verdana" w:eastAsia="Calibri" w:hAnsi="Verdana" w:cs="Arial"/>
          <w:color w:val="000000"/>
          <w:szCs w:val="24"/>
          <w:lang w:val="es-ES_tradnl" w:eastAsia="es-ES_tradnl"/>
        </w:rPr>
        <w:t>, 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w:t>
      </w:r>
    </w:p>
    <w:p w14:paraId="569794E8" w14:textId="77777777" w:rsidR="00D67D63" w:rsidRDefault="00D67D63" w:rsidP="00D67D63">
      <w:pPr>
        <w:spacing w:before="120" w:after="120" w:line="276" w:lineRule="auto"/>
        <w:ind w:firstLine="709"/>
        <w:jc w:val="both"/>
        <w:rPr>
          <w:rFonts w:ascii="Verdana" w:eastAsia="Calibri" w:hAnsi="Verdana" w:cs="Arial"/>
          <w:color w:val="000000"/>
          <w:szCs w:val="24"/>
          <w:lang w:val="es-ES_tradnl" w:eastAsia="es-ES_tradnl"/>
        </w:rPr>
      </w:pPr>
      <w:r w:rsidRPr="002F166B">
        <w:rPr>
          <w:rFonts w:ascii="Verdana" w:eastAsia="Calibri" w:hAnsi="Verdana" w:cs="Arial"/>
          <w:color w:val="000000"/>
          <w:szCs w:val="24"/>
          <w:lang w:val="es-ES_tradnl" w:eastAsia="es-ES_tradnl"/>
        </w:rPr>
        <w:t>En efecto, el máximo tribunal constitucional ha indicado que, al precisar el sentido de este tipo de normas, “</w:t>
      </w:r>
      <w:r>
        <w:rPr>
          <w:rFonts w:ascii="Verdana" w:eastAsia="Calibri" w:hAnsi="Verdana" w:cs="Arial"/>
          <w:color w:val="000000"/>
          <w:szCs w:val="24"/>
          <w:lang w:val="es-ES_tradnl" w:eastAsia="es-ES_tradnl"/>
        </w:rPr>
        <w:t>(</w:t>
      </w:r>
      <w:r w:rsidRPr="002F166B">
        <w:rPr>
          <w:rFonts w:ascii="Verdana" w:eastAsia="Calibri" w:hAnsi="Verdana" w:cs="Arial"/>
          <w:color w:val="000000"/>
          <w:szCs w:val="24"/>
          <w:lang w:val="es-ES_tradnl" w:eastAsia="es-ES_tradnl"/>
        </w:rPr>
        <w:t>…</w:t>
      </w:r>
      <w:r>
        <w:rPr>
          <w:rFonts w:ascii="Verdana" w:eastAsia="Calibri" w:hAnsi="Verdana" w:cs="Arial"/>
          <w:color w:val="000000"/>
          <w:szCs w:val="24"/>
          <w:lang w:val="es-ES_tradnl" w:eastAsia="es-ES_tradnl"/>
        </w:rPr>
        <w:t>)</w:t>
      </w:r>
      <w:r w:rsidRPr="002F166B">
        <w:rPr>
          <w:rFonts w:ascii="Verdana" w:eastAsia="Calibri" w:hAnsi="Verdana" w:cs="Arial"/>
          <w:color w:val="000000"/>
          <w:szCs w:val="24"/>
          <w:lang w:val="es-ES_tradnl" w:eastAsia="es-ES_tradnl"/>
        </w:rPr>
        <w:t xml:space="preserve">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2F166B">
        <w:rPr>
          <w:rFonts w:ascii="Verdana" w:eastAsia="Calibri" w:hAnsi="Verdana" w:cs="Arial"/>
          <w:color w:val="000000"/>
          <w:szCs w:val="24"/>
          <w:vertAlign w:val="superscript"/>
          <w:lang w:val="es-ES_tradnl" w:eastAsia="es-ES_tradnl"/>
        </w:rPr>
        <w:footnoteReference w:id="11"/>
      </w:r>
      <w:r w:rsidRPr="002F166B">
        <w:rPr>
          <w:rFonts w:ascii="Verdana" w:eastAsia="Calibri" w:hAnsi="Verdana" w:cs="Arial"/>
          <w:color w:val="000000"/>
          <w:szCs w:val="24"/>
          <w:lang w:val="es-ES_tradnl" w:eastAsia="es-ES_tradnl"/>
        </w:rPr>
        <w:t xml:space="preserve">. Por su parte, el Consejo de Estado ha acogido también este criterio, considerando como expresa la Sala de Consulta y Servicio Civil que </w:t>
      </w:r>
      <w:r>
        <w:rPr>
          <w:rFonts w:ascii="Verdana" w:eastAsia="Calibri" w:hAnsi="Verdana" w:cs="Arial"/>
          <w:color w:val="000000"/>
          <w:szCs w:val="24"/>
          <w:lang w:val="es-ES_tradnl" w:eastAsia="es-ES_tradnl"/>
        </w:rPr>
        <w:t>l</w:t>
      </w:r>
      <w:r w:rsidRPr="002F166B">
        <w:rPr>
          <w:rFonts w:ascii="Verdana" w:eastAsia="Calibri" w:hAnsi="Verdana" w:cs="Arial"/>
          <w:color w:val="000000"/>
          <w:szCs w:val="24"/>
          <w:lang w:val="es-ES_tradnl" w:eastAsia="es-ES_tradnl"/>
        </w:rPr>
        <w:t xml:space="preserve">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w:t>
      </w:r>
      <w:r w:rsidRPr="002F166B">
        <w:rPr>
          <w:rFonts w:ascii="Verdana" w:eastAsia="Calibri" w:hAnsi="Verdana" w:cs="Arial"/>
          <w:color w:val="000000"/>
          <w:szCs w:val="24"/>
          <w:lang w:val="es-ES_tradnl" w:eastAsia="es-ES_tradnl"/>
        </w:rPr>
        <w:lastRenderedPageBreak/>
        <w:t>que no les esté expresamente prohibido</w:t>
      </w:r>
      <w:r w:rsidRPr="002F166B">
        <w:rPr>
          <w:rFonts w:ascii="Verdana" w:eastAsia="Calibri" w:hAnsi="Verdana" w:cs="Arial"/>
          <w:color w:val="000000"/>
          <w:szCs w:val="24"/>
          <w:vertAlign w:val="superscript"/>
          <w:lang w:val="es-ES_tradnl" w:eastAsia="es-ES_tradnl"/>
        </w:rPr>
        <w:footnoteReference w:id="12"/>
      </w:r>
      <w:r w:rsidRPr="002F166B">
        <w:rPr>
          <w:rFonts w:ascii="Verdana" w:eastAsia="Calibri" w:hAnsi="Verdana" w:cs="Arial"/>
          <w:color w:val="000000"/>
          <w:szCs w:val="24"/>
          <w:lang w:val="es-ES_tradnl" w:eastAsia="es-ES_tradnl"/>
        </w:rPr>
        <w:t>. En tal sentido, la Sección Tercera ha señalado que:</w:t>
      </w:r>
    </w:p>
    <w:p w14:paraId="10385B28" w14:textId="77777777" w:rsidR="00D67D63" w:rsidRPr="00EC1259" w:rsidRDefault="00D67D63" w:rsidP="00D67D63">
      <w:pPr>
        <w:spacing w:before="120" w:after="120" w:line="276" w:lineRule="auto"/>
        <w:ind w:left="709" w:right="709"/>
        <w:jc w:val="both"/>
        <w:rPr>
          <w:rFonts w:ascii="Verdana" w:eastAsia="Calibri" w:hAnsi="Verdana" w:cs="Arial"/>
          <w:color w:val="000000"/>
          <w:szCs w:val="24"/>
          <w:lang w:val="es-ES_tradnl" w:eastAsia="es-ES_tradnl"/>
        </w:rPr>
      </w:pPr>
      <w:r>
        <w:rPr>
          <w:rFonts w:ascii="Verdana" w:eastAsia="Times New Roman" w:hAnsi="Verdana" w:cs="Arial"/>
          <w:color w:val="000000"/>
          <w:sz w:val="20"/>
          <w:szCs w:val="20"/>
          <w:lang w:val="es-ES_tradnl" w:eastAsia="es-ES_tradnl"/>
        </w:rPr>
        <w:t>(</w:t>
      </w:r>
      <w:r w:rsidRPr="002F166B">
        <w:rPr>
          <w:rFonts w:ascii="Verdana" w:eastAsia="Times New Roman" w:hAnsi="Verdana" w:cs="Arial"/>
          <w:color w:val="000000"/>
          <w:sz w:val="20"/>
          <w:szCs w:val="20"/>
          <w:lang w:val="es-ES_tradnl" w:eastAsia="es-ES_tradnl"/>
        </w:rPr>
        <w:t>…</w:t>
      </w:r>
      <w:r>
        <w:rPr>
          <w:rFonts w:ascii="Verdana" w:eastAsia="Times New Roman" w:hAnsi="Verdana" w:cs="Arial"/>
          <w:color w:val="000000"/>
          <w:sz w:val="20"/>
          <w:szCs w:val="20"/>
          <w:lang w:val="es-ES_tradnl" w:eastAsia="es-ES_tradnl"/>
        </w:rPr>
        <w:t>)</w:t>
      </w:r>
      <w:r w:rsidRPr="002F166B">
        <w:rPr>
          <w:rFonts w:ascii="Verdana" w:eastAsia="Times New Roman" w:hAnsi="Verdana" w:cs="Arial"/>
          <w:color w:val="000000"/>
          <w:sz w:val="20"/>
          <w:szCs w:val="20"/>
          <w:lang w:val="es-ES_tradnl" w:eastAsia="es-ES_tradnl"/>
        </w:rPr>
        <w:t xml:space="preserve">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2F166B">
        <w:rPr>
          <w:rFonts w:ascii="Verdana" w:eastAsia="Times New Roman" w:hAnsi="Verdana" w:cs="Arial"/>
          <w:color w:val="000000"/>
          <w:sz w:val="20"/>
          <w:szCs w:val="20"/>
          <w:vertAlign w:val="superscript"/>
          <w:lang w:val="es-ES_tradnl" w:eastAsia="es-ES_tradnl"/>
        </w:rPr>
        <w:footnoteReference w:id="13"/>
      </w:r>
      <w:r w:rsidRPr="002F166B">
        <w:rPr>
          <w:rFonts w:ascii="Verdana" w:eastAsia="Times New Roman" w:hAnsi="Verdana" w:cs="Arial"/>
          <w:color w:val="000000"/>
          <w:sz w:val="20"/>
          <w:szCs w:val="20"/>
          <w:lang w:val="es-ES_tradnl" w:eastAsia="es-ES_tradnl"/>
        </w:rPr>
        <w:t>.</w:t>
      </w:r>
    </w:p>
    <w:p w14:paraId="5D0DBCF6" w14:textId="77777777" w:rsidR="00D67D63" w:rsidRPr="001A1E71" w:rsidRDefault="00D67D63" w:rsidP="00D67D63">
      <w:pPr>
        <w:spacing w:line="276" w:lineRule="auto"/>
        <w:jc w:val="both"/>
        <w:rPr>
          <w:rFonts w:ascii="Verdana" w:eastAsia="Calibri" w:hAnsi="Verdana" w:cs="Arial"/>
          <w:color w:val="000000"/>
          <w:szCs w:val="24"/>
          <w:lang w:val="es-ES_tradnl" w:eastAsia="es-ES_tradnl"/>
        </w:rPr>
      </w:pPr>
      <w:r w:rsidRPr="001A1E71">
        <w:rPr>
          <w:rFonts w:ascii="Verdana" w:eastAsia="Calibri" w:hAnsi="Verdana" w:cs="Arial"/>
          <w:color w:val="000000"/>
          <w:szCs w:val="24"/>
          <w:lang w:val="es-ES_tradnl" w:eastAsia="es-ES_tradnl"/>
        </w:rPr>
        <w:t>También ha dicho que:</w:t>
      </w:r>
    </w:p>
    <w:p w14:paraId="73170261" w14:textId="77777777" w:rsidR="00D67D63" w:rsidRDefault="00D67D63" w:rsidP="00D67D63">
      <w:pPr>
        <w:spacing w:before="120" w:after="120" w:line="276" w:lineRule="auto"/>
        <w:ind w:left="709" w:right="709"/>
        <w:jc w:val="both"/>
        <w:rPr>
          <w:rFonts w:ascii="Verdana" w:eastAsia="Times New Roman" w:hAnsi="Verdana" w:cs="Arial"/>
          <w:color w:val="000000"/>
          <w:sz w:val="20"/>
          <w:szCs w:val="20"/>
          <w:lang w:val="es-ES" w:eastAsia="es-ES"/>
        </w:rPr>
      </w:pPr>
      <w:r w:rsidRPr="4552CAB1">
        <w:rPr>
          <w:rFonts w:ascii="Verdana" w:eastAsia="Times New Roman" w:hAnsi="Verdana" w:cs="Arial"/>
          <w:color w:val="000000"/>
          <w:sz w:val="20"/>
          <w:szCs w:val="20"/>
          <w:lang w:val="es-ES" w:eastAsia="es-ES"/>
        </w:rPr>
        <w:t xml:space="preserve">(…) la aplicación de estos preceptos exige una interpretación restrictiva, dado que según el principio hermenéutico </w:t>
      </w:r>
      <w:r w:rsidRPr="4552CAB1">
        <w:rPr>
          <w:rFonts w:ascii="Verdana" w:eastAsia="Times New Roman" w:hAnsi="Verdana" w:cs="Arial"/>
          <w:i/>
          <w:color w:val="000000"/>
          <w:sz w:val="20"/>
          <w:szCs w:val="20"/>
          <w:lang w:val="es-ES" w:eastAsia="es-ES"/>
        </w:rPr>
        <w:t>pro libertate</w:t>
      </w:r>
      <w:r w:rsidRPr="4552CAB1">
        <w:rPr>
          <w:rFonts w:ascii="Verdana" w:eastAsia="Times New Roman" w:hAnsi="Verdana" w:cs="Arial"/>
          <w:color w:val="000000"/>
          <w:sz w:val="20"/>
          <w:szCs w:val="20"/>
          <w:lang w:val="es-ES" w:eastAsia="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4552CAB1">
        <w:rPr>
          <w:rFonts w:ascii="Verdana" w:eastAsia="Times New Roman" w:hAnsi="Verdana" w:cs="Arial"/>
          <w:color w:val="000000"/>
          <w:sz w:val="20"/>
          <w:szCs w:val="20"/>
          <w:vertAlign w:val="superscript"/>
          <w:lang w:val="es-ES" w:eastAsia="es-ES"/>
        </w:rPr>
        <w:footnoteReference w:id="14"/>
      </w:r>
      <w:r w:rsidRPr="4552CAB1">
        <w:rPr>
          <w:rFonts w:ascii="Verdana" w:eastAsia="Times New Roman" w:hAnsi="Verdana" w:cs="Arial"/>
          <w:color w:val="000000"/>
          <w:sz w:val="20"/>
          <w:szCs w:val="20"/>
          <w:lang w:val="es-ES" w:eastAsia="es-ES"/>
        </w:rPr>
        <w:t>.</w:t>
      </w:r>
    </w:p>
    <w:p w14:paraId="54C33B59" w14:textId="77777777" w:rsidR="00D67D63" w:rsidRDefault="00D67D63" w:rsidP="00D67D63">
      <w:pPr>
        <w:spacing w:before="120" w:after="120" w:line="276" w:lineRule="auto"/>
        <w:ind w:firstLine="709"/>
        <w:jc w:val="both"/>
        <w:rPr>
          <w:rFonts w:ascii="Verdana" w:eastAsia="Times New Roman" w:hAnsi="Verdana" w:cs="Arial"/>
          <w:color w:val="000000"/>
          <w:shd w:val="clear" w:color="auto" w:fill="FFFFFF"/>
          <w:lang w:val="es-ES" w:eastAsia="es-ES_tradnl"/>
        </w:rPr>
      </w:pPr>
      <w:r w:rsidRPr="002F166B">
        <w:rPr>
          <w:rFonts w:ascii="Verdana" w:eastAsia="Calibri" w:hAnsi="Verdana" w:cs="Arial"/>
          <w:color w:val="000000"/>
          <w:szCs w:val="24"/>
          <w:lang w:val="es-ES_tradnl" w:eastAsia="es-ES_tradnl"/>
        </w:rPr>
        <w:t xml:space="preserve">Como se aprecia, el principio </w:t>
      </w:r>
      <w:r w:rsidRPr="002F166B">
        <w:rPr>
          <w:rFonts w:ascii="Verdana" w:eastAsia="Calibri" w:hAnsi="Verdana" w:cs="Arial"/>
          <w:i/>
          <w:iCs/>
          <w:color w:val="000000"/>
          <w:szCs w:val="24"/>
          <w:lang w:val="es-ES_tradnl" w:eastAsia="es-ES_tradnl"/>
        </w:rPr>
        <w:t>pro libertate</w:t>
      </w:r>
      <w:r w:rsidRPr="002F166B">
        <w:rPr>
          <w:rFonts w:ascii="Verdana" w:eastAsia="Calibri" w:hAnsi="Verdana" w:cs="Arial"/>
          <w:color w:val="000000"/>
          <w:szCs w:val="24"/>
          <w:lang w:val="es-ES_tradnl" w:eastAsia="es-ES_tradnl"/>
        </w:rPr>
        <w:t xml:space="preserve"> es el que debe dirigir la interpretación de las disposiciones normativas que consagran restricciones de derechos, como sucede con las causales de inhabilidad e incompatibilidad en la contratación estatal. </w:t>
      </w:r>
      <w:r w:rsidRPr="002F166B">
        <w:rPr>
          <w:rFonts w:ascii="Verdana" w:eastAsia="Times New Roman" w:hAnsi="Verdana" w:cs="Arial"/>
          <w:color w:val="000000"/>
          <w:shd w:val="clear" w:color="auto" w:fill="FFFFFF"/>
          <w:lang w:val="es-ES" w:eastAsia="es-ES_tradnl"/>
        </w:rPr>
        <w:t>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60C8A5C3" w14:textId="77777777" w:rsidR="00D67D63" w:rsidRPr="003F4FB4" w:rsidRDefault="00D67D63" w:rsidP="00D67D63">
      <w:pPr>
        <w:spacing w:before="120" w:after="120" w:line="276" w:lineRule="auto"/>
        <w:ind w:firstLine="709"/>
        <w:jc w:val="both"/>
        <w:rPr>
          <w:rFonts w:ascii="Verdana" w:eastAsia="Times New Roman" w:hAnsi="Verdana" w:cs="Arial"/>
          <w:color w:val="000000"/>
          <w:shd w:val="clear" w:color="auto" w:fill="FFFFFF"/>
          <w:lang w:val="es-ES" w:eastAsia="es-ES_tradnl"/>
        </w:rPr>
      </w:pPr>
      <w:r>
        <w:rPr>
          <w:rFonts w:ascii="Verdana" w:eastAsia="Times New Roman" w:hAnsi="Verdana" w:cs="Arial"/>
          <w:color w:val="000000"/>
          <w:shd w:val="clear" w:color="auto" w:fill="FFFFFF"/>
          <w:lang w:val="es-ES" w:eastAsia="es-ES_tradnl"/>
        </w:rPr>
        <w:t xml:space="preserve">En ese orden de ideas, </w:t>
      </w:r>
      <w:r w:rsidRPr="0022076A">
        <w:rPr>
          <w:rFonts w:ascii="Verdana" w:eastAsia="Calibri" w:hAnsi="Verdana" w:cs="Arial"/>
          <w:color w:val="000000"/>
          <w:lang w:val="es-ES_tradnl" w:eastAsia="es-ES_tradnl"/>
        </w:rPr>
        <w:t xml:space="preserve">La Ley 1474 de 2011, “Por la cual se dictan normas orientadas a fortalecer los mecanismos de prevención, investigación y sanción de actos de corrupción y la efectividad del control de la gestión pública”, prevé en el artículo 4 una restricción que prohíbe a los exempleados públicos celebrar contratos estatales tras la dejación del cargo, en un ámbito y en un período </w:t>
      </w:r>
      <w:r w:rsidRPr="0022076A">
        <w:rPr>
          <w:rFonts w:ascii="Verdana" w:eastAsia="Calibri" w:hAnsi="Verdana" w:cs="Arial"/>
          <w:color w:val="000000"/>
          <w:lang w:val="es-ES_tradnl" w:eastAsia="es-ES_tradnl"/>
        </w:rPr>
        <w:lastRenderedPageBreak/>
        <w:t>definidos por el legislador, extendiendo la prohibición a algunos otros sujetos vinculados a estos. La norma establece:</w:t>
      </w:r>
    </w:p>
    <w:p w14:paraId="0C8C2147" w14:textId="77777777" w:rsidR="00D67D63" w:rsidRPr="0022076A" w:rsidRDefault="00D67D63" w:rsidP="00D67D63">
      <w:pPr>
        <w:ind w:left="709" w:right="709"/>
        <w:jc w:val="both"/>
        <w:rPr>
          <w:rFonts w:ascii="Verdana" w:eastAsia="Calibri" w:hAnsi="Verdana" w:cs="Arial"/>
          <w:color w:val="000000"/>
          <w:sz w:val="20"/>
          <w:szCs w:val="20"/>
          <w:lang w:val="es-ES_tradnl" w:eastAsia="es-ES_tradnl"/>
        </w:rPr>
      </w:pPr>
      <w:r w:rsidRPr="0022076A">
        <w:rPr>
          <w:rFonts w:ascii="Verdana" w:eastAsia="Calibri" w:hAnsi="Verdana" w:cs="Arial"/>
          <w:color w:val="000000"/>
          <w:sz w:val="20"/>
          <w:szCs w:val="20"/>
          <w:lang w:val="es-ES_tradnl" w:eastAsia="es-ES_tradnl"/>
        </w:rPr>
        <w:t>Adiciónese un literal f) al numeral 2 del artículo 8o de la Ley 80 de 1993, el cual quedará así:</w:t>
      </w:r>
    </w:p>
    <w:p w14:paraId="76E568CC" w14:textId="77777777" w:rsidR="00D67D63" w:rsidRPr="0022076A" w:rsidRDefault="00D67D63" w:rsidP="00D67D63">
      <w:pPr>
        <w:ind w:left="709" w:right="709"/>
        <w:jc w:val="both"/>
        <w:rPr>
          <w:rFonts w:ascii="Verdana" w:eastAsia="Calibri" w:hAnsi="Verdana" w:cs="Arial"/>
          <w:color w:val="000000"/>
          <w:sz w:val="20"/>
          <w:szCs w:val="20"/>
          <w:lang w:val="es-ES_tradnl" w:eastAsia="es-ES_tradnl"/>
        </w:rPr>
      </w:pPr>
      <w:r w:rsidRPr="0022076A">
        <w:rPr>
          <w:rFonts w:ascii="Verdana" w:eastAsia="Calibri" w:hAnsi="Verdana" w:cs="Arial"/>
          <w:color w:val="000000"/>
          <w:sz w:val="20"/>
          <w:szCs w:val="20"/>
          <w:lang w:val="es-ES_tradnl" w:eastAsia="es-ES_tradnl"/>
        </w:rPr>
        <w:t>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w:t>
      </w:r>
    </w:p>
    <w:p w14:paraId="59F2494D" w14:textId="77777777" w:rsidR="00D67D63" w:rsidRDefault="00D67D63" w:rsidP="00D67D63">
      <w:pPr>
        <w:ind w:left="709" w:right="709"/>
        <w:jc w:val="both"/>
        <w:rPr>
          <w:rFonts w:ascii="Verdana" w:eastAsia="Calibri" w:hAnsi="Verdana" w:cs="Arial"/>
          <w:color w:val="000000"/>
          <w:sz w:val="20"/>
          <w:szCs w:val="20"/>
          <w:lang w:val="es-ES" w:eastAsia="es-ES"/>
        </w:rPr>
      </w:pPr>
      <w:r w:rsidRPr="4552CAB1">
        <w:rPr>
          <w:rFonts w:ascii="Verdana" w:eastAsia="Calibri" w:hAnsi="Verdana" w:cs="Arial"/>
          <w:color w:val="000000" w:themeColor="text1"/>
          <w:sz w:val="20"/>
          <w:szCs w:val="20"/>
          <w:lang w:val="es-ES" w:eastAsia="es-ES"/>
        </w:rPr>
        <w:t>Esta incompatibilidad también operará para las personas que se encuentren dentro del primer grado de consanguinidad, primero de afinidad, o primero civil del ex empleado público.</w:t>
      </w:r>
    </w:p>
    <w:p w14:paraId="3EF2FE17" w14:textId="77777777" w:rsidR="00D67D63" w:rsidRDefault="00D67D63" w:rsidP="00D67D63">
      <w:pPr>
        <w:spacing w:before="120" w:after="120" w:line="276" w:lineRule="auto"/>
        <w:ind w:firstLine="709"/>
        <w:jc w:val="both"/>
        <w:rPr>
          <w:rFonts w:ascii="Verdana" w:eastAsia="Calibri" w:hAnsi="Verdana" w:cs="Arial"/>
          <w:color w:val="000000"/>
          <w:lang w:val="es-ES_tradnl" w:eastAsia="es-ES_tradnl"/>
        </w:rPr>
      </w:pPr>
      <w:r w:rsidRPr="0022076A">
        <w:rPr>
          <w:rFonts w:ascii="Verdana" w:eastAsia="Calibri" w:hAnsi="Verdana" w:cs="Arial"/>
          <w:color w:val="000000"/>
          <w:lang w:val="es-ES_tradnl" w:eastAsia="es-ES_tradnl"/>
        </w:rPr>
        <w:t>Como se observa, esta disposición normativa prevé una restricción para la contratación estatal, compuesta por los siguientes elementos:</w:t>
      </w:r>
    </w:p>
    <w:p w14:paraId="0B0AA082" w14:textId="77777777" w:rsidR="00D67D63" w:rsidRDefault="00D67D63" w:rsidP="00D67D63">
      <w:pPr>
        <w:spacing w:before="120" w:after="120" w:line="276" w:lineRule="auto"/>
        <w:ind w:firstLine="709"/>
        <w:jc w:val="both"/>
        <w:rPr>
          <w:rFonts w:ascii="Verdana" w:eastAsia="Calibri" w:hAnsi="Verdana" w:cs="Arial"/>
          <w:color w:val="000000"/>
          <w:lang w:val="es-ES_tradnl" w:eastAsia="es-ES_tradnl"/>
        </w:rPr>
      </w:pPr>
      <w:r w:rsidRPr="00E40972">
        <w:rPr>
          <w:rFonts w:ascii="Verdana" w:eastAsia="Calibri" w:hAnsi="Verdana" w:cs="Arial"/>
          <w:color w:val="000000"/>
          <w:lang w:val="es-ES_tradnl" w:eastAsia="es-ES_tradnl"/>
        </w:rPr>
        <w:t>Sus destinatarios. Es decir, los sujetos en los que radica la prohibición son: a) las personas naturales que hayan ejercido cargos en el nivel directivo en las entidades estatales a quienes el segundo inciso califica como exempleados públicos, b) las</w:t>
      </w:r>
      <w:r w:rsidRPr="0022076A">
        <w:rPr>
          <w:rFonts w:ascii="Verdana" w:eastAsia="Calibri" w:hAnsi="Verdana" w:cs="Arial"/>
          <w:color w:val="000000"/>
          <w:lang w:val="es-ES_tradnl" w:eastAsia="es-ES_tradnl"/>
        </w:rPr>
        <w:t xml:space="preserve"> sociedades de las cuales dichos exempleados públicos hagan parte o estén vinculados a cualquier título, y </w:t>
      </w:r>
      <w:r w:rsidRPr="00E40972">
        <w:rPr>
          <w:rFonts w:ascii="Verdana" w:eastAsia="Calibri" w:hAnsi="Verdana" w:cs="Arial"/>
          <w:color w:val="000000"/>
          <w:lang w:val="es-ES_tradnl" w:eastAsia="es-ES_tradnl"/>
        </w:rPr>
        <w:t>c) sus parientes dentro del primer grado de consanguinidad, primero de afinidad o primero civil. También cabe destacar que la norma en comento dice que a estos sujetos les aplica la prohibición cuando pretendan contratar directa o indirectamente; lo que implica que no pueden valerse de intermediarios para intentar eludir esta restricción.</w:t>
      </w:r>
    </w:p>
    <w:p w14:paraId="31BC6123" w14:textId="77777777" w:rsidR="00D67D63" w:rsidRDefault="00D67D63" w:rsidP="00D67D63">
      <w:pPr>
        <w:spacing w:before="120" w:after="120" w:line="276" w:lineRule="auto"/>
        <w:ind w:firstLine="709"/>
        <w:jc w:val="both"/>
        <w:rPr>
          <w:rFonts w:ascii="Verdana" w:eastAsia="Calibri" w:hAnsi="Verdana" w:cs="Arial"/>
          <w:color w:val="000000"/>
          <w:lang w:val="es-ES_tradnl" w:eastAsia="es-ES_tradnl"/>
        </w:rPr>
      </w:pPr>
      <w:r w:rsidRPr="0022076A">
        <w:rPr>
          <w:rFonts w:ascii="Verdana" w:eastAsia="Calibri" w:hAnsi="Verdana" w:cs="Arial"/>
          <w:color w:val="000000"/>
          <w:lang w:val="es-ES_tradnl" w:eastAsia="es-ES_tradnl"/>
        </w:rPr>
        <w:t>Ahora bien, la Corte Constitucional, en la Sentencia C-257 del 7 de mayo de 2013</w:t>
      </w:r>
      <w:r w:rsidRPr="0022076A">
        <w:rPr>
          <w:rFonts w:ascii="Verdana" w:eastAsia="Calibri" w:hAnsi="Verdana" w:cs="Arial"/>
          <w:color w:val="000000"/>
          <w:vertAlign w:val="superscript"/>
          <w:lang w:val="es-ES_tradnl" w:eastAsia="es-ES_tradnl"/>
        </w:rPr>
        <w:footnoteReference w:id="15"/>
      </w:r>
      <w:r w:rsidRPr="0022076A">
        <w:rPr>
          <w:rFonts w:ascii="Verdana" w:eastAsia="Calibri" w:hAnsi="Verdana" w:cs="Arial"/>
          <w:color w:val="000000"/>
          <w:lang w:val="es-ES_tradnl" w:eastAsia="es-ES_tradnl"/>
        </w:rPr>
        <w:t xml:space="preserve">, hizo una importante precisión en relación con las </w:t>
      </w:r>
      <w:r w:rsidRPr="00E40972">
        <w:rPr>
          <w:rFonts w:ascii="Verdana" w:eastAsia="Calibri" w:hAnsi="Verdana" w:cs="Arial"/>
          <w:color w:val="000000"/>
          <w:lang w:val="es-ES_tradnl" w:eastAsia="es-ES_tradnl"/>
        </w:rPr>
        <w:t>sociedades</w:t>
      </w:r>
      <w:r w:rsidRPr="0022076A">
        <w:rPr>
          <w:rFonts w:ascii="Verdana" w:eastAsia="Calibri" w:hAnsi="Verdana" w:cs="Arial"/>
          <w:color w:val="000000"/>
          <w:lang w:val="es-ES_tradnl" w:eastAsia="es-ES_tradnl"/>
        </w:rPr>
        <w:t>, como sujetos pasivos de la prohibición, en el sentido de que se debe tener en cuenta el nivel de influencia que puede ostentar el exempleado público o sus parientes, en los grados señalados en el artículo 4 de la Ley 1474 de 2011, para determinar si la restricción aplica o no al tipo societario. En tal sentido, el máximo tribunal indicó:</w:t>
      </w:r>
    </w:p>
    <w:p w14:paraId="22E74140" w14:textId="77777777" w:rsidR="00D67D63" w:rsidRDefault="00D67D63" w:rsidP="00D67D63">
      <w:pPr>
        <w:ind w:left="709" w:right="709"/>
        <w:jc w:val="both"/>
        <w:rPr>
          <w:rFonts w:ascii="Verdana" w:eastAsia="Calibri" w:hAnsi="Verdana" w:cs="Arial"/>
          <w:color w:val="000000"/>
          <w:sz w:val="20"/>
          <w:szCs w:val="20"/>
          <w:lang w:val="es-ES" w:eastAsia="es-ES"/>
        </w:rPr>
      </w:pPr>
      <w:r w:rsidRPr="4552CAB1">
        <w:rPr>
          <w:rFonts w:ascii="Verdana" w:eastAsia="Calibri" w:hAnsi="Verdana" w:cs="Arial"/>
          <w:color w:val="000000" w:themeColor="text1"/>
          <w:sz w:val="20"/>
          <w:szCs w:val="20"/>
          <w:lang w:val="es-ES" w:eastAsia="es-ES"/>
        </w:rPr>
        <w:t xml:space="preserve">“(…) tratándose de sociedades anónimas por acciones, dadas sus características esenciales, la restricción no podría aplicarse, pues en estos casos no existe posibilidad de control sobre los accionistas que puedan acceder a la compra de acciones, y que lo pueden hacer con plena libertad, incluso en el mercado bursátil abierto, en razón de la capacidad económica y voluntad del inversionista y no por sus condiciones personales y de </w:t>
      </w:r>
      <w:r w:rsidRPr="4552CAB1">
        <w:rPr>
          <w:rFonts w:ascii="Verdana" w:eastAsia="Calibri" w:hAnsi="Verdana" w:cs="Arial"/>
          <w:color w:val="000000" w:themeColor="text1"/>
          <w:sz w:val="20"/>
          <w:szCs w:val="20"/>
          <w:lang w:val="es-ES" w:eastAsia="es-ES"/>
        </w:rPr>
        <w:lastRenderedPageBreak/>
        <w:t xml:space="preserve">manera particular por su condición de ex servidor público. Esta circunstancia de suyo no implica que la norma deba ser declarada inconstitucional o la necesidad de que la Corte profiera una sentencia condicionada, pues de lo que se trata en este caso es de fijar el alcance material de la proposición normativa objeto de control. </w:t>
      </w:r>
    </w:p>
    <w:p w14:paraId="1CBEFD4F" w14:textId="77777777" w:rsidR="00D67D63" w:rsidRPr="00E40972" w:rsidRDefault="00D67D63" w:rsidP="00D67D63">
      <w:pPr>
        <w:ind w:left="709" w:right="709"/>
        <w:jc w:val="both"/>
        <w:rPr>
          <w:rFonts w:ascii="Verdana" w:eastAsia="Calibri" w:hAnsi="Verdana" w:cs="Arial"/>
          <w:color w:val="000000"/>
          <w:sz w:val="20"/>
          <w:szCs w:val="20"/>
          <w:lang w:val="es-ES_tradnl" w:eastAsia="es-ES_tradnl"/>
        </w:rPr>
      </w:pPr>
      <w:r w:rsidRPr="00E40972">
        <w:rPr>
          <w:rFonts w:ascii="Verdana" w:eastAsia="Calibri" w:hAnsi="Verdana" w:cs="Arial"/>
          <w:color w:val="000000"/>
          <w:sz w:val="20"/>
          <w:szCs w:val="20"/>
          <w:lang w:val="es-ES_tradnl" w:eastAsia="es-ES_tradnl"/>
        </w:rPr>
        <w:t>“Para la Corte es claro que la prohibición establecida en el artículo 4 de la ley 1474 de 2011, que adiciona el literal F al numeral 2 del artículo 8 de la Ley 80 de 1993, no aplica respecto de aquellos tipos societarios en donde la forma de vinculación de los socios hace imposible un control directo y efectivo sobre su ingreso y sobre las calidades personales de los mismos.</w:t>
      </w:r>
    </w:p>
    <w:p w14:paraId="660876FF" w14:textId="77777777" w:rsidR="00D67D63" w:rsidRDefault="00D67D63" w:rsidP="00D67D63">
      <w:pPr>
        <w:ind w:left="709" w:right="709"/>
        <w:jc w:val="both"/>
        <w:rPr>
          <w:rFonts w:ascii="Verdana" w:eastAsia="Calibri" w:hAnsi="Verdana" w:cs="Arial"/>
          <w:color w:val="000000"/>
          <w:sz w:val="20"/>
          <w:szCs w:val="20"/>
          <w:lang w:val="es-ES" w:eastAsia="es-ES"/>
        </w:rPr>
      </w:pPr>
      <w:r w:rsidRPr="4552CAB1">
        <w:rPr>
          <w:rFonts w:ascii="Verdana" w:eastAsia="Calibri" w:hAnsi="Verdana" w:cs="Arial"/>
          <w:color w:val="000000" w:themeColor="text1"/>
          <w:sz w:val="20"/>
          <w:szCs w:val="20"/>
          <w:lang w:val="es-ES" w:eastAsia="es-ES"/>
        </w:rPr>
        <w:t>“Esta hipó tesis es distinta, se aclara, a la del ex servidor público que tiene la condición de directivo o representante legal de este tipo de sociedades y pretende en nombre de aquella contratar con la entidad a la cual estuvo vinculado y cuyo objeto tenga relación con las funciones públicas que desempeñó”.</w:t>
      </w:r>
    </w:p>
    <w:p w14:paraId="6DC9F06C" w14:textId="77777777" w:rsidR="00D67D63" w:rsidRDefault="00D67D63" w:rsidP="00D67D63">
      <w:pPr>
        <w:spacing w:before="120" w:after="120" w:line="276" w:lineRule="auto"/>
        <w:ind w:firstLine="709"/>
        <w:jc w:val="both"/>
        <w:rPr>
          <w:rFonts w:ascii="Verdana" w:eastAsia="Calibri" w:hAnsi="Verdana" w:cs="Arial"/>
          <w:color w:val="000000"/>
          <w:lang w:val="es-ES_tradnl" w:eastAsia="es-ES_tradnl"/>
        </w:rPr>
      </w:pPr>
      <w:r w:rsidRPr="00E40972">
        <w:rPr>
          <w:rFonts w:ascii="Verdana" w:eastAsia="Calibri" w:hAnsi="Verdana" w:cs="Arial"/>
          <w:color w:val="000000"/>
          <w:szCs w:val="24"/>
          <w:lang w:val="es-ES_tradnl" w:eastAsia="es-ES_tradnl"/>
        </w:rPr>
        <w:t>Más allá del lenguaje empleado por el legislador en torno a la consideración de inhabilidad o incompatibilidad de la causal analizada, lo importante es comprender el alcance de la restricción a la capacidad contractual prevista en la norma. En otras palabras, independientemente de la denominación, lo cierto es que luego de la dejación del cargo directivo en la entidad estatal, ni el exempleado público, ni las sociedades en las que haga parte con el matiz introducido por la Corte Constitucional, comentado previamente, ni sus parientes cercanos en las tipologías y grados referidos podrán contratar con la entidad en la cual aquel estuvo vinculado, ni con las demás del sector relacionado con el objeto del contrato.</w:t>
      </w:r>
    </w:p>
    <w:p w14:paraId="77194CA0" w14:textId="77777777" w:rsidR="00D67D63" w:rsidRPr="003E006C" w:rsidRDefault="00D67D63" w:rsidP="00D67D63">
      <w:pPr>
        <w:spacing w:before="120" w:after="120" w:line="276" w:lineRule="auto"/>
        <w:ind w:firstLine="709"/>
        <w:jc w:val="both"/>
        <w:rPr>
          <w:rFonts w:ascii="Verdana" w:eastAsia="Calibri" w:hAnsi="Verdana" w:cs="Arial"/>
          <w:color w:val="000000"/>
          <w:lang w:val="es-ES" w:eastAsia="es-ES"/>
        </w:rPr>
      </w:pPr>
      <w:r w:rsidRPr="4552CAB1">
        <w:rPr>
          <w:rFonts w:ascii="Verdana" w:eastAsia="Calibri" w:hAnsi="Verdana" w:cs="Arial"/>
          <w:color w:val="000000" w:themeColor="text1"/>
          <w:lang w:val="es-ES" w:eastAsia="es-ES"/>
        </w:rPr>
        <w:t xml:space="preserve">La finalidad de la causal es evitar que las personas que han ejercido cargos directivos en las entidades estatales se valgan de esa circunstancia privilegiada para asegurarse para ellas, para las sociedades de las que hagan parte o para sus parientes cercanos un contrato con entidades del mismo sector una vez finalice su relación laboral. Así lo señaló la Corte Constitucional en la Sentencia C-257 de 2013 mencionada con anterioridad, en la cual se declaró exequible la norma que se analiza, es decir, el artículo 4 de la Ley 1474 de 2011, indicando que:  </w:t>
      </w:r>
    </w:p>
    <w:p w14:paraId="209D9DD3" w14:textId="77777777" w:rsidR="00D67D63" w:rsidRDefault="00D67D63" w:rsidP="00D67D63">
      <w:pPr>
        <w:ind w:left="709" w:right="709"/>
        <w:jc w:val="both"/>
        <w:rPr>
          <w:rFonts w:ascii="Verdana" w:eastAsia="Calibri" w:hAnsi="Verdana" w:cs="Arial"/>
          <w:color w:val="000000"/>
          <w:sz w:val="20"/>
          <w:szCs w:val="20"/>
          <w:lang w:val="es-ES_tradnl" w:eastAsia="es-ES_tradnl"/>
        </w:rPr>
      </w:pPr>
      <w:r w:rsidRPr="00E40972">
        <w:rPr>
          <w:rFonts w:ascii="Verdana" w:eastAsia="Calibri" w:hAnsi="Verdana" w:cs="Arial"/>
          <w:color w:val="000000"/>
          <w:sz w:val="20"/>
          <w:szCs w:val="20"/>
          <w:lang w:val="es-ES_tradnl" w:eastAsia="es-ES_tradnl"/>
        </w:rPr>
        <w:t xml:space="preserve"> “Es claro que la norma  señala que la inhabilidad se aplica  en relación con aquellos servidores públicos que desempeñaron funciones de dirección para  evitar  que puedan utilizar los vínculos, influencia y ascendencia que estos ex directivos –o sus familiares cercanos– puedan tener con la entidad y sus funcionarios encargados de los procesos de selección,  </w:t>
      </w:r>
      <w:r w:rsidRPr="00E40972">
        <w:rPr>
          <w:rFonts w:ascii="Verdana" w:eastAsia="Calibri" w:hAnsi="Verdana" w:cs="Arial"/>
          <w:color w:val="000000"/>
          <w:sz w:val="20"/>
          <w:szCs w:val="20"/>
          <w:lang w:val="es-ES_tradnl" w:eastAsia="es-ES_tradnl"/>
        </w:rPr>
        <w:lastRenderedPageBreak/>
        <w:t>precisamente por el rol de jerarquía y mando que ejerció, con lo cual se trata de poner a salvo los principios constitucionales de la administración pública ya referidos”</w:t>
      </w:r>
      <w:r w:rsidRPr="00E40972">
        <w:rPr>
          <w:rFonts w:ascii="Verdana" w:eastAsia="Calibri" w:hAnsi="Verdana" w:cs="Arial"/>
          <w:color w:val="000000"/>
          <w:sz w:val="20"/>
          <w:szCs w:val="20"/>
          <w:vertAlign w:val="superscript"/>
          <w:lang w:val="es-ES_tradnl" w:eastAsia="es-ES_tradnl"/>
        </w:rPr>
        <w:footnoteReference w:id="16"/>
      </w:r>
      <w:r w:rsidRPr="00E40972">
        <w:rPr>
          <w:rFonts w:ascii="Verdana" w:eastAsia="Calibri" w:hAnsi="Verdana" w:cs="Arial"/>
          <w:color w:val="000000"/>
          <w:sz w:val="20"/>
          <w:szCs w:val="20"/>
          <w:lang w:val="es-ES_tradnl" w:eastAsia="es-ES_tradnl"/>
        </w:rPr>
        <w:t>.</w:t>
      </w:r>
    </w:p>
    <w:p w14:paraId="59BC5954" w14:textId="77777777" w:rsidR="00D67D63" w:rsidRDefault="00D67D63" w:rsidP="00D67D63">
      <w:pPr>
        <w:spacing w:before="120" w:after="120" w:line="276" w:lineRule="auto"/>
        <w:ind w:firstLine="709"/>
        <w:jc w:val="both"/>
        <w:rPr>
          <w:rFonts w:ascii="Verdana" w:eastAsia="Calibri" w:hAnsi="Verdana" w:cs="Arial"/>
          <w:lang w:val="es-ES" w:eastAsia="es-ES"/>
        </w:rPr>
      </w:pPr>
      <w:r w:rsidRPr="4552CAB1">
        <w:rPr>
          <w:rFonts w:ascii="Verdana" w:eastAsia="Calibri" w:hAnsi="Verdana" w:cs="Arial"/>
          <w:color w:val="000000"/>
          <w:lang w:val="es-ES" w:eastAsia="es-ES"/>
        </w:rPr>
        <w:t xml:space="preserve">El objeto de la causal es prohibir la celebración de contratos estatales por parte de los sujetos indicados, “cuando el objeto que desarrollen tenga relación con el sector al cual prestaron sus servicios”. Es decir, la norma consagra un criterio mixto funcional y orgánico, pues alude a la relación del objeto contractual con el sector en el que los exempleados se desempeñaron. Aunque la causal no define el concepto sector, el contexto normativo en el que se ubica permite concluir que por aquel debe entenderse “sector administrativo”. Ello a partir de una “interpretación contextual” o “sistemática”. </w:t>
      </w:r>
      <w:r w:rsidRPr="4552CAB1">
        <w:rPr>
          <w:rFonts w:ascii="Verdana" w:eastAsia="Calibri" w:hAnsi="Verdana" w:cs="Arial"/>
          <w:lang w:val="es-ES" w:eastAsia="es-ES"/>
        </w:rPr>
        <w:t>Como dice Guastini, la interpretación literal suele ser una “(…) interpretación no contextual o a-contextual”</w:t>
      </w:r>
      <w:r w:rsidRPr="4552CAB1">
        <w:rPr>
          <w:rFonts w:ascii="Verdana" w:eastAsia="Calibri" w:hAnsi="Verdana" w:cs="Arial"/>
          <w:vertAlign w:val="superscript"/>
          <w:lang w:val="es-ES" w:eastAsia="es-ES"/>
        </w:rPr>
        <w:footnoteReference w:id="17"/>
      </w:r>
      <w:r w:rsidRPr="4552CAB1">
        <w:rPr>
          <w:rFonts w:ascii="Verdana" w:eastAsia="Calibri" w:hAnsi="Verdana" w:cs="Arial"/>
          <w:lang w:val="es-ES" w:eastAsia="es-ES"/>
        </w:rPr>
        <w:t>, es decir, una “(…) interpretación que, para acreditar el significado elegido (el significado “objetivo” del texto), no aduce más que las reglas semánticas y sintácticas de la lengua”</w:t>
      </w:r>
      <w:r w:rsidRPr="4552CAB1">
        <w:rPr>
          <w:rFonts w:ascii="Verdana" w:eastAsia="Calibri" w:hAnsi="Verdana" w:cs="Arial"/>
          <w:vertAlign w:val="superscript"/>
          <w:lang w:val="es-ES" w:eastAsia="es-ES"/>
        </w:rPr>
        <w:footnoteReference w:id="18"/>
      </w:r>
      <w:r w:rsidRPr="4552CAB1">
        <w:rPr>
          <w:rFonts w:ascii="Verdana" w:eastAsia="Calibri" w:hAnsi="Verdana" w:cs="Arial"/>
          <w:lang w:val="es-ES" w:eastAsia="es-ES"/>
        </w:rPr>
        <w:t>. Se diferencia de la “interpretación contextual”, es decir, de “(…) aquella interpretación que, para acreditar el significado elegido, aduce elementos extra-textuales”</w:t>
      </w:r>
      <w:r w:rsidRPr="4552CAB1">
        <w:rPr>
          <w:rFonts w:ascii="Verdana" w:eastAsia="Calibri" w:hAnsi="Verdana" w:cs="Arial"/>
          <w:vertAlign w:val="superscript"/>
          <w:lang w:val="es-ES" w:eastAsia="es-ES"/>
        </w:rPr>
        <w:footnoteReference w:id="19"/>
      </w:r>
      <w:r w:rsidRPr="4552CAB1">
        <w:rPr>
          <w:rFonts w:ascii="Verdana" w:eastAsia="Calibri" w:hAnsi="Verdana" w:cs="Arial"/>
          <w:lang w:val="es-ES" w:eastAsia="es-ES"/>
        </w:rPr>
        <w:t>, como, por ejemplo, los antecedentes legislativos. Una exigencia de la interpretación contextual es el argumento de “interpretación sistemática”. Al respecto, el mencionado autor señala:</w:t>
      </w:r>
    </w:p>
    <w:p w14:paraId="29BBD5C4" w14:textId="77777777" w:rsidR="00D67D63" w:rsidRDefault="00D67D63" w:rsidP="00D67D63">
      <w:pPr>
        <w:ind w:left="709" w:right="709"/>
        <w:jc w:val="both"/>
        <w:rPr>
          <w:rFonts w:ascii="Verdana" w:eastAsia="Calibri" w:hAnsi="Verdana" w:cs="Arial"/>
          <w:sz w:val="20"/>
          <w:szCs w:val="20"/>
          <w:lang w:val="es-ES_tradnl" w:eastAsia="es-ES_tradnl"/>
        </w:rPr>
      </w:pPr>
      <w:r w:rsidRPr="00C6544D">
        <w:rPr>
          <w:rFonts w:ascii="Verdana" w:eastAsia="Calibri" w:hAnsi="Verdana" w:cs="Arial"/>
          <w:sz w:val="20"/>
          <w:szCs w:val="20"/>
          <w:lang w:val="es-ES_tradnl" w:eastAsia="es-ES_tradnl"/>
        </w:rPr>
        <w:t xml:space="preserve"> “En la práctica, se usa un argumento de tipo sistemático siempre que, para acreditar la interpretación escogida, se alega no el texto de la disposición interpretada aisladamente considerada, sino algún elemento del contexto en el que la disposición está colocada. Tal contexto puede ser más o menos extenso: los otros apartados de un mismo artículo, los otros artículos de una misma ley, el conjunto de las leyes que se refieren a una misma materia, etc., hasta llegar a la totalidad de las disposiciones que componen un ordenamiento jurídico”</w:t>
      </w:r>
      <w:r w:rsidRPr="00C6544D">
        <w:rPr>
          <w:rFonts w:ascii="Verdana" w:eastAsia="Calibri" w:hAnsi="Verdana" w:cs="Arial"/>
          <w:sz w:val="20"/>
          <w:szCs w:val="20"/>
          <w:vertAlign w:val="superscript"/>
          <w:lang w:val="es-ES_tradnl" w:eastAsia="es-ES_tradnl"/>
        </w:rPr>
        <w:footnoteReference w:id="20"/>
      </w:r>
      <w:r w:rsidRPr="00C6544D">
        <w:rPr>
          <w:rFonts w:ascii="Verdana" w:eastAsia="Calibri" w:hAnsi="Verdana" w:cs="Arial"/>
          <w:sz w:val="20"/>
          <w:szCs w:val="20"/>
          <w:lang w:val="es-ES_tradnl" w:eastAsia="es-ES_tradnl"/>
        </w:rPr>
        <w:t>.</w:t>
      </w:r>
    </w:p>
    <w:p w14:paraId="26048969" w14:textId="77777777" w:rsidR="00D67D63" w:rsidRDefault="00D67D63" w:rsidP="00D67D63">
      <w:pPr>
        <w:spacing w:before="120" w:after="120" w:line="276" w:lineRule="auto"/>
        <w:ind w:firstLine="709"/>
        <w:jc w:val="both"/>
        <w:rPr>
          <w:rFonts w:ascii="Verdana" w:eastAsia="Calibri" w:hAnsi="Verdana" w:cs="Arial"/>
          <w:color w:val="000000"/>
          <w:lang w:val="es-ES_tradnl" w:eastAsia="es-ES_tradnl"/>
        </w:rPr>
      </w:pPr>
      <w:r w:rsidRPr="00C6544D">
        <w:rPr>
          <w:rFonts w:ascii="Verdana" w:eastAsia="Calibri" w:hAnsi="Verdana" w:cs="Arial"/>
          <w:lang w:val="es-ES_tradnl" w:eastAsia="es-ES_tradnl"/>
        </w:rPr>
        <w:lastRenderedPageBreak/>
        <w:t>El ordenamiento jurídico colombiano se acoge la posibilidad de la interpretación sistemática que es consecuencia, según se ha visto, de una interpretación contextual, cuando se presenten dudas en el sentido literal de un texto normativo. En esta línea, el artículo 30 del Código Civil señala que “El contexto de la ley servirá para ilustrar el sentido de cada una de sus partes, de manera que haya entre todas ellas la debida correspondencia y armonía” y que “Los pasajes oscuros de una ley pueden ser ilustrados por medio de otras leyes, particularmente si versan sobre el mismo asunto”</w:t>
      </w:r>
      <w:r w:rsidRPr="00C6544D">
        <w:rPr>
          <w:rFonts w:ascii="Verdana" w:eastAsia="Calibri" w:hAnsi="Verdana" w:cs="Arial"/>
          <w:vertAlign w:val="superscript"/>
          <w:lang w:val="es-ES_tradnl" w:eastAsia="es-ES_tradnl"/>
        </w:rPr>
        <w:footnoteReference w:id="21"/>
      </w:r>
      <w:r w:rsidRPr="00C6544D">
        <w:rPr>
          <w:rFonts w:ascii="Verdana" w:eastAsia="Calibri" w:hAnsi="Verdana" w:cs="Arial"/>
          <w:lang w:val="es-ES_tradnl" w:eastAsia="es-ES_tradnl"/>
        </w:rPr>
        <w:t>.</w:t>
      </w:r>
    </w:p>
    <w:p w14:paraId="17184662" w14:textId="77777777" w:rsidR="00D67D63" w:rsidRDefault="00D67D63" w:rsidP="00D67D63">
      <w:pPr>
        <w:spacing w:before="120" w:after="120" w:line="276" w:lineRule="auto"/>
        <w:ind w:firstLine="709"/>
        <w:jc w:val="both"/>
        <w:rPr>
          <w:rFonts w:ascii="Verdana" w:eastAsia="Calibri" w:hAnsi="Verdana" w:cs="Arial"/>
          <w:color w:val="000000"/>
          <w:lang w:val="es-ES_tradnl" w:eastAsia="es-ES_tradnl"/>
        </w:rPr>
      </w:pPr>
      <w:r w:rsidRPr="00C6544D">
        <w:rPr>
          <w:rFonts w:ascii="Verdana" w:eastAsia="Calibri" w:hAnsi="Verdana" w:cs="Arial"/>
          <w:color w:val="000000"/>
          <w:szCs w:val="24"/>
          <w:lang w:val="es-ES_tradnl" w:eastAsia="es-ES_tradnl"/>
        </w:rPr>
        <w:t>Pues bien, con fundamento en una interpretación contextual o sistemática, puede afirmarse que el literal f) que contiene la causal objeto de análisis se agregó al listado previsto en el numeral 2 del artículo 8 de la Ley 80 de 1993, y que el literal e) o sea, el literal inmediatamente anterior emplea el concepto “sector administrativo”</w:t>
      </w:r>
      <w:r w:rsidRPr="00C6544D">
        <w:rPr>
          <w:rFonts w:ascii="Verdana" w:eastAsia="Calibri" w:hAnsi="Verdana" w:cs="Arial"/>
          <w:color w:val="000000"/>
          <w:szCs w:val="24"/>
          <w:vertAlign w:val="superscript"/>
          <w:lang w:val="es-ES_tradnl" w:eastAsia="es-ES_tradnl"/>
        </w:rPr>
        <w:footnoteReference w:id="22"/>
      </w:r>
      <w:r w:rsidRPr="00C6544D">
        <w:rPr>
          <w:rFonts w:ascii="Verdana" w:eastAsia="Calibri" w:hAnsi="Verdana" w:cs="Arial"/>
          <w:color w:val="000000"/>
          <w:szCs w:val="24"/>
          <w:lang w:val="es-ES_tradnl" w:eastAsia="es-ES_tradnl"/>
        </w:rPr>
        <w:t>. Por tanto, si el artículo 4 de la Ley 1474 de 2011 adicionó una causal posterior a la del literal e), incluyendo la palabra sector, es legítimo interpretarla en el contexto normativo al cual fue agregada, para entender que dicha palabra debe entenderse como sector administrativo, pues es a este al que se refiere el legislador en el ámbito del artículo 8, numeral 2, de la Ley 80 de 1993</w:t>
      </w:r>
      <w:r w:rsidRPr="00C6544D">
        <w:rPr>
          <w:rFonts w:ascii="Verdana" w:eastAsia="Calibri" w:hAnsi="Verdana" w:cs="Arial"/>
          <w:color w:val="000000"/>
          <w:szCs w:val="24"/>
          <w:vertAlign w:val="superscript"/>
          <w:lang w:val="es-ES_tradnl" w:eastAsia="es-ES_tradnl"/>
        </w:rPr>
        <w:footnoteReference w:id="23"/>
      </w:r>
      <w:r w:rsidRPr="00C6544D">
        <w:rPr>
          <w:rFonts w:ascii="Verdana" w:eastAsia="Calibri" w:hAnsi="Verdana" w:cs="Arial"/>
          <w:color w:val="000000"/>
          <w:szCs w:val="24"/>
          <w:lang w:val="es-ES_tradnl" w:eastAsia="es-ES_tradnl"/>
        </w:rPr>
        <w:t>. Ahora bien, esta interpretación solo es posible prima facie para las entidades del orden o nivel nacional.</w:t>
      </w:r>
    </w:p>
    <w:p w14:paraId="1950CAC9" w14:textId="77777777" w:rsidR="00D67D63" w:rsidRDefault="00D67D63" w:rsidP="00D67D63">
      <w:pPr>
        <w:spacing w:before="120" w:after="120" w:line="276" w:lineRule="auto"/>
        <w:ind w:firstLine="708"/>
        <w:jc w:val="both"/>
        <w:rPr>
          <w:rFonts w:ascii="Verdana" w:eastAsia="Calibri" w:hAnsi="Verdana" w:cs="Arial"/>
          <w:color w:val="000000"/>
          <w:lang w:val="es-ES" w:eastAsia="es-ES"/>
        </w:rPr>
      </w:pPr>
      <w:r w:rsidRPr="4552CAB1">
        <w:rPr>
          <w:rFonts w:ascii="Verdana" w:eastAsia="Calibri" w:hAnsi="Verdana" w:cs="Arial"/>
          <w:color w:val="000000" w:themeColor="text1"/>
          <w:lang w:val="es-ES" w:eastAsia="es-ES"/>
        </w:rPr>
        <w:t xml:space="preserve">Finalmente, en cuanto al período en el cual rige la prohibición, el segundo inciso del literal f) del artículo 8, numeral 2, de la Ley 80 de 1993, adicionado por el artículo 4 de la Ley 1474 de 2011, señala que, en tal caso, no se pueden celebrar contratos estatales cuyo objeto se relacione con el sector en el cual se desempeñó el exempleado público “durante los dos (2) años siguientes al retiro </w:t>
      </w:r>
      <w:r w:rsidRPr="4552CAB1">
        <w:rPr>
          <w:rFonts w:ascii="Verdana" w:eastAsia="Calibri" w:hAnsi="Verdana" w:cs="Arial"/>
          <w:color w:val="000000" w:themeColor="text1"/>
          <w:lang w:val="es-ES" w:eastAsia="es-ES"/>
        </w:rPr>
        <w:lastRenderedPageBreak/>
        <w:t>del ejercicio del cargo público”. Dicho de otro modo, tras haber dejado el cargo el servidor público, comienza a correr un término de dos años en el cual se aplica la restricción. Esto significa que cuando tal período haya transcurrido, en principio, los sujetos a los que se refiere la causal recobran la capacidad para celebrar contratos estatales, salvo que estén afectados por otras causales de inhabilidad o de incompatibilidad.</w:t>
      </w:r>
    </w:p>
    <w:p w14:paraId="4B8048CD" w14:textId="77777777" w:rsidR="00D67D63" w:rsidRPr="00795765" w:rsidRDefault="00D67D63" w:rsidP="00D67D63">
      <w:pPr>
        <w:spacing w:before="120" w:after="120" w:line="276" w:lineRule="auto"/>
        <w:jc w:val="both"/>
        <w:rPr>
          <w:rFonts w:ascii="Verdana" w:eastAsia="Calibri" w:hAnsi="Verdana" w:cs="Arial"/>
          <w:color w:val="000000"/>
          <w:szCs w:val="24"/>
          <w:lang w:val="es-ES_tradnl" w:eastAsia="es-ES_tradnl"/>
        </w:rPr>
      </w:pPr>
    </w:p>
    <w:p w14:paraId="1375BAC4" w14:textId="77777777" w:rsidR="00D67D63" w:rsidRPr="00194D57" w:rsidRDefault="00D67D63" w:rsidP="00D67D63">
      <w:pPr>
        <w:pStyle w:val="Prrafodelista"/>
        <w:numPr>
          <w:ilvl w:val="0"/>
          <w:numId w:val="1"/>
        </w:numPr>
        <w:tabs>
          <w:tab w:val="left" w:pos="142"/>
          <w:tab w:val="left" w:pos="284"/>
        </w:tabs>
        <w:spacing w:after="0" w:line="240" w:lineRule="auto"/>
        <w:ind w:left="0" w:firstLine="0"/>
        <w:contextualSpacing w:val="0"/>
        <w:jc w:val="both"/>
        <w:rPr>
          <w:rFonts w:ascii="Verdana" w:eastAsia="Century Gothic" w:hAnsi="Verdana" w:cs="Century Gothic"/>
          <w:b/>
          <w:bCs/>
          <w:sz w:val="20"/>
          <w:szCs w:val="20"/>
        </w:rPr>
      </w:pPr>
      <w:r w:rsidRPr="00194D57">
        <w:rPr>
          <w:rFonts w:ascii="Verdana" w:eastAsia="Century Gothic" w:hAnsi="Verdana" w:cs="Century Gothic"/>
          <w:b/>
          <w:bCs/>
          <w:sz w:val="20"/>
          <w:szCs w:val="20"/>
        </w:rPr>
        <w:t>Referencias normativas, jurisprudenciales y otras fuentes:</w:t>
      </w:r>
    </w:p>
    <w:p w14:paraId="268A9FF6" w14:textId="77777777" w:rsidR="00D67D63" w:rsidRPr="00194D57" w:rsidRDefault="00D67D63" w:rsidP="00D67D63">
      <w:pPr>
        <w:widowControl w:val="0"/>
        <w:autoSpaceDE w:val="0"/>
        <w:autoSpaceDN w:val="0"/>
        <w:spacing w:after="0" w:line="240" w:lineRule="auto"/>
        <w:jc w:val="both"/>
        <w:rPr>
          <w:rFonts w:ascii="Verdana" w:hAnsi="Verdana" w:cs="Arial"/>
          <w:sz w:val="20"/>
          <w:szCs w:val="20"/>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67D63" w:rsidRPr="00194D57" w14:paraId="17CFF0C5" w14:textId="77777777" w:rsidTr="00532698">
        <w:trPr>
          <w:trHeight w:val="870"/>
        </w:trPr>
        <w:tc>
          <w:tcPr>
            <w:tcW w:w="8647" w:type="dxa"/>
          </w:tcPr>
          <w:p w14:paraId="2F276108" w14:textId="77777777" w:rsidR="00D67D63" w:rsidRPr="00175E6D" w:rsidRDefault="00D67D63" w:rsidP="00532698">
            <w:pPr>
              <w:pStyle w:val="Prrafodelista"/>
              <w:widowControl w:val="0"/>
              <w:numPr>
                <w:ilvl w:val="0"/>
                <w:numId w:val="3"/>
              </w:numPr>
              <w:autoSpaceDE w:val="0"/>
              <w:autoSpaceDN w:val="0"/>
              <w:spacing w:line="276" w:lineRule="auto"/>
              <w:jc w:val="both"/>
              <w:rPr>
                <w:rFonts w:ascii="Verdana" w:hAnsi="Verdana" w:cs="Arial"/>
              </w:rPr>
            </w:pPr>
            <w:r w:rsidRPr="00175E6D">
              <w:rPr>
                <w:rFonts w:ascii="Verdana" w:hAnsi="Verdana" w:cs="Arial"/>
              </w:rPr>
              <w:t>Ley 1474 de 2011 - Artículo 4</w:t>
            </w:r>
            <w:r>
              <w:rPr>
                <w:rFonts w:ascii="Verdana" w:hAnsi="Verdana" w:cs="Arial"/>
              </w:rPr>
              <w:t>.</w:t>
            </w:r>
          </w:p>
          <w:p w14:paraId="14C24062" w14:textId="77777777" w:rsidR="00D67D63" w:rsidRDefault="00D67D63" w:rsidP="00532698">
            <w:pPr>
              <w:widowControl w:val="0"/>
              <w:numPr>
                <w:ilvl w:val="0"/>
                <w:numId w:val="2"/>
              </w:numPr>
              <w:autoSpaceDE w:val="0"/>
              <w:autoSpaceDN w:val="0"/>
              <w:spacing w:after="160" w:line="276" w:lineRule="auto"/>
              <w:contextualSpacing/>
              <w:jc w:val="both"/>
              <w:rPr>
                <w:rFonts w:ascii="Verdana" w:hAnsi="Verdana" w:cs="Arial"/>
              </w:rPr>
            </w:pPr>
            <w:r>
              <w:rPr>
                <w:rFonts w:ascii="Verdana" w:hAnsi="Verdana" w:cs="Arial"/>
              </w:rPr>
              <w:t>Ley 80 de 1993 - Artículo 6, A</w:t>
            </w:r>
            <w:r w:rsidRPr="00F81A46">
              <w:rPr>
                <w:rFonts w:ascii="Verdana" w:hAnsi="Verdana" w:cs="Arial"/>
              </w:rPr>
              <w:t>rtículo</w:t>
            </w:r>
            <w:r>
              <w:rPr>
                <w:rFonts w:ascii="Verdana" w:hAnsi="Verdana" w:cs="Arial"/>
              </w:rPr>
              <w:t xml:space="preserve"> 8 - Numeral 2, Literal a, d, e, f.</w:t>
            </w:r>
          </w:p>
          <w:p w14:paraId="7B2CA639" w14:textId="77777777" w:rsidR="00D67D63" w:rsidRDefault="00D67D63" w:rsidP="00532698">
            <w:pPr>
              <w:widowControl w:val="0"/>
              <w:numPr>
                <w:ilvl w:val="0"/>
                <w:numId w:val="2"/>
              </w:numPr>
              <w:autoSpaceDE w:val="0"/>
              <w:autoSpaceDN w:val="0"/>
              <w:spacing w:after="160" w:line="276" w:lineRule="auto"/>
              <w:contextualSpacing/>
              <w:jc w:val="both"/>
              <w:rPr>
                <w:rFonts w:ascii="Verdana" w:hAnsi="Verdana" w:cs="Arial"/>
              </w:rPr>
            </w:pPr>
            <w:r w:rsidRPr="0070729B">
              <w:rPr>
                <w:rFonts w:ascii="Verdana" w:hAnsi="Verdana" w:cs="Arial"/>
              </w:rPr>
              <w:t>Ley 1150 de 2007</w:t>
            </w:r>
            <w:r>
              <w:rPr>
                <w:rFonts w:ascii="Verdana" w:hAnsi="Verdana" w:cs="Arial"/>
              </w:rPr>
              <w:t xml:space="preserve"> - Artículo 6.</w:t>
            </w:r>
          </w:p>
          <w:p w14:paraId="7AF1C281" w14:textId="77777777" w:rsidR="00D67D63" w:rsidRDefault="00D67D63" w:rsidP="00532698">
            <w:pPr>
              <w:widowControl w:val="0"/>
              <w:numPr>
                <w:ilvl w:val="0"/>
                <w:numId w:val="2"/>
              </w:numPr>
              <w:autoSpaceDE w:val="0"/>
              <w:autoSpaceDN w:val="0"/>
              <w:spacing w:after="160" w:line="276" w:lineRule="auto"/>
              <w:contextualSpacing/>
              <w:jc w:val="both"/>
              <w:rPr>
                <w:rFonts w:ascii="Verdana" w:hAnsi="Verdana" w:cs="Arial"/>
              </w:rPr>
            </w:pPr>
            <w:r w:rsidRPr="0070729B">
              <w:rPr>
                <w:rFonts w:ascii="Verdana" w:hAnsi="Verdana" w:cs="Arial"/>
              </w:rPr>
              <w:t>Código Civil</w:t>
            </w:r>
            <w:r>
              <w:rPr>
                <w:rFonts w:ascii="Verdana" w:hAnsi="Verdana" w:cs="Arial"/>
              </w:rPr>
              <w:t xml:space="preserve"> - Artículo 1502.</w:t>
            </w:r>
          </w:p>
          <w:p w14:paraId="27BFBAFD" w14:textId="77777777" w:rsidR="00D67D63" w:rsidRDefault="00D67D63" w:rsidP="00532698">
            <w:pPr>
              <w:widowControl w:val="0"/>
              <w:numPr>
                <w:ilvl w:val="0"/>
                <w:numId w:val="2"/>
              </w:numPr>
              <w:autoSpaceDE w:val="0"/>
              <w:autoSpaceDN w:val="0"/>
              <w:spacing w:after="160" w:line="276" w:lineRule="auto"/>
              <w:contextualSpacing/>
              <w:jc w:val="both"/>
              <w:rPr>
                <w:rFonts w:ascii="Verdana" w:hAnsi="Verdana" w:cs="Arial"/>
              </w:rPr>
            </w:pPr>
            <w:r w:rsidRPr="0070729B">
              <w:rPr>
                <w:rFonts w:ascii="Verdana" w:hAnsi="Verdana" w:cs="Arial"/>
              </w:rPr>
              <w:t>Ley 1474 de 2011</w:t>
            </w:r>
            <w:r>
              <w:rPr>
                <w:rFonts w:ascii="Verdana" w:hAnsi="Verdana" w:cs="Arial"/>
              </w:rPr>
              <w:t>.</w:t>
            </w:r>
          </w:p>
          <w:p w14:paraId="01753396" w14:textId="77777777" w:rsidR="00D67D63" w:rsidRDefault="00D67D63" w:rsidP="00532698">
            <w:pPr>
              <w:widowControl w:val="0"/>
              <w:numPr>
                <w:ilvl w:val="0"/>
                <w:numId w:val="2"/>
              </w:numPr>
              <w:autoSpaceDE w:val="0"/>
              <w:autoSpaceDN w:val="0"/>
              <w:spacing w:after="160" w:line="276" w:lineRule="auto"/>
              <w:contextualSpacing/>
              <w:jc w:val="both"/>
              <w:rPr>
                <w:rFonts w:ascii="Verdana" w:hAnsi="Verdana" w:cs="Arial"/>
              </w:rPr>
            </w:pPr>
            <w:r>
              <w:rPr>
                <w:rFonts w:ascii="Verdana" w:hAnsi="Verdana" w:cs="Arial"/>
              </w:rPr>
              <w:t>Constitución Política - Artículo 29.</w:t>
            </w:r>
          </w:p>
          <w:p w14:paraId="0848B366" w14:textId="77777777" w:rsidR="00D67D63" w:rsidRPr="0070729B" w:rsidRDefault="00D67D63" w:rsidP="00532698">
            <w:pPr>
              <w:widowControl w:val="0"/>
              <w:numPr>
                <w:ilvl w:val="0"/>
                <w:numId w:val="2"/>
              </w:numPr>
              <w:autoSpaceDE w:val="0"/>
              <w:autoSpaceDN w:val="0"/>
              <w:spacing w:line="276" w:lineRule="auto"/>
              <w:contextualSpacing/>
              <w:jc w:val="both"/>
              <w:rPr>
                <w:rFonts w:ascii="Verdana" w:hAnsi="Verdana" w:cs="Arial"/>
              </w:rPr>
            </w:pPr>
            <w:r w:rsidRPr="0070729B">
              <w:rPr>
                <w:rFonts w:ascii="Verdana" w:hAnsi="Verdana" w:cs="Arial"/>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p w14:paraId="6817027B" w14:textId="77777777" w:rsidR="00D67D63" w:rsidRPr="0070729B" w:rsidRDefault="00D67D63" w:rsidP="00532698">
            <w:pPr>
              <w:widowControl w:val="0"/>
              <w:numPr>
                <w:ilvl w:val="0"/>
                <w:numId w:val="2"/>
              </w:numPr>
              <w:autoSpaceDE w:val="0"/>
              <w:autoSpaceDN w:val="0"/>
              <w:spacing w:line="276" w:lineRule="auto"/>
              <w:contextualSpacing/>
              <w:jc w:val="both"/>
              <w:rPr>
                <w:rFonts w:ascii="Verdana" w:hAnsi="Verdana" w:cs="Arial"/>
              </w:rPr>
            </w:pPr>
            <w:r w:rsidRPr="0070729B">
              <w:rPr>
                <w:rFonts w:ascii="Verdana" w:hAnsi="Verdana" w:cs="Arial"/>
              </w:rPr>
              <w:t>Corte Constitucional. Sentencia T-1039 de 2006. M</w:t>
            </w:r>
            <w:r>
              <w:rPr>
                <w:rFonts w:ascii="Verdana" w:hAnsi="Verdana" w:cs="Arial"/>
              </w:rPr>
              <w:t>.</w:t>
            </w:r>
            <w:r w:rsidRPr="0070729B">
              <w:rPr>
                <w:rFonts w:ascii="Verdana" w:hAnsi="Verdana" w:cs="Arial"/>
              </w:rPr>
              <w:t xml:space="preserve"> P</w:t>
            </w:r>
            <w:r>
              <w:rPr>
                <w:rFonts w:ascii="Verdana" w:hAnsi="Verdana" w:cs="Arial"/>
              </w:rPr>
              <w:t>.</w:t>
            </w:r>
            <w:r w:rsidRPr="0070729B">
              <w:rPr>
                <w:rFonts w:ascii="Verdana" w:hAnsi="Verdana" w:cs="Arial"/>
              </w:rPr>
              <w:t xml:space="preserve"> Humberto Sierra Porto.</w:t>
            </w:r>
          </w:p>
          <w:p w14:paraId="55C71764" w14:textId="77777777" w:rsidR="00D67D63" w:rsidRPr="0070729B" w:rsidRDefault="00D67D63" w:rsidP="00532698">
            <w:pPr>
              <w:widowControl w:val="0"/>
              <w:numPr>
                <w:ilvl w:val="0"/>
                <w:numId w:val="2"/>
              </w:numPr>
              <w:autoSpaceDE w:val="0"/>
              <w:autoSpaceDN w:val="0"/>
              <w:spacing w:line="276" w:lineRule="auto"/>
              <w:contextualSpacing/>
              <w:jc w:val="both"/>
              <w:rPr>
                <w:rFonts w:ascii="Verdana" w:hAnsi="Verdana" w:cs="Arial"/>
              </w:rPr>
            </w:pPr>
            <w:r w:rsidRPr="0070729B">
              <w:rPr>
                <w:rFonts w:ascii="Verdana" w:hAnsi="Verdana" w:cs="Arial"/>
              </w:rPr>
              <w:t>Consejo de Estado. Sala de Consulta y Servicio Civil. Concepto del 30 de abril de 2015. Expediente: 2.251. C</w:t>
            </w:r>
            <w:r>
              <w:rPr>
                <w:rFonts w:ascii="Verdana" w:hAnsi="Verdana" w:cs="Arial"/>
              </w:rPr>
              <w:t>.</w:t>
            </w:r>
            <w:r w:rsidRPr="0070729B">
              <w:rPr>
                <w:rFonts w:ascii="Verdana" w:hAnsi="Verdana" w:cs="Arial"/>
              </w:rPr>
              <w:t xml:space="preserve"> P: Álvaro Namén Vargas.</w:t>
            </w:r>
          </w:p>
          <w:p w14:paraId="51D92C4C" w14:textId="77777777" w:rsidR="00D67D63" w:rsidRPr="0070729B" w:rsidRDefault="00D67D63" w:rsidP="00532698">
            <w:pPr>
              <w:widowControl w:val="0"/>
              <w:numPr>
                <w:ilvl w:val="0"/>
                <w:numId w:val="2"/>
              </w:numPr>
              <w:autoSpaceDE w:val="0"/>
              <w:autoSpaceDN w:val="0"/>
              <w:spacing w:line="276" w:lineRule="auto"/>
              <w:contextualSpacing/>
              <w:jc w:val="both"/>
              <w:rPr>
                <w:rFonts w:ascii="Verdana" w:hAnsi="Verdana" w:cs="Arial"/>
              </w:rPr>
            </w:pPr>
            <w:r w:rsidRPr="0070729B">
              <w:rPr>
                <w:rFonts w:ascii="Verdana" w:hAnsi="Verdana" w:cs="Arial"/>
              </w:rPr>
              <w:t>Consejo de Estado. Sección Tercera. Subsección A. Sentencia del 24 de junio de 2015. Exp. 40.635. C</w:t>
            </w:r>
            <w:r>
              <w:rPr>
                <w:rFonts w:ascii="Verdana" w:hAnsi="Verdana" w:cs="Arial"/>
              </w:rPr>
              <w:t>.</w:t>
            </w:r>
            <w:r w:rsidRPr="0070729B">
              <w:rPr>
                <w:rFonts w:ascii="Verdana" w:hAnsi="Verdana" w:cs="Arial"/>
              </w:rPr>
              <w:t xml:space="preserve"> P</w:t>
            </w:r>
            <w:r>
              <w:rPr>
                <w:rFonts w:ascii="Verdana" w:hAnsi="Verdana" w:cs="Arial"/>
              </w:rPr>
              <w:t>.</w:t>
            </w:r>
            <w:r w:rsidRPr="0070729B">
              <w:rPr>
                <w:rFonts w:ascii="Verdana" w:hAnsi="Verdana" w:cs="Arial"/>
              </w:rPr>
              <w:t>: Hernán Andrade Rincón (E).</w:t>
            </w:r>
          </w:p>
          <w:p w14:paraId="138538B4" w14:textId="77777777" w:rsidR="00D67D63" w:rsidRDefault="00D67D63" w:rsidP="00532698">
            <w:pPr>
              <w:widowControl w:val="0"/>
              <w:numPr>
                <w:ilvl w:val="0"/>
                <w:numId w:val="2"/>
              </w:numPr>
              <w:autoSpaceDE w:val="0"/>
              <w:autoSpaceDN w:val="0"/>
              <w:spacing w:after="160" w:line="276" w:lineRule="auto"/>
              <w:contextualSpacing/>
              <w:jc w:val="both"/>
              <w:rPr>
                <w:rFonts w:ascii="Verdana" w:hAnsi="Verdana" w:cs="Arial"/>
              </w:rPr>
            </w:pPr>
            <w:r w:rsidRPr="0070729B">
              <w:rPr>
                <w:rFonts w:ascii="Verdana" w:hAnsi="Verdana" w:cs="Arial"/>
              </w:rPr>
              <w:t>Consejo de Estado. Sección Tercera. Subsección C. Sentencia del 22 de mayo de 2013. Exp. 24.057. C</w:t>
            </w:r>
            <w:r>
              <w:rPr>
                <w:rFonts w:ascii="Verdana" w:hAnsi="Verdana" w:cs="Arial"/>
              </w:rPr>
              <w:t>.</w:t>
            </w:r>
            <w:r w:rsidRPr="0070729B">
              <w:rPr>
                <w:rFonts w:ascii="Verdana" w:hAnsi="Verdana" w:cs="Arial"/>
              </w:rPr>
              <w:t xml:space="preserve"> P: Olga Melida Valle De De La Hoz.</w:t>
            </w:r>
          </w:p>
          <w:p w14:paraId="78DD03BD" w14:textId="77777777" w:rsidR="00D67D63" w:rsidRPr="0070729B" w:rsidRDefault="00D67D63" w:rsidP="00532698">
            <w:pPr>
              <w:widowControl w:val="0"/>
              <w:numPr>
                <w:ilvl w:val="0"/>
                <w:numId w:val="2"/>
              </w:numPr>
              <w:autoSpaceDE w:val="0"/>
              <w:autoSpaceDN w:val="0"/>
              <w:spacing w:line="276" w:lineRule="auto"/>
              <w:contextualSpacing/>
              <w:jc w:val="both"/>
              <w:rPr>
                <w:rFonts w:ascii="Verdana" w:hAnsi="Verdana" w:cs="Arial"/>
              </w:rPr>
            </w:pPr>
            <w:r w:rsidRPr="0070729B">
              <w:rPr>
                <w:rFonts w:ascii="Verdana" w:hAnsi="Verdana" w:cs="Arial"/>
              </w:rPr>
              <w:t>Corte Constitucional. Sentencia C-257 del 7 de mayo de 2013. M</w:t>
            </w:r>
            <w:r>
              <w:rPr>
                <w:rFonts w:ascii="Verdana" w:hAnsi="Verdana" w:cs="Arial"/>
              </w:rPr>
              <w:t>.</w:t>
            </w:r>
            <w:r w:rsidRPr="0070729B">
              <w:rPr>
                <w:rFonts w:ascii="Verdana" w:hAnsi="Verdana" w:cs="Arial"/>
              </w:rPr>
              <w:t>P: Jaime Córdoba Triviño</w:t>
            </w:r>
          </w:p>
          <w:p w14:paraId="51E56C42" w14:textId="77777777" w:rsidR="00D67D63" w:rsidRPr="0070729B" w:rsidRDefault="00D67D63" w:rsidP="00532698">
            <w:pPr>
              <w:widowControl w:val="0"/>
              <w:numPr>
                <w:ilvl w:val="0"/>
                <w:numId w:val="2"/>
              </w:numPr>
              <w:autoSpaceDE w:val="0"/>
              <w:autoSpaceDN w:val="0"/>
              <w:spacing w:line="276" w:lineRule="auto"/>
              <w:contextualSpacing/>
              <w:jc w:val="both"/>
              <w:rPr>
                <w:rFonts w:ascii="Verdana" w:hAnsi="Verdana" w:cs="Arial"/>
              </w:rPr>
            </w:pPr>
            <w:r w:rsidRPr="0070729B">
              <w:rPr>
                <w:rFonts w:ascii="Verdana" w:hAnsi="Verdana" w:cs="Arial"/>
              </w:rPr>
              <w:t>GUASTINI, Riccardo. Interpretar y argumentar. Madrid: Centro de Estudios Políticos y Constitucionales, 2017, p. 110.</w:t>
            </w:r>
          </w:p>
          <w:p w14:paraId="697710E4" w14:textId="77777777" w:rsidR="00D67D63" w:rsidRPr="00A5074F" w:rsidRDefault="00D67D63" w:rsidP="00532698">
            <w:pPr>
              <w:widowControl w:val="0"/>
              <w:numPr>
                <w:ilvl w:val="0"/>
                <w:numId w:val="2"/>
              </w:numPr>
              <w:autoSpaceDE w:val="0"/>
              <w:autoSpaceDN w:val="0"/>
              <w:spacing w:after="160" w:line="276" w:lineRule="auto"/>
              <w:contextualSpacing/>
              <w:jc w:val="both"/>
              <w:rPr>
                <w:rFonts w:ascii="Verdana" w:hAnsi="Verdana" w:cs="Arial"/>
              </w:rPr>
            </w:pPr>
            <w:r w:rsidRPr="0070729B">
              <w:rPr>
                <w:rFonts w:ascii="Verdana" w:hAnsi="Verdana" w:cs="Arial"/>
              </w:rPr>
              <w:t>Corte Constitucional. Al respecto, puede verse la sentencia C-054 de 2016, M.P. Luis Ernesto Vargas Silva.</w:t>
            </w:r>
          </w:p>
        </w:tc>
      </w:tr>
    </w:tbl>
    <w:p w14:paraId="1F54654C" w14:textId="77777777" w:rsidR="00D67D63" w:rsidRDefault="00D67D63" w:rsidP="00D67D63">
      <w:pPr>
        <w:widowControl w:val="0"/>
        <w:autoSpaceDE w:val="0"/>
        <w:autoSpaceDN w:val="0"/>
        <w:spacing w:after="0" w:line="240" w:lineRule="auto"/>
        <w:jc w:val="both"/>
        <w:rPr>
          <w:rFonts w:ascii="Verdana" w:hAnsi="Verdana" w:cs="Arial"/>
          <w:sz w:val="20"/>
          <w:szCs w:val="20"/>
        </w:rPr>
      </w:pPr>
    </w:p>
    <w:p w14:paraId="03BEE323" w14:textId="77777777" w:rsidR="00D67D63" w:rsidRDefault="00D67D63" w:rsidP="00D67D63">
      <w:pPr>
        <w:widowControl w:val="0"/>
        <w:autoSpaceDE w:val="0"/>
        <w:autoSpaceDN w:val="0"/>
        <w:spacing w:after="0" w:line="240" w:lineRule="auto"/>
        <w:jc w:val="both"/>
        <w:rPr>
          <w:rFonts w:ascii="Verdana" w:hAnsi="Verdana" w:cs="Arial"/>
          <w:sz w:val="20"/>
          <w:szCs w:val="20"/>
        </w:rPr>
      </w:pPr>
    </w:p>
    <w:p w14:paraId="4D1C76FA" w14:textId="77777777" w:rsidR="00D67D63" w:rsidRDefault="00D67D63" w:rsidP="00D67D63">
      <w:pPr>
        <w:widowControl w:val="0"/>
        <w:autoSpaceDE w:val="0"/>
        <w:autoSpaceDN w:val="0"/>
        <w:spacing w:after="0" w:line="240" w:lineRule="auto"/>
        <w:jc w:val="both"/>
        <w:rPr>
          <w:rFonts w:ascii="Verdana" w:hAnsi="Verdana" w:cs="Arial"/>
          <w:sz w:val="20"/>
          <w:szCs w:val="20"/>
        </w:rPr>
      </w:pPr>
    </w:p>
    <w:p w14:paraId="580D36AD" w14:textId="77777777" w:rsidR="00D67D63" w:rsidRDefault="00D67D63" w:rsidP="00D67D63">
      <w:pPr>
        <w:widowControl w:val="0"/>
        <w:autoSpaceDE w:val="0"/>
        <w:autoSpaceDN w:val="0"/>
        <w:spacing w:after="0" w:line="240" w:lineRule="auto"/>
        <w:jc w:val="both"/>
        <w:rPr>
          <w:rFonts w:ascii="Verdana" w:hAnsi="Verdana" w:cs="Arial"/>
          <w:sz w:val="20"/>
          <w:szCs w:val="20"/>
        </w:rPr>
      </w:pPr>
    </w:p>
    <w:p w14:paraId="0DF76D3B" w14:textId="77777777" w:rsidR="00D67D63" w:rsidRPr="00194D57" w:rsidRDefault="00D67D63" w:rsidP="00D67D63">
      <w:pPr>
        <w:widowControl w:val="0"/>
        <w:autoSpaceDE w:val="0"/>
        <w:autoSpaceDN w:val="0"/>
        <w:spacing w:after="0" w:line="240" w:lineRule="auto"/>
        <w:jc w:val="both"/>
        <w:rPr>
          <w:rFonts w:ascii="Verdana" w:hAnsi="Verdana" w:cs="Arial"/>
          <w:sz w:val="20"/>
          <w:szCs w:val="20"/>
        </w:rPr>
      </w:pPr>
    </w:p>
    <w:p w14:paraId="682636DD" w14:textId="77777777" w:rsidR="00D67D63" w:rsidRPr="00194D57" w:rsidRDefault="00D67D63" w:rsidP="00D67D63">
      <w:pPr>
        <w:pStyle w:val="Prrafodelista"/>
        <w:numPr>
          <w:ilvl w:val="0"/>
          <w:numId w:val="1"/>
        </w:numPr>
        <w:tabs>
          <w:tab w:val="left" w:pos="142"/>
          <w:tab w:val="left" w:pos="284"/>
        </w:tabs>
        <w:spacing w:after="0" w:line="240" w:lineRule="auto"/>
        <w:ind w:left="0" w:firstLine="0"/>
        <w:contextualSpacing w:val="0"/>
        <w:jc w:val="both"/>
        <w:rPr>
          <w:rFonts w:ascii="Verdana" w:eastAsia="Century Gothic" w:hAnsi="Verdana" w:cs="Century Gothic"/>
          <w:b/>
          <w:bCs/>
          <w:sz w:val="20"/>
          <w:szCs w:val="20"/>
        </w:rPr>
      </w:pPr>
      <w:r w:rsidRPr="00194D57">
        <w:rPr>
          <w:rFonts w:ascii="Verdana" w:eastAsia="Century Gothic" w:hAnsi="Verdana" w:cs="Century Gothic"/>
          <w:b/>
          <w:bCs/>
          <w:sz w:val="20"/>
          <w:szCs w:val="20"/>
        </w:rPr>
        <w:lastRenderedPageBreak/>
        <w:t>Doctrina de la Agencia Nacional de Contratación Pública:</w:t>
      </w:r>
    </w:p>
    <w:p w14:paraId="1D13B299" w14:textId="77777777" w:rsidR="00D67D63" w:rsidRPr="00194D57" w:rsidRDefault="00D67D63" w:rsidP="00D67D63">
      <w:pPr>
        <w:widowControl w:val="0"/>
        <w:autoSpaceDE w:val="0"/>
        <w:autoSpaceDN w:val="0"/>
        <w:spacing w:after="0" w:line="240" w:lineRule="auto"/>
        <w:jc w:val="both"/>
        <w:rPr>
          <w:rFonts w:ascii="Verdana" w:hAnsi="Verdana" w:cs="Arial"/>
          <w:sz w:val="20"/>
          <w:szCs w:val="20"/>
        </w:rPr>
      </w:pPr>
    </w:p>
    <w:p w14:paraId="17B76A28" w14:textId="77777777" w:rsidR="00D67D63" w:rsidRPr="00FB03DC" w:rsidRDefault="00D67D63" w:rsidP="00D67D63">
      <w:pPr>
        <w:spacing w:line="276" w:lineRule="auto"/>
        <w:jc w:val="both"/>
        <w:rPr>
          <w:rStyle w:val="Hipervnculo"/>
          <w:rFonts w:ascii="Verdana" w:hAnsi="Verdana" w:cs="Arial"/>
        </w:rPr>
      </w:pPr>
      <w:r w:rsidRPr="00F668C2">
        <w:rPr>
          <w:rFonts w:ascii="Verdana" w:hAnsi="Verdana" w:cs="Arial"/>
        </w:rPr>
        <w:t>La Agencia Nacional de Contratación Pública – Colombia Compra Eficiente se ha pronunciado</w:t>
      </w:r>
      <w:r w:rsidRPr="00F668C2">
        <w:rPr>
          <w:rFonts w:ascii="Verdana" w:hAnsi="Verdana" w:cs="Arial"/>
          <w:shd w:val="clear" w:color="auto" w:fill="FFFFFF"/>
          <w:lang w:val="es-ES"/>
        </w:rPr>
        <w:t xml:space="preserve"> sobre</w:t>
      </w:r>
      <w:r>
        <w:rPr>
          <w:rFonts w:ascii="Verdana" w:hAnsi="Verdana" w:cs="Arial"/>
          <w:shd w:val="clear" w:color="auto" w:fill="FFFFFF"/>
          <w:lang w:val="es-ES"/>
        </w:rPr>
        <w:t xml:space="preserve"> las inhabilidades e incompatibilidades de los empleados públicos</w:t>
      </w:r>
      <w:r w:rsidRPr="00F668C2">
        <w:rPr>
          <w:rFonts w:ascii="Verdana" w:eastAsia="Century Gothic" w:hAnsi="Verdana" w:cs="Century Gothic"/>
          <w:color w:val="000000" w:themeColor="text1"/>
        </w:rPr>
        <w:t>,</w:t>
      </w:r>
      <w:r>
        <w:rPr>
          <w:rFonts w:ascii="Verdana" w:eastAsia="Century Gothic" w:hAnsi="Verdana" w:cs="Century Gothic"/>
          <w:color w:val="000000" w:themeColor="text1"/>
        </w:rPr>
        <w:t xml:space="preserve"> límites a la capacidad jurídica de los ex empleados públicos en los conceptos; </w:t>
      </w:r>
      <w:r w:rsidRPr="00BE151B">
        <w:rPr>
          <w:rFonts w:ascii="Verdana" w:eastAsia="Calibri" w:hAnsi="Verdana" w:cs="Arial"/>
        </w:rPr>
        <w:t>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y C-039 del 23 de abril de 2024</w:t>
      </w:r>
      <w:r>
        <w:rPr>
          <w:rFonts w:ascii="Verdana" w:hAnsi="Verdana" w:cs="Arial"/>
        </w:rPr>
        <w:t xml:space="preserve">, </w:t>
      </w:r>
      <w:r w:rsidRPr="00F668C2">
        <w:rPr>
          <w:rFonts w:ascii="Verdana" w:eastAsia="Century Gothic" w:hAnsi="Verdana" w:cs="Century Gothic"/>
          <w:color w:val="000000" w:themeColor="text1"/>
        </w:rPr>
        <w:t>entre otros.</w:t>
      </w:r>
      <w:r w:rsidRPr="00F668C2">
        <w:rPr>
          <w:rFonts w:ascii="Verdana" w:hAnsi="Verdana" w:cs="Arial"/>
          <w:shd w:val="clear" w:color="auto" w:fill="FFFFFF"/>
          <w:lang w:val="es-ES"/>
        </w:rPr>
        <w:t xml:space="preserve"> </w:t>
      </w:r>
      <w:r w:rsidRPr="00F668C2">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7" w:tgtFrame="_blank" w:tooltip="Dirección URL original: https://relatoria.colombiacompra.gov.co/. Haga clic o pulse si confía en este vínculo." w:history="1">
        <w:r w:rsidRPr="00F668C2">
          <w:rPr>
            <w:rStyle w:val="Hipervnculo"/>
            <w:rFonts w:ascii="Verdana" w:hAnsi="Verdana" w:cs="Arial"/>
            <w:shd w:val="clear" w:color="auto" w:fill="FFFFFF"/>
          </w:rPr>
          <w:t>https://relatoria.colombiacompra.gov.co/</w:t>
        </w:r>
      </w:hyperlink>
    </w:p>
    <w:p w14:paraId="72703A73" w14:textId="77777777" w:rsidR="00D67D63" w:rsidRPr="0002019A" w:rsidRDefault="00D67D63" w:rsidP="00D67D63">
      <w:pPr>
        <w:rPr>
          <w:rFonts w:ascii="Times New Roman" w:eastAsia="Times New Roman" w:hAnsi="Times New Roman" w:cs="Times New Roman"/>
          <w:sz w:val="24"/>
          <w:szCs w:val="24"/>
          <w:lang w:eastAsia="es-CO"/>
        </w:rPr>
      </w:pPr>
      <w:r w:rsidRPr="00F668C2">
        <w:rPr>
          <w:rFonts w:ascii="Verdana" w:hAnsi="Verdana" w:cs="Calibri"/>
          <w:color w:val="000000"/>
          <w:bdr w:val="none" w:sz="0" w:space="0" w:color="auto" w:frame="1"/>
        </w:rPr>
        <w:t xml:space="preserve">Te invitamos a revisar la </w:t>
      </w:r>
      <w:r>
        <w:rPr>
          <w:rFonts w:ascii="Verdana" w:hAnsi="Verdana" w:cs="Calibri"/>
          <w:color w:val="000000"/>
          <w:bdr w:val="none" w:sz="0" w:space="0" w:color="auto" w:frame="1"/>
        </w:rPr>
        <w:t>sex</w:t>
      </w:r>
      <w:r w:rsidRPr="00F668C2">
        <w:rPr>
          <w:rFonts w:ascii="Verdana" w:hAnsi="Verdana" w:cs="Calibri"/>
          <w:color w:val="000000"/>
          <w:bdr w:val="none" w:sz="0" w:space="0" w:color="auto" w:frame="1"/>
        </w:rPr>
        <w:t>ta edición del Boletín de Relatoría de 2024. Puede consultarlo en el siguiente enlace</w:t>
      </w:r>
      <w:r>
        <w:rPr>
          <w:rFonts w:ascii="Verdana" w:hAnsi="Verdana" w:cs="Calibri"/>
          <w:color w:val="000000"/>
          <w:bdr w:val="none" w:sz="0" w:space="0" w:color="auto" w:frame="1"/>
        </w:rPr>
        <w:t xml:space="preserve">: </w:t>
      </w:r>
      <w:hyperlink r:id="rId8" w:history="1">
        <w:r w:rsidRPr="0002019A">
          <w:rPr>
            <w:rStyle w:val="Hipervnculo"/>
            <w:rFonts w:ascii="Verdana" w:eastAsia="Times New Roman" w:hAnsi="Verdana" w:cs="Times New Roman"/>
            <w:lang w:eastAsia="es-CO"/>
          </w:rPr>
          <w:t>https://www.colombiacompra.gov.co/sala-de-prensa/boletin-digital/boletin-de-relatoria-2024-vi-modalidad-de-seleccion-de-seleccion-de</w:t>
        </w:r>
      </w:hyperlink>
    </w:p>
    <w:p w14:paraId="567F3746" w14:textId="77777777" w:rsidR="00D67D63" w:rsidRPr="00484FAA" w:rsidRDefault="00D67D63" w:rsidP="00D67D63">
      <w:pPr>
        <w:shd w:val="clear" w:color="auto" w:fill="FFFFFF"/>
        <w:jc w:val="both"/>
        <w:textAlignment w:val="baseline"/>
        <w:rPr>
          <w:rFonts w:ascii="Verdana" w:hAnsi="Verdana" w:cs="Calibri"/>
          <w:color w:val="000000"/>
          <w:bdr w:val="none" w:sz="0" w:space="0" w:color="auto" w:frame="1"/>
        </w:rPr>
      </w:pPr>
    </w:p>
    <w:p w14:paraId="69786F0A" w14:textId="77777777" w:rsidR="00D67D63" w:rsidRPr="00F668C2" w:rsidRDefault="00D67D63" w:rsidP="00D67D63">
      <w:pPr>
        <w:shd w:val="clear" w:color="auto" w:fill="FFFFFF"/>
        <w:jc w:val="both"/>
        <w:textAlignment w:val="baseline"/>
        <w:rPr>
          <w:rStyle w:val="normaltextrun"/>
          <w:rFonts w:ascii="Verdana" w:hAnsi="Verdana" w:cs="Calibri"/>
          <w:color w:val="242424"/>
        </w:rPr>
      </w:pPr>
      <w:r w:rsidRPr="00F668C2">
        <w:rPr>
          <w:rStyle w:val="normaltextrun"/>
          <w:rFonts w:ascii="Verdana" w:hAnsi="Verdana" w:cs="Calibri"/>
          <w:color w:val="242424"/>
        </w:rPr>
        <w:lastRenderedPageBreak/>
        <w:t xml:space="preserve"> </w:t>
      </w:r>
    </w:p>
    <w:p w14:paraId="4C48C114" w14:textId="77777777" w:rsidR="00D67D63" w:rsidRPr="00F668C2" w:rsidRDefault="00D67D63" w:rsidP="00D67D63">
      <w:pPr>
        <w:spacing w:after="0" w:line="240" w:lineRule="auto"/>
        <w:jc w:val="both"/>
        <w:rPr>
          <w:rFonts w:ascii="Verdana" w:hAnsi="Verdana"/>
        </w:rPr>
      </w:pPr>
      <w:r w:rsidRPr="00F668C2">
        <w:rPr>
          <w:rFonts w:ascii="Verdana" w:hAnsi="Verdana"/>
        </w:rPr>
        <w:t xml:space="preserve">Por último, lo invitamos a seguirnos en las redes sociales en las cuales se difunde información institucional: </w:t>
      </w:r>
    </w:p>
    <w:p w14:paraId="1E23EC11" w14:textId="77777777" w:rsidR="00D67D63" w:rsidRPr="00F668C2" w:rsidRDefault="00D67D63" w:rsidP="00D67D63">
      <w:pPr>
        <w:spacing w:after="0" w:line="240" w:lineRule="auto"/>
        <w:jc w:val="both"/>
        <w:rPr>
          <w:rFonts w:ascii="Verdana" w:hAnsi="Verdana"/>
        </w:rPr>
      </w:pPr>
    </w:p>
    <w:p w14:paraId="63240CCF" w14:textId="77777777" w:rsidR="00D67D63" w:rsidRPr="00F668C2" w:rsidRDefault="00D67D63" w:rsidP="00D67D63">
      <w:pPr>
        <w:spacing w:after="0" w:line="240" w:lineRule="auto"/>
        <w:jc w:val="both"/>
        <w:rPr>
          <w:rFonts w:ascii="Verdana" w:hAnsi="Verdana"/>
        </w:rPr>
      </w:pPr>
      <w:r w:rsidRPr="00F668C2">
        <w:rPr>
          <w:rFonts w:ascii="Verdana" w:hAnsi="Verdana"/>
        </w:rPr>
        <w:t xml:space="preserve">Twitter: </w:t>
      </w:r>
      <w:r w:rsidRPr="00F668C2">
        <w:rPr>
          <w:rStyle w:val="Hipervnculo"/>
          <w:rFonts w:ascii="Verdana" w:hAnsi="Verdana"/>
          <w:color w:val="4472C4" w:themeColor="accent1"/>
        </w:rPr>
        <w:t>@colombiacompra</w:t>
      </w:r>
      <w:r w:rsidRPr="00F668C2">
        <w:rPr>
          <w:rFonts w:ascii="Verdana" w:hAnsi="Verdana"/>
          <w:color w:val="4472C4" w:themeColor="accent1"/>
        </w:rPr>
        <w:t xml:space="preserve"> </w:t>
      </w:r>
    </w:p>
    <w:p w14:paraId="790C49B9" w14:textId="77777777" w:rsidR="00D67D63" w:rsidRPr="00F668C2" w:rsidRDefault="00D67D63" w:rsidP="00D67D63">
      <w:pPr>
        <w:spacing w:after="0" w:line="240" w:lineRule="auto"/>
        <w:jc w:val="both"/>
        <w:rPr>
          <w:rFonts w:ascii="Verdana" w:hAnsi="Verdana"/>
        </w:rPr>
      </w:pPr>
      <w:r w:rsidRPr="00F668C2">
        <w:rPr>
          <w:rFonts w:ascii="Verdana" w:hAnsi="Verdana"/>
        </w:rPr>
        <w:t xml:space="preserve">Facebook: </w:t>
      </w:r>
      <w:r w:rsidRPr="00F668C2">
        <w:rPr>
          <w:rStyle w:val="Hipervnculo"/>
          <w:rFonts w:ascii="Verdana" w:hAnsi="Verdana"/>
          <w:color w:val="4472C4" w:themeColor="accent1"/>
        </w:rPr>
        <w:t>ColombiaCompraEficiente</w:t>
      </w:r>
    </w:p>
    <w:p w14:paraId="677526F4" w14:textId="77777777" w:rsidR="00D67D63" w:rsidRPr="00F668C2" w:rsidRDefault="00D67D63" w:rsidP="00D67D63">
      <w:pPr>
        <w:spacing w:after="0" w:line="240" w:lineRule="auto"/>
        <w:jc w:val="both"/>
        <w:rPr>
          <w:rFonts w:ascii="Verdana" w:hAnsi="Verdana"/>
        </w:rPr>
      </w:pPr>
      <w:r w:rsidRPr="00F668C2">
        <w:rPr>
          <w:rFonts w:ascii="Verdana" w:hAnsi="Verdana"/>
        </w:rPr>
        <w:t xml:space="preserve">LinkedIn: </w:t>
      </w:r>
      <w:r w:rsidRPr="00F668C2">
        <w:rPr>
          <w:rStyle w:val="Hipervnculo"/>
          <w:rFonts w:ascii="Verdana" w:hAnsi="Verdana"/>
          <w:color w:val="4472C4" w:themeColor="accent1"/>
        </w:rPr>
        <w:t>Agencia Nacional de Contratación Pública - Colombia Compra Eficiente</w:t>
      </w:r>
      <w:r w:rsidRPr="00F668C2">
        <w:rPr>
          <w:rFonts w:ascii="Verdana" w:hAnsi="Verdana"/>
          <w:color w:val="4472C4" w:themeColor="accent1"/>
        </w:rPr>
        <w:t xml:space="preserve"> </w:t>
      </w:r>
      <w:r w:rsidRPr="00F668C2">
        <w:rPr>
          <w:rFonts w:ascii="Verdana" w:hAnsi="Verdana"/>
        </w:rPr>
        <w:t xml:space="preserve">Instagram: </w:t>
      </w:r>
      <w:r w:rsidRPr="00F668C2">
        <w:rPr>
          <w:rStyle w:val="Hipervnculo"/>
          <w:rFonts w:ascii="Verdana" w:hAnsi="Verdana"/>
          <w:color w:val="4472C4" w:themeColor="accent1"/>
        </w:rPr>
        <w:t>@colombiacompraeficiente_cce</w:t>
      </w:r>
    </w:p>
    <w:p w14:paraId="14645C73" w14:textId="77777777" w:rsidR="00D67D63" w:rsidRPr="00F668C2" w:rsidRDefault="00D67D63" w:rsidP="00D67D63">
      <w:pPr>
        <w:widowControl w:val="0"/>
        <w:autoSpaceDE w:val="0"/>
        <w:autoSpaceDN w:val="0"/>
        <w:spacing w:after="0" w:line="240" w:lineRule="auto"/>
        <w:jc w:val="both"/>
        <w:rPr>
          <w:rFonts w:ascii="Verdana" w:hAnsi="Verdana" w:cs="Arial"/>
        </w:rPr>
      </w:pPr>
    </w:p>
    <w:p w14:paraId="693B5A47" w14:textId="77777777" w:rsidR="00D67D63" w:rsidRPr="00F668C2" w:rsidRDefault="00D67D63" w:rsidP="00D67D63">
      <w:pPr>
        <w:widowControl w:val="0"/>
        <w:autoSpaceDE w:val="0"/>
        <w:autoSpaceDN w:val="0"/>
        <w:spacing w:after="0" w:line="240" w:lineRule="auto"/>
        <w:jc w:val="both"/>
        <w:rPr>
          <w:rFonts w:ascii="Verdana" w:hAnsi="Verdana" w:cs="Arial"/>
          <w:lang w:val="es-ES_tradnl"/>
        </w:rPr>
      </w:pPr>
      <w:r w:rsidRPr="00F668C2">
        <w:rPr>
          <w:rFonts w:ascii="Verdana" w:hAnsi="Verdana" w:cs="Arial"/>
        </w:rPr>
        <w:t xml:space="preserve">Este concepto tiene el alcance previsto en el artículo 28 del Código de Procedimiento Administrativo y de lo Contencioso Administrativo </w:t>
      </w:r>
      <w:r w:rsidRPr="00F668C2">
        <w:rPr>
          <w:rFonts w:ascii="Verdana" w:hAnsi="Verdana" w:cs="Arial"/>
          <w:lang w:val="es-ES_tradnl"/>
        </w:rPr>
        <w:t>y las expresiones aquí utilizadas con mayúscula inicial deben ser entendidas con el significado que les otorga el artículo 2.2.1.1.1.3.1. del Decreto 1082 de 2015.</w:t>
      </w:r>
    </w:p>
    <w:p w14:paraId="25033FF8" w14:textId="77777777" w:rsidR="00D67D63" w:rsidRPr="00F668C2" w:rsidRDefault="00D67D63" w:rsidP="00D67D63">
      <w:pPr>
        <w:widowControl w:val="0"/>
        <w:autoSpaceDE w:val="0"/>
        <w:autoSpaceDN w:val="0"/>
        <w:spacing w:after="0" w:line="240" w:lineRule="auto"/>
        <w:jc w:val="both"/>
        <w:rPr>
          <w:rFonts w:ascii="Verdana" w:hAnsi="Verdana" w:cs="Arial"/>
        </w:rPr>
      </w:pPr>
    </w:p>
    <w:p w14:paraId="08B9CF56" w14:textId="77777777" w:rsidR="00D67D63" w:rsidRPr="00F668C2" w:rsidRDefault="00D67D63" w:rsidP="00D67D63">
      <w:pPr>
        <w:spacing w:after="0" w:line="240" w:lineRule="auto"/>
        <w:jc w:val="both"/>
        <w:rPr>
          <w:rFonts w:ascii="Verdana" w:hAnsi="Verdana" w:cs="Arial"/>
          <w:lang w:eastAsia="es-CO"/>
        </w:rPr>
      </w:pPr>
      <w:r w:rsidRPr="00F668C2">
        <w:rPr>
          <w:rFonts w:ascii="Verdana" w:eastAsia="Times New Roman" w:hAnsi="Verdana" w:cs="Arial"/>
          <w:lang w:eastAsia="es-CO"/>
        </w:rPr>
        <w:t>Atentamente,</w:t>
      </w:r>
      <w:r w:rsidRPr="00F668C2">
        <w:rPr>
          <w:rFonts w:ascii="Verdana" w:hAnsi="Verdana" w:cs="Arial"/>
          <w:lang w:eastAsia="es-CO"/>
        </w:rPr>
        <w:t xml:space="preserve"> </w:t>
      </w:r>
    </w:p>
    <w:p w14:paraId="5B53B93B" w14:textId="77777777" w:rsidR="00D67D63" w:rsidRDefault="00D67D63" w:rsidP="00D67D63">
      <w:pPr>
        <w:spacing w:after="0" w:line="240" w:lineRule="auto"/>
        <w:jc w:val="both"/>
        <w:rPr>
          <w:rFonts w:ascii="Verdana" w:hAnsi="Verdana" w:cs="Arial"/>
          <w:lang w:eastAsia="es-CO"/>
        </w:rPr>
      </w:pPr>
    </w:p>
    <w:p w14:paraId="35F605F8" w14:textId="77777777" w:rsidR="00D67D63" w:rsidRDefault="00D67D63" w:rsidP="00D67D63">
      <w:pPr>
        <w:spacing w:after="0" w:line="240" w:lineRule="auto"/>
        <w:jc w:val="both"/>
        <w:rPr>
          <w:rFonts w:ascii="Verdana" w:hAnsi="Verdana" w:cs="Arial"/>
          <w:lang w:eastAsia="es-CO"/>
        </w:rPr>
      </w:pPr>
      <w:r>
        <w:rPr>
          <w:noProof/>
        </w:rPr>
        <w:drawing>
          <wp:anchor distT="0" distB="0" distL="114300" distR="114300" simplePos="0" relativeHeight="251659264" behindDoc="0" locked="0" layoutInCell="1" allowOverlap="1" wp14:anchorId="76F12AA7" wp14:editId="1CFE4E91">
            <wp:simplePos x="0" y="0"/>
            <wp:positionH relativeFrom="margin">
              <wp:align>center</wp:align>
            </wp:positionH>
            <wp:positionV relativeFrom="paragraph">
              <wp:posOffset>4528</wp:posOffset>
            </wp:positionV>
            <wp:extent cx="3380740" cy="1332865"/>
            <wp:effectExtent l="0" t="0" r="0" b="63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380740" cy="1332865"/>
                    </a:xfrm>
                    <a:prstGeom prst="rect">
                      <a:avLst/>
                    </a:prstGeom>
                  </pic:spPr>
                </pic:pic>
              </a:graphicData>
            </a:graphic>
          </wp:anchor>
        </w:drawing>
      </w:r>
    </w:p>
    <w:p w14:paraId="3A4FC666" w14:textId="77777777" w:rsidR="00D67D63" w:rsidRDefault="00D67D63" w:rsidP="00D67D63">
      <w:pPr>
        <w:spacing w:after="0" w:line="240" w:lineRule="auto"/>
        <w:jc w:val="both"/>
        <w:rPr>
          <w:rFonts w:ascii="Verdana" w:hAnsi="Verdana" w:cs="Arial"/>
          <w:lang w:eastAsia="es-CO"/>
        </w:rPr>
      </w:pPr>
    </w:p>
    <w:p w14:paraId="217AFF96" w14:textId="77777777" w:rsidR="00D67D63" w:rsidRDefault="00D67D63" w:rsidP="00D67D63">
      <w:pPr>
        <w:spacing w:after="0" w:line="240" w:lineRule="auto"/>
        <w:jc w:val="both"/>
        <w:rPr>
          <w:rFonts w:ascii="Verdana" w:hAnsi="Verdana" w:cs="Arial"/>
          <w:lang w:eastAsia="es-CO"/>
        </w:rPr>
      </w:pPr>
    </w:p>
    <w:p w14:paraId="06ABF0BE" w14:textId="77777777" w:rsidR="00D67D63" w:rsidRPr="00A5074F" w:rsidRDefault="00D67D63" w:rsidP="00D67D63">
      <w:pPr>
        <w:spacing w:after="0" w:line="240" w:lineRule="auto"/>
        <w:jc w:val="both"/>
        <w:rPr>
          <w:rFonts w:ascii="Verdana" w:hAnsi="Verdana" w:cs="Arial"/>
          <w:lang w:eastAsia="es-CO"/>
        </w:rPr>
      </w:pPr>
    </w:p>
    <w:p w14:paraId="0D3F54EF" w14:textId="77777777" w:rsidR="00D67D63" w:rsidRDefault="00D67D63" w:rsidP="00D67D63">
      <w:pPr>
        <w:spacing w:line="240" w:lineRule="auto"/>
        <w:jc w:val="center"/>
        <w:rPr>
          <w:rFonts w:ascii="Verdana" w:hAnsi="Verdana" w:cs="Arial"/>
          <w:color w:val="000000"/>
          <w:sz w:val="20"/>
          <w:szCs w:val="20"/>
          <w:lang w:val="es-ES_tradnl" w:eastAsia="es-CO"/>
        </w:rPr>
      </w:pPr>
    </w:p>
    <w:p w14:paraId="51AA193C" w14:textId="77777777" w:rsidR="00D67D63" w:rsidRDefault="00D67D63" w:rsidP="00D67D63">
      <w:pPr>
        <w:spacing w:line="240" w:lineRule="auto"/>
        <w:jc w:val="center"/>
        <w:rPr>
          <w:rFonts w:ascii="Verdana" w:hAnsi="Verdana" w:cs="Arial"/>
          <w:color w:val="000000"/>
          <w:sz w:val="20"/>
          <w:szCs w:val="20"/>
          <w:lang w:val="es-ES_tradnl" w:eastAsia="es-CO"/>
        </w:rPr>
      </w:pPr>
    </w:p>
    <w:p w14:paraId="0596E66C" w14:textId="77777777" w:rsidR="00D67D63" w:rsidRDefault="00D67D63" w:rsidP="00D67D63">
      <w:pPr>
        <w:spacing w:line="240" w:lineRule="auto"/>
        <w:rPr>
          <w:rFonts w:ascii="Verdana" w:hAnsi="Verdana" w:cs="Arial"/>
          <w:color w:val="000000"/>
          <w:sz w:val="20"/>
          <w:szCs w:val="20"/>
          <w:lang w:val="es-ES_tradnl" w:eastAsia="es-CO"/>
        </w:rPr>
      </w:pPr>
    </w:p>
    <w:p w14:paraId="091265A0" w14:textId="77777777" w:rsidR="00D67D63" w:rsidRPr="00194D57" w:rsidRDefault="00D67D63" w:rsidP="00D67D63">
      <w:pPr>
        <w:spacing w:line="240" w:lineRule="auto"/>
        <w:rPr>
          <w:rFonts w:ascii="Verdana" w:hAnsi="Verdana" w:cs="Arial"/>
          <w:color w:val="000000"/>
          <w:sz w:val="20"/>
          <w:szCs w:val="2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67D63" w:rsidRPr="00194D57" w14:paraId="207F0AAD" w14:textId="77777777" w:rsidTr="00532698">
        <w:trPr>
          <w:trHeight w:val="315"/>
        </w:trPr>
        <w:tc>
          <w:tcPr>
            <w:tcW w:w="893" w:type="dxa"/>
            <w:vAlign w:val="center"/>
            <w:hideMark/>
          </w:tcPr>
          <w:p w14:paraId="21D15AEE" w14:textId="77777777" w:rsidR="00D67D63" w:rsidRPr="006B1A5A" w:rsidRDefault="00D67D63" w:rsidP="00532698">
            <w:pPr>
              <w:contextualSpacing/>
              <w:rPr>
                <w:rFonts w:ascii="Verdana" w:hAnsi="Verdana" w:cs="Arial"/>
                <w:sz w:val="16"/>
                <w:szCs w:val="16"/>
                <w:lang w:val="es-ES" w:eastAsia="es-ES"/>
              </w:rPr>
            </w:pPr>
            <w:r w:rsidRPr="006B1A5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79A31F3" w14:textId="77777777" w:rsidR="00D67D63" w:rsidRPr="006B1A5A" w:rsidRDefault="00D67D63" w:rsidP="00532698">
            <w:pPr>
              <w:contextualSpacing/>
              <w:rPr>
                <w:rFonts w:ascii="Verdana" w:eastAsia="Arial" w:hAnsi="Verdana" w:cs="Arial"/>
                <w:color w:val="7030A0"/>
                <w:sz w:val="16"/>
                <w:szCs w:val="16"/>
              </w:rPr>
            </w:pPr>
            <w:r w:rsidRPr="006B1A5A">
              <w:rPr>
                <w:rStyle w:val="normaltextrun"/>
                <w:rFonts w:ascii="Verdana" w:hAnsi="Verdana"/>
                <w:sz w:val="16"/>
                <w:szCs w:val="16"/>
              </w:rPr>
              <w:t>Sergio Andrés Rivera Cano</w:t>
            </w:r>
          </w:p>
          <w:p w14:paraId="717B4125" w14:textId="77777777" w:rsidR="00D67D63" w:rsidRPr="006B1A5A" w:rsidRDefault="00D67D63" w:rsidP="00532698">
            <w:pPr>
              <w:contextualSpacing/>
              <w:rPr>
                <w:rFonts w:ascii="Verdana" w:eastAsia="Arial" w:hAnsi="Verdana" w:cs="Arial"/>
                <w:sz w:val="16"/>
                <w:szCs w:val="16"/>
              </w:rPr>
            </w:pPr>
            <w:r w:rsidRPr="006B1A5A">
              <w:rPr>
                <w:rStyle w:val="normaltextrun"/>
                <w:rFonts w:ascii="Verdana" w:eastAsia="Arial" w:hAnsi="Verdana" w:cs="Arial"/>
                <w:sz w:val="16"/>
                <w:szCs w:val="16"/>
              </w:rPr>
              <w:t>C</w:t>
            </w:r>
            <w:r w:rsidRPr="006B1A5A">
              <w:rPr>
                <w:rStyle w:val="normaltextrun"/>
                <w:rFonts w:ascii="Verdana" w:eastAsia="Arial" w:hAnsi="Verdana"/>
                <w:sz w:val="16"/>
                <w:szCs w:val="16"/>
              </w:rPr>
              <w:t>ontratista</w:t>
            </w:r>
            <w:r w:rsidRPr="006B1A5A">
              <w:rPr>
                <w:rStyle w:val="normaltextrun"/>
                <w:rFonts w:ascii="Verdana" w:eastAsia="Arial" w:hAnsi="Verdana" w:cs="Arial"/>
                <w:sz w:val="16"/>
                <w:szCs w:val="16"/>
              </w:rPr>
              <w:t xml:space="preserve"> de la Subdirección de Gestión Contractual</w:t>
            </w:r>
          </w:p>
        </w:tc>
      </w:tr>
      <w:tr w:rsidR="00D67D63" w:rsidRPr="00194D57" w14:paraId="589AAD15" w14:textId="77777777" w:rsidTr="00532698">
        <w:trPr>
          <w:trHeight w:val="330"/>
        </w:trPr>
        <w:tc>
          <w:tcPr>
            <w:tcW w:w="893" w:type="dxa"/>
            <w:vAlign w:val="center"/>
            <w:hideMark/>
          </w:tcPr>
          <w:p w14:paraId="44C9476B" w14:textId="77777777" w:rsidR="00D67D63" w:rsidRPr="006B1A5A" w:rsidRDefault="00D67D63" w:rsidP="00532698">
            <w:pPr>
              <w:contextualSpacing/>
              <w:rPr>
                <w:rFonts w:ascii="Verdana" w:hAnsi="Verdana" w:cs="Arial"/>
                <w:sz w:val="16"/>
                <w:szCs w:val="16"/>
                <w:lang w:val="es-ES" w:eastAsia="es-ES"/>
              </w:rPr>
            </w:pPr>
            <w:r w:rsidRPr="006B1A5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8C5B307" w14:textId="77777777" w:rsidR="00D67D63" w:rsidRPr="006B1A5A" w:rsidRDefault="00D67D63" w:rsidP="00532698">
            <w:pPr>
              <w:pStyle w:val="paragraph"/>
              <w:spacing w:before="0" w:beforeAutospacing="0" w:after="0" w:afterAutospacing="0"/>
              <w:contextualSpacing/>
              <w:textAlignment w:val="baseline"/>
              <w:rPr>
                <w:rStyle w:val="normaltextrun"/>
                <w:rFonts w:ascii="Verdana" w:hAnsi="Verdana" w:cs="Arial"/>
                <w:sz w:val="16"/>
                <w:szCs w:val="16"/>
                <w:lang w:val="es-ES"/>
              </w:rPr>
            </w:pPr>
            <w:r w:rsidRPr="006B1A5A">
              <w:rPr>
                <w:rStyle w:val="normaltextrun"/>
                <w:rFonts w:ascii="Verdana" w:hAnsi="Verdana" w:cs="Arial"/>
                <w:sz w:val="16"/>
                <w:szCs w:val="16"/>
                <w:lang w:val="es-ES"/>
              </w:rPr>
              <w:t>Ximena Ríos López</w:t>
            </w:r>
            <w:r w:rsidRPr="006B1A5A">
              <w:rPr>
                <w:rStyle w:val="normaltextrun"/>
                <w:rFonts w:ascii="Verdana" w:hAnsi="Verdana"/>
                <w:sz w:val="16"/>
                <w:szCs w:val="16"/>
                <w:lang w:val="es-ES"/>
              </w:rPr>
              <w:t xml:space="preserve"> </w:t>
            </w:r>
          </w:p>
          <w:p w14:paraId="5372079B" w14:textId="77777777" w:rsidR="00D67D63" w:rsidRPr="006B1A5A" w:rsidRDefault="00D67D63" w:rsidP="00532698">
            <w:pPr>
              <w:pStyle w:val="paragraph"/>
              <w:spacing w:before="0" w:beforeAutospacing="0" w:after="0" w:afterAutospacing="0"/>
              <w:contextualSpacing/>
              <w:textAlignment w:val="baseline"/>
              <w:rPr>
                <w:rFonts w:ascii="Verdana" w:hAnsi="Verdana" w:cs="Segoe UI"/>
                <w:sz w:val="16"/>
                <w:szCs w:val="16"/>
              </w:rPr>
            </w:pPr>
            <w:r w:rsidRPr="006B1A5A">
              <w:rPr>
                <w:rStyle w:val="normaltextrun"/>
                <w:rFonts w:ascii="Verdana" w:hAnsi="Verdana" w:cs="Arial"/>
                <w:sz w:val="16"/>
                <w:szCs w:val="16"/>
                <w:lang w:val="es-ES"/>
              </w:rPr>
              <w:t>Gestor T1-11 de la Subdirección de Gestión Contractual</w:t>
            </w:r>
            <w:r w:rsidRPr="006B1A5A">
              <w:rPr>
                <w:rStyle w:val="eop"/>
                <w:rFonts w:ascii="Verdana" w:eastAsiaTheme="majorEastAsia" w:hAnsi="Verdana" w:cs="Arial"/>
                <w:sz w:val="16"/>
                <w:szCs w:val="16"/>
              </w:rPr>
              <w:t> </w:t>
            </w:r>
          </w:p>
        </w:tc>
      </w:tr>
      <w:tr w:rsidR="00D67D63" w:rsidRPr="00194D57" w14:paraId="0535015C" w14:textId="77777777" w:rsidTr="00532698">
        <w:trPr>
          <w:trHeight w:val="300"/>
        </w:trPr>
        <w:tc>
          <w:tcPr>
            <w:tcW w:w="893" w:type="dxa"/>
            <w:vAlign w:val="center"/>
          </w:tcPr>
          <w:p w14:paraId="40EEEE6C" w14:textId="77777777" w:rsidR="00D67D63" w:rsidRPr="006B1A5A" w:rsidRDefault="00D67D63" w:rsidP="00532698">
            <w:pPr>
              <w:contextualSpacing/>
              <w:rPr>
                <w:rFonts w:ascii="Verdana" w:hAnsi="Verdana" w:cs="Arial"/>
                <w:sz w:val="16"/>
                <w:szCs w:val="16"/>
                <w:lang w:val="es-ES" w:eastAsia="es-ES"/>
              </w:rPr>
            </w:pPr>
            <w:r w:rsidRPr="006B1A5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93D7F60" w14:textId="77777777" w:rsidR="00D67D63" w:rsidRPr="006B1A5A" w:rsidRDefault="00D67D63" w:rsidP="00532698">
            <w:pPr>
              <w:contextualSpacing/>
              <w:rPr>
                <w:rFonts w:ascii="Verdana" w:eastAsia="Calibri" w:hAnsi="Verdana" w:cs="Arial"/>
                <w:sz w:val="16"/>
                <w:szCs w:val="16"/>
                <w:lang w:val="pt-BR" w:eastAsia="es-ES"/>
              </w:rPr>
            </w:pPr>
            <w:r w:rsidRPr="006B1A5A">
              <w:rPr>
                <w:rFonts w:ascii="Verdana" w:eastAsia="Calibri" w:hAnsi="Verdana" w:cs="Arial"/>
                <w:sz w:val="16"/>
                <w:szCs w:val="16"/>
                <w:lang w:val="pt-BR" w:eastAsia="es-ES"/>
              </w:rPr>
              <w:t>Carolina Quintero Gacharná</w:t>
            </w:r>
          </w:p>
          <w:p w14:paraId="374C4D0F" w14:textId="77777777" w:rsidR="00D67D63" w:rsidRPr="006B1A5A" w:rsidRDefault="00D67D63" w:rsidP="00532698">
            <w:pPr>
              <w:contextualSpacing/>
              <w:rPr>
                <w:rFonts w:ascii="Verdana" w:eastAsia="Calibri" w:hAnsi="Verdana" w:cs="Arial"/>
                <w:sz w:val="16"/>
                <w:szCs w:val="16"/>
                <w:lang w:val="pt-BR" w:eastAsia="es-ES"/>
              </w:rPr>
            </w:pPr>
            <w:r w:rsidRPr="006B1A5A">
              <w:rPr>
                <w:rFonts w:ascii="Verdana" w:eastAsia="Calibri" w:hAnsi="Verdana" w:cs="Arial"/>
                <w:sz w:val="16"/>
                <w:szCs w:val="16"/>
                <w:lang w:eastAsia="es-ES"/>
              </w:rPr>
              <w:t>Subdirectora</w:t>
            </w:r>
            <w:r w:rsidRPr="006B1A5A">
              <w:rPr>
                <w:rFonts w:ascii="Verdana" w:eastAsia="Calibri" w:hAnsi="Verdana" w:cs="Arial"/>
                <w:sz w:val="16"/>
                <w:szCs w:val="16"/>
                <w:lang w:val="pt-BR" w:eastAsia="es-ES"/>
              </w:rPr>
              <w:t xml:space="preserve"> de Gestión Contractual ANCP – CCE</w:t>
            </w:r>
          </w:p>
        </w:tc>
      </w:tr>
    </w:tbl>
    <w:p w14:paraId="5D81CFC8" w14:textId="77777777" w:rsidR="00D67D63" w:rsidRPr="00FC20F5" w:rsidRDefault="00D67D63" w:rsidP="00D67D63">
      <w:pPr>
        <w:jc w:val="both"/>
      </w:pPr>
    </w:p>
    <w:p w14:paraId="580D0FAF" w14:textId="77777777" w:rsidR="00D67D63" w:rsidRDefault="00D67D63" w:rsidP="00D67D63"/>
    <w:p w14:paraId="081F9939" w14:textId="77777777" w:rsidR="00D67D63" w:rsidRPr="00FC20F5" w:rsidRDefault="00D67D63" w:rsidP="00D67D63"/>
    <w:p w14:paraId="3F45E1B8" w14:textId="77777777" w:rsidR="007702E2" w:rsidRDefault="007702E2"/>
    <w:sectPr w:rsidR="007702E2" w:rsidSect="007C0C0F">
      <w:headerReference w:type="default" r:id="rId10"/>
      <w:footerReference w:type="default" r:id="rId1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E59479" w14:textId="77777777" w:rsidR="00B94B05" w:rsidRDefault="00B94B05" w:rsidP="00D67D63">
      <w:pPr>
        <w:spacing w:after="0" w:line="240" w:lineRule="auto"/>
      </w:pPr>
      <w:r>
        <w:separator/>
      </w:r>
    </w:p>
  </w:endnote>
  <w:endnote w:type="continuationSeparator" w:id="0">
    <w:p w14:paraId="34735AF5" w14:textId="77777777" w:rsidR="00B94B05" w:rsidRDefault="00B94B05" w:rsidP="00D67D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Yu Gothic UI Semibold">
    <w:panose1 w:val="020B0700000000000000"/>
    <w:charset w:val="80"/>
    <w:family w:val="swiss"/>
    <w:pitch w:val="variable"/>
    <w:sig w:usb0="E00002FF" w:usb1="2AC7FDFF" w:usb2="00000016" w:usb3="00000000" w:csb0="000200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8297EC" w14:textId="77777777" w:rsidR="004A1847" w:rsidRDefault="00B94B05">
    <w:pPr>
      <w:pStyle w:val="Piedepgina"/>
    </w:pPr>
  </w:p>
  <w:p w14:paraId="3F0B0B9B" w14:textId="77777777" w:rsidR="00D520D8" w:rsidRPr="00174B77" w:rsidRDefault="006F1EF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5C90F1A" w14:textId="77777777" w:rsidR="00D520D8" w:rsidRDefault="006F1EF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2D553176" w14:textId="77777777" w:rsidR="00D520D8" w:rsidRPr="00E41027" w:rsidRDefault="006F1EF8" w:rsidP="00D520D8">
    <w:pPr>
      <w:spacing w:after="0"/>
      <w:jc w:val="both"/>
      <w:rPr>
        <w:rFonts w:ascii="Verdana" w:hAnsi="Verdana"/>
        <w:sz w:val="18"/>
        <w:szCs w:val="18"/>
      </w:rPr>
    </w:pPr>
    <w:r w:rsidRPr="00E41027">
      <w:rPr>
        <w:rFonts w:ascii="Verdana" w:hAnsi="Verdana"/>
        <w:sz w:val="18"/>
        <w:szCs w:val="18"/>
      </w:rPr>
      <w:t>Mesa de servicio: (+57) 601 7456788</w:t>
    </w:r>
  </w:p>
  <w:p w14:paraId="38574D9D" w14:textId="77777777" w:rsidR="006219F8" w:rsidRDefault="006F1EF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C2B0FF" w14:textId="77777777" w:rsidR="00B94B05" w:rsidRDefault="00B94B05" w:rsidP="00D67D63">
      <w:pPr>
        <w:spacing w:after="0" w:line="240" w:lineRule="auto"/>
      </w:pPr>
      <w:r>
        <w:separator/>
      </w:r>
    </w:p>
  </w:footnote>
  <w:footnote w:type="continuationSeparator" w:id="0">
    <w:p w14:paraId="633415DA" w14:textId="77777777" w:rsidR="00B94B05" w:rsidRDefault="00B94B05" w:rsidP="00D67D63">
      <w:pPr>
        <w:spacing w:after="0" w:line="240" w:lineRule="auto"/>
      </w:pPr>
      <w:r>
        <w:continuationSeparator/>
      </w:r>
    </w:p>
  </w:footnote>
  <w:footnote w:id="1">
    <w:p w14:paraId="57E12761" w14:textId="77777777" w:rsidR="00D67D63" w:rsidRPr="001157F6" w:rsidRDefault="00D67D63" w:rsidP="00D67D63">
      <w:pPr>
        <w:pStyle w:val="Textonotapie"/>
        <w:ind w:firstLine="709"/>
        <w:jc w:val="both"/>
        <w:rPr>
          <w:color w:val="000000"/>
          <w:sz w:val="16"/>
          <w:szCs w:val="16"/>
        </w:rPr>
      </w:pPr>
      <w:r w:rsidRPr="001157F6">
        <w:rPr>
          <w:rStyle w:val="Refdenotaalpie"/>
          <w:color w:val="000000"/>
          <w:sz w:val="16"/>
          <w:szCs w:val="16"/>
        </w:rPr>
        <w:footnoteRef/>
      </w:r>
      <w:r w:rsidRPr="001157F6">
        <w:rPr>
          <w:color w:val="000000"/>
          <w:sz w:val="16"/>
          <w:szCs w:val="16"/>
        </w:rPr>
        <w:t xml:space="preserve"> El artículo 6 de la Ley 80 de 1993 expresa: </w:t>
      </w:r>
      <w:r>
        <w:rPr>
          <w:color w:val="000000"/>
          <w:sz w:val="16"/>
          <w:szCs w:val="16"/>
        </w:rPr>
        <w:t>“</w:t>
      </w:r>
      <w:r w:rsidRPr="001157F6">
        <w:rPr>
          <w:color w:val="000000"/>
          <w:sz w:val="16"/>
          <w:szCs w:val="16"/>
        </w:rPr>
        <w:t>Pueden celebrar contratos con las entidades estatales las personas consideradas legalmente capaces en las disposiciones vigentes. También podrán celebrar contratos con las entidades estatales, los consorcios y uniones temporales.</w:t>
      </w:r>
    </w:p>
    <w:p w14:paraId="73B08695" w14:textId="77777777" w:rsidR="00D67D63" w:rsidRDefault="00D67D63" w:rsidP="00D67D63">
      <w:pPr>
        <w:pStyle w:val="Textonotapie"/>
        <w:ind w:firstLine="709"/>
        <w:jc w:val="both"/>
        <w:rPr>
          <w:color w:val="000000"/>
          <w:sz w:val="16"/>
          <w:szCs w:val="16"/>
        </w:rPr>
      </w:pPr>
      <w:r w:rsidRPr="001157F6">
        <w:rPr>
          <w:color w:val="000000"/>
          <w:sz w:val="16"/>
          <w:szCs w:val="16"/>
        </w:rPr>
        <w:t>Las personas jurídicas nacionales y extranjeras deberán acreditar que su duración no será inferior a la del plazo del contrato y un año más</w:t>
      </w:r>
      <w:r>
        <w:rPr>
          <w:color w:val="000000"/>
          <w:sz w:val="16"/>
          <w:szCs w:val="16"/>
        </w:rPr>
        <w:t>”</w:t>
      </w:r>
      <w:r w:rsidRPr="001157F6">
        <w:rPr>
          <w:color w:val="000000"/>
          <w:sz w:val="16"/>
          <w:szCs w:val="16"/>
        </w:rPr>
        <w:t>.</w:t>
      </w:r>
    </w:p>
    <w:p w14:paraId="5627F3DE" w14:textId="77777777" w:rsidR="00D67D63" w:rsidRPr="001157F6" w:rsidRDefault="00D67D63" w:rsidP="00D67D63">
      <w:pPr>
        <w:pStyle w:val="Textonotapie"/>
        <w:ind w:firstLine="709"/>
        <w:jc w:val="both"/>
        <w:rPr>
          <w:color w:val="000000"/>
          <w:sz w:val="16"/>
          <w:szCs w:val="16"/>
        </w:rPr>
      </w:pPr>
    </w:p>
  </w:footnote>
  <w:footnote w:id="2">
    <w:p w14:paraId="55C381A9" w14:textId="77777777" w:rsidR="00D67D63" w:rsidRPr="001157F6" w:rsidRDefault="00D67D63" w:rsidP="00D67D63">
      <w:pPr>
        <w:pStyle w:val="Textonotapie"/>
        <w:ind w:firstLine="709"/>
        <w:jc w:val="both"/>
        <w:rPr>
          <w:color w:val="000000"/>
          <w:sz w:val="16"/>
          <w:szCs w:val="16"/>
        </w:rPr>
      </w:pPr>
      <w:r w:rsidRPr="001157F6">
        <w:rPr>
          <w:rStyle w:val="Refdenotaalpie"/>
          <w:color w:val="000000"/>
          <w:sz w:val="16"/>
          <w:szCs w:val="16"/>
        </w:rPr>
        <w:footnoteRef/>
      </w:r>
      <w:r w:rsidRPr="001157F6">
        <w:rPr>
          <w:color w:val="000000"/>
          <w:sz w:val="16"/>
          <w:szCs w:val="16"/>
        </w:rPr>
        <w:t xml:space="preserve"> El artículo 1502 del Código Civil prevé la capacidad legal como requisito para obligarse contractualmente, en los siguientes términos: </w:t>
      </w:r>
      <w:r>
        <w:rPr>
          <w:color w:val="000000"/>
          <w:sz w:val="16"/>
          <w:szCs w:val="16"/>
        </w:rPr>
        <w:t>“</w:t>
      </w:r>
      <w:r w:rsidRPr="001157F6">
        <w:rPr>
          <w:color w:val="000000"/>
          <w:sz w:val="16"/>
          <w:szCs w:val="16"/>
        </w:rPr>
        <w:t>Para que una persona se obligue a otra por un acto o declaración de voluntad, es necesario:</w:t>
      </w:r>
    </w:p>
    <w:p w14:paraId="48520D75" w14:textId="77777777" w:rsidR="00D67D63" w:rsidRPr="001157F6" w:rsidRDefault="00D67D63" w:rsidP="00D67D63">
      <w:pPr>
        <w:pStyle w:val="Textonotapie"/>
        <w:ind w:firstLine="709"/>
        <w:jc w:val="both"/>
        <w:rPr>
          <w:color w:val="000000"/>
          <w:sz w:val="16"/>
          <w:szCs w:val="16"/>
        </w:rPr>
      </w:pPr>
      <w:r w:rsidRPr="001157F6">
        <w:rPr>
          <w:color w:val="000000"/>
          <w:sz w:val="16"/>
          <w:szCs w:val="16"/>
        </w:rPr>
        <w:t>1o.) que sea legalmente capaz.</w:t>
      </w:r>
    </w:p>
    <w:p w14:paraId="0EDB0BE9" w14:textId="77777777" w:rsidR="00D67D63" w:rsidRPr="001157F6" w:rsidRDefault="00D67D63" w:rsidP="00D67D63">
      <w:pPr>
        <w:pStyle w:val="Textonotapie"/>
        <w:ind w:firstLine="709"/>
        <w:jc w:val="both"/>
        <w:rPr>
          <w:color w:val="000000"/>
          <w:sz w:val="16"/>
          <w:szCs w:val="16"/>
        </w:rPr>
      </w:pPr>
      <w:r w:rsidRPr="001157F6">
        <w:rPr>
          <w:color w:val="000000"/>
          <w:sz w:val="16"/>
          <w:szCs w:val="16"/>
        </w:rPr>
        <w:t>[…]</w:t>
      </w:r>
    </w:p>
    <w:p w14:paraId="0464AB49" w14:textId="77777777" w:rsidR="00D67D63" w:rsidRPr="001157F6" w:rsidRDefault="00D67D63" w:rsidP="00D67D63">
      <w:pPr>
        <w:pStyle w:val="Textonotapie"/>
        <w:ind w:firstLine="709"/>
        <w:jc w:val="both"/>
        <w:rPr>
          <w:color w:val="000000"/>
          <w:sz w:val="16"/>
          <w:szCs w:val="16"/>
        </w:rPr>
      </w:pPr>
      <w:r w:rsidRPr="001157F6">
        <w:rPr>
          <w:color w:val="000000"/>
          <w:sz w:val="16"/>
          <w:szCs w:val="16"/>
        </w:rPr>
        <w:t>La capacidad legal de una persona consiste en poderse obligar por sí misma, sin el ministerio o la autorización de otra</w:t>
      </w:r>
      <w:r>
        <w:rPr>
          <w:color w:val="000000"/>
          <w:sz w:val="16"/>
          <w:szCs w:val="16"/>
        </w:rPr>
        <w:t>”</w:t>
      </w:r>
      <w:r w:rsidRPr="001157F6">
        <w:rPr>
          <w:color w:val="000000"/>
          <w:sz w:val="16"/>
          <w:szCs w:val="16"/>
        </w:rPr>
        <w:t>.</w:t>
      </w:r>
    </w:p>
  </w:footnote>
  <w:footnote w:id="3">
    <w:p w14:paraId="250BC77E" w14:textId="77777777" w:rsidR="00D67D63" w:rsidRDefault="00D67D63" w:rsidP="00D67D63">
      <w:pPr>
        <w:pStyle w:val="Textonotapie"/>
        <w:ind w:firstLine="709"/>
        <w:jc w:val="both"/>
        <w:rPr>
          <w:color w:val="000000"/>
          <w:sz w:val="16"/>
          <w:szCs w:val="16"/>
        </w:rPr>
      </w:pPr>
    </w:p>
    <w:p w14:paraId="4FF0FA8C" w14:textId="77777777" w:rsidR="00D67D63" w:rsidRPr="001157F6" w:rsidRDefault="00D67D63" w:rsidP="00D67D63">
      <w:pPr>
        <w:pStyle w:val="Textonotapie"/>
        <w:ind w:firstLine="709"/>
        <w:jc w:val="both"/>
        <w:rPr>
          <w:color w:val="000000"/>
          <w:sz w:val="16"/>
          <w:szCs w:val="16"/>
          <w:lang w:val="es-ES"/>
        </w:rPr>
      </w:pPr>
      <w:r w:rsidRPr="001157F6">
        <w:rPr>
          <w:rStyle w:val="Refdenotaalpie"/>
          <w:color w:val="000000"/>
          <w:sz w:val="16"/>
          <w:szCs w:val="16"/>
        </w:rPr>
        <w:footnoteRef/>
      </w:r>
      <w:r w:rsidRPr="001157F6">
        <w:rPr>
          <w:color w:val="000000"/>
          <w:sz w:val="16"/>
          <w:szCs w:val="16"/>
        </w:rPr>
        <w:t xml:space="preserve"> Los incisos 1 y 2 de dicho artículo disponen: </w:t>
      </w:r>
      <w:r>
        <w:rPr>
          <w:color w:val="000000"/>
          <w:sz w:val="16"/>
          <w:szCs w:val="16"/>
          <w:lang w:val="es-ES"/>
        </w:rPr>
        <w:t>“</w:t>
      </w:r>
      <w:r w:rsidRPr="001157F6">
        <w:rPr>
          <w:color w:val="000000"/>
          <w:sz w:val="16"/>
          <w:szCs w:val="16"/>
          <w:lang w:val="es-ES"/>
        </w:rPr>
        <w:t>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r>
        <w:rPr>
          <w:color w:val="000000"/>
          <w:sz w:val="16"/>
          <w:szCs w:val="16"/>
          <w:lang w:val="es-ES"/>
        </w:rPr>
        <w:t>”.</w:t>
      </w:r>
    </w:p>
    <w:p w14:paraId="6AC8BB87" w14:textId="77777777" w:rsidR="00D67D63" w:rsidRPr="001157F6" w:rsidRDefault="00D67D63" w:rsidP="00D67D63">
      <w:pPr>
        <w:pStyle w:val="Textonotapie"/>
        <w:ind w:firstLine="709"/>
        <w:jc w:val="both"/>
        <w:rPr>
          <w:color w:val="000000"/>
          <w:sz w:val="16"/>
          <w:szCs w:val="16"/>
          <w:lang w:val="es-ES"/>
        </w:rPr>
      </w:pPr>
      <w:r>
        <w:rPr>
          <w:color w:val="000000"/>
          <w:sz w:val="16"/>
          <w:szCs w:val="16"/>
          <w:lang w:val="es-ES"/>
        </w:rPr>
        <w:t>“</w:t>
      </w:r>
      <w:r w:rsidRPr="001157F6">
        <w:rPr>
          <w:color w:val="000000"/>
          <w:sz w:val="16"/>
          <w:szCs w:val="16"/>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r>
        <w:rPr>
          <w:color w:val="000000"/>
          <w:sz w:val="16"/>
          <w:szCs w:val="16"/>
          <w:lang w:val="es-ES"/>
        </w:rPr>
        <w:t>”</w:t>
      </w:r>
      <w:r w:rsidRPr="001157F6">
        <w:rPr>
          <w:color w:val="000000"/>
          <w:sz w:val="16"/>
          <w:szCs w:val="16"/>
          <w:lang w:val="es-ES"/>
        </w:rPr>
        <w:t>.</w:t>
      </w:r>
    </w:p>
    <w:p w14:paraId="31CF0EBF" w14:textId="77777777" w:rsidR="00D67D63" w:rsidRPr="001157F6" w:rsidRDefault="00D67D63" w:rsidP="00D67D63">
      <w:pPr>
        <w:pStyle w:val="Textonotapie"/>
        <w:ind w:firstLine="709"/>
        <w:jc w:val="both"/>
        <w:rPr>
          <w:color w:val="000000"/>
          <w:sz w:val="16"/>
          <w:szCs w:val="16"/>
        </w:rPr>
      </w:pPr>
    </w:p>
  </w:footnote>
  <w:footnote w:id="4">
    <w:p w14:paraId="6F759405" w14:textId="77777777" w:rsidR="00D67D63" w:rsidRDefault="00D67D63" w:rsidP="00D67D63">
      <w:pPr>
        <w:pStyle w:val="Textonotapie"/>
        <w:ind w:firstLine="709"/>
        <w:jc w:val="both"/>
        <w:rPr>
          <w:color w:val="000000"/>
          <w:sz w:val="16"/>
          <w:szCs w:val="16"/>
          <w:lang w:val="es-ES"/>
        </w:rPr>
      </w:pPr>
      <w:r w:rsidRPr="00025BD4">
        <w:rPr>
          <w:rStyle w:val="Refdenotaalpie"/>
          <w:color w:val="000000"/>
          <w:sz w:val="16"/>
          <w:szCs w:val="16"/>
        </w:rPr>
        <w:footnoteRef/>
      </w:r>
      <w:r w:rsidRPr="00025BD4">
        <w:rPr>
          <w:color w:val="000000"/>
          <w:sz w:val="16"/>
          <w:szCs w:val="16"/>
        </w:rPr>
        <w:t xml:space="preserve"> </w:t>
      </w:r>
      <w:r w:rsidRPr="00025BD4">
        <w:rPr>
          <w:color w:val="000000"/>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025BD4">
        <w:rPr>
          <w:i/>
          <w:color w:val="000000"/>
          <w:sz w:val="16"/>
          <w:szCs w:val="16"/>
          <w:lang w:val="es-ES"/>
        </w:rPr>
        <w:t>el régimen de inhabilidades e incompatibilidades</w:t>
      </w:r>
      <w:r w:rsidRPr="00025BD4">
        <w:rPr>
          <w:color w:val="000000"/>
          <w:sz w:val="16"/>
          <w:szCs w:val="16"/>
          <w:lang w:val="es-ES"/>
        </w:rPr>
        <w:t xml:space="preserve"> (1) y la obligación de ciertos proponentes de inscribirse en el </w:t>
      </w:r>
      <w:r w:rsidRPr="00025BD4">
        <w:rPr>
          <w:i/>
          <w:color w:val="000000"/>
          <w:sz w:val="16"/>
          <w:szCs w:val="16"/>
          <w:lang w:val="es-ES"/>
        </w:rPr>
        <w:t>registro único</w:t>
      </w:r>
      <w:r w:rsidRPr="00025BD4">
        <w:rPr>
          <w:color w:val="000000"/>
          <w:sz w:val="16"/>
          <w:szCs w:val="16"/>
          <w:lang w:val="es-ES"/>
        </w:rPr>
        <w:t xml:space="preserve"> (2)” (BENAVIDES, José Luis. El contrato estatal. Entre el Derecho público y el Derecho privado. 2ª ed. Bogotá: Universidad Externado de Colombia, 2004. p. 278). </w:t>
      </w:r>
    </w:p>
    <w:p w14:paraId="0CBC6D78" w14:textId="77777777" w:rsidR="00D67D63" w:rsidRPr="00025BD4" w:rsidRDefault="00D67D63" w:rsidP="00D67D63">
      <w:pPr>
        <w:pStyle w:val="Textonotapie"/>
        <w:ind w:firstLine="709"/>
        <w:jc w:val="both"/>
        <w:rPr>
          <w:color w:val="000000"/>
          <w:sz w:val="16"/>
          <w:szCs w:val="16"/>
          <w:lang w:val="es-ES"/>
        </w:rPr>
      </w:pPr>
    </w:p>
  </w:footnote>
  <w:footnote w:id="5">
    <w:p w14:paraId="33C04C91" w14:textId="77777777" w:rsidR="00D67D63" w:rsidRPr="001157F6" w:rsidRDefault="00D67D63" w:rsidP="00D67D63">
      <w:pPr>
        <w:ind w:firstLine="709"/>
        <w:jc w:val="both"/>
        <w:rPr>
          <w:rFonts w:ascii="Verdana" w:hAnsi="Verdana" w:cs="Arial"/>
          <w:color w:val="000000"/>
          <w:sz w:val="16"/>
          <w:szCs w:val="16"/>
          <w:lang w:val="es-ES"/>
        </w:rPr>
      </w:pPr>
      <w:r w:rsidRPr="001157F6">
        <w:rPr>
          <w:rStyle w:val="Refdenotaalpie"/>
          <w:rFonts w:ascii="Verdana" w:hAnsi="Verdana" w:cs="Arial"/>
          <w:color w:val="000000"/>
          <w:sz w:val="16"/>
          <w:szCs w:val="16"/>
        </w:rPr>
        <w:footnoteRef/>
      </w:r>
      <w:r w:rsidRPr="001157F6">
        <w:rPr>
          <w:rFonts w:ascii="Verdana" w:hAnsi="Verdana" w:cs="Arial"/>
          <w:color w:val="000000"/>
          <w:sz w:val="16"/>
          <w:szCs w:val="16"/>
        </w:rPr>
        <w:t xml:space="preserve"> </w:t>
      </w:r>
      <w:r w:rsidRPr="001157F6">
        <w:rPr>
          <w:rFonts w:ascii="Verdana" w:hAnsi="Verdana" w:cs="Arial"/>
          <w:color w:val="000000"/>
          <w:sz w:val="16"/>
          <w:szCs w:val="16"/>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footnote>
  <w:footnote w:id="6">
    <w:p w14:paraId="73462473" w14:textId="77777777" w:rsidR="00D67D63" w:rsidRDefault="00D67D63" w:rsidP="00D67D63">
      <w:pPr>
        <w:pStyle w:val="Textonotapie"/>
        <w:ind w:firstLine="709"/>
        <w:jc w:val="both"/>
        <w:rPr>
          <w:color w:val="000000"/>
          <w:sz w:val="16"/>
          <w:szCs w:val="16"/>
          <w:lang w:val="es-ES"/>
        </w:rPr>
      </w:pPr>
      <w:r w:rsidRPr="001157F6">
        <w:rPr>
          <w:rStyle w:val="Refdenotaalpie"/>
          <w:color w:val="000000"/>
          <w:sz w:val="16"/>
          <w:szCs w:val="16"/>
        </w:rPr>
        <w:footnoteRef/>
      </w:r>
      <w:r w:rsidRPr="001157F6">
        <w:rPr>
          <w:color w:val="000000"/>
          <w:sz w:val="16"/>
          <w:szCs w:val="16"/>
        </w:rPr>
        <w:t xml:space="preserve"> </w:t>
      </w:r>
      <w:r w:rsidRPr="00025BD4">
        <w:rPr>
          <w:color w:val="000000"/>
          <w:sz w:val="16"/>
          <w:szCs w:val="16"/>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64F13E72" w14:textId="77777777" w:rsidR="00D67D63" w:rsidRPr="00025BD4" w:rsidRDefault="00D67D63" w:rsidP="00D67D63">
      <w:pPr>
        <w:pStyle w:val="Textonotapie"/>
        <w:ind w:firstLine="709"/>
        <w:jc w:val="both"/>
        <w:rPr>
          <w:color w:val="000000"/>
          <w:sz w:val="16"/>
          <w:szCs w:val="16"/>
          <w:lang w:val="es-ES"/>
        </w:rPr>
      </w:pPr>
    </w:p>
  </w:footnote>
  <w:footnote w:id="7">
    <w:p w14:paraId="15F58032" w14:textId="77777777" w:rsidR="00D67D63" w:rsidRDefault="00D67D63" w:rsidP="00D67D63">
      <w:pPr>
        <w:pStyle w:val="Textonotapie"/>
        <w:ind w:firstLine="709"/>
        <w:jc w:val="both"/>
        <w:rPr>
          <w:color w:val="000000"/>
          <w:sz w:val="16"/>
          <w:szCs w:val="16"/>
          <w:lang w:val="es-ES"/>
        </w:rPr>
      </w:pPr>
      <w:r w:rsidRPr="00025BD4">
        <w:rPr>
          <w:rStyle w:val="Refdenotaalpie"/>
          <w:color w:val="000000"/>
          <w:sz w:val="16"/>
          <w:szCs w:val="16"/>
        </w:rPr>
        <w:footnoteRef/>
      </w:r>
      <w:r w:rsidRPr="00025BD4">
        <w:rPr>
          <w:color w:val="000000"/>
          <w:sz w:val="16"/>
          <w:szCs w:val="16"/>
        </w:rPr>
        <w:t xml:space="preserve"> </w:t>
      </w:r>
      <w:r w:rsidRPr="00025BD4">
        <w:rPr>
          <w:color w:val="000000"/>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0643BD68" w14:textId="77777777" w:rsidR="00D67D63" w:rsidRPr="00025BD4" w:rsidRDefault="00D67D63" w:rsidP="00D67D63">
      <w:pPr>
        <w:pStyle w:val="Textonotapie"/>
        <w:ind w:firstLine="709"/>
        <w:jc w:val="both"/>
        <w:rPr>
          <w:color w:val="000000"/>
          <w:sz w:val="16"/>
          <w:szCs w:val="16"/>
          <w:lang w:val="es-ES"/>
        </w:rPr>
      </w:pPr>
    </w:p>
  </w:footnote>
  <w:footnote w:id="8">
    <w:p w14:paraId="6FC5FDF1" w14:textId="77777777" w:rsidR="00D67D63" w:rsidRPr="00EC1259" w:rsidRDefault="00D67D63" w:rsidP="00D67D63">
      <w:pPr>
        <w:ind w:firstLine="709"/>
        <w:jc w:val="both"/>
        <w:rPr>
          <w:rFonts w:ascii="Verdana" w:hAnsi="Verdana" w:cs="Arial"/>
          <w:color w:val="000000"/>
          <w:sz w:val="16"/>
          <w:szCs w:val="16"/>
          <w:lang w:val="es-ES"/>
        </w:rPr>
      </w:pPr>
      <w:r w:rsidRPr="001157F6">
        <w:rPr>
          <w:rStyle w:val="Refdenotaalpie"/>
          <w:rFonts w:ascii="Verdana" w:hAnsi="Verdana" w:cs="Arial"/>
          <w:color w:val="000000"/>
          <w:sz w:val="16"/>
          <w:szCs w:val="16"/>
        </w:rPr>
        <w:footnoteRef/>
      </w:r>
      <w:r w:rsidRPr="001157F6">
        <w:rPr>
          <w:rFonts w:ascii="Verdana" w:hAnsi="Verdana" w:cs="Arial"/>
          <w:color w:val="000000"/>
          <w:sz w:val="16"/>
          <w:szCs w:val="16"/>
        </w:rPr>
        <w:t xml:space="preserve"> </w:t>
      </w:r>
      <w:r w:rsidRPr="001157F6">
        <w:rPr>
          <w:rFonts w:ascii="Verdana" w:hAnsi="Verdana" w:cs="Arial"/>
          <w:color w:val="000000"/>
          <w:sz w:val="16"/>
          <w:szCs w:val="16"/>
          <w:lang w:val="es-ES"/>
        </w:rPr>
        <w:t xml:space="preserve">Como las señaladas a continuación: “Los servidores públicos (art. 8, num. 1º, lit. f), Ley 80/93); </w:t>
      </w:r>
      <w:r>
        <w:rPr>
          <w:rFonts w:ascii="Verdana" w:hAnsi="Verdana" w:cs="Arial"/>
          <w:color w:val="000000"/>
          <w:sz w:val="16"/>
          <w:szCs w:val="16"/>
          <w:lang w:val="es-ES"/>
        </w:rPr>
        <w:t>“</w:t>
      </w:r>
      <w:r w:rsidRPr="001157F6">
        <w:rPr>
          <w:rFonts w:ascii="Verdana" w:hAnsi="Verdana" w:cs="Arial"/>
          <w:color w:val="000000"/>
          <w:sz w:val="16"/>
          <w:szCs w:val="16"/>
          <w:lang w:val="es-ES"/>
        </w:rPr>
        <w:t xml:space="preserve">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footnote>
  <w:footnote w:id="9">
    <w:p w14:paraId="19AC0B7A" w14:textId="77777777" w:rsidR="00D67D63" w:rsidRDefault="00D67D63" w:rsidP="00D67D63">
      <w:pPr>
        <w:pStyle w:val="Textonotapie"/>
        <w:ind w:firstLine="709"/>
        <w:jc w:val="both"/>
        <w:rPr>
          <w:color w:val="000000"/>
          <w:sz w:val="16"/>
          <w:szCs w:val="16"/>
          <w:lang w:val="es-ES"/>
        </w:rPr>
      </w:pPr>
      <w:r w:rsidRPr="00025BD4">
        <w:rPr>
          <w:rStyle w:val="Refdenotaalpie"/>
          <w:color w:val="000000"/>
          <w:sz w:val="16"/>
          <w:szCs w:val="16"/>
        </w:rPr>
        <w:footnoteRef/>
      </w:r>
      <w:r w:rsidRPr="00025BD4">
        <w:rPr>
          <w:color w:val="000000"/>
          <w:sz w:val="16"/>
          <w:szCs w:val="16"/>
        </w:rPr>
        <w:t xml:space="preserve"> </w:t>
      </w:r>
      <w:r w:rsidRPr="00025BD4">
        <w:rPr>
          <w:color w:val="000000"/>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p w14:paraId="784103C9" w14:textId="77777777" w:rsidR="00D67D63" w:rsidRPr="00025BD4" w:rsidRDefault="00D67D63" w:rsidP="00D67D63">
      <w:pPr>
        <w:pStyle w:val="Textonotapie"/>
        <w:ind w:firstLine="709"/>
        <w:jc w:val="both"/>
        <w:rPr>
          <w:color w:val="000000"/>
          <w:sz w:val="16"/>
          <w:szCs w:val="16"/>
          <w:lang w:val="es-ES"/>
        </w:rPr>
      </w:pPr>
    </w:p>
  </w:footnote>
  <w:footnote w:id="10">
    <w:p w14:paraId="713B2642" w14:textId="77777777" w:rsidR="00D67D63" w:rsidRPr="00025BD4" w:rsidRDefault="00D67D63" w:rsidP="00D67D63">
      <w:pPr>
        <w:pStyle w:val="Textonotapie"/>
        <w:ind w:firstLine="709"/>
        <w:jc w:val="both"/>
        <w:rPr>
          <w:color w:val="000000"/>
          <w:sz w:val="16"/>
          <w:szCs w:val="16"/>
          <w:lang w:val="es-ES"/>
        </w:rPr>
      </w:pPr>
      <w:r w:rsidRPr="00025BD4">
        <w:rPr>
          <w:rStyle w:val="Refdenotaalpie"/>
          <w:color w:val="000000"/>
          <w:sz w:val="16"/>
          <w:szCs w:val="16"/>
        </w:rPr>
        <w:footnoteRef/>
      </w:r>
      <w:r w:rsidRPr="00025BD4">
        <w:rPr>
          <w:color w:val="000000"/>
          <w:sz w:val="16"/>
          <w:szCs w:val="16"/>
        </w:rPr>
        <w:t xml:space="preserve"> </w:t>
      </w:r>
      <w:r w:rsidRPr="00025BD4">
        <w:rPr>
          <w:color w:val="000000"/>
          <w:sz w:val="16"/>
          <w:szCs w:val="16"/>
          <w:lang w:val="es-ES"/>
        </w:rPr>
        <w:t>Ibíd., p. 69.</w:t>
      </w:r>
    </w:p>
  </w:footnote>
  <w:footnote w:id="11">
    <w:p w14:paraId="0537B614" w14:textId="77777777" w:rsidR="00D67D63" w:rsidRDefault="00D67D63" w:rsidP="00D67D63">
      <w:pPr>
        <w:pStyle w:val="Textonotapie"/>
        <w:ind w:firstLine="709"/>
        <w:jc w:val="both"/>
        <w:rPr>
          <w:color w:val="000000"/>
          <w:sz w:val="16"/>
          <w:szCs w:val="16"/>
        </w:rPr>
      </w:pPr>
    </w:p>
    <w:p w14:paraId="4550D9BC" w14:textId="77777777" w:rsidR="00D67D63" w:rsidRPr="00025BD4" w:rsidRDefault="00D67D63" w:rsidP="00D67D63">
      <w:pPr>
        <w:pStyle w:val="Textonotapie"/>
        <w:ind w:firstLine="709"/>
        <w:jc w:val="both"/>
        <w:rPr>
          <w:color w:val="000000"/>
          <w:sz w:val="16"/>
          <w:szCs w:val="16"/>
          <w:lang w:val="es-ES"/>
        </w:rPr>
      </w:pPr>
      <w:r w:rsidRPr="00025BD4">
        <w:rPr>
          <w:rStyle w:val="Refdenotaalpie"/>
          <w:color w:val="000000"/>
          <w:sz w:val="16"/>
          <w:szCs w:val="16"/>
        </w:rPr>
        <w:footnoteRef/>
      </w:r>
      <w:r w:rsidRPr="00025BD4">
        <w:rPr>
          <w:color w:val="000000"/>
          <w:sz w:val="16"/>
          <w:szCs w:val="16"/>
        </w:rPr>
        <w:t xml:space="preserve"> </w:t>
      </w:r>
      <w:r w:rsidRPr="00025BD4">
        <w:rPr>
          <w:color w:val="000000"/>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footnote>
  <w:footnote w:id="12">
    <w:p w14:paraId="49BDCB2D" w14:textId="77777777" w:rsidR="00D67D63" w:rsidRPr="00025BD4" w:rsidRDefault="00D67D63" w:rsidP="00D67D63">
      <w:pPr>
        <w:pStyle w:val="Textonotapie"/>
        <w:ind w:firstLine="709"/>
        <w:jc w:val="both"/>
        <w:rPr>
          <w:color w:val="000000"/>
          <w:sz w:val="16"/>
          <w:szCs w:val="16"/>
          <w:lang w:val="es-ES"/>
        </w:rPr>
      </w:pPr>
      <w:r w:rsidRPr="00025BD4">
        <w:rPr>
          <w:rStyle w:val="Refdenotaalpie"/>
          <w:color w:val="000000"/>
          <w:sz w:val="16"/>
          <w:szCs w:val="16"/>
        </w:rPr>
        <w:footnoteRef/>
      </w:r>
      <w:r w:rsidRPr="00025BD4">
        <w:rPr>
          <w:color w:val="000000"/>
          <w:sz w:val="16"/>
          <w:szCs w:val="16"/>
        </w:rPr>
        <w:t xml:space="preserve"> </w:t>
      </w:r>
      <w:r w:rsidRPr="00025BD4">
        <w:rPr>
          <w:color w:val="000000"/>
          <w:sz w:val="16"/>
          <w:szCs w:val="16"/>
          <w:lang w:val="es-ES"/>
        </w:rPr>
        <w:t>Consejo de Estado. Sala de Consulta y Servicio Civil. Concepto del 30 de abril de 2015. Expediente: 2.251. Consejero Ponente: Álvaro Namén Vargas.</w:t>
      </w:r>
    </w:p>
    <w:p w14:paraId="11285AF0" w14:textId="77777777" w:rsidR="00D67D63" w:rsidRPr="002E56BE" w:rsidRDefault="00D67D63" w:rsidP="00D67D63">
      <w:pPr>
        <w:pStyle w:val="Textonotapie"/>
        <w:ind w:firstLine="709"/>
        <w:jc w:val="both"/>
        <w:rPr>
          <w:rFonts w:ascii="Arial" w:hAnsi="Arial"/>
          <w:color w:val="000000"/>
          <w:sz w:val="19"/>
          <w:szCs w:val="19"/>
          <w:lang w:val="es-ES"/>
        </w:rPr>
      </w:pPr>
    </w:p>
  </w:footnote>
  <w:footnote w:id="13">
    <w:p w14:paraId="543557A4" w14:textId="77777777" w:rsidR="00D67D63" w:rsidRDefault="00D67D63" w:rsidP="00D67D63">
      <w:pPr>
        <w:pStyle w:val="Textonotapie"/>
        <w:ind w:firstLine="709"/>
        <w:jc w:val="both"/>
        <w:rPr>
          <w:color w:val="000000"/>
          <w:sz w:val="16"/>
          <w:szCs w:val="16"/>
        </w:rPr>
      </w:pPr>
      <w:r w:rsidRPr="00991540">
        <w:rPr>
          <w:rStyle w:val="Refdenotaalpie"/>
          <w:color w:val="000000"/>
          <w:sz w:val="16"/>
          <w:szCs w:val="16"/>
        </w:rPr>
        <w:footnoteRef/>
      </w:r>
      <w:r w:rsidRPr="00991540">
        <w:rPr>
          <w:color w:val="000000"/>
          <w:sz w:val="16"/>
          <w:szCs w:val="16"/>
        </w:rPr>
        <w:t xml:space="preserve"> Consejo de Estado. Sección Tercera. Subsección A. Sentencia del 24 de junio de 2015. Exp. 40.635. Consejero Ponente: Hernán Andrade Rincón (E).</w:t>
      </w:r>
    </w:p>
    <w:p w14:paraId="1D702019" w14:textId="77777777" w:rsidR="00D67D63" w:rsidRPr="00991540" w:rsidRDefault="00D67D63" w:rsidP="00D67D63">
      <w:pPr>
        <w:pStyle w:val="Textonotapie"/>
        <w:ind w:firstLine="709"/>
        <w:jc w:val="both"/>
        <w:rPr>
          <w:color w:val="000000"/>
          <w:sz w:val="16"/>
          <w:szCs w:val="16"/>
        </w:rPr>
      </w:pPr>
    </w:p>
  </w:footnote>
  <w:footnote w:id="14">
    <w:p w14:paraId="718C19AC" w14:textId="77777777" w:rsidR="00D67D63" w:rsidRPr="00991540" w:rsidRDefault="00D67D63" w:rsidP="00D67D63">
      <w:pPr>
        <w:pStyle w:val="Textonotapie"/>
        <w:ind w:firstLine="709"/>
        <w:jc w:val="both"/>
        <w:rPr>
          <w:color w:val="000000"/>
          <w:sz w:val="16"/>
          <w:szCs w:val="16"/>
        </w:rPr>
      </w:pPr>
      <w:r w:rsidRPr="00991540">
        <w:rPr>
          <w:rStyle w:val="Refdenotaalpie"/>
          <w:color w:val="000000"/>
          <w:sz w:val="16"/>
          <w:szCs w:val="16"/>
        </w:rPr>
        <w:footnoteRef/>
      </w:r>
      <w:r w:rsidRPr="00991540">
        <w:rPr>
          <w:color w:val="000000"/>
          <w:sz w:val="16"/>
          <w:szCs w:val="16"/>
        </w:rPr>
        <w:t xml:space="preserve"> Consejo de Estado. Sección Tercera. Subsección C. Sentencia del 22 de mayo de 2013. Exp. 24.057. Consejera Ponente: Olga Melida Valle De De La Hoz.</w:t>
      </w:r>
    </w:p>
    <w:p w14:paraId="26C1DD56" w14:textId="77777777" w:rsidR="00D67D63" w:rsidRPr="002E56BE" w:rsidRDefault="00D67D63" w:rsidP="00D67D63">
      <w:pPr>
        <w:pStyle w:val="Textonotapie"/>
        <w:ind w:firstLine="709"/>
        <w:jc w:val="both"/>
        <w:rPr>
          <w:rFonts w:ascii="Arial" w:hAnsi="Arial"/>
          <w:color w:val="000000"/>
          <w:sz w:val="19"/>
          <w:szCs w:val="19"/>
          <w:lang w:val="es-ES"/>
        </w:rPr>
      </w:pPr>
    </w:p>
  </w:footnote>
  <w:footnote w:id="15">
    <w:p w14:paraId="7654FDD6" w14:textId="77777777" w:rsidR="00D67D63" w:rsidRPr="00136D5A" w:rsidRDefault="00D67D63" w:rsidP="00D67D63">
      <w:pPr>
        <w:pStyle w:val="Textonotapie"/>
        <w:ind w:firstLine="709"/>
        <w:jc w:val="both"/>
        <w:rPr>
          <w:sz w:val="16"/>
          <w:szCs w:val="16"/>
          <w:lang w:val="es-ES"/>
        </w:rPr>
      </w:pPr>
      <w:r w:rsidRPr="00136D5A">
        <w:rPr>
          <w:rStyle w:val="Refdenotaalpie"/>
          <w:sz w:val="16"/>
          <w:szCs w:val="16"/>
        </w:rPr>
        <w:footnoteRef/>
      </w:r>
      <w:r w:rsidRPr="00136D5A">
        <w:rPr>
          <w:sz w:val="16"/>
          <w:szCs w:val="16"/>
        </w:rPr>
        <w:t xml:space="preserve"> </w:t>
      </w:r>
      <w:r w:rsidRPr="00136D5A">
        <w:rPr>
          <w:sz w:val="16"/>
          <w:szCs w:val="16"/>
          <w:lang w:val="es-ES"/>
        </w:rPr>
        <w:t>Magistrado Ponente: Jaime Córdoba Triviño.</w:t>
      </w:r>
    </w:p>
  </w:footnote>
  <w:footnote w:id="16">
    <w:p w14:paraId="359AF387" w14:textId="77777777" w:rsidR="00D67D63" w:rsidRPr="006821E1" w:rsidRDefault="00D67D63" w:rsidP="00D67D63">
      <w:pPr>
        <w:pStyle w:val="Textonotapie"/>
        <w:jc w:val="both"/>
        <w:rPr>
          <w:rFonts w:ascii="Arial" w:hAnsi="Arial"/>
          <w:sz w:val="19"/>
          <w:szCs w:val="19"/>
        </w:rPr>
      </w:pPr>
    </w:p>
    <w:p w14:paraId="147D5464" w14:textId="77777777" w:rsidR="00D67D63" w:rsidRPr="00136D5A" w:rsidRDefault="00D67D63" w:rsidP="00D67D63">
      <w:pPr>
        <w:pStyle w:val="Textonotapie"/>
        <w:ind w:firstLine="709"/>
        <w:jc w:val="both"/>
        <w:rPr>
          <w:sz w:val="16"/>
          <w:szCs w:val="16"/>
          <w:lang w:val="es-ES"/>
        </w:rPr>
      </w:pPr>
      <w:r w:rsidRPr="00136D5A">
        <w:rPr>
          <w:rStyle w:val="Refdenotaalpie"/>
          <w:sz w:val="16"/>
          <w:szCs w:val="16"/>
        </w:rPr>
        <w:footnoteRef/>
      </w:r>
      <w:r w:rsidRPr="00136D5A">
        <w:rPr>
          <w:sz w:val="16"/>
          <w:szCs w:val="16"/>
        </w:rPr>
        <w:t xml:space="preserve"> </w:t>
      </w:r>
      <w:r w:rsidRPr="00136D5A">
        <w:rPr>
          <w:sz w:val="16"/>
          <w:szCs w:val="16"/>
          <w:lang w:val="es-ES"/>
        </w:rPr>
        <w:t>Ibíd.</w:t>
      </w:r>
    </w:p>
    <w:p w14:paraId="271B4BB5" w14:textId="77777777" w:rsidR="00D67D63" w:rsidRPr="006821E1" w:rsidRDefault="00D67D63" w:rsidP="00D67D63">
      <w:pPr>
        <w:pStyle w:val="Textonotapie"/>
        <w:ind w:firstLine="709"/>
        <w:jc w:val="both"/>
        <w:rPr>
          <w:rFonts w:ascii="Arial" w:hAnsi="Arial"/>
          <w:sz w:val="19"/>
          <w:szCs w:val="19"/>
          <w:lang w:val="es-ES"/>
        </w:rPr>
      </w:pPr>
    </w:p>
  </w:footnote>
  <w:footnote w:id="17">
    <w:p w14:paraId="5D342E40" w14:textId="77777777" w:rsidR="00D67D63" w:rsidRPr="00136D5A" w:rsidRDefault="00D67D63" w:rsidP="00D67D63">
      <w:pPr>
        <w:pStyle w:val="Textonotapie"/>
        <w:ind w:firstLine="709"/>
        <w:jc w:val="both"/>
        <w:rPr>
          <w:sz w:val="16"/>
          <w:szCs w:val="16"/>
        </w:rPr>
      </w:pPr>
      <w:r w:rsidRPr="00136D5A">
        <w:rPr>
          <w:rStyle w:val="Refdenotaalpie"/>
          <w:sz w:val="16"/>
          <w:szCs w:val="16"/>
        </w:rPr>
        <w:footnoteRef/>
      </w:r>
      <w:r w:rsidRPr="00136D5A">
        <w:rPr>
          <w:sz w:val="16"/>
          <w:szCs w:val="16"/>
        </w:rPr>
        <w:t xml:space="preserve"> GUASTINI, Riccardo. Interpretar y argumentar. Madrid: Centro de Estudios Políticos y Constitucionales, 2017, p. 110.</w:t>
      </w:r>
    </w:p>
  </w:footnote>
  <w:footnote w:id="18">
    <w:p w14:paraId="35DF42BD" w14:textId="77777777" w:rsidR="00D67D63" w:rsidRPr="00136D5A" w:rsidRDefault="00D67D63" w:rsidP="00D67D63">
      <w:pPr>
        <w:pStyle w:val="Textonotapie"/>
        <w:jc w:val="both"/>
        <w:rPr>
          <w:sz w:val="16"/>
          <w:szCs w:val="16"/>
        </w:rPr>
      </w:pPr>
    </w:p>
    <w:p w14:paraId="51101F4E" w14:textId="77777777" w:rsidR="00D67D63" w:rsidRDefault="00D67D63" w:rsidP="00D67D63">
      <w:pPr>
        <w:pStyle w:val="Textonotapie"/>
        <w:ind w:firstLine="709"/>
        <w:jc w:val="both"/>
        <w:rPr>
          <w:sz w:val="16"/>
          <w:szCs w:val="16"/>
        </w:rPr>
      </w:pPr>
      <w:r w:rsidRPr="00136D5A">
        <w:rPr>
          <w:rStyle w:val="Refdenotaalpie"/>
          <w:sz w:val="16"/>
          <w:szCs w:val="16"/>
        </w:rPr>
        <w:footnoteRef/>
      </w:r>
      <w:r w:rsidRPr="00136D5A">
        <w:rPr>
          <w:sz w:val="16"/>
          <w:szCs w:val="16"/>
        </w:rPr>
        <w:t xml:space="preserve"> Ibíd., p. 110.</w:t>
      </w:r>
    </w:p>
    <w:p w14:paraId="728DDA96" w14:textId="77777777" w:rsidR="00D67D63" w:rsidRPr="00136D5A" w:rsidRDefault="00D67D63" w:rsidP="00D67D63">
      <w:pPr>
        <w:pStyle w:val="Textonotapie"/>
        <w:ind w:firstLine="709"/>
        <w:jc w:val="both"/>
        <w:rPr>
          <w:sz w:val="16"/>
          <w:szCs w:val="16"/>
        </w:rPr>
      </w:pPr>
    </w:p>
  </w:footnote>
  <w:footnote w:id="19">
    <w:p w14:paraId="470791DF" w14:textId="77777777" w:rsidR="00D67D63" w:rsidRPr="00136D5A" w:rsidRDefault="00D67D63" w:rsidP="00D67D63">
      <w:pPr>
        <w:pStyle w:val="Textonotapie"/>
        <w:ind w:firstLine="709"/>
        <w:jc w:val="both"/>
        <w:rPr>
          <w:sz w:val="16"/>
          <w:szCs w:val="16"/>
        </w:rPr>
      </w:pPr>
      <w:r w:rsidRPr="00136D5A">
        <w:rPr>
          <w:rStyle w:val="Refdenotaalpie"/>
          <w:sz w:val="16"/>
          <w:szCs w:val="16"/>
        </w:rPr>
        <w:footnoteRef/>
      </w:r>
      <w:r w:rsidRPr="00136D5A">
        <w:rPr>
          <w:sz w:val="16"/>
          <w:szCs w:val="16"/>
        </w:rPr>
        <w:t xml:space="preserve"> Ibíd., p. 110.</w:t>
      </w:r>
    </w:p>
  </w:footnote>
  <w:footnote w:id="20">
    <w:p w14:paraId="0873E8B7" w14:textId="77777777" w:rsidR="00D67D63" w:rsidRDefault="00D67D63" w:rsidP="00D67D63">
      <w:pPr>
        <w:pStyle w:val="Textonotapie"/>
        <w:ind w:firstLine="709"/>
        <w:jc w:val="both"/>
        <w:rPr>
          <w:sz w:val="16"/>
          <w:szCs w:val="16"/>
        </w:rPr>
      </w:pPr>
    </w:p>
    <w:p w14:paraId="61B359A5" w14:textId="77777777" w:rsidR="00D67D63" w:rsidRPr="00136D5A" w:rsidRDefault="00D67D63" w:rsidP="00D67D63">
      <w:pPr>
        <w:pStyle w:val="Textonotapie"/>
        <w:ind w:firstLine="709"/>
        <w:jc w:val="both"/>
        <w:rPr>
          <w:sz w:val="16"/>
          <w:szCs w:val="16"/>
        </w:rPr>
      </w:pPr>
      <w:r w:rsidRPr="00136D5A">
        <w:rPr>
          <w:rStyle w:val="Refdenotaalpie"/>
          <w:sz w:val="16"/>
          <w:szCs w:val="16"/>
        </w:rPr>
        <w:footnoteRef/>
      </w:r>
      <w:r w:rsidRPr="00136D5A">
        <w:rPr>
          <w:sz w:val="16"/>
          <w:szCs w:val="16"/>
        </w:rPr>
        <w:t xml:space="preserve"> Ibíd., p. 290.</w:t>
      </w:r>
    </w:p>
    <w:p w14:paraId="3882EC61" w14:textId="77777777" w:rsidR="00D67D63" w:rsidRPr="006821E1" w:rsidRDefault="00D67D63" w:rsidP="00D67D63">
      <w:pPr>
        <w:pStyle w:val="Textonotapie"/>
        <w:ind w:firstLine="709"/>
        <w:jc w:val="both"/>
        <w:rPr>
          <w:rFonts w:ascii="Arial" w:hAnsi="Arial"/>
          <w:sz w:val="19"/>
          <w:szCs w:val="19"/>
        </w:rPr>
      </w:pPr>
    </w:p>
  </w:footnote>
  <w:footnote w:id="21">
    <w:p w14:paraId="11B30C20" w14:textId="77777777" w:rsidR="00D67D63" w:rsidRPr="00136D5A" w:rsidRDefault="00D67D63" w:rsidP="00D67D63">
      <w:pPr>
        <w:pStyle w:val="Textonotapie"/>
        <w:ind w:firstLine="709"/>
        <w:jc w:val="both"/>
        <w:rPr>
          <w:sz w:val="16"/>
          <w:szCs w:val="16"/>
        </w:rPr>
      </w:pPr>
      <w:r w:rsidRPr="00136D5A">
        <w:rPr>
          <w:rStyle w:val="Refdenotaalpie"/>
          <w:sz w:val="16"/>
          <w:szCs w:val="16"/>
        </w:rPr>
        <w:footnoteRef/>
      </w:r>
      <w:r w:rsidRPr="00136D5A">
        <w:rPr>
          <w:sz w:val="16"/>
          <w:szCs w:val="16"/>
        </w:rPr>
        <w:t xml:space="preserve"> Este criterio también ha sido admitido por la Corte Constitucional. Al respecto, puede verse la sentencia C-054 de 2016, M.P. Luis Ernesto Vargas Silva.</w:t>
      </w:r>
    </w:p>
  </w:footnote>
  <w:footnote w:id="22">
    <w:p w14:paraId="1CE4D4A9" w14:textId="77777777" w:rsidR="00D67D63" w:rsidRPr="00136D5A" w:rsidRDefault="00D67D63" w:rsidP="00D67D63">
      <w:pPr>
        <w:pStyle w:val="Textonotapie"/>
        <w:jc w:val="both"/>
        <w:rPr>
          <w:sz w:val="16"/>
          <w:szCs w:val="16"/>
        </w:rPr>
      </w:pPr>
    </w:p>
    <w:p w14:paraId="11BF113E" w14:textId="77777777" w:rsidR="00D67D63" w:rsidRDefault="00D67D63" w:rsidP="00D67D63">
      <w:pPr>
        <w:pStyle w:val="Textonotapie"/>
        <w:ind w:firstLine="709"/>
        <w:jc w:val="both"/>
        <w:rPr>
          <w:sz w:val="16"/>
          <w:szCs w:val="16"/>
          <w:lang w:val="es-CO"/>
        </w:rPr>
      </w:pPr>
      <w:r w:rsidRPr="00136D5A">
        <w:rPr>
          <w:rStyle w:val="Refdenotaalpie"/>
          <w:sz w:val="16"/>
          <w:szCs w:val="16"/>
        </w:rPr>
        <w:footnoteRef/>
      </w:r>
      <w:r w:rsidRPr="00136D5A">
        <w:rPr>
          <w:sz w:val="16"/>
          <w:szCs w:val="16"/>
        </w:rPr>
        <w:t xml:space="preserve"> </w:t>
      </w:r>
      <w:r w:rsidRPr="00136D5A">
        <w:rPr>
          <w:sz w:val="16"/>
          <w:szCs w:val="16"/>
          <w:lang w:val="es-ES"/>
        </w:rPr>
        <w:t>La causal prevista en el literal e) del numeral 2 del artículo 8 de la Ley 80 de 1993 dispone que tampoco podrán participar en procedimientos de selección ni celebrar contratos estatales: “</w:t>
      </w:r>
      <w:r w:rsidRPr="00136D5A">
        <w:rPr>
          <w:sz w:val="16"/>
          <w:szCs w:val="16"/>
          <w:lang w:val="es-CO"/>
        </w:rPr>
        <w:t>Los miembros de las juntas o consejos directivos. Esta incompatibilidad sólo se predica respecto de la entidad a la cual prestan sus servicios y de las del sector administrativo al que la misma esté adscrita o vinculada”.</w:t>
      </w:r>
    </w:p>
    <w:p w14:paraId="6A0533B0" w14:textId="77777777" w:rsidR="00EC286F" w:rsidRPr="00136D5A" w:rsidRDefault="00EC286F" w:rsidP="00D67D63">
      <w:pPr>
        <w:pStyle w:val="Textonotapie"/>
        <w:ind w:firstLine="709"/>
        <w:jc w:val="both"/>
        <w:rPr>
          <w:sz w:val="16"/>
          <w:szCs w:val="16"/>
          <w:lang w:val="es-CO"/>
        </w:rPr>
      </w:pPr>
    </w:p>
  </w:footnote>
  <w:footnote w:id="23">
    <w:p w14:paraId="649CE1AB" w14:textId="77777777" w:rsidR="00D67D63" w:rsidRPr="009F599E" w:rsidRDefault="00D67D63" w:rsidP="00D67D63">
      <w:pPr>
        <w:pStyle w:val="Textonotapie"/>
        <w:ind w:firstLine="709"/>
        <w:jc w:val="both"/>
        <w:rPr>
          <w:sz w:val="16"/>
          <w:szCs w:val="16"/>
          <w:lang w:val="es-ES"/>
        </w:rPr>
      </w:pPr>
      <w:r w:rsidRPr="00136D5A">
        <w:rPr>
          <w:rStyle w:val="Refdenotaalpie"/>
          <w:sz w:val="16"/>
          <w:szCs w:val="16"/>
        </w:rPr>
        <w:footnoteRef/>
      </w:r>
      <w:r w:rsidRPr="00136D5A">
        <w:rPr>
          <w:sz w:val="16"/>
          <w:szCs w:val="16"/>
        </w:rPr>
        <w:t xml:space="preserve"> </w:t>
      </w:r>
      <w:r w:rsidRPr="00136D5A">
        <w:rPr>
          <w:sz w:val="16"/>
          <w:szCs w:val="16"/>
          <w:lang w:val="es-ES"/>
        </w:rPr>
        <w:t xml:space="preserve">Esta interpretación ha sido sostenida por la doctrina, al afirmar que el artículo 4 de la Ley 1474 de 2011 extendió la causal prevista en el artículo 8, numeral 2, literal a) de la Ley 80 de 1993 “[…] hasta dos años para contratos que tengan por objeto asuntos relacionados con el sector al cual prestaron sus servicios las personas que ocuparon cargos del nivel directivo exclusivamente, </w:t>
      </w:r>
      <w:r w:rsidRPr="00136D5A">
        <w:rPr>
          <w:i/>
          <w:sz w:val="16"/>
          <w:szCs w:val="16"/>
          <w:lang w:val="es-ES"/>
        </w:rPr>
        <w:t>entendiéndose por tal la concepción que se hizo en el anterior numeral cuando nos referíamos a lo que abarca el sector administrativo para efectos de la aplicación del literal e)</w:t>
      </w:r>
      <w:r w:rsidRPr="00136D5A">
        <w:rPr>
          <w:sz w:val="16"/>
          <w:szCs w:val="16"/>
          <w:lang w:val="es-ES"/>
        </w:rPr>
        <w:t>, numeral 2 del artículo 8º de la Ley 80 de 1993. Es decir, que el ex gerente del SENA, no podría suscribir ningún contrato con esa entidad ni con ninguna de las adscritas o vinculadas al Ministerio de Trabajo ni con este. […]” [énfasis fuera del texto original] (DÁVILA VINUEZA. Luis Guillermo. Régimen jurídico de la contratación estatal. 3ª ed. Bogotá: Legis, 2016. p. 192). Obsérvese que este autor interpreta el concepto de “sector”, contenido en el literal f), de la misma manera que en el literal e) es decir, como “sector administrativo”. Por otra parte, el ejemplo que brinda sobre la aplicación de la causal en el sector administrativo se refiere a entidades nacionales.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01CB5C" w14:textId="77777777" w:rsidR="00756841" w:rsidRDefault="006F1EF8">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6D47A3C" wp14:editId="00623E9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40916AD" wp14:editId="7BB7DE8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2E37E23" w14:textId="77777777" w:rsidR="00756841" w:rsidRDefault="00B94B05">
    <w:pPr>
      <w:pStyle w:val="Encabezado"/>
    </w:pPr>
  </w:p>
  <w:p w14:paraId="6C6AC5FA" w14:textId="77777777" w:rsidR="00DC39FC" w:rsidRDefault="00B94B05" w:rsidP="004A305D">
    <w:pPr>
      <w:spacing w:after="0"/>
      <w:rPr>
        <w:rFonts w:ascii="Verdana" w:hAnsi="Verdana"/>
        <w:b/>
        <w:bCs/>
      </w:rPr>
    </w:pPr>
  </w:p>
  <w:p w14:paraId="5739E9AE" w14:textId="77777777" w:rsidR="004A305D" w:rsidRPr="004A305D" w:rsidRDefault="00B94B05" w:rsidP="00B01B1A">
    <w:pPr>
      <w:spacing w:after="0" w:line="120" w:lineRule="auto"/>
      <w:rPr>
        <w:rFonts w:ascii="Century Gothic" w:eastAsia="Geo" w:hAnsi="Century Gothic" w:cs="Geo"/>
        <w:sz w:val="16"/>
        <w:szCs w:val="16"/>
        <w:lang w:eastAsia="es-CO"/>
      </w:rPr>
    </w:pPr>
  </w:p>
  <w:p w14:paraId="63C68B4E" w14:textId="77777777" w:rsidR="008A446D" w:rsidRDefault="00B94B05"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39E69A2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6A21AA3"/>
    <w:multiLevelType w:val="hybridMultilevel"/>
    <w:tmpl w:val="3A24D6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D63"/>
    <w:rsid w:val="006F1EF8"/>
    <w:rsid w:val="007702E2"/>
    <w:rsid w:val="009B1A62"/>
    <w:rsid w:val="00B94B05"/>
    <w:rsid w:val="00D67D63"/>
    <w:rsid w:val="00EC286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B0081"/>
  <w15:chartTrackingRefBased/>
  <w15:docId w15:val="{3A16C2C0-8AE4-4513-BCB8-401E184C7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Verdana" w:eastAsiaTheme="minorHAnsi" w:hAnsi="Verdana" w:cs="Arial"/>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7D63"/>
    <w:rPr>
      <w:rFonts w:asciiTheme="minorHAnsi" w:hAnsiTheme="minorHAnsi" w:cstheme="minorBid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67D6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67D63"/>
    <w:rPr>
      <w:rFonts w:asciiTheme="minorHAnsi" w:hAnsiTheme="minorHAnsi" w:cstheme="minorBidi"/>
    </w:rPr>
  </w:style>
  <w:style w:type="paragraph" w:styleId="Piedepgina">
    <w:name w:val="footer"/>
    <w:basedOn w:val="Normal"/>
    <w:link w:val="PiedepginaCar"/>
    <w:uiPriority w:val="99"/>
    <w:unhideWhenUsed/>
    <w:rsid w:val="00D67D6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67D63"/>
    <w:rPr>
      <w:rFonts w:asciiTheme="minorHAnsi" w:hAnsiTheme="minorHAnsi" w:cstheme="minorBidi"/>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D67D63"/>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D67D63"/>
    <w:pPr>
      <w:spacing w:after="0" w:line="240" w:lineRule="auto"/>
    </w:pPr>
    <w:rPr>
      <w:rFonts w:ascii="Verdana" w:hAnsi="Verdana" w:cs="Arial"/>
      <w:sz w:val="20"/>
      <w:szCs w:val="20"/>
      <w:lang w:val="es-MX"/>
    </w:rPr>
  </w:style>
  <w:style w:type="character" w:customStyle="1" w:styleId="TextonotapieCar1">
    <w:name w:val="Texto nota pie Car1"/>
    <w:basedOn w:val="Fuentedeprrafopredeter"/>
    <w:uiPriority w:val="99"/>
    <w:semiHidden/>
    <w:rsid w:val="00D67D63"/>
    <w:rPr>
      <w:rFonts w:asciiTheme="minorHAnsi" w:hAnsiTheme="minorHAnsi" w:cstheme="minorBidi"/>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D67D63"/>
    <w:rPr>
      <w:vertAlign w:val="superscript"/>
    </w:rPr>
  </w:style>
  <w:style w:type="character" w:customStyle="1" w:styleId="normaltextrun">
    <w:name w:val="normaltextrun"/>
    <w:basedOn w:val="Fuentedeprrafopredeter"/>
    <w:rsid w:val="00D67D63"/>
  </w:style>
  <w:style w:type="table" w:styleId="Tablaconcuadrcula">
    <w:name w:val="Table Grid"/>
    <w:basedOn w:val="Tablanormal"/>
    <w:uiPriority w:val="39"/>
    <w:qFormat/>
    <w:rsid w:val="00D67D63"/>
    <w:pPr>
      <w:spacing w:after="0" w:line="240" w:lineRule="auto"/>
    </w:pPr>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D67D63"/>
    <w:pPr>
      <w:ind w:left="720"/>
      <w:contextualSpacing/>
    </w:pPr>
    <w:rPr>
      <w:rFonts w:ascii="Geomanist Light" w:hAnsi="Geomanist Light"/>
      <w:lang w:val="es-ES"/>
    </w:rPr>
  </w:style>
  <w:style w:type="character" w:styleId="Hipervnculo">
    <w:name w:val="Hyperlink"/>
    <w:basedOn w:val="Fuentedeprrafopredeter"/>
    <w:uiPriority w:val="99"/>
    <w:unhideWhenUsed/>
    <w:rsid w:val="00D67D63"/>
    <w:rPr>
      <w:color w:val="0000FF"/>
      <w:u w:val="single"/>
    </w:rPr>
  </w:style>
  <w:style w:type="paragraph" w:customStyle="1" w:styleId="paragraph">
    <w:name w:val="paragraph"/>
    <w:basedOn w:val="Normal"/>
    <w:rsid w:val="00D67D63"/>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D67D63"/>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67D63"/>
    <w:rPr>
      <w:rFonts w:ascii="Geomanist Light" w:hAnsi="Geomanist Light" w:cstheme="minorBidi"/>
      <w:lang w:val="es-ES"/>
    </w:rPr>
  </w:style>
  <w:style w:type="character" w:styleId="Textoennegrita">
    <w:name w:val="Strong"/>
    <w:basedOn w:val="Fuentedeprrafopredeter"/>
    <w:uiPriority w:val="22"/>
    <w:qFormat/>
    <w:rsid w:val="00D67D63"/>
    <w:rPr>
      <w:b/>
      <w:bCs/>
    </w:rPr>
  </w:style>
  <w:style w:type="paragraph" w:customStyle="1" w:styleId="Appelnotedebasde">
    <w:name w:val="Appel note de bas de..."/>
    <w:basedOn w:val="Normal"/>
    <w:link w:val="Refdenotaalpie"/>
    <w:uiPriority w:val="99"/>
    <w:rsid w:val="00D67D63"/>
    <w:pPr>
      <w:spacing w:line="240" w:lineRule="exact"/>
    </w:pPr>
    <w:rPr>
      <w:rFonts w:ascii="Verdana" w:hAnsi="Verdana" w:cs="Arial"/>
      <w:vertAlign w:val="superscript"/>
    </w:rPr>
  </w:style>
  <w:style w:type="character" w:styleId="Refdecomentario">
    <w:name w:val="annotation reference"/>
    <w:basedOn w:val="Fuentedeprrafopredeter"/>
    <w:uiPriority w:val="99"/>
    <w:semiHidden/>
    <w:unhideWhenUsed/>
    <w:rsid w:val="00D67D63"/>
    <w:rPr>
      <w:sz w:val="16"/>
      <w:szCs w:val="16"/>
    </w:rPr>
  </w:style>
  <w:style w:type="paragraph" w:styleId="Textocomentario">
    <w:name w:val="annotation text"/>
    <w:basedOn w:val="Normal"/>
    <w:link w:val="TextocomentarioCar"/>
    <w:uiPriority w:val="99"/>
    <w:unhideWhenUsed/>
    <w:rsid w:val="00D67D63"/>
    <w:pPr>
      <w:spacing w:line="240" w:lineRule="auto"/>
    </w:pPr>
    <w:rPr>
      <w:sz w:val="20"/>
      <w:szCs w:val="20"/>
    </w:rPr>
  </w:style>
  <w:style w:type="character" w:customStyle="1" w:styleId="TextocomentarioCar">
    <w:name w:val="Texto comentario Car"/>
    <w:basedOn w:val="Fuentedeprrafopredeter"/>
    <w:link w:val="Textocomentario"/>
    <w:uiPriority w:val="99"/>
    <w:rsid w:val="00D67D63"/>
    <w:rPr>
      <w:rFonts w:asciiTheme="minorHAnsi" w:hAnsiTheme="minorHAnsi" w:cstheme="minorBidi"/>
      <w:sz w:val="20"/>
      <w:szCs w:val="20"/>
    </w:rPr>
  </w:style>
  <w:style w:type="paragraph" w:styleId="Textodeglobo">
    <w:name w:val="Balloon Text"/>
    <w:basedOn w:val="Normal"/>
    <w:link w:val="TextodegloboCar"/>
    <w:uiPriority w:val="99"/>
    <w:semiHidden/>
    <w:unhideWhenUsed/>
    <w:rsid w:val="00D67D6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67D6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6596370">
      <w:bodyDiv w:val="1"/>
      <w:marLeft w:val="0"/>
      <w:marRight w:val="0"/>
      <w:marTop w:val="0"/>
      <w:marBottom w:val="0"/>
      <w:divBdr>
        <w:top w:val="none" w:sz="0" w:space="0" w:color="auto"/>
        <w:left w:val="none" w:sz="0" w:space="0" w:color="auto"/>
        <w:bottom w:val="none" w:sz="0" w:space="0" w:color="auto"/>
        <w:right w:val="none" w:sz="0" w:space="0" w:color="auto"/>
      </w:divBdr>
    </w:div>
    <w:div w:id="713580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lombiacompra.gov.co/sala-de-prensa/boletin-digital/boletin-de-relatoria-2024-vi-modalidad-de-seleccion-de-seleccion-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nam02.safelinks.protection.outlook.com/?url=https%3A%2F%2Frelatoria.colombiacompra.gov.co%2F&amp;data=05%7C02%7Cximena.rios%40colombiacompra.gov.co%7C5aad36a736844ec87b2108dcc1fa4639%7C7b09041e245149d08cb179d5e3d8c1be%7C0%7C0%7C638598527920846788%7CUnknown%7CTWFpbGZsb3d8eyJWIjoiMC4wLjAwMDAiLCJQIjoiV2luMzIiLCJBTiI6Ik1haWwiLCJXVCI6Mn0%3D%7C0%7C%7C%7C&amp;sdata=x9HfgIQDqThN8nZ%2BJKFf349PkXKRLtZBuiv0LPhfyyo%3D&amp;reserved=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17</Pages>
  <Words>5034</Words>
  <Characters>27688</Characters>
  <Application>Microsoft Office Word</Application>
  <DocSecurity>0</DocSecurity>
  <Lines>230</Lines>
  <Paragraphs>65</Paragraphs>
  <ScaleCrop>false</ScaleCrop>
  <Company/>
  <LinksUpToDate>false</LinksUpToDate>
  <CharactersWithSpaces>32657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Andrés Rivera Cano</dc:creator>
  <cp:keywords/>
  <dc:description/>
  <cp:lastModifiedBy>Sergio Andrés Rivera Cano</cp:lastModifiedBy>
  <cp:revision>3</cp:revision>
  <dcterms:created xsi:type="dcterms:W3CDTF">2024-10-30T21:21:00Z</dcterms:created>
  <dcterms:modified xsi:type="dcterms:W3CDTF">2024-10-31T21:24:00Z</dcterms:modified>
</cp:coreProperties>
</file>