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38"/>
        <w:gridCol w:w="5890"/>
      </w:tblGrid>
      <w:tr w:rsidR="005C7436" w:rsidRPr="005C7436" w14:paraId="615EC660" w14:textId="77777777" w:rsidTr="005C7436">
        <w:trPr>
          <w:trHeight w:val="280"/>
        </w:trPr>
        <w:tc>
          <w:tcPr>
            <w:tcW w:w="5000" w:type="pct"/>
            <w:gridSpan w:val="2"/>
            <w:shd w:val="clear" w:color="000000" w:fill="002060"/>
            <w:noWrap/>
            <w:hideMark/>
          </w:tcPr>
          <w:p w14:paraId="35D256F5" w14:textId="77777777" w:rsidR="005C7436" w:rsidRPr="005C7436" w:rsidRDefault="005C7436" w:rsidP="00CA69C2">
            <w:pPr>
              <w:jc w:val="both"/>
              <w:rPr>
                <w:rFonts w:ascii="Arial Nova" w:eastAsia="Times New Roman" w:hAnsi="Arial Nova" w:cs="Times New Roman"/>
                <w:b/>
                <w:bCs/>
                <w:color w:val="FFFFFF"/>
                <w:sz w:val="18"/>
                <w:szCs w:val="18"/>
                <w:lang w:eastAsia="es-MX"/>
              </w:rPr>
            </w:pPr>
            <w:r w:rsidRPr="005C7436">
              <w:rPr>
                <w:rFonts w:ascii="Arial Nova" w:eastAsia="Times New Roman" w:hAnsi="Arial Nova" w:cs="Times New Roman"/>
                <w:b/>
                <w:bCs/>
                <w:color w:val="FFFFFF"/>
                <w:sz w:val="18"/>
                <w:szCs w:val="18"/>
                <w:lang w:eastAsia="es-MX"/>
              </w:rPr>
              <w:t>I. OBJETIVO DEL FORMATO:</w:t>
            </w:r>
          </w:p>
        </w:tc>
      </w:tr>
      <w:tr w:rsidR="005C7436" w:rsidRPr="005C7436" w14:paraId="260DAED3" w14:textId="77777777" w:rsidTr="005C7436">
        <w:trPr>
          <w:trHeight w:val="1660"/>
        </w:trPr>
        <w:tc>
          <w:tcPr>
            <w:tcW w:w="5000" w:type="pct"/>
            <w:gridSpan w:val="2"/>
            <w:shd w:val="clear" w:color="auto" w:fill="auto"/>
            <w:hideMark/>
          </w:tcPr>
          <w:p w14:paraId="325C9006" w14:textId="77777777" w:rsidR="005C7436" w:rsidRPr="005C7436" w:rsidRDefault="005C7436" w:rsidP="00CA69C2">
            <w:pPr>
              <w:jc w:val="both"/>
              <w:rPr>
                <w:rFonts w:ascii="Arial Nova" w:eastAsia="Times New Roman" w:hAnsi="Arial Nova" w:cs="Times New Roman"/>
                <w:color w:val="000000"/>
                <w:sz w:val="18"/>
                <w:szCs w:val="18"/>
                <w:lang w:eastAsia="es-MX"/>
              </w:rPr>
            </w:pPr>
            <w:r w:rsidRPr="005C7436">
              <w:rPr>
                <w:rFonts w:ascii="Arial Nova" w:eastAsia="Times New Roman" w:hAnsi="Arial Nova" w:cs="Times New Roman"/>
                <w:color w:val="000000"/>
                <w:sz w:val="18"/>
                <w:szCs w:val="18"/>
                <w:lang w:eastAsia="es-MX"/>
              </w:rPr>
              <w:t>Este formato tiene el propósito de consolidar el análisis jurídico con énfasis en contratación estatal de los laudos arbitrales objeto de estudio para proceso de la normativa de la contratación en la administración pública,  desarrollado por el grupo de relatoría.</w:t>
            </w:r>
          </w:p>
          <w:p w14:paraId="0BED34C2" w14:textId="240E1378" w:rsidR="005C7436" w:rsidRPr="005C7436" w:rsidRDefault="005C7436" w:rsidP="00CA69C2">
            <w:pPr>
              <w:jc w:val="both"/>
              <w:rPr>
                <w:rFonts w:ascii="Arial Nova" w:eastAsia="Times New Roman" w:hAnsi="Arial Nova" w:cs="Times New Roman"/>
                <w:color w:val="000000"/>
                <w:sz w:val="18"/>
                <w:szCs w:val="18"/>
                <w:lang w:eastAsia="es-MX"/>
              </w:rPr>
            </w:pPr>
            <w:r w:rsidRPr="005C7436">
              <w:rPr>
                <w:rFonts w:ascii="Arial Nova" w:eastAsia="Times New Roman" w:hAnsi="Arial Nova" w:cs="Times New Roman"/>
                <w:color w:val="000000"/>
                <w:sz w:val="18"/>
                <w:szCs w:val="18"/>
                <w:lang w:eastAsia="es-MX"/>
              </w:rPr>
              <w:t xml:space="preserve"> </w:t>
            </w:r>
            <w:r w:rsidRPr="005C7436">
              <w:rPr>
                <w:rFonts w:ascii="Arial Nova" w:eastAsia="Times New Roman" w:hAnsi="Arial Nova" w:cs="Times New Roman"/>
                <w:color w:val="000000"/>
                <w:sz w:val="18"/>
                <w:szCs w:val="18"/>
                <w:lang w:eastAsia="es-MX"/>
              </w:rPr>
              <w:br/>
              <w:t xml:space="preserve">El registro producto de este formato reposará en la plataforma </w:t>
            </w:r>
            <w:proofErr w:type="spellStart"/>
            <w:r w:rsidRPr="005C7436">
              <w:rPr>
                <w:rFonts w:ascii="Arial Nova" w:eastAsia="Times New Roman" w:hAnsi="Arial Nova" w:cs="Times New Roman"/>
                <w:color w:val="000000"/>
                <w:sz w:val="18"/>
                <w:szCs w:val="18"/>
                <w:lang w:eastAsia="es-MX"/>
              </w:rPr>
              <w:t>Sharepoint</w:t>
            </w:r>
            <w:proofErr w:type="spellEnd"/>
            <w:r w:rsidRPr="005C7436">
              <w:rPr>
                <w:rFonts w:ascii="Arial Nova" w:eastAsia="Times New Roman" w:hAnsi="Arial Nova" w:cs="Times New Roman"/>
                <w:color w:val="000000"/>
                <w:sz w:val="18"/>
                <w:szCs w:val="18"/>
                <w:lang w:eastAsia="es-MX"/>
              </w:rPr>
              <w:t xml:space="preserve"> de Relatoría, carpeta Laudos arbitrales de la subdirección de gestión contractual de la Agencia Nacional de Contratación Pública - Colombia Compra Eficiente.</w:t>
            </w:r>
          </w:p>
        </w:tc>
      </w:tr>
      <w:tr w:rsidR="005C7436" w:rsidRPr="005C7436" w14:paraId="5DF50458" w14:textId="77777777" w:rsidTr="005C7436">
        <w:trPr>
          <w:trHeight w:val="280"/>
        </w:trPr>
        <w:tc>
          <w:tcPr>
            <w:tcW w:w="5000" w:type="pct"/>
            <w:gridSpan w:val="2"/>
            <w:shd w:val="clear" w:color="000000" w:fill="002060"/>
            <w:noWrap/>
            <w:hideMark/>
          </w:tcPr>
          <w:p w14:paraId="75F89EE7" w14:textId="77777777" w:rsidR="005C7436" w:rsidRPr="00CA69C2" w:rsidRDefault="005C7436" w:rsidP="00CA69C2">
            <w:pPr>
              <w:jc w:val="both"/>
              <w:rPr>
                <w:rFonts w:ascii="Verdana" w:eastAsia="Times New Roman" w:hAnsi="Verdana" w:cs="Times New Roman"/>
                <w:b/>
                <w:bCs/>
                <w:color w:val="000000" w:themeColor="text1"/>
                <w:sz w:val="22"/>
                <w:szCs w:val="22"/>
                <w:lang w:eastAsia="es-MX"/>
              </w:rPr>
            </w:pPr>
            <w:r w:rsidRPr="00CA69C2">
              <w:rPr>
                <w:rFonts w:ascii="Verdana" w:eastAsia="Times New Roman" w:hAnsi="Verdana" w:cs="Times New Roman"/>
                <w:b/>
                <w:bCs/>
                <w:color w:val="000000" w:themeColor="text1"/>
                <w:sz w:val="22"/>
                <w:szCs w:val="22"/>
                <w:lang w:eastAsia="es-MX"/>
              </w:rPr>
              <w:t>II. IDENTIFICACIÓN</w:t>
            </w:r>
          </w:p>
        </w:tc>
      </w:tr>
      <w:tr w:rsidR="00413EE5" w:rsidRPr="00CA69C2" w14:paraId="572D4C98" w14:textId="77777777" w:rsidTr="00413EE5">
        <w:trPr>
          <w:trHeight w:val="286"/>
        </w:trPr>
        <w:tc>
          <w:tcPr>
            <w:tcW w:w="1649" w:type="pct"/>
            <w:shd w:val="clear" w:color="BFBFBF" w:fill="F2F2F2"/>
            <w:hideMark/>
          </w:tcPr>
          <w:p w14:paraId="1BB48AB3" w14:textId="77777777" w:rsidR="00413EE5" w:rsidRPr="00CA69C2" w:rsidRDefault="00413EE5"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Responsable: </w:t>
            </w:r>
          </w:p>
        </w:tc>
        <w:tc>
          <w:tcPr>
            <w:tcW w:w="3351" w:type="pct"/>
            <w:shd w:val="clear" w:color="auto" w:fill="auto"/>
            <w:hideMark/>
          </w:tcPr>
          <w:p w14:paraId="7839A9A0" w14:textId="098A2F70" w:rsidR="00413EE5" w:rsidRPr="00CA69C2" w:rsidRDefault="00413EE5" w:rsidP="00CA69C2">
            <w:pPr>
              <w:jc w:val="both"/>
              <w:rPr>
                <w:rFonts w:ascii="Verdana" w:eastAsia="Times New Roman" w:hAnsi="Verdana" w:cs="Times New Roman"/>
                <w:color w:val="000000" w:themeColor="text1"/>
                <w:sz w:val="22"/>
                <w:szCs w:val="22"/>
                <w:lang w:eastAsia="es-MX"/>
              </w:rPr>
            </w:pPr>
            <w:proofErr w:type="spellStart"/>
            <w:r w:rsidRPr="00CA69C2">
              <w:rPr>
                <w:rFonts w:ascii="Verdana" w:eastAsia="Times New Roman" w:hAnsi="Verdana" w:cs="Times New Roman"/>
                <w:color w:val="000000" w:themeColor="text1"/>
                <w:sz w:val="22"/>
                <w:szCs w:val="22"/>
                <w:lang w:eastAsia="es-MX"/>
              </w:rPr>
              <w:t>Jose</w:t>
            </w:r>
            <w:proofErr w:type="spellEnd"/>
            <w:r w:rsidRPr="00CA69C2">
              <w:rPr>
                <w:rFonts w:ascii="Verdana" w:eastAsia="Times New Roman" w:hAnsi="Verdana" w:cs="Times New Roman"/>
                <w:color w:val="000000" w:themeColor="text1"/>
                <w:sz w:val="22"/>
                <w:szCs w:val="22"/>
                <w:lang w:eastAsia="es-MX"/>
              </w:rPr>
              <w:t xml:space="preserve"> Gabriel Garc</w:t>
            </w:r>
            <w:r w:rsidR="00D14A92">
              <w:rPr>
                <w:rFonts w:ascii="Verdana" w:eastAsia="Times New Roman" w:hAnsi="Verdana" w:cs="Times New Roman"/>
                <w:color w:val="000000" w:themeColor="text1"/>
                <w:sz w:val="22"/>
                <w:szCs w:val="22"/>
                <w:lang w:eastAsia="es-MX"/>
              </w:rPr>
              <w:t>í</w:t>
            </w:r>
            <w:r w:rsidRPr="00CA69C2">
              <w:rPr>
                <w:rFonts w:ascii="Verdana" w:eastAsia="Times New Roman" w:hAnsi="Verdana" w:cs="Times New Roman"/>
                <w:color w:val="000000" w:themeColor="text1"/>
                <w:sz w:val="22"/>
                <w:szCs w:val="22"/>
                <w:lang w:eastAsia="es-MX"/>
              </w:rPr>
              <w:t>a Barrero</w:t>
            </w:r>
          </w:p>
        </w:tc>
      </w:tr>
      <w:tr w:rsidR="006A6216" w:rsidRPr="00CA69C2" w14:paraId="0F32F7A4" w14:textId="77777777" w:rsidTr="00413EE5">
        <w:trPr>
          <w:trHeight w:val="490"/>
        </w:trPr>
        <w:tc>
          <w:tcPr>
            <w:tcW w:w="1649" w:type="pct"/>
            <w:shd w:val="clear" w:color="BFBFBF" w:fill="F2F2F2"/>
            <w:hideMark/>
          </w:tcPr>
          <w:p w14:paraId="4CD9CCAD"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Identificación del Laudo: </w:t>
            </w:r>
          </w:p>
        </w:tc>
        <w:tc>
          <w:tcPr>
            <w:tcW w:w="3351" w:type="pct"/>
            <w:shd w:val="clear" w:color="auto" w:fill="auto"/>
            <w:hideMark/>
          </w:tcPr>
          <w:p w14:paraId="5A8DDBB8" w14:textId="471EC06A" w:rsidR="005C7436" w:rsidRPr="00CA69C2" w:rsidRDefault="00D63507"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Centro </w:t>
            </w:r>
            <w:r>
              <w:rPr>
                <w:rFonts w:ascii="Verdana" w:eastAsia="Times New Roman" w:hAnsi="Verdana" w:cs="Times New Roman"/>
                <w:color w:val="000000" w:themeColor="text1"/>
                <w:sz w:val="22"/>
                <w:szCs w:val="22"/>
                <w:lang w:eastAsia="es-MX"/>
              </w:rPr>
              <w:t>d</w:t>
            </w:r>
            <w:r w:rsidRPr="00CA69C2">
              <w:rPr>
                <w:rFonts w:ascii="Verdana" w:eastAsia="Times New Roman" w:hAnsi="Verdana" w:cs="Times New Roman"/>
                <w:color w:val="000000" w:themeColor="text1"/>
                <w:sz w:val="22"/>
                <w:szCs w:val="22"/>
                <w:lang w:eastAsia="es-MX"/>
              </w:rPr>
              <w:t xml:space="preserve">e Arbitraje Y Conciliación – Cámara </w:t>
            </w:r>
            <w:r>
              <w:rPr>
                <w:rFonts w:ascii="Verdana" w:eastAsia="Times New Roman" w:hAnsi="Verdana" w:cs="Times New Roman"/>
                <w:color w:val="000000" w:themeColor="text1"/>
                <w:sz w:val="22"/>
                <w:szCs w:val="22"/>
                <w:lang w:eastAsia="es-MX"/>
              </w:rPr>
              <w:t>d</w:t>
            </w:r>
            <w:r w:rsidRPr="00CA69C2">
              <w:rPr>
                <w:rFonts w:ascii="Verdana" w:eastAsia="Times New Roman" w:hAnsi="Verdana" w:cs="Times New Roman"/>
                <w:color w:val="000000" w:themeColor="text1"/>
                <w:sz w:val="22"/>
                <w:szCs w:val="22"/>
                <w:lang w:eastAsia="es-MX"/>
              </w:rPr>
              <w:t xml:space="preserve">e Comercio </w:t>
            </w:r>
            <w:r>
              <w:rPr>
                <w:rFonts w:ascii="Verdana" w:eastAsia="Times New Roman" w:hAnsi="Verdana" w:cs="Times New Roman"/>
                <w:color w:val="000000" w:themeColor="text1"/>
                <w:sz w:val="22"/>
                <w:szCs w:val="22"/>
                <w:lang w:eastAsia="es-MX"/>
              </w:rPr>
              <w:t>d</w:t>
            </w:r>
            <w:r w:rsidRPr="00CA69C2">
              <w:rPr>
                <w:rFonts w:ascii="Verdana" w:eastAsia="Times New Roman" w:hAnsi="Verdana" w:cs="Times New Roman"/>
                <w:color w:val="000000" w:themeColor="text1"/>
                <w:sz w:val="22"/>
                <w:szCs w:val="22"/>
                <w:lang w:eastAsia="es-MX"/>
              </w:rPr>
              <w:t xml:space="preserve">e Bogotá </w:t>
            </w:r>
            <w:r w:rsidR="007C1C93" w:rsidRPr="00CA69C2">
              <w:rPr>
                <w:rFonts w:ascii="Verdana" w:eastAsia="Times New Roman" w:hAnsi="Verdana" w:cs="Times New Roman"/>
                <w:color w:val="000000" w:themeColor="text1"/>
                <w:sz w:val="22"/>
                <w:szCs w:val="22"/>
                <w:lang w:eastAsia="es-MX"/>
              </w:rPr>
              <w:t>- Radicación 129597</w:t>
            </w:r>
          </w:p>
        </w:tc>
      </w:tr>
      <w:tr w:rsidR="006A6216" w:rsidRPr="00CA69C2" w14:paraId="69F0F311" w14:textId="77777777" w:rsidTr="00413EE5">
        <w:trPr>
          <w:trHeight w:val="280"/>
        </w:trPr>
        <w:tc>
          <w:tcPr>
            <w:tcW w:w="1649" w:type="pct"/>
            <w:vMerge w:val="restart"/>
            <w:shd w:val="clear" w:color="BFBFBF" w:fill="F2F2F2"/>
            <w:hideMark/>
          </w:tcPr>
          <w:p w14:paraId="3153013B"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Árbitros: </w:t>
            </w:r>
          </w:p>
        </w:tc>
        <w:tc>
          <w:tcPr>
            <w:tcW w:w="3351" w:type="pct"/>
            <w:shd w:val="clear" w:color="auto" w:fill="auto"/>
            <w:hideMark/>
          </w:tcPr>
          <w:p w14:paraId="5863062E" w14:textId="43A85921" w:rsidR="005C7436" w:rsidRPr="00CA69C2" w:rsidRDefault="007C1C9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María Cristina Morales de Barrios</w:t>
            </w:r>
          </w:p>
        </w:tc>
      </w:tr>
      <w:tr w:rsidR="006A6216" w:rsidRPr="00CA69C2" w14:paraId="53D643FE" w14:textId="77777777" w:rsidTr="00413EE5">
        <w:trPr>
          <w:trHeight w:val="300"/>
        </w:trPr>
        <w:tc>
          <w:tcPr>
            <w:tcW w:w="1649" w:type="pct"/>
            <w:vMerge/>
            <w:hideMark/>
          </w:tcPr>
          <w:p w14:paraId="5BA9C3A4"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p>
        </w:tc>
        <w:tc>
          <w:tcPr>
            <w:tcW w:w="3351" w:type="pct"/>
            <w:shd w:val="clear" w:color="auto" w:fill="auto"/>
            <w:hideMark/>
          </w:tcPr>
          <w:p w14:paraId="1AC35D12" w14:textId="2B890C44" w:rsidR="005C7436" w:rsidRPr="00CA69C2" w:rsidRDefault="007C1C93" w:rsidP="00CA69C2">
            <w:pPr>
              <w:jc w:val="both"/>
              <w:rPr>
                <w:rFonts w:ascii="Verdana" w:eastAsia="Times New Roman" w:hAnsi="Verdana" w:cs="Times New Roman"/>
                <w:color w:val="000000" w:themeColor="text1"/>
                <w:sz w:val="22"/>
                <w:szCs w:val="22"/>
                <w:lang w:val="es-CO" w:eastAsia="es-MX"/>
              </w:rPr>
            </w:pPr>
            <w:r w:rsidRPr="007C1C93">
              <w:rPr>
                <w:rFonts w:ascii="Verdana" w:eastAsia="Times New Roman" w:hAnsi="Verdana" w:cs="Times New Roman"/>
                <w:color w:val="000000" w:themeColor="text1"/>
                <w:sz w:val="22"/>
                <w:szCs w:val="22"/>
                <w:lang w:val="es-CO" w:eastAsia="es-MX"/>
              </w:rPr>
              <w:t>Alier Eduardo Hernández Enríquez</w:t>
            </w:r>
          </w:p>
        </w:tc>
      </w:tr>
      <w:tr w:rsidR="006A6216" w:rsidRPr="00CA69C2" w14:paraId="59DAFF74" w14:textId="77777777" w:rsidTr="00413EE5">
        <w:trPr>
          <w:trHeight w:val="280"/>
        </w:trPr>
        <w:tc>
          <w:tcPr>
            <w:tcW w:w="1649" w:type="pct"/>
            <w:vMerge/>
            <w:hideMark/>
          </w:tcPr>
          <w:p w14:paraId="5DFB59EA"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p>
        </w:tc>
        <w:tc>
          <w:tcPr>
            <w:tcW w:w="3351" w:type="pct"/>
            <w:shd w:val="clear" w:color="auto" w:fill="auto"/>
            <w:hideMark/>
          </w:tcPr>
          <w:p w14:paraId="0EB53C67" w14:textId="09B979F9" w:rsidR="005C7436" w:rsidRPr="00CA69C2" w:rsidRDefault="007C1C9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Arturo Solarte Rodríguez</w:t>
            </w:r>
          </w:p>
        </w:tc>
      </w:tr>
      <w:tr w:rsidR="00413EE5" w:rsidRPr="00CA69C2" w14:paraId="1DB70AE3" w14:textId="77777777" w:rsidTr="00E6427E">
        <w:trPr>
          <w:trHeight w:val="583"/>
        </w:trPr>
        <w:tc>
          <w:tcPr>
            <w:tcW w:w="1649" w:type="pct"/>
            <w:shd w:val="clear" w:color="BFBFBF" w:fill="F2F2F2"/>
            <w:hideMark/>
          </w:tcPr>
          <w:p w14:paraId="4186DC48" w14:textId="77777777" w:rsidR="00413EE5" w:rsidRPr="00CA69C2" w:rsidRDefault="00413EE5"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Convocantes:</w:t>
            </w:r>
          </w:p>
        </w:tc>
        <w:tc>
          <w:tcPr>
            <w:tcW w:w="3351" w:type="pct"/>
            <w:shd w:val="clear" w:color="auto" w:fill="auto"/>
            <w:hideMark/>
          </w:tcPr>
          <w:p w14:paraId="6DBD9982" w14:textId="040397B4" w:rsidR="00413EE5" w:rsidRPr="00CA69C2" w:rsidRDefault="00413EE5"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Empresa de Transporte del Tercer Milenio </w:t>
            </w:r>
            <w:proofErr w:type="spellStart"/>
            <w:r w:rsidRPr="00CA69C2">
              <w:rPr>
                <w:rFonts w:ascii="Verdana" w:eastAsia="Times New Roman" w:hAnsi="Verdana" w:cs="Times New Roman"/>
                <w:color w:val="000000" w:themeColor="text1"/>
                <w:sz w:val="22"/>
                <w:szCs w:val="22"/>
                <w:lang w:eastAsia="es-MX"/>
              </w:rPr>
              <w:t>TransMilenio</w:t>
            </w:r>
            <w:proofErr w:type="spellEnd"/>
            <w:r w:rsidRPr="00CA69C2">
              <w:rPr>
                <w:rFonts w:ascii="Verdana" w:eastAsia="Times New Roman" w:hAnsi="Verdana" w:cs="Times New Roman"/>
                <w:color w:val="000000" w:themeColor="text1"/>
                <w:sz w:val="22"/>
                <w:szCs w:val="22"/>
                <w:lang w:eastAsia="es-MX"/>
              </w:rPr>
              <w:t xml:space="preserve"> S.A.</w:t>
            </w:r>
          </w:p>
        </w:tc>
      </w:tr>
      <w:tr w:rsidR="006A6216" w:rsidRPr="00CA69C2" w14:paraId="25C2ED4E" w14:textId="77777777" w:rsidTr="00413EE5">
        <w:trPr>
          <w:trHeight w:val="300"/>
        </w:trPr>
        <w:tc>
          <w:tcPr>
            <w:tcW w:w="1649" w:type="pct"/>
            <w:shd w:val="clear" w:color="BFBFBF" w:fill="F2F2F2"/>
            <w:hideMark/>
          </w:tcPr>
          <w:p w14:paraId="65933C46"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Convocado:</w:t>
            </w:r>
          </w:p>
        </w:tc>
        <w:tc>
          <w:tcPr>
            <w:tcW w:w="3351" w:type="pct"/>
            <w:shd w:val="clear" w:color="auto" w:fill="auto"/>
            <w:hideMark/>
          </w:tcPr>
          <w:p w14:paraId="5C7C407D" w14:textId="440716BE" w:rsidR="005C7436" w:rsidRPr="00CA69C2" w:rsidRDefault="007C1C9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Somos Bogotá Usme S.A.S.</w:t>
            </w:r>
          </w:p>
        </w:tc>
      </w:tr>
      <w:tr w:rsidR="006A6216" w:rsidRPr="00CA69C2" w14:paraId="3005F6F1" w14:textId="77777777" w:rsidTr="00E6427E">
        <w:trPr>
          <w:trHeight w:val="338"/>
        </w:trPr>
        <w:tc>
          <w:tcPr>
            <w:tcW w:w="1649" w:type="pct"/>
            <w:shd w:val="clear" w:color="BFBFBF" w:fill="F2F2F2"/>
            <w:hideMark/>
          </w:tcPr>
          <w:p w14:paraId="42168069"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Tema:</w:t>
            </w:r>
          </w:p>
        </w:tc>
        <w:tc>
          <w:tcPr>
            <w:tcW w:w="3351" w:type="pct"/>
            <w:shd w:val="clear" w:color="auto" w:fill="auto"/>
            <w:hideMark/>
          </w:tcPr>
          <w:p w14:paraId="74490306" w14:textId="7CD7819C" w:rsidR="005C7436" w:rsidRPr="00CA69C2" w:rsidRDefault="00D63507" w:rsidP="00CA69C2">
            <w:pPr>
              <w:jc w:val="both"/>
              <w:rPr>
                <w:rFonts w:ascii="Verdana" w:eastAsia="Times New Roman" w:hAnsi="Verdana" w:cs="Times New Roman"/>
                <w:color w:val="000000" w:themeColor="text1"/>
                <w:sz w:val="22"/>
                <w:szCs w:val="22"/>
                <w:lang w:eastAsia="es-MX"/>
              </w:rPr>
            </w:pPr>
            <w:r>
              <w:rPr>
                <w:rFonts w:ascii="Verdana" w:eastAsia="Times New Roman" w:hAnsi="Verdana" w:cs="Times New Roman"/>
                <w:color w:val="000000" w:themeColor="text1"/>
                <w:sz w:val="22"/>
                <w:szCs w:val="22"/>
                <w:lang w:eastAsia="es-MX"/>
              </w:rPr>
              <w:t xml:space="preserve">Incumplimiento en contrato de </w:t>
            </w:r>
            <w:proofErr w:type="spellStart"/>
            <w:r>
              <w:rPr>
                <w:rFonts w:ascii="Verdana" w:eastAsia="Times New Roman" w:hAnsi="Verdana" w:cs="Times New Roman"/>
                <w:color w:val="000000" w:themeColor="text1"/>
                <w:sz w:val="22"/>
                <w:szCs w:val="22"/>
                <w:lang w:eastAsia="es-MX"/>
              </w:rPr>
              <w:t>consecion</w:t>
            </w:r>
            <w:proofErr w:type="spellEnd"/>
          </w:p>
        </w:tc>
      </w:tr>
      <w:tr w:rsidR="005C7436" w:rsidRPr="00CA69C2" w14:paraId="61132617" w14:textId="77777777" w:rsidTr="005C7436">
        <w:trPr>
          <w:trHeight w:val="280"/>
        </w:trPr>
        <w:tc>
          <w:tcPr>
            <w:tcW w:w="5000" w:type="pct"/>
            <w:gridSpan w:val="2"/>
            <w:shd w:val="clear" w:color="000000" w:fill="002060"/>
            <w:noWrap/>
            <w:hideMark/>
          </w:tcPr>
          <w:p w14:paraId="6FDF3578"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III. DESCRIPCIÓN</w:t>
            </w:r>
          </w:p>
        </w:tc>
      </w:tr>
      <w:tr w:rsidR="00413EE5" w:rsidRPr="00CA69C2" w14:paraId="07DDDE26" w14:textId="77777777" w:rsidTr="00413EE5">
        <w:trPr>
          <w:trHeight w:val="813"/>
        </w:trPr>
        <w:tc>
          <w:tcPr>
            <w:tcW w:w="1649" w:type="pct"/>
            <w:shd w:val="clear" w:color="BFBFBF" w:fill="F2F2F2"/>
            <w:hideMark/>
          </w:tcPr>
          <w:p w14:paraId="36A936F8" w14:textId="77777777" w:rsidR="00413EE5" w:rsidRPr="00CA69C2" w:rsidRDefault="00413EE5"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Descriptores</w:t>
            </w:r>
          </w:p>
        </w:tc>
        <w:tc>
          <w:tcPr>
            <w:tcW w:w="3351" w:type="pct"/>
            <w:shd w:val="clear" w:color="auto" w:fill="auto"/>
            <w:hideMark/>
          </w:tcPr>
          <w:p w14:paraId="14AE902E" w14:textId="64C3F572" w:rsidR="00413EE5" w:rsidRPr="00CA69C2" w:rsidRDefault="00413EE5" w:rsidP="00D14A92">
            <w:pPr>
              <w:jc w:val="both"/>
              <w:rPr>
                <w:rFonts w:ascii="Verdana" w:eastAsia="Times New Roman" w:hAnsi="Verdana" w:cs="Times New Roman"/>
                <w:color w:val="000000" w:themeColor="text1"/>
                <w:sz w:val="22"/>
                <w:szCs w:val="22"/>
                <w:lang w:eastAsia="es-MX"/>
              </w:rPr>
            </w:pPr>
            <w:r>
              <w:rPr>
                <w:rFonts w:ascii="Verdana" w:eastAsia="Times New Roman" w:hAnsi="Verdana" w:cs="Times New Roman"/>
                <w:color w:val="000000" w:themeColor="text1"/>
                <w:sz w:val="22"/>
                <w:szCs w:val="22"/>
                <w:lang w:eastAsia="es-MX"/>
              </w:rPr>
              <w:t>CONTRATO DE CONCESIÓN – INCUMPLIMIENTO CONTRACTUAL – REAJUSTE CONTRACTUAL – CASO FORTUITO</w:t>
            </w:r>
          </w:p>
        </w:tc>
      </w:tr>
      <w:tr w:rsidR="00413EE5" w:rsidRPr="00CA69C2" w14:paraId="50582C7C" w14:textId="77777777" w:rsidTr="00D14A92">
        <w:trPr>
          <w:trHeight w:val="869"/>
        </w:trPr>
        <w:tc>
          <w:tcPr>
            <w:tcW w:w="1649" w:type="pct"/>
            <w:shd w:val="clear" w:color="BFBFBF" w:fill="F2F2F2"/>
            <w:hideMark/>
          </w:tcPr>
          <w:p w14:paraId="779685A5" w14:textId="77777777" w:rsidR="00413EE5" w:rsidRPr="00CA69C2" w:rsidRDefault="00413EE5" w:rsidP="00CA69C2">
            <w:pPr>
              <w:jc w:val="both"/>
              <w:rPr>
                <w:rFonts w:ascii="Verdana" w:eastAsia="Times New Roman" w:hAnsi="Verdana" w:cs="Times New Roman"/>
                <w:color w:val="000000" w:themeColor="text1"/>
                <w:sz w:val="22"/>
                <w:szCs w:val="22"/>
                <w:lang w:eastAsia="es-MX"/>
              </w:rPr>
            </w:pPr>
            <w:proofErr w:type="spellStart"/>
            <w:r w:rsidRPr="00CA69C2">
              <w:rPr>
                <w:rFonts w:ascii="Verdana" w:eastAsia="Times New Roman" w:hAnsi="Verdana" w:cs="Times New Roman"/>
                <w:color w:val="000000" w:themeColor="text1"/>
                <w:sz w:val="22"/>
                <w:szCs w:val="22"/>
                <w:lang w:eastAsia="es-MX"/>
              </w:rPr>
              <w:t>Restrictores</w:t>
            </w:r>
            <w:proofErr w:type="spellEnd"/>
            <w:r w:rsidRPr="00CA69C2">
              <w:rPr>
                <w:rFonts w:ascii="Verdana" w:eastAsia="Times New Roman" w:hAnsi="Verdana" w:cs="Times New Roman"/>
                <w:color w:val="000000" w:themeColor="text1"/>
                <w:sz w:val="22"/>
                <w:szCs w:val="22"/>
                <w:lang w:eastAsia="es-MX"/>
              </w:rPr>
              <w:t>:</w:t>
            </w:r>
          </w:p>
        </w:tc>
        <w:tc>
          <w:tcPr>
            <w:tcW w:w="3351" w:type="pct"/>
            <w:shd w:val="clear" w:color="auto" w:fill="auto"/>
            <w:hideMark/>
          </w:tcPr>
          <w:p w14:paraId="649201B3" w14:textId="50CB0220" w:rsidR="00413EE5" w:rsidRPr="00CA69C2" w:rsidRDefault="00413EE5" w:rsidP="00D14A92">
            <w:pPr>
              <w:jc w:val="both"/>
              <w:rPr>
                <w:rFonts w:ascii="Verdana" w:eastAsia="Times New Roman" w:hAnsi="Verdana" w:cs="Times New Roman"/>
                <w:color w:val="000000" w:themeColor="text1"/>
                <w:sz w:val="22"/>
                <w:szCs w:val="22"/>
                <w:lang w:eastAsia="es-MX"/>
              </w:rPr>
            </w:pPr>
            <w:r>
              <w:rPr>
                <w:rFonts w:ascii="Verdana" w:eastAsia="Times New Roman" w:hAnsi="Verdana" w:cs="Times New Roman"/>
                <w:color w:val="000000" w:themeColor="text1"/>
                <w:sz w:val="22"/>
                <w:szCs w:val="22"/>
                <w:lang w:eastAsia="es-MX"/>
              </w:rPr>
              <w:t xml:space="preserve">Naturaleza – Definición – </w:t>
            </w:r>
            <w:proofErr w:type="spellStart"/>
            <w:r>
              <w:rPr>
                <w:rFonts w:ascii="Verdana" w:eastAsia="Times New Roman" w:hAnsi="Verdana" w:cs="Times New Roman"/>
                <w:color w:val="000000" w:themeColor="text1"/>
                <w:sz w:val="22"/>
                <w:szCs w:val="22"/>
                <w:lang w:eastAsia="es-MX"/>
              </w:rPr>
              <w:t>Re</w:t>
            </w:r>
            <w:r w:rsidR="00397EB9">
              <w:rPr>
                <w:rFonts w:ascii="Verdana" w:eastAsia="Times New Roman" w:hAnsi="Verdana" w:cs="Times New Roman"/>
                <w:color w:val="000000" w:themeColor="text1"/>
                <w:sz w:val="22"/>
                <w:szCs w:val="22"/>
                <w:lang w:eastAsia="es-MX"/>
              </w:rPr>
              <w:t>g</w:t>
            </w:r>
            <w:r>
              <w:rPr>
                <w:rFonts w:ascii="Verdana" w:eastAsia="Times New Roman" w:hAnsi="Verdana" w:cs="Times New Roman"/>
                <w:color w:val="000000" w:themeColor="text1"/>
                <w:sz w:val="22"/>
                <w:szCs w:val="22"/>
                <w:lang w:eastAsia="es-MX"/>
              </w:rPr>
              <w:t>imen</w:t>
            </w:r>
            <w:proofErr w:type="spellEnd"/>
            <w:r>
              <w:rPr>
                <w:rFonts w:ascii="Verdana" w:eastAsia="Times New Roman" w:hAnsi="Verdana" w:cs="Times New Roman"/>
                <w:color w:val="000000" w:themeColor="text1"/>
                <w:sz w:val="22"/>
                <w:szCs w:val="22"/>
                <w:lang w:eastAsia="es-MX"/>
              </w:rPr>
              <w:t xml:space="preserve"> aplicable- Consecuencias Incumplimiento – Infraestructura - COVID-19</w:t>
            </w:r>
          </w:p>
        </w:tc>
      </w:tr>
      <w:tr w:rsidR="006A6216" w:rsidRPr="00CA69C2" w14:paraId="26ABF9B7" w14:textId="77777777" w:rsidTr="00413EE5">
        <w:trPr>
          <w:trHeight w:val="600"/>
        </w:trPr>
        <w:tc>
          <w:tcPr>
            <w:tcW w:w="1649" w:type="pct"/>
            <w:shd w:val="clear" w:color="BFBFBF" w:fill="F2F2F2"/>
            <w:hideMark/>
          </w:tcPr>
          <w:p w14:paraId="0F7E9118"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Situación fáctica:</w:t>
            </w:r>
          </w:p>
        </w:tc>
        <w:tc>
          <w:tcPr>
            <w:tcW w:w="3351" w:type="pct"/>
            <w:shd w:val="clear" w:color="auto" w:fill="auto"/>
            <w:hideMark/>
          </w:tcPr>
          <w:p w14:paraId="56C63B5D" w14:textId="77777777" w:rsidR="007C1C93" w:rsidRPr="007517D0" w:rsidRDefault="007C1C93" w:rsidP="007517D0">
            <w:pPr>
              <w:pStyle w:val="Prrafodelista"/>
              <w:numPr>
                <w:ilvl w:val="0"/>
                <w:numId w:val="2"/>
              </w:numPr>
              <w:autoSpaceDE w:val="0"/>
              <w:autoSpaceDN w:val="0"/>
              <w:adjustRightInd w:val="0"/>
              <w:jc w:val="both"/>
              <w:rPr>
                <w:rFonts w:ascii="Verdana" w:eastAsia="Times New Roman" w:hAnsi="Verdana" w:cs="Times New Roman"/>
                <w:color w:val="000000" w:themeColor="text1"/>
                <w:sz w:val="22"/>
                <w:szCs w:val="22"/>
                <w:lang w:eastAsia="es-MX"/>
              </w:rPr>
            </w:pPr>
            <w:r w:rsidRPr="007517D0">
              <w:rPr>
                <w:rFonts w:ascii="Verdana" w:eastAsia="Times New Roman" w:hAnsi="Verdana" w:cs="Times New Roman"/>
                <w:color w:val="000000" w:themeColor="text1"/>
                <w:sz w:val="22"/>
                <w:szCs w:val="22"/>
                <w:lang w:eastAsia="es-MX"/>
              </w:rPr>
              <w:t>Existencia del Contrato de Concesión No. 688 de 2018.</w:t>
            </w:r>
          </w:p>
          <w:p w14:paraId="6F47D404" w14:textId="77777777" w:rsidR="007C1C93" w:rsidRPr="007517D0" w:rsidRDefault="007C1C93" w:rsidP="007517D0">
            <w:pPr>
              <w:pStyle w:val="Prrafodelista"/>
              <w:numPr>
                <w:ilvl w:val="0"/>
                <w:numId w:val="2"/>
              </w:numPr>
              <w:autoSpaceDE w:val="0"/>
              <w:autoSpaceDN w:val="0"/>
              <w:adjustRightInd w:val="0"/>
              <w:jc w:val="both"/>
              <w:rPr>
                <w:rFonts w:ascii="Verdana" w:eastAsia="Times New Roman" w:hAnsi="Verdana" w:cs="Times New Roman"/>
                <w:color w:val="000000" w:themeColor="text1"/>
                <w:sz w:val="22"/>
                <w:szCs w:val="22"/>
                <w:lang w:eastAsia="es-MX"/>
              </w:rPr>
            </w:pPr>
            <w:r w:rsidRPr="007517D0">
              <w:rPr>
                <w:rFonts w:ascii="Verdana" w:eastAsia="Times New Roman" w:hAnsi="Verdana" w:cs="Times New Roman"/>
                <w:color w:val="000000" w:themeColor="text1"/>
                <w:sz w:val="22"/>
                <w:szCs w:val="22"/>
                <w:lang w:eastAsia="es-MX"/>
              </w:rPr>
              <w:t>Impacto de la pandemia COVID-19 en la ejecución del contrato.</w:t>
            </w:r>
          </w:p>
          <w:p w14:paraId="6951526F" w14:textId="77777777" w:rsidR="006A6216" w:rsidRDefault="007C1C93" w:rsidP="007517D0">
            <w:pPr>
              <w:pStyle w:val="Prrafodelista"/>
              <w:numPr>
                <w:ilvl w:val="0"/>
                <w:numId w:val="2"/>
              </w:numPr>
              <w:autoSpaceDE w:val="0"/>
              <w:autoSpaceDN w:val="0"/>
              <w:adjustRightInd w:val="0"/>
              <w:jc w:val="both"/>
              <w:rPr>
                <w:rFonts w:ascii="Verdana" w:eastAsia="Times New Roman" w:hAnsi="Verdana" w:cs="Times New Roman"/>
                <w:color w:val="000000" w:themeColor="text1"/>
                <w:sz w:val="22"/>
                <w:szCs w:val="22"/>
                <w:lang w:eastAsia="es-MX"/>
              </w:rPr>
            </w:pPr>
            <w:r w:rsidRPr="007517D0">
              <w:rPr>
                <w:rFonts w:ascii="Verdana" w:eastAsia="Times New Roman" w:hAnsi="Verdana" w:cs="Times New Roman"/>
                <w:color w:val="000000" w:themeColor="text1"/>
                <w:sz w:val="22"/>
                <w:szCs w:val="22"/>
                <w:lang w:eastAsia="es-MX"/>
              </w:rPr>
              <w:t xml:space="preserve">Reclamos sobre la responsabilidad de </w:t>
            </w:r>
            <w:proofErr w:type="spellStart"/>
            <w:r w:rsidRPr="007517D0">
              <w:rPr>
                <w:rFonts w:ascii="Verdana" w:eastAsia="Times New Roman" w:hAnsi="Verdana" w:cs="Times New Roman"/>
                <w:color w:val="000000" w:themeColor="text1"/>
                <w:sz w:val="22"/>
                <w:szCs w:val="22"/>
                <w:lang w:eastAsia="es-MX"/>
              </w:rPr>
              <w:t>TransMilenio</w:t>
            </w:r>
            <w:proofErr w:type="spellEnd"/>
            <w:r w:rsidRPr="007517D0">
              <w:rPr>
                <w:rFonts w:ascii="Verdana" w:eastAsia="Times New Roman" w:hAnsi="Verdana" w:cs="Times New Roman"/>
                <w:color w:val="000000" w:themeColor="text1"/>
                <w:sz w:val="22"/>
                <w:szCs w:val="22"/>
                <w:lang w:eastAsia="es-MX"/>
              </w:rPr>
              <w:t xml:space="preserve"> S.A. en la no entrega del Patio de Operación y su efecto en la operación del concesionario.</w:t>
            </w:r>
          </w:p>
          <w:p w14:paraId="0590FFA4" w14:textId="52E1D85D" w:rsidR="007517D0" w:rsidRPr="007517D0" w:rsidRDefault="007517D0" w:rsidP="007517D0">
            <w:pPr>
              <w:pStyle w:val="Prrafodelista"/>
              <w:numPr>
                <w:ilvl w:val="0"/>
                <w:numId w:val="2"/>
              </w:numPr>
              <w:autoSpaceDE w:val="0"/>
              <w:autoSpaceDN w:val="0"/>
              <w:adjustRightInd w:val="0"/>
              <w:jc w:val="both"/>
              <w:rPr>
                <w:rFonts w:ascii="Verdana" w:eastAsia="Times New Roman" w:hAnsi="Verdana" w:cs="Times New Roman"/>
                <w:color w:val="000000" w:themeColor="text1"/>
                <w:sz w:val="22"/>
                <w:szCs w:val="22"/>
                <w:lang w:eastAsia="es-MX"/>
              </w:rPr>
            </w:pPr>
            <w:r>
              <w:rPr>
                <w:rFonts w:ascii="Verdana" w:eastAsia="Times New Roman" w:hAnsi="Verdana" w:cs="Times New Roman"/>
                <w:color w:val="000000" w:themeColor="text1"/>
                <w:sz w:val="22"/>
                <w:szCs w:val="22"/>
                <w:lang w:eastAsia="es-MX"/>
              </w:rPr>
              <w:t xml:space="preserve">Se </w:t>
            </w:r>
            <w:proofErr w:type="spellStart"/>
            <w:r>
              <w:rPr>
                <w:rFonts w:ascii="Verdana" w:eastAsia="Times New Roman" w:hAnsi="Verdana" w:cs="Times New Roman"/>
                <w:color w:val="000000" w:themeColor="text1"/>
                <w:sz w:val="22"/>
                <w:szCs w:val="22"/>
                <w:lang w:eastAsia="es-MX"/>
              </w:rPr>
              <w:t>raclama</w:t>
            </w:r>
            <w:proofErr w:type="spellEnd"/>
            <w:r>
              <w:rPr>
                <w:rFonts w:ascii="Verdana" w:eastAsia="Times New Roman" w:hAnsi="Verdana" w:cs="Times New Roman"/>
                <w:color w:val="000000" w:themeColor="text1"/>
                <w:sz w:val="22"/>
                <w:szCs w:val="22"/>
                <w:lang w:eastAsia="es-MX"/>
              </w:rPr>
              <w:t xml:space="preserve"> </w:t>
            </w:r>
            <w:proofErr w:type="spellStart"/>
            <w:r>
              <w:rPr>
                <w:rFonts w:ascii="Verdana" w:eastAsia="Times New Roman" w:hAnsi="Verdana" w:cs="Times New Roman"/>
                <w:color w:val="000000" w:themeColor="text1"/>
                <w:sz w:val="22"/>
                <w:szCs w:val="22"/>
                <w:lang w:eastAsia="es-MX"/>
              </w:rPr>
              <w:t>indeminzacion</w:t>
            </w:r>
            <w:proofErr w:type="spellEnd"/>
            <w:r>
              <w:rPr>
                <w:rFonts w:ascii="Verdana" w:eastAsia="Times New Roman" w:hAnsi="Verdana" w:cs="Times New Roman"/>
                <w:color w:val="000000" w:themeColor="text1"/>
                <w:sz w:val="22"/>
                <w:szCs w:val="22"/>
                <w:lang w:eastAsia="es-MX"/>
              </w:rPr>
              <w:t xml:space="preserve"> por perjuicios derivados del incumplimiento</w:t>
            </w:r>
          </w:p>
        </w:tc>
      </w:tr>
      <w:tr w:rsidR="006A6216" w:rsidRPr="00CA69C2" w14:paraId="7ED63397" w14:textId="77777777" w:rsidTr="001F5058">
        <w:trPr>
          <w:trHeight w:val="848"/>
        </w:trPr>
        <w:tc>
          <w:tcPr>
            <w:tcW w:w="1649" w:type="pct"/>
            <w:shd w:val="clear" w:color="BFBFBF" w:fill="F2F2F2"/>
            <w:hideMark/>
          </w:tcPr>
          <w:p w14:paraId="638D3EDC"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Problema jurídico 1:</w:t>
            </w:r>
          </w:p>
        </w:tc>
        <w:tc>
          <w:tcPr>
            <w:tcW w:w="3351" w:type="pct"/>
            <w:shd w:val="clear" w:color="auto" w:fill="auto"/>
            <w:hideMark/>
          </w:tcPr>
          <w:p w14:paraId="3CB174AF" w14:textId="3301B10E" w:rsidR="006A6216" w:rsidRPr="00CA69C2" w:rsidRDefault="006F702B" w:rsidP="00CA69C2">
            <w:pPr>
              <w:autoSpaceDE w:val="0"/>
              <w:autoSpaceDN w:val="0"/>
              <w:adjustRightInd w:val="0"/>
              <w:jc w:val="both"/>
              <w:rPr>
                <w:rFonts w:ascii="Verdana" w:hAnsi="Verdana" w:cs="Times New Roman"/>
                <w:color w:val="000000" w:themeColor="text1"/>
                <w:sz w:val="22"/>
                <w:szCs w:val="22"/>
                <w:lang w:val="es-MX"/>
              </w:rPr>
            </w:pPr>
            <w:r w:rsidRPr="00CA69C2">
              <w:rPr>
                <w:rFonts w:ascii="Verdana" w:eastAsia="Times New Roman" w:hAnsi="Verdana" w:cs="Times New Roman"/>
                <w:color w:val="000000" w:themeColor="text1"/>
                <w:sz w:val="22"/>
                <w:szCs w:val="22"/>
                <w:lang w:eastAsia="es-MX"/>
              </w:rPr>
              <w:t>¿</w:t>
            </w:r>
            <w:r w:rsidR="00D14A92">
              <w:rPr>
                <w:rFonts w:ascii="Verdana" w:eastAsia="Times New Roman" w:hAnsi="Verdana" w:cs="Times New Roman"/>
                <w:color w:val="000000" w:themeColor="text1"/>
                <w:sz w:val="22"/>
                <w:szCs w:val="22"/>
                <w:lang w:eastAsia="es-MX"/>
              </w:rPr>
              <w:t>El contratista</w:t>
            </w:r>
            <w:r w:rsidRPr="00CA69C2">
              <w:rPr>
                <w:rFonts w:ascii="Verdana" w:eastAsia="Times New Roman" w:hAnsi="Verdana" w:cs="Times New Roman"/>
                <w:color w:val="000000" w:themeColor="text1"/>
                <w:sz w:val="22"/>
                <w:szCs w:val="22"/>
                <w:lang w:eastAsia="es-MX"/>
              </w:rPr>
              <w:t xml:space="preserve"> incumplió sus obligaciones contractuales al no entregar a tiempo </w:t>
            </w:r>
            <w:r w:rsidR="001F5058">
              <w:rPr>
                <w:rFonts w:ascii="Verdana" w:eastAsia="Times New Roman" w:hAnsi="Verdana" w:cs="Times New Roman"/>
                <w:color w:val="000000" w:themeColor="text1"/>
                <w:sz w:val="22"/>
                <w:szCs w:val="22"/>
                <w:lang w:eastAsia="es-MX"/>
              </w:rPr>
              <w:t xml:space="preserve">la obra </w:t>
            </w:r>
            <w:r w:rsidR="00D14A92">
              <w:rPr>
                <w:rFonts w:ascii="Verdana" w:eastAsia="Times New Roman" w:hAnsi="Verdana" w:cs="Times New Roman"/>
                <w:color w:val="000000" w:themeColor="text1"/>
                <w:sz w:val="22"/>
                <w:szCs w:val="22"/>
                <w:lang w:eastAsia="es-MX"/>
              </w:rPr>
              <w:t>contratad</w:t>
            </w:r>
            <w:r w:rsidR="001F5058">
              <w:rPr>
                <w:rFonts w:ascii="Verdana" w:eastAsia="Times New Roman" w:hAnsi="Verdana" w:cs="Times New Roman"/>
                <w:color w:val="000000" w:themeColor="text1"/>
                <w:sz w:val="22"/>
                <w:szCs w:val="22"/>
                <w:lang w:eastAsia="es-MX"/>
              </w:rPr>
              <w:t>a</w:t>
            </w:r>
            <w:r w:rsidRPr="00CA69C2">
              <w:rPr>
                <w:rFonts w:ascii="Verdana" w:eastAsia="Times New Roman" w:hAnsi="Verdana" w:cs="Times New Roman"/>
                <w:color w:val="000000" w:themeColor="text1"/>
                <w:sz w:val="22"/>
                <w:szCs w:val="22"/>
                <w:lang w:eastAsia="es-MX"/>
              </w:rPr>
              <w:t>?</w:t>
            </w:r>
          </w:p>
        </w:tc>
      </w:tr>
      <w:tr w:rsidR="006A6216" w:rsidRPr="00CA69C2" w14:paraId="27D40647" w14:textId="77777777" w:rsidTr="00413EE5">
        <w:trPr>
          <w:trHeight w:val="1135"/>
        </w:trPr>
        <w:tc>
          <w:tcPr>
            <w:tcW w:w="1649" w:type="pct"/>
            <w:shd w:val="clear" w:color="BFBFBF" w:fill="F2F2F2"/>
            <w:hideMark/>
          </w:tcPr>
          <w:p w14:paraId="7A8615C6"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Ratio </w:t>
            </w:r>
            <w:proofErr w:type="spellStart"/>
            <w:r w:rsidRPr="00CA69C2">
              <w:rPr>
                <w:rFonts w:ascii="Verdana" w:eastAsia="Times New Roman" w:hAnsi="Verdana" w:cs="Times New Roman"/>
                <w:color w:val="000000" w:themeColor="text1"/>
                <w:sz w:val="22"/>
                <w:szCs w:val="22"/>
                <w:lang w:eastAsia="es-MX"/>
              </w:rPr>
              <w:t>decidendi</w:t>
            </w:r>
            <w:proofErr w:type="spellEnd"/>
            <w:r w:rsidRPr="00CA69C2">
              <w:rPr>
                <w:rFonts w:ascii="Verdana" w:eastAsia="Times New Roman" w:hAnsi="Verdana" w:cs="Times New Roman"/>
                <w:color w:val="000000" w:themeColor="text1"/>
                <w:sz w:val="22"/>
                <w:szCs w:val="22"/>
                <w:lang w:eastAsia="es-MX"/>
              </w:rPr>
              <w:t>:</w:t>
            </w:r>
          </w:p>
        </w:tc>
        <w:tc>
          <w:tcPr>
            <w:tcW w:w="3351" w:type="pct"/>
            <w:shd w:val="clear" w:color="auto" w:fill="auto"/>
            <w:hideMark/>
          </w:tcPr>
          <w:p w14:paraId="04FE38C1" w14:textId="45B82778" w:rsidR="005C7436" w:rsidRPr="00CA69C2" w:rsidRDefault="00CA69C2"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La responsabilidad de </w:t>
            </w:r>
            <w:proofErr w:type="spellStart"/>
            <w:r w:rsidRPr="00CA69C2">
              <w:rPr>
                <w:rFonts w:ascii="Verdana" w:eastAsia="Times New Roman" w:hAnsi="Verdana" w:cs="Times New Roman"/>
                <w:color w:val="000000" w:themeColor="text1"/>
                <w:sz w:val="22"/>
                <w:szCs w:val="22"/>
                <w:lang w:eastAsia="es-MX"/>
              </w:rPr>
              <w:t>TransMilenio</w:t>
            </w:r>
            <w:proofErr w:type="spellEnd"/>
            <w:r w:rsidRPr="00CA69C2">
              <w:rPr>
                <w:rFonts w:ascii="Verdana" w:eastAsia="Times New Roman" w:hAnsi="Verdana" w:cs="Times New Roman"/>
                <w:color w:val="000000" w:themeColor="text1"/>
                <w:sz w:val="22"/>
                <w:szCs w:val="22"/>
                <w:lang w:eastAsia="es-MX"/>
              </w:rPr>
              <w:t xml:space="preserve"> S.A. en este caso se centra en su capacidad para cumplir con las obligaciones contractuales dentro de los plazos estipulados. El tribunal concluyó que la falta de entrega del Patio de Operación Nuevo La Reforma constituye un incumplimiento esencial del contrato. Este incumplimiento desencadena consecuencias directas, incluyendo la obligación de indemnizar por </w:t>
            </w:r>
            <w:r w:rsidRPr="00CA69C2">
              <w:rPr>
                <w:rFonts w:ascii="Verdana" w:eastAsia="Times New Roman" w:hAnsi="Verdana" w:cs="Times New Roman"/>
                <w:color w:val="000000" w:themeColor="text1"/>
                <w:sz w:val="22"/>
                <w:szCs w:val="22"/>
                <w:lang w:eastAsia="es-MX"/>
              </w:rPr>
              <w:lastRenderedPageBreak/>
              <w:t>los perjuicios ocasionados, dado que las expectativas del concesionario se vieron gravemente afectadas por la falta de infraestructura necesaria para el desarrollo de sus operaciones.</w:t>
            </w:r>
          </w:p>
        </w:tc>
      </w:tr>
      <w:tr w:rsidR="006A6216" w:rsidRPr="00CA69C2" w14:paraId="62A1714A" w14:textId="77777777" w:rsidTr="00D14A92">
        <w:trPr>
          <w:trHeight w:val="912"/>
        </w:trPr>
        <w:tc>
          <w:tcPr>
            <w:tcW w:w="1649" w:type="pct"/>
            <w:shd w:val="clear" w:color="BFBFBF" w:fill="F2F2F2"/>
            <w:hideMark/>
          </w:tcPr>
          <w:p w14:paraId="0C01942F"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lastRenderedPageBreak/>
              <w:t xml:space="preserve">Problema jurídico 2: </w:t>
            </w:r>
          </w:p>
        </w:tc>
        <w:tc>
          <w:tcPr>
            <w:tcW w:w="3351" w:type="pct"/>
            <w:shd w:val="clear" w:color="auto" w:fill="auto"/>
            <w:hideMark/>
          </w:tcPr>
          <w:p w14:paraId="339E8001" w14:textId="1FD64DFB" w:rsidR="005C7436" w:rsidRPr="00CA69C2" w:rsidRDefault="00CA69C2"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¿La pandemia COVID-19 modifica la naturaleza de las obligaciones contractuales bajo el Contrato de Concesión No. 688 de 2018?</w:t>
            </w:r>
          </w:p>
        </w:tc>
      </w:tr>
      <w:tr w:rsidR="006A6216" w:rsidRPr="00CA69C2" w14:paraId="7A070443" w14:textId="77777777" w:rsidTr="00413EE5">
        <w:trPr>
          <w:trHeight w:val="1135"/>
        </w:trPr>
        <w:tc>
          <w:tcPr>
            <w:tcW w:w="1649" w:type="pct"/>
            <w:shd w:val="clear" w:color="BFBFBF" w:fill="F2F2F2"/>
            <w:hideMark/>
          </w:tcPr>
          <w:p w14:paraId="6684164C"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Ratio </w:t>
            </w:r>
            <w:proofErr w:type="spellStart"/>
            <w:r w:rsidRPr="00CA69C2">
              <w:rPr>
                <w:rFonts w:ascii="Verdana" w:eastAsia="Times New Roman" w:hAnsi="Verdana" w:cs="Times New Roman"/>
                <w:color w:val="000000" w:themeColor="text1"/>
                <w:sz w:val="22"/>
                <w:szCs w:val="22"/>
                <w:lang w:eastAsia="es-MX"/>
              </w:rPr>
              <w:t>decidendi</w:t>
            </w:r>
            <w:proofErr w:type="spellEnd"/>
            <w:r w:rsidRPr="00CA69C2">
              <w:rPr>
                <w:rFonts w:ascii="Verdana" w:eastAsia="Times New Roman" w:hAnsi="Verdana" w:cs="Times New Roman"/>
                <w:color w:val="000000" w:themeColor="text1"/>
                <w:sz w:val="22"/>
                <w:szCs w:val="22"/>
                <w:lang w:eastAsia="es-MX"/>
              </w:rPr>
              <w:t>:</w:t>
            </w:r>
          </w:p>
        </w:tc>
        <w:tc>
          <w:tcPr>
            <w:tcW w:w="3351" w:type="pct"/>
            <w:shd w:val="clear" w:color="auto" w:fill="auto"/>
            <w:hideMark/>
          </w:tcPr>
          <w:p w14:paraId="74584975" w14:textId="18DB1466" w:rsidR="005C7436" w:rsidRPr="00CA69C2" w:rsidRDefault="00CA69C2"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La pandemia COVID-19, al ser un evento extraordinario e imprevisible, impactó significativamente en la ejecución del contrato. El tribunal consideró que este evento, reconocido como fuerza mayor, justificó la adaptación de las condiciones contractuales para preservar el equilibrio contractual entre las partes. La fuerza mayor no exime automáticamente del cumplimiento, pero sí permite una reevaluación de las obligaciones en aras de un ajuste razonable que refleje la nueva realidad impuesta por la crisis sanitaria.</w:t>
            </w:r>
          </w:p>
        </w:tc>
      </w:tr>
      <w:tr w:rsidR="00217343" w:rsidRPr="00CA69C2" w14:paraId="12F7EE7E" w14:textId="77777777" w:rsidTr="001F5058">
        <w:trPr>
          <w:trHeight w:val="885"/>
        </w:trPr>
        <w:tc>
          <w:tcPr>
            <w:tcW w:w="1649" w:type="pct"/>
            <w:shd w:val="clear" w:color="BFBFBF" w:fill="F2F2F2"/>
          </w:tcPr>
          <w:p w14:paraId="3BEEE59A" w14:textId="552EFCEA" w:rsidR="00217343" w:rsidRPr="00CA69C2" w:rsidRDefault="0021734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Problema jurídico 3:</w:t>
            </w:r>
          </w:p>
        </w:tc>
        <w:tc>
          <w:tcPr>
            <w:tcW w:w="3351" w:type="pct"/>
            <w:shd w:val="clear" w:color="auto" w:fill="auto"/>
          </w:tcPr>
          <w:p w14:paraId="56EB10FF" w14:textId="184A9127" w:rsidR="00217343" w:rsidRPr="00CA69C2" w:rsidRDefault="00A834DA"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¿Quién es el responsable último de la entrega de</w:t>
            </w:r>
            <w:r w:rsidR="00D14A92">
              <w:rPr>
                <w:rFonts w:ascii="Verdana" w:eastAsia="Times New Roman" w:hAnsi="Verdana" w:cs="Times New Roman"/>
                <w:color w:val="000000" w:themeColor="text1"/>
                <w:sz w:val="22"/>
                <w:szCs w:val="22"/>
                <w:lang w:eastAsia="es-MX"/>
              </w:rPr>
              <w:t xml:space="preserve"> la obra contratada</w:t>
            </w:r>
            <w:r w:rsidRPr="00CA69C2">
              <w:rPr>
                <w:rFonts w:ascii="Verdana" w:eastAsia="Times New Roman" w:hAnsi="Verdana" w:cs="Times New Roman"/>
                <w:color w:val="000000" w:themeColor="text1"/>
                <w:sz w:val="22"/>
                <w:szCs w:val="22"/>
                <w:lang w:eastAsia="es-MX"/>
              </w:rPr>
              <w:t xml:space="preserve"> y cómo impacta esto en la relación contractual entre las partes?</w:t>
            </w:r>
          </w:p>
        </w:tc>
      </w:tr>
      <w:tr w:rsidR="00217343" w:rsidRPr="00CA69C2" w14:paraId="63F5A589" w14:textId="77777777" w:rsidTr="00413EE5">
        <w:trPr>
          <w:trHeight w:val="1135"/>
        </w:trPr>
        <w:tc>
          <w:tcPr>
            <w:tcW w:w="1649" w:type="pct"/>
            <w:shd w:val="clear" w:color="BFBFBF" w:fill="F2F2F2"/>
          </w:tcPr>
          <w:p w14:paraId="4A341160" w14:textId="1CA072B3" w:rsidR="00217343" w:rsidRPr="00CA69C2" w:rsidRDefault="0021734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Ratio </w:t>
            </w:r>
            <w:proofErr w:type="spellStart"/>
            <w:r w:rsidRPr="00CA69C2">
              <w:rPr>
                <w:rFonts w:ascii="Verdana" w:eastAsia="Times New Roman" w:hAnsi="Verdana" w:cs="Times New Roman"/>
                <w:color w:val="000000" w:themeColor="text1"/>
                <w:sz w:val="22"/>
                <w:szCs w:val="22"/>
                <w:lang w:eastAsia="es-MX"/>
              </w:rPr>
              <w:t>decidendi</w:t>
            </w:r>
            <w:proofErr w:type="spellEnd"/>
            <w:r w:rsidRPr="00CA69C2">
              <w:rPr>
                <w:rFonts w:ascii="Verdana" w:eastAsia="Times New Roman" w:hAnsi="Verdana" w:cs="Times New Roman"/>
                <w:color w:val="000000" w:themeColor="text1"/>
                <w:sz w:val="22"/>
                <w:szCs w:val="22"/>
                <w:lang w:eastAsia="es-MX"/>
              </w:rPr>
              <w:t>:</w:t>
            </w:r>
          </w:p>
        </w:tc>
        <w:tc>
          <w:tcPr>
            <w:tcW w:w="3351" w:type="pct"/>
            <w:shd w:val="clear" w:color="auto" w:fill="auto"/>
          </w:tcPr>
          <w:p w14:paraId="4A8B7ADF" w14:textId="2D352CE4" w:rsidR="00217343" w:rsidRPr="00CA69C2" w:rsidRDefault="00A834DA"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La discusión sobre la responsabilidad de la entrega del Patio de Operación gira en torno a la interpretación de las obligaciones contractuales asignadas a las partes. El tribunal determinó que, aunque </w:t>
            </w:r>
            <w:proofErr w:type="spellStart"/>
            <w:r w:rsidRPr="00CA69C2">
              <w:rPr>
                <w:rFonts w:ascii="Verdana" w:eastAsia="Times New Roman" w:hAnsi="Verdana" w:cs="Times New Roman"/>
                <w:color w:val="000000" w:themeColor="text1"/>
                <w:sz w:val="22"/>
                <w:szCs w:val="22"/>
                <w:lang w:eastAsia="es-MX"/>
              </w:rPr>
              <w:t>TransMilenio</w:t>
            </w:r>
            <w:proofErr w:type="spellEnd"/>
            <w:r w:rsidRPr="00CA69C2">
              <w:rPr>
                <w:rFonts w:ascii="Verdana" w:eastAsia="Times New Roman" w:hAnsi="Verdana" w:cs="Times New Roman"/>
                <w:color w:val="000000" w:themeColor="text1"/>
                <w:sz w:val="22"/>
                <w:szCs w:val="22"/>
                <w:lang w:eastAsia="es-MX"/>
              </w:rPr>
              <w:t xml:space="preserve"> S.A. tenía la obligación de facilitar la infraestructura, la ejecución material de las obras recaía sobre una entidad distinta. Sin embargo, la falta de coordinación y gestión eficiente por parte de </w:t>
            </w:r>
            <w:proofErr w:type="spellStart"/>
            <w:r w:rsidRPr="00CA69C2">
              <w:rPr>
                <w:rFonts w:ascii="Verdana" w:eastAsia="Times New Roman" w:hAnsi="Verdana" w:cs="Times New Roman"/>
                <w:color w:val="000000" w:themeColor="text1"/>
                <w:sz w:val="22"/>
                <w:szCs w:val="22"/>
                <w:lang w:eastAsia="es-MX"/>
              </w:rPr>
              <w:t>TransMilenio</w:t>
            </w:r>
            <w:proofErr w:type="spellEnd"/>
            <w:r w:rsidRPr="00CA69C2">
              <w:rPr>
                <w:rFonts w:ascii="Verdana" w:eastAsia="Times New Roman" w:hAnsi="Verdana" w:cs="Times New Roman"/>
                <w:color w:val="000000" w:themeColor="text1"/>
                <w:sz w:val="22"/>
                <w:szCs w:val="22"/>
                <w:lang w:eastAsia="es-MX"/>
              </w:rPr>
              <w:t xml:space="preserve"> S.A. contribuyó al incumplimiento, afectando directamente la operación del concesionario.</w:t>
            </w:r>
          </w:p>
        </w:tc>
      </w:tr>
      <w:tr w:rsidR="00217343" w:rsidRPr="00CA69C2" w14:paraId="354E5857" w14:textId="77777777" w:rsidTr="001F5058">
        <w:trPr>
          <w:trHeight w:val="887"/>
        </w:trPr>
        <w:tc>
          <w:tcPr>
            <w:tcW w:w="1649" w:type="pct"/>
            <w:shd w:val="clear" w:color="BFBFBF" w:fill="F2F2F2"/>
          </w:tcPr>
          <w:p w14:paraId="25B8CAB8" w14:textId="316BD009" w:rsidR="00217343" w:rsidRPr="00CA69C2" w:rsidRDefault="0021734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Problema jurídico 4:</w:t>
            </w:r>
          </w:p>
        </w:tc>
        <w:tc>
          <w:tcPr>
            <w:tcW w:w="3351" w:type="pct"/>
            <w:shd w:val="clear" w:color="auto" w:fill="auto"/>
          </w:tcPr>
          <w:p w14:paraId="3D45AEC4" w14:textId="3F17CAA8" w:rsidR="00217343" w:rsidRPr="00CA69C2" w:rsidRDefault="00A834DA"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¿Se vulneró el principio de planeación en la estructuración y ejecución del Contrato de Concesión No. 688 de 2018?</w:t>
            </w:r>
          </w:p>
        </w:tc>
      </w:tr>
      <w:tr w:rsidR="00217343" w:rsidRPr="00CA69C2" w14:paraId="1790008B" w14:textId="77777777" w:rsidTr="00D14A92">
        <w:trPr>
          <w:trHeight w:val="552"/>
        </w:trPr>
        <w:tc>
          <w:tcPr>
            <w:tcW w:w="1649" w:type="pct"/>
            <w:shd w:val="clear" w:color="BFBFBF" w:fill="F2F2F2"/>
          </w:tcPr>
          <w:p w14:paraId="2427D7CB" w14:textId="525D1092" w:rsidR="00217343" w:rsidRPr="00CA69C2" w:rsidRDefault="0021734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Ratio </w:t>
            </w:r>
            <w:proofErr w:type="spellStart"/>
            <w:r w:rsidRPr="00CA69C2">
              <w:rPr>
                <w:rFonts w:ascii="Verdana" w:eastAsia="Times New Roman" w:hAnsi="Verdana" w:cs="Times New Roman"/>
                <w:color w:val="000000" w:themeColor="text1"/>
                <w:sz w:val="22"/>
                <w:szCs w:val="22"/>
                <w:lang w:eastAsia="es-MX"/>
              </w:rPr>
              <w:t>decidendi</w:t>
            </w:r>
            <w:proofErr w:type="spellEnd"/>
            <w:r w:rsidRPr="00CA69C2">
              <w:rPr>
                <w:rFonts w:ascii="Verdana" w:eastAsia="Times New Roman" w:hAnsi="Verdana" w:cs="Times New Roman"/>
                <w:color w:val="000000" w:themeColor="text1"/>
                <w:sz w:val="22"/>
                <w:szCs w:val="22"/>
                <w:lang w:eastAsia="es-MX"/>
              </w:rPr>
              <w:t>:</w:t>
            </w:r>
          </w:p>
        </w:tc>
        <w:tc>
          <w:tcPr>
            <w:tcW w:w="3351" w:type="pct"/>
            <w:shd w:val="clear" w:color="auto" w:fill="auto"/>
          </w:tcPr>
          <w:p w14:paraId="278E423E" w14:textId="3CA9ED95" w:rsidR="00217343" w:rsidRPr="00CA69C2" w:rsidRDefault="00A834DA"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El tribunal analizó si la planificación previa y la ejecución del contrato cumplieron con los estándares requeridos en la contratación estatal. Se concluyó que, aunque se siguieron procedimientos establecidos, la falta de previsión sobre la entrega del Patio de Operación indicó una deficiencia en la planeación que afectó la ejecución contractual. No obstante, se reconoció que esta deficiencia no constituyó un incumplimiento absoluto, sino un área de mejora en futuros procesos.</w:t>
            </w:r>
          </w:p>
        </w:tc>
      </w:tr>
      <w:tr w:rsidR="00217343" w:rsidRPr="00CA69C2" w14:paraId="26149C68" w14:textId="77777777" w:rsidTr="001F5058">
        <w:trPr>
          <w:trHeight w:val="844"/>
        </w:trPr>
        <w:tc>
          <w:tcPr>
            <w:tcW w:w="1649" w:type="pct"/>
            <w:shd w:val="clear" w:color="BFBFBF" w:fill="F2F2F2"/>
          </w:tcPr>
          <w:p w14:paraId="6F3FEB65" w14:textId="77777777" w:rsidR="00217343" w:rsidRPr="00CA69C2" w:rsidRDefault="00217343" w:rsidP="00CA69C2">
            <w:pPr>
              <w:jc w:val="both"/>
              <w:rPr>
                <w:rFonts w:ascii="Verdana" w:eastAsia="Times New Roman" w:hAnsi="Verdana" w:cs="Times New Roman"/>
                <w:color w:val="000000" w:themeColor="text1"/>
                <w:sz w:val="22"/>
                <w:szCs w:val="22"/>
                <w:lang w:eastAsia="es-MX"/>
              </w:rPr>
            </w:pPr>
          </w:p>
          <w:p w14:paraId="3B220302" w14:textId="1F416F05" w:rsidR="00217343" w:rsidRPr="00CA69C2" w:rsidRDefault="0021734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Problema jurídico 5:</w:t>
            </w:r>
          </w:p>
        </w:tc>
        <w:tc>
          <w:tcPr>
            <w:tcW w:w="3351" w:type="pct"/>
            <w:shd w:val="clear" w:color="auto" w:fill="auto"/>
          </w:tcPr>
          <w:p w14:paraId="22DA26F0" w14:textId="33B33C13" w:rsidR="00217343" w:rsidRPr="00CA69C2" w:rsidRDefault="00A834DA"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¿Existe una obligación de compensar al concesionario por los perjuicios derivados de la no entrega de</w:t>
            </w:r>
            <w:r w:rsidR="00D14A92">
              <w:rPr>
                <w:rFonts w:ascii="Verdana" w:eastAsia="Times New Roman" w:hAnsi="Verdana" w:cs="Times New Roman"/>
                <w:color w:val="000000" w:themeColor="text1"/>
                <w:sz w:val="22"/>
                <w:szCs w:val="22"/>
                <w:lang w:eastAsia="es-MX"/>
              </w:rPr>
              <w:t xml:space="preserve"> </w:t>
            </w:r>
            <w:r w:rsidRPr="00CA69C2">
              <w:rPr>
                <w:rFonts w:ascii="Verdana" w:eastAsia="Times New Roman" w:hAnsi="Verdana" w:cs="Times New Roman"/>
                <w:color w:val="000000" w:themeColor="text1"/>
                <w:sz w:val="22"/>
                <w:szCs w:val="22"/>
                <w:lang w:eastAsia="es-MX"/>
              </w:rPr>
              <w:t>l</w:t>
            </w:r>
            <w:r w:rsidR="00D14A92">
              <w:rPr>
                <w:rFonts w:ascii="Verdana" w:eastAsia="Times New Roman" w:hAnsi="Verdana" w:cs="Times New Roman"/>
                <w:color w:val="000000" w:themeColor="text1"/>
                <w:sz w:val="22"/>
                <w:szCs w:val="22"/>
                <w:lang w:eastAsia="es-MX"/>
              </w:rPr>
              <w:t>a</w:t>
            </w:r>
            <w:r w:rsidRPr="00CA69C2">
              <w:rPr>
                <w:rFonts w:ascii="Verdana" w:eastAsia="Times New Roman" w:hAnsi="Verdana" w:cs="Times New Roman"/>
                <w:color w:val="000000" w:themeColor="text1"/>
                <w:sz w:val="22"/>
                <w:szCs w:val="22"/>
                <w:lang w:eastAsia="es-MX"/>
              </w:rPr>
              <w:t xml:space="preserve"> </w:t>
            </w:r>
            <w:r w:rsidR="00D14A92">
              <w:rPr>
                <w:rFonts w:ascii="Verdana" w:eastAsia="Times New Roman" w:hAnsi="Verdana" w:cs="Times New Roman"/>
                <w:color w:val="000000" w:themeColor="text1"/>
                <w:sz w:val="22"/>
                <w:szCs w:val="22"/>
                <w:lang w:eastAsia="es-MX"/>
              </w:rPr>
              <w:t>obra</w:t>
            </w:r>
            <w:r w:rsidRPr="00CA69C2">
              <w:rPr>
                <w:rFonts w:ascii="Verdana" w:eastAsia="Times New Roman" w:hAnsi="Verdana" w:cs="Times New Roman"/>
                <w:color w:val="000000" w:themeColor="text1"/>
                <w:sz w:val="22"/>
                <w:szCs w:val="22"/>
                <w:lang w:eastAsia="es-MX"/>
              </w:rPr>
              <w:t xml:space="preserve"> en el tiempo estipulado?</w:t>
            </w:r>
          </w:p>
        </w:tc>
      </w:tr>
      <w:tr w:rsidR="00217343" w:rsidRPr="00CA69C2" w14:paraId="301E8894" w14:textId="77777777" w:rsidTr="00413EE5">
        <w:trPr>
          <w:trHeight w:val="1135"/>
        </w:trPr>
        <w:tc>
          <w:tcPr>
            <w:tcW w:w="1649" w:type="pct"/>
            <w:shd w:val="clear" w:color="BFBFBF" w:fill="F2F2F2"/>
          </w:tcPr>
          <w:p w14:paraId="0E3B9DB4" w14:textId="57519F2F" w:rsidR="00217343" w:rsidRPr="00CA69C2" w:rsidRDefault="0021734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Ratio </w:t>
            </w:r>
            <w:proofErr w:type="spellStart"/>
            <w:r w:rsidRPr="00CA69C2">
              <w:rPr>
                <w:rFonts w:ascii="Verdana" w:eastAsia="Times New Roman" w:hAnsi="Verdana" w:cs="Times New Roman"/>
                <w:color w:val="000000" w:themeColor="text1"/>
                <w:sz w:val="22"/>
                <w:szCs w:val="22"/>
                <w:lang w:eastAsia="es-MX"/>
              </w:rPr>
              <w:t>decidendi</w:t>
            </w:r>
            <w:proofErr w:type="spellEnd"/>
            <w:r w:rsidRPr="00CA69C2">
              <w:rPr>
                <w:rFonts w:ascii="Verdana" w:eastAsia="Times New Roman" w:hAnsi="Verdana" w:cs="Times New Roman"/>
                <w:color w:val="000000" w:themeColor="text1"/>
                <w:sz w:val="22"/>
                <w:szCs w:val="22"/>
                <w:lang w:eastAsia="es-MX"/>
              </w:rPr>
              <w:t>:</w:t>
            </w:r>
          </w:p>
        </w:tc>
        <w:tc>
          <w:tcPr>
            <w:tcW w:w="3351" w:type="pct"/>
            <w:shd w:val="clear" w:color="auto" w:fill="auto"/>
          </w:tcPr>
          <w:p w14:paraId="201DBE69" w14:textId="27763221" w:rsidR="00217343" w:rsidRPr="00CA69C2" w:rsidRDefault="00A834DA"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El tribunal determinó que los perjuicios sufridos por el concesionario, especialmente en términos de kilómetros en vacío y costos adicionales, son directamente atribuibles al incumplimiento de la entrega de la infraestructura. Por tanto, se ordenó una compensación, basada en la necesidad de restablecer el equilibrio contractual y proteger las expectativas legítimas del concesionario que se vieron frustradas por la falta de cumplimiento en los términos acordados</w:t>
            </w:r>
          </w:p>
        </w:tc>
      </w:tr>
      <w:tr w:rsidR="00217343" w:rsidRPr="00CA69C2" w14:paraId="59E37D19" w14:textId="77777777" w:rsidTr="00E6427E">
        <w:trPr>
          <w:trHeight w:val="843"/>
        </w:trPr>
        <w:tc>
          <w:tcPr>
            <w:tcW w:w="1649" w:type="pct"/>
            <w:shd w:val="clear" w:color="BFBFBF" w:fill="F2F2F2"/>
          </w:tcPr>
          <w:p w14:paraId="0DF73944" w14:textId="42889EFE" w:rsidR="00217343" w:rsidRPr="00CA69C2" w:rsidRDefault="0021734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Problema jurídico 6:</w:t>
            </w:r>
          </w:p>
        </w:tc>
        <w:tc>
          <w:tcPr>
            <w:tcW w:w="3351" w:type="pct"/>
            <w:shd w:val="clear" w:color="auto" w:fill="auto"/>
          </w:tcPr>
          <w:p w14:paraId="605C8EE9" w14:textId="2838B570" w:rsidR="00217343" w:rsidRPr="00CA69C2" w:rsidRDefault="00A834DA"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¿Cómo deben las partes manejar las modificaciones contractuales en respuesta a eventos imprevistos como la pandemia?</w:t>
            </w:r>
          </w:p>
        </w:tc>
      </w:tr>
      <w:tr w:rsidR="00217343" w:rsidRPr="00CA69C2" w14:paraId="0D4F1170" w14:textId="77777777" w:rsidTr="00413EE5">
        <w:trPr>
          <w:trHeight w:val="1135"/>
        </w:trPr>
        <w:tc>
          <w:tcPr>
            <w:tcW w:w="1649" w:type="pct"/>
            <w:shd w:val="clear" w:color="BFBFBF" w:fill="F2F2F2"/>
          </w:tcPr>
          <w:p w14:paraId="2821B523" w14:textId="7154A85C" w:rsidR="00217343" w:rsidRPr="00CA69C2" w:rsidRDefault="00217343"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 xml:space="preserve">Ratio </w:t>
            </w:r>
            <w:proofErr w:type="spellStart"/>
            <w:r w:rsidRPr="00CA69C2">
              <w:rPr>
                <w:rFonts w:ascii="Verdana" w:eastAsia="Times New Roman" w:hAnsi="Verdana" w:cs="Times New Roman"/>
                <w:color w:val="000000" w:themeColor="text1"/>
                <w:sz w:val="22"/>
                <w:szCs w:val="22"/>
                <w:lang w:eastAsia="es-MX"/>
              </w:rPr>
              <w:t>decidendi</w:t>
            </w:r>
            <w:proofErr w:type="spellEnd"/>
            <w:r w:rsidRPr="00CA69C2">
              <w:rPr>
                <w:rFonts w:ascii="Verdana" w:eastAsia="Times New Roman" w:hAnsi="Verdana" w:cs="Times New Roman"/>
                <w:color w:val="000000" w:themeColor="text1"/>
                <w:sz w:val="22"/>
                <w:szCs w:val="22"/>
                <w:lang w:eastAsia="es-MX"/>
              </w:rPr>
              <w:t>:</w:t>
            </w:r>
          </w:p>
        </w:tc>
        <w:tc>
          <w:tcPr>
            <w:tcW w:w="3351" w:type="pct"/>
            <w:shd w:val="clear" w:color="auto" w:fill="auto"/>
          </w:tcPr>
          <w:p w14:paraId="302EC52D" w14:textId="6867D92C" w:rsidR="00217343" w:rsidRPr="00CA69C2" w:rsidRDefault="00A834DA"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El tribunal enfatizó la importancia de la flexibilidad y la buena fe en la adaptación del contrato ante eventos imprevistos. Las modificaciones contractuales deben ser abordadas mediante mecanismos legales que permitan la readecuación de las obligaciones sin desnaturalizar el contrato original. La clave radica en preservar el equilibrio económico y asegurar que ambas partes puedan cumplir con sus compromisos bajo las nuevas circunstancias, garantizando así la viabilidad del contrato</w:t>
            </w:r>
          </w:p>
        </w:tc>
      </w:tr>
      <w:tr w:rsidR="006A6216" w:rsidRPr="00CA69C2" w14:paraId="51EEB86C" w14:textId="77777777" w:rsidTr="00413EE5">
        <w:trPr>
          <w:trHeight w:val="1135"/>
        </w:trPr>
        <w:tc>
          <w:tcPr>
            <w:tcW w:w="1649" w:type="pct"/>
            <w:shd w:val="clear" w:color="BFBFBF" w:fill="F2F2F2"/>
            <w:hideMark/>
          </w:tcPr>
          <w:p w14:paraId="7A3B7ACB"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Sentido de la decisión</w:t>
            </w:r>
          </w:p>
        </w:tc>
        <w:tc>
          <w:tcPr>
            <w:tcW w:w="3351" w:type="pct"/>
            <w:shd w:val="clear" w:color="auto" w:fill="auto"/>
            <w:hideMark/>
          </w:tcPr>
          <w:p w14:paraId="69E16415" w14:textId="77777777" w:rsidR="007517D0" w:rsidRPr="00D63507" w:rsidRDefault="007517D0" w:rsidP="00D63507">
            <w:pPr>
              <w:pStyle w:val="Prrafodelista"/>
              <w:numPr>
                <w:ilvl w:val="0"/>
                <w:numId w:val="3"/>
              </w:numPr>
              <w:ind w:left="0" w:firstLine="360"/>
              <w:jc w:val="both"/>
              <w:rPr>
                <w:rFonts w:ascii="Verdana" w:eastAsia="Times New Roman" w:hAnsi="Verdana" w:cs="Times New Roman"/>
                <w:color w:val="000000" w:themeColor="text1"/>
                <w:sz w:val="22"/>
                <w:szCs w:val="22"/>
                <w:lang w:eastAsia="es-MX"/>
              </w:rPr>
            </w:pPr>
            <w:r w:rsidRPr="00D63507">
              <w:rPr>
                <w:rFonts w:ascii="Verdana" w:eastAsia="Times New Roman" w:hAnsi="Verdana" w:cs="Times New Roman"/>
                <w:color w:val="000000" w:themeColor="text1"/>
                <w:sz w:val="22"/>
                <w:szCs w:val="22"/>
                <w:lang w:eastAsia="es-MX"/>
              </w:rPr>
              <w:t xml:space="preserve">Declaración de incumplimiento: El Tribunal encontró que </w:t>
            </w:r>
            <w:proofErr w:type="spellStart"/>
            <w:r w:rsidRPr="00D63507">
              <w:rPr>
                <w:rFonts w:ascii="Verdana" w:eastAsia="Times New Roman" w:hAnsi="Verdana" w:cs="Times New Roman"/>
                <w:color w:val="000000" w:themeColor="text1"/>
                <w:sz w:val="22"/>
                <w:szCs w:val="22"/>
                <w:lang w:eastAsia="es-MX"/>
              </w:rPr>
              <w:t>TransMilenio</w:t>
            </w:r>
            <w:proofErr w:type="spellEnd"/>
            <w:r w:rsidRPr="00D63507">
              <w:rPr>
                <w:rFonts w:ascii="Verdana" w:eastAsia="Times New Roman" w:hAnsi="Verdana" w:cs="Times New Roman"/>
                <w:color w:val="000000" w:themeColor="text1"/>
                <w:sz w:val="22"/>
                <w:szCs w:val="22"/>
                <w:lang w:eastAsia="es-MX"/>
              </w:rPr>
              <w:t xml:space="preserve"> S.A. incumplió sus obligaciones contractuales al no entregar el Patio de Operación Nuevo La Reforma en el plazo estipulado. Este incumplimiento afectó de manera significativa la operación del concesionario.</w:t>
            </w:r>
          </w:p>
          <w:p w14:paraId="06C97B55" w14:textId="77777777" w:rsidR="007517D0" w:rsidRPr="007517D0" w:rsidRDefault="007517D0" w:rsidP="00D63507">
            <w:pPr>
              <w:ind w:firstLine="360"/>
              <w:jc w:val="both"/>
              <w:rPr>
                <w:rFonts w:ascii="Verdana" w:eastAsia="Times New Roman" w:hAnsi="Verdana" w:cs="Times New Roman"/>
                <w:color w:val="000000" w:themeColor="text1"/>
                <w:sz w:val="22"/>
                <w:szCs w:val="22"/>
                <w:lang w:eastAsia="es-MX"/>
              </w:rPr>
            </w:pPr>
          </w:p>
          <w:p w14:paraId="7A8D2F76" w14:textId="77777777" w:rsidR="007517D0" w:rsidRPr="00D63507" w:rsidRDefault="007517D0" w:rsidP="00D63507">
            <w:pPr>
              <w:pStyle w:val="Prrafodelista"/>
              <w:numPr>
                <w:ilvl w:val="0"/>
                <w:numId w:val="3"/>
              </w:numPr>
              <w:ind w:left="0" w:firstLine="360"/>
              <w:jc w:val="both"/>
              <w:rPr>
                <w:rFonts w:ascii="Verdana" w:eastAsia="Times New Roman" w:hAnsi="Verdana" w:cs="Times New Roman"/>
                <w:color w:val="000000" w:themeColor="text1"/>
                <w:sz w:val="22"/>
                <w:szCs w:val="22"/>
                <w:lang w:eastAsia="es-MX"/>
              </w:rPr>
            </w:pPr>
            <w:r w:rsidRPr="00D63507">
              <w:rPr>
                <w:rFonts w:ascii="Verdana" w:eastAsia="Times New Roman" w:hAnsi="Verdana" w:cs="Times New Roman"/>
                <w:color w:val="000000" w:themeColor="text1"/>
                <w:sz w:val="22"/>
                <w:szCs w:val="22"/>
                <w:lang w:eastAsia="es-MX"/>
              </w:rPr>
              <w:t xml:space="preserve">Reconocimiento de la pandemia como fuerza mayor: El Tribunal reconoció que la pandemia COVID-19 fue un evento de fuerza mayor que justificó la necesidad de ajustar ciertas obligaciones contractuales. Sin embargo, este reconocimiento no exime totalmente a </w:t>
            </w:r>
            <w:proofErr w:type="spellStart"/>
            <w:r w:rsidRPr="00D63507">
              <w:rPr>
                <w:rFonts w:ascii="Verdana" w:eastAsia="Times New Roman" w:hAnsi="Verdana" w:cs="Times New Roman"/>
                <w:color w:val="000000" w:themeColor="text1"/>
                <w:sz w:val="22"/>
                <w:szCs w:val="22"/>
                <w:lang w:eastAsia="es-MX"/>
              </w:rPr>
              <w:t>TransMilenio</w:t>
            </w:r>
            <w:proofErr w:type="spellEnd"/>
            <w:r w:rsidRPr="00D63507">
              <w:rPr>
                <w:rFonts w:ascii="Verdana" w:eastAsia="Times New Roman" w:hAnsi="Verdana" w:cs="Times New Roman"/>
                <w:color w:val="000000" w:themeColor="text1"/>
                <w:sz w:val="22"/>
                <w:szCs w:val="22"/>
                <w:lang w:eastAsia="es-MX"/>
              </w:rPr>
              <w:t xml:space="preserve"> S.A. de sus responsabilidades.</w:t>
            </w:r>
          </w:p>
          <w:p w14:paraId="1562BBEE" w14:textId="77777777" w:rsidR="007517D0" w:rsidRPr="007517D0" w:rsidRDefault="007517D0" w:rsidP="00D63507">
            <w:pPr>
              <w:ind w:firstLine="360"/>
              <w:jc w:val="both"/>
              <w:rPr>
                <w:rFonts w:ascii="Verdana" w:eastAsia="Times New Roman" w:hAnsi="Verdana" w:cs="Times New Roman"/>
                <w:color w:val="000000" w:themeColor="text1"/>
                <w:sz w:val="22"/>
                <w:szCs w:val="22"/>
                <w:lang w:eastAsia="es-MX"/>
              </w:rPr>
            </w:pPr>
          </w:p>
          <w:p w14:paraId="07D048E5" w14:textId="77777777" w:rsidR="007517D0" w:rsidRPr="00D63507" w:rsidRDefault="007517D0" w:rsidP="00D63507">
            <w:pPr>
              <w:pStyle w:val="Prrafodelista"/>
              <w:numPr>
                <w:ilvl w:val="0"/>
                <w:numId w:val="3"/>
              </w:numPr>
              <w:ind w:left="0" w:firstLine="360"/>
              <w:jc w:val="both"/>
              <w:rPr>
                <w:rFonts w:ascii="Verdana" w:eastAsia="Times New Roman" w:hAnsi="Verdana" w:cs="Times New Roman"/>
                <w:color w:val="000000" w:themeColor="text1"/>
                <w:sz w:val="22"/>
                <w:szCs w:val="22"/>
                <w:lang w:eastAsia="es-MX"/>
              </w:rPr>
            </w:pPr>
            <w:r w:rsidRPr="00D63507">
              <w:rPr>
                <w:rFonts w:ascii="Verdana" w:eastAsia="Times New Roman" w:hAnsi="Verdana" w:cs="Times New Roman"/>
                <w:color w:val="000000" w:themeColor="text1"/>
                <w:sz w:val="22"/>
                <w:szCs w:val="22"/>
                <w:lang w:eastAsia="es-MX"/>
              </w:rPr>
              <w:t xml:space="preserve">Indemnización por perjuicios: El Tribunal ordenó que </w:t>
            </w:r>
            <w:proofErr w:type="spellStart"/>
            <w:r w:rsidRPr="00D63507">
              <w:rPr>
                <w:rFonts w:ascii="Verdana" w:eastAsia="Times New Roman" w:hAnsi="Verdana" w:cs="Times New Roman"/>
                <w:color w:val="000000" w:themeColor="text1"/>
                <w:sz w:val="22"/>
                <w:szCs w:val="22"/>
                <w:lang w:eastAsia="es-MX"/>
              </w:rPr>
              <w:t>TransMilenio</w:t>
            </w:r>
            <w:proofErr w:type="spellEnd"/>
            <w:r w:rsidRPr="00D63507">
              <w:rPr>
                <w:rFonts w:ascii="Verdana" w:eastAsia="Times New Roman" w:hAnsi="Verdana" w:cs="Times New Roman"/>
                <w:color w:val="000000" w:themeColor="text1"/>
                <w:sz w:val="22"/>
                <w:szCs w:val="22"/>
                <w:lang w:eastAsia="es-MX"/>
              </w:rPr>
              <w:t xml:space="preserve"> S.A. compense a Somos Bogotá Usme S.A.S. por los perjuicios sufridos debido a la no entrega del patio de operación a tiempo. Esta compensación incluye costos </w:t>
            </w:r>
            <w:r w:rsidRPr="00D63507">
              <w:rPr>
                <w:rFonts w:ascii="Verdana" w:eastAsia="Times New Roman" w:hAnsi="Verdana" w:cs="Times New Roman"/>
                <w:color w:val="000000" w:themeColor="text1"/>
                <w:sz w:val="22"/>
                <w:szCs w:val="22"/>
                <w:lang w:eastAsia="es-MX"/>
              </w:rPr>
              <w:lastRenderedPageBreak/>
              <w:t>adicionales y pérdidas generadas, como los kilómetros en vacío.</w:t>
            </w:r>
          </w:p>
          <w:p w14:paraId="5C892BD7" w14:textId="77777777" w:rsidR="007517D0" w:rsidRPr="007517D0" w:rsidRDefault="007517D0" w:rsidP="00D63507">
            <w:pPr>
              <w:ind w:firstLine="360"/>
              <w:jc w:val="both"/>
              <w:rPr>
                <w:rFonts w:ascii="Verdana" w:eastAsia="Times New Roman" w:hAnsi="Verdana" w:cs="Times New Roman"/>
                <w:color w:val="000000" w:themeColor="text1"/>
                <w:sz w:val="22"/>
                <w:szCs w:val="22"/>
                <w:lang w:eastAsia="es-MX"/>
              </w:rPr>
            </w:pPr>
          </w:p>
          <w:p w14:paraId="1563CF38" w14:textId="77777777" w:rsidR="007517D0" w:rsidRPr="00D63507" w:rsidRDefault="007517D0" w:rsidP="00D63507">
            <w:pPr>
              <w:pStyle w:val="Prrafodelista"/>
              <w:numPr>
                <w:ilvl w:val="0"/>
                <w:numId w:val="3"/>
              </w:numPr>
              <w:ind w:left="0" w:firstLine="360"/>
              <w:jc w:val="both"/>
              <w:rPr>
                <w:rFonts w:ascii="Verdana" w:eastAsia="Times New Roman" w:hAnsi="Verdana" w:cs="Times New Roman"/>
                <w:color w:val="000000" w:themeColor="text1"/>
                <w:sz w:val="22"/>
                <w:szCs w:val="22"/>
                <w:lang w:eastAsia="es-MX"/>
              </w:rPr>
            </w:pPr>
            <w:r w:rsidRPr="00D63507">
              <w:rPr>
                <w:rFonts w:ascii="Verdana" w:eastAsia="Times New Roman" w:hAnsi="Verdana" w:cs="Times New Roman"/>
                <w:color w:val="000000" w:themeColor="text1"/>
                <w:sz w:val="22"/>
                <w:szCs w:val="22"/>
                <w:lang w:eastAsia="es-MX"/>
              </w:rPr>
              <w:t>Ajustes y renegociaciones contractuales: Se dispuso que las partes deben proceder a realizar los ajustes necesarios en el contrato, considerando los efectos de la pandemia y otros factores imprevistos que afectaron la ejecución del mismo.</w:t>
            </w:r>
          </w:p>
          <w:p w14:paraId="31115157" w14:textId="77777777" w:rsidR="007517D0" w:rsidRPr="007517D0" w:rsidRDefault="007517D0" w:rsidP="00D63507">
            <w:pPr>
              <w:ind w:firstLine="360"/>
              <w:jc w:val="both"/>
              <w:rPr>
                <w:rFonts w:ascii="Verdana" w:eastAsia="Times New Roman" w:hAnsi="Verdana" w:cs="Times New Roman"/>
                <w:color w:val="000000" w:themeColor="text1"/>
                <w:sz w:val="22"/>
                <w:szCs w:val="22"/>
                <w:lang w:eastAsia="es-MX"/>
              </w:rPr>
            </w:pPr>
          </w:p>
          <w:p w14:paraId="4E5C3F07" w14:textId="77777777" w:rsidR="00590950" w:rsidRDefault="007517D0" w:rsidP="00D63507">
            <w:pPr>
              <w:pStyle w:val="Prrafodelista"/>
              <w:numPr>
                <w:ilvl w:val="0"/>
                <w:numId w:val="3"/>
              </w:numPr>
              <w:ind w:left="0" w:firstLine="360"/>
              <w:jc w:val="both"/>
              <w:rPr>
                <w:rFonts w:ascii="Verdana" w:eastAsia="Times New Roman" w:hAnsi="Verdana" w:cs="Times New Roman"/>
                <w:color w:val="000000" w:themeColor="text1"/>
                <w:sz w:val="22"/>
                <w:szCs w:val="22"/>
                <w:lang w:eastAsia="es-MX"/>
              </w:rPr>
            </w:pPr>
            <w:r w:rsidRPr="00D63507">
              <w:rPr>
                <w:rFonts w:ascii="Verdana" w:eastAsia="Times New Roman" w:hAnsi="Verdana" w:cs="Times New Roman"/>
                <w:color w:val="000000" w:themeColor="text1"/>
                <w:sz w:val="22"/>
                <w:szCs w:val="22"/>
                <w:lang w:eastAsia="es-MX"/>
              </w:rPr>
              <w:t>Distribución de costos</w:t>
            </w:r>
            <w:r w:rsidR="00D63507" w:rsidRPr="00D63507">
              <w:rPr>
                <w:rFonts w:ascii="Verdana" w:eastAsia="Times New Roman" w:hAnsi="Verdana" w:cs="Times New Roman"/>
                <w:color w:val="000000" w:themeColor="text1"/>
                <w:sz w:val="22"/>
                <w:szCs w:val="22"/>
                <w:lang w:eastAsia="es-MX"/>
              </w:rPr>
              <w:t xml:space="preserve">: </w:t>
            </w:r>
            <w:r w:rsidRPr="00D63507">
              <w:rPr>
                <w:rFonts w:ascii="Verdana" w:eastAsia="Times New Roman" w:hAnsi="Verdana" w:cs="Times New Roman"/>
                <w:color w:val="000000" w:themeColor="text1"/>
                <w:sz w:val="22"/>
                <w:szCs w:val="22"/>
                <w:lang w:eastAsia="es-MX"/>
              </w:rPr>
              <w:t>El Tribunal también decidió sobre la distribución de las costas procesales y las multas, si las hubiere, entre las partes, en función de sus respectivas responsabilidades en los hechos analizados.</w:t>
            </w:r>
          </w:p>
          <w:p w14:paraId="43EAC69C" w14:textId="77777777" w:rsidR="00D63507" w:rsidRPr="00D63507" w:rsidRDefault="00D63507" w:rsidP="00D63507">
            <w:pPr>
              <w:pStyle w:val="Prrafodelista"/>
              <w:rPr>
                <w:rFonts w:ascii="Verdana" w:eastAsia="Times New Roman" w:hAnsi="Verdana" w:cs="Times New Roman"/>
                <w:color w:val="000000" w:themeColor="text1"/>
                <w:sz w:val="22"/>
                <w:szCs w:val="22"/>
                <w:lang w:eastAsia="es-MX"/>
              </w:rPr>
            </w:pPr>
          </w:p>
          <w:p w14:paraId="56E2B2B5" w14:textId="259D54C2" w:rsidR="00D63507" w:rsidRPr="00D63507" w:rsidRDefault="00D63507" w:rsidP="00D63507">
            <w:pPr>
              <w:jc w:val="both"/>
              <w:rPr>
                <w:rFonts w:ascii="Verdana" w:eastAsia="Times New Roman" w:hAnsi="Verdana" w:cs="Times New Roman"/>
                <w:color w:val="000000" w:themeColor="text1"/>
                <w:sz w:val="22"/>
                <w:szCs w:val="22"/>
                <w:lang w:eastAsia="es-MX"/>
              </w:rPr>
            </w:pPr>
            <w:r w:rsidRPr="00D63507">
              <w:rPr>
                <w:rFonts w:ascii="Verdana" w:eastAsia="Times New Roman" w:hAnsi="Verdana" w:cs="Times New Roman"/>
                <w:color w:val="000000" w:themeColor="text1"/>
                <w:sz w:val="22"/>
                <w:szCs w:val="22"/>
                <w:lang w:eastAsia="es-MX"/>
              </w:rPr>
              <w:t xml:space="preserve">En resumen, el Tribunal dictaminó a favor de Somos Bogotá Usme S.A.S., reconociendo su derecho a ser indemnizado por los perjuicios causados por el incumplimiento de </w:t>
            </w:r>
            <w:proofErr w:type="spellStart"/>
            <w:r w:rsidRPr="00D63507">
              <w:rPr>
                <w:rFonts w:ascii="Verdana" w:eastAsia="Times New Roman" w:hAnsi="Verdana" w:cs="Times New Roman"/>
                <w:color w:val="000000" w:themeColor="text1"/>
                <w:sz w:val="22"/>
                <w:szCs w:val="22"/>
                <w:lang w:eastAsia="es-MX"/>
              </w:rPr>
              <w:t>TransMilenio</w:t>
            </w:r>
            <w:proofErr w:type="spellEnd"/>
            <w:r w:rsidRPr="00D63507">
              <w:rPr>
                <w:rFonts w:ascii="Verdana" w:eastAsia="Times New Roman" w:hAnsi="Verdana" w:cs="Times New Roman"/>
                <w:color w:val="000000" w:themeColor="text1"/>
                <w:sz w:val="22"/>
                <w:szCs w:val="22"/>
                <w:lang w:eastAsia="es-MX"/>
              </w:rPr>
              <w:t xml:space="preserve"> S.A. al no entregar la infraestructura necesaria en el plazo acordado, y estableció que la pandemia justificaba ciertos ajustes, pero no eximía completamente a </w:t>
            </w:r>
            <w:proofErr w:type="spellStart"/>
            <w:r w:rsidRPr="00D63507">
              <w:rPr>
                <w:rFonts w:ascii="Verdana" w:eastAsia="Times New Roman" w:hAnsi="Verdana" w:cs="Times New Roman"/>
                <w:color w:val="000000" w:themeColor="text1"/>
                <w:sz w:val="22"/>
                <w:szCs w:val="22"/>
                <w:lang w:eastAsia="es-MX"/>
              </w:rPr>
              <w:t>TransMilenio</w:t>
            </w:r>
            <w:proofErr w:type="spellEnd"/>
            <w:r w:rsidRPr="00D63507">
              <w:rPr>
                <w:rFonts w:ascii="Verdana" w:eastAsia="Times New Roman" w:hAnsi="Verdana" w:cs="Times New Roman"/>
                <w:color w:val="000000" w:themeColor="text1"/>
                <w:sz w:val="22"/>
                <w:szCs w:val="22"/>
                <w:lang w:eastAsia="es-MX"/>
              </w:rPr>
              <w:t xml:space="preserve"> de sus responsabilidades.</w:t>
            </w:r>
          </w:p>
        </w:tc>
      </w:tr>
      <w:tr w:rsidR="005C7436" w:rsidRPr="00CA69C2" w14:paraId="1FD934D3" w14:textId="77777777" w:rsidTr="005C7436">
        <w:trPr>
          <w:trHeight w:val="280"/>
        </w:trPr>
        <w:tc>
          <w:tcPr>
            <w:tcW w:w="5000" w:type="pct"/>
            <w:gridSpan w:val="2"/>
            <w:shd w:val="clear" w:color="000000" w:fill="002060"/>
            <w:noWrap/>
            <w:hideMark/>
          </w:tcPr>
          <w:p w14:paraId="4E25EBF0" w14:textId="77777777" w:rsidR="005C7436" w:rsidRPr="00CA69C2" w:rsidRDefault="005C7436" w:rsidP="00CA69C2">
            <w:p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lastRenderedPageBreak/>
              <w:t>IV. OBSERVACIONES</w:t>
            </w:r>
          </w:p>
        </w:tc>
      </w:tr>
      <w:tr w:rsidR="005C7436" w:rsidRPr="00CA69C2" w14:paraId="39A3E660" w14:textId="77777777" w:rsidTr="005C7436">
        <w:trPr>
          <w:trHeight w:val="868"/>
        </w:trPr>
        <w:tc>
          <w:tcPr>
            <w:tcW w:w="5000" w:type="pct"/>
            <w:gridSpan w:val="2"/>
            <w:shd w:val="clear" w:color="auto" w:fill="auto"/>
            <w:noWrap/>
            <w:hideMark/>
          </w:tcPr>
          <w:p w14:paraId="5362C72E" w14:textId="77777777" w:rsidR="00CA69C2" w:rsidRPr="00CA69C2" w:rsidRDefault="00CA69C2" w:rsidP="00CA69C2">
            <w:pPr>
              <w:pStyle w:val="Prrafodelista"/>
              <w:numPr>
                <w:ilvl w:val="0"/>
                <w:numId w:val="1"/>
              </w:num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Ley 80 de 1993 - Estatuto General de Contratación de la Administración Pública.</w:t>
            </w:r>
          </w:p>
          <w:p w14:paraId="0F8013D2" w14:textId="77777777" w:rsidR="00CA69C2" w:rsidRPr="00CA69C2" w:rsidRDefault="00CA69C2" w:rsidP="00CA69C2">
            <w:pPr>
              <w:pStyle w:val="Prrafodelista"/>
              <w:numPr>
                <w:ilvl w:val="0"/>
                <w:numId w:val="1"/>
              </w:num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Ley 1150 de 2007 - Modifica la Ley 80 de 1993 para introducir mecanismos que aseguren la transparencia en la contratación pública.</w:t>
            </w:r>
          </w:p>
          <w:p w14:paraId="3F85062D" w14:textId="77777777" w:rsidR="00CA69C2" w:rsidRPr="00CA69C2" w:rsidRDefault="00CA69C2" w:rsidP="00CA69C2">
            <w:pPr>
              <w:pStyle w:val="Prrafodelista"/>
              <w:numPr>
                <w:ilvl w:val="0"/>
                <w:numId w:val="1"/>
              </w:num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Decreto 831 de 1999 - Reglamenta el Acuerdo 4 de 1999, que regula las obligaciones relacionadas con la infraestructura en la operación de sistemas masivos de transporte.</w:t>
            </w:r>
          </w:p>
          <w:p w14:paraId="6D4AD099" w14:textId="77777777" w:rsidR="00CA69C2" w:rsidRPr="00CA69C2" w:rsidRDefault="00CA69C2" w:rsidP="00CA69C2">
            <w:pPr>
              <w:pStyle w:val="Prrafodelista"/>
              <w:numPr>
                <w:ilvl w:val="0"/>
                <w:numId w:val="1"/>
              </w:num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Decreto 1082 de 2015 - Decreto Único Reglamentario del Sector Administrativo de Planeación Nacional, que incluye regulaciones sobre contratación estatal.</w:t>
            </w:r>
          </w:p>
          <w:p w14:paraId="6ACC45F0" w14:textId="6A317F21" w:rsidR="005C7436" w:rsidRPr="00CA69C2" w:rsidRDefault="00CA69C2" w:rsidP="00CA69C2">
            <w:pPr>
              <w:pStyle w:val="Prrafodelista"/>
              <w:numPr>
                <w:ilvl w:val="0"/>
                <w:numId w:val="1"/>
              </w:numPr>
              <w:jc w:val="both"/>
              <w:rPr>
                <w:rFonts w:ascii="Verdana" w:eastAsia="Times New Roman" w:hAnsi="Verdana" w:cs="Times New Roman"/>
                <w:color w:val="000000" w:themeColor="text1"/>
                <w:sz w:val="22"/>
                <w:szCs w:val="22"/>
                <w:lang w:eastAsia="es-MX"/>
              </w:rPr>
            </w:pPr>
            <w:r w:rsidRPr="00CA69C2">
              <w:rPr>
                <w:rFonts w:ascii="Verdana" w:eastAsia="Times New Roman" w:hAnsi="Verdana" w:cs="Times New Roman"/>
                <w:color w:val="000000" w:themeColor="text1"/>
                <w:sz w:val="22"/>
                <w:szCs w:val="22"/>
                <w:lang w:eastAsia="es-MX"/>
              </w:rPr>
              <w:t>Código Civil Colombiano - Artículo 1602, que establece que los contratos deben ejecutarse de buena fe y en los términos acordados.</w:t>
            </w:r>
          </w:p>
        </w:tc>
      </w:tr>
    </w:tbl>
    <w:p w14:paraId="10B9DF04" w14:textId="77777777" w:rsidR="004D6CC4" w:rsidRPr="00CA69C2" w:rsidRDefault="004D6CC4" w:rsidP="00CA69C2">
      <w:pPr>
        <w:jc w:val="both"/>
      </w:pPr>
    </w:p>
    <w:sectPr w:rsidR="004D6CC4" w:rsidRPr="00CA69C2">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panose1 w:val="020B0504020202020204"/>
    <w:charset w:val="00"/>
    <w:family w:val="swiss"/>
    <w:pitch w:val="variable"/>
    <w:sig w:usb0="0000028F" w:usb1="00000002"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7E26FD"/>
    <w:multiLevelType w:val="hybridMultilevel"/>
    <w:tmpl w:val="BF74748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48412484"/>
    <w:multiLevelType w:val="hybridMultilevel"/>
    <w:tmpl w:val="17BE42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55B82C92"/>
    <w:multiLevelType w:val="hybridMultilevel"/>
    <w:tmpl w:val="55F86C4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32597626">
    <w:abstractNumId w:val="2"/>
  </w:num>
  <w:num w:numId="2" w16cid:durableId="584729484">
    <w:abstractNumId w:val="0"/>
  </w:num>
  <w:num w:numId="3" w16cid:durableId="13395829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436"/>
    <w:rsid w:val="001D7ED8"/>
    <w:rsid w:val="001F5058"/>
    <w:rsid w:val="00217343"/>
    <w:rsid w:val="0026559F"/>
    <w:rsid w:val="00276858"/>
    <w:rsid w:val="00397EB9"/>
    <w:rsid w:val="00413EE5"/>
    <w:rsid w:val="00463086"/>
    <w:rsid w:val="004D6CC4"/>
    <w:rsid w:val="00590950"/>
    <w:rsid w:val="005C7436"/>
    <w:rsid w:val="006A6216"/>
    <w:rsid w:val="006F702B"/>
    <w:rsid w:val="007517D0"/>
    <w:rsid w:val="007C1C93"/>
    <w:rsid w:val="00A834DA"/>
    <w:rsid w:val="00CA69C2"/>
    <w:rsid w:val="00D14A92"/>
    <w:rsid w:val="00D63507"/>
    <w:rsid w:val="00D77506"/>
    <w:rsid w:val="00DF0ACD"/>
    <w:rsid w:val="00DF459D"/>
    <w:rsid w:val="00E6427E"/>
    <w:rsid w:val="00EC5BE7"/>
    <w:rsid w:val="00EE2104"/>
    <w:rsid w:val="00F45F17"/>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C96D2"/>
  <w15:chartTrackingRefBased/>
  <w15:docId w15:val="{E53F841B-D7DA-014C-BA29-AD72B5D8B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6A6216"/>
    <w:pPr>
      <w:autoSpaceDE w:val="0"/>
      <w:autoSpaceDN w:val="0"/>
      <w:adjustRightInd w:val="0"/>
    </w:pPr>
    <w:rPr>
      <w:rFonts w:ascii="Arial" w:hAnsi="Arial" w:cs="Arial"/>
      <w:sz w:val="20"/>
      <w:szCs w:val="20"/>
      <w:lang w:val="es-MX"/>
    </w:rPr>
  </w:style>
  <w:style w:type="character" w:customStyle="1" w:styleId="TextoindependienteCar">
    <w:name w:val="Texto independiente Car"/>
    <w:basedOn w:val="Fuentedeprrafopredeter"/>
    <w:link w:val="Textoindependiente"/>
    <w:uiPriority w:val="1"/>
    <w:rsid w:val="006A6216"/>
    <w:rPr>
      <w:rFonts w:ascii="Arial" w:hAnsi="Arial" w:cs="Arial"/>
      <w:sz w:val="20"/>
      <w:szCs w:val="20"/>
      <w:lang w:val="es-MX"/>
    </w:rPr>
  </w:style>
  <w:style w:type="paragraph" w:styleId="Prrafodelista">
    <w:name w:val="List Paragraph"/>
    <w:basedOn w:val="Normal"/>
    <w:uiPriority w:val="34"/>
    <w:qFormat/>
    <w:rsid w:val="00CA69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253943">
      <w:bodyDiv w:val="1"/>
      <w:marLeft w:val="0"/>
      <w:marRight w:val="0"/>
      <w:marTop w:val="0"/>
      <w:marBottom w:val="0"/>
      <w:divBdr>
        <w:top w:val="none" w:sz="0" w:space="0" w:color="auto"/>
        <w:left w:val="none" w:sz="0" w:space="0" w:color="auto"/>
        <w:bottom w:val="none" w:sz="0" w:space="0" w:color="auto"/>
        <w:right w:val="none" w:sz="0" w:space="0" w:color="auto"/>
      </w:divBdr>
    </w:div>
    <w:div w:id="1246915059">
      <w:bodyDiv w:val="1"/>
      <w:marLeft w:val="0"/>
      <w:marRight w:val="0"/>
      <w:marTop w:val="0"/>
      <w:marBottom w:val="0"/>
      <w:divBdr>
        <w:top w:val="none" w:sz="0" w:space="0" w:color="auto"/>
        <w:left w:val="none" w:sz="0" w:space="0" w:color="auto"/>
        <w:bottom w:val="none" w:sz="0" w:space="0" w:color="auto"/>
        <w:right w:val="none" w:sz="0" w:space="0" w:color="auto"/>
      </w:divBdr>
    </w:div>
    <w:div w:id="1368725820">
      <w:bodyDiv w:val="1"/>
      <w:marLeft w:val="0"/>
      <w:marRight w:val="0"/>
      <w:marTop w:val="0"/>
      <w:marBottom w:val="0"/>
      <w:divBdr>
        <w:top w:val="none" w:sz="0" w:space="0" w:color="auto"/>
        <w:left w:val="none" w:sz="0" w:space="0" w:color="auto"/>
        <w:bottom w:val="none" w:sz="0" w:space="0" w:color="auto"/>
        <w:right w:val="none" w:sz="0" w:space="0" w:color="auto"/>
      </w:divBdr>
    </w:div>
    <w:div w:id="214218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8815FA-7E34-0F4D-9E19-AC9C50DF6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1229</Words>
  <Characters>6764</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Libardo Verjel De Filippis</dc:creator>
  <cp:keywords/>
  <dc:description/>
  <cp:lastModifiedBy>Diego Jesus Ortega Cruz</cp:lastModifiedBy>
  <cp:revision>3</cp:revision>
  <dcterms:created xsi:type="dcterms:W3CDTF">2024-10-01T16:33:00Z</dcterms:created>
  <dcterms:modified xsi:type="dcterms:W3CDTF">2024-10-01T16:44:00Z</dcterms:modified>
</cp:coreProperties>
</file>