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31E184" w14:textId="77777777" w:rsidR="0078178D" w:rsidRPr="007612BC" w:rsidRDefault="0078178D" w:rsidP="0078178D">
      <w:pPr>
        <w:spacing w:after="0" w:line="276" w:lineRule="auto"/>
        <w:jc w:val="both"/>
        <w:rPr>
          <w:rFonts w:ascii="Verdana" w:eastAsia="Calibri" w:hAnsi="Verdana" w:cs="Arial"/>
          <w:b/>
          <w:sz w:val="20"/>
          <w:szCs w:val="20"/>
          <w:lang w:eastAsia="es-ES"/>
        </w:rPr>
      </w:pPr>
      <w:r w:rsidRPr="007612BC">
        <w:rPr>
          <w:rFonts w:ascii="Verdana" w:eastAsia="Calibri" w:hAnsi="Verdana" w:cs="Arial"/>
          <w:b/>
          <w:sz w:val="20"/>
          <w:szCs w:val="20"/>
          <w:lang w:eastAsia="es-ES"/>
        </w:rPr>
        <w:t>DOCUMENTOS TIPO – Licitación de obra pública – Infraestructura de transporte</w:t>
      </w:r>
    </w:p>
    <w:p w14:paraId="20A57712" w14:textId="77777777" w:rsidR="0078178D" w:rsidRPr="007612BC" w:rsidRDefault="0078178D" w:rsidP="0078178D">
      <w:pPr>
        <w:spacing w:after="0" w:line="276" w:lineRule="auto"/>
        <w:jc w:val="both"/>
        <w:rPr>
          <w:rFonts w:ascii="Verdana" w:eastAsia="Calibri" w:hAnsi="Verdana" w:cs="Arial"/>
          <w:b/>
          <w:sz w:val="20"/>
          <w:szCs w:val="20"/>
          <w:lang w:eastAsia="es-ES"/>
        </w:rPr>
      </w:pPr>
    </w:p>
    <w:p w14:paraId="06D5B998" w14:textId="77777777" w:rsidR="0078178D" w:rsidRDefault="0078178D" w:rsidP="0078178D">
      <w:pPr>
        <w:spacing w:after="0" w:line="276" w:lineRule="auto"/>
        <w:jc w:val="both"/>
        <w:rPr>
          <w:rFonts w:ascii="Verdana" w:eastAsia="Calibri" w:hAnsi="Verdana" w:cs="Arial"/>
          <w:sz w:val="20"/>
          <w:szCs w:val="20"/>
          <w:lang w:val="es-ES" w:eastAsia="es-ES"/>
        </w:rPr>
      </w:pPr>
      <w:r w:rsidRPr="007612BC">
        <w:rPr>
          <w:rFonts w:ascii="Verdana" w:eastAsia="Calibri" w:hAnsi="Verdana" w:cs="Arial"/>
          <w:sz w:val="20"/>
          <w:szCs w:val="20"/>
          <w:lang w:val="es-ES" w:eastAsia="es-ES"/>
        </w:rPr>
        <w:t xml:space="preserve">[…] </w:t>
      </w:r>
      <w:r w:rsidRPr="007612BC">
        <w:rPr>
          <w:rFonts w:ascii="Verdana" w:eastAsia="Calibri" w:hAnsi="Verdana" w:cs="Arial"/>
          <w:sz w:val="20"/>
          <w:szCs w:val="20"/>
          <w:lang w:eastAsia="es-ES"/>
        </w:rPr>
        <w:t>l</w:t>
      </w:r>
      <w:r w:rsidRPr="007612BC">
        <w:rPr>
          <w:rFonts w:ascii="Verdana" w:eastAsia="Calibri" w:hAnsi="Verdana" w:cs="Arial"/>
          <w:sz w:val="20"/>
          <w:szCs w:val="20"/>
          <w:lang w:val="es-ES" w:eastAsia="es-ES"/>
        </w:rPr>
        <w:t xml:space="preserve">os Documentos Tipo para la contratación de obra pública de infraestructura </w:t>
      </w:r>
      <w:r w:rsidRPr="007612BC">
        <w:rPr>
          <w:rFonts w:ascii="Verdana" w:eastAsia="Calibri" w:hAnsi="Verdana" w:cs="Arial"/>
          <w:sz w:val="20"/>
          <w:szCs w:val="20"/>
          <w:lang w:eastAsia="es-ES"/>
        </w:rPr>
        <w:t>de transporte</w:t>
      </w:r>
      <w:r w:rsidRPr="007612BC">
        <w:rPr>
          <w:rFonts w:ascii="Verdana" w:eastAsia="Calibri" w:hAnsi="Verdana" w:cs="Arial"/>
          <w:sz w:val="20"/>
          <w:szCs w:val="20"/>
          <w:lang w:val="es-ES" w:eastAsia="es-ES"/>
        </w:rPr>
        <w:t xml:space="preserve"> fueron adoptados de la siguiente forma: para procesos de selección adelantados bajo la modalidad de licitación pública –Versión </w:t>
      </w:r>
      <w:r>
        <w:rPr>
          <w:rFonts w:ascii="Verdana" w:eastAsia="Calibri" w:hAnsi="Verdana" w:cs="Arial"/>
          <w:sz w:val="20"/>
          <w:szCs w:val="20"/>
          <w:lang w:val="es-ES" w:eastAsia="es-ES"/>
        </w:rPr>
        <w:t>4</w:t>
      </w:r>
      <w:r w:rsidRPr="007612BC">
        <w:rPr>
          <w:rFonts w:ascii="Verdana" w:eastAsia="Calibri" w:hAnsi="Verdana" w:cs="Arial"/>
          <w:sz w:val="20"/>
          <w:szCs w:val="20"/>
          <w:lang w:val="es-ES" w:eastAsia="es-ES"/>
        </w:rPr>
        <w:t xml:space="preserve">- mediante la Resolución </w:t>
      </w:r>
      <w:r>
        <w:rPr>
          <w:rFonts w:ascii="Verdana" w:eastAsia="Calibri" w:hAnsi="Verdana" w:cs="Arial"/>
          <w:sz w:val="20"/>
          <w:szCs w:val="20"/>
          <w:lang w:val="es-ES" w:eastAsia="es-ES"/>
        </w:rPr>
        <w:t>456</w:t>
      </w:r>
      <w:r w:rsidRPr="007612BC">
        <w:rPr>
          <w:rFonts w:ascii="Verdana" w:eastAsia="Calibri" w:hAnsi="Verdana" w:cs="Arial"/>
          <w:sz w:val="20"/>
          <w:szCs w:val="20"/>
          <w:lang w:val="es-ES" w:eastAsia="es-ES"/>
        </w:rPr>
        <w:t xml:space="preserve"> de 202</w:t>
      </w:r>
      <w:r>
        <w:rPr>
          <w:rFonts w:ascii="Verdana" w:eastAsia="Calibri" w:hAnsi="Verdana" w:cs="Arial"/>
          <w:sz w:val="20"/>
          <w:szCs w:val="20"/>
          <w:lang w:val="es-ES" w:eastAsia="es-ES"/>
        </w:rPr>
        <w:t>4</w:t>
      </w:r>
      <w:r w:rsidRPr="007612BC">
        <w:rPr>
          <w:rFonts w:ascii="Verdana" w:eastAsia="Calibri" w:hAnsi="Verdana" w:cs="Arial"/>
          <w:sz w:val="20"/>
          <w:szCs w:val="20"/>
          <w:lang w:val="es-ES" w:eastAsia="es-ES"/>
        </w:rPr>
        <w:t xml:space="preserve"> , los documentos tipo de obra pública de infraestructura de transporte desarrollados bajo la modalidad de selección abreviada de menor cuantía –Versión </w:t>
      </w:r>
      <w:r>
        <w:rPr>
          <w:rFonts w:ascii="Verdana" w:eastAsia="Calibri" w:hAnsi="Verdana" w:cs="Arial"/>
          <w:sz w:val="20"/>
          <w:szCs w:val="20"/>
          <w:lang w:val="es-ES" w:eastAsia="es-ES"/>
        </w:rPr>
        <w:t>3</w:t>
      </w:r>
      <w:r w:rsidRPr="007612BC">
        <w:rPr>
          <w:rFonts w:ascii="Verdana" w:eastAsia="Calibri" w:hAnsi="Verdana" w:cs="Arial"/>
          <w:sz w:val="20"/>
          <w:szCs w:val="20"/>
          <w:lang w:val="es-ES" w:eastAsia="es-ES"/>
        </w:rPr>
        <w:t xml:space="preserve">–, a través de la Resolución </w:t>
      </w:r>
      <w:r>
        <w:rPr>
          <w:rFonts w:ascii="Verdana" w:eastAsia="Calibri" w:hAnsi="Verdana" w:cs="Arial"/>
          <w:sz w:val="20"/>
          <w:szCs w:val="20"/>
          <w:lang w:val="es-ES" w:eastAsia="es-ES"/>
        </w:rPr>
        <w:t>463</w:t>
      </w:r>
      <w:r w:rsidRPr="007612BC">
        <w:rPr>
          <w:rFonts w:ascii="Verdana" w:eastAsia="Calibri" w:hAnsi="Verdana" w:cs="Arial"/>
          <w:sz w:val="20"/>
          <w:szCs w:val="20"/>
          <w:lang w:val="es-ES" w:eastAsia="es-ES"/>
        </w:rPr>
        <w:t xml:space="preserve"> de 202</w:t>
      </w:r>
      <w:r>
        <w:rPr>
          <w:rFonts w:ascii="Verdana" w:eastAsia="Calibri" w:hAnsi="Verdana" w:cs="Arial"/>
          <w:sz w:val="20"/>
          <w:szCs w:val="20"/>
          <w:lang w:val="es-ES" w:eastAsia="es-ES"/>
        </w:rPr>
        <w:t>4</w:t>
      </w:r>
      <w:r w:rsidRPr="007612BC">
        <w:rPr>
          <w:rFonts w:ascii="Verdana" w:eastAsia="Calibri" w:hAnsi="Verdana" w:cs="Arial"/>
          <w:sz w:val="20"/>
          <w:szCs w:val="20"/>
          <w:lang w:val="es-ES" w:eastAsia="es-ES"/>
        </w:rPr>
        <w:t xml:space="preserve">  y los documentos tipo de obra pública de infraestructura de transporte adelantados bajo la modalidad de mínima cuantía –Versión </w:t>
      </w:r>
      <w:r>
        <w:rPr>
          <w:rFonts w:ascii="Verdana" w:eastAsia="Calibri" w:hAnsi="Verdana" w:cs="Arial"/>
          <w:sz w:val="20"/>
          <w:szCs w:val="20"/>
          <w:lang w:val="es-ES" w:eastAsia="es-ES"/>
        </w:rPr>
        <w:t>3</w:t>
      </w:r>
      <w:r w:rsidRPr="007612BC">
        <w:rPr>
          <w:rFonts w:ascii="Verdana" w:eastAsia="Calibri" w:hAnsi="Verdana" w:cs="Arial"/>
          <w:sz w:val="20"/>
          <w:szCs w:val="20"/>
          <w:lang w:val="es-ES" w:eastAsia="es-ES"/>
        </w:rPr>
        <w:t xml:space="preserve">– mediante la Resolución </w:t>
      </w:r>
      <w:r>
        <w:rPr>
          <w:rFonts w:ascii="Verdana" w:eastAsia="Calibri" w:hAnsi="Verdana" w:cs="Arial"/>
          <w:sz w:val="20"/>
          <w:szCs w:val="20"/>
          <w:lang w:val="es-ES" w:eastAsia="es-ES"/>
        </w:rPr>
        <w:t>464</w:t>
      </w:r>
      <w:r w:rsidRPr="007612BC">
        <w:rPr>
          <w:rFonts w:ascii="Verdana" w:eastAsia="Calibri" w:hAnsi="Verdana" w:cs="Arial"/>
          <w:sz w:val="20"/>
          <w:szCs w:val="20"/>
          <w:lang w:val="es-ES" w:eastAsia="es-ES"/>
        </w:rPr>
        <w:t xml:space="preserve"> de 202</w:t>
      </w:r>
      <w:r>
        <w:rPr>
          <w:rFonts w:ascii="Verdana" w:eastAsia="Calibri" w:hAnsi="Verdana" w:cs="Arial"/>
          <w:sz w:val="20"/>
          <w:szCs w:val="20"/>
          <w:lang w:val="es-ES" w:eastAsia="es-ES"/>
        </w:rPr>
        <w:t>4</w:t>
      </w:r>
      <w:r w:rsidRPr="007612BC">
        <w:rPr>
          <w:rFonts w:ascii="Verdana" w:eastAsia="Calibri" w:hAnsi="Verdana" w:cs="Arial"/>
          <w:sz w:val="20"/>
          <w:szCs w:val="20"/>
          <w:lang w:val="es-ES" w:eastAsia="es-ES"/>
        </w:rPr>
        <w:t xml:space="preserve"> . </w:t>
      </w:r>
    </w:p>
    <w:p w14:paraId="503DBDB5" w14:textId="77777777" w:rsidR="0078178D" w:rsidRDefault="0078178D" w:rsidP="0078178D">
      <w:pPr>
        <w:spacing w:after="0"/>
        <w:rPr>
          <w:rFonts w:ascii="Verdana" w:hAnsi="Verdana"/>
          <w:lang w:val="es-ES"/>
        </w:rPr>
      </w:pPr>
    </w:p>
    <w:p w14:paraId="6BA39926" w14:textId="77777777" w:rsidR="0078178D" w:rsidRPr="009C5A97" w:rsidRDefault="0078178D" w:rsidP="0078178D">
      <w:pPr>
        <w:shd w:val="clear" w:color="auto" w:fill="FFFFFF" w:themeFill="background1"/>
        <w:spacing w:after="340"/>
        <w:jc w:val="both"/>
        <w:rPr>
          <w:rFonts w:ascii="Verdana" w:eastAsia="Calibri" w:hAnsi="Verdana" w:cs="Arial"/>
          <w:b/>
          <w:bCs/>
          <w:sz w:val="20"/>
          <w:szCs w:val="20"/>
          <w:lang w:val="es-ES" w:eastAsia="es-ES"/>
        </w:rPr>
      </w:pPr>
      <w:r w:rsidRPr="009C5A97">
        <w:rPr>
          <w:rFonts w:ascii="Verdana" w:eastAsia="Calibri" w:hAnsi="Verdana" w:cs="Arial"/>
          <w:b/>
          <w:bCs/>
          <w:sz w:val="20"/>
          <w:szCs w:val="20"/>
          <w:lang w:val="es-ES" w:eastAsia="es-ES"/>
        </w:rPr>
        <w:t>DOCUMENTOS TIPO – Inalterabilidad – Configuración – Pliego de condiciones – Alcance</w:t>
      </w:r>
    </w:p>
    <w:p w14:paraId="7E37432F" w14:textId="77777777" w:rsidR="0078178D" w:rsidRPr="009C5A97" w:rsidRDefault="0078178D" w:rsidP="0078178D">
      <w:pPr>
        <w:shd w:val="clear" w:color="auto" w:fill="FFFFFF" w:themeFill="background1"/>
        <w:spacing w:after="340"/>
        <w:jc w:val="both"/>
        <w:rPr>
          <w:rFonts w:ascii="Verdana" w:eastAsia="Calibri" w:hAnsi="Verdana" w:cs="Arial"/>
          <w:sz w:val="20"/>
          <w:szCs w:val="20"/>
          <w:lang w:val="es-ES" w:eastAsia="es-ES"/>
        </w:rPr>
      </w:pPr>
      <w:r w:rsidRPr="009C5A97">
        <w:rPr>
          <w:rFonts w:ascii="Verdana" w:eastAsia="Calibri" w:hAnsi="Verdana" w:cs="Arial"/>
          <w:sz w:val="20"/>
          <w:szCs w:val="20"/>
          <w:lang w:val="es-ES" w:eastAsia="es-ES"/>
        </w:rPr>
        <w:t>Los artículos 2.2.1.2.6.1.4 , 2.2.1.2.6.2.3  y 2.2.1.2.6.3.4  del Decreto 1082 de 2015 establecen la inalterabilidad de los documentos tipo para las modalidades de licitación pública, selección abreviada de menor cuantía y mínima cuantía, que consiste en que las entidades estatales no pueden incluir o modificar en los documentos del proceso las condiciones habilitantes, los factores técnicos y económicos de escogencia y los sistemas de ponderación distintos a los señalados en los documentos tipo. En consecuencia, las condiciones que sean establecidas en los documentos que adopte el Gobierno Nacional, en ejercicio del mandato establecido en el artículo 4 de la Ley 1882 de 2018, modificado por la Ley 2022 de 2020, son de obligatorio cumplimiento e inalterables para las entidades sometidas al EGCAP que adelanten procesos que deban regirse por su contenido. Por tanto, no pueden variar los requisitos que en ellos sean fijados, ni establecer reglas o requisitos adicionales a los establecidos en los Documentos Tipo para la presentación de las ofertas y la acreditación de los requisitos habilitantes.</w:t>
      </w:r>
    </w:p>
    <w:p w14:paraId="29194FFF" w14:textId="77777777" w:rsidR="0078178D" w:rsidRPr="009C5A97" w:rsidRDefault="0078178D" w:rsidP="0078178D">
      <w:pPr>
        <w:spacing w:after="0" w:line="276" w:lineRule="auto"/>
        <w:jc w:val="both"/>
        <w:rPr>
          <w:rFonts w:ascii="Verdana" w:eastAsia="Calibri" w:hAnsi="Verdana" w:cs="Arial"/>
          <w:b/>
          <w:bCs/>
          <w:sz w:val="20"/>
          <w:szCs w:val="20"/>
          <w:lang w:val="es-ES" w:eastAsia="es-ES"/>
        </w:rPr>
      </w:pPr>
      <w:r w:rsidRPr="009C5A97">
        <w:rPr>
          <w:rFonts w:ascii="Verdana" w:eastAsia="Calibri" w:hAnsi="Verdana" w:cs="Arial"/>
          <w:b/>
          <w:bCs/>
          <w:sz w:val="20"/>
          <w:szCs w:val="20"/>
          <w:lang w:val="es-ES" w:eastAsia="es-ES"/>
        </w:rPr>
        <w:t>INALTERABILIDAD – Documentos Tipo – Alcance</w:t>
      </w:r>
    </w:p>
    <w:p w14:paraId="4B1EAF18" w14:textId="77777777" w:rsidR="0078178D" w:rsidRPr="009C5A97" w:rsidRDefault="0078178D" w:rsidP="0078178D">
      <w:pPr>
        <w:spacing w:after="0" w:line="276" w:lineRule="auto"/>
        <w:ind w:left="708"/>
        <w:jc w:val="both"/>
        <w:rPr>
          <w:rFonts w:ascii="Verdana" w:eastAsia="Calibri" w:hAnsi="Verdana" w:cs="Arial"/>
          <w:b/>
          <w:bCs/>
          <w:sz w:val="20"/>
          <w:szCs w:val="20"/>
          <w:lang w:val="es-ES" w:eastAsia="es-ES"/>
        </w:rPr>
      </w:pPr>
      <w:r w:rsidRPr="009C5A97">
        <w:rPr>
          <w:rFonts w:ascii="Verdana" w:eastAsia="Calibri" w:hAnsi="Verdana" w:cs="Arial"/>
          <w:b/>
          <w:bCs/>
          <w:sz w:val="20"/>
          <w:szCs w:val="20"/>
          <w:lang w:val="es-ES" w:eastAsia="es-ES"/>
        </w:rPr>
        <w:t xml:space="preserve"> </w:t>
      </w:r>
    </w:p>
    <w:p w14:paraId="7330142A" w14:textId="77777777" w:rsidR="0078178D" w:rsidRPr="009C5A97" w:rsidRDefault="0078178D" w:rsidP="0078178D">
      <w:pPr>
        <w:spacing w:after="0"/>
        <w:jc w:val="both"/>
        <w:rPr>
          <w:rFonts w:ascii="Verdana" w:eastAsia="Calibri" w:hAnsi="Verdana" w:cs="Arial"/>
          <w:sz w:val="20"/>
          <w:szCs w:val="20"/>
          <w:lang w:val="es-ES" w:eastAsia="es-ES"/>
        </w:rPr>
      </w:pPr>
      <w:r w:rsidRPr="009C5A97">
        <w:rPr>
          <w:rFonts w:ascii="Verdana" w:eastAsia="Calibri" w:hAnsi="Verdana" w:cs="Arial"/>
          <w:sz w:val="20"/>
          <w:szCs w:val="20"/>
          <w:lang w:val="es-ES" w:eastAsia="es-ES"/>
        </w:rPr>
        <w:t>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Documentos del Proceso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6829768" w14:textId="77777777" w:rsidR="0078178D" w:rsidRDefault="0078178D" w:rsidP="0078178D">
      <w:pPr>
        <w:spacing w:after="0"/>
        <w:rPr>
          <w:rFonts w:ascii="Verdana" w:hAnsi="Verdana"/>
        </w:rPr>
      </w:pPr>
    </w:p>
    <w:p w14:paraId="2AF725E8" w14:textId="77777777" w:rsidR="0078178D" w:rsidRPr="0044528D" w:rsidRDefault="0078178D" w:rsidP="0078178D">
      <w:pPr>
        <w:spacing w:after="0"/>
        <w:rPr>
          <w:rFonts w:ascii="Verdana" w:hAnsi="Verdana"/>
        </w:rPr>
      </w:pPr>
      <w:r w:rsidRPr="0044528D">
        <w:rPr>
          <w:rFonts w:ascii="Verdana" w:hAnsi="Verdana"/>
        </w:rPr>
        <w:lastRenderedPageBreak/>
        <w:t>Bogotá D.C., [Día] [</w:t>
      </w:r>
      <w:proofErr w:type="spellStart"/>
      <w:r w:rsidRPr="0044528D">
        <w:rPr>
          <w:rFonts w:ascii="Verdana" w:hAnsi="Verdana"/>
        </w:rPr>
        <w:t>Mes</w:t>
      </w:r>
      <w:r>
        <w:rPr>
          <w:rFonts w:ascii="Verdana" w:hAnsi="Verdana"/>
        </w:rPr>
        <w:t>.</w:t>
      </w:r>
      <w:r w:rsidRPr="0044528D">
        <w:rPr>
          <w:rFonts w:ascii="Verdana" w:hAnsi="Verdana"/>
        </w:rPr>
        <w:t>NombreCapitalizado</w:t>
      </w:r>
      <w:proofErr w:type="spellEnd"/>
      <w:r w:rsidRPr="0044528D">
        <w:rPr>
          <w:rFonts w:ascii="Verdana" w:hAnsi="Verdana"/>
        </w:rPr>
        <w:t>] [Año]</w:t>
      </w:r>
      <w:r w:rsidRPr="0044528D">
        <w:rPr>
          <w:rFonts w:ascii="Verdana" w:hAnsi="Verdana"/>
        </w:rPr>
        <w:tab/>
      </w:r>
    </w:p>
    <w:p w14:paraId="667606CD" w14:textId="77777777" w:rsidR="0078178D" w:rsidRPr="0044528D" w:rsidRDefault="0078178D" w:rsidP="0078178D">
      <w:pPr>
        <w:spacing w:after="0"/>
        <w:rPr>
          <w:rFonts w:ascii="Verdana" w:hAnsi="Verdana"/>
        </w:rPr>
      </w:pPr>
    </w:p>
    <w:p w14:paraId="58EFD84A" w14:textId="77777777" w:rsidR="0078178D" w:rsidRDefault="0078178D" w:rsidP="0078178D">
      <w:pPr>
        <w:spacing w:after="0"/>
        <w:rPr>
          <w:rFonts w:ascii="Verdana" w:hAnsi="Verdana"/>
        </w:rPr>
      </w:pPr>
    </w:p>
    <w:p w14:paraId="0449655B" w14:textId="77777777" w:rsidR="0078178D" w:rsidRDefault="0078178D" w:rsidP="0078178D">
      <w:pPr>
        <w:spacing w:after="0"/>
        <w:rPr>
          <w:rFonts w:ascii="Verdana" w:hAnsi="Verdana"/>
        </w:rPr>
      </w:pPr>
    </w:p>
    <w:p w14:paraId="39809996" w14:textId="713C365D" w:rsidR="009D707F" w:rsidRDefault="009D707F" w:rsidP="009D707F">
      <w:pPr>
        <w:spacing w:after="0"/>
        <w:jc w:val="right"/>
        <w:rPr>
          <w:rFonts w:ascii="Verdana" w:hAnsi="Verdana"/>
        </w:rPr>
      </w:pPr>
      <w:r w:rsidRPr="009D707F">
        <w:rPr>
          <w:rFonts w:ascii="Verdana" w:hAnsi="Verdana"/>
        </w:rPr>
        <w:drawing>
          <wp:inline distT="0" distB="0" distL="0" distR="0" wp14:anchorId="2DFE91E3" wp14:editId="6A5F14A3">
            <wp:extent cx="3295650" cy="962025"/>
            <wp:effectExtent l="0" t="0" r="0" b="9525"/>
            <wp:docPr id="181993439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934398" name="Imagen 1" descr="Texto&#10;&#10;Descripción generada automáticamente"/>
                    <pic:cNvPicPr/>
                  </pic:nvPicPr>
                  <pic:blipFill>
                    <a:blip r:embed="rId10"/>
                    <a:stretch>
                      <a:fillRect/>
                    </a:stretch>
                  </pic:blipFill>
                  <pic:spPr>
                    <a:xfrm>
                      <a:off x="0" y="0"/>
                      <a:ext cx="3295650" cy="962025"/>
                    </a:xfrm>
                    <a:prstGeom prst="rect">
                      <a:avLst/>
                    </a:prstGeom>
                  </pic:spPr>
                </pic:pic>
              </a:graphicData>
            </a:graphic>
          </wp:inline>
        </w:drawing>
      </w:r>
    </w:p>
    <w:p w14:paraId="0EC1F8B4" w14:textId="77777777" w:rsidR="0078178D" w:rsidRDefault="0078178D" w:rsidP="0078178D">
      <w:pPr>
        <w:spacing w:after="0" w:line="240" w:lineRule="auto"/>
        <w:jc w:val="both"/>
        <w:rPr>
          <w:rFonts w:ascii="Verdana" w:eastAsia="Calibri" w:hAnsi="Verdana" w:cs="Arial"/>
          <w:color w:val="000000"/>
          <w:lang w:val="es-ES"/>
        </w:rPr>
      </w:pPr>
      <w:r>
        <w:rPr>
          <w:rFonts w:ascii="Verdana" w:eastAsia="Calibri" w:hAnsi="Verdana" w:cs="Arial"/>
          <w:color w:val="000000"/>
          <w:lang w:val="es-ES"/>
        </w:rPr>
        <w:t>ANONIMO</w:t>
      </w:r>
    </w:p>
    <w:p w14:paraId="426EBE0C" w14:textId="77777777" w:rsidR="0078178D" w:rsidRPr="00CE448E" w:rsidRDefault="0078178D" w:rsidP="0078178D">
      <w:pPr>
        <w:spacing w:after="0" w:line="240" w:lineRule="auto"/>
        <w:jc w:val="both"/>
        <w:rPr>
          <w:rFonts w:ascii="Verdana" w:eastAsia="Calibri" w:hAnsi="Verdana" w:cs="Arial"/>
          <w:b/>
          <w:bCs/>
          <w:color w:val="000000"/>
          <w:lang w:val="es-ES_tradnl" w:eastAsia="es-ES_tradnl"/>
        </w:rPr>
      </w:pPr>
    </w:p>
    <w:p w14:paraId="2D7DB617" w14:textId="77777777" w:rsidR="0078178D" w:rsidRPr="00CE448E" w:rsidRDefault="0078178D" w:rsidP="0078178D">
      <w:pPr>
        <w:spacing w:after="0" w:line="240" w:lineRule="auto"/>
        <w:jc w:val="both"/>
        <w:rPr>
          <w:rFonts w:ascii="Verdana" w:eastAsia="Calibri" w:hAnsi="Verdana" w:cs="Arial"/>
          <w:b/>
          <w:bCs/>
          <w:color w:val="000000"/>
          <w:lang w:val="es-ES_tradnl" w:eastAsia="es-ES_tradnl"/>
        </w:rPr>
      </w:pPr>
    </w:p>
    <w:p w14:paraId="4ABF6121" w14:textId="77777777" w:rsidR="0078178D" w:rsidRPr="00CE448E" w:rsidRDefault="0078178D" w:rsidP="0078178D">
      <w:pPr>
        <w:spacing w:after="0" w:line="240" w:lineRule="auto"/>
        <w:rPr>
          <w:rFonts w:ascii="Verdana" w:eastAsia="Calibri" w:hAnsi="Verdana" w:cs="Arial"/>
          <w:b/>
          <w:bCs/>
          <w:color w:val="000000"/>
          <w:lang w:val="es-ES_tradnl" w:eastAsia="es-ES_tradnl"/>
        </w:rPr>
      </w:pP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78178D" w:rsidRPr="00CE448E" w14:paraId="2705760B" w14:textId="77777777" w:rsidTr="00861CF3">
        <w:trPr>
          <w:trHeight w:val="910"/>
        </w:trPr>
        <w:tc>
          <w:tcPr>
            <w:tcW w:w="2725" w:type="dxa"/>
          </w:tcPr>
          <w:p w14:paraId="2AFE017C" w14:textId="77777777" w:rsidR="0078178D" w:rsidRPr="00CE448E" w:rsidRDefault="0078178D" w:rsidP="00861CF3">
            <w:pPr>
              <w:jc w:val="both"/>
              <w:rPr>
                <w:rFonts w:ascii="Verdana" w:eastAsia="Calibri" w:hAnsi="Verdana" w:cs="Arial"/>
                <w:b/>
                <w:bCs/>
                <w:color w:val="7030A0"/>
                <w:lang w:val="es-ES_tradnl" w:eastAsia="es-ES_tradnl"/>
              </w:rPr>
            </w:pPr>
          </w:p>
        </w:tc>
        <w:tc>
          <w:tcPr>
            <w:tcW w:w="6183" w:type="dxa"/>
          </w:tcPr>
          <w:p w14:paraId="6D8BCB5C" w14:textId="77777777" w:rsidR="0078178D" w:rsidRPr="00CE448E" w:rsidRDefault="0078178D" w:rsidP="00861CF3">
            <w:pPr>
              <w:jc w:val="both"/>
              <w:rPr>
                <w:rFonts w:ascii="Verdana" w:eastAsia="Calibri" w:hAnsi="Verdana" w:cs="Arial"/>
                <w:b/>
                <w:bCs/>
                <w:lang w:val="es-ES" w:eastAsia="es-ES"/>
              </w:rPr>
            </w:pPr>
            <w:r w:rsidRPr="00CE448E">
              <w:rPr>
                <w:rFonts w:ascii="Verdana" w:eastAsia="Calibri" w:hAnsi="Verdana" w:cs="Arial"/>
                <w:b/>
                <w:bCs/>
                <w:lang w:val="es-ES" w:eastAsia="es-ES"/>
              </w:rPr>
              <w:t xml:space="preserve">Concepto C- </w:t>
            </w:r>
            <w:r>
              <w:rPr>
                <w:rFonts w:ascii="Verdana" w:eastAsia="Calibri" w:hAnsi="Verdana" w:cs="Arial"/>
                <w:b/>
                <w:bCs/>
                <w:lang w:val="es-ES" w:eastAsia="es-ES"/>
              </w:rPr>
              <w:t>654 de</w:t>
            </w:r>
            <w:r w:rsidRPr="00CE448E">
              <w:rPr>
                <w:rFonts w:ascii="Verdana" w:eastAsia="Calibri" w:hAnsi="Verdana" w:cs="Arial"/>
                <w:b/>
                <w:bCs/>
                <w:lang w:val="es-ES" w:eastAsia="es-ES"/>
              </w:rPr>
              <w:t xml:space="preserve"> 2024</w:t>
            </w:r>
          </w:p>
        </w:tc>
      </w:tr>
      <w:tr w:rsidR="0078178D" w:rsidRPr="00CE448E" w14:paraId="314CE604" w14:textId="77777777" w:rsidTr="00861CF3">
        <w:trPr>
          <w:trHeight w:val="910"/>
        </w:trPr>
        <w:tc>
          <w:tcPr>
            <w:tcW w:w="2725" w:type="dxa"/>
          </w:tcPr>
          <w:p w14:paraId="178E53F3" w14:textId="77777777" w:rsidR="0078178D" w:rsidRPr="00CE448E" w:rsidRDefault="0078178D" w:rsidP="00861CF3">
            <w:pPr>
              <w:jc w:val="both"/>
              <w:rPr>
                <w:rFonts w:ascii="Verdana" w:eastAsia="Calibri" w:hAnsi="Verdana" w:cs="Arial"/>
                <w:color w:val="000000"/>
                <w:lang w:val="es-ES_tradnl" w:eastAsia="es-ES_tradnl"/>
              </w:rPr>
            </w:pPr>
            <w:r w:rsidRPr="00CE448E">
              <w:rPr>
                <w:rFonts w:ascii="Verdana" w:eastAsia="Calibri" w:hAnsi="Verdana" w:cs="Arial"/>
                <w:b/>
                <w:color w:val="000000"/>
                <w:lang w:val="es-ES_tradnl" w:eastAsia="es-ES_tradnl"/>
              </w:rPr>
              <w:t>Temas:</w:t>
            </w:r>
            <w:r w:rsidRPr="00CE448E">
              <w:rPr>
                <w:rFonts w:ascii="Verdana" w:eastAsia="Calibri" w:hAnsi="Verdana" w:cs="Arial"/>
                <w:color w:val="000000"/>
                <w:lang w:val="es-ES_tradnl" w:eastAsia="es-ES_tradnl"/>
              </w:rPr>
              <w:t xml:space="preserve">                   </w:t>
            </w:r>
          </w:p>
        </w:tc>
        <w:tc>
          <w:tcPr>
            <w:tcW w:w="6183" w:type="dxa"/>
          </w:tcPr>
          <w:p w14:paraId="4A373D7C" w14:textId="77777777" w:rsidR="0078178D" w:rsidRPr="00856FA2" w:rsidRDefault="0078178D" w:rsidP="00861CF3">
            <w:pPr>
              <w:spacing w:line="276" w:lineRule="auto"/>
              <w:jc w:val="both"/>
              <w:rPr>
                <w:rFonts w:ascii="Verdana" w:eastAsia="Calibri" w:hAnsi="Verdana" w:cs="Arial"/>
                <w:color w:val="000000" w:themeColor="text1"/>
                <w:lang w:val="es-ES" w:eastAsia="es-ES"/>
              </w:rPr>
            </w:pPr>
            <w:r w:rsidRPr="00856FA2">
              <w:rPr>
                <w:rFonts w:ascii="Verdana" w:eastAsia="Calibri" w:hAnsi="Verdana" w:cs="Arial"/>
                <w:color w:val="000000" w:themeColor="text1"/>
                <w:lang w:val="es-ES" w:eastAsia="es-ES"/>
              </w:rPr>
              <w:t>DOCUMENTOS TIPO / Fundamento Normativo - Ley 2022 de 2020 / DOCUMENTO TIPO DE INFRAESTRUCTURA DE TRANSPORTE – Modalidad Licitación pública Resolución 456 de 2024 – Menor cuantía Resolución 463 de 2024 – Mínima Cuantía Resolución 464 de 2024 / Modificaciones a los documentos tipo</w:t>
            </w:r>
          </w:p>
          <w:p w14:paraId="443E9E54" w14:textId="77777777" w:rsidR="0078178D" w:rsidRPr="00CE448E" w:rsidRDefault="0078178D" w:rsidP="00861CF3">
            <w:pPr>
              <w:spacing w:line="276" w:lineRule="auto"/>
              <w:jc w:val="both"/>
              <w:rPr>
                <w:rFonts w:ascii="Verdana" w:eastAsia="Calibri" w:hAnsi="Verdana" w:cs="Arial"/>
                <w:highlight w:val="yellow"/>
                <w:lang w:val="es-ES" w:eastAsia="es-ES"/>
              </w:rPr>
            </w:pPr>
          </w:p>
        </w:tc>
      </w:tr>
      <w:tr w:rsidR="0078178D" w:rsidRPr="00CE448E" w14:paraId="7672FDE7" w14:textId="77777777" w:rsidTr="00861CF3">
        <w:trPr>
          <w:trHeight w:val="556"/>
        </w:trPr>
        <w:tc>
          <w:tcPr>
            <w:tcW w:w="2725" w:type="dxa"/>
          </w:tcPr>
          <w:p w14:paraId="6E20F7B3" w14:textId="77777777" w:rsidR="0078178D" w:rsidRPr="00CE448E" w:rsidRDefault="0078178D" w:rsidP="00861CF3">
            <w:pPr>
              <w:jc w:val="both"/>
              <w:rPr>
                <w:rFonts w:ascii="Verdana" w:eastAsia="Calibri" w:hAnsi="Verdana" w:cs="Arial"/>
                <w:b/>
                <w:lang w:val="es-ES_tradnl" w:eastAsia="es-ES_tradnl"/>
              </w:rPr>
            </w:pPr>
            <w:r w:rsidRPr="00CE448E">
              <w:rPr>
                <w:rFonts w:ascii="Verdana" w:eastAsia="Calibri" w:hAnsi="Verdana" w:cs="Arial"/>
                <w:b/>
                <w:lang w:val="es-ES_tradnl" w:eastAsia="es-ES_tradnl"/>
              </w:rPr>
              <w:t>Radicación:</w:t>
            </w:r>
            <w:r w:rsidRPr="00CE448E">
              <w:rPr>
                <w:rFonts w:ascii="Verdana" w:eastAsia="Calibri" w:hAnsi="Verdana" w:cs="Arial"/>
                <w:lang w:val="es-ES_tradnl" w:eastAsia="es-ES_tradnl"/>
              </w:rPr>
              <w:t xml:space="preserve">               </w:t>
            </w:r>
          </w:p>
        </w:tc>
        <w:tc>
          <w:tcPr>
            <w:tcW w:w="6183" w:type="dxa"/>
          </w:tcPr>
          <w:p w14:paraId="01CB7C7A" w14:textId="77777777" w:rsidR="0078178D" w:rsidRPr="00CE448E" w:rsidRDefault="0078178D" w:rsidP="00861CF3">
            <w:pPr>
              <w:jc w:val="both"/>
              <w:rPr>
                <w:rFonts w:ascii="Verdana" w:eastAsia="Calibri" w:hAnsi="Verdana" w:cs="Arial"/>
                <w:lang w:val="es-ES_tradnl" w:eastAsia="es-ES_tradnl"/>
              </w:rPr>
            </w:pPr>
            <w:r w:rsidRPr="00CE448E">
              <w:rPr>
                <w:rFonts w:ascii="Verdana" w:eastAsia="Calibri" w:hAnsi="Verdana" w:cs="Arial"/>
                <w:lang w:val="es-ES_tradnl" w:eastAsia="es-ES_tradnl"/>
              </w:rPr>
              <w:t xml:space="preserve">Respuesta a consulta con radicado No. </w:t>
            </w:r>
            <w:r>
              <w:rPr>
                <w:rFonts w:ascii="Verdana" w:eastAsia="Calibri" w:hAnsi="Verdana" w:cs="Arial"/>
                <w:lang w:val="es-ES_tradnl" w:eastAsia="es-ES_tradnl"/>
              </w:rPr>
              <w:t>P20240924009759</w:t>
            </w:r>
          </w:p>
        </w:tc>
      </w:tr>
    </w:tbl>
    <w:p w14:paraId="34837FDB" w14:textId="77777777" w:rsidR="0078178D" w:rsidRPr="00CE448E" w:rsidRDefault="0078178D" w:rsidP="0078178D">
      <w:pPr>
        <w:spacing w:after="0" w:line="240" w:lineRule="auto"/>
        <w:jc w:val="both"/>
        <w:rPr>
          <w:rFonts w:ascii="Verdana" w:eastAsia="Calibri" w:hAnsi="Verdana" w:cs="Arial"/>
          <w:lang w:val="es-ES_tradnl" w:eastAsia="es-ES_tradnl"/>
        </w:rPr>
      </w:pPr>
    </w:p>
    <w:p w14:paraId="33CCC58F" w14:textId="77777777" w:rsidR="0078178D" w:rsidRPr="00CE448E" w:rsidRDefault="0078178D" w:rsidP="0078178D">
      <w:pPr>
        <w:spacing w:after="0" w:line="240" w:lineRule="auto"/>
        <w:jc w:val="both"/>
        <w:rPr>
          <w:rFonts w:ascii="Verdana" w:eastAsia="Calibri" w:hAnsi="Verdana" w:cs="Arial"/>
          <w:lang w:val="es-ES_tradnl" w:eastAsia="es-ES_tradnl"/>
        </w:rPr>
      </w:pPr>
    </w:p>
    <w:p w14:paraId="51C3BFFC" w14:textId="77777777" w:rsidR="0078178D" w:rsidRPr="00CE448E" w:rsidRDefault="0078178D" w:rsidP="0078178D">
      <w:pPr>
        <w:spacing w:after="0" w:line="240" w:lineRule="auto"/>
        <w:jc w:val="both"/>
        <w:rPr>
          <w:rFonts w:ascii="Verdana" w:eastAsia="Calibri" w:hAnsi="Verdana" w:cs="Arial"/>
          <w:color w:val="000000"/>
          <w:lang w:val="es-ES_tradnl" w:eastAsia="es-ES_tradnl"/>
        </w:rPr>
      </w:pPr>
    </w:p>
    <w:p w14:paraId="5DA919DC" w14:textId="77777777" w:rsidR="0078178D" w:rsidRPr="00CE448E" w:rsidRDefault="0078178D" w:rsidP="0078178D">
      <w:pPr>
        <w:spacing w:after="0" w:line="276" w:lineRule="auto"/>
        <w:jc w:val="both"/>
        <w:rPr>
          <w:rFonts w:ascii="Verdana" w:eastAsia="Calibri" w:hAnsi="Verdana" w:cs="Arial"/>
          <w:color w:val="000000" w:themeColor="text1"/>
          <w:lang w:val="es-ES" w:eastAsia="es-ES"/>
        </w:rPr>
      </w:pPr>
      <w:r w:rsidRPr="00CE448E">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 (a)</w:t>
      </w:r>
      <w:r w:rsidRPr="00CE448E">
        <w:rPr>
          <w:rFonts w:ascii="Verdana" w:eastAsia="Calibri" w:hAnsi="Verdana" w:cs="Arial"/>
          <w:color w:val="000000" w:themeColor="text1"/>
          <w:lang w:val="es-ES" w:eastAsia="es-ES"/>
        </w:rPr>
        <w:t xml:space="preserve">: </w:t>
      </w:r>
    </w:p>
    <w:p w14:paraId="3B51FBAB" w14:textId="77777777" w:rsidR="0078178D" w:rsidRPr="00CE448E" w:rsidRDefault="0078178D" w:rsidP="0078178D">
      <w:pPr>
        <w:tabs>
          <w:tab w:val="left" w:pos="3768"/>
        </w:tabs>
        <w:spacing w:after="0" w:line="276" w:lineRule="auto"/>
        <w:jc w:val="both"/>
        <w:rPr>
          <w:rFonts w:ascii="Verdana" w:eastAsia="Calibri" w:hAnsi="Verdana" w:cs="Arial"/>
          <w:color w:val="000000" w:themeColor="text1"/>
          <w:lang w:val="es-ES" w:eastAsia="es-ES"/>
        </w:rPr>
      </w:pPr>
      <w:r w:rsidRPr="00CE448E">
        <w:rPr>
          <w:rFonts w:ascii="Verdana" w:eastAsia="Calibri" w:hAnsi="Verdana" w:cs="Arial"/>
          <w:color w:val="000000" w:themeColor="text1"/>
          <w:lang w:val="es-ES" w:eastAsia="es-ES"/>
        </w:rPr>
        <w:tab/>
      </w:r>
    </w:p>
    <w:p w14:paraId="5330946E" w14:textId="77777777" w:rsidR="0078178D" w:rsidRDefault="0078178D" w:rsidP="0078178D">
      <w:pPr>
        <w:spacing w:after="0" w:line="276" w:lineRule="auto"/>
        <w:jc w:val="both"/>
        <w:rPr>
          <w:rFonts w:ascii="Verdana" w:eastAsia="Calibri" w:hAnsi="Verdana" w:cs="Arial"/>
          <w:color w:val="000000" w:themeColor="text1"/>
          <w:lang w:val="es-ES" w:eastAsia="es-ES"/>
        </w:rPr>
      </w:pPr>
      <w:r w:rsidRPr="00CE448E">
        <w:rPr>
          <w:rFonts w:ascii="Verdana" w:eastAsia="Calibri" w:hAnsi="Verdana" w:cs="Arial"/>
          <w:color w:val="000000" w:themeColor="text1"/>
          <w:lang w:val="es-ES" w:eastAsia="es-ES"/>
        </w:rPr>
        <w:t>En ejercicio de la competencia otorgada por los artículos 3, numeral 5º, y 11, numeral 8º, del Decreto Ley 4170 de 2011,</w:t>
      </w:r>
      <w:r w:rsidRPr="00CE448E">
        <w:rPr>
          <w:rFonts w:ascii="Verdana" w:eastAsia="Arial MT" w:hAnsi="Verdana" w:cs="Arial MT"/>
          <w:lang w:val="es-ES" w:eastAsia="es-ES"/>
        </w:rPr>
        <w:t xml:space="preserve"> </w:t>
      </w:r>
      <w:r w:rsidRPr="00CE448E">
        <w:rPr>
          <w:rFonts w:ascii="Verdana" w:hAnsi="Verdana" w:cs="Arial"/>
        </w:rPr>
        <w:t xml:space="preserve">así como lo establecido en el artículo 4 de la Resolución 1707 de 2018 expedida por esta Entidad, </w:t>
      </w:r>
      <w:r w:rsidRPr="00CE448E">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24</w:t>
      </w:r>
      <w:r w:rsidRPr="00CE448E">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 xml:space="preserve">septiembre </w:t>
      </w:r>
      <w:r w:rsidRPr="00CE448E">
        <w:rPr>
          <w:rFonts w:ascii="Verdana" w:eastAsia="Calibri" w:hAnsi="Verdana" w:cs="Arial"/>
          <w:color w:val="000000" w:themeColor="text1"/>
          <w:lang w:val="es-ES" w:eastAsia="es-ES"/>
        </w:rPr>
        <w:t>de 2024,</w:t>
      </w:r>
      <w:r>
        <w:rPr>
          <w:rFonts w:ascii="Verdana" w:eastAsia="Calibri" w:hAnsi="Verdana" w:cs="Arial"/>
          <w:color w:val="000000" w:themeColor="text1"/>
          <w:lang w:val="es-ES" w:eastAsia="es-ES"/>
        </w:rPr>
        <w:t xml:space="preserve"> </w:t>
      </w:r>
      <w:r w:rsidRPr="00CE448E">
        <w:rPr>
          <w:rFonts w:ascii="Verdana" w:eastAsia="Calibri" w:hAnsi="Verdana" w:cs="Arial"/>
          <w:color w:val="000000" w:themeColor="text1"/>
          <w:lang w:val="es-ES" w:eastAsia="es-ES"/>
        </w:rPr>
        <w:t xml:space="preserve">en la cual manifiesta lo siguiente: </w:t>
      </w:r>
    </w:p>
    <w:p w14:paraId="09BB1A7A" w14:textId="77777777" w:rsidR="0078178D" w:rsidRDefault="0078178D" w:rsidP="0078178D">
      <w:pPr>
        <w:spacing w:after="0" w:line="276" w:lineRule="auto"/>
        <w:jc w:val="both"/>
        <w:rPr>
          <w:rFonts w:ascii="Verdana" w:eastAsia="Calibri" w:hAnsi="Verdana" w:cs="Arial"/>
          <w:color w:val="000000" w:themeColor="text1"/>
          <w:lang w:val="es-ES" w:eastAsia="es-ES"/>
        </w:rPr>
      </w:pPr>
    </w:p>
    <w:p w14:paraId="69F37DFA" w14:textId="77777777" w:rsidR="0078178D" w:rsidRDefault="0078178D" w:rsidP="0078178D">
      <w:pPr>
        <w:spacing w:after="0" w:line="276" w:lineRule="auto"/>
        <w:ind w:left="709" w:right="680"/>
        <w:jc w:val="both"/>
        <w:rPr>
          <w:rFonts w:ascii="Verdana" w:eastAsia="Calibri" w:hAnsi="Verdana" w:cs="Arial"/>
          <w:color w:val="000000" w:themeColor="text1"/>
          <w:sz w:val="20"/>
          <w:szCs w:val="20"/>
          <w:lang w:val="es-ES" w:eastAsia="es-ES"/>
        </w:rPr>
      </w:pPr>
      <w:r>
        <w:rPr>
          <w:rFonts w:ascii="Verdana" w:eastAsia="Calibri" w:hAnsi="Verdana" w:cs="Arial"/>
          <w:color w:val="000000" w:themeColor="text1"/>
          <w:sz w:val="20"/>
          <w:szCs w:val="20"/>
          <w:lang w:val="es-ES" w:eastAsia="es-ES"/>
        </w:rPr>
        <w:t xml:space="preserve">“1. Los cambios efectuados en el documento pliego tipo de obras públicas infraestructura de transporte matriz 2 - indicadores financieros </w:t>
      </w:r>
      <w:proofErr w:type="spellStart"/>
      <w:r>
        <w:rPr>
          <w:rFonts w:ascii="Verdana" w:eastAsia="Calibri" w:hAnsi="Verdana" w:cs="Arial"/>
          <w:color w:val="000000" w:themeColor="text1"/>
          <w:sz w:val="20"/>
          <w:szCs w:val="20"/>
          <w:lang w:val="es-ES" w:eastAsia="es-ES"/>
        </w:rPr>
        <w:t>Org</w:t>
      </w:r>
      <w:proofErr w:type="spellEnd"/>
      <w:r>
        <w:rPr>
          <w:rFonts w:ascii="Verdana" w:eastAsia="Calibri" w:hAnsi="Verdana" w:cs="Arial"/>
          <w:color w:val="000000" w:themeColor="text1"/>
          <w:sz w:val="20"/>
          <w:szCs w:val="20"/>
          <w:lang w:val="es-ES" w:eastAsia="es-ES"/>
        </w:rPr>
        <w:t xml:space="preserve"> 30-07-</w:t>
      </w:r>
      <w:r>
        <w:rPr>
          <w:rFonts w:ascii="Verdana" w:eastAsia="Calibri" w:hAnsi="Verdana" w:cs="Arial"/>
          <w:color w:val="000000" w:themeColor="text1"/>
          <w:sz w:val="20"/>
          <w:szCs w:val="20"/>
          <w:lang w:val="es-ES" w:eastAsia="es-ES"/>
        </w:rPr>
        <w:lastRenderedPageBreak/>
        <w:t>2024 OB a que hace referencia en el indicador patrimonio (ver nota 1) definido en el documento base, agradezco su aclaración sobre la nota 1.</w:t>
      </w:r>
    </w:p>
    <w:p w14:paraId="3D34E0D9" w14:textId="77777777" w:rsidR="0078178D" w:rsidRPr="0067321F" w:rsidRDefault="0078178D" w:rsidP="0078178D">
      <w:pPr>
        <w:spacing w:after="0" w:line="276" w:lineRule="auto"/>
        <w:ind w:left="709" w:right="680"/>
        <w:jc w:val="both"/>
        <w:rPr>
          <w:rFonts w:ascii="Verdana" w:eastAsia="Calibri" w:hAnsi="Verdana" w:cs="Arial"/>
          <w:color w:val="000000" w:themeColor="text1"/>
          <w:sz w:val="20"/>
          <w:szCs w:val="20"/>
          <w:lang w:eastAsia="es-ES"/>
        </w:rPr>
      </w:pPr>
      <w:r>
        <w:rPr>
          <w:rFonts w:ascii="Verdana" w:eastAsia="Calibri" w:hAnsi="Verdana" w:cs="Arial"/>
          <w:color w:val="000000" w:themeColor="text1"/>
          <w:sz w:val="20"/>
          <w:szCs w:val="20"/>
          <w:lang w:val="es-ES" w:eastAsia="es-ES"/>
        </w:rPr>
        <w:t>2. ¿desde cuándo se debe implementar el cambio de estos indicadores?</w:t>
      </w:r>
      <w:r w:rsidRPr="0067321F">
        <w:rPr>
          <w:rFonts w:ascii="Verdana" w:eastAsia="Calibri" w:hAnsi="Verdana" w:cs="Arial"/>
          <w:color w:val="000000" w:themeColor="text1"/>
          <w:sz w:val="20"/>
          <w:szCs w:val="20"/>
          <w:lang w:eastAsia="es-ES"/>
        </w:rPr>
        <w:t xml:space="preserve">”. </w:t>
      </w:r>
    </w:p>
    <w:p w14:paraId="30A2B66E" w14:textId="77777777" w:rsidR="0078178D" w:rsidRPr="0067321F" w:rsidRDefault="0078178D" w:rsidP="0078178D">
      <w:pPr>
        <w:spacing w:after="0" w:line="276" w:lineRule="auto"/>
        <w:ind w:left="709" w:right="680"/>
        <w:jc w:val="both"/>
        <w:rPr>
          <w:rFonts w:ascii="Verdana" w:eastAsia="Calibri" w:hAnsi="Verdana" w:cs="Arial"/>
          <w:color w:val="000000" w:themeColor="text1"/>
          <w:sz w:val="20"/>
          <w:szCs w:val="20"/>
          <w:lang w:eastAsia="es-ES"/>
        </w:rPr>
      </w:pPr>
    </w:p>
    <w:p w14:paraId="6D3D6C61" w14:textId="77777777" w:rsidR="0078178D" w:rsidRPr="00CE448E" w:rsidRDefault="0078178D" w:rsidP="0078178D">
      <w:pPr>
        <w:tabs>
          <w:tab w:val="left" w:pos="142"/>
          <w:tab w:val="left" w:pos="284"/>
        </w:tabs>
        <w:spacing w:line="276" w:lineRule="auto"/>
        <w:contextualSpacing/>
        <w:jc w:val="both"/>
        <w:rPr>
          <w:rFonts w:ascii="Verdana" w:eastAsia="Century Gothic" w:hAnsi="Verdana" w:cs="Century Gothic"/>
          <w:b/>
          <w:bCs/>
          <w:lang w:val="es-ES"/>
        </w:rPr>
      </w:pPr>
    </w:p>
    <w:p w14:paraId="6873BDF2" w14:textId="77777777" w:rsidR="0078178D" w:rsidRPr="00CE448E" w:rsidRDefault="0078178D" w:rsidP="0078178D">
      <w:pPr>
        <w:spacing w:after="120" w:line="276" w:lineRule="auto"/>
        <w:ind w:firstLine="709"/>
        <w:jc w:val="both"/>
        <w:rPr>
          <w:rFonts w:ascii="Verdana" w:eastAsia="Calibri" w:hAnsi="Verdana" w:cs="Arial"/>
          <w:color w:val="000000"/>
          <w:szCs w:val="24"/>
          <w:lang w:val="es-ES_tradnl" w:eastAsia="es-ES_tradnl"/>
        </w:rPr>
      </w:pPr>
      <w:r w:rsidRPr="00CE448E">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E448E">
        <w:rPr>
          <w:rFonts w:ascii="Verdana" w:eastAsia="Calibri" w:hAnsi="Verdana" w:cs="Arial"/>
          <w:color w:val="000000"/>
          <w:szCs w:val="24"/>
          <w:lang w:val="es-ES_tradnl" w:eastAsia="es-ES_tradnl"/>
        </w:rPr>
        <w:tab/>
      </w:r>
    </w:p>
    <w:p w14:paraId="3B4ADEBB" w14:textId="77777777" w:rsidR="0078178D" w:rsidRPr="00CE448E" w:rsidRDefault="0078178D" w:rsidP="0078178D">
      <w:pPr>
        <w:spacing w:after="0" w:line="276" w:lineRule="auto"/>
        <w:ind w:firstLine="709"/>
        <w:jc w:val="both"/>
        <w:rPr>
          <w:rFonts w:ascii="Verdana" w:eastAsia="Calibri" w:hAnsi="Verdana" w:cs="Arial"/>
          <w:color w:val="000000"/>
          <w:lang w:val="es-ES" w:eastAsia="es-ES"/>
        </w:rPr>
      </w:pPr>
      <w:r w:rsidRPr="00CE448E">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24F8267" w14:textId="77777777" w:rsidR="0078178D" w:rsidRPr="00CE448E" w:rsidRDefault="0078178D" w:rsidP="0078178D">
      <w:pPr>
        <w:spacing w:after="0" w:line="276" w:lineRule="auto"/>
        <w:ind w:firstLine="709"/>
        <w:jc w:val="both"/>
        <w:rPr>
          <w:rFonts w:ascii="Verdana" w:eastAsia="Calibri" w:hAnsi="Verdana" w:cs="Arial"/>
          <w:color w:val="000000"/>
          <w:lang w:val="es-ES" w:eastAsia="es-ES"/>
        </w:rPr>
      </w:pPr>
    </w:p>
    <w:p w14:paraId="7F4A746B" w14:textId="77777777" w:rsidR="0078178D" w:rsidRPr="00CE448E" w:rsidRDefault="0078178D" w:rsidP="0078178D">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CE448E">
        <w:rPr>
          <w:rFonts w:ascii="Verdana" w:eastAsia="Century Gothic" w:hAnsi="Verdana" w:cs="Century Gothic"/>
          <w:b/>
          <w:bCs/>
          <w:lang w:val="es-ES"/>
        </w:rPr>
        <w:t>Problema planteado:</w:t>
      </w:r>
    </w:p>
    <w:p w14:paraId="66612641" w14:textId="77777777" w:rsidR="0078178D" w:rsidRPr="00CE448E" w:rsidRDefault="0078178D" w:rsidP="0078178D">
      <w:pPr>
        <w:tabs>
          <w:tab w:val="left" w:pos="426"/>
        </w:tabs>
        <w:spacing w:after="0" w:line="276" w:lineRule="auto"/>
        <w:jc w:val="both"/>
        <w:rPr>
          <w:rFonts w:ascii="Verdana" w:eastAsia="Century Gothic" w:hAnsi="Verdana" w:cs="Century Gothic"/>
          <w:lang w:val="es-ES"/>
        </w:rPr>
      </w:pPr>
    </w:p>
    <w:p w14:paraId="38056F58" w14:textId="77777777" w:rsidR="0078178D" w:rsidRDefault="0078178D" w:rsidP="0078178D">
      <w:pPr>
        <w:spacing w:after="0" w:line="276" w:lineRule="auto"/>
        <w:jc w:val="both"/>
        <w:rPr>
          <w:rFonts w:ascii="Verdana" w:eastAsia="Century Gothic" w:hAnsi="Verdana" w:cs="Century Gothic"/>
        </w:rPr>
      </w:pPr>
      <w:r w:rsidRPr="00CE448E">
        <w:rPr>
          <w:rFonts w:ascii="Verdana" w:eastAsia="Century Gothic" w:hAnsi="Verdana" w:cs="Century Gothic"/>
        </w:rPr>
        <w:t xml:space="preserve">De acuerdo con el contenido de su solicitud, esta Agencia resolverá </w:t>
      </w:r>
      <w:r>
        <w:rPr>
          <w:rFonts w:ascii="Verdana" w:eastAsia="Century Gothic" w:hAnsi="Verdana" w:cs="Century Gothic"/>
        </w:rPr>
        <w:t>los siguientes</w:t>
      </w:r>
      <w:r w:rsidRPr="00CE448E">
        <w:rPr>
          <w:rFonts w:ascii="Verdana" w:eastAsia="Century Gothic" w:hAnsi="Verdana" w:cs="Century Gothic"/>
        </w:rPr>
        <w:t xml:space="preserve"> problema</w:t>
      </w:r>
      <w:r>
        <w:rPr>
          <w:rFonts w:ascii="Verdana" w:eastAsia="Century Gothic" w:hAnsi="Verdana" w:cs="Century Gothic"/>
        </w:rPr>
        <w:t>s</w:t>
      </w:r>
      <w:r w:rsidRPr="00CE448E">
        <w:rPr>
          <w:rFonts w:ascii="Verdana" w:eastAsia="Century Gothic" w:hAnsi="Verdana" w:cs="Century Gothic"/>
        </w:rPr>
        <w:t xml:space="preserve"> jurídico</w:t>
      </w:r>
      <w:r>
        <w:rPr>
          <w:rFonts w:ascii="Verdana" w:eastAsia="Century Gothic" w:hAnsi="Verdana" w:cs="Century Gothic"/>
        </w:rPr>
        <w:t>s</w:t>
      </w:r>
      <w:r w:rsidRPr="00CE448E">
        <w:rPr>
          <w:rFonts w:ascii="Verdana" w:eastAsia="Century Gothic" w:hAnsi="Verdana" w:cs="Century Gothic"/>
        </w:rPr>
        <w:t>: ¿</w:t>
      </w:r>
      <w:r>
        <w:rPr>
          <w:rFonts w:ascii="Verdana" w:eastAsia="Century Gothic" w:hAnsi="Verdana" w:cs="Century Gothic"/>
        </w:rPr>
        <w:t>A que hace referencia la nota 1 que se encuentra en el indicador de patrimonio y desde cuando se deben implementar los cambios realizados al documento tipo de infraestructura de transporte?</w:t>
      </w:r>
    </w:p>
    <w:p w14:paraId="438D53BE" w14:textId="77777777" w:rsidR="0078178D" w:rsidRPr="00CE448E" w:rsidRDefault="0078178D" w:rsidP="0078178D">
      <w:pPr>
        <w:spacing w:after="0" w:line="276" w:lineRule="auto"/>
        <w:jc w:val="both"/>
        <w:rPr>
          <w:rFonts w:ascii="Verdana" w:eastAsia="Calibri" w:hAnsi="Verdana" w:cs="Arial"/>
          <w:color w:val="7030A0"/>
          <w:lang w:val="es-ES"/>
        </w:rPr>
      </w:pPr>
    </w:p>
    <w:p w14:paraId="1FD27286" w14:textId="77777777" w:rsidR="0078178D" w:rsidRPr="00CE448E" w:rsidRDefault="0078178D" w:rsidP="0078178D">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CE448E">
        <w:rPr>
          <w:rFonts w:ascii="Verdana" w:eastAsia="Century Gothic" w:hAnsi="Verdana" w:cs="Century Gothic"/>
          <w:b/>
          <w:bCs/>
          <w:lang w:val="es-ES"/>
        </w:rPr>
        <w:t>Respuesta:</w:t>
      </w:r>
    </w:p>
    <w:p w14:paraId="678031A1" w14:textId="77777777" w:rsidR="0078178D" w:rsidRPr="00CE448E" w:rsidRDefault="0078178D" w:rsidP="0078178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8178D" w:rsidRPr="00CE448E" w14:paraId="1BDE0ECA" w14:textId="77777777" w:rsidTr="00861CF3">
        <w:tc>
          <w:tcPr>
            <w:tcW w:w="8828" w:type="dxa"/>
            <w:shd w:val="clear" w:color="auto" w:fill="auto"/>
          </w:tcPr>
          <w:p w14:paraId="3BFCDB1C" w14:textId="77777777" w:rsidR="0078178D" w:rsidRDefault="0078178D" w:rsidP="00861CF3">
            <w:pPr>
              <w:jc w:val="both"/>
              <w:rPr>
                <w:rFonts w:ascii="Verdana" w:eastAsia="Calibri" w:hAnsi="Verdana" w:cs="Arial"/>
                <w:lang w:val="es-ES"/>
              </w:rPr>
            </w:pPr>
            <w:r>
              <w:rPr>
                <w:rFonts w:ascii="Verdana" w:eastAsia="Calibri" w:hAnsi="Verdana" w:cs="Arial"/>
                <w:lang w:val="es-ES"/>
              </w:rPr>
              <w:t>La Agencia Nacional de Contratación Pública -Colombia Compra Eficiente realizó modificaciones a los documentos tipo del sector de infraestructura de transporte - a las modalidades de Licitación Pública, selección abreviada (menor cuantía) y a los documentos tipo de mínima cuantía.</w:t>
            </w:r>
          </w:p>
          <w:p w14:paraId="6E6E910B" w14:textId="77777777" w:rsidR="0078178D" w:rsidRDefault="0078178D" w:rsidP="00861CF3">
            <w:pPr>
              <w:jc w:val="both"/>
              <w:rPr>
                <w:rFonts w:ascii="Verdana" w:eastAsia="Calibri" w:hAnsi="Verdana" w:cs="Arial"/>
                <w:lang w:val="es-ES"/>
              </w:rPr>
            </w:pPr>
          </w:p>
          <w:p w14:paraId="22BF44F7" w14:textId="77777777" w:rsidR="0078178D" w:rsidRDefault="0078178D" w:rsidP="00861CF3">
            <w:pPr>
              <w:jc w:val="both"/>
              <w:rPr>
                <w:rStyle w:val="normaltextrun"/>
                <w:rFonts w:ascii="Verdana" w:hAnsi="Verdana" w:cs="Arial"/>
                <w:shd w:val="clear" w:color="auto" w:fill="FFFFFF"/>
                <w:lang w:val="es-ES"/>
              </w:rPr>
            </w:pPr>
            <w:r>
              <w:rPr>
                <w:rFonts w:ascii="Verdana" w:eastAsia="Calibri" w:hAnsi="Verdana" w:cs="Arial"/>
                <w:lang w:val="es-ES"/>
              </w:rPr>
              <w:t xml:space="preserve">De acuerdo con el objeto de su consulta, es importante precisar </w:t>
            </w:r>
            <w:r>
              <w:rPr>
                <w:rStyle w:val="normaltextrun"/>
                <w:rFonts w:ascii="Verdana" w:hAnsi="Verdana" w:cs="Arial"/>
                <w:shd w:val="clear" w:color="auto" w:fill="FFFFFF"/>
                <w:lang w:val="es-ES"/>
              </w:rPr>
              <w:t xml:space="preserve">que la descripción y definición de los indicadores de capacidad financiera adicionales </w:t>
            </w:r>
            <w:r>
              <w:rPr>
                <w:rStyle w:val="normaltextrun"/>
                <w:rFonts w:ascii="Verdana" w:hAnsi="Verdana" w:cs="Arial"/>
                <w:shd w:val="clear" w:color="auto" w:fill="FFFFFF"/>
                <w:lang w:val="es-ES"/>
              </w:rPr>
              <w:lastRenderedPageBreak/>
              <w:t>(Capital de trabajo y Patrimonio) se describen en el documento base en los numerales 3.7 y 3.8 respectivamente tal y como se describe en la Matriz 2.</w:t>
            </w:r>
          </w:p>
          <w:p w14:paraId="1EC575D9" w14:textId="77777777" w:rsidR="0078178D" w:rsidRDefault="0078178D" w:rsidP="00861CF3">
            <w:pPr>
              <w:jc w:val="both"/>
              <w:rPr>
                <w:rStyle w:val="normaltextrun"/>
                <w:rFonts w:ascii="Verdana" w:hAnsi="Verdana" w:cs="Arial"/>
                <w:shd w:val="clear" w:color="auto" w:fill="FFFFFF"/>
                <w:lang w:val="es-ES"/>
              </w:rPr>
            </w:pPr>
            <w:r>
              <w:rPr>
                <w:rStyle w:val="normaltextrun"/>
                <w:rFonts w:ascii="Verdana" w:hAnsi="Verdana" w:cs="Arial"/>
                <w:shd w:val="clear" w:color="auto" w:fill="FFFFFF"/>
                <w:lang w:val="es-ES"/>
              </w:rPr>
              <w:t>Respecto a la Nota 1 que se indica en la matriz, para el indicador Patrimonio, esta hace alusión a la nota en corchetes que se incluye en el numeral 3.8 del documento base la cual indica lo siguiente:</w:t>
            </w:r>
          </w:p>
          <w:p w14:paraId="1846CF90" w14:textId="77777777" w:rsidR="0078178D" w:rsidRDefault="0078178D" w:rsidP="00861CF3">
            <w:pPr>
              <w:jc w:val="both"/>
              <w:rPr>
                <w:rStyle w:val="normaltextrun"/>
                <w:rFonts w:ascii="Verdana" w:hAnsi="Verdana" w:cs="Arial"/>
                <w:shd w:val="clear" w:color="auto" w:fill="FFFFFF"/>
                <w:lang w:val="es-ES"/>
              </w:rPr>
            </w:pPr>
          </w:p>
          <w:p w14:paraId="6F9596F5" w14:textId="77777777" w:rsidR="0078178D" w:rsidRPr="008B0E65" w:rsidRDefault="0078178D" w:rsidP="00861CF3">
            <w:pPr>
              <w:jc w:val="both"/>
              <w:rPr>
                <w:rFonts w:ascii="Verdana" w:eastAsia="Calibri" w:hAnsi="Verdana" w:cs="Arial"/>
              </w:rPr>
            </w:pPr>
            <w:r w:rsidRPr="008B0E65">
              <w:rPr>
                <w:rFonts w:ascii="Verdana" w:eastAsia="Calibri" w:hAnsi="Verdana" w:cs="Arial"/>
                <w:highlight w:val="lightGray"/>
              </w:rPr>
              <w:t xml:space="preserve">[Para proyectos de obra cuyo </w:t>
            </w:r>
            <w:r w:rsidRPr="008B0E65">
              <w:rPr>
                <w:rFonts w:ascii="Verdana" w:eastAsia="Calibri" w:hAnsi="Verdana" w:cs="Arial"/>
              </w:rPr>
              <w:t xml:space="preserve">presupuesto oficial sea mayor o igual a 40.000 </w:t>
            </w:r>
            <w:proofErr w:type="spellStart"/>
            <w:r w:rsidRPr="008B0E65">
              <w:rPr>
                <w:rFonts w:ascii="Verdana" w:eastAsia="Calibri" w:hAnsi="Verdana" w:cs="Arial"/>
              </w:rPr>
              <w:t>smmlv</w:t>
            </w:r>
            <w:proofErr w:type="spellEnd"/>
            <w:r w:rsidRPr="008B0E65">
              <w:rPr>
                <w:rFonts w:ascii="Verdana" w:eastAsia="Calibri" w:hAnsi="Verdana" w:cs="Arial"/>
              </w:rPr>
              <w:t xml:space="preserve"> y cuente con un </w:t>
            </w:r>
            <w:r w:rsidRPr="008B0E65">
              <w:rPr>
                <w:rFonts w:ascii="Verdana" w:eastAsia="Calibri" w:hAnsi="Verdana" w:cs="Arial"/>
                <w:highlight w:val="lightGray"/>
              </w:rPr>
              <w:t xml:space="preserve">plazo de ejecución </w:t>
            </w:r>
            <w:r w:rsidRPr="008B0E65">
              <w:rPr>
                <w:rFonts w:ascii="Verdana" w:eastAsia="Calibri" w:hAnsi="Verdana" w:cs="Arial"/>
                <w:highlight w:val="lightGray"/>
                <w:u w:val="single"/>
              </w:rPr>
              <w:t>igual o superior a 24 meses</w:t>
            </w:r>
            <w:r w:rsidRPr="008B0E65">
              <w:rPr>
                <w:rFonts w:ascii="Verdana" w:eastAsia="Calibri" w:hAnsi="Verdana" w:cs="Arial"/>
                <w:highlight w:val="lightGray"/>
              </w:rPr>
              <w:t xml:space="preserve"> aplicará la siguiente redacción:]</w:t>
            </w:r>
          </w:p>
          <w:p w14:paraId="58CD386D" w14:textId="77777777" w:rsidR="0078178D" w:rsidRPr="00685614" w:rsidRDefault="0078178D" w:rsidP="00861CF3">
            <w:pPr>
              <w:jc w:val="both"/>
              <w:rPr>
                <w:rStyle w:val="normaltextrun"/>
                <w:rFonts w:ascii="Verdana" w:hAnsi="Verdana" w:cs="Arial"/>
                <w:shd w:val="clear" w:color="auto" w:fill="FFFFFF"/>
              </w:rPr>
            </w:pPr>
          </w:p>
          <w:p w14:paraId="53FA9E84" w14:textId="77777777" w:rsidR="0078178D" w:rsidRPr="006901F4" w:rsidRDefault="0078178D" w:rsidP="00861CF3">
            <w:pPr>
              <w:jc w:val="both"/>
              <w:rPr>
                <w:rStyle w:val="normaltextrun"/>
                <w:rFonts w:ascii="Verdana" w:hAnsi="Verdana" w:cs="Arial"/>
                <w:shd w:val="clear" w:color="auto" w:fill="FFFFFF"/>
                <w:lang w:val="es-ES"/>
              </w:rPr>
            </w:pPr>
            <w:r>
              <w:rPr>
                <w:rStyle w:val="normaltextrun"/>
                <w:rFonts w:ascii="Verdana" w:hAnsi="Verdana" w:cs="Arial"/>
                <w:shd w:val="clear" w:color="auto" w:fill="FFFFFF"/>
                <w:lang w:val="es-ES"/>
              </w:rPr>
              <w:t>Con esta, se busca precisar las condiciones que debe tener el proceso de selección para que la Entidad solicite el Patrimonio, como un indicador de capacidad financiera adicional.</w:t>
            </w:r>
          </w:p>
          <w:p w14:paraId="509FFD87" w14:textId="77777777" w:rsidR="0078178D" w:rsidRDefault="0078178D" w:rsidP="00861CF3">
            <w:pPr>
              <w:spacing w:line="276" w:lineRule="auto"/>
              <w:jc w:val="both"/>
              <w:rPr>
                <w:rFonts w:ascii="Verdana" w:eastAsia="Calibri" w:hAnsi="Verdana" w:cs="Arial"/>
                <w:lang w:val="es-ES"/>
              </w:rPr>
            </w:pPr>
          </w:p>
          <w:p w14:paraId="24CDFA23" w14:textId="5D2C505A" w:rsidR="0078178D" w:rsidRPr="00522A46" w:rsidRDefault="0078178D" w:rsidP="00861CF3">
            <w:pPr>
              <w:spacing w:line="276" w:lineRule="auto"/>
              <w:jc w:val="both"/>
              <w:rPr>
                <w:rStyle w:val="normaltextrun"/>
                <w:shd w:val="clear" w:color="auto" w:fill="FFFFFF"/>
              </w:rPr>
            </w:pPr>
            <w:r>
              <w:rPr>
                <w:rStyle w:val="normaltextrun"/>
                <w:rFonts w:ascii="Verdana" w:hAnsi="Verdana" w:cs="Arial"/>
                <w:shd w:val="clear" w:color="auto" w:fill="FFFFFF"/>
                <w:lang w:val="es-ES"/>
              </w:rPr>
              <w:t>Por otra parte</w:t>
            </w:r>
            <w:r w:rsidRPr="00522A46">
              <w:rPr>
                <w:rStyle w:val="normaltextrun"/>
                <w:rFonts w:ascii="Verdana" w:hAnsi="Verdana" w:cs="Arial"/>
                <w:shd w:val="clear" w:color="auto" w:fill="FFFFFF"/>
                <w:lang w:val="es-ES"/>
              </w:rPr>
              <w:t xml:space="preserve">, </w:t>
            </w:r>
            <w:r>
              <w:rPr>
                <w:rStyle w:val="normaltextrun"/>
                <w:rFonts w:ascii="Verdana" w:hAnsi="Verdana" w:cs="Arial"/>
                <w:shd w:val="clear" w:color="auto" w:fill="FFFFFF"/>
                <w:lang w:val="es-ES"/>
              </w:rPr>
              <w:t xml:space="preserve">la resolución que adopta las modificaciones aplica para procesos de selección de licitación de obra </w:t>
            </w:r>
            <w:r w:rsidR="00CD5EBC">
              <w:rPr>
                <w:rStyle w:val="normaltextrun"/>
                <w:rFonts w:ascii="Verdana" w:hAnsi="Verdana" w:cs="Arial"/>
                <w:shd w:val="clear" w:color="auto" w:fill="FFFFFF"/>
                <w:lang w:val="es-ES"/>
              </w:rPr>
              <w:t>pública</w:t>
            </w:r>
            <w:r>
              <w:rPr>
                <w:rStyle w:val="normaltextrun"/>
                <w:rFonts w:ascii="Verdana" w:hAnsi="Verdana" w:cs="Arial"/>
                <w:shd w:val="clear" w:color="auto" w:fill="FFFFFF"/>
                <w:lang w:val="es-ES"/>
              </w:rPr>
              <w:t xml:space="preserve"> de infraestructura de transporte, cuyo aviso de convocatoria se publique a partir del 3 de febrero de 2025. </w:t>
            </w:r>
          </w:p>
          <w:p w14:paraId="0D01DF3E" w14:textId="77777777" w:rsidR="0078178D" w:rsidRPr="00CE448E" w:rsidRDefault="0078178D" w:rsidP="00861CF3">
            <w:pPr>
              <w:spacing w:line="276" w:lineRule="auto"/>
              <w:jc w:val="both"/>
              <w:rPr>
                <w:rFonts w:ascii="Verdana" w:eastAsia="Calibri" w:hAnsi="Verdana" w:cs="Arial"/>
                <w:color w:val="7030A0"/>
                <w:lang w:val="es-ES"/>
              </w:rPr>
            </w:pPr>
          </w:p>
        </w:tc>
      </w:tr>
    </w:tbl>
    <w:p w14:paraId="0424E5EA" w14:textId="77777777" w:rsidR="0078178D" w:rsidRPr="00CE448E" w:rsidRDefault="0078178D" w:rsidP="0078178D">
      <w:pPr>
        <w:tabs>
          <w:tab w:val="left" w:pos="142"/>
          <w:tab w:val="left" w:pos="284"/>
        </w:tabs>
        <w:spacing w:after="0" w:line="276" w:lineRule="auto"/>
        <w:jc w:val="both"/>
        <w:rPr>
          <w:rFonts w:ascii="Verdana" w:eastAsia="Century Gothic" w:hAnsi="Verdana" w:cs="Century Gothic"/>
          <w:b/>
          <w:bCs/>
          <w:lang w:val="es-ES"/>
        </w:rPr>
      </w:pPr>
    </w:p>
    <w:p w14:paraId="1694EB99" w14:textId="77777777" w:rsidR="0078178D" w:rsidRPr="00CE448E" w:rsidRDefault="0078178D" w:rsidP="0078178D">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CE448E">
        <w:rPr>
          <w:rFonts w:ascii="Verdana" w:eastAsia="Century Gothic" w:hAnsi="Verdana" w:cs="Century Gothic"/>
          <w:b/>
          <w:bCs/>
          <w:lang w:val="es-ES"/>
        </w:rPr>
        <w:t>Razones de la respuesta:</w:t>
      </w:r>
    </w:p>
    <w:p w14:paraId="6A1EF8CA" w14:textId="77777777" w:rsidR="0078178D" w:rsidRPr="00CE448E" w:rsidRDefault="0078178D" w:rsidP="0078178D">
      <w:pPr>
        <w:spacing w:after="0" w:line="276" w:lineRule="auto"/>
        <w:jc w:val="both"/>
        <w:rPr>
          <w:rFonts w:ascii="Verdana" w:eastAsia="Calibri" w:hAnsi="Verdana" w:cs="Arial"/>
          <w:color w:val="7030A0"/>
          <w:lang w:val="es-ES"/>
        </w:rPr>
      </w:pPr>
    </w:p>
    <w:p w14:paraId="413B3DAA" w14:textId="77777777" w:rsidR="0078178D" w:rsidRDefault="0078178D" w:rsidP="0078178D">
      <w:pPr>
        <w:spacing w:after="0" w:line="276" w:lineRule="auto"/>
        <w:jc w:val="both"/>
        <w:rPr>
          <w:rFonts w:ascii="Verdana" w:eastAsia="Calibri" w:hAnsi="Verdana" w:cs="Arial"/>
          <w:lang w:val="es-ES"/>
        </w:rPr>
      </w:pPr>
      <w:r w:rsidRPr="00CE448E">
        <w:rPr>
          <w:rFonts w:ascii="Verdana" w:eastAsia="Calibri" w:hAnsi="Verdana" w:cs="Arial"/>
          <w:lang w:val="es-ES"/>
        </w:rPr>
        <w:t xml:space="preserve">Lo anterior se sustenta en las siguientes consideraciones: </w:t>
      </w:r>
    </w:p>
    <w:p w14:paraId="2146903A" w14:textId="77777777" w:rsidR="0078178D" w:rsidRDefault="0078178D" w:rsidP="0078178D">
      <w:pPr>
        <w:spacing w:after="0" w:line="276" w:lineRule="auto"/>
        <w:jc w:val="both"/>
        <w:rPr>
          <w:rFonts w:ascii="Verdana" w:eastAsia="Calibri" w:hAnsi="Verdana" w:cs="Arial"/>
          <w:lang w:val="es-ES"/>
        </w:rPr>
      </w:pPr>
    </w:p>
    <w:p w14:paraId="2B17C927" w14:textId="77777777" w:rsidR="0078178D" w:rsidRDefault="0078178D" w:rsidP="0078178D">
      <w:pPr>
        <w:pStyle w:val="Prrafodelista"/>
        <w:numPr>
          <w:ilvl w:val="0"/>
          <w:numId w:val="18"/>
        </w:numPr>
        <w:snapToGrid w:val="0"/>
        <w:spacing w:after="0" w:line="276" w:lineRule="auto"/>
        <w:jc w:val="both"/>
        <w:rPr>
          <w:rFonts w:ascii="Verdana" w:eastAsia="Calibri" w:hAnsi="Verdana" w:cs="Arial"/>
          <w:kern w:val="2"/>
          <w14:ligatures w14:val="standardContextual"/>
        </w:rPr>
      </w:pPr>
      <w:r w:rsidRPr="001457A3">
        <w:rPr>
          <w:rFonts w:ascii="Verdana" w:eastAsia="Calibri" w:hAnsi="Verdana" w:cs="Arial"/>
          <w:kern w:val="2"/>
          <w14:ligatures w14:val="standardContextua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4A8CACF7" w14:textId="77777777" w:rsidR="0078178D" w:rsidRDefault="0078178D" w:rsidP="0078178D">
      <w:pPr>
        <w:pStyle w:val="Prrafodelista"/>
        <w:snapToGrid w:val="0"/>
        <w:spacing w:after="0" w:line="276" w:lineRule="auto"/>
        <w:ind w:left="1080"/>
        <w:jc w:val="both"/>
        <w:rPr>
          <w:rFonts w:ascii="Verdana" w:eastAsia="Calibri" w:hAnsi="Verdana" w:cs="Arial"/>
          <w:kern w:val="2"/>
          <w14:ligatures w14:val="standardContextual"/>
        </w:rPr>
      </w:pPr>
    </w:p>
    <w:p w14:paraId="11D46ABB" w14:textId="77777777" w:rsidR="0078178D" w:rsidRDefault="0078178D" w:rsidP="0078178D">
      <w:pPr>
        <w:pStyle w:val="Prrafodelista"/>
        <w:numPr>
          <w:ilvl w:val="0"/>
          <w:numId w:val="18"/>
        </w:numPr>
        <w:snapToGrid w:val="0"/>
        <w:spacing w:after="0" w:line="276" w:lineRule="auto"/>
        <w:jc w:val="both"/>
        <w:rPr>
          <w:rFonts w:ascii="Verdana" w:eastAsia="Calibri" w:hAnsi="Verdana" w:cs="Arial"/>
          <w:kern w:val="2"/>
          <w14:ligatures w14:val="standardContextual"/>
        </w:rPr>
      </w:pPr>
      <w:r>
        <w:rPr>
          <w:rFonts w:ascii="Verdana" w:eastAsia="Calibri" w:hAnsi="Verdana" w:cs="Arial"/>
          <w:kern w:val="2"/>
          <w14:ligatures w14:val="standardContextual"/>
        </w:rPr>
        <w:t xml:space="preserve">En ejercicio de su competencia,  esta agencia estableció un procedimiento para recibir y revisar los comentarios de todos los partícipes del sistema de la compra pública en el primero  y parte del segundo semestre del año en curso, como consecuencia de ello, se expidieron los diferentes actos administrativos  por medio de los cuales se adoptaron los documentos tipo del sector de infraestructura de transporte y en simultaneo se publicaron las respuestas a todas las observaciones y/o comentarios realizados al proyecto. </w:t>
      </w:r>
    </w:p>
    <w:p w14:paraId="1D0F4A19" w14:textId="77777777" w:rsidR="0078178D" w:rsidRPr="002D0A4C" w:rsidRDefault="0078178D" w:rsidP="0078178D">
      <w:pPr>
        <w:snapToGrid w:val="0"/>
        <w:spacing w:after="0" w:line="276" w:lineRule="auto"/>
        <w:jc w:val="both"/>
        <w:rPr>
          <w:rFonts w:ascii="Verdana" w:eastAsia="Calibri" w:hAnsi="Verdana" w:cs="Arial"/>
          <w:kern w:val="2"/>
          <w14:ligatures w14:val="standardContextual"/>
        </w:rPr>
      </w:pPr>
    </w:p>
    <w:p w14:paraId="6E9A6377" w14:textId="77777777" w:rsidR="0078178D" w:rsidRDefault="0078178D" w:rsidP="0078178D">
      <w:pPr>
        <w:pStyle w:val="Prrafodelista"/>
        <w:numPr>
          <w:ilvl w:val="0"/>
          <w:numId w:val="18"/>
        </w:numPr>
        <w:snapToGrid w:val="0"/>
        <w:spacing w:after="0" w:line="276" w:lineRule="auto"/>
        <w:jc w:val="both"/>
        <w:rPr>
          <w:rFonts w:ascii="Verdana" w:eastAsia="Calibri" w:hAnsi="Verdana" w:cs="Arial"/>
          <w:kern w:val="2"/>
          <w14:ligatures w14:val="standardContextual"/>
        </w:rPr>
      </w:pPr>
      <w:r>
        <w:rPr>
          <w:rFonts w:ascii="Verdana" w:eastAsia="Calibri" w:hAnsi="Verdana" w:cs="Arial"/>
          <w:kern w:val="2"/>
          <w14:ligatures w14:val="standardContextual"/>
        </w:rPr>
        <w:t>En consecuencia, los Documentos tipo para la contratación de obra pública de infraestructura de transporte fueron modificados después de surtir el procedimiento interno establecido por esta agencia, así las cosas, para procesos de selección adelantados bajo la modalidad de licitación de obra  pública  – Versión 4 – se adoptó mediante resolución número  456 de 2024, los documentos tipo de obra pública de infraestructura de transporte adelantados bajo la modalidad de mínima cuantía – Versión 3 se adoptó mediante resolución 464</w:t>
      </w:r>
      <w:r w:rsidRPr="00B740B4">
        <w:rPr>
          <w:rFonts w:ascii="Verdana" w:eastAsia="Calibri" w:hAnsi="Verdana" w:cs="Arial"/>
          <w:kern w:val="2"/>
          <w14:ligatures w14:val="standardContextual"/>
        </w:rPr>
        <w:t xml:space="preserve"> de 2024 y los documentos tipo  de obra pública de infraestructura de transporte desarrollados bajo la modalidad de selección abreviada de menor cuantía – Versión 3 – se adoptó bajo resolución 463 de 2024 </w:t>
      </w:r>
      <w:r>
        <w:rPr>
          <w:rFonts w:ascii="Verdana" w:eastAsia="Calibri" w:hAnsi="Verdana" w:cs="Arial"/>
          <w:kern w:val="2"/>
          <w14:ligatures w14:val="standardContextual"/>
        </w:rPr>
        <w:t>.</w:t>
      </w:r>
    </w:p>
    <w:p w14:paraId="33E6C9E3" w14:textId="77777777" w:rsidR="0078178D" w:rsidRPr="00BC435B" w:rsidRDefault="0078178D" w:rsidP="0078178D">
      <w:pPr>
        <w:snapToGrid w:val="0"/>
        <w:spacing w:after="0" w:line="276" w:lineRule="auto"/>
        <w:jc w:val="both"/>
        <w:rPr>
          <w:rFonts w:ascii="Verdana" w:eastAsia="Calibri" w:hAnsi="Verdana" w:cs="Arial"/>
          <w:kern w:val="2"/>
          <w14:ligatures w14:val="standardContextual"/>
        </w:rPr>
      </w:pPr>
    </w:p>
    <w:p w14:paraId="37DBD478" w14:textId="77777777" w:rsidR="0078178D" w:rsidRPr="006C2CB6" w:rsidRDefault="0078178D" w:rsidP="0078178D">
      <w:pPr>
        <w:numPr>
          <w:ilvl w:val="0"/>
          <w:numId w:val="18"/>
        </w:numPr>
        <w:spacing w:after="0" w:line="276" w:lineRule="auto"/>
        <w:contextualSpacing/>
        <w:jc w:val="both"/>
        <w:rPr>
          <w:rFonts w:ascii="Verdana" w:eastAsia="Times New Roman" w:hAnsi="Verdana" w:cs="Arial"/>
          <w:color w:val="000000"/>
        </w:rPr>
      </w:pPr>
      <w:r w:rsidRPr="006C2CB6">
        <w:rPr>
          <w:rFonts w:ascii="Verdana" w:eastAsia="Times New Roman" w:hAnsi="Verdana" w:cs="Arial"/>
          <w:color w:val="000000"/>
          <w:lang w:val="es-ES"/>
        </w:rPr>
        <w:t xml:space="preserve">En este orden de ideas, la Agencia ha expedido </w:t>
      </w:r>
      <w:r>
        <w:rPr>
          <w:rFonts w:ascii="Verdana" w:eastAsia="Times New Roman" w:hAnsi="Verdana" w:cs="Arial"/>
          <w:color w:val="000000"/>
        </w:rPr>
        <w:t>tres</w:t>
      </w:r>
      <w:r w:rsidRPr="006C2CB6">
        <w:rPr>
          <w:rFonts w:ascii="Verdana" w:eastAsia="Times New Roman" w:hAnsi="Verdana" w:cs="Arial"/>
          <w:color w:val="000000"/>
          <w:lang w:val="es-ES"/>
        </w:rPr>
        <w:t xml:space="preserve"> Documentos Tipo </w:t>
      </w:r>
      <w:r w:rsidRPr="006C2CB6">
        <w:rPr>
          <w:rFonts w:ascii="Verdana" w:eastAsia="Times New Roman" w:hAnsi="Verdana" w:cs="Arial"/>
          <w:color w:val="000000"/>
        </w:rPr>
        <w:t>estructurados para infraestructura de transporte</w:t>
      </w:r>
      <w:r w:rsidRPr="006C2CB6">
        <w:rPr>
          <w:rFonts w:ascii="Verdana" w:eastAsia="Times New Roman" w:hAnsi="Verdana" w:cs="Arial"/>
          <w:color w:val="000000"/>
          <w:lang w:val="es-ES"/>
        </w:rPr>
        <w:t xml:space="preserve">. </w:t>
      </w:r>
      <w:r w:rsidRPr="006C2CB6">
        <w:rPr>
          <w:rFonts w:ascii="Verdana" w:eastAsia="Times New Roman" w:hAnsi="Verdana" w:cs="Arial"/>
          <w:bCs/>
          <w:color w:val="000000"/>
          <w:lang w:val="es-ES" w:eastAsia="es-ES_tradnl"/>
        </w:rPr>
        <w:t xml:space="preserve">El ámbito de aplicación de los Documentos Tipo de infraestructura </w:t>
      </w:r>
      <w:r w:rsidRPr="006C2CB6">
        <w:rPr>
          <w:rFonts w:ascii="Verdana" w:eastAsia="Times New Roman" w:hAnsi="Verdana" w:cs="Arial"/>
          <w:bCs/>
          <w:color w:val="000000"/>
          <w:lang w:eastAsia="es-ES_tradnl"/>
        </w:rPr>
        <w:t>de transporte</w:t>
      </w:r>
      <w:r w:rsidRPr="006C2CB6">
        <w:rPr>
          <w:rFonts w:ascii="Verdana" w:eastAsia="Times New Roman" w:hAnsi="Verdana" w:cs="Arial"/>
          <w:bCs/>
          <w:color w:val="000000"/>
          <w:lang w:val="es-ES" w:eastAsia="es-ES_tradnl"/>
        </w:rPr>
        <w:t xml:space="preserve"> está determinado por las </w:t>
      </w:r>
      <w:r w:rsidRPr="006C2CB6">
        <w:rPr>
          <w:rFonts w:ascii="Verdana" w:eastAsia="Calibri" w:hAnsi="Verdana" w:cs="Arial"/>
          <w:color w:val="000000"/>
          <w:lang w:val="es-ES"/>
        </w:rPr>
        <w:t>resoluciones</w:t>
      </w:r>
      <w:r w:rsidRPr="006C2CB6">
        <w:rPr>
          <w:rFonts w:ascii="Verdana" w:eastAsia="Times New Roman" w:hAnsi="Verdana" w:cs="Arial"/>
          <w:bCs/>
          <w:color w:val="000000"/>
          <w:lang w:val="es-ES" w:eastAsia="es-ES_tradnl"/>
        </w:rPr>
        <w:t xml:space="preserve"> mediante las cuales se implementan </w:t>
      </w:r>
      <w:r w:rsidRPr="006C2CB6">
        <w:rPr>
          <w:rFonts w:ascii="Verdana" w:eastAsia="Times New Roman" w:hAnsi="Verdana" w:cs="Arial"/>
          <w:bCs/>
          <w:color w:val="000000"/>
          <w:lang w:eastAsia="es-ES_tradnl"/>
        </w:rPr>
        <w:t xml:space="preserve">y desarrollan </w:t>
      </w:r>
      <w:r w:rsidRPr="006C2CB6">
        <w:rPr>
          <w:rFonts w:ascii="Verdana" w:eastAsia="Times New Roman" w:hAnsi="Verdana" w:cs="Arial"/>
          <w:bCs/>
          <w:color w:val="000000"/>
          <w:lang w:val="es-ES" w:eastAsia="es-ES_tradnl"/>
        </w:rPr>
        <w:t xml:space="preserve">las matrices de experiencia y los glosarios que definirán concretamente cada sector y que precisan de forma detallada su ámbito de aplicación. </w:t>
      </w:r>
    </w:p>
    <w:p w14:paraId="0772D29E" w14:textId="77777777" w:rsidR="0078178D" w:rsidRPr="00DE2EEB" w:rsidRDefault="0078178D" w:rsidP="0078178D">
      <w:pPr>
        <w:pStyle w:val="Prrafodelista"/>
        <w:spacing w:after="0" w:line="276" w:lineRule="auto"/>
        <w:ind w:left="1080"/>
        <w:jc w:val="both"/>
        <w:rPr>
          <w:rFonts w:ascii="Verdana" w:eastAsia="Calibri" w:hAnsi="Verdana" w:cs="Arial"/>
        </w:rPr>
      </w:pPr>
    </w:p>
    <w:p w14:paraId="2B5193FA" w14:textId="77777777" w:rsidR="0078178D" w:rsidRPr="00CE448E" w:rsidRDefault="0078178D" w:rsidP="0078178D">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CE448E">
        <w:rPr>
          <w:rFonts w:ascii="Verdana" w:eastAsia="Century Gothic" w:hAnsi="Verdana" w:cs="Century Gothic"/>
          <w:b/>
          <w:bCs/>
          <w:lang w:val="es-ES"/>
        </w:rPr>
        <w:t>Referencias normativas, jurisprudenciales y otras fuentes:</w:t>
      </w:r>
    </w:p>
    <w:p w14:paraId="73A6B050" w14:textId="77777777" w:rsidR="0078178D" w:rsidRPr="00CE448E" w:rsidRDefault="0078178D" w:rsidP="0078178D">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8178D" w:rsidRPr="00CE448E" w14:paraId="652FB89C" w14:textId="77777777" w:rsidTr="00861CF3">
        <w:trPr>
          <w:trHeight w:val="870"/>
        </w:trPr>
        <w:tc>
          <w:tcPr>
            <w:tcW w:w="8647" w:type="dxa"/>
          </w:tcPr>
          <w:p w14:paraId="5CC6ECBD" w14:textId="77777777" w:rsidR="0078178D" w:rsidRPr="005A4A0D" w:rsidRDefault="0078178D" w:rsidP="00861CF3">
            <w:pPr>
              <w:widowControl w:val="0"/>
              <w:numPr>
                <w:ilvl w:val="0"/>
                <w:numId w:val="17"/>
              </w:numPr>
              <w:autoSpaceDE w:val="0"/>
              <w:autoSpaceDN w:val="0"/>
              <w:spacing w:after="120" w:line="276" w:lineRule="auto"/>
              <w:jc w:val="both"/>
              <w:rPr>
                <w:rFonts w:ascii="Verdana" w:eastAsia="Calibri" w:hAnsi="Verdana" w:cs="Arial"/>
              </w:rPr>
            </w:pPr>
            <w:r w:rsidRPr="005A4A0D">
              <w:rPr>
                <w:rFonts w:ascii="Verdana" w:eastAsia="Calibri" w:hAnsi="Verdana" w:cs="Arial"/>
              </w:rPr>
              <w:t>Ley 2022 de 2020</w:t>
            </w:r>
          </w:p>
          <w:p w14:paraId="5674FC47" w14:textId="77777777" w:rsidR="0078178D" w:rsidRPr="005A4A0D" w:rsidRDefault="0078178D" w:rsidP="00861CF3">
            <w:pPr>
              <w:widowControl w:val="0"/>
              <w:numPr>
                <w:ilvl w:val="0"/>
                <w:numId w:val="17"/>
              </w:numPr>
              <w:autoSpaceDE w:val="0"/>
              <w:autoSpaceDN w:val="0"/>
              <w:spacing w:after="120" w:line="276" w:lineRule="auto"/>
              <w:jc w:val="both"/>
              <w:rPr>
                <w:rFonts w:ascii="Verdana" w:eastAsia="Calibri" w:hAnsi="Verdana" w:cs="Arial"/>
              </w:rPr>
            </w:pPr>
            <w:r w:rsidRPr="005A4A0D">
              <w:rPr>
                <w:rFonts w:ascii="Verdana" w:eastAsia="Calibri" w:hAnsi="Verdana" w:cs="Arial"/>
              </w:rPr>
              <w:t xml:space="preserve">Decreto 1082 de 2015, artículo </w:t>
            </w:r>
            <w:r w:rsidRPr="005A4A0D">
              <w:rPr>
                <w:rFonts w:ascii="Verdana" w:eastAsia="Aptos" w:hAnsi="Verdana" w:cs="Arial"/>
                <w:bCs/>
                <w:color w:val="000000"/>
                <w:lang w:eastAsia="es-MX"/>
              </w:rPr>
              <w:t>2.2.15.1.2.</w:t>
            </w:r>
          </w:p>
          <w:p w14:paraId="60FF2607" w14:textId="77777777" w:rsidR="0078178D" w:rsidRPr="008E3C3A" w:rsidRDefault="0078178D" w:rsidP="00861CF3">
            <w:pPr>
              <w:widowControl w:val="0"/>
              <w:numPr>
                <w:ilvl w:val="0"/>
                <w:numId w:val="17"/>
              </w:numPr>
              <w:autoSpaceDE w:val="0"/>
              <w:autoSpaceDN w:val="0"/>
              <w:spacing w:after="120" w:line="276" w:lineRule="auto"/>
              <w:jc w:val="both"/>
              <w:rPr>
                <w:rFonts w:ascii="Verdana" w:eastAsia="Calibri" w:hAnsi="Verdana" w:cs="Arial"/>
              </w:rPr>
            </w:pPr>
            <w:r>
              <w:rPr>
                <w:rFonts w:ascii="Verdana" w:eastAsia="Aptos" w:hAnsi="Verdana" w:cs="Arial"/>
                <w:bCs/>
                <w:color w:val="000000"/>
                <w:lang w:eastAsia="es-MX"/>
              </w:rPr>
              <w:t>Resolución 456 de 2024 expedida por la ANCP-CCE</w:t>
            </w:r>
          </w:p>
          <w:p w14:paraId="3762CC82" w14:textId="77777777" w:rsidR="0078178D" w:rsidRPr="008E3C3A" w:rsidRDefault="0078178D" w:rsidP="00861CF3">
            <w:pPr>
              <w:widowControl w:val="0"/>
              <w:numPr>
                <w:ilvl w:val="0"/>
                <w:numId w:val="17"/>
              </w:numPr>
              <w:autoSpaceDE w:val="0"/>
              <w:autoSpaceDN w:val="0"/>
              <w:spacing w:after="120" w:line="276" w:lineRule="auto"/>
              <w:jc w:val="both"/>
              <w:rPr>
                <w:rFonts w:ascii="Verdana" w:eastAsia="Calibri" w:hAnsi="Verdana" w:cs="Arial"/>
              </w:rPr>
            </w:pPr>
            <w:r>
              <w:rPr>
                <w:rFonts w:ascii="Verdana" w:eastAsia="Aptos" w:hAnsi="Verdana" w:cs="Arial"/>
                <w:bCs/>
                <w:color w:val="000000"/>
                <w:lang w:eastAsia="es-MX"/>
              </w:rPr>
              <w:t>Resolución 463 de 2024 expedida por la ANCP -CCE</w:t>
            </w:r>
          </w:p>
          <w:p w14:paraId="644C7BA1" w14:textId="77777777" w:rsidR="0078178D" w:rsidRPr="00870AF9" w:rsidRDefault="0078178D" w:rsidP="00861CF3">
            <w:pPr>
              <w:widowControl w:val="0"/>
              <w:numPr>
                <w:ilvl w:val="0"/>
                <w:numId w:val="17"/>
              </w:numPr>
              <w:autoSpaceDE w:val="0"/>
              <w:autoSpaceDN w:val="0"/>
              <w:spacing w:after="120" w:line="276" w:lineRule="auto"/>
              <w:jc w:val="both"/>
              <w:rPr>
                <w:rFonts w:ascii="Verdana" w:eastAsia="Calibri" w:hAnsi="Verdana" w:cs="Arial"/>
              </w:rPr>
            </w:pPr>
            <w:r>
              <w:rPr>
                <w:rFonts w:ascii="Verdana" w:eastAsia="Aptos" w:hAnsi="Verdana" w:cs="Arial"/>
                <w:bCs/>
                <w:color w:val="000000"/>
                <w:lang w:eastAsia="es-MX"/>
              </w:rPr>
              <w:t>Resolución 464 de 2024 Expedida por la ANCP -CCE</w:t>
            </w:r>
          </w:p>
        </w:tc>
      </w:tr>
    </w:tbl>
    <w:p w14:paraId="72CA32CD" w14:textId="77777777" w:rsidR="0078178D" w:rsidRPr="00CE448E" w:rsidRDefault="0078178D" w:rsidP="0078178D">
      <w:pPr>
        <w:widowControl w:val="0"/>
        <w:autoSpaceDE w:val="0"/>
        <w:autoSpaceDN w:val="0"/>
        <w:spacing w:after="0" w:line="276" w:lineRule="auto"/>
        <w:jc w:val="both"/>
        <w:rPr>
          <w:rFonts w:ascii="Verdana" w:hAnsi="Verdana" w:cs="Arial"/>
        </w:rPr>
      </w:pPr>
    </w:p>
    <w:p w14:paraId="520BE585" w14:textId="77777777" w:rsidR="0078178D" w:rsidRPr="00CE448E" w:rsidRDefault="0078178D" w:rsidP="0078178D">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CE448E">
        <w:rPr>
          <w:rFonts w:ascii="Verdana" w:eastAsia="Century Gothic" w:hAnsi="Verdana" w:cs="Century Gothic"/>
          <w:b/>
          <w:bCs/>
          <w:lang w:val="es-ES"/>
        </w:rPr>
        <w:t>Doctrina de la Agencia Nacional de Contratación Pública:</w:t>
      </w:r>
    </w:p>
    <w:p w14:paraId="2D7113AE" w14:textId="77777777" w:rsidR="0078178D" w:rsidRPr="00CE448E" w:rsidRDefault="0078178D" w:rsidP="0078178D">
      <w:pPr>
        <w:widowControl w:val="0"/>
        <w:autoSpaceDE w:val="0"/>
        <w:autoSpaceDN w:val="0"/>
        <w:spacing w:after="0" w:line="276" w:lineRule="auto"/>
        <w:jc w:val="both"/>
        <w:rPr>
          <w:rFonts w:ascii="Verdana" w:hAnsi="Verdana" w:cs="Arial"/>
        </w:rPr>
      </w:pPr>
    </w:p>
    <w:p w14:paraId="660CD76B" w14:textId="77777777" w:rsidR="0078178D" w:rsidRPr="00ED0EF6" w:rsidRDefault="0078178D" w:rsidP="0078178D">
      <w:pPr>
        <w:spacing w:after="0" w:line="240" w:lineRule="auto"/>
        <w:jc w:val="both"/>
        <w:rPr>
          <w:rFonts w:ascii="Verdana" w:eastAsia="Calibri" w:hAnsi="Verdana" w:cs="Arial"/>
          <w:shd w:val="clear" w:color="auto" w:fill="FFFFFF"/>
        </w:rPr>
      </w:pPr>
      <w:r w:rsidRPr="00DF5166">
        <w:rPr>
          <w:rFonts w:ascii="Verdana" w:eastAsia="Calibri" w:hAnsi="Verdana" w:cs="Arial"/>
          <w:shd w:val="clear" w:color="auto" w:fill="FFFFFF"/>
          <w:lang w:val="es-ES"/>
        </w:rPr>
        <w:t>Sobre el ámbito de aplicación de los documentos tipo esta Subdirección se ha pronunciado en los conceptos</w:t>
      </w:r>
      <w:r w:rsidRPr="00DF5166">
        <w:rPr>
          <w:rFonts w:ascii="Verdana" w:eastAsia="Calibri" w:hAnsi="Verdana" w:cs="Arial"/>
          <w:shd w:val="clear" w:color="auto" w:fill="FFFFFF"/>
        </w:rPr>
        <w:t xml:space="preserve"> C-448 del 11 de julio de 2022, C-672 del 27 de diciembre de 2021, C-018 del 22 de febrero de 2022, C-130 del 22 de marzo de 2022, C- 006 del 07 de marzo de 2022, C-159 del 5 de abril de 2022, C-200 del 18 de abril de 2022, C-417 del 30 de junio de 2022, C-430 del 30 de junio de 2022, C-678 del 18 de octubre de 2022, C-765 del 11 de noviembre de 2022, </w:t>
      </w:r>
      <w:r w:rsidRPr="00DF5166">
        <w:rPr>
          <w:rFonts w:ascii="Verdana" w:eastAsia="Calibri" w:hAnsi="Verdana" w:cs="Arial"/>
          <w:shd w:val="clear" w:color="auto" w:fill="FFFFFF"/>
        </w:rPr>
        <w:lastRenderedPageBreak/>
        <w:t>C-809 del 12 de diciembre de 2022, C-848 del 09 de diciembre de 2022</w:t>
      </w:r>
      <w:r>
        <w:rPr>
          <w:rFonts w:ascii="Verdana" w:eastAsia="Calibri" w:hAnsi="Verdana" w:cs="Arial"/>
          <w:shd w:val="clear" w:color="auto" w:fill="FFFFFF"/>
        </w:rPr>
        <w:t>,</w:t>
      </w:r>
      <w:r w:rsidRPr="00DF5166">
        <w:rPr>
          <w:rFonts w:ascii="Verdana" w:eastAsia="Calibri" w:hAnsi="Verdana" w:cs="Arial"/>
          <w:shd w:val="clear" w:color="auto" w:fill="FFFFFF"/>
        </w:rPr>
        <w:t xml:space="preserve"> C-053 del 28 de marzo  de</w:t>
      </w:r>
      <w:r w:rsidRPr="00DF5166">
        <w:rPr>
          <w:rFonts w:ascii="Verdana" w:eastAsia="Calibri" w:hAnsi="Verdana" w:cs="Arial"/>
          <w:shd w:val="clear" w:color="auto" w:fill="FFFFFF"/>
          <w:lang w:val="es-ES_tradnl"/>
        </w:rPr>
        <w:t xml:space="preserve"> 20</w:t>
      </w:r>
      <w:r>
        <w:rPr>
          <w:rFonts w:ascii="Verdana" w:eastAsia="Calibri" w:hAnsi="Verdana" w:cs="Arial"/>
          <w:shd w:val="clear" w:color="auto" w:fill="FFFFFF"/>
          <w:lang w:val="es-ES_tradnl"/>
        </w:rPr>
        <w:t>23 y C – 161 del 16 de julio de 2024</w:t>
      </w:r>
      <w:r>
        <w:rPr>
          <w:rStyle w:val="Refdenotaalpie"/>
          <w:rFonts w:ascii="Verdana" w:eastAsia="Calibri" w:hAnsi="Verdana" w:cs="Arial"/>
          <w:shd w:val="clear" w:color="auto" w:fill="FFFFFF"/>
          <w:lang w:val="es-ES_tradnl"/>
        </w:rPr>
        <w:footnoteReference w:id="2"/>
      </w:r>
      <w:r>
        <w:rPr>
          <w:rFonts w:ascii="Verdana" w:eastAsia="Calibri" w:hAnsi="Verdana" w:cs="Arial"/>
          <w:shd w:val="clear" w:color="auto" w:fill="FFFFFF"/>
          <w:lang w:val="es-ES_tradnl"/>
        </w:rPr>
        <w:t xml:space="preserve">. </w:t>
      </w:r>
      <w:r w:rsidRPr="00ED0EF6">
        <w:rPr>
          <w:rFonts w:ascii="Verdana" w:eastAsia="Calibri" w:hAnsi="Verdana" w:cs="Arial"/>
          <w:shd w:val="clear" w:color="auto" w:fill="FFFFFF"/>
          <w:lang w:val="es-ES_tradnl"/>
        </w:rPr>
        <w:t>Algunas de las consideraciones de estos conceptos se reiteran y se complementan en lo pertinente, teniendo en cuenta lo consultado.</w:t>
      </w:r>
      <w:r w:rsidRPr="00ED0EF6">
        <w:rPr>
          <w:rFonts w:ascii="Verdana" w:eastAsia="Calibri" w:hAnsi="Verdana" w:cs="Arial"/>
          <w:shd w:val="clear" w:color="auto" w:fill="FFFFFF"/>
          <w:lang w:val="es-ES"/>
        </w:rPr>
        <w:t xml:space="preserve"> Es</w:t>
      </w:r>
      <w:r w:rsidRPr="00ED0EF6">
        <w:rPr>
          <w:rFonts w:ascii="Verdana" w:eastAsia="Calibri" w:hAnsi="Verdana" w:cs="Arial"/>
          <w:shd w:val="clear" w:color="auto" w:fill="FFFFFF"/>
        </w:rPr>
        <w:t>tos y otros conceptos se encuentran disponibles para consulta en el Sistema de relatoría de la Agencia, al cual se puede acceder a través del siguiente enlace:</w:t>
      </w:r>
      <w:r>
        <w:rPr>
          <w:rFonts w:ascii="Verdana" w:eastAsia="Calibri" w:hAnsi="Verdana" w:cs="Arial"/>
          <w:shd w:val="clear" w:color="auto" w:fill="FFFFFF"/>
        </w:rPr>
        <w:t xml:space="preserve"> </w:t>
      </w:r>
      <w:hyperlink r:id="rId11" w:history="1">
        <w:r w:rsidRPr="00ED0EF6">
          <w:rPr>
            <w:rStyle w:val="Hipervnculo"/>
            <w:rFonts w:ascii="Verdana" w:eastAsia="Calibri" w:hAnsi="Verdana" w:cs="Arial"/>
            <w:shd w:val="clear" w:color="auto" w:fill="FFFFFF"/>
            <w:lang w:val="es-ES"/>
          </w:rPr>
          <w:t>https://relatoria.colombiacompra.gov.co/busqueda/conceptos</w:t>
        </w:r>
      </w:hyperlink>
      <w:r>
        <w:rPr>
          <w:rFonts w:ascii="Verdana" w:eastAsia="Calibri" w:hAnsi="Verdana" w:cs="Arial"/>
          <w:shd w:val="clear" w:color="auto" w:fill="FFFFFF"/>
        </w:rPr>
        <w:t>.</w:t>
      </w:r>
    </w:p>
    <w:p w14:paraId="15B12294" w14:textId="77777777" w:rsidR="0078178D" w:rsidRDefault="0078178D" w:rsidP="0078178D">
      <w:pPr>
        <w:spacing w:after="0" w:line="240" w:lineRule="auto"/>
        <w:jc w:val="both"/>
        <w:rPr>
          <w:rFonts w:ascii="Verdana" w:eastAsia="Calibri" w:hAnsi="Verdana" w:cs="Arial"/>
          <w:shd w:val="clear" w:color="auto" w:fill="FFFFFF"/>
          <w:lang w:val="es-ES_tradnl"/>
        </w:rPr>
      </w:pPr>
    </w:p>
    <w:p w14:paraId="47884129" w14:textId="77777777" w:rsidR="0078178D" w:rsidRDefault="0078178D" w:rsidP="0078178D">
      <w:pPr>
        <w:spacing w:after="0" w:line="240" w:lineRule="auto"/>
        <w:jc w:val="both"/>
        <w:rPr>
          <w:rFonts w:ascii="Verdana" w:eastAsia="Calibri" w:hAnsi="Verdana" w:cs="Arial"/>
          <w:shd w:val="clear" w:color="auto" w:fill="FFFFFF"/>
          <w:lang w:val="es-ES_tradnl"/>
        </w:rPr>
      </w:pPr>
    </w:p>
    <w:p w14:paraId="54125ACC" w14:textId="3D652FCE" w:rsidR="000E4C64" w:rsidRDefault="000E4C64" w:rsidP="000E4C64">
      <w:pPr>
        <w:spacing w:after="0" w:line="240" w:lineRule="auto"/>
        <w:jc w:val="both"/>
        <w:rPr>
          <w:rFonts w:ascii="Verdana" w:hAnsi="Verdana" w:cs="Arial"/>
          <w:color w:val="000000" w:themeColor="text1"/>
          <w:shd w:val="clear" w:color="auto" w:fill="FFFFFF"/>
        </w:rPr>
      </w:pPr>
      <w:r w:rsidRPr="000E4C64">
        <w:rPr>
          <w:rFonts w:ascii="Verdana" w:hAnsi="Verdana" w:cs="Arial"/>
          <w:color w:val="000000" w:themeColor="text1"/>
          <w:shd w:val="clear" w:color="auto" w:fill="FFFFFF"/>
        </w:rPr>
        <w:t>Le informamos que ya se encuentran publicados los borradores de las nuevas versiones de los Documentos Tipo de Interventoría y Consultoría de Infraestructura de Transporte. Conoce todos los detalles y realiza tus comentarios hasta el 10 de noviembre de 2024 en los siguientes enlaces: </w:t>
      </w:r>
      <w:hyperlink r:id="rId12" w:tgtFrame="_blank" w:tooltip="Dirección URL original: https://www.colombiacompra.gov.co/content/borrador-de-documentos-tipo-de-consultoria-de-obra-publica-de-infraestructura-de-transporte. Haga clic o pulse si confía en este vínculo." w:history="1">
        <w:r w:rsidRPr="000E4C64">
          <w:rPr>
            <w:rStyle w:val="Hipervnculo"/>
            <w:rFonts w:ascii="Verdana" w:hAnsi="Verdana" w:cs="Arial"/>
            <w:shd w:val="clear" w:color="auto" w:fill="FFFFFF"/>
          </w:rPr>
          <w:t>https://www.colombiacompra.gov.co/content/borrador-de-documentos-tipo-de-consultoria-de-obra-publica-de-infraestructura-de-transporte</w:t>
        </w:r>
      </w:hyperlink>
      <w:r w:rsidRPr="000E4C64">
        <w:rPr>
          <w:rFonts w:ascii="Verdana" w:hAnsi="Verdana" w:cs="Arial"/>
          <w:color w:val="000000" w:themeColor="text1"/>
          <w:shd w:val="clear" w:color="auto" w:fill="FFFFFF"/>
        </w:rPr>
        <w:t> y </w:t>
      </w:r>
      <w:hyperlink r:id="rId13" w:tgtFrame="_blank" w:tooltip="Dirección URL original: https://www.colombiacompra.gov.co/content/borrador-de-documentos-tipo-de-interventoria-de-obra-publica-de-infraestructura-de. Haga clic o pulse si confía en este vínculo." w:history="1">
        <w:r w:rsidRPr="000E4C64">
          <w:rPr>
            <w:rStyle w:val="Hipervnculo"/>
            <w:rFonts w:ascii="Verdana" w:hAnsi="Verdana" w:cs="Arial"/>
            <w:shd w:val="clear" w:color="auto" w:fill="FFFFFF"/>
          </w:rPr>
          <w:t>https://www.colombiacompra.gov.co/content/borrador-de-documentos-tipo-de-interventoria-de-obra-publica-de-infraestructura-de</w:t>
        </w:r>
      </w:hyperlink>
      <w:r w:rsidRPr="000E4C64">
        <w:rPr>
          <w:rFonts w:ascii="Verdana" w:hAnsi="Verdana" w:cs="Arial"/>
          <w:color w:val="000000" w:themeColor="text1"/>
          <w:shd w:val="clear" w:color="auto" w:fill="FFFFFF"/>
        </w:rPr>
        <w:t> .</w:t>
      </w:r>
    </w:p>
    <w:p w14:paraId="6F8368C5" w14:textId="77777777" w:rsidR="000E4C64" w:rsidRPr="000E4C64" w:rsidRDefault="000E4C64" w:rsidP="000E4C64">
      <w:pPr>
        <w:spacing w:after="0" w:line="240" w:lineRule="auto"/>
        <w:jc w:val="both"/>
        <w:rPr>
          <w:rFonts w:ascii="Verdana" w:hAnsi="Verdana" w:cs="Arial"/>
          <w:color w:val="000000" w:themeColor="text1"/>
          <w:shd w:val="clear" w:color="auto" w:fill="FFFFFF"/>
        </w:rPr>
      </w:pPr>
    </w:p>
    <w:p w14:paraId="5F32352D" w14:textId="77777777" w:rsidR="000E4C64" w:rsidRDefault="000E4C64" w:rsidP="000E4C64">
      <w:pPr>
        <w:spacing w:after="0" w:line="240" w:lineRule="auto"/>
        <w:jc w:val="both"/>
        <w:rPr>
          <w:rFonts w:ascii="Verdana" w:hAnsi="Verdana" w:cs="Arial"/>
          <w:color w:val="000000" w:themeColor="text1"/>
          <w:shd w:val="clear" w:color="auto" w:fill="FFFFFF"/>
        </w:rPr>
      </w:pPr>
      <w:r w:rsidRPr="000E4C64">
        <w:rPr>
          <w:rFonts w:ascii="Verdana" w:hAnsi="Verdana" w:cs="Arial"/>
          <w:color w:val="000000" w:themeColor="text1"/>
          <w:shd w:val="clear" w:color="auto" w:fill="FFFFFF"/>
        </w:rPr>
        <w:t>De otra parte, te contamos que ya publicamos el borrador de la nueva Guía de Contratación Pública Sostenible y Socialmente Responsable. Conoce el documento y realiza tus comentarios hasta el 14 de noviembre de 2024 a través del siguiente enlace: </w:t>
      </w:r>
      <w:hyperlink r:id="rId14" w:tgtFrame="_blank" w:tooltip="Dirección URL original: https://www.sucop.gov.co/entidades/colombiacompra/Normativa?IDNorma=18320. Haga clic o pulse si confía en este vínculo." w:history="1">
        <w:r w:rsidRPr="000E4C64">
          <w:rPr>
            <w:rStyle w:val="Hipervnculo"/>
            <w:rFonts w:ascii="Verdana" w:hAnsi="Verdana" w:cs="Arial"/>
            <w:shd w:val="clear" w:color="auto" w:fill="FFFFFF"/>
          </w:rPr>
          <w:t>https://www.sucop.gov.co/entidades/colombiacompra/Normativa?IDNorma=18320</w:t>
        </w:r>
      </w:hyperlink>
      <w:r w:rsidRPr="000E4C64">
        <w:rPr>
          <w:rFonts w:ascii="Verdana" w:hAnsi="Verdana" w:cs="Arial"/>
          <w:color w:val="000000" w:themeColor="text1"/>
          <w:shd w:val="clear" w:color="auto" w:fill="FFFFFF"/>
        </w:rPr>
        <w:t>  </w:t>
      </w:r>
    </w:p>
    <w:p w14:paraId="22CA6698" w14:textId="77777777" w:rsidR="006F2DD2" w:rsidRPr="000E4C64" w:rsidRDefault="006F2DD2" w:rsidP="000E4C64">
      <w:pPr>
        <w:spacing w:after="0" w:line="240" w:lineRule="auto"/>
        <w:jc w:val="both"/>
        <w:rPr>
          <w:rFonts w:ascii="Verdana" w:hAnsi="Verdana" w:cs="Arial"/>
          <w:color w:val="000000" w:themeColor="text1"/>
          <w:shd w:val="clear" w:color="auto" w:fill="FFFFFF"/>
        </w:rPr>
      </w:pPr>
    </w:p>
    <w:p w14:paraId="242EDCDC" w14:textId="77777777" w:rsidR="000E4C64" w:rsidRPr="000E4C64" w:rsidRDefault="000E4C64" w:rsidP="000E4C64">
      <w:pPr>
        <w:spacing w:after="0" w:line="240" w:lineRule="auto"/>
        <w:jc w:val="both"/>
        <w:rPr>
          <w:rFonts w:ascii="Verdana" w:hAnsi="Verdana" w:cs="Arial"/>
          <w:color w:val="000000" w:themeColor="text1"/>
          <w:shd w:val="clear" w:color="auto" w:fill="FFFFFF"/>
        </w:rPr>
      </w:pPr>
      <w:r w:rsidRPr="000E4C64">
        <w:rPr>
          <w:rFonts w:ascii="Verdana" w:hAnsi="Verdana" w:cs="Arial"/>
          <w:color w:val="000000" w:themeColor="text1"/>
          <w:shd w:val="clear" w:color="auto" w:fill="FFFFFF"/>
        </w:rPr>
        <w:t xml:space="preserve">También le invitamos a consultar las versiones V y VI de 2024 del Boletín de Relatoría de la Subdirección de Gestión Contractual relacionados con las guías de Plan Anual de Adquisiciones y la </w:t>
      </w:r>
      <w:proofErr w:type="spellStart"/>
      <w:r w:rsidRPr="000E4C64">
        <w:rPr>
          <w:rFonts w:ascii="Verdana" w:hAnsi="Verdana" w:cs="Arial"/>
          <w:color w:val="000000" w:themeColor="text1"/>
          <w:shd w:val="clear" w:color="auto" w:fill="FFFFFF"/>
        </w:rPr>
        <w:t>odalidad</w:t>
      </w:r>
      <w:proofErr w:type="spellEnd"/>
      <w:r w:rsidRPr="000E4C64">
        <w:rPr>
          <w:rFonts w:ascii="Verdana" w:hAnsi="Verdana" w:cs="Arial"/>
          <w:color w:val="000000" w:themeColor="text1"/>
          <w:shd w:val="clear" w:color="auto" w:fill="FFFFFF"/>
        </w:rPr>
        <w:t xml:space="preserve"> de selección de mínima cuantía , los cuales se pueden descargar en la página web de la Agencia: </w:t>
      </w:r>
      <w:hyperlink r:id="rId15" w:tgtFrame="_blank" w:tooltip="Dirección URL original: https://www.colombiacompra.gov.co/sala-de-prensa/boletin-digital. Haga clic o pulse si confía en este vínculo." w:history="1">
        <w:r w:rsidRPr="000E4C64">
          <w:rPr>
            <w:rStyle w:val="Hipervnculo"/>
            <w:rFonts w:ascii="Verdana" w:hAnsi="Verdana" w:cs="Arial"/>
            <w:shd w:val="clear" w:color="auto" w:fill="FFFFFF"/>
          </w:rPr>
          <w:t>https://www.colombiacompra.gov.co/sala-de-prensa/boletin-digital</w:t>
        </w:r>
      </w:hyperlink>
      <w:r w:rsidRPr="000E4C64">
        <w:rPr>
          <w:rFonts w:ascii="Verdana" w:hAnsi="Verdana" w:cs="Arial"/>
          <w:color w:val="000000" w:themeColor="text1"/>
          <w:shd w:val="clear" w:color="auto" w:fill="FFFFFF"/>
        </w:rPr>
        <w:t> "    </w:t>
      </w:r>
    </w:p>
    <w:p w14:paraId="048483EB" w14:textId="77777777" w:rsidR="0078178D" w:rsidRDefault="0078178D" w:rsidP="0078178D">
      <w:pPr>
        <w:spacing w:after="0" w:line="240" w:lineRule="auto"/>
        <w:jc w:val="both"/>
        <w:rPr>
          <w:rFonts w:ascii="Verdana" w:hAnsi="Verdana" w:cs="Arial"/>
          <w:color w:val="000000" w:themeColor="text1"/>
          <w:shd w:val="clear" w:color="auto" w:fill="FFFFFF"/>
        </w:rPr>
      </w:pPr>
    </w:p>
    <w:p w14:paraId="5A82CE6C" w14:textId="77777777" w:rsidR="000E4C64" w:rsidRDefault="000E4C64" w:rsidP="0078178D">
      <w:pPr>
        <w:spacing w:after="0" w:line="240" w:lineRule="auto"/>
        <w:jc w:val="both"/>
        <w:rPr>
          <w:rFonts w:ascii="Verdana" w:hAnsi="Verdana" w:cs="Arial"/>
          <w:color w:val="000000" w:themeColor="text1"/>
          <w:shd w:val="clear" w:color="auto" w:fill="FFFFFF"/>
        </w:rPr>
      </w:pPr>
    </w:p>
    <w:p w14:paraId="193A27E3" w14:textId="77777777" w:rsidR="000E4C64" w:rsidRPr="00CE448E" w:rsidRDefault="000E4C64" w:rsidP="0078178D">
      <w:pPr>
        <w:spacing w:after="0" w:line="240" w:lineRule="auto"/>
        <w:jc w:val="both"/>
        <w:rPr>
          <w:rFonts w:ascii="Verdana" w:hAnsi="Verdana"/>
        </w:rPr>
      </w:pPr>
    </w:p>
    <w:p w14:paraId="6AC593D4" w14:textId="77777777" w:rsidR="0078178D" w:rsidRPr="00CE448E" w:rsidRDefault="0078178D" w:rsidP="0078178D">
      <w:pPr>
        <w:spacing w:after="0" w:line="240" w:lineRule="auto"/>
        <w:jc w:val="both"/>
        <w:rPr>
          <w:rFonts w:ascii="Verdana" w:hAnsi="Verdana"/>
        </w:rPr>
      </w:pPr>
      <w:r w:rsidRPr="00CE448E">
        <w:rPr>
          <w:rFonts w:ascii="Verdana" w:hAnsi="Verdana"/>
        </w:rPr>
        <w:t xml:space="preserve">Twitter: </w:t>
      </w:r>
      <w:r w:rsidRPr="00CE448E">
        <w:rPr>
          <w:rFonts w:ascii="Verdana" w:hAnsi="Verdana"/>
          <w:color w:val="4472C4" w:themeColor="accent1"/>
          <w:u w:val="single"/>
        </w:rPr>
        <w:t>@colombiacompra</w:t>
      </w:r>
      <w:r w:rsidRPr="00CE448E">
        <w:rPr>
          <w:rFonts w:ascii="Verdana" w:hAnsi="Verdana"/>
          <w:color w:val="4472C4" w:themeColor="accent1"/>
        </w:rPr>
        <w:t xml:space="preserve"> </w:t>
      </w:r>
    </w:p>
    <w:p w14:paraId="38C51477" w14:textId="77777777" w:rsidR="0078178D" w:rsidRPr="00CE448E" w:rsidRDefault="0078178D" w:rsidP="0078178D">
      <w:pPr>
        <w:spacing w:after="0" w:line="240" w:lineRule="auto"/>
        <w:jc w:val="both"/>
        <w:rPr>
          <w:rFonts w:ascii="Verdana" w:hAnsi="Verdana"/>
        </w:rPr>
      </w:pPr>
      <w:r w:rsidRPr="00CE448E">
        <w:rPr>
          <w:rFonts w:ascii="Verdana" w:hAnsi="Verdana"/>
        </w:rPr>
        <w:t xml:space="preserve">Facebook: </w:t>
      </w:r>
      <w:proofErr w:type="spellStart"/>
      <w:r w:rsidRPr="00CE448E">
        <w:rPr>
          <w:rFonts w:ascii="Verdana" w:hAnsi="Verdana"/>
          <w:color w:val="4472C4" w:themeColor="accent1"/>
          <w:u w:val="single"/>
        </w:rPr>
        <w:t>ColombiaCompraEficiente</w:t>
      </w:r>
      <w:proofErr w:type="spellEnd"/>
    </w:p>
    <w:p w14:paraId="7BAEFB29" w14:textId="77777777" w:rsidR="0078178D" w:rsidRPr="00CE448E" w:rsidRDefault="0078178D" w:rsidP="0078178D">
      <w:pPr>
        <w:spacing w:after="0" w:line="240" w:lineRule="auto"/>
        <w:jc w:val="both"/>
        <w:rPr>
          <w:rFonts w:ascii="Verdana" w:hAnsi="Verdana"/>
        </w:rPr>
      </w:pPr>
      <w:r w:rsidRPr="00CE448E">
        <w:rPr>
          <w:rFonts w:ascii="Verdana" w:hAnsi="Verdana"/>
        </w:rPr>
        <w:t xml:space="preserve">LinkedIn: </w:t>
      </w:r>
      <w:r w:rsidRPr="00CE448E">
        <w:rPr>
          <w:rFonts w:ascii="Verdana" w:hAnsi="Verdana"/>
          <w:color w:val="4472C4" w:themeColor="accent1"/>
          <w:u w:val="single"/>
        </w:rPr>
        <w:t>Agencia Nacional de Contratación Pública - Colombia Compra Eficiente</w:t>
      </w:r>
      <w:r w:rsidRPr="00CE448E">
        <w:rPr>
          <w:rFonts w:ascii="Verdana" w:hAnsi="Verdana"/>
          <w:color w:val="4472C4" w:themeColor="accent1"/>
        </w:rPr>
        <w:t xml:space="preserve"> </w:t>
      </w:r>
      <w:r w:rsidRPr="00CE448E">
        <w:rPr>
          <w:rFonts w:ascii="Verdana" w:hAnsi="Verdana"/>
        </w:rPr>
        <w:t xml:space="preserve">Instagram: </w:t>
      </w:r>
      <w:r w:rsidRPr="00CE448E">
        <w:rPr>
          <w:rFonts w:ascii="Verdana" w:hAnsi="Verdana"/>
          <w:color w:val="4472C4" w:themeColor="accent1"/>
          <w:u w:val="single"/>
        </w:rPr>
        <w:t>@colombiacompraeficiente_cce</w:t>
      </w:r>
    </w:p>
    <w:p w14:paraId="02E63D3F" w14:textId="77777777" w:rsidR="0078178D" w:rsidRPr="00CE448E" w:rsidRDefault="0078178D" w:rsidP="0078178D">
      <w:pPr>
        <w:widowControl w:val="0"/>
        <w:autoSpaceDE w:val="0"/>
        <w:autoSpaceDN w:val="0"/>
        <w:spacing w:after="0" w:line="276" w:lineRule="auto"/>
        <w:jc w:val="both"/>
        <w:rPr>
          <w:rFonts w:ascii="Verdana" w:hAnsi="Verdana" w:cs="Arial"/>
        </w:rPr>
      </w:pPr>
    </w:p>
    <w:p w14:paraId="55C85C59" w14:textId="77777777" w:rsidR="0078178D" w:rsidRPr="00CE448E" w:rsidRDefault="0078178D" w:rsidP="0078178D">
      <w:pPr>
        <w:widowControl w:val="0"/>
        <w:autoSpaceDE w:val="0"/>
        <w:autoSpaceDN w:val="0"/>
        <w:spacing w:after="0" w:line="276" w:lineRule="auto"/>
        <w:jc w:val="both"/>
        <w:rPr>
          <w:rFonts w:ascii="Verdana" w:hAnsi="Verdana" w:cs="Arial"/>
          <w:lang w:val="es-ES_tradnl"/>
        </w:rPr>
      </w:pPr>
      <w:r w:rsidRPr="00CE448E">
        <w:rPr>
          <w:rFonts w:ascii="Verdana" w:hAnsi="Verdana" w:cs="Arial"/>
        </w:rPr>
        <w:t xml:space="preserve">Este concepto tiene el alcance previsto en el artículo 28 del Código de </w:t>
      </w:r>
      <w:r w:rsidRPr="00CE448E">
        <w:rPr>
          <w:rFonts w:ascii="Verdana" w:hAnsi="Verdana" w:cs="Arial"/>
        </w:rPr>
        <w:lastRenderedPageBreak/>
        <w:t xml:space="preserve">Procedimiento Administrativo y de lo Contencioso Administrativo </w:t>
      </w:r>
      <w:r w:rsidRPr="00CE448E">
        <w:rPr>
          <w:rFonts w:ascii="Verdana" w:hAnsi="Verdana" w:cs="Arial"/>
          <w:lang w:val="es-ES_tradnl"/>
        </w:rPr>
        <w:t>y las expresiones aquí utilizadas con mayúscula inicial deben ser entendidas con el significado que les otorga el artículo 2.2.1.1.1.3.1. del Decreto 1082 de 2015.</w:t>
      </w:r>
    </w:p>
    <w:p w14:paraId="028BA099" w14:textId="77777777" w:rsidR="0078178D" w:rsidRPr="00CE448E" w:rsidRDefault="0078178D" w:rsidP="0078178D">
      <w:pPr>
        <w:widowControl w:val="0"/>
        <w:autoSpaceDE w:val="0"/>
        <w:autoSpaceDN w:val="0"/>
        <w:spacing w:after="0" w:line="276" w:lineRule="auto"/>
        <w:jc w:val="both"/>
        <w:rPr>
          <w:rFonts w:ascii="Verdana" w:hAnsi="Verdana" w:cs="Arial"/>
        </w:rPr>
      </w:pPr>
    </w:p>
    <w:p w14:paraId="419CC507" w14:textId="77777777" w:rsidR="0078178D" w:rsidRDefault="0078178D" w:rsidP="0078178D">
      <w:pPr>
        <w:spacing w:after="0" w:line="240" w:lineRule="auto"/>
        <w:rPr>
          <w:rFonts w:ascii="Verdana" w:hAnsi="Verdana" w:cs="Arial"/>
          <w:lang w:eastAsia="es-CO"/>
        </w:rPr>
      </w:pPr>
      <w:r w:rsidRPr="00CE448E">
        <w:rPr>
          <w:rFonts w:ascii="Verdana" w:eastAsia="Times New Roman" w:hAnsi="Verdana" w:cs="Arial"/>
          <w:lang w:eastAsia="es-CO"/>
        </w:rPr>
        <w:t>Atentamente,</w:t>
      </w:r>
      <w:r w:rsidRPr="00CE448E">
        <w:rPr>
          <w:rFonts w:ascii="Verdana" w:hAnsi="Verdana" w:cs="Arial"/>
          <w:lang w:eastAsia="es-CO"/>
        </w:rPr>
        <w:t xml:space="preserve"> </w:t>
      </w:r>
    </w:p>
    <w:p w14:paraId="6CDCF338" w14:textId="77777777" w:rsidR="00CE2188" w:rsidRDefault="00CE2188" w:rsidP="0078178D">
      <w:pPr>
        <w:spacing w:after="0" w:line="240" w:lineRule="auto"/>
        <w:rPr>
          <w:rFonts w:ascii="Verdana" w:hAnsi="Verdana" w:cs="Arial"/>
          <w:lang w:eastAsia="es-CO"/>
        </w:rPr>
      </w:pPr>
    </w:p>
    <w:p w14:paraId="27791FEB" w14:textId="77777777" w:rsidR="00CE2188" w:rsidRPr="00CE448E" w:rsidRDefault="00CE2188" w:rsidP="0078178D">
      <w:pPr>
        <w:spacing w:after="0" w:line="240" w:lineRule="auto"/>
        <w:rPr>
          <w:rFonts w:ascii="Verdana" w:hAnsi="Verdana" w:cs="Arial"/>
          <w:lang w:eastAsia="es-CO"/>
        </w:rPr>
      </w:pPr>
    </w:p>
    <w:p w14:paraId="363F8745" w14:textId="4607B1D9" w:rsidR="0078178D" w:rsidRPr="00CE448E" w:rsidRDefault="00CE2188" w:rsidP="0078178D">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6D96DF35" wp14:editId="4FFDE76B">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8178D" w:rsidRPr="00CE448E" w14:paraId="66C66D94" w14:textId="77777777" w:rsidTr="00861CF3">
        <w:trPr>
          <w:trHeight w:val="315"/>
        </w:trPr>
        <w:tc>
          <w:tcPr>
            <w:tcW w:w="893" w:type="dxa"/>
            <w:vAlign w:val="center"/>
            <w:hideMark/>
          </w:tcPr>
          <w:p w14:paraId="3E3537DC" w14:textId="77777777" w:rsidR="0078178D" w:rsidRPr="00CE448E" w:rsidRDefault="0078178D" w:rsidP="00861CF3">
            <w:pPr>
              <w:contextualSpacing/>
              <w:rPr>
                <w:rFonts w:ascii="Verdana" w:hAnsi="Verdana" w:cs="Arial"/>
                <w:sz w:val="16"/>
                <w:szCs w:val="16"/>
                <w:lang w:val="es-ES" w:eastAsia="es-ES"/>
              </w:rPr>
            </w:pPr>
            <w:r w:rsidRPr="00CE448E">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AACCBF0" w14:textId="77777777" w:rsidR="0078178D" w:rsidRPr="00CE448E" w:rsidRDefault="0078178D" w:rsidP="00861CF3">
            <w:pPr>
              <w:contextualSpacing/>
            </w:pPr>
            <w:r w:rsidRPr="00244FB8">
              <w:rPr>
                <w:rFonts w:ascii="Verdana" w:eastAsia="Times New Roman" w:hAnsi="Verdana" w:cs="Arial"/>
                <w:sz w:val="16"/>
                <w:szCs w:val="16"/>
                <w:lang w:val="es-ES" w:eastAsia="es-ES_tradnl"/>
              </w:rPr>
              <w:t>Héctor</w:t>
            </w:r>
            <w:r w:rsidRPr="00CE448E">
              <w:rPr>
                <w:rFonts w:ascii="Verdana" w:hAnsi="Verdana"/>
                <w:sz w:val="16"/>
                <w:szCs w:val="16"/>
              </w:rPr>
              <w:t xml:space="preserve"> Luis Quiñones </w:t>
            </w:r>
            <w:proofErr w:type="spellStart"/>
            <w:r w:rsidRPr="00CE448E">
              <w:rPr>
                <w:rFonts w:ascii="Verdana" w:hAnsi="Verdana"/>
                <w:sz w:val="16"/>
                <w:szCs w:val="16"/>
              </w:rPr>
              <w:t>Quiñones</w:t>
            </w:r>
            <w:proofErr w:type="spellEnd"/>
            <w:r w:rsidRPr="00CE448E">
              <w:rPr>
                <w:rFonts w:ascii="Verdana" w:hAnsi="Verdana"/>
                <w:sz w:val="16"/>
                <w:szCs w:val="16"/>
              </w:rPr>
              <w:t xml:space="preserve"> </w:t>
            </w:r>
          </w:p>
          <w:p w14:paraId="721887EE" w14:textId="77777777" w:rsidR="0078178D" w:rsidRDefault="0078178D" w:rsidP="00861CF3">
            <w:pPr>
              <w:contextualSpacing/>
              <w:rPr>
                <w:rFonts w:ascii="Verdana" w:eastAsia="Arial" w:hAnsi="Verdana" w:cs="Arial"/>
                <w:sz w:val="16"/>
                <w:szCs w:val="16"/>
              </w:rPr>
            </w:pPr>
            <w:r w:rsidRPr="00CE448E">
              <w:rPr>
                <w:rFonts w:ascii="Verdana" w:eastAsia="Arial" w:hAnsi="Verdana" w:cs="Arial"/>
                <w:sz w:val="16"/>
                <w:szCs w:val="16"/>
              </w:rPr>
              <w:t>Analista T2 – 02 de la Subdirección de Gestión Contractual</w:t>
            </w:r>
          </w:p>
          <w:p w14:paraId="3223BC2F" w14:textId="77777777" w:rsidR="0078178D" w:rsidRDefault="0078178D" w:rsidP="00861CF3">
            <w:pPr>
              <w:contextualSpacing/>
              <w:rPr>
                <w:rFonts w:ascii="Verdana" w:eastAsia="Arial" w:hAnsi="Verdana" w:cs="Arial"/>
                <w:sz w:val="16"/>
                <w:szCs w:val="16"/>
              </w:rPr>
            </w:pPr>
            <w:r>
              <w:rPr>
                <w:rFonts w:ascii="Verdana" w:eastAsia="Arial" w:hAnsi="Verdana" w:cs="Arial"/>
                <w:sz w:val="16"/>
                <w:szCs w:val="16"/>
              </w:rPr>
              <w:t xml:space="preserve">Alejandro Gamboa Cárdenas </w:t>
            </w:r>
          </w:p>
          <w:p w14:paraId="1FF72155" w14:textId="77777777" w:rsidR="0078178D" w:rsidRPr="00CE448E" w:rsidRDefault="0078178D" w:rsidP="00861CF3">
            <w:pPr>
              <w:contextualSpacing/>
              <w:rPr>
                <w:rFonts w:ascii="Verdana" w:eastAsia="Arial" w:hAnsi="Verdana" w:cs="Arial"/>
                <w:sz w:val="16"/>
                <w:szCs w:val="16"/>
              </w:rPr>
            </w:pPr>
            <w:r>
              <w:rPr>
                <w:rFonts w:ascii="Verdana" w:eastAsia="Arial" w:hAnsi="Verdana" w:cs="Arial"/>
                <w:sz w:val="16"/>
                <w:szCs w:val="16"/>
              </w:rPr>
              <w:t xml:space="preserve">Contratista de la Subdirección de Gestión Contractual </w:t>
            </w:r>
          </w:p>
        </w:tc>
      </w:tr>
      <w:tr w:rsidR="0078178D" w:rsidRPr="00CE448E" w14:paraId="5315B919" w14:textId="77777777" w:rsidTr="00861CF3">
        <w:trPr>
          <w:trHeight w:val="330"/>
        </w:trPr>
        <w:tc>
          <w:tcPr>
            <w:tcW w:w="893" w:type="dxa"/>
            <w:vAlign w:val="center"/>
            <w:hideMark/>
          </w:tcPr>
          <w:p w14:paraId="6566AD57" w14:textId="77777777" w:rsidR="0078178D" w:rsidRPr="00CE448E" w:rsidRDefault="0078178D" w:rsidP="00861CF3">
            <w:pPr>
              <w:contextualSpacing/>
              <w:rPr>
                <w:rFonts w:ascii="Verdana" w:hAnsi="Verdana" w:cs="Arial"/>
                <w:sz w:val="16"/>
                <w:szCs w:val="16"/>
                <w:lang w:val="es-ES" w:eastAsia="es-ES"/>
              </w:rPr>
            </w:pPr>
            <w:r w:rsidRPr="00CE448E">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F14D5FF" w14:textId="77777777" w:rsidR="0078178D" w:rsidRPr="00CE448E" w:rsidRDefault="0078178D" w:rsidP="00861CF3">
            <w:pPr>
              <w:contextualSpacing/>
              <w:textAlignment w:val="baseline"/>
              <w:rPr>
                <w:rFonts w:ascii="Verdana" w:eastAsia="Times New Roman" w:hAnsi="Verdana" w:cs="Arial"/>
                <w:sz w:val="16"/>
                <w:szCs w:val="16"/>
                <w:lang w:val="es-ES" w:eastAsia="es-ES_tradnl"/>
              </w:rPr>
            </w:pPr>
            <w:r w:rsidRPr="00CE448E">
              <w:rPr>
                <w:rFonts w:ascii="Verdana" w:eastAsia="Times New Roman" w:hAnsi="Verdana" w:cs="Arial"/>
                <w:sz w:val="16"/>
                <w:szCs w:val="16"/>
                <w:lang w:val="es-ES" w:eastAsia="es-ES_tradnl"/>
              </w:rPr>
              <w:t>Juan David Cárdenas</w:t>
            </w:r>
            <w:r>
              <w:rPr>
                <w:rFonts w:ascii="Verdana" w:eastAsia="Times New Roman" w:hAnsi="Verdana" w:cs="Arial"/>
                <w:sz w:val="16"/>
                <w:szCs w:val="16"/>
                <w:lang w:val="es-ES" w:eastAsia="es-ES_tradnl"/>
              </w:rPr>
              <w:t xml:space="preserve"> Cabeza</w:t>
            </w:r>
          </w:p>
          <w:p w14:paraId="4D6266FC" w14:textId="77777777" w:rsidR="0078178D" w:rsidRPr="00CE448E" w:rsidRDefault="0078178D" w:rsidP="00861CF3">
            <w:pPr>
              <w:contextualSpacing/>
              <w:textAlignment w:val="baseline"/>
              <w:rPr>
                <w:rFonts w:ascii="Verdana" w:eastAsia="Times New Roman" w:hAnsi="Verdana" w:cs="Segoe UI"/>
                <w:sz w:val="16"/>
                <w:szCs w:val="16"/>
                <w:lang w:eastAsia="es-ES_tradnl"/>
              </w:rPr>
            </w:pPr>
            <w:r w:rsidRPr="00CE448E">
              <w:rPr>
                <w:rFonts w:ascii="Verdana" w:eastAsia="Times New Roman" w:hAnsi="Verdana" w:cs="Arial"/>
                <w:sz w:val="16"/>
                <w:szCs w:val="16"/>
                <w:lang w:val="es-ES" w:eastAsia="es-ES_tradnl"/>
              </w:rPr>
              <w:t>Contratista de la Subdirección de Gestión Contractual</w:t>
            </w:r>
            <w:r w:rsidRPr="00CE448E">
              <w:rPr>
                <w:rFonts w:ascii="Verdana" w:eastAsia="Times New Roman" w:hAnsi="Verdana" w:cs="Arial"/>
                <w:sz w:val="16"/>
                <w:szCs w:val="16"/>
                <w:lang w:eastAsia="es-ES_tradnl"/>
              </w:rPr>
              <w:t> </w:t>
            </w:r>
          </w:p>
        </w:tc>
      </w:tr>
      <w:tr w:rsidR="0078178D" w:rsidRPr="00CE448E" w14:paraId="4FD4040C" w14:textId="77777777" w:rsidTr="00861CF3">
        <w:trPr>
          <w:trHeight w:val="300"/>
        </w:trPr>
        <w:tc>
          <w:tcPr>
            <w:tcW w:w="893" w:type="dxa"/>
            <w:vAlign w:val="center"/>
          </w:tcPr>
          <w:p w14:paraId="036ACEF9" w14:textId="77777777" w:rsidR="0078178D" w:rsidRPr="00CE448E" w:rsidRDefault="0078178D" w:rsidP="00861CF3">
            <w:pPr>
              <w:contextualSpacing/>
              <w:rPr>
                <w:rFonts w:ascii="Verdana" w:hAnsi="Verdana" w:cs="Arial"/>
                <w:sz w:val="16"/>
                <w:szCs w:val="16"/>
                <w:lang w:val="es-ES" w:eastAsia="es-ES"/>
              </w:rPr>
            </w:pPr>
            <w:r w:rsidRPr="00CE448E">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392E699" w14:textId="77777777" w:rsidR="0078178D" w:rsidRPr="00CE448E" w:rsidRDefault="0078178D" w:rsidP="00861CF3">
            <w:pPr>
              <w:contextualSpacing/>
              <w:rPr>
                <w:rFonts w:ascii="Verdana" w:eastAsia="Calibri" w:hAnsi="Verdana" w:cs="Arial"/>
                <w:sz w:val="16"/>
                <w:szCs w:val="16"/>
                <w:lang w:val="pt-BR" w:eastAsia="es-ES"/>
              </w:rPr>
            </w:pPr>
            <w:r w:rsidRPr="00CE448E">
              <w:rPr>
                <w:rFonts w:ascii="Verdana" w:eastAsia="Calibri" w:hAnsi="Verdana" w:cs="Arial"/>
                <w:sz w:val="16"/>
                <w:szCs w:val="16"/>
                <w:lang w:val="pt-BR" w:eastAsia="es-ES"/>
              </w:rPr>
              <w:t xml:space="preserve">Carolina Quintero </w:t>
            </w:r>
            <w:proofErr w:type="spellStart"/>
            <w:r w:rsidRPr="00CE448E">
              <w:rPr>
                <w:rFonts w:ascii="Verdana" w:eastAsia="Calibri" w:hAnsi="Verdana" w:cs="Arial"/>
                <w:sz w:val="16"/>
                <w:szCs w:val="16"/>
                <w:lang w:val="pt-BR" w:eastAsia="es-ES"/>
              </w:rPr>
              <w:t>Gacharná</w:t>
            </w:r>
            <w:proofErr w:type="spellEnd"/>
          </w:p>
          <w:p w14:paraId="25A541A4" w14:textId="77777777" w:rsidR="0078178D" w:rsidRPr="00CE448E" w:rsidRDefault="0078178D" w:rsidP="00861CF3">
            <w:pPr>
              <w:contextualSpacing/>
              <w:rPr>
                <w:rFonts w:ascii="Verdana" w:eastAsia="Calibri" w:hAnsi="Verdana" w:cs="Arial"/>
                <w:sz w:val="16"/>
                <w:szCs w:val="16"/>
                <w:lang w:val="pt-BR" w:eastAsia="es-ES"/>
              </w:rPr>
            </w:pPr>
            <w:r w:rsidRPr="00CE448E">
              <w:rPr>
                <w:rFonts w:ascii="Verdana" w:eastAsia="Calibri" w:hAnsi="Verdana" w:cs="Arial"/>
                <w:sz w:val="16"/>
                <w:szCs w:val="16"/>
                <w:lang w:eastAsia="es-ES"/>
              </w:rPr>
              <w:t>Subdirectora</w:t>
            </w:r>
            <w:r w:rsidRPr="00CE448E">
              <w:rPr>
                <w:rFonts w:ascii="Verdana" w:eastAsia="Calibri" w:hAnsi="Verdana" w:cs="Arial"/>
                <w:sz w:val="16"/>
                <w:szCs w:val="16"/>
                <w:lang w:val="pt-BR" w:eastAsia="es-ES"/>
              </w:rPr>
              <w:t xml:space="preserve"> de Gestión </w:t>
            </w:r>
            <w:proofErr w:type="spellStart"/>
            <w:r w:rsidRPr="00CE448E">
              <w:rPr>
                <w:rFonts w:ascii="Verdana" w:eastAsia="Calibri" w:hAnsi="Verdana" w:cs="Arial"/>
                <w:sz w:val="16"/>
                <w:szCs w:val="16"/>
                <w:lang w:val="pt-BR" w:eastAsia="es-ES"/>
              </w:rPr>
              <w:t>Contractual</w:t>
            </w:r>
            <w:proofErr w:type="spellEnd"/>
            <w:r w:rsidRPr="00CE448E">
              <w:rPr>
                <w:rFonts w:ascii="Verdana" w:eastAsia="Calibri" w:hAnsi="Verdana" w:cs="Arial"/>
                <w:sz w:val="16"/>
                <w:szCs w:val="16"/>
                <w:lang w:val="pt-BR" w:eastAsia="es-ES"/>
              </w:rPr>
              <w:t xml:space="preserve"> ANCP – CCE</w:t>
            </w:r>
          </w:p>
        </w:tc>
      </w:tr>
    </w:tbl>
    <w:p w14:paraId="13AC278A" w14:textId="77777777" w:rsidR="0078178D" w:rsidRPr="00CE448E" w:rsidRDefault="0078178D" w:rsidP="0078178D">
      <w:pPr>
        <w:spacing w:after="0" w:line="240" w:lineRule="auto"/>
        <w:rPr>
          <w:rFonts w:ascii="Verdana" w:eastAsia="Times New Roman" w:hAnsi="Verdana" w:cs="Arial"/>
          <w:sz w:val="24"/>
          <w:szCs w:val="24"/>
          <w:lang w:eastAsia="es-ES"/>
        </w:rPr>
      </w:pPr>
    </w:p>
    <w:p w14:paraId="4E75912E" w14:textId="77777777" w:rsidR="0078178D" w:rsidRPr="00CE448E" w:rsidRDefault="0078178D" w:rsidP="0078178D"/>
    <w:p w14:paraId="0F4F6675" w14:textId="77777777" w:rsidR="0078178D" w:rsidRPr="0044528D" w:rsidRDefault="0078178D" w:rsidP="0078178D">
      <w:pPr>
        <w:spacing w:after="0"/>
        <w:rPr>
          <w:rFonts w:ascii="Verdana" w:hAnsi="Verdana"/>
        </w:rPr>
      </w:pPr>
    </w:p>
    <w:p w14:paraId="741A5AB0" w14:textId="77777777" w:rsidR="0078178D" w:rsidRPr="0044528D" w:rsidRDefault="0078178D" w:rsidP="0078178D">
      <w:pPr>
        <w:spacing w:after="0"/>
        <w:rPr>
          <w:rFonts w:ascii="Verdana" w:hAnsi="Verdana"/>
        </w:rPr>
      </w:pPr>
    </w:p>
    <w:p w14:paraId="0F293BF4" w14:textId="7BBFAB11" w:rsidR="00127233" w:rsidRPr="000B2E0B" w:rsidRDefault="00127233" w:rsidP="000B2E0B"/>
    <w:sectPr w:rsidR="00127233" w:rsidRPr="000B2E0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66A11B" w14:textId="77777777" w:rsidR="003A26D1" w:rsidRDefault="003A26D1" w:rsidP="004A1847">
      <w:pPr>
        <w:spacing w:after="0" w:line="240" w:lineRule="auto"/>
      </w:pPr>
      <w:r>
        <w:separator/>
      </w:r>
    </w:p>
  </w:endnote>
  <w:endnote w:type="continuationSeparator" w:id="0">
    <w:p w14:paraId="42937030" w14:textId="77777777" w:rsidR="003A26D1" w:rsidRDefault="003A26D1" w:rsidP="004A1847">
      <w:pPr>
        <w:spacing w:after="0" w:line="240" w:lineRule="auto"/>
      </w:pPr>
      <w:r>
        <w:continuationSeparator/>
      </w:r>
    </w:p>
  </w:endnote>
  <w:endnote w:type="continuationNotice" w:id="1">
    <w:p w14:paraId="3D6690FC" w14:textId="77777777" w:rsidR="00117866" w:rsidRDefault="001178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1C9057" w14:textId="77777777" w:rsidR="003A26D1" w:rsidRDefault="003A26D1" w:rsidP="004A1847">
      <w:pPr>
        <w:spacing w:after="0" w:line="240" w:lineRule="auto"/>
      </w:pPr>
      <w:r>
        <w:separator/>
      </w:r>
    </w:p>
  </w:footnote>
  <w:footnote w:type="continuationSeparator" w:id="0">
    <w:p w14:paraId="3B13E127" w14:textId="77777777" w:rsidR="003A26D1" w:rsidRDefault="003A26D1" w:rsidP="004A1847">
      <w:pPr>
        <w:spacing w:after="0" w:line="240" w:lineRule="auto"/>
      </w:pPr>
      <w:r>
        <w:continuationSeparator/>
      </w:r>
    </w:p>
  </w:footnote>
  <w:footnote w:type="continuationNotice" w:id="1">
    <w:p w14:paraId="40253187" w14:textId="77777777" w:rsidR="00117866" w:rsidRDefault="00117866">
      <w:pPr>
        <w:spacing w:after="0" w:line="240" w:lineRule="auto"/>
      </w:pPr>
    </w:p>
  </w:footnote>
  <w:footnote w:id="2">
    <w:p w14:paraId="41DA8297" w14:textId="77777777" w:rsidR="0078178D" w:rsidRPr="00A2142D" w:rsidRDefault="0078178D" w:rsidP="0078178D">
      <w:pPr>
        <w:pStyle w:val="Textonotapie"/>
        <w:rPr>
          <w:lang w:val="es-CO"/>
        </w:rPr>
      </w:pPr>
      <w:r>
        <w:rPr>
          <w:rStyle w:val="Refdenotaalpie"/>
        </w:rPr>
        <w:footnoteRef/>
      </w:r>
      <w:r>
        <w:t xml:space="preserve"> </w:t>
      </w:r>
      <w:r w:rsidRPr="00A2142D">
        <w:rPr>
          <w:rFonts w:ascii="Verdana" w:hAnsi="Verdana"/>
          <w:sz w:val="16"/>
          <w:szCs w:val="16"/>
          <w:lang w:val="es-ES_tradnl"/>
        </w:rPr>
        <w:t>Los conceptos referenciados, así como otros expedidos por la Subdirección se encuentran disponibles para consulta pública en el portal de relatoría de la Agencia, al cual se puede acceder a través del siguiente enlace:</w:t>
      </w:r>
      <w:r w:rsidRPr="00A2142D">
        <w:rPr>
          <w:lang w:val="es-ES_tradnl"/>
        </w:rPr>
        <w:t xml:space="preserve"> </w:t>
      </w:r>
      <w:hyperlink r:id="rId1" w:history="1">
        <w:r w:rsidRPr="00472F75">
          <w:rPr>
            <w:rStyle w:val="Hipervnculo"/>
            <w:lang w:val="es-ES_tradnl"/>
          </w:rPr>
          <w:t>https://relatoria.colombiacompra.gov.co/busqueda/conceptos</w:t>
        </w:r>
      </w:hyperlink>
      <w:r w:rsidRPr="00A2142D">
        <w:rPr>
          <w:lang w:val="es-ES_tradnl"/>
        </w:rPr>
        <w:t>.</w:t>
      </w:r>
      <w:r>
        <w:rPr>
          <w:lang w:val="es-ES_tradnl"/>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E7401D9"/>
    <w:multiLevelType w:val="hybridMultilevel"/>
    <w:tmpl w:val="43509FBC"/>
    <w:lvl w:ilvl="0" w:tplc="B86E0954">
      <w:numFmt w:val="bullet"/>
      <w:lvlText w:val=""/>
      <w:lvlJc w:val="left"/>
      <w:pPr>
        <w:ind w:left="1080" w:hanging="360"/>
      </w:pPr>
      <w:rPr>
        <w:rFonts w:ascii="Symbol" w:eastAsia="Calibri" w:hAnsi="Symbo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8710705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51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A683E"/>
    <w:rsid w:val="000B19B9"/>
    <w:rsid w:val="000B2E0B"/>
    <w:rsid w:val="000D0334"/>
    <w:rsid w:val="000E4C64"/>
    <w:rsid w:val="000F6486"/>
    <w:rsid w:val="00117866"/>
    <w:rsid w:val="00125105"/>
    <w:rsid w:val="00127233"/>
    <w:rsid w:val="00176B29"/>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963DF"/>
    <w:rsid w:val="003A26D1"/>
    <w:rsid w:val="003A779E"/>
    <w:rsid w:val="003D0F4D"/>
    <w:rsid w:val="003D5B0D"/>
    <w:rsid w:val="003E0499"/>
    <w:rsid w:val="003F3941"/>
    <w:rsid w:val="00406575"/>
    <w:rsid w:val="0042722E"/>
    <w:rsid w:val="0044528D"/>
    <w:rsid w:val="004A1847"/>
    <w:rsid w:val="004A305D"/>
    <w:rsid w:val="004F21C4"/>
    <w:rsid w:val="004F685F"/>
    <w:rsid w:val="005566E8"/>
    <w:rsid w:val="00574867"/>
    <w:rsid w:val="00591460"/>
    <w:rsid w:val="00592628"/>
    <w:rsid w:val="005C3777"/>
    <w:rsid w:val="005C5CDC"/>
    <w:rsid w:val="005D476C"/>
    <w:rsid w:val="00610812"/>
    <w:rsid w:val="006219F8"/>
    <w:rsid w:val="00650FF7"/>
    <w:rsid w:val="00665D70"/>
    <w:rsid w:val="00671DAC"/>
    <w:rsid w:val="006900D9"/>
    <w:rsid w:val="006A3343"/>
    <w:rsid w:val="006D12F8"/>
    <w:rsid w:val="006F2DD2"/>
    <w:rsid w:val="00706C16"/>
    <w:rsid w:val="00756841"/>
    <w:rsid w:val="007649AB"/>
    <w:rsid w:val="00771D0C"/>
    <w:rsid w:val="0078178D"/>
    <w:rsid w:val="007833AC"/>
    <w:rsid w:val="007B268C"/>
    <w:rsid w:val="007B7171"/>
    <w:rsid w:val="007C0C0F"/>
    <w:rsid w:val="007C3DC2"/>
    <w:rsid w:val="007E5497"/>
    <w:rsid w:val="00806F5F"/>
    <w:rsid w:val="00820278"/>
    <w:rsid w:val="008843B6"/>
    <w:rsid w:val="00891928"/>
    <w:rsid w:val="008A446D"/>
    <w:rsid w:val="008B0E65"/>
    <w:rsid w:val="008D180B"/>
    <w:rsid w:val="008F0EA7"/>
    <w:rsid w:val="00923EEF"/>
    <w:rsid w:val="009419F9"/>
    <w:rsid w:val="0095685E"/>
    <w:rsid w:val="00961B09"/>
    <w:rsid w:val="00965334"/>
    <w:rsid w:val="0097093E"/>
    <w:rsid w:val="009A0DFA"/>
    <w:rsid w:val="009B2D26"/>
    <w:rsid w:val="009C71FA"/>
    <w:rsid w:val="009C72E7"/>
    <w:rsid w:val="009D3058"/>
    <w:rsid w:val="009D707F"/>
    <w:rsid w:val="009F3A13"/>
    <w:rsid w:val="00A122D3"/>
    <w:rsid w:val="00A17F13"/>
    <w:rsid w:val="00A20739"/>
    <w:rsid w:val="00A33C78"/>
    <w:rsid w:val="00A47B81"/>
    <w:rsid w:val="00AB0ADB"/>
    <w:rsid w:val="00AE7A9A"/>
    <w:rsid w:val="00B01B1A"/>
    <w:rsid w:val="00B72CD3"/>
    <w:rsid w:val="00B72FFF"/>
    <w:rsid w:val="00BC3D36"/>
    <w:rsid w:val="00BD7F72"/>
    <w:rsid w:val="00BF2FDE"/>
    <w:rsid w:val="00C04FB3"/>
    <w:rsid w:val="00C330EB"/>
    <w:rsid w:val="00C51C74"/>
    <w:rsid w:val="00C754BE"/>
    <w:rsid w:val="00C76B1C"/>
    <w:rsid w:val="00CA429B"/>
    <w:rsid w:val="00CB6357"/>
    <w:rsid w:val="00CC1B26"/>
    <w:rsid w:val="00CD5EBC"/>
    <w:rsid w:val="00CE2188"/>
    <w:rsid w:val="00D05509"/>
    <w:rsid w:val="00D423A2"/>
    <w:rsid w:val="00D520D8"/>
    <w:rsid w:val="00D63AC2"/>
    <w:rsid w:val="00D7383B"/>
    <w:rsid w:val="00DA231B"/>
    <w:rsid w:val="00DA23A0"/>
    <w:rsid w:val="00DC39FC"/>
    <w:rsid w:val="00DF5254"/>
    <w:rsid w:val="00E16408"/>
    <w:rsid w:val="00E20894"/>
    <w:rsid w:val="00E245AB"/>
    <w:rsid w:val="00E2764C"/>
    <w:rsid w:val="00E27F2E"/>
    <w:rsid w:val="00E413EA"/>
    <w:rsid w:val="00E50AFE"/>
    <w:rsid w:val="00E621AB"/>
    <w:rsid w:val="00E75C92"/>
    <w:rsid w:val="00E771DC"/>
    <w:rsid w:val="00E8772A"/>
    <w:rsid w:val="00E90F6B"/>
    <w:rsid w:val="00E92C27"/>
    <w:rsid w:val="00EA0E3D"/>
    <w:rsid w:val="00EC38A7"/>
    <w:rsid w:val="00EE1AA8"/>
    <w:rsid w:val="00F05921"/>
    <w:rsid w:val="00F31EDC"/>
    <w:rsid w:val="00F462B3"/>
    <w:rsid w:val="00F5664F"/>
    <w:rsid w:val="00F666C4"/>
    <w:rsid w:val="00F76AFC"/>
    <w:rsid w:val="00F831E4"/>
    <w:rsid w:val="00FA47C0"/>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8178D"/>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71940246">
      <w:bodyDiv w:val="1"/>
      <w:marLeft w:val="0"/>
      <w:marRight w:val="0"/>
      <w:marTop w:val="0"/>
      <w:marBottom w:val="0"/>
      <w:divBdr>
        <w:top w:val="none" w:sz="0" w:space="0" w:color="auto"/>
        <w:left w:val="none" w:sz="0" w:space="0" w:color="auto"/>
        <w:bottom w:val="none" w:sz="0" w:space="0" w:color="auto"/>
        <w:right w:val="none" w:sz="0" w:space="0" w:color="auto"/>
      </w:divBdr>
      <w:divsChild>
        <w:div w:id="218437808">
          <w:marLeft w:val="0"/>
          <w:marRight w:val="0"/>
          <w:marTop w:val="0"/>
          <w:marBottom w:val="160"/>
          <w:divBdr>
            <w:top w:val="none" w:sz="0" w:space="0" w:color="auto"/>
            <w:left w:val="none" w:sz="0" w:space="0" w:color="auto"/>
            <w:bottom w:val="none" w:sz="0" w:space="0" w:color="auto"/>
            <w:right w:val="none" w:sz="0" w:space="0" w:color="auto"/>
          </w:divBdr>
        </w:div>
        <w:div w:id="641033775">
          <w:marLeft w:val="0"/>
          <w:marRight w:val="0"/>
          <w:marTop w:val="0"/>
          <w:marBottom w:val="160"/>
          <w:divBdr>
            <w:top w:val="none" w:sz="0" w:space="0" w:color="auto"/>
            <w:left w:val="none" w:sz="0" w:space="0" w:color="auto"/>
            <w:bottom w:val="none" w:sz="0" w:space="0" w:color="auto"/>
            <w:right w:val="none" w:sz="0" w:space="0" w:color="auto"/>
          </w:divBdr>
        </w:div>
        <w:div w:id="977496729">
          <w:marLeft w:val="0"/>
          <w:marRight w:val="0"/>
          <w:marTop w:val="0"/>
          <w:marBottom w:val="160"/>
          <w:divBdr>
            <w:top w:val="none" w:sz="0" w:space="0" w:color="auto"/>
            <w:left w:val="none" w:sz="0" w:space="0" w:color="auto"/>
            <w:bottom w:val="none" w:sz="0" w:space="0" w:color="auto"/>
            <w:right w:val="none" w:sz="0" w:space="0" w:color="auto"/>
          </w:divBdr>
        </w:div>
      </w:divsChild>
    </w:div>
    <w:div w:id="429399411">
      <w:bodyDiv w:val="1"/>
      <w:marLeft w:val="0"/>
      <w:marRight w:val="0"/>
      <w:marTop w:val="0"/>
      <w:marBottom w:val="0"/>
      <w:divBdr>
        <w:top w:val="none" w:sz="0" w:space="0" w:color="auto"/>
        <w:left w:val="none" w:sz="0" w:space="0" w:color="auto"/>
        <w:bottom w:val="none" w:sz="0" w:space="0" w:color="auto"/>
        <w:right w:val="none" w:sz="0" w:space="0" w:color="auto"/>
      </w:divBdr>
      <w:divsChild>
        <w:div w:id="1737776523">
          <w:marLeft w:val="0"/>
          <w:marRight w:val="0"/>
          <w:marTop w:val="0"/>
          <w:marBottom w:val="160"/>
          <w:divBdr>
            <w:top w:val="none" w:sz="0" w:space="0" w:color="auto"/>
            <w:left w:val="none" w:sz="0" w:space="0" w:color="auto"/>
            <w:bottom w:val="none" w:sz="0" w:space="0" w:color="auto"/>
            <w:right w:val="none" w:sz="0" w:space="0" w:color="auto"/>
          </w:divBdr>
        </w:div>
        <w:div w:id="902065252">
          <w:marLeft w:val="0"/>
          <w:marRight w:val="0"/>
          <w:marTop w:val="0"/>
          <w:marBottom w:val="160"/>
          <w:divBdr>
            <w:top w:val="none" w:sz="0" w:space="0" w:color="auto"/>
            <w:left w:val="none" w:sz="0" w:space="0" w:color="auto"/>
            <w:bottom w:val="none" w:sz="0" w:space="0" w:color="auto"/>
            <w:right w:val="none" w:sz="0" w:space="0" w:color="auto"/>
          </w:divBdr>
        </w:div>
        <w:div w:id="1437948087">
          <w:marLeft w:val="0"/>
          <w:marRight w:val="0"/>
          <w:marTop w:val="0"/>
          <w:marBottom w:val="16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content%2Fborrador-de-documentos-tipo-de-interventoria-de-obra-publica-de-infraestructura-de&amp;data=05%7C02%7Chector.quinones%40colombiacompra.gov.co%7C096eca3fdcca424ff1c708dcf932f947%7C7b09041e245149d08cb179d5e3d8c1be%7C0%7C0%7C638659244554767653%7CUnknown%7CTWFpbGZsb3d8eyJWIjoiMC4wLjAwMDAiLCJQIjoiV2luMzIiLCJBTiI6Ik1haWwiLCJXVCI6Mn0%3D%7C0%7C%7C%7C&amp;sdata=IjXjYaBieY2j1Bt8prg5jDI%2FxFDLmnXNdyfimL%2F8opg%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content%2Fborrador-de-documentos-tipo-de-consultoria-de-obra-publica-de-infraestructura-de-transporte&amp;data=05%7C02%7Chector.quinones%40colombiacompra.gov.co%7C096eca3fdcca424ff1c708dcf932f947%7C7b09041e245149d08cb179d5e3d8c1be%7C0%7C0%7C638659244554738334%7CUnknown%7CTWFpbGZsb3d8eyJWIjoiMC4wLjAwMDAiLCJQIjoiV2luMzIiLCJBTiI6Ik1haWwiLCJXVCI6Mn0%3D%7C0%7C%7C%7C&amp;sdata=oqT%2BF0HoZO22HOEX15kIcGH7qNr%2BgciHrbuQhGLwdKI%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sala-de-prensa%2Fboletin-digital&amp;data=05%7C02%7Chector.quinones%40colombiacompra.gov.co%7C096eca3fdcca424ff1c708dcf932f947%7C7b09041e245149d08cb179d5e3d8c1be%7C0%7C0%7C638659244554802639%7CUnknown%7CTWFpbGZsb3d8eyJWIjoiMC4wLjAwMDAiLCJQIjoiV2luMzIiLCJBTiI6Ik1haWwiLCJXVCI6Mn0%3D%7C0%7C%7C%7C&amp;sdata=P2pc0Aur8caHp0nMKSgb1ZkIi3TDdEAFgd4fFLrq6WA%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sucop.gov.co%2Fentidades%2Fcolombiacompra%2FNormativa%3FIDNorma%3D18320&amp;data=05%7C02%7Chector.quinones%40colombiacompra.gov.co%7C096eca3fdcca424ff1c708dcf932f947%7C7b09041e245149d08cb179d5e3d8c1be%7C0%7C0%7C638659244554784298%7CUnknown%7CTWFpbGZsb3d8eyJWIjoiMC4wLjAwMDAiLCJQIjoiV2luMzIiLCJBTiI6Ik1haWwiLCJXVCI6Mn0%3D%7C0%7C%7C%7C&amp;sdata=bWkm%2BjrP8Ysa8n2J4ZTfP1sPtMlX%2BHYh776y14uCsY0%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D68F430-2B74-4597-BE4C-80951FD4DA17}"/>
</file>

<file path=customXml/itemProps2.xml><?xml version="1.0" encoding="utf-8"?>
<ds:datastoreItem xmlns:ds="http://schemas.openxmlformats.org/officeDocument/2006/customXml" ds:itemID="{163618BE-28CB-4D69-955E-CDA788483BED}">
  <ds:schemaRefs>
    <ds:schemaRef ds:uri="http://schemas.microsoft.com/office/2006/documentManagement/types"/>
    <ds:schemaRef ds:uri="http://schemas.microsoft.com/office/2006/metadata/properties"/>
    <ds:schemaRef ds:uri="8ae15d26-076e-464e-81a7-6f76a0fb3917"/>
    <ds:schemaRef ds:uri="http://schemas.microsoft.com/office/infopath/2007/PartnerControls"/>
    <ds:schemaRef ds:uri="http://schemas.openxmlformats.org/package/2006/metadata/core-properties"/>
    <ds:schemaRef ds:uri="http://www.w3.org/XML/1998/namespace"/>
    <ds:schemaRef ds:uri="http://purl.org/dc/elements/1.1/"/>
    <ds:schemaRef ds:uri="36c82cfe-0eda-494d-b392-a9281b89aaf0"/>
    <ds:schemaRef ds:uri="http://purl.org/dc/dcmitype/"/>
    <ds:schemaRef ds:uri="http://purl.org/dc/term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2403</Words>
  <Characters>13219</Characters>
  <Application>Microsoft Office Word</Application>
  <DocSecurity>0</DocSecurity>
  <Lines>110</Lines>
  <Paragraphs>31</Paragraphs>
  <ScaleCrop>false</ScaleCrop>
  <Company/>
  <LinksUpToDate>false</LinksUpToDate>
  <CharactersWithSpaces>15591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Hector Luis Quiñones Quiñones</cp:lastModifiedBy>
  <cp:revision>4</cp:revision>
  <cp:lastPrinted>2023-01-10T21:18:00Z</cp:lastPrinted>
  <dcterms:created xsi:type="dcterms:W3CDTF">2024-11-07T21:00:00Z</dcterms:created>
  <dcterms:modified xsi:type="dcterms:W3CDTF">2024-11-18T15:12:00Z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