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86950F" w14:textId="77777777" w:rsidR="00542E61" w:rsidRPr="00542E61" w:rsidRDefault="00542E61" w:rsidP="00542E61">
      <w:pPr>
        <w:spacing w:after="0" w:line="240" w:lineRule="auto"/>
        <w:jc w:val="both"/>
        <w:rPr>
          <w:rFonts w:ascii="Verdana" w:eastAsia="Geomanist Light" w:hAnsi="Verdana" w:cs="Arial"/>
          <w:b/>
          <w:bCs/>
          <w:color w:val="000000"/>
          <w:lang w:val="es-ES"/>
        </w:rPr>
      </w:pPr>
      <w:r w:rsidRPr="00542E61">
        <w:rPr>
          <w:rFonts w:ascii="Verdana" w:eastAsia="Geomanist Light" w:hAnsi="Verdana" w:cs="Arial"/>
          <w:b/>
          <w:bCs/>
          <w:color w:val="000000"/>
          <w:lang w:val="es-ES"/>
        </w:rPr>
        <w:t>SECOP I y II – Principio de Publicidad y Transparencia</w:t>
      </w:r>
    </w:p>
    <w:p w14:paraId="74111EB6" w14:textId="77777777" w:rsidR="00542E61" w:rsidRPr="00542E61" w:rsidRDefault="00542E61" w:rsidP="00542E61">
      <w:pPr>
        <w:spacing w:after="0" w:line="240" w:lineRule="auto"/>
        <w:jc w:val="both"/>
        <w:rPr>
          <w:rFonts w:ascii="Verdana" w:eastAsia="Geomanist Light" w:hAnsi="Verdana" w:cs="Arial"/>
          <w:color w:val="000000"/>
          <w:lang w:val="es-ES"/>
        </w:rPr>
      </w:pPr>
    </w:p>
    <w:p w14:paraId="4FD42A25" w14:textId="77777777" w:rsidR="00542E61" w:rsidRDefault="00542E61" w:rsidP="00542E61">
      <w:pPr>
        <w:spacing w:after="0" w:line="240" w:lineRule="auto"/>
        <w:jc w:val="both"/>
        <w:rPr>
          <w:rFonts w:ascii="Verdana" w:eastAsia="Geomanist Light" w:hAnsi="Verdana" w:cs="Arial"/>
          <w:color w:val="000000"/>
        </w:rPr>
      </w:pPr>
      <w:r w:rsidRPr="00542E61">
        <w:rPr>
          <w:rFonts w:ascii="Verdana" w:eastAsia="Geomanist Light" w:hAnsi="Verdana" w:cs="Arial"/>
          <w:color w:val="000000"/>
        </w:rPr>
        <w:t xml:space="preserve">[…] </w:t>
      </w:r>
      <w:r w:rsidRPr="00542E61">
        <w:rPr>
          <w:rFonts w:ascii="Verdana" w:eastAsia="Geomanist Light" w:hAnsi="Verdana" w:cs="Arial"/>
          <w:color w:val="000000"/>
          <w:lang w:val="es-ES"/>
        </w:rPr>
        <w:t xml:space="preserve">Aunque no existe norma expresa que indique la necesidad de adelantar una audiencia pública para la apertura de sobres dentro del proceso de selección abreviada de mínima cuantía, debe cumplirse la Circular Externa Única proferida por la Agencia Nacional de Contratación Pública – Colombia Compra Eficiente. Esta indica que aquellos procesos que se adelanten mediante publicación en SECOP I requieren que la apertura de ofertas se realice en presencia de proponentes o veedores y la elaboración de un acta de cierre, mientras que los procesos adelantados en el SECOP II no requieren de dicha asistencia, pues la publicación de la lista de oferentes hace las veces de acta de cierre. Así mismo debe tenerse en cuenta que en la actualidad, por regla general, los procesos contractuales deben adelantarse en el SECOP II y, al tramitarse por esta plataforma, se podrá prescindir de la audiencia pública de selección. </w:t>
      </w:r>
      <w:r w:rsidRPr="00542E61">
        <w:rPr>
          <w:rFonts w:ascii="Verdana" w:eastAsia="Geomanist Light" w:hAnsi="Verdana" w:cs="Arial"/>
          <w:color w:val="000000"/>
        </w:rPr>
        <w:t>[…]</w:t>
      </w:r>
    </w:p>
    <w:p w14:paraId="09A558D7" w14:textId="77777777" w:rsidR="00542E61" w:rsidRDefault="00542E61" w:rsidP="00542E61">
      <w:pPr>
        <w:spacing w:after="0" w:line="240" w:lineRule="auto"/>
        <w:jc w:val="both"/>
        <w:rPr>
          <w:rFonts w:ascii="Verdana" w:eastAsia="Geomanist Light" w:hAnsi="Verdana" w:cs="Arial"/>
          <w:color w:val="000000"/>
        </w:rPr>
      </w:pPr>
    </w:p>
    <w:p w14:paraId="723D5B81" w14:textId="77777777" w:rsidR="00542E61" w:rsidRPr="00542E61" w:rsidRDefault="00542E61" w:rsidP="00542E61">
      <w:pPr>
        <w:spacing w:after="0" w:line="240" w:lineRule="auto"/>
        <w:jc w:val="both"/>
        <w:rPr>
          <w:rFonts w:ascii="Verdana" w:eastAsia="Geomanist Light" w:hAnsi="Verdana" w:cs="Arial"/>
          <w:color w:val="000000"/>
          <w:lang w:val="es-ES"/>
        </w:rPr>
      </w:pPr>
    </w:p>
    <w:p w14:paraId="6BD5BF15" w14:textId="77777777" w:rsidR="00542E61" w:rsidRDefault="00542E61" w:rsidP="00973512">
      <w:pPr>
        <w:spacing w:after="0" w:line="240" w:lineRule="auto"/>
        <w:rPr>
          <w:rFonts w:ascii="Verdana" w:eastAsia="Geomanist Light" w:hAnsi="Verdana" w:cs="Arial"/>
          <w:color w:val="000000"/>
          <w:lang w:val="es-MX"/>
        </w:rPr>
      </w:pPr>
    </w:p>
    <w:p w14:paraId="4A5F0A24" w14:textId="77777777" w:rsidR="00542E61" w:rsidRDefault="00542E61" w:rsidP="00973512">
      <w:pPr>
        <w:spacing w:after="0" w:line="240" w:lineRule="auto"/>
        <w:rPr>
          <w:rFonts w:ascii="Verdana" w:eastAsia="Geomanist Light" w:hAnsi="Verdana" w:cs="Arial"/>
          <w:color w:val="000000"/>
          <w:lang w:val="es-MX"/>
        </w:rPr>
      </w:pPr>
    </w:p>
    <w:p w14:paraId="29A9AFB2" w14:textId="77777777" w:rsidR="00542E61" w:rsidRDefault="00542E61" w:rsidP="00973512">
      <w:pPr>
        <w:spacing w:after="0" w:line="240" w:lineRule="auto"/>
        <w:rPr>
          <w:rFonts w:ascii="Verdana" w:eastAsia="Geomanist Light" w:hAnsi="Verdana" w:cs="Arial"/>
          <w:color w:val="000000"/>
          <w:lang w:val="es-MX"/>
        </w:rPr>
      </w:pPr>
    </w:p>
    <w:p w14:paraId="625D4C16" w14:textId="77777777" w:rsidR="00542E61" w:rsidRDefault="00542E61" w:rsidP="00973512">
      <w:pPr>
        <w:spacing w:after="0" w:line="240" w:lineRule="auto"/>
        <w:rPr>
          <w:rFonts w:ascii="Verdana" w:eastAsia="Geomanist Light" w:hAnsi="Verdana" w:cs="Arial"/>
          <w:color w:val="000000"/>
          <w:lang w:val="es-MX"/>
        </w:rPr>
      </w:pPr>
    </w:p>
    <w:p w14:paraId="2A2928E9" w14:textId="77777777" w:rsidR="00542E61" w:rsidRDefault="00542E61" w:rsidP="00973512">
      <w:pPr>
        <w:spacing w:after="0" w:line="240" w:lineRule="auto"/>
        <w:rPr>
          <w:rFonts w:ascii="Verdana" w:eastAsia="Geomanist Light" w:hAnsi="Verdana" w:cs="Arial"/>
          <w:color w:val="000000"/>
          <w:lang w:val="es-MX"/>
        </w:rPr>
      </w:pPr>
    </w:p>
    <w:p w14:paraId="62A179CF" w14:textId="77777777" w:rsidR="00542E61" w:rsidRDefault="00542E61" w:rsidP="00973512">
      <w:pPr>
        <w:spacing w:after="0" w:line="240" w:lineRule="auto"/>
        <w:rPr>
          <w:rFonts w:ascii="Verdana" w:eastAsia="Geomanist Light" w:hAnsi="Verdana" w:cs="Arial"/>
          <w:color w:val="000000"/>
          <w:lang w:val="es-MX"/>
        </w:rPr>
      </w:pPr>
    </w:p>
    <w:p w14:paraId="6F8523A4" w14:textId="77777777" w:rsidR="00542E61" w:rsidRDefault="00542E61" w:rsidP="00973512">
      <w:pPr>
        <w:spacing w:after="0" w:line="240" w:lineRule="auto"/>
        <w:rPr>
          <w:rFonts w:ascii="Verdana" w:eastAsia="Geomanist Light" w:hAnsi="Verdana" w:cs="Arial"/>
          <w:color w:val="000000"/>
          <w:lang w:val="es-MX"/>
        </w:rPr>
      </w:pPr>
    </w:p>
    <w:p w14:paraId="01817DBD" w14:textId="77777777" w:rsidR="00542E61" w:rsidRDefault="00542E61" w:rsidP="00973512">
      <w:pPr>
        <w:spacing w:after="0" w:line="240" w:lineRule="auto"/>
        <w:rPr>
          <w:rFonts w:ascii="Verdana" w:eastAsia="Geomanist Light" w:hAnsi="Verdana" w:cs="Arial"/>
          <w:color w:val="000000"/>
          <w:lang w:val="es-MX"/>
        </w:rPr>
      </w:pPr>
    </w:p>
    <w:p w14:paraId="1850603B" w14:textId="77777777" w:rsidR="00542E61" w:rsidRDefault="00542E61" w:rsidP="00973512">
      <w:pPr>
        <w:spacing w:after="0" w:line="240" w:lineRule="auto"/>
        <w:rPr>
          <w:rFonts w:ascii="Verdana" w:eastAsia="Geomanist Light" w:hAnsi="Verdana" w:cs="Arial"/>
          <w:color w:val="000000"/>
          <w:lang w:val="es-MX"/>
        </w:rPr>
      </w:pPr>
    </w:p>
    <w:p w14:paraId="33DEAE48" w14:textId="77777777" w:rsidR="00542E61" w:rsidRDefault="00542E61" w:rsidP="00973512">
      <w:pPr>
        <w:spacing w:after="0" w:line="240" w:lineRule="auto"/>
        <w:rPr>
          <w:rFonts w:ascii="Verdana" w:eastAsia="Geomanist Light" w:hAnsi="Verdana" w:cs="Arial"/>
          <w:color w:val="000000"/>
          <w:lang w:val="es-MX"/>
        </w:rPr>
      </w:pPr>
    </w:p>
    <w:p w14:paraId="655F334B" w14:textId="77777777" w:rsidR="00542E61" w:rsidRDefault="00542E61" w:rsidP="00973512">
      <w:pPr>
        <w:spacing w:after="0" w:line="240" w:lineRule="auto"/>
        <w:rPr>
          <w:rFonts w:ascii="Verdana" w:eastAsia="Geomanist Light" w:hAnsi="Verdana" w:cs="Arial"/>
          <w:color w:val="000000"/>
          <w:lang w:val="es-MX"/>
        </w:rPr>
      </w:pPr>
    </w:p>
    <w:p w14:paraId="75107E92" w14:textId="77777777" w:rsidR="00542E61" w:rsidRDefault="00542E61" w:rsidP="00973512">
      <w:pPr>
        <w:spacing w:after="0" w:line="240" w:lineRule="auto"/>
        <w:rPr>
          <w:rFonts w:ascii="Verdana" w:eastAsia="Geomanist Light" w:hAnsi="Verdana" w:cs="Arial"/>
          <w:color w:val="000000"/>
          <w:lang w:val="es-MX"/>
        </w:rPr>
      </w:pPr>
    </w:p>
    <w:p w14:paraId="3D4BE568" w14:textId="77777777" w:rsidR="00542E61" w:rsidRDefault="00542E61" w:rsidP="00973512">
      <w:pPr>
        <w:spacing w:after="0" w:line="240" w:lineRule="auto"/>
        <w:rPr>
          <w:rFonts w:ascii="Verdana" w:eastAsia="Geomanist Light" w:hAnsi="Verdana" w:cs="Arial"/>
          <w:color w:val="000000"/>
          <w:lang w:val="es-MX"/>
        </w:rPr>
      </w:pPr>
    </w:p>
    <w:p w14:paraId="2F1C76A3" w14:textId="77777777" w:rsidR="00542E61" w:rsidRDefault="00542E61" w:rsidP="00973512">
      <w:pPr>
        <w:spacing w:after="0" w:line="240" w:lineRule="auto"/>
        <w:rPr>
          <w:rFonts w:ascii="Verdana" w:eastAsia="Geomanist Light" w:hAnsi="Verdana" w:cs="Arial"/>
          <w:color w:val="000000"/>
          <w:lang w:val="es-MX"/>
        </w:rPr>
      </w:pPr>
    </w:p>
    <w:p w14:paraId="066FEBBE" w14:textId="77777777" w:rsidR="00542E61" w:rsidRDefault="00542E61" w:rsidP="00973512">
      <w:pPr>
        <w:spacing w:after="0" w:line="240" w:lineRule="auto"/>
        <w:rPr>
          <w:rFonts w:ascii="Verdana" w:eastAsia="Geomanist Light" w:hAnsi="Verdana" w:cs="Arial"/>
          <w:color w:val="000000"/>
          <w:lang w:val="es-MX"/>
        </w:rPr>
      </w:pPr>
    </w:p>
    <w:p w14:paraId="18158985" w14:textId="77777777" w:rsidR="00542E61" w:rsidRDefault="00542E61" w:rsidP="00973512">
      <w:pPr>
        <w:spacing w:after="0" w:line="240" w:lineRule="auto"/>
        <w:rPr>
          <w:rFonts w:ascii="Verdana" w:eastAsia="Geomanist Light" w:hAnsi="Verdana" w:cs="Arial"/>
          <w:color w:val="000000"/>
          <w:lang w:val="es-MX"/>
        </w:rPr>
      </w:pPr>
    </w:p>
    <w:p w14:paraId="5751E4E1" w14:textId="77777777" w:rsidR="00542E61" w:rsidRDefault="00542E61" w:rsidP="00973512">
      <w:pPr>
        <w:spacing w:after="0" w:line="240" w:lineRule="auto"/>
        <w:rPr>
          <w:rFonts w:ascii="Verdana" w:eastAsia="Geomanist Light" w:hAnsi="Verdana" w:cs="Arial"/>
          <w:color w:val="000000"/>
          <w:lang w:val="es-MX"/>
        </w:rPr>
      </w:pPr>
    </w:p>
    <w:p w14:paraId="051131FE" w14:textId="77777777" w:rsidR="00542E61" w:rsidRDefault="00542E61" w:rsidP="00973512">
      <w:pPr>
        <w:spacing w:after="0" w:line="240" w:lineRule="auto"/>
        <w:rPr>
          <w:rFonts w:ascii="Verdana" w:eastAsia="Geomanist Light" w:hAnsi="Verdana" w:cs="Arial"/>
          <w:color w:val="000000"/>
          <w:lang w:val="es-MX"/>
        </w:rPr>
      </w:pPr>
    </w:p>
    <w:p w14:paraId="41D6D4CD" w14:textId="77777777" w:rsidR="00542E61" w:rsidRDefault="00542E61" w:rsidP="00973512">
      <w:pPr>
        <w:spacing w:after="0" w:line="240" w:lineRule="auto"/>
        <w:rPr>
          <w:rFonts w:ascii="Verdana" w:eastAsia="Geomanist Light" w:hAnsi="Verdana" w:cs="Arial"/>
          <w:color w:val="000000"/>
          <w:lang w:val="es-MX"/>
        </w:rPr>
      </w:pPr>
    </w:p>
    <w:p w14:paraId="670BEC4A" w14:textId="77777777" w:rsidR="00542E61" w:rsidRDefault="00542E61" w:rsidP="00973512">
      <w:pPr>
        <w:spacing w:after="0" w:line="240" w:lineRule="auto"/>
        <w:rPr>
          <w:rFonts w:ascii="Verdana" w:eastAsia="Geomanist Light" w:hAnsi="Verdana" w:cs="Arial"/>
          <w:color w:val="000000"/>
          <w:lang w:val="es-MX"/>
        </w:rPr>
      </w:pPr>
    </w:p>
    <w:p w14:paraId="4B3839B0" w14:textId="77777777" w:rsidR="00542E61" w:rsidRDefault="00542E61" w:rsidP="00973512">
      <w:pPr>
        <w:spacing w:after="0" w:line="240" w:lineRule="auto"/>
        <w:rPr>
          <w:rFonts w:ascii="Verdana" w:eastAsia="Geomanist Light" w:hAnsi="Verdana" w:cs="Arial"/>
          <w:color w:val="000000"/>
          <w:lang w:val="es-MX"/>
        </w:rPr>
      </w:pPr>
    </w:p>
    <w:p w14:paraId="634817E5" w14:textId="77777777" w:rsidR="00542E61" w:rsidRDefault="00542E61" w:rsidP="00973512">
      <w:pPr>
        <w:spacing w:after="0" w:line="240" w:lineRule="auto"/>
        <w:rPr>
          <w:rFonts w:ascii="Verdana" w:eastAsia="Geomanist Light" w:hAnsi="Verdana" w:cs="Arial"/>
          <w:color w:val="000000"/>
          <w:lang w:val="es-MX"/>
        </w:rPr>
      </w:pPr>
    </w:p>
    <w:p w14:paraId="52B460BB" w14:textId="77777777" w:rsidR="00542E61" w:rsidRDefault="00542E61" w:rsidP="00973512">
      <w:pPr>
        <w:spacing w:after="0" w:line="240" w:lineRule="auto"/>
        <w:rPr>
          <w:rFonts w:ascii="Verdana" w:eastAsia="Geomanist Light" w:hAnsi="Verdana" w:cs="Arial"/>
          <w:color w:val="000000"/>
          <w:lang w:val="es-MX"/>
        </w:rPr>
      </w:pPr>
    </w:p>
    <w:p w14:paraId="458E55BD" w14:textId="77777777" w:rsidR="00542E61" w:rsidRDefault="00542E61" w:rsidP="00973512">
      <w:pPr>
        <w:spacing w:after="0" w:line="240" w:lineRule="auto"/>
        <w:rPr>
          <w:rFonts w:ascii="Verdana" w:eastAsia="Geomanist Light" w:hAnsi="Verdana" w:cs="Arial"/>
          <w:color w:val="000000"/>
          <w:lang w:val="es-MX"/>
        </w:rPr>
      </w:pPr>
    </w:p>
    <w:p w14:paraId="31F0BB3E" w14:textId="77777777" w:rsidR="00542E61" w:rsidRDefault="00542E61" w:rsidP="00973512">
      <w:pPr>
        <w:spacing w:after="0" w:line="240" w:lineRule="auto"/>
        <w:rPr>
          <w:rFonts w:ascii="Verdana" w:eastAsia="Geomanist Light" w:hAnsi="Verdana" w:cs="Arial"/>
          <w:color w:val="000000"/>
          <w:lang w:val="es-MX"/>
        </w:rPr>
      </w:pPr>
    </w:p>
    <w:p w14:paraId="2EE0875C" w14:textId="77777777" w:rsidR="00542E61" w:rsidRDefault="00542E61" w:rsidP="00973512">
      <w:pPr>
        <w:spacing w:after="0" w:line="240" w:lineRule="auto"/>
        <w:rPr>
          <w:rFonts w:ascii="Verdana" w:eastAsia="Geomanist Light" w:hAnsi="Verdana" w:cs="Arial"/>
          <w:color w:val="000000"/>
          <w:lang w:val="es-MX"/>
        </w:rPr>
      </w:pPr>
    </w:p>
    <w:p w14:paraId="2FF43428" w14:textId="77777777" w:rsidR="00542E61" w:rsidRDefault="00542E61" w:rsidP="00973512">
      <w:pPr>
        <w:spacing w:after="0" w:line="240" w:lineRule="auto"/>
        <w:rPr>
          <w:rFonts w:ascii="Verdana" w:eastAsia="Geomanist Light" w:hAnsi="Verdana" w:cs="Arial"/>
          <w:color w:val="000000"/>
          <w:lang w:val="es-MX"/>
        </w:rPr>
      </w:pPr>
    </w:p>
    <w:p w14:paraId="21C4B714" w14:textId="77777777" w:rsidR="00542E61" w:rsidRDefault="00542E61" w:rsidP="00973512">
      <w:pPr>
        <w:spacing w:after="0" w:line="240" w:lineRule="auto"/>
        <w:rPr>
          <w:rFonts w:ascii="Verdana" w:eastAsia="Geomanist Light" w:hAnsi="Verdana" w:cs="Arial"/>
          <w:color w:val="000000"/>
          <w:lang w:val="es-MX"/>
        </w:rPr>
      </w:pPr>
    </w:p>
    <w:p w14:paraId="1D7713BF" w14:textId="3B9A192D" w:rsidR="00973512" w:rsidRPr="00973512" w:rsidRDefault="00973512" w:rsidP="00973512">
      <w:pPr>
        <w:spacing w:after="0" w:line="240" w:lineRule="auto"/>
        <w:rPr>
          <w:rFonts w:ascii="Verdana" w:eastAsia="Geomanist Light" w:hAnsi="Verdana" w:cs="Arial"/>
          <w:color w:val="000000"/>
          <w:lang w:val="es-MX"/>
        </w:rPr>
      </w:pPr>
      <w:r w:rsidRPr="00973512">
        <w:rPr>
          <w:rFonts w:ascii="Verdana" w:eastAsia="Geomanist Light" w:hAnsi="Verdana" w:cs="Arial"/>
          <w:color w:val="000000"/>
          <w:lang w:val="es-MX"/>
        </w:rPr>
        <w:lastRenderedPageBreak/>
        <w:t>Bogotá D.C., [Día] de [</w:t>
      </w:r>
      <w:proofErr w:type="spellStart"/>
      <w:r w:rsidRPr="00973512">
        <w:rPr>
          <w:rFonts w:ascii="Verdana" w:eastAsia="Geomanist Light" w:hAnsi="Verdana" w:cs="Arial"/>
          <w:color w:val="000000"/>
          <w:lang w:val="es-MX"/>
        </w:rPr>
        <w:t>Mes.NombreCapitalizado</w:t>
      </w:r>
      <w:proofErr w:type="spellEnd"/>
      <w:r w:rsidRPr="00973512">
        <w:rPr>
          <w:rFonts w:ascii="Verdana" w:eastAsia="Geomanist Light" w:hAnsi="Verdana" w:cs="Arial"/>
          <w:color w:val="000000"/>
          <w:lang w:val="es-MX"/>
        </w:rPr>
        <w:t>] de [Año]</w:t>
      </w:r>
    </w:p>
    <w:p w14:paraId="7C3D4CD1" w14:textId="1BAE42A3" w:rsidR="00973512" w:rsidRDefault="00973512" w:rsidP="00973512">
      <w:pPr>
        <w:spacing w:after="0" w:line="240" w:lineRule="auto"/>
        <w:jc w:val="both"/>
        <w:rPr>
          <w:rFonts w:ascii="Verdana" w:eastAsia="Calibri" w:hAnsi="Verdana" w:cs="Arial"/>
          <w:color w:val="000000"/>
          <w:lang w:val="es-MX"/>
        </w:rPr>
      </w:pPr>
    </w:p>
    <w:p w14:paraId="62AAC627" w14:textId="073F38E4" w:rsidR="00542E61" w:rsidRDefault="00542E61" w:rsidP="00973512">
      <w:pPr>
        <w:spacing w:after="0" w:line="240" w:lineRule="auto"/>
        <w:jc w:val="both"/>
        <w:rPr>
          <w:rFonts w:ascii="Verdana" w:eastAsia="Calibri" w:hAnsi="Verdana" w:cs="Arial"/>
          <w:color w:val="000000"/>
          <w:lang w:val="es-MX"/>
        </w:rPr>
      </w:pPr>
      <w:r w:rsidRPr="00542E61">
        <w:rPr>
          <w:rFonts w:ascii="Verdana" w:eastAsia="Calibri" w:hAnsi="Verdana" w:cs="Arial"/>
          <w:noProof/>
          <w:color w:val="000000"/>
          <w:lang w:val="es-MX"/>
        </w:rPr>
        <w:drawing>
          <wp:anchor distT="0" distB="0" distL="114300" distR="114300" simplePos="0" relativeHeight="251658240" behindDoc="1" locked="0" layoutInCell="1" allowOverlap="1" wp14:anchorId="2EDE04F8" wp14:editId="33BC69DA">
            <wp:simplePos x="0" y="0"/>
            <wp:positionH relativeFrom="column">
              <wp:posOffset>2752725</wp:posOffset>
            </wp:positionH>
            <wp:positionV relativeFrom="paragraph">
              <wp:posOffset>8890</wp:posOffset>
            </wp:positionV>
            <wp:extent cx="3781953" cy="1124107"/>
            <wp:effectExtent l="0" t="0" r="9525" b="0"/>
            <wp:wrapTight wrapText="bothSides">
              <wp:wrapPolygon edited="0">
                <wp:start x="0" y="0"/>
                <wp:lineTo x="0" y="21234"/>
                <wp:lineTo x="21546" y="21234"/>
                <wp:lineTo x="21546" y="0"/>
                <wp:lineTo x="0" y="0"/>
              </wp:wrapPolygon>
            </wp:wrapTight>
            <wp:docPr id="102546486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464869"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3781953" cy="1124107"/>
                    </a:xfrm>
                    <a:prstGeom prst="rect">
                      <a:avLst/>
                    </a:prstGeom>
                  </pic:spPr>
                </pic:pic>
              </a:graphicData>
            </a:graphic>
          </wp:anchor>
        </w:drawing>
      </w:r>
    </w:p>
    <w:p w14:paraId="01F6AB52" w14:textId="77777777" w:rsidR="00542E61" w:rsidRDefault="00542E61" w:rsidP="00973512">
      <w:pPr>
        <w:spacing w:after="0" w:line="240" w:lineRule="auto"/>
        <w:jc w:val="both"/>
        <w:rPr>
          <w:rFonts w:ascii="Verdana" w:eastAsia="Calibri" w:hAnsi="Verdana" w:cs="Arial"/>
          <w:color w:val="000000"/>
          <w:lang w:val="es-MX"/>
        </w:rPr>
      </w:pPr>
    </w:p>
    <w:p w14:paraId="6217ABBC" w14:textId="77777777" w:rsidR="00542E61" w:rsidRDefault="00542E61" w:rsidP="00973512">
      <w:pPr>
        <w:spacing w:after="0" w:line="240" w:lineRule="auto"/>
        <w:jc w:val="both"/>
        <w:rPr>
          <w:rFonts w:ascii="Verdana" w:eastAsia="Calibri" w:hAnsi="Verdana" w:cs="Arial"/>
          <w:color w:val="000000"/>
          <w:lang w:val="es-MX"/>
        </w:rPr>
      </w:pPr>
    </w:p>
    <w:p w14:paraId="22894333" w14:textId="77777777" w:rsidR="00542E61" w:rsidRDefault="00542E61" w:rsidP="00973512">
      <w:pPr>
        <w:spacing w:after="0" w:line="240" w:lineRule="auto"/>
        <w:jc w:val="both"/>
        <w:rPr>
          <w:rFonts w:ascii="Verdana" w:eastAsia="Calibri" w:hAnsi="Verdana" w:cs="Arial"/>
          <w:color w:val="000000"/>
          <w:lang w:val="es-MX"/>
        </w:rPr>
      </w:pPr>
    </w:p>
    <w:p w14:paraId="6A91EA71" w14:textId="77777777" w:rsidR="00542E61" w:rsidRDefault="00542E61" w:rsidP="00973512">
      <w:pPr>
        <w:spacing w:after="0" w:line="240" w:lineRule="auto"/>
        <w:jc w:val="both"/>
        <w:rPr>
          <w:rFonts w:ascii="Verdana" w:eastAsia="Calibri" w:hAnsi="Verdana" w:cs="Arial"/>
          <w:color w:val="000000"/>
          <w:lang w:val="es-MX"/>
        </w:rPr>
      </w:pPr>
    </w:p>
    <w:p w14:paraId="0DF3B960" w14:textId="77777777" w:rsidR="00973512" w:rsidRPr="00973512" w:rsidRDefault="00973512" w:rsidP="00973512">
      <w:pPr>
        <w:spacing w:after="0" w:line="240" w:lineRule="auto"/>
        <w:jc w:val="both"/>
        <w:rPr>
          <w:rFonts w:ascii="Verdana" w:eastAsia="Calibri" w:hAnsi="Verdana" w:cs="Arial"/>
          <w:color w:val="000000"/>
          <w:lang w:val="es-ES" w:eastAsia="es-ES"/>
        </w:rPr>
      </w:pPr>
      <w:r w:rsidRPr="00973512">
        <w:rPr>
          <w:rFonts w:ascii="Verdana" w:eastAsia="Calibri" w:hAnsi="Verdana" w:cs="Arial"/>
          <w:color w:val="000000"/>
          <w:lang w:val="es-ES" w:eastAsia="es-ES"/>
        </w:rPr>
        <w:t>Señor</w:t>
      </w:r>
    </w:p>
    <w:p w14:paraId="5A1B4222" w14:textId="77777777" w:rsidR="00973512" w:rsidRPr="00973512" w:rsidRDefault="00973512" w:rsidP="00973512">
      <w:pPr>
        <w:spacing w:after="0" w:line="240" w:lineRule="auto"/>
        <w:jc w:val="both"/>
        <w:rPr>
          <w:rFonts w:ascii="Verdana" w:eastAsia="Calibri" w:hAnsi="Verdana" w:cs="Arial"/>
          <w:color w:val="000000"/>
          <w:lang w:val="es-ES" w:eastAsia="es-ES"/>
        </w:rPr>
      </w:pPr>
      <w:r w:rsidRPr="00973512">
        <w:rPr>
          <w:rFonts w:ascii="Verdana" w:eastAsia="Calibri" w:hAnsi="Verdana" w:cs="Arial"/>
          <w:color w:val="000000"/>
          <w:lang w:val="es-ES" w:eastAsia="es-ES"/>
        </w:rPr>
        <w:t xml:space="preserve">Anónimo </w:t>
      </w:r>
    </w:p>
    <w:p w14:paraId="62C4FD46" w14:textId="77777777" w:rsidR="00973512" w:rsidRPr="00973512" w:rsidRDefault="00973512" w:rsidP="00973512">
      <w:pPr>
        <w:spacing w:after="0" w:line="240" w:lineRule="auto"/>
        <w:rPr>
          <w:rFonts w:ascii="Verdana" w:eastAsia="Times New Roman" w:hAnsi="Verdana" w:cs="Calibri"/>
          <w:color w:val="0563C1"/>
          <w:u w:val="single"/>
          <w:lang w:eastAsia="es-CO"/>
          <w14:ligatures w14:val="standardContextual"/>
        </w:rPr>
      </w:pPr>
      <w:hyperlink r:id="rId11" w:history="1">
        <w:r w:rsidRPr="00973512">
          <w:rPr>
            <w:rFonts w:ascii="Verdana" w:eastAsia="Times New Roman" w:hAnsi="Verdana" w:cs="Calibri"/>
            <w:color w:val="0563C1"/>
            <w:u w:val="single"/>
            <w:lang w:eastAsia="es-CO"/>
            <w14:ligatures w14:val="standardContextual"/>
          </w:rPr>
          <w:t>victoraugusto65@gmail.com</w:t>
        </w:r>
      </w:hyperlink>
    </w:p>
    <w:p w14:paraId="3A3547FD" w14:textId="77777777" w:rsidR="00973512" w:rsidRPr="00973512" w:rsidRDefault="00973512" w:rsidP="00973512">
      <w:pPr>
        <w:spacing w:after="0" w:line="240" w:lineRule="auto"/>
        <w:rPr>
          <w:rFonts w:ascii="Verdana" w:eastAsia="Calibri" w:hAnsi="Verdana" w:cs="Arial"/>
          <w:b/>
          <w:bCs/>
          <w:color w:val="000000"/>
          <w:lang w:val="es-ES" w:eastAsia="es-ES"/>
        </w:rPr>
      </w:pPr>
      <w:r w:rsidRPr="00973512">
        <w:rPr>
          <w:rFonts w:ascii="Verdana" w:eastAsia="Calibri" w:hAnsi="Verdana" w:cs="Arial"/>
          <w:color w:val="000000"/>
          <w:lang w:val="es-ES" w:eastAsia="es-ES"/>
        </w:rPr>
        <w:t xml:space="preserve">Ciudad </w:t>
      </w:r>
    </w:p>
    <w:p w14:paraId="29177B6B" w14:textId="77777777" w:rsidR="00973512" w:rsidRPr="00973512" w:rsidRDefault="00973512" w:rsidP="00973512">
      <w:pPr>
        <w:spacing w:after="0" w:line="240" w:lineRule="auto"/>
        <w:rPr>
          <w:rFonts w:ascii="Verdana" w:eastAsia="Calibri" w:hAnsi="Verdana" w:cs="Arial"/>
          <w:b/>
          <w:bCs/>
          <w:color w:val="000000"/>
          <w:lang w:val="es-ES_tradnl" w:eastAsia="es-ES_tradnl"/>
        </w:rPr>
      </w:pPr>
    </w:p>
    <w:p w14:paraId="04E68ECB" w14:textId="77777777" w:rsidR="00973512" w:rsidRPr="00973512" w:rsidRDefault="00973512" w:rsidP="0097351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73512" w:rsidRPr="00973512" w14:paraId="30E60C40" w14:textId="77777777" w:rsidTr="00FF097A">
        <w:trPr>
          <w:trHeight w:val="884"/>
        </w:trPr>
        <w:tc>
          <w:tcPr>
            <w:tcW w:w="2689" w:type="dxa"/>
          </w:tcPr>
          <w:p w14:paraId="1C00A9D6" w14:textId="77777777" w:rsidR="00973512" w:rsidRPr="00973512" w:rsidRDefault="00973512" w:rsidP="00973512">
            <w:pPr>
              <w:jc w:val="both"/>
              <w:rPr>
                <w:rFonts w:ascii="Verdana" w:eastAsia="Calibri" w:hAnsi="Verdana" w:cs="Arial"/>
                <w:b/>
                <w:bCs/>
                <w:color w:val="000000"/>
                <w:lang w:val="es-ES_tradnl" w:eastAsia="es-ES_tradnl"/>
              </w:rPr>
            </w:pPr>
          </w:p>
        </w:tc>
        <w:tc>
          <w:tcPr>
            <w:tcW w:w="6100" w:type="dxa"/>
          </w:tcPr>
          <w:p w14:paraId="60803109" w14:textId="77777777" w:rsidR="00973512" w:rsidRPr="00973512" w:rsidRDefault="00973512" w:rsidP="00973512">
            <w:pPr>
              <w:jc w:val="both"/>
              <w:rPr>
                <w:rFonts w:ascii="Verdana" w:eastAsia="Calibri" w:hAnsi="Verdana" w:cs="Arial"/>
                <w:b/>
                <w:bCs/>
                <w:color w:val="000000"/>
                <w:lang w:val="es-ES" w:eastAsia="es-ES"/>
              </w:rPr>
            </w:pPr>
            <w:r w:rsidRPr="00973512">
              <w:rPr>
                <w:rFonts w:ascii="Verdana" w:eastAsia="Calibri" w:hAnsi="Verdana" w:cs="Arial"/>
                <w:b/>
                <w:bCs/>
                <w:color w:val="000000"/>
                <w:lang w:val="es-ES" w:eastAsia="es-ES"/>
              </w:rPr>
              <w:t>Concepto C- 712 de 2024</w:t>
            </w:r>
          </w:p>
        </w:tc>
      </w:tr>
      <w:tr w:rsidR="00973512" w:rsidRPr="00973512" w14:paraId="796DF37B" w14:textId="77777777" w:rsidTr="00FF097A">
        <w:trPr>
          <w:trHeight w:val="884"/>
        </w:trPr>
        <w:tc>
          <w:tcPr>
            <w:tcW w:w="2689" w:type="dxa"/>
          </w:tcPr>
          <w:p w14:paraId="0470AEE6" w14:textId="77777777" w:rsidR="00973512" w:rsidRPr="00973512" w:rsidRDefault="00973512" w:rsidP="00973512">
            <w:pPr>
              <w:jc w:val="both"/>
              <w:rPr>
                <w:rFonts w:ascii="Verdana" w:eastAsia="Calibri" w:hAnsi="Verdana" w:cs="Arial"/>
                <w:color w:val="000000"/>
                <w:lang w:val="es-ES_tradnl" w:eastAsia="es-ES_tradnl"/>
              </w:rPr>
            </w:pPr>
            <w:r w:rsidRPr="00973512">
              <w:rPr>
                <w:rFonts w:ascii="Verdana" w:eastAsia="Calibri" w:hAnsi="Verdana" w:cs="Arial"/>
                <w:b/>
                <w:color w:val="000000"/>
                <w:lang w:val="es-ES_tradnl" w:eastAsia="es-ES_tradnl"/>
              </w:rPr>
              <w:t>Temas:</w:t>
            </w:r>
            <w:r w:rsidRPr="00973512">
              <w:rPr>
                <w:rFonts w:ascii="Verdana" w:eastAsia="Calibri" w:hAnsi="Verdana" w:cs="Arial"/>
                <w:color w:val="000000"/>
                <w:lang w:val="es-ES_tradnl" w:eastAsia="es-ES_tradnl"/>
              </w:rPr>
              <w:t xml:space="preserve">                   </w:t>
            </w:r>
          </w:p>
        </w:tc>
        <w:tc>
          <w:tcPr>
            <w:tcW w:w="6100" w:type="dxa"/>
          </w:tcPr>
          <w:p w14:paraId="71F25125" w14:textId="77777777" w:rsidR="00973512" w:rsidRPr="00973512" w:rsidRDefault="00973512" w:rsidP="00973512">
            <w:pPr>
              <w:spacing w:line="276" w:lineRule="auto"/>
              <w:jc w:val="both"/>
              <w:rPr>
                <w:rFonts w:ascii="Verdana" w:eastAsia="Calibri" w:hAnsi="Verdana" w:cs="Arial"/>
                <w:color w:val="000000"/>
                <w:lang w:val="es-ES" w:eastAsia="es-ES"/>
              </w:rPr>
            </w:pPr>
            <w:r w:rsidRPr="00973512">
              <w:rPr>
                <w:rFonts w:ascii="Verdana" w:eastAsia="Calibri" w:hAnsi="Verdana" w:cs="Arial"/>
                <w:color w:val="000000"/>
                <w:lang w:val="es-ES" w:eastAsia="es-ES"/>
              </w:rPr>
              <w:t xml:space="preserve">SECOP I y II – Principio de Publicidad y Transparencia – Publicidad – </w:t>
            </w:r>
            <w:proofErr w:type="spellStart"/>
            <w:r w:rsidRPr="00973512">
              <w:rPr>
                <w:rFonts w:ascii="Verdana" w:eastAsia="Calibri" w:hAnsi="Verdana" w:cs="Arial"/>
                <w:color w:val="000000"/>
                <w:lang w:val="es-ES" w:eastAsia="es-ES"/>
              </w:rPr>
              <w:t>Secop</w:t>
            </w:r>
            <w:proofErr w:type="spellEnd"/>
            <w:r w:rsidRPr="00973512">
              <w:rPr>
                <w:rFonts w:ascii="Verdana" w:eastAsia="Calibri" w:hAnsi="Verdana" w:cs="Arial"/>
                <w:color w:val="000000"/>
                <w:lang w:val="es-ES" w:eastAsia="es-ES"/>
              </w:rPr>
              <w:t xml:space="preserve"> – Acceso de los interesados – Publicidad – SECOP II </w:t>
            </w:r>
          </w:p>
          <w:p w14:paraId="781FDCFE" w14:textId="77777777" w:rsidR="00973512" w:rsidRPr="00973512" w:rsidRDefault="00973512" w:rsidP="00973512">
            <w:pPr>
              <w:spacing w:line="276" w:lineRule="auto"/>
              <w:jc w:val="both"/>
              <w:rPr>
                <w:rFonts w:ascii="Verdana" w:eastAsia="Calibri" w:hAnsi="Verdana" w:cs="Arial"/>
                <w:color w:val="000000"/>
                <w:lang w:val="es-ES" w:eastAsia="es-ES"/>
              </w:rPr>
            </w:pPr>
          </w:p>
        </w:tc>
      </w:tr>
      <w:tr w:rsidR="00973512" w:rsidRPr="00973512" w14:paraId="55A42B69" w14:textId="77777777" w:rsidTr="00FF097A">
        <w:tc>
          <w:tcPr>
            <w:tcW w:w="2689" w:type="dxa"/>
          </w:tcPr>
          <w:p w14:paraId="0A22B597" w14:textId="77777777" w:rsidR="00973512" w:rsidRPr="00973512" w:rsidRDefault="00973512" w:rsidP="00973512">
            <w:pPr>
              <w:jc w:val="both"/>
              <w:rPr>
                <w:rFonts w:ascii="Verdana" w:eastAsia="Calibri" w:hAnsi="Verdana" w:cs="Arial"/>
                <w:b/>
                <w:color w:val="000000"/>
                <w:lang w:val="es-ES_tradnl" w:eastAsia="es-ES_tradnl"/>
              </w:rPr>
            </w:pPr>
            <w:r w:rsidRPr="00973512">
              <w:rPr>
                <w:rFonts w:ascii="Verdana" w:eastAsia="Calibri" w:hAnsi="Verdana" w:cs="Arial"/>
                <w:b/>
                <w:color w:val="000000"/>
                <w:lang w:val="es-ES_tradnl" w:eastAsia="es-ES_tradnl"/>
              </w:rPr>
              <w:t>Radicación:</w:t>
            </w:r>
            <w:r w:rsidRPr="00973512">
              <w:rPr>
                <w:rFonts w:ascii="Verdana" w:eastAsia="Calibri" w:hAnsi="Verdana" w:cs="Arial"/>
                <w:color w:val="000000"/>
                <w:lang w:val="es-ES_tradnl" w:eastAsia="es-ES_tradnl"/>
              </w:rPr>
              <w:t xml:space="preserve">               </w:t>
            </w:r>
          </w:p>
        </w:tc>
        <w:tc>
          <w:tcPr>
            <w:tcW w:w="6100" w:type="dxa"/>
          </w:tcPr>
          <w:p w14:paraId="709D17BA" w14:textId="77777777" w:rsidR="00973512" w:rsidRPr="00973512" w:rsidRDefault="00973512" w:rsidP="00973512">
            <w:pPr>
              <w:jc w:val="both"/>
              <w:rPr>
                <w:rFonts w:ascii="Verdana" w:eastAsia="Calibri" w:hAnsi="Verdana" w:cs="Arial"/>
                <w:color w:val="000000"/>
                <w:lang w:val="es-ES_tradnl" w:eastAsia="es-ES_tradnl"/>
              </w:rPr>
            </w:pPr>
            <w:r w:rsidRPr="00973512">
              <w:rPr>
                <w:rFonts w:ascii="Verdana" w:eastAsia="Calibri" w:hAnsi="Verdana" w:cs="Arial"/>
                <w:color w:val="000000"/>
                <w:lang w:val="es-ES_tradnl" w:eastAsia="es-ES_tradnl"/>
              </w:rPr>
              <w:t xml:space="preserve">Respuesta a consulta con radicado No. </w:t>
            </w:r>
            <w:r w:rsidRPr="00973512">
              <w:rPr>
                <w:rFonts w:ascii="Verdana" w:eastAsia="Calibri" w:hAnsi="Verdana" w:cs="Arial"/>
                <w:color w:val="000000"/>
                <w:lang w:eastAsia="es-ES_tradnl"/>
              </w:rPr>
              <w:t>P20241003010111</w:t>
            </w:r>
          </w:p>
        </w:tc>
      </w:tr>
    </w:tbl>
    <w:p w14:paraId="16224A44" w14:textId="77777777" w:rsidR="00973512" w:rsidRPr="00973512" w:rsidRDefault="00973512" w:rsidP="00973512">
      <w:pPr>
        <w:spacing w:after="0" w:line="240" w:lineRule="auto"/>
        <w:jc w:val="both"/>
        <w:rPr>
          <w:rFonts w:ascii="Verdana" w:eastAsia="Calibri" w:hAnsi="Verdana" w:cs="Arial"/>
          <w:color w:val="000000"/>
          <w:lang w:val="es-ES_tradnl" w:eastAsia="es-ES_tradnl"/>
        </w:rPr>
      </w:pPr>
    </w:p>
    <w:p w14:paraId="3C87D47E" w14:textId="77777777" w:rsidR="00973512" w:rsidRPr="00973512" w:rsidRDefault="00973512" w:rsidP="00973512">
      <w:pPr>
        <w:spacing w:after="0" w:line="240" w:lineRule="auto"/>
        <w:jc w:val="both"/>
        <w:rPr>
          <w:rFonts w:ascii="Verdana" w:eastAsia="Calibri" w:hAnsi="Verdana" w:cs="Arial"/>
          <w:color w:val="000000"/>
          <w:lang w:val="es-ES_tradnl" w:eastAsia="es-ES_tradnl"/>
        </w:rPr>
      </w:pPr>
    </w:p>
    <w:p w14:paraId="41EFABAF" w14:textId="77777777" w:rsidR="00973512" w:rsidRPr="00973512" w:rsidRDefault="00973512" w:rsidP="00973512">
      <w:pPr>
        <w:spacing w:after="0" w:line="276" w:lineRule="auto"/>
        <w:jc w:val="both"/>
        <w:rPr>
          <w:rFonts w:ascii="Verdana" w:eastAsia="Calibri" w:hAnsi="Verdana" w:cs="Arial"/>
          <w:color w:val="000000"/>
          <w:lang w:val="es-ES" w:eastAsia="es-ES"/>
        </w:rPr>
      </w:pPr>
      <w:r w:rsidRPr="00973512">
        <w:rPr>
          <w:rFonts w:ascii="Verdana" w:eastAsia="Calibri" w:hAnsi="Verdana" w:cs="Arial"/>
          <w:color w:val="000000"/>
          <w:lang w:val="es-ES" w:eastAsia="es-ES"/>
        </w:rPr>
        <w:t xml:space="preserve">Estimado señor Anónimo: </w:t>
      </w:r>
    </w:p>
    <w:p w14:paraId="229A1E1C" w14:textId="77777777" w:rsidR="00973512" w:rsidRPr="00973512" w:rsidRDefault="00973512" w:rsidP="00973512">
      <w:pPr>
        <w:tabs>
          <w:tab w:val="left" w:pos="3768"/>
        </w:tabs>
        <w:spacing w:after="0" w:line="276" w:lineRule="auto"/>
        <w:jc w:val="both"/>
        <w:rPr>
          <w:rFonts w:ascii="Verdana" w:eastAsia="Calibri" w:hAnsi="Verdana" w:cs="Arial"/>
          <w:color w:val="000000"/>
          <w:lang w:val="es-ES" w:eastAsia="es-ES"/>
        </w:rPr>
      </w:pPr>
      <w:r w:rsidRPr="00973512">
        <w:rPr>
          <w:rFonts w:ascii="Verdana" w:eastAsia="Calibri" w:hAnsi="Verdana" w:cs="Arial"/>
          <w:color w:val="000000"/>
          <w:lang w:val="es-ES" w:eastAsia="es-ES"/>
        </w:rPr>
        <w:tab/>
      </w:r>
    </w:p>
    <w:p w14:paraId="0D81E13B" w14:textId="77777777" w:rsidR="00973512" w:rsidRPr="00973512" w:rsidRDefault="00973512" w:rsidP="00973512">
      <w:pPr>
        <w:spacing w:after="0" w:line="276" w:lineRule="auto"/>
        <w:jc w:val="both"/>
        <w:rPr>
          <w:rFonts w:ascii="Verdana" w:eastAsia="Calibri" w:hAnsi="Verdana" w:cs="Arial"/>
          <w:color w:val="000000"/>
          <w:lang w:val="es-ES" w:eastAsia="es-ES"/>
        </w:rPr>
      </w:pPr>
      <w:r w:rsidRPr="00973512">
        <w:rPr>
          <w:rFonts w:ascii="Verdana" w:eastAsia="Calibri" w:hAnsi="Verdana" w:cs="Arial"/>
          <w:color w:val="000000"/>
          <w:lang w:val="es-ES" w:eastAsia="es-ES"/>
        </w:rPr>
        <w:t>En ejercicio de la competencia otorgada por los artículos 3, numeral 5º, y 11, numeral 8º, del Decreto Ley 4170 de 2011,</w:t>
      </w:r>
      <w:r w:rsidRPr="00973512">
        <w:rPr>
          <w:rFonts w:ascii="Verdana" w:eastAsia="Arial MT" w:hAnsi="Verdana" w:cs="Arial MT"/>
          <w:color w:val="000000"/>
          <w:lang w:val="es-ES" w:eastAsia="es-ES"/>
        </w:rPr>
        <w:t xml:space="preserve"> </w:t>
      </w:r>
      <w:r w:rsidRPr="00973512">
        <w:rPr>
          <w:rFonts w:ascii="Verdana" w:eastAsia="Aptos" w:hAnsi="Verdana" w:cs="Arial"/>
          <w:color w:val="000000"/>
        </w:rPr>
        <w:t xml:space="preserve">así como lo establecido en el artículo 4 de la Resolución 1707 de 2018 expedida por esta Entidad, </w:t>
      </w:r>
      <w:r w:rsidRPr="00973512">
        <w:rPr>
          <w:rFonts w:ascii="Verdana" w:eastAsia="Calibri" w:hAnsi="Verdana" w:cs="Arial"/>
          <w:color w:val="000000"/>
          <w:lang w:val="es-ES" w:eastAsia="es-ES"/>
        </w:rPr>
        <w:t xml:space="preserve">la Agencia Nacional de Contratación Pública – Colombia Compra Eficiente– responde su solicitud de consulta de fecha 03 de octubre de 2024, en la cual manifiesta lo siguiente: </w:t>
      </w:r>
    </w:p>
    <w:p w14:paraId="4AAA4BBB" w14:textId="77777777" w:rsidR="00973512" w:rsidRPr="00973512" w:rsidRDefault="00973512" w:rsidP="00973512">
      <w:pPr>
        <w:tabs>
          <w:tab w:val="left" w:pos="142"/>
          <w:tab w:val="left" w:pos="284"/>
        </w:tabs>
        <w:spacing w:line="276" w:lineRule="auto"/>
        <w:contextualSpacing/>
        <w:jc w:val="both"/>
        <w:rPr>
          <w:rFonts w:ascii="Verdana" w:eastAsia="Century Gothic" w:hAnsi="Verdana" w:cs="Century Gothic"/>
          <w:b/>
          <w:bCs/>
          <w:color w:val="000000"/>
          <w:lang w:val="es-ES"/>
        </w:rPr>
      </w:pPr>
    </w:p>
    <w:p w14:paraId="022820BA" w14:textId="77777777" w:rsidR="00973512" w:rsidRPr="00973512" w:rsidRDefault="00973512" w:rsidP="00973512">
      <w:pPr>
        <w:spacing w:after="0" w:line="240" w:lineRule="auto"/>
        <w:ind w:left="709" w:right="709"/>
        <w:jc w:val="both"/>
        <w:rPr>
          <w:rFonts w:ascii="Verdana" w:eastAsia="Century Gothic" w:hAnsi="Verdana" w:cs="Century Gothic"/>
          <w:i/>
          <w:iCs/>
          <w:color w:val="000000"/>
          <w:sz w:val="20"/>
          <w:szCs w:val="20"/>
          <w:lang w:val="es-ES"/>
        </w:rPr>
      </w:pPr>
      <w:bookmarkStart w:id="0" w:name="_Hlk95313578"/>
      <w:r w:rsidRPr="00973512">
        <w:rPr>
          <w:rFonts w:ascii="Verdana" w:eastAsia="Century Gothic" w:hAnsi="Verdana" w:cs="Century Gothic"/>
          <w:i/>
          <w:iCs/>
          <w:color w:val="000000"/>
          <w:sz w:val="20"/>
          <w:szCs w:val="20"/>
          <w:lang w:val="es-ES"/>
        </w:rPr>
        <w:t>“</w:t>
      </w:r>
      <w:bookmarkEnd w:id="0"/>
      <w:r w:rsidRPr="00973512">
        <w:rPr>
          <w:rFonts w:ascii="Verdana" w:eastAsia="Century Gothic" w:hAnsi="Verdana" w:cs="Century Gothic"/>
          <w:i/>
          <w:iCs/>
          <w:color w:val="000000"/>
          <w:sz w:val="20"/>
          <w:szCs w:val="20"/>
          <w:lang w:val="es-ES"/>
        </w:rPr>
        <w:t xml:space="preserve">Buenas tardes. Pregunta: ¿qué documentos deben publicarse tanto en el SECOP I como en el SECOP II de un proceso sancionatorio? ¿Se deben publicar todos los documentos del expediente o solo los que decidan el trámite? </w:t>
      </w:r>
      <w:proofErr w:type="gramStart"/>
      <w:r w:rsidRPr="00973512">
        <w:rPr>
          <w:rFonts w:ascii="Verdana" w:eastAsia="Century Gothic" w:hAnsi="Verdana" w:cs="Century Gothic"/>
          <w:i/>
          <w:iCs/>
          <w:color w:val="000000"/>
          <w:sz w:val="20"/>
          <w:szCs w:val="20"/>
          <w:lang w:val="es-ES"/>
        </w:rPr>
        <w:t>Gozan los procesos sancionatorios y de declaración de siniestro de alguna reserva para no ser publicados durante el trámite?</w:t>
      </w:r>
      <w:proofErr w:type="gramEnd"/>
      <w:r w:rsidRPr="00973512">
        <w:rPr>
          <w:rFonts w:ascii="Verdana" w:eastAsia="Century Gothic" w:hAnsi="Verdana" w:cs="Century Gothic"/>
          <w:i/>
          <w:iCs/>
          <w:color w:val="000000"/>
          <w:sz w:val="20"/>
          <w:szCs w:val="20"/>
          <w:lang w:val="es-ES"/>
        </w:rPr>
        <w:t>:</w:t>
      </w:r>
    </w:p>
    <w:p w14:paraId="587C203D" w14:textId="77777777" w:rsidR="00973512" w:rsidRPr="00973512" w:rsidRDefault="00973512" w:rsidP="00973512">
      <w:pPr>
        <w:tabs>
          <w:tab w:val="left" w:pos="142"/>
          <w:tab w:val="left" w:pos="284"/>
        </w:tabs>
        <w:spacing w:line="276" w:lineRule="auto"/>
        <w:contextualSpacing/>
        <w:jc w:val="both"/>
        <w:rPr>
          <w:rFonts w:ascii="Verdana" w:eastAsia="Century Gothic" w:hAnsi="Verdana" w:cs="Century Gothic"/>
          <w:b/>
          <w:bCs/>
          <w:color w:val="000000"/>
          <w:lang w:val="es-ES"/>
        </w:rPr>
      </w:pPr>
    </w:p>
    <w:p w14:paraId="2CEDA57F" w14:textId="77777777" w:rsidR="00973512" w:rsidRPr="00973512" w:rsidRDefault="00973512" w:rsidP="00973512">
      <w:pPr>
        <w:spacing w:after="120" w:line="276" w:lineRule="auto"/>
        <w:ind w:firstLine="709"/>
        <w:jc w:val="both"/>
        <w:rPr>
          <w:rFonts w:ascii="Verdana" w:eastAsia="Calibri" w:hAnsi="Verdana" w:cs="Arial"/>
          <w:color w:val="000000"/>
          <w:szCs w:val="24"/>
          <w:lang w:val="es-ES_tradnl" w:eastAsia="es-ES_tradnl"/>
        </w:rPr>
      </w:pPr>
      <w:r w:rsidRPr="00973512">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973512">
        <w:rPr>
          <w:rFonts w:ascii="Verdana" w:eastAsia="Calibri" w:hAnsi="Verdana" w:cs="Arial"/>
          <w:color w:val="000000"/>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73512">
        <w:rPr>
          <w:rFonts w:ascii="Verdana" w:eastAsia="Calibri" w:hAnsi="Verdana" w:cs="Arial"/>
          <w:color w:val="000000"/>
          <w:szCs w:val="24"/>
          <w:lang w:val="es-ES_tradnl" w:eastAsia="es-ES_tradnl"/>
        </w:rPr>
        <w:tab/>
      </w:r>
    </w:p>
    <w:p w14:paraId="33F2C1BE" w14:textId="77777777" w:rsidR="00973512" w:rsidRPr="00973512" w:rsidRDefault="00973512" w:rsidP="00973512">
      <w:pPr>
        <w:spacing w:after="0" w:line="276" w:lineRule="auto"/>
        <w:ind w:firstLine="709"/>
        <w:jc w:val="both"/>
        <w:rPr>
          <w:rFonts w:ascii="Verdana" w:eastAsia="Calibri" w:hAnsi="Verdana" w:cs="Arial"/>
          <w:color w:val="000000"/>
          <w:lang w:val="es-ES" w:eastAsia="es-ES"/>
        </w:rPr>
      </w:pPr>
      <w:r w:rsidRPr="00973512">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02FF703E" w14:textId="77777777" w:rsidR="00973512" w:rsidRPr="00973512" w:rsidRDefault="00973512" w:rsidP="00973512">
      <w:pPr>
        <w:spacing w:after="0" w:line="276" w:lineRule="auto"/>
        <w:ind w:firstLine="709"/>
        <w:jc w:val="both"/>
        <w:rPr>
          <w:rFonts w:ascii="Verdana" w:eastAsia="Calibri" w:hAnsi="Verdana" w:cs="Arial"/>
          <w:color w:val="000000"/>
          <w:lang w:val="es-ES" w:eastAsia="es-ES"/>
        </w:rPr>
      </w:pPr>
    </w:p>
    <w:p w14:paraId="1C81A250" w14:textId="77777777" w:rsidR="00973512" w:rsidRPr="00973512" w:rsidRDefault="00973512" w:rsidP="00973512">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color w:val="000000"/>
          <w:lang w:val="es-ES"/>
        </w:rPr>
      </w:pPr>
      <w:r w:rsidRPr="00973512">
        <w:rPr>
          <w:rFonts w:ascii="Verdana" w:eastAsia="Century Gothic" w:hAnsi="Verdana" w:cs="Century Gothic"/>
          <w:b/>
          <w:bCs/>
          <w:color w:val="000000"/>
          <w:lang w:val="es-ES"/>
        </w:rPr>
        <w:t>Problema planteado:</w:t>
      </w:r>
    </w:p>
    <w:p w14:paraId="343C9BDA" w14:textId="77777777" w:rsidR="00973512" w:rsidRPr="00973512" w:rsidRDefault="00973512" w:rsidP="00973512">
      <w:pPr>
        <w:tabs>
          <w:tab w:val="left" w:pos="426"/>
        </w:tabs>
        <w:spacing w:after="0" w:line="276" w:lineRule="auto"/>
        <w:jc w:val="both"/>
        <w:rPr>
          <w:rFonts w:ascii="Verdana" w:eastAsia="Century Gothic" w:hAnsi="Verdana" w:cs="Century Gothic"/>
          <w:color w:val="000000"/>
          <w:lang w:val="es-ES"/>
        </w:rPr>
      </w:pPr>
    </w:p>
    <w:p w14:paraId="07A31B92" w14:textId="59726A00" w:rsidR="00973512" w:rsidRPr="00973512" w:rsidRDefault="00973512" w:rsidP="005E2104">
      <w:pPr>
        <w:spacing w:after="0" w:line="276" w:lineRule="auto"/>
        <w:jc w:val="both"/>
        <w:rPr>
          <w:rFonts w:ascii="Verdana" w:eastAsia="Century Gothic" w:hAnsi="Verdana" w:cs="Century Gothic"/>
          <w:color w:val="000000"/>
        </w:rPr>
      </w:pPr>
      <w:r w:rsidRPr="00973512">
        <w:rPr>
          <w:rFonts w:ascii="Verdana" w:eastAsia="Century Gothic" w:hAnsi="Verdana" w:cs="Century Gothic"/>
          <w:color w:val="000000"/>
        </w:rPr>
        <w:t xml:space="preserve">De acuerdo con el contenido de su solicitud, esta Agencia resolverá el siguiente problema jurídico: </w:t>
      </w:r>
      <w:r w:rsidR="005E2104">
        <w:rPr>
          <w:rFonts w:ascii="Verdana" w:eastAsia="Century Gothic" w:hAnsi="Verdana" w:cs="Century Gothic"/>
          <w:color w:val="000000"/>
        </w:rPr>
        <w:t xml:space="preserve">i) </w:t>
      </w:r>
      <w:r w:rsidRPr="00973512">
        <w:rPr>
          <w:rFonts w:ascii="Verdana" w:eastAsia="Century Gothic" w:hAnsi="Verdana" w:cs="Century Gothic"/>
          <w:color w:val="000000"/>
        </w:rPr>
        <w:t xml:space="preserve">¿Los procesos sancionatorios adelantado por las entidades públicas deben publicarse en el </w:t>
      </w:r>
      <w:proofErr w:type="spellStart"/>
      <w:r w:rsidRPr="00973512">
        <w:rPr>
          <w:rFonts w:ascii="Verdana" w:eastAsia="Century Gothic" w:hAnsi="Verdana" w:cs="Century Gothic"/>
          <w:color w:val="000000"/>
        </w:rPr>
        <w:t>secop</w:t>
      </w:r>
      <w:proofErr w:type="spellEnd"/>
      <w:r w:rsidRPr="00973512">
        <w:rPr>
          <w:rFonts w:ascii="Verdana" w:eastAsia="Century Gothic" w:hAnsi="Verdana" w:cs="Century Gothic"/>
          <w:color w:val="000000"/>
        </w:rPr>
        <w:t>?</w:t>
      </w:r>
    </w:p>
    <w:p w14:paraId="176573DA" w14:textId="77777777" w:rsidR="00973512" w:rsidRPr="00973512" w:rsidRDefault="00973512" w:rsidP="00973512">
      <w:pPr>
        <w:spacing w:after="0" w:line="276" w:lineRule="auto"/>
        <w:jc w:val="both"/>
        <w:rPr>
          <w:rFonts w:ascii="Verdana" w:eastAsia="Calibri" w:hAnsi="Verdana" w:cs="Arial"/>
          <w:color w:val="000000"/>
          <w:lang w:val="es-ES"/>
        </w:rPr>
      </w:pPr>
    </w:p>
    <w:p w14:paraId="2A1A346F" w14:textId="77777777" w:rsidR="00973512" w:rsidRPr="00973512" w:rsidRDefault="00973512" w:rsidP="00973512">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lang w:val="es-ES"/>
        </w:rPr>
      </w:pPr>
      <w:r w:rsidRPr="00973512">
        <w:rPr>
          <w:rFonts w:ascii="Verdana" w:eastAsia="Century Gothic" w:hAnsi="Verdana" w:cs="Century Gothic"/>
          <w:b/>
          <w:bCs/>
          <w:color w:val="000000"/>
          <w:lang w:val="es-ES"/>
        </w:rPr>
        <w:t>Respuesta:</w:t>
      </w:r>
    </w:p>
    <w:p w14:paraId="4A5A4FAE" w14:textId="77777777" w:rsidR="00973512" w:rsidRPr="00973512" w:rsidRDefault="00973512" w:rsidP="00973512">
      <w:pPr>
        <w:tabs>
          <w:tab w:val="left" w:pos="142"/>
          <w:tab w:val="left" w:pos="284"/>
        </w:tabs>
        <w:spacing w:after="0" w:line="276" w:lineRule="auto"/>
        <w:jc w:val="both"/>
        <w:rPr>
          <w:rFonts w:ascii="Verdana" w:eastAsia="Century Gothic" w:hAnsi="Verdana" w:cs="Century Gothic"/>
          <w:b/>
          <w:bCs/>
          <w:color w:val="00000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73512" w:rsidRPr="00973512" w14:paraId="248E6BC5" w14:textId="77777777" w:rsidTr="00FF097A">
        <w:tc>
          <w:tcPr>
            <w:tcW w:w="8828" w:type="dxa"/>
            <w:shd w:val="clear" w:color="auto" w:fill="auto"/>
          </w:tcPr>
          <w:p w14:paraId="214531EA" w14:textId="77777777" w:rsidR="006A7D75" w:rsidRDefault="006A7D75" w:rsidP="00973512">
            <w:pPr>
              <w:spacing w:line="276" w:lineRule="auto"/>
              <w:ind w:firstLine="709"/>
              <w:jc w:val="both"/>
              <w:rPr>
                <w:rFonts w:ascii="Verdana" w:eastAsia="Calibri" w:hAnsi="Verdana" w:cs="Arial"/>
                <w:color w:val="000000"/>
              </w:rPr>
            </w:pPr>
          </w:p>
          <w:p w14:paraId="1CE41F5D" w14:textId="6F9335C2" w:rsidR="00D24FB6" w:rsidRDefault="00B15479" w:rsidP="00973512">
            <w:pPr>
              <w:spacing w:line="276" w:lineRule="auto"/>
              <w:ind w:firstLine="709"/>
              <w:jc w:val="both"/>
              <w:rPr>
                <w:rFonts w:ascii="Verdana" w:eastAsia="Calibri" w:hAnsi="Verdana" w:cs="Arial"/>
                <w:color w:val="000000"/>
              </w:rPr>
            </w:pPr>
            <w:r>
              <w:rPr>
                <w:rFonts w:ascii="Verdana" w:eastAsia="Calibri" w:hAnsi="Verdana" w:cs="Arial"/>
                <w:color w:val="000000"/>
              </w:rPr>
              <w:t xml:space="preserve">Frente al interrogante planteado, el Decreto 1082 de 2015 no señala la obligación de publicar los actos administrativos sancionatorios adelantados por las Entidades Públicas, sin </w:t>
            </w:r>
            <w:r w:rsidR="00973512" w:rsidRPr="00973512">
              <w:rPr>
                <w:rFonts w:ascii="Verdana" w:eastAsia="Calibri" w:hAnsi="Verdana" w:cs="Arial"/>
                <w:color w:val="000000"/>
              </w:rPr>
              <w:t xml:space="preserve">embargo, dado que el SECOP establece un </w:t>
            </w:r>
            <w:r>
              <w:rPr>
                <w:rFonts w:ascii="Verdana" w:eastAsia="Calibri" w:hAnsi="Verdana" w:cs="Arial"/>
                <w:color w:val="000000"/>
              </w:rPr>
              <w:t xml:space="preserve">marcador </w:t>
            </w:r>
            <w:r w:rsidR="00973512" w:rsidRPr="00973512">
              <w:rPr>
                <w:rFonts w:ascii="Verdana" w:eastAsia="Calibri" w:hAnsi="Verdana" w:cs="Arial"/>
                <w:color w:val="000000"/>
              </w:rPr>
              <w:t xml:space="preserve">para registrar los incumplimientos contractuales, en virtud del principio de publicidad, se recomienda que estos actos sean cargados en la plataforma para asegurar la visibilidad del proceso y sus resultados. </w:t>
            </w:r>
          </w:p>
          <w:p w14:paraId="2B4C76F4" w14:textId="77777777" w:rsidR="00D24FB6" w:rsidRDefault="00D24FB6" w:rsidP="00973512">
            <w:pPr>
              <w:spacing w:line="276" w:lineRule="auto"/>
              <w:ind w:firstLine="709"/>
              <w:jc w:val="both"/>
              <w:rPr>
                <w:rFonts w:ascii="Verdana" w:eastAsia="Calibri" w:hAnsi="Verdana" w:cs="Arial"/>
                <w:color w:val="000000"/>
              </w:rPr>
            </w:pPr>
          </w:p>
          <w:p w14:paraId="60505478" w14:textId="7D823FD2" w:rsidR="00973512" w:rsidRPr="00973512" w:rsidRDefault="00973512" w:rsidP="00973512">
            <w:pPr>
              <w:spacing w:line="276" w:lineRule="auto"/>
              <w:ind w:firstLine="709"/>
              <w:jc w:val="both"/>
              <w:rPr>
                <w:rFonts w:ascii="Verdana" w:eastAsia="Calibri" w:hAnsi="Verdana" w:cs="Arial"/>
                <w:color w:val="000000"/>
              </w:rPr>
            </w:pPr>
            <w:r w:rsidRPr="00973512">
              <w:rPr>
                <w:rFonts w:ascii="Verdana" w:eastAsia="Calibri" w:hAnsi="Verdana" w:cs="Arial"/>
                <w:color w:val="000000"/>
              </w:rPr>
              <w:t xml:space="preserve">Por lo tanto, si se expide un documento relacionado con incumplimientos o sanciones contractuales, es aconsejable que, en cumplimiento del principio de publicidad, sea </w:t>
            </w:r>
            <w:r w:rsidR="00A96BB0">
              <w:rPr>
                <w:rFonts w:ascii="Verdana" w:eastAsia="Calibri" w:hAnsi="Verdana" w:cs="Arial"/>
                <w:color w:val="000000"/>
              </w:rPr>
              <w:t>cargado dentro de la plataforma</w:t>
            </w:r>
            <w:r w:rsidRPr="00973512">
              <w:rPr>
                <w:rFonts w:ascii="Verdana" w:eastAsia="Calibri" w:hAnsi="Verdana" w:cs="Arial"/>
                <w:color w:val="000000"/>
              </w:rPr>
              <w:t>, a fin de promover la transparencia y facilitar el control ciudadano sobre las actuaciones de la entidad en el ámbito contractual.</w:t>
            </w:r>
          </w:p>
          <w:p w14:paraId="04C56A5F" w14:textId="77777777" w:rsidR="00973512" w:rsidRPr="00973512" w:rsidRDefault="00973512" w:rsidP="00973512">
            <w:pPr>
              <w:spacing w:line="276" w:lineRule="auto"/>
              <w:jc w:val="both"/>
              <w:rPr>
                <w:rFonts w:ascii="Verdana" w:eastAsia="Calibri" w:hAnsi="Verdana" w:cs="Arial"/>
                <w:color w:val="000000"/>
                <w:lang w:val="es-ES"/>
              </w:rPr>
            </w:pPr>
          </w:p>
        </w:tc>
      </w:tr>
    </w:tbl>
    <w:p w14:paraId="06C93352" w14:textId="77777777" w:rsidR="00973512" w:rsidRPr="00973512" w:rsidRDefault="00973512" w:rsidP="00973512">
      <w:pPr>
        <w:tabs>
          <w:tab w:val="left" w:pos="142"/>
          <w:tab w:val="left" w:pos="284"/>
        </w:tabs>
        <w:spacing w:after="0" w:line="276" w:lineRule="auto"/>
        <w:jc w:val="both"/>
        <w:rPr>
          <w:rFonts w:ascii="Verdana" w:eastAsia="Century Gothic" w:hAnsi="Verdana" w:cs="Century Gothic"/>
          <w:b/>
          <w:bCs/>
          <w:color w:val="000000"/>
          <w:lang w:val="es-ES"/>
        </w:rPr>
      </w:pPr>
    </w:p>
    <w:p w14:paraId="6FC28097" w14:textId="77777777" w:rsidR="00973512" w:rsidRPr="00973512" w:rsidRDefault="00973512" w:rsidP="00973512">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lang w:val="es-ES"/>
        </w:rPr>
      </w:pPr>
      <w:r w:rsidRPr="00973512">
        <w:rPr>
          <w:rFonts w:ascii="Verdana" w:eastAsia="Century Gothic" w:hAnsi="Verdana" w:cs="Century Gothic"/>
          <w:b/>
          <w:bCs/>
          <w:color w:val="000000"/>
          <w:lang w:val="es-ES"/>
        </w:rPr>
        <w:lastRenderedPageBreak/>
        <w:t>Razones de la respuesta:</w:t>
      </w:r>
    </w:p>
    <w:p w14:paraId="13CC1CB7" w14:textId="77777777" w:rsidR="00973512" w:rsidRPr="00973512" w:rsidRDefault="00973512" w:rsidP="00973512">
      <w:pPr>
        <w:spacing w:after="0" w:line="276" w:lineRule="auto"/>
        <w:jc w:val="both"/>
        <w:rPr>
          <w:rFonts w:ascii="Verdana" w:eastAsia="Calibri" w:hAnsi="Verdana" w:cs="Arial"/>
          <w:color w:val="000000"/>
          <w:lang w:val="es-ES"/>
        </w:rPr>
      </w:pPr>
    </w:p>
    <w:p w14:paraId="187655B3" w14:textId="77777777" w:rsidR="00973512" w:rsidRPr="00973512" w:rsidRDefault="00973512" w:rsidP="00973512">
      <w:pPr>
        <w:spacing w:after="0" w:line="276" w:lineRule="auto"/>
        <w:jc w:val="both"/>
        <w:rPr>
          <w:rFonts w:ascii="Verdana" w:eastAsia="Calibri" w:hAnsi="Verdana" w:cs="Arial"/>
          <w:color w:val="000000"/>
          <w:lang w:val="es-ES"/>
        </w:rPr>
      </w:pPr>
      <w:r w:rsidRPr="00973512">
        <w:rPr>
          <w:rFonts w:ascii="Verdana" w:eastAsia="Calibri" w:hAnsi="Verdana" w:cs="Arial"/>
          <w:color w:val="000000"/>
          <w:lang w:val="es-ES"/>
        </w:rPr>
        <w:t xml:space="preserve">Lo anterior se sustenta en las siguientes consideraciones: </w:t>
      </w:r>
    </w:p>
    <w:p w14:paraId="0EC276DE" w14:textId="77777777" w:rsidR="00973512" w:rsidRPr="00973512" w:rsidRDefault="00973512" w:rsidP="00973512">
      <w:pPr>
        <w:spacing w:after="0" w:line="276" w:lineRule="auto"/>
        <w:jc w:val="both"/>
        <w:rPr>
          <w:rFonts w:ascii="Verdana" w:eastAsia="Calibri" w:hAnsi="Verdana" w:cs="Arial"/>
          <w:color w:val="000000"/>
          <w:lang w:val="es-ES"/>
        </w:rPr>
      </w:pPr>
    </w:p>
    <w:p w14:paraId="503C21F5" w14:textId="78804B01" w:rsidR="005D53B3" w:rsidRPr="005D53B3" w:rsidRDefault="00973512" w:rsidP="005D53B3">
      <w:pPr>
        <w:numPr>
          <w:ilvl w:val="0"/>
          <w:numId w:val="17"/>
        </w:numPr>
        <w:spacing w:after="0"/>
        <w:contextualSpacing/>
        <w:jc w:val="both"/>
        <w:rPr>
          <w:rFonts w:ascii="Verdana" w:eastAsia="Times New Roman" w:hAnsi="Verdana" w:cs="Arial"/>
        </w:rPr>
      </w:pPr>
      <w:r w:rsidRPr="00973512">
        <w:rPr>
          <w:rFonts w:ascii="Verdana" w:eastAsia="Times New Roman" w:hAnsi="Verdana" w:cs="Arial"/>
          <w:lang w:val="es-ES"/>
        </w:rPr>
        <w:t>E</w:t>
      </w:r>
      <w:r w:rsidRPr="00973512">
        <w:rPr>
          <w:rFonts w:ascii="Verdana" w:eastAsia="Times New Roman" w:hAnsi="Verdana" w:cs="Arial"/>
        </w:rPr>
        <w:t xml:space="preserve">n lo que respecta a los principios de publicidad y transparencia en los procesos de contratación pública, </w:t>
      </w:r>
      <w:r w:rsidRPr="00973512">
        <w:rPr>
          <w:rFonts w:ascii="Verdana" w:eastAsia="Times New Roman" w:hAnsi="Verdana" w:cs="Arial"/>
          <w:color w:val="000000"/>
          <w:lang w:val="es-ES"/>
        </w:rPr>
        <w:t>la Agencia Nacional de Contratación Pública – Colombia Compra Eficiente ha indicado que estos principios se encuentran unidos desde el propio Estatuto General de Contratación Pública, de manera que, en virtud del principio de transparencia, las actuaciones desplegadas durante el proceso de selección de contratistas serán públicas. Con todo, el principio de transparencia guarda estrecha relación con otros principios que orientan la contratación pública, como el de igualdad, imparcialidad y selección objetiva</w:t>
      </w:r>
      <w:r w:rsidRPr="00973512">
        <w:rPr>
          <w:rFonts w:ascii="Verdana" w:eastAsia="Times New Roman" w:hAnsi="Verdana" w:cs="Times New Roman"/>
          <w:vertAlign w:val="superscript"/>
          <w:lang w:val="es-ES"/>
        </w:rPr>
        <w:footnoteReference w:id="2"/>
      </w:r>
      <w:r w:rsidRPr="00973512">
        <w:rPr>
          <w:rFonts w:ascii="Verdana" w:eastAsia="Times New Roman" w:hAnsi="Verdana" w:cs="Arial"/>
          <w:color w:val="000000"/>
          <w:lang w:val="es-ES"/>
        </w:rPr>
        <w:t>.</w:t>
      </w:r>
    </w:p>
    <w:p w14:paraId="7504287F" w14:textId="6A05519C" w:rsidR="005D53B3" w:rsidRPr="005D53B3" w:rsidRDefault="00430F82" w:rsidP="005D53B3">
      <w:pPr>
        <w:pStyle w:val="NormalWeb"/>
        <w:numPr>
          <w:ilvl w:val="0"/>
          <w:numId w:val="17"/>
        </w:numPr>
        <w:jc w:val="both"/>
        <w:rPr>
          <w:rFonts w:ascii="Verdana" w:hAnsi="Verdana"/>
          <w:sz w:val="22"/>
          <w:szCs w:val="22"/>
        </w:rPr>
      </w:pPr>
      <w:r w:rsidRPr="001C7FFD">
        <w:rPr>
          <w:rFonts w:ascii="Verdana" w:hAnsi="Verdana"/>
          <w:sz w:val="22"/>
          <w:szCs w:val="22"/>
        </w:rPr>
        <w:t xml:space="preserve">El principio de publicidad impone a las autoridades administrativas el deber de dar a conocer sus actos, contratos y decisiones, para que se divulguen y, eventualmente, se controlen las actuaciones. En virtud de ello, en el </w:t>
      </w:r>
      <w:proofErr w:type="spellStart"/>
      <w:r w:rsidRPr="001C7FFD">
        <w:rPr>
          <w:rFonts w:ascii="Verdana" w:hAnsi="Verdana"/>
          <w:sz w:val="22"/>
          <w:szCs w:val="22"/>
        </w:rPr>
        <w:t>ámbito</w:t>
      </w:r>
      <w:proofErr w:type="spellEnd"/>
      <w:r w:rsidRPr="001C7FFD">
        <w:rPr>
          <w:rFonts w:ascii="Verdana" w:hAnsi="Verdana"/>
          <w:sz w:val="22"/>
          <w:szCs w:val="22"/>
        </w:rPr>
        <w:t xml:space="preserve"> de la </w:t>
      </w:r>
      <w:proofErr w:type="spellStart"/>
      <w:r w:rsidRPr="001C7FFD">
        <w:rPr>
          <w:rFonts w:ascii="Verdana" w:hAnsi="Verdana"/>
          <w:sz w:val="22"/>
          <w:szCs w:val="22"/>
        </w:rPr>
        <w:t>contratación</w:t>
      </w:r>
      <w:proofErr w:type="spellEnd"/>
      <w:r w:rsidRPr="001C7FFD">
        <w:rPr>
          <w:rFonts w:ascii="Verdana" w:hAnsi="Verdana"/>
          <w:sz w:val="22"/>
          <w:szCs w:val="22"/>
        </w:rPr>
        <w:t xml:space="preserve"> estatal el literal c) del </w:t>
      </w:r>
      <w:proofErr w:type="spellStart"/>
      <w:r w:rsidRPr="001C7FFD">
        <w:rPr>
          <w:rFonts w:ascii="Verdana" w:hAnsi="Verdana"/>
          <w:sz w:val="22"/>
          <w:szCs w:val="22"/>
        </w:rPr>
        <w:t>artículo</w:t>
      </w:r>
      <w:proofErr w:type="spellEnd"/>
      <w:r w:rsidRPr="001C7FFD">
        <w:rPr>
          <w:rFonts w:ascii="Verdana" w:hAnsi="Verdana"/>
          <w:sz w:val="22"/>
          <w:szCs w:val="22"/>
        </w:rPr>
        <w:t xml:space="preserve"> 3 de la Ley 1150 de 2007 establece el Sistema </w:t>
      </w:r>
      <w:proofErr w:type="spellStart"/>
      <w:r w:rsidRPr="001C7FFD">
        <w:rPr>
          <w:rFonts w:ascii="Verdana" w:hAnsi="Verdana"/>
          <w:sz w:val="22"/>
          <w:szCs w:val="22"/>
        </w:rPr>
        <w:t>Electrónico</w:t>
      </w:r>
      <w:proofErr w:type="spellEnd"/>
      <w:r w:rsidRPr="001C7FFD">
        <w:rPr>
          <w:rFonts w:ascii="Verdana" w:hAnsi="Verdana"/>
          <w:sz w:val="22"/>
          <w:szCs w:val="22"/>
        </w:rPr>
        <w:t xml:space="preserve"> para la </w:t>
      </w:r>
      <w:proofErr w:type="spellStart"/>
      <w:r w:rsidRPr="001C7FFD">
        <w:rPr>
          <w:rFonts w:ascii="Verdana" w:hAnsi="Verdana"/>
          <w:sz w:val="22"/>
          <w:szCs w:val="22"/>
        </w:rPr>
        <w:t>Contratación</w:t>
      </w:r>
      <w:proofErr w:type="spellEnd"/>
      <w:r w:rsidRPr="001C7FFD">
        <w:rPr>
          <w:rFonts w:ascii="Verdana" w:hAnsi="Verdana"/>
          <w:sz w:val="22"/>
          <w:szCs w:val="22"/>
        </w:rPr>
        <w:t xml:space="preserve"> </w:t>
      </w:r>
      <w:proofErr w:type="spellStart"/>
      <w:r w:rsidRPr="001C7FFD">
        <w:rPr>
          <w:rFonts w:ascii="Verdana" w:hAnsi="Verdana"/>
          <w:sz w:val="22"/>
          <w:szCs w:val="22"/>
        </w:rPr>
        <w:t>Pública</w:t>
      </w:r>
      <w:proofErr w:type="spellEnd"/>
      <w:r w:rsidRPr="001C7FFD">
        <w:rPr>
          <w:rFonts w:ascii="Verdana" w:hAnsi="Verdana"/>
          <w:sz w:val="22"/>
          <w:szCs w:val="22"/>
        </w:rPr>
        <w:t xml:space="preserve"> </w:t>
      </w:r>
      <w:r w:rsidRPr="001C7FFD">
        <w:rPr>
          <w:rFonts w:ascii="Verdana" w:hAnsi="Verdana" w:hint="eastAsia"/>
          <w:sz w:val="22"/>
          <w:szCs w:val="22"/>
        </w:rPr>
        <w:t>–</w:t>
      </w:r>
      <w:r w:rsidRPr="001C7FFD">
        <w:rPr>
          <w:rFonts w:ascii="Verdana" w:hAnsi="Verdana"/>
          <w:sz w:val="22"/>
          <w:szCs w:val="22"/>
        </w:rPr>
        <w:t xml:space="preserve"> en adelante SECOP </w:t>
      </w:r>
      <w:r w:rsidRPr="001C7FFD">
        <w:rPr>
          <w:rFonts w:ascii="Verdana" w:hAnsi="Verdana" w:hint="eastAsia"/>
          <w:sz w:val="22"/>
          <w:szCs w:val="22"/>
        </w:rPr>
        <w:t>–</w:t>
      </w:r>
      <w:r w:rsidRPr="001C7FFD">
        <w:rPr>
          <w:rFonts w:ascii="Verdana" w:hAnsi="Verdana"/>
          <w:sz w:val="22"/>
          <w:szCs w:val="22"/>
        </w:rPr>
        <w:t xml:space="preserve"> como un mecanismo que </w:t>
      </w:r>
      <w:r w:rsidRPr="001C7FFD">
        <w:rPr>
          <w:rFonts w:ascii="Verdana" w:hAnsi="Verdana" w:hint="eastAsia"/>
          <w:sz w:val="22"/>
          <w:szCs w:val="22"/>
        </w:rPr>
        <w:t>“</w:t>
      </w:r>
      <w:r w:rsidRPr="001C7FFD">
        <w:rPr>
          <w:rFonts w:ascii="Verdana" w:hAnsi="Verdana"/>
          <w:sz w:val="22"/>
          <w:szCs w:val="22"/>
        </w:rPr>
        <w:t xml:space="preserve">contará con la </w:t>
      </w:r>
      <w:proofErr w:type="spellStart"/>
      <w:r w:rsidRPr="001C7FFD">
        <w:rPr>
          <w:rFonts w:ascii="Verdana" w:hAnsi="Verdana"/>
          <w:sz w:val="22"/>
          <w:szCs w:val="22"/>
        </w:rPr>
        <w:t>información</w:t>
      </w:r>
      <w:proofErr w:type="spellEnd"/>
      <w:r w:rsidRPr="001C7FFD">
        <w:rPr>
          <w:rFonts w:ascii="Verdana" w:hAnsi="Verdana"/>
          <w:sz w:val="22"/>
          <w:szCs w:val="22"/>
        </w:rPr>
        <w:t xml:space="preserve"> oficial de la </w:t>
      </w:r>
      <w:proofErr w:type="spellStart"/>
      <w:r w:rsidRPr="001C7FFD">
        <w:rPr>
          <w:rFonts w:ascii="Verdana" w:hAnsi="Verdana"/>
          <w:sz w:val="22"/>
          <w:szCs w:val="22"/>
        </w:rPr>
        <w:t>contratación</w:t>
      </w:r>
      <w:proofErr w:type="spellEnd"/>
      <w:r w:rsidRPr="001C7FFD">
        <w:rPr>
          <w:rFonts w:ascii="Verdana" w:hAnsi="Verdana"/>
          <w:sz w:val="22"/>
          <w:szCs w:val="22"/>
        </w:rPr>
        <w:t xml:space="preserve"> realizada con dineros </w:t>
      </w:r>
      <w:proofErr w:type="spellStart"/>
      <w:r w:rsidRPr="001C7FFD">
        <w:rPr>
          <w:rFonts w:ascii="Verdana" w:hAnsi="Verdana"/>
          <w:sz w:val="22"/>
          <w:szCs w:val="22"/>
        </w:rPr>
        <w:t>públicos</w:t>
      </w:r>
      <w:proofErr w:type="spellEnd"/>
      <w:r w:rsidRPr="001C7FFD">
        <w:rPr>
          <w:rFonts w:ascii="Verdana" w:hAnsi="Verdana"/>
          <w:sz w:val="22"/>
          <w:szCs w:val="22"/>
        </w:rPr>
        <w:t xml:space="preserve">, para lo cual </w:t>
      </w:r>
      <w:proofErr w:type="spellStart"/>
      <w:r w:rsidRPr="001C7FFD">
        <w:rPr>
          <w:rFonts w:ascii="Verdana" w:hAnsi="Verdana"/>
          <w:sz w:val="22"/>
          <w:szCs w:val="22"/>
        </w:rPr>
        <w:t>establecera</w:t>
      </w:r>
      <w:proofErr w:type="spellEnd"/>
      <w:r w:rsidRPr="001C7FFD">
        <w:rPr>
          <w:rFonts w:ascii="Verdana" w:hAnsi="Verdana"/>
          <w:sz w:val="22"/>
          <w:szCs w:val="22"/>
        </w:rPr>
        <w:t xml:space="preserve">́ los patrones a que haya lugar y se encargará de su </w:t>
      </w:r>
      <w:proofErr w:type="spellStart"/>
      <w:r w:rsidRPr="001C7FFD">
        <w:rPr>
          <w:rFonts w:ascii="Verdana" w:hAnsi="Verdana"/>
          <w:sz w:val="22"/>
          <w:szCs w:val="22"/>
        </w:rPr>
        <w:t>difusión</w:t>
      </w:r>
      <w:proofErr w:type="spellEnd"/>
      <w:r w:rsidRPr="001C7FFD">
        <w:rPr>
          <w:rFonts w:ascii="Verdana" w:hAnsi="Verdana"/>
          <w:sz w:val="22"/>
          <w:szCs w:val="22"/>
        </w:rPr>
        <w:t xml:space="preserve"> a </w:t>
      </w:r>
      <w:proofErr w:type="spellStart"/>
      <w:r w:rsidRPr="001C7FFD">
        <w:rPr>
          <w:rFonts w:ascii="Verdana" w:hAnsi="Verdana"/>
          <w:sz w:val="22"/>
          <w:szCs w:val="22"/>
        </w:rPr>
        <w:t>través</w:t>
      </w:r>
      <w:proofErr w:type="spellEnd"/>
      <w:r w:rsidRPr="001C7FFD">
        <w:rPr>
          <w:rFonts w:ascii="Verdana" w:hAnsi="Verdana"/>
          <w:sz w:val="22"/>
          <w:szCs w:val="22"/>
        </w:rPr>
        <w:t xml:space="preserve"> de canales </w:t>
      </w:r>
      <w:proofErr w:type="spellStart"/>
      <w:r w:rsidRPr="001C7FFD">
        <w:rPr>
          <w:rFonts w:ascii="Verdana" w:hAnsi="Verdana"/>
          <w:sz w:val="22"/>
          <w:szCs w:val="22"/>
        </w:rPr>
        <w:t>electrónicos</w:t>
      </w:r>
      <w:proofErr w:type="spellEnd"/>
      <w:r w:rsidRPr="001C7FFD">
        <w:rPr>
          <w:rFonts w:ascii="Verdana" w:hAnsi="Verdana" w:hint="eastAsia"/>
          <w:sz w:val="22"/>
          <w:szCs w:val="22"/>
        </w:rPr>
        <w:t>”</w:t>
      </w:r>
      <w:r w:rsidRPr="001C7FFD">
        <w:rPr>
          <w:rFonts w:ascii="Verdana" w:hAnsi="Verdana"/>
          <w:sz w:val="22"/>
          <w:szCs w:val="22"/>
        </w:rPr>
        <w:t xml:space="preserve"> </w:t>
      </w:r>
      <w:r w:rsidRPr="001C7FFD">
        <w:rPr>
          <w:rStyle w:val="Refdenotaalpie"/>
          <w:rFonts w:ascii="Verdana" w:hAnsi="Verdana"/>
          <w:sz w:val="22"/>
          <w:szCs w:val="22"/>
        </w:rPr>
        <w:footnoteReference w:id="3"/>
      </w:r>
    </w:p>
    <w:p w14:paraId="25AD0D8B" w14:textId="77777777" w:rsidR="00430F82" w:rsidRPr="00D23099" w:rsidRDefault="00430F82" w:rsidP="00430F82">
      <w:pPr>
        <w:pStyle w:val="NormalWeb"/>
        <w:numPr>
          <w:ilvl w:val="0"/>
          <w:numId w:val="17"/>
        </w:numPr>
        <w:jc w:val="both"/>
        <w:rPr>
          <w:rFonts w:ascii="Verdana" w:hAnsi="Verdana"/>
          <w:sz w:val="22"/>
          <w:szCs w:val="22"/>
        </w:rPr>
      </w:pPr>
      <w:r w:rsidRPr="001C7FFD">
        <w:rPr>
          <w:rFonts w:ascii="Verdana" w:hAnsi="Verdana"/>
          <w:sz w:val="22"/>
          <w:szCs w:val="22"/>
        </w:rPr>
        <w:t xml:space="preserve">De otra parte, la Ley 1712 de 2014, </w:t>
      </w:r>
      <w:r w:rsidRPr="001C7FFD">
        <w:rPr>
          <w:rFonts w:ascii="Verdana" w:hAnsi="Verdana" w:hint="eastAsia"/>
          <w:sz w:val="22"/>
          <w:szCs w:val="22"/>
        </w:rPr>
        <w:t>“</w:t>
      </w:r>
      <w:r w:rsidRPr="001C7FFD">
        <w:rPr>
          <w:rFonts w:ascii="Verdana" w:hAnsi="Verdana"/>
          <w:sz w:val="22"/>
          <w:szCs w:val="22"/>
        </w:rPr>
        <w:t xml:space="preserve">Por medio de la cual se crea la Ley de Transparencia y del Derecho de Acceso a la </w:t>
      </w:r>
      <w:proofErr w:type="spellStart"/>
      <w:r w:rsidRPr="001C7FFD">
        <w:rPr>
          <w:rFonts w:ascii="Verdana" w:hAnsi="Verdana"/>
          <w:sz w:val="22"/>
          <w:szCs w:val="22"/>
        </w:rPr>
        <w:t>Información</w:t>
      </w:r>
      <w:proofErr w:type="spellEnd"/>
      <w:r w:rsidRPr="001C7FFD">
        <w:rPr>
          <w:rFonts w:ascii="Verdana" w:hAnsi="Verdana"/>
          <w:sz w:val="22"/>
          <w:szCs w:val="22"/>
        </w:rPr>
        <w:t xml:space="preserve"> </w:t>
      </w:r>
      <w:proofErr w:type="spellStart"/>
      <w:r w:rsidRPr="001C7FFD">
        <w:rPr>
          <w:rFonts w:ascii="Verdana" w:hAnsi="Verdana"/>
          <w:sz w:val="22"/>
          <w:szCs w:val="22"/>
        </w:rPr>
        <w:t>Pública</w:t>
      </w:r>
      <w:proofErr w:type="spellEnd"/>
      <w:r w:rsidRPr="001C7FFD">
        <w:rPr>
          <w:rFonts w:ascii="Verdana" w:hAnsi="Verdana"/>
          <w:sz w:val="22"/>
          <w:szCs w:val="22"/>
        </w:rPr>
        <w:t xml:space="preserve"> Nacional y se dictan otras disposiciones</w:t>
      </w:r>
      <w:r w:rsidRPr="001C7FFD">
        <w:rPr>
          <w:rFonts w:ascii="Verdana" w:hAnsi="Verdana" w:hint="eastAsia"/>
          <w:sz w:val="22"/>
          <w:szCs w:val="22"/>
        </w:rPr>
        <w:t>”</w:t>
      </w:r>
      <w:r w:rsidRPr="001C7FFD">
        <w:rPr>
          <w:rFonts w:ascii="Verdana" w:hAnsi="Verdana"/>
          <w:sz w:val="22"/>
          <w:szCs w:val="22"/>
        </w:rPr>
        <w:t xml:space="preserve">, identifica como principios que orientan el derecho de acceso a la </w:t>
      </w:r>
      <w:proofErr w:type="spellStart"/>
      <w:r w:rsidRPr="001C7FFD">
        <w:rPr>
          <w:rFonts w:ascii="Verdana" w:hAnsi="Verdana"/>
          <w:sz w:val="22"/>
          <w:szCs w:val="22"/>
        </w:rPr>
        <w:t>información</w:t>
      </w:r>
      <w:proofErr w:type="spellEnd"/>
      <w:r w:rsidRPr="001C7FFD">
        <w:rPr>
          <w:rFonts w:ascii="Verdana" w:hAnsi="Verdana"/>
          <w:sz w:val="22"/>
          <w:szCs w:val="22"/>
        </w:rPr>
        <w:t xml:space="preserve"> </w:t>
      </w:r>
      <w:proofErr w:type="spellStart"/>
      <w:r w:rsidRPr="001C7FFD">
        <w:rPr>
          <w:rFonts w:ascii="Verdana" w:hAnsi="Verdana"/>
          <w:sz w:val="22"/>
          <w:szCs w:val="22"/>
        </w:rPr>
        <w:t>pública</w:t>
      </w:r>
      <w:proofErr w:type="spellEnd"/>
      <w:r w:rsidRPr="001C7FFD">
        <w:rPr>
          <w:rFonts w:ascii="Verdana" w:hAnsi="Verdana"/>
          <w:sz w:val="22"/>
          <w:szCs w:val="22"/>
        </w:rPr>
        <w:t xml:space="preserve">, el principio de </w:t>
      </w:r>
      <w:proofErr w:type="spellStart"/>
      <w:r w:rsidRPr="001C7FFD">
        <w:rPr>
          <w:rFonts w:ascii="Verdana" w:hAnsi="Verdana"/>
          <w:sz w:val="22"/>
          <w:szCs w:val="22"/>
        </w:rPr>
        <w:t>máxima</w:t>
      </w:r>
      <w:proofErr w:type="spellEnd"/>
      <w:r w:rsidRPr="001C7FFD">
        <w:rPr>
          <w:rFonts w:ascii="Verdana" w:hAnsi="Verdana"/>
          <w:sz w:val="22"/>
          <w:szCs w:val="22"/>
        </w:rPr>
        <w:t xml:space="preserve"> publicidad, el principio de transparencia en la </w:t>
      </w:r>
      <w:proofErr w:type="spellStart"/>
      <w:r w:rsidRPr="001C7FFD">
        <w:rPr>
          <w:rFonts w:ascii="Verdana" w:hAnsi="Verdana"/>
          <w:sz w:val="22"/>
          <w:szCs w:val="22"/>
        </w:rPr>
        <w:t>información</w:t>
      </w:r>
      <w:proofErr w:type="spellEnd"/>
      <w:r w:rsidRPr="001C7FFD">
        <w:rPr>
          <w:rFonts w:ascii="Verdana" w:hAnsi="Verdana"/>
          <w:sz w:val="22"/>
          <w:szCs w:val="22"/>
        </w:rPr>
        <w:t xml:space="preserve"> y el principio de buena fe. El principio de </w:t>
      </w:r>
      <w:proofErr w:type="spellStart"/>
      <w:r w:rsidRPr="001C7FFD">
        <w:rPr>
          <w:rFonts w:ascii="Verdana" w:hAnsi="Verdana"/>
          <w:sz w:val="22"/>
          <w:szCs w:val="22"/>
        </w:rPr>
        <w:t>máxima</w:t>
      </w:r>
      <w:proofErr w:type="spellEnd"/>
      <w:r w:rsidRPr="001C7FFD">
        <w:rPr>
          <w:rFonts w:ascii="Verdana" w:hAnsi="Verdana"/>
          <w:sz w:val="22"/>
          <w:szCs w:val="22"/>
        </w:rPr>
        <w:t xml:space="preserve"> publicidad establece que </w:t>
      </w:r>
      <w:r w:rsidRPr="001C7FFD">
        <w:rPr>
          <w:rFonts w:ascii="Verdana" w:hAnsi="Verdana" w:hint="eastAsia"/>
          <w:sz w:val="22"/>
          <w:szCs w:val="22"/>
        </w:rPr>
        <w:lastRenderedPageBreak/>
        <w:t>“</w:t>
      </w:r>
      <w:r w:rsidRPr="001C7FFD">
        <w:rPr>
          <w:rFonts w:ascii="Verdana" w:hAnsi="Verdana"/>
          <w:sz w:val="22"/>
          <w:szCs w:val="22"/>
        </w:rPr>
        <w:t xml:space="preserve">toda </w:t>
      </w:r>
      <w:proofErr w:type="spellStart"/>
      <w:r w:rsidRPr="001C7FFD">
        <w:rPr>
          <w:rFonts w:ascii="Verdana" w:hAnsi="Verdana"/>
          <w:sz w:val="22"/>
          <w:szCs w:val="22"/>
        </w:rPr>
        <w:t>información</w:t>
      </w:r>
      <w:proofErr w:type="spellEnd"/>
      <w:r w:rsidRPr="001C7FFD">
        <w:rPr>
          <w:rFonts w:ascii="Verdana" w:hAnsi="Verdana"/>
          <w:sz w:val="22"/>
          <w:szCs w:val="22"/>
        </w:rPr>
        <w:t xml:space="preserve"> en </w:t>
      </w:r>
      <w:proofErr w:type="spellStart"/>
      <w:r w:rsidRPr="001C7FFD">
        <w:rPr>
          <w:rFonts w:ascii="Verdana" w:hAnsi="Verdana"/>
          <w:sz w:val="22"/>
          <w:szCs w:val="22"/>
        </w:rPr>
        <w:t>posesión</w:t>
      </w:r>
      <w:proofErr w:type="spellEnd"/>
      <w:r w:rsidRPr="001C7FFD">
        <w:rPr>
          <w:rFonts w:ascii="Verdana" w:hAnsi="Verdana"/>
          <w:sz w:val="22"/>
          <w:szCs w:val="22"/>
        </w:rPr>
        <w:t xml:space="preserve">, bajo control o custodia de un sujeto obligado es </w:t>
      </w:r>
      <w:proofErr w:type="spellStart"/>
      <w:r w:rsidRPr="001C7FFD">
        <w:rPr>
          <w:rFonts w:ascii="Verdana" w:hAnsi="Verdana"/>
          <w:sz w:val="22"/>
          <w:szCs w:val="22"/>
        </w:rPr>
        <w:t>pública</w:t>
      </w:r>
      <w:proofErr w:type="spellEnd"/>
      <w:r w:rsidRPr="001C7FFD">
        <w:rPr>
          <w:rFonts w:ascii="Verdana" w:hAnsi="Verdana"/>
          <w:sz w:val="22"/>
          <w:szCs w:val="22"/>
        </w:rPr>
        <w:t xml:space="preserve"> y no </w:t>
      </w:r>
      <w:proofErr w:type="spellStart"/>
      <w:r w:rsidRPr="001C7FFD">
        <w:rPr>
          <w:rFonts w:ascii="Verdana" w:hAnsi="Verdana"/>
          <w:sz w:val="22"/>
          <w:szCs w:val="22"/>
        </w:rPr>
        <w:t>podra</w:t>
      </w:r>
      <w:proofErr w:type="spellEnd"/>
      <w:r w:rsidRPr="001C7FFD">
        <w:rPr>
          <w:rFonts w:ascii="Verdana" w:hAnsi="Verdana"/>
          <w:sz w:val="22"/>
          <w:szCs w:val="22"/>
        </w:rPr>
        <w:t xml:space="preserve">́ ser reservada o limitada sino por </w:t>
      </w:r>
      <w:proofErr w:type="spellStart"/>
      <w:r w:rsidRPr="001C7FFD">
        <w:rPr>
          <w:rFonts w:ascii="Verdana" w:hAnsi="Verdana"/>
          <w:sz w:val="22"/>
          <w:szCs w:val="22"/>
        </w:rPr>
        <w:t>disposición</w:t>
      </w:r>
      <w:proofErr w:type="spellEnd"/>
      <w:r w:rsidRPr="001C7FFD">
        <w:rPr>
          <w:rFonts w:ascii="Verdana" w:hAnsi="Verdana"/>
          <w:sz w:val="22"/>
          <w:szCs w:val="22"/>
        </w:rPr>
        <w:t xml:space="preserve"> constitucional o legal</w:t>
      </w:r>
      <w:r w:rsidRPr="001C7FFD">
        <w:rPr>
          <w:rFonts w:ascii="Verdana" w:hAnsi="Verdana" w:hint="eastAsia"/>
          <w:sz w:val="22"/>
          <w:szCs w:val="22"/>
        </w:rPr>
        <w:t>”</w:t>
      </w:r>
      <w:r w:rsidRPr="001C7FFD">
        <w:rPr>
          <w:rFonts w:ascii="Verdana" w:hAnsi="Verdana"/>
          <w:sz w:val="22"/>
          <w:szCs w:val="22"/>
        </w:rPr>
        <w:t xml:space="preserve">. </w:t>
      </w:r>
      <w:r w:rsidRPr="001C7FFD">
        <w:rPr>
          <w:rStyle w:val="Refdenotaalpie"/>
          <w:rFonts w:ascii="Verdana" w:hAnsi="Verdana"/>
          <w:sz w:val="22"/>
          <w:szCs w:val="22"/>
        </w:rPr>
        <w:footnoteReference w:id="4"/>
      </w:r>
    </w:p>
    <w:p w14:paraId="7AED5D84" w14:textId="77777777" w:rsidR="00430F82" w:rsidRPr="001C7FFD" w:rsidRDefault="00430F82" w:rsidP="00430F82">
      <w:pPr>
        <w:pStyle w:val="NormalWeb"/>
        <w:numPr>
          <w:ilvl w:val="0"/>
          <w:numId w:val="17"/>
        </w:numPr>
        <w:jc w:val="both"/>
        <w:rPr>
          <w:rFonts w:ascii="Verdana" w:hAnsi="Verdana"/>
          <w:sz w:val="22"/>
          <w:szCs w:val="22"/>
        </w:rPr>
      </w:pPr>
      <w:r w:rsidRPr="00D23099">
        <w:rPr>
          <w:rFonts w:ascii="Verdana" w:hAnsi="Verdana"/>
          <w:sz w:val="22"/>
          <w:szCs w:val="22"/>
        </w:rPr>
        <w:t>Ahora bien, e</w:t>
      </w:r>
      <w:r w:rsidRPr="001C7FFD">
        <w:rPr>
          <w:rFonts w:ascii="Verdana" w:hAnsi="Verdana"/>
          <w:sz w:val="22"/>
          <w:szCs w:val="22"/>
        </w:rPr>
        <w:t xml:space="preserve">l principio de transparencia en la </w:t>
      </w:r>
      <w:proofErr w:type="spellStart"/>
      <w:proofErr w:type="gramStart"/>
      <w:r w:rsidRPr="001C7FFD">
        <w:rPr>
          <w:rFonts w:ascii="Verdana" w:hAnsi="Verdana"/>
          <w:sz w:val="22"/>
          <w:szCs w:val="22"/>
        </w:rPr>
        <w:t>información</w:t>
      </w:r>
      <w:proofErr w:type="spellEnd"/>
      <w:r w:rsidRPr="00D23099">
        <w:rPr>
          <w:rFonts w:ascii="Verdana" w:hAnsi="Verdana"/>
          <w:sz w:val="22"/>
          <w:szCs w:val="22"/>
        </w:rPr>
        <w:t>,</w:t>
      </w:r>
      <w:proofErr w:type="gramEnd"/>
      <w:r w:rsidRPr="00D23099">
        <w:rPr>
          <w:rFonts w:ascii="Verdana" w:hAnsi="Verdana"/>
          <w:sz w:val="22"/>
          <w:szCs w:val="22"/>
        </w:rPr>
        <w:t xml:space="preserve"> </w:t>
      </w:r>
      <w:r w:rsidRPr="001C7FFD">
        <w:rPr>
          <w:rFonts w:ascii="Verdana" w:hAnsi="Verdana"/>
          <w:sz w:val="22"/>
          <w:szCs w:val="22"/>
        </w:rPr>
        <w:t xml:space="preserve">alude al deber de los sujetos de proporcionar y facilitar el acceso a la misma en los </w:t>
      </w:r>
      <w:proofErr w:type="spellStart"/>
      <w:r w:rsidRPr="001C7FFD">
        <w:rPr>
          <w:rFonts w:ascii="Verdana" w:hAnsi="Verdana"/>
          <w:sz w:val="22"/>
          <w:szCs w:val="22"/>
        </w:rPr>
        <w:t>términos</w:t>
      </w:r>
      <w:proofErr w:type="spellEnd"/>
      <w:r w:rsidRPr="001C7FFD">
        <w:rPr>
          <w:rFonts w:ascii="Verdana" w:hAnsi="Verdana"/>
          <w:sz w:val="22"/>
          <w:szCs w:val="22"/>
        </w:rPr>
        <w:t xml:space="preserve"> </w:t>
      </w:r>
      <w:proofErr w:type="spellStart"/>
      <w:r w:rsidRPr="001C7FFD">
        <w:rPr>
          <w:rFonts w:ascii="Verdana" w:hAnsi="Verdana"/>
          <w:sz w:val="22"/>
          <w:szCs w:val="22"/>
        </w:rPr>
        <w:t>más</w:t>
      </w:r>
      <w:proofErr w:type="spellEnd"/>
      <w:r w:rsidRPr="001C7FFD">
        <w:rPr>
          <w:rFonts w:ascii="Verdana" w:hAnsi="Verdana"/>
          <w:sz w:val="22"/>
          <w:szCs w:val="22"/>
        </w:rPr>
        <w:t xml:space="preserve"> amplios posibles, a </w:t>
      </w:r>
      <w:proofErr w:type="spellStart"/>
      <w:r w:rsidRPr="001C7FFD">
        <w:rPr>
          <w:rFonts w:ascii="Verdana" w:hAnsi="Verdana"/>
          <w:sz w:val="22"/>
          <w:szCs w:val="22"/>
        </w:rPr>
        <w:t>través</w:t>
      </w:r>
      <w:proofErr w:type="spellEnd"/>
      <w:r w:rsidRPr="001C7FFD">
        <w:rPr>
          <w:rFonts w:ascii="Verdana" w:hAnsi="Verdana"/>
          <w:sz w:val="22"/>
          <w:szCs w:val="22"/>
        </w:rPr>
        <w:t xml:space="preserve"> de los medios y procedimientos que establezca la ley. </w:t>
      </w:r>
      <w:r w:rsidRPr="001C7FFD">
        <w:rPr>
          <w:rStyle w:val="Refdenotaalpie"/>
          <w:rFonts w:ascii="Verdana" w:hAnsi="Verdana"/>
          <w:sz w:val="22"/>
          <w:szCs w:val="22"/>
        </w:rPr>
        <w:footnoteReference w:id="5"/>
      </w:r>
      <w:r w:rsidRPr="001C7FFD">
        <w:rPr>
          <w:rFonts w:ascii="Verdana" w:hAnsi="Verdana"/>
          <w:sz w:val="22"/>
          <w:szCs w:val="22"/>
        </w:rPr>
        <w:t xml:space="preserve">Finalmente, el principio de buena fe hace referencia al deber de todo sujeto obligado de cumplir con las obligaciones derivadas del derecho de acceso a la </w:t>
      </w:r>
      <w:proofErr w:type="spellStart"/>
      <w:r w:rsidRPr="001C7FFD">
        <w:rPr>
          <w:rFonts w:ascii="Verdana" w:hAnsi="Verdana"/>
          <w:sz w:val="22"/>
          <w:szCs w:val="22"/>
        </w:rPr>
        <w:t>información</w:t>
      </w:r>
      <w:proofErr w:type="spellEnd"/>
      <w:r w:rsidRPr="001C7FFD">
        <w:rPr>
          <w:rFonts w:ascii="Verdana" w:hAnsi="Verdana"/>
          <w:sz w:val="22"/>
          <w:szCs w:val="22"/>
        </w:rPr>
        <w:t xml:space="preserve"> </w:t>
      </w:r>
      <w:proofErr w:type="spellStart"/>
      <w:r w:rsidRPr="001C7FFD">
        <w:rPr>
          <w:rFonts w:ascii="Verdana" w:hAnsi="Verdana"/>
          <w:sz w:val="22"/>
          <w:szCs w:val="22"/>
        </w:rPr>
        <w:t>pública</w:t>
      </w:r>
      <w:proofErr w:type="spellEnd"/>
      <w:r w:rsidRPr="001C7FFD">
        <w:rPr>
          <w:rFonts w:ascii="Verdana" w:hAnsi="Verdana"/>
          <w:sz w:val="22"/>
          <w:szCs w:val="22"/>
        </w:rPr>
        <w:t xml:space="preserve"> con </w:t>
      </w:r>
      <w:proofErr w:type="spellStart"/>
      <w:r w:rsidRPr="001C7FFD">
        <w:rPr>
          <w:rFonts w:ascii="Verdana" w:hAnsi="Verdana"/>
          <w:sz w:val="22"/>
          <w:szCs w:val="22"/>
        </w:rPr>
        <w:t>motivación</w:t>
      </w:r>
      <w:proofErr w:type="spellEnd"/>
      <w:r w:rsidRPr="001C7FFD">
        <w:rPr>
          <w:rFonts w:ascii="Verdana" w:hAnsi="Verdana"/>
          <w:sz w:val="22"/>
          <w:szCs w:val="22"/>
        </w:rPr>
        <w:t xml:space="preserve"> honesta, leal y desprovista de cualquier </w:t>
      </w:r>
      <w:proofErr w:type="spellStart"/>
      <w:r w:rsidRPr="001C7FFD">
        <w:rPr>
          <w:rFonts w:ascii="Verdana" w:hAnsi="Verdana"/>
          <w:sz w:val="22"/>
          <w:szCs w:val="22"/>
        </w:rPr>
        <w:t>intención</w:t>
      </w:r>
      <w:proofErr w:type="spellEnd"/>
      <w:r w:rsidRPr="001C7FFD">
        <w:rPr>
          <w:rFonts w:ascii="Verdana" w:hAnsi="Verdana"/>
          <w:sz w:val="22"/>
          <w:szCs w:val="22"/>
        </w:rPr>
        <w:t xml:space="preserve"> dolosa o culposa</w:t>
      </w:r>
      <w:r w:rsidRPr="001C7FFD">
        <w:rPr>
          <w:rStyle w:val="Refdenotaalpie"/>
          <w:rFonts w:ascii="Verdana" w:hAnsi="Verdana"/>
          <w:sz w:val="22"/>
          <w:szCs w:val="22"/>
        </w:rPr>
        <w:footnoteReference w:id="6"/>
      </w:r>
      <w:r w:rsidRPr="001C7FFD">
        <w:rPr>
          <w:rFonts w:ascii="Verdana" w:hAnsi="Verdana"/>
          <w:sz w:val="22"/>
          <w:szCs w:val="22"/>
        </w:rPr>
        <w:t xml:space="preserve">. </w:t>
      </w:r>
    </w:p>
    <w:p w14:paraId="7F2990DA" w14:textId="77777777" w:rsidR="00430F82" w:rsidRPr="001C7FFD" w:rsidRDefault="00430F82" w:rsidP="00430F82">
      <w:pPr>
        <w:pStyle w:val="NormalWeb"/>
        <w:numPr>
          <w:ilvl w:val="0"/>
          <w:numId w:val="17"/>
        </w:numPr>
        <w:jc w:val="both"/>
        <w:rPr>
          <w:rFonts w:ascii="Verdana" w:hAnsi="Verdana"/>
          <w:sz w:val="22"/>
          <w:szCs w:val="22"/>
        </w:rPr>
      </w:pPr>
      <w:r w:rsidRPr="001C7FFD">
        <w:rPr>
          <w:rFonts w:ascii="Verdana" w:hAnsi="Verdana"/>
          <w:sz w:val="22"/>
          <w:szCs w:val="22"/>
        </w:rPr>
        <w:t xml:space="preserve">El </w:t>
      </w:r>
      <w:proofErr w:type="spellStart"/>
      <w:r w:rsidRPr="001C7FFD">
        <w:rPr>
          <w:rFonts w:ascii="Verdana" w:hAnsi="Verdana"/>
          <w:sz w:val="22"/>
          <w:szCs w:val="22"/>
        </w:rPr>
        <w:t>artículo</w:t>
      </w:r>
      <w:proofErr w:type="spellEnd"/>
      <w:r w:rsidRPr="001C7FFD">
        <w:rPr>
          <w:rFonts w:ascii="Verdana" w:hAnsi="Verdana"/>
          <w:sz w:val="22"/>
          <w:szCs w:val="22"/>
        </w:rPr>
        <w:t xml:space="preserve"> 5 </w:t>
      </w:r>
      <w:r w:rsidRPr="001C7FFD">
        <w:rPr>
          <w:rFonts w:ascii="Verdana" w:hAnsi="Verdana" w:cs="Arial"/>
          <w:i/>
          <w:iCs/>
          <w:sz w:val="22"/>
          <w:szCs w:val="22"/>
        </w:rPr>
        <w:t>ibidem</w:t>
      </w:r>
      <w:r w:rsidRPr="001C7FFD">
        <w:rPr>
          <w:rFonts w:ascii="Verdana" w:hAnsi="Verdana"/>
          <w:sz w:val="22"/>
          <w:szCs w:val="22"/>
        </w:rPr>
        <w:t xml:space="preserve">, al describir qué se entiende por sujetos obligados, consagra una lista cuyo </w:t>
      </w:r>
      <w:proofErr w:type="spellStart"/>
      <w:r w:rsidRPr="001C7FFD">
        <w:rPr>
          <w:rFonts w:ascii="Verdana" w:hAnsi="Verdana"/>
          <w:sz w:val="22"/>
          <w:szCs w:val="22"/>
        </w:rPr>
        <w:t>propósito</w:t>
      </w:r>
      <w:proofErr w:type="spellEnd"/>
      <w:r w:rsidRPr="001C7FFD">
        <w:rPr>
          <w:rFonts w:ascii="Verdana" w:hAnsi="Verdana"/>
          <w:sz w:val="22"/>
          <w:szCs w:val="22"/>
        </w:rPr>
        <w:t xml:space="preserve"> es incluir a cualquier entidad, </w:t>
      </w:r>
      <w:proofErr w:type="spellStart"/>
      <w:r w:rsidRPr="001C7FFD">
        <w:rPr>
          <w:rFonts w:ascii="Verdana" w:hAnsi="Verdana"/>
          <w:sz w:val="22"/>
          <w:szCs w:val="22"/>
        </w:rPr>
        <w:t>órgano</w:t>
      </w:r>
      <w:proofErr w:type="spellEnd"/>
      <w:r w:rsidRPr="001C7FFD">
        <w:rPr>
          <w:rFonts w:ascii="Verdana" w:hAnsi="Verdana"/>
          <w:sz w:val="22"/>
          <w:szCs w:val="22"/>
        </w:rPr>
        <w:t xml:space="preserve">, organismo, o persona natural que </w:t>
      </w:r>
      <w:proofErr w:type="spellStart"/>
      <w:r w:rsidRPr="001C7FFD">
        <w:rPr>
          <w:rFonts w:ascii="Verdana" w:hAnsi="Verdana"/>
          <w:sz w:val="22"/>
          <w:szCs w:val="22"/>
        </w:rPr>
        <w:t>desempeñe</w:t>
      </w:r>
      <w:proofErr w:type="spellEnd"/>
      <w:r w:rsidRPr="001C7FFD">
        <w:rPr>
          <w:rFonts w:ascii="Verdana" w:hAnsi="Verdana"/>
          <w:sz w:val="22"/>
          <w:szCs w:val="22"/>
        </w:rPr>
        <w:t xml:space="preserve"> funciones </w:t>
      </w:r>
      <w:proofErr w:type="spellStart"/>
      <w:r w:rsidRPr="001C7FFD">
        <w:rPr>
          <w:rFonts w:ascii="Verdana" w:hAnsi="Verdana"/>
          <w:sz w:val="22"/>
          <w:szCs w:val="22"/>
        </w:rPr>
        <w:t>públicas</w:t>
      </w:r>
      <w:proofErr w:type="spellEnd"/>
      <w:r w:rsidRPr="001C7FFD">
        <w:rPr>
          <w:rFonts w:ascii="Verdana" w:hAnsi="Verdana"/>
          <w:sz w:val="22"/>
          <w:szCs w:val="22"/>
        </w:rPr>
        <w:t xml:space="preserve"> o administre recursos </w:t>
      </w:r>
      <w:proofErr w:type="spellStart"/>
      <w:r w:rsidRPr="001C7FFD">
        <w:rPr>
          <w:rFonts w:ascii="Verdana" w:hAnsi="Verdana"/>
          <w:sz w:val="22"/>
          <w:szCs w:val="22"/>
        </w:rPr>
        <w:t>públicos</w:t>
      </w:r>
      <w:proofErr w:type="spellEnd"/>
      <w:r w:rsidRPr="00D23099">
        <w:rPr>
          <w:rFonts w:ascii="Verdana" w:hAnsi="Verdana"/>
          <w:sz w:val="22"/>
          <w:szCs w:val="22"/>
        </w:rPr>
        <w:t xml:space="preserve"> y frente a estos, en el literal e) del </w:t>
      </w:r>
      <w:proofErr w:type="spellStart"/>
      <w:r w:rsidRPr="00D23099">
        <w:rPr>
          <w:rFonts w:ascii="Verdana" w:hAnsi="Verdana"/>
          <w:sz w:val="22"/>
          <w:szCs w:val="22"/>
        </w:rPr>
        <w:t>artículo</w:t>
      </w:r>
      <w:proofErr w:type="spellEnd"/>
      <w:r w:rsidRPr="00D23099">
        <w:rPr>
          <w:rFonts w:ascii="Verdana" w:hAnsi="Verdana"/>
          <w:sz w:val="22"/>
          <w:szCs w:val="22"/>
        </w:rPr>
        <w:t xml:space="preserve"> 9 de la Ley 1712 de 2014, señala que los </w:t>
      </w:r>
      <w:r w:rsidRPr="00D23099">
        <w:rPr>
          <w:rFonts w:ascii="Verdana" w:hAnsi="Verdana" w:cs="Arial"/>
          <w:i/>
          <w:iCs/>
          <w:sz w:val="22"/>
          <w:szCs w:val="22"/>
        </w:rPr>
        <w:t xml:space="preserve">sujetos obligados </w:t>
      </w:r>
      <w:r w:rsidRPr="00D23099">
        <w:rPr>
          <w:rFonts w:ascii="Verdana" w:hAnsi="Verdana"/>
          <w:sz w:val="22"/>
          <w:szCs w:val="22"/>
        </w:rPr>
        <w:t xml:space="preserve">deben publicar la </w:t>
      </w:r>
      <w:proofErr w:type="spellStart"/>
      <w:r w:rsidRPr="00D23099">
        <w:rPr>
          <w:rFonts w:ascii="Verdana" w:hAnsi="Verdana"/>
          <w:sz w:val="22"/>
          <w:szCs w:val="22"/>
        </w:rPr>
        <w:t>información</w:t>
      </w:r>
      <w:proofErr w:type="spellEnd"/>
      <w:r w:rsidRPr="00D23099">
        <w:rPr>
          <w:rFonts w:ascii="Verdana" w:hAnsi="Verdana"/>
          <w:sz w:val="22"/>
          <w:szCs w:val="22"/>
        </w:rPr>
        <w:t xml:space="preserve"> relativa a su </w:t>
      </w:r>
      <w:proofErr w:type="spellStart"/>
      <w:r w:rsidRPr="00D23099">
        <w:rPr>
          <w:rFonts w:ascii="Verdana" w:hAnsi="Verdana"/>
          <w:sz w:val="22"/>
          <w:szCs w:val="22"/>
        </w:rPr>
        <w:t>contratación</w:t>
      </w:r>
      <w:proofErr w:type="spellEnd"/>
      <w:r w:rsidRPr="00D23099">
        <w:rPr>
          <w:rStyle w:val="Refdenotaalpie"/>
          <w:rFonts w:ascii="Verdana" w:hAnsi="Verdana"/>
          <w:sz w:val="22"/>
          <w:szCs w:val="22"/>
        </w:rPr>
        <w:footnoteReference w:id="7"/>
      </w:r>
      <w:r w:rsidRPr="00D23099">
        <w:rPr>
          <w:rFonts w:ascii="Verdana" w:hAnsi="Verdana"/>
          <w:sz w:val="22"/>
          <w:szCs w:val="22"/>
        </w:rPr>
        <w:t>.</w:t>
      </w:r>
    </w:p>
    <w:p w14:paraId="78A6FDCB" w14:textId="77777777" w:rsidR="00430F82" w:rsidRPr="001C7FFD" w:rsidRDefault="00430F82" w:rsidP="00430F82">
      <w:pPr>
        <w:pStyle w:val="NormalWeb"/>
        <w:numPr>
          <w:ilvl w:val="0"/>
          <w:numId w:val="17"/>
        </w:numPr>
        <w:jc w:val="both"/>
        <w:rPr>
          <w:rFonts w:ascii="Verdana" w:hAnsi="Verdana"/>
          <w:sz w:val="22"/>
          <w:szCs w:val="22"/>
        </w:rPr>
      </w:pPr>
      <w:r w:rsidRPr="001C7FFD">
        <w:rPr>
          <w:rFonts w:ascii="Verdana" w:hAnsi="Verdana"/>
          <w:sz w:val="22"/>
          <w:szCs w:val="22"/>
        </w:rPr>
        <w:t xml:space="preserve">Asimismo, de acuerdo con el literal g) del </w:t>
      </w:r>
      <w:proofErr w:type="spellStart"/>
      <w:r w:rsidRPr="001C7FFD">
        <w:rPr>
          <w:rFonts w:ascii="Verdana" w:hAnsi="Verdana"/>
          <w:sz w:val="22"/>
          <w:szCs w:val="22"/>
        </w:rPr>
        <w:t>artículo</w:t>
      </w:r>
      <w:proofErr w:type="spellEnd"/>
      <w:r w:rsidRPr="001C7FFD">
        <w:rPr>
          <w:rFonts w:ascii="Verdana" w:hAnsi="Verdana"/>
          <w:sz w:val="22"/>
          <w:szCs w:val="22"/>
        </w:rPr>
        <w:t xml:space="preserve"> 11 de la misma Ley, todos los destinatarios de la ley de transparencia deben garantizar la publicidad de </w:t>
      </w:r>
      <w:r w:rsidRPr="001C7FFD">
        <w:rPr>
          <w:rFonts w:ascii="Verdana" w:hAnsi="Verdana" w:hint="eastAsia"/>
          <w:sz w:val="22"/>
          <w:szCs w:val="22"/>
        </w:rPr>
        <w:t>“</w:t>
      </w:r>
      <w:r w:rsidRPr="001C7FFD">
        <w:rPr>
          <w:rFonts w:ascii="Verdana" w:hAnsi="Verdana"/>
          <w:sz w:val="22"/>
          <w:szCs w:val="22"/>
        </w:rPr>
        <w:t xml:space="preserve">sus procedimientos, lineamientos, </w:t>
      </w:r>
      <w:proofErr w:type="spellStart"/>
      <w:r w:rsidRPr="001C7FFD">
        <w:rPr>
          <w:rFonts w:ascii="Verdana" w:hAnsi="Verdana"/>
          <w:sz w:val="22"/>
          <w:szCs w:val="22"/>
        </w:rPr>
        <w:t>políticas</w:t>
      </w:r>
      <w:proofErr w:type="spellEnd"/>
      <w:r w:rsidRPr="001C7FFD">
        <w:rPr>
          <w:rFonts w:ascii="Verdana" w:hAnsi="Verdana"/>
          <w:sz w:val="22"/>
          <w:szCs w:val="22"/>
        </w:rPr>
        <w:t xml:space="preserve"> en materia de adquisiciones y compras, </w:t>
      </w:r>
      <w:proofErr w:type="spellStart"/>
      <w:r w:rsidRPr="001C7FFD">
        <w:rPr>
          <w:rFonts w:ascii="Verdana" w:hAnsi="Verdana"/>
          <w:sz w:val="22"/>
          <w:szCs w:val="22"/>
        </w:rPr>
        <w:t>asi</w:t>
      </w:r>
      <w:proofErr w:type="spellEnd"/>
      <w:r w:rsidRPr="001C7FFD">
        <w:rPr>
          <w:rFonts w:ascii="Verdana" w:hAnsi="Verdana"/>
          <w:sz w:val="22"/>
          <w:szCs w:val="22"/>
        </w:rPr>
        <w:t xml:space="preserve">́ como todos los datos de </w:t>
      </w:r>
      <w:proofErr w:type="spellStart"/>
      <w:r w:rsidRPr="001C7FFD">
        <w:rPr>
          <w:rFonts w:ascii="Verdana" w:hAnsi="Verdana"/>
          <w:sz w:val="22"/>
          <w:szCs w:val="22"/>
        </w:rPr>
        <w:t>adjudicación</w:t>
      </w:r>
      <w:proofErr w:type="spellEnd"/>
      <w:r w:rsidRPr="001C7FFD">
        <w:rPr>
          <w:rFonts w:ascii="Verdana" w:hAnsi="Verdana"/>
          <w:sz w:val="22"/>
          <w:szCs w:val="22"/>
        </w:rPr>
        <w:t xml:space="preserve"> y </w:t>
      </w:r>
      <w:proofErr w:type="spellStart"/>
      <w:r w:rsidRPr="001C7FFD">
        <w:rPr>
          <w:rFonts w:ascii="Verdana" w:hAnsi="Verdana"/>
          <w:sz w:val="22"/>
          <w:szCs w:val="22"/>
        </w:rPr>
        <w:lastRenderedPageBreak/>
        <w:t>ejecución</w:t>
      </w:r>
      <w:proofErr w:type="spellEnd"/>
      <w:r w:rsidRPr="001C7FFD">
        <w:rPr>
          <w:rFonts w:ascii="Verdana" w:hAnsi="Verdana"/>
          <w:sz w:val="22"/>
          <w:szCs w:val="22"/>
        </w:rPr>
        <w:t xml:space="preserve"> de contratos, incluidos concursos y licitaciones</w:t>
      </w:r>
      <w:r w:rsidRPr="001C7FFD">
        <w:rPr>
          <w:rFonts w:ascii="Verdana" w:hAnsi="Verdana" w:hint="eastAsia"/>
          <w:sz w:val="22"/>
          <w:szCs w:val="22"/>
        </w:rPr>
        <w:t>”</w:t>
      </w:r>
      <w:r w:rsidRPr="001C7FFD">
        <w:rPr>
          <w:rFonts w:ascii="Verdana" w:hAnsi="Verdana"/>
          <w:sz w:val="22"/>
          <w:szCs w:val="22"/>
        </w:rPr>
        <w:t xml:space="preserve">, y esta </w:t>
      </w:r>
      <w:proofErr w:type="spellStart"/>
      <w:r w:rsidRPr="001C7FFD">
        <w:rPr>
          <w:rFonts w:ascii="Verdana" w:hAnsi="Verdana"/>
          <w:sz w:val="22"/>
          <w:szCs w:val="22"/>
        </w:rPr>
        <w:t>información</w:t>
      </w:r>
      <w:proofErr w:type="spellEnd"/>
      <w:r w:rsidRPr="001C7FFD">
        <w:rPr>
          <w:rFonts w:ascii="Verdana" w:hAnsi="Verdana"/>
          <w:sz w:val="22"/>
          <w:szCs w:val="22"/>
        </w:rPr>
        <w:t xml:space="preserve"> </w:t>
      </w:r>
      <w:proofErr w:type="spellStart"/>
      <w:r w:rsidRPr="001C7FFD">
        <w:rPr>
          <w:rFonts w:ascii="Verdana" w:hAnsi="Verdana"/>
          <w:sz w:val="22"/>
          <w:szCs w:val="22"/>
        </w:rPr>
        <w:t>también</w:t>
      </w:r>
      <w:proofErr w:type="spellEnd"/>
      <w:r w:rsidRPr="001C7FFD">
        <w:rPr>
          <w:rFonts w:ascii="Verdana" w:hAnsi="Verdana"/>
          <w:sz w:val="22"/>
          <w:szCs w:val="22"/>
        </w:rPr>
        <w:t xml:space="preserve"> debe estar en el SECOP. </w:t>
      </w:r>
    </w:p>
    <w:p w14:paraId="396345AA" w14:textId="77777777" w:rsidR="00430F82" w:rsidRPr="001C7FFD" w:rsidRDefault="00430F82" w:rsidP="00430F82">
      <w:pPr>
        <w:pStyle w:val="NormalWeb"/>
        <w:numPr>
          <w:ilvl w:val="0"/>
          <w:numId w:val="17"/>
        </w:numPr>
        <w:jc w:val="both"/>
        <w:rPr>
          <w:rFonts w:ascii="Verdana" w:hAnsi="Verdana"/>
          <w:sz w:val="22"/>
          <w:szCs w:val="22"/>
        </w:rPr>
      </w:pPr>
      <w:r w:rsidRPr="001C7FFD">
        <w:rPr>
          <w:rFonts w:ascii="Verdana" w:hAnsi="Verdana"/>
          <w:sz w:val="22"/>
          <w:szCs w:val="22"/>
        </w:rPr>
        <w:t xml:space="preserve">Conforme lo expuesto por esta Agencia, en diversos conceptos como el CU-367 del 23 de julio de 2020: </w:t>
      </w:r>
      <w:r w:rsidRPr="001C7FFD">
        <w:rPr>
          <w:rFonts w:ascii="Verdana" w:hAnsi="Verdana" w:hint="eastAsia"/>
          <w:sz w:val="22"/>
          <w:szCs w:val="22"/>
        </w:rPr>
        <w:t>“</w:t>
      </w:r>
      <w:r w:rsidRPr="001C7FFD">
        <w:rPr>
          <w:rFonts w:ascii="Verdana" w:hAnsi="Verdana"/>
          <w:sz w:val="22"/>
          <w:szCs w:val="22"/>
        </w:rPr>
        <w:t xml:space="preserve">la </w:t>
      </w:r>
      <w:proofErr w:type="spellStart"/>
      <w:r w:rsidRPr="001C7FFD">
        <w:rPr>
          <w:rFonts w:ascii="Verdana" w:hAnsi="Verdana"/>
          <w:sz w:val="22"/>
          <w:szCs w:val="22"/>
        </w:rPr>
        <w:t>obligación</w:t>
      </w:r>
      <w:proofErr w:type="spellEnd"/>
      <w:r w:rsidRPr="001C7FFD">
        <w:rPr>
          <w:rFonts w:ascii="Verdana" w:hAnsi="Verdana"/>
          <w:sz w:val="22"/>
          <w:szCs w:val="22"/>
        </w:rPr>
        <w:t xml:space="preserve"> de publicidad antes mencionada fue recopilada en el Decreto </w:t>
      </w:r>
      <w:proofErr w:type="spellStart"/>
      <w:r w:rsidRPr="001C7FFD">
        <w:rPr>
          <w:rFonts w:ascii="Verdana" w:hAnsi="Verdana"/>
          <w:sz w:val="22"/>
          <w:szCs w:val="22"/>
        </w:rPr>
        <w:t>Único</w:t>
      </w:r>
      <w:proofErr w:type="spellEnd"/>
      <w:r w:rsidRPr="001C7FFD">
        <w:rPr>
          <w:rFonts w:ascii="Verdana" w:hAnsi="Verdana"/>
          <w:sz w:val="22"/>
          <w:szCs w:val="22"/>
        </w:rPr>
        <w:t xml:space="preserve"> Reglamentario 1081 de 2015. Puntualmente, el </w:t>
      </w:r>
      <w:proofErr w:type="spellStart"/>
      <w:r w:rsidRPr="001C7FFD">
        <w:rPr>
          <w:rFonts w:ascii="Verdana" w:hAnsi="Verdana"/>
          <w:sz w:val="22"/>
          <w:szCs w:val="22"/>
        </w:rPr>
        <w:t>artículo</w:t>
      </w:r>
      <w:proofErr w:type="spellEnd"/>
      <w:r w:rsidRPr="001C7FFD">
        <w:rPr>
          <w:rFonts w:ascii="Verdana" w:hAnsi="Verdana"/>
          <w:sz w:val="22"/>
          <w:szCs w:val="22"/>
        </w:rPr>
        <w:t xml:space="preserve"> 2.1.1.2.1.7. del Decreto 1081 de 2015</w:t>
      </w:r>
      <w:r w:rsidRPr="001C7FFD">
        <w:rPr>
          <w:rStyle w:val="Refdenotaalpie"/>
          <w:rFonts w:ascii="Verdana" w:hAnsi="Verdana"/>
          <w:sz w:val="22"/>
          <w:szCs w:val="22"/>
        </w:rPr>
        <w:footnoteReference w:id="8"/>
      </w:r>
      <w:r w:rsidRPr="001C7FFD">
        <w:rPr>
          <w:rFonts w:ascii="Verdana" w:hAnsi="Verdana" w:hint="eastAsia"/>
          <w:sz w:val="22"/>
          <w:szCs w:val="22"/>
        </w:rPr>
        <w:t>–</w:t>
      </w:r>
      <w:r w:rsidRPr="001C7FFD">
        <w:rPr>
          <w:rFonts w:ascii="Verdana" w:hAnsi="Verdana"/>
          <w:sz w:val="22"/>
          <w:szCs w:val="22"/>
        </w:rPr>
        <w:t xml:space="preserve">, dispone que la </w:t>
      </w:r>
      <w:proofErr w:type="spellStart"/>
      <w:r w:rsidRPr="001C7FFD">
        <w:rPr>
          <w:rFonts w:ascii="Verdana" w:hAnsi="Verdana"/>
          <w:sz w:val="22"/>
          <w:szCs w:val="22"/>
        </w:rPr>
        <w:t>publicación</w:t>
      </w:r>
      <w:proofErr w:type="spellEnd"/>
      <w:r w:rsidRPr="001C7FFD">
        <w:rPr>
          <w:rFonts w:ascii="Verdana" w:hAnsi="Verdana"/>
          <w:sz w:val="22"/>
          <w:szCs w:val="22"/>
        </w:rPr>
        <w:t xml:space="preserve"> de la </w:t>
      </w:r>
      <w:proofErr w:type="spellStart"/>
      <w:r w:rsidRPr="001C7FFD">
        <w:rPr>
          <w:rFonts w:ascii="Verdana" w:hAnsi="Verdana"/>
          <w:sz w:val="22"/>
          <w:szCs w:val="22"/>
        </w:rPr>
        <w:t>información</w:t>
      </w:r>
      <w:proofErr w:type="spellEnd"/>
      <w:r w:rsidRPr="001C7FFD">
        <w:rPr>
          <w:rFonts w:ascii="Verdana" w:hAnsi="Verdana"/>
          <w:sz w:val="22"/>
          <w:szCs w:val="22"/>
        </w:rPr>
        <w:t xml:space="preserve"> de la </w:t>
      </w:r>
      <w:proofErr w:type="spellStart"/>
      <w:r w:rsidRPr="001C7FFD">
        <w:rPr>
          <w:rFonts w:ascii="Verdana" w:hAnsi="Verdana"/>
          <w:sz w:val="22"/>
          <w:szCs w:val="22"/>
        </w:rPr>
        <w:t>gestión</w:t>
      </w:r>
      <w:proofErr w:type="spellEnd"/>
      <w:r w:rsidRPr="001C7FFD">
        <w:rPr>
          <w:rFonts w:ascii="Verdana" w:hAnsi="Verdana"/>
          <w:sz w:val="22"/>
          <w:szCs w:val="22"/>
        </w:rPr>
        <w:t xml:space="preserve"> contractual de los sujetos obligados, que contratan con cargo a recursos </w:t>
      </w:r>
      <w:proofErr w:type="spellStart"/>
      <w:r w:rsidRPr="001C7FFD">
        <w:rPr>
          <w:rFonts w:ascii="Verdana" w:hAnsi="Verdana"/>
          <w:sz w:val="22"/>
          <w:szCs w:val="22"/>
        </w:rPr>
        <w:t>públicos</w:t>
      </w:r>
      <w:proofErr w:type="spellEnd"/>
      <w:r w:rsidRPr="001C7FFD">
        <w:rPr>
          <w:rFonts w:ascii="Verdana" w:hAnsi="Verdana"/>
          <w:sz w:val="22"/>
          <w:szCs w:val="22"/>
        </w:rPr>
        <w:t>, debe hacerse en el SECOP</w:t>
      </w:r>
      <w:r w:rsidRPr="001C7FFD">
        <w:rPr>
          <w:rFonts w:ascii="Verdana" w:hAnsi="Verdana" w:hint="eastAsia"/>
          <w:sz w:val="22"/>
          <w:szCs w:val="22"/>
        </w:rPr>
        <w:t>”</w:t>
      </w:r>
      <w:r w:rsidRPr="001C7FFD">
        <w:rPr>
          <w:rFonts w:ascii="Verdana" w:hAnsi="Verdana"/>
          <w:sz w:val="22"/>
          <w:szCs w:val="22"/>
        </w:rPr>
        <w:t xml:space="preserve">. </w:t>
      </w:r>
    </w:p>
    <w:p w14:paraId="30745A68" w14:textId="77777777" w:rsidR="00430F82" w:rsidRPr="001C7FFD" w:rsidRDefault="00430F82" w:rsidP="00430F82">
      <w:pPr>
        <w:pStyle w:val="NormalWeb"/>
        <w:numPr>
          <w:ilvl w:val="0"/>
          <w:numId w:val="17"/>
        </w:numPr>
        <w:jc w:val="both"/>
        <w:rPr>
          <w:rFonts w:ascii="Verdana" w:hAnsi="Verdana"/>
          <w:sz w:val="22"/>
          <w:szCs w:val="22"/>
        </w:rPr>
      </w:pPr>
      <w:r w:rsidRPr="001C7FFD">
        <w:rPr>
          <w:rFonts w:ascii="Verdana" w:hAnsi="Verdana"/>
          <w:sz w:val="22"/>
          <w:szCs w:val="22"/>
        </w:rPr>
        <w:t xml:space="preserve">Asimismo, el </w:t>
      </w:r>
      <w:proofErr w:type="spellStart"/>
      <w:r w:rsidRPr="001C7FFD">
        <w:rPr>
          <w:rFonts w:ascii="Verdana" w:hAnsi="Verdana"/>
          <w:sz w:val="22"/>
          <w:szCs w:val="22"/>
        </w:rPr>
        <w:t>artículo</w:t>
      </w:r>
      <w:proofErr w:type="spellEnd"/>
      <w:r w:rsidRPr="001C7FFD">
        <w:rPr>
          <w:rFonts w:ascii="Verdana" w:hAnsi="Verdana"/>
          <w:sz w:val="22"/>
          <w:szCs w:val="22"/>
        </w:rPr>
        <w:t xml:space="preserve"> 2.1.1.2.1.8. del Decreto 1081 de 2015, de forma enunciativa, </w:t>
      </w:r>
      <w:proofErr w:type="spellStart"/>
      <w:r w:rsidRPr="001C7FFD">
        <w:rPr>
          <w:rFonts w:ascii="Verdana" w:hAnsi="Verdana"/>
          <w:sz w:val="22"/>
          <w:szCs w:val="22"/>
        </w:rPr>
        <w:t>señala</w:t>
      </w:r>
      <w:proofErr w:type="spellEnd"/>
      <w:r w:rsidRPr="001C7FFD">
        <w:rPr>
          <w:rFonts w:ascii="Verdana" w:hAnsi="Verdana"/>
          <w:sz w:val="22"/>
          <w:szCs w:val="22"/>
        </w:rPr>
        <w:t xml:space="preserve"> que se debe publicar la </w:t>
      </w:r>
      <w:proofErr w:type="spellStart"/>
      <w:r w:rsidRPr="001C7FFD">
        <w:rPr>
          <w:rFonts w:ascii="Verdana" w:hAnsi="Verdana"/>
          <w:sz w:val="22"/>
          <w:szCs w:val="22"/>
        </w:rPr>
        <w:t>información</w:t>
      </w:r>
      <w:proofErr w:type="spellEnd"/>
      <w:r w:rsidRPr="001C7FFD">
        <w:rPr>
          <w:rFonts w:ascii="Verdana" w:hAnsi="Verdana"/>
          <w:sz w:val="22"/>
          <w:szCs w:val="22"/>
        </w:rPr>
        <w:t xml:space="preserve"> relativa a la </w:t>
      </w:r>
      <w:proofErr w:type="spellStart"/>
      <w:r w:rsidRPr="001C7FFD">
        <w:rPr>
          <w:rFonts w:ascii="Verdana" w:hAnsi="Verdana"/>
          <w:sz w:val="22"/>
          <w:szCs w:val="22"/>
        </w:rPr>
        <w:t>ejecución</w:t>
      </w:r>
      <w:proofErr w:type="spellEnd"/>
      <w:r w:rsidRPr="001C7FFD">
        <w:rPr>
          <w:rFonts w:ascii="Verdana" w:hAnsi="Verdana"/>
          <w:sz w:val="22"/>
          <w:szCs w:val="22"/>
        </w:rPr>
        <w:t xml:space="preserve"> del contrato, como las aprobaciones, autorizaciones, requerimientos o informes del supervisor o interventor, que aprueben la </w:t>
      </w:r>
      <w:proofErr w:type="spellStart"/>
      <w:r w:rsidRPr="001C7FFD">
        <w:rPr>
          <w:rFonts w:ascii="Verdana" w:hAnsi="Verdana"/>
          <w:sz w:val="22"/>
          <w:szCs w:val="22"/>
        </w:rPr>
        <w:t>ejecución</w:t>
      </w:r>
      <w:proofErr w:type="spellEnd"/>
      <w:r w:rsidRPr="001C7FFD">
        <w:rPr>
          <w:rFonts w:ascii="Verdana" w:hAnsi="Verdana"/>
          <w:sz w:val="22"/>
          <w:szCs w:val="22"/>
        </w:rPr>
        <w:t xml:space="preserve"> del contrato. </w:t>
      </w:r>
    </w:p>
    <w:p w14:paraId="7ABD24D7" w14:textId="77777777" w:rsidR="00430F82" w:rsidRDefault="00430F82" w:rsidP="00430F82">
      <w:pPr>
        <w:pStyle w:val="NormalWeb"/>
        <w:numPr>
          <w:ilvl w:val="0"/>
          <w:numId w:val="17"/>
        </w:numPr>
        <w:jc w:val="both"/>
        <w:rPr>
          <w:rFonts w:ascii="Verdana" w:hAnsi="Verdana"/>
          <w:sz w:val="22"/>
          <w:szCs w:val="22"/>
        </w:rPr>
      </w:pPr>
      <w:r w:rsidRPr="001C7FFD">
        <w:rPr>
          <w:rFonts w:ascii="Verdana" w:hAnsi="Verdana"/>
          <w:sz w:val="22"/>
          <w:szCs w:val="22"/>
        </w:rPr>
        <w:t xml:space="preserve">Ahora bien, ni la Ley, ni los Decretos, señalan de forma expresa la obligación de publicar los actos administrativos sancionatorios de los contratistas del estado deban </w:t>
      </w:r>
      <w:proofErr w:type="spellStart"/>
      <w:r w:rsidRPr="001C7FFD">
        <w:rPr>
          <w:rFonts w:ascii="Verdana" w:hAnsi="Verdana"/>
          <w:sz w:val="22"/>
          <w:szCs w:val="22"/>
        </w:rPr>
        <w:t>publicars</w:t>
      </w:r>
      <w:proofErr w:type="spellEnd"/>
      <w:r>
        <w:rPr>
          <w:rFonts w:ascii="Verdana" w:hAnsi="Verdana"/>
          <w:sz w:val="22"/>
          <w:szCs w:val="22"/>
        </w:rPr>
        <w:t>.</w:t>
      </w:r>
      <w:r w:rsidRPr="001C7FFD">
        <w:rPr>
          <w:rFonts w:ascii="Verdana" w:hAnsi="Verdana"/>
          <w:sz w:val="22"/>
          <w:szCs w:val="22"/>
        </w:rPr>
        <w:t xml:space="preserve"> </w:t>
      </w:r>
      <w:r>
        <w:rPr>
          <w:rFonts w:ascii="Verdana" w:hAnsi="Verdana"/>
          <w:sz w:val="22"/>
          <w:szCs w:val="22"/>
        </w:rPr>
        <w:t>N</w:t>
      </w:r>
      <w:r w:rsidRPr="001C7FFD">
        <w:rPr>
          <w:rFonts w:ascii="Verdana" w:hAnsi="Verdana"/>
          <w:sz w:val="22"/>
          <w:szCs w:val="22"/>
        </w:rPr>
        <w:t xml:space="preserve">o obstante, en el </w:t>
      </w:r>
      <w:proofErr w:type="spellStart"/>
      <w:r w:rsidRPr="001C7FFD">
        <w:rPr>
          <w:rFonts w:ascii="Verdana" w:hAnsi="Verdana"/>
          <w:sz w:val="22"/>
          <w:szCs w:val="22"/>
        </w:rPr>
        <w:t>módulo</w:t>
      </w:r>
      <w:proofErr w:type="spellEnd"/>
      <w:r w:rsidRPr="001C7FFD">
        <w:rPr>
          <w:rFonts w:ascii="Verdana" w:hAnsi="Verdana"/>
          <w:sz w:val="22"/>
          <w:szCs w:val="22"/>
        </w:rPr>
        <w:t xml:space="preserve"> de </w:t>
      </w:r>
      <w:proofErr w:type="spellStart"/>
      <w:r w:rsidRPr="001C7FFD">
        <w:rPr>
          <w:rFonts w:ascii="Verdana" w:hAnsi="Verdana"/>
          <w:sz w:val="22"/>
          <w:szCs w:val="22"/>
        </w:rPr>
        <w:t>gestión</w:t>
      </w:r>
      <w:proofErr w:type="spellEnd"/>
      <w:r w:rsidRPr="001C7FFD">
        <w:rPr>
          <w:rFonts w:ascii="Verdana" w:hAnsi="Verdana"/>
          <w:sz w:val="22"/>
          <w:szCs w:val="22"/>
        </w:rPr>
        <w:t xml:space="preserve"> de incumplimientos de la plataforma </w:t>
      </w:r>
      <w:proofErr w:type="spellStart"/>
      <w:r w:rsidRPr="001C7FFD">
        <w:rPr>
          <w:rFonts w:ascii="Verdana" w:hAnsi="Verdana"/>
          <w:sz w:val="22"/>
          <w:szCs w:val="22"/>
        </w:rPr>
        <w:t>Secop</w:t>
      </w:r>
      <w:proofErr w:type="spellEnd"/>
      <w:r w:rsidRPr="001C7FFD">
        <w:rPr>
          <w:rFonts w:ascii="Verdana" w:hAnsi="Verdana"/>
          <w:sz w:val="22"/>
          <w:szCs w:val="22"/>
        </w:rPr>
        <w:t xml:space="preserve"> II, se encuentra la lista de los incumplimientos registrados previamente por la Entidad y la </w:t>
      </w:r>
      <w:proofErr w:type="spellStart"/>
      <w:r w:rsidRPr="001C7FFD">
        <w:rPr>
          <w:rFonts w:ascii="Verdana" w:hAnsi="Verdana"/>
          <w:sz w:val="22"/>
          <w:szCs w:val="22"/>
        </w:rPr>
        <w:t>opción</w:t>
      </w:r>
      <w:proofErr w:type="spellEnd"/>
      <w:r w:rsidRPr="001C7FFD">
        <w:rPr>
          <w:rFonts w:ascii="Verdana" w:hAnsi="Verdana"/>
          <w:sz w:val="22"/>
          <w:szCs w:val="22"/>
        </w:rPr>
        <w:t xml:space="preserve"> para crear nuevos. </w:t>
      </w:r>
    </w:p>
    <w:p w14:paraId="6CE9C614" w14:textId="77777777" w:rsidR="0022182F" w:rsidRDefault="0022182F" w:rsidP="00430F82">
      <w:pPr>
        <w:pStyle w:val="NormalWeb"/>
        <w:numPr>
          <w:ilvl w:val="0"/>
          <w:numId w:val="17"/>
        </w:numPr>
        <w:jc w:val="both"/>
        <w:rPr>
          <w:rFonts w:ascii="Verdana" w:hAnsi="Verdana"/>
          <w:sz w:val="22"/>
          <w:szCs w:val="22"/>
        </w:rPr>
      </w:pPr>
    </w:p>
    <w:p w14:paraId="3226949D" w14:textId="06BA1FEA" w:rsidR="00D66294" w:rsidRDefault="00D66294" w:rsidP="00430F82">
      <w:pPr>
        <w:pStyle w:val="NormalWeb"/>
        <w:numPr>
          <w:ilvl w:val="0"/>
          <w:numId w:val="17"/>
        </w:numPr>
        <w:jc w:val="both"/>
        <w:rPr>
          <w:rFonts w:ascii="Verdana" w:hAnsi="Verdana"/>
          <w:sz w:val="22"/>
          <w:szCs w:val="22"/>
        </w:rPr>
      </w:pPr>
      <w:r>
        <w:rPr>
          <w:rFonts w:ascii="Verdana" w:hAnsi="Verdana"/>
          <w:noProof/>
        </w:rPr>
        <w:lastRenderedPageBreak/>
        <w:drawing>
          <wp:inline distT="0" distB="0" distL="0" distR="0" wp14:anchorId="2D66FBF2" wp14:editId="78FB2A60">
            <wp:extent cx="4969934" cy="2554134"/>
            <wp:effectExtent l="0" t="0" r="0" b="0"/>
            <wp:docPr id="330510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51024" name="Imagen 3305102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79124" cy="2558857"/>
                    </a:xfrm>
                    <a:prstGeom prst="rect">
                      <a:avLst/>
                    </a:prstGeom>
                  </pic:spPr>
                </pic:pic>
              </a:graphicData>
            </a:graphic>
          </wp:inline>
        </w:drawing>
      </w:r>
    </w:p>
    <w:p w14:paraId="28C96734" w14:textId="77777777" w:rsidR="0022182F" w:rsidRDefault="0022182F" w:rsidP="0022182F">
      <w:pPr>
        <w:pStyle w:val="NormalWeb"/>
        <w:numPr>
          <w:ilvl w:val="0"/>
          <w:numId w:val="17"/>
        </w:numPr>
        <w:jc w:val="both"/>
        <w:rPr>
          <w:rFonts w:ascii="Verdana" w:hAnsi="Verdana"/>
          <w:sz w:val="22"/>
          <w:szCs w:val="22"/>
        </w:rPr>
      </w:pPr>
      <w:r w:rsidRPr="00FF65A2">
        <w:rPr>
          <w:rFonts w:ascii="Verdana" w:hAnsi="Verdana"/>
          <w:sz w:val="22"/>
          <w:szCs w:val="22"/>
        </w:rPr>
        <w:t xml:space="preserve">Los incumplimientos que registren las Entidades Estatales en el SECOP II </w:t>
      </w:r>
      <w:proofErr w:type="spellStart"/>
      <w:r w:rsidRPr="00FF65A2">
        <w:rPr>
          <w:rFonts w:ascii="Verdana" w:hAnsi="Verdana"/>
          <w:sz w:val="22"/>
          <w:szCs w:val="22"/>
        </w:rPr>
        <w:t>serán</w:t>
      </w:r>
      <w:proofErr w:type="spellEnd"/>
      <w:r w:rsidRPr="00FF65A2">
        <w:rPr>
          <w:rFonts w:ascii="Verdana" w:hAnsi="Verdana"/>
          <w:sz w:val="22"/>
          <w:szCs w:val="22"/>
        </w:rPr>
        <w:t xml:space="preserve"> visibles para el Proveedor en </w:t>
      </w:r>
      <w:proofErr w:type="spellStart"/>
      <w:r w:rsidRPr="00FF65A2">
        <w:rPr>
          <w:rFonts w:ascii="Verdana" w:hAnsi="Verdana"/>
          <w:sz w:val="22"/>
          <w:szCs w:val="22"/>
        </w:rPr>
        <w:t>cuestión</w:t>
      </w:r>
      <w:proofErr w:type="spellEnd"/>
      <w:r w:rsidRPr="00FF65A2">
        <w:rPr>
          <w:rFonts w:ascii="Verdana" w:hAnsi="Verdana"/>
          <w:sz w:val="22"/>
          <w:szCs w:val="22"/>
        </w:rPr>
        <w:t xml:space="preserve"> y las Entidades Estatales registradas en la plataforma, no para el </w:t>
      </w:r>
      <w:proofErr w:type="spellStart"/>
      <w:r w:rsidRPr="00FF65A2">
        <w:rPr>
          <w:rFonts w:ascii="Verdana" w:hAnsi="Verdana"/>
          <w:sz w:val="22"/>
          <w:szCs w:val="22"/>
        </w:rPr>
        <w:t>público</w:t>
      </w:r>
      <w:proofErr w:type="spellEnd"/>
      <w:r w:rsidRPr="00FF65A2">
        <w:rPr>
          <w:rFonts w:ascii="Verdana" w:hAnsi="Verdana"/>
          <w:sz w:val="22"/>
          <w:szCs w:val="22"/>
        </w:rPr>
        <w:t xml:space="preserve"> en general. </w:t>
      </w:r>
      <w:r w:rsidRPr="00FF65A2">
        <w:rPr>
          <w:rStyle w:val="Refdenotaalpie"/>
          <w:rFonts w:ascii="Verdana" w:hAnsi="Verdana"/>
          <w:sz w:val="22"/>
          <w:szCs w:val="22"/>
        </w:rPr>
        <w:footnoteReference w:id="9"/>
      </w:r>
      <w:r w:rsidRPr="00FF65A2">
        <w:rPr>
          <w:rFonts w:ascii="Verdana" w:hAnsi="Verdana"/>
          <w:color w:val="4C4C4C"/>
          <w:sz w:val="22"/>
          <w:szCs w:val="22"/>
          <w:lang w:eastAsia="es-MX"/>
        </w:rPr>
        <w:t xml:space="preserve"> </w:t>
      </w:r>
      <w:r w:rsidRPr="00FF65A2">
        <w:rPr>
          <w:rFonts w:ascii="Verdana" w:hAnsi="Verdana"/>
          <w:sz w:val="22"/>
          <w:szCs w:val="22"/>
        </w:rPr>
        <w:t xml:space="preserve">La </w:t>
      </w:r>
      <w:proofErr w:type="spellStart"/>
      <w:r w:rsidRPr="00FF65A2">
        <w:rPr>
          <w:rFonts w:ascii="Verdana" w:hAnsi="Verdana"/>
          <w:sz w:val="22"/>
          <w:szCs w:val="22"/>
        </w:rPr>
        <w:t>información</w:t>
      </w:r>
      <w:proofErr w:type="spellEnd"/>
      <w:r w:rsidRPr="00FF65A2">
        <w:rPr>
          <w:rFonts w:ascii="Verdana" w:hAnsi="Verdana"/>
          <w:sz w:val="22"/>
          <w:szCs w:val="22"/>
        </w:rPr>
        <w:t xml:space="preserve"> que establece en el </w:t>
      </w:r>
      <w:proofErr w:type="spellStart"/>
      <w:r w:rsidRPr="00FF65A2">
        <w:rPr>
          <w:rFonts w:ascii="Verdana" w:hAnsi="Verdana"/>
          <w:sz w:val="22"/>
          <w:szCs w:val="22"/>
        </w:rPr>
        <w:t>módulo</w:t>
      </w:r>
      <w:proofErr w:type="spellEnd"/>
      <w:r w:rsidRPr="00FF65A2">
        <w:rPr>
          <w:rFonts w:ascii="Verdana" w:hAnsi="Verdana"/>
          <w:sz w:val="22"/>
          <w:szCs w:val="22"/>
        </w:rPr>
        <w:t xml:space="preserve"> de </w:t>
      </w:r>
      <w:proofErr w:type="spellStart"/>
      <w:r w:rsidRPr="00FF65A2">
        <w:rPr>
          <w:rFonts w:ascii="Verdana" w:hAnsi="Verdana"/>
          <w:sz w:val="22"/>
          <w:szCs w:val="22"/>
        </w:rPr>
        <w:t>gestión</w:t>
      </w:r>
      <w:proofErr w:type="spellEnd"/>
      <w:r w:rsidRPr="00FF65A2">
        <w:rPr>
          <w:rFonts w:ascii="Verdana" w:hAnsi="Verdana"/>
          <w:sz w:val="22"/>
          <w:szCs w:val="22"/>
        </w:rPr>
        <w:t xml:space="preserve"> de incumplimientos del SECOP II se da posterior al proceso sancionatorio que se realiza fuera de la plataforma. </w:t>
      </w:r>
    </w:p>
    <w:p w14:paraId="7F83D9BE" w14:textId="3E6EDFFF" w:rsidR="00973512" w:rsidRPr="005D53B3" w:rsidRDefault="0022182F" w:rsidP="005D53B3">
      <w:pPr>
        <w:spacing w:line="276" w:lineRule="auto"/>
        <w:jc w:val="both"/>
        <w:rPr>
          <w:rFonts w:ascii="Verdana" w:eastAsia="Calibri" w:hAnsi="Verdana" w:cs="Arial"/>
          <w:color w:val="000000"/>
        </w:rPr>
      </w:pPr>
      <w:r>
        <w:rPr>
          <w:rFonts w:ascii="Verdana" w:hAnsi="Verdana"/>
        </w:rPr>
        <w:t xml:space="preserve">En conclusión, </w:t>
      </w:r>
      <w:r w:rsidRPr="00973512">
        <w:rPr>
          <w:rFonts w:ascii="Verdana" w:eastAsia="Calibri" w:hAnsi="Verdana" w:cs="Arial"/>
          <w:color w:val="000000"/>
        </w:rPr>
        <w:t xml:space="preserve">si se expide un documento relacionado con incumplimientos o sanciones contractuales, es aconsejable que, en cumplimiento del principio de publicidad, sea </w:t>
      </w:r>
      <w:r>
        <w:rPr>
          <w:rFonts w:ascii="Verdana" w:eastAsia="Calibri" w:hAnsi="Verdana" w:cs="Arial"/>
          <w:color w:val="000000"/>
        </w:rPr>
        <w:t>cargado dentro de la plataforma</w:t>
      </w:r>
      <w:r w:rsidRPr="00973512">
        <w:rPr>
          <w:rFonts w:ascii="Verdana" w:eastAsia="Calibri" w:hAnsi="Verdana" w:cs="Arial"/>
          <w:color w:val="000000"/>
        </w:rPr>
        <w:t>, a fin de promover la transparencia y facilitar el control ciudadano sobre las actuaciones de la entidad en el ámbito contractual</w:t>
      </w:r>
      <w:r w:rsidR="005D53B3">
        <w:rPr>
          <w:rFonts w:ascii="Verdana" w:eastAsia="Calibri" w:hAnsi="Verdana" w:cs="Arial"/>
          <w:color w:val="000000"/>
        </w:rPr>
        <w:t>.</w:t>
      </w:r>
    </w:p>
    <w:p w14:paraId="66E857C5" w14:textId="44577C74" w:rsidR="00973512" w:rsidRPr="005D53B3" w:rsidRDefault="00973512" w:rsidP="00973512">
      <w:pPr>
        <w:widowControl w:val="0"/>
        <w:autoSpaceDE w:val="0"/>
        <w:autoSpaceDN w:val="0"/>
        <w:spacing w:after="0" w:line="276" w:lineRule="auto"/>
        <w:jc w:val="both"/>
        <w:rPr>
          <w:rFonts w:ascii="Verdana" w:eastAsia="Times New Roman" w:hAnsi="Verdana" w:cs="Arial"/>
        </w:rPr>
      </w:pPr>
    </w:p>
    <w:p w14:paraId="7A7C0006" w14:textId="77777777" w:rsidR="00973512" w:rsidRPr="00973512" w:rsidRDefault="00973512" w:rsidP="00973512">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lang w:val="es-ES"/>
        </w:rPr>
      </w:pPr>
      <w:r w:rsidRPr="00973512">
        <w:rPr>
          <w:rFonts w:ascii="Verdana" w:eastAsia="Century Gothic" w:hAnsi="Verdana" w:cs="Century Gothic"/>
          <w:b/>
          <w:bCs/>
          <w:color w:val="000000"/>
          <w:lang w:val="es-ES"/>
        </w:rPr>
        <w:t>Referencias normativas, jurisprudenciales y otras fuentes:</w:t>
      </w:r>
    </w:p>
    <w:p w14:paraId="0219CFC2"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73512" w:rsidRPr="00973512" w14:paraId="15A250FE" w14:textId="77777777" w:rsidTr="00FF097A">
        <w:trPr>
          <w:trHeight w:val="870"/>
        </w:trPr>
        <w:tc>
          <w:tcPr>
            <w:tcW w:w="8647" w:type="dxa"/>
          </w:tcPr>
          <w:p w14:paraId="3343F668" w14:textId="77777777" w:rsidR="00973512" w:rsidRPr="00973512" w:rsidRDefault="00973512" w:rsidP="00973512">
            <w:pPr>
              <w:numPr>
                <w:ilvl w:val="0"/>
                <w:numId w:val="18"/>
              </w:numPr>
              <w:rPr>
                <w:rFonts w:ascii="Verdana" w:eastAsia="Aptos" w:hAnsi="Verdana" w:cs="Arial"/>
                <w:color w:val="000000"/>
              </w:rPr>
            </w:pPr>
            <w:r w:rsidRPr="00973512">
              <w:rPr>
                <w:rFonts w:ascii="Verdana" w:eastAsia="Aptos" w:hAnsi="Verdana" w:cs="Arial"/>
                <w:color w:val="000000"/>
                <w:lang w:val="es-ES"/>
              </w:rPr>
              <w:t xml:space="preserve">Artículo 23, 24, 77 Ley 80 de 1993. Disponible en </w:t>
            </w:r>
            <w:hyperlink r:id="rId13" w:history="1">
              <w:r w:rsidRPr="00973512">
                <w:rPr>
                  <w:rFonts w:ascii="Verdana" w:eastAsia="Aptos" w:hAnsi="Verdana" w:cs="Arial"/>
                  <w:color w:val="467886"/>
                  <w:u w:val="single"/>
                  <w:lang w:val="es-ES"/>
                </w:rPr>
                <w:t>https://relatoria.colombiacompra.gov.co/normativa/ley-80-de-1993/</w:t>
              </w:r>
            </w:hyperlink>
            <w:r w:rsidRPr="00973512">
              <w:rPr>
                <w:rFonts w:ascii="Verdana" w:eastAsia="Aptos" w:hAnsi="Verdana" w:cs="Arial"/>
                <w:color w:val="000000"/>
                <w:lang w:val="es-ES"/>
              </w:rPr>
              <w:t xml:space="preserve"> </w:t>
            </w:r>
          </w:p>
          <w:p w14:paraId="5150BEB6" w14:textId="77777777" w:rsidR="00973512" w:rsidRPr="00973512" w:rsidRDefault="00973512" w:rsidP="00973512">
            <w:pPr>
              <w:ind w:left="720"/>
              <w:rPr>
                <w:rFonts w:ascii="Verdana" w:eastAsia="Aptos" w:hAnsi="Verdana" w:cs="Arial"/>
                <w:color w:val="000000"/>
              </w:rPr>
            </w:pPr>
          </w:p>
          <w:p w14:paraId="21B12F2D" w14:textId="77777777" w:rsidR="00973512" w:rsidRPr="00973512" w:rsidRDefault="00973512" w:rsidP="00973512">
            <w:pPr>
              <w:numPr>
                <w:ilvl w:val="0"/>
                <w:numId w:val="18"/>
              </w:numPr>
              <w:rPr>
                <w:rFonts w:ascii="Verdana" w:eastAsia="Aptos" w:hAnsi="Verdana" w:cs="Arial"/>
                <w:color w:val="000000"/>
              </w:rPr>
            </w:pPr>
            <w:r w:rsidRPr="00973512">
              <w:rPr>
                <w:rFonts w:ascii="Verdana" w:eastAsia="Aptos" w:hAnsi="Verdana" w:cs="Arial"/>
                <w:color w:val="000000"/>
                <w:lang w:val="es-ES"/>
              </w:rPr>
              <w:t xml:space="preserve">Artículo 2.2.1.1.2.2.5 del Decreto 1082 de 2015. Disponible en </w:t>
            </w:r>
            <w:hyperlink r:id="rId14" w:history="1">
              <w:r w:rsidRPr="00973512">
                <w:rPr>
                  <w:rFonts w:ascii="Verdana" w:eastAsia="Aptos" w:hAnsi="Verdana" w:cs="Arial"/>
                  <w:color w:val="467886"/>
                  <w:u w:val="single"/>
                  <w:lang w:val="es-ES"/>
                </w:rPr>
                <w:t>https://relatoria.colombiacompra.gov.co/normativa/decreto-1082-de-2015/</w:t>
              </w:r>
            </w:hyperlink>
            <w:r w:rsidRPr="00973512">
              <w:rPr>
                <w:rFonts w:ascii="Verdana" w:eastAsia="Aptos" w:hAnsi="Verdana" w:cs="Arial"/>
                <w:color w:val="000000"/>
                <w:lang w:val="es-ES"/>
              </w:rPr>
              <w:t xml:space="preserve"> </w:t>
            </w:r>
          </w:p>
          <w:p w14:paraId="256B89C5" w14:textId="77777777" w:rsidR="00973512" w:rsidRPr="00973512" w:rsidRDefault="00973512" w:rsidP="00973512">
            <w:pPr>
              <w:widowControl w:val="0"/>
              <w:autoSpaceDE w:val="0"/>
              <w:autoSpaceDN w:val="0"/>
              <w:spacing w:after="120" w:line="276" w:lineRule="auto"/>
              <w:ind w:left="720"/>
              <w:jc w:val="both"/>
              <w:rPr>
                <w:rFonts w:ascii="Verdana" w:eastAsia="Aptos" w:hAnsi="Verdana" w:cs="Arial"/>
                <w:color w:val="000000"/>
                <w:lang w:val="es-ES"/>
              </w:rPr>
            </w:pPr>
          </w:p>
          <w:p w14:paraId="29911BCA" w14:textId="77777777" w:rsidR="00973512" w:rsidRPr="00973512" w:rsidRDefault="00973512" w:rsidP="00973512">
            <w:pPr>
              <w:numPr>
                <w:ilvl w:val="0"/>
                <w:numId w:val="18"/>
              </w:numPr>
              <w:rPr>
                <w:rFonts w:ascii="Verdana" w:eastAsia="Aptos" w:hAnsi="Verdana" w:cs="Arial"/>
                <w:color w:val="000000"/>
              </w:rPr>
            </w:pPr>
            <w:r w:rsidRPr="00973512">
              <w:rPr>
                <w:rFonts w:ascii="Verdana" w:eastAsia="Aptos" w:hAnsi="Verdana" w:cs="Arial"/>
                <w:color w:val="000000"/>
                <w:lang w:val="es-ES"/>
              </w:rPr>
              <w:t xml:space="preserve">Artículo 14, 37 y 38 del CPACA de la Ley 1437 de 2011 (CPACA). Disponible en </w:t>
            </w:r>
            <w:hyperlink r:id="rId15" w:history="1">
              <w:r w:rsidRPr="00973512">
                <w:rPr>
                  <w:rFonts w:ascii="Verdana" w:eastAsia="Aptos" w:hAnsi="Verdana" w:cs="Arial"/>
                  <w:color w:val="467886"/>
                  <w:u w:val="single"/>
                  <w:lang w:val="es-ES"/>
                </w:rPr>
                <w:t>https://relatoria.colombiacompra.gov.co/normativa/ley-1437-de-2011/</w:t>
              </w:r>
            </w:hyperlink>
            <w:r w:rsidRPr="00973512">
              <w:rPr>
                <w:rFonts w:ascii="Verdana" w:eastAsia="Aptos" w:hAnsi="Verdana" w:cs="Arial"/>
                <w:color w:val="000000"/>
                <w:lang w:val="es-ES"/>
              </w:rPr>
              <w:t xml:space="preserve"> </w:t>
            </w:r>
          </w:p>
          <w:p w14:paraId="3EE3EA53" w14:textId="77777777" w:rsidR="00973512" w:rsidRPr="00973512" w:rsidRDefault="00973512" w:rsidP="00973512">
            <w:pPr>
              <w:ind w:left="720"/>
              <w:contextualSpacing/>
              <w:rPr>
                <w:rFonts w:ascii="Verdana" w:eastAsia="Aptos" w:hAnsi="Verdana" w:cs="Arial"/>
                <w:color w:val="000000"/>
              </w:rPr>
            </w:pPr>
          </w:p>
          <w:p w14:paraId="48A1591B" w14:textId="77777777" w:rsidR="00973512" w:rsidRPr="00973512" w:rsidRDefault="00973512" w:rsidP="00973512">
            <w:pPr>
              <w:numPr>
                <w:ilvl w:val="0"/>
                <w:numId w:val="18"/>
              </w:numPr>
              <w:rPr>
                <w:rFonts w:ascii="Verdana" w:eastAsia="Aptos" w:hAnsi="Verdana" w:cs="Arial"/>
                <w:color w:val="000000"/>
              </w:rPr>
            </w:pPr>
            <w:r w:rsidRPr="00973512">
              <w:rPr>
                <w:rFonts w:ascii="Verdana" w:eastAsia="Aptos" w:hAnsi="Verdana" w:cs="Arial"/>
                <w:color w:val="000000"/>
                <w:lang w:val="es-ES"/>
              </w:rPr>
              <w:t xml:space="preserve">Artículo 4, 6 de la Ley 1712 de 2014. Disponible en </w:t>
            </w:r>
            <w:hyperlink r:id="rId16" w:history="1">
              <w:r w:rsidRPr="00973512">
                <w:rPr>
                  <w:rFonts w:ascii="Verdana" w:eastAsia="Aptos" w:hAnsi="Verdana" w:cs="Arial"/>
                  <w:color w:val="467886"/>
                  <w:u w:val="single"/>
                  <w:lang w:val="es-ES"/>
                </w:rPr>
                <w:t>https://relatoria.colombiacompra.gov.co/normativa/ley-1712-de-2014/</w:t>
              </w:r>
            </w:hyperlink>
            <w:r w:rsidRPr="00973512">
              <w:rPr>
                <w:rFonts w:ascii="Verdana" w:eastAsia="Aptos" w:hAnsi="Verdana" w:cs="Arial"/>
                <w:color w:val="000000"/>
                <w:lang w:val="es-ES"/>
              </w:rPr>
              <w:t xml:space="preserve"> </w:t>
            </w:r>
          </w:p>
          <w:p w14:paraId="70E42A50" w14:textId="77777777" w:rsidR="00973512" w:rsidRPr="00973512" w:rsidRDefault="00973512" w:rsidP="00973512">
            <w:pPr>
              <w:ind w:left="720"/>
              <w:rPr>
                <w:rFonts w:ascii="Verdana" w:eastAsia="Aptos" w:hAnsi="Verdana" w:cs="Arial"/>
                <w:color w:val="000000"/>
              </w:rPr>
            </w:pPr>
          </w:p>
          <w:p w14:paraId="7C38202B" w14:textId="77777777" w:rsidR="00973512" w:rsidRPr="00973512" w:rsidRDefault="00973512" w:rsidP="00973512">
            <w:pPr>
              <w:numPr>
                <w:ilvl w:val="0"/>
                <w:numId w:val="18"/>
              </w:numPr>
              <w:rPr>
                <w:rFonts w:ascii="Verdana" w:eastAsia="Aptos" w:hAnsi="Verdana" w:cs="Arial"/>
                <w:color w:val="000000"/>
              </w:rPr>
            </w:pPr>
            <w:r w:rsidRPr="00973512">
              <w:rPr>
                <w:rFonts w:ascii="Verdana" w:eastAsia="Aptos" w:hAnsi="Verdana" w:cs="Arial"/>
                <w:color w:val="000000"/>
              </w:rPr>
              <w:t xml:space="preserve">Guía rápida para hacer un Proceso de Contratación de Licitación Pública en el SECOP II. Disponible en </w:t>
            </w:r>
            <w:hyperlink r:id="rId17" w:history="1">
              <w:r w:rsidRPr="00973512">
                <w:rPr>
                  <w:rFonts w:ascii="Verdana" w:eastAsia="Aptos" w:hAnsi="Verdana" w:cs="Arial"/>
                  <w:color w:val="467886"/>
                  <w:u w:val="single"/>
                </w:rPr>
                <w:t>https://www.colombiacompra.gov.co/sites/cce_public/files/cce_documentos/20170407_licitacion_publica_entidades.pdf</w:t>
              </w:r>
            </w:hyperlink>
          </w:p>
          <w:p w14:paraId="1036FB0C" w14:textId="77777777" w:rsidR="00973512" w:rsidRPr="00973512" w:rsidRDefault="00973512" w:rsidP="00973512">
            <w:pPr>
              <w:widowControl w:val="0"/>
              <w:autoSpaceDE w:val="0"/>
              <w:autoSpaceDN w:val="0"/>
              <w:spacing w:after="120" w:line="276" w:lineRule="auto"/>
              <w:ind w:left="720"/>
              <w:jc w:val="both"/>
              <w:rPr>
                <w:rFonts w:ascii="Verdana" w:eastAsia="Aptos" w:hAnsi="Verdana" w:cs="Arial"/>
                <w:color w:val="000000"/>
                <w:lang w:val="es-ES"/>
              </w:rPr>
            </w:pPr>
          </w:p>
          <w:p w14:paraId="2849C4B7" w14:textId="77777777" w:rsidR="00973512" w:rsidRPr="00973512" w:rsidRDefault="00973512" w:rsidP="00973512">
            <w:pPr>
              <w:numPr>
                <w:ilvl w:val="0"/>
                <w:numId w:val="18"/>
              </w:numPr>
              <w:rPr>
                <w:rFonts w:ascii="Verdana" w:eastAsia="Aptos" w:hAnsi="Verdana" w:cs="Arial"/>
                <w:color w:val="000000"/>
              </w:rPr>
            </w:pPr>
            <w:r w:rsidRPr="00973512">
              <w:rPr>
                <w:rFonts w:ascii="Verdana" w:eastAsia="Aptos" w:hAnsi="Verdana" w:cs="Arial"/>
                <w:color w:val="000000"/>
                <w:lang w:val="es-ES"/>
              </w:rPr>
              <w:t xml:space="preserve">Artículo 4, 6 de la Ley 1712 de 2014. Disponible en </w:t>
            </w:r>
            <w:hyperlink r:id="rId18" w:history="1">
              <w:r w:rsidRPr="00973512">
                <w:rPr>
                  <w:rFonts w:ascii="Verdana" w:eastAsia="Aptos" w:hAnsi="Verdana" w:cs="Arial"/>
                  <w:color w:val="467886"/>
                  <w:u w:val="single"/>
                  <w:lang w:val="es-ES"/>
                </w:rPr>
                <w:t>https://relatoria.colombiacompra.gov.co/normativa/ley-1712-de-2014/</w:t>
              </w:r>
            </w:hyperlink>
            <w:r w:rsidRPr="00973512">
              <w:rPr>
                <w:rFonts w:ascii="Verdana" w:eastAsia="Aptos" w:hAnsi="Verdana" w:cs="Arial"/>
                <w:color w:val="000000"/>
                <w:lang w:val="es-ES"/>
              </w:rPr>
              <w:t xml:space="preserve"> </w:t>
            </w:r>
          </w:p>
          <w:p w14:paraId="310C73A7" w14:textId="77777777" w:rsidR="00973512" w:rsidRPr="00973512" w:rsidRDefault="00973512" w:rsidP="00973512">
            <w:pPr>
              <w:widowControl w:val="0"/>
              <w:autoSpaceDE w:val="0"/>
              <w:autoSpaceDN w:val="0"/>
              <w:spacing w:after="120" w:line="276" w:lineRule="auto"/>
              <w:ind w:left="720"/>
              <w:jc w:val="both"/>
              <w:rPr>
                <w:rFonts w:ascii="Verdana" w:eastAsia="Aptos" w:hAnsi="Verdana" w:cs="Arial"/>
                <w:color w:val="000000"/>
              </w:rPr>
            </w:pPr>
          </w:p>
          <w:p w14:paraId="45BD98F9" w14:textId="77777777" w:rsidR="00973512" w:rsidRPr="00973512" w:rsidRDefault="00973512" w:rsidP="00973512">
            <w:pPr>
              <w:widowControl w:val="0"/>
              <w:autoSpaceDE w:val="0"/>
              <w:autoSpaceDN w:val="0"/>
              <w:spacing w:after="120" w:line="276" w:lineRule="auto"/>
              <w:ind w:left="720"/>
              <w:jc w:val="both"/>
              <w:rPr>
                <w:rFonts w:ascii="Verdana" w:eastAsia="Aptos" w:hAnsi="Verdana" w:cs="Arial"/>
                <w:color w:val="000000"/>
              </w:rPr>
            </w:pPr>
            <w:r w:rsidRPr="00973512">
              <w:rPr>
                <w:rFonts w:ascii="Verdana" w:eastAsia="Aptos" w:hAnsi="Verdana" w:cs="Arial"/>
                <w:color w:val="000000"/>
              </w:rPr>
              <w:t xml:space="preserve">Guía rápida para hacer un Proceso de Contratación de Licitación Pública en el SECOP II. Disponible en </w:t>
            </w:r>
            <w:hyperlink r:id="rId19" w:history="1">
              <w:r w:rsidRPr="00973512">
                <w:rPr>
                  <w:rFonts w:ascii="Verdana" w:eastAsia="Aptos" w:hAnsi="Verdana" w:cs="Arial"/>
                  <w:color w:val="467886"/>
                  <w:u w:val="single"/>
                </w:rPr>
                <w:t>https://www.colombiacompra.gov.co/sites/cce_public/files/cce_documentos/20170407_licitacion_publica_entidades.pdf</w:t>
              </w:r>
            </w:hyperlink>
          </w:p>
        </w:tc>
      </w:tr>
    </w:tbl>
    <w:p w14:paraId="0F09CD29"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rPr>
      </w:pPr>
    </w:p>
    <w:p w14:paraId="061049CE" w14:textId="77777777" w:rsidR="00973512" w:rsidRPr="00973512" w:rsidRDefault="00973512" w:rsidP="00973512">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lang w:val="es-ES"/>
        </w:rPr>
      </w:pPr>
      <w:r w:rsidRPr="00973512">
        <w:rPr>
          <w:rFonts w:ascii="Verdana" w:eastAsia="Century Gothic" w:hAnsi="Verdana" w:cs="Century Gothic"/>
          <w:b/>
          <w:bCs/>
          <w:color w:val="000000"/>
          <w:lang w:val="es-ES"/>
        </w:rPr>
        <w:t>Doctrina de la Agencia Nacional de Contratación Pública:</w:t>
      </w:r>
    </w:p>
    <w:p w14:paraId="39EC283F"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rPr>
      </w:pPr>
    </w:p>
    <w:p w14:paraId="33D0CC82"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shd w:val="clear" w:color="auto" w:fill="FFFFFF"/>
          <w:lang w:val="es-MX"/>
        </w:rPr>
      </w:pPr>
      <w:r w:rsidRPr="00973512">
        <w:rPr>
          <w:rFonts w:ascii="Verdana" w:eastAsia="Aptos" w:hAnsi="Verdana" w:cs="Arial"/>
          <w:color w:val="000000"/>
          <w:shd w:val="clear" w:color="auto" w:fill="FFFFFF"/>
          <w:lang w:val="es-ES"/>
        </w:rPr>
        <w:t xml:space="preserve">Sobre el principio de publicidad, se pronunció esta Subdirección en los conceptos 4201912000005935 del 25 de noviembre de 2019, </w:t>
      </w:r>
      <w:r w:rsidRPr="00973512">
        <w:rPr>
          <w:rFonts w:ascii="Verdana" w:eastAsia="Aptos" w:hAnsi="Verdana" w:cs="Arial"/>
          <w:color w:val="000000"/>
          <w:shd w:val="clear" w:color="auto" w:fill="FFFFFF"/>
          <w:lang w:val="es-MX"/>
        </w:rPr>
        <w:t xml:space="preserve">C-139 del 31 de febrero de 2020, Concepto C – 575 de 2020, C-080 del 5 de marzo de 2020, C-002 del 5 de mayo de 2020, C-093 del 22 de marzo de 2022, C-261 del 20 de mayo de 2022, C-358 del 30 de junio de 2020, C-905 del 28 de diciembre de 2022, C-313 del 31 de julio del 2023, C-324 del 20 de agosto de 2024. </w:t>
      </w:r>
      <w:r w:rsidRPr="00973512">
        <w:rPr>
          <w:rFonts w:ascii="Verdana" w:eastAsia="Aptos" w:hAnsi="Verdana" w:cs="Arial"/>
          <w:color w:val="000000"/>
          <w:shd w:val="clear" w:color="auto" w:fill="FFFFFF"/>
          <w:lang w:val="es-ES"/>
        </w:rPr>
        <w:t xml:space="preserve"> </w:t>
      </w:r>
      <w:r w:rsidRPr="00973512">
        <w:rPr>
          <w:rFonts w:ascii="Verdana" w:eastAsia="Aptos" w:hAnsi="Verdana" w:cs="Arial"/>
          <w:color w:val="000000"/>
          <w:shd w:val="clear" w:color="auto" w:fill="FFFFFF"/>
          <w:lang w:val="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20" w:tgtFrame="_blank" w:tooltip="Dirección URL original: https://relatoria.colombiacompra.gov.co/. Haga clic o pulse si confía en este vínculo." w:history="1">
        <w:r w:rsidRPr="00973512">
          <w:rPr>
            <w:rFonts w:ascii="Verdana" w:eastAsia="Aptos" w:hAnsi="Verdana" w:cs="Arial"/>
            <w:color w:val="467886"/>
            <w:u w:val="single"/>
            <w:shd w:val="clear" w:color="auto" w:fill="FFFFFF"/>
            <w:lang w:val="es-MX"/>
          </w:rPr>
          <w:t>https://relatoria.colombiacompra.gov.co/</w:t>
        </w:r>
      </w:hyperlink>
      <w:r w:rsidRPr="00973512">
        <w:rPr>
          <w:rFonts w:ascii="Verdana" w:eastAsia="Aptos" w:hAnsi="Verdana" w:cs="Arial"/>
          <w:color w:val="000000"/>
          <w:shd w:val="clear" w:color="auto" w:fill="FFFFFF"/>
          <w:lang w:val="es-MX"/>
        </w:rPr>
        <w:t xml:space="preserve"> . </w:t>
      </w:r>
    </w:p>
    <w:p w14:paraId="6C4265F9"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shd w:val="clear" w:color="auto" w:fill="FFFFFF"/>
          <w:lang w:val="es-MX"/>
        </w:rPr>
      </w:pPr>
    </w:p>
    <w:p w14:paraId="4A4EFDFD"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rPr>
      </w:pPr>
      <w:r w:rsidRPr="00973512">
        <w:rPr>
          <w:rFonts w:ascii="Verdana" w:eastAsia="Aptos" w:hAnsi="Verdana" w:cs="Arial"/>
          <w:color w:val="000000"/>
        </w:rPr>
        <w:t xml:space="preserve">Le informamos que ya se encuentran publicados los borradores de las nuevas versiones de los Documentos Tipo de Interventoría y Consultoría de Infraestructura de Transporte. Conoce todos los detalles y realiza tus comentarios hasta el 10 de noviembre de 2024 en los siguientes </w:t>
      </w:r>
      <w:r w:rsidRPr="00973512">
        <w:rPr>
          <w:rFonts w:ascii="Verdana" w:eastAsia="Aptos" w:hAnsi="Verdana" w:cs="Arial"/>
          <w:color w:val="000000"/>
        </w:rPr>
        <w:lastRenderedPageBreak/>
        <w:t>enlaces: </w:t>
      </w:r>
      <w:hyperlink r:id="rId21" w:tgtFrame="_blank" w:tooltip="Dirección URL original: https://www.colombiacompra.gov.co/content/borrador-de-documentos-tipo-de-consultoria-de-obra-publica-de-infraestructura-de-transporte. Haga clic o pulse si confía en este vínculo." w:history="1">
        <w:r w:rsidRPr="00973512">
          <w:rPr>
            <w:rFonts w:ascii="Verdana" w:eastAsia="Aptos" w:hAnsi="Verdana" w:cs="Arial"/>
            <w:color w:val="467886"/>
            <w:u w:val="single"/>
          </w:rPr>
          <w:t>https://www.colombiacompra.gov.co/content/borrador-de-documentos-tipo-de-consultoria-de-obra-publica-de-infraestructura-de-transporte</w:t>
        </w:r>
      </w:hyperlink>
      <w:r w:rsidRPr="00973512">
        <w:rPr>
          <w:rFonts w:ascii="Verdana" w:eastAsia="Aptos" w:hAnsi="Verdana" w:cs="Arial"/>
          <w:color w:val="000000"/>
        </w:rPr>
        <w:t> y </w:t>
      </w:r>
      <w:hyperlink r:id="rId22" w:tgtFrame="_blank" w:tooltip="Dirección URL original: https://www.colombiacompra.gov.co/content/borrador-de-documentos-tipo-de-interventoria-de-obra-publica-de-infraestructura-de. Haga clic o pulse si confía en este vínculo." w:history="1">
        <w:r w:rsidRPr="00973512">
          <w:rPr>
            <w:rFonts w:ascii="Verdana" w:eastAsia="Aptos" w:hAnsi="Verdana" w:cs="Arial"/>
            <w:color w:val="467886"/>
            <w:u w:val="single"/>
          </w:rPr>
          <w:t>https://www.colombiacompra.gov.co/content/borrador-de-documentos-tipo-de-interventoria-de-obra-publica-de-infraestructura-de</w:t>
        </w:r>
      </w:hyperlink>
      <w:r w:rsidRPr="00973512">
        <w:rPr>
          <w:rFonts w:ascii="Verdana" w:eastAsia="Aptos" w:hAnsi="Verdana" w:cs="Arial"/>
          <w:color w:val="000000"/>
        </w:rPr>
        <w:t> .</w:t>
      </w:r>
    </w:p>
    <w:p w14:paraId="5372A88D"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rPr>
      </w:pPr>
    </w:p>
    <w:p w14:paraId="70B91AA9"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rPr>
      </w:pPr>
      <w:r w:rsidRPr="00973512">
        <w:rPr>
          <w:rFonts w:ascii="Verdana" w:eastAsia="Aptos" w:hAnsi="Verdana" w:cs="Arial"/>
          <w:color w:val="000000"/>
        </w:rPr>
        <w:t>De otra parte, te contamos que ya publicamos el borrador de la nueva Guía de Contratación Pública Sostenible y Socialmente Responsable. Conoce el documento y realiza tus comentarios hasta el 14 de noviembre de 2024 a través del siguiente enlace: </w:t>
      </w:r>
      <w:hyperlink r:id="rId23" w:tgtFrame="_blank" w:tooltip="Dirección URL original: https://www.sucop.gov.co/entidades/colombiacompra/Normativa?IDNorma=18320. Haga clic o pulse si confía en este vínculo." w:history="1">
        <w:r w:rsidRPr="00973512">
          <w:rPr>
            <w:rFonts w:ascii="Verdana" w:eastAsia="Aptos" w:hAnsi="Verdana" w:cs="Arial"/>
            <w:color w:val="467886"/>
            <w:u w:val="single"/>
          </w:rPr>
          <w:t>https://www.sucop.gov.co/entidades/colombiacompra/Normativa?IDNorma=18320</w:t>
        </w:r>
      </w:hyperlink>
      <w:r w:rsidRPr="00973512">
        <w:rPr>
          <w:rFonts w:ascii="Verdana" w:eastAsia="Aptos" w:hAnsi="Verdana" w:cs="Arial"/>
          <w:color w:val="000000"/>
        </w:rPr>
        <w:t>  </w:t>
      </w:r>
    </w:p>
    <w:p w14:paraId="0840C5C0"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rPr>
      </w:pPr>
    </w:p>
    <w:p w14:paraId="37EF1012"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rPr>
      </w:pPr>
      <w:r w:rsidRPr="00973512">
        <w:rPr>
          <w:rFonts w:ascii="Verdana" w:eastAsia="Aptos" w:hAnsi="Verdana" w:cs="Arial"/>
          <w:color w:val="000000"/>
        </w:rPr>
        <w:t>También le invitamos a consultar las versiones V y VI de 2024 del Boletín de Relatoría de la Subdirección de Gestión Contractual relacionados con las guías de Plan Anual de Adquisiciones y la modalidad de selección de mínima cuantía , los cuales se pueden descargar en la página web de la Agencia: </w:t>
      </w:r>
      <w:hyperlink r:id="rId24" w:tgtFrame="_blank" w:tooltip="Dirección URL original: https://www.colombiacompra.gov.co/sala-de-prensa/boletin-digital. Haga clic o pulse si confía en este vínculo." w:history="1">
        <w:r w:rsidRPr="00973512">
          <w:rPr>
            <w:rFonts w:ascii="Verdana" w:eastAsia="Aptos" w:hAnsi="Verdana" w:cs="Arial"/>
            <w:color w:val="467886"/>
            <w:u w:val="single"/>
          </w:rPr>
          <w:t>https://www.colombiacompra.gov.co/sala-de-prensa/boletin-digital</w:t>
        </w:r>
      </w:hyperlink>
      <w:r w:rsidRPr="00973512">
        <w:rPr>
          <w:rFonts w:ascii="Verdana" w:eastAsia="Aptos" w:hAnsi="Verdana" w:cs="Arial"/>
          <w:color w:val="000000"/>
        </w:rPr>
        <w:t> "    </w:t>
      </w:r>
    </w:p>
    <w:p w14:paraId="69485AA7"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rPr>
      </w:pPr>
    </w:p>
    <w:p w14:paraId="17CAA9E3"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rPr>
      </w:pPr>
      <w:r w:rsidRPr="00973512">
        <w:rPr>
          <w:rFonts w:ascii="Verdana" w:eastAsia="Aptos" w:hAnsi="Verdana" w:cs="Arial"/>
          <w:color w:val="000000"/>
        </w:rPr>
        <w:t xml:space="preserve">Por último, lo invitamos a seguirnos en las redes sociales en las cuales se difunde información institucional: </w:t>
      </w:r>
    </w:p>
    <w:p w14:paraId="54E42E8C"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rPr>
      </w:pPr>
    </w:p>
    <w:p w14:paraId="50DA9CD5"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rPr>
      </w:pPr>
      <w:r w:rsidRPr="00973512">
        <w:rPr>
          <w:rFonts w:ascii="Verdana" w:eastAsia="Aptos" w:hAnsi="Verdana" w:cs="Arial"/>
          <w:color w:val="000000"/>
        </w:rPr>
        <w:t xml:space="preserve">Twitter: </w:t>
      </w:r>
      <w:r w:rsidRPr="00973512">
        <w:rPr>
          <w:rFonts w:ascii="Verdana" w:eastAsia="Aptos" w:hAnsi="Verdana" w:cs="Arial"/>
          <w:color w:val="000000"/>
          <w:u w:val="single"/>
        </w:rPr>
        <w:t>@colombiacompra</w:t>
      </w:r>
      <w:r w:rsidRPr="00973512">
        <w:rPr>
          <w:rFonts w:ascii="Verdana" w:eastAsia="Aptos" w:hAnsi="Verdana" w:cs="Arial"/>
          <w:color w:val="000000"/>
        </w:rPr>
        <w:t xml:space="preserve"> </w:t>
      </w:r>
    </w:p>
    <w:p w14:paraId="6DBF6766"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rPr>
      </w:pPr>
      <w:r w:rsidRPr="00973512">
        <w:rPr>
          <w:rFonts w:ascii="Verdana" w:eastAsia="Aptos" w:hAnsi="Verdana" w:cs="Arial"/>
          <w:color w:val="000000"/>
        </w:rPr>
        <w:t xml:space="preserve">Facebook: </w:t>
      </w:r>
      <w:proofErr w:type="spellStart"/>
      <w:r w:rsidRPr="00973512">
        <w:rPr>
          <w:rFonts w:ascii="Verdana" w:eastAsia="Aptos" w:hAnsi="Verdana" w:cs="Arial"/>
          <w:color w:val="000000"/>
          <w:u w:val="single"/>
        </w:rPr>
        <w:t>ColombiaCompraEficiente</w:t>
      </w:r>
      <w:proofErr w:type="spellEnd"/>
    </w:p>
    <w:p w14:paraId="62EEB3F5"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rPr>
      </w:pPr>
      <w:r w:rsidRPr="00973512">
        <w:rPr>
          <w:rFonts w:ascii="Verdana" w:eastAsia="Aptos" w:hAnsi="Verdana" w:cs="Arial"/>
          <w:color w:val="000000"/>
        </w:rPr>
        <w:t xml:space="preserve">LinkedIn: </w:t>
      </w:r>
      <w:r w:rsidRPr="00973512">
        <w:rPr>
          <w:rFonts w:ascii="Verdana" w:eastAsia="Aptos" w:hAnsi="Verdana" w:cs="Arial"/>
          <w:color w:val="000000"/>
          <w:u w:val="single"/>
        </w:rPr>
        <w:t>Agencia Nacional de Contratación Pública - Colombia Compra Eficiente</w:t>
      </w:r>
      <w:r w:rsidRPr="00973512">
        <w:rPr>
          <w:rFonts w:ascii="Verdana" w:eastAsia="Aptos" w:hAnsi="Verdana" w:cs="Arial"/>
          <w:color w:val="000000"/>
        </w:rPr>
        <w:t xml:space="preserve"> Instagram: </w:t>
      </w:r>
      <w:r w:rsidRPr="00973512">
        <w:rPr>
          <w:rFonts w:ascii="Verdana" w:eastAsia="Aptos" w:hAnsi="Verdana" w:cs="Arial"/>
          <w:color w:val="000000"/>
          <w:u w:val="single"/>
        </w:rPr>
        <w:t>@colombiacompraeficiente_cce</w:t>
      </w:r>
    </w:p>
    <w:p w14:paraId="7A7A9A3D"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rPr>
      </w:pPr>
    </w:p>
    <w:p w14:paraId="4C7C0700"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lang w:val="es-ES_tradnl"/>
        </w:rPr>
      </w:pPr>
      <w:r w:rsidRPr="00973512">
        <w:rPr>
          <w:rFonts w:ascii="Verdana" w:eastAsia="Aptos" w:hAnsi="Verdana" w:cs="Arial"/>
          <w:color w:val="000000"/>
        </w:rPr>
        <w:t xml:space="preserve">Este concepto tiene el alcance previsto en el artículo 28 del Código de Procedimiento Administrativo y de lo Contencioso Administrativo </w:t>
      </w:r>
      <w:r w:rsidRPr="00973512">
        <w:rPr>
          <w:rFonts w:ascii="Verdana" w:eastAsia="Aptos" w:hAnsi="Verdana" w:cs="Arial"/>
          <w:color w:val="000000"/>
          <w:lang w:val="es-ES_tradnl"/>
        </w:rPr>
        <w:t>y las expresiones aquí utilizadas con mayúscula inicial deben ser entendidas con el significado que les otorga el artículo 2.2.1.1.1.3.1. del Decreto 1082 de 2015.</w:t>
      </w:r>
    </w:p>
    <w:p w14:paraId="4D257A1E" w14:textId="77777777" w:rsidR="00973512" w:rsidRPr="00973512" w:rsidRDefault="00973512" w:rsidP="00973512">
      <w:pPr>
        <w:widowControl w:val="0"/>
        <w:autoSpaceDE w:val="0"/>
        <w:autoSpaceDN w:val="0"/>
        <w:spacing w:after="0" w:line="276" w:lineRule="auto"/>
        <w:jc w:val="both"/>
        <w:rPr>
          <w:rFonts w:ascii="Verdana" w:eastAsia="Aptos" w:hAnsi="Verdana" w:cs="Arial"/>
          <w:color w:val="000000"/>
        </w:rPr>
      </w:pPr>
    </w:p>
    <w:p w14:paraId="31CAB90D" w14:textId="77777777" w:rsidR="00973512" w:rsidRPr="00973512" w:rsidRDefault="00973512" w:rsidP="00973512">
      <w:pPr>
        <w:spacing w:after="0" w:line="240" w:lineRule="auto"/>
        <w:rPr>
          <w:rFonts w:ascii="Verdana" w:eastAsia="Aptos" w:hAnsi="Verdana" w:cs="Arial"/>
          <w:color w:val="000000"/>
          <w:lang w:eastAsia="es-CO"/>
        </w:rPr>
      </w:pPr>
      <w:r w:rsidRPr="00973512">
        <w:rPr>
          <w:rFonts w:ascii="Verdana" w:eastAsia="Times New Roman" w:hAnsi="Verdana" w:cs="Arial"/>
          <w:color w:val="000000"/>
          <w:lang w:eastAsia="es-CO"/>
        </w:rPr>
        <w:t>Atentamente,</w:t>
      </w:r>
      <w:r w:rsidRPr="00973512">
        <w:rPr>
          <w:rFonts w:ascii="Verdana" w:eastAsia="Aptos" w:hAnsi="Verdana" w:cs="Arial"/>
          <w:color w:val="000000"/>
          <w:lang w:eastAsia="es-CO"/>
        </w:rPr>
        <w:t xml:space="preserve"> </w:t>
      </w:r>
    </w:p>
    <w:p w14:paraId="4929EDA1" w14:textId="4A5A55A5" w:rsidR="00973512" w:rsidRPr="00973512" w:rsidRDefault="00542E61" w:rsidP="00973512">
      <w:pPr>
        <w:spacing w:line="276" w:lineRule="auto"/>
        <w:jc w:val="center"/>
        <w:rPr>
          <w:rFonts w:ascii="Verdana" w:eastAsia="Aptos" w:hAnsi="Verdana" w:cs="Arial"/>
          <w:color w:val="000000"/>
          <w:lang w:val="es-ES_tradnl" w:eastAsia="es-CO"/>
        </w:rPr>
      </w:pPr>
      <w:r w:rsidRPr="002C3AD6">
        <w:rPr>
          <w:rFonts w:ascii="Century Gothic" w:hAnsi="Century Gothic"/>
          <w:noProof/>
        </w:rPr>
        <w:lastRenderedPageBreak/>
        <w:drawing>
          <wp:inline distT="0" distB="0" distL="0" distR="0" wp14:anchorId="524BF1C7" wp14:editId="468734F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5"/>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73512" w:rsidRPr="00973512" w14:paraId="5920BD1B" w14:textId="77777777" w:rsidTr="00973512">
        <w:trPr>
          <w:trHeight w:val="315"/>
        </w:trPr>
        <w:tc>
          <w:tcPr>
            <w:tcW w:w="893" w:type="dxa"/>
            <w:vAlign w:val="center"/>
            <w:hideMark/>
          </w:tcPr>
          <w:p w14:paraId="688E2562" w14:textId="77777777" w:rsidR="00973512" w:rsidRPr="00973512" w:rsidRDefault="00973512" w:rsidP="00973512">
            <w:pPr>
              <w:contextualSpacing/>
              <w:rPr>
                <w:rFonts w:ascii="Verdana" w:eastAsia="Aptos" w:hAnsi="Verdana" w:cs="Arial"/>
                <w:color w:val="000000"/>
                <w:sz w:val="16"/>
                <w:szCs w:val="16"/>
                <w:lang w:val="es-ES" w:eastAsia="es-ES"/>
              </w:rPr>
            </w:pPr>
            <w:bookmarkStart w:id="1" w:name="_Hlk181800876"/>
            <w:r w:rsidRPr="00973512">
              <w:rPr>
                <w:rFonts w:ascii="Verdana" w:eastAsia="Aptos"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303D1005" w14:textId="77777777" w:rsidR="00973512" w:rsidRPr="00973512" w:rsidRDefault="00973512" w:rsidP="00973512">
            <w:pPr>
              <w:contextualSpacing/>
              <w:rPr>
                <w:rFonts w:ascii="Verdana" w:eastAsia="Arial" w:hAnsi="Verdana" w:cs="Arial"/>
                <w:color w:val="000000"/>
                <w:sz w:val="16"/>
                <w:szCs w:val="16"/>
              </w:rPr>
            </w:pPr>
            <w:r w:rsidRPr="00973512">
              <w:rPr>
                <w:rFonts w:ascii="Verdana" w:eastAsia="Arial" w:hAnsi="Verdana" w:cs="Arial"/>
                <w:color w:val="000000"/>
                <w:sz w:val="16"/>
                <w:szCs w:val="16"/>
              </w:rPr>
              <w:t>J</w:t>
            </w:r>
            <w:r w:rsidRPr="00973512">
              <w:rPr>
                <w:rFonts w:ascii="Verdana" w:eastAsia="Arial" w:hAnsi="Verdana" w:cs="Arial"/>
                <w:sz w:val="16"/>
                <w:szCs w:val="16"/>
              </w:rPr>
              <w:t xml:space="preserve">uan Manuel Avendaño Robles </w:t>
            </w:r>
          </w:p>
          <w:p w14:paraId="319C6D7A" w14:textId="77777777" w:rsidR="00973512" w:rsidRPr="00973512" w:rsidRDefault="00973512" w:rsidP="00973512">
            <w:pPr>
              <w:contextualSpacing/>
              <w:rPr>
                <w:rFonts w:ascii="Verdana" w:eastAsia="Arial" w:hAnsi="Verdana" w:cs="Arial"/>
                <w:color w:val="000000"/>
                <w:sz w:val="16"/>
                <w:szCs w:val="16"/>
              </w:rPr>
            </w:pPr>
            <w:r w:rsidRPr="00973512">
              <w:rPr>
                <w:rFonts w:ascii="Verdana" w:eastAsia="Arial" w:hAnsi="Verdana" w:cs="Arial"/>
                <w:color w:val="000000"/>
                <w:sz w:val="16"/>
                <w:szCs w:val="16"/>
              </w:rPr>
              <w:t>Contratista de la Subdirección de Gestión Contractual</w:t>
            </w:r>
          </w:p>
        </w:tc>
      </w:tr>
      <w:tr w:rsidR="00973512" w:rsidRPr="00973512" w14:paraId="0D5079C5" w14:textId="77777777" w:rsidTr="00973512">
        <w:trPr>
          <w:trHeight w:val="330"/>
        </w:trPr>
        <w:tc>
          <w:tcPr>
            <w:tcW w:w="893" w:type="dxa"/>
            <w:vAlign w:val="center"/>
            <w:hideMark/>
          </w:tcPr>
          <w:p w14:paraId="5803A234" w14:textId="77777777" w:rsidR="00973512" w:rsidRPr="00973512" w:rsidRDefault="00973512" w:rsidP="00973512">
            <w:pPr>
              <w:contextualSpacing/>
              <w:rPr>
                <w:rFonts w:ascii="Verdana" w:eastAsia="Aptos" w:hAnsi="Verdana" w:cs="Arial"/>
                <w:color w:val="000000"/>
                <w:sz w:val="16"/>
                <w:szCs w:val="16"/>
                <w:lang w:val="es-ES" w:eastAsia="es-ES"/>
              </w:rPr>
            </w:pPr>
            <w:r w:rsidRPr="00973512">
              <w:rPr>
                <w:rFonts w:ascii="Verdana" w:eastAsia="Aptos"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1E72863A" w14:textId="77777777" w:rsidR="00973512" w:rsidRPr="00973512" w:rsidRDefault="00973512" w:rsidP="00973512">
            <w:pPr>
              <w:contextualSpacing/>
              <w:textAlignment w:val="baseline"/>
              <w:rPr>
                <w:rFonts w:ascii="Verdana" w:eastAsia="Times New Roman" w:hAnsi="Verdana" w:cs="Segoe UI"/>
                <w:color w:val="000000"/>
                <w:sz w:val="16"/>
                <w:szCs w:val="16"/>
                <w:lang w:eastAsia="es-ES_tradnl"/>
              </w:rPr>
            </w:pPr>
            <w:r w:rsidRPr="00973512">
              <w:rPr>
                <w:rFonts w:ascii="Verdana" w:eastAsia="Times New Roman" w:hAnsi="Verdana" w:cs="Segoe UI"/>
                <w:color w:val="000000"/>
                <w:sz w:val="16"/>
                <w:szCs w:val="16"/>
                <w:lang w:eastAsia="es-ES_tradnl"/>
              </w:rPr>
              <w:t>C</w:t>
            </w:r>
            <w:r w:rsidRPr="00973512">
              <w:rPr>
                <w:rFonts w:ascii="Verdana" w:eastAsia="Times New Roman" w:hAnsi="Verdana" w:cs="Segoe UI"/>
                <w:sz w:val="16"/>
                <w:szCs w:val="16"/>
                <w:lang w:eastAsia="es-ES_tradnl"/>
              </w:rPr>
              <w:t>ielo Victoria González Meza</w:t>
            </w:r>
          </w:p>
          <w:p w14:paraId="2A9410AD" w14:textId="77777777" w:rsidR="00973512" w:rsidRPr="00973512" w:rsidRDefault="00973512" w:rsidP="00973512">
            <w:pPr>
              <w:contextualSpacing/>
              <w:textAlignment w:val="baseline"/>
              <w:rPr>
                <w:rFonts w:ascii="Verdana" w:eastAsia="Times New Roman" w:hAnsi="Verdana" w:cs="Segoe UI"/>
                <w:color w:val="000000"/>
                <w:sz w:val="16"/>
                <w:szCs w:val="16"/>
                <w:lang w:eastAsia="es-ES_tradnl"/>
              </w:rPr>
            </w:pPr>
            <w:r w:rsidRPr="00973512">
              <w:rPr>
                <w:rFonts w:ascii="Verdana" w:eastAsia="Times New Roman" w:hAnsi="Verdana" w:cs="Arial"/>
                <w:color w:val="000000"/>
                <w:sz w:val="16"/>
                <w:szCs w:val="16"/>
                <w:lang w:val="es-ES" w:eastAsia="es-ES_tradnl"/>
              </w:rPr>
              <w:t>Contratista de la Subdirección de Gestión Contractual</w:t>
            </w:r>
            <w:r w:rsidRPr="00973512">
              <w:rPr>
                <w:rFonts w:ascii="Verdana" w:eastAsia="Times New Roman" w:hAnsi="Verdana" w:cs="Arial"/>
                <w:color w:val="000000"/>
                <w:sz w:val="16"/>
                <w:szCs w:val="16"/>
                <w:lang w:eastAsia="es-ES_tradnl"/>
              </w:rPr>
              <w:t> </w:t>
            </w:r>
          </w:p>
        </w:tc>
      </w:tr>
      <w:tr w:rsidR="00973512" w:rsidRPr="00973512" w14:paraId="1B3B67F5" w14:textId="77777777" w:rsidTr="00973512">
        <w:trPr>
          <w:trHeight w:val="300"/>
        </w:trPr>
        <w:tc>
          <w:tcPr>
            <w:tcW w:w="893" w:type="dxa"/>
            <w:vAlign w:val="center"/>
          </w:tcPr>
          <w:p w14:paraId="635C2187" w14:textId="77777777" w:rsidR="00973512" w:rsidRPr="00973512" w:rsidRDefault="00973512" w:rsidP="00973512">
            <w:pPr>
              <w:contextualSpacing/>
              <w:rPr>
                <w:rFonts w:ascii="Verdana" w:eastAsia="Aptos" w:hAnsi="Verdana" w:cs="Arial"/>
                <w:color w:val="000000"/>
                <w:sz w:val="16"/>
                <w:szCs w:val="16"/>
                <w:lang w:val="es-ES" w:eastAsia="es-ES"/>
              </w:rPr>
            </w:pPr>
            <w:r w:rsidRPr="00973512">
              <w:rPr>
                <w:rFonts w:ascii="Verdana" w:eastAsia="Aptos"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607F2344" w14:textId="77777777" w:rsidR="00973512" w:rsidRPr="00973512" w:rsidRDefault="00973512" w:rsidP="00973512">
            <w:pPr>
              <w:contextualSpacing/>
              <w:rPr>
                <w:rFonts w:ascii="Verdana" w:eastAsia="Calibri" w:hAnsi="Verdana" w:cs="Arial"/>
                <w:color w:val="000000"/>
                <w:sz w:val="16"/>
                <w:szCs w:val="16"/>
                <w:lang w:val="pt-BR" w:eastAsia="es-ES"/>
              </w:rPr>
            </w:pPr>
            <w:r w:rsidRPr="00973512">
              <w:rPr>
                <w:rFonts w:ascii="Verdana" w:eastAsia="Calibri" w:hAnsi="Verdana" w:cs="Arial"/>
                <w:color w:val="000000"/>
                <w:sz w:val="16"/>
                <w:szCs w:val="16"/>
                <w:lang w:val="pt-BR" w:eastAsia="es-ES"/>
              </w:rPr>
              <w:t>Carolina Quintero Gacharná</w:t>
            </w:r>
          </w:p>
          <w:p w14:paraId="0878BEC6" w14:textId="77777777" w:rsidR="00973512" w:rsidRPr="00973512" w:rsidRDefault="00973512" w:rsidP="00973512">
            <w:pPr>
              <w:contextualSpacing/>
              <w:rPr>
                <w:rFonts w:ascii="Verdana" w:eastAsia="Calibri" w:hAnsi="Verdana" w:cs="Arial"/>
                <w:color w:val="000000"/>
                <w:sz w:val="16"/>
                <w:szCs w:val="16"/>
                <w:lang w:val="pt-BR" w:eastAsia="es-ES"/>
              </w:rPr>
            </w:pPr>
            <w:r w:rsidRPr="00973512">
              <w:rPr>
                <w:rFonts w:ascii="Verdana" w:eastAsia="Calibri" w:hAnsi="Verdana" w:cs="Arial"/>
                <w:color w:val="000000"/>
                <w:sz w:val="16"/>
                <w:szCs w:val="16"/>
                <w:lang w:eastAsia="es-ES"/>
              </w:rPr>
              <w:t>Subdirectora</w:t>
            </w:r>
            <w:r w:rsidRPr="00973512">
              <w:rPr>
                <w:rFonts w:ascii="Verdana" w:eastAsia="Calibri" w:hAnsi="Verdana" w:cs="Arial"/>
                <w:color w:val="000000"/>
                <w:sz w:val="16"/>
                <w:szCs w:val="16"/>
                <w:lang w:val="pt-BR" w:eastAsia="es-ES"/>
              </w:rPr>
              <w:t xml:space="preserve"> de Gestión Contractual ANCP – CCE</w:t>
            </w:r>
          </w:p>
        </w:tc>
      </w:tr>
      <w:bookmarkEnd w:id="1"/>
    </w:tbl>
    <w:p w14:paraId="510FD40E" w14:textId="77777777" w:rsidR="00973512" w:rsidRPr="00973512" w:rsidRDefault="00973512" w:rsidP="00973512">
      <w:pPr>
        <w:spacing w:after="0" w:line="240" w:lineRule="auto"/>
        <w:rPr>
          <w:rFonts w:ascii="Verdana" w:eastAsia="Times New Roman" w:hAnsi="Verdana" w:cs="Arial"/>
          <w:color w:val="000000"/>
          <w:sz w:val="24"/>
          <w:szCs w:val="24"/>
          <w:lang w:eastAsia="es-ES"/>
        </w:rPr>
      </w:pPr>
    </w:p>
    <w:p w14:paraId="674703D0" w14:textId="77777777" w:rsidR="00973512" w:rsidRPr="00973512" w:rsidRDefault="00973512" w:rsidP="00973512">
      <w:pPr>
        <w:rPr>
          <w:rFonts w:ascii="Aptos" w:eastAsia="Aptos" w:hAnsi="Aptos" w:cs="Times New Roman"/>
          <w:color w:val="000000"/>
        </w:rPr>
      </w:pPr>
    </w:p>
    <w:p w14:paraId="2A6A1D87" w14:textId="77777777" w:rsidR="00973512" w:rsidRPr="00973512" w:rsidRDefault="00973512" w:rsidP="00973512">
      <w:pPr>
        <w:rPr>
          <w:rFonts w:ascii="Aptos" w:eastAsia="Aptos" w:hAnsi="Aptos" w:cs="Times New Roman"/>
        </w:rPr>
      </w:pPr>
    </w:p>
    <w:p w14:paraId="0F293BF4" w14:textId="7BBFAB11" w:rsidR="00127233" w:rsidRPr="00973512" w:rsidRDefault="00127233" w:rsidP="00973512"/>
    <w:sectPr w:rsidR="00127233" w:rsidRPr="00973512" w:rsidSect="007C0C0F">
      <w:headerReference w:type="default" r:id="rId26"/>
      <w:footerReference w:type="default" r:id="rId2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898E3A" w14:textId="77777777" w:rsidR="00125B40" w:rsidRDefault="00125B40" w:rsidP="004A1847">
      <w:pPr>
        <w:spacing w:after="0" w:line="240" w:lineRule="auto"/>
      </w:pPr>
      <w:r>
        <w:separator/>
      </w:r>
    </w:p>
  </w:endnote>
  <w:endnote w:type="continuationSeparator" w:id="0">
    <w:p w14:paraId="198BCE5A" w14:textId="77777777" w:rsidR="00125B40" w:rsidRDefault="00125B40" w:rsidP="004A1847">
      <w:pPr>
        <w:spacing w:after="0" w:line="240" w:lineRule="auto"/>
      </w:pPr>
      <w:r>
        <w:continuationSeparator/>
      </w:r>
    </w:p>
  </w:endnote>
  <w:endnote w:type="continuationNotice" w:id="1">
    <w:p w14:paraId="50CABE0D" w14:textId="77777777" w:rsidR="00125B40" w:rsidRDefault="00125B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973512">
      <w:rPr>
        <w:rFonts w:ascii="Verdana" w:eastAsia="Times New Roman" w:hAnsi="Verdana" w:cs="Times New Roman"/>
        <w:b/>
        <w:bCs/>
        <w:sz w:val="16"/>
        <w:szCs w:val="16"/>
        <w:lang w:val="es-ES"/>
      </w:rPr>
      <w:t xml:space="preserve">pág. </w:t>
    </w:r>
    <w:r w:rsidRPr="00973512">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973512">
      <w:rPr>
        <w:rFonts w:ascii="Verdana" w:eastAsia="Times New Roman" w:hAnsi="Verdana"/>
        <w:b/>
        <w:bCs/>
        <w:sz w:val="16"/>
        <w:szCs w:val="16"/>
      </w:rPr>
      <w:fldChar w:fldCharType="separate"/>
    </w:r>
    <w:r w:rsidRPr="00973512">
      <w:rPr>
        <w:rFonts w:ascii="Verdana" w:eastAsia="Times New Roman" w:hAnsi="Verdana"/>
        <w:b/>
        <w:bCs/>
        <w:sz w:val="16"/>
        <w:szCs w:val="16"/>
      </w:rPr>
      <w:t>1</w:t>
    </w:r>
    <w:r w:rsidRPr="00973512">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488D0A" w14:textId="77777777" w:rsidR="00125B40" w:rsidRDefault="00125B40" w:rsidP="004A1847">
      <w:pPr>
        <w:spacing w:after="0" w:line="240" w:lineRule="auto"/>
      </w:pPr>
      <w:r>
        <w:separator/>
      </w:r>
    </w:p>
  </w:footnote>
  <w:footnote w:type="continuationSeparator" w:id="0">
    <w:p w14:paraId="7049D335" w14:textId="77777777" w:rsidR="00125B40" w:rsidRDefault="00125B40" w:rsidP="004A1847">
      <w:pPr>
        <w:spacing w:after="0" w:line="240" w:lineRule="auto"/>
      </w:pPr>
      <w:r>
        <w:continuationSeparator/>
      </w:r>
    </w:p>
  </w:footnote>
  <w:footnote w:type="continuationNotice" w:id="1">
    <w:p w14:paraId="23D3628C" w14:textId="77777777" w:rsidR="00125B40" w:rsidRDefault="00125B40">
      <w:pPr>
        <w:spacing w:after="0" w:line="240" w:lineRule="auto"/>
      </w:pPr>
    </w:p>
  </w:footnote>
  <w:footnote w:id="2">
    <w:p w14:paraId="7ECDF4A6" w14:textId="77777777" w:rsidR="00973512" w:rsidRDefault="00973512" w:rsidP="00973512">
      <w:pPr>
        <w:pStyle w:val="Textonotapie"/>
        <w:spacing w:after="120"/>
        <w:ind w:firstLine="708"/>
        <w:jc w:val="both"/>
      </w:pPr>
      <w:r w:rsidRPr="00973512">
        <w:rPr>
          <w:rFonts w:ascii="Verdana" w:hAnsi="Verdana" w:cs="Arial"/>
          <w:color w:val="000000"/>
          <w:sz w:val="16"/>
          <w:szCs w:val="16"/>
          <w:vertAlign w:val="superscript"/>
        </w:rPr>
        <w:footnoteRef/>
      </w:r>
      <w:r w:rsidRPr="00973512">
        <w:rPr>
          <w:rFonts w:ascii="Verdana" w:hAnsi="Verdana" w:cs="Arial"/>
          <w:color w:val="000000"/>
          <w:sz w:val="16"/>
          <w:szCs w:val="16"/>
        </w:rPr>
        <w:t xml:space="preserve"> Agencia Nacional de Contratación Pública - Colombia Compra Eficiente</w:t>
      </w:r>
      <w:r w:rsidRPr="00973512">
        <w:rPr>
          <w:rFonts w:ascii="Verdana" w:hAnsi="Verdana" w:cs="Arial"/>
          <w:color w:val="000000"/>
          <w:sz w:val="16"/>
          <w:szCs w:val="16"/>
          <w:lang w:val="es-CO"/>
        </w:rPr>
        <w:t>, Concepto 4201912000005935 del 25 de noviembre de 2019.</w:t>
      </w:r>
    </w:p>
  </w:footnote>
  <w:footnote w:id="3">
    <w:p w14:paraId="453B3CDF" w14:textId="77777777" w:rsidR="00430F82" w:rsidRPr="00DD21C1" w:rsidRDefault="00430F82" w:rsidP="00430F82">
      <w:pPr>
        <w:pStyle w:val="Textonotapie"/>
        <w:jc w:val="both"/>
        <w:rPr>
          <w:lang w:val="es-CO"/>
        </w:rPr>
      </w:pPr>
      <w:r>
        <w:rPr>
          <w:rStyle w:val="Refdenotaalpie"/>
        </w:rPr>
        <w:footnoteRef/>
      </w:r>
      <w:r>
        <w:t xml:space="preserve"> l</w:t>
      </w:r>
      <w:r w:rsidRPr="00DD21C1">
        <w:rPr>
          <w:lang w:val="es-CO"/>
        </w:rPr>
        <w:t xml:space="preserve">ey 1150 de 2007: “Artículo 3. De conformidad con lo dispuesto en la Ley 527 de 1999, la sustanciación de las actuaciones, la expedición de los actos administrativos, los documentos, contratos y en general los actos derivados de la actividad precontractual y contractual, podrán tener lugar por medios electrónicos. Para el trámite, notificación y publicación de tales actos, podrán utilizarse soportes, medios y aplicaciones electrónicas. Los mecanismos e instrumentos por medio de los cuales las entidades cumplirán con las obligaciones de publicidad del proceso contractual serán señalados por el Gobierno Nacional. </w:t>
      </w:r>
    </w:p>
    <w:p w14:paraId="0C9B1F17" w14:textId="77777777" w:rsidR="00430F82" w:rsidRPr="00DD21C1" w:rsidRDefault="00430F82" w:rsidP="00430F82">
      <w:pPr>
        <w:pStyle w:val="Textonotapie"/>
        <w:jc w:val="both"/>
        <w:rPr>
          <w:lang w:val="es-CO"/>
        </w:rPr>
      </w:pPr>
      <w:r w:rsidRPr="00DD21C1">
        <w:rPr>
          <w:lang w:val="es-CO"/>
        </w:rPr>
        <w:t xml:space="preserve">Lo anterior, sin perjuicio de las publicaciones previstas en el numeral 3 del artículo 30 de la Ley 80 de 1993. </w:t>
      </w:r>
    </w:p>
    <w:p w14:paraId="3604744C" w14:textId="77777777" w:rsidR="00430F82" w:rsidRPr="00DD21C1" w:rsidRDefault="00430F82" w:rsidP="00430F82">
      <w:pPr>
        <w:pStyle w:val="Textonotapie"/>
        <w:jc w:val="both"/>
        <w:rPr>
          <w:lang w:val="es-CO"/>
        </w:rPr>
      </w:pPr>
      <w:r w:rsidRPr="00DD21C1">
        <w:rPr>
          <w:lang w:val="es-CO"/>
        </w:rPr>
        <w:t xml:space="preserve">Con el fin de materializar los objetivos a que se refiere el inciso anterior, el Gobierno Nacional desarrollará el Sistema Electrónico para la Contratación Pública, Secop, el cual: </w:t>
      </w:r>
    </w:p>
    <w:p w14:paraId="63EE5143" w14:textId="77777777" w:rsidR="00430F82" w:rsidRPr="00DD21C1" w:rsidRDefault="00430F82" w:rsidP="00430F82">
      <w:pPr>
        <w:pStyle w:val="Textonotapie"/>
        <w:jc w:val="both"/>
        <w:rPr>
          <w:lang w:val="es-CO"/>
        </w:rPr>
      </w:pPr>
      <w:r w:rsidRPr="00DD21C1">
        <w:rPr>
          <w:lang w:val="es-CO"/>
        </w:rPr>
        <w:t xml:space="preserve">[...] </w:t>
      </w:r>
    </w:p>
    <w:p w14:paraId="48B06662" w14:textId="77777777" w:rsidR="00430F82" w:rsidRPr="00DD21C1" w:rsidRDefault="00430F82" w:rsidP="00430F82">
      <w:pPr>
        <w:pStyle w:val="Textonotapie"/>
        <w:jc w:val="both"/>
        <w:rPr>
          <w:lang w:val="es-CO"/>
        </w:rPr>
      </w:pPr>
      <w:r w:rsidRPr="00DD21C1">
        <w:rPr>
          <w:lang w:val="es-CO"/>
        </w:rPr>
        <w:t xml:space="preserve">c) Contará con la información oficial de la contratación realizada con dineros públicos, para lo cual establecerá los patrones a que haya lugar y se encargará de su difusión a través de canales electrónico”. </w:t>
      </w:r>
    </w:p>
    <w:p w14:paraId="32549EC9" w14:textId="77777777" w:rsidR="00430F82" w:rsidRPr="001C7FFD" w:rsidRDefault="00430F82" w:rsidP="00430F82">
      <w:pPr>
        <w:pStyle w:val="Textonotapie"/>
        <w:rPr>
          <w:lang w:val="es-ES"/>
        </w:rPr>
      </w:pPr>
    </w:p>
  </w:footnote>
  <w:footnote w:id="4">
    <w:p w14:paraId="735C4F0C" w14:textId="77777777" w:rsidR="00430F82" w:rsidRPr="002D7BC9" w:rsidRDefault="00430F82" w:rsidP="00430F82">
      <w:pPr>
        <w:pStyle w:val="Textonotapie"/>
        <w:rPr>
          <w:lang w:val="es-CO"/>
        </w:rPr>
      </w:pPr>
      <w:r>
        <w:rPr>
          <w:rStyle w:val="Refdenotaalpie"/>
        </w:rPr>
        <w:footnoteRef/>
      </w:r>
      <w:r>
        <w:t xml:space="preserve"> </w:t>
      </w:r>
      <w:r w:rsidRPr="002D7BC9">
        <w:rPr>
          <w:lang w:val="es-CO"/>
        </w:rPr>
        <w:t>Ley 1712 de 2014: “</w:t>
      </w:r>
      <w:r w:rsidRPr="002D7BC9">
        <w:rPr>
          <w:lang w:val="es-CO"/>
        </w:rPr>
        <w:t xml:space="preserve">Artículo 2. Toda información en posesión, bajo control o custodia de un sujeto obligado es pública y no podrá ser reservada o limitada sino por disposición constitucional o legal, de conformidad con la presente ley”. </w:t>
      </w:r>
    </w:p>
    <w:p w14:paraId="37516AE2" w14:textId="77777777" w:rsidR="00430F82" w:rsidRPr="001C7FFD" w:rsidRDefault="00430F82" w:rsidP="00430F82">
      <w:pPr>
        <w:pStyle w:val="Textonotapie"/>
        <w:rPr>
          <w:lang w:val="es-ES"/>
        </w:rPr>
      </w:pPr>
    </w:p>
  </w:footnote>
  <w:footnote w:id="5">
    <w:p w14:paraId="497E2CC1" w14:textId="77777777" w:rsidR="00430F82" w:rsidRPr="0031179A" w:rsidRDefault="00430F82" w:rsidP="00430F82">
      <w:pPr>
        <w:pStyle w:val="Textonotapie"/>
        <w:jc w:val="both"/>
        <w:rPr>
          <w:lang w:val="es-CO"/>
        </w:rPr>
      </w:pPr>
      <w:r>
        <w:rPr>
          <w:rStyle w:val="Refdenotaalpie"/>
        </w:rPr>
        <w:footnoteRef/>
      </w:r>
      <w:r>
        <w:t xml:space="preserve"> </w:t>
      </w:r>
      <w:r w:rsidRPr="0031179A">
        <w:rPr>
          <w:lang w:val="es-CO"/>
        </w:rPr>
        <w:t>Ley 1712 de 2014: “</w:t>
      </w:r>
      <w:r w:rsidRPr="0031179A">
        <w:rPr>
          <w:lang w:val="es-CO"/>
        </w:rPr>
        <w:t>Artículo 3. Otros principios de la transparencia y acceso a la información pública.</w:t>
      </w:r>
      <w:r w:rsidRPr="0031179A">
        <w:rPr>
          <w:lang w:val="es-CO"/>
        </w:rPr>
        <w:br/>
        <w:t>[...]</w:t>
      </w:r>
      <w:r w:rsidRPr="0031179A">
        <w:rPr>
          <w:lang w:val="es-CO"/>
        </w:rPr>
        <w:br/>
        <w:t xml:space="preserve">Principio de transparencia. Principio conforme al cual toda la información en poder de los sujetos obligados definidos en esta ley se presume pública, en </w:t>
      </w:r>
    </w:p>
    <w:p w14:paraId="0887BAFD" w14:textId="77777777" w:rsidR="00430F82" w:rsidRPr="0031179A" w:rsidRDefault="00430F82" w:rsidP="00430F82">
      <w:pPr>
        <w:pStyle w:val="Textonotapie"/>
        <w:jc w:val="both"/>
        <w:rPr>
          <w:lang w:val="es-CO"/>
        </w:rPr>
      </w:pPr>
      <w:r w:rsidRPr="0031179A">
        <w:rPr>
          <w:lang w:val="es-CO"/>
        </w:rPr>
        <w:t xml:space="preserve">consecuencia de lo cual dichos sujetos están en el deber de proporcionar y facilitar el acceso a la misma en los términos más amplios posibles y a través de los medios y procedimientos que al efecto establezca la ley, excluyendo solo aquello que esté sujeto a las excepciones constitucionales y legales y bajo el cumplimiento de los requisitos establecidos en esta ley”. </w:t>
      </w:r>
    </w:p>
    <w:p w14:paraId="5A1D2B57" w14:textId="77777777" w:rsidR="00430F82" w:rsidRPr="001C7FFD" w:rsidRDefault="00430F82" w:rsidP="00430F82">
      <w:pPr>
        <w:pStyle w:val="Textonotapie"/>
        <w:jc w:val="both"/>
        <w:rPr>
          <w:lang w:val="es-CO"/>
        </w:rPr>
      </w:pPr>
    </w:p>
  </w:footnote>
  <w:footnote w:id="6">
    <w:p w14:paraId="2C14819F" w14:textId="77777777" w:rsidR="00430F82" w:rsidRPr="000872E2" w:rsidRDefault="00430F82" w:rsidP="00430F82">
      <w:pPr>
        <w:pStyle w:val="Textonotapie"/>
        <w:jc w:val="both"/>
        <w:rPr>
          <w:lang w:val="es-CO"/>
        </w:rPr>
      </w:pPr>
      <w:r>
        <w:rPr>
          <w:rStyle w:val="Refdenotaalpie"/>
        </w:rPr>
        <w:footnoteRef/>
      </w:r>
      <w:r>
        <w:t xml:space="preserve"> L</w:t>
      </w:r>
      <w:r w:rsidRPr="000872E2">
        <w:rPr>
          <w:lang w:val="es-CO"/>
        </w:rPr>
        <w:t>ey 1712 de 2014: “Artículo 3. Otros principios de la transparencia y acceso a la información pública.</w:t>
      </w:r>
      <w:r w:rsidRPr="000872E2">
        <w:rPr>
          <w:lang w:val="es-CO"/>
        </w:rPr>
        <w:br/>
        <w:t>[...]</w:t>
      </w:r>
      <w:r w:rsidRPr="000872E2">
        <w:rPr>
          <w:lang w:val="es-CO"/>
        </w:rPr>
        <w:br/>
        <w:t xml:space="preserve">Principio de buena fe. En virtud del cual todo sujeto obligado, al cumplir con las obligaciones derivadas del derecho de acceso a la información pública, lo </w:t>
      </w:r>
    </w:p>
    <w:p w14:paraId="29BD8283" w14:textId="77777777" w:rsidR="00430F82" w:rsidRPr="000872E2" w:rsidRDefault="00430F82" w:rsidP="00430F82">
      <w:pPr>
        <w:pStyle w:val="Textonotapie"/>
        <w:jc w:val="both"/>
        <w:rPr>
          <w:lang w:val="es-CO"/>
        </w:rPr>
      </w:pPr>
      <w:r w:rsidRPr="000872E2">
        <w:rPr>
          <w:lang w:val="es-CO"/>
        </w:rPr>
        <w:t>hará con motivación honesta, leal y desprovista de cualquier intención dolosa o culposa”.</w:t>
      </w:r>
    </w:p>
    <w:p w14:paraId="66449595" w14:textId="77777777" w:rsidR="00430F82" w:rsidRPr="001C7FFD" w:rsidRDefault="00430F82" w:rsidP="00430F82">
      <w:pPr>
        <w:pStyle w:val="Textonotapie"/>
        <w:rPr>
          <w:lang w:val="es-ES"/>
        </w:rPr>
      </w:pPr>
    </w:p>
  </w:footnote>
  <w:footnote w:id="7">
    <w:p w14:paraId="702B6598" w14:textId="77777777" w:rsidR="00430F82" w:rsidRPr="00506EF2" w:rsidRDefault="00430F82" w:rsidP="00430F82">
      <w:pPr>
        <w:pStyle w:val="Textonotapie"/>
        <w:rPr>
          <w:lang w:val="es-CO"/>
        </w:rPr>
      </w:pPr>
      <w:r>
        <w:rPr>
          <w:rStyle w:val="Refdenotaalpie"/>
        </w:rPr>
        <w:footnoteRef/>
      </w:r>
      <w:r>
        <w:t xml:space="preserve"> L</w:t>
      </w:r>
      <w:r w:rsidRPr="00506EF2">
        <w:rPr>
          <w:lang w:val="es-CO"/>
        </w:rPr>
        <w:t xml:space="preserve">ey 1712 de 2014: “Artículo 9. </w:t>
      </w:r>
      <w:r w:rsidRPr="00506EF2">
        <w:rPr>
          <w:i/>
          <w:iCs/>
          <w:lang w:val="es-CO"/>
        </w:rPr>
        <w:t xml:space="preserve">Información mínima obligatoria respecto a la estructura del sujeto obligado. </w:t>
      </w:r>
      <w:r w:rsidRPr="00506EF2">
        <w:rPr>
          <w:lang w:val="es-CO"/>
        </w:rPr>
        <w:t xml:space="preserve">Todo sujeto obligado deberá publicar la </w:t>
      </w:r>
    </w:p>
    <w:p w14:paraId="4BE56AB5" w14:textId="77777777" w:rsidR="00430F82" w:rsidRPr="00506EF2" w:rsidRDefault="00430F82" w:rsidP="00430F82">
      <w:pPr>
        <w:pStyle w:val="Textonotapie"/>
        <w:rPr>
          <w:lang w:val="es-CO"/>
        </w:rPr>
      </w:pPr>
      <w:r w:rsidRPr="00506EF2">
        <w:rPr>
          <w:lang w:val="es-CO"/>
        </w:rPr>
        <w:t xml:space="preserve">siguiente información mínima obligatoria de manera proactiva en los sistemas de información del Estado o herramientas que lo sustituyan </w:t>
      </w:r>
    </w:p>
    <w:p w14:paraId="3B3B9093" w14:textId="77777777" w:rsidR="00430F82" w:rsidRPr="00FF65A2" w:rsidRDefault="00430F82" w:rsidP="00430F82">
      <w:pPr>
        <w:pStyle w:val="Textonotapie"/>
        <w:rPr>
          <w:lang w:val="es-ES"/>
        </w:rPr>
      </w:pPr>
    </w:p>
  </w:footnote>
  <w:footnote w:id="8">
    <w:p w14:paraId="772623AD" w14:textId="77777777" w:rsidR="00430F82" w:rsidRPr="003A15A4" w:rsidRDefault="00430F82" w:rsidP="00430F82">
      <w:pPr>
        <w:pStyle w:val="Textonotapie"/>
        <w:rPr>
          <w:lang w:val="es-CO"/>
        </w:rPr>
      </w:pPr>
      <w:r>
        <w:rPr>
          <w:rStyle w:val="Refdenotaalpie"/>
        </w:rPr>
        <w:footnoteRef/>
      </w:r>
      <w:r>
        <w:t xml:space="preserve"> </w:t>
      </w:r>
      <w:r w:rsidRPr="003A15A4">
        <w:rPr>
          <w:lang w:val="es-CO"/>
        </w:rPr>
        <w:t xml:space="preserve">Artículo 2.1.1.2.1.7. Publicación de la información contractual. De conformidad con el literal (c) del artículo 3° de la Ley 1150 de 2007, el sistema de información del Estado en el cual los sujetos obligados que contratan con cargo a recursos públicos deben cumplir la obligación de publicar la información de su gestión contractual es el Sistema Electrónico para la Contratación Pública [SECOP]. </w:t>
      </w:r>
    </w:p>
    <w:p w14:paraId="0D33A09B" w14:textId="77777777" w:rsidR="00430F82" w:rsidRPr="003A15A4" w:rsidRDefault="00430F82" w:rsidP="00430F82">
      <w:pPr>
        <w:pStyle w:val="Textonotapie"/>
        <w:rPr>
          <w:lang w:val="es-CO"/>
        </w:rPr>
      </w:pPr>
      <w:r w:rsidRPr="003A15A4">
        <w:rPr>
          <w:lang w:val="es-CO"/>
        </w:rPr>
        <w:t xml:space="preserve">[...]. </w:t>
      </w:r>
    </w:p>
    <w:p w14:paraId="10A51E6C" w14:textId="77777777" w:rsidR="00430F82" w:rsidRPr="003A15A4" w:rsidRDefault="00430F82" w:rsidP="00430F82">
      <w:pPr>
        <w:pStyle w:val="Textonotapie"/>
        <w:rPr>
          <w:lang w:val="es-CO"/>
        </w:rPr>
      </w:pPr>
      <w:r w:rsidRPr="003A15A4">
        <w:rPr>
          <w:lang w:val="es-CO"/>
        </w:rPr>
        <w:t xml:space="preserve">Los sujetos obligados que contratan con recursos públicos y recursos privados, deben publicar la información de su gestión contractual con cargo a recursos públicos en el Sistema Electrónico para la Contratación Pública [SECOP]”. </w:t>
      </w:r>
    </w:p>
    <w:p w14:paraId="298CCCFC" w14:textId="77777777" w:rsidR="00430F82" w:rsidRPr="001C7FFD" w:rsidRDefault="00430F82" w:rsidP="00430F82">
      <w:pPr>
        <w:pStyle w:val="Textonotapie"/>
        <w:rPr>
          <w:lang w:val="es-ES"/>
        </w:rPr>
      </w:pPr>
    </w:p>
  </w:footnote>
  <w:footnote w:id="9">
    <w:p w14:paraId="0D594238" w14:textId="77777777" w:rsidR="0022182F" w:rsidRPr="00FF65A2" w:rsidRDefault="0022182F" w:rsidP="0022182F">
      <w:pPr>
        <w:pStyle w:val="Textonotapie"/>
        <w:rPr>
          <w:lang w:val="es-ES"/>
        </w:rPr>
      </w:pPr>
      <w:r>
        <w:rPr>
          <w:rStyle w:val="Refdenotaalpie"/>
        </w:rPr>
        <w:footnoteRef/>
      </w:r>
      <w:r>
        <w:t xml:space="preserve"> </w:t>
      </w:r>
      <w:r w:rsidRPr="00771039">
        <w:t>https://colombiacompra.gov.co/sites/cce_public/files/cce_documentos/concepto_multas_0.pdf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8C564B7"/>
    <w:multiLevelType w:val="hybridMultilevel"/>
    <w:tmpl w:val="C5FA9308"/>
    <w:lvl w:ilvl="0" w:tplc="70583F0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1492209491">
    <w:abstractNumId w:val="6"/>
  </w:num>
  <w:num w:numId="18" w16cid:durableId="679089576">
    <w:abstractNumId w:val="11"/>
  </w:num>
  <w:num w:numId="19" w16cid:durableId="15890783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26C5B"/>
    <w:rsid w:val="00030013"/>
    <w:rsid w:val="00061B2A"/>
    <w:rsid w:val="00082362"/>
    <w:rsid w:val="000A683E"/>
    <w:rsid w:val="000B19B9"/>
    <w:rsid w:val="000B6B4C"/>
    <w:rsid w:val="000D0334"/>
    <w:rsid w:val="000F6486"/>
    <w:rsid w:val="00125105"/>
    <w:rsid w:val="00125B40"/>
    <w:rsid w:val="00127233"/>
    <w:rsid w:val="001A7339"/>
    <w:rsid w:val="001C06C8"/>
    <w:rsid w:val="001E4177"/>
    <w:rsid w:val="001F7DC6"/>
    <w:rsid w:val="0022182F"/>
    <w:rsid w:val="002421BB"/>
    <w:rsid w:val="0025796E"/>
    <w:rsid w:val="002707A2"/>
    <w:rsid w:val="002951A0"/>
    <w:rsid w:val="002962BC"/>
    <w:rsid w:val="002A093D"/>
    <w:rsid w:val="002A0DD0"/>
    <w:rsid w:val="002A3729"/>
    <w:rsid w:val="002A49AC"/>
    <w:rsid w:val="002A64FD"/>
    <w:rsid w:val="002C7A84"/>
    <w:rsid w:val="002E4FD9"/>
    <w:rsid w:val="00320062"/>
    <w:rsid w:val="00322A85"/>
    <w:rsid w:val="00324168"/>
    <w:rsid w:val="003448F4"/>
    <w:rsid w:val="00374F5E"/>
    <w:rsid w:val="00377E3E"/>
    <w:rsid w:val="003A26D1"/>
    <w:rsid w:val="003A779E"/>
    <w:rsid w:val="003D0F4D"/>
    <w:rsid w:val="003D5B0D"/>
    <w:rsid w:val="003E0499"/>
    <w:rsid w:val="003F3941"/>
    <w:rsid w:val="00406575"/>
    <w:rsid w:val="0042722E"/>
    <w:rsid w:val="00430F82"/>
    <w:rsid w:val="0044528D"/>
    <w:rsid w:val="004A1847"/>
    <w:rsid w:val="004A305D"/>
    <w:rsid w:val="004F21C4"/>
    <w:rsid w:val="004F685F"/>
    <w:rsid w:val="00542E61"/>
    <w:rsid w:val="005566E8"/>
    <w:rsid w:val="00574867"/>
    <w:rsid w:val="00591460"/>
    <w:rsid w:val="00592628"/>
    <w:rsid w:val="005C3777"/>
    <w:rsid w:val="005C5CDC"/>
    <w:rsid w:val="005D476C"/>
    <w:rsid w:val="005D53B3"/>
    <w:rsid w:val="005E2104"/>
    <w:rsid w:val="00610812"/>
    <w:rsid w:val="006219F8"/>
    <w:rsid w:val="00650FF7"/>
    <w:rsid w:val="00665D70"/>
    <w:rsid w:val="00671DAC"/>
    <w:rsid w:val="006900D9"/>
    <w:rsid w:val="006A7D75"/>
    <w:rsid w:val="006D12F8"/>
    <w:rsid w:val="006E3137"/>
    <w:rsid w:val="00706C16"/>
    <w:rsid w:val="00747F5A"/>
    <w:rsid w:val="00756841"/>
    <w:rsid w:val="007649AB"/>
    <w:rsid w:val="00771D0C"/>
    <w:rsid w:val="007833AC"/>
    <w:rsid w:val="007B268C"/>
    <w:rsid w:val="007B7171"/>
    <w:rsid w:val="007C0C0F"/>
    <w:rsid w:val="007C3DC2"/>
    <w:rsid w:val="007D0E43"/>
    <w:rsid w:val="007E5497"/>
    <w:rsid w:val="00806F5F"/>
    <w:rsid w:val="00820278"/>
    <w:rsid w:val="008843B6"/>
    <w:rsid w:val="00891928"/>
    <w:rsid w:val="008A446D"/>
    <w:rsid w:val="008A781F"/>
    <w:rsid w:val="008D180B"/>
    <w:rsid w:val="008F0EA7"/>
    <w:rsid w:val="00923EEF"/>
    <w:rsid w:val="009419F9"/>
    <w:rsid w:val="0095685E"/>
    <w:rsid w:val="00961B09"/>
    <w:rsid w:val="00962203"/>
    <w:rsid w:val="00965334"/>
    <w:rsid w:val="0097093E"/>
    <w:rsid w:val="00973512"/>
    <w:rsid w:val="009A0DFA"/>
    <w:rsid w:val="009B2D26"/>
    <w:rsid w:val="009C71FA"/>
    <w:rsid w:val="009C72E7"/>
    <w:rsid w:val="009D3058"/>
    <w:rsid w:val="009F3A13"/>
    <w:rsid w:val="00A122D3"/>
    <w:rsid w:val="00A17F13"/>
    <w:rsid w:val="00A20739"/>
    <w:rsid w:val="00A33C78"/>
    <w:rsid w:val="00A5211D"/>
    <w:rsid w:val="00A96BB0"/>
    <w:rsid w:val="00AB0ADB"/>
    <w:rsid w:val="00B01B1A"/>
    <w:rsid w:val="00B15479"/>
    <w:rsid w:val="00B5071B"/>
    <w:rsid w:val="00B72CD3"/>
    <w:rsid w:val="00B72FFF"/>
    <w:rsid w:val="00BB43CB"/>
    <w:rsid w:val="00BC3D36"/>
    <w:rsid w:val="00BD7F72"/>
    <w:rsid w:val="00C04FB3"/>
    <w:rsid w:val="00C330EB"/>
    <w:rsid w:val="00C754BE"/>
    <w:rsid w:val="00C76B1C"/>
    <w:rsid w:val="00CB6357"/>
    <w:rsid w:val="00CC1B26"/>
    <w:rsid w:val="00D24FB6"/>
    <w:rsid w:val="00D423A2"/>
    <w:rsid w:val="00D520D8"/>
    <w:rsid w:val="00D63AC2"/>
    <w:rsid w:val="00D66294"/>
    <w:rsid w:val="00D7383B"/>
    <w:rsid w:val="00DA231B"/>
    <w:rsid w:val="00DA23A0"/>
    <w:rsid w:val="00DC39FC"/>
    <w:rsid w:val="00DF5254"/>
    <w:rsid w:val="00E16408"/>
    <w:rsid w:val="00E20894"/>
    <w:rsid w:val="00E245AB"/>
    <w:rsid w:val="00E2764C"/>
    <w:rsid w:val="00E27F2E"/>
    <w:rsid w:val="00E413EA"/>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975C8"/>
    <w:rsid w:val="00FA47C0"/>
    <w:rsid w:val="00FB5DD1"/>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normativa/ley-80-de-1993/" TargetMode="External"/><Relationship Id="rId18" Type="http://schemas.openxmlformats.org/officeDocument/2006/relationships/hyperlink" Target="https://relatoria.colombiacompra.gov.co/normativa/ley-1712-de-2014/"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nam02.safelinks.protection.outlook.com/?url=https%3A%2F%2Fwww.colombiacompra.gov.co%2Fcontent%2Fborrador-de-documentos-tipo-de-consultoria-de-obra-publica-de-infraestructura-de-transporte&amp;data=05%7C02%7Candreina.cerpa%40colombiacompra.gov.co%7C096eca3fdcca424ff1c708dcf932f947%7C7b09041e245149d08cb179d5e3d8c1be%7C0%7C0%7C638659244553089105%7CUnknown%7CTWFpbGZsb3d8eyJWIjoiMC4wLjAwMDAiLCJQIjoiV2luMzIiLCJBTiI6Ik1haWwiLCJXVCI6Mn0%3D%7C0%7C%7C%7C&amp;sdata=sbTbikmBPVtCbo7mXkVZFxvU9C9ryShyBoc6QGPGO1A%3D&amp;reserved=0" TargetMode="Externa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colombiacompra.gov.co/sites/cce_public/files/cce_documentos/20170407_licitacion_publica_entidades.pdf" TargetMode="External"/><Relationship Id="rId25"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relatoria.colombiacompra.gov.co/normativa/ley-1712-de-2014/" TargetMode="External"/><Relationship Id="rId20" Type="http://schemas.openxmlformats.org/officeDocument/2006/relationships/hyperlink" Target="https://nam02.safelinks.protection.outlook.com/?url=https%3A%2F%2Frelatoria.colombiacompra.gov.co%2F&amp;data=05%7C02%7Cjhonattan.gualdron%40colombiacompra.gov.co%7C5aad36a736844ec87b2108dcc1fa4639%7C7b09041e245149d08cb179d5e3d8c1be%7C0%7C0%7C638598527917246155%7CUnknown%7CTWFpbGZsb3d8eyJWIjoiMC4wLjAwMDAiLCJQIjoiV2luMzIiLCJBTiI6Ik1haWwiLCJXVCI6Mn0%3D%7C0%7C%7C%7C&amp;sdata=vvr1bncg52balnsi4t%2FCslEkQPef8NiUUqg4Qj8a7c8%3D&amp;reserved=0"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victoraugusto65@gmail.com" TargetMode="External"/><Relationship Id="rId24" Type="http://schemas.openxmlformats.org/officeDocument/2006/relationships/hyperlink" Target="https://nam02.safelinks.protection.outlook.com/?url=https%3A%2F%2Fwww.colombiacompra.gov.co%2Fsala-de-prensa%2Fboletin-digital&amp;data=05%7C02%7Candreina.cerpa%40colombiacompra.gov.co%7C096eca3fdcca424ff1c708dcf932f947%7C7b09041e245149d08cb179d5e3d8c1be%7C0%7C0%7C638659244553129750%7CUnknown%7CTWFpbGZsb3d8eyJWIjoiMC4wLjAwMDAiLCJQIjoiV2luMzIiLCJBTiI6Ik1haWwiLCJXVCI6Mn0%3D%7C0%7C%7C%7C&amp;sdata=TPSikXYdiaZ7j6%2BW39%2BMNPMouatq7ONRQMFwgX4AQak%3D&amp;reserved=0" TargetMode="External"/><Relationship Id="rId5" Type="http://schemas.openxmlformats.org/officeDocument/2006/relationships/styles" Target="styles.xml"/><Relationship Id="rId15" Type="http://schemas.openxmlformats.org/officeDocument/2006/relationships/hyperlink" Target="https://relatoria.colombiacompra.gov.co/normativa/ley-1437-de-2011/" TargetMode="External"/><Relationship Id="rId23" Type="http://schemas.openxmlformats.org/officeDocument/2006/relationships/hyperlink" Target="https://nam02.safelinks.protection.outlook.com/?url=https%3A%2F%2Fwww.sucop.gov.co%2Fentidades%2Fcolombiacompra%2FNormativa%3FIDNorma%3D18320&amp;data=05%7C02%7Candreina.cerpa%40colombiacompra.gov.co%7C096eca3fdcca424ff1c708dcf932f947%7C7b09041e245149d08cb179d5e3d8c1be%7C0%7C0%7C638659244553118377%7CUnknown%7CTWFpbGZsb3d8eyJWIjoiMC4wLjAwMDAiLCJQIjoiV2luMzIiLCJBTiI6Ik1haWwiLCJXVCI6Mn0%3D%7C0%7C%7C%7C&amp;sdata=GLeg7SM%2B%2FRxgqbeVVQ2kAB42HlF%2BLA2V9MH2iP6TELo%3D&amp;reserved=0" TargetMode="Externa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www.colombiacompra.gov.co/sites/cce_public/files/cce_documentos/20170407_licitacion_publica_entidades.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normativa/decreto-1082-de-2015/" TargetMode="External"/><Relationship Id="rId22" Type="http://schemas.openxmlformats.org/officeDocument/2006/relationships/hyperlink" Target="https://nam02.safelinks.protection.outlook.com/?url=https%3A%2F%2Fwww.colombiacompra.gov.co%2Fcontent%2Fborrador-de-documentos-tipo-de-interventoria-de-obra-publica-de-infraestructura-de&amp;data=05%7C02%7Candreina.cerpa%40colombiacompra.gov.co%7C096eca3fdcca424ff1c708dcf932f947%7C7b09041e245149d08cb179d5e3d8c1be%7C0%7C0%7C638659244553106601%7CUnknown%7CTWFpbGZsb3d8eyJWIjoiMC4wLjAwMDAiLCJQIjoiV2luMzIiLCJBTiI6Ik1haWwiLCJXVCI6Mn0%3D%7C0%7C%7C%7C&amp;sdata=3bx45dHvyLBsz0xlBnt2sZ7JCsO1WHwvxX5esmdiOnE%3D&amp;reserved=0" TargetMode="External"/><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www.w3.org/XML/1998/namespace"/>
    <ds:schemaRef ds:uri="http://schemas.microsoft.com/office/2006/metadata/properties"/>
    <ds:schemaRef ds:uri="http://schemas.microsoft.com/office/infopath/2007/PartnerControls"/>
    <ds:schemaRef ds:uri="9d85dbaf-23eb-4e57-a637-93dcacc8b1a1"/>
    <ds:schemaRef ds:uri="http://purl.org/dc/elements/1.1/"/>
    <ds:schemaRef ds:uri="a6cb9e4b-f1d1-4245-83ec-6cad768d538a"/>
    <ds:schemaRef ds:uri="http://schemas.openxmlformats.org/package/2006/metadata/core-properties"/>
    <ds:schemaRef ds:uri="http://schemas.microsoft.com/office/2006/documentManagement/types"/>
    <ds:schemaRef ds:uri="http://purl.org/dc/terms/"/>
    <ds:schemaRef ds:uri="http://purl.org/dc/dcmitype/"/>
  </ds:schemaRefs>
</ds:datastoreItem>
</file>

<file path=customXml/itemProps3.xml><?xml version="1.0" encoding="utf-8"?>
<ds:datastoreItem xmlns:ds="http://schemas.openxmlformats.org/officeDocument/2006/customXml" ds:itemID="{BF747C79-1250-4493-B16D-F93BC0188E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2742</Words>
  <Characters>15083</Characters>
  <Application>Microsoft Office Word</Application>
  <DocSecurity>0</DocSecurity>
  <Lines>125</Lines>
  <Paragraphs>35</Paragraphs>
  <ScaleCrop>false</ScaleCrop>
  <Company/>
  <LinksUpToDate>false</LinksUpToDate>
  <CharactersWithSpaces>17790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2024-11-27T01:49:00Z</dcterms:created>
  <dcterms:modified xsi:type="dcterms:W3CDTF">2024-11-27T01:49:00Z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