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862F0A" w14:textId="77777777" w:rsidR="00420D9C" w:rsidRPr="00BB3BE4" w:rsidRDefault="00420D9C" w:rsidP="00420D9C">
      <w:pPr>
        <w:tabs>
          <w:tab w:val="left" w:pos="709"/>
        </w:tabs>
        <w:spacing w:after="0" w:line="240" w:lineRule="auto"/>
        <w:jc w:val="both"/>
        <w:rPr>
          <w:rFonts w:ascii="Verdana" w:eastAsia="Calibri" w:hAnsi="Verdana" w:cs="Arial"/>
          <w:bCs/>
          <w:sz w:val="20"/>
          <w:szCs w:val="20"/>
          <w:lang w:val="es-ES_tradnl" w:eastAsia="es-ES_tradnl"/>
        </w:rPr>
      </w:pPr>
    </w:p>
    <w:p w14:paraId="6FC74402" w14:textId="77777777" w:rsidR="00420D9C" w:rsidRPr="00BB3BE4" w:rsidRDefault="00420D9C" w:rsidP="00420D9C">
      <w:pPr>
        <w:tabs>
          <w:tab w:val="left" w:pos="709"/>
        </w:tabs>
        <w:spacing w:after="0" w:line="240" w:lineRule="auto"/>
        <w:jc w:val="both"/>
        <w:rPr>
          <w:rFonts w:ascii="Verdana" w:eastAsia="Calibri" w:hAnsi="Verdana" w:cs="Arial"/>
          <w:b/>
          <w:lang w:val="es-ES_tradnl" w:eastAsia="es-ES_tradnl"/>
        </w:rPr>
      </w:pPr>
      <w:r w:rsidRPr="00BB3BE4">
        <w:rPr>
          <w:rFonts w:ascii="Verdana" w:eastAsia="Calibri" w:hAnsi="Verdana" w:cs="Arial"/>
          <w:b/>
          <w:lang w:val="es-ES_tradnl" w:eastAsia="es-ES_tradnl"/>
        </w:rPr>
        <w:t>PROPONENTE PLURAL ‒ Consorcio ‒ Uni</w:t>
      </w:r>
      <w:r w:rsidRPr="00BB3BE4">
        <w:rPr>
          <w:rFonts w:ascii="Verdana" w:eastAsia="Calibri" w:hAnsi="Verdana" w:cs="Century Gothic"/>
          <w:b/>
          <w:lang w:val="es-ES_tradnl" w:eastAsia="es-ES_tradnl"/>
        </w:rPr>
        <w:t>ó</w:t>
      </w:r>
      <w:r w:rsidRPr="00BB3BE4">
        <w:rPr>
          <w:rFonts w:ascii="Verdana" w:eastAsia="Calibri" w:hAnsi="Verdana" w:cs="Arial"/>
          <w:b/>
          <w:lang w:val="es-ES_tradnl" w:eastAsia="es-ES_tradnl"/>
        </w:rPr>
        <w:t xml:space="preserve">n temporal ‒ Concepto </w:t>
      </w:r>
      <w:r w:rsidRPr="00BB3BE4">
        <w:rPr>
          <w:rFonts w:ascii="Verdana" w:eastAsia="Calibri" w:hAnsi="Verdana" w:cs="Century Gothic"/>
          <w:b/>
          <w:lang w:val="es-ES_tradnl" w:eastAsia="es-ES_tradnl"/>
        </w:rPr>
        <w:t>–</w:t>
      </w:r>
      <w:r w:rsidRPr="00BB3BE4">
        <w:rPr>
          <w:rFonts w:ascii="Verdana" w:eastAsia="Calibri" w:hAnsi="Verdana" w:cs="Arial"/>
          <w:b/>
          <w:lang w:val="es-ES_tradnl" w:eastAsia="es-ES_tradnl"/>
        </w:rPr>
        <w:t xml:space="preserve"> Diferencias</w:t>
      </w:r>
    </w:p>
    <w:p w14:paraId="4A88F577" w14:textId="77777777" w:rsidR="00420D9C" w:rsidRPr="00BB3BE4" w:rsidRDefault="00420D9C" w:rsidP="00420D9C">
      <w:pPr>
        <w:tabs>
          <w:tab w:val="left" w:pos="709"/>
        </w:tabs>
        <w:spacing w:after="0" w:line="240" w:lineRule="auto"/>
        <w:jc w:val="both"/>
        <w:rPr>
          <w:rFonts w:ascii="Verdana" w:eastAsia="Calibri" w:hAnsi="Verdana" w:cs="Arial"/>
          <w:bCs/>
          <w:sz w:val="20"/>
          <w:szCs w:val="20"/>
          <w:lang w:val="es-ES_tradnl" w:eastAsia="es-ES_tradnl"/>
        </w:rPr>
      </w:pPr>
    </w:p>
    <w:p w14:paraId="033DB013" w14:textId="77777777" w:rsidR="00420D9C" w:rsidRPr="00BB3BE4" w:rsidRDefault="00420D9C" w:rsidP="00420D9C">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70987435" w14:textId="77777777" w:rsidR="00420D9C" w:rsidRPr="00BB3BE4" w:rsidRDefault="00420D9C" w:rsidP="00420D9C">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23AF1503" w14:textId="77777777" w:rsidR="00420D9C" w:rsidRPr="00BB3BE4" w:rsidRDefault="00420D9C" w:rsidP="00420D9C">
      <w:pPr>
        <w:tabs>
          <w:tab w:val="left" w:pos="709"/>
        </w:tabs>
        <w:spacing w:after="0" w:line="240" w:lineRule="auto"/>
        <w:jc w:val="both"/>
        <w:rPr>
          <w:rFonts w:ascii="Verdana" w:eastAsia="Calibri" w:hAnsi="Verdana" w:cs="Arial"/>
          <w:b/>
          <w:color w:val="000000" w:themeColor="text1"/>
        </w:rPr>
      </w:pPr>
      <w:r w:rsidRPr="00BB3BE4">
        <w:rPr>
          <w:rFonts w:ascii="Verdana" w:eastAsia="Calibri" w:hAnsi="Verdana" w:cs="Arial"/>
          <w:b/>
          <w:lang w:val="es-ES_tradnl" w:eastAsia="es-ES_tradnl"/>
        </w:rPr>
        <w:t>CONSORCIOS Y UNIONES TEMPORALES – Ausencia de personería jurídica – Capacidad jurídica restringida</w:t>
      </w:r>
    </w:p>
    <w:p w14:paraId="0EC5D2F5" w14:textId="77777777" w:rsidR="00420D9C" w:rsidRPr="00BB3BE4" w:rsidRDefault="00420D9C" w:rsidP="00420D9C">
      <w:pPr>
        <w:spacing w:after="0" w:line="240" w:lineRule="auto"/>
        <w:jc w:val="both"/>
        <w:rPr>
          <w:rFonts w:ascii="Verdana" w:eastAsia="Calibri" w:hAnsi="Verdana" w:cs="Arial"/>
          <w:bCs/>
          <w:sz w:val="20"/>
          <w:szCs w:val="20"/>
          <w:lang w:val="es-ES_tradnl" w:eastAsia="es-ES_tradnl"/>
        </w:rPr>
      </w:pPr>
    </w:p>
    <w:p w14:paraId="563AC3B0" w14:textId="77777777" w:rsidR="00420D9C" w:rsidRPr="00BB3BE4" w:rsidRDefault="00420D9C" w:rsidP="00420D9C">
      <w:pPr>
        <w:spacing w:after="0" w:line="240" w:lineRule="auto"/>
        <w:jc w:val="both"/>
        <w:rPr>
          <w:rFonts w:ascii="Verdana" w:eastAsia="Calibri" w:hAnsi="Verdana" w:cs="Arial"/>
          <w:bCs/>
          <w:color w:val="000000" w:themeColor="text1"/>
          <w:sz w:val="20"/>
          <w:szCs w:val="20"/>
          <w:lang w:val="es-ES"/>
        </w:rPr>
      </w:pPr>
      <w:r w:rsidRPr="00BB3BE4">
        <w:rPr>
          <w:rFonts w:ascii="Verdana" w:eastAsia="Calibri" w:hAnsi="Verdana" w:cs="Arial"/>
          <w:bCs/>
          <w:color w:val="000000" w:themeColor="text1"/>
          <w:sz w:val="20"/>
          <w:szCs w:val="20"/>
          <w:lang w:val="es-ES"/>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w:t>
      </w:r>
    </w:p>
    <w:p w14:paraId="27722A1B" w14:textId="77777777" w:rsidR="00420D9C" w:rsidRPr="00BB3BE4" w:rsidRDefault="00420D9C" w:rsidP="00420D9C">
      <w:pPr>
        <w:spacing w:after="0" w:line="240" w:lineRule="auto"/>
        <w:jc w:val="both"/>
        <w:rPr>
          <w:rFonts w:ascii="Verdana" w:eastAsia="Calibri" w:hAnsi="Verdana" w:cs="Arial"/>
          <w:bCs/>
          <w:color w:val="000000" w:themeColor="text1"/>
          <w:sz w:val="20"/>
          <w:szCs w:val="20"/>
          <w:lang w:val="es-ES"/>
        </w:rPr>
      </w:pPr>
    </w:p>
    <w:p w14:paraId="61C60840" w14:textId="77777777" w:rsidR="00420D9C" w:rsidRPr="00BB3BE4" w:rsidRDefault="00420D9C" w:rsidP="00420D9C">
      <w:pPr>
        <w:spacing w:after="0" w:line="240" w:lineRule="auto"/>
        <w:jc w:val="both"/>
        <w:rPr>
          <w:rFonts w:ascii="Verdana" w:hAnsi="Verdana" w:cs="Arial"/>
          <w:color w:val="000000" w:themeColor="text1"/>
          <w:sz w:val="20"/>
          <w:szCs w:val="20"/>
        </w:rPr>
      </w:pPr>
      <w:r w:rsidRPr="00BB3BE4">
        <w:rPr>
          <w:rFonts w:ascii="Verdana" w:eastAsia="Calibri" w:hAnsi="Verdana" w:cs="Arial"/>
          <w:bCs/>
          <w:color w:val="000000" w:themeColor="text1"/>
          <w:sz w:val="20"/>
          <w:szCs w:val="20"/>
          <w:lang w:val="es-ES"/>
        </w:rPr>
        <w:t>[…] el consorcio o la unión temporal se da “Cuando dos o más personas en forma conjunta presentan una misma propuesta para la adjudicación, celebración y ejecución de un contrato […]”.</w:t>
      </w:r>
      <w:r w:rsidRPr="00BB3BE4">
        <w:rPr>
          <w:rFonts w:ascii="Verdana" w:hAnsi="Verdana" w:cs="Arial"/>
          <w:color w:val="000000" w:themeColor="text1"/>
          <w:sz w:val="20"/>
          <w:szCs w:val="20"/>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0537732B" w14:textId="77777777" w:rsidR="00420D9C" w:rsidRPr="00BB3BE4" w:rsidRDefault="00420D9C" w:rsidP="00420D9C">
      <w:pPr>
        <w:spacing w:after="0" w:line="240" w:lineRule="auto"/>
        <w:jc w:val="both"/>
        <w:rPr>
          <w:rFonts w:ascii="Verdana" w:hAnsi="Verdana" w:cs="Arial"/>
          <w:color w:val="000000" w:themeColor="text1"/>
          <w:sz w:val="20"/>
          <w:szCs w:val="20"/>
        </w:rPr>
      </w:pPr>
    </w:p>
    <w:p w14:paraId="070ED412" w14:textId="72399605" w:rsidR="000307C2" w:rsidRPr="00420D9C" w:rsidRDefault="00420D9C" w:rsidP="000307C2">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L</w:t>
      </w:r>
      <w:r w:rsidRPr="00420D9C">
        <w:rPr>
          <w:rFonts w:ascii="Verdana" w:hAnsi="Verdana" w:cs="Arial"/>
          <w:color w:val="000000" w:themeColor="text1"/>
          <w:sz w:val="20"/>
          <w:szCs w:val="20"/>
        </w:rPr>
        <w:t xml:space="preserve">a capacidad jurídica de los proponentes plurales se limita al campo de la contratación estatal de las entidades sometidas al EGCAP, es decir, a las relaciones entre los consorcios y las uniones temporales con las entidades estatales del artículo 2 de la Ley 80 de 1993. Las personas que conforman proponentes plurales pueden presentar en forma conjunta una misma propuesta para la adjudicación, celebración y ejecución de contratos estatales con </w:t>
      </w:r>
      <w:r w:rsidRPr="00420D9C">
        <w:rPr>
          <w:rFonts w:ascii="Verdana" w:hAnsi="Verdana" w:cs="Arial"/>
          <w:i/>
          <w:iCs/>
          <w:color w:val="000000" w:themeColor="text1"/>
          <w:sz w:val="20"/>
          <w:szCs w:val="20"/>
        </w:rPr>
        <w:t>una o varias</w:t>
      </w:r>
      <w:r w:rsidRPr="00420D9C">
        <w:rPr>
          <w:rFonts w:ascii="Verdana" w:hAnsi="Verdana" w:cs="Arial"/>
          <w:color w:val="000000" w:themeColor="text1"/>
          <w:sz w:val="20"/>
          <w:szCs w:val="20"/>
        </w:rPr>
        <w:t xml:space="preserve"> de las entidades descritas en la norma precitada. Dichas ofertas serán analizadas de acuerdo con los criterios habilitantes y factores de evaluación del pliego de condiciones o documento equivalente, en el marco de las reglas previstas en el Estatuto General de Contratación, sus normas complementarias y los reglamentos respectivos.</w:t>
      </w:r>
    </w:p>
    <w:p w14:paraId="64F859DC" w14:textId="77777777" w:rsidR="000307C2" w:rsidRPr="00396DBB" w:rsidRDefault="000307C2" w:rsidP="00396DBB">
      <w:pPr>
        <w:spacing w:after="0" w:line="240" w:lineRule="auto"/>
        <w:jc w:val="both"/>
        <w:rPr>
          <w:rFonts w:ascii="Verdana" w:hAnsi="Verdana" w:cs="Arial"/>
          <w:color w:val="000000" w:themeColor="text1"/>
          <w:sz w:val="20"/>
          <w:szCs w:val="20"/>
          <w:lang w:val="es-ES_tradnl"/>
        </w:rPr>
      </w:pPr>
    </w:p>
    <w:p w14:paraId="05761501" w14:textId="77777777" w:rsidR="00B92624" w:rsidRDefault="00B92624" w:rsidP="00CE37A3">
      <w:pPr>
        <w:spacing w:after="0" w:line="240" w:lineRule="auto"/>
        <w:rPr>
          <w:rFonts w:ascii="Verdana" w:hAnsi="Verdana" w:cs="Arial"/>
          <w:b/>
          <w:lang w:eastAsia="es-CO"/>
        </w:rPr>
      </w:pPr>
    </w:p>
    <w:p w14:paraId="28047E8C" w14:textId="37E296D6" w:rsidR="00B30448" w:rsidRPr="00593A5F" w:rsidRDefault="00B30448" w:rsidP="00CE37A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D561CD" w:rsidRPr="00D561CD">
        <w:rPr>
          <w:rFonts w:ascii="Verdana" w:eastAsia="Geomanist Light" w:hAnsi="Verdana" w:cs="Arial"/>
          <w:color w:val="201F1E"/>
          <w:lang w:val="es-MX"/>
        </w:rPr>
        <w:t>28 de Octubre de 2024</w:t>
      </w:r>
    </w:p>
    <w:p w14:paraId="1715E5B1" w14:textId="0ED43AD0" w:rsidR="00B30448" w:rsidRDefault="00B30448" w:rsidP="00CE37A3">
      <w:pPr>
        <w:spacing w:after="0" w:line="240" w:lineRule="auto"/>
        <w:jc w:val="both"/>
        <w:rPr>
          <w:rFonts w:ascii="Verdana" w:eastAsia="Calibri" w:hAnsi="Verdana" w:cs="Arial"/>
          <w:color w:val="000000"/>
          <w:lang w:val="es-ES"/>
        </w:rPr>
      </w:pPr>
    </w:p>
    <w:p w14:paraId="370DE10C" w14:textId="4772CE1C" w:rsidR="00D561CD" w:rsidRDefault="00D561CD" w:rsidP="00D561CD">
      <w:pPr>
        <w:spacing w:after="0" w:line="240" w:lineRule="auto"/>
        <w:jc w:val="right"/>
        <w:rPr>
          <w:rFonts w:ascii="Verdana" w:eastAsia="Calibri" w:hAnsi="Verdana" w:cs="Arial"/>
          <w:color w:val="000000"/>
          <w:lang w:val="es-ES"/>
        </w:rPr>
      </w:pPr>
      <w:r w:rsidRPr="00D561CD">
        <w:rPr>
          <w:rFonts w:ascii="Verdana" w:eastAsia="Calibri" w:hAnsi="Verdana" w:cs="Arial"/>
          <w:noProof/>
          <w:color w:val="000000"/>
          <w:lang w:val="es-ES"/>
        </w:rPr>
        <w:drawing>
          <wp:inline distT="0" distB="0" distL="0" distR="0" wp14:anchorId="1A59D008" wp14:editId="028E7DCE">
            <wp:extent cx="3238500" cy="901700"/>
            <wp:effectExtent l="0" t="0" r="0" b="0"/>
            <wp:docPr id="18538873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887387" name=""/>
                    <pic:cNvPicPr/>
                  </pic:nvPicPr>
                  <pic:blipFill>
                    <a:blip r:embed="rId11"/>
                    <a:stretch>
                      <a:fillRect/>
                    </a:stretch>
                  </pic:blipFill>
                  <pic:spPr>
                    <a:xfrm>
                      <a:off x="0" y="0"/>
                      <a:ext cx="3238500" cy="901700"/>
                    </a:xfrm>
                    <a:prstGeom prst="rect">
                      <a:avLst/>
                    </a:prstGeom>
                  </pic:spPr>
                </pic:pic>
              </a:graphicData>
            </a:graphic>
          </wp:inline>
        </w:drawing>
      </w:r>
    </w:p>
    <w:p w14:paraId="62AA4AF4" w14:textId="77777777" w:rsidR="00BB3BE4" w:rsidRPr="00593A5F" w:rsidRDefault="00BB3BE4" w:rsidP="00CE37A3">
      <w:pPr>
        <w:spacing w:after="0" w:line="240" w:lineRule="auto"/>
        <w:jc w:val="both"/>
        <w:rPr>
          <w:rFonts w:ascii="Verdana" w:eastAsia="Calibri" w:hAnsi="Verdana" w:cs="Arial"/>
          <w:color w:val="000000"/>
          <w:lang w:val="es-ES"/>
        </w:rPr>
      </w:pPr>
    </w:p>
    <w:p w14:paraId="02CC2859" w14:textId="2D21AB06" w:rsidR="00B30448" w:rsidRPr="00B96799" w:rsidRDefault="0085423D" w:rsidP="00CE37A3">
      <w:pPr>
        <w:spacing w:after="0" w:line="240" w:lineRule="auto"/>
        <w:jc w:val="both"/>
        <w:rPr>
          <w:rFonts w:ascii="Verdana" w:eastAsia="Calibri" w:hAnsi="Verdana" w:cs="Arial"/>
          <w:lang w:val="es-ES" w:eastAsia="es-ES"/>
        </w:rPr>
      </w:pPr>
      <w:r>
        <w:rPr>
          <w:rFonts w:ascii="Verdana" w:eastAsia="Calibri" w:hAnsi="Verdana" w:cs="Arial"/>
          <w:lang w:val="es-ES" w:eastAsia="es-ES"/>
        </w:rPr>
        <w:t>Seño</w:t>
      </w:r>
      <w:r w:rsidR="00F75AAC">
        <w:rPr>
          <w:rFonts w:ascii="Verdana" w:eastAsia="Calibri" w:hAnsi="Verdana" w:cs="Arial"/>
          <w:lang w:val="es-ES" w:eastAsia="es-ES"/>
        </w:rPr>
        <w:t>ra</w:t>
      </w:r>
    </w:p>
    <w:p w14:paraId="4F51412E" w14:textId="61524652" w:rsidR="0085423D" w:rsidRPr="0085423D" w:rsidRDefault="00F75AAC" w:rsidP="0085423D">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Layne Liliana León Omaña </w:t>
      </w:r>
      <w:r w:rsidR="0085423D">
        <w:rPr>
          <w:rFonts w:ascii="Verdana" w:eastAsia="Calibri" w:hAnsi="Verdana" w:cs="Arial"/>
          <w:b/>
          <w:lang w:val="es-ES_tradnl" w:eastAsia="es-ES_tradnl"/>
        </w:rPr>
        <w:t xml:space="preserve"> </w:t>
      </w:r>
    </w:p>
    <w:p w14:paraId="7603B946" w14:textId="4868F327" w:rsidR="002E26E8" w:rsidRPr="00F75AAC" w:rsidRDefault="00F75AAC" w:rsidP="0085423D">
      <w:pPr>
        <w:spacing w:after="0" w:line="240" w:lineRule="auto"/>
        <w:rPr>
          <w:rFonts w:ascii="Verdana" w:eastAsia="Calibri" w:hAnsi="Verdana" w:cs="Arial"/>
          <w:lang w:val="es-ES" w:eastAsia="es-ES"/>
        </w:rPr>
      </w:pPr>
      <w:hyperlink r:id="rId12" w:history="1">
        <w:r w:rsidRPr="00F75AAC">
          <w:rPr>
            <w:rStyle w:val="Hipervnculo"/>
            <w:rFonts w:ascii="Verdana" w:hAnsi="Verdana"/>
          </w:rPr>
          <w:t>pruebas.contratacionestatal2@procuraduria.gov.co</w:t>
        </w:r>
      </w:hyperlink>
      <w:r w:rsidRPr="00F75AAC">
        <w:rPr>
          <w:rFonts w:ascii="Verdana" w:hAnsi="Verdana"/>
        </w:rPr>
        <w:t xml:space="preserve"> </w:t>
      </w:r>
      <w:r w:rsidR="00BE5FE3" w:rsidRPr="00F75AAC">
        <w:rPr>
          <w:rFonts w:ascii="Verdana" w:hAnsi="Verdana"/>
        </w:rPr>
        <w:t xml:space="preserve"> </w:t>
      </w:r>
      <w:r w:rsidR="0085423D" w:rsidRPr="00F75AAC">
        <w:rPr>
          <w:rFonts w:ascii="Verdana" w:hAnsi="Verdana"/>
        </w:rPr>
        <w:t xml:space="preserve"> </w:t>
      </w:r>
      <w:r w:rsidR="005B7798" w:rsidRPr="00F75AAC">
        <w:rPr>
          <w:rFonts w:ascii="Verdana" w:hAnsi="Verdana"/>
        </w:rPr>
        <w:t xml:space="preserve"> </w:t>
      </w:r>
      <w:r w:rsidR="005B552C" w:rsidRPr="00F75AAC">
        <w:rPr>
          <w:rFonts w:ascii="Verdana" w:hAnsi="Verdana"/>
        </w:rPr>
        <w:t xml:space="preserve"> </w:t>
      </w:r>
      <w:r w:rsidR="0090408E" w:rsidRPr="00F75AAC">
        <w:rPr>
          <w:rFonts w:ascii="Verdana" w:hAnsi="Verdana"/>
        </w:rPr>
        <w:t xml:space="preserve"> </w:t>
      </w:r>
      <w:r w:rsidR="00AB219D" w:rsidRPr="00F75AAC">
        <w:rPr>
          <w:rFonts w:ascii="Verdana" w:hAnsi="Verdana"/>
        </w:rPr>
        <w:t xml:space="preserve"> </w:t>
      </w:r>
      <w:r w:rsidR="00FA0F71" w:rsidRPr="00F75AAC">
        <w:rPr>
          <w:rFonts w:ascii="Verdana" w:eastAsia="Calibri" w:hAnsi="Verdana" w:cs="Arial"/>
          <w:lang w:val="es-ES" w:eastAsia="es-ES"/>
        </w:rPr>
        <w:t xml:space="preserve"> </w:t>
      </w:r>
      <w:r w:rsidR="00B71607" w:rsidRPr="00F75AAC">
        <w:rPr>
          <w:rFonts w:ascii="Verdana" w:eastAsia="Calibri" w:hAnsi="Verdana" w:cs="Arial"/>
          <w:lang w:val="es-ES" w:eastAsia="es-ES"/>
        </w:rPr>
        <w:t xml:space="preserve"> </w:t>
      </w:r>
      <w:r w:rsidR="00497575" w:rsidRPr="00F75AAC">
        <w:rPr>
          <w:rFonts w:ascii="Verdana" w:eastAsia="Calibri" w:hAnsi="Verdana" w:cs="Arial"/>
          <w:lang w:val="es-ES" w:eastAsia="es-ES"/>
        </w:rPr>
        <w:t xml:space="preserve"> </w:t>
      </w:r>
      <w:r w:rsidR="00772B41" w:rsidRPr="00F75AAC">
        <w:rPr>
          <w:rFonts w:ascii="Verdana" w:eastAsia="Calibri" w:hAnsi="Verdana" w:cs="Arial"/>
          <w:lang w:val="es-ES" w:eastAsia="es-ES"/>
        </w:rPr>
        <w:t xml:space="preserve"> </w:t>
      </w:r>
    </w:p>
    <w:p w14:paraId="00081778" w14:textId="67A6D230" w:rsidR="008E6AD9" w:rsidRDefault="00F75AAC" w:rsidP="00CE37A3">
      <w:pPr>
        <w:spacing w:after="0" w:line="240" w:lineRule="auto"/>
        <w:rPr>
          <w:rFonts w:ascii="Verdana" w:eastAsia="Calibri" w:hAnsi="Verdana" w:cs="Arial"/>
          <w:lang w:val="es-ES" w:eastAsia="es-ES"/>
        </w:rPr>
      </w:pPr>
      <w:r w:rsidRPr="00F75AAC">
        <w:rPr>
          <w:rFonts w:ascii="Verdana" w:eastAsia="Calibri" w:hAnsi="Verdana" w:cs="Arial"/>
          <w:lang w:val="es-ES" w:eastAsia="es-ES"/>
        </w:rPr>
        <w:t>Bogotá D.C.</w:t>
      </w:r>
    </w:p>
    <w:p w14:paraId="083F7B5B" w14:textId="77777777" w:rsidR="00497575" w:rsidRPr="00593A5F" w:rsidRDefault="00497575" w:rsidP="00CE37A3">
      <w:pPr>
        <w:spacing w:after="0" w:line="240" w:lineRule="auto"/>
        <w:rPr>
          <w:rFonts w:ascii="Verdana" w:eastAsia="Calibri" w:hAnsi="Verdana" w:cs="Arial"/>
          <w:b/>
          <w:bCs/>
          <w:color w:val="000000"/>
          <w:lang w:val="es-ES_tradnl" w:eastAsia="es-ES_tradnl"/>
        </w:rPr>
      </w:pPr>
    </w:p>
    <w:p w14:paraId="63F71607" w14:textId="77777777" w:rsidR="00B30448" w:rsidRPr="00593A5F" w:rsidRDefault="00B30448" w:rsidP="00CE37A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E37A3" w:rsidRPr="00593A5F" w14:paraId="32935393" w14:textId="77777777" w:rsidTr="000F1AD8">
        <w:trPr>
          <w:trHeight w:val="884"/>
        </w:trPr>
        <w:tc>
          <w:tcPr>
            <w:tcW w:w="2689" w:type="dxa"/>
          </w:tcPr>
          <w:p w14:paraId="5615C8B0" w14:textId="77777777" w:rsidR="00CE37A3" w:rsidRPr="00C00976" w:rsidRDefault="00CE37A3" w:rsidP="00CE37A3">
            <w:pPr>
              <w:jc w:val="both"/>
              <w:rPr>
                <w:rFonts w:ascii="Verdana" w:eastAsia="Calibri" w:hAnsi="Verdana" w:cs="Arial"/>
                <w:b/>
                <w:bCs/>
                <w:color w:val="7030A0"/>
                <w:lang w:val="es-ES_tradnl" w:eastAsia="es-ES_tradnl"/>
              </w:rPr>
            </w:pPr>
          </w:p>
        </w:tc>
        <w:tc>
          <w:tcPr>
            <w:tcW w:w="6100" w:type="dxa"/>
          </w:tcPr>
          <w:p w14:paraId="1CC0FC14" w14:textId="268C9D65" w:rsidR="00CE37A3" w:rsidRPr="00C00976" w:rsidRDefault="00CE37A3" w:rsidP="00CE37A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sidR="008E6AD9" w:rsidRPr="008E6AD9">
              <w:rPr>
                <w:rFonts w:ascii="Verdana" w:eastAsia="Calibri" w:hAnsi="Verdana" w:cs="Arial"/>
                <w:b/>
                <w:bCs/>
                <w:lang w:val="es-ES" w:eastAsia="es-ES"/>
              </w:rPr>
              <w:t xml:space="preserve"> –</w:t>
            </w:r>
            <w:r w:rsidRPr="008E6AD9">
              <w:rPr>
                <w:rFonts w:ascii="Verdana" w:eastAsia="Calibri" w:hAnsi="Verdana" w:cs="Arial"/>
                <w:b/>
                <w:bCs/>
                <w:lang w:val="es-ES" w:eastAsia="es-ES"/>
              </w:rPr>
              <w:t xml:space="preserve"> </w:t>
            </w:r>
            <w:r w:rsidR="00F75AAC">
              <w:rPr>
                <w:rFonts w:ascii="Verdana" w:eastAsia="Calibri" w:hAnsi="Verdana" w:cs="Arial"/>
                <w:b/>
                <w:bCs/>
                <w:lang w:val="es-ES" w:eastAsia="es-ES"/>
              </w:rPr>
              <w:t>727</w:t>
            </w:r>
            <w:r w:rsidRPr="008E6AD9">
              <w:rPr>
                <w:rFonts w:ascii="Verdana" w:eastAsia="Calibri" w:hAnsi="Verdana" w:cs="Arial"/>
                <w:b/>
                <w:bCs/>
                <w:lang w:val="es-ES" w:eastAsia="es-ES"/>
              </w:rPr>
              <w:t xml:space="preserve"> de 2024</w:t>
            </w:r>
          </w:p>
        </w:tc>
      </w:tr>
      <w:tr w:rsidR="00B30448" w:rsidRPr="00593A5F" w14:paraId="52EC412F" w14:textId="77777777" w:rsidTr="000F1AD8">
        <w:trPr>
          <w:trHeight w:val="884"/>
        </w:trPr>
        <w:tc>
          <w:tcPr>
            <w:tcW w:w="2689" w:type="dxa"/>
          </w:tcPr>
          <w:p w14:paraId="752B683B" w14:textId="77777777" w:rsidR="00B30448" w:rsidRPr="00593A5F" w:rsidRDefault="00B30448" w:rsidP="00CE37A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67AA9C8" w14:textId="17E029E8" w:rsidR="00A11406" w:rsidRPr="00A11406" w:rsidRDefault="00420D9C" w:rsidP="000307C2">
            <w:pPr>
              <w:spacing w:line="276" w:lineRule="auto"/>
              <w:jc w:val="both"/>
              <w:rPr>
                <w:rFonts w:ascii="Verdana" w:eastAsia="Calibri" w:hAnsi="Verdana" w:cs="Arial"/>
                <w:lang w:val="es-ES" w:eastAsia="es-ES"/>
              </w:rPr>
            </w:pPr>
            <w:r w:rsidRPr="00420D9C">
              <w:rPr>
                <w:rFonts w:ascii="Verdana" w:eastAsia="Calibri" w:hAnsi="Verdana" w:cs="Arial"/>
                <w:lang w:val="es-ES" w:eastAsia="es-ES"/>
              </w:rPr>
              <w:t>PROPONENTE PLURAL ‒ Consorcio ‒ Unión temporal ‒ Concepto – Diferencias / CONSORCIOS Y UNIONES TEMPORALES – Ausencia de personería jurídica – Capacidad jurídica restringida</w:t>
            </w:r>
            <w:r w:rsidR="000307C2" w:rsidRPr="000307C2">
              <w:rPr>
                <w:rFonts w:ascii="Verdana" w:eastAsia="Calibri" w:hAnsi="Verdana" w:cs="Arial"/>
                <w:lang w:val="es-ES" w:eastAsia="es-ES"/>
              </w:rPr>
              <w:t xml:space="preserve">  </w:t>
            </w:r>
            <w:r w:rsidR="00BE364D" w:rsidRPr="00BE364D">
              <w:rPr>
                <w:rFonts w:ascii="Verdana" w:eastAsia="Calibri" w:hAnsi="Verdana" w:cs="Arial"/>
                <w:lang w:val="es-ES" w:eastAsia="es-ES"/>
              </w:rPr>
              <w:t xml:space="preserve">  </w:t>
            </w:r>
            <w:r w:rsidR="00E23D97" w:rsidRPr="00E23D97">
              <w:rPr>
                <w:rFonts w:ascii="Verdana" w:eastAsia="Calibri" w:hAnsi="Verdana" w:cs="Arial"/>
                <w:lang w:val="es-ES" w:eastAsia="es-ES"/>
              </w:rPr>
              <w:t xml:space="preserve"> </w:t>
            </w:r>
            <w:r w:rsidR="009E03E6" w:rsidRPr="009E03E6">
              <w:rPr>
                <w:rFonts w:ascii="Verdana" w:eastAsia="Calibri" w:hAnsi="Verdana" w:cs="Arial"/>
                <w:lang w:val="es-ES" w:eastAsia="es-ES"/>
              </w:rPr>
              <w:t xml:space="preserve">  </w:t>
            </w:r>
            <w:r w:rsidR="006E6F30" w:rsidRPr="006E6F30">
              <w:rPr>
                <w:rFonts w:ascii="Verdana" w:eastAsia="Calibri" w:hAnsi="Verdana" w:cs="Arial"/>
                <w:lang w:val="es-ES" w:eastAsia="es-ES"/>
              </w:rPr>
              <w:t xml:space="preserve"> </w:t>
            </w:r>
            <w:r w:rsidR="00FA3A97" w:rsidRPr="00FA3A97">
              <w:rPr>
                <w:rFonts w:ascii="Verdana" w:eastAsia="Calibri" w:hAnsi="Verdana" w:cs="Arial"/>
                <w:lang w:val="es-ES" w:eastAsia="es-ES"/>
              </w:rPr>
              <w:t xml:space="preserve">  </w:t>
            </w:r>
          </w:p>
          <w:p w14:paraId="1D4AA017" w14:textId="592D7DF6" w:rsidR="00D1484F" w:rsidRPr="00593A5F" w:rsidRDefault="00A11406" w:rsidP="00D1484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00D1484F" w:rsidRPr="00D1484F">
              <w:rPr>
                <w:rFonts w:ascii="Verdana" w:eastAsia="Calibri" w:hAnsi="Verdana" w:cs="Arial"/>
                <w:lang w:val="es-ES" w:eastAsia="es-ES"/>
              </w:rPr>
              <w:t xml:space="preserve"> </w:t>
            </w:r>
          </w:p>
        </w:tc>
      </w:tr>
      <w:tr w:rsidR="008E6AD9" w:rsidRPr="008E6AD9" w14:paraId="496C9430" w14:textId="77777777" w:rsidTr="000F1AD8">
        <w:tc>
          <w:tcPr>
            <w:tcW w:w="2689" w:type="dxa"/>
          </w:tcPr>
          <w:p w14:paraId="4C8D9612" w14:textId="77777777" w:rsidR="00B30448" w:rsidRPr="008E6AD9" w:rsidRDefault="00B30448" w:rsidP="00CE37A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EC2FCE3" w14:textId="0F793B9D" w:rsidR="00B30448" w:rsidRPr="008E6AD9" w:rsidRDefault="00B30448" w:rsidP="0090408E">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sidR="00B71607">
              <w:rPr>
                <w:rFonts w:ascii="Verdana" w:eastAsia="Calibri" w:hAnsi="Verdana" w:cs="Arial"/>
                <w:lang w:val="es-ES_tradnl" w:eastAsia="es-ES_tradnl"/>
              </w:rPr>
              <w:t>la</w:t>
            </w:r>
            <w:r w:rsidR="00F75AAC">
              <w:rPr>
                <w:rFonts w:ascii="Verdana" w:eastAsia="Calibri" w:hAnsi="Verdana" w:cs="Arial"/>
                <w:lang w:val="es-ES_tradnl" w:eastAsia="es-ES_tradnl"/>
              </w:rPr>
              <w:t>s</w:t>
            </w:r>
            <w:r w:rsidR="00B71607">
              <w:rPr>
                <w:rFonts w:ascii="Verdana" w:eastAsia="Calibri" w:hAnsi="Verdana" w:cs="Arial"/>
                <w:lang w:val="es-ES_tradnl" w:eastAsia="es-ES_tradnl"/>
              </w:rPr>
              <w:t xml:space="preserve"> </w:t>
            </w:r>
            <w:r w:rsidRPr="008E6AD9">
              <w:rPr>
                <w:rFonts w:ascii="Verdana" w:eastAsia="Calibri" w:hAnsi="Verdana" w:cs="Arial"/>
                <w:lang w:val="es-ES_tradnl" w:eastAsia="es-ES_tradnl"/>
              </w:rPr>
              <w:t>consulta</w:t>
            </w:r>
            <w:r w:rsidR="00F75AAC">
              <w:rPr>
                <w:rFonts w:ascii="Verdana" w:eastAsia="Calibri" w:hAnsi="Verdana" w:cs="Arial"/>
                <w:lang w:val="es-ES_tradnl" w:eastAsia="es-ES_tradnl"/>
              </w:rPr>
              <w:t>s</w:t>
            </w:r>
            <w:r w:rsidR="009A5453" w:rsidRPr="008E6AD9">
              <w:rPr>
                <w:rFonts w:ascii="Verdana" w:eastAsia="Calibri" w:hAnsi="Verdana" w:cs="Arial"/>
                <w:lang w:val="es-ES_tradnl" w:eastAsia="es-ES_tradnl"/>
              </w:rPr>
              <w:t xml:space="preserve"> con radicado</w:t>
            </w:r>
            <w:r w:rsidR="00F75AAC">
              <w:rPr>
                <w:rFonts w:ascii="Verdana" w:eastAsia="Calibri" w:hAnsi="Verdana" w:cs="Arial"/>
                <w:lang w:val="es-ES_tradnl" w:eastAsia="es-ES_tradnl"/>
              </w:rPr>
              <w:t>s</w:t>
            </w:r>
            <w:r w:rsidR="009A5453" w:rsidRPr="008E6AD9">
              <w:rPr>
                <w:rFonts w:ascii="Verdana" w:eastAsia="Calibri" w:hAnsi="Verdana" w:cs="Arial"/>
                <w:lang w:val="es-ES_tradnl" w:eastAsia="es-ES_tradnl"/>
              </w:rPr>
              <w:t xml:space="preserve"> No.</w:t>
            </w:r>
            <w:r w:rsidR="005B552C">
              <w:rPr>
                <w:rFonts w:ascii="Verdana" w:eastAsia="Calibri" w:hAnsi="Verdana" w:cs="Arial"/>
                <w:lang w:val="es-ES_tradnl" w:eastAsia="es-ES_tradnl"/>
              </w:rPr>
              <w:t xml:space="preserve"> </w:t>
            </w:r>
            <w:r w:rsidR="00F75AAC" w:rsidRPr="00F75AAC">
              <w:rPr>
                <w:rFonts w:ascii="Verdana" w:eastAsia="Calibri" w:hAnsi="Verdana" w:cs="Arial"/>
                <w:lang w:val="es-ES_tradnl" w:eastAsia="es-ES_tradnl"/>
              </w:rPr>
              <w:t>P20241011010401</w:t>
            </w:r>
            <w:r w:rsidR="00F75AAC">
              <w:rPr>
                <w:rFonts w:ascii="Verdana" w:eastAsia="Calibri" w:hAnsi="Verdana" w:cs="Arial"/>
                <w:lang w:val="es-ES_tradnl" w:eastAsia="es-ES_tradnl"/>
              </w:rPr>
              <w:t xml:space="preserve"> y </w:t>
            </w:r>
            <w:r w:rsidR="00F75AAC" w:rsidRPr="00F75AAC">
              <w:rPr>
                <w:rFonts w:ascii="Verdana" w:eastAsia="Calibri" w:hAnsi="Verdana" w:cs="Arial"/>
                <w:lang w:val="es-ES_tradnl" w:eastAsia="es-ES_tradnl"/>
              </w:rPr>
              <w:t>P20241016010508</w:t>
            </w:r>
            <w:r w:rsidR="00F75AAC">
              <w:rPr>
                <w:rFonts w:ascii="Verdana" w:eastAsia="Calibri" w:hAnsi="Verdana" w:cs="Arial"/>
                <w:lang w:val="es-ES_tradnl" w:eastAsia="es-ES_tradnl"/>
              </w:rPr>
              <w:t xml:space="preserve"> –Acumuladas–</w:t>
            </w:r>
            <w:r w:rsidR="0085423D" w:rsidRPr="0085423D">
              <w:rPr>
                <w:rFonts w:ascii="Verdana" w:eastAsia="Calibri" w:hAnsi="Verdana" w:cs="Arial"/>
                <w:lang w:val="es-ES_tradnl" w:eastAsia="es-ES_tradnl"/>
              </w:rPr>
              <w:t xml:space="preserve"> </w:t>
            </w:r>
            <w:r w:rsidR="008E6AD9" w:rsidRPr="008E6AD9">
              <w:rPr>
                <w:rFonts w:ascii="Verdana" w:eastAsia="Calibri" w:hAnsi="Verdana" w:cs="Arial"/>
                <w:lang w:val="es-ES_tradnl" w:eastAsia="es-ES_tradnl"/>
              </w:rPr>
              <w:t xml:space="preserve"> </w:t>
            </w:r>
            <w:r w:rsidR="008E6AD9">
              <w:rPr>
                <w:rFonts w:ascii="Verdana" w:eastAsia="Calibri" w:hAnsi="Verdana" w:cs="Arial"/>
                <w:lang w:val="es-ES_tradnl" w:eastAsia="es-ES_tradnl"/>
              </w:rPr>
              <w:t xml:space="preserve">                                   </w:t>
            </w:r>
          </w:p>
        </w:tc>
      </w:tr>
    </w:tbl>
    <w:p w14:paraId="657DDBDD" w14:textId="77777777" w:rsidR="00B30448" w:rsidRPr="00593A5F" w:rsidRDefault="00B30448" w:rsidP="00CE37A3">
      <w:pPr>
        <w:spacing w:after="0" w:line="240" w:lineRule="auto"/>
        <w:jc w:val="both"/>
        <w:rPr>
          <w:rFonts w:ascii="Verdana" w:eastAsia="Calibri" w:hAnsi="Verdana" w:cs="Arial"/>
          <w:color w:val="000000"/>
          <w:lang w:val="es-ES_tradnl" w:eastAsia="es-ES_tradnl"/>
        </w:rPr>
      </w:pPr>
    </w:p>
    <w:p w14:paraId="286892BD" w14:textId="77777777" w:rsidR="00B30448" w:rsidRPr="00593A5F" w:rsidRDefault="00B30448" w:rsidP="00CE37A3">
      <w:pPr>
        <w:spacing w:after="0" w:line="240" w:lineRule="auto"/>
        <w:jc w:val="both"/>
        <w:rPr>
          <w:rFonts w:ascii="Verdana" w:eastAsia="Calibri" w:hAnsi="Verdana" w:cs="Arial"/>
          <w:color w:val="000000"/>
          <w:lang w:val="es-ES_tradnl" w:eastAsia="es-ES_tradnl"/>
        </w:rPr>
      </w:pPr>
    </w:p>
    <w:p w14:paraId="4ED23440" w14:textId="0EA7B344" w:rsidR="00B30448" w:rsidRPr="008E6AD9" w:rsidRDefault="00B30448" w:rsidP="00E84D1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sidR="00F75AAC">
        <w:rPr>
          <w:rFonts w:ascii="Verdana" w:eastAsia="Calibri" w:hAnsi="Verdana" w:cs="Arial"/>
          <w:lang w:val="es-ES" w:eastAsia="es-ES"/>
        </w:rPr>
        <w:t>a</w:t>
      </w:r>
      <w:r w:rsidRPr="008E6AD9">
        <w:rPr>
          <w:rFonts w:ascii="Verdana" w:eastAsia="Calibri" w:hAnsi="Verdana" w:cs="Arial"/>
          <w:lang w:val="es-ES" w:eastAsia="es-ES"/>
        </w:rPr>
        <w:t xml:space="preserve"> </w:t>
      </w:r>
      <w:r w:rsidR="009D79EE">
        <w:rPr>
          <w:rFonts w:ascii="Verdana" w:eastAsia="Calibri" w:hAnsi="Verdana" w:cs="Arial"/>
          <w:lang w:val="es-ES" w:eastAsia="es-ES"/>
        </w:rPr>
        <w:t>señor</w:t>
      </w:r>
      <w:r w:rsidR="00F75AAC">
        <w:rPr>
          <w:rFonts w:ascii="Verdana" w:eastAsia="Calibri" w:hAnsi="Verdana" w:cs="Arial"/>
          <w:lang w:val="es-ES" w:eastAsia="es-ES"/>
        </w:rPr>
        <w:t>a</w:t>
      </w:r>
      <w:r w:rsidR="005B7798">
        <w:rPr>
          <w:rFonts w:ascii="Verdana" w:eastAsia="Calibri" w:hAnsi="Verdana" w:cs="Arial"/>
          <w:lang w:val="es-ES" w:eastAsia="es-ES"/>
        </w:rPr>
        <w:t xml:space="preserve"> </w:t>
      </w:r>
      <w:r w:rsidR="00F75AAC" w:rsidRPr="00F75AAC">
        <w:rPr>
          <w:rFonts w:ascii="Verdana" w:eastAsia="Calibri" w:hAnsi="Verdana" w:cs="Arial"/>
          <w:lang w:val="es-ES" w:eastAsia="es-ES"/>
        </w:rPr>
        <w:t>León Omaña</w:t>
      </w:r>
      <w:r w:rsidRPr="008E6AD9">
        <w:rPr>
          <w:rFonts w:ascii="Verdana" w:eastAsia="Calibri" w:hAnsi="Verdana" w:cs="Arial"/>
          <w:lang w:val="es-ES" w:eastAsia="es-ES"/>
        </w:rPr>
        <w:t xml:space="preserve">: </w:t>
      </w:r>
    </w:p>
    <w:p w14:paraId="47D52CB6" w14:textId="28FC249B" w:rsidR="0013343F" w:rsidRDefault="00631D4F" w:rsidP="00631D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A40824C" w14:textId="1C4CA874" w:rsidR="009442E8" w:rsidRPr="00593A5F" w:rsidRDefault="00B30448" w:rsidP="00E84D1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 xml:space="preserve">En ejercicio de la competencia otorgada por </w:t>
      </w:r>
      <w:r w:rsidR="009A5453" w:rsidRPr="00593A5F">
        <w:rPr>
          <w:rFonts w:ascii="Verdana" w:eastAsia="Calibri" w:hAnsi="Verdana" w:cs="Arial"/>
          <w:color w:val="000000" w:themeColor="text1"/>
          <w:lang w:val="es-ES" w:eastAsia="es-ES"/>
        </w:rPr>
        <w:t>los artículo</w:t>
      </w:r>
      <w:r w:rsidR="00AB1984" w:rsidRPr="00593A5F">
        <w:rPr>
          <w:rFonts w:ascii="Verdana" w:eastAsia="Calibri" w:hAnsi="Verdana" w:cs="Arial"/>
          <w:color w:val="000000" w:themeColor="text1"/>
          <w:lang w:val="es-ES" w:eastAsia="es-ES"/>
        </w:rPr>
        <w:t>s</w:t>
      </w:r>
      <w:r w:rsidR="009A5453" w:rsidRPr="00593A5F">
        <w:rPr>
          <w:rFonts w:ascii="Verdana" w:eastAsia="Calibri" w:hAnsi="Verdana" w:cs="Arial"/>
          <w:color w:val="000000" w:themeColor="text1"/>
          <w:lang w:val="es-ES" w:eastAsia="es-ES"/>
        </w:rPr>
        <w:t xml:space="preserve"> 3,</w:t>
      </w:r>
      <w:r w:rsidRPr="00593A5F">
        <w:rPr>
          <w:rFonts w:ascii="Verdana" w:eastAsia="Calibri" w:hAnsi="Verdana" w:cs="Arial"/>
          <w:color w:val="000000" w:themeColor="text1"/>
          <w:lang w:val="es-ES" w:eastAsia="es-ES"/>
        </w:rPr>
        <w:t xml:space="preserve"> numeral </w:t>
      </w:r>
      <w:r w:rsidR="009A5453" w:rsidRPr="00593A5F">
        <w:rPr>
          <w:rFonts w:ascii="Verdana" w:eastAsia="Calibri" w:hAnsi="Verdana" w:cs="Arial"/>
          <w:color w:val="000000" w:themeColor="text1"/>
          <w:lang w:val="es-ES" w:eastAsia="es-ES"/>
        </w:rPr>
        <w:t>5</w:t>
      </w:r>
      <w:r w:rsidR="00215516" w:rsidRPr="00593A5F">
        <w:rPr>
          <w:rFonts w:ascii="Verdana" w:eastAsia="Calibri" w:hAnsi="Verdana" w:cs="Arial"/>
          <w:color w:val="000000" w:themeColor="text1"/>
          <w:lang w:val="es-ES" w:eastAsia="es-ES"/>
        </w:rPr>
        <w:t>º</w:t>
      </w:r>
      <w:r w:rsidR="00F64D5A" w:rsidRPr="00593A5F">
        <w:rPr>
          <w:rFonts w:ascii="Verdana" w:eastAsia="Calibri" w:hAnsi="Verdana" w:cs="Arial"/>
          <w:color w:val="000000" w:themeColor="text1"/>
          <w:lang w:val="es-ES" w:eastAsia="es-ES"/>
        </w:rPr>
        <w:t>,</w:t>
      </w:r>
      <w:r w:rsidRPr="00593A5F">
        <w:rPr>
          <w:rFonts w:ascii="Verdana" w:eastAsia="Calibri" w:hAnsi="Verdana" w:cs="Arial"/>
          <w:color w:val="000000" w:themeColor="text1"/>
          <w:lang w:val="es-ES" w:eastAsia="es-ES"/>
        </w:rPr>
        <w:t xml:space="preserve"> </w:t>
      </w:r>
      <w:r w:rsidR="009A5453" w:rsidRPr="00593A5F">
        <w:rPr>
          <w:rFonts w:ascii="Verdana" w:eastAsia="Calibri" w:hAnsi="Verdana" w:cs="Arial"/>
          <w:color w:val="000000" w:themeColor="text1"/>
          <w:lang w:val="es-ES" w:eastAsia="es-ES"/>
        </w:rPr>
        <w:t>y</w:t>
      </w:r>
      <w:r w:rsidRPr="00593A5F">
        <w:rPr>
          <w:rFonts w:ascii="Verdana" w:eastAsia="Calibri" w:hAnsi="Verdana" w:cs="Arial"/>
          <w:color w:val="000000" w:themeColor="text1"/>
          <w:lang w:val="es-ES" w:eastAsia="es-ES"/>
        </w:rPr>
        <w:t xml:space="preserve"> 11</w:t>
      </w:r>
      <w:r w:rsidR="00F64D5A" w:rsidRPr="00593A5F">
        <w:rPr>
          <w:rFonts w:ascii="Verdana" w:eastAsia="Calibri" w:hAnsi="Verdana" w:cs="Arial"/>
          <w:color w:val="000000" w:themeColor="text1"/>
          <w:lang w:val="es-ES" w:eastAsia="es-ES"/>
        </w:rPr>
        <w:t>,</w:t>
      </w:r>
      <w:r w:rsidR="00AB1984" w:rsidRPr="00593A5F">
        <w:rPr>
          <w:rFonts w:ascii="Verdana" w:eastAsia="Calibri" w:hAnsi="Verdana" w:cs="Arial"/>
          <w:color w:val="000000" w:themeColor="text1"/>
          <w:lang w:val="es-ES" w:eastAsia="es-ES"/>
        </w:rPr>
        <w:t xml:space="preserve"> </w:t>
      </w:r>
      <w:r w:rsidRPr="00593A5F">
        <w:rPr>
          <w:rFonts w:ascii="Verdana" w:eastAsia="Calibri" w:hAnsi="Verdana" w:cs="Arial"/>
          <w:color w:val="000000" w:themeColor="text1"/>
          <w:lang w:val="es-ES" w:eastAsia="es-ES"/>
        </w:rPr>
        <w:t xml:space="preserve">numeral </w:t>
      </w:r>
      <w:r w:rsidR="00AB1984" w:rsidRPr="00593A5F">
        <w:rPr>
          <w:rFonts w:ascii="Verdana" w:eastAsia="Calibri" w:hAnsi="Verdana" w:cs="Arial"/>
          <w:color w:val="000000" w:themeColor="text1"/>
          <w:lang w:val="es-ES" w:eastAsia="es-ES"/>
        </w:rPr>
        <w:t>8</w:t>
      </w:r>
      <w:r w:rsidR="00215516" w:rsidRPr="00593A5F">
        <w:rPr>
          <w:rFonts w:ascii="Verdana" w:eastAsia="Calibri" w:hAnsi="Verdana" w:cs="Arial"/>
          <w:color w:val="000000" w:themeColor="text1"/>
          <w:lang w:val="es-ES" w:eastAsia="es-ES"/>
        </w:rPr>
        <w:t>º</w:t>
      </w:r>
      <w:r w:rsidR="00F64D5A" w:rsidRPr="00593A5F">
        <w:rPr>
          <w:rFonts w:ascii="Verdana" w:eastAsia="Calibri" w:hAnsi="Verdana" w:cs="Arial"/>
          <w:color w:val="000000" w:themeColor="text1"/>
          <w:lang w:val="es-ES" w:eastAsia="es-ES"/>
        </w:rPr>
        <w:t>,</w:t>
      </w:r>
      <w:r w:rsidRPr="00593A5F">
        <w:rPr>
          <w:rFonts w:ascii="Verdana" w:eastAsia="Calibri" w:hAnsi="Verdana" w:cs="Arial"/>
          <w:color w:val="000000" w:themeColor="text1"/>
          <w:lang w:val="es-ES" w:eastAsia="es-ES"/>
        </w:rPr>
        <w:t xml:space="preserve"> del Decreto Ley 4170 de 2011,</w:t>
      </w:r>
      <w:r w:rsidRPr="00593A5F">
        <w:rPr>
          <w:rFonts w:ascii="Verdana" w:eastAsia="Arial MT" w:hAnsi="Verdana" w:cs="Arial MT"/>
          <w:lang w:val="es-ES" w:eastAsia="es-ES"/>
        </w:rPr>
        <w:t xml:space="preserve"> </w:t>
      </w:r>
      <w:r w:rsidR="002A0F8D" w:rsidRPr="00593A5F">
        <w:rPr>
          <w:rFonts w:ascii="Verdana" w:hAnsi="Verdana" w:cs="Arial"/>
        </w:rPr>
        <w:t xml:space="preserve">así como lo establecido en </w:t>
      </w:r>
      <w:r w:rsidR="00DC2C48">
        <w:rPr>
          <w:rFonts w:ascii="Verdana" w:hAnsi="Verdana" w:cs="Arial"/>
        </w:rPr>
        <w:t xml:space="preserve">el artículo 4 de </w:t>
      </w:r>
      <w:r w:rsidR="002A0F8D"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sidR="00F75AAC">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sidR="00F75AAC">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sidR="00DC2C48">
        <w:rPr>
          <w:rFonts w:ascii="Verdana" w:eastAsia="Calibri" w:hAnsi="Verdana" w:cs="Arial"/>
          <w:color w:val="000000" w:themeColor="text1"/>
          <w:lang w:val="es-ES" w:eastAsia="es-ES"/>
        </w:rPr>
        <w:t xml:space="preserve"> consulta </w:t>
      </w:r>
      <w:r w:rsidR="0066351C">
        <w:rPr>
          <w:rFonts w:ascii="Verdana" w:eastAsia="Calibri" w:hAnsi="Verdana" w:cs="Arial"/>
          <w:color w:val="000000" w:themeColor="text1"/>
          <w:lang w:val="es-ES" w:eastAsia="es-ES"/>
        </w:rPr>
        <w:t xml:space="preserve">de </w:t>
      </w:r>
      <w:r w:rsidR="0066351C" w:rsidRPr="008E6AD9">
        <w:rPr>
          <w:rFonts w:ascii="Verdana" w:eastAsia="Calibri" w:hAnsi="Verdana" w:cs="Arial"/>
          <w:lang w:val="es-ES" w:eastAsia="es-ES"/>
        </w:rPr>
        <w:t>fecha</w:t>
      </w:r>
      <w:r w:rsidR="00772B41">
        <w:rPr>
          <w:rFonts w:ascii="Verdana" w:eastAsia="Calibri" w:hAnsi="Verdana" w:cs="Arial"/>
          <w:lang w:val="es-ES" w:eastAsia="es-ES"/>
        </w:rPr>
        <w:t xml:space="preserve"> </w:t>
      </w:r>
      <w:r w:rsidR="00F75AAC">
        <w:rPr>
          <w:rFonts w:ascii="Verdana" w:eastAsia="Calibri" w:hAnsi="Verdana" w:cs="Arial"/>
          <w:lang w:val="es-ES" w:eastAsia="es-ES"/>
        </w:rPr>
        <w:t>11 y 16</w:t>
      </w:r>
      <w:r w:rsidR="009D79EE">
        <w:rPr>
          <w:rFonts w:ascii="Verdana" w:eastAsia="Calibri" w:hAnsi="Verdana" w:cs="Arial"/>
          <w:lang w:val="es-ES" w:eastAsia="es-ES"/>
        </w:rPr>
        <w:t xml:space="preserve"> de octubre</w:t>
      </w:r>
      <w:r w:rsidRPr="008E6AD9">
        <w:rPr>
          <w:rFonts w:ascii="Verdana" w:eastAsia="Calibri" w:hAnsi="Verdana" w:cs="Arial"/>
          <w:lang w:val="es-ES" w:eastAsia="es-ES"/>
        </w:rPr>
        <w:t xml:space="preserve"> de 20</w:t>
      </w:r>
      <w:r w:rsidR="008E6AD9" w:rsidRPr="008E6AD9">
        <w:rPr>
          <w:rFonts w:ascii="Verdana" w:eastAsia="Calibri" w:hAnsi="Verdana" w:cs="Arial"/>
          <w:lang w:val="es-ES" w:eastAsia="es-ES"/>
        </w:rPr>
        <w:t>24</w:t>
      </w:r>
      <w:r w:rsidR="00057963" w:rsidRPr="008E6AD9">
        <w:rPr>
          <w:rFonts w:ascii="Verdana" w:eastAsia="Calibri" w:hAnsi="Verdana" w:cs="Arial"/>
          <w:lang w:val="es-ES" w:eastAsia="es-ES"/>
        </w:rPr>
        <w:t>,</w:t>
      </w:r>
      <w:r w:rsidR="00772B41">
        <w:rPr>
          <w:rFonts w:ascii="Verdana" w:eastAsia="Calibri" w:hAnsi="Verdana" w:cs="Arial"/>
          <w:lang w:val="es-ES" w:eastAsia="es-ES"/>
        </w:rPr>
        <w:t xml:space="preserve"> </w:t>
      </w:r>
      <w:r w:rsidR="00057963" w:rsidRPr="008E6AD9">
        <w:rPr>
          <w:rFonts w:ascii="Verdana" w:eastAsia="Calibri" w:hAnsi="Verdana" w:cs="Arial"/>
          <w:lang w:val="es-ES" w:eastAsia="es-ES"/>
        </w:rPr>
        <w:t>en la cua</w:t>
      </w:r>
      <w:r w:rsidR="008E6AD9">
        <w:rPr>
          <w:rFonts w:ascii="Verdana" w:eastAsia="Calibri" w:hAnsi="Verdana" w:cs="Arial"/>
          <w:lang w:val="es-ES" w:eastAsia="es-ES"/>
        </w:rPr>
        <w:t>l</w:t>
      </w:r>
      <w:r w:rsidR="00F75AAC">
        <w:rPr>
          <w:rFonts w:ascii="Verdana" w:eastAsia="Calibri" w:hAnsi="Verdana" w:cs="Arial"/>
          <w:lang w:val="es-ES" w:eastAsia="es-ES"/>
        </w:rPr>
        <w:t xml:space="preserve"> –</w:t>
      </w:r>
      <w:r w:rsidR="002D5DFC">
        <w:rPr>
          <w:rFonts w:ascii="Verdana" w:eastAsia="Calibri" w:hAnsi="Verdana" w:cs="Arial"/>
          <w:lang w:val="es-ES" w:eastAsia="es-ES"/>
        </w:rPr>
        <w:t>respecto a los procesos disciplinarios de los expedientes IUS-E-2024-582035 y IUC-D-2024-3824041</w:t>
      </w:r>
      <w:r w:rsidR="001F1E9D">
        <w:rPr>
          <w:rFonts w:ascii="Verdana" w:eastAsia="Calibri" w:hAnsi="Verdana" w:cs="Arial"/>
          <w:lang w:val="es-ES" w:eastAsia="es-ES"/>
        </w:rPr>
        <w:t xml:space="preserve"> </w:t>
      </w:r>
      <w:r w:rsidR="002D5DFC">
        <w:rPr>
          <w:rFonts w:ascii="Verdana" w:eastAsia="Calibri" w:hAnsi="Verdana" w:cs="Arial"/>
          <w:lang w:val="es-ES" w:eastAsia="es-ES"/>
        </w:rPr>
        <w:t xml:space="preserve">adelantados por la Procuraduría General de la Nación– </w:t>
      </w:r>
      <w:r w:rsidR="005B7798">
        <w:rPr>
          <w:rFonts w:ascii="Verdana" w:eastAsia="Calibri" w:hAnsi="Verdana" w:cs="Arial"/>
          <w:lang w:val="es-ES" w:eastAsia="es-ES"/>
        </w:rPr>
        <w:t>pregunta</w:t>
      </w:r>
      <w:r w:rsidR="0090408E">
        <w:rPr>
          <w:rFonts w:ascii="Verdana" w:eastAsia="Calibri" w:hAnsi="Verdana" w:cs="Arial"/>
          <w:lang w:val="es-ES" w:eastAsia="es-ES"/>
        </w:rPr>
        <w:t xml:space="preserve"> lo siguiente</w:t>
      </w:r>
      <w:r w:rsidR="00057963" w:rsidRPr="008E6AD9">
        <w:rPr>
          <w:rFonts w:ascii="Verdana" w:eastAsia="Calibri" w:hAnsi="Verdana" w:cs="Arial"/>
          <w:lang w:val="es-ES" w:eastAsia="es-ES"/>
        </w:rPr>
        <w:t xml:space="preserve">: </w:t>
      </w:r>
    </w:p>
    <w:p w14:paraId="51CDF855" w14:textId="77777777" w:rsidR="001C002C" w:rsidRPr="00272A7B" w:rsidRDefault="001C002C" w:rsidP="00057963">
      <w:pPr>
        <w:pStyle w:val="Prrafodelista"/>
        <w:tabs>
          <w:tab w:val="left" w:pos="142"/>
          <w:tab w:val="left" w:pos="284"/>
        </w:tabs>
        <w:spacing w:line="276" w:lineRule="auto"/>
        <w:ind w:left="0"/>
        <w:jc w:val="both"/>
        <w:rPr>
          <w:rFonts w:ascii="Verdana" w:eastAsia="Century Gothic" w:hAnsi="Verdana" w:cs="Century Gothic"/>
          <w:b/>
          <w:bCs/>
          <w:sz w:val="22"/>
          <w:lang w:val="es-ES"/>
        </w:rPr>
      </w:pPr>
    </w:p>
    <w:p w14:paraId="0AC299D8" w14:textId="43F7FDDB" w:rsidR="00FC6D4E" w:rsidRPr="005B7798" w:rsidRDefault="00FC6D4E" w:rsidP="00BE5FE3">
      <w:pPr>
        <w:spacing w:after="0" w:line="240" w:lineRule="auto"/>
        <w:ind w:left="709" w:right="709"/>
        <w:jc w:val="both"/>
        <w:rPr>
          <w:rFonts w:ascii="Verdana" w:eastAsia="Century Gothic" w:hAnsi="Verdana" w:cs="Century Gothic"/>
          <w:sz w:val="21"/>
          <w:szCs w:val="21"/>
          <w:lang w:val="es-ES"/>
        </w:rPr>
      </w:pPr>
      <w:bookmarkStart w:id="0" w:name="_Hlk95313578"/>
      <w:r w:rsidRPr="006E7258">
        <w:rPr>
          <w:rFonts w:ascii="Verdana" w:eastAsia="Century Gothic" w:hAnsi="Verdana" w:cs="Century Gothic"/>
          <w:sz w:val="21"/>
          <w:szCs w:val="21"/>
          <w:lang w:val="es-ES"/>
        </w:rPr>
        <w:lastRenderedPageBreak/>
        <w:t>“</w:t>
      </w:r>
      <w:bookmarkEnd w:id="0"/>
      <w:r w:rsidR="002D5DFC">
        <w:rPr>
          <w:rFonts w:ascii="Verdana" w:eastAsia="Century Gothic" w:hAnsi="Verdana" w:cs="Century Gothic"/>
          <w:sz w:val="21"/>
          <w:szCs w:val="21"/>
          <w:lang w:val="es-ES"/>
        </w:rPr>
        <w:t>[…] es viable jurídicamente que la misma unión temporal se presente en proceso de contratación adelantados por diferentes entidades públicas</w:t>
      </w:r>
      <w:r w:rsidR="00497575" w:rsidRPr="006040CE">
        <w:rPr>
          <w:rFonts w:ascii="Verdana" w:eastAsia="Century Gothic" w:hAnsi="Verdana" w:cs="Century Gothic"/>
          <w:sz w:val="21"/>
          <w:szCs w:val="21"/>
          <w:lang w:val="es-ES"/>
        </w:rPr>
        <w:t>”</w:t>
      </w:r>
      <w:r w:rsidRPr="006040CE">
        <w:rPr>
          <w:rFonts w:ascii="Verdana" w:eastAsia="Century Gothic" w:hAnsi="Verdana" w:cs="Century Gothic"/>
          <w:sz w:val="21"/>
          <w:szCs w:val="21"/>
          <w:lang w:val="es-ES"/>
        </w:rPr>
        <w:t>.</w:t>
      </w:r>
      <w:r w:rsidR="008F3AC3">
        <w:rPr>
          <w:rFonts w:ascii="Verdana" w:eastAsia="Century Gothic" w:hAnsi="Verdana" w:cs="Century Gothic"/>
          <w:sz w:val="20"/>
          <w:szCs w:val="20"/>
          <w:lang w:val="es-ES"/>
        </w:rPr>
        <w:t xml:space="preserve"> </w:t>
      </w:r>
    </w:p>
    <w:p w14:paraId="4001D734" w14:textId="527E7727" w:rsidR="00FC6D4E" w:rsidRPr="008E6AD9" w:rsidRDefault="00FC6D4E" w:rsidP="006E7258">
      <w:pPr>
        <w:pStyle w:val="Prrafodelista"/>
        <w:tabs>
          <w:tab w:val="left" w:pos="142"/>
          <w:tab w:val="left" w:pos="284"/>
        </w:tabs>
        <w:spacing w:line="276" w:lineRule="auto"/>
        <w:ind w:left="0"/>
        <w:jc w:val="both"/>
        <w:rPr>
          <w:rFonts w:ascii="Verdana" w:eastAsia="Century Gothic" w:hAnsi="Verdana" w:cs="Century Gothic"/>
          <w:b/>
          <w:bCs/>
          <w:sz w:val="22"/>
          <w:lang w:val="es-ES"/>
        </w:rPr>
      </w:pPr>
    </w:p>
    <w:p w14:paraId="2CB0AB04" w14:textId="77777777" w:rsidR="002D5DFC" w:rsidRPr="000B43B3" w:rsidRDefault="002D5DFC" w:rsidP="00B92624">
      <w:pPr>
        <w:spacing w:after="120" w:line="276" w:lineRule="auto"/>
        <w:ind w:firstLine="708"/>
        <w:jc w:val="both"/>
        <w:rPr>
          <w:rFonts w:ascii="Verdana" w:hAnsi="Verdana" w:cs="Arial"/>
          <w:lang w:val="es-ES"/>
        </w:rPr>
      </w:pPr>
      <w:bookmarkStart w:id="1" w:name="_Hlk135067441"/>
      <w:r w:rsidRPr="000B43B3">
        <w:rPr>
          <w:rFonts w:ascii="Verdana" w:hAnsi="Verdana" w:cs="Arial"/>
          <w:bCs/>
        </w:rPr>
        <w:t xml:space="preserve">En ejercicio de las competencias de los artículos 3.5 y 11.8 del Decreto Ley 4170 de 2011, la Agencia Nacional de Contratación Pública – Colombia Compra Eficiente resuelve consultas sobre </w:t>
      </w:r>
      <w:r w:rsidRPr="000B43B3">
        <w:rPr>
          <w:rFonts w:ascii="Verdana" w:hAnsi="Verdana" w:cs="Arial"/>
          <w:lang w:val="es-E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0B43B3">
        <w:rPr>
          <w:rFonts w:ascii="Verdana" w:hAnsi="Verdana" w:cs="Arial"/>
          <w:bCs/>
        </w:rPr>
        <w:t xml:space="preserve"> de todos los partícipes de la contratación estatal.</w:t>
      </w:r>
    </w:p>
    <w:p w14:paraId="109D931F" w14:textId="77777777" w:rsidR="002D5DFC" w:rsidRPr="000B43B3" w:rsidRDefault="002D5DFC" w:rsidP="002D5DFC">
      <w:pPr>
        <w:spacing w:after="120" w:line="276" w:lineRule="auto"/>
        <w:ind w:firstLine="708"/>
        <w:jc w:val="both"/>
        <w:rPr>
          <w:rFonts w:ascii="Verdana" w:hAnsi="Verdana" w:cs="Arial"/>
          <w:lang w:val="es-ES"/>
        </w:rPr>
      </w:pPr>
      <w:r w:rsidRPr="000B43B3">
        <w:rPr>
          <w:rFonts w:ascii="Verdana" w:hAnsi="Verdana"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0B43B3">
        <w:rPr>
          <w:rFonts w:ascii="Verdana" w:hAnsi="Verdana" w:cs="Arial"/>
          <w:vertAlign w:val="superscript"/>
          <w:lang w:val="es-ES"/>
        </w:rPr>
        <w:footnoteReference w:id="2"/>
      </w:r>
      <w:r w:rsidRPr="000B43B3">
        <w:rPr>
          <w:rFonts w:ascii="Verdana" w:hAnsi="Verdana" w:cs="Arial"/>
          <w:lang w:val="es-ES"/>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10320261" w14:textId="0FFA796F" w:rsidR="001918F1" w:rsidRDefault="002D5DFC" w:rsidP="00B92624">
      <w:pPr>
        <w:spacing w:after="0" w:line="276" w:lineRule="auto"/>
        <w:ind w:firstLine="708"/>
        <w:jc w:val="both"/>
        <w:rPr>
          <w:rFonts w:ascii="Verdana" w:eastAsia="Calibri" w:hAnsi="Verdana" w:cs="Arial"/>
          <w:lang w:val="es-ES" w:eastAsia="es-ES"/>
        </w:rPr>
      </w:pPr>
      <w:r w:rsidRPr="000B43B3">
        <w:rPr>
          <w:rFonts w:ascii="Verdana" w:hAnsi="Verdana" w:cs="Arial"/>
          <w:bCs/>
          <w:color w:val="1A1A1A" w:themeColor="background1" w:themeShade="1A"/>
        </w:rPr>
        <w:t xml:space="preserve">Para efectos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0B43B3">
        <w:rPr>
          <w:rFonts w:ascii="Verdana" w:eastAsia="Calibri" w:hAnsi="Verdana" w:cs="Arial"/>
          <w:lang w:val="es-ES"/>
        </w:rPr>
        <w:t xml:space="preserve">En este contexto, </w:t>
      </w:r>
      <w:r w:rsidRPr="000B43B3">
        <w:rPr>
          <w:rFonts w:ascii="Verdana" w:hAnsi="Verdana" w:cs="Arial"/>
          <w:bCs/>
          <w:color w:val="1A1A1A" w:themeColor="background1" w:themeShade="1A"/>
        </w:rPr>
        <w:t xml:space="preserve">lo decidido en torno </w:t>
      </w:r>
      <w:r>
        <w:rPr>
          <w:rFonts w:ascii="Verdana" w:hAnsi="Verdana" w:cs="Arial"/>
          <w:bCs/>
          <w:color w:val="1A1A1A" w:themeColor="background1" w:themeShade="1A"/>
        </w:rPr>
        <w:t xml:space="preserve">a los procesos disciplinarios </w:t>
      </w:r>
      <w:r>
        <w:rPr>
          <w:rFonts w:ascii="Verdana" w:eastAsia="Calibri" w:hAnsi="Verdana" w:cs="Arial"/>
          <w:lang w:val="es-ES" w:eastAsia="es-ES"/>
        </w:rPr>
        <w:t>de los expedientes IUS-E-2024-582035 y IUC-D-2024-3824041</w:t>
      </w:r>
      <w:r w:rsidRPr="000B43B3">
        <w:rPr>
          <w:rFonts w:ascii="Verdana" w:hAnsi="Verdana" w:cs="Arial"/>
          <w:color w:val="000000" w:themeColor="text1"/>
          <w:lang w:val="es-ES_tradnl"/>
        </w:rPr>
        <w:t xml:space="preserve"> </w:t>
      </w:r>
      <w:r>
        <w:rPr>
          <w:rFonts w:ascii="Verdana" w:hAnsi="Verdana" w:cs="Arial"/>
          <w:color w:val="000000" w:themeColor="text1"/>
          <w:lang w:val="es-ES_tradnl"/>
        </w:rPr>
        <w:t>son</w:t>
      </w:r>
      <w:r w:rsidRPr="000B43B3">
        <w:rPr>
          <w:rFonts w:ascii="Verdana" w:hAnsi="Verdana" w:cs="Arial"/>
          <w:color w:val="000000" w:themeColor="text1"/>
          <w:lang w:val="es-ES_tradnl"/>
        </w:rPr>
        <w:t xml:space="preserve"> responsabilidad única y exclusiva de la </w:t>
      </w:r>
      <w:r>
        <w:rPr>
          <w:rFonts w:ascii="Verdana" w:eastAsia="Calibri" w:hAnsi="Verdana" w:cs="Arial"/>
          <w:lang w:val="es-ES" w:eastAsia="es-ES"/>
        </w:rPr>
        <w:t>Procuraduría General de la Nación</w:t>
      </w:r>
      <w:r w:rsidRPr="000B43B3">
        <w:rPr>
          <w:rFonts w:ascii="Verdana" w:eastAsia="Calibri" w:hAnsi="Verdana" w:cs="Arial"/>
          <w:bCs/>
          <w:lang w:eastAsia="es-ES_tradnl"/>
        </w:rPr>
        <w:t xml:space="preserve">. </w:t>
      </w:r>
      <w:bookmarkEnd w:id="1"/>
      <w:r w:rsidRPr="000B43B3">
        <w:rPr>
          <w:rFonts w:ascii="Verdana" w:eastAsia="Calibri" w:hAnsi="Verdana" w:cs="Arial"/>
        </w:rPr>
        <w:t xml:space="preserve">Sin perjuicio de lo anterior, </w:t>
      </w:r>
      <w:r w:rsidRPr="000B43B3">
        <w:rPr>
          <w:rFonts w:ascii="Verdana" w:eastAsia="Calibri" w:hAnsi="Verdana" w:cs="Arial"/>
          <w:lang w:val="es-ES"/>
        </w:rPr>
        <w:t xml:space="preserve">la Agencia –dentro de los límites de sus atribuciones, esto es, al margen de las conductas </w:t>
      </w:r>
      <w:r w:rsidRPr="000B43B3">
        <w:rPr>
          <w:rFonts w:ascii="Verdana" w:eastAsia="Calibri" w:hAnsi="Verdana" w:cs="Arial"/>
          <w:lang w:val="es-ES"/>
        </w:rPr>
        <w:lastRenderedPageBreak/>
        <w:t xml:space="preserve">investigadas en </w:t>
      </w:r>
      <w:r>
        <w:rPr>
          <w:rFonts w:ascii="Verdana" w:eastAsia="Calibri" w:hAnsi="Verdana" w:cs="Arial"/>
          <w:lang w:val="es-ES"/>
        </w:rPr>
        <w:t xml:space="preserve">los </w:t>
      </w:r>
      <w:r w:rsidRPr="000B43B3">
        <w:rPr>
          <w:rFonts w:ascii="Verdana" w:eastAsia="Calibri" w:hAnsi="Verdana" w:cs="Arial"/>
          <w:lang w:val="es-ES"/>
        </w:rPr>
        <w:t>expediente</w:t>
      </w:r>
      <w:r>
        <w:rPr>
          <w:rFonts w:ascii="Verdana" w:eastAsia="Calibri" w:hAnsi="Verdana" w:cs="Arial"/>
          <w:lang w:val="es-ES"/>
        </w:rPr>
        <w:t>s</w:t>
      </w:r>
      <w:r w:rsidRPr="000B43B3">
        <w:rPr>
          <w:rFonts w:ascii="Verdana" w:eastAsia="Calibri" w:hAnsi="Verdana" w:cs="Arial"/>
          <w:lang w:val="es-ES"/>
        </w:rPr>
        <w:t xml:space="preserve"> anteriormente citado</w:t>
      </w:r>
      <w:r>
        <w:rPr>
          <w:rFonts w:ascii="Verdana" w:eastAsia="Calibri" w:hAnsi="Verdana" w:cs="Arial"/>
          <w:lang w:val="es-ES"/>
        </w:rPr>
        <w:t>s</w:t>
      </w:r>
      <w:r w:rsidRPr="000B43B3">
        <w:rPr>
          <w:rFonts w:ascii="Verdana" w:eastAsia="Calibri" w:hAnsi="Verdana" w:cs="Arial"/>
          <w:lang w:val="es-ES"/>
        </w:rPr>
        <w:t>– resolverá la consulta conforme a las normas generales del sistema de compras públicas</w:t>
      </w:r>
      <w:r>
        <w:rPr>
          <w:rFonts w:ascii="Verdana" w:eastAsia="Calibri" w:hAnsi="Verdana" w:cs="Arial"/>
          <w:lang w:val="es-ES"/>
        </w:rPr>
        <w:t>.</w:t>
      </w:r>
      <w:r w:rsidRPr="000B43B3">
        <w:rPr>
          <w:rFonts w:ascii="Verdana" w:eastAsia="Calibri" w:hAnsi="Verdana" w:cs="Arial"/>
          <w:lang w:val="es-ES" w:eastAsia="es-ES"/>
        </w:rPr>
        <w:t xml:space="preserve"> </w:t>
      </w:r>
    </w:p>
    <w:p w14:paraId="1C421044" w14:textId="77777777" w:rsidR="00B92624" w:rsidRPr="00B92624" w:rsidRDefault="00B92624" w:rsidP="00B92624">
      <w:pPr>
        <w:spacing w:after="0" w:line="276" w:lineRule="auto"/>
        <w:ind w:firstLine="708"/>
        <w:jc w:val="both"/>
        <w:rPr>
          <w:rFonts w:ascii="Verdana" w:eastAsia="Calibri" w:hAnsi="Verdana" w:cs="Arial"/>
          <w:lang w:val="es-ES" w:eastAsia="es-ES"/>
        </w:rPr>
      </w:pPr>
    </w:p>
    <w:p w14:paraId="1DF0C9FE" w14:textId="2DECEADA" w:rsidR="00E84D1C" w:rsidRPr="00593A5F" w:rsidRDefault="00E84D1C" w:rsidP="00E84D1C">
      <w:pPr>
        <w:pStyle w:val="Prrafodelista"/>
        <w:numPr>
          <w:ilvl w:val="0"/>
          <w:numId w:val="1"/>
        </w:numPr>
        <w:tabs>
          <w:tab w:val="left" w:pos="142"/>
          <w:tab w:val="left" w:pos="284"/>
        </w:tabs>
        <w:spacing w:line="276" w:lineRule="auto"/>
        <w:ind w:left="0" w:firstLine="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Problema planteado:</w:t>
      </w:r>
    </w:p>
    <w:p w14:paraId="3981D497" w14:textId="77777777" w:rsidR="00E84D1C" w:rsidRPr="00593A5F" w:rsidRDefault="00E84D1C" w:rsidP="00E84D1C">
      <w:pPr>
        <w:tabs>
          <w:tab w:val="left" w:pos="426"/>
        </w:tabs>
        <w:spacing w:after="0" w:line="276" w:lineRule="auto"/>
        <w:jc w:val="both"/>
        <w:rPr>
          <w:rFonts w:ascii="Verdana" w:eastAsia="Century Gothic" w:hAnsi="Verdana" w:cs="Century Gothic"/>
          <w:lang w:val="es-ES"/>
        </w:rPr>
      </w:pPr>
    </w:p>
    <w:p w14:paraId="348E2D36" w14:textId="1EF2A37F" w:rsidR="00E84D1C" w:rsidRPr="00593A5F" w:rsidRDefault="008F27E3" w:rsidP="00E84D1C">
      <w:pPr>
        <w:spacing w:after="0" w:line="276" w:lineRule="auto"/>
        <w:jc w:val="both"/>
        <w:rPr>
          <w:rFonts w:ascii="Verdana" w:eastAsia="Century Gothic" w:hAnsi="Verdana" w:cs="Century Gothic"/>
        </w:rPr>
      </w:pPr>
      <w:r>
        <w:rPr>
          <w:rFonts w:ascii="Verdana" w:eastAsia="Century Gothic" w:hAnsi="Verdana" w:cs="Century Gothic"/>
        </w:rPr>
        <w:t>D</w:t>
      </w:r>
      <w:r w:rsidR="00343B47">
        <w:rPr>
          <w:rFonts w:ascii="Verdana" w:eastAsia="Century Gothic" w:hAnsi="Verdana" w:cs="Century Gothic"/>
        </w:rPr>
        <w:t xml:space="preserve">e acuerdo con el contenido de </w:t>
      </w:r>
      <w:r w:rsidR="00FC6D4E" w:rsidRPr="00593A5F">
        <w:rPr>
          <w:rFonts w:ascii="Verdana" w:eastAsia="Century Gothic" w:hAnsi="Verdana" w:cs="Century Gothic"/>
        </w:rPr>
        <w:t xml:space="preserve">su solicitud, esta Agencia resolverá </w:t>
      </w:r>
      <w:r w:rsidR="00F12E64">
        <w:rPr>
          <w:rFonts w:ascii="Verdana" w:eastAsia="Century Gothic" w:hAnsi="Verdana" w:cs="Century Gothic"/>
        </w:rPr>
        <w:t>el</w:t>
      </w:r>
      <w:r w:rsidR="00D86D55" w:rsidRPr="00593A5F">
        <w:rPr>
          <w:rFonts w:ascii="Verdana" w:eastAsia="Century Gothic" w:hAnsi="Verdana" w:cs="Century Gothic"/>
        </w:rPr>
        <w:t xml:space="preserve"> </w:t>
      </w:r>
      <w:r w:rsidR="00FC6D4E" w:rsidRPr="00593A5F">
        <w:rPr>
          <w:rFonts w:ascii="Verdana" w:eastAsia="Century Gothic" w:hAnsi="Verdana" w:cs="Century Gothic"/>
        </w:rPr>
        <w:t xml:space="preserve">siguiente problema jurídico: </w:t>
      </w:r>
      <w:r w:rsidR="002D5DFC">
        <w:rPr>
          <w:rFonts w:ascii="Verdana" w:eastAsia="Century Gothic" w:hAnsi="Verdana" w:cs="Century Gothic"/>
        </w:rPr>
        <w:t>¿cuál es el marco jurídico de la capacidad de los proponentes plurales en el sistema de compras públicas</w:t>
      </w:r>
      <w:r w:rsidR="00411593">
        <w:rPr>
          <w:rFonts w:ascii="Verdana" w:eastAsia="Century Gothic" w:hAnsi="Verdana" w:cs="Century Gothic"/>
        </w:rPr>
        <w:t>?</w:t>
      </w:r>
      <w:r w:rsidR="001350C8">
        <w:rPr>
          <w:rFonts w:ascii="Verdana" w:eastAsia="Century Gothic" w:hAnsi="Verdana" w:cs="Century Gothic"/>
        </w:rPr>
        <w:t xml:space="preserve">   </w:t>
      </w:r>
      <w:r w:rsidR="006E0443">
        <w:rPr>
          <w:rFonts w:ascii="Verdana" w:eastAsia="Century Gothic" w:hAnsi="Verdana" w:cs="Century Gothic"/>
        </w:rPr>
        <w:t xml:space="preserve"> </w:t>
      </w:r>
      <w:r w:rsidR="00FB5FC4">
        <w:rPr>
          <w:rFonts w:ascii="Verdana" w:eastAsia="Century Gothic" w:hAnsi="Verdana" w:cs="Century Gothic"/>
        </w:rPr>
        <w:t xml:space="preserve"> </w:t>
      </w:r>
      <w:r w:rsidR="004C4EA2">
        <w:rPr>
          <w:rFonts w:ascii="Verdana" w:eastAsia="Century Gothic" w:hAnsi="Verdana" w:cs="Century Gothic"/>
        </w:rPr>
        <w:t xml:space="preserve"> </w:t>
      </w:r>
      <w:r w:rsidR="008F3AC3">
        <w:rPr>
          <w:rFonts w:ascii="Verdana" w:eastAsia="Century Gothic" w:hAnsi="Verdana" w:cs="Century Gothic"/>
        </w:rPr>
        <w:t xml:space="preserve"> </w:t>
      </w:r>
      <w:r w:rsidR="00A83E49" w:rsidRPr="00C00976">
        <w:rPr>
          <w:rFonts w:ascii="Verdana" w:eastAsia="Century Gothic" w:hAnsi="Verdana" w:cs="Century Gothic"/>
          <w:color w:val="7030A0"/>
        </w:rPr>
        <w:t xml:space="preserve"> </w:t>
      </w:r>
    </w:p>
    <w:p w14:paraId="31CA4CF9" w14:textId="77777777" w:rsidR="00E84D1C" w:rsidRPr="004B140F" w:rsidRDefault="00E84D1C" w:rsidP="00E84D1C">
      <w:pPr>
        <w:spacing w:after="0" w:line="276" w:lineRule="auto"/>
        <w:jc w:val="both"/>
        <w:rPr>
          <w:rFonts w:ascii="Verdana" w:eastAsia="Calibri" w:hAnsi="Verdana" w:cs="Arial"/>
          <w:color w:val="7030A0"/>
        </w:rPr>
      </w:pPr>
    </w:p>
    <w:p w14:paraId="74205EE3" w14:textId="6187963D" w:rsidR="00E84D1C" w:rsidRPr="00593A5F" w:rsidRDefault="00E84D1C"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Respuesta:</w:t>
      </w:r>
    </w:p>
    <w:p w14:paraId="4FCBB89E" w14:textId="1BF4BDFA" w:rsidR="00E84D1C" w:rsidRPr="00593A5F" w:rsidRDefault="00E84D1C" w:rsidP="00E84D1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4D1C" w:rsidRPr="00593A5F" w14:paraId="0E1945DC" w14:textId="77777777" w:rsidTr="006E429F">
        <w:trPr>
          <w:jc w:val="center"/>
        </w:trPr>
        <w:tc>
          <w:tcPr>
            <w:tcW w:w="8828" w:type="dxa"/>
            <w:shd w:val="clear" w:color="auto" w:fill="auto"/>
          </w:tcPr>
          <w:p w14:paraId="73A9FCB8" w14:textId="04504FDA" w:rsidR="001F1E9D" w:rsidRDefault="001F1E9D" w:rsidP="001B3B84">
            <w:pPr>
              <w:spacing w:after="120" w:line="276" w:lineRule="auto"/>
              <w:jc w:val="both"/>
              <w:rPr>
                <w:rFonts w:ascii="Verdana" w:hAnsi="Verdana" w:cs="Arial"/>
                <w:color w:val="000000" w:themeColor="text1"/>
              </w:rPr>
            </w:pPr>
            <w:bookmarkStart w:id="2" w:name="_Hlk171694685"/>
            <w:r>
              <w:rPr>
                <w:rFonts w:ascii="Verdana" w:eastAsia="Calibri" w:hAnsi="Verdana" w:cs="Arial"/>
                <w:lang w:val="es-ES"/>
              </w:rPr>
              <w:t>E</w:t>
            </w:r>
            <w:r w:rsidRPr="00065C6D">
              <w:rPr>
                <w:rFonts w:ascii="Verdana" w:eastAsia="Calibri" w:hAnsi="Verdana" w:cs="Arial"/>
                <w:lang w:val="es-ES"/>
              </w:rPr>
              <w:t xml:space="preserve">l consorcio o la unión temporal surge “Cuando dos o más personas en forma conjunta presentan una misma propuesta para la adjudicación, celebración y ejecución de un contrato […]”. Desde esta perspectiva, </w:t>
            </w:r>
            <w:r>
              <w:rPr>
                <w:rFonts w:ascii="Verdana" w:eastAsia="Calibri" w:hAnsi="Verdana" w:cs="Arial"/>
                <w:lang w:val="es-ES"/>
              </w:rPr>
              <w:t xml:space="preserve">su </w:t>
            </w:r>
            <w:r w:rsidRPr="00065C6D">
              <w:rPr>
                <w:rFonts w:ascii="Verdana" w:eastAsia="Calibri" w:hAnsi="Verdana" w:cs="Arial"/>
                <w:lang w:val="es-ES"/>
              </w:rPr>
              <w:t>capacidad jurídica se limita al campo de la contratación estatal de las entidades sometidas al EGCAP, es decir, a las relaciones en consorcios y las uniones temporales con las entidades estatales del artículo 2 de la Ley 80 de 1993.</w:t>
            </w:r>
            <w:r w:rsidR="0074173A">
              <w:rPr>
                <w:rFonts w:ascii="Verdana" w:eastAsia="Calibri" w:hAnsi="Verdana" w:cs="Arial"/>
                <w:lang w:val="es-ES"/>
              </w:rPr>
              <w:t xml:space="preserve"> </w:t>
            </w:r>
            <w:r>
              <w:rPr>
                <w:rFonts w:ascii="Verdana" w:eastAsia="Calibri" w:hAnsi="Verdana" w:cs="Arial"/>
                <w:lang w:val="es-ES" w:eastAsia="es-ES"/>
              </w:rPr>
              <w:t xml:space="preserve">Así, </w:t>
            </w:r>
            <w:r w:rsidR="0074173A">
              <w:rPr>
                <w:rFonts w:ascii="Verdana" w:eastAsia="Calibri" w:hAnsi="Verdana" w:cs="Arial"/>
                <w:lang w:val="es-ES" w:eastAsia="es-ES"/>
              </w:rPr>
              <w:t>l</w:t>
            </w:r>
            <w:r>
              <w:rPr>
                <w:rFonts w:ascii="Verdana" w:hAnsi="Verdana" w:cs="Arial"/>
                <w:color w:val="000000" w:themeColor="text1"/>
              </w:rPr>
              <w:t xml:space="preserve">as personas que conforman proponentes plurales pueden presentar </w:t>
            </w:r>
            <w:r w:rsidRPr="00B33BA7">
              <w:rPr>
                <w:rFonts w:ascii="Verdana" w:hAnsi="Verdana" w:cs="Arial"/>
                <w:color w:val="000000" w:themeColor="text1"/>
              </w:rPr>
              <w:t>en forma conjunta una misma propuesta para la adjudicación, celebración y ejecución d</w:t>
            </w:r>
            <w:r>
              <w:rPr>
                <w:rFonts w:ascii="Verdana" w:hAnsi="Verdana" w:cs="Arial"/>
                <w:color w:val="000000" w:themeColor="text1"/>
              </w:rPr>
              <w:t xml:space="preserve">e contratos estatales con </w:t>
            </w:r>
            <w:r w:rsidRPr="008706A7">
              <w:rPr>
                <w:rFonts w:ascii="Verdana" w:hAnsi="Verdana" w:cs="Arial"/>
                <w:i/>
                <w:iCs/>
                <w:color w:val="000000" w:themeColor="text1"/>
              </w:rPr>
              <w:t>una o varias</w:t>
            </w:r>
            <w:r>
              <w:rPr>
                <w:rFonts w:ascii="Verdana" w:hAnsi="Verdana" w:cs="Arial"/>
                <w:color w:val="000000" w:themeColor="text1"/>
              </w:rPr>
              <w:t xml:space="preserve"> de las entidades descritas en la norma precitada. Dichas ofertas serán analizadas de acuerdo con los criterios habilitantes y factores de evaluación del pliego de condiciones o documento equivalente, en el marco de las reglas previstas en el Estatuto General de Contratación, sus normas complementarias y los reglamentos respectivos.</w:t>
            </w:r>
            <w:r w:rsidR="001B3B84">
              <w:rPr>
                <w:rFonts w:ascii="Verdana" w:hAnsi="Verdana" w:cs="Arial"/>
                <w:color w:val="000000" w:themeColor="text1"/>
              </w:rPr>
              <w:t xml:space="preserve"> El proponente plural debe estar debidamente constituido dentro de cada uno de los procesos en que desee presentarse, sin perjuicio de cumplir con las condiciones de uso del SECOP II en los procesos que se gestionan de manera transaccional.</w:t>
            </w:r>
          </w:p>
          <w:p w14:paraId="073EC507" w14:textId="79BCF88B" w:rsidR="0074173A" w:rsidRPr="0074173A" w:rsidRDefault="0074173A" w:rsidP="0074173A">
            <w:pPr>
              <w:spacing w:line="276" w:lineRule="auto"/>
              <w:ind w:firstLine="708"/>
              <w:jc w:val="both"/>
              <w:rPr>
                <w:rFonts w:ascii="Verdana" w:hAnsi="Verdana" w:cs="Arial"/>
                <w:color w:val="000000" w:themeColor="text1"/>
              </w:rPr>
            </w:pP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disciplinaria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w:t>
            </w:r>
            <w:r>
              <w:rPr>
                <w:rFonts w:ascii="Verdana" w:hAnsi="Verdana" w:cs="Arial"/>
                <w:color w:val="000000" w:themeColor="text1"/>
              </w:rPr>
              <w:t xml:space="preserve">. Por tanto, </w:t>
            </w:r>
            <w:r w:rsidRPr="00C35305">
              <w:rPr>
                <w:rFonts w:ascii="Verdana" w:hAnsi="Verdana" w:cs="Arial"/>
                <w:color w:val="000000" w:themeColor="text1"/>
              </w:rPr>
              <w:t>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tc>
      </w:tr>
    </w:tbl>
    <w:p w14:paraId="1728E2BC" w14:textId="77777777" w:rsidR="00E84D1C" w:rsidRPr="00593A5F" w:rsidRDefault="00E84D1C" w:rsidP="00E84D1C">
      <w:pPr>
        <w:tabs>
          <w:tab w:val="left" w:pos="142"/>
          <w:tab w:val="left" w:pos="284"/>
        </w:tabs>
        <w:spacing w:after="0" w:line="276" w:lineRule="auto"/>
        <w:jc w:val="both"/>
        <w:rPr>
          <w:rFonts w:ascii="Verdana" w:eastAsia="Century Gothic" w:hAnsi="Verdana" w:cs="Century Gothic"/>
          <w:b/>
          <w:bCs/>
          <w:lang w:val="es-ES"/>
        </w:rPr>
      </w:pPr>
    </w:p>
    <w:bookmarkEnd w:id="2"/>
    <w:p w14:paraId="7BD5B662" w14:textId="6C31270E" w:rsidR="00E84D1C" w:rsidRPr="00593A5F" w:rsidRDefault="00071AB8"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Razones de la respuesta</w:t>
      </w:r>
      <w:r w:rsidR="00E84D1C" w:rsidRPr="00593A5F">
        <w:rPr>
          <w:rFonts w:ascii="Verdana" w:eastAsia="Century Gothic" w:hAnsi="Verdana" w:cs="Century Gothic"/>
          <w:b/>
          <w:bCs/>
          <w:sz w:val="22"/>
          <w:lang w:val="es-ES"/>
        </w:rPr>
        <w:t>:</w:t>
      </w:r>
    </w:p>
    <w:p w14:paraId="267A31E4" w14:textId="77777777" w:rsidR="00FB5FC4" w:rsidRPr="00593A5F" w:rsidRDefault="00FB5FC4" w:rsidP="00E84D1C">
      <w:pPr>
        <w:spacing w:after="0" w:line="276" w:lineRule="auto"/>
        <w:jc w:val="both"/>
        <w:rPr>
          <w:rFonts w:ascii="Verdana" w:eastAsia="Calibri" w:hAnsi="Verdana" w:cs="Arial"/>
          <w:color w:val="7030A0"/>
          <w:lang w:val="es-ES"/>
        </w:rPr>
      </w:pPr>
    </w:p>
    <w:p w14:paraId="1534F15C" w14:textId="77777777" w:rsidR="0025575F" w:rsidRDefault="00C00976" w:rsidP="00E84D1C">
      <w:pPr>
        <w:spacing w:after="0" w:line="276" w:lineRule="auto"/>
        <w:jc w:val="both"/>
        <w:rPr>
          <w:rFonts w:ascii="Verdana" w:eastAsia="Calibri" w:hAnsi="Verdana" w:cs="Arial"/>
          <w:lang w:val="es-ES"/>
        </w:rPr>
      </w:pPr>
      <w:r w:rsidRPr="00B96799">
        <w:rPr>
          <w:rFonts w:ascii="Verdana" w:eastAsia="Calibri" w:hAnsi="Verdana" w:cs="Arial"/>
          <w:lang w:val="es-ES"/>
        </w:rPr>
        <w:t>L</w:t>
      </w:r>
      <w:r w:rsidR="00D5798B" w:rsidRPr="00B96799">
        <w:rPr>
          <w:rFonts w:ascii="Verdana" w:eastAsia="Calibri" w:hAnsi="Verdana" w:cs="Arial"/>
          <w:lang w:val="es-ES"/>
        </w:rPr>
        <w:t>o</w:t>
      </w:r>
      <w:r w:rsidRPr="00B96799">
        <w:rPr>
          <w:rFonts w:ascii="Verdana" w:eastAsia="Calibri" w:hAnsi="Verdana" w:cs="Arial"/>
          <w:lang w:val="es-ES"/>
        </w:rPr>
        <w:t xml:space="preserve"> anterior</w:t>
      </w:r>
      <w:r w:rsidR="00F95CCE" w:rsidRPr="00B96799">
        <w:rPr>
          <w:rFonts w:ascii="Verdana" w:eastAsia="Calibri" w:hAnsi="Verdana" w:cs="Arial"/>
          <w:lang w:val="es-ES"/>
        </w:rPr>
        <w:t xml:space="preserve"> </w:t>
      </w:r>
      <w:r w:rsidR="00E84D1C" w:rsidRPr="00B96799">
        <w:rPr>
          <w:rFonts w:ascii="Verdana" w:eastAsia="Calibri" w:hAnsi="Verdana" w:cs="Arial"/>
          <w:lang w:val="es-ES"/>
        </w:rPr>
        <w:t xml:space="preserve">se </w:t>
      </w:r>
      <w:r w:rsidRPr="00B96799">
        <w:rPr>
          <w:rFonts w:ascii="Verdana" w:eastAsia="Calibri" w:hAnsi="Verdana" w:cs="Arial"/>
          <w:lang w:val="es-ES"/>
        </w:rPr>
        <w:t xml:space="preserve">sustenta en </w:t>
      </w:r>
      <w:r w:rsidR="00E84D1C" w:rsidRPr="00B96799">
        <w:rPr>
          <w:rFonts w:ascii="Verdana" w:eastAsia="Calibri" w:hAnsi="Verdana" w:cs="Arial"/>
          <w:lang w:val="es-ES"/>
        </w:rPr>
        <w:t>las siguientes consideraciones:</w:t>
      </w:r>
    </w:p>
    <w:p w14:paraId="71802283" w14:textId="77777777" w:rsidR="0025575F" w:rsidRDefault="0025575F" w:rsidP="00E84D1C">
      <w:pPr>
        <w:spacing w:after="0" w:line="276" w:lineRule="auto"/>
        <w:jc w:val="both"/>
        <w:rPr>
          <w:rFonts w:ascii="Verdana" w:eastAsia="Calibri" w:hAnsi="Verdana" w:cs="Arial"/>
          <w:lang w:val="es-ES"/>
        </w:rPr>
      </w:pPr>
    </w:p>
    <w:p w14:paraId="19EBFFEB" w14:textId="77777777" w:rsidR="00B33BA7" w:rsidRPr="008A4AEC" w:rsidRDefault="00B33BA7" w:rsidP="00B33BA7">
      <w:pPr>
        <w:spacing w:after="120" w:line="276" w:lineRule="auto"/>
        <w:jc w:val="both"/>
        <w:rPr>
          <w:rFonts w:ascii="Verdana" w:eastAsia="Calibri" w:hAnsi="Verdana" w:cs="Arial"/>
          <w:lang w:val="es-MX"/>
        </w:rPr>
      </w:pPr>
      <w:r w:rsidRPr="008A4AEC">
        <w:rPr>
          <w:rFonts w:ascii="Verdana" w:hAnsi="Verdana" w:cs="Arial"/>
          <w:lang w:val="es-ES_tradnl"/>
        </w:rPr>
        <w:t xml:space="preserve">Si bien las personas pueden presentarse individualmente a los procesos de selección, también pueden hacerlo en forma plural a través de consorcios o uniones temporales. En efecto, </w:t>
      </w:r>
      <w:r w:rsidRPr="008A4AEC">
        <w:rPr>
          <w:rFonts w:ascii="Verdana" w:eastAsia="Calibri" w:hAnsi="Verdana" w:cs="Arial"/>
          <w:lang w:val="es-MX"/>
        </w:rPr>
        <w:t>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0DC5ABF9" w14:textId="77777777" w:rsidR="00B33BA7" w:rsidRPr="008A4AEC" w:rsidRDefault="00B33BA7" w:rsidP="00B33BA7">
      <w:pPr>
        <w:spacing w:after="0" w:line="276" w:lineRule="auto"/>
        <w:ind w:firstLine="720"/>
        <w:jc w:val="both"/>
        <w:rPr>
          <w:rFonts w:ascii="Verdana" w:eastAsia="Calibri" w:hAnsi="Verdana" w:cs="Arial"/>
          <w:bCs/>
          <w:color w:val="000000" w:themeColor="text1"/>
          <w:lang w:val="es-ES"/>
        </w:rPr>
      </w:pPr>
      <w:r w:rsidRPr="008A4AEC">
        <w:rPr>
          <w:rFonts w:ascii="Verdana" w:eastAsia="Calibri" w:hAnsi="Verdana" w:cs="Arial"/>
          <w:bCs/>
          <w:color w:val="000000" w:themeColor="text1"/>
          <w:lang w:val="es-ES"/>
        </w:rPr>
        <w:t>La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73631B83" w14:textId="77777777" w:rsidR="00B33BA7" w:rsidRPr="008A4AEC" w:rsidRDefault="00B33BA7" w:rsidP="00B33BA7">
      <w:pPr>
        <w:spacing w:after="0" w:line="276" w:lineRule="auto"/>
        <w:jc w:val="both"/>
        <w:rPr>
          <w:rFonts w:ascii="Verdana" w:eastAsia="Calibri" w:hAnsi="Verdana" w:cs="Arial"/>
          <w:bCs/>
          <w:color w:val="000000" w:themeColor="text1"/>
          <w:lang w:val="es-ES"/>
        </w:rPr>
      </w:pPr>
    </w:p>
    <w:p w14:paraId="3C23694D" w14:textId="77777777" w:rsidR="00B33BA7" w:rsidRPr="008A4AEC" w:rsidRDefault="00B33BA7" w:rsidP="00B33BA7">
      <w:pPr>
        <w:spacing w:after="0" w:line="240" w:lineRule="auto"/>
        <w:ind w:left="709" w:right="709"/>
        <w:jc w:val="both"/>
        <w:rPr>
          <w:rFonts w:ascii="Verdana" w:eastAsia="Calibri" w:hAnsi="Verdana" w:cs="Arial"/>
          <w:bCs/>
          <w:color w:val="000000" w:themeColor="text1"/>
          <w:sz w:val="21"/>
          <w:szCs w:val="21"/>
        </w:rPr>
      </w:pPr>
      <w:r w:rsidRPr="008A4AEC">
        <w:rPr>
          <w:rFonts w:ascii="Verdana" w:eastAsia="Calibri" w:hAnsi="Verdana" w:cs="Arial"/>
          <w:bCs/>
          <w:color w:val="000000" w:themeColor="text1"/>
          <w:sz w:val="21"/>
          <w:szCs w:val="21"/>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358B7A6D" w14:textId="77777777" w:rsidR="00B33BA7" w:rsidRPr="008A4AEC" w:rsidRDefault="00B33BA7" w:rsidP="00B33BA7">
      <w:pPr>
        <w:spacing w:after="120" w:line="240" w:lineRule="auto"/>
        <w:ind w:left="709" w:right="709"/>
        <w:jc w:val="both"/>
        <w:rPr>
          <w:rFonts w:ascii="Verdana" w:eastAsia="Calibri" w:hAnsi="Verdana" w:cs="Arial"/>
          <w:bCs/>
          <w:color w:val="000000" w:themeColor="text1"/>
          <w:sz w:val="21"/>
          <w:szCs w:val="21"/>
        </w:rPr>
      </w:pPr>
      <w:r w:rsidRPr="008A4AEC">
        <w:rPr>
          <w:rFonts w:ascii="Verdana" w:eastAsia="Calibri" w:hAnsi="Verdana" w:cs="Arial"/>
          <w:bCs/>
          <w:color w:val="000000" w:themeColor="text1"/>
          <w:sz w:val="21"/>
          <w:szCs w:val="21"/>
        </w:rPr>
        <w:t>[…]</w:t>
      </w:r>
    </w:p>
    <w:p w14:paraId="42E47E11" w14:textId="77777777" w:rsidR="00B33BA7" w:rsidRPr="008A4AEC" w:rsidRDefault="00B33BA7" w:rsidP="00B33BA7">
      <w:pPr>
        <w:spacing w:after="0" w:line="240" w:lineRule="auto"/>
        <w:ind w:left="709" w:right="709"/>
        <w:jc w:val="both"/>
        <w:rPr>
          <w:rFonts w:ascii="Verdana" w:eastAsia="Calibri" w:hAnsi="Verdana" w:cs="Arial"/>
          <w:bCs/>
          <w:color w:val="000000" w:themeColor="text1"/>
          <w:sz w:val="21"/>
          <w:szCs w:val="21"/>
        </w:rPr>
      </w:pPr>
      <w:r w:rsidRPr="008A4AEC">
        <w:rPr>
          <w:rFonts w:ascii="Verdana" w:eastAsia="Calibri" w:hAnsi="Verdana" w:cs="Arial"/>
          <w:bCs/>
          <w:color w:val="000000" w:themeColor="text1"/>
          <w:sz w:val="21"/>
          <w:szCs w:val="21"/>
        </w:rPr>
        <w:lastRenderedPageBreak/>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8A4AEC">
        <w:rPr>
          <w:rStyle w:val="Refdenotaalpie"/>
          <w:rFonts w:ascii="Verdana" w:eastAsia="Calibri" w:hAnsi="Verdana" w:cs="Arial"/>
          <w:bCs/>
          <w:color w:val="000000" w:themeColor="text1"/>
          <w:sz w:val="21"/>
          <w:szCs w:val="21"/>
        </w:rPr>
        <w:footnoteReference w:id="3"/>
      </w:r>
      <w:r w:rsidRPr="008A4AEC">
        <w:rPr>
          <w:rFonts w:ascii="Verdana" w:eastAsia="Calibri" w:hAnsi="Verdana" w:cs="Arial"/>
          <w:bCs/>
          <w:color w:val="000000" w:themeColor="text1"/>
          <w:sz w:val="21"/>
          <w:szCs w:val="21"/>
        </w:rPr>
        <w:t>.</w:t>
      </w:r>
    </w:p>
    <w:p w14:paraId="52C51D2E" w14:textId="77777777" w:rsidR="00B33BA7" w:rsidRPr="008A4AEC" w:rsidRDefault="00B33BA7" w:rsidP="00B33BA7">
      <w:pPr>
        <w:spacing w:after="0"/>
        <w:ind w:left="720" w:right="730"/>
        <w:jc w:val="both"/>
        <w:rPr>
          <w:rFonts w:ascii="Verdana" w:eastAsia="Calibri" w:hAnsi="Verdana" w:cs="Arial"/>
          <w:bCs/>
          <w:color w:val="000000" w:themeColor="text1"/>
          <w:sz w:val="21"/>
          <w:szCs w:val="21"/>
        </w:rPr>
      </w:pPr>
    </w:p>
    <w:p w14:paraId="6EFD40BB" w14:textId="77777777" w:rsidR="00B33BA7" w:rsidRPr="008A4AEC" w:rsidRDefault="00B33BA7" w:rsidP="00B33BA7">
      <w:pPr>
        <w:spacing w:after="120" w:line="276" w:lineRule="auto"/>
        <w:ind w:firstLine="720"/>
        <w:jc w:val="both"/>
        <w:rPr>
          <w:rFonts w:ascii="Verdana" w:eastAsia="Calibri" w:hAnsi="Verdana" w:cs="Arial"/>
          <w:bCs/>
          <w:color w:val="000000" w:themeColor="text1"/>
          <w:lang w:val="es-ES"/>
        </w:rPr>
      </w:pPr>
      <w:bookmarkStart w:id="3" w:name="_Hlk135067740"/>
      <w:r w:rsidRPr="008A4AEC">
        <w:rPr>
          <w:rFonts w:ascii="Verdana" w:eastAsia="Calibri" w:hAnsi="Verdana" w:cs="Arial"/>
          <w:bCs/>
          <w:color w:val="000000" w:themeColor="text1"/>
          <w:lang w:val="es-ES"/>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bookmarkEnd w:id="3"/>
    <w:p w14:paraId="04A929AB" w14:textId="77777777" w:rsidR="00B33BA7" w:rsidRPr="008A4AEC" w:rsidRDefault="00B33BA7" w:rsidP="00B33BA7">
      <w:pPr>
        <w:spacing w:after="0" w:line="276" w:lineRule="auto"/>
        <w:ind w:firstLine="709"/>
        <w:jc w:val="both"/>
        <w:rPr>
          <w:rFonts w:ascii="Verdana" w:hAnsi="Verdana" w:cs="Arial"/>
        </w:rPr>
      </w:pPr>
      <w:r w:rsidRPr="008A4AEC">
        <w:rPr>
          <w:rFonts w:ascii="Verdana" w:hAnsi="Verdana" w:cs="Arial"/>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68B02F9A" w14:textId="77777777" w:rsidR="00B33BA7" w:rsidRPr="008A4AEC" w:rsidRDefault="00B33BA7" w:rsidP="00B33BA7">
      <w:pPr>
        <w:spacing w:after="0" w:line="276" w:lineRule="auto"/>
        <w:ind w:firstLine="709"/>
        <w:jc w:val="both"/>
        <w:rPr>
          <w:rFonts w:ascii="Verdana" w:eastAsia="Calibri" w:hAnsi="Verdana" w:cs="Arial"/>
          <w:bCs/>
          <w:color w:val="000000" w:themeColor="text1"/>
          <w:lang w:val="es-ES"/>
        </w:rPr>
      </w:pPr>
    </w:p>
    <w:p w14:paraId="4A1F26C6" w14:textId="77777777" w:rsidR="00B33BA7" w:rsidRPr="008A4AEC" w:rsidRDefault="00B33BA7" w:rsidP="00B33BA7">
      <w:pPr>
        <w:spacing w:after="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“Artículo 7º.- ENTIDADES A CONTRATAR. Artículo modificado por el artículo 3 de la Ley 2160 de 2021. Para los efectos de esta Ley se entiende por:</w:t>
      </w:r>
    </w:p>
    <w:p w14:paraId="281F4F20" w14:textId="77777777" w:rsidR="00B33BA7" w:rsidRPr="008A4AEC" w:rsidRDefault="00B33BA7" w:rsidP="00B33BA7">
      <w:pPr>
        <w:spacing w:after="12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w:t>
      </w:r>
    </w:p>
    <w:p w14:paraId="542B4641" w14:textId="77777777" w:rsidR="00B33BA7" w:rsidRPr="008A4AEC" w:rsidRDefault="00B33BA7" w:rsidP="00B33BA7">
      <w:pPr>
        <w:spacing w:after="12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 xml:space="preserve">6. Consorcio: Cuando dos o más personas </w:t>
      </w:r>
      <w:bookmarkStart w:id="4" w:name="_Hlk180410264"/>
      <w:r w:rsidRPr="008A4AEC">
        <w:rPr>
          <w:rFonts w:ascii="Verdana" w:eastAsia="Calibri" w:hAnsi="Verdana" w:cs="Arial"/>
          <w:bCs/>
          <w:color w:val="000000" w:themeColor="text1"/>
          <w:sz w:val="21"/>
          <w:lang w:val="es-ES"/>
        </w:rPr>
        <w:t>en forma conjunta presentan una misma propuesta para la adjudicación, celebración y ejecución de un contrato</w:t>
      </w:r>
      <w:bookmarkEnd w:id="4"/>
      <w:r w:rsidRPr="008A4AEC">
        <w:rPr>
          <w:rFonts w:ascii="Verdana" w:eastAsia="Calibri" w:hAnsi="Verdana" w:cs="Arial"/>
          <w:bCs/>
          <w:color w:val="000000" w:themeColor="text1"/>
          <w:sz w:val="21"/>
          <w:lang w:val="es-ES"/>
        </w:rPr>
        <w:t xml:space="preserve">, respondiendo solidariamente de todas y cada una de las obligaciones derivadas de la propuesta y del contrato. En consecuencia, las actuaciones, hechos y omisiones que se presenten </w:t>
      </w:r>
      <w:r w:rsidRPr="008A4AEC">
        <w:rPr>
          <w:rFonts w:ascii="Verdana" w:eastAsia="Calibri" w:hAnsi="Verdana" w:cs="Arial"/>
          <w:bCs/>
          <w:color w:val="000000" w:themeColor="text1"/>
          <w:sz w:val="21"/>
          <w:lang w:val="es-ES"/>
        </w:rPr>
        <w:lastRenderedPageBreak/>
        <w:t>en desarrollo de la propuesta y del contrato, afectarán a todos los miembros que lo conforman.</w:t>
      </w:r>
    </w:p>
    <w:p w14:paraId="1B331E55" w14:textId="77777777" w:rsidR="00B33BA7" w:rsidRPr="008A4AEC" w:rsidRDefault="00B33BA7" w:rsidP="00B33BA7">
      <w:pPr>
        <w:spacing w:after="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131F59E1" w14:textId="77777777" w:rsidR="00B33BA7" w:rsidRPr="008A4AEC" w:rsidRDefault="00B33BA7" w:rsidP="00B33BA7">
      <w:pPr>
        <w:spacing w:after="12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w:t>
      </w:r>
    </w:p>
    <w:p w14:paraId="34C7CCA7" w14:textId="77777777" w:rsidR="00B33BA7" w:rsidRPr="008A4AEC" w:rsidRDefault="00B33BA7" w:rsidP="00B33BA7">
      <w:pPr>
        <w:spacing w:after="12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7002FA2E" w14:textId="77777777" w:rsidR="00B33BA7" w:rsidRPr="008A4AEC" w:rsidRDefault="00B33BA7" w:rsidP="00B33BA7">
      <w:pPr>
        <w:spacing w:after="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Los miembros del consorcio y de la unión temporal deberán designar la persona que, para todos los efectos, representará al consorcio o unión temporal y señalarán las reglas básicas que regulen las relaciones entre ellos y su responsabilidad.</w:t>
      </w:r>
    </w:p>
    <w:p w14:paraId="3D44BCE8" w14:textId="77777777" w:rsidR="00B33BA7" w:rsidRPr="008A4AEC" w:rsidRDefault="00B33BA7" w:rsidP="00B33BA7">
      <w:pPr>
        <w:spacing w:after="0" w:line="240" w:lineRule="auto"/>
        <w:ind w:left="709" w:right="709"/>
        <w:jc w:val="both"/>
        <w:rPr>
          <w:rFonts w:ascii="Verdana" w:eastAsia="Calibri" w:hAnsi="Verdana" w:cs="Arial"/>
          <w:bCs/>
          <w:color w:val="000000" w:themeColor="text1"/>
          <w:sz w:val="21"/>
          <w:lang w:val="es-ES"/>
        </w:rPr>
      </w:pPr>
      <w:r w:rsidRPr="008A4AEC">
        <w:rPr>
          <w:rFonts w:ascii="Verdana" w:eastAsia="Calibri" w:hAnsi="Verdana" w:cs="Arial"/>
          <w:bCs/>
          <w:color w:val="000000" w:themeColor="text1"/>
          <w:sz w:val="21"/>
          <w:lang w:val="es-ES"/>
        </w:rPr>
        <w:t>[…]”.</w:t>
      </w:r>
    </w:p>
    <w:p w14:paraId="110FF669" w14:textId="77777777" w:rsidR="00B33BA7" w:rsidRPr="008A4AEC" w:rsidRDefault="00B33BA7" w:rsidP="00B33BA7">
      <w:pPr>
        <w:spacing w:after="0" w:line="276" w:lineRule="auto"/>
        <w:ind w:left="720" w:right="731"/>
        <w:jc w:val="both"/>
        <w:rPr>
          <w:rFonts w:ascii="Verdana" w:eastAsia="Calibri" w:hAnsi="Verdana" w:cs="Arial"/>
          <w:bCs/>
          <w:color w:val="000000" w:themeColor="text1"/>
          <w:lang w:val="es-ES"/>
        </w:rPr>
      </w:pPr>
    </w:p>
    <w:p w14:paraId="2C6CE3BA" w14:textId="77777777" w:rsidR="00B33BA7" w:rsidRPr="008A4AEC" w:rsidRDefault="00B33BA7" w:rsidP="00B33BA7">
      <w:pPr>
        <w:spacing w:after="120" w:line="276" w:lineRule="auto"/>
        <w:jc w:val="both"/>
        <w:rPr>
          <w:rFonts w:ascii="Verdana" w:hAnsi="Verdana" w:cs="Arial"/>
          <w:color w:val="000000" w:themeColor="text1"/>
        </w:rPr>
      </w:pPr>
      <w:r w:rsidRPr="008A4AEC">
        <w:rPr>
          <w:rFonts w:ascii="Verdana" w:eastAsia="Calibri" w:hAnsi="Verdana" w:cs="Arial"/>
          <w:bCs/>
          <w:color w:val="000000" w:themeColor="text1"/>
          <w:lang w:val="es-ES"/>
        </w:rPr>
        <w:tab/>
        <w:t>Como se observa, el artículo citado señala que el consorcio o la unión temporal se da “Cuando dos o más personas en forma conjunta presentan una misma propuesta para la adjudicación, celebración y ejecución de un contrato […]”.</w:t>
      </w:r>
      <w:r w:rsidRPr="008A4AEC">
        <w:rPr>
          <w:rFonts w:ascii="Verdana" w:hAnsi="Verdana" w:cs="Arial"/>
          <w:color w:val="000000" w:themeColor="text1"/>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68691848" w14:textId="77777777" w:rsidR="00B33BA7" w:rsidRPr="008A4AEC" w:rsidRDefault="00B33BA7" w:rsidP="00B33BA7">
      <w:pPr>
        <w:spacing w:after="120" w:line="276" w:lineRule="auto"/>
        <w:jc w:val="both"/>
        <w:rPr>
          <w:rFonts w:ascii="Verdana" w:hAnsi="Verdana" w:cs="Arial"/>
          <w:color w:val="000000" w:themeColor="text1"/>
        </w:rPr>
      </w:pPr>
      <w:r w:rsidRPr="008A4AEC">
        <w:rPr>
          <w:rFonts w:ascii="Verdana" w:hAnsi="Verdana" w:cs="Arial"/>
          <w:color w:val="000000" w:themeColor="text1"/>
        </w:rPr>
        <w:tab/>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w:t>
      </w:r>
      <w:r w:rsidRPr="008A4AEC">
        <w:rPr>
          <w:rFonts w:ascii="Verdana" w:hAnsi="Verdana" w:cs="Arial"/>
          <w:color w:val="000000" w:themeColor="text1"/>
        </w:rPr>
        <w:lastRenderedPageBreak/>
        <w:t xml:space="preserve">mientras que en el consorcio los miembros responden solidariamente, con independencia de este aspecto.   </w:t>
      </w:r>
    </w:p>
    <w:p w14:paraId="69FBB0EE" w14:textId="7AAD62E1" w:rsidR="00B33BA7" w:rsidRDefault="00B33BA7" w:rsidP="001F1E9D">
      <w:pPr>
        <w:spacing w:after="120" w:line="276" w:lineRule="auto"/>
        <w:jc w:val="both"/>
        <w:rPr>
          <w:rFonts w:ascii="Verdana" w:hAnsi="Verdana" w:cs="Arial"/>
          <w:color w:val="000000" w:themeColor="text1"/>
        </w:rPr>
      </w:pPr>
      <w:r w:rsidRPr="008A4AEC">
        <w:rPr>
          <w:rFonts w:ascii="Verdana" w:hAnsi="Verdana" w:cs="Arial"/>
          <w:color w:val="000000" w:themeColor="text1"/>
        </w:rPr>
        <w:tab/>
      </w:r>
      <w:r>
        <w:rPr>
          <w:rFonts w:ascii="Verdana" w:hAnsi="Verdana" w:cs="Arial"/>
          <w:color w:val="000000" w:themeColor="text1"/>
        </w:rPr>
        <w:t>En conclusión, l</w:t>
      </w:r>
      <w:r w:rsidRPr="008A4AEC">
        <w:rPr>
          <w:rFonts w:ascii="Verdana" w:hAnsi="Verdana" w:cs="Arial"/>
          <w:color w:val="000000" w:themeColor="text1"/>
        </w:rPr>
        <w:t>a capacidad jurídica de lo</w:t>
      </w:r>
      <w:r>
        <w:rPr>
          <w:rFonts w:ascii="Verdana" w:hAnsi="Verdana" w:cs="Arial"/>
          <w:color w:val="000000" w:themeColor="text1"/>
        </w:rPr>
        <w:t>s</w:t>
      </w:r>
      <w:r w:rsidRPr="008A4AEC">
        <w:rPr>
          <w:rFonts w:ascii="Verdana" w:hAnsi="Verdana" w:cs="Arial"/>
          <w:color w:val="000000" w:themeColor="text1"/>
        </w:rPr>
        <w:t xml:space="preserve"> proponentes plurales se limita al campo de la contratación estatal de las entidades sometidas al EGCAP, es decir, a las relaciones en</w:t>
      </w:r>
      <w:r w:rsidR="001F1E9D">
        <w:rPr>
          <w:rFonts w:ascii="Verdana" w:hAnsi="Verdana" w:cs="Arial"/>
          <w:color w:val="000000" w:themeColor="text1"/>
        </w:rPr>
        <w:t>tre los</w:t>
      </w:r>
      <w:r w:rsidRPr="008A4AEC">
        <w:rPr>
          <w:rFonts w:ascii="Verdana" w:hAnsi="Verdana" w:cs="Arial"/>
          <w:color w:val="000000" w:themeColor="text1"/>
        </w:rPr>
        <w:t xml:space="preserve"> consorcios y las uniones temporales con las entidades estatales del artículo 2 de la Ley 80 de 1993.</w:t>
      </w:r>
      <w:r>
        <w:rPr>
          <w:rFonts w:ascii="Verdana" w:hAnsi="Verdana" w:cs="Arial"/>
          <w:color w:val="000000" w:themeColor="text1"/>
        </w:rPr>
        <w:t xml:space="preserve"> Las personas que conforman proponentes plurales pueden presentar </w:t>
      </w:r>
      <w:r w:rsidRPr="00B33BA7">
        <w:rPr>
          <w:rFonts w:ascii="Verdana" w:hAnsi="Verdana" w:cs="Arial"/>
          <w:color w:val="000000" w:themeColor="text1"/>
        </w:rPr>
        <w:t>en forma conjunta una misma propuesta para la adjudicación, celebración y ejecución d</w:t>
      </w:r>
      <w:r>
        <w:rPr>
          <w:rFonts w:ascii="Verdana" w:hAnsi="Verdana" w:cs="Arial"/>
          <w:color w:val="000000" w:themeColor="text1"/>
        </w:rPr>
        <w:t xml:space="preserve">e contratos estatales con </w:t>
      </w:r>
      <w:r w:rsidRPr="008706A7">
        <w:rPr>
          <w:rFonts w:ascii="Verdana" w:hAnsi="Verdana" w:cs="Arial"/>
          <w:i/>
          <w:iCs/>
          <w:color w:val="000000" w:themeColor="text1"/>
        </w:rPr>
        <w:t>una o varias</w:t>
      </w:r>
      <w:r>
        <w:rPr>
          <w:rFonts w:ascii="Verdana" w:hAnsi="Verdana" w:cs="Arial"/>
          <w:color w:val="000000" w:themeColor="text1"/>
        </w:rPr>
        <w:t xml:space="preserve"> de las entidades descritas en la norma precitada</w:t>
      </w:r>
      <w:r w:rsidR="008706A7">
        <w:rPr>
          <w:rFonts w:ascii="Verdana" w:hAnsi="Verdana" w:cs="Arial"/>
          <w:color w:val="000000" w:themeColor="text1"/>
        </w:rPr>
        <w:t>. Dichas ofertas serán analizadas de acuerdo con los criterios habilitantes y factores de evaluación del pliego de condiciones o documento equivalente, en el marco de las reglas previstas en el Estatuto General de Contratación, sus normas complementarias y los reglamentos respectivos.</w:t>
      </w:r>
      <w:r w:rsidR="001B3B84">
        <w:rPr>
          <w:rFonts w:ascii="Verdana" w:hAnsi="Verdana" w:cs="Arial"/>
          <w:color w:val="000000" w:themeColor="text1"/>
        </w:rPr>
        <w:t xml:space="preserve"> El proponente plural debe estar debidamente constituido dentro de cada uno de los procesos en que desee presentarse, sin perjuicio de cumplir con las condiciones de uso del SECOP II en los procesos que se gestionan de manera transaccional.</w:t>
      </w:r>
    </w:p>
    <w:p w14:paraId="742C4345" w14:textId="1E9821F0" w:rsidR="001F1E9D" w:rsidRPr="00C35305" w:rsidRDefault="001F1E9D" w:rsidP="001F1E9D">
      <w:pPr>
        <w:spacing w:line="276" w:lineRule="auto"/>
        <w:ind w:firstLine="708"/>
        <w:jc w:val="both"/>
        <w:rPr>
          <w:rFonts w:ascii="Verdana" w:hAnsi="Verdana" w:cs="Arial"/>
          <w:color w:val="000000" w:themeColor="text1"/>
        </w:rPr>
      </w:pP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disciplinaria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 De esta manera, las afirmaciones aquí realizadas</w:t>
      </w:r>
      <w:r>
        <w:rPr>
          <w:rFonts w:ascii="Verdana" w:hAnsi="Verdana" w:cs="Arial"/>
          <w:color w:val="000000" w:themeColor="text1"/>
        </w:rPr>
        <w:t xml:space="preserve"> </w:t>
      </w:r>
      <w:r w:rsidRPr="00C35305">
        <w:rPr>
          <w:rFonts w:ascii="Verdana" w:hAnsi="Verdana" w:cs="Arial"/>
          <w:color w:val="000000" w:themeColor="text1"/>
        </w:rPr>
        <w:t>no</w:t>
      </w:r>
      <w:r>
        <w:rPr>
          <w:rFonts w:ascii="Verdana" w:hAnsi="Verdana" w:cs="Arial"/>
          <w:color w:val="000000" w:themeColor="text1"/>
        </w:rPr>
        <w:t xml:space="preserve"> </w:t>
      </w:r>
      <w:r w:rsidRPr="00C35305">
        <w:rPr>
          <w:rFonts w:ascii="Verdana" w:hAnsi="Verdana" w:cs="Arial"/>
          <w:color w:val="000000" w:themeColor="text1"/>
        </w:rPr>
        <w:t>pueden ser interpretadas como juicios de valor sobre circunstancias</w:t>
      </w:r>
      <w:r>
        <w:rPr>
          <w:rFonts w:ascii="Verdana" w:hAnsi="Verdana" w:cs="Arial"/>
          <w:color w:val="000000" w:themeColor="text1"/>
        </w:rPr>
        <w:t xml:space="preserve"> </w:t>
      </w:r>
      <w:r w:rsidRPr="00C35305">
        <w:rPr>
          <w:rFonts w:ascii="Verdana" w:hAnsi="Verdana" w:cs="Arial"/>
          <w:color w:val="000000" w:themeColor="text1"/>
        </w:rPr>
        <w:t>concretas</w:t>
      </w:r>
      <w:r>
        <w:rPr>
          <w:rFonts w:ascii="Verdana" w:hAnsi="Verdana" w:cs="Arial"/>
          <w:color w:val="000000" w:themeColor="text1"/>
        </w:rPr>
        <w:t xml:space="preserve"> </w:t>
      </w:r>
      <w:r w:rsidRPr="00C35305">
        <w:rPr>
          <w:rFonts w:ascii="Verdana" w:hAnsi="Verdana" w:cs="Arial"/>
          <w:color w:val="000000" w:themeColor="text1"/>
        </w:rPr>
        <w:t xml:space="preserve">relacionadas con los hechos </w:t>
      </w:r>
      <w:r>
        <w:rPr>
          <w:rFonts w:ascii="Verdana" w:hAnsi="Verdana" w:cs="Arial"/>
          <w:color w:val="000000" w:themeColor="text1"/>
        </w:rPr>
        <w:t>de los expedientes disciplinarios que</w:t>
      </w:r>
      <w:r w:rsidRPr="00C35305">
        <w:rPr>
          <w:rFonts w:ascii="Verdana" w:hAnsi="Verdana" w:cs="Arial"/>
          <w:color w:val="000000" w:themeColor="text1"/>
        </w:rPr>
        <w:t xml:space="preserve"> motivan la</w:t>
      </w:r>
      <w:r>
        <w:rPr>
          <w:rFonts w:ascii="Verdana" w:hAnsi="Verdana" w:cs="Arial"/>
          <w:color w:val="000000" w:themeColor="text1"/>
        </w:rPr>
        <w:t xml:space="preserve"> </w:t>
      </w:r>
      <w:r w:rsidRPr="00C35305">
        <w:rPr>
          <w:rFonts w:ascii="Verdana" w:hAnsi="Verdana" w:cs="Arial"/>
          <w:color w:val="000000" w:themeColor="text1"/>
        </w:rPr>
        <w:t>consulta.</w:t>
      </w:r>
      <w:r>
        <w:rPr>
          <w:rFonts w:ascii="Verdana" w:hAnsi="Verdana" w:cs="Arial"/>
          <w:color w:val="000000" w:themeColor="text1"/>
        </w:rPr>
        <w:t xml:space="preserve"> </w:t>
      </w:r>
      <w:r w:rsidRPr="00C35305">
        <w:rPr>
          <w:rFonts w:ascii="Verdana" w:hAnsi="Verdana" w:cs="Arial"/>
          <w:color w:val="000000" w:themeColor="text1"/>
        </w:rPr>
        <w:t>Por lo anterior, previo concepto de sus asesores,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 y, en caso de conflicto, a las autoridades judiciales.</w:t>
      </w:r>
    </w:p>
    <w:p w14:paraId="00F540DE" w14:textId="09EAB96C" w:rsidR="0075741A" w:rsidRDefault="001F1E9D" w:rsidP="001F1E9D">
      <w:pPr>
        <w:spacing w:after="0" w:line="276" w:lineRule="auto"/>
        <w:ind w:firstLine="708"/>
        <w:jc w:val="both"/>
        <w:rPr>
          <w:rFonts w:ascii="Verdana" w:hAnsi="Verdana" w:cs="Arial"/>
          <w:color w:val="000000" w:themeColor="text1"/>
        </w:rPr>
      </w:pPr>
      <w:r w:rsidRPr="00C35305">
        <w:rPr>
          <w:rFonts w:ascii="Verdana" w:hAnsi="Verdana" w:cs="Arial"/>
          <w:color w:val="000000" w:themeColor="text1"/>
        </w:rPr>
        <w:t xml:space="preserve">Dentro de este marco, </w:t>
      </w:r>
      <w:r>
        <w:rPr>
          <w:rFonts w:ascii="Verdana" w:hAnsi="Verdana" w:cs="Arial"/>
          <w:color w:val="000000" w:themeColor="text1"/>
        </w:rPr>
        <w:t>el órgano disciplinario</w:t>
      </w:r>
      <w:r w:rsidRPr="00C35305">
        <w:rPr>
          <w:rFonts w:ascii="Verdana" w:hAnsi="Verdana" w:cs="Arial"/>
          <w:color w:val="000000" w:themeColor="text1"/>
        </w:rPr>
        <w:t xml:space="preserve"> definirá en cada caso concreto lo</w:t>
      </w:r>
      <w:r>
        <w:rPr>
          <w:rFonts w:ascii="Verdana" w:hAnsi="Verdana" w:cs="Arial"/>
          <w:color w:val="000000" w:themeColor="text1"/>
        </w:rPr>
        <w:t xml:space="preserve"> </w:t>
      </w:r>
      <w:r w:rsidRPr="00C35305">
        <w:rPr>
          <w:rFonts w:ascii="Verdana" w:hAnsi="Verdana" w:cs="Arial"/>
          <w:color w:val="000000" w:themeColor="text1"/>
        </w:rPr>
        <w:t xml:space="preserve">relacionado con </w:t>
      </w:r>
      <w:r>
        <w:rPr>
          <w:rFonts w:ascii="Verdana" w:hAnsi="Verdana" w:cs="Arial"/>
          <w:color w:val="000000" w:themeColor="text1"/>
        </w:rPr>
        <w:t xml:space="preserve">la tipicidad de las conductas investigadas en </w:t>
      </w:r>
      <w:r>
        <w:rPr>
          <w:rFonts w:ascii="Verdana" w:eastAsia="Calibri" w:hAnsi="Verdana" w:cs="Arial"/>
          <w:lang w:eastAsia="es-ES"/>
        </w:rPr>
        <w:t>los</w:t>
      </w:r>
      <w:r w:rsidRPr="00216B60">
        <w:rPr>
          <w:rFonts w:ascii="Verdana" w:eastAsia="Calibri" w:hAnsi="Verdana" w:cs="Arial"/>
          <w:lang w:val="es-ES" w:eastAsia="es-ES"/>
        </w:rPr>
        <w:t xml:space="preserve"> expediente</w:t>
      </w:r>
      <w:r>
        <w:rPr>
          <w:rFonts w:ascii="Verdana" w:eastAsia="Calibri" w:hAnsi="Verdana" w:cs="Arial"/>
          <w:lang w:val="es-ES" w:eastAsia="es-ES"/>
        </w:rPr>
        <w:t>s</w:t>
      </w:r>
      <w:r w:rsidRPr="00216B60">
        <w:rPr>
          <w:rFonts w:ascii="Verdana" w:eastAsia="Calibri" w:hAnsi="Verdana" w:cs="Arial"/>
          <w:lang w:val="es-ES" w:eastAsia="es-ES"/>
        </w:rPr>
        <w:t xml:space="preserve"> </w:t>
      </w:r>
      <w:r w:rsidRPr="001F1E9D">
        <w:rPr>
          <w:rFonts w:ascii="Verdana" w:eastAsia="Calibri" w:hAnsi="Verdana" w:cs="Arial"/>
          <w:lang w:val="es-ES" w:eastAsia="es-ES"/>
        </w:rPr>
        <w:t>IUS-E-2024-582035 y IUC-D-2024-3824041</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 xml:space="preserve">Así, cada entidad definirá la forma de adelantar su gestión contractual, sin que sea atribución de Colombia </w:t>
      </w:r>
      <w:r w:rsidRPr="00C35305">
        <w:rPr>
          <w:rFonts w:ascii="Verdana" w:hAnsi="Verdana" w:cs="Arial"/>
          <w:color w:val="000000" w:themeColor="text1"/>
        </w:rPr>
        <w:lastRenderedPageBreak/>
        <w:t>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7C38CB82" w14:textId="77777777" w:rsidR="001F1E9D" w:rsidRPr="001F1E9D" w:rsidRDefault="001F1E9D" w:rsidP="001F1E9D">
      <w:pPr>
        <w:spacing w:after="0" w:line="276" w:lineRule="auto"/>
        <w:ind w:firstLine="708"/>
        <w:jc w:val="both"/>
        <w:rPr>
          <w:rFonts w:ascii="Verdana" w:hAnsi="Verdana" w:cs="Arial"/>
          <w:color w:val="000000" w:themeColor="text1"/>
        </w:rPr>
      </w:pPr>
    </w:p>
    <w:p w14:paraId="450B1F84" w14:textId="11BACD51" w:rsidR="00CD2E70" w:rsidRPr="00593A5F" w:rsidRDefault="00CD2E70" w:rsidP="00CD2E70">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Referencia</w:t>
      </w:r>
      <w:r w:rsidR="00CE37A3" w:rsidRPr="00593A5F">
        <w:rPr>
          <w:rFonts w:ascii="Verdana" w:eastAsia="Century Gothic" w:hAnsi="Verdana" w:cs="Century Gothic"/>
          <w:b/>
          <w:bCs/>
          <w:sz w:val="22"/>
          <w:lang w:val="es-ES"/>
        </w:rPr>
        <w:t>s</w:t>
      </w:r>
      <w:r w:rsidRPr="00593A5F">
        <w:rPr>
          <w:rFonts w:ascii="Verdana" w:eastAsia="Century Gothic" w:hAnsi="Verdana" w:cs="Century Gothic"/>
          <w:b/>
          <w:bCs/>
          <w:sz w:val="22"/>
          <w:lang w:val="es-ES"/>
        </w:rPr>
        <w:t xml:space="preserve"> normativa</w:t>
      </w:r>
      <w:r w:rsidR="00CE37A3" w:rsidRPr="00593A5F">
        <w:rPr>
          <w:rFonts w:ascii="Verdana" w:eastAsia="Century Gothic" w:hAnsi="Verdana" w:cs="Century Gothic"/>
          <w:b/>
          <w:bCs/>
          <w:sz w:val="22"/>
          <w:lang w:val="es-ES"/>
        </w:rPr>
        <w:t>s</w:t>
      </w:r>
      <w:r w:rsidRPr="00593A5F">
        <w:rPr>
          <w:rFonts w:ascii="Verdana" w:eastAsia="Century Gothic" w:hAnsi="Verdana" w:cs="Century Gothic"/>
          <w:b/>
          <w:bCs/>
          <w:sz w:val="22"/>
          <w:lang w:val="es-ES"/>
        </w:rPr>
        <w:t>:</w:t>
      </w:r>
    </w:p>
    <w:p w14:paraId="61D4F996" w14:textId="1A993A87" w:rsidR="00CD2E70" w:rsidRPr="00593A5F" w:rsidRDefault="00CD2E70" w:rsidP="00E84D1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07CE" w:rsidRPr="002407CE" w14:paraId="28F1D869" w14:textId="77777777" w:rsidTr="006E429F">
        <w:trPr>
          <w:trHeight w:val="870"/>
          <w:jc w:val="center"/>
        </w:trPr>
        <w:tc>
          <w:tcPr>
            <w:tcW w:w="8647" w:type="dxa"/>
          </w:tcPr>
          <w:p w14:paraId="48E889E2" w14:textId="77777777" w:rsidR="008A6440" w:rsidRPr="002407CE" w:rsidRDefault="008A6440" w:rsidP="008A6440">
            <w:pPr>
              <w:pStyle w:val="Prrafodelista"/>
              <w:widowControl w:val="0"/>
              <w:numPr>
                <w:ilvl w:val="0"/>
                <w:numId w:val="3"/>
              </w:numPr>
              <w:autoSpaceDE w:val="0"/>
              <w:autoSpaceDN w:val="0"/>
              <w:spacing w:after="120" w:line="276" w:lineRule="auto"/>
              <w:jc w:val="both"/>
              <w:rPr>
                <w:rFonts w:ascii="Verdana" w:hAnsi="Verdana" w:cs="Arial"/>
                <w:sz w:val="22"/>
              </w:rPr>
            </w:pPr>
            <w:r w:rsidRPr="002407CE">
              <w:rPr>
                <w:rFonts w:ascii="Verdana" w:hAnsi="Verdana" w:cs="Arial"/>
                <w:sz w:val="22"/>
              </w:rPr>
              <w:t xml:space="preserve">Código Civil, artículos 1502, 1503 y 1504. </w:t>
            </w:r>
          </w:p>
          <w:p w14:paraId="1BFE8842" w14:textId="77777777" w:rsidR="008A6440" w:rsidRPr="002407CE" w:rsidRDefault="008A6440" w:rsidP="008A6440">
            <w:pPr>
              <w:pStyle w:val="Prrafodelista"/>
              <w:widowControl w:val="0"/>
              <w:autoSpaceDE w:val="0"/>
              <w:autoSpaceDN w:val="0"/>
              <w:spacing w:after="120" w:line="276" w:lineRule="auto"/>
              <w:jc w:val="both"/>
              <w:rPr>
                <w:rFonts w:ascii="Verdana" w:hAnsi="Verdana" w:cs="Arial"/>
                <w:sz w:val="12"/>
                <w:szCs w:val="12"/>
              </w:rPr>
            </w:pPr>
          </w:p>
          <w:p w14:paraId="0EBE07B3" w14:textId="77777777" w:rsidR="008A6440" w:rsidRPr="002407CE" w:rsidRDefault="008A6440" w:rsidP="008A6440">
            <w:pPr>
              <w:pStyle w:val="Prrafodelista"/>
              <w:widowControl w:val="0"/>
              <w:numPr>
                <w:ilvl w:val="0"/>
                <w:numId w:val="3"/>
              </w:numPr>
              <w:autoSpaceDE w:val="0"/>
              <w:autoSpaceDN w:val="0"/>
              <w:spacing w:after="120" w:line="276" w:lineRule="auto"/>
              <w:contextualSpacing w:val="0"/>
              <w:jc w:val="both"/>
              <w:rPr>
                <w:rFonts w:ascii="Verdana" w:hAnsi="Verdana" w:cs="Arial"/>
                <w:sz w:val="22"/>
              </w:rPr>
            </w:pPr>
            <w:r w:rsidRPr="002407CE">
              <w:rPr>
                <w:rFonts w:ascii="Verdana" w:hAnsi="Verdana" w:cs="Arial"/>
                <w:sz w:val="22"/>
              </w:rPr>
              <w:t>Código de Comercio, artículo 99.</w:t>
            </w:r>
          </w:p>
          <w:p w14:paraId="2B3A0897" w14:textId="77777777" w:rsidR="008A6440" w:rsidRPr="002407CE" w:rsidRDefault="008A6440" w:rsidP="008A6440">
            <w:pPr>
              <w:pStyle w:val="Prrafodelista"/>
              <w:widowControl w:val="0"/>
              <w:numPr>
                <w:ilvl w:val="0"/>
                <w:numId w:val="3"/>
              </w:numPr>
              <w:autoSpaceDE w:val="0"/>
              <w:autoSpaceDN w:val="0"/>
              <w:spacing w:after="120" w:line="276" w:lineRule="auto"/>
              <w:contextualSpacing w:val="0"/>
              <w:jc w:val="both"/>
              <w:rPr>
                <w:rFonts w:ascii="Verdana" w:hAnsi="Verdana" w:cs="Arial"/>
                <w:sz w:val="22"/>
              </w:rPr>
            </w:pPr>
            <w:r w:rsidRPr="002407CE">
              <w:rPr>
                <w:rFonts w:ascii="Verdana" w:hAnsi="Verdana" w:cs="Arial"/>
                <w:sz w:val="22"/>
              </w:rPr>
              <w:t>Ley 80 de 1993, artículos 2, 6 y 7.</w:t>
            </w:r>
          </w:p>
          <w:p w14:paraId="3E9D05BC" w14:textId="6C6842EC" w:rsidR="00A53865" w:rsidRPr="00C02F8B" w:rsidRDefault="008A6440" w:rsidP="008A6440">
            <w:pPr>
              <w:pStyle w:val="Prrafodelista"/>
              <w:widowControl w:val="0"/>
              <w:numPr>
                <w:ilvl w:val="0"/>
                <w:numId w:val="3"/>
              </w:numPr>
              <w:autoSpaceDE w:val="0"/>
              <w:autoSpaceDN w:val="0"/>
              <w:spacing w:line="276" w:lineRule="auto"/>
              <w:ind w:left="714" w:hanging="357"/>
              <w:contextualSpacing w:val="0"/>
              <w:jc w:val="both"/>
              <w:rPr>
                <w:rFonts w:ascii="Verdana" w:hAnsi="Verdana" w:cs="Arial"/>
              </w:rPr>
            </w:pPr>
            <w:r w:rsidRPr="002407CE">
              <w:rPr>
                <w:rFonts w:ascii="Verdana" w:hAnsi="Verdana" w:cs="Arial"/>
                <w:sz w:val="22"/>
              </w:rPr>
              <w:t xml:space="preserve">Jurisprudencia de la Corte Constitucional. Disponible en:  </w:t>
            </w:r>
            <w:hyperlink r:id="rId13" w:history="1">
              <w:r w:rsidRPr="00BB3BE4">
                <w:rPr>
                  <w:rStyle w:val="Hipervnculo"/>
                  <w:rFonts w:ascii="Verdana" w:hAnsi="Verdana" w:cs="Arial"/>
                  <w:color w:val="4472C4" w:themeColor="accent1"/>
                  <w:sz w:val="22"/>
                </w:rPr>
                <w:t>https://www.corteconstitucional.gov./relatoria/</w:t>
              </w:r>
            </w:hyperlink>
            <w:r w:rsidRPr="002407CE">
              <w:rPr>
                <w:rFonts w:ascii="Verdana" w:hAnsi="Verdana" w:cs="Arial"/>
                <w:sz w:val="22"/>
              </w:rPr>
              <w:t xml:space="preserve">.  </w:t>
            </w:r>
          </w:p>
        </w:tc>
      </w:tr>
    </w:tbl>
    <w:p w14:paraId="30F3A1CE" w14:textId="77777777" w:rsidR="00CD2E70" w:rsidRPr="002407CE" w:rsidRDefault="00CD2E70" w:rsidP="00E84D1C">
      <w:pPr>
        <w:widowControl w:val="0"/>
        <w:autoSpaceDE w:val="0"/>
        <w:autoSpaceDN w:val="0"/>
        <w:spacing w:after="0" w:line="276" w:lineRule="auto"/>
        <w:jc w:val="both"/>
        <w:rPr>
          <w:rFonts w:ascii="Verdana" w:hAnsi="Verdana" w:cs="Arial"/>
        </w:rPr>
      </w:pPr>
    </w:p>
    <w:p w14:paraId="763AF15E" w14:textId="5C1DC823" w:rsidR="00057963" w:rsidRPr="00593A5F" w:rsidRDefault="00E53F2E" w:rsidP="00057963">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Pr>
          <w:rFonts w:ascii="Verdana" w:eastAsia="Century Gothic" w:hAnsi="Verdana" w:cs="Century Gothic"/>
          <w:b/>
          <w:bCs/>
          <w:sz w:val="22"/>
          <w:lang w:val="es-ES"/>
        </w:rPr>
        <w:t>Doctrina de la Agencia Nacional de Contratación Pública</w:t>
      </w:r>
      <w:r w:rsidR="00057963" w:rsidRPr="00593A5F">
        <w:rPr>
          <w:rFonts w:ascii="Verdana" w:eastAsia="Century Gothic" w:hAnsi="Verdana" w:cs="Century Gothic"/>
          <w:b/>
          <w:bCs/>
          <w:sz w:val="22"/>
          <w:lang w:val="es-ES"/>
        </w:rPr>
        <w:t>:</w:t>
      </w:r>
    </w:p>
    <w:p w14:paraId="2E26A5BD" w14:textId="31F0C1BB" w:rsidR="00E84D1C" w:rsidRPr="00593A5F" w:rsidRDefault="00E84D1C" w:rsidP="00E84D1C">
      <w:pPr>
        <w:widowControl w:val="0"/>
        <w:autoSpaceDE w:val="0"/>
        <w:autoSpaceDN w:val="0"/>
        <w:spacing w:after="0" w:line="276" w:lineRule="auto"/>
        <w:jc w:val="both"/>
        <w:rPr>
          <w:rFonts w:ascii="Verdana" w:hAnsi="Verdana" w:cs="Arial"/>
        </w:rPr>
      </w:pPr>
    </w:p>
    <w:p w14:paraId="2B3B3D91" w14:textId="29462F0D" w:rsidR="002F317F" w:rsidRPr="00ED0098" w:rsidRDefault="001F1E9D" w:rsidP="00E84D1C">
      <w:pPr>
        <w:widowControl w:val="0"/>
        <w:autoSpaceDE w:val="0"/>
        <w:autoSpaceDN w:val="0"/>
        <w:spacing w:after="0" w:line="276" w:lineRule="auto"/>
        <w:jc w:val="both"/>
        <w:rPr>
          <w:rStyle w:val="normaltextrun"/>
          <w:rFonts w:ascii="Verdana" w:hAnsi="Verdana" w:cs="Arial"/>
          <w:shd w:val="clear" w:color="auto" w:fill="FFFFFF"/>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obre la capacidad jurídica de los consorcios y las uniones temporales en los Conceptos</w:t>
      </w:r>
      <w:r w:rsidRPr="00EA761C">
        <w:rPr>
          <w:rStyle w:val="normaltextrun"/>
          <w:rFonts w:ascii="Verdana" w:hAnsi="Verdana" w:cs="Calibri"/>
          <w:shd w:val="clear" w:color="auto" w:fill="FFFFFF"/>
        </w:rPr>
        <w:t xml:space="preserve"> </w:t>
      </w:r>
      <w:r w:rsidRPr="00EA761C">
        <w:rPr>
          <w:rStyle w:val="normaltextrun"/>
          <w:rFonts w:ascii="Verdana" w:hAnsi="Verdana" w:cs="Arial"/>
          <w:shd w:val="clear" w:color="auto" w:fill="FFFFFF"/>
          <w:lang w:val="es-ES"/>
        </w:rPr>
        <w:t>4201913000007643 del 26 de diciembre de 2019, C-343 del 17 de junio de 2020, C-518 del 9 de septiembre de 2020, C-614 del 5 de octubre de 2022, C-882 del 21 de diciembre de 2022, C-172 del 6 de junio de 2023, C-032 del 16 de abril de 2024 y C-100 del 12 de junio de 2024</w:t>
      </w:r>
      <w:r w:rsidR="00DD0AFF">
        <w:rPr>
          <w:rFonts w:ascii="Verdana" w:hAnsi="Verdana"/>
        </w:rPr>
        <w:t>.</w:t>
      </w:r>
      <w:r w:rsidR="00DD0AFF">
        <w:rPr>
          <w:rFonts w:ascii="Verdana" w:hAnsi="Verdana" w:cs="Arial"/>
          <w:shd w:val="clear" w:color="auto" w:fill="FFFFFF"/>
        </w:rPr>
        <w:t xml:space="preserve"> </w:t>
      </w:r>
      <w:r w:rsidR="00DD0AFF" w:rsidRPr="00DD0AFF">
        <w:rPr>
          <w:rFonts w:ascii="Verdana" w:hAnsi="Verdana" w:cs="Arial"/>
          <w:shd w:val="clear" w:color="auto" w:fill="FFFFFF"/>
        </w:rPr>
        <w:t>Estos y otros </w:t>
      </w:r>
      <w:r w:rsidR="008D0AB0"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4" w:history="1">
        <w:r w:rsidR="00773F1E" w:rsidRPr="00186F77">
          <w:rPr>
            <w:rStyle w:val="Hipervnculo"/>
            <w:rFonts w:ascii="Verdana" w:hAnsi="Verdana" w:cs="Arial"/>
            <w:shd w:val="clear" w:color="auto" w:fill="FFFFFF"/>
          </w:rPr>
          <w:t>https://relatoria.colombiacompra.gov.co/busqueda/conceptos</w:t>
        </w:r>
      </w:hyperlink>
      <w:r w:rsidR="00773F1E">
        <w:rPr>
          <w:rStyle w:val="normaltextrun"/>
          <w:rFonts w:ascii="Verdana" w:hAnsi="Verdana" w:cs="Arial"/>
          <w:shd w:val="clear" w:color="auto" w:fill="FFFFFF"/>
        </w:rPr>
        <w:t>.</w:t>
      </w:r>
      <w:r w:rsidR="008D0AB0" w:rsidRPr="008D0AB0">
        <w:rPr>
          <w:rStyle w:val="normaltextrun"/>
          <w:rFonts w:ascii="Verdana" w:hAnsi="Verdana" w:cs="Arial"/>
          <w:shd w:val="clear" w:color="auto" w:fill="FFFFFF"/>
        </w:rPr>
        <w:t xml:space="preserve"> </w:t>
      </w:r>
      <w:r w:rsidR="008D1079">
        <w:rPr>
          <w:rStyle w:val="normaltextrun"/>
          <w:rFonts w:ascii="Verdana" w:hAnsi="Verdana" w:cs="Arial"/>
          <w:color w:val="FF0000"/>
          <w:shd w:val="clear" w:color="auto" w:fill="FFFFFF"/>
          <w:lang w:val="es-ES"/>
        </w:rPr>
        <w:t xml:space="preserve"> </w:t>
      </w:r>
    </w:p>
    <w:p w14:paraId="4731B9C6" w14:textId="77777777" w:rsidR="002F317F" w:rsidRDefault="002F317F" w:rsidP="00E84D1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0B25B39" w14:textId="71414DB7" w:rsidR="00057963" w:rsidRPr="00A1554D" w:rsidRDefault="00B45DE2" w:rsidP="00E84D1C">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B45DE2">
        <w:rPr>
          <w:rStyle w:val="normaltextrun"/>
          <w:rFonts w:ascii="Verdana" w:hAnsi="Verdana" w:cs="Arial"/>
          <w:color w:val="000000" w:themeColor="text1"/>
          <w:shd w:val="clear" w:color="auto" w:fill="FFFFFF"/>
          <w:lang w:val="es-ES"/>
        </w:rPr>
        <w:t xml:space="preserve">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w:t>
      </w:r>
      <w:hyperlink r:id="rId15" w:history="1">
        <w:r w:rsidRPr="00FA6246">
          <w:rPr>
            <w:rStyle w:val="Hipervnculo"/>
            <w:rFonts w:ascii="Verdana" w:hAnsi="Verdana" w:cs="Arial"/>
            <w:shd w:val="clear" w:color="auto" w:fill="FFFFFF"/>
            <w:lang w:val="es-ES"/>
          </w:rPr>
          <w:t>https://www.colombiacompra.gov.co/sala-de-prensa/boletin-digital/boletin-de-relatoria-2024-iv</w:t>
        </w:r>
      </w:hyperlink>
      <w:r>
        <w:rPr>
          <w:rStyle w:val="normaltextrun"/>
          <w:rFonts w:ascii="Verdana" w:hAnsi="Verdana" w:cs="Arial"/>
          <w:color w:val="000000" w:themeColor="text1"/>
          <w:shd w:val="clear" w:color="auto" w:fill="FFFFFF"/>
          <w:lang w:val="es-ES"/>
        </w:rPr>
        <w:t>.</w:t>
      </w:r>
      <w:r w:rsidR="00985B04">
        <w:rPr>
          <w:rStyle w:val="normaltextrun"/>
          <w:rFonts w:ascii="Verdana" w:hAnsi="Verdana" w:cs="Arial"/>
          <w:color w:val="FF0000"/>
          <w:shd w:val="clear" w:color="auto" w:fill="FFFFFF"/>
          <w:lang w:val="es-ES"/>
        </w:rPr>
        <w:t xml:space="preserve"> </w:t>
      </w:r>
      <w:r w:rsidR="00F91800">
        <w:rPr>
          <w:rStyle w:val="normaltextrun"/>
          <w:rFonts w:ascii="Verdana" w:hAnsi="Verdana" w:cs="Arial"/>
          <w:color w:val="FF0000"/>
          <w:shd w:val="clear" w:color="auto" w:fill="FFFFFF"/>
          <w:lang w:val="es-ES"/>
        </w:rPr>
        <w:t xml:space="preserve"> </w:t>
      </w:r>
      <w:r w:rsidR="00D8321A" w:rsidRPr="00A1554D">
        <w:rPr>
          <w:rStyle w:val="normaltextrun"/>
          <w:rFonts w:ascii="Verdana" w:hAnsi="Verdana" w:cs="Arial"/>
          <w:color w:val="FF0000"/>
          <w:shd w:val="clear" w:color="auto" w:fill="FFFFFF"/>
          <w:lang w:val="es-ES"/>
        </w:rPr>
        <w:t xml:space="preserve"> </w:t>
      </w:r>
      <w:r w:rsidR="00DC525E" w:rsidRPr="00A1554D">
        <w:rPr>
          <w:rStyle w:val="normaltextrun"/>
          <w:rFonts w:ascii="Verdana" w:hAnsi="Verdana" w:cs="Arial"/>
          <w:color w:val="FF0000"/>
          <w:shd w:val="clear" w:color="auto" w:fill="FFFFFF"/>
          <w:lang w:val="es-ES"/>
        </w:rPr>
        <w:t xml:space="preserve">   </w:t>
      </w:r>
    </w:p>
    <w:p w14:paraId="6FCEDC2D" w14:textId="77777777" w:rsidR="00B22870" w:rsidRPr="00593A5F" w:rsidRDefault="00B22870" w:rsidP="00E84D1C">
      <w:pPr>
        <w:widowControl w:val="0"/>
        <w:autoSpaceDE w:val="0"/>
        <w:autoSpaceDN w:val="0"/>
        <w:spacing w:after="0" w:line="276" w:lineRule="auto"/>
        <w:jc w:val="both"/>
        <w:rPr>
          <w:rFonts w:ascii="Verdana" w:hAnsi="Verdana" w:cs="Arial"/>
        </w:rPr>
      </w:pPr>
    </w:p>
    <w:p w14:paraId="61A80AFE" w14:textId="57D8F384" w:rsidR="00A91FB7" w:rsidRPr="00593A5F" w:rsidRDefault="00A91FB7" w:rsidP="00A91FB7">
      <w:pPr>
        <w:widowControl w:val="0"/>
        <w:autoSpaceDE w:val="0"/>
        <w:autoSpaceDN w:val="0"/>
        <w:spacing w:after="0" w:line="276" w:lineRule="auto"/>
        <w:jc w:val="both"/>
        <w:rPr>
          <w:rFonts w:ascii="Verdana" w:hAnsi="Verdana" w:cs="Arial"/>
          <w:lang w:val="es-ES_tradnl"/>
        </w:rPr>
      </w:pPr>
      <w:r w:rsidRPr="00593A5F">
        <w:rPr>
          <w:rFonts w:ascii="Verdana" w:hAnsi="Verdana" w:cs="Arial"/>
        </w:rPr>
        <w:t>Este concepto tiene el alcance previsto en el artículo 28 del Código de Procedimiento Administrativo y de lo Contencioso Administrativo</w:t>
      </w:r>
      <w:r w:rsidR="00172F3A" w:rsidRPr="00593A5F">
        <w:rPr>
          <w:rFonts w:ascii="Verdana" w:hAnsi="Verdana" w:cs="Arial"/>
        </w:rPr>
        <w:t xml:space="preserve"> </w:t>
      </w:r>
      <w:r w:rsidR="00172F3A" w:rsidRPr="00593A5F">
        <w:rPr>
          <w:rFonts w:ascii="Verdana" w:hAnsi="Verdana" w:cs="Arial"/>
          <w:lang w:val="es-ES_tradnl"/>
        </w:rPr>
        <w:t>y las expresiones aquí utilizadas con mayúscula inicial deben ser entendidas con el significado que les otorga el artículo 2.2.1.1.1.3.1. del Decreto 1082 de 2015.</w:t>
      </w:r>
      <w:r w:rsidR="001F1E9D">
        <w:rPr>
          <w:rFonts w:ascii="Verdana" w:hAnsi="Verdana" w:cs="Arial"/>
          <w:lang w:val="es-ES_tradnl"/>
        </w:rPr>
        <w:t xml:space="preserve"> </w:t>
      </w:r>
      <w:r w:rsidR="001F1E9D" w:rsidRPr="001F1E9D">
        <w:rPr>
          <w:rFonts w:ascii="Verdana" w:hAnsi="Verdana" w:cs="Arial"/>
          <w:lang w:val="es-ES_tradnl"/>
        </w:rPr>
        <w:lastRenderedPageBreak/>
        <w:t>De acuerdo con el inciso 3 del artículo 226 del Código General del Proceso, aplicable por remisión del artículo 241 del Código General Disciplinario, el presente oficio no tiene el valor de un dictamen pericial, pues versa sobre puntos de derecho. En consecuencia, lo decidido en torno a</w:t>
      </w:r>
      <w:r w:rsidR="001F1E9D">
        <w:rPr>
          <w:rFonts w:ascii="Verdana" w:hAnsi="Verdana" w:cs="Arial"/>
          <w:lang w:val="es-ES_tradnl"/>
        </w:rPr>
        <w:t xml:space="preserve"> </w:t>
      </w:r>
      <w:r w:rsidR="001F1E9D" w:rsidRPr="001F1E9D">
        <w:rPr>
          <w:rFonts w:ascii="Verdana" w:hAnsi="Verdana" w:cs="Arial"/>
          <w:lang w:val="es-ES_tradnl"/>
        </w:rPr>
        <w:t>l</w:t>
      </w:r>
      <w:r w:rsidR="001F1E9D">
        <w:rPr>
          <w:rFonts w:ascii="Verdana" w:hAnsi="Verdana" w:cs="Arial"/>
          <w:lang w:val="es-ES_tradnl"/>
        </w:rPr>
        <w:t>os</w:t>
      </w:r>
      <w:r w:rsidR="001F1E9D" w:rsidRPr="001F1E9D">
        <w:rPr>
          <w:rFonts w:ascii="Verdana" w:hAnsi="Verdana" w:cs="Arial"/>
          <w:lang w:val="es-ES_tradnl"/>
        </w:rPr>
        <w:t xml:space="preserve"> proceso</w:t>
      </w:r>
      <w:r w:rsidR="001F1E9D">
        <w:rPr>
          <w:rFonts w:ascii="Verdana" w:hAnsi="Verdana" w:cs="Arial"/>
          <w:lang w:val="es-ES_tradnl"/>
        </w:rPr>
        <w:t>s</w:t>
      </w:r>
      <w:r w:rsidR="001F1E9D" w:rsidRPr="001F1E9D">
        <w:rPr>
          <w:rFonts w:ascii="Verdana" w:hAnsi="Verdana" w:cs="Arial"/>
          <w:lang w:val="es-ES_tradnl"/>
        </w:rPr>
        <w:t xml:space="preserve"> de</w:t>
      </w:r>
      <w:r w:rsidR="001F1E9D">
        <w:rPr>
          <w:rFonts w:ascii="Verdana" w:hAnsi="Verdana" w:cs="Arial"/>
          <w:lang w:val="es-ES_tradnl"/>
        </w:rPr>
        <w:t xml:space="preserve"> </w:t>
      </w:r>
      <w:r w:rsidR="001F1E9D" w:rsidRPr="001F1E9D">
        <w:rPr>
          <w:rFonts w:ascii="Verdana" w:hAnsi="Verdana" w:cs="Arial"/>
          <w:lang w:val="es-ES_tradnl"/>
        </w:rPr>
        <w:t>l</w:t>
      </w:r>
      <w:r w:rsidR="001F1E9D">
        <w:rPr>
          <w:rFonts w:ascii="Verdana" w:hAnsi="Verdana" w:cs="Arial"/>
          <w:lang w:val="es-ES_tradnl"/>
        </w:rPr>
        <w:t>os</w:t>
      </w:r>
      <w:r w:rsidR="001F1E9D" w:rsidRPr="001F1E9D">
        <w:rPr>
          <w:rFonts w:ascii="Verdana" w:hAnsi="Verdana" w:cs="Arial"/>
          <w:lang w:val="es-ES_tradnl"/>
        </w:rPr>
        <w:t xml:space="preserve"> expediente</w:t>
      </w:r>
      <w:r w:rsidR="001F1E9D">
        <w:rPr>
          <w:rFonts w:ascii="Verdana" w:hAnsi="Verdana" w:cs="Arial"/>
          <w:lang w:val="es-ES_tradnl"/>
        </w:rPr>
        <w:t>s</w:t>
      </w:r>
      <w:r w:rsidR="001F1E9D" w:rsidRPr="001F1E9D">
        <w:rPr>
          <w:rFonts w:ascii="Verdana" w:hAnsi="Verdana" w:cs="Arial"/>
          <w:lang w:val="es-ES_tradnl"/>
        </w:rPr>
        <w:t xml:space="preserve"> </w:t>
      </w:r>
      <w:r w:rsidR="001F1E9D" w:rsidRPr="001F1E9D">
        <w:rPr>
          <w:rFonts w:ascii="Verdana" w:eastAsia="Calibri" w:hAnsi="Verdana" w:cs="Arial"/>
          <w:lang w:val="es-ES" w:eastAsia="es-ES"/>
        </w:rPr>
        <w:t>IUS-E-2024-582035 y IUC-D-2024-3824041</w:t>
      </w:r>
      <w:r w:rsidR="001F1E9D" w:rsidRPr="001F1E9D">
        <w:rPr>
          <w:rFonts w:ascii="Verdana" w:hAnsi="Verdana" w:cs="Arial"/>
          <w:lang w:val="es-ES_tradnl"/>
        </w:rPr>
        <w:t xml:space="preserve"> es responsabilidad única y exclusiva de la </w:t>
      </w:r>
      <w:r w:rsidR="001F1E9D">
        <w:rPr>
          <w:rFonts w:ascii="Verdana" w:eastAsia="Calibri" w:hAnsi="Verdana" w:cs="Arial"/>
          <w:lang w:val="es-ES" w:eastAsia="es-ES"/>
        </w:rPr>
        <w:t>Procuraduría General de la Nación</w:t>
      </w:r>
      <w:r w:rsidR="001F1E9D" w:rsidRPr="001F1E9D">
        <w:rPr>
          <w:rFonts w:ascii="Verdana" w:hAnsi="Verdana" w:cs="Arial"/>
          <w:lang w:val="es-ES_tradnl"/>
        </w:rPr>
        <w:t>.</w:t>
      </w:r>
    </w:p>
    <w:p w14:paraId="00BDA056" w14:textId="05BCB72C" w:rsidR="00A91FB7" w:rsidRPr="001F1E9D" w:rsidRDefault="00A91FB7" w:rsidP="00A91FB7">
      <w:pPr>
        <w:widowControl w:val="0"/>
        <w:autoSpaceDE w:val="0"/>
        <w:autoSpaceDN w:val="0"/>
        <w:spacing w:after="0" w:line="276" w:lineRule="auto"/>
        <w:jc w:val="both"/>
        <w:rPr>
          <w:rFonts w:ascii="Verdana" w:hAnsi="Verdana" w:cs="Arial"/>
          <w:lang w:val="es-ES_tradnl"/>
        </w:rPr>
      </w:pPr>
    </w:p>
    <w:p w14:paraId="3CECADB7" w14:textId="00F7F1BF" w:rsidR="00CD2E70" w:rsidRPr="00593A5F" w:rsidRDefault="00A91FB7" w:rsidP="00CD2E70">
      <w:pPr>
        <w:spacing w:after="0" w:line="240" w:lineRule="auto"/>
        <w:rPr>
          <w:rFonts w:ascii="Verdana" w:hAnsi="Verdana" w:cs="Arial"/>
          <w:lang w:eastAsia="es-CO"/>
        </w:rPr>
      </w:pPr>
      <w:r w:rsidRPr="00593A5F">
        <w:rPr>
          <w:rFonts w:ascii="Verdana" w:eastAsia="Times New Roman" w:hAnsi="Verdana" w:cs="Arial"/>
          <w:lang w:eastAsia="es-CO"/>
        </w:rPr>
        <w:t>Atentamente,</w:t>
      </w:r>
      <w:r w:rsidR="00CD2E70" w:rsidRPr="00593A5F">
        <w:rPr>
          <w:rFonts w:ascii="Verdana" w:hAnsi="Verdana" w:cs="Arial"/>
          <w:lang w:eastAsia="es-CO"/>
        </w:rPr>
        <w:t xml:space="preserve"> </w:t>
      </w:r>
    </w:p>
    <w:p w14:paraId="5ED111D5" w14:textId="42DEA547" w:rsidR="00CD2E70" w:rsidRPr="00593A5F" w:rsidRDefault="00DB2245" w:rsidP="00CD2E70">
      <w:pPr>
        <w:spacing w:line="276" w:lineRule="auto"/>
        <w:jc w:val="center"/>
        <w:rPr>
          <w:rFonts w:ascii="Verdana" w:hAnsi="Verdana" w:cs="Arial"/>
          <w:color w:val="000000"/>
          <w:lang w:val="es-ES_tradnl" w:eastAsia="es-CO"/>
        </w:rPr>
      </w:pPr>
      <w:r>
        <w:rPr>
          <w:noProof/>
        </w:rPr>
        <w:drawing>
          <wp:inline distT="0" distB="0" distL="0" distR="0" wp14:anchorId="72776B55" wp14:editId="6A5D9436">
            <wp:extent cx="3705225" cy="1590675"/>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a:blip r:embed="rId16"/>
                    <a:stretch>
                      <a:fillRect/>
                    </a:stretch>
                  </pic:blipFill>
                  <pic:spPr>
                    <a:xfrm>
                      <a:off x="0" y="0"/>
                      <a:ext cx="3705225" cy="15906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D2E70" w:rsidRPr="00593A5F" w14:paraId="2DBC770D" w14:textId="77777777" w:rsidTr="003751C7">
        <w:trPr>
          <w:trHeight w:val="315"/>
        </w:trPr>
        <w:tc>
          <w:tcPr>
            <w:tcW w:w="893" w:type="dxa"/>
            <w:vAlign w:val="center"/>
            <w:hideMark/>
          </w:tcPr>
          <w:p w14:paraId="15A5F5BE" w14:textId="77777777" w:rsidR="00CD2E70" w:rsidRPr="003751C7" w:rsidRDefault="00CD2E70" w:rsidP="0044122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EF9E9C" w14:textId="77777777" w:rsidR="00254A7A" w:rsidRPr="00254A7A" w:rsidRDefault="00254A7A" w:rsidP="00254A7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AB49B73" w14:textId="0FA4CDFF" w:rsidR="00CD2E70" w:rsidRPr="00254A7A" w:rsidRDefault="00254A7A" w:rsidP="00254A7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D2E70" w:rsidRPr="00593A5F" w14:paraId="54ECFA9D" w14:textId="77777777" w:rsidTr="003751C7">
        <w:trPr>
          <w:trHeight w:val="330"/>
        </w:trPr>
        <w:tc>
          <w:tcPr>
            <w:tcW w:w="893" w:type="dxa"/>
            <w:vAlign w:val="center"/>
            <w:hideMark/>
          </w:tcPr>
          <w:p w14:paraId="322FF342" w14:textId="77777777" w:rsidR="00CD2E70" w:rsidRPr="003751C7" w:rsidRDefault="00CD2E70" w:rsidP="0044122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C7A40D" w14:textId="77777777" w:rsidR="00E44E04" w:rsidRPr="00E44E04" w:rsidRDefault="00E44E04" w:rsidP="00E44E04">
            <w:pPr>
              <w:pStyle w:val="paragraph"/>
              <w:spacing w:after="0"/>
              <w:contextualSpacing/>
              <w:textAlignment w:val="baseline"/>
              <w:rPr>
                <w:rStyle w:val="normaltextrun"/>
                <w:rFonts w:ascii="Verdana" w:hAnsi="Verdana" w:cs="Arial"/>
                <w:sz w:val="16"/>
                <w:szCs w:val="16"/>
                <w:lang w:val="es-ES"/>
              </w:rPr>
            </w:pPr>
            <w:r w:rsidRPr="00E44E04">
              <w:rPr>
                <w:rStyle w:val="normaltextrun"/>
                <w:rFonts w:ascii="Verdana" w:hAnsi="Verdana" w:cs="Arial"/>
                <w:sz w:val="16"/>
                <w:szCs w:val="16"/>
                <w:lang w:val="es-ES"/>
              </w:rPr>
              <w:t>Alejandro Sarmiento Cantillo</w:t>
            </w:r>
          </w:p>
          <w:p w14:paraId="6B05B490" w14:textId="13ED6C1B" w:rsidR="00CD2E70" w:rsidRPr="00254A7A" w:rsidRDefault="00E44E04" w:rsidP="00E44E04">
            <w:pPr>
              <w:pStyle w:val="paragraph"/>
              <w:spacing w:before="0" w:beforeAutospacing="0" w:after="0" w:afterAutospacing="0"/>
              <w:contextualSpacing/>
              <w:textAlignment w:val="baseline"/>
              <w:rPr>
                <w:rFonts w:ascii="Verdana" w:hAnsi="Verdana" w:cs="Segoe UI"/>
                <w:sz w:val="16"/>
                <w:szCs w:val="16"/>
              </w:rPr>
            </w:pPr>
            <w:r w:rsidRPr="00E44E04">
              <w:rPr>
                <w:rStyle w:val="normaltextrun"/>
                <w:rFonts w:ascii="Verdana" w:hAnsi="Verdana" w:cs="Arial"/>
                <w:sz w:val="16"/>
                <w:szCs w:val="16"/>
                <w:lang w:val="es-ES"/>
              </w:rPr>
              <w:t>Gestor T1 ‒ 15 de la Subdirección de Gestión Contractual</w:t>
            </w:r>
          </w:p>
        </w:tc>
      </w:tr>
      <w:tr w:rsidR="00CD2E70" w:rsidRPr="00593A5F" w14:paraId="3D2C2D00" w14:textId="77777777" w:rsidTr="003751C7">
        <w:trPr>
          <w:trHeight w:val="300"/>
        </w:trPr>
        <w:tc>
          <w:tcPr>
            <w:tcW w:w="893" w:type="dxa"/>
            <w:vAlign w:val="center"/>
          </w:tcPr>
          <w:p w14:paraId="22572E15" w14:textId="77777777" w:rsidR="00CD2E70" w:rsidRPr="003751C7" w:rsidRDefault="00CD2E70" w:rsidP="0044122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58F9554" w14:textId="77777777" w:rsidR="00CD2E70" w:rsidRPr="003751C7" w:rsidRDefault="00CD2E70" w:rsidP="0044122F">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06065BE" w14:textId="77777777" w:rsidR="00CD2E70" w:rsidRPr="003751C7" w:rsidRDefault="00CD2E70" w:rsidP="0044122F">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0083C991" w14:textId="62C71FF5" w:rsidR="5D8505AD" w:rsidRPr="00593A5F" w:rsidRDefault="5D8505AD" w:rsidP="00BE73FA">
      <w:pPr>
        <w:spacing w:after="0" w:line="240" w:lineRule="auto"/>
        <w:rPr>
          <w:rFonts w:ascii="Verdana" w:eastAsia="Times New Roman" w:hAnsi="Verdana" w:cs="Arial"/>
          <w:sz w:val="24"/>
          <w:szCs w:val="24"/>
          <w:lang w:eastAsia="es-ES"/>
        </w:rPr>
      </w:pPr>
    </w:p>
    <w:sectPr w:rsidR="5D8505AD" w:rsidRPr="00593A5F" w:rsidSect="00C44B4C">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1DD925" w14:textId="77777777" w:rsidR="008D315D" w:rsidRDefault="008D315D" w:rsidP="00B30448">
      <w:pPr>
        <w:spacing w:after="0" w:line="240" w:lineRule="auto"/>
      </w:pPr>
      <w:r>
        <w:separator/>
      </w:r>
    </w:p>
  </w:endnote>
  <w:endnote w:type="continuationSeparator" w:id="0">
    <w:p w14:paraId="28D40E1B" w14:textId="77777777" w:rsidR="008D315D" w:rsidRDefault="008D315D" w:rsidP="00B30448">
      <w:pPr>
        <w:spacing w:after="0" w:line="240" w:lineRule="auto"/>
      </w:pPr>
      <w:r>
        <w:continuationSeparator/>
      </w:r>
    </w:p>
  </w:endnote>
  <w:endnote w:type="continuationNotice" w:id="1">
    <w:p w14:paraId="7D86EA3A" w14:textId="77777777" w:rsidR="008D315D" w:rsidRDefault="008D31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08A348" w14:textId="77777777" w:rsidR="008D315D" w:rsidRDefault="008D315D" w:rsidP="00B30448">
      <w:pPr>
        <w:spacing w:after="0" w:line="240" w:lineRule="auto"/>
      </w:pPr>
      <w:r>
        <w:separator/>
      </w:r>
    </w:p>
  </w:footnote>
  <w:footnote w:type="continuationSeparator" w:id="0">
    <w:p w14:paraId="22198C58" w14:textId="77777777" w:rsidR="008D315D" w:rsidRDefault="008D315D" w:rsidP="00B30448">
      <w:pPr>
        <w:spacing w:after="0" w:line="240" w:lineRule="auto"/>
      </w:pPr>
      <w:r>
        <w:continuationSeparator/>
      </w:r>
    </w:p>
  </w:footnote>
  <w:footnote w:type="continuationNotice" w:id="1">
    <w:p w14:paraId="66F7ACA7" w14:textId="77777777" w:rsidR="008D315D" w:rsidRDefault="008D315D">
      <w:pPr>
        <w:spacing w:after="0" w:line="240" w:lineRule="auto"/>
      </w:pPr>
    </w:p>
  </w:footnote>
  <w:footnote w:id="2">
    <w:p w14:paraId="10895590" w14:textId="77777777" w:rsidR="002D5DFC" w:rsidRPr="00B10D41" w:rsidRDefault="002D5DFC" w:rsidP="002D5DFC">
      <w:pPr>
        <w:pStyle w:val="Textonotapie"/>
        <w:ind w:firstLine="708"/>
        <w:jc w:val="both"/>
        <w:rPr>
          <w:rFonts w:ascii="Verdana" w:hAnsi="Verdana" w:cs="Arial"/>
          <w:sz w:val="16"/>
          <w:szCs w:val="16"/>
        </w:rPr>
      </w:pPr>
      <w:r w:rsidRPr="00B10D41">
        <w:rPr>
          <w:rStyle w:val="Refdenotaalpie"/>
          <w:rFonts w:ascii="Verdana" w:hAnsi="Verdana" w:cs="Arial"/>
          <w:sz w:val="16"/>
          <w:szCs w:val="16"/>
        </w:rPr>
        <w:footnoteRef/>
      </w:r>
      <w:r w:rsidRPr="00B10D41">
        <w:rPr>
          <w:rFonts w:ascii="Verdana" w:hAnsi="Verdana"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B10D41">
        <w:rPr>
          <w:rFonts w:ascii="Verdana" w:hAnsi="Verdana" w:cs="Arial"/>
          <w:i/>
          <w:iCs/>
          <w:sz w:val="16"/>
          <w:szCs w:val="16"/>
        </w:rPr>
        <w:t xml:space="preserve">ibidem </w:t>
      </w:r>
      <w:r w:rsidRPr="00B10D41">
        <w:rPr>
          <w:rFonts w:ascii="Verdana" w:hAnsi="Verdana"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6FEEE385" w14:textId="77777777" w:rsidR="00B33BA7" w:rsidRPr="00003BC7" w:rsidRDefault="00B33BA7" w:rsidP="00B33BA7">
      <w:pPr>
        <w:pStyle w:val="Textonotapie"/>
        <w:ind w:firstLine="720"/>
        <w:jc w:val="both"/>
        <w:rPr>
          <w:rFonts w:ascii="Century Gothic" w:hAnsi="Century Gothic" w:cs="Arial"/>
          <w:sz w:val="16"/>
          <w:szCs w:val="16"/>
        </w:rPr>
      </w:pPr>
      <w:r w:rsidRPr="00003BC7">
        <w:rPr>
          <w:rStyle w:val="Refdenotaalpie"/>
          <w:rFonts w:ascii="Century Gothic" w:hAnsi="Century Gothic" w:cs="Arial"/>
          <w:sz w:val="16"/>
          <w:szCs w:val="16"/>
        </w:rPr>
        <w:footnoteRef/>
      </w:r>
      <w:r w:rsidRPr="00003BC7">
        <w:rPr>
          <w:rFonts w:ascii="Century Gothic" w:hAnsi="Century Gothic" w:cs="Arial"/>
          <w:sz w:val="16"/>
          <w:szCs w:val="16"/>
        </w:rPr>
        <w:t xml:space="preserve"> CORTE CONSTITUCIONAL. Sentencia C-949 del 5 de septiembre de 2001. M.P. Clara Inés Vargas Hernández.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9776"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4656"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44511AA"/>
    <w:multiLevelType w:val="hybridMultilevel"/>
    <w:tmpl w:val="BDD876F8"/>
    <w:lvl w:ilvl="0" w:tplc="71B6B170">
      <w:numFmt w:val="bullet"/>
      <w:lvlText w:val="–"/>
      <w:lvlJc w:val="left"/>
      <w:pPr>
        <w:ind w:left="1069" w:hanging="360"/>
      </w:pPr>
      <w:rPr>
        <w:rFonts w:ascii="Verdana" w:eastAsiaTheme="minorHAnsi" w:hAnsi="Verdana"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6" w15:restartNumberingAfterBreak="0">
    <w:nsid w:val="7C190BA4"/>
    <w:multiLevelType w:val="hybridMultilevel"/>
    <w:tmpl w:val="2ED2866E"/>
    <w:lvl w:ilvl="0" w:tplc="AA806230">
      <w:start w:val="1"/>
      <w:numFmt w:val="decimal"/>
      <w:lvlText w:val="%1."/>
      <w:lvlJc w:val="left"/>
      <w:pPr>
        <w:ind w:left="1028" w:hanging="221"/>
      </w:pPr>
      <w:rPr>
        <w:rFonts w:ascii="Arial" w:eastAsia="Arial" w:hAnsi="Arial" w:cs="Arial" w:hint="default"/>
        <w:color w:val="auto"/>
        <w:spacing w:val="-2"/>
        <w:w w:val="100"/>
        <w:sz w:val="22"/>
        <w:szCs w:val="22"/>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num w:numId="1" w16cid:durableId="1330140246">
    <w:abstractNumId w:val="0"/>
  </w:num>
  <w:num w:numId="2" w16cid:durableId="1492209491">
    <w:abstractNumId w:val="2"/>
  </w:num>
  <w:num w:numId="3" w16cid:durableId="679089576">
    <w:abstractNumId w:val="3"/>
  </w:num>
  <w:num w:numId="4" w16cid:durableId="1354501995">
    <w:abstractNumId w:val="5"/>
  </w:num>
  <w:num w:numId="5" w16cid:durableId="876742304">
    <w:abstractNumId w:val="1"/>
  </w:num>
  <w:num w:numId="6" w16cid:durableId="658970328">
    <w:abstractNumId w:val="4"/>
  </w:num>
  <w:num w:numId="7" w16cid:durableId="20298646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59AE"/>
    <w:rsid w:val="00005BB0"/>
    <w:rsid w:val="00005DE5"/>
    <w:rsid w:val="00006F59"/>
    <w:rsid w:val="0001025F"/>
    <w:rsid w:val="00010325"/>
    <w:rsid w:val="0001222D"/>
    <w:rsid w:val="00016280"/>
    <w:rsid w:val="00016F04"/>
    <w:rsid w:val="000307C2"/>
    <w:rsid w:val="00031EAF"/>
    <w:rsid w:val="00033390"/>
    <w:rsid w:val="0003586C"/>
    <w:rsid w:val="0004141B"/>
    <w:rsid w:val="00042DD7"/>
    <w:rsid w:val="000442CC"/>
    <w:rsid w:val="0005620B"/>
    <w:rsid w:val="00057963"/>
    <w:rsid w:val="00060C87"/>
    <w:rsid w:val="00065C6D"/>
    <w:rsid w:val="000716AB"/>
    <w:rsid w:val="00071AB8"/>
    <w:rsid w:val="00084609"/>
    <w:rsid w:val="00087073"/>
    <w:rsid w:val="00087C01"/>
    <w:rsid w:val="000914CC"/>
    <w:rsid w:val="000939AB"/>
    <w:rsid w:val="00094663"/>
    <w:rsid w:val="000B1FF7"/>
    <w:rsid w:val="000B4024"/>
    <w:rsid w:val="000C060A"/>
    <w:rsid w:val="000C09DF"/>
    <w:rsid w:val="000C42A9"/>
    <w:rsid w:val="000F1AD8"/>
    <w:rsid w:val="000F414C"/>
    <w:rsid w:val="000F718E"/>
    <w:rsid w:val="001010D3"/>
    <w:rsid w:val="001024B0"/>
    <w:rsid w:val="0011037E"/>
    <w:rsid w:val="00110F73"/>
    <w:rsid w:val="00113E3D"/>
    <w:rsid w:val="0011428D"/>
    <w:rsid w:val="001264C2"/>
    <w:rsid w:val="0013326A"/>
    <w:rsid w:val="0013343F"/>
    <w:rsid w:val="001344F9"/>
    <w:rsid w:val="001350C8"/>
    <w:rsid w:val="001363C7"/>
    <w:rsid w:val="00143F21"/>
    <w:rsid w:val="0014420C"/>
    <w:rsid w:val="00151AD8"/>
    <w:rsid w:val="00161E13"/>
    <w:rsid w:val="00164AE0"/>
    <w:rsid w:val="001711F6"/>
    <w:rsid w:val="0017120C"/>
    <w:rsid w:val="00172DDC"/>
    <w:rsid w:val="00172F3A"/>
    <w:rsid w:val="00173477"/>
    <w:rsid w:val="00182C89"/>
    <w:rsid w:val="001918F1"/>
    <w:rsid w:val="0019196E"/>
    <w:rsid w:val="00197205"/>
    <w:rsid w:val="001A3D89"/>
    <w:rsid w:val="001B143B"/>
    <w:rsid w:val="001B21CA"/>
    <w:rsid w:val="001B3B84"/>
    <w:rsid w:val="001B5A00"/>
    <w:rsid w:val="001C002C"/>
    <w:rsid w:val="001C3E6F"/>
    <w:rsid w:val="001C6C6F"/>
    <w:rsid w:val="001D0D32"/>
    <w:rsid w:val="001D1AB9"/>
    <w:rsid w:val="001D733B"/>
    <w:rsid w:val="001E075A"/>
    <w:rsid w:val="001E0902"/>
    <w:rsid w:val="001E3FCB"/>
    <w:rsid w:val="001F1E9D"/>
    <w:rsid w:val="002000AA"/>
    <w:rsid w:val="00204109"/>
    <w:rsid w:val="00212897"/>
    <w:rsid w:val="00213863"/>
    <w:rsid w:val="00215516"/>
    <w:rsid w:val="002204BF"/>
    <w:rsid w:val="00222802"/>
    <w:rsid w:val="002267D2"/>
    <w:rsid w:val="00235F30"/>
    <w:rsid w:val="002407CE"/>
    <w:rsid w:val="00243975"/>
    <w:rsid w:val="002450F2"/>
    <w:rsid w:val="00247BDE"/>
    <w:rsid w:val="002509E7"/>
    <w:rsid w:val="00254A7A"/>
    <w:rsid w:val="0025575F"/>
    <w:rsid w:val="00257DE3"/>
    <w:rsid w:val="00264C7C"/>
    <w:rsid w:val="00267E23"/>
    <w:rsid w:val="00270443"/>
    <w:rsid w:val="00270EE2"/>
    <w:rsid w:val="00272A7B"/>
    <w:rsid w:val="00273527"/>
    <w:rsid w:val="00274B06"/>
    <w:rsid w:val="002770C3"/>
    <w:rsid w:val="00286BFE"/>
    <w:rsid w:val="00286DBB"/>
    <w:rsid w:val="0028709F"/>
    <w:rsid w:val="00297785"/>
    <w:rsid w:val="002A0F8D"/>
    <w:rsid w:val="002A30BA"/>
    <w:rsid w:val="002B3F1C"/>
    <w:rsid w:val="002B6E44"/>
    <w:rsid w:val="002C7E5B"/>
    <w:rsid w:val="002D5DFC"/>
    <w:rsid w:val="002E26E8"/>
    <w:rsid w:val="002E5466"/>
    <w:rsid w:val="002F188D"/>
    <w:rsid w:val="002F317F"/>
    <w:rsid w:val="002F7AA9"/>
    <w:rsid w:val="00302A49"/>
    <w:rsid w:val="00312A21"/>
    <w:rsid w:val="00314FAF"/>
    <w:rsid w:val="003268BE"/>
    <w:rsid w:val="00327D10"/>
    <w:rsid w:val="00332CB9"/>
    <w:rsid w:val="0033601B"/>
    <w:rsid w:val="00340039"/>
    <w:rsid w:val="00340DFB"/>
    <w:rsid w:val="003422BB"/>
    <w:rsid w:val="00343B47"/>
    <w:rsid w:val="0034404F"/>
    <w:rsid w:val="00345F01"/>
    <w:rsid w:val="0035073D"/>
    <w:rsid w:val="00352327"/>
    <w:rsid w:val="00352975"/>
    <w:rsid w:val="0035635F"/>
    <w:rsid w:val="003617AE"/>
    <w:rsid w:val="003651AC"/>
    <w:rsid w:val="00366120"/>
    <w:rsid w:val="00367462"/>
    <w:rsid w:val="00370507"/>
    <w:rsid w:val="00372A01"/>
    <w:rsid w:val="003751C7"/>
    <w:rsid w:val="0037563C"/>
    <w:rsid w:val="0039082A"/>
    <w:rsid w:val="0039101F"/>
    <w:rsid w:val="00396DBB"/>
    <w:rsid w:val="003974BC"/>
    <w:rsid w:val="003A6E29"/>
    <w:rsid w:val="003C0F87"/>
    <w:rsid w:val="003C4C96"/>
    <w:rsid w:val="003C55E0"/>
    <w:rsid w:val="003D0079"/>
    <w:rsid w:val="003E0E25"/>
    <w:rsid w:val="003F5B9F"/>
    <w:rsid w:val="00403634"/>
    <w:rsid w:val="00404592"/>
    <w:rsid w:val="0040544F"/>
    <w:rsid w:val="00411593"/>
    <w:rsid w:val="00411B17"/>
    <w:rsid w:val="0041222D"/>
    <w:rsid w:val="00415608"/>
    <w:rsid w:val="0042057C"/>
    <w:rsid w:val="00420D9C"/>
    <w:rsid w:val="00421401"/>
    <w:rsid w:val="00421608"/>
    <w:rsid w:val="004408C4"/>
    <w:rsid w:val="00447595"/>
    <w:rsid w:val="00450744"/>
    <w:rsid w:val="00450BE7"/>
    <w:rsid w:val="00455B00"/>
    <w:rsid w:val="00477459"/>
    <w:rsid w:val="0048026E"/>
    <w:rsid w:val="004807A9"/>
    <w:rsid w:val="004813EE"/>
    <w:rsid w:val="00485702"/>
    <w:rsid w:val="00487069"/>
    <w:rsid w:val="00491241"/>
    <w:rsid w:val="00493278"/>
    <w:rsid w:val="00497345"/>
    <w:rsid w:val="00497575"/>
    <w:rsid w:val="004A56BA"/>
    <w:rsid w:val="004A5849"/>
    <w:rsid w:val="004B06C3"/>
    <w:rsid w:val="004B0B09"/>
    <w:rsid w:val="004B140F"/>
    <w:rsid w:val="004B5D6E"/>
    <w:rsid w:val="004C1619"/>
    <w:rsid w:val="004C4EA2"/>
    <w:rsid w:val="004C60E7"/>
    <w:rsid w:val="004D11AF"/>
    <w:rsid w:val="004E2F60"/>
    <w:rsid w:val="004E461B"/>
    <w:rsid w:val="004F0D0D"/>
    <w:rsid w:val="004F0D19"/>
    <w:rsid w:val="004F62E8"/>
    <w:rsid w:val="004F78F8"/>
    <w:rsid w:val="005019AA"/>
    <w:rsid w:val="00501E29"/>
    <w:rsid w:val="00502307"/>
    <w:rsid w:val="00510F54"/>
    <w:rsid w:val="005147DA"/>
    <w:rsid w:val="00515745"/>
    <w:rsid w:val="00516942"/>
    <w:rsid w:val="005233F3"/>
    <w:rsid w:val="0052365C"/>
    <w:rsid w:val="00525B59"/>
    <w:rsid w:val="00533DBF"/>
    <w:rsid w:val="00536442"/>
    <w:rsid w:val="005426DB"/>
    <w:rsid w:val="00550113"/>
    <w:rsid w:val="0055082B"/>
    <w:rsid w:val="0055211C"/>
    <w:rsid w:val="00552B57"/>
    <w:rsid w:val="00582197"/>
    <w:rsid w:val="005872DD"/>
    <w:rsid w:val="00590E93"/>
    <w:rsid w:val="00591C75"/>
    <w:rsid w:val="00592D10"/>
    <w:rsid w:val="00593A5F"/>
    <w:rsid w:val="00595E02"/>
    <w:rsid w:val="005A4DB0"/>
    <w:rsid w:val="005A6AC2"/>
    <w:rsid w:val="005A7B26"/>
    <w:rsid w:val="005A7B8E"/>
    <w:rsid w:val="005B012B"/>
    <w:rsid w:val="005B0C87"/>
    <w:rsid w:val="005B2195"/>
    <w:rsid w:val="005B552C"/>
    <w:rsid w:val="005B6557"/>
    <w:rsid w:val="005B7798"/>
    <w:rsid w:val="005C3E9E"/>
    <w:rsid w:val="005D5BDC"/>
    <w:rsid w:val="005D72FC"/>
    <w:rsid w:val="005E1218"/>
    <w:rsid w:val="005E2281"/>
    <w:rsid w:val="005E667C"/>
    <w:rsid w:val="005E6A1D"/>
    <w:rsid w:val="005E6F12"/>
    <w:rsid w:val="005F077C"/>
    <w:rsid w:val="005F2163"/>
    <w:rsid w:val="006040CE"/>
    <w:rsid w:val="0060467D"/>
    <w:rsid w:val="00607390"/>
    <w:rsid w:val="00612A8E"/>
    <w:rsid w:val="00623BC7"/>
    <w:rsid w:val="00627788"/>
    <w:rsid w:val="006300CD"/>
    <w:rsid w:val="0063017E"/>
    <w:rsid w:val="00631D4F"/>
    <w:rsid w:val="0064019C"/>
    <w:rsid w:val="006413D8"/>
    <w:rsid w:val="00656385"/>
    <w:rsid w:val="0066351C"/>
    <w:rsid w:val="00664693"/>
    <w:rsid w:val="006651CC"/>
    <w:rsid w:val="00670702"/>
    <w:rsid w:val="006759B0"/>
    <w:rsid w:val="00677012"/>
    <w:rsid w:val="006825B4"/>
    <w:rsid w:val="006829BA"/>
    <w:rsid w:val="00682AF2"/>
    <w:rsid w:val="00684AB8"/>
    <w:rsid w:val="00687628"/>
    <w:rsid w:val="006A3C8A"/>
    <w:rsid w:val="006A3E61"/>
    <w:rsid w:val="006A6737"/>
    <w:rsid w:val="006C262B"/>
    <w:rsid w:val="006C7535"/>
    <w:rsid w:val="006E0443"/>
    <w:rsid w:val="006E0DCF"/>
    <w:rsid w:val="006E429F"/>
    <w:rsid w:val="006E6F30"/>
    <w:rsid w:val="006E7258"/>
    <w:rsid w:val="006F193C"/>
    <w:rsid w:val="006F2B89"/>
    <w:rsid w:val="006F3B81"/>
    <w:rsid w:val="006F4F79"/>
    <w:rsid w:val="00702BC3"/>
    <w:rsid w:val="007036FE"/>
    <w:rsid w:val="00705B37"/>
    <w:rsid w:val="00706A29"/>
    <w:rsid w:val="00706B65"/>
    <w:rsid w:val="00707C1A"/>
    <w:rsid w:val="0071023D"/>
    <w:rsid w:val="007168A0"/>
    <w:rsid w:val="00717762"/>
    <w:rsid w:val="007222AB"/>
    <w:rsid w:val="00741175"/>
    <w:rsid w:val="0074173A"/>
    <w:rsid w:val="00742606"/>
    <w:rsid w:val="0074323F"/>
    <w:rsid w:val="007441FF"/>
    <w:rsid w:val="007467E4"/>
    <w:rsid w:val="00747569"/>
    <w:rsid w:val="0075741A"/>
    <w:rsid w:val="00760EED"/>
    <w:rsid w:val="00761F4F"/>
    <w:rsid w:val="00762B8B"/>
    <w:rsid w:val="00772B41"/>
    <w:rsid w:val="00773F1E"/>
    <w:rsid w:val="00781D35"/>
    <w:rsid w:val="00782E10"/>
    <w:rsid w:val="007946EC"/>
    <w:rsid w:val="00797131"/>
    <w:rsid w:val="00797235"/>
    <w:rsid w:val="007A5ACE"/>
    <w:rsid w:val="007A6528"/>
    <w:rsid w:val="007B0339"/>
    <w:rsid w:val="007B3F87"/>
    <w:rsid w:val="007C2E98"/>
    <w:rsid w:val="007C2F60"/>
    <w:rsid w:val="007C4BB0"/>
    <w:rsid w:val="007C6BC6"/>
    <w:rsid w:val="007C7E01"/>
    <w:rsid w:val="007E2419"/>
    <w:rsid w:val="007E6C0C"/>
    <w:rsid w:val="007F038C"/>
    <w:rsid w:val="007F222B"/>
    <w:rsid w:val="007F3092"/>
    <w:rsid w:val="007F5911"/>
    <w:rsid w:val="00801A0E"/>
    <w:rsid w:val="0080662C"/>
    <w:rsid w:val="00807D79"/>
    <w:rsid w:val="00811DAC"/>
    <w:rsid w:val="00814178"/>
    <w:rsid w:val="008143CD"/>
    <w:rsid w:val="008149D8"/>
    <w:rsid w:val="0082456D"/>
    <w:rsid w:val="00834EA4"/>
    <w:rsid w:val="00837C6A"/>
    <w:rsid w:val="0084139B"/>
    <w:rsid w:val="008427D3"/>
    <w:rsid w:val="008457D2"/>
    <w:rsid w:val="00846212"/>
    <w:rsid w:val="008468E0"/>
    <w:rsid w:val="00852ADD"/>
    <w:rsid w:val="0085309C"/>
    <w:rsid w:val="0085423D"/>
    <w:rsid w:val="008544C5"/>
    <w:rsid w:val="00861C6C"/>
    <w:rsid w:val="008636EE"/>
    <w:rsid w:val="008638A5"/>
    <w:rsid w:val="008706A7"/>
    <w:rsid w:val="008755E7"/>
    <w:rsid w:val="00877D03"/>
    <w:rsid w:val="00877E96"/>
    <w:rsid w:val="00887B37"/>
    <w:rsid w:val="00890598"/>
    <w:rsid w:val="0089065A"/>
    <w:rsid w:val="00891DFC"/>
    <w:rsid w:val="008A4AEC"/>
    <w:rsid w:val="008A6440"/>
    <w:rsid w:val="008B2B19"/>
    <w:rsid w:val="008B3627"/>
    <w:rsid w:val="008B7914"/>
    <w:rsid w:val="008C2C7F"/>
    <w:rsid w:val="008C5D2A"/>
    <w:rsid w:val="008C7AF4"/>
    <w:rsid w:val="008D0AB0"/>
    <w:rsid w:val="008D0DEF"/>
    <w:rsid w:val="008D1079"/>
    <w:rsid w:val="008D315D"/>
    <w:rsid w:val="008D3994"/>
    <w:rsid w:val="008D663C"/>
    <w:rsid w:val="008E6AD9"/>
    <w:rsid w:val="008F27E3"/>
    <w:rsid w:val="008F3AC3"/>
    <w:rsid w:val="0090408E"/>
    <w:rsid w:val="009050B7"/>
    <w:rsid w:val="009061B8"/>
    <w:rsid w:val="00911B03"/>
    <w:rsid w:val="00915CD5"/>
    <w:rsid w:val="00916093"/>
    <w:rsid w:val="0091639C"/>
    <w:rsid w:val="009255FA"/>
    <w:rsid w:val="009262E4"/>
    <w:rsid w:val="00930BB6"/>
    <w:rsid w:val="00932E7E"/>
    <w:rsid w:val="009331E8"/>
    <w:rsid w:val="009442E8"/>
    <w:rsid w:val="00947235"/>
    <w:rsid w:val="00952524"/>
    <w:rsid w:val="0095426C"/>
    <w:rsid w:val="00957CC8"/>
    <w:rsid w:val="00964166"/>
    <w:rsid w:val="00964D1A"/>
    <w:rsid w:val="0096562A"/>
    <w:rsid w:val="00965865"/>
    <w:rsid w:val="00967730"/>
    <w:rsid w:val="00971074"/>
    <w:rsid w:val="00971515"/>
    <w:rsid w:val="009747AA"/>
    <w:rsid w:val="00974BCB"/>
    <w:rsid w:val="00985B04"/>
    <w:rsid w:val="00992986"/>
    <w:rsid w:val="00994B55"/>
    <w:rsid w:val="00995D86"/>
    <w:rsid w:val="009A1F6B"/>
    <w:rsid w:val="009A25E0"/>
    <w:rsid w:val="009A2AEB"/>
    <w:rsid w:val="009A2DD8"/>
    <w:rsid w:val="009A5453"/>
    <w:rsid w:val="009A671E"/>
    <w:rsid w:val="009A7883"/>
    <w:rsid w:val="009C08D7"/>
    <w:rsid w:val="009C4E0D"/>
    <w:rsid w:val="009D3E06"/>
    <w:rsid w:val="009D638D"/>
    <w:rsid w:val="009D79EE"/>
    <w:rsid w:val="009E03E6"/>
    <w:rsid w:val="009E1E37"/>
    <w:rsid w:val="009E212A"/>
    <w:rsid w:val="009E4885"/>
    <w:rsid w:val="009F0A85"/>
    <w:rsid w:val="009F1423"/>
    <w:rsid w:val="009F2D84"/>
    <w:rsid w:val="00A07924"/>
    <w:rsid w:val="00A07A23"/>
    <w:rsid w:val="00A07DB6"/>
    <w:rsid w:val="00A11406"/>
    <w:rsid w:val="00A1554D"/>
    <w:rsid w:val="00A172E0"/>
    <w:rsid w:val="00A221A3"/>
    <w:rsid w:val="00A223D5"/>
    <w:rsid w:val="00A31E14"/>
    <w:rsid w:val="00A34B7E"/>
    <w:rsid w:val="00A3718B"/>
    <w:rsid w:val="00A37D1C"/>
    <w:rsid w:val="00A37E44"/>
    <w:rsid w:val="00A41FEF"/>
    <w:rsid w:val="00A43636"/>
    <w:rsid w:val="00A47249"/>
    <w:rsid w:val="00A513FD"/>
    <w:rsid w:val="00A53865"/>
    <w:rsid w:val="00A539AD"/>
    <w:rsid w:val="00A540B2"/>
    <w:rsid w:val="00A5530A"/>
    <w:rsid w:val="00A652FF"/>
    <w:rsid w:val="00A714A3"/>
    <w:rsid w:val="00A75EDC"/>
    <w:rsid w:val="00A81E50"/>
    <w:rsid w:val="00A83E49"/>
    <w:rsid w:val="00A84221"/>
    <w:rsid w:val="00A84B7A"/>
    <w:rsid w:val="00A9099E"/>
    <w:rsid w:val="00A91FB7"/>
    <w:rsid w:val="00A9298F"/>
    <w:rsid w:val="00A97F2A"/>
    <w:rsid w:val="00AB1984"/>
    <w:rsid w:val="00AB219D"/>
    <w:rsid w:val="00AB320B"/>
    <w:rsid w:val="00AC4CB3"/>
    <w:rsid w:val="00AC71A6"/>
    <w:rsid w:val="00AC742F"/>
    <w:rsid w:val="00AC774F"/>
    <w:rsid w:val="00AC780D"/>
    <w:rsid w:val="00AC787B"/>
    <w:rsid w:val="00AF1117"/>
    <w:rsid w:val="00AF1555"/>
    <w:rsid w:val="00AF3D62"/>
    <w:rsid w:val="00AF5877"/>
    <w:rsid w:val="00B0104B"/>
    <w:rsid w:val="00B021E0"/>
    <w:rsid w:val="00B03A35"/>
    <w:rsid w:val="00B057B6"/>
    <w:rsid w:val="00B11C80"/>
    <w:rsid w:val="00B13B58"/>
    <w:rsid w:val="00B22870"/>
    <w:rsid w:val="00B235A9"/>
    <w:rsid w:val="00B24BA7"/>
    <w:rsid w:val="00B268D0"/>
    <w:rsid w:val="00B30448"/>
    <w:rsid w:val="00B31315"/>
    <w:rsid w:val="00B33BA7"/>
    <w:rsid w:val="00B40162"/>
    <w:rsid w:val="00B430F6"/>
    <w:rsid w:val="00B45528"/>
    <w:rsid w:val="00B45DE2"/>
    <w:rsid w:val="00B478FA"/>
    <w:rsid w:val="00B50156"/>
    <w:rsid w:val="00B518AD"/>
    <w:rsid w:val="00B54BCA"/>
    <w:rsid w:val="00B60A96"/>
    <w:rsid w:val="00B60EB6"/>
    <w:rsid w:val="00B6323A"/>
    <w:rsid w:val="00B71607"/>
    <w:rsid w:val="00B7658B"/>
    <w:rsid w:val="00B76C94"/>
    <w:rsid w:val="00B772D0"/>
    <w:rsid w:val="00B83117"/>
    <w:rsid w:val="00B86B56"/>
    <w:rsid w:val="00B91B81"/>
    <w:rsid w:val="00B92624"/>
    <w:rsid w:val="00B96799"/>
    <w:rsid w:val="00BA0584"/>
    <w:rsid w:val="00BA249D"/>
    <w:rsid w:val="00BB3BE4"/>
    <w:rsid w:val="00BB57D3"/>
    <w:rsid w:val="00BC077E"/>
    <w:rsid w:val="00BC7632"/>
    <w:rsid w:val="00BD0B8C"/>
    <w:rsid w:val="00BD48A9"/>
    <w:rsid w:val="00BD6B9F"/>
    <w:rsid w:val="00BD7EC6"/>
    <w:rsid w:val="00BE0FF2"/>
    <w:rsid w:val="00BE2147"/>
    <w:rsid w:val="00BE364D"/>
    <w:rsid w:val="00BE5FE3"/>
    <w:rsid w:val="00BE73FA"/>
    <w:rsid w:val="00BF0353"/>
    <w:rsid w:val="00BF3F0A"/>
    <w:rsid w:val="00C00976"/>
    <w:rsid w:val="00C02F8B"/>
    <w:rsid w:val="00C03904"/>
    <w:rsid w:val="00C13607"/>
    <w:rsid w:val="00C21FF0"/>
    <w:rsid w:val="00C22307"/>
    <w:rsid w:val="00C22749"/>
    <w:rsid w:val="00C2515F"/>
    <w:rsid w:val="00C26AEA"/>
    <w:rsid w:val="00C32481"/>
    <w:rsid w:val="00C371DF"/>
    <w:rsid w:val="00C37FF9"/>
    <w:rsid w:val="00C41B4A"/>
    <w:rsid w:val="00C43ADB"/>
    <w:rsid w:val="00C44B4C"/>
    <w:rsid w:val="00C46734"/>
    <w:rsid w:val="00C5105D"/>
    <w:rsid w:val="00C51639"/>
    <w:rsid w:val="00C53220"/>
    <w:rsid w:val="00C53E9D"/>
    <w:rsid w:val="00C621A7"/>
    <w:rsid w:val="00C638A6"/>
    <w:rsid w:val="00C647DF"/>
    <w:rsid w:val="00C7277F"/>
    <w:rsid w:val="00C74930"/>
    <w:rsid w:val="00C84D17"/>
    <w:rsid w:val="00C87D7C"/>
    <w:rsid w:val="00C94A14"/>
    <w:rsid w:val="00CA3347"/>
    <w:rsid w:val="00CA6FDA"/>
    <w:rsid w:val="00CA77CF"/>
    <w:rsid w:val="00CB1ACD"/>
    <w:rsid w:val="00CB68C5"/>
    <w:rsid w:val="00CC299A"/>
    <w:rsid w:val="00CD1E9C"/>
    <w:rsid w:val="00CD2265"/>
    <w:rsid w:val="00CD2E70"/>
    <w:rsid w:val="00CD3D06"/>
    <w:rsid w:val="00CD4A09"/>
    <w:rsid w:val="00CD4C7B"/>
    <w:rsid w:val="00CD5E93"/>
    <w:rsid w:val="00CE37A3"/>
    <w:rsid w:val="00CE3BCB"/>
    <w:rsid w:val="00CF06CF"/>
    <w:rsid w:val="00CF2EE2"/>
    <w:rsid w:val="00CF4FDC"/>
    <w:rsid w:val="00CF5497"/>
    <w:rsid w:val="00D01F5D"/>
    <w:rsid w:val="00D03DBE"/>
    <w:rsid w:val="00D105D1"/>
    <w:rsid w:val="00D11A69"/>
    <w:rsid w:val="00D1484F"/>
    <w:rsid w:val="00D1707A"/>
    <w:rsid w:val="00D21435"/>
    <w:rsid w:val="00D2242C"/>
    <w:rsid w:val="00D258EB"/>
    <w:rsid w:val="00D327A3"/>
    <w:rsid w:val="00D34C82"/>
    <w:rsid w:val="00D379EC"/>
    <w:rsid w:val="00D4240A"/>
    <w:rsid w:val="00D4348D"/>
    <w:rsid w:val="00D44E42"/>
    <w:rsid w:val="00D50961"/>
    <w:rsid w:val="00D512A1"/>
    <w:rsid w:val="00D538D5"/>
    <w:rsid w:val="00D561CD"/>
    <w:rsid w:val="00D56420"/>
    <w:rsid w:val="00D56C0C"/>
    <w:rsid w:val="00D5798B"/>
    <w:rsid w:val="00D71733"/>
    <w:rsid w:val="00D75A81"/>
    <w:rsid w:val="00D769C5"/>
    <w:rsid w:val="00D81A20"/>
    <w:rsid w:val="00D81F55"/>
    <w:rsid w:val="00D8321A"/>
    <w:rsid w:val="00D86D55"/>
    <w:rsid w:val="00DA1806"/>
    <w:rsid w:val="00DA73C1"/>
    <w:rsid w:val="00DB2245"/>
    <w:rsid w:val="00DC2C48"/>
    <w:rsid w:val="00DC525E"/>
    <w:rsid w:val="00DC535C"/>
    <w:rsid w:val="00DD0AFF"/>
    <w:rsid w:val="00DD781E"/>
    <w:rsid w:val="00DD7A2C"/>
    <w:rsid w:val="00DE32E7"/>
    <w:rsid w:val="00DE3BB8"/>
    <w:rsid w:val="00DE5117"/>
    <w:rsid w:val="00DE5648"/>
    <w:rsid w:val="00DE595E"/>
    <w:rsid w:val="00DF310B"/>
    <w:rsid w:val="00E02EAA"/>
    <w:rsid w:val="00E13592"/>
    <w:rsid w:val="00E14818"/>
    <w:rsid w:val="00E1610C"/>
    <w:rsid w:val="00E16D73"/>
    <w:rsid w:val="00E2352B"/>
    <w:rsid w:val="00E23D97"/>
    <w:rsid w:val="00E27F0A"/>
    <w:rsid w:val="00E37DC0"/>
    <w:rsid w:val="00E40D52"/>
    <w:rsid w:val="00E4231E"/>
    <w:rsid w:val="00E44AC7"/>
    <w:rsid w:val="00E44E04"/>
    <w:rsid w:val="00E5084C"/>
    <w:rsid w:val="00E53F2E"/>
    <w:rsid w:val="00E60A16"/>
    <w:rsid w:val="00E635BF"/>
    <w:rsid w:val="00E76C9F"/>
    <w:rsid w:val="00E81611"/>
    <w:rsid w:val="00E82B6E"/>
    <w:rsid w:val="00E835C5"/>
    <w:rsid w:val="00E84D1C"/>
    <w:rsid w:val="00E942B8"/>
    <w:rsid w:val="00E945AF"/>
    <w:rsid w:val="00E95799"/>
    <w:rsid w:val="00E9683D"/>
    <w:rsid w:val="00EA2775"/>
    <w:rsid w:val="00EA612E"/>
    <w:rsid w:val="00EA761C"/>
    <w:rsid w:val="00EA79C2"/>
    <w:rsid w:val="00EA7D7F"/>
    <w:rsid w:val="00EB0B5F"/>
    <w:rsid w:val="00EB2FA2"/>
    <w:rsid w:val="00EB769A"/>
    <w:rsid w:val="00EC3A35"/>
    <w:rsid w:val="00EC3E69"/>
    <w:rsid w:val="00ED0098"/>
    <w:rsid w:val="00ED353D"/>
    <w:rsid w:val="00ED588C"/>
    <w:rsid w:val="00EE17F2"/>
    <w:rsid w:val="00EE188A"/>
    <w:rsid w:val="00EE1B01"/>
    <w:rsid w:val="00EE6755"/>
    <w:rsid w:val="00EF2AC7"/>
    <w:rsid w:val="00EF493F"/>
    <w:rsid w:val="00EF71FA"/>
    <w:rsid w:val="00F12E64"/>
    <w:rsid w:val="00F17428"/>
    <w:rsid w:val="00F314E8"/>
    <w:rsid w:val="00F323A2"/>
    <w:rsid w:val="00F33B57"/>
    <w:rsid w:val="00F33D5C"/>
    <w:rsid w:val="00F356D6"/>
    <w:rsid w:val="00F37D37"/>
    <w:rsid w:val="00F417E8"/>
    <w:rsid w:val="00F45E89"/>
    <w:rsid w:val="00F51520"/>
    <w:rsid w:val="00F535A9"/>
    <w:rsid w:val="00F6375E"/>
    <w:rsid w:val="00F64D5A"/>
    <w:rsid w:val="00F659DA"/>
    <w:rsid w:val="00F66CB1"/>
    <w:rsid w:val="00F710A9"/>
    <w:rsid w:val="00F72FB0"/>
    <w:rsid w:val="00F737A4"/>
    <w:rsid w:val="00F75AAC"/>
    <w:rsid w:val="00F76A4C"/>
    <w:rsid w:val="00F906F4"/>
    <w:rsid w:val="00F915F3"/>
    <w:rsid w:val="00F91800"/>
    <w:rsid w:val="00F9208E"/>
    <w:rsid w:val="00F95CCE"/>
    <w:rsid w:val="00F9692D"/>
    <w:rsid w:val="00FA0F71"/>
    <w:rsid w:val="00FA3A97"/>
    <w:rsid w:val="00FA4219"/>
    <w:rsid w:val="00FA48C7"/>
    <w:rsid w:val="00FA54FF"/>
    <w:rsid w:val="00FA70F5"/>
    <w:rsid w:val="00FA7D06"/>
    <w:rsid w:val="00FB1576"/>
    <w:rsid w:val="00FB4629"/>
    <w:rsid w:val="00FB5FC4"/>
    <w:rsid w:val="00FB6A07"/>
    <w:rsid w:val="00FB6FB1"/>
    <w:rsid w:val="00FC0ECB"/>
    <w:rsid w:val="00FC1E70"/>
    <w:rsid w:val="00FC28AE"/>
    <w:rsid w:val="00FC6D4E"/>
    <w:rsid w:val="00FC736F"/>
    <w:rsid w:val="00FE2121"/>
    <w:rsid w:val="00FE4B6F"/>
    <w:rsid w:val="00FF1712"/>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415608"/>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415608"/>
    <w:rPr>
      <w:rFonts w:eastAsiaTheme="minorEastAsia"/>
      <w:lang w:eastAsia="es-CO"/>
    </w:rPr>
  </w:style>
  <w:style w:type="paragraph" w:styleId="Sinespaciado">
    <w:name w:val="No Spacing"/>
    <w:aliases w:val="No Indent"/>
    <w:uiPriority w:val="3"/>
    <w:qFormat/>
    <w:rsid w:val="008544C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963431">
      <w:bodyDiv w:val="1"/>
      <w:marLeft w:val="0"/>
      <w:marRight w:val="0"/>
      <w:marTop w:val="0"/>
      <w:marBottom w:val="0"/>
      <w:divBdr>
        <w:top w:val="none" w:sz="0" w:space="0" w:color="auto"/>
        <w:left w:val="none" w:sz="0" w:space="0" w:color="auto"/>
        <w:bottom w:val="none" w:sz="0" w:space="0" w:color="auto"/>
        <w:right w:val="none" w:sz="0" w:space="0" w:color="auto"/>
      </w:divBdr>
    </w:div>
    <w:div w:id="943807497">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69849836">
      <w:bodyDiv w:val="1"/>
      <w:marLeft w:val="0"/>
      <w:marRight w:val="0"/>
      <w:marTop w:val="0"/>
      <w:marBottom w:val="0"/>
      <w:divBdr>
        <w:top w:val="none" w:sz="0" w:space="0" w:color="auto"/>
        <w:left w:val="none" w:sz="0" w:space="0" w:color="auto"/>
        <w:bottom w:val="none" w:sz="0" w:space="0" w:color="auto"/>
        <w:right w:val="none" w:sz="0" w:space="0" w:color="auto"/>
      </w:divBdr>
    </w:div>
    <w:div w:id="1501703058">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951205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teconstitucional.gov./relatori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uebas.contratacionestatal2@procuraduri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sala-de-prensa/boletin-digital/boletin-de-relatoria-2024-iv"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2345</TotalTime>
  <Pages>10</Pages>
  <Words>3157</Words>
  <Characters>17367</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20484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Keila Margarita Reyes Cassiani</cp:lastModifiedBy>
  <cp:revision>152</cp:revision>
  <dcterms:created xsi:type="dcterms:W3CDTF">2024-07-03T22:07:00Z</dcterms:created>
  <dcterms:modified xsi:type="dcterms:W3CDTF">2024-11-06T13:30:00Z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