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637C04" w14:textId="2A606192" w:rsidR="005D03E8" w:rsidRPr="00BD0DAC" w:rsidRDefault="005D03E8" w:rsidP="005D03E8">
      <w:pPr>
        <w:jc w:val="both"/>
        <w:rPr>
          <w:rFonts w:ascii="Verdana" w:hAnsi="Verdana" w:cs="Arial"/>
          <w:b/>
          <w:bCs/>
          <w:color w:val="000000" w:themeColor="text1"/>
          <w:lang w:val="es-MX"/>
        </w:rPr>
      </w:pPr>
      <w:bookmarkStart w:id="0" w:name="_Hlk143780582"/>
      <w:r w:rsidRPr="00BD0DAC">
        <w:rPr>
          <w:rFonts w:ascii="Verdana" w:hAnsi="Verdana" w:cs="Arial"/>
          <w:b/>
          <w:bCs/>
          <w:color w:val="000000" w:themeColor="text1"/>
          <w:lang w:val="es-MX"/>
        </w:rPr>
        <w:t xml:space="preserve">EXPEDICIÓN DE ADENDAS – Límite temporal de la expedición de adendas </w:t>
      </w:r>
      <w:r w:rsidRPr="00BD0DAC">
        <w:rPr>
          <w:rFonts w:ascii="Verdana" w:hAnsi="Verdana" w:cs="Arial"/>
          <w:b/>
          <w:bCs/>
          <w:color w:val="000000" w:themeColor="text1"/>
          <w:lang w:val="es-MX"/>
        </w:rPr>
        <w:t xml:space="preserve">- </w:t>
      </w:r>
      <w:r w:rsidRPr="00BD0DAC">
        <w:rPr>
          <w:rFonts w:ascii="Verdana" w:hAnsi="Verdana" w:cs="Arial"/>
          <w:b/>
          <w:bCs/>
          <w:color w:val="000000" w:themeColor="text1"/>
          <w:lang w:val="es-MX"/>
        </w:rPr>
        <w:t>Limite material de la expedición de adendas</w:t>
      </w:r>
    </w:p>
    <w:p w14:paraId="0E1B274A" w14:textId="3D52BE6E" w:rsidR="005D03E8" w:rsidRPr="00BD0DAC" w:rsidRDefault="005D03E8" w:rsidP="005D03E8">
      <w:pPr>
        <w:jc w:val="both"/>
        <w:rPr>
          <w:rFonts w:ascii="Verdana" w:hAnsi="Verdana" w:cs="Arial"/>
          <w:sz w:val="20"/>
          <w:szCs w:val="20"/>
          <w:shd w:val="clear" w:color="auto" w:fill="FFFFFF"/>
          <w:lang w:val="es-ES_tradnl"/>
        </w:rPr>
      </w:pPr>
      <w:r w:rsidRPr="00BD0DAC">
        <w:rPr>
          <w:rFonts w:ascii="Verdana" w:hAnsi="Verdana" w:cs="Arial"/>
          <w:sz w:val="20"/>
          <w:szCs w:val="20"/>
          <w:shd w:val="clear" w:color="auto" w:fill="FFFFFF"/>
          <w:lang w:val="es-ES_tradnl"/>
        </w:rPr>
        <w:t>[…]</w:t>
      </w:r>
      <w:r w:rsidRPr="00BD0DAC">
        <w:rPr>
          <w:rFonts w:ascii="Verdana" w:hAnsi="Verdana" w:cs="Arial"/>
          <w:sz w:val="20"/>
          <w:szCs w:val="20"/>
          <w:shd w:val="clear" w:color="auto" w:fill="FFFFFF"/>
          <w:lang w:val="es-ES_tradnl"/>
        </w:rPr>
        <w:t xml:space="preserve"> </w:t>
      </w:r>
      <w:r w:rsidRPr="00BD0DAC">
        <w:rPr>
          <w:rFonts w:ascii="Verdana" w:hAnsi="Verdana" w:cs="Arial"/>
          <w:sz w:val="20"/>
          <w:szCs w:val="20"/>
          <w:shd w:val="clear" w:color="auto" w:fill="FFFFFF"/>
        </w:rPr>
        <w:t xml:space="preserve">La interpretación de esta norma supone diferenciar entre dos (2) tipos de ajustes que pueden dar lugar a la expedición de adendas: i) los referidos a las condiciones técnicas, jurídicas y económicas del pliego definitivo y, en general, a cualquier contenido distinto del cronograma del procedimiento de selección y </w:t>
      </w:r>
      <w:proofErr w:type="spellStart"/>
      <w:r w:rsidRPr="00BD0DAC">
        <w:rPr>
          <w:rFonts w:ascii="Verdana" w:hAnsi="Verdana" w:cs="Arial"/>
          <w:sz w:val="20"/>
          <w:szCs w:val="20"/>
          <w:shd w:val="clear" w:color="auto" w:fill="FFFFFF"/>
        </w:rPr>
        <w:t>ii</w:t>
      </w:r>
      <w:proofErr w:type="spellEnd"/>
      <w:r w:rsidRPr="00BD0DAC">
        <w:rPr>
          <w:rFonts w:ascii="Verdana" w:hAnsi="Verdana" w:cs="Arial"/>
          <w:sz w:val="20"/>
          <w:szCs w:val="20"/>
          <w:shd w:val="clear" w:color="auto" w:fill="FFFFFF"/>
        </w:rPr>
        <w:t xml:space="preserve">)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BD0DAC">
        <w:rPr>
          <w:rFonts w:ascii="Verdana" w:hAnsi="Verdana" w:cs="Arial"/>
          <w:sz w:val="20"/>
          <w:szCs w:val="20"/>
          <w:shd w:val="clear" w:color="auto" w:fill="FFFFFF"/>
          <w:lang w:val="es-ES"/>
        </w:rPr>
        <w:t>2.2.1.1.2.2.1</w:t>
      </w:r>
      <w:r w:rsidRPr="00BD0DAC">
        <w:rPr>
          <w:rFonts w:ascii="Verdana" w:hAnsi="Verdana" w:cs="Arial"/>
          <w:sz w:val="20"/>
          <w:szCs w:val="20"/>
          <w:shd w:val="clear" w:color="auto" w:fill="FFFFFF"/>
          <w:lang w:val="es-ES_tradnl"/>
        </w:rPr>
        <w:t>.</w:t>
      </w:r>
    </w:p>
    <w:p w14:paraId="3344D72E" w14:textId="77777777" w:rsidR="005D03E8" w:rsidRPr="00BD0DAC" w:rsidRDefault="005D03E8" w:rsidP="005D03E8">
      <w:pPr>
        <w:jc w:val="both"/>
        <w:rPr>
          <w:rFonts w:ascii="Verdana" w:hAnsi="Verdana" w:cs="Arial"/>
          <w:sz w:val="20"/>
          <w:szCs w:val="20"/>
          <w:shd w:val="clear" w:color="auto" w:fill="FFFFFF"/>
          <w:lang w:val="es-ES_tradnl"/>
        </w:rPr>
      </w:pPr>
      <w:r w:rsidRPr="00BD0DAC">
        <w:rPr>
          <w:rFonts w:ascii="Verdana" w:hAnsi="Verdana" w:cs="Arial"/>
          <w:sz w:val="20"/>
          <w:szCs w:val="20"/>
          <w:shd w:val="clear" w:color="auto" w:fill="FFFFFF"/>
          <w:lang w:val="es-ES_tradnl"/>
        </w:rPr>
        <w:t xml:space="preserve">[…] </w:t>
      </w:r>
    </w:p>
    <w:p w14:paraId="63079F87" w14:textId="2297F4DA" w:rsidR="005D03E8" w:rsidRPr="00BD0DAC" w:rsidRDefault="005D03E8" w:rsidP="005D03E8">
      <w:pPr>
        <w:jc w:val="both"/>
        <w:rPr>
          <w:rFonts w:ascii="Verdana" w:hAnsi="Verdana" w:cs="Arial"/>
          <w:sz w:val="20"/>
          <w:szCs w:val="20"/>
          <w:shd w:val="clear" w:color="auto" w:fill="FFFFFF"/>
          <w:lang w:val="es-ES_tradnl"/>
        </w:rPr>
      </w:pPr>
      <w:r w:rsidRPr="00BD0DAC">
        <w:rPr>
          <w:rFonts w:ascii="Verdana" w:hAnsi="Verdana" w:cs="Arial"/>
          <w:sz w:val="20"/>
          <w:szCs w:val="20"/>
          <w:shd w:val="clear" w:color="auto" w:fill="FFFFFF"/>
          <w:lang w:val="es-ES_tradnl"/>
        </w:rPr>
        <w:t xml:space="preserve">Las adendas pueden modificar aspectos de los pliegos que no sean sustanciales, pueden cambiar cosas como el cronograma del proceso, o pueden abrir la posibilidad de que un material no previsto inicialmente, sea utilizado en la elaboración de lo que la entidad requiere. Debe tenerse en cuenta que mediante adendas que no se pueden cambiar asuntos sustanciales como son el objeto del contrato, el mecanismo de selección y el presupuesto. Las adendas además deben cumplir todos los requisitos de publicidad del pliego de condiciones, </w:t>
      </w:r>
      <w:r w:rsidRPr="00BD0DAC">
        <w:rPr>
          <w:rFonts w:ascii="Verdana" w:hAnsi="Verdana" w:cs="Arial"/>
          <w:sz w:val="20"/>
          <w:szCs w:val="20"/>
          <w:shd w:val="clear" w:color="auto" w:fill="FFFFFF"/>
          <w:lang w:val="es-ES_tradnl"/>
        </w:rPr>
        <w:t>ya que,</w:t>
      </w:r>
      <w:r w:rsidRPr="00BD0DAC">
        <w:rPr>
          <w:rFonts w:ascii="Verdana" w:hAnsi="Verdana" w:cs="Arial"/>
          <w:sz w:val="20"/>
          <w:szCs w:val="20"/>
          <w:shd w:val="clear" w:color="auto" w:fill="FFFFFF"/>
          <w:lang w:val="es-ES_tradnl"/>
        </w:rPr>
        <w:t xml:space="preserve"> para garantizar seguridad jurídica en el marco del proceso, las reglas no pueden variar a espaldas de los eventuales interesados</w:t>
      </w:r>
      <w:r w:rsidRPr="00BD0DAC">
        <w:rPr>
          <w:rFonts w:ascii="Verdana" w:hAnsi="Verdana" w:cs="Arial"/>
          <w:sz w:val="20"/>
          <w:szCs w:val="20"/>
          <w:shd w:val="clear" w:color="auto" w:fill="FFFFFF"/>
          <w:lang w:val="es-ES_tradnl"/>
        </w:rPr>
        <w:t xml:space="preserve">. </w:t>
      </w:r>
      <w:r w:rsidRPr="00BD0DAC">
        <w:rPr>
          <w:rFonts w:ascii="Verdana" w:hAnsi="Verdana" w:cs="Arial"/>
          <w:sz w:val="20"/>
          <w:szCs w:val="20"/>
          <w:shd w:val="clear" w:color="auto" w:fill="FFFFFF"/>
          <w:lang w:val="es-ES_tradnl"/>
        </w:rPr>
        <w:t>[…]</w:t>
      </w:r>
    </w:p>
    <w:p w14:paraId="56E85EAB" w14:textId="77777777" w:rsidR="005D03E8" w:rsidRPr="00BD0DAC" w:rsidRDefault="005D03E8" w:rsidP="00E245AB">
      <w:pPr>
        <w:spacing w:after="0"/>
        <w:rPr>
          <w:rFonts w:ascii="Verdana" w:hAnsi="Verdana"/>
          <w:lang w:val="es-ES_tradnl"/>
        </w:rPr>
      </w:pPr>
    </w:p>
    <w:p w14:paraId="1A0211A7" w14:textId="77777777" w:rsidR="005D03E8" w:rsidRPr="00BD0DAC" w:rsidRDefault="005D03E8" w:rsidP="00E245AB">
      <w:pPr>
        <w:spacing w:after="0"/>
        <w:rPr>
          <w:rFonts w:ascii="Verdana" w:hAnsi="Verdana"/>
        </w:rPr>
      </w:pPr>
    </w:p>
    <w:p w14:paraId="4C96B006" w14:textId="77777777" w:rsidR="005D03E8" w:rsidRPr="00BD0DAC" w:rsidRDefault="005D03E8" w:rsidP="00E245AB">
      <w:pPr>
        <w:spacing w:after="0"/>
        <w:rPr>
          <w:rFonts w:ascii="Verdana" w:hAnsi="Verdana"/>
        </w:rPr>
      </w:pPr>
    </w:p>
    <w:p w14:paraId="2C78F9BB" w14:textId="77777777" w:rsidR="005D03E8" w:rsidRPr="00BD0DAC" w:rsidRDefault="005D03E8" w:rsidP="00E245AB">
      <w:pPr>
        <w:spacing w:after="0"/>
        <w:rPr>
          <w:rFonts w:ascii="Verdana" w:hAnsi="Verdana"/>
        </w:rPr>
      </w:pPr>
    </w:p>
    <w:p w14:paraId="094D5FDE" w14:textId="77777777" w:rsidR="005D03E8" w:rsidRPr="00BD0DAC" w:rsidRDefault="005D03E8" w:rsidP="00E245AB">
      <w:pPr>
        <w:spacing w:after="0"/>
        <w:rPr>
          <w:rFonts w:ascii="Verdana" w:hAnsi="Verdana"/>
        </w:rPr>
      </w:pPr>
    </w:p>
    <w:p w14:paraId="1C2F4406" w14:textId="77777777" w:rsidR="005D03E8" w:rsidRPr="00BD0DAC" w:rsidRDefault="005D03E8" w:rsidP="00E245AB">
      <w:pPr>
        <w:spacing w:after="0"/>
        <w:rPr>
          <w:rFonts w:ascii="Verdana" w:hAnsi="Verdana"/>
        </w:rPr>
      </w:pPr>
    </w:p>
    <w:p w14:paraId="36C3B034" w14:textId="77777777" w:rsidR="005D03E8" w:rsidRPr="00BD0DAC" w:rsidRDefault="005D03E8" w:rsidP="00E245AB">
      <w:pPr>
        <w:spacing w:after="0"/>
        <w:rPr>
          <w:rFonts w:ascii="Verdana" w:hAnsi="Verdana"/>
        </w:rPr>
      </w:pPr>
    </w:p>
    <w:p w14:paraId="49312BA4" w14:textId="77777777" w:rsidR="005D03E8" w:rsidRPr="00BD0DAC" w:rsidRDefault="005D03E8" w:rsidP="00E245AB">
      <w:pPr>
        <w:spacing w:after="0"/>
        <w:rPr>
          <w:rFonts w:ascii="Verdana" w:hAnsi="Verdana"/>
        </w:rPr>
      </w:pPr>
    </w:p>
    <w:p w14:paraId="6103621C" w14:textId="77777777" w:rsidR="005D03E8" w:rsidRPr="00BD0DAC" w:rsidRDefault="005D03E8" w:rsidP="00E245AB">
      <w:pPr>
        <w:spacing w:after="0"/>
        <w:rPr>
          <w:rFonts w:ascii="Verdana" w:hAnsi="Verdana"/>
        </w:rPr>
      </w:pPr>
    </w:p>
    <w:p w14:paraId="411F91BA" w14:textId="77777777" w:rsidR="005D03E8" w:rsidRPr="00BD0DAC" w:rsidRDefault="005D03E8" w:rsidP="00E245AB">
      <w:pPr>
        <w:spacing w:after="0"/>
        <w:rPr>
          <w:rFonts w:ascii="Verdana" w:hAnsi="Verdana"/>
        </w:rPr>
      </w:pPr>
    </w:p>
    <w:p w14:paraId="23F15348" w14:textId="77777777" w:rsidR="005D03E8" w:rsidRPr="00BD0DAC" w:rsidRDefault="005D03E8" w:rsidP="00E245AB">
      <w:pPr>
        <w:spacing w:after="0"/>
        <w:rPr>
          <w:rFonts w:ascii="Verdana" w:hAnsi="Verdana"/>
        </w:rPr>
      </w:pPr>
    </w:p>
    <w:p w14:paraId="4426F109" w14:textId="77777777" w:rsidR="005D03E8" w:rsidRPr="00BD0DAC" w:rsidRDefault="005D03E8" w:rsidP="00E245AB">
      <w:pPr>
        <w:spacing w:after="0"/>
        <w:rPr>
          <w:rFonts w:ascii="Verdana" w:hAnsi="Verdana"/>
        </w:rPr>
      </w:pPr>
    </w:p>
    <w:p w14:paraId="19D9200A" w14:textId="77777777" w:rsidR="005D03E8" w:rsidRPr="00BD0DAC" w:rsidRDefault="005D03E8" w:rsidP="00E245AB">
      <w:pPr>
        <w:spacing w:after="0"/>
        <w:rPr>
          <w:rFonts w:ascii="Verdana" w:hAnsi="Verdana"/>
        </w:rPr>
      </w:pPr>
    </w:p>
    <w:p w14:paraId="053B8FF3" w14:textId="77777777" w:rsidR="005D03E8" w:rsidRPr="00BD0DAC" w:rsidRDefault="005D03E8" w:rsidP="00E245AB">
      <w:pPr>
        <w:spacing w:after="0"/>
        <w:rPr>
          <w:rFonts w:ascii="Verdana" w:hAnsi="Verdana"/>
        </w:rPr>
      </w:pPr>
    </w:p>
    <w:p w14:paraId="099A6553" w14:textId="77777777" w:rsidR="005D03E8" w:rsidRPr="00BD0DAC" w:rsidRDefault="005D03E8" w:rsidP="00E245AB">
      <w:pPr>
        <w:spacing w:after="0"/>
        <w:rPr>
          <w:rFonts w:ascii="Verdana" w:hAnsi="Verdana"/>
        </w:rPr>
      </w:pPr>
    </w:p>
    <w:p w14:paraId="135C5278" w14:textId="77777777" w:rsidR="005D03E8" w:rsidRPr="00BD0DAC" w:rsidRDefault="005D03E8" w:rsidP="00E245AB">
      <w:pPr>
        <w:spacing w:after="0"/>
        <w:rPr>
          <w:rFonts w:ascii="Verdana" w:hAnsi="Verdana"/>
        </w:rPr>
      </w:pPr>
    </w:p>
    <w:p w14:paraId="3FE2184B" w14:textId="2B84A030" w:rsidR="00E245AB" w:rsidRPr="00BD0DAC" w:rsidRDefault="00E245AB" w:rsidP="00E245AB">
      <w:pPr>
        <w:spacing w:after="0"/>
        <w:rPr>
          <w:rFonts w:ascii="Verdana" w:hAnsi="Verdana"/>
        </w:rPr>
      </w:pPr>
      <w:r w:rsidRPr="00BD0DAC">
        <w:rPr>
          <w:rFonts w:ascii="Verdana" w:hAnsi="Verdana"/>
        </w:rPr>
        <w:lastRenderedPageBreak/>
        <w:t xml:space="preserve">Bogotá D.C., </w:t>
      </w:r>
      <w:r w:rsidR="0034735A" w:rsidRPr="00BD0DAC">
        <w:rPr>
          <w:rFonts w:ascii="Verdana" w:hAnsi="Verdana"/>
        </w:rPr>
        <w:t>27 de diciembre del 2024</w:t>
      </w:r>
    </w:p>
    <w:p w14:paraId="5FCADBF9" w14:textId="77777777" w:rsidR="00E245AB" w:rsidRPr="00BD0DAC" w:rsidRDefault="00E245AB" w:rsidP="00E245AB">
      <w:pPr>
        <w:spacing w:after="0"/>
        <w:rPr>
          <w:rFonts w:ascii="Verdana" w:hAnsi="Verdana"/>
        </w:rPr>
      </w:pPr>
    </w:p>
    <w:p w14:paraId="730BDC43" w14:textId="137B6DE7" w:rsidR="0034735A" w:rsidRPr="00BD0DAC" w:rsidRDefault="0034735A" w:rsidP="0034735A">
      <w:pPr>
        <w:spacing w:after="0"/>
        <w:jc w:val="right"/>
        <w:rPr>
          <w:rFonts w:ascii="Verdana" w:hAnsi="Verdana"/>
        </w:rPr>
      </w:pPr>
      <w:r w:rsidRPr="00BD0DAC">
        <w:rPr>
          <w:rFonts w:ascii="Verdana" w:hAnsi="Verdana"/>
        </w:rPr>
        <w:drawing>
          <wp:inline distT="0" distB="0" distL="0" distR="0" wp14:anchorId="0133E454" wp14:editId="1F40B3B9">
            <wp:extent cx="3509315" cy="955675"/>
            <wp:effectExtent l="0" t="0" r="0" b="0"/>
            <wp:docPr id="4563922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392266" name=""/>
                    <pic:cNvPicPr/>
                  </pic:nvPicPr>
                  <pic:blipFill>
                    <a:blip r:embed="rId10"/>
                    <a:stretch>
                      <a:fillRect/>
                    </a:stretch>
                  </pic:blipFill>
                  <pic:spPr>
                    <a:xfrm>
                      <a:off x="0" y="0"/>
                      <a:ext cx="3569576" cy="972086"/>
                    </a:xfrm>
                    <a:prstGeom prst="rect">
                      <a:avLst/>
                    </a:prstGeom>
                  </pic:spPr>
                </pic:pic>
              </a:graphicData>
            </a:graphic>
          </wp:inline>
        </w:drawing>
      </w:r>
    </w:p>
    <w:bookmarkEnd w:id="0"/>
    <w:p w14:paraId="4F2D5C34" w14:textId="77777777" w:rsidR="00385122" w:rsidRPr="00BD0DAC" w:rsidRDefault="00385122" w:rsidP="00385122">
      <w:pPr>
        <w:spacing w:after="0" w:line="240" w:lineRule="auto"/>
        <w:jc w:val="both"/>
        <w:rPr>
          <w:rFonts w:ascii="Verdana" w:eastAsia="Calibri" w:hAnsi="Verdana" w:cs="Arial"/>
          <w:lang w:val="es-ES" w:eastAsia="es-ES"/>
        </w:rPr>
      </w:pPr>
      <w:r w:rsidRPr="00BD0DAC">
        <w:rPr>
          <w:rFonts w:ascii="Verdana" w:eastAsia="Calibri" w:hAnsi="Verdana" w:cs="Arial"/>
          <w:lang w:val="es-ES" w:eastAsia="es-ES"/>
        </w:rPr>
        <w:t>Señora:</w:t>
      </w:r>
    </w:p>
    <w:p w14:paraId="1A370E2F" w14:textId="77777777" w:rsidR="00385122" w:rsidRPr="00BD0DAC" w:rsidRDefault="00385122" w:rsidP="00385122">
      <w:pPr>
        <w:spacing w:after="0" w:line="240" w:lineRule="auto"/>
        <w:rPr>
          <w:rFonts w:ascii="Verdana" w:eastAsia="Calibri" w:hAnsi="Verdana" w:cs="Arial"/>
          <w:b/>
          <w:lang w:val="es-ES" w:eastAsia="es-ES"/>
        </w:rPr>
      </w:pPr>
      <w:r w:rsidRPr="00BD0DAC">
        <w:rPr>
          <w:rFonts w:ascii="Verdana" w:eastAsia="Calibri" w:hAnsi="Verdana" w:cs="Arial"/>
          <w:b/>
          <w:lang w:val="es-ES" w:eastAsia="es-ES"/>
        </w:rPr>
        <w:t>Ana Alejandra Garzón Jamaica</w:t>
      </w:r>
    </w:p>
    <w:p w14:paraId="4D27EC01" w14:textId="77777777" w:rsidR="00385122" w:rsidRPr="00BD0DAC" w:rsidRDefault="00385122" w:rsidP="00385122">
      <w:pPr>
        <w:spacing w:after="0" w:line="240" w:lineRule="auto"/>
        <w:rPr>
          <w:rFonts w:ascii="Verdana" w:hAnsi="Verdana"/>
        </w:rPr>
      </w:pPr>
      <w:hyperlink r:id="rId11" w:history="1">
        <w:r w:rsidRPr="00BD0DAC">
          <w:rPr>
            <w:rStyle w:val="Hyperlink"/>
            <w:rFonts w:ascii="Verdana" w:hAnsi="Verdana"/>
          </w:rPr>
          <w:t>aleja-garzon@hotmail.com</w:t>
        </w:r>
      </w:hyperlink>
    </w:p>
    <w:p w14:paraId="0F95AE6B" w14:textId="77777777" w:rsidR="00385122" w:rsidRPr="00BD0DAC" w:rsidRDefault="00385122" w:rsidP="00385122">
      <w:pPr>
        <w:spacing w:after="0" w:line="240" w:lineRule="auto"/>
        <w:rPr>
          <w:rFonts w:ascii="Verdana" w:hAnsi="Verdana"/>
        </w:rPr>
      </w:pPr>
      <w:r w:rsidRPr="00BD0DAC">
        <w:rPr>
          <w:rFonts w:ascii="Verdana" w:hAnsi="Verdana"/>
        </w:rPr>
        <w:t>Vichada, Puerto Carreño</w:t>
      </w:r>
    </w:p>
    <w:p w14:paraId="7C51005B" w14:textId="77777777" w:rsidR="00385122" w:rsidRPr="00BD0DAC" w:rsidRDefault="00385122" w:rsidP="00385122">
      <w:pPr>
        <w:spacing w:after="0" w:line="240" w:lineRule="auto"/>
        <w:rPr>
          <w:rFonts w:ascii="Verdana" w:eastAsia="Calibri" w:hAnsi="Verdana" w:cs="Arial"/>
          <w:b/>
          <w:bCs/>
          <w:highlight w:val="cyan"/>
          <w:lang w:val="es-ES_tradnl" w:eastAsia="es-ES_tradnl"/>
        </w:rPr>
      </w:pPr>
    </w:p>
    <w:p w14:paraId="4A8799D2" w14:textId="77777777" w:rsidR="00385122" w:rsidRPr="00BD0DAC" w:rsidRDefault="00385122" w:rsidP="00385122">
      <w:pPr>
        <w:spacing w:after="0" w:line="240" w:lineRule="auto"/>
        <w:rPr>
          <w:rFonts w:ascii="Verdana" w:eastAsia="Calibri" w:hAnsi="Verdana" w:cs="Arial"/>
          <w:b/>
          <w:bCs/>
          <w:highlight w:val="cyan"/>
          <w:lang w:val="es-ES_tradnl"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029"/>
        <w:gridCol w:w="6760"/>
      </w:tblGrid>
      <w:tr w:rsidR="00385122" w:rsidRPr="00BD0DAC" w14:paraId="454FB440" w14:textId="77777777" w:rsidTr="00B20D07">
        <w:trPr>
          <w:trHeight w:val="747"/>
        </w:trPr>
        <w:tc>
          <w:tcPr>
            <w:tcW w:w="2029" w:type="dxa"/>
          </w:tcPr>
          <w:p w14:paraId="4F24E362" w14:textId="77777777" w:rsidR="00385122" w:rsidRPr="00BD0DAC" w:rsidRDefault="00385122" w:rsidP="00B20D07">
            <w:pPr>
              <w:jc w:val="both"/>
              <w:rPr>
                <w:rFonts w:ascii="Verdana" w:eastAsia="Calibri" w:hAnsi="Verdana" w:cs="Arial"/>
                <w:b/>
                <w:bCs/>
                <w:highlight w:val="cyan"/>
                <w:lang w:val="es-ES_tradnl" w:eastAsia="es-ES_tradnl"/>
              </w:rPr>
            </w:pPr>
          </w:p>
        </w:tc>
        <w:tc>
          <w:tcPr>
            <w:tcW w:w="6760" w:type="dxa"/>
          </w:tcPr>
          <w:p w14:paraId="5533F520" w14:textId="77777777" w:rsidR="00385122" w:rsidRPr="00BD0DAC" w:rsidRDefault="00385122" w:rsidP="00B20D07">
            <w:pPr>
              <w:jc w:val="both"/>
              <w:rPr>
                <w:rFonts w:ascii="Verdana" w:eastAsia="Calibri" w:hAnsi="Verdana" w:cs="Arial"/>
                <w:b/>
                <w:bCs/>
                <w:lang w:val="es-ES" w:eastAsia="es-ES"/>
              </w:rPr>
            </w:pPr>
            <w:r w:rsidRPr="00BD0DAC">
              <w:rPr>
                <w:rFonts w:ascii="Verdana" w:eastAsia="Calibri" w:hAnsi="Verdana" w:cs="Arial"/>
                <w:b/>
                <w:bCs/>
                <w:lang w:val="es-ES" w:eastAsia="es-ES"/>
              </w:rPr>
              <w:t xml:space="preserve">Concepto </w:t>
            </w:r>
            <w:r w:rsidRPr="00BD0DAC">
              <w:rPr>
                <w:rFonts w:ascii="Verdana" w:eastAsia="Calibri" w:hAnsi="Verdana" w:cs="Arial"/>
                <w:b/>
                <w:bCs/>
                <w:lang w:eastAsia="es-ES"/>
              </w:rPr>
              <w:t xml:space="preserve">C-1020 </w:t>
            </w:r>
            <w:r w:rsidRPr="00BD0DAC">
              <w:rPr>
                <w:rFonts w:ascii="Verdana" w:eastAsia="Calibri" w:hAnsi="Verdana" w:cs="Arial"/>
                <w:b/>
                <w:bCs/>
                <w:lang w:val="es-ES" w:eastAsia="es-ES"/>
              </w:rPr>
              <w:t>de 2024</w:t>
            </w:r>
          </w:p>
        </w:tc>
      </w:tr>
      <w:tr w:rsidR="00385122" w:rsidRPr="00BD0DAC" w14:paraId="11B7193D" w14:textId="77777777" w:rsidTr="00B20D07">
        <w:trPr>
          <w:trHeight w:val="884"/>
        </w:trPr>
        <w:tc>
          <w:tcPr>
            <w:tcW w:w="2029" w:type="dxa"/>
            <w:shd w:val="clear" w:color="auto" w:fill="auto"/>
          </w:tcPr>
          <w:p w14:paraId="1DC2DD1C" w14:textId="77777777" w:rsidR="00385122" w:rsidRPr="00BD0DAC" w:rsidRDefault="00385122" w:rsidP="00B20D07">
            <w:pPr>
              <w:jc w:val="both"/>
              <w:rPr>
                <w:rFonts w:ascii="Verdana" w:eastAsia="Calibri" w:hAnsi="Verdana" w:cs="Arial"/>
                <w:b/>
                <w:lang w:val="es-ES_tradnl" w:eastAsia="es-ES_tradnl"/>
              </w:rPr>
            </w:pPr>
            <w:r w:rsidRPr="00BD0DAC">
              <w:rPr>
                <w:rFonts w:ascii="Verdana" w:eastAsia="Calibri" w:hAnsi="Verdana" w:cs="Arial"/>
                <w:b/>
                <w:lang w:val="es-ES_tradnl" w:eastAsia="es-ES_tradnl"/>
              </w:rPr>
              <w:t xml:space="preserve">Temas:                   </w:t>
            </w:r>
          </w:p>
        </w:tc>
        <w:tc>
          <w:tcPr>
            <w:tcW w:w="6760" w:type="dxa"/>
            <w:shd w:val="clear" w:color="auto" w:fill="auto"/>
          </w:tcPr>
          <w:p w14:paraId="57A93730" w14:textId="77777777" w:rsidR="00385122" w:rsidRPr="00BD0DAC" w:rsidRDefault="00385122" w:rsidP="00B20D07">
            <w:pPr>
              <w:spacing w:line="276" w:lineRule="auto"/>
              <w:jc w:val="both"/>
              <w:rPr>
                <w:rFonts w:ascii="Verdana" w:eastAsia="Century Gothic" w:hAnsi="Verdana" w:cs="Century Gothic"/>
                <w:bCs/>
                <w:lang w:val="es-MX"/>
              </w:rPr>
            </w:pPr>
            <w:r w:rsidRPr="00BD0DAC">
              <w:rPr>
                <w:rFonts w:ascii="Verdana" w:eastAsia="Century Gothic" w:hAnsi="Verdana" w:cs="Century Gothic"/>
                <w:bCs/>
              </w:rPr>
              <w:t xml:space="preserve">EXPEDICIÓN DE ADENDAS – Límite temporal de la expedición de adendas – Límite material de la expedición de adendas </w:t>
            </w:r>
          </w:p>
        </w:tc>
      </w:tr>
      <w:tr w:rsidR="00385122" w:rsidRPr="00BD0DAC" w14:paraId="6E981649" w14:textId="77777777" w:rsidTr="00B20D07">
        <w:trPr>
          <w:trHeight w:val="80"/>
        </w:trPr>
        <w:tc>
          <w:tcPr>
            <w:tcW w:w="2029" w:type="dxa"/>
            <w:shd w:val="clear" w:color="auto" w:fill="auto"/>
          </w:tcPr>
          <w:p w14:paraId="384FE2BF" w14:textId="77777777" w:rsidR="00385122" w:rsidRPr="00BD0DAC" w:rsidRDefault="00385122" w:rsidP="00B20D07">
            <w:pPr>
              <w:jc w:val="both"/>
              <w:rPr>
                <w:rFonts w:ascii="Verdana" w:eastAsia="Calibri" w:hAnsi="Verdana" w:cs="Arial"/>
                <w:b/>
                <w:lang w:val="es-ES_tradnl" w:eastAsia="es-ES_tradnl"/>
              </w:rPr>
            </w:pPr>
            <w:r w:rsidRPr="00BD0DAC">
              <w:rPr>
                <w:rFonts w:ascii="Verdana" w:eastAsia="Calibri" w:hAnsi="Verdana" w:cs="Arial"/>
                <w:b/>
                <w:lang w:val="es-ES_tradnl" w:eastAsia="es-ES_tradnl"/>
              </w:rPr>
              <w:t>Radicación:</w:t>
            </w:r>
            <w:r w:rsidRPr="00BD0DAC">
              <w:rPr>
                <w:rFonts w:ascii="Verdana" w:eastAsia="Calibri" w:hAnsi="Verdana" w:cs="Arial"/>
                <w:lang w:val="es-ES_tradnl" w:eastAsia="es-ES_tradnl"/>
              </w:rPr>
              <w:t xml:space="preserve">               </w:t>
            </w:r>
          </w:p>
        </w:tc>
        <w:tc>
          <w:tcPr>
            <w:tcW w:w="6760" w:type="dxa"/>
            <w:shd w:val="clear" w:color="auto" w:fill="auto"/>
          </w:tcPr>
          <w:p w14:paraId="6BBA8BF5" w14:textId="77777777" w:rsidR="00385122" w:rsidRPr="00BD0DAC" w:rsidRDefault="00385122" w:rsidP="00B20D07">
            <w:pPr>
              <w:jc w:val="both"/>
              <w:rPr>
                <w:rFonts w:ascii="Verdana" w:eastAsia="Calibri" w:hAnsi="Verdana" w:cs="Arial"/>
                <w:lang w:eastAsia="es-ES_tradnl"/>
              </w:rPr>
            </w:pPr>
            <w:r w:rsidRPr="00BD0DAC">
              <w:rPr>
                <w:rFonts w:ascii="Verdana" w:eastAsia="Calibri" w:hAnsi="Verdana" w:cs="Arial"/>
                <w:lang w:val="es-ES_tradnl" w:eastAsia="es-ES_tradnl"/>
              </w:rPr>
              <w:t xml:space="preserve">Respuesta a consulta con radicado No. </w:t>
            </w:r>
            <w:r w:rsidRPr="00BD0DAC">
              <w:rPr>
                <w:rFonts w:ascii="Verdana" w:eastAsia="Calibri" w:hAnsi="Verdana" w:cs="Arial"/>
                <w:lang w:eastAsia="es-ES_tradnl"/>
              </w:rPr>
              <w:t>P20241218012654 acumulada con la Nro. P20241218012656.</w:t>
            </w:r>
          </w:p>
        </w:tc>
      </w:tr>
    </w:tbl>
    <w:p w14:paraId="5B9BD818" w14:textId="77777777" w:rsidR="00385122" w:rsidRPr="00BD0DAC" w:rsidRDefault="00385122" w:rsidP="00385122">
      <w:pPr>
        <w:spacing w:after="0" w:line="240" w:lineRule="auto"/>
        <w:jc w:val="both"/>
        <w:rPr>
          <w:rFonts w:ascii="Verdana" w:eastAsia="Calibri" w:hAnsi="Verdana" w:cs="Arial"/>
          <w:highlight w:val="cyan"/>
          <w:lang w:val="es-ES_tradnl" w:eastAsia="es-ES_tradnl"/>
        </w:rPr>
      </w:pPr>
    </w:p>
    <w:p w14:paraId="04BDE804" w14:textId="77777777" w:rsidR="00385122" w:rsidRPr="00BD0DAC" w:rsidRDefault="00385122" w:rsidP="00385122">
      <w:pPr>
        <w:spacing w:after="0" w:line="240" w:lineRule="auto"/>
        <w:jc w:val="both"/>
        <w:rPr>
          <w:rFonts w:ascii="Verdana" w:eastAsia="Calibri" w:hAnsi="Verdana" w:cs="Arial"/>
          <w:lang w:val="es-ES_tradnl" w:eastAsia="es-ES_tradnl"/>
        </w:rPr>
      </w:pPr>
    </w:p>
    <w:p w14:paraId="047A8606" w14:textId="77777777" w:rsidR="00385122" w:rsidRPr="00BD0DAC" w:rsidRDefault="00385122" w:rsidP="00385122">
      <w:pPr>
        <w:spacing w:after="0" w:line="276" w:lineRule="auto"/>
        <w:jc w:val="both"/>
        <w:rPr>
          <w:rFonts w:ascii="Verdana" w:eastAsia="Calibri" w:hAnsi="Verdana" w:cs="Arial"/>
          <w:lang w:val="es-ES" w:eastAsia="es-ES"/>
        </w:rPr>
      </w:pPr>
      <w:r w:rsidRPr="00BD0DAC">
        <w:rPr>
          <w:rFonts w:ascii="Verdana" w:eastAsia="Calibri" w:hAnsi="Verdana" w:cs="Arial"/>
          <w:lang w:val="es-ES" w:eastAsia="es-ES"/>
        </w:rPr>
        <w:t>Estimada señora Garzón;</w:t>
      </w:r>
    </w:p>
    <w:p w14:paraId="6B7439DE" w14:textId="77777777" w:rsidR="00385122" w:rsidRPr="00D824DF" w:rsidRDefault="00385122" w:rsidP="00385122">
      <w:pPr>
        <w:tabs>
          <w:tab w:val="left" w:pos="3768"/>
        </w:tabs>
        <w:spacing w:after="0" w:line="276" w:lineRule="auto"/>
        <w:jc w:val="both"/>
        <w:rPr>
          <w:rFonts w:ascii="Verdana" w:eastAsia="Calibri" w:hAnsi="Verdana" w:cs="Arial"/>
          <w:highlight w:val="cyan"/>
          <w:lang w:val="es-ES" w:eastAsia="es-ES"/>
        </w:rPr>
      </w:pPr>
    </w:p>
    <w:p w14:paraId="64DCE17F" w14:textId="77777777" w:rsidR="00385122" w:rsidRPr="00D824DF" w:rsidRDefault="00385122" w:rsidP="00385122">
      <w:pPr>
        <w:spacing w:after="0" w:line="276" w:lineRule="auto"/>
        <w:jc w:val="both"/>
        <w:rPr>
          <w:rFonts w:ascii="Verdana" w:eastAsia="Calibri" w:hAnsi="Verdana" w:cs="Arial"/>
          <w:lang w:val="es-ES" w:eastAsia="es-ES"/>
        </w:rPr>
      </w:pPr>
      <w:r w:rsidRPr="00D824DF">
        <w:rPr>
          <w:rFonts w:ascii="Verdana" w:eastAsia="Calibri" w:hAnsi="Verdana" w:cs="Arial"/>
          <w:lang w:val="es-ES" w:eastAsia="es-ES"/>
        </w:rPr>
        <w:t>En ejercicio de la competencia otorgada por los artículos 3, numeral 5º, y 11, numeral 8º, del Decreto Ley 4170 de 2011,</w:t>
      </w:r>
      <w:r w:rsidRPr="00D824DF">
        <w:rPr>
          <w:rFonts w:ascii="Verdana" w:eastAsia="Arial MT" w:hAnsi="Verdana" w:cs="Arial MT"/>
          <w:lang w:val="es-ES" w:eastAsia="es-ES"/>
        </w:rPr>
        <w:t xml:space="preserve"> </w:t>
      </w:r>
      <w:r w:rsidRPr="00D824DF">
        <w:rPr>
          <w:rFonts w:ascii="Verdana" w:hAnsi="Verdana" w:cs="Arial"/>
        </w:rPr>
        <w:t xml:space="preserve">así como lo establecido en el artículo 4 de la Resolución 1707 de 2018 expedida por esta Entidad, </w:t>
      </w:r>
      <w:r w:rsidRPr="00D824DF">
        <w:rPr>
          <w:rFonts w:ascii="Verdana" w:eastAsia="Calibri" w:hAnsi="Verdana" w:cs="Arial"/>
          <w:lang w:val="es-ES" w:eastAsia="es-ES"/>
        </w:rPr>
        <w:t xml:space="preserve">la Agencia Nacional de Contratación Pública – Colombia Compra Eficiente– responde su solicitud de consulta de fecha 18 de diciembre del 2024, en la cual manifiesta lo siguiente: </w:t>
      </w:r>
    </w:p>
    <w:p w14:paraId="08C3BBE7" w14:textId="77777777" w:rsidR="00385122" w:rsidRPr="00D824DF" w:rsidRDefault="00385122" w:rsidP="00385122">
      <w:pPr>
        <w:spacing w:after="0"/>
        <w:jc w:val="both"/>
        <w:rPr>
          <w:rFonts w:ascii="Verdana" w:hAnsi="Verdana"/>
          <w:highlight w:val="cyan"/>
          <w:lang w:val="es-ES"/>
        </w:rPr>
      </w:pPr>
    </w:p>
    <w:p w14:paraId="580C3C92" w14:textId="77777777" w:rsidR="00385122" w:rsidRPr="00D824DF" w:rsidRDefault="00385122" w:rsidP="00385122">
      <w:pPr>
        <w:spacing w:after="0" w:line="240" w:lineRule="auto"/>
        <w:ind w:left="709" w:right="709"/>
        <w:jc w:val="both"/>
        <w:rPr>
          <w:rFonts w:ascii="Verdana" w:eastAsia="Century Gothic" w:hAnsi="Verdana" w:cs="Century Gothic"/>
          <w:sz w:val="20"/>
          <w:szCs w:val="20"/>
          <w:lang w:val="es-ES"/>
        </w:rPr>
      </w:pPr>
      <w:r w:rsidRPr="00D824DF">
        <w:rPr>
          <w:rFonts w:ascii="Verdana" w:eastAsia="Century Gothic" w:hAnsi="Verdana" w:cs="Century Gothic"/>
          <w:sz w:val="20"/>
          <w:szCs w:val="20"/>
          <w:lang w:val="es-ES"/>
        </w:rPr>
        <w:t>“[…] cuando hay un error de transcripción del estudio previo al pliego de condiciones definitivo, es procedente tomar y evaluar los indicadores establecidos en el estudio previo que procedimiento de debe seguir.</w:t>
      </w:r>
    </w:p>
    <w:p w14:paraId="687C9AF5" w14:textId="77777777" w:rsidR="00385122" w:rsidRPr="00D824DF" w:rsidRDefault="00385122" w:rsidP="00385122">
      <w:pPr>
        <w:spacing w:after="0" w:line="240" w:lineRule="auto"/>
        <w:ind w:left="709" w:right="709"/>
        <w:jc w:val="both"/>
        <w:rPr>
          <w:rFonts w:ascii="Verdana" w:eastAsia="Century Gothic" w:hAnsi="Verdana" w:cs="Century Gothic"/>
          <w:sz w:val="20"/>
          <w:szCs w:val="20"/>
          <w:lang w:val="es-ES"/>
        </w:rPr>
      </w:pPr>
    </w:p>
    <w:p w14:paraId="0F5194C1" w14:textId="77777777" w:rsidR="00385122" w:rsidRPr="00D824DF" w:rsidRDefault="00385122" w:rsidP="00385122">
      <w:pPr>
        <w:spacing w:after="0" w:line="240" w:lineRule="auto"/>
        <w:ind w:left="709" w:right="709"/>
        <w:jc w:val="both"/>
        <w:rPr>
          <w:rFonts w:ascii="Verdana" w:eastAsia="Century Gothic" w:hAnsi="Verdana" w:cs="Century Gothic"/>
          <w:sz w:val="20"/>
          <w:szCs w:val="20"/>
          <w:lang w:val="es-ES"/>
        </w:rPr>
      </w:pPr>
      <w:r w:rsidRPr="00D824DF">
        <w:rPr>
          <w:rFonts w:ascii="Verdana" w:eastAsia="Century Gothic" w:hAnsi="Verdana" w:cs="Century Gothic"/>
          <w:sz w:val="20"/>
          <w:szCs w:val="20"/>
          <w:lang w:val="es-ES"/>
        </w:rPr>
        <w:t>[…]</w:t>
      </w:r>
    </w:p>
    <w:p w14:paraId="47C46B3B" w14:textId="77777777" w:rsidR="00385122" w:rsidRPr="00D824DF" w:rsidRDefault="00385122" w:rsidP="00385122">
      <w:pPr>
        <w:spacing w:after="0" w:line="240" w:lineRule="auto"/>
        <w:ind w:left="709" w:right="709"/>
        <w:jc w:val="both"/>
        <w:rPr>
          <w:rFonts w:ascii="Verdana" w:eastAsia="Century Gothic" w:hAnsi="Verdana" w:cs="Century Gothic"/>
          <w:sz w:val="20"/>
          <w:szCs w:val="20"/>
          <w:lang w:val="es-ES"/>
        </w:rPr>
      </w:pPr>
    </w:p>
    <w:p w14:paraId="55529C56" w14:textId="77777777" w:rsidR="00385122" w:rsidRPr="00D824DF" w:rsidRDefault="00385122" w:rsidP="00385122">
      <w:pPr>
        <w:spacing w:after="0" w:line="240" w:lineRule="auto"/>
        <w:ind w:left="709" w:right="709"/>
        <w:jc w:val="both"/>
        <w:rPr>
          <w:rFonts w:ascii="Verdana" w:eastAsia="Century Gothic" w:hAnsi="Verdana" w:cs="Century Gothic"/>
          <w:sz w:val="20"/>
          <w:szCs w:val="20"/>
          <w:lang w:val="es-ES"/>
        </w:rPr>
      </w:pPr>
      <w:r w:rsidRPr="00D824DF">
        <w:rPr>
          <w:rFonts w:ascii="Verdana" w:eastAsia="Century Gothic" w:hAnsi="Verdana" w:cs="Century Gothic"/>
          <w:sz w:val="20"/>
          <w:szCs w:val="20"/>
          <w:lang w:val="es-ES"/>
        </w:rPr>
        <w:t>Cuando se estipula por error en el pliego de condiciones definitivo y estudio previo el indicar de endeudamiento de mayor o igual; que se debe hacer […]”</w:t>
      </w:r>
    </w:p>
    <w:p w14:paraId="5D446A47" w14:textId="77777777" w:rsidR="00385122" w:rsidRPr="00D824DF" w:rsidRDefault="00385122" w:rsidP="00385122">
      <w:pPr>
        <w:spacing w:after="0"/>
        <w:jc w:val="both"/>
        <w:rPr>
          <w:rStyle w:val="Hyperlink"/>
          <w:rFonts w:ascii="Verdana" w:hAnsi="Verdana"/>
          <w:lang w:val="es-ES"/>
        </w:rPr>
      </w:pPr>
    </w:p>
    <w:p w14:paraId="24AE1A3C" w14:textId="77777777" w:rsidR="00385122" w:rsidRPr="00D824DF" w:rsidRDefault="00385122" w:rsidP="00385122">
      <w:pPr>
        <w:spacing w:after="120" w:line="276" w:lineRule="auto"/>
        <w:ind w:firstLine="709"/>
        <w:jc w:val="both"/>
        <w:rPr>
          <w:rFonts w:ascii="Verdana" w:eastAsia="Calibri" w:hAnsi="Verdana" w:cs="Arial"/>
          <w:color w:val="000000"/>
          <w:lang w:val="es-ES_tradnl" w:eastAsia="es-ES_tradnl"/>
        </w:rPr>
      </w:pPr>
      <w:r w:rsidRPr="00D824DF">
        <w:rPr>
          <w:rFonts w:ascii="Verdana" w:eastAsia="Calibri" w:hAnsi="Verdana" w:cs="Arial"/>
          <w:color w:val="000000"/>
          <w:lang w:val="es-ES" w:eastAsia="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46312D9D" w14:textId="77777777" w:rsidR="00385122" w:rsidRPr="00D824DF" w:rsidRDefault="00385122" w:rsidP="00385122">
      <w:pPr>
        <w:spacing w:after="0" w:line="276" w:lineRule="auto"/>
        <w:ind w:firstLine="709"/>
        <w:jc w:val="both"/>
        <w:rPr>
          <w:rFonts w:ascii="Verdana" w:eastAsia="Calibri" w:hAnsi="Verdana" w:cs="Arial"/>
          <w:color w:val="000000"/>
          <w:lang w:val="es-ES" w:eastAsia="es-ES"/>
        </w:rPr>
      </w:pPr>
      <w:r w:rsidRPr="00D824DF">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7AFB441" w14:textId="77777777" w:rsidR="00385122" w:rsidRPr="00D824DF" w:rsidRDefault="00385122" w:rsidP="00385122">
      <w:pPr>
        <w:spacing w:after="0"/>
        <w:jc w:val="both"/>
        <w:rPr>
          <w:rFonts w:ascii="Verdana" w:hAnsi="Verdana"/>
          <w:lang w:val="es-ES"/>
        </w:rPr>
      </w:pPr>
    </w:p>
    <w:p w14:paraId="5AA301BF" w14:textId="77777777" w:rsidR="00385122" w:rsidRPr="00D824DF" w:rsidRDefault="00385122" w:rsidP="00385122">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824DF">
        <w:rPr>
          <w:rFonts w:ascii="Verdana" w:eastAsia="Century Gothic" w:hAnsi="Verdana" w:cs="Century Gothic"/>
          <w:b/>
          <w:bCs/>
        </w:rPr>
        <w:t>Problema planteado:</w:t>
      </w:r>
    </w:p>
    <w:p w14:paraId="3A86D7F3" w14:textId="77777777" w:rsidR="00385122" w:rsidRPr="00D824DF" w:rsidRDefault="00385122" w:rsidP="00385122">
      <w:pPr>
        <w:spacing w:after="0"/>
        <w:jc w:val="both"/>
        <w:rPr>
          <w:rStyle w:val="Hyperlink"/>
          <w:rFonts w:ascii="Verdana" w:hAnsi="Verdana"/>
          <w:highlight w:val="cyan"/>
        </w:rPr>
      </w:pPr>
    </w:p>
    <w:p w14:paraId="62175DC4" w14:textId="77777777" w:rsidR="00385122" w:rsidRPr="00D824DF" w:rsidRDefault="00385122" w:rsidP="00385122">
      <w:pPr>
        <w:spacing w:after="0" w:line="276" w:lineRule="auto"/>
        <w:jc w:val="both"/>
        <w:rPr>
          <w:rFonts w:ascii="Verdana" w:eastAsia="Calibri" w:hAnsi="Verdana" w:cs="Arial"/>
          <w:lang w:val="es-ES" w:bidi="es-ES"/>
        </w:rPr>
      </w:pPr>
      <w:r w:rsidRPr="00D824DF">
        <w:rPr>
          <w:rFonts w:ascii="Verdana" w:eastAsia="Century Gothic" w:hAnsi="Verdana" w:cs="Arial"/>
        </w:rPr>
        <w:t xml:space="preserve">De acuerdo con el contenido de su solicitud, esta Agencia resolverá el siguiente problema jurídico: ¿Cuáles son los límites que tiene una entidad para modificar el pliego de condiciones cuando se presentan errores en </w:t>
      </w:r>
      <w:r>
        <w:rPr>
          <w:rFonts w:ascii="Verdana" w:eastAsia="Century Gothic" w:hAnsi="Verdana" w:cs="Arial"/>
        </w:rPr>
        <w:t>los criterios</w:t>
      </w:r>
      <w:r w:rsidRPr="00D824DF">
        <w:rPr>
          <w:rFonts w:ascii="Verdana" w:eastAsia="Century Gothic" w:hAnsi="Verdana" w:cs="Arial"/>
        </w:rPr>
        <w:t xml:space="preserve"> técnic</w:t>
      </w:r>
      <w:r>
        <w:rPr>
          <w:rFonts w:ascii="Verdana" w:eastAsia="Century Gothic" w:hAnsi="Verdana" w:cs="Arial"/>
        </w:rPr>
        <w:t>o</w:t>
      </w:r>
      <w:r w:rsidRPr="00D824DF">
        <w:rPr>
          <w:rFonts w:ascii="Verdana" w:eastAsia="Century Gothic" w:hAnsi="Verdana" w:cs="Arial"/>
        </w:rPr>
        <w:t>s, jurídic</w:t>
      </w:r>
      <w:r>
        <w:rPr>
          <w:rFonts w:ascii="Verdana" w:eastAsia="Century Gothic" w:hAnsi="Verdana" w:cs="Arial"/>
        </w:rPr>
        <w:t>o</w:t>
      </w:r>
      <w:r w:rsidRPr="00D824DF">
        <w:rPr>
          <w:rFonts w:ascii="Verdana" w:eastAsia="Century Gothic" w:hAnsi="Verdana" w:cs="Arial"/>
        </w:rPr>
        <w:t>s y</w:t>
      </w:r>
      <w:r>
        <w:rPr>
          <w:rFonts w:ascii="Verdana" w:eastAsia="Century Gothic" w:hAnsi="Verdana" w:cs="Arial"/>
        </w:rPr>
        <w:t>/o financieros</w:t>
      </w:r>
      <w:r w:rsidRPr="00D824DF">
        <w:rPr>
          <w:rFonts w:ascii="Verdana" w:eastAsia="Century Gothic" w:hAnsi="Verdana" w:cs="Arial"/>
        </w:rPr>
        <w:t>?</w:t>
      </w:r>
      <w:r w:rsidRPr="00D824DF">
        <w:rPr>
          <w:rFonts w:ascii="Verdana" w:eastAsia="Century Gothic" w:hAnsi="Verdana" w:cs="Century Gothic"/>
        </w:rPr>
        <w:t xml:space="preserve"> </w:t>
      </w:r>
    </w:p>
    <w:p w14:paraId="357515E6" w14:textId="77777777" w:rsidR="00385122" w:rsidRPr="00D824DF" w:rsidRDefault="00385122" w:rsidP="00385122">
      <w:pPr>
        <w:spacing w:after="0"/>
        <w:jc w:val="both"/>
        <w:rPr>
          <w:rStyle w:val="Hyperlink"/>
          <w:rFonts w:ascii="Verdana" w:hAnsi="Verdana"/>
          <w:lang w:val="es-ES"/>
        </w:rPr>
      </w:pPr>
    </w:p>
    <w:p w14:paraId="67D5EF65" w14:textId="77777777" w:rsidR="00385122" w:rsidRPr="00D824DF" w:rsidRDefault="00385122" w:rsidP="00385122">
      <w:pPr>
        <w:widowControl w:val="0"/>
        <w:autoSpaceDE w:val="0"/>
        <w:autoSpaceDN w:val="0"/>
        <w:spacing w:before="1" w:after="0" w:line="240" w:lineRule="auto"/>
        <w:jc w:val="both"/>
        <w:outlineLvl w:val="0"/>
        <w:rPr>
          <w:rFonts w:ascii="Verdana" w:eastAsia="Arial" w:hAnsi="Verdana" w:cs="Arial"/>
          <w:b/>
          <w:bCs/>
          <w:lang w:val="es-ES"/>
        </w:rPr>
      </w:pPr>
      <w:r w:rsidRPr="00D824DF">
        <w:rPr>
          <w:rFonts w:ascii="Verdana" w:eastAsia="Arial" w:hAnsi="Verdana" w:cs="Arial"/>
          <w:b/>
          <w:bCs/>
          <w:lang w:val="es-ES"/>
        </w:rPr>
        <w:t>Respuesta:</w:t>
      </w:r>
    </w:p>
    <w:p w14:paraId="154DE38A" w14:textId="77777777" w:rsidR="00385122" w:rsidRPr="00D824DF" w:rsidRDefault="00385122" w:rsidP="00385122">
      <w:pPr>
        <w:spacing w:after="0"/>
        <w:rPr>
          <w:rFonts w:ascii="Verdana" w:eastAsia="Aptos" w:hAnsi="Verdana" w:cs="Times New Roman"/>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85122" w:rsidRPr="00D824DF" w14:paraId="095735C5" w14:textId="77777777" w:rsidTr="00B20D07">
        <w:tc>
          <w:tcPr>
            <w:tcW w:w="8828" w:type="dxa"/>
            <w:shd w:val="clear" w:color="auto" w:fill="auto"/>
          </w:tcPr>
          <w:p w14:paraId="681EE38C" w14:textId="77777777" w:rsidR="00385122" w:rsidRPr="00D824DF" w:rsidRDefault="00385122" w:rsidP="00B20D07">
            <w:pPr>
              <w:spacing w:after="120" w:line="276" w:lineRule="auto"/>
              <w:jc w:val="both"/>
              <w:rPr>
                <w:rFonts w:ascii="Verdana" w:eastAsia="Calibri" w:hAnsi="Verdana" w:cs="Arial"/>
                <w:lang w:val="es-ES"/>
              </w:rPr>
            </w:pPr>
            <w:bookmarkStart w:id="1" w:name="_Hlk171067516"/>
            <w:r w:rsidRPr="00D824DF">
              <w:rPr>
                <w:rFonts w:ascii="Verdana" w:eastAsia="Calibri" w:hAnsi="Verdana" w:cs="Arial"/>
                <w:lang w:val="es-ES"/>
              </w:rPr>
              <w:t>En respuesta al problema planteado esta Subdirección manifiesta:</w:t>
            </w:r>
          </w:p>
          <w:p w14:paraId="040C5777" w14:textId="77777777" w:rsidR="00385122" w:rsidRPr="00D824DF" w:rsidRDefault="00385122" w:rsidP="00B20D07">
            <w:pPr>
              <w:spacing w:after="120" w:line="276" w:lineRule="auto"/>
              <w:jc w:val="both"/>
              <w:rPr>
                <w:rFonts w:ascii="Verdana" w:hAnsi="Verdana"/>
                <w:lang w:val="es-ES"/>
              </w:rPr>
            </w:pPr>
            <w:r w:rsidRPr="00D824DF">
              <w:rPr>
                <w:rFonts w:ascii="Verdana" w:hAnsi="Verdana"/>
                <w:lang w:val="es-ES"/>
              </w:rPr>
              <w:t xml:space="preserve">En lo relacionado a la modificación de los pliegos de condiciones, resulta necesario aclarar que las Entidades Estatales pueden modificar el contenido técnico, jurídico y económico de estos documentos del proceso, a través de </w:t>
            </w:r>
            <w:r w:rsidRPr="00D824DF">
              <w:rPr>
                <w:rFonts w:ascii="Verdana" w:hAnsi="Verdana"/>
                <w:i/>
                <w:iCs/>
                <w:lang w:val="es-ES"/>
              </w:rPr>
              <w:t>adendas</w:t>
            </w:r>
            <w:r w:rsidRPr="00D824DF">
              <w:rPr>
                <w:rFonts w:ascii="Verdana" w:hAnsi="Verdana"/>
                <w:lang w:val="es-ES"/>
              </w:rPr>
              <w:t xml:space="preserve">, bien sea como consecuencia de las observaciones recibidas por parte de los interesados o por </w:t>
            </w:r>
            <w:r w:rsidRPr="00D824DF">
              <w:rPr>
                <w:rFonts w:ascii="Verdana" w:hAnsi="Verdana"/>
                <w:i/>
                <w:iCs/>
                <w:lang w:val="es-ES"/>
              </w:rPr>
              <w:t>iniciativa de la misma entidad.</w:t>
            </w:r>
            <w:r w:rsidRPr="00D824DF">
              <w:rPr>
                <w:rFonts w:ascii="Verdana" w:hAnsi="Verdana"/>
                <w:lang w:val="es-ES"/>
              </w:rPr>
              <w:t xml:space="preserve"> </w:t>
            </w:r>
          </w:p>
          <w:p w14:paraId="68842F65" w14:textId="77777777" w:rsidR="00385122" w:rsidRPr="00D824DF" w:rsidRDefault="00385122" w:rsidP="00B20D07">
            <w:pPr>
              <w:spacing w:after="120" w:line="276" w:lineRule="auto"/>
              <w:ind w:firstLine="708"/>
              <w:jc w:val="both"/>
              <w:rPr>
                <w:rFonts w:ascii="Verdana" w:hAnsi="Verdana"/>
                <w:lang w:val="es-ES"/>
              </w:rPr>
            </w:pPr>
            <w:r w:rsidRPr="00D824DF">
              <w:rPr>
                <w:rFonts w:ascii="Verdana" w:hAnsi="Verdana"/>
                <w:lang w:val="es-ES"/>
              </w:rPr>
              <w:t xml:space="preserve">Sobre el particular, debe precisarse que la expedición de adendas frente a las condiciones técnicas, jurídicas y económicas del pliego definitivo, deben ser realizada hasta antes del vencimiento del plazo para la recepción de </w:t>
            </w:r>
            <w:r w:rsidRPr="00D824DF">
              <w:rPr>
                <w:rFonts w:ascii="Verdana" w:hAnsi="Verdana"/>
                <w:lang w:val="es-ES"/>
              </w:rPr>
              <w:lastRenderedPageBreak/>
              <w:t>ofertas. Ahora bien,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2.2.1.1.2.2.1. del Decreto 1082 de 2015.</w:t>
            </w:r>
          </w:p>
          <w:p w14:paraId="321B1441" w14:textId="77777777" w:rsidR="00385122" w:rsidRPr="00D824DF" w:rsidRDefault="00385122" w:rsidP="00B20D07">
            <w:pPr>
              <w:spacing w:after="120" w:line="276" w:lineRule="auto"/>
              <w:ind w:firstLine="708"/>
              <w:jc w:val="both"/>
              <w:rPr>
                <w:rFonts w:ascii="Verdana" w:hAnsi="Verdana"/>
                <w:lang w:val="es-ES"/>
              </w:rPr>
            </w:pPr>
            <w:r w:rsidRPr="00D824DF">
              <w:rPr>
                <w:rFonts w:ascii="Verdana" w:hAnsi="Verdana"/>
                <w:lang w:val="es-ES"/>
              </w:rPr>
              <w:t>Sin perjuicio de lo expuesto, es preciso advertir que, las adendas solo pueden modificar aspectos de los pliegos que no sean sustanciales, esto quiere decir, que no se podrán modificar aspectos tales como lo son el objeto del contrato, el mecanismo de selección y el presupuesto. Adicionalmente, las adendas deberán cumplir con todos los requisitos de publicidad previstos en el pliego de condiciones para garantizar seguridad jurídica en el marco del proceso.</w:t>
            </w:r>
          </w:p>
          <w:p w14:paraId="53E4BDEE" w14:textId="77777777" w:rsidR="00385122" w:rsidRPr="00D824DF" w:rsidRDefault="00385122" w:rsidP="00B20D07">
            <w:pPr>
              <w:spacing w:after="120" w:line="276" w:lineRule="auto"/>
              <w:ind w:firstLine="708"/>
              <w:jc w:val="both"/>
              <w:rPr>
                <w:rFonts w:ascii="Verdana" w:hAnsi="Verdana" w:cs="Arial"/>
                <w:color w:val="000000" w:themeColor="text1"/>
              </w:rPr>
            </w:pPr>
            <w:r w:rsidRPr="00D824DF">
              <w:rPr>
                <w:rFonts w:ascii="Verdana" w:hAnsi="Verdana" w:cs="Arial"/>
                <w:bCs/>
                <w:color w:val="000000" w:themeColor="text1"/>
                <w:lang w:eastAsia="es-MX"/>
              </w:rPr>
              <w:t>Finalmente</w:t>
            </w:r>
            <w:r w:rsidRPr="00D824DF">
              <w:rPr>
                <w:rFonts w:ascii="Verdana" w:hAnsi="Verdana" w:cs="Arial"/>
                <w:color w:val="000000" w:themeColor="text1"/>
              </w:rPr>
              <w:t xml:space="preserve">, si bien no es posible la utilización de adendas que permitan la modificación de ciertos aspectos dentro del proceso de selección, cuando se ha superado el término previsto en la legislación, esto no es impedimento, para que en el evento de presentarse circunstancias que no modifican sustancialmente las características del proceso, se pueda acudir a la figura del saneamiento o en su defecto, cuando se trate de un asunto netamente formal o de digitación, expedir el respectivo acto administrativo de corrección, dada la naturaleza del pliego de condiciones. </w:t>
            </w:r>
          </w:p>
        </w:tc>
      </w:tr>
      <w:bookmarkEnd w:id="1"/>
    </w:tbl>
    <w:p w14:paraId="71B68607" w14:textId="77777777" w:rsidR="00385122" w:rsidRPr="00D824DF" w:rsidRDefault="00385122" w:rsidP="00385122">
      <w:pPr>
        <w:widowControl w:val="0"/>
        <w:autoSpaceDE w:val="0"/>
        <w:autoSpaceDN w:val="0"/>
        <w:spacing w:before="1" w:after="0" w:line="240" w:lineRule="auto"/>
        <w:ind w:left="360" w:hanging="360"/>
        <w:outlineLvl w:val="0"/>
        <w:rPr>
          <w:rFonts w:ascii="Verdana" w:eastAsia="Arial" w:hAnsi="Verdana" w:cs="Arial"/>
          <w:b/>
          <w:bCs/>
          <w:lang w:val="es-ES"/>
        </w:rPr>
      </w:pPr>
    </w:p>
    <w:p w14:paraId="0240B4FB" w14:textId="77777777" w:rsidR="00385122" w:rsidRPr="00D824DF" w:rsidRDefault="00385122" w:rsidP="00385122">
      <w:pPr>
        <w:widowControl w:val="0"/>
        <w:autoSpaceDE w:val="0"/>
        <w:autoSpaceDN w:val="0"/>
        <w:spacing w:before="1" w:after="0" w:line="240" w:lineRule="auto"/>
        <w:ind w:left="360" w:hanging="360"/>
        <w:outlineLvl w:val="0"/>
        <w:rPr>
          <w:rFonts w:ascii="Verdana" w:eastAsia="Arial" w:hAnsi="Verdana" w:cs="Arial"/>
          <w:b/>
          <w:bCs/>
          <w:lang w:val="es-ES"/>
        </w:rPr>
      </w:pPr>
      <w:r w:rsidRPr="00D824DF">
        <w:rPr>
          <w:rFonts w:ascii="Verdana" w:eastAsia="Arial" w:hAnsi="Verdana" w:cs="Arial"/>
          <w:b/>
          <w:bCs/>
          <w:lang w:val="es-ES"/>
        </w:rPr>
        <w:t>3. Razones de la respuesta</w:t>
      </w:r>
    </w:p>
    <w:p w14:paraId="076BAD05" w14:textId="77777777" w:rsidR="00385122" w:rsidRPr="00D824DF" w:rsidRDefault="00385122" w:rsidP="00385122">
      <w:pPr>
        <w:spacing w:after="0" w:line="276" w:lineRule="auto"/>
        <w:jc w:val="both"/>
        <w:rPr>
          <w:rFonts w:ascii="Verdana" w:eastAsia="Calibri" w:hAnsi="Verdana" w:cs="Arial"/>
          <w:lang w:val="es-ES"/>
        </w:rPr>
      </w:pPr>
    </w:p>
    <w:p w14:paraId="48D95642" w14:textId="77777777" w:rsidR="00385122" w:rsidRPr="00D824DF" w:rsidRDefault="00385122" w:rsidP="00385122">
      <w:pPr>
        <w:spacing w:after="0" w:line="276" w:lineRule="auto"/>
        <w:jc w:val="both"/>
        <w:rPr>
          <w:rFonts w:ascii="Verdana" w:eastAsia="Calibri" w:hAnsi="Verdana" w:cs="Arial"/>
          <w:lang w:val="es-ES"/>
        </w:rPr>
      </w:pPr>
      <w:r w:rsidRPr="00D824DF">
        <w:rPr>
          <w:rFonts w:ascii="Verdana" w:eastAsia="Calibri" w:hAnsi="Verdana" w:cs="Arial"/>
          <w:lang w:val="es-ES"/>
        </w:rPr>
        <w:t xml:space="preserve">La respuesta anterior se sustenta en las siguientes consideraciones: </w:t>
      </w:r>
    </w:p>
    <w:p w14:paraId="54CF10B6" w14:textId="77777777" w:rsidR="00385122" w:rsidRPr="00D824DF" w:rsidRDefault="00385122" w:rsidP="00385122">
      <w:pPr>
        <w:spacing w:after="0" w:line="276" w:lineRule="auto"/>
        <w:jc w:val="both"/>
        <w:rPr>
          <w:rFonts w:ascii="Verdana" w:eastAsia="Calibri" w:hAnsi="Verdana" w:cs="Arial"/>
          <w:lang w:val="es-ES"/>
        </w:rPr>
      </w:pPr>
    </w:p>
    <w:p w14:paraId="26C0F281" w14:textId="77777777" w:rsidR="00385122" w:rsidRPr="00D824DF" w:rsidRDefault="00385122" w:rsidP="00385122">
      <w:pPr>
        <w:pStyle w:val="ListParagraph"/>
        <w:widowControl w:val="0"/>
        <w:numPr>
          <w:ilvl w:val="0"/>
          <w:numId w:val="19"/>
        </w:numPr>
        <w:autoSpaceDE w:val="0"/>
        <w:autoSpaceDN w:val="0"/>
        <w:spacing w:after="120" w:line="276" w:lineRule="auto"/>
        <w:ind w:right="108"/>
        <w:jc w:val="both"/>
        <w:rPr>
          <w:rFonts w:ascii="Verdana" w:eastAsia="Arial" w:hAnsi="Verdana" w:cs="Arial"/>
          <w:lang w:eastAsia="es-ES" w:bidi="es-ES"/>
        </w:rPr>
      </w:pPr>
      <w:r w:rsidRPr="00D824DF">
        <w:rPr>
          <w:rFonts w:ascii="Verdana" w:eastAsia="Arial" w:hAnsi="Verdana" w:cs="Arial"/>
          <w:lang w:eastAsia="es-ES" w:bidi="es-ES"/>
        </w:rPr>
        <w:t>El pliego de condiciones es la hoja de ruta o plan</w:t>
      </w:r>
      <w:r w:rsidRPr="00D824DF">
        <w:rPr>
          <w:rFonts w:ascii="Verdana" w:hAnsi="Verdana"/>
          <w:vertAlign w:val="superscript"/>
          <w:lang w:eastAsia="es-ES" w:bidi="es-ES"/>
        </w:rPr>
        <w:footnoteReference w:id="2"/>
      </w:r>
      <w:r w:rsidRPr="00D824DF">
        <w:rPr>
          <w:rFonts w:ascii="Verdana" w:eastAsia="Arial" w:hAnsi="Verdana" w:cs="Arial"/>
          <w:lang w:eastAsia="es-ES" w:bidi="es-ES"/>
        </w:rPr>
        <w:t xml:space="preserve"> sobre el cual se diseña, estructura y concreta el procedimiento de selección de contratistas, y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w:t>
      </w:r>
      <w:r w:rsidRPr="00D824DF">
        <w:rPr>
          <w:rFonts w:ascii="Verdana" w:eastAsia="Arial" w:hAnsi="Verdana" w:cs="Arial"/>
          <w:lang w:eastAsia="es-ES" w:bidi="es-ES"/>
        </w:rPr>
        <w:lastRenderedPageBreak/>
        <w:t>en cláusulas vinculantes del mismo”</w:t>
      </w:r>
      <w:r w:rsidRPr="00D824DF">
        <w:rPr>
          <w:rFonts w:ascii="Verdana" w:hAnsi="Verdana"/>
          <w:vertAlign w:val="superscript"/>
          <w:lang w:eastAsia="es-ES" w:bidi="es-ES"/>
        </w:rPr>
        <w:footnoteReference w:id="3"/>
      </w:r>
      <w:r w:rsidRPr="00D824DF">
        <w:rPr>
          <w:rFonts w:ascii="Verdana" w:eastAsia="Arial" w:hAnsi="Verdana" w:cs="Arial"/>
          <w:lang w:eastAsia="es-ES" w:bidi="es-ES"/>
        </w:rPr>
        <w:t>.</w:t>
      </w:r>
    </w:p>
    <w:p w14:paraId="53241747" w14:textId="77777777" w:rsidR="00385122" w:rsidRPr="00D824DF" w:rsidRDefault="00385122" w:rsidP="00385122">
      <w:pPr>
        <w:pStyle w:val="ListParagraph"/>
        <w:widowControl w:val="0"/>
        <w:autoSpaceDE w:val="0"/>
        <w:autoSpaceDN w:val="0"/>
        <w:spacing w:after="120" w:line="276" w:lineRule="auto"/>
        <w:ind w:left="360" w:right="108"/>
        <w:jc w:val="both"/>
        <w:rPr>
          <w:rFonts w:ascii="Verdana" w:eastAsia="Arial" w:hAnsi="Verdana" w:cs="Arial"/>
          <w:lang w:eastAsia="es-ES" w:bidi="es-ES"/>
        </w:rPr>
      </w:pPr>
    </w:p>
    <w:p w14:paraId="2A9DE585" w14:textId="77777777" w:rsidR="00385122" w:rsidRPr="00D824DF" w:rsidRDefault="00385122" w:rsidP="00385122">
      <w:pPr>
        <w:pStyle w:val="ListParagraph"/>
        <w:widowControl w:val="0"/>
        <w:numPr>
          <w:ilvl w:val="0"/>
          <w:numId w:val="19"/>
        </w:numPr>
        <w:autoSpaceDE w:val="0"/>
        <w:autoSpaceDN w:val="0"/>
        <w:spacing w:after="120" w:line="276" w:lineRule="auto"/>
        <w:ind w:right="108"/>
        <w:jc w:val="both"/>
        <w:rPr>
          <w:rFonts w:ascii="Verdana" w:eastAsia="Arial" w:hAnsi="Verdana" w:cs="Arial"/>
          <w:lang w:eastAsia="es-ES" w:bidi="es-ES"/>
        </w:rPr>
      </w:pPr>
      <w:r w:rsidRPr="00D824DF">
        <w:rPr>
          <w:rFonts w:ascii="Verdana" w:eastAsia="Arial" w:hAnsi="Verdana" w:cs="Arial"/>
          <w:lang w:eastAsia="es-ES" w:bidi="es-ES"/>
        </w:rPr>
        <w:t xml:space="preserve">Así, el pliego es un instrumento en el cual se materializa el principio de transparencia, pues en él se prefijan las reglas de escogencia del contratista del Estado, para la selección objetiva de la mejor oferta, la adjudicación y la posterior celebración y ejecución del contrato, lo cual lo convierte en una reglamentación de todo el </w:t>
      </w:r>
      <w:proofErr w:type="spellStart"/>
      <w:r w:rsidRPr="00D824DF">
        <w:rPr>
          <w:rFonts w:ascii="Verdana" w:eastAsia="Arial" w:hAnsi="Verdana" w:cs="Arial"/>
          <w:i/>
          <w:iCs/>
          <w:lang w:eastAsia="es-ES" w:bidi="es-ES"/>
        </w:rPr>
        <w:t>iter</w:t>
      </w:r>
      <w:proofErr w:type="spellEnd"/>
      <w:r w:rsidRPr="00D824DF">
        <w:rPr>
          <w:rFonts w:ascii="Verdana" w:eastAsia="Arial" w:hAnsi="Verdana" w:cs="Arial"/>
          <w:i/>
          <w:iCs/>
          <w:lang w:eastAsia="es-ES" w:bidi="es-ES"/>
        </w:rPr>
        <w:t xml:space="preserve"> </w:t>
      </w:r>
      <w:r w:rsidRPr="00D824DF">
        <w:rPr>
          <w:rFonts w:ascii="Verdana" w:eastAsia="Arial" w:hAnsi="Verdana" w:cs="Arial"/>
          <w:lang w:eastAsia="es-ES" w:bidi="es-ES"/>
        </w:rPr>
        <w:t>contractual. Su contenido</w:t>
      </w:r>
      <w:r w:rsidRPr="00D824DF">
        <w:rPr>
          <w:rFonts w:ascii="Verdana" w:hAnsi="Verdana"/>
          <w:vertAlign w:val="superscript"/>
          <w:lang w:eastAsia="es-ES" w:bidi="es-ES"/>
        </w:rPr>
        <w:footnoteReference w:id="4"/>
      </w:r>
      <w:r w:rsidRPr="00D824DF">
        <w:rPr>
          <w:rFonts w:ascii="Verdana" w:eastAsia="Arial" w:hAnsi="Verdana" w:cs="Arial"/>
          <w:lang w:eastAsia="es-ES" w:bidi="es-ES"/>
        </w:rPr>
        <w:t xml:space="preserve"> está previsto en el numeral 5 del artículo 24 de la Ley 80 de 1993.</w:t>
      </w:r>
    </w:p>
    <w:p w14:paraId="067AFA48" w14:textId="77777777" w:rsidR="00385122" w:rsidRPr="00D824DF" w:rsidRDefault="00385122" w:rsidP="00385122">
      <w:pPr>
        <w:pStyle w:val="ListParagraph"/>
        <w:rPr>
          <w:rFonts w:ascii="Verdana" w:eastAsia="Arial" w:hAnsi="Verdana" w:cs="Arial"/>
          <w:lang w:eastAsia="es-ES" w:bidi="es-ES"/>
        </w:rPr>
      </w:pPr>
    </w:p>
    <w:p w14:paraId="36E06344"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Arial" w:hAnsi="Verdana" w:cs="Arial"/>
          <w:lang w:eastAsia="es-ES" w:bidi="es-ES"/>
        </w:rPr>
        <w:t>De conformidad con lo anterior, la Administración tiene la facultad de configurar las reglas y exigencias de los pliegos de condiciones de manera libre, dentro de los parámetros y límites establecidos por el ordenamiento jurídico</w:t>
      </w:r>
      <w:r w:rsidRPr="00D824DF">
        <w:rPr>
          <w:rFonts w:ascii="Verdana" w:hAnsi="Verdana"/>
          <w:vertAlign w:val="superscript"/>
          <w:lang w:eastAsia="es-ES" w:bidi="es-ES"/>
        </w:rPr>
        <w:footnoteReference w:id="5"/>
      </w:r>
      <w:r w:rsidRPr="00D824DF">
        <w:rPr>
          <w:rFonts w:ascii="Verdana" w:eastAsia="Arial" w:hAnsi="Verdana" w:cs="Arial"/>
          <w:lang w:eastAsia="es-ES" w:bidi="es-ES"/>
        </w:rPr>
        <w:t>, con fundamento en los estudios realizados en la fase de planeación. Además, tiene la carga de elaborarlos de manera idónea, objetiva, clara, precisa y completa, tal como se deduce de la disposición recién citada.</w:t>
      </w:r>
    </w:p>
    <w:p w14:paraId="594CE9A4" w14:textId="77777777" w:rsidR="00385122" w:rsidRPr="00D824DF" w:rsidRDefault="00385122" w:rsidP="00385122">
      <w:pPr>
        <w:pStyle w:val="ListParagraph"/>
        <w:rPr>
          <w:rFonts w:ascii="Verdana" w:eastAsia="Arial" w:hAnsi="Verdana" w:cs="Arial"/>
          <w:lang w:eastAsia="es-ES" w:bidi="es-ES"/>
        </w:rPr>
      </w:pPr>
    </w:p>
    <w:p w14:paraId="76AC0C6B"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Arial" w:hAnsi="Verdana" w:cs="Arial"/>
          <w:lang w:eastAsia="es-ES" w:bidi="es-ES"/>
        </w:rPr>
        <w:t>Sin perjuicio de lo anterior, puede ocurrir que surja la necesidad de efectuar correcciones, aclaraciones o modificaciones, bien sea porque las mismas tienen origen en necesidades identificadas por la entidad contratante o como consecuencia de observaciones realizadas por los interesados en el</w:t>
      </w:r>
      <w:r w:rsidRPr="00D824DF">
        <w:rPr>
          <w:rFonts w:ascii="Verdana" w:eastAsia="Arial" w:hAnsi="Verdana" w:cs="Arial"/>
          <w:spacing w:val="-6"/>
          <w:lang w:eastAsia="es-ES" w:bidi="es-ES"/>
        </w:rPr>
        <w:t xml:space="preserve"> </w:t>
      </w:r>
      <w:r w:rsidRPr="00D824DF">
        <w:rPr>
          <w:rFonts w:ascii="Verdana" w:eastAsia="Arial" w:hAnsi="Verdana" w:cs="Arial"/>
          <w:lang w:eastAsia="es-ES" w:bidi="es-ES"/>
        </w:rPr>
        <w:t>proceso, de manera que, pese a la planeación previa y el cumplimiento de las disposiciones aplicables, es posible que sea necesario modificar el pliego de condiciones.</w:t>
      </w:r>
    </w:p>
    <w:p w14:paraId="41656EE4" w14:textId="77777777" w:rsidR="00385122" w:rsidRPr="00D824DF" w:rsidRDefault="00385122" w:rsidP="00385122">
      <w:pPr>
        <w:pStyle w:val="ListParagraph"/>
        <w:rPr>
          <w:rFonts w:ascii="Verdana" w:eastAsia="Arial" w:hAnsi="Verdana" w:cs="Arial"/>
          <w:lang w:eastAsia="es-ES" w:bidi="es-ES"/>
        </w:rPr>
      </w:pPr>
    </w:p>
    <w:p w14:paraId="6B5BEAA1"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Arial" w:hAnsi="Verdana" w:cs="Arial"/>
          <w:lang w:eastAsia="es-ES" w:bidi="es-ES"/>
        </w:rPr>
        <w:t xml:space="preserve">De esta forma,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w:t>
      </w:r>
      <w:r w:rsidRPr="00D824DF">
        <w:rPr>
          <w:rFonts w:ascii="Verdana" w:eastAsia="Arial" w:hAnsi="Verdana" w:cs="Arial"/>
          <w:lang w:eastAsia="es-ES" w:bidi="es-ES"/>
        </w:rPr>
        <w:lastRenderedPageBreak/>
        <w:t xml:space="preserve">mediante </w:t>
      </w:r>
      <w:r w:rsidRPr="00D824DF">
        <w:rPr>
          <w:rFonts w:ascii="Verdana" w:eastAsia="Arial" w:hAnsi="Verdana" w:cs="Arial"/>
          <w:i/>
          <w:iCs/>
          <w:lang w:eastAsia="es-ES" w:bidi="es-ES"/>
        </w:rPr>
        <w:t>adendas</w:t>
      </w:r>
      <w:r w:rsidRPr="00D824DF">
        <w:rPr>
          <w:rFonts w:ascii="Verdana" w:eastAsia="Arial" w:hAnsi="Verdana" w:cs="Arial"/>
          <w:i/>
          <w:lang w:eastAsia="es-ES" w:bidi="es-ES"/>
        </w:rPr>
        <w:t xml:space="preserve">. </w:t>
      </w:r>
    </w:p>
    <w:p w14:paraId="40451F78" w14:textId="77777777" w:rsidR="00385122" w:rsidRPr="00D824DF" w:rsidRDefault="00385122" w:rsidP="00385122">
      <w:pPr>
        <w:pStyle w:val="ListParagraph"/>
        <w:rPr>
          <w:rFonts w:ascii="Verdana" w:eastAsia="Arial" w:hAnsi="Verdana" w:cs="Arial"/>
          <w:iCs/>
          <w:lang w:eastAsia="es-ES" w:bidi="es-ES"/>
        </w:rPr>
      </w:pPr>
    </w:p>
    <w:p w14:paraId="36D51789"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Arial" w:hAnsi="Verdana" w:cs="Arial"/>
          <w:iCs/>
          <w:lang w:eastAsia="es-ES" w:bidi="es-ES"/>
        </w:rPr>
        <w:t>Sin perjuicio de lo anterior,</w:t>
      </w:r>
      <w:r w:rsidRPr="00D824DF">
        <w:rPr>
          <w:rFonts w:ascii="Verdana" w:eastAsia="Arial" w:hAnsi="Verdana" w:cs="Arial"/>
          <w:i/>
          <w:lang w:eastAsia="es-ES" w:bidi="es-ES"/>
        </w:rPr>
        <w:t xml:space="preserve"> </w:t>
      </w:r>
      <w:r w:rsidRPr="00D824DF">
        <w:rPr>
          <w:rFonts w:ascii="Verdana" w:eastAsia="Arial" w:hAnsi="Verdana" w:cs="Arial"/>
          <w:lang w:eastAsia="es-ES" w:bidi="es-ES"/>
        </w:rPr>
        <w:t>como lo ha reconocido la jurisprudencia del Consejo de Estado, dichas modificaciones pueden realizarse por medio de cualquier otro documento que contenga</w:t>
      </w:r>
      <w:r w:rsidRPr="00D824DF">
        <w:rPr>
          <w:rFonts w:ascii="Verdana" w:eastAsia="Arial" w:hAnsi="Verdana" w:cs="Arial"/>
          <w:spacing w:val="26"/>
          <w:lang w:eastAsia="es-ES" w:bidi="es-ES"/>
        </w:rPr>
        <w:t xml:space="preserve"> </w:t>
      </w:r>
      <w:r w:rsidRPr="00D824DF">
        <w:rPr>
          <w:rFonts w:ascii="Verdana" w:eastAsia="Arial" w:hAnsi="Verdana" w:cs="Arial"/>
          <w:lang w:eastAsia="es-ES" w:bidi="es-ES"/>
        </w:rPr>
        <w:t>la</w:t>
      </w:r>
      <w:r w:rsidRPr="00D824DF">
        <w:rPr>
          <w:rFonts w:ascii="Verdana" w:eastAsia="Arial" w:hAnsi="Verdana" w:cs="Arial"/>
          <w:spacing w:val="27"/>
          <w:lang w:eastAsia="es-ES" w:bidi="es-ES"/>
        </w:rPr>
        <w:t xml:space="preserve"> </w:t>
      </w:r>
      <w:r w:rsidRPr="00D824DF">
        <w:rPr>
          <w:rFonts w:ascii="Verdana" w:eastAsia="Arial" w:hAnsi="Verdana" w:cs="Arial"/>
          <w:lang w:eastAsia="es-ES" w:bidi="es-ES"/>
        </w:rPr>
        <w:t>manifestación</w:t>
      </w:r>
      <w:r w:rsidRPr="00D824DF">
        <w:rPr>
          <w:rFonts w:ascii="Verdana" w:eastAsia="Arial" w:hAnsi="Verdana" w:cs="Arial"/>
          <w:spacing w:val="26"/>
          <w:lang w:eastAsia="es-ES" w:bidi="es-ES"/>
        </w:rPr>
        <w:t xml:space="preserve"> </w:t>
      </w:r>
      <w:r w:rsidRPr="00D824DF">
        <w:rPr>
          <w:rFonts w:ascii="Verdana" w:eastAsia="Arial" w:hAnsi="Verdana" w:cs="Arial"/>
          <w:lang w:eastAsia="es-ES" w:bidi="es-ES"/>
        </w:rPr>
        <w:t>de</w:t>
      </w:r>
      <w:r w:rsidRPr="00D824DF">
        <w:rPr>
          <w:rFonts w:ascii="Verdana" w:eastAsia="Arial" w:hAnsi="Verdana" w:cs="Arial"/>
          <w:spacing w:val="27"/>
          <w:lang w:eastAsia="es-ES" w:bidi="es-ES"/>
        </w:rPr>
        <w:t xml:space="preserve"> </w:t>
      </w:r>
      <w:r w:rsidRPr="00D824DF">
        <w:rPr>
          <w:rFonts w:ascii="Verdana" w:eastAsia="Arial" w:hAnsi="Verdana" w:cs="Arial"/>
          <w:lang w:eastAsia="es-ES" w:bidi="es-ES"/>
        </w:rPr>
        <w:t>voluntad</w:t>
      </w:r>
      <w:r w:rsidRPr="00D824DF">
        <w:rPr>
          <w:rFonts w:ascii="Verdana" w:eastAsia="Arial" w:hAnsi="Verdana" w:cs="Arial"/>
          <w:spacing w:val="27"/>
          <w:lang w:eastAsia="es-ES" w:bidi="es-ES"/>
        </w:rPr>
        <w:t xml:space="preserve"> </w:t>
      </w:r>
      <w:r w:rsidRPr="00D824DF">
        <w:rPr>
          <w:rFonts w:ascii="Verdana" w:eastAsia="Arial" w:hAnsi="Verdana" w:cs="Arial"/>
          <w:lang w:eastAsia="es-ES" w:bidi="es-ES"/>
        </w:rPr>
        <w:t>de</w:t>
      </w:r>
      <w:r w:rsidRPr="00D824DF">
        <w:rPr>
          <w:rFonts w:ascii="Verdana" w:eastAsia="Arial" w:hAnsi="Verdana" w:cs="Arial"/>
          <w:spacing w:val="26"/>
          <w:lang w:eastAsia="es-ES" w:bidi="es-ES"/>
        </w:rPr>
        <w:t xml:space="preserve"> </w:t>
      </w:r>
      <w:r w:rsidRPr="00D824DF">
        <w:rPr>
          <w:rFonts w:ascii="Verdana" w:eastAsia="Arial" w:hAnsi="Verdana" w:cs="Arial"/>
          <w:lang w:eastAsia="es-ES" w:bidi="es-ES"/>
        </w:rPr>
        <w:t>la</w:t>
      </w:r>
      <w:r w:rsidRPr="00D824DF">
        <w:rPr>
          <w:rFonts w:ascii="Verdana" w:eastAsia="Arial" w:hAnsi="Verdana" w:cs="Arial"/>
          <w:spacing w:val="27"/>
          <w:lang w:eastAsia="es-ES" w:bidi="es-ES"/>
        </w:rPr>
        <w:t xml:space="preserve"> </w:t>
      </w:r>
      <w:r w:rsidRPr="00D824DF">
        <w:rPr>
          <w:rFonts w:ascii="Verdana" w:eastAsia="Arial" w:hAnsi="Verdana" w:cs="Arial"/>
          <w:lang w:eastAsia="es-ES" w:bidi="es-ES"/>
        </w:rPr>
        <w:t>entidad</w:t>
      </w:r>
      <w:r w:rsidRPr="00D824DF">
        <w:rPr>
          <w:rFonts w:ascii="Verdana" w:eastAsia="Arial" w:hAnsi="Verdana" w:cs="Arial"/>
          <w:spacing w:val="27"/>
          <w:lang w:eastAsia="es-ES" w:bidi="es-ES"/>
        </w:rPr>
        <w:t xml:space="preserve"> </w:t>
      </w:r>
      <w:r w:rsidRPr="00D824DF">
        <w:rPr>
          <w:rFonts w:ascii="Verdana" w:eastAsia="Arial" w:hAnsi="Verdana" w:cs="Arial"/>
          <w:lang w:eastAsia="es-ES" w:bidi="es-ES"/>
        </w:rPr>
        <w:t>de</w:t>
      </w:r>
      <w:r w:rsidRPr="00D824DF">
        <w:rPr>
          <w:rFonts w:ascii="Verdana" w:eastAsia="Arial" w:hAnsi="Verdana" w:cs="Arial"/>
          <w:spacing w:val="26"/>
          <w:lang w:eastAsia="es-ES" w:bidi="es-ES"/>
        </w:rPr>
        <w:t xml:space="preserve"> </w:t>
      </w:r>
      <w:r w:rsidRPr="00D824DF">
        <w:rPr>
          <w:rFonts w:ascii="Verdana" w:eastAsia="Arial" w:hAnsi="Verdana" w:cs="Arial"/>
          <w:lang w:eastAsia="es-ES" w:bidi="es-ES"/>
        </w:rPr>
        <w:t>aclarar,</w:t>
      </w:r>
      <w:r w:rsidRPr="00D824DF">
        <w:rPr>
          <w:rFonts w:ascii="Verdana" w:eastAsia="Arial" w:hAnsi="Verdana" w:cs="Arial"/>
          <w:spacing w:val="25"/>
          <w:lang w:eastAsia="es-ES" w:bidi="es-ES"/>
        </w:rPr>
        <w:t xml:space="preserve"> </w:t>
      </w:r>
      <w:r w:rsidRPr="00D824DF">
        <w:rPr>
          <w:rFonts w:ascii="Verdana" w:eastAsia="Arial" w:hAnsi="Verdana" w:cs="Arial"/>
          <w:lang w:eastAsia="es-ES" w:bidi="es-ES"/>
        </w:rPr>
        <w:t>añadir,</w:t>
      </w:r>
      <w:r w:rsidRPr="00D824DF">
        <w:rPr>
          <w:rFonts w:ascii="Verdana" w:eastAsia="Arial" w:hAnsi="Verdana" w:cs="Arial"/>
          <w:spacing w:val="25"/>
          <w:lang w:eastAsia="es-ES" w:bidi="es-ES"/>
        </w:rPr>
        <w:t xml:space="preserve"> </w:t>
      </w:r>
      <w:r w:rsidRPr="00D824DF">
        <w:rPr>
          <w:rFonts w:ascii="Verdana" w:eastAsia="Arial" w:hAnsi="Verdana" w:cs="Arial"/>
          <w:lang w:eastAsia="es-ES" w:bidi="es-ES"/>
        </w:rPr>
        <w:t xml:space="preserve">adicionar, reemplazar o cambiar un aspecto o condición, incluida en los documentos del procedimiento de contratación, independientemente que a dicho documento se le titule como </w:t>
      </w:r>
      <w:r w:rsidRPr="00D824DF">
        <w:rPr>
          <w:rFonts w:ascii="Verdana" w:eastAsia="Arial" w:hAnsi="Verdana" w:cs="Arial"/>
          <w:i/>
          <w:iCs/>
          <w:lang w:eastAsia="es-ES" w:bidi="es-ES"/>
        </w:rPr>
        <w:t xml:space="preserve">adenda, </w:t>
      </w:r>
      <w:r w:rsidRPr="00D824DF">
        <w:rPr>
          <w:rFonts w:ascii="Verdana" w:eastAsia="Arial" w:hAnsi="Verdana" w:cs="Arial"/>
          <w:lang w:eastAsia="es-ES" w:bidi="es-ES"/>
        </w:rPr>
        <w:t>siempre que mediante dicho documento se modifiquen los pliegos de condiciones</w:t>
      </w:r>
      <w:r w:rsidRPr="00D824DF">
        <w:rPr>
          <w:rFonts w:ascii="Verdana" w:hAnsi="Verdana"/>
          <w:vertAlign w:val="superscript"/>
          <w:lang w:eastAsia="es-ES" w:bidi="es-ES"/>
        </w:rPr>
        <w:footnoteReference w:id="6"/>
      </w:r>
      <w:r w:rsidRPr="00D824DF">
        <w:rPr>
          <w:rFonts w:ascii="Verdana" w:eastAsia="Arial" w:hAnsi="Verdana" w:cs="Arial"/>
          <w:lang w:eastAsia="es-ES" w:bidi="es-ES"/>
        </w:rPr>
        <w:t>.</w:t>
      </w:r>
    </w:p>
    <w:p w14:paraId="27F4AD8D" w14:textId="77777777" w:rsidR="00385122" w:rsidRPr="00D824DF" w:rsidRDefault="00385122" w:rsidP="00385122">
      <w:pPr>
        <w:pStyle w:val="ListParagraph"/>
        <w:rPr>
          <w:rFonts w:ascii="Verdana" w:eastAsia="Arial" w:hAnsi="Verdana" w:cs="Arial"/>
          <w:lang w:eastAsia="es-ES" w:bidi="es-ES"/>
        </w:rPr>
      </w:pPr>
    </w:p>
    <w:p w14:paraId="70B2B856"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Arial" w:hAnsi="Verdana" w:cs="Arial"/>
          <w:lang w:eastAsia="es-ES" w:bidi="es-ES"/>
        </w:rPr>
        <w:t xml:space="preserve">Ahora bien, de conformidad con lo dispuesto en el artículo 30, numeral 5, de la Ley 80 de 1993 –modificado por el artículo 89 de la Ley 1474 de 2011 y el artículo 2.2.1.1.2.2.1. del Decreto 1082 de 2015, conviene diferenciar entre dos (2) tipos de ajustes que pueden dar lugar a la expedición de adendas: i) los referidos a las condiciones técnicas, jurídicas y económicas del pliego definitivo y, en general, a cualquier contenido distinto del </w:t>
      </w:r>
      <w:r w:rsidRPr="00D824DF">
        <w:rPr>
          <w:rFonts w:ascii="Verdana" w:eastAsia="Arial" w:hAnsi="Verdana" w:cs="Arial"/>
          <w:lang w:eastAsia="es-ES" w:bidi="es-ES"/>
        </w:rPr>
        <w:lastRenderedPageBreak/>
        <w:t xml:space="preserve">cronograma del procedimiento de selección y </w:t>
      </w:r>
      <w:proofErr w:type="spellStart"/>
      <w:r w:rsidRPr="00D824DF">
        <w:rPr>
          <w:rFonts w:ascii="Verdana" w:eastAsia="Arial" w:hAnsi="Verdana" w:cs="Arial"/>
          <w:lang w:eastAsia="es-ES" w:bidi="es-ES"/>
        </w:rPr>
        <w:t>ii</w:t>
      </w:r>
      <w:proofErr w:type="spellEnd"/>
      <w:r w:rsidRPr="00D824DF">
        <w:rPr>
          <w:rFonts w:ascii="Verdana" w:eastAsia="Arial" w:hAnsi="Verdana" w:cs="Arial"/>
          <w:lang w:eastAsia="es-ES" w:bidi="es-ES"/>
        </w:rPr>
        <w:t xml:space="preserve">) los del cronograma. </w:t>
      </w:r>
    </w:p>
    <w:p w14:paraId="1356AB57" w14:textId="77777777" w:rsidR="00385122" w:rsidRPr="00D824DF" w:rsidRDefault="00385122" w:rsidP="00385122">
      <w:pPr>
        <w:pStyle w:val="ListParagraph"/>
        <w:rPr>
          <w:rFonts w:ascii="Verdana" w:eastAsia="Arial" w:hAnsi="Verdana" w:cs="Arial"/>
          <w:lang w:eastAsia="es-ES" w:bidi="es-ES"/>
        </w:rPr>
      </w:pPr>
    </w:p>
    <w:p w14:paraId="7EF7D1E3"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Arial" w:hAnsi="Verdana" w:cs="Arial"/>
          <w:lang w:eastAsia="es-ES" w:bidi="es-ES"/>
        </w:rPr>
        <w:t>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2.2.1.1.2.2.1. del Decreto 1082 de 2015.</w:t>
      </w:r>
    </w:p>
    <w:p w14:paraId="043BF4E5" w14:textId="77777777" w:rsidR="00385122" w:rsidRPr="00D824DF" w:rsidRDefault="00385122" w:rsidP="00385122">
      <w:pPr>
        <w:pStyle w:val="ListParagraph"/>
        <w:rPr>
          <w:rFonts w:ascii="Verdana" w:eastAsia="Calibri" w:hAnsi="Verdana" w:cs="Arial"/>
          <w:lang w:eastAsia="es-CO"/>
        </w:rPr>
      </w:pPr>
    </w:p>
    <w:p w14:paraId="0B2E993C"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Calibri" w:hAnsi="Verdana" w:cs="Arial"/>
          <w:lang w:eastAsia="es-CO"/>
        </w:rPr>
        <w:t xml:space="preserve">Como se observa, tanto para la licitación pública, como para los demás procedimientos de selección de contratistas, las normas legales y reglamentarias prevén la posibilidad de modificar los pliegos de condiciones mediante </w:t>
      </w:r>
      <w:r w:rsidRPr="00D824DF">
        <w:rPr>
          <w:rFonts w:ascii="Verdana" w:eastAsia="Calibri" w:hAnsi="Verdana" w:cs="Arial"/>
          <w:i/>
          <w:iCs/>
          <w:lang w:eastAsia="es-CO"/>
        </w:rPr>
        <w:t>adendas</w:t>
      </w:r>
      <w:r w:rsidRPr="00D824DF">
        <w:rPr>
          <w:rFonts w:ascii="Verdana" w:eastAsia="Calibri" w:hAnsi="Verdana" w:cs="Arial"/>
          <w:lang w:eastAsia="es-CO"/>
        </w:rPr>
        <w:t xml:space="preserve">. </w:t>
      </w:r>
      <w:bookmarkStart w:id="2" w:name="_Hlk113273292"/>
    </w:p>
    <w:p w14:paraId="15B95470" w14:textId="77777777" w:rsidR="00385122" w:rsidRPr="00D824DF" w:rsidRDefault="00385122" w:rsidP="00385122">
      <w:pPr>
        <w:pStyle w:val="ListParagraph"/>
        <w:rPr>
          <w:rFonts w:ascii="Verdana" w:eastAsia="Calibri" w:hAnsi="Verdana" w:cs="Arial"/>
          <w:lang w:eastAsia="es-CO"/>
        </w:rPr>
      </w:pPr>
    </w:p>
    <w:p w14:paraId="01E904AA"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Calibri" w:hAnsi="Verdana" w:cs="Arial"/>
          <w:lang w:eastAsia="es-CO"/>
        </w:rPr>
        <w:t xml:space="preserve">No obstante, respecto de las adendas proferidas antes del cierre del proceso, es claro que existen ciertos límites temporales para la expedición y publicación de las adendas. En primer lugar, es necesario que las mismas se publiquen entre las 7:00 am y las 7:00 pm de un día hábil. En segundo lugar, esta publicación debe realizarse a más tardar el día hábil anterior al vencimiento del plazo para presentar ofertas “a la hora fijada para tal presentación”. </w:t>
      </w:r>
    </w:p>
    <w:p w14:paraId="6364952B" w14:textId="77777777" w:rsidR="00385122" w:rsidRPr="00D824DF" w:rsidRDefault="00385122" w:rsidP="00385122">
      <w:pPr>
        <w:pStyle w:val="ListParagraph"/>
        <w:rPr>
          <w:rFonts w:ascii="Verdana" w:eastAsia="Calibri" w:hAnsi="Verdana" w:cs="Arial"/>
          <w:lang w:eastAsia="es-CO"/>
        </w:rPr>
      </w:pPr>
    </w:p>
    <w:p w14:paraId="24BB814B"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Calibri" w:hAnsi="Verdana" w:cs="Arial"/>
          <w:lang w:eastAsia="es-CO"/>
        </w:rPr>
        <w:t xml:space="preserve">Así, a modo de ejemplo, si el plazo para presentar ofertas –cierre del proceso– venciera a las 3:00 pm del jueves 22 de octubre, el plazo para publicar adendas terminaría a las 3:00 pm del miércoles 21 de octubre. En tercer lugar, existe una regla de excepción que deriva directamente del artículo 30-5 de la Ley 80 de 1993, y se reitera en la norma citada del Decreto 1082 de 2015, para la licitación pública, donde las adendas </w:t>
      </w:r>
      <w:r w:rsidRPr="00D824DF">
        <w:rPr>
          <w:rFonts w:ascii="Verdana" w:eastAsia="Arial" w:hAnsi="Verdana" w:cs="Arial"/>
          <w:sz w:val="21"/>
          <w:szCs w:val="21"/>
          <w:lang w:eastAsia="es-ES" w:bidi="es-ES"/>
        </w:rPr>
        <w:t>no podrán expedirse dentro de los tres (3) días hábiles anteriores en que se tiene previsto el cierre del proceso de selección, sino que deberán expedirse antes de dicho momento.</w:t>
      </w:r>
      <w:r w:rsidRPr="00D824DF">
        <w:rPr>
          <w:rFonts w:ascii="Verdana" w:eastAsia="Calibri" w:hAnsi="Verdana" w:cs="Arial"/>
          <w:lang w:eastAsia="es-CO"/>
        </w:rPr>
        <w:t xml:space="preserve"> </w:t>
      </w:r>
    </w:p>
    <w:p w14:paraId="485BEF97" w14:textId="77777777" w:rsidR="00385122" w:rsidRPr="00D824DF" w:rsidRDefault="00385122" w:rsidP="00385122">
      <w:pPr>
        <w:pStyle w:val="ListParagraph"/>
        <w:rPr>
          <w:rFonts w:ascii="Verdana" w:eastAsia="Calibri" w:hAnsi="Verdana" w:cs="Arial"/>
          <w:lang w:eastAsia="es-CO"/>
        </w:rPr>
      </w:pPr>
    </w:p>
    <w:p w14:paraId="0A03496D"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Calibri" w:hAnsi="Verdana" w:cs="Arial"/>
          <w:lang w:eastAsia="es-CO"/>
        </w:rPr>
        <w:t xml:space="preserve">En ese orden de ideas, las normas prevén dos límites temporales para la publicación de las adendas: i) tres (3) días hábiles antes del vencimiento del plazo para presentar ofertas para la licitación pública y </w:t>
      </w:r>
      <w:proofErr w:type="spellStart"/>
      <w:r w:rsidRPr="00D824DF">
        <w:rPr>
          <w:rFonts w:ascii="Verdana" w:eastAsia="Calibri" w:hAnsi="Verdana" w:cs="Arial"/>
          <w:lang w:eastAsia="es-CO"/>
        </w:rPr>
        <w:t>ii</w:t>
      </w:r>
      <w:proofErr w:type="spellEnd"/>
      <w:r w:rsidRPr="00D824DF">
        <w:rPr>
          <w:rFonts w:ascii="Verdana" w:eastAsia="Calibri" w:hAnsi="Verdana" w:cs="Arial"/>
          <w:lang w:eastAsia="es-CO"/>
        </w:rPr>
        <w:t xml:space="preserve">) un día hábil antes </w:t>
      </w:r>
      <w:r w:rsidRPr="00D824DF">
        <w:rPr>
          <w:rFonts w:ascii="Verdana" w:eastAsia="Calibri" w:hAnsi="Verdana" w:cs="Arial"/>
          <w:lang w:eastAsia="es-CO"/>
        </w:rPr>
        <w:lastRenderedPageBreak/>
        <w:t xml:space="preserve">del vencimiento del plazo para presentar ofertas para las demás modalidades de selección.  </w:t>
      </w:r>
    </w:p>
    <w:p w14:paraId="3B249EB5" w14:textId="77777777" w:rsidR="00385122" w:rsidRPr="00D824DF" w:rsidRDefault="00385122" w:rsidP="00385122">
      <w:pPr>
        <w:pStyle w:val="ListParagraph"/>
        <w:rPr>
          <w:rFonts w:ascii="Verdana" w:eastAsia="Calibri" w:hAnsi="Verdana" w:cs="Arial"/>
          <w:lang w:val="es-MX" w:eastAsia="es-CO"/>
        </w:rPr>
      </w:pPr>
    </w:p>
    <w:p w14:paraId="06E963DE"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Calibri" w:hAnsi="Verdana" w:cs="Arial"/>
          <w:lang w:val="es-MX" w:eastAsia="es-CO"/>
        </w:rPr>
        <w:t xml:space="preserve">En conclusión, las Entidad Estatales deben respetar el término del artículo 2.2.1.1.2.2.1 y, por ende, solo puede expedir y publicar adendas a más tardar el día hábil anterior, hasta </w:t>
      </w:r>
      <w:r w:rsidRPr="00D824DF">
        <w:rPr>
          <w:rFonts w:ascii="Verdana" w:eastAsia="Calibri" w:hAnsi="Verdana" w:cs="Arial"/>
          <w:lang w:eastAsia="es-CO"/>
        </w:rPr>
        <w:t xml:space="preserve">la hora fijada para la presentación de las ofertas del día hábil siguiente –esto es, del cierre del proceso–. Además de lo anterior, de acuerdo con dicha disposición las adendas deben publicarse en días hábiles, entre las 7:00 am y las 7:00 pm. </w:t>
      </w:r>
      <w:bookmarkEnd w:id="2"/>
    </w:p>
    <w:p w14:paraId="42A8F485" w14:textId="77777777" w:rsidR="00385122" w:rsidRPr="00D824DF" w:rsidRDefault="00385122" w:rsidP="00385122">
      <w:pPr>
        <w:pStyle w:val="ListParagraph"/>
        <w:rPr>
          <w:rFonts w:ascii="Verdana" w:eastAsia="Calibri" w:hAnsi="Verdana" w:cs="Arial"/>
          <w:bCs/>
        </w:rPr>
      </w:pPr>
    </w:p>
    <w:p w14:paraId="66B966FC"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Calibri" w:hAnsi="Verdana" w:cs="Arial"/>
          <w:bCs/>
        </w:rPr>
        <w:t xml:space="preserve">De acuerdo con lo expuesto, el pliego de condiciones es el núcleo esencial del proceso de contratación, sin embargo, los limites materiales a su modificación no se encuentran expresamente establecidos en la ley. No obstante, lo cierto es que, </w:t>
      </w:r>
      <w:r w:rsidRPr="00D824DF">
        <w:rPr>
          <w:rFonts w:ascii="Verdana" w:eastAsia="Calibri" w:hAnsi="Verdana" w:cs="Arial"/>
          <w:lang w:eastAsia="es-CO"/>
        </w:rPr>
        <w:t>el pliego de condiciones, en principio, tiene una vocación de ser un documento definitivo, en la medida en que su contenido proporciona seguridad jurídica a los agentes intervinientes en el proceso de selección. Sin embargo, al ser el documento que desarrolla las condiciones de participación y el contenido del contrato a suscribir puede suscitar dudas o presentar imprecisiones, por lo cual éstos pueden ser modificados más adelante en el curso del proceso mediante adendas.</w:t>
      </w:r>
    </w:p>
    <w:p w14:paraId="71B0B520" w14:textId="77777777" w:rsidR="00385122" w:rsidRPr="00D824DF" w:rsidRDefault="00385122" w:rsidP="00385122">
      <w:pPr>
        <w:pStyle w:val="ListParagraph"/>
        <w:rPr>
          <w:rFonts w:ascii="Verdana" w:eastAsia="Calibri" w:hAnsi="Verdana" w:cs="Arial"/>
          <w:lang w:eastAsia="es-CO"/>
        </w:rPr>
      </w:pPr>
    </w:p>
    <w:p w14:paraId="232175D4"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Calibri" w:hAnsi="Verdana" w:cs="Arial"/>
          <w:lang w:eastAsia="es-CO"/>
        </w:rPr>
        <w:t xml:space="preserve">Sin perjuicio de esto, es preciso advertir que, las adendas solo pueden modificar aspectos de los pliegos que no sean sustanciales, lo que significa que pueden cambiar asuntos como el cronograma del proceso, o pueden abrir la posibilidad de que un material no previsto inicialmente sea utilizado en la elaboración de lo que la entidad requiere. En ese sentido, debe tenerse en cuenta que mediante adendas que </w:t>
      </w:r>
      <w:r w:rsidRPr="00D824DF">
        <w:rPr>
          <w:rFonts w:ascii="Verdana" w:eastAsia="Calibri" w:hAnsi="Verdana" w:cs="Arial"/>
          <w:bCs/>
          <w:lang w:eastAsia="es-CO"/>
        </w:rPr>
        <w:t>no se pueden cambiar asuntos sustanciales como son el objeto del contrato, el mecanismo de selección y el presupuesto.</w:t>
      </w:r>
      <w:r w:rsidRPr="00D824DF">
        <w:rPr>
          <w:rFonts w:ascii="Verdana" w:eastAsia="Calibri" w:hAnsi="Verdana" w:cs="Arial"/>
          <w:lang w:eastAsia="es-CO"/>
        </w:rPr>
        <w:t xml:space="preserve"> Adicionalmente, las adendas además deben cumplir todos los requisitos de publicidad del pliego de condiciones, ya que, para garantizar seguridad jurídica en el marco del proceso, las reglas no pueden variar a espaldas de los eventuales interesados. </w:t>
      </w:r>
    </w:p>
    <w:p w14:paraId="55B1FA64" w14:textId="77777777" w:rsidR="00385122" w:rsidRPr="00D824DF" w:rsidRDefault="00385122" w:rsidP="00385122">
      <w:pPr>
        <w:pStyle w:val="ListParagraph"/>
        <w:rPr>
          <w:rFonts w:ascii="Verdana" w:eastAsia="Arial" w:hAnsi="Verdana" w:cs="Arial"/>
          <w:lang w:eastAsia="es-ES" w:bidi="es-ES"/>
        </w:rPr>
      </w:pPr>
    </w:p>
    <w:p w14:paraId="27DFA6E5"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Arial" w:hAnsi="Verdana" w:cs="Arial"/>
          <w:lang w:eastAsia="es-ES" w:bidi="es-ES"/>
        </w:rPr>
        <w:t xml:space="preserve">Sobre el asunto, el Consejo de Estado ha señalado que con </w:t>
      </w:r>
      <w:r w:rsidRPr="00D824DF">
        <w:rPr>
          <w:rFonts w:ascii="Verdana" w:eastAsia="Calibri" w:hAnsi="Verdana" w:cs="Arial"/>
          <w:lang w:eastAsia="es-CO"/>
        </w:rPr>
        <w:t xml:space="preserve">la finalidad de expedir reglas claras y precisas, la entidad con posterioridad a la publicación del proyecto de pliegos o el pliego de condiciones definitivo, puede realizar modificaciones y aclaraciones que no afecten la esencia o sustancia del </w:t>
      </w:r>
      <w:r w:rsidRPr="00D824DF">
        <w:rPr>
          <w:rFonts w:ascii="Verdana" w:eastAsia="Calibri" w:hAnsi="Verdana" w:cs="Arial"/>
          <w:lang w:eastAsia="es-CO"/>
        </w:rPr>
        <w:lastRenderedPageBreak/>
        <w:t xml:space="preserve">proceso de selección, siempre en pro de garantizar el correcto desarrollo del proceso de selección, y en consonancia de los principios de la función administrativa y los contenidos en la Ley 80 de 1993. </w:t>
      </w:r>
    </w:p>
    <w:p w14:paraId="4A126D7E" w14:textId="77777777" w:rsidR="00385122" w:rsidRPr="00D824DF" w:rsidRDefault="00385122" w:rsidP="00385122">
      <w:pPr>
        <w:pStyle w:val="ListParagraph"/>
        <w:rPr>
          <w:rFonts w:ascii="Verdana" w:eastAsia="Calibri" w:hAnsi="Verdana" w:cs="Arial"/>
          <w:lang w:eastAsia="es-CO"/>
        </w:rPr>
      </w:pPr>
    </w:p>
    <w:p w14:paraId="3FFF4D7F"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eastAsia="Calibri" w:hAnsi="Verdana" w:cs="Arial"/>
          <w:lang w:eastAsia="es-CO"/>
        </w:rPr>
        <w:t>Lo anterior además por cuanto, permitir la modificación del pliego de condiciones por fuera de los límites temporales y materiales anteriormente descritos, abriría la puerta a la modificación incesante de los pliegos y con ello a la falta de claridad sobre la comprensión de las reglas del proceso, lo cual podría dar pie a la generación de yerros, que deban ser interpretados en contra la entidad, dada las reglas interpretativas que rigen los contratos.</w:t>
      </w:r>
    </w:p>
    <w:p w14:paraId="404CC8FE" w14:textId="77777777" w:rsidR="00385122" w:rsidRPr="00D824DF" w:rsidRDefault="00385122" w:rsidP="00385122">
      <w:pPr>
        <w:pStyle w:val="ListParagraph"/>
        <w:rPr>
          <w:rFonts w:ascii="Verdana" w:hAnsi="Verdana" w:cs="Arial"/>
          <w:bCs/>
          <w:color w:val="000000" w:themeColor="text1"/>
          <w:lang w:eastAsia="es-MX"/>
        </w:rPr>
      </w:pPr>
    </w:p>
    <w:p w14:paraId="5CC79987" w14:textId="77777777" w:rsidR="00385122" w:rsidRPr="00D824DF" w:rsidRDefault="00385122" w:rsidP="00385122">
      <w:pPr>
        <w:pStyle w:val="ListParagraph"/>
        <w:widowControl w:val="0"/>
        <w:numPr>
          <w:ilvl w:val="0"/>
          <w:numId w:val="19"/>
        </w:numPr>
        <w:autoSpaceDE w:val="0"/>
        <w:autoSpaceDN w:val="0"/>
        <w:spacing w:after="120" w:line="276" w:lineRule="auto"/>
        <w:ind w:right="103"/>
        <w:jc w:val="both"/>
        <w:rPr>
          <w:rFonts w:ascii="Verdana" w:eastAsia="Arial" w:hAnsi="Verdana" w:cs="Arial"/>
          <w:lang w:eastAsia="es-ES" w:bidi="es-ES"/>
        </w:rPr>
      </w:pPr>
      <w:r w:rsidRPr="00D824DF">
        <w:rPr>
          <w:rFonts w:ascii="Verdana" w:hAnsi="Verdana" w:cs="Arial"/>
          <w:bCs/>
          <w:color w:val="000000" w:themeColor="text1"/>
          <w:lang w:eastAsia="es-MX"/>
        </w:rPr>
        <w:t>Finalmente</w:t>
      </w:r>
      <w:r w:rsidRPr="00D824DF">
        <w:rPr>
          <w:rFonts w:ascii="Verdana" w:hAnsi="Verdana" w:cs="Arial"/>
          <w:color w:val="000000" w:themeColor="text1"/>
        </w:rPr>
        <w:t>, si bien no es posible la utilización de adendas que permitan la modificación de ciertos aspectos dentro del proceso de selección, cuando se ha superado el término previsto en la legislación, esto no es impedimento, para que en el evento de presentarse circunstancias que no modifican sustancialmente las características del proceso, se pueda acudir a la figura del saneamiento o en su defecto, cuando se trate de un asunto netamente formal o de digitación, expedir el respectivo acto administrativo de corrección, dada la naturaleza del pliego de condiciones.</w:t>
      </w:r>
    </w:p>
    <w:p w14:paraId="7059C767" w14:textId="77777777" w:rsidR="00385122" w:rsidRPr="00D824DF" w:rsidRDefault="00385122" w:rsidP="00385122">
      <w:pPr>
        <w:widowControl w:val="0"/>
        <w:autoSpaceDE w:val="0"/>
        <w:autoSpaceDN w:val="0"/>
        <w:spacing w:after="120" w:line="276" w:lineRule="auto"/>
        <w:ind w:right="103"/>
        <w:jc w:val="both"/>
        <w:rPr>
          <w:rFonts w:ascii="Verdana" w:eastAsia="Arial" w:hAnsi="Verdana" w:cs="Arial"/>
          <w:lang w:eastAsia="es-ES" w:bidi="es-ES"/>
        </w:rPr>
      </w:pPr>
    </w:p>
    <w:p w14:paraId="3F43A1D2" w14:textId="77777777" w:rsidR="00385122" w:rsidRPr="00D824DF" w:rsidRDefault="00385122" w:rsidP="00385122">
      <w:pPr>
        <w:pStyle w:val="ListParagraph"/>
        <w:numPr>
          <w:ilvl w:val="0"/>
          <w:numId w:val="18"/>
        </w:numPr>
        <w:tabs>
          <w:tab w:val="left" w:pos="142"/>
          <w:tab w:val="left" w:pos="284"/>
        </w:tabs>
        <w:spacing w:after="0" w:line="276" w:lineRule="auto"/>
        <w:jc w:val="both"/>
        <w:rPr>
          <w:rFonts w:ascii="Verdana" w:eastAsia="Century Gothic" w:hAnsi="Verdana" w:cs="Century Gothic"/>
          <w:b/>
          <w:bCs/>
        </w:rPr>
      </w:pPr>
      <w:r w:rsidRPr="00D824DF">
        <w:rPr>
          <w:rFonts w:ascii="Verdana" w:eastAsia="Century Gothic" w:hAnsi="Verdana" w:cs="Century Gothic"/>
          <w:b/>
          <w:bCs/>
        </w:rPr>
        <w:t>Referencias normativas, jurisprudenciales y otras fuentes:</w:t>
      </w:r>
    </w:p>
    <w:p w14:paraId="20A3C23E" w14:textId="77777777" w:rsidR="00385122" w:rsidRPr="00D824DF" w:rsidRDefault="00385122" w:rsidP="00385122">
      <w:pPr>
        <w:widowControl w:val="0"/>
        <w:autoSpaceDE w:val="0"/>
        <w:autoSpaceDN w:val="0"/>
        <w:spacing w:after="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85122" w:rsidRPr="00D824DF" w14:paraId="03B1E5F7" w14:textId="77777777" w:rsidTr="00B20D07">
        <w:trPr>
          <w:trHeight w:val="870"/>
        </w:trPr>
        <w:tc>
          <w:tcPr>
            <w:tcW w:w="8647" w:type="dxa"/>
          </w:tcPr>
          <w:p w14:paraId="455F8CE7" w14:textId="77777777" w:rsidR="00385122" w:rsidRPr="00D824DF" w:rsidRDefault="00385122" w:rsidP="00B20D07">
            <w:pPr>
              <w:pStyle w:val="ListParagraph"/>
              <w:widowControl w:val="0"/>
              <w:numPr>
                <w:ilvl w:val="0"/>
                <w:numId w:val="17"/>
              </w:numPr>
              <w:autoSpaceDE w:val="0"/>
              <w:autoSpaceDN w:val="0"/>
              <w:spacing w:after="120" w:line="276" w:lineRule="auto"/>
              <w:jc w:val="both"/>
              <w:rPr>
                <w:rFonts w:ascii="Verdana" w:hAnsi="Verdana" w:cs="Arial"/>
              </w:rPr>
            </w:pPr>
            <w:r w:rsidRPr="00D824DF">
              <w:rPr>
                <w:rFonts w:ascii="Verdana" w:hAnsi="Verdana" w:cs="Arial"/>
              </w:rPr>
              <w:t>Ley 80 de 1993</w:t>
            </w:r>
            <w:r w:rsidRPr="00D824DF">
              <w:rPr>
                <w:rFonts w:ascii="Verdana" w:eastAsia="Arial" w:hAnsi="Verdana" w:cs="Arial"/>
                <w:lang w:eastAsia="es-ES" w:bidi="es-ES"/>
              </w:rPr>
              <w:t>. Artículo 24, numeral 5. Artículo 30, numeral 30.</w:t>
            </w:r>
          </w:p>
          <w:p w14:paraId="7DAD6596" w14:textId="77777777" w:rsidR="00385122" w:rsidRPr="00D824DF" w:rsidRDefault="00385122" w:rsidP="00B20D07">
            <w:pPr>
              <w:pStyle w:val="ListParagraph"/>
              <w:widowControl w:val="0"/>
              <w:autoSpaceDE w:val="0"/>
              <w:autoSpaceDN w:val="0"/>
              <w:spacing w:after="120" w:line="276" w:lineRule="auto"/>
              <w:jc w:val="both"/>
              <w:rPr>
                <w:rFonts w:ascii="Verdana" w:hAnsi="Verdana" w:cs="Arial"/>
                <w:sz w:val="12"/>
                <w:szCs w:val="12"/>
              </w:rPr>
            </w:pPr>
          </w:p>
          <w:p w14:paraId="001F2C60" w14:textId="77777777" w:rsidR="00385122" w:rsidRPr="00D824DF" w:rsidRDefault="00385122" w:rsidP="00B20D07">
            <w:pPr>
              <w:pStyle w:val="ListParagraph"/>
              <w:widowControl w:val="0"/>
              <w:numPr>
                <w:ilvl w:val="0"/>
                <w:numId w:val="17"/>
              </w:numPr>
              <w:autoSpaceDE w:val="0"/>
              <w:autoSpaceDN w:val="0"/>
              <w:spacing w:after="120" w:line="276" w:lineRule="auto"/>
              <w:contextualSpacing w:val="0"/>
              <w:jc w:val="both"/>
              <w:rPr>
                <w:rFonts w:ascii="Verdana" w:hAnsi="Verdana" w:cs="Arial"/>
              </w:rPr>
            </w:pPr>
            <w:r w:rsidRPr="00D824DF">
              <w:rPr>
                <w:rFonts w:ascii="Verdana" w:hAnsi="Verdana" w:cs="Arial"/>
              </w:rPr>
              <w:t xml:space="preserve">Decreto 1082 de 2015. Artículos 2.2.1.1.2.2.1, 2.2.1.1.2.1.3, </w:t>
            </w:r>
            <w:r w:rsidRPr="00D824DF">
              <w:rPr>
                <w:rFonts w:ascii="Verdana" w:eastAsia="Calibri" w:hAnsi="Verdana" w:cs="Arial"/>
                <w:lang w:eastAsia="es-CO"/>
              </w:rPr>
              <w:t xml:space="preserve">2.2.1.2.1.5.2. numeral 4. </w:t>
            </w:r>
          </w:p>
          <w:p w14:paraId="46F5FC2C" w14:textId="77777777" w:rsidR="00385122" w:rsidRPr="00D824DF" w:rsidRDefault="00385122" w:rsidP="00B20D07">
            <w:pPr>
              <w:pStyle w:val="ListParagraph"/>
              <w:widowControl w:val="0"/>
              <w:numPr>
                <w:ilvl w:val="0"/>
                <w:numId w:val="17"/>
              </w:numPr>
              <w:autoSpaceDE w:val="0"/>
              <w:autoSpaceDN w:val="0"/>
              <w:spacing w:after="120" w:line="276" w:lineRule="auto"/>
              <w:contextualSpacing w:val="0"/>
              <w:jc w:val="both"/>
              <w:rPr>
                <w:rFonts w:ascii="Verdana" w:hAnsi="Verdana" w:cs="Arial"/>
              </w:rPr>
            </w:pPr>
            <w:r w:rsidRPr="00D824DF">
              <w:rPr>
                <w:rFonts w:ascii="Verdana" w:hAnsi="Verdana" w:cs="Arial"/>
              </w:rPr>
              <w:t>Ley 1474 del 2011. Artículo 89.</w:t>
            </w:r>
          </w:p>
          <w:p w14:paraId="65D7FEA6" w14:textId="77777777" w:rsidR="00385122" w:rsidRPr="00D824DF" w:rsidRDefault="00385122" w:rsidP="00B20D07">
            <w:pPr>
              <w:pStyle w:val="ListParagraph"/>
              <w:widowControl w:val="0"/>
              <w:numPr>
                <w:ilvl w:val="0"/>
                <w:numId w:val="17"/>
              </w:numPr>
              <w:autoSpaceDE w:val="0"/>
              <w:autoSpaceDN w:val="0"/>
              <w:spacing w:after="120" w:line="276" w:lineRule="auto"/>
              <w:contextualSpacing w:val="0"/>
              <w:jc w:val="both"/>
              <w:rPr>
                <w:rFonts w:ascii="Verdana" w:hAnsi="Verdana" w:cs="Arial"/>
              </w:rPr>
            </w:pPr>
            <w:r w:rsidRPr="00D824DF">
              <w:rPr>
                <w:rFonts w:ascii="Verdana" w:hAnsi="Verdana" w:cs="Arial"/>
              </w:rPr>
              <w:t xml:space="preserve">CONSEJO DE ESTADO. Sección Tercera. Sentencia de 30 de noviembre de 2006. </w:t>
            </w:r>
            <w:proofErr w:type="spellStart"/>
            <w:r w:rsidRPr="00D824DF">
              <w:rPr>
                <w:rFonts w:ascii="Verdana" w:hAnsi="Verdana" w:cs="Arial"/>
              </w:rPr>
              <w:t>Exp</w:t>
            </w:r>
            <w:proofErr w:type="spellEnd"/>
            <w:r w:rsidRPr="00D824DF">
              <w:rPr>
                <w:rFonts w:ascii="Verdana" w:hAnsi="Verdana" w:cs="Arial"/>
              </w:rPr>
              <w:t>. 18.059. M.P. Alier Hernández Enríquez.</w:t>
            </w:r>
          </w:p>
          <w:p w14:paraId="2A51064A" w14:textId="77777777" w:rsidR="00385122" w:rsidRPr="00D824DF" w:rsidRDefault="00385122" w:rsidP="00B20D07">
            <w:pPr>
              <w:pStyle w:val="ListParagraph"/>
              <w:widowControl w:val="0"/>
              <w:numPr>
                <w:ilvl w:val="0"/>
                <w:numId w:val="17"/>
              </w:numPr>
              <w:autoSpaceDE w:val="0"/>
              <w:autoSpaceDN w:val="0"/>
              <w:spacing w:after="120" w:line="276" w:lineRule="auto"/>
              <w:contextualSpacing w:val="0"/>
              <w:jc w:val="both"/>
              <w:rPr>
                <w:rFonts w:ascii="Verdana" w:hAnsi="Verdana" w:cs="Arial"/>
              </w:rPr>
            </w:pPr>
            <w:r w:rsidRPr="00D824DF">
              <w:rPr>
                <w:rFonts w:ascii="Verdana" w:hAnsi="Verdana" w:cs="Arial"/>
              </w:rPr>
              <w:t>CONSEJO DE ESTADO. Sección Tercera, Subsección A. Sentencia del 16 de septiembre de 2013, expediente No. 30.571, C.P. Mauricio Fajardo Gómez.</w:t>
            </w:r>
          </w:p>
          <w:p w14:paraId="016B1283" w14:textId="77777777" w:rsidR="00385122" w:rsidRPr="00D824DF" w:rsidRDefault="00385122" w:rsidP="00B20D07">
            <w:pPr>
              <w:pStyle w:val="ListParagraph"/>
              <w:widowControl w:val="0"/>
              <w:numPr>
                <w:ilvl w:val="0"/>
                <w:numId w:val="17"/>
              </w:numPr>
              <w:autoSpaceDE w:val="0"/>
              <w:autoSpaceDN w:val="0"/>
              <w:spacing w:after="120" w:line="276" w:lineRule="auto"/>
              <w:contextualSpacing w:val="0"/>
              <w:jc w:val="both"/>
              <w:rPr>
                <w:rFonts w:ascii="Verdana" w:hAnsi="Verdana" w:cs="Arial"/>
              </w:rPr>
            </w:pPr>
            <w:r w:rsidRPr="00D824DF">
              <w:rPr>
                <w:rFonts w:ascii="Verdana" w:hAnsi="Verdana" w:cs="Arial"/>
              </w:rPr>
              <w:t xml:space="preserve">CONSEJO DE ESTADO. Sección Tercera. Sentencia de 20 de febrero de 2014. </w:t>
            </w:r>
            <w:proofErr w:type="spellStart"/>
            <w:r w:rsidRPr="00D824DF">
              <w:rPr>
                <w:rFonts w:ascii="Verdana" w:hAnsi="Verdana" w:cs="Arial"/>
              </w:rPr>
              <w:t>Exp</w:t>
            </w:r>
            <w:proofErr w:type="spellEnd"/>
            <w:r w:rsidRPr="00D824DF">
              <w:rPr>
                <w:rFonts w:ascii="Verdana" w:hAnsi="Verdana" w:cs="Arial"/>
              </w:rPr>
              <w:t>. 28.342. M.P Stella Conto Diaz Del Castillo.</w:t>
            </w:r>
          </w:p>
        </w:tc>
      </w:tr>
    </w:tbl>
    <w:p w14:paraId="5ACFD4F3" w14:textId="77777777" w:rsidR="00385122" w:rsidRPr="00D824DF" w:rsidRDefault="00385122" w:rsidP="00385122">
      <w:pPr>
        <w:spacing w:before="120" w:line="276" w:lineRule="auto"/>
        <w:jc w:val="both"/>
        <w:rPr>
          <w:rFonts w:ascii="Verdana" w:eastAsia="Calibri" w:hAnsi="Verdana" w:cs="Arial"/>
          <w:color w:val="000000"/>
          <w:lang w:eastAsia="es-ES" w:bidi="es-ES"/>
        </w:rPr>
      </w:pPr>
    </w:p>
    <w:p w14:paraId="722957A9" w14:textId="77777777" w:rsidR="00385122" w:rsidRPr="00D824DF" w:rsidRDefault="00385122" w:rsidP="00385122">
      <w:pPr>
        <w:pStyle w:val="ListParagraph"/>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824DF">
        <w:rPr>
          <w:rFonts w:ascii="Verdana" w:eastAsia="Century Gothic" w:hAnsi="Verdana" w:cs="Century Gothic"/>
          <w:b/>
          <w:bCs/>
        </w:rPr>
        <w:lastRenderedPageBreak/>
        <w:t>Doctrina de la Agencia Nacional de Contratación Pública:</w:t>
      </w:r>
    </w:p>
    <w:p w14:paraId="3714EDC6" w14:textId="77777777" w:rsidR="00385122" w:rsidRPr="00D824DF" w:rsidRDefault="00385122" w:rsidP="00385122">
      <w:pPr>
        <w:widowControl w:val="0"/>
        <w:autoSpaceDE w:val="0"/>
        <w:autoSpaceDN w:val="0"/>
        <w:spacing w:after="0" w:line="276" w:lineRule="auto"/>
        <w:jc w:val="both"/>
        <w:rPr>
          <w:rFonts w:ascii="Verdana" w:hAnsi="Verdana" w:cs="Arial"/>
        </w:rPr>
      </w:pPr>
    </w:p>
    <w:p w14:paraId="38F296AD" w14:textId="77777777" w:rsidR="00385122" w:rsidRPr="00D824DF" w:rsidRDefault="00385122" w:rsidP="00385122">
      <w:pPr>
        <w:widowControl w:val="0"/>
        <w:autoSpaceDE w:val="0"/>
        <w:autoSpaceDN w:val="0"/>
        <w:spacing w:after="0" w:line="276" w:lineRule="auto"/>
        <w:jc w:val="both"/>
        <w:rPr>
          <w:rStyle w:val="normaltextrun"/>
          <w:rFonts w:ascii="Verdana" w:hAnsi="Verdana"/>
        </w:rPr>
      </w:pPr>
      <w:r w:rsidRPr="00D824DF">
        <w:rPr>
          <w:rFonts w:ascii="Verdana" w:hAnsi="Verdana"/>
        </w:rPr>
        <w:t xml:space="preserve">En lo relacionado con el ámbito de la consulta, esta Subdirección se ha pronunciado </w:t>
      </w:r>
      <w:r w:rsidRPr="00D824DF">
        <w:rPr>
          <w:rStyle w:val="normaltextrun"/>
          <w:rFonts w:ascii="Verdana" w:hAnsi="Verdana" w:cs="Arial"/>
          <w:shd w:val="clear" w:color="auto" w:fill="FFFFFF"/>
        </w:rPr>
        <w:t>sobre</w:t>
      </w:r>
      <w:r w:rsidRPr="00D824DF">
        <w:rPr>
          <w:rStyle w:val="normaltextrun"/>
          <w:rFonts w:ascii="Verdana" w:hAnsi="Verdana" w:cs="Arial"/>
          <w:shd w:val="clear" w:color="auto" w:fill="FFFFFF"/>
          <w:lang w:val="es-ES"/>
        </w:rPr>
        <w:t xml:space="preserve"> la facultad que tienen las Entidades Estatales para modificar los pliegos de condiciones o documentos equivalentes</w:t>
      </w:r>
      <w:r w:rsidRPr="00D824DF">
        <w:rPr>
          <w:rFonts w:ascii="Verdana" w:hAnsi="Verdana"/>
        </w:rPr>
        <w:t xml:space="preserve">, en los Conceptos Nro. 2201913000006236 de 26 de agosto de 2019, C–465 del 27 de julio de 2020, C–500 del 3 de agosto de 2020, C–557 del 21 de agosto de 2020, C-674 del 18 de noviembre de 2020, C-419 del 12 de agosto de 2021, C-744 del 4 de febrero de 2022, C-647 del 5 de octubre de 2022, C-788 de 2022, C-888 del 21 de diciembre de 2022, C-393 del 9 de septiembre de 2024, C-432 del 16 de septiembre del 2024 y C-782 del 18 de noviembre del 2024. </w:t>
      </w:r>
      <w:r w:rsidRPr="00D824DF">
        <w:rPr>
          <w:rStyle w:val="normaltextrun"/>
          <w:rFonts w:ascii="Verdana" w:hAnsi="Verdana" w:cs="Arial"/>
          <w:shd w:val="clear" w:color="auto" w:fill="FFFFFF"/>
          <w:lang w:val="es-ES"/>
        </w:rPr>
        <w:t>Es</w:t>
      </w:r>
      <w:r w:rsidRPr="00D824DF">
        <w:rPr>
          <w:rFonts w:ascii="Verdana" w:hAnsi="Verdana"/>
        </w:rPr>
        <w:t>tos y otros conceptos se encuentran disponibles para consulta en el Sistema de relatoría de la Agencia, al cual se puede acceder a través del siguiente enlace:</w:t>
      </w:r>
      <w:r w:rsidRPr="00D824DF">
        <w:rPr>
          <w:rStyle w:val="normaltextrun"/>
          <w:rFonts w:ascii="Verdana" w:hAnsi="Verdana" w:cs="Arial"/>
          <w:shd w:val="clear" w:color="auto" w:fill="FFFFFF"/>
          <w:lang w:val="es-ES"/>
        </w:rPr>
        <w:t xml:space="preserve"> </w:t>
      </w:r>
      <w:hyperlink r:id="rId12" w:history="1">
        <w:r w:rsidRPr="00D824DF">
          <w:rPr>
            <w:rStyle w:val="Hyperlink"/>
            <w:rFonts w:ascii="Verdana" w:hAnsi="Verdana" w:cs="Arial"/>
            <w:shd w:val="clear" w:color="auto" w:fill="FFFFFF"/>
            <w:lang w:val="es-ES"/>
          </w:rPr>
          <w:t>https://relatoria.colombiacompra.gov.co/busqueda/conceptos</w:t>
        </w:r>
      </w:hyperlink>
      <w:r w:rsidRPr="00D824DF">
        <w:rPr>
          <w:rStyle w:val="normaltextrun"/>
          <w:rFonts w:ascii="Verdana" w:hAnsi="Verdana" w:cs="Arial"/>
          <w:color w:val="FF0000"/>
          <w:shd w:val="clear" w:color="auto" w:fill="FFFFFF"/>
          <w:lang w:val="es-ES"/>
        </w:rPr>
        <w:t xml:space="preserve">. </w:t>
      </w:r>
    </w:p>
    <w:p w14:paraId="4D8B4B34" w14:textId="77777777" w:rsidR="00385122" w:rsidRPr="00D824DF" w:rsidRDefault="00385122" w:rsidP="00385122">
      <w:pPr>
        <w:widowControl w:val="0"/>
        <w:autoSpaceDE w:val="0"/>
        <w:autoSpaceDN w:val="0"/>
        <w:spacing w:after="0" w:line="276" w:lineRule="auto"/>
        <w:jc w:val="both"/>
        <w:rPr>
          <w:rStyle w:val="normaltextrun"/>
          <w:rFonts w:ascii="Verdana" w:hAnsi="Verdana"/>
          <w:lang w:val="es-ES"/>
        </w:rPr>
      </w:pPr>
    </w:p>
    <w:p w14:paraId="73D0FA5B" w14:textId="77777777" w:rsidR="00385122" w:rsidRPr="00D824DF" w:rsidRDefault="00385122" w:rsidP="00385122">
      <w:pPr>
        <w:widowControl w:val="0"/>
        <w:autoSpaceDE w:val="0"/>
        <w:autoSpaceDN w:val="0"/>
        <w:spacing w:after="0" w:line="276" w:lineRule="auto"/>
        <w:jc w:val="both"/>
        <w:rPr>
          <w:rFonts w:ascii="Verdana" w:hAnsi="Verdana"/>
        </w:rPr>
      </w:pPr>
      <w:r w:rsidRPr="00D824DF">
        <w:rPr>
          <w:rFonts w:ascii="Verdana" w:hAnsi="Verdana" w:cs="Arial"/>
          <w:color w:val="000000" w:themeColor="text1"/>
          <w:shd w:val="clear" w:color="auto" w:fill="FFFFFF"/>
        </w:rPr>
        <w:t xml:space="preserve">Le informamos que ya se encuentra disponible la Guía para el manejo de ofertas artificialmente bajas en Procesos de Contratación. En este documento se podrán consultar una serie de pautas para el manejo ofertas artificialmente bajas, en línea con las mejores prácticas internacionales en la materia. Puede consultar la versión actualizada en el siguiente enlace: </w:t>
      </w:r>
      <w:hyperlink r:id="rId13" w:history="1">
        <w:r w:rsidRPr="00D824DF">
          <w:rPr>
            <w:rStyle w:val="Hyperlink"/>
            <w:rFonts w:ascii="Verdana" w:hAnsi="Verdana" w:cs="Arial"/>
            <w:shd w:val="clear" w:color="auto" w:fill="FFFFFF"/>
          </w:rPr>
          <w:t>https://www.colombiacompra.gov.co/manuales-guias-y-pliegos-tipo/manuales-y-guias/guia-para-el-manejo-de-ofertas-artificialmente-baja-0</w:t>
        </w:r>
      </w:hyperlink>
    </w:p>
    <w:p w14:paraId="3321678D" w14:textId="77777777" w:rsidR="00385122" w:rsidRPr="00D824DF" w:rsidRDefault="00385122" w:rsidP="00385122">
      <w:pPr>
        <w:widowControl w:val="0"/>
        <w:autoSpaceDE w:val="0"/>
        <w:autoSpaceDN w:val="0"/>
        <w:spacing w:after="0" w:line="276" w:lineRule="auto"/>
        <w:jc w:val="both"/>
        <w:rPr>
          <w:rFonts w:ascii="Verdana" w:hAnsi="Verdana"/>
        </w:rPr>
      </w:pPr>
    </w:p>
    <w:p w14:paraId="238E54AE" w14:textId="77777777" w:rsidR="00385122" w:rsidRPr="00D824DF" w:rsidRDefault="00385122" w:rsidP="00385122">
      <w:pPr>
        <w:widowControl w:val="0"/>
        <w:autoSpaceDE w:val="0"/>
        <w:autoSpaceDN w:val="0"/>
        <w:spacing w:after="0" w:line="276" w:lineRule="auto"/>
        <w:jc w:val="both"/>
        <w:rPr>
          <w:rFonts w:ascii="Verdana" w:hAnsi="Verdana"/>
        </w:rPr>
      </w:pPr>
      <w:r w:rsidRPr="00D824DF">
        <w:rPr>
          <w:rFonts w:ascii="Verdana" w:hAnsi="Verdana" w:cs="Arial"/>
          <w:color w:val="000000" w:themeColor="text1"/>
          <w:shd w:val="clear" w:color="auto" w:fill="FFFFFF"/>
        </w:rPr>
        <w:t xml:space="preserve">De otra parte, publicamos la Guía para incentivar la participación de Mujeres en el Sistema de Compras y Contratación Pública. Este instrumento tiene como finalidad ofrecer información de valor para que las Entidades Estatales fomenten de manera efectiva la participación de las mujeres en el mercado de compras públicas. La guía se encuentra disponible para consulta en el siguiente enlace: </w:t>
      </w:r>
      <w:hyperlink r:id="rId14" w:history="1">
        <w:r w:rsidRPr="00D824DF">
          <w:rPr>
            <w:rStyle w:val="Hyperlink"/>
            <w:rFonts w:ascii="Verdana" w:hAnsi="Verdana" w:cs="Arial"/>
            <w:shd w:val="clear" w:color="auto" w:fill="FFFFFF"/>
          </w:rPr>
          <w:t>https://www.colombiacompra.gov.co/manuales-guias-y-pliegos-tipo/manuales-y-guias/guia-para-incentivar-la-participacion-de-las-mujeres</w:t>
        </w:r>
      </w:hyperlink>
      <w:r w:rsidRPr="00D824DF">
        <w:rPr>
          <w:rFonts w:ascii="Verdana" w:hAnsi="Verdana" w:cs="Arial"/>
          <w:color w:val="000000" w:themeColor="text1"/>
          <w:shd w:val="clear" w:color="auto" w:fill="FFFFFF"/>
        </w:rPr>
        <w:t xml:space="preserve"> </w:t>
      </w:r>
    </w:p>
    <w:p w14:paraId="2653637D" w14:textId="77777777" w:rsidR="00385122" w:rsidRPr="00D824DF" w:rsidRDefault="00385122" w:rsidP="00385122">
      <w:pPr>
        <w:widowControl w:val="0"/>
        <w:autoSpaceDE w:val="0"/>
        <w:autoSpaceDN w:val="0"/>
        <w:spacing w:after="0" w:line="276" w:lineRule="auto"/>
        <w:jc w:val="both"/>
        <w:rPr>
          <w:rFonts w:ascii="Verdana" w:hAnsi="Verdana"/>
        </w:rPr>
      </w:pPr>
    </w:p>
    <w:p w14:paraId="681C88CD" w14:textId="77777777" w:rsidR="00385122" w:rsidRPr="00D824DF" w:rsidRDefault="00385122" w:rsidP="00385122">
      <w:pPr>
        <w:widowControl w:val="0"/>
        <w:autoSpaceDE w:val="0"/>
        <w:autoSpaceDN w:val="0"/>
        <w:spacing w:after="0" w:line="276" w:lineRule="auto"/>
        <w:jc w:val="both"/>
        <w:rPr>
          <w:rFonts w:ascii="Verdana" w:hAnsi="Verdana" w:cs="Arial"/>
          <w:color w:val="000000" w:themeColor="text1"/>
          <w:shd w:val="clear" w:color="auto" w:fill="FFFFFF"/>
        </w:rPr>
      </w:pPr>
      <w:r w:rsidRPr="00D824DF">
        <w:rPr>
          <w:rFonts w:ascii="Verdana" w:hAnsi="Verdana" w:cs="Arial"/>
          <w:color w:val="000000" w:themeColor="text1"/>
          <w:shd w:val="clear" w:color="auto" w:fill="FFFFFF"/>
        </w:rPr>
        <w:t xml:space="preserve">También lo invitamos a consultar la versión VIII de 2024, del Boletín de Relatoría de la Subdirección de Gestión Contractual relacionado con la participación de las MIPYMES en los procesos de compra y contratación pública, el cual se puede descargar en la página web de la Agencia: </w:t>
      </w:r>
      <w:hyperlink r:id="rId15" w:history="1">
        <w:r w:rsidRPr="00D824DF">
          <w:rPr>
            <w:rStyle w:val="Hyperlink"/>
            <w:rFonts w:ascii="Verdana" w:hAnsi="Verdana" w:cs="Arial"/>
            <w:shd w:val="clear" w:color="auto" w:fill="FFFFFF"/>
          </w:rPr>
          <w:t>https://www.colombiacompra.gov.co/sites/cce_public/files/files_2020/boletin_de_realtoria_viii.pdf</w:t>
        </w:r>
      </w:hyperlink>
    </w:p>
    <w:p w14:paraId="6DEF4191" w14:textId="77777777" w:rsidR="00385122" w:rsidRPr="00D824DF" w:rsidRDefault="00385122" w:rsidP="00385122">
      <w:pPr>
        <w:widowControl w:val="0"/>
        <w:autoSpaceDE w:val="0"/>
        <w:autoSpaceDN w:val="0"/>
        <w:spacing w:after="0" w:line="276" w:lineRule="auto"/>
        <w:jc w:val="both"/>
        <w:rPr>
          <w:rFonts w:ascii="Verdana" w:hAnsi="Verdana" w:cs="Arial"/>
          <w:color w:val="000000" w:themeColor="text1"/>
          <w:shd w:val="clear" w:color="auto" w:fill="FFFFFF"/>
        </w:rPr>
      </w:pPr>
    </w:p>
    <w:p w14:paraId="2DFF8948" w14:textId="091BC035" w:rsidR="00385122" w:rsidRPr="00D824DF" w:rsidRDefault="00385122" w:rsidP="00385122">
      <w:pPr>
        <w:widowControl w:val="0"/>
        <w:autoSpaceDE w:val="0"/>
        <w:autoSpaceDN w:val="0"/>
        <w:spacing w:after="0" w:line="276" w:lineRule="auto"/>
        <w:jc w:val="both"/>
        <w:rPr>
          <w:rFonts w:ascii="Verdana" w:hAnsi="Verdana"/>
        </w:rPr>
      </w:pPr>
      <w:r w:rsidRPr="00D824DF">
        <w:rPr>
          <w:rFonts w:ascii="Verdana" w:hAnsi="Verdana"/>
        </w:rPr>
        <w:t xml:space="preserve">Por último, lo invitamos a seguirnos en las redes sociales en las cuales se difunde información institucional: </w:t>
      </w:r>
    </w:p>
    <w:p w14:paraId="3F42646D" w14:textId="77777777" w:rsidR="00385122" w:rsidRPr="00D824DF" w:rsidRDefault="00385122" w:rsidP="00385122">
      <w:pPr>
        <w:widowControl w:val="0"/>
        <w:autoSpaceDE w:val="0"/>
        <w:autoSpaceDN w:val="0"/>
        <w:spacing w:after="0" w:line="276" w:lineRule="auto"/>
        <w:jc w:val="both"/>
        <w:rPr>
          <w:rFonts w:ascii="Verdana" w:hAnsi="Verdana"/>
        </w:rPr>
      </w:pPr>
    </w:p>
    <w:p w14:paraId="71137832" w14:textId="77777777" w:rsidR="00385122" w:rsidRPr="00D824DF" w:rsidRDefault="00385122" w:rsidP="00385122">
      <w:pPr>
        <w:spacing w:after="0" w:line="240" w:lineRule="auto"/>
        <w:jc w:val="both"/>
        <w:rPr>
          <w:rFonts w:ascii="Verdana" w:hAnsi="Verdana"/>
        </w:rPr>
      </w:pPr>
      <w:r w:rsidRPr="00D824DF">
        <w:rPr>
          <w:rFonts w:ascii="Verdana" w:hAnsi="Verdana"/>
        </w:rPr>
        <w:t xml:space="preserve">Twitter: </w:t>
      </w:r>
      <w:r w:rsidRPr="00D824DF">
        <w:rPr>
          <w:rStyle w:val="Hyperlink"/>
          <w:rFonts w:ascii="Verdana" w:hAnsi="Verdana" w:cs="Arial"/>
          <w:shd w:val="clear" w:color="auto" w:fill="FFFFFF"/>
          <w:lang w:val="es-ES"/>
        </w:rPr>
        <w:t>@colombiacompra</w:t>
      </w:r>
      <w:r w:rsidRPr="00D824DF">
        <w:rPr>
          <w:rFonts w:ascii="Verdana" w:eastAsia="Aptos" w:hAnsi="Verdana" w:cs="Times New Roman"/>
          <w:color w:val="156082"/>
        </w:rPr>
        <w:t xml:space="preserve"> </w:t>
      </w:r>
    </w:p>
    <w:p w14:paraId="12F704C3" w14:textId="77777777" w:rsidR="00385122" w:rsidRPr="00D824DF" w:rsidRDefault="00385122" w:rsidP="00385122">
      <w:pPr>
        <w:spacing w:after="0" w:line="240" w:lineRule="auto"/>
        <w:jc w:val="both"/>
        <w:rPr>
          <w:rFonts w:ascii="Verdana" w:hAnsi="Verdana"/>
        </w:rPr>
      </w:pPr>
      <w:r w:rsidRPr="00D824DF">
        <w:rPr>
          <w:rFonts w:ascii="Verdana" w:hAnsi="Verdana"/>
        </w:rPr>
        <w:t xml:space="preserve">Facebook: </w:t>
      </w:r>
      <w:proofErr w:type="spellStart"/>
      <w:r w:rsidRPr="00D824DF">
        <w:rPr>
          <w:rStyle w:val="Hyperlink"/>
          <w:rFonts w:ascii="Verdana" w:hAnsi="Verdana" w:cs="Arial"/>
          <w:shd w:val="clear" w:color="auto" w:fill="FFFFFF"/>
          <w:lang w:val="es-ES"/>
        </w:rPr>
        <w:t>ColombiaCompraEficiente</w:t>
      </w:r>
      <w:proofErr w:type="spellEnd"/>
    </w:p>
    <w:p w14:paraId="297E6437" w14:textId="77777777" w:rsidR="00385122" w:rsidRPr="00D824DF" w:rsidRDefault="00385122" w:rsidP="00385122">
      <w:pPr>
        <w:spacing w:after="0" w:line="240" w:lineRule="auto"/>
        <w:jc w:val="both"/>
        <w:rPr>
          <w:rFonts w:ascii="Verdana" w:hAnsi="Verdana"/>
        </w:rPr>
      </w:pPr>
      <w:r w:rsidRPr="00D824DF">
        <w:rPr>
          <w:rFonts w:ascii="Verdana" w:hAnsi="Verdana"/>
        </w:rPr>
        <w:t xml:space="preserve">LinkedIn: </w:t>
      </w:r>
      <w:r w:rsidRPr="00D824DF">
        <w:rPr>
          <w:rStyle w:val="Hyperlink"/>
          <w:rFonts w:ascii="Verdana" w:hAnsi="Verdana" w:cs="Arial"/>
          <w:shd w:val="clear" w:color="auto" w:fill="FFFFFF"/>
          <w:lang w:val="es-ES"/>
        </w:rPr>
        <w:t>Agencia Nacional de Contratación Pública - Colombia Compra Eficiente</w:t>
      </w:r>
      <w:r w:rsidRPr="00D824DF">
        <w:rPr>
          <w:rFonts w:ascii="Verdana" w:eastAsia="Aptos" w:hAnsi="Verdana" w:cs="Times New Roman"/>
          <w:color w:val="156082"/>
        </w:rPr>
        <w:t xml:space="preserve"> </w:t>
      </w:r>
      <w:r w:rsidRPr="00D824DF">
        <w:rPr>
          <w:rFonts w:ascii="Verdana" w:hAnsi="Verdana"/>
        </w:rPr>
        <w:t xml:space="preserve">Instagram: </w:t>
      </w:r>
      <w:r w:rsidRPr="00D824DF">
        <w:rPr>
          <w:rStyle w:val="Hyperlink"/>
          <w:rFonts w:ascii="Verdana" w:hAnsi="Verdana" w:cs="Arial"/>
          <w:shd w:val="clear" w:color="auto" w:fill="FFFFFF"/>
          <w:lang w:val="es-ES"/>
        </w:rPr>
        <w:t>@colombiacompraeficiente_cce</w:t>
      </w:r>
    </w:p>
    <w:p w14:paraId="70D74E5F" w14:textId="77777777" w:rsidR="00385122" w:rsidRPr="00D824DF" w:rsidRDefault="00385122" w:rsidP="00385122">
      <w:pPr>
        <w:widowControl w:val="0"/>
        <w:autoSpaceDE w:val="0"/>
        <w:autoSpaceDN w:val="0"/>
        <w:spacing w:after="0" w:line="276" w:lineRule="auto"/>
        <w:jc w:val="both"/>
        <w:rPr>
          <w:rFonts w:ascii="Verdana" w:hAnsi="Verdana"/>
        </w:rPr>
      </w:pPr>
    </w:p>
    <w:p w14:paraId="1FE3ADFA" w14:textId="77777777" w:rsidR="00385122" w:rsidRPr="00D824DF" w:rsidRDefault="00385122" w:rsidP="00385122">
      <w:pPr>
        <w:widowControl w:val="0"/>
        <w:autoSpaceDE w:val="0"/>
        <w:autoSpaceDN w:val="0"/>
        <w:spacing w:after="0" w:line="276" w:lineRule="auto"/>
        <w:jc w:val="both"/>
        <w:rPr>
          <w:rFonts w:ascii="Verdana" w:eastAsia="Aptos" w:hAnsi="Verdana" w:cs="Arial"/>
          <w:lang w:val="es-ES_tradnl"/>
        </w:rPr>
      </w:pPr>
      <w:r w:rsidRPr="00D824DF">
        <w:rPr>
          <w:rFonts w:ascii="Verdana" w:eastAsia="Aptos" w:hAnsi="Verdana" w:cs="Arial"/>
        </w:rPr>
        <w:t xml:space="preserve">Este concepto tiene el alcance previsto en el artículo 28 del Código de Procedimiento Administrativo y de lo Contencioso Administrativo </w:t>
      </w:r>
      <w:r w:rsidRPr="00D824DF">
        <w:rPr>
          <w:rFonts w:ascii="Verdana" w:eastAsia="Aptos" w:hAnsi="Verdana" w:cs="Arial"/>
          <w:lang w:val="es-ES_tradnl"/>
        </w:rPr>
        <w:t>y las expresiones aquí utilizadas con mayúscula inicial deben ser entendidas con el significado que les otorga el artículo 2.2.1.1.1.3.1. del Decreto 1082 de 2015.</w:t>
      </w:r>
    </w:p>
    <w:p w14:paraId="7C96120E" w14:textId="77777777" w:rsidR="00385122" w:rsidRPr="00D824DF" w:rsidRDefault="00385122" w:rsidP="00385122">
      <w:pPr>
        <w:widowControl w:val="0"/>
        <w:autoSpaceDE w:val="0"/>
        <w:autoSpaceDN w:val="0"/>
        <w:spacing w:after="0" w:line="276" w:lineRule="auto"/>
        <w:jc w:val="both"/>
        <w:rPr>
          <w:rFonts w:ascii="Verdana" w:eastAsia="Aptos" w:hAnsi="Verdana" w:cs="Arial"/>
        </w:rPr>
      </w:pPr>
    </w:p>
    <w:p w14:paraId="243F92CE" w14:textId="77777777" w:rsidR="00385122" w:rsidRPr="00D824DF" w:rsidRDefault="00385122" w:rsidP="00385122">
      <w:pPr>
        <w:spacing w:after="0" w:line="240" w:lineRule="auto"/>
        <w:rPr>
          <w:rFonts w:ascii="Verdana" w:hAnsi="Verdana" w:cs="Arial"/>
          <w:lang w:eastAsia="es-CO"/>
        </w:rPr>
      </w:pPr>
      <w:r w:rsidRPr="00D824DF">
        <w:rPr>
          <w:rFonts w:ascii="Verdana" w:eastAsia="Times New Roman" w:hAnsi="Verdana" w:cs="Arial"/>
          <w:lang w:eastAsia="es-CO"/>
        </w:rPr>
        <w:t>Atentamente,</w:t>
      </w:r>
      <w:r w:rsidRPr="00D824DF">
        <w:rPr>
          <w:rFonts w:ascii="Verdana" w:hAnsi="Verdana" w:cs="Arial"/>
          <w:lang w:eastAsia="es-CO"/>
        </w:rPr>
        <w:t xml:space="preserve"> </w:t>
      </w:r>
    </w:p>
    <w:p w14:paraId="35EFBC15" w14:textId="24DBB1DE" w:rsidR="00385122" w:rsidRPr="00D824DF" w:rsidRDefault="00546604" w:rsidP="00385122">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1B435D7A" wp14:editId="0265E445">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85122" w:rsidRPr="00D824DF" w14:paraId="3D3BD077" w14:textId="77777777" w:rsidTr="00B20D07">
        <w:trPr>
          <w:trHeight w:val="315"/>
        </w:trPr>
        <w:tc>
          <w:tcPr>
            <w:tcW w:w="893" w:type="dxa"/>
            <w:vAlign w:val="center"/>
            <w:hideMark/>
          </w:tcPr>
          <w:p w14:paraId="490F43E6" w14:textId="77777777" w:rsidR="00385122" w:rsidRPr="00D824DF" w:rsidRDefault="00385122" w:rsidP="00B20D07">
            <w:pPr>
              <w:contextualSpacing/>
              <w:rPr>
                <w:rFonts w:ascii="Verdana" w:hAnsi="Verdana" w:cs="Arial"/>
                <w:sz w:val="16"/>
                <w:szCs w:val="16"/>
                <w:lang w:val="es-ES" w:eastAsia="es-ES"/>
              </w:rPr>
            </w:pPr>
            <w:r w:rsidRPr="00D824D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9ACB953" w14:textId="77777777" w:rsidR="00385122" w:rsidRPr="00D824DF" w:rsidRDefault="00385122" w:rsidP="00B20D07">
            <w:pPr>
              <w:contextualSpacing/>
              <w:rPr>
                <w:rFonts w:ascii="Verdana" w:eastAsia="Arial" w:hAnsi="Verdana" w:cs="Arial"/>
                <w:sz w:val="16"/>
                <w:szCs w:val="16"/>
              </w:rPr>
            </w:pPr>
            <w:r w:rsidRPr="00D824DF">
              <w:rPr>
                <w:rFonts w:ascii="Verdana" w:eastAsia="Arial" w:hAnsi="Verdana" w:cs="Arial"/>
                <w:sz w:val="16"/>
                <w:szCs w:val="16"/>
              </w:rPr>
              <w:t>Ana María Ortiz Ballesteros</w:t>
            </w:r>
          </w:p>
          <w:p w14:paraId="224E9F23" w14:textId="77777777" w:rsidR="00385122" w:rsidRPr="00D824DF" w:rsidRDefault="00385122" w:rsidP="00B20D07">
            <w:pPr>
              <w:contextualSpacing/>
              <w:rPr>
                <w:rFonts w:ascii="Verdana" w:eastAsia="Arial" w:hAnsi="Verdana" w:cs="Arial"/>
                <w:sz w:val="16"/>
                <w:szCs w:val="16"/>
              </w:rPr>
            </w:pPr>
            <w:r w:rsidRPr="00D824DF">
              <w:rPr>
                <w:rStyle w:val="normaltextrun"/>
                <w:rFonts w:ascii="Verdana" w:eastAsia="Arial" w:hAnsi="Verdana" w:cs="Arial"/>
                <w:sz w:val="16"/>
                <w:szCs w:val="16"/>
              </w:rPr>
              <w:t>C</w:t>
            </w:r>
            <w:r w:rsidRPr="00D824DF">
              <w:rPr>
                <w:rStyle w:val="normaltextrun"/>
                <w:rFonts w:ascii="Verdana" w:hAnsi="Verdana" w:cs="Arial"/>
                <w:sz w:val="16"/>
                <w:szCs w:val="16"/>
              </w:rPr>
              <w:t>ontratista</w:t>
            </w:r>
            <w:r w:rsidRPr="00D824DF">
              <w:rPr>
                <w:rStyle w:val="normaltextrun"/>
                <w:rFonts w:ascii="Verdana" w:eastAsia="Arial" w:hAnsi="Verdana" w:cs="Arial"/>
                <w:sz w:val="16"/>
                <w:szCs w:val="16"/>
              </w:rPr>
              <w:t xml:space="preserve"> de la Subdirección de Gestión Contractual</w:t>
            </w:r>
          </w:p>
        </w:tc>
      </w:tr>
      <w:tr w:rsidR="00385122" w:rsidRPr="00D824DF" w14:paraId="674C2D04" w14:textId="77777777" w:rsidTr="00B20D07">
        <w:trPr>
          <w:trHeight w:val="330"/>
        </w:trPr>
        <w:tc>
          <w:tcPr>
            <w:tcW w:w="893" w:type="dxa"/>
            <w:vAlign w:val="center"/>
            <w:hideMark/>
          </w:tcPr>
          <w:p w14:paraId="3AB93B66" w14:textId="77777777" w:rsidR="00385122" w:rsidRPr="00D824DF" w:rsidRDefault="00385122" w:rsidP="00B20D07">
            <w:pPr>
              <w:contextualSpacing/>
              <w:rPr>
                <w:rFonts w:ascii="Verdana" w:hAnsi="Verdana" w:cs="Arial"/>
                <w:sz w:val="16"/>
                <w:szCs w:val="16"/>
                <w:lang w:val="es-ES" w:eastAsia="es-ES"/>
              </w:rPr>
            </w:pPr>
            <w:r w:rsidRPr="00D824D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288D8C" w14:textId="77777777" w:rsidR="00385122" w:rsidRPr="00D824DF" w:rsidRDefault="00385122" w:rsidP="00B20D07">
            <w:pPr>
              <w:pStyle w:val="paragraph"/>
              <w:spacing w:before="0" w:beforeAutospacing="0" w:after="0" w:afterAutospacing="0"/>
              <w:contextualSpacing/>
              <w:textAlignment w:val="baseline"/>
              <w:rPr>
                <w:rStyle w:val="normaltextrun"/>
                <w:rFonts w:ascii="Verdana" w:hAnsi="Verdana" w:cs="Arial"/>
                <w:sz w:val="16"/>
                <w:szCs w:val="16"/>
                <w:lang w:val="es-ES"/>
              </w:rPr>
            </w:pPr>
            <w:r w:rsidRPr="00D824DF">
              <w:rPr>
                <w:rStyle w:val="normaltextrun"/>
                <w:rFonts w:ascii="Verdana" w:hAnsi="Verdana" w:cs="Arial"/>
                <w:sz w:val="16"/>
                <w:szCs w:val="16"/>
                <w:lang w:val="es-ES"/>
              </w:rPr>
              <w:t>Martha Alicia Romero Vargas</w:t>
            </w:r>
          </w:p>
          <w:p w14:paraId="01CB175E" w14:textId="77777777" w:rsidR="00385122" w:rsidRPr="00D824DF" w:rsidRDefault="00385122" w:rsidP="00B20D07">
            <w:pPr>
              <w:pStyle w:val="paragraph"/>
              <w:spacing w:before="0" w:beforeAutospacing="0" w:after="0" w:afterAutospacing="0"/>
              <w:contextualSpacing/>
              <w:textAlignment w:val="baseline"/>
              <w:rPr>
                <w:rFonts w:ascii="Verdana" w:hAnsi="Verdana" w:cs="Arial"/>
                <w:sz w:val="16"/>
                <w:szCs w:val="16"/>
              </w:rPr>
            </w:pPr>
            <w:r w:rsidRPr="00D824DF">
              <w:rPr>
                <w:rStyle w:val="normaltextrun"/>
                <w:rFonts w:ascii="Verdana" w:hAnsi="Verdana" w:cs="Arial"/>
                <w:sz w:val="16"/>
                <w:szCs w:val="16"/>
                <w:lang w:val="es-ES"/>
              </w:rPr>
              <w:t>Gestor T1 ‒ 15 de la Subdirección de Gestión Contractual</w:t>
            </w:r>
            <w:r w:rsidRPr="00D824DF">
              <w:rPr>
                <w:rStyle w:val="eop"/>
                <w:rFonts w:ascii="Verdana" w:hAnsi="Verdana" w:cs="Arial"/>
                <w:sz w:val="16"/>
                <w:szCs w:val="16"/>
              </w:rPr>
              <w:t> </w:t>
            </w:r>
          </w:p>
        </w:tc>
      </w:tr>
      <w:tr w:rsidR="00385122" w:rsidRPr="00D824DF" w14:paraId="2109CB16" w14:textId="77777777" w:rsidTr="00B20D07">
        <w:trPr>
          <w:trHeight w:val="300"/>
        </w:trPr>
        <w:tc>
          <w:tcPr>
            <w:tcW w:w="893" w:type="dxa"/>
            <w:vAlign w:val="center"/>
          </w:tcPr>
          <w:p w14:paraId="7067D150" w14:textId="77777777" w:rsidR="00385122" w:rsidRPr="00D824DF" w:rsidRDefault="00385122" w:rsidP="00B20D07">
            <w:pPr>
              <w:contextualSpacing/>
              <w:rPr>
                <w:rFonts w:ascii="Verdana" w:hAnsi="Verdana" w:cs="Arial"/>
                <w:sz w:val="16"/>
                <w:szCs w:val="16"/>
                <w:lang w:val="es-ES" w:eastAsia="es-ES"/>
              </w:rPr>
            </w:pPr>
            <w:r w:rsidRPr="00D824D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9D5D941" w14:textId="77777777" w:rsidR="00385122" w:rsidRPr="00D824DF" w:rsidRDefault="00385122" w:rsidP="00B20D07">
            <w:pPr>
              <w:contextualSpacing/>
              <w:rPr>
                <w:rFonts w:ascii="Verdana" w:eastAsia="Calibri" w:hAnsi="Verdana" w:cs="Arial"/>
                <w:sz w:val="16"/>
                <w:szCs w:val="16"/>
                <w:lang w:val="pt-BR" w:eastAsia="es-ES"/>
              </w:rPr>
            </w:pPr>
            <w:r w:rsidRPr="00D824DF">
              <w:rPr>
                <w:rFonts w:ascii="Verdana" w:eastAsia="Calibri" w:hAnsi="Verdana" w:cs="Arial"/>
                <w:sz w:val="16"/>
                <w:szCs w:val="16"/>
                <w:lang w:val="pt-BR" w:eastAsia="es-ES"/>
              </w:rPr>
              <w:t xml:space="preserve">Carolina Quintero </w:t>
            </w:r>
            <w:proofErr w:type="spellStart"/>
            <w:r w:rsidRPr="00D824DF">
              <w:rPr>
                <w:rFonts w:ascii="Verdana" w:eastAsia="Calibri" w:hAnsi="Verdana" w:cs="Arial"/>
                <w:sz w:val="16"/>
                <w:szCs w:val="16"/>
                <w:lang w:val="pt-BR" w:eastAsia="es-ES"/>
              </w:rPr>
              <w:t>Gacharná</w:t>
            </w:r>
            <w:proofErr w:type="spellEnd"/>
          </w:p>
          <w:p w14:paraId="7BFC81BB" w14:textId="77777777" w:rsidR="00385122" w:rsidRPr="00D824DF" w:rsidRDefault="00385122" w:rsidP="00B20D07">
            <w:pPr>
              <w:contextualSpacing/>
              <w:rPr>
                <w:rFonts w:ascii="Verdana" w:eastAsia="Calibri" w:hAnsi="Verdana" w:cs="Arial"/>
                <w:sz w:val="16"/>
                <w:szCs w:val="16"/>
                <w:lang w:val="pt-BR" w:eastAsia="es-ES"/>
              </w:rPr>
            </w:pPr>
            <w:r w:rsidRPr="00D824DF">
              <w:rPr>
                <w:rFonts w:ascii="Verdana" w:eastAsia="Calibri" w:hAnsi="Verdana" w:cs="Arial"/>
                <w:sz w:val="16"/>
                <w:szCs w:val="16"/>
                <w:lang w:eastAsia="es-ES"/>
              </w:rPr>
              <w:t>Subdirectora</w:t>
            </w:r>
            <w:r w:rsidRPr="00D824DF">
              <w:rPr>
                <w:rFonts w:ascii="Verdana" w:eastAsia="Calibri" w:hAnsi="Verdana" w:cs="Arial"/>
                <w:sz w:val="16"/>
                <w:szCs w:val="16"/>
                <w:lang w:val="pt-BR" w:eastAsia="es-ES"/>
              </w:rPr>
              <w:t xml:space="preserve"> de Gestión </w:t>
            </w:r>
            <w:proofErr w:type="spellStart"/>
            <w:r w:rsidRPr="00D824DF">
              <w:rPr>
                <w:rFonts w:ascii="Verdana" w:eastAsia="Calibri" w:hAnsi="Verdana" w:cs="Arial"/>
                <w:sz w:val="16"/>
                <w:szCs w:val="16"/>
                <w:lang w:val="pt-BR" w:eastAsia="es-ES"/>
              </w:rPr>
              <w:t>Contractual</w:t>
            </w:r>
            <w:proofErr w:type="spellEnd"/>
            <w:r w:rsidRPr="00D824DF">
              <w:rPr>
                <w:rFonts w:ascii="Verdana" w:eastAsia="Calibri" w:hAnsi="Verdana" w:cs="Arial"/>
                <w:sz w:val="16"/>
                <w:szCs w:val="16"/>
                <w:lang w:val="pt-BR" w:eastAsia="es-ES"/>
              </w:rPr>
              <w:t xml:space="preserve"> ANCP – CCE</w:t>
            </w:r>
          </w:p>
        </w:tc>
      </w:tr>
    </w:tbl>
    <w:p w14:paraId="3900974D" w14:textId="1BB14B97" w:rsidR="003D5B0D" w:rsidRPr="004D1FFF" w:rsidRDefault="003D5B0D" w:rsidP="00385122">
      <w:pPr>
        <w:spacing w:after="0"/>
        <w:rPr>
          <w:rFonts w:ascii="Verdana" w:hAnsi="Verdana"/>
          <w:color w:val="0000FF"/>
          <w:sz w:val="20"/>
          <w:szCs w:val="20"/>
          <w:u w:val="single"/>
        </w:rPr>
      </w:pPr>
    </w:p>
    <w:sectPr w:rsidR="003D5B0D" w:rsidRPr="004D1FF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7F90B7" w14:textId="77777777" w:rsidR="00662D13" w:rsidRDefault="00662D13" w:rsidP="004A1847">
      <w:pPr>
        <w:spacing w:after="0" w:line="240" w:lineRule="auto"/>
      </w:pPr>
      <w:r>
        <w:separator/>
      </w:r>
    </w:p>
  </w:endnote>
  <w:endnote w:type="continuationSeparator" w:id="0">
    <w:p w14:paraId="216CABF9" w14:textId="77777777" w:rsidR="00662D13" w:rsidRDefault="00662D13" w:rsidP="004A1847">
      <w:pPr>
        <w:spacing w:after="0" w:line="240" w:lineRule="auto"/>
      </w:pPr>
      <w:r>
        <w:continuationSeparator/>
      </w:r>
    </w:p>
  </w:endnote>
  <w:endnote w:type="continuationNotice" w:id="1">
    <w:p w14:paraId="796159D5" w14:textId="77777777" w:rsidR="00662D13" w:rsidRDefault="00662D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B2239A" w14:textId="77777777" w:rsidR="00662D13" w:rsidRDefault="00662D13" w:rsidP="004A1847">
      <w:pPr>
        <w:spacing w:after="0" w:line="240" w:lineRule="auto"/>
      </w:pPr>
      <w:r>
        <w:separator/>
      </w:r>
    </w:p>
  </w:footnote>
  <w:footnote w:type="continuationSeparator" w:id="0">
    <w:p w14:paraId="36D1776E" w14:textId="77777777" w:rsidR="00662D13" w:rsidRDefault="00662D13" w:rsidP="004A1847">
      <w:pPr>
        <w:spacing w:after="0" w:line="240" w:lineRule="auto"/>
      </w:pPr>
      <w:r>
        <w:continuationSeparator/>
      </w:r>
    </w:p>
  </w:footnote>
  <w:footnote w:type="continuationNotice" w:id="1">
    <w:p w14:paraId="47611E8B" w14:textId="77777777" w:rsidR="00662D13" w:rsidRDefault="00662D13">
      <w:pPr>
        <w:spacing w:after="0" w:line="240" w:lineRule="auto"/>
      </w:pPr>
    </w:p>
  </w:footnote>
  <w:footnote w:id="2">
    <w:p w14:paraId="6BFA7232" w14:textId="77777777" w:rsidR="00385122" w:rsidRPr="003338C1" w:rsidRDefault="00385122" w:rsidP="00385122">
      <w:pPr>
        <w:pStyle w:val="FootnoteText"/>
        <w:ind w:firstLine="708"/>
        <w:jc w:val="both"/>
        <w:rPr>
          <w:rFonts w:ascii="Verdana" w:hAnsi="Verdana" w:cs="Arial"/>
          <w:color w:val="000000"/>
          <w:sz w:val="18"/>
          <w:szCs w:val="18"/>
        </w:rPr>
      </w:pPr>
      <w:r w:rsidRPr="003338C1">
        <w:rPr>
          <w:rStyle w:val="FootnoteReference"/>
          <w:rFonts w:ascii="Verdana" w:hAnsi="Verdana" w:cs="Arial"/>
          <w:color w:val="000000"/>
          <w:sz w:val="18"/>
          <w:szCs w:val="18"/>
        </w:rPr>
        <w:footnoteRef/>
      </w:r>
      <w:r w:rsidRPr="003338C1">
        <w:rPr>
          <w:rFonts w:ascii="Verdana" w:hAnsi="Verdana" w:cs="Arial"/>
          <w:color w:val="000000"/>
          <w:sz w:val="18"/>
          <w:szCs w:val="18"/>
        </w:rPr>
        <w:t>OSPINA MENA, Jesús Marino. Régimen de la Contratación Estatal. Un salto a la contratación líquida. Bogotá: Ed. 1ª. Diké, 2020. p. 383.</w:t>
      </w:r>
    </w:p>
    <w:p w14:paraId="01FBC5E7" w14:textId="77777777" w:rsidR="00385122" w:rsidRPr="003338C1" w:rsidRDefault="00385122" w:rsidP="00385122">
      <w:pPr>
        <w:pStyle w:val="FootnoteText"/>
        <w:ind w:firstLine="708"/>
        <w:jc w:val="both"/>
        <w:rPr>
          <w:rFonts w:ascii="Verdana" w:hAnsi="Verdana" w:cs="Arial"/>
          <w:color w:val="000000"/>
          <w:sz w:val="18"/>
          <w:szCs w:val="18"/>
        </w:rPr>
      </w:pPr>
    </w:p>
  </w:footnote>
  <w:footnote w:id="3">
    <w:p w14:paraId="32E3EB63" w14:textId="77777777" w:rsidR="00385122" w:rsidRPr="003338C1" w:rsidRDefault="00385122" w:rsidP="00385122">
      <w:pPr>
        <w:pStyle w:val="FootnoteText"/>
        <w:ind w:firstLine="708"/>
        <w:jc w:val="both"/>
        <w:rPr>
          <w:rFonts w:ascii="Verdana" w:hAnsi="Verdana" w:cs="Arial"/>
          <w:color w:val="000000"/>
          <w:sz w:val="18"/>
          <w:szCs w:val="18"/>
        </w:rPr>
      </w:pPr>
      <w:r w:rsidRPr="003338C1">
        <w:rPr>
          <w:rStyle w:val="FootnoteReference"/>
          <w:rFonts w:ascii="Verdana" w:hAnsi="Verdana" w:cs="Arial"/>
          <w:color w:val="000000"/>
          <w:sz w:val="18"/>
          <w:szCs w:val="18"/>
        </w:rPr>
        <w:footnoteRef/>
      </w:r>
      <w:r w:rsidRPr="003338C1">
        <w:rPr>
          <w:rFonts w:ascii="Verdana" w:hAnsi="Verdana" w:cs="Arial"/>
          <w:color w:val="000000"/>
          <w:sz w:val="18"/>
          <w:szCs w:val="18"/>
        </w:rPr>
        <w:t xml:space="preserve"> CONSEJO DE ESTADO. Sección Tercera. Sentencia de 30 de noviembre de 2006. Exp. 18.059. M.P. Alier Hernández Enríquez.</w:t>
      </w:r>
    </w:p>
    <w:p w14:paraId="6CC9FED8" w14:textId="77777777" w:rsidR="00385122" w:rsidRPr="003338C1" w:rsidRDefault="00385122" w:rsidP="00385122">
      <w:pPr>
        <w:pStyle w:val="FootnoteText"/>
        <w:jc w:val="both"/>
        <w:rPr>
          <w:rFonts w:ascii="Verdana" w:hAnsi="Verdana" w:cs="Arial"/>
          <w:color w:val="000000"/>
          <w:sz w:val="18"/>
          <w:szCs w:val="18"/>
        </w:rPr>
      </w:pPr>
    </w:p>
  </w:footnote>
  <w:footnote w:id="4">
    <w:p w14:paraId="1C42990F" w14:textId="77777777" w:rsidR="00385122" w:rsidRPr="003338C1" w:rsidRDefault="00385122" w:rsidP="00385122">
      <w:pPr>
        <w:pStyle w:val="FootnoteText"/>
        <w:ind w:firstLine="708"/>
        <w:jc w:val="both"/>
        <w:rPr>
          <w:rFonts w:ascii="Verdana" w:hAnsi="Verdana" w:cs="Arial"/>
          <w:color w:val="000000"/>
          <w:sz w:val="18"/>
          <w:szCs w:val="18"/>
        </w:rPr>
      </w:pPr>
      <w:r w:rsidRPr="003338C1">
        <w:rPr>
          <w:rStyle w:val="FootnoteReference"/>
          <w:rFonts w:ascii="Verdana" w:hAnsi="Verdana" w:cs="Arial"/>
          <w:color w:val="000000"/>
          <w:sz w:val="18"/>
          <w:szCs w:val="18"/>
        </w:rPr>
        <w:footnoteRef/>
      </w:r>
      <w:r w:rsidRPr="003338C1">
        <w:rPr>
          <w:rFonts w:ascii="Verdana" w:hAnsi="Verdana" w:cs="Arial"/>
          <w:color w:val="000000"/>
          <w:sz w:val="18"/>
          <w:szCs w:val="18"/>
        </w:rPr>
        <w:t xml:space="preserve"> Sin perjuicio de los dispuesto en el artículo 2.2.1.1.2.1.3. del Decreto 1082 de 2015 sobre el contenido del pliego de condiciones.</w:t>
      </w:r>
    </w:p>
    <w:p w14:paraId="41F6A034" w14:textId="77777777" w:rsidR="00385122" w:rsidRPr="003338C1" w:rsidRDefault="00385122" w:rsidP="00385122">
      <w:pPr>
        <w:pStyle w:val="FootnoteText"/>
        <w:ind w:firstLine="708"/>
        <w:jc w:val="both"/>
        <w:rPr>
          <w:rFonts w:ascii="Verdana" w:hAnsi="Verdana" w:cs="Arial"/>
          <w:color w:val="000000"/>
          <w:sz w:val="18"/>
          <w:szCs w:val="18"/>
        </w:rPr>
      </w:pPr>
    </w:p>
  </w:footnote>
  <w:footnote w:id="5">
    <w:p w14:paraId="2D6CB6DF" w14:textId="77777777" w:rsidR="00385122" w:rsidRPr="003338C1" w:rsidRDefault="00385122" w:rsidP="00385122">
      <w:pPr>
        <w:pStyle w:val="FootnoteText"/>
        <w:ind w:firstLine="708"/>
        <w:jc w:val="both"/>
        <w:rPr>
          <w:rFonts w:ascii="Verdana" w:hAnsi="Verdana" w:cs="Arial"/>
          <w:color w:val="000000"/>
          <w:sz w:val="18"/>
          <w:szCs w:val="18"/>
        </w:rPr>
      </w:pPr>
      <w:r w:rsidRPr="003338C1">
        <w:rPr>
          <w:rStyle w:val="FootnoteReference"/>
          <w:rFonts w:ascii="Verdana" w:hAnsi="Verdana" w:cs="Arial"/>
          <w:color w:val="000000"/>
          <w:sz w:val="18"/>
          <w:szCs w:val="18"/>
        </w:rPr>
        <w:footnoteRef/>
      </w:r>
      <w:r w:rsidRPr="003338C1">
        <w:rPr>
          <w:rFonts w:ascii="Verdana" w:hAnsi="Verdana" w:cs="Arial"/>
          <w:color w:val="000000"/>
          <w:sz w:val="18"/>
          <w:szCs w:val="18"/>
        </w:rPr>
        <w:t xml:space="preserve"> Lo anterior, sin perjuicio de los casos en que resulten aplicables los documentos tipo –o pliegos tipo– de que trata el parágrafo 7 del artículo 2 de la Ley 1150 de 2007, modificado por el artículo 1 de la Ley 2022 de 2020.</w:t>
      </w:r>
    </w:p>
  </w:footnote>
  <w:footnote w:id="6">
    <w:p w14:paraId="3EB04388" w14:textId="77777777" w:rsidR="00385122" w:rsidRPr="003338C1" w:rsidRDefault="00385122" w:rsidP="00385122">
      <w:pPr>
        <w:spacing w:line="240" w:lineRule="auto"/>
        <w:ind w:firstLine="720"/>
        <w:jc w:val="both"/>
        <w:rPr>
          <w:rFonts w:ascii="Verdana" w:hAnsi="Verdana" w:cs="Arial"/>
          <w:color w:val="000000"/>
          <w:sz w:val="18"/>
          <w:szCs w:val="18"/>
        </w:rPr>
      </w:pPr>
      <w:r w:rsidRPr="003338C1">
        <w:rPr>
          <w:rStyle w:val="FootnoteReference"/>
          <w:rFonts w:ascii="Verdana" w:hAnsi="Verdana" w:cs="Arial"/>
          <w:color w:val="000000"/>
          <w:sz w:val="18"/>
          <w:szCs w:val="18"/>
        </w:rPr>
        <w:footnoteRef/>
      </w:r>
      <w:r w:rsidRPr="003338C1">
        <w:rPr>
          <w:rFonts w:ascii="Verdana" w:hAnsi="Verdana" w:cs="Arial"/>
          <w:color w:val="000000"/>
          <w:sz w:val="18"/>
          <w:szCs w:val="18"/>
        </w:rPr>
        <w:t xml:space="preserve"> En la sentencia de la Sección Tercera, Subsección A, del 16 de septiembre de 2013, expediente No. 30.571, C.P. Mauricio Fajardo Gómez, el Consejo de Estado se pronunció sobre la fuerza vinculante que tienen las respuestas a las observaciones y solicitud de aclaración a los pliegos de condiciones:</w:t>
      </w:r>
    </w:p>
    <w:p w14:paraId="0B1B8CEE" w14:textId="77777777" w:rsidR="00385122" w:rsidRPr="003338C1" w:rsidRDefault="00385122" w:rsidP="00385122">
      <w:pPr>
        <w:spacing w:line="240" w:lineRule="auto"/>
        <w:ind w:firstLine="720"/>
        <w:jc w:val="both"/>
        <w:rPr>
          <w:rFonts w:ascii="Verdana" w:hAnsi="Verdana" w:cs="Arial"/>
          <w:color w:val="000000"/>
          <w:sz w:val="18"/>
          <w:szCs w:val="18"/>
        </w:rPr>
      </w:pPr>
      <w:r w:rsidRPr="003338C1">
        <w:rPr>
          <w:rFonts w:ascii="Verdana" w:hAnsi="Verdana" w:cs="Arial"/>
          <w:color w:val="000000"/>
          <w:sz w:val="18"/>
          <w:szCs w:val="18"/>
          <w:u w:val="single" w:color="4E4D4D"/>
        </w:rPr>
        <w:t>“</w:t>
      </w:r>
      <w:r w:rsidRPr="003338C1">
        <w:rPr>
          <w:rFonts w:ascii="Verdana" w:hAnsi="Verdana" w:cs="Arial"/>
          <w:color w:val="000000"/>
          <w:sz w:val="18"/>
          <w:szCs w:val="18"/>
        </w:rPr>
        <w:t>5.2. De la fuerza vinculante de las respuestas a las solicitudes de aclaraciones en relación con los términos de referencia.</w:t>
      </w:r>
    </w:p>
    <w:p w14:paraId="3AFA35BE" w14:textId="77777777" w:rsidR="00385122" w:rsidRPr="003338C1" w:rsidRDefault="00385122" w:rsidP="00385122">
      <w:pPr>
        <w:spacing w:line="240" w:lineRule="auto"/>
        <w:ind w:firstLine="720"/>
        <w:jc w:val="both"/>
        <w:rPr>
          <w:rFonts w:ascii="Verdana" w:hAnsi="Verdana" w:cs="Arial"/>
          <w:color w:val="000000"/>
          <w:sz w:val="18"/>
          <w:szCs w:val="18"/>
        </w:rPr>
      </w:pPr>
      <w:r w:rsidRPr="003338C1">
        <w:rPr>
          <w:rFonts w:ascii="Verdana" w:hAnsi="Verdana" w:cs="Arial"/>
          <w:color w:val="000000"/>
          <w:sz w:val="18"/>
          <w:szCs w:val="18"/>
        </w:rPr>
        <w:t>[…]</w:t>
      </w:r>
    </w:p>
    <w:p w14:paraId="2BEC851A" w14:textId="77777777" w:rsidR="00385122" w:rsidRPr="003338C1" w:rsidRDefault="00385122" w:rsidP="00385122">
      <w:pPr>
        <w:spacing w:line="240" w:lineRule="auto"/>
        <w:ind w:firstLine="720"/>
        <w:jc w:val="both"/>
        <w:rPr>
          <w:rFonts w:ascii="Verdana" w:hAnsi="Verdana" w:cs="Arial"/>
          <w:color w:val="000000"/>
          <w:sz w:val="18"/>
          <w:szCs w:val="18"/>
        </w:rPr>
      </w:pPr>
      <w:r w:rsidRPr="003338C1">
        <w:rPr>
          <w:rFonts w:ascii="Verdana" w:hAnsi="Verdana" w:cs="Arial"/>
          <w:color w:val="000000"/>
          <w:sz w:val="18"/>
          <w:szCs w:val="18"/>
        </w:rPr>
        <w:t>“Siguiendo el lineamiento expuesto, en criterio de la Sala, independientemente de que el contenido de la modificación se encuentre comprendido en un documento que no tenga el rótulo de “adendo”,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w:t>
      </w:r>
      <w:r w:rsidRPr="003338C1">
        <w:rPr>
          <w:rFonts w:ascii="Verdana" w:hAnsi="Verdana" w:cs="Arial"/>
          <w:color w:val="000000"/>
          <w:spacing w:val="-11"/>
          <w:sz w:val="18"/>
          <w:szCs w:val="18"/>
        </w:rPr>
        <w:t xml:space="preserve"> </w:t>
      </w:r>
      <w:r w:rsidRPr="003338C1">
        <w:rPr>
          <w:rFonts w:ascii="Verdana" w:hAnsi="Verdana" w:cs="Arial"/>
          <w:color w:val="000000"/>
          <w:sz w:val="18"/>
          <w:szCs w:val="18"/>
        </w:rPr>
        <w:t>oferentes.</w:t>
      </w:r>
    </w:p>
    <w:p w14:paraId="2BBB1070" w14:textId="77777777" w:rsidR="00385122" w:rsidRPr="003338C1" w:rsidRDefault="00385122" w:rsidP="00385122">
      <w:pPr>
        <w:spacing w:line="240" w:lineRule="auto"/>
        <w:ind w:firstLine="720"/>
        <w:jc w:val="both"/>
        <w:rPr>
          <w:rFonts w:ascii="Verdana" w:hAnsi="Verdana" w:cs="Arial"/>
          <w:color w:val="000000"/>
          <w:sz w:val="18"/>
          <w:szCs w:val="18"/>
        </w:rPr>
      </w:pPr>
      <w:r w:rsidRPr="003338C1">
        <w:rPr>
          <w:rFonts w:ascii="Verdana" w:hAnsi="Verdana" w:cs="Arial"/>
          <w:color w:val="000000"/>
          <w:sz w:val="18"/>
          <w:szCs w:val="18"/>
        </w:rPr>
        <w:t>“En ese orden de ideas, sea que se llame adendo,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w:t>
      </w:r>
      <w:r w:rsidRPr="003338C1">
        <w:rPr>
          <w:rFonts w:ascii="Verdana" w:hAnsi="Verdana" w:cs="Arial"/>
          <w:color w:val="000000"/>
          <w:spacing w:val="-20"/>
          <w:sz w:val="18"/>
          <w:szCs w:val="18"/>
        </w:rPr>
        <w:t xml:space="preserve"> </w:t>
      </w:r>
      <w:r w:rsidRPr="003338C1">
        <w:rPr>
          <w:rFonts w:ascii="Verdana" w:hAnsi="Verdana" w:cs="Arial"/>
          <w:color w:val="000000"/>
          <w:sz w:val="18"/>
          <w:szCs w:val="18"/>
        </w:rPr>
        <w:t>condiciones”.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2" type="#_x0000_t75" style="width:11.45pt;height:11.4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04B0D11"/>
    <w:multiLevelType w:val="hybridMultilevel"/>
    <w:tmpl w:val="3B1611B4"/>
    <w:lvl w:ilvl="0" w:tplc="952A0668">
      <w:start w:val="4"/>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6C4399C"/>
    <w:multiLevelType w:val="hybridMultilevel"/>
    <w:tmpl w:val="B1988C3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1"/>
  </w:num>
  <w:num w:numId="16" w16cid:durableId="341274352">
    <w:abstractNumId w:val="0"/>
  </w:num>
  <w:num w:numId="17" w16cid:durableId="679089576">
    <w:abstractNumId w:val="10"/>
  </w:num>
  <w:num w:numId="18" w16cid:durableId="1670254484">
    <w:abstractNumId w:val="3"/>
  </w:num>
  <w:num w:numId="19" w16cid:durableId="3940854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2"/>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7C31"/>
    <w:rsid w:val="000A683E"/>
    <w:rsid w:val="000B19B9"/>
    <w:rsid w:val="000D0334"/>
    <w:rsid w:val="000D0396"/>
    <w:rsid w:val="000F6486"/>
    <w:rsid w:val="00125105"/>
    <w:rsid w:val="00127233"/>
    <w:rsid w:val="001511A0"/>
    <w:rsid w:val="00156FAC"/>
    <w:rsid w:val="001E4177"/>
    <w:rsid w:val="001F7DC6"/>
    <w:rsid w:val="00200070"/>
    <w:rsid w:val="00216092"/>
    <w:rsid w:val="002421BB"/>
    <w:rsid w:val="0025796E"/>
    <w:rsid w:val="00262818"/>
    <w:rsid w:val="002707A2"/>
    <w:rsid w:val="00290508"/>
    <w:rsid w:val="002951A0"/>
    <w:rsid w:val="002962BC"/>
    <w:rsid w:val="002A093D"/>
    <w:rsid w:val="002A0DD0"/>
    <w:rsid w:val="002A49AC"/>
    <w:rsid w:val="002A64FD"/>
    <w:rsid w:val="002C7A84"/>
    <w:rsid w:val="002E4FD9"/>
    <w:rsid w:val="00322A85"/>
    <w:rsid w:val="00323518"/>
    <w:rsid w:val="00324168"/>
    <w:rsid w:val="003448F4"/>
    <w:rsid w:val="0034735A"/>
    <w:rsid w:val="00374F5E"/>
    <w:rsid w:val="00377E3E"/>
    <w:rsid w:val="00385122"/>
    <w:rsid w:val="003A3BE8"/>
    <w:rsid w:val="003A779E"/>
    <w:rsid w:val="003D0F4D"/>
    <w:rsid w:val="003D5B0D"/>
    <w:rsid w:val="003E0499"/>
    <w:rsid w:val="003F3941"/>
    <w:rsid w:val="00406575"/>
    <w:rsid w:val="00414C74"/>
    <w:rsid w:val="0042722E"/>
    <w:rsid w:val="0044528D"/>
    <w:rsid w:val="004A1847"/>
    <w:rsid w:val="004A1911"/>
    <w:rsid w:val="004A305D"/>
    <w:rsid w:val="004D1FFF"/>
    <w:rsid w:val="004F21C4"/>
    <w:rsid w:val="004F685F"/>
    <w:rsid w:val="00515834"/>
    <w:rsid w:val="005313D0"/>
    <w:rsid w:val="00546604"/>
    <w:rsid w:val="005566E8"/>
    <w:rsid w:val="00574867"/>
    <w:rsid w:val="00591460"/>
    <w:rsid w:val="005B3816"/>
    <w:rsid w:val="005C3777"/>
    <w:rsid w:val="005C5CDC"/>
    <w:rsid w:val="005D03E8"/>
    <w:rsid w:val="005D476C"/>
    <w:rsid w:val="006219F8"/>
    <w:rsid w:val="00662D13"/>
    <w:rsid w:val="00665D70"/>
    <w:rsid w:val="0068025A"/>
    <w:rsid w:val="006900D9"/>
    <w:rsid w:val="006A74B2"/>
    <w:rsid w:val="00706C16"/>
    <w:rsid w:val="00756841"/>
    <w:rsid w:val="007649AB"/>
    <w:rsid w:val="00771D0C"/>
    <w:rsid w:val="007833AC"/>
    <w:rsid w:val="007B268C"/>
    <w:rsid w:val="007B7171"/>
    <w:rsid w:val="007C0C0F"/>
    <w:rsid w:val="007C3DC2"/>
    <w:rsid w:val="007E5497"/>
    <w:rsid w:val="00806F5F"/>
    <w:rsid w:val="00820278"/>
    <w:rsid w:val="00867F95"/>
    <w:rsid w:val="00872FD1"/>
    <w:rsid w:val="008843B6"/>
    <w:rsid w:val="00891928"/>
    <w:rsid w:val="008A446D"/>
    <w:rsid w:val="008D180B"/>
    <w:rsid w:val="008F0EA7"/>
    <w:rsid w:val="00923EEF"/>
    <w:rsid w:val="009419F9"/>
    <w:rsid w:val="0095685E"/>
    <w:rsid w:val="00961B09"/>
    <w:rsid w:val="00965334"/>
    <w:rsid w:val="0097093E"/>
    <w:rsid w:val="00986AC5"/>
    <w:rsid w:val="009A0DFA"/>
    <w:rsid w:val="009B2D26"/>
    <w:rsid w:val="009C71FA"/>
    <w:rsid w:val="009C72E7"/>
    <w:rsid w:val="009D3058"/>
    <w:rsid w:val="009E629A"/>
    <w:rsid w:val="009F3A13"/>
    <w:rsid w:val="00A122D3"/>
    <w:rsid w:val="00A17F13"/>
    <w:rsid w:val="00A20739"/>
    <w:rsid w:val="00A33C78"/>
    <w:rsid w:val="00AB0ADB"/>
    <w:rsid w:val="00B01B1A"/>
    <w:rsid w:val="00B66319"/>
    <w:rsid w:val="00B72CD3"/>
    <w:rsid w:val="00B72FFF"/>
    <w:rsid w:val="00B77FFE"/>
    <w:rsid w:val="00BC3D36"/>
    <w:rsid w:val="00BD0DAC"/>
    <w:rsid w:val="00BD7F72"/>
    <w:rsid w:val="00C04FB3"/>
    <w:rsid w:val="00C330EB"/>
    <w:rsid w:val="00C41061"/>
    <w:rsid w:val="00C57B5D"/>
    <w:rsid w:val="00C754BE"/>
    <w:rsid w:val="00C76B1C"/>
    <w:rsid w:val="00CB6357"/>
    <w:rsid w:val="00CC1B26"/>
    <w:rsid w:val="00D423A2"/>
    <w:rsid w:val="00D520D8"/>
    <w:rsid w:val="00D63AC2"/>
    <w:rsid w:val="00D7383B"/>
    <w:rsid w:val="00DA231B"/>
    <w:rsid w:val="00DC39FC"/>
    <w:rsid w:val="00DC56C8"/>
    <w:rsid w:val="00DF5254"/>
    <w:rsid w:val="00E10E8F"/>
    <w:rsid w:val="00E16408"/>
    <w:rsid w:val="00E20894"/>
    <w:rsid w:val="00E245AB"/>
    <w:rsid w:val="00E2764C"/>
    <w:rsid w:val="00E27F2E"/>
    <w:rsid w:val="00E31020"/>
    <w:rsid w:val="00E33D7B"/>
    <w:rsid w:val="00E50AFE"/>
    <w:rsid w:val="00E70958"/>
    <w:rsid w:val="00E75C92"/>
    <w:rsid w:val="00E771DC"/>
    <w:rsid w:val="00E8772A"/>
    <w:rsid w:val="00E90F6B"/>
    <w:rsid w:val="00E92C27"/>
    <w:rsid w:val="00EA0E3D"/>
    <w:rsid w:val="00EC38A7"/>
    <w:rsid w:val="00ED7384"/>
    <w:rsid w:val="00EE1AA8"/>
    <w:rsid w:val="00F01232"/>
    <w:rsid w:val="00F31EDC"/>
    <w:rsid w:val="00F462B3"/>
    <w:rsid w:val="00F5664F"/>
    <w:rsid w:val="00F56C0A"/>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385122"/>
    <w:rPr>
      <w:rFonts w:ascii="Geomanist Light" w:hAnsi="Geomanist Light"/>
      <w:lang w:val="es-ES"/>
    </w:rPr>
  </w:style>
  <w:style w:type="paragraph" w:customStyle="1" w:styleId="Appelnotedebasde">
    <w:name w:val="Appel note de bas de..."/>
    <w:basedOn w:val="Normal"/>
    <w:link w:val="FootnoteReference"/>
    <w:uiPriority w:val="99"/>
    <w:rsid w:val="0038512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manuales-guias-y-pliegos-tipo/manuales-y-guias/guia-para-el-manejo-de-ofertas-artificialmente-baja-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eja-garzon@hotmail.com" TargetMode="External"/><Relationship Id="rId5" Type="http://schemas.openxmlformats.org/officeDocument/2006/relationships/styles" Target="styles.xml"/><Relationship Id="rId15" Type="http://schemas.openxmlformats.org/officeDocument/2006/relationships/hyperlink" Target="https://www.colombiacompra.gov.co/sites/cce_public/files/files_2020/boletin_de_realtoria_viii.pdf"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manuales-guias-y-pliegos-tipo/manuales-y-guias/guia-para-incentivar-la-participacion-de-las-mujer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36c82cfe-0eda-494d-b392-a9281b89aaf0"/>
    <ds:schemaRef ds:uri="8ae15d26-076e-464e-81a7-6f76a0fb3917"/>
  </ds:schemaRefs>
</ds:datastoreItem>
</file>

<file path=customXml/itemProps2.xml><?xml version="1.0" encoding="utf-8"?>
<ds:datastoreItem xmlns:ds="http://schemas.openxmlformats.org/officeDocument/2006/customXml" ds:itemID="{01D34467-C972-4BEA-AC14-63C88C91309A}"/>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3001</Words>
  <Characters>17108</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20069</CharactersWithSpaces>
  <SharedDoc>false</SharedDoc>
  <HLinks>
    <vt:vector size="30" baseType="variant">
      <vt:variant>
        <vt:i4>5898350</vt:i4>
      </vt:variant>
      <vt:variant>
        <vt:i4>12</vt:i4>
      </vt:variant>
      <vt:variant>
        <vt:i4>0</vt:i4>
      </vt:variant>
      <vt:variant>
        <vt:i4>5</vt:i4>
      </vt:variant>
      <vt:variant>
        <vt:lpwstr>https://www.colombiacompra.gov.co/sites/cce_public/files/files_2020/boletin_de_realtoria_viii.pdf</vt:lpwstr>
      </vt:variant>
      <vt:variant>
        <vt:lpwstr/>
      </vt:variant>
      <vt:variant>
        <vt:i4>5832785</vt:i4>
      </vt:variant>
      <vt:variant>
        <vt:i4>9</vt:i4>
      </vt:variant>
      <vt:variant>
        <vt:i4>0</vt:i4>
      </vt:variant>
      <vt:variant>
        <vt:i4>5</vt:i4>
      </vt:variant>
      <vt:variant>
        <vt:lpwstr>https://www.colombiacompra.gov.co/manuales-guias-y-pliegos-tipo/manuales-y-guias/guia-para-incentivar-la-participacion-de-las-mujeres</vt:lpwstr>
      </vt:variant>
      <vt:variant>
        <vt:lpwstr/>
      </vt:variant>
      <vt:variant>
        <vt:i4>2359345</vt:i4>
      </vt:variant>
      <vt:variant>
        <vt:i4>6</vt:i4>
      </vt:variant>
      <vt:variant>
        <vt:i4>0</vt:i4>
      </vt:variant>
      <vt:variant>
        <vt:i4>5</vt:i4>
      </vt:variant>
      <vt:variant>
        <vt:lpwstr>https://www.colombiacompra.gov.co/manuales-guias-y-pliegos-tipo/manuales-y-guias/guia-para-el-manejo-de-ofertas-artificialmente-baja-0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1507430</vt:i4>
      </vt:variant>
      <vt:variant>
        <vt:i4>0</vt:i4>
      </vt:variant>
      <vt:variant>
        <vt:i4>0</vt:i4>
      </vt:variant>
      <vt:variant>
        <vt:i4>5</vt:i4>
      </vt:variant>
      <vt:variant>
        <vt:lpwstr>mailto:aleja-garzon@hotmail.com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Maria Ortiz Ballesteros</cp:lastModifiedBy>
  <cp:revision>62</cp:revision>
  <cp:lastPrinted>2023-01-10T21:18:00Z</cp:lastPrinted>
  <dcterms:created xsi:type="dcterms:W3CDTF">2024-12-27T19:45:00Z</dcterms:created>
  <dcterms:modified xsi:type="dcterms:W3CDTF">2024-12-27T19:55:00Z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y fmtid="{D5CDD505-2E9C-101B-9397-08002B2CF9AE}" pid="4" name="MSIP_Label_79c9bbd4-2155-4c05-a8cb-143fc41f09a9_Enabled">
    <vt:lpwstr>true</vt:lpwstr>
  </property>
  <property fmtid="{D5CDD505-2E9C-101B-9397-08002B2CF9AE}" pid="5" name="MSIP_Label_79c9bbd4-2155-4c05-a8cb-143fc41f09a9_SetDate">
    <vt:lpwstr>2024-12-27T19:47:47Z</vt:lpwstr>
  </property>
  <property fmtid="{D5CDD505-2E9C-101B-9397-08002B2CF9AE}" pid="6" name="MSIP_Label_79c9bbd4-2155-4c05-a8cb-143fc41f09a9_Method">
    <vt:lpwstr>Standard</vt:lpwstr>
  </property>
  <property fmtid="{D5CDD505-2E9C-101B-9397-08002B2CF9AE}" pid="7" name="MSIP_Label_79c9bbd4-2155-4c05-a8cb-143fc41f09a9_Name">
    <vt:lpwstr>defa4170-0d19-0005-0004-bc88714345d2</vt:lpwstr>
  </property>
  <property fmtid="{D5CDD505-2E9C-101B-9397-08002B2CF9AE}" pid="8" name="MSIP_Label_79c9bbd4-2155-4c05-a8cb-143fc41f09a9_SiteId">
    <vt:lpwstr>33fa6907-21c6-4126-aa66-bcbed95361bb</vt:lpwstr>
  </property>
  <property fmtid="{D5CDD505-2E9C-101B-9397-08002B2CF9AE}" pid="9" name="MSIP_Label_79c9bbd4-2155-4c05-a8cb-143fc41f09a9_ActionId">
    <vt:lpwstr>08124ca3-3ad7-4bca-a3fd-cff408511bd5</vt:lpwstr>
  </property>
  <property fmtid="{D5CDD505-2E9C-101B-9397-08002B2CF9AE}" pid="10" name="MSIP_Label_79c9bbd4-2155-4c05-a8cb-143fc41f09a9_ContentBits">
    <vt:lpwstr>0</vt:lpwstr>
  </property>
</Properties>
</file>