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4C6E24" w14:textId="05754E5A" w:rsidR="00F4619C" w:rsidRPr="00DB30F3" w:rsidRDefault="00F4619C" w:rsidP="00F4619C">
      <w:pPr>
        <w:spacing w:after="0" w:line="240" w:lineRule="auto"/>
        <w:jc w:val="both"/>
        <w:rPr>
          <w:rFonts w:ascii="Verdana" w:eastAsia="Geomanist Light" w:hAnsi="Verdana" w:cs="Arial"/>
          <w:color w:val="000000" w:themeColor="text1"/>
          <w:lang w:val="es-MX"/>
        </w:rPr>
      </w:pPr>
      <w:r w:rsidRPr="00593A5F">
        <w:rPr>
          <w:rFonts w:ascii="Verdana" w:eastAsia="Geomanist Light" w:hAnsi="Verdana" w:cs="Arial"/>
          <w:color w:val="000000" w:themeColor="text1"/>
          <w:lang w:val="es-MX"/>
        </w:rPr>
        <w:t>Bogotá D.C., </w:t>
      </w:r>
      <w:r w:rsidRPr="00593A5F">
        <w:rPr>
          <w:rFonts w:ascii="Verdana" w:eastAsia="Geomanist Light" w:hAnsi="Verdana" w:cs="Arial"/>
          <w:color w:val="201F1E"/>
          <w:lang w:val="es-MX"/>
        </w:rPr>
        <w:t>[Día] de [</w:t>
      </w:r>
      <w:proofErr w:type="spellStart"/>
      <w:r w:rsidRPr="00593A5F">
        <w:rPr>
          <w:rFonts w:ascii="Verdana" w:eastAsia="Geomanist Light" w:hAnsi="Verdana" w:cs="Arial"/>
          <w:color w:val="201F1E"/>
          <w:lang w:val="es-MX"/>
        </w:rPr>
        <w:t>Mes.NombreCapitalizado</w:t>
      </w:r>
      <w:proofErr w:type="spellEnd"/>
      <w:r w:rsidRPr="00593A5F">
        <w:rPr>
          <w:rFonts w:ascii="Verdana" w:eastAsia="Geomanist Light" w:hAnsi="Verdana" w:cs="Arial"/>
          <w:color w:val="201F1E"/>
          <w:lang w:val="es-MX"/>
        </w:rPr>
        <w:t>] de [Año]</w:t>
      </w:r>
    </w:p>
    <w:p w14:paraId="352A44CE" w14:textId="2C4015D8" w:rsidR="00F4619C" w:rsidRPr="00593A5F" w:rsidRDefault="00F4619C" w:rsidP="00F4619C">
      <w:pPr>
        <w:spacing w:after="0" w:line="240" w:lineRule="auto"/>
        <w:jc w:val="both"/>
        <w:rPr>
          <w:rFonts w:ascii="Verdana" w:eastAsia="Calibri" w:hAnsi="Verdana" w:cs="Arial"/>
          <w:color w:val="000000"/>
          <w:lang w:val="es-ES"/>
        </w:rPr>
      </w:pPr>
    </w:p>
    <w:p w14:paraId="319E51A1" w14:textId="3192D8C9" w:rsidR="00F4619C" w:rsidRDefault="001C6282" w:rsidP="00F4619C">
      <w:pPr>
        <w:spacing w:after="0" w:line="240" w:lineRule="auto"/>
        <w:jc w:val="both"/>
        <w:rPr>
          <w:rFonts w:ascii="Verdana" w:eastAsia="Calibri" w:hAnsi="Verdana" w:cs="Arial"/>
          <w:lang w:val="es-ES" w:eastAsia="es-ES"/>
        </w:rPr>
      </w:pPr>
      <w:r w:rsidRPr="001C6282">
        <w:rPr>
          <w:rFonts w:ascii="Verdana" w:hAnsi="Verdana"/>
          <w:b/>
          <w:bCs/>
        </w:rPr>
        <w:drawing>
          <wp:anchor distT="0" distB="0" distL="114300" distR="114300" simplePos="0" relativeHeight="251660288" behindDoc="1" locked="0" layoutInCell="1" allowOverlap="1" wp14:anchorId="73B2A321" wp14:editId="3D103196">
            <wp:simplePos x="0" y="0"/>
            <wp:positionH relativeFrom="margin">
              <wp:align>right</wp:align>
            </wp:positionH>
            <wp:positionV relativeFrom="paragraph">
              <wp:posOffset>9221</wp:posOffset>
            </wp:positionV>
            <wp:extent cx="3019950" cy="895088"/>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019950" cy="895088"/>
                    </a:xfrm>
                    <a:prstGeom prst="rect">
                      <a:avLst/>
                    </a:prstGeom>
                  </pic:spPr>
                </pic:pic>
              </a:graphicData>
            </a:graphic>
            <wp14:sizeRelH relativeFrom="margin">
              <wp14:pctWidth>0</wp14:pctWidth>
            </wp14:sizeRelH>
            <wp14:sizeRelV relativeFrom="margin">
              <wp14:pctHeight>0</wp14:pctHeight>
            </wp14:sizeRelV>
          </wp:anchor>
        </w:drawing>
      </w:r>
    </w:p>
    <w:p w14:paraId="21AE4935" w14:textId="77777777" w:rsidR="00F4619C" w:rsidRPr="00077781" w:rsidRDefault="00F4619C" w:rsidP="00F4619C">
      <w:pPr>
        <w:spacing w:after="0" w:line="240" w:lineRule="auto"/>
        <w:jc w:val="both"/>
        <w:rPr>
          <w:rFonts w:ascii="Verdana" w:eastAsia="Calibri" w:hAnsi="Verdana" w:cs="Arial"/>
          <w:lang w:val="es-ES" w:eastAsia="es-ES"/>
        </w:rPr>
      </w:pPr>
      <w:r w:rsidRPr="00077781">
        <w:rPr>
          <w:rFonts w:ascii="Verdana" w:eastAsia="Calibri" w:hAnsi="Verdana" w:cs="Arial"/>
          <w:lang w:val="es-ES" w:eastAsia="es-ES"/>
        </w:rPr>
        <w:t>Señora</w:t>
      </w:r>
    </w:p>
    <w:p w14:paraId="363B472D" w14:textId="383DF471" w:rsidR="00F4619C" w:rsidRPr="00077781" w:rsidRDefault="00F4619C" w:rsidP="00F4619C">
      <w:pPr>
        <w:spacing w:after="0" w:line="240" w:lineRule="auto"/>
        <w:rPr>
          <w:rFonts w:ascii="Verdana" w:hAnsi="Verdana"/>
          <w:b/>
          <w:bCs/>
        </w:rPr>
      </w:pPr>
      <w:proofErr w:type="spellStart"/>
      <w:r w:rsidRPr="00077781">
        <w:rPr>
          <w:rFonts w:ascii="Verdana" w:hAnsi="Verdana"/>
          <w:b/>
          <w:bCs/>
        </w:rPr>
        <w:t>Yenny</w:t>
      </w:r>
      <w:proofErr w:type="spellEnd"/>
      <w:r w:rsidRPr="00077781">
        <w:rPr>
          <w:rFonts w:ascii="Verdana" w:hAnsi="Verdana"/>
          <w:b/>
          <w:bCs/>
        </w:rPr>
        <w:t xml:space="preserve"> Milena Ariza Acosta</w:t>
      </w:r>
      <w:r w:rsidR="001C6282" w:rsidRPr="001C6282">
        <w:rPr>
          <w:noProof/>
        </w:rPr>
        <w:t xml:space="preserve"> </w:t>
      </w:r>
    </w:p>
    <w:p w14:paraId="1B2669C8" w14:textId="77777777" w:rsidR="00F4619C" w:rsidRPr="00077781" w:rsidRDefault="002B348C" w:rsidP="00F4619C">
      <w:pPr>
        <w:spacing w:after="0" w:line="240" w:lineRule="auto"/>
        <w:rPr>
          <w:rFonts w:ascii="Verdana" w:hAnsi="Verdana"/>
        </w:rPr>
      </w:pPr>
      <w:hyperlink r:id="rId12" w:history="1">
        <w:r w:rsidR="00F4619C" w:rsidRPr="00077781">
          <w:rPr>
            <w:rStyle w:val="Hipervnculo"/>
            <w:rFonts w:ascii="Verdana" w:hAnsi="Verdana"/>
            <w:color w:val="auto"/>
            <w:u w:val="none"/>
          </w:rPr>
          <w:t>yennyariza_77@hotmail.com</w:t>
        </w:r>
      </w:hyperlink>
    </w:p>
    <w:p w14:paraId="2BB4EEBB" w14:textId="77777777" w:rsidR="00F4619C" w:rsidRPr="00077781" w:rsidRDefault="00F4619C" w:rsidP="00F4619C">
      <w:pPr>
        <w:spacing w:after="0" w:line="240" w:lineRule="auto"/>
        <w:rPr>
          <w:rFonts w:ascii="Verdana" w:eastAsia="Calibri" w:hAnsi="Verdana" w:cs="Arial"/>
          <w:bCs/>
          <w:lang w:val="es-ES_tradnl" w:eastAsia="es-ES_tradnl"/>
        </w:rPr>
      </w:pPr>
      <w:r w:rsidRPr="00077781">
        <w:rPr>
          <w:rFonts w:ascii="Verdana" w:eastAsia="Calibri" w:hAnsi="Verdana" w:cs="Arial"/>
          <w:bCs/>
          <w:lang w:val="es-ES_tradnl" w:eastAsia="es-ES_tradnl"/>
        </w:rPr>
        <w:t>Bogotá D.C.</w:t>
      </w:r>
    </w:p>
    <w:p w14:paraId="573743F0" w14:textId="77777777" w:rsidR="00F4619C" w:rsidRDefault="00F4619C" w:rsidP="00F4619C">
      <w:pPr>
        <w:spacing w:after="0" w:line="240" w:lineRule="auto"/>
        <w:rPr>
          <w:rFonts w:ascii="Verdana" w:eastAsia="Calibri" w:hAnsi="Verdana" w:cs="Arial"/>
          <w:bCs/>
          <w:lang w:val="es-ES_tradnl" w:eastAsia="es-ES_tradnl"/>
        </w:rPr>
      </w:pPr>
    </w:p>
    <w:p w14:paraId="7E363D61" w14:textId="77777777" w:rsidR="00F4619C" w:rsidRPr="00593A5F" w:rsidRDefault="00F4619C" w:rsidP="00F4619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4619C" w:rsidRPr="00593A5F" w14:paraId="1A3EA567" w14:textId="77777777" w:rsidTr="003D0810">
        <w:trPr>
          <w:trHeight w:val="884"/>
        </w:trPr>
        <w:tc>
          <w:tcPr>
            <w:tcW w:w="2689" w:type="dxa"/>
          </w:tcPr>
          <w:p w14:paraId="01DDA15C" w14:textId="77777777" w:rsidR="00F4619C" w:rsidRPr="00C00976" w:rsidRDefault="00F4619C" w:rsidP="003D0810">
            <w:pPr>
              <w:jc w:val="both"/>
              <w:rPr>
                <w:rFonts w:ascii="Verdana" w:eastAsia="Calibri" w:hAnsi="Verdana" w:cs="Arial"/>
                <w:b/>
                <w:bCs/>
                <w:color w:val="7030A0"/>
                <w:lang w:val="es-ES_tradnl" w:eastAsia="es-ES_tradnl"/>
              </w:rPr>
            </w:pPr>
          </w:p>
        </w:tc>
        <w:tc>
          <w:tcPr>
            <w:tcW w:w="6100" w:type="dxa"/>
          </w:tcPr>
          <w:p w14:paraId="2E840849" w14:textId="77777777" w:rsidR="00F4619C" w:rsidRPr="007B60E9" w:rsidRDefault="00F4619C" w:rsidP="003D0810">
            <w:pPr>
              <w:jc w:val="both"/>
              <w:rPr>
                <w:rFonts w:ascii="Verdana" w:eastAsia="Calibri" w:hAnsi="Verdana" w:cs="Arial"/>
                <w:b/>
                <w:bCs/>
                <w:color w:val="7030A0"/>
                <w:lang w:val="es-ES" w:eastAsia="es-ES"/>
              </w:rPr>
            </w:pPr>
            <w:r w:rsidRPr="00423EEA">
              <w:rPr>
                <w:rFonts w:ascii="Verdana" w:eastAsia="Calibri" w:hAnsi="Verdana" w:cs="Arial"/>
                <w:b/>
                <w:bCs/>
                <w:lang w:val="es-ES" w:eastAsia="es-ES"/>
              </w:rPr>
              <w:t>Concepto C-</w:t>
            </w:r>
            <w:r>
              <w:rPr>
                <w:rFonts w:ascii="Verdana" w:eastAsia="Calibri" w:hAnsi="Verdana" w:cs="Arial"/>
                <w:b/>
                <w:bCs/>
                <w:lang w:val="es-ES" w:eastAsia="es-ES"/>
              </w:rPr>
              <w:t>945</w:t>
            </w:r>
            <w:r w:rsidRPr="00423EEA">
              <w:rPr>
                <w:rFonts w:ascii="Verdana" w:eastAsia="Calibri" w:hAnsi="Verdana" w:cs="Arial"/>
                <w:b/>
                <w:bCs/>
                <w:lang w:val="es-ES" w:eastAsia="es-ES"/>
              </w:rPr>
              <w:t xml:space="preserve"> de 2024</w:t>
            </w:r>
          </w:p>
        </w:tc>
      </w:tr>
      <w:tr w:rsidR="00F4619C" w:rsidRPr="00593A5F" w14:paraId="2A7160D4" w14:textId="77777777" w:rsidTr="003D0810">
        <w:trPr>
          <w:trHeight w:val="884"/>
        </w:trPr>
        <w:tc>
          <w:tcPr>
            <w:tcW w:w="2689" w:type="dxa"/>
          </w:tcPr>
          <w:p w14:paraId="705C1278" w14:textId="77777777" w:rsidR="00F4619C" w:rsidRPr="004B40A6" w:rsidRDefault="00F4619C" w:rsidP="003D0810">
            <w:pPr>
              <w:jc w:val="both"/>
              <w:rPr>
                <w:rFonts w:ascii="Verdana" w:eastAsia="Calibri" w:hAnsi="Verdana" w:cs="Arial"/>
                <w:lang w:val="es-ES_tradnl" w:eastAsia="es-ES_tradnl"/>
              </w:rPr>
            </w:pPr>
            <w:r w:rsidRPr="004B40A6">
              <w:rPr>
                <w:rFonts w:ascii="Verdana" w:eastAsia="Calibri" w:hAnsi="Verdana" w:cs="Arial"/>
                <w:b/>
                <w:lang w:val="es-ES_tradnl" w:eastAsia="es-ES_tradnl"/>
              </w:rPr>
              <w:t>Temas:</w:t>
            </w:r>
            <w:r w:rsidRPr="004B40A6">
              <w:rPr>
                <w:rFonts w:ascii="Verdana" w:eastAsia="Calibri" w:hAnsi="Verdana" w:cs="Arial"/>
                <w:lang w:val="es-ES_tradnl" w:eastAsia="es-ES_tradnl"/>
              </w:rPr>
              <w:t xml:space="preserve">                   </w:t>
            </w:r>
          </w:p>
        </w:tc>
        <w:tc>
          <w:tcPr>
            <w:tcW w:w="6100" w:type="dxa"/>
          </w:tcPr>
          <w:p w14:paraId="173D6C53" w14:textId="77777777" w:rsidR="00F4619C" w:rsidRPr="00E34739" w:rsidRDefault="00F4619C" w:rsidP="003D0810">
            <w:pPr>
              <w:spacing w:line="276" w:lineRule="auto"/>
              <w:jc w:val="both"/>
              <w:rPr>
                <w:rFonts w:ascii="Verdana" w:eastAsia="Calibri" w:hAnsi="Verdana" w:cs="Arial"/>
                <w:lang w:val="es-ES_tradnl"/>
              </w:rPr>
            </w:pPr>
            <w:r w:rsidRPr="00E34739">
              <w:rPr>
                <w:rFonts w:ascii="Verdana" w:eastAsia="Calibri" w:hAnsi="Verdana" w:cs="Arial"/>
                <w:lang w:val="es-ES_tradnl"/>
              </w:rPr>
              <w:t xml:space="preserve">BOLSA DE PRODUCTOS – Noción – Procedencia / </w:t>
            </w:r>
            <w:r w:rsidRPr="00E34739">
              <w:rPr>
                <w:rFonts w:ascii="Verdana" w:eastAsia="Calibri" w:hAnsi="Verdana" w:cs="Arial"/>
              </w:rPr>
              <w:t xml:space="preserve">BOLSA DE PRODUCTOS – Publicidad – SECOP / </w:t>
            </w:r>
            <w:r w:rsidRPr="00E34739">
              <w:rPr>
                <w:rFonts w:ascii="Verdana" w:eastAsia="Calibri" w:hAnsi="Verdana" w:cs="Arial"/>
                <w:szCs w:val="20"/>
              </w:rPr>
              <w:t>ACUERDOS MARCO DE PRECIOS – Procedencia – Noción</w:t>
            </w:r>
          </w:p>
        </w:tc>
      </w:tr>
      <w:tr w:rsidR="00F4619C" w:rsidRPr="00593A5F" w14:paraId="4F91E4FD" w14:textId="77777777" w:rsidTr="003D0810">
        <w:trPr>
          <w:trHeight w:val="89"/>
        </w:trPr>
        <w:tc>
          <w:tcPr>
            <w:tcW w:w="2689" w:type="dxa"/>
          </w:tcPr>
          <w:p w14:paraId="5A9C7317" w14:textId="77777777" w:rsidR="00F4619C" w:rsidRPr="004B40A6" w:rsidRDefault="00F4619C" w:rsidP="003D0810">
            <w:pPr>
              <w:jc w:val="both"/>
              <w:rPr>
                <w:rFonts w:ascii="Verdana" w:eastAsia="Calibri" w:hAnsi="Verdana" w:cs="Arial"/>
                <w:b/>
                <w:lang w:val="es-ES_tradnl" w:eastAsia="es-ES_tradnl"/>
              </w:rPr>
            </w:pPr>
            <w:r w:rsidRPr="004B40A6">
              <w:rPr>
                <w:rFonts w:ascii="Verdana" w:eastAsia="Calibri" w:hAnsi="Verdana" w:cs="Arial"/>
                <w:b/>
                <w:lang w:val="es-ES_tradnl" w:eastAsia="es-ES_tradnl"/>
              </w:rPr>
              <w:t>Radicación:</w:t>
            </w:r>
            <w:r w:rsidRPr="004B40A6">
              <w:rPr>
                <w:rFonts w:ascii="Verdana" w:eastAsia="Calibri" w:hAnsi="Verdana" w:cs="Arial"/>
                <w:lang w:val="es-ES_tradnl" w:eastAsia="es-ES_tradnl"/>
              </w:rPr>
              <w:t xml:space="preserve">               </w:t>
            </w:r>
          </w:p>
        </w:tc>
        <w:tc>
          <w:tcPr>
            <w:tcW w:w="6100" w:type="dxa"/>
          </w:tcPr>
          <w:p w14:paraId="3EF81D89" w14:textId="77777777" w:rsidR="00F4619C" w:rsidRPr="00E56225" w:rsidRDefault="00F4619C" w:rsidP="003D0810">
            <w:pPr>
              <w:spacing w:line="276" w:lineRule="auto"/>
              <w:jc w:val="both"/>
              <w:rPr>
                <w:rFonts w:ascii="Verdana" w:hAnsi="Verdana" w:cs="Calibri"/>
              </w:rPr>
            </w:pPr>
            <w:r w:rsidRPr="004B40A6">
              <w:rPr>
                <w:rFonts w:ascii="Verdana" w:eastAsia="Calibri" w:hAnsi="Verdana" w:cs="Arial"/>
                <w:lang w:val="es-ES_tradnl" w:eastAsia="es-ES_tradnl"/>
              </w:rPr>
              <w:t xml:space="preserve">Respuesta a consulta con radicado No. </w:t>
            </w:r>
            <w:r w:rsidRPr="00077781">
              <w:rPr>
                <w:rFonts w:ascii="Verdana" w:hAnsi="Verdana" w:cs="Calibri"/>
              </w:rPr>
              <w:t>P20241122011807</w:t>
            </w:r>
          </w:p>
        </w:tc>
      </w:tr>
    </w:tbl>
    <w:p w14:paraId="2B0A9E0B" w14:textId="77777777" w:rsidR="00F4619C" w:rsidRPr="00593A5F" w:rsidRDefault="00F4619C" w:rsidP="00F4619C">
      <w:pPr>
        <w:spacing w:after="0" w:line="240" w:lineRule="auto"/>
        <w:jc w:val="both"/>
        <w:rPr>
          <w:rFonts w:ascii="Verdana" w:eastAsia="Calibri" w:hAnsi="Verdana" w:cs="Arial"/>
          <w:color w:val="000000"/>
          <w:lang w:val="es-ES_tradnl" w:eastAsia="es-ES_tradnl"/>
        </w:rPr>
      </w:pPr>
    </w:p>
    <w:p w14:paraId="515DE78F" w14:textId="77777777" w:rsidR="00F4619C" w:rsidRPr="00593A5F" w:rsidRDefault="00F4619C" w:rsidP="00F4619C">
      <w:pPr>
        <w:spacing w:after="0" w:line="240" w:lineRule="auto"/>
        <w:jc w:val="both"/>
        <w:rPr>
          <w:rFonts w:ascii="Verdana" w:eastAsia="Calibri" w:hAnsi="Verdana" w:cs="Arial"/>
          <w:color w:val="000000"/>
          <w:lang w:val="es-ES_tradnl" w:eastAsia="es-ES_tradnl"/>
        </w:rPr>
      </w:pPr>
    </w:p>
    <w:p w14:paraId="1A893171" w14:textId="77777777" w:rsidR="00F4619C" w:rsidRPr="004B40A6" w:rsidRDefault="00F4619C" w:rsidP="00F4619C">
      <w:pPr>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Estimad</w:t>
      </w:r>
      <w:r>
        <w:rPr>
          <w:rFonts w:ascii="Verdana" w:eastAsia="Calibri" w:hAnsi="Verdana" w:cs="Arial"/>
          <w:lang w:val="es-ES" w:eastAsia="es-ES"/>
        </w:rPr>
        <w:t>a</w:t>
      </w:r>
      <w:r w:rsidRPr="004B40A6">
        <w:rPr>
          <w:rFonts w:ascii="Verdana" w:eastAsia="Calibri" w:hAnsi="Verdana" w:cs="Arial"/>
          <w:lang w:val="es-ES" w:eastAsia="es-ES"/>
        </w:rPr>
        <w:t xml:space="preserve"> </w:t>
      </w:r>
      <w:r>
        <w:rPr>
          <w:rFonts w:ascii="Verdana" w:eastAsia="Calibri" w:hAnsi="Verdana" w:cs="Arial"/>
          <w:lang w:val="es-ES" w:eastAsia="es-ES"/>
        </w:rPr>
        <w:t>señora Ariza</w:t>
      </w:r>
      <w:r w:rsidRPr="004B40A6">
        <w:rPr>
          <w:rFonts w:ascii="Verdana" w:eastAsia="Calibri" w:hAnsi="Verdana" w:cs="Arial"/>
          <w:lang w:val="es-ES" w:eastAsia="es-ES"/>
        </w:rPr>
        <w:t xml:space="preserve">: </w:t>
      </w:r>
    </w:p>
    <w:p w14:paraId="1C3A8363" w14:textId="77777777" w:rsidR="00F4619C" w:rsidRPr="004B40A6" w:rsidRDefault="00F4619C" w:rsidP="00F4619C">
      <w:pPr>
        <w:tabs>
          <w:tab w:val="left" w:pos="3768"/>
        </w:tabs>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ab/>
      </w:r>
    </w:p>
    <w:p w14:paraId="0BCF1D72" w14:textId="77777777" w:rsidR="00F4619C" w:rsidRDefault="00F4619C" w:rsidP="00F4619C">
      <w:pPr>
        <w:spacing w:after="0" w:line="276" w:lineRule="auto"/>
        <w:jc w:val="both"/>
        <w:rPr>
          <w:rFonts w:ascii="Verdana" w:eastAsia="Calibri" w:hAnsi="Verdana" w:cs="Arial"/>
          <w:lang w:val="es-ES" w:eastAsia="es-ES"/>
        </w:rPr>
      </w:pPr>
      <w:r w:rsidRPr="00F7454D">
        <w:rPr>
          <w:rFonts w:ascii="Verdana" w:eastAsia="Calibri" w:hAnsi="Verdana" w:cs="Arial"/>
          <w:lang w:val="es-ES" w:eastAsia="es-ES"/>
        </w:rPr>
        <w:t>En ejercicio de la competencia otorgada por los artículos 3, numeral 5º, y 11, numeral 8º, del Decreto Ley 4170 de 2011,</w:t>
      </w:r>
      <w:r w:rsidRPr="00F7454D">
        <w:rPr>
          <w:rFonts w:ascii="Verdana" w:eastAsia="Arial MT" w:hAnsi="Verdana" w:cs="Arial MT"/>
          <w:lang w:val="es-ES" w:eastAsia="es-ES"/>
        </w:rPr>
        <w:t xml:space="preserve"> </w:t>
      </w:r>
      <w:r w:rsidRPr="00F7454D">
        <w:rPr>
          <w:rFonts w:ascii="Verdana" w:hAnsi="Verdana" w:cs="Arial"/>
        </w:rPr>
        <w:t xml:space="preserve">así como lo establecido en el artículo 4 de la Resolución 1707 de 2018 expedida por esta Entidad, </w:t>
      </w:r>
      <w:r w:rsidRPr="00F7454D">
        <w:rPr>
          <w:rFonts w:ascii="Verdana" w:eastAsia="Calibri" w:hAnsi="Verdana" w:cs="Arial"/>
          <w:lang w:val="es-ES" w:eastAsia="es-ES"/>
        </w:rPr>
        <w:t xml:space="preserve">la Agencia Nacional de Contratación Pública –Colombia Compra Eficiente– responde su solicitud de consulta de fecha </w:t>
      </w:r>
      <w:r>
        <w:rPr>
          <w:rFonts w:ascii="Verdana" w:eastAsia="Calibri" w:hAnsi="Verdana" w:cs="Arial"/>
          <w:lang w:val="es-ES" w:eastAsia="es-ES"/>
        </w:rPr>
        <w:t>22</w:t>
      </w:r>
      <w:r w:rsidRPr="00F7454D">
        <w:rPr>
          <w:rFonts w:ascii="Verdana" w:eastAsia="Calibri" w:hAnsi="Verdana" w:cs="Arial"/>
          <w:lang w:val="es-ES" w:eastAsia="es-ES"/>
        </w:rPr>
        <w:t xml:space="preserve"> de </w:t>
      </w:r>
      <w:r>
        <w:rPr>
          <w:rFonts w:ascii="Verdana" w:eastAsia="Calibri" w:hAnsi="Verdana" w:cs="Arial"/>
          <w:lang w:val="es-ES" w:eastAsia="es-ES"/>
        </w:rPr>
        <w:t>noviembre</w:t>
      </w:r>
      <w:r w:rsidRPr="00F7454D">
        <w:rPr>
          <w:rFonts w:ascii="Verdana" w:eastAsia="Calibri" w:hAnsi="Verdana" w:cs="Arial"/>
          <w:lang w:val="es-ES" w:eastAsia="es-ES"/>
        </w:rPr>
        <w:t xml:space="preserve"> de 2024, en la cual manifiesta lo siguiente: </w:t>
      </w:r>
    </w:p>
    <w:p w14:paraId="23A965E6" w14:textId="77777777" w:rsidR="00F4619C" w:rsidRPr="00076878" w:rsidRDefault="00F4619C" w:rsidP="00F4619C">
      <w:pPr>
        <w:spacing w:after="0" w:line="276" w:lineRule="auto"/>
        <w:jc w:val="both"/>
        <w:rPr>
          <w:rFonts w:ascii="Verdana" w:eastAsia="Calibri" w:hAnsi="Verdana" w:cs="Arial"/>
          <w:lang w:val="es-ES" w:eastAsia="es-ES"/>
        </w:rPr>
      </w:pPr>
    </w:p>
    <w:p w14:paraId="34B6E6F9" w14:textId="77777777" w:rsidR="00F4619C" w:rsidRPr="00077781" w:rsidRDefault="00F4619C" w:rsidP="00F4619C">
      <w:pPr>
        <w:spacing w:after="0" w:line="276" w:lineRule="auto"/>
        <w:jc w:val="both"/>
        <w:rPr>
          <w:rFonts w:ascii="Verdana" w:hAnsi="Verdana"/>
          <w:i/>
          <w:iCs/>
          <w:sz w:val="20"/>
          <w:szCs w:val="20"/>
        </w:rPr>
      </w:pPr>
      <w:bookmarkStart w:id="0" w:name="_Hlk95313578"/>
      <w:r w:rsidRPr="00077781">
        <w:rPr>
          <w:rFonts w:ascii="Verdana" w:eastAsia="Century Gothic" w:hAnsi="Verdana" w:cs="Century Gothic"/>
          <w:i/>
          <w:iCs/>
          <w:sz w:val="20"/>
          <w:szCs w:val="20"/>
          <w:lang w:val="es-ES"/>
        </w:rPr>
        <w:t>“</w:t>
      </w:r>
      <w:bookmarkEnd w:id="0"/>
      <w:r w:rsidRPr="00077781">
        <w:rPr>
          <w:rFonts w:ascii="Verdana" w:hAnsi="Verdana"/>
          <w:i/>
          <w:iCs/>
          <w:sz w:val="20"/>
          <w:szCs w:val="20"/>
        </w:rPr>
        <w:t xml:space="preserve">La pregunta principal radica en si es necesario llevar a cabo los análisis del sector y estudios de mercado cada vez que requieran Compras a través del escenario de la BMC en la etapa de ejecución de un solo contrato de comisión durante el año; o si, por el contrario, bastaría con el análisis realizado en la etapa precontractual para este tipo de contratación, tal como se establece en el artículo 2.2.1.1.1.6.1 del Decreto 1082 de 2015 y el numeral 5.12 del Manual de Contratación. </w:t>
      </w:r>
    </w:p>
    <w:p w14:paraId="67C79DB2" w14:textId="77777777" w:rsidR="00F4619C" w:rsidRPr="00077781" w:rsidRDefault="00F4619C" w:rsidP="00F4619C">
      <w:pPr>
        <w:spacing w:after="0" w:line="276" w:lineRule="auto"/>
        <w:jc w:val="both"/>
        <w:rPr>
          <w:rFonts w:ascii="Verdana" w:hAnsi="Verdana"/>
          <w:i/>
          <w:iCs/>
          <w:sz w:val="20"/>
          <w:szCs w:val="20"/>
        </w:rPr>
      </w:pPr>
    </w:p>
    <w:p w14:paraId="6FF99B30" w14:textId="77777777" w:rsidR="00F4619C" w:rsidRPr="00077781" w:rsidRDefault="00F4619C" w:rsidP="00F4619C">
      <w:pPr>
        <w:spacing w:after="0" w:line="276" w:lineRule="auto"/>
        <w:jc w:val="both"/>
        <w:rPr>
          <w:rFonts w:ascii="Verdana" w:hAnsi="Verdana"/>
          <w:i/>
          <w:iCs/>
          <w:sz w:val="20"/>
          <w:szCs w:val="20"/>
        </w:rPr>
      </w:pPr>
      <w:r w:rsidRPr="00077781">
        <w:rPr>
          <w:rFonts w:ascii="Verdana" w:hAnsi="Verdana"/>
          <w:i/>
          <w:iCs/>
          <w:sz w:val="20"/>
          <w:szCs w:val="20"/>
        </w:rPr>
        <w:t>Además; solicitamos amablemente confirmar, si en el caso específico de las compras a través de la Bolsa Mercantil, el procedimiento debe incluir tanto el análisis sectorial como el sondeo de precios en la etapa de ejecución (cada vez que se salga a compras) de un solo contrato de comisión anual o si dicho procedimiento debe ajustarse a alguna normativa adicional”</w:t>
      </w:r>
      <w:r w:rsidRPr="00077781">
        <w:rPr>
          <w:rFonts w:ascii="Verdana" w:eastAsia="Century Gothic" w:hAnsi="Verdana" w:cs="Century Gothic"/>
          <w:i/>
          <w:iCs/>
          <w:sz w:val="20"/>
          <w:szCs w:val="20"/>
          <w:lang w:val="es-ES"/>
        </w:rPr>
        <w:t>.</w:t>
      </w:r>
    </w:p>
    <w:p w14:paraId="55C3855C" w14:textId="77777777" w:rsidR="00F4619C" w:rsidRDefault="00F4619C" w:rsidP="00F4619C">
      <w:pPr>
        <w:spacing w:after="0" w:line="240" w:lineRule="auto"/>
        <w:ind w:right="709"/>
        <w:jc w:val="both"/>
        <w:rPr>
          <w:rFonts w:ascii="Verdana" w:eastAsia="Century Gothic" w:hAnsi="Verdana" w:cs="Century Gothic"/>
          <w:i/>
          <w:iCs/>
          <w:sz w:val="20"/>
          <w:szCs w:val="20"/>
          <w:lang w:val="es-ES"/>
        </w:rPr>
      </w:pPr>
    </w:p>
    <w:p w14:paraId="48DFFD41" w14:textId="77777777" w:rsidR="00F4619C" w:rsidRDefault="00F4619C" w:rsidP="00F4619C">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w:t>
      </w:r>
      <w:r>
        <w:rPr>
          <w:rFonts w:ascii="Verdana" w:eastAsia="Calibri" w:hAnsi="Verdana" w:cs="Arial"/>
          <w:color w:val="000000"/>
          <w:lang w:val="es-ES" w:eastAsia="es-ES"/>
        </w:rPr>
        <w:t>precisar</w:t>
      </w:r>
      <w:r w:rsidRPr="00593A5F">
        <w:rPr>
          <w:rFonts w:ascii="Verdana" w:eastAsia="Calibri" w:hAnsi="Verdana" w:cs="Arial"/>
          <w:color w:val="000000"/>
          <w:lang w:val="es-ES" w:eastAsia="es-ES"/>
        </w:rPr>
        <w:t xml:space="preserve">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403707E" w14:textId="77777777" w:rsidR="00F4619C" w:rsidRDefault="00F4619C" w:rsidP="00F4619C">
      <w:pPr>
        <w:spacing w:after="0" w:line="276" w:lineRule="auto"/>
        <w:ind w:firstLine="709"/>
        <w:jc w:val="both"/>
        <w:rPr>
          <w:rFonts w:ascii="Verdana" w:eastAsia="Calibri" w:hAnsi="Verdana" w:cs="Arial"/>
          <w:lang w:val="es-ES" w:eastAsia="es-ES"/>
        </w:rPr>
      </w:pPr>
      <w:r w:rsidRPr="004B40A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22FF6F5C" w14:textId="77777777" w:rsidR="00F4619C" w:rsidRPr="00593A5F" w:rsidRDefault="00F4619C" w:rsidP="00F4619C">
      <w:pPr>
        <w:spacing w:after="0" w:line="276" w:lineRule="auto"/>
        <w:jc w:val="both"/>
        <w:rPr>
          <w:rFonts w:ascii="Verdana" w:eastAsia="Calibri" w:hAnsi="Verdana" w:cs="Arial"/>
          <w:color w:val="000000"/>
          <w:lang w:val="es-ES" w:eastAsia="es-ES"/>
        </w:rPr>
      </w:pPr>
    </w:p>
    <w:p w14:paraId="3C5FF13E" w14:textId="77777777" w:rsidR="00F4619C" w:rsidRPr="00593A5F" w:rsidRDefault="00F4619C" w:rsidP="00F4619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7B6A2AD" w14:textId="77777777" w:rsidR="00F4619C" w:rsidRDefault="00F4619C" w:rsidP="00F4619C">
      <w:pPr>
        <w:spacing w:after="0" w:line="240" w:lineRule="auto"/>
        <w:ind w:right="709"/>
        <w:jc w:val="both"/>
        <w:rPr>
          <w:rFonts w:ascii="Verdana" w:eastAsia="Century Gothic" w:hAnsi="Verdana" w:cs="Century Gothic"/>
          <w:lang w:val="es-ES"/>
        </w:rPr>
      </w:pPr>
    </w:p>
    <w:p w14:paraId="448BA7CE" w14:textId="2C72DA40" w:rsidR="00F4619C" w:rsidRPr="00926248" w:rsidRDefault="00F4619C" w:rsidP="00F4619C">
      <w:pPr>
        <w:jc w:val="both"/>
        <w:rPr>
          <w:rFonts w:ascii="Verdana" w:eastAsia="Times New Roman" w:hAnsi="Verdana" w:cs="Calibri"/>
          <w:color w:val="000000"/>
          <w:shd w:val="clear" w:color="auto" w:fill="FFFFFF"/>
          <w:lang w:eastAsia="es-CO"/>
        </w:rPr>
      </w:pPr>
      <w:r w:rsidRPr="00E03E8C">
        <w:rPr>
          <w:rFonts w:ascii="Verdana" w:hAnsi="Verdana"/>
        </w:rPr>
        <w:t xml:space="preserve">De acuerdo con el contenido de su solicitud, esta Agencia resolverá </w:t>
      </w:r>
      <w:r>
        <w:rPr>
          <w:rFonts w:ascii="Verdana" w:hAnsi="Verdana"/>
        </w:rPr>
        <w:t>el</w:t>
      </w:r>
      <w:r w:rsidRPr="00E03E8C">
        <w:rPr>
          <w:rFonts w:ascii="Verdana" w:hAnsi="Verdana"/>
        </w:rPr>
        <w:t xml:space="preserve"> siguiente problema jurídico: </w:t>
      </w:r>
      <w:r w:rsidRPr="007D5B64">
        <w:rPr>
          <w:rFonts w:ascii="Verdana" w:hAnsi="Verdana"/>
        </w:rPr>
        <w:t>¿</w:t>
      </w:r>
      <w:r w:rsidRPr="007D5B64">
        <w:rPr>
          <w:rFonts w:ascii="Verdana" w:eastAsia="Times New Roman" w:hAnsi="Verdana" w:cs="Calibri"/>
          <w:color w:val="000000"/>
          <w:shd w:val="clear" w:color="auto" w:fill="FFFFFF"/>
          <w:lang w:eastAsia="es-CO"/>
        </w:rPr>
        <w:t xml:space="preserve">Debe la entidad pública realizar Estudio de </w:t>
      </w:r>
      <w:r>
        <w:rPr>
          <w:rFonts w:ascii="Verdana" w:eastAsia="Times New Roman" w:hAnsi="Verdana" w:cs="Calibri"/>
          <w:color w:val="000000"/>
          <w:shd w:val="clear" w:color="auto" w:fill="FFFFFF"/>
          <w:lang w:eastAsia="es-CO"/>
        </w:rPr>
        <w:t>M</w:t>
      </w:r>
      <w:r w:rsidRPr="007D5B64">
        <w:rPr>
          <w:rFonts w:ascii="Verdana" w:eastAsia="Times New Roman" w:hAnsi="Verdana" w:cs="Calibri"/>
          <w:color w:val="000000"/>
          <w:shd w:val="clear" w:color="auto" w:fill="FFFFFF"/>
          <w:lang w:eastAsia="es-CO"/>
        </w:rPr>
        <w:t>ercado y</w:t>
      </w:r>
      <w:r w:rsidR="00B0334B">
        <w:rPr>
          <w:rFonts w:ascii="Verdana" w:eastAsia="Times New Roman" w:hAnsi="Verdana" w:cs="Calibri"/>
          <w:color w:val="000000"/>
          <w:shd w:val="clear" w:color="auto" w:fill="FFFFFF"/>
          <w:lang w:eastAsia="es-CO"/>
        </w:rPr>
        <w:t xml:space="preserve"> </w:t>
      </w:r>
      <w:r w:rsidR="00D00C5C">
        <w:rPr>
          <w:rFonts w:ascii="Verdana" w:eastAsia="Times New Roman" w:hAnsi="Verdana" w:cs="Calibri"/>
          <w:color w:val="000000"/>
          <w:shd w:val="clear" w:color="auto" w:fill="FFFFFF"/>
          <w:lang w:eastAsia="es-CO"/>
        </w:rPr>
        <w:t>el</w:t>
      </w:r>
      <w:r w:rsidRPr="007D5B64">
        <w:rPr>
          <w:rFonts w:ascii="Verdana" w:eastAsia="Times New Roman" w:hAnsi="Verdana" w:cs="Calibri"/>
          <w:color w:val="000000"/>
          <w:shd w:val="clear" w:color="auto" w:fill="FFFFFF"/>
          <w:lang w:eastAsia="es-CO"/>
        </w:rPr>
        <w:t xml:space="preserve"> </w:t>
      </w:r>
      <w:r>
        <w:rPr>
          <w:rFonts w:ascii="Verdana" w:eastAsia="Times New Roman" w:hAnsi="Verdana" w:cs="Calibri"/>
          <w:color w:val="000000"/>
          <w:shd w:val="clear" w:color="auto" w:fill="FFFFFF"/>
          <w:lang w:eastAsia="es-CO"/>
        </w:rPr>
        <w:t>A</w:t>
      </w:r>
      <w:r w:rsidRPr="007D5B64">
        <w:rPr>
          <w:rFonts w:ascii="Verdana" w:eastAsia="Times New Roman" w:hAnsi="Verdana" w:cs="Calibri"/>
          <w:color w:val="000000"/>
          <w:shd w:val="clear" w:color="auto" w:fill="FFFFFF"/>
          <w:lang w:eastAsia="es-CO"/>
        </w:rPr>
        <w:t xml:space="preserve">nálisis del </w:t>
      </w:r>
      <w:r>
        <w:rPr>
          <w:rFonts w:ascii="Verdana" w:eastAsia="Times New Roman" w:hAnsi="Verdana" w:cs="Calibri"/>
          <w:color w:val="000000"/>
          <w:shd w:val="clear" w:color="auto" w:fill="FFFFFF"/>
          <w:lang w:eastAsia="es-CO"/>
        </w:rPr>
        <w:t>S</w:t>
      </w:r>
      <w:r w:rsidRPr="007D5B64">
        <w:rPr>
          <w:rFonts w:ascii="Verdana" w:eastAsia="Times New Roman" w:hAnsi="Verdana" w:cs="Calibri"/>
          <w:color w:val="000000"/>
          <w:shd w:val="clear" w:color="auto" w:fill="FFFFFF"/>
          <w:lang w:eastAsia="es-CO"/>
        </w:rPr>
        <w:t>ector en las adquisiciones mediante bolsa de productos?</w:t>
      </w:r>
    </w:p>
    <w:p w14:paraId="3CB16553" w14:textId="77777777" w:rsidR="00F4619C" w:rsidRPr="00593A5F" w:rsidRDefault="00F4619C" w:rsidP="00F461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C88F2AC" w14:textId="77777777" w:rsidR="00F4619C" w:rsidRPr="00593A5F" w:rsidRDefault="00F4619C" w:rsidP="00F4619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4619C" w:rsidRPr="00593A5F" w14:paraId="17B97147" w14:textId="77777777" w:rsidTr="003D0810">
        <w:tc>
          <w:tcPr>
            <w:tcW w:w="8828" w:type="dxa"/>
            <w:shd w:val="clear" w:color="auto" w:fill="auto"/>
          </w:tcPr>
          <w:p w14:paraId="2CD2A24D" w14:textId="77777777" w:rsidR="00F4619C" w:rsidRPr="00D3636C" w:rsidRDefault="00F4619C" w:rsidP="003D0810">
            <w:pPr>
              <w:spacing w:after="120" w:line="276" w:lineRule="auto"/>
              <w:jc w:val="both"/>
              <w:rPr>
                <w:rFonts w:ascii="Verdana" w:eastAsia="Times New Roman" w:hAnsi="Verdana" w:cs="Calibri"/>
                <w:color w:val="000000"/>
                <w:shd w:val="clear" w:color="auto" w:fill="FFFFFF"/>
                <w:lang w:eastAsia="es-CO"/>
              </w:rPr>
            </w:pPr>
            <w:r w:rsidRPr="00D3636C">
              <w:rPr>
                <w:rFonts w:ascii="Verdana" w:hAnsi="Verdana" w:cs="Arial"/>
                <w:color w:val="000000"/>
              </w:rPr>
              <w:t xml:space="preserve">Atendiendo el interrogante objeto de consulta, es imperioso precisar que </w:t>
            </w:r>
            <w:r w:rsidRPr="00D3636C">
              <w:rPr>
                <w:rFonts w:ascii="Verdana" w:eastAsia="Times New Roman" w:hAnsi="Verdana" w:cs="Calibri"/>
                <w:color w:val="000000"/>
                <w:shd w:val="clear" w:color="auto" w:fill="FFFFFF"/>
                <w:lang w:eastAsia="es-CO"/>
              </w:rPr>
              <w:t xml:space="preserve">las Entidades Estatales son autónomas y responsables de la estructuración de sus Procesos de Contratación, así como de la determinación de la forma en la que realizan sus estudios del sector. No obstante, las Entidades Estatales están obligadas a analizar el sector relativo al objeto del Proceso de Contratación y para ello, deberán identificar: i) cuál es su necesidad y cómo puede satisfacerla; </w:t>
            </w:r>
            <w:proofErr w:type="spellStart"/>
            <w:r w:rsidRPr="00D3636C">
              <w:rPr>
                <w:rFonts w:ascii="Verdana" w:eastAsia="Times New Roman" w:hAnsi="Verdana" w:cs="Calibri"/>
                <w:color w:val="000000"/>
                <w:shd w:val="clear" w:color="auto" w:fill="FFFFFF"/>
                <w:lang w:eastAsia="es-CO"/>
              </w:rPr>
              <w:t>ii</w:t>
            </w:r>
            <w:proofErr w:type="spellEnd"/>
            <w:r w:rsidRPr="00D3636C">
              <w:rPr>
                <w:rFonts w:ascii="Verdana" w:eastAsia="Times New Roman" w:hAnsi="Verdana" w:cs="Calibri"/>
                <w:color w:val="000000"/>
                <w:shd w:val="clear" w:color="auto" w:fill="FFFFFF"/>
                <w:lang w:eastAsia="es-CO"/>
              </w:rPr>
              <w:t xml:space="preserve">) cómo y quiénes pueden proveer los bienes, obras y servicios que necesita; y </w:t>
            </w:r>
            <w:proofErr w:type="spellStart"/>
            <w:r w:rsidRPr="00D3636C">
              <w:rPr>
                <w:rFonts w:ascii="Verdana" w:eastAsia="Times New Roman" w:hAnsi="Verdana" w:cs="Calibri"/>
                <w:color w:val="000000"/>
                <w:shd w:val="clear" w:color="auto" w:fill="FFFFFF"/>
                <w:lang w:eastAsia="es-CO"/>
              </w:rPr>
              <w:t>iii</w:t>
            </w:r>
            <w:proofErr w:type="spellEnd"/>
            <w:r w:rsidRPr="00D3636C">
              <w:rPr>
                <w:rFonts w:ascii="Verdana" w:eastAsia="Times New Roman" w:hAnsi="Verdana" w:cs="Calibri"/>
                <w:color w:val="000000"/>
                <w:shd w:val="clear" w:color="auto" w:fill="FFFFFF"/>
                <w:lang w:eastAsia="es-CO"/>
              </w:rPr>
              <w:t>) el contexto en el cual los posibles proveedores desarrollan su actividad.</w:t>
            </w:r>
          </w:p>
          <w:p w14:paraId="27A93A84" w14:textId="77777777" w:rsidR="00F4619C" w:rsidRPr="00D3636C" w:rsidRDefault="00F4619C" w:rsidP="003D0810">
            <w:pPr>
              <w:spacing w:after="120" w:line="276" w:lineRule="auto"/>
              <w:ind w:firstLine="709"/>
              <w:jc w:val="both"/>
              <w:rPr>
                <w:rFonts w:ascii="Verdana" w:eastAsia="Times New Roman" w:hAnsi="Verdana" w:cs="Calibri"/>
                <w:color w:val="000000"/>
                <w:shd w:val="clear" w:color="auto" w:fill="FFFFFF"/>
                <w:lang w:eastAsia="es-CO"/>
              </w:rPr>
            </w:pPr>
            <w:r w:rsidRPr="0029501D">
              <w:rPr>
                <w:rFonts w:ascii="Verdana" w:eastAsia="Times New Roman" w:hAnsi="Verdana" w:cs="Calibri"/>
                <w:color w:val="000000"/>
                <w:shd w:val="clear" w:color="auto" w:fill="FFFFFF"/>
                <w:lang w:eastAsia="es-CO"/>
              </w:rPr>
              <w:lastRenderedPageBreak/>
              <w:t>Así mismo, las Entidades Estatales pueden utilizar todas las fuentes y referencias que resulten útiles y pertinentes, siempre que provengan de una fuente confiable y que permitan obtener el mayor valor por dinero. La profundidad del estudio del sector depende de la complejidad del Proceso de Contratación, y se recomienda que se utilicen varias fuentes de información.</w:t>
            </w:r>
          </w:p>
          <w:p w14:paraId="30939C36" w14:textId="4D5B54AA" w:rsidR="00334C61" w:rsidRPr="00334C61" w:rsidRDefault="00152814" w:rsidP="00334C61">
            <w:pPr>
              <w:spacing w:after="120" w:line="276" w:lineRule="auto"/>
              <w:ind w:firstLine="709"/>
              <w:jc w:val="both"/>
              <w:rPr>
                <w:rFonts w:ascii="Verdana" w:hAnsi="Verdana"/>
              </w:rPr>
            </w:pPr>
            <w:r w:rsidRPr="00334C61">
              <w:rPr>
                <w:rFonts w:ascii="Verdana" w:hAnsi="Verdana"/>
              </w:rPr>
              <w:t xml:space="preserve">Ahora </w:t>
            </w:r>
            <w:r w:rsidR="00334C61" w:rsidRPr="00334C61">
              <w:rPr>
                <w:rFonts w:ascii="Verdana" w:hAnsi="Verdana"/>
              </w:rPr>
              <w:t>bien, cuando</w:t>
            </w:r>
            <w:r w:rsidRPr="00334C61">
              <w:rPr>
                <w:rFonts w:ascii="Verdana" w:hAnsi="Verdana"/>
              </w:rPr>
              <w:t xml:space="preserve"> la entidad pretenda</w:t>
            </w:r>
            <w:r w:rsidR="00334C61" w:rsidRPr="00334C61">
              <w:rPr>
                <w:rFonts w:ascii="Verdana" w:hAnsi="Verdana"/>
              </w:rPr>
              <w:t xml:space="preserve"> realizar</w:t>
            </w:r>
            <w:r w:rsidRPr="00334C61">
              <w:rPr>
                <w:rFonts w:ascii="Verdana" w:hAnsi="Verdana"/>
              </w:rPr>
              <w:t xml:space="preserve"> la adquisición de bienes mediante el mecanismo de bolsa de productos, </w:t>
            </w:r>
            <w:r w:rsidR="00A25A76">
              <w:rPr>
                <w:rFonts w:ascii="Verdana" w:hAnsi="Verdana"/>
              </w:rPr>
              <w:t xml:space="preserve">esta </w:t>
            </w:r>
            <w:r w:rsidR="00F4619C" w:rsidRPr="00334C61">
              <w:rPr>
                <w:rFonts w:ascii="Verdana" w:hAnsi="Verdana"/>
              </w:rPr>
              <w:t>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p>
          <w:p w14:paraId="0C8EAA0F" w14:textId="1EFFE3A8" w:rsidR="00152814" w:rsidRDefault="00334C61" w:rsidP="00334C61">
            <w:pPr>
              <w:spacing w:after="120" w:line="276" w:lineRule="auto"/>
              <w:ind w:firstLine="709"/>
              <w:jc w:val="both"/>
              <w:rPr>
                <w:rFonts w:ascii="Verdana" w:hAnsi="Verdana" w:cs="Calibri"/>
                <w:color w:val="000000"/>
                <w:shd w:val="clear" w:color="auto" w:fill="FFFFFF"/>
              </w:rPr>
            </w:pPr>
            <w:r>
              <w:rPr>
                <w:rFonts w:ascii="Verdana" w:hAnsi="Verdana" w:cs="Calibri"/>
                <w:color w:val="000000"/>
                <w:shd w:val="clear" w:color="auto" w:fill="FFFFFF"/>
              </w:rPr>
              <w:t>De</w:t>
            </w:r>
            <w:r w:rsidRPr="00D3636C">
              <w:rPr>
                <w:rFonts w:ascii="Verdana" w:hAnsi="Verdana" w:cs="Calibri"/>
                <w:color w:val="000000"/>
                <w:shd w:val="clear" w:color="auto" w:fill="FFFFFF"/>
              </w:rPr>
              <w:t xml:space="preserve"> </w:t>
            </w:r>
            <w:r w:rsidR="00F4619C" w:rsidRPr="00D3636C">
              <w:rPr>
                <w:rFonts w:ascii="Verdana" w:hAnsi="Verdana" w:cs="Calibri"/>
                <w:color w:val="000000"/>
                <w:shd w:val="clear" w:color="auto" w:fill="FFFFFF"/>
              </w:rPr>
              <w:t>conformidad a lo prescrito en el artículo 2.2.1.2.1.2.12 del Decreto 1082 de 2015, modificado por el artículo 2 del Decreto 310 del 25 de marzo de 2021, cuando </w:t>
            </w:r>
            <w:r w:rsidR="00F4619C" w:rsidRPr="00CC640A">
              <w:rPr>
                <w:rFonts w:ascii="Verdana" w:hAnsi="Verdana" w:cs="Calibri"/>
                <w:color w:val="000000"/>
              </w:rPr>
              <w:t>no</w:t>
            </w:r>
            <w:r w:rsidR="00F4619C" w:rsidRPr="00D3636C">
              <w:rPr>
                <w:rFonts w:ascii="Verdana" w:hAnsi="Verdana" w:cs="Calibri"/>
                <w:i/>
                <w:iCs/>
                <w:color w:val="000000"/>
              </w:rPr>
              <w:t> </w:t>
            </w:r>
            <w:r w:rsidR="00F4619C" w:rsidRPr="00D3636C">
              <w:rPr>
                <w:rFonts w:ascii="Verdana" w:hAnsi="Verdana" w:cs="Calibri"/>
                <w:color w:val="000000"/>
                <w:shd w:val="clear" w:color="auto" w:fill="FFFFFF"/>
              </w:rPr>
              <w:t xml:space="preserve">exista un acuerdo marco de precios el adelantamiento de una compra mediante el mecanismo de bolsa de productos, requiere que las entidades realicen un estudio comparativo en el que determinen las ventajas de utilizar el mecanismo, frente a la posibilidad de acudir a la subasta inversa o a la posibilidad de promover un nuevo acuerdo marco de precios, análisis en que se deberá considerar el proceso de selección del comisionista, los costos asociados a la selección, el valor de la comisión y de las garantías. </w:t>
            </w:r>
          </w:p>
          <w:p w14:paraId="266E7200" w14:textId="2DA7770B" w:rsidR="00F4619C" w:rsidRDefault="00F4619C" w:rsidP="003D0810">
            <w:pPr>
              <w:spacing w:after="120" w:line="276" w:lineRule="auto"/>
              <w:ind w:firstLine="709"/>
              <w:jc w:val="both"/>
              <w:rPr>
                <w:rFonts w:ascii="Verdana" w:hAnsi="Verdana" w:cs="Calibri"/>
                <w:color w:val="000000"/>
                <w:shd w:val="clear" w:color="auto" w:fill="FFFFFF"/>
              </w:rPr>
            </w:pPr>
            <w:r w:rsidRPr="00D3636C">
              <w:rPr>
                <w:rFonts w:ascii="Verdana" w:hAnsi="Verdana" w:cs="Calibri"/>
                <w:color w:val="000000"/>
                <w:shd w:val="clear" w:color="auto" w:fill="FFFFFF"/>
              </w:rPr>
              <w:t>La disposición indicada además expresa que este estudio debe señalar la forma en que la entidad estatal garantiza los principios y objetivos del sistema de compras, contratación pública, los postulados de la función administrativa y de la gestión fiscal. De otro lado, expresamente se establece en el inciso segundo de la norma analizada que: “(...) este estudio deberá consignarse expresamente en los documentos del Proceso de Selección y se deberá garantizar su oportuna publicidad a través del SECOP”.</w:t>
            </w:r>
          </w:p>
          <w:p w14:paraId="156E17B4" w14:textId="182B513A" w:rsidR="00D00C5C" w:rsidRDefault="00D00C5C" w:rsidP="003D0810">
            <w:pPr>
              <w:spacing w:after="120" w:line="276" w:lineRule="auto"/>
              <w:ind w:firstLine="709"/>
              <w:jc w:val="both"/>
              <w:rPr>
                <w:rFonts w:ascii="Verdana" w:hAnsi="Verdana" w:cs="Calibri"/>
                <w:color w:val="000000"/>
                <w:shd w:val="clear" w:color="auto" w:fill="FFFFFF"/>
              </w:rPr>
            </w:pPr>
            <w:r>
              <w:rPr>
                <w:rFonts w:ascii="Verdana" w:hAnsi="Verdana" w:cs="Calibri"/>
                <w:color w:val="000000"/>
                <w:shd w:val="clear" w:color="auto" w:fill="FFFFFF"/>
              </w:rPr>
              <w:t xml:space="preserve">En conclusión si bien el artículo </w:t>
            </w:r>
            <w:r w:rsidRPr="00D3636C">
              <w:rPr>
                <w:rFonts w:ascii="Verdana" w:hAnsi="Verdana" w:cs="Calibri"/>
                <w:color w:val="000000"/>
                <w:shd w:val="clear" w:color="auto" w:fill="FFFFFF"/>
              </w:rPr>
              <w:t>artículo 2.2.1.2.1.2.12 del Decreto 1082 de 2015</w:t>
            </w:r>
            <w:r>
              <w:rPr>
                <w:rFonts w:ascii="Verdana" w:hAnsi="Verdana" w:cs="Calibri"/>
                <w:color w:val="000000"/>
                <w:shd w:val="clear" w:color="auto" w:fill="FFFFFF"/>
              </w:rPr>
              <w:t xml:space="preserve"> no señala  de forma expresa que se deberá hacer el análisis del sector, si expresa de forma textual la obligación de la entidad de efectuar un estudio </w:t>
            </w:r>
            <w:r>
              <w:rPr>
                <w:rFonts w:ascii="Verdana" w:hAnsi="Verdana" w:cs="Calibri"/>
                <w:color w:val="000000"/>
                <w:shd w:val="clear" w:color="auto" w:fill="FFFFFF"/>
              </w:rPr>
              <w:lastRenderedPageBreak/>
              <w:t xml:space="preserve">comparativo y dentro de la elaboración del análisis del sector, se encuentra el estudio del mercado que es aquel que permite  comprende la dinámica de los precios y el establecer el presupuesto oficial de la contratación. </w:t>
            </w:r>
          </w:p>
          <w:p w14:paraId="761827BD" w14:textId="094E3A78" w:rsidR="00F4619C" w:rsidRPr="0015597A" w:rsidRDefault="00862E6E" w:rsidP="0015597A">
            <w:pPr>
              <w:spacing w:after="120" w:line="276" w:lineRule="auto"/>
              <w:jc w:val="both"/>
              <w:rPr>
                <w:rFonts w:ascii="Verdana" w:hAnsi="Verdana" w:cs="Calibri"/>
                <w:color w:val="000000"/>
                <w:shd w:val="clear" w:color="auto" w:fill="FFFFFF"/>
              </w:rPr>
            </w:pPr>
            <w:r w:rsidRPr="00821ABA">
              <w:rPr>
                <w:rFonts w:ascii="Verdana" w:eastAsia="Calibri" w:hAnsi="Verdana" w:cs="Arial"/>
                <w:color w:val="000000"/>
                <w:lang w:val="es-ES"/>
              </w:rPr>
              <w:t>En este contexto, como exigencia acorde a los principios de la función administrativa, la planeación impone el deber de realizar estudios previos y análisis del sector económico, pues son los insumos para determinar desde el punto de vista técnico tanto las necesidades prioritarias como los presupuestos estimados de cada</w:t>
            </w:r>
            <w:r>
              <w:rPr>
                <w:rFonts w:ascii="Verdana" w:eastAsia="Calibri" w:hAnsi="Verdana" w:cs="Arial"/>
                <w:color w:val="000000"/>
                <w:lang w:val="es-ES"/>
              </w:rPr>
              <w:t xml:space="preserve"> contratación.</w:t>
            </w:r>
            <w:r>
              <w:rPr>
                <w:rStyle w:val="Refdenotaalpie"/>
                <w:rFonts w:ascii="Verdana" w:hAnsi="Verdana" w:cs="Calibri"/>
                <w:color w:val="000000"/>
                <w:shd w:val="clear" w:color="auto" w:fill="FFFFFF"/>
              </w:rPr>
              <w:footnoteReference w:id="1"/>
            </w:r>
          </w:p>
        </w:tc>
      </w:tr>
    </w:tbl>
    <w:p w14:paraId="403B6EC2" w14:textId="77777777" w:rsidR="00F4619C" w:rsidRPr="00593A5F" w:rsidRDefault="00F4619C" w:rsidP="00F4619C">
      <w:pPr>
        <w:tabs>
          <w:tab w:val="left" w:pos="142"/>
          <w:tab w:val="left" w:pos="284"/>
        </w:tabs>
        <w:spacing w:after="0" w:line="276" w:lineRule="auto"/>
        <w:jc w:val="both"/>
        <w:rPr>
          <w:rFonts w:ascii="Verdana" w:eastAsia="Century Gothic" w:hAnsi="Verdana" w:cs="Century Gothic"/>
          <w:b/>
          <w:bCs/>
          <w:lang w:val="es-ES"/>
        </w:rPr>
      </w:pPr>
    </w:p>
    <w:p w14:paraId="4314EAA2" w14:textId="77777777" w:rsidR="00F4619C" w:rsidRPr="00593A5F" w:rsidRDefault="00F4619C" w:rsidP="00F461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47A20BF" w14:textId="77777777" w:rsidR="00F4619C" w:rsidRPr="00593A5F" w:rsidRDefault="00F4619C" w:rsidP="00F4619C">
      <w:pPr>
        <w:spacing w:after="0" w:line="276" w:lineRule="auto"/>
        <w:jc w:val="both"/>
        <w:rPr>
          <w:rFonts w:ascii="Verdana" w:eastAsia="Calibri" w:hAnsi="Verdana" w:cs="Arial"/>
          <w:color w:val="7030A0"/>
          <w:lang w:val="es-ES"/>
        </w:rPr>
      </w:pPr>
    </w:p>
    <w:p w14:paraId="2C46F556" w14:textId="77777777" w:rsidR="00F4619C" w:rsidRDefault="00F4619C" w:rsidP="00F4619C">
      <w:pPr>
        <w:spacing w:after="0" w:line="276" w:lineRule="auto"/>
        <w:jc w:val="both"/>
        <w:rPr>
          <w:rFonts w:ascii="Verdana" w:eastAsia="Calibri" w:hAnsi="Verdana" w:cs="Arial"/>
          <w:lang w:val="es-ES"/>
        </w:rPr>
      </w:pPr>
      <w:r w:rsidRPr="00FB372A">
        <w:rPr>
          <w:rFonts w:ascii="Verdana" w:eastAsia="Calibri" w:hAnsi="Verdana" w:cs="Arial"/>
          <w:lang w:val="es-ES"/>
        </w:rPr>
        <w:t>Lo anterior se sustenta en las siguientes consideraciones:</w:t>
      </w:r>
    </w:p>
    <w:p w14:paraId="393EB5B1" w14:textId="77777777" w:rsidR="00F4619C" w:rsidRDefault="00F4619C" w:rsidP="00F4619C">
      <w:pPr>
        <w:spacing w:after="0" w:line="276" w:lineRule="auto"/>
        <w:jc w:val="both"/>
        <w:rPr>
          <w:rFonts w:ascii="Verdana" w:eastAsia="Calibri" w:hAnsi="Verdana" w:cs="Arial"/>
          <w:lang w:val="es-ES"/>
        </w:rPr>
      </w:pPr>
    </w:p>
    <w:p w14:paraId="35CD0BC9" w14:textId="77777777" w:rsidR="00F4619C" w:rsidRDefault="00F4619C" w:rsidP="00F4619C">
      <w:pPr>
        <w:spacing w:after="120" w:line="276" w:lineRule="auto"/>
        <w:jc w:val="both"/>
        <w:rPr>
          <w:rFonts w:ascii="Verdana" w:eastAsia="Calibri" w:hAnsi="Verdana" w:cs="Arial"/>
          <w:lang w:val="es-MX"/>
        </w:rPr>
      </w:pPr>
      <w:r w:rsidRPr="00844B92">
        <w:rPr>
          <w:rFonts w:ascii="Verdana" w:eastAsia="Calibri" w:hAnsi="Verdana" w:cs="Arial"/>
          <w:lang w:val="es-MX"/>
        </w:rPr>
        <w:t>Las compras en bolsa de productos son un mecanismo contemplado en el numeral 2 del artículo 2 de la Ley 1150 de 2007, en el marco de la modalidad de selección abreviada, para la adquisición o suministro de bienes y servicios de características técnicas uniformes y de común utilización por parte de las entidades estatales</w:t>
      </w:r>
      <w:r w:rsidRPr="00844B92">
        <w:rPr>
          <w:rStyle w:val="Refdenotaalpie"/>
          <w:rFonts w:ascii="Verdana" w:eastAsia="Calibri" w:hAnsi="Verdana" w:cs="Arial"/>
          <w:lang w:val="es-MX"/>
        </w:rPr>
        <w:footnoteReference w:id="2"/>
      </w:r>
      <w:r w:rsidRPr="00844B92">
        <w:rPr>
          <w:rFonts w:ascii="Verdana" w:eastAsia="Calibri" w:hAnsi="Verdana" w:cs="Arial"/>
          <w:lang w:val="es-MX"/>
        </w:rPr>
        <w:t>.</w:t>
      </w:r>
    </w:p>
    <w:p w14:paraId="12BE7418" w14:textId="4BB09373" w:rsidR="00B523E8" w:rsidRPr="00B523E8" w:rsidRDefault="00334C61" w:rsidP="00F4619C">
      <w:pPr>
        <w:spacing w:after="120" w:line="276" w:lineRule="auto"/>
        <w:ind w:firstLine="709"/>
        <w:jc w:val="both"/>
        <w:rPr>
          <w:rFonts w:ascii="Verdana" w:eastAsia="Calibri" w:hAnsi="Verdana" w:cs="Arial"/>
          <w:lang w:val="es-MX"/>
        </w:rPr>
      </w:pPr>
      <w:r>
        <w:rPr>
          <w:rFonts w:ascii="Verdana" w:eastAsia="Calibri" w:hAnsi="Verdana" w:cs="Arial"/>
        </w:rPr>
        <w:t>Sin embargo, c</w:t>
      </w:r>
      <w:r w:rsidR="00B523E8" w:rsidRPr="00B523E8">
        <w:rPr>
          <w:rFonts w:ascii="Verdana" w:eastAsia="Calibri" w:hAnsi="Verdana" w:cs="Arial"/>
        </w:rPr>
        <w:t xml:space="preserve">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w:t>
      </w:r>
      <w:r w:rsidR="00B523E8" w:rsidRPr="00B523E8">
        <w:rPr>
          <w:rFonts w:ascii="Verdana" w:eastAsia="Calibri" w:hAnsi="Verdana" w:cs="Arial"/>
        </w:rPr>
        <w:lastRenderedPageBreak/>
        <w:t>Marco de Precios con la Agencia Nacional de Contratación Pública -Colombia Compra Eficiente- para tales bienes o servicios, incluyendo el análisis del Proceso de Selección del comisionista, los costos asociados a la selección, el valor de la comisión y de las garantías.</w:t>
      </w:r>
    </w:p>
    <w:p w14:paraId="79C9B783" w14:textId="4A46BA85" w:rsidR="00F4619C" w:rsidRPr="00844B92" w:rsidRDefault="00334C61" w:rsidP="007B06F5">
      <w:pPr>
        <w:spacing w:after="120" w:line="276" w:lineRule="auto"/>
        <w:ind w:firstLine="709"/>
        <w:jc w:val="both"/>
        <w:rPr>
          <w:rFonts w:ascii="Verdana" w:eastAsia="Calibri" w:hAnsi="Verdana" w:cs="Arial"/>
          <w:lang w:val="es-MX"/>
        </w:rPr>
      </w:pPr>
      <w:r>
        <w:rPr>
          <w:rFonts w:ascii="Verdana" w:eastAsia="Calibri" w:hAnsi="Verdana" w:cs="Arial"/>
          <w:lang w:val="es-MX"/>
        </w:rPr>
        <w:t>Así</w:t>
      </w:r>
      <w:r w:rsidR="00B523E8">
        <w:rPr>
          <w:rFonts w:ascii="Verdana" w:eastAsia="Calibri" w:hAnsi="Verdana" w:cs="Arial"/>
          <w:lang w:val="es-MX"/>
        </w:rPr>
        <w:t xml:space="preserve"> las cosas, </w:t>
      </w:r>
      <w:r w:rsidR="007B06F5">
        <w:rPr>
          <w:rFonts w:ascii="Verdana" w:eastAsia="Calibri" w:hAnsi="Verdana" w:cs="Arial"/>
          <w:lang w:val="es-MX"/>
        </w:rPr>
        <w:t>l</w:t>
      </w:r>
      <w:r w:rsidR="00F4619C" w:rsidRPr="00844B92">
        <w:rPr>
          <w:rFonts w:ascii="Verdana" w:eastAsia="Calibri" w:hAnsi="Verdana" w:cs="Arial"/>
          <w:lang w:val="es-MX"/>
        </w:rPr>
        <w:t>a adquisición de bienes mediante el mecanismo de bolsa de productos 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w:t>
      </w:r>
      <w:r w:rsidR="00F4619C" w:rsidRPr="00844B92">
        <w:rPr>
          <w:rFonts w:ascii="Verdana" w:eastAsia="Calibri" w:hAnsi="Verdana" w:cs="Arial"/>
          <w:vertAlign w:val="superscript"/>
          <w:lang w:val="es-MX"/>
        </w:rPr>
        <w:footnoteReference w:id="3"/>
      </w:r>
      <w:r w:rsidR="00F4619C" w:rsidRPr="00844B92">
        <w:rPr>
          <w:rFonts w:ascii="Verdana" w:eastAsia="Calibri" w:hAnsi="Verdana" w:cs="Arial"/>
          <w:lang w:val="es-MX"/>
        </w:rPr>
        <w:t>.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r w:rsidR="00F4619C" w:rsidRPr="00844B92">
        <w:rPr>
          <w:rStyle w:val="Refdenotaalpie"/>
          <w:rFonts w:ascii="Verdana" w:eastAsia="Calibri" w:hAnsi="Verdana" w:cs="Arial"/>
          <w:lang w:val="es-MX"/>
        </w:rPr>
        <w:footnoteReference w:id="4"/>
      </w:r>
      <w:r w:rsidR="00F4619C" w:rsidRPr="00844B92">
        <w:rPr>
          <w:rFonts w:ascii="Verdana" w:eastAsia="Calibri" w:hAnsi="Verdana" w:cs="Arial"/>
          <w:lang w:val="es-MX"/>
        </w:rPr>
        <w:t>.</w:t>
      </w:r>
    </w:p>
    <w:p w14:paraId="5D852A44" w14:textId="43271DF2" w:rsidR="007B06F5" w:rsidRPr="00844B92" w:rsidRDefault="00F4619C" w:rsidP="00F4619C">
      <w:pPr>
        <w:spacing w:after="120" w:line="276" w:lineRule="auto"/>
        <w:jc w:val="both"/>
        <w:rPr>
          <w:rFonts w:ascii="Verdana" w:eastAsia="Calibri" w:hAnsi="Verdana" w:cs="Arial"/>
          <w:lang w:val="es-MX"/>
        </w:rPr>
      </w:pPr>
      <w:r w:rsidRPr="00844B92">
        <w:rPr>
          <w:rFonts w:ascii="Verdana" w:eastAsia="Calibri" w:hAnsi="Verdana" w:cs="Arial"/>
          <w:lang w:val="es-MX"/>
        </w:rPr>
        <w:tab/>
      </w:r>
      <w:r w:rsidR="007B06F5">
        <w:rPr>
          <w:rFonts w:ascii="Verdana" w:eastAsia="Calibri" w:hAnsi="Verdana" w:cs="Arial"/>
          <w:color w:val="000000" w:themeColor="text1"/>
        </w:rPr>
        <w:t xml:space="preserve">De acuerdo con lo anterior, </w:t>
      </w:r>
      <w:r w:rsidR="007B06F5">
        <w:rPr>
          <w:rFonts w:ascii="Verdana" w:eastAsia="Calibri" w:hAnsi="Verdana" w:cs="Arial"/>
          <w:lang w:val="es-MX"/>
        </w:rPr>
        <w:t>l</w:t>
      </w:r>
      <w:r w:rsidRPr="00844B92">
        <w:rPr>
          <w:rFonts w:ascii="Verdana" w:eastAsia="Calibri" w:hAnsi="Verdana" w:cs="Arial"/>
          <w:lang w:val="es-MX"/>
        </w:rPr>
        <w:t>a negociación por parte de la entidad se da a través de un comisionista, el cual debe ser contratado por la entidad de conformidad con el procedimiento y reglas de la respectiva bolsa de productos</w:t>
      </w:r>
      <w:r w:rsidRPr="00844B92">
        <w:rPr>
          <w:rStyle w:val="Refdenotaalpie"/>
          <w:rFonts w:ascii="Verdana" w:eastAsia="Calibri" w:hAnsi="Verdana" w:cs="Arial"/>
          <w:lang w:val="es-MX"/>
        </w:rPr>
        <w:footnoteReference w:id="5"/>
      </w:r>
      <w:r w:rsidRPr="00844B92">
        <w:rPr>
          <w:rFonts w:ascii="Verdana" w:eastAsia="Calibri" w:hAnsi="Verdana" w:cs="Arial"/>
          <w:lang w:val="es-MX"/>
        </w:rPr>
        <w:t>. A su vez, la calidad de los productos negociados y la liquidación de las operaciones celebradas debe estar respaldada por garantías</w:t>
      </w:r>
      <w:r w:rsidRPr="00844B92">
        <w:rPr>
          <w:rStyle w:val="Refdenotaalpie"/>
          <w:rFonts w:ascii="Verdana" w:eastAsia="Calibri" w:hAnsi="Verdana" w:cs="Arial"/>
          <w:lang w:val="es-MX"/>
        </w:rPr>
        <w:footnoteReference w:id="6"/>
      </w:r>
      <w:r w:rsidRPr="00844B92">
        <w:rPr>
          <w:rFonts w:ascii="Verdana" w:eastAsia="Calibri" w:hAnsi="Verdana" w:cs="Arial"/>
          <w:lang w:val="es-MX"/>
        </w:rPr>
        <w:t>.</w:t>
      </w:r>
      <w:r w:rsidR="007B06F5">
        <w:rPr>
          <w:rFonts w:ascii="Verdana" w:eastAsia="Calibri" w:hAnsi="Verdana" w:cs="Arial"/>
          <w:lang w:val="es-MX"/>
        </w:rPr>
        <w:t xml:space="preserve"> </w:t>
      </w:r>
      <w:r w:rsidR="007B06F5">
        <w:rPr>
          <w:rFonts w:ascii="Verdana" w:eastAsia="Calibri" w:hAnsi="Verdana" w:cs="Arial"/>
          <w:color w:val="000000" w:themeColor="text1"/>
        </w:rPr>
        <w:t xml:space="preserve">Igualmente, este proceso se </w:t>
      </w:r>
      <w:r w:rsidR="007B06F5">
        <w:rPr>
          <w:rFonts w:ascii="Verdana" w:eastAsia="Calibri" w:hAnsi="Verdana" w:cs="Arial"/>
          <w:color w:val="000000" w:themeColor="text1"/>
          <w:lang w:val="es-ES"/>
        </w:rPr>
        <w:t>encuentra respaldado por el</w:t>
      </w:r>
      <w:r w:rsidR="007B06F5" w:rsidRPr="00F10CF5">
        <w:rPr>
          <w:rFonts w:ascii="Verdana" w:eastAsia="Calibri" w:hAnsi="Verdana" w:cs="Arial"/>
          <w:color w:val="000000" w:themeColor="text1"/>
        </w:rPr>
        <w:t xml:space="preserve"> marco regulatorio en la optimización de los procedimientos de compra en el ámbito público, asegurando eficiencia y equidad en las transacciones.</w:t>
      </w:r>
    </w:p>
    <w:p w14:paraId="61399725" w14:textId="710F54CF" w:rsidR="00F4619C" w:rsidRDefault="00F4619C" w:rsidP="00F4619C">
      <w:pPr>
        <w:spacing w:after="120" w:line="276" w:lineRule="auto"/>
        <w:jc w:val="both"/>
        <w:rPr>
          <w:rFonts w:ascii="Verdana" w:eastAsia="Calibri" w:hAnsi="Verdana" w:cs="Arial"/>
          <w:lang w:val="es-MX"/>
        </w:rPr>
      </w:pPr>
      <w:r w:rsidRPr="00844B92">
        <w:rPr>
          <w:rFonts w:ascii="Verdana" w:eastAsia="Calibri" w:hAnsi="Verdana" w:cs="Arial"/>
          <w:lang w:val="es-MX"/>
        </w:rPr>
        <w:lastRenderedPageBreak/>
        <w:tab/>
        <w:t>De conformidad con el artículo 2.2.1.2.1.2.12 del Decreto 1082 de 2015, modificado por el artículo 2 del Decreto 310 del 25 de marzo de 2021, las entidades reali</w:t>
      </w:r>
      <w:r w:rsidR="00B523E8">
        <w:rPr>
          <w:rFonts w:ascii="Verdana" w:eastAsia="Calibri" w:hAnsi="Verdana" w:cs="Arial"/>
          <w:lang w:val="es-MX"/>
        </w:rPr>
        <w:t>zan</w:t>
      </w:r>
      <w:r w:rsidRPr="00844B92">
        <w:rPr>
          <w:rFonts w:ascii="Verdana" w:eastAsia="Calibri" w:hAnsi="Verdana" w:cs="Arial"/>
          <w:lang w:val="es-MX"/>
        </w:rPr>
        <w:t xml:space="preserve"> un estudio comparativo en el que determinen las ventajas de utilizar el mecanismo. La disposición indicada además expresa que este estudio debe señalar la forma en que la entidad estatal garantiza los principios y objetivos del sistema de compras, contratación pública, los postulados de la función administrativa y de la gestión fiscal. De otro lado, expresamente se establece en el inciso segundo de la norma analizada que: “(…) este estudio deberá consignarse expresamente en los documentos del Proceso de Selección y se deberá garantizar su oportuna publicidad a través del SECOP”.</w:t>
      </w:r>
    </w:p>
    <w:p w14:paraId="7968587B" w14:textId="77777777" w:rsidR="00F4619C" w:rsidRDefault="00F4619C" w:rsidP="00F4619C">
      <w:pPr>
        <w:spacing w:after="120" w:line="276" w:lineRule="auto"/>
        <w:ind w:firstLine="709"/>
        <w:jc w:val="both"/>
        <w:rPr>
          <w:rFonts w:ascii="Verdana" w:eastAsia="Calibri" w:hAnsi="Verdana" w:cs="Arial"/>
          <w:color w:val="000000" w:themeColor="text1"/>
          <w:lang w:val="es-MX"/>
        </w:rPr>
      </w:pPr>
      <w:r w:rsidRPr="004157FA">
        <w:rPr>
          <w:rFonts w:ascii="Verdana" w:hAnsi="Verdana" w:cs="Arial"/>
          <w:lang w:val="es-MX"/>
        </w:rPr>
        <w:t>No obstante</w:t>
      </w:r>
      <w:r w:rsidRPr="004157FA">
        <w:rPr>
          <w:rFonts w:ascii="Verdana" w:eastAsia="Calibri" w:hAnsi="Verdana" w:cs="Arial"/>
          <w:color w:val="000000" w:themeColor="text1"/>
          <w:lang w:val="es-MX"/>
        </w:rPr>
        <w:t>, los incisos tercero y cuarto de la disposición analizada también permiten a las entidades estatales acudir a las bolsas de productos cuando a pesar de la existencia de un acuerdo marco de precios, mediante aquel mecanismo se obtengan precios inferiores, incluyendo los costos generados por concepto de comisionistas de bolsa y los gastos de operación indicados en el artículo 2.2.1.2.1.2.15. del Decreto 1082 de 2015 y no se desmejoren las condiciones técnicas y de calidad. Este análisis comparativo se debe realizar con el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w:t>
      </w:r>
      <w:r>
        <w:rPr>
          <w:rStyle w:val="Refdenotaalpie"/>
          <w:rFonts w:ascii="Verdana" w:eastAsia="Calibri" w:hAnsi="Verdana" w:cs="Arial"/>
          <w:color w:val="000000" w:themeColor="text1"/>
          <w:lang w:val="es-MX"/>
        </w:rPr>
        <w:footnoteReference w:id="7"/>
      </w:r>
      <w:r>
        <w:rPr>
          <w:rFonts w:ascii="Verdana" w:eastAsia="Calibri" w:hAnsi="Verdana" w:cs="Arial"/>
          <w:color w:val="000000" w:themeColor="text1"/>
          <w:lang w:val="es-MX"/>
        </w:rPr>
        <w:t>.</w:t>
      </w:r>
    </w:p>
    <w:p w14:paraId="3317520F" w14:textId="77777777" w:rsidR="00F4619C" w:rsidRPr="004157FA" w:rsidRDefault="00F4619C" w:rsidP="00F4619C">
      <w:pPr>
        <w:spacing w:after="120" w:line="276" w:lineRule="auto"/>
        <w:ind w:firstLine="708"/>
        <w:jc w:val="both"/>
        <w:rPr>
          <w:rFonts w:ascii="Verdana" w:hAnsi="Verdana" w:cs="Arial"/>
          <w:lang w:val="es-MX"/>
        </w:rPr>
      </w:pPr>
      <w:r w:rsidRPr="004157FA">
        <w:rPr>
          <w:rFonts w:ascii="Verdana" w:eastAsia="Calibri" w:hAnsi="Verdana" w:cs="Arial"/>
          <w:color w:val="000000" w:themeColor="text1"/>
          <w:lang w:val="es-MX"/>
        </w:rPr>
        <w:lastRenderedPageBreak/>
        <w:t xml:space="preserve">De otro lado, desde una perspectiva general, en principio la adquisición de bienes y servicios de características técnicas uniformes a través del mecanismo de bolsa de productos, se encuentra sometido al deber de publicidad de las actuaciones contractuales de las entidades públicas establecido en el artículo 3 de la Ley 1150 de 2007 y regulado por el artículo 2.2.1.1.1.7.1 del Decreto 1082 de 2015, que obliga a publicar en SECOP la documentación que </w:t>
      </w:r>
      <w:r w:rsidRPr="004157FA">
        <w:rPr>
          <w:rFonts w:ascii="Verdana" w:hAnsi="Verdana" w:cs="Arial"/>
          <w:lang w:val="es-MX"/>
        </w:rPr>
        <w:t xml:space="preserve">conforma el expediente del proceso de contratación.  </w:t>
      </w:r>
    </w:p>
    <w:p w14:paraId="20B3C82B" w14:textId="77777777" w:rsidR="00F4619C" w:rsidRPr="004157FA" w:rsidRDefault="00F4619C" w:rsidP="00F4619C">
      <w:pPr>
        <w:spacing w:after="120" w:line="276" w:lineRule="auto"/>
        <w:ind w:firstLine="708"/>
        <w:jc w:val="both"/>
        <w:rPr>
          <w:rFonts w:ascii="Verdana" w:eastAsia="Calibri" w:hAnsi="Verdana" w:cs="Arial"/>
          <w:color w:val="000000" w:themeColor="text1"/>
          <w:lang w:val="es-MX"/>
        </w:rPr>
      </w:pPr>
      <w:r w:rsidRPr="004157FA">
        <w:rPr>
          <w:rFonts w:ascii="Verdana" w:hAnsi="Verdana" w:cs="Arial"/>
          <w:lang w:val="es-MX"/>
        </w:rPr>
        <w:t>Sin embargo, en</w:t>
      </w:r>
      <w:r w:rsidRPr="004157FA">
        <w:rPr>
          <w:rFonts w:ascii="Verdana" w:eastAsia="Calibri" w:hAnsi="Verdana" w:cs="Arial"/>
          <w:color w:val="000000" w:themeColor="text1"/>
          <w:lang w:val="es-MX"/>
        </w:rPr>
        <w:t xml:space="preserve"> lo relativo a la publicación de las compras realizadas a través del mecanismo de bolsa de productos, el artículo 2.2.1.1.1.7.1 del Decreto 1082 de 2015 exceptúa el cumplimiento de esta obligación al disponer que “[…] Los documentos de las operaciones que se realicen en bolsa de productos no tienen que ser publicados en el S</w:t>
      </w:r>
      <w:r>
        <w:rPr>
          <w:rFonts w:ascii="Verdana" w:eastAsia="Calibri" w:hAnsi="Verdana" w:cs="Arial"/>
          <w:color w:val="000000" w:themeColor="text1"/>
          <w:lang w:val="es-MX"/>
        </w:rPr>
        <w:t>ECOP</w:t>
      </w:r>
      <w:r w:rsidRPr="004157FA">
        <w:rPr>
          <w:rFonts w:ascii="Verdana" w:eastAsia="Calibri" w:hAnsi="Verdana" w:cs="Arial"/>
          <w:color w:val="000000" w:themeColor="text1"/>
          <w:lang w:val="es-MX"/>
        </w:rPr>
        <w:t xml:space="preserve">”. Conforme a dicha disposición, los documentos en donde consten las operaciones realizadas en la bolsa de productos a órdenes de una entidad estatal no deben publicarse en el SECOP. </w:t>
      </w:r>
    </w:p>
    <w:p w14:paraId="2C12CE5F" w14:textId="77777777" w:rsidR="00F4619C" w:rsidRDefault="00F4619C" w:rsidP="00F4619C">
      <w:pPr>
        <w:spacing w:after="120" w:line="276" w:lineRule="auto"/>
        <w:ind w:firstLine="709"/>
        <w:jc w:val="both"/>
        <w:rPr>
          <w:rFonts w:ascii="Verdana" w:hAnsi="Verdana" w:cs="Arial"/>
          <w:lang w:val="es-MX"/>
        </w:rPr>
      </w:pPr>
      <w:r w:rsidRPr="004157FA">
        <w:rPr>
          <w:rFonts w:ascii="Verdana" w:eastAsia="Calibri" w:hAnsi="Verdana" w:cs="Arial"/>
          <w:color w:val="000000" w:themeColor="text1"/>
          <w:lang w:val="es-MX"/>
        </w:rPr>
        <w:t xml:space="preserve">Ahora bien, para determinar el alcance de tal excepción al deber de publicidad de la actividad contractual, es necesario precisar a qué se refiere el artículo 2.2.1.1.1.7.1 del Decreto 1082 de 2015 al mencionar las “los documentos de las operaciones que se realicen en bolsa de productos”. En primera medida, el término </w:t>
      </w:r>
      <w:r w:rsidRPr="004157FA">
        <w:rPr>
          <w:rFonts w:ascii="Verdana" w:eastAsia="Calibri" w:hAnsi="Verdana" w:cs="Arial"/>
          <w:i/>
          <w:iCs/>
          <w:color w:val="000000" w:themeColor="text1"/>
          <w:lang w:val="es-MX"/>
        </w:rPr>
        <w:t>operación</w:t>
      </w:r>
      <w:r w:rsidRPr="004157FA">
        <w:rPr>
          <w:rFonts w:ascii="Verdana" w:eastAsia="Calibri" w:hAnsi="Verdana" w:cs="Arial"/>
          <w:color w:val="000000" w:themeColor="text1"/>
          <w:lang w:val="es-MX"/>
        </w:rPr>
        <w:t xml:space="preserve"> alude a interacciones entre los inversores, emisores de títulos y vendedores de bienes que tienen lugar dentro de una bolsa de productos. En esa línea encontramos que, en el concepto de operaciones de bolsa “</w:t>
      </w:r>
      <w:r w:rsidRPr="004157FA">
        <w:rPr>
          <w:rFonts w:ascii="Verdana" w:eastAsia="Calibri" w:hAnsi="Verdana" w:cs="Arial"/>
          <w:color w:val="000000" w:themeColor="text1"/>
        </w:rPr>
        <w:t xml:space="preserve">pueden incluirse una larga serie de actos económicos, que tengan por lo menos para uno de los contratantes, el fin directo o indirecto de obtener ventajas </w:t>
      </w:r>
      <w:r w:rsidRPr="004157FA">
        <w:rPr>
          <w:rFonts w:ascii="Verdana" w:eastAsia="Calibri" w:hAnsi="Verdana" w:cs="Arial"/>
          <w:color w:val="000000" w:themeColor="text1"/>
        </w:rPr>
        <w:lastRenderedPageBreak/>
        <w:t xml:space="preserve">de las variaciones del curso de los valores o de los precios de las mercaderías </w:t>
      </w:r>
      <w:r w:rsidRPr="004157FA">
        <w:rPr>
          <w:rFonts w:ascii="Verdana" w:hAnsi="Verdana" w:cs="Arial"/>
          <w:lang w:val="es-MX"/>
        </w:rPr>
        <w:t>en relación al tiempo”</w:t>
      </w:r>
      <w:r>
        <w:rPr>
          <w:rStyle w:val="Refdenotaalpie"/>
          <w:rFonts w:ascii="Verdana" w:hAnsi="Verdana" w:cs="Arial"/>
          <w:lang w:val="es-MX"/>
        </w:rPr>
        <w:footnoteReference w:id="8"/>
      </w:r>
      <w:r>
        <w:rPr>
          <w:rFonts w:ascii="Verdana" w:hAnsi="Verdana" w:cs="Arial"/>
          <w:lang w:val="es-MX"/>
        </w:rPr>
        <w:t>.</w:t>
      </w:r>
    </w:p>
    <w:p w14:paraId="6883E78E" w14:textId="77777777" w:rsidR="00F4619C" w:rsidRDefault="00F4619C" w:rsidP="00F4619C">
      <w:pPr>
        <w:spacing w:after="120" w:line="276" w:lineRule="auto"/>
        <w:ind w:firstLine="709"/>
        <w:jc w:val="both"/>
        <w:rPr>
          <w:rFonts w:ascii="Verdana" w:eastAsia="Calibri" w:hAnsi="Verdana" w:cs="Arial"/>
          <w:color w:val="000000" w:themeColor="text1"/>
        </w:rPr>
      </w:pPr>
      <w:r w:rsidRPr="004157FA">
        <w:rPr>
          <w:rFonts w:ascii="Verdana" w:hAnsi="Verdana" w:cs="Arial"/>
          <w:lang w:val="es-MX"/>
        </w:rPr>
        <w:t>Las operaciones</w:t>
      </w:r>
      <w:r w:rsidRPr="004157FA">
        <w:rPr>
          <w:rFonts w:ascii="Verdana" w:eastAsia="Calibri" w:hAnsi="Verdana" w:cs="Arial"/>
          <w:color w:val="000000" w:themeColor="text1"/>
        </w:rPr>
        <w:t xml:space="preserve"> a la vez pueden ser de distinto carácter dependiendo del objeto de la misma, así pues, respecto de los valores públicos y privados pueden hacerse emisiones públicas y privadas, operaciones de conversión y de amortización, operaciones de compraventa, operaciones de prenda entre otras; mientras que respecto de los productos pueden hacerse operaciones de compraventa, prenda y anticipación</w:t>
      </w:r>
      <w:r>
        <w:rPr>
          <w:rStyle w:val="Refdenotaalpie"/>
          <w:rFonts w:ascii="Verdana" w:eastAsia="Calibri" w:hAnsi="Verdana" w:cs="Arial"/>
          <w:color w:val="000000" w:themeColor="text1"/>
        </w:rPr>
        <w:footnoteReference w:id="9"/>
      </w:r>
      <w:r>
        <w:rPr>
          <w:rFonts w:ascii="Verdana" w:eastAsia="Calibri" w:hAnsi="Verdana" w:cs="Arial"/>
          <w:color w:val="000000" w:themeColor="text1"/>
        </w:rPr>
        <w:t>.</w:t>
      </w:r>
    </w:p>
    <w:p w14:paraId="275712A5" w14:textId="77777777" w:rsidR="00F4619C" w:rsidRDefault="00F4619C" w:rsidP="00F4619C">
      <w:pPr>
        <w:spacing w:after="120" w:line="276" w:lineRule="auto"/>
        <w:ind w:firstLine="709"/>
        <w:jc w:val="both"/>
        <w:rPr>
          <w:rFonts w:ascii="Verdana" w:eastAsia="Calibri" w:hAnsi="Verdana" w:cs="Arial"/>
          <w:color w:val="000000" w:themeColor="text1"/>
        </w:rPr>
      </w:pPr>
      <w:r w:rsidRPr="004157FA">
        <w:rPr>
          <w:rFonts w:ascii="Verdana" w:eastAsia="Calibri" w:hAnsi="Verdana" w:cs="Arial"/>
          <w:color w:val="000000" w:themeColor="text1"/>
        </w:rPr>
        <w:t xml:space="preserve">En ese orden, el contexto y normativa en el que se ubica el </w:t>
      </w:r>
      <w:r w:rsidRPr="004157FA">
        <w:rPr>
          <w:rFonts w:ascii="Verdana" w:eastAsia="Calibri" w:hAnsi="Verdana" w:cs="Arial"/>
          <w:color w:val="000000" w:themeColor="text1"/>
          <w:lang w:val="es-MX"/>
        </w:rPr>
        <w:t xml:space="preserve">artículo 2.2.1.1.1.7.1 del Decreto 1082 de 2015, conduce a interpretar que las operaciones a las que se refiere la norma son operaciones de compraventa de productos, específicamente para la compra de bienes y servicios de características técnicas uniformes y de común utilización, única finalidad para la que se contempla el mecanismo de bolsa de productos en el EGCAP, a las que </w:t>
      </w:r>
      <w:r w:rsidRPr="004157FA">
        <w:rPr>
          <w:rFonts w:ascii="Verdana" w:eastAsia="Calibri" w:hAnsi="Verdana" w:cs="Arial"/>
          <w:color w:val="000000" w:themeColor="text1"/>
        </w:rPr>
        <w:t>pueden acceder las entidades estatales en los términos analizados previamente.</w:t>
      </w:r>
    </w:p>
    <w:p w14:paraId="52731889" w14:textId="77777777" w:rsidR="00F4619C" w:rsidRDefault="00F4619C" w:rsidP="00F4619C">
      <w:pPr>
        <w:spacing w:after="120" w:line="276" w:lineRule="auto"/>
        <w:ind w:firstLine="709"/>
        <w:jc w:val="both"/>
        <w:rPr>
          <w:rFonts w:ascii="Verdana" w:hAnsi="Verdana" w:cs="Arial"/>
          <w:lang w:val="es-MX"/>
        </w:rPr>
      </w:pPr>
      <w:r w:rsidRPr="004157FA">
        <w:rPr>
          <w:rFonts w:ascii="Verdana" w:eastAsia="Calibri" w:hAnsi="Verdana" w:cs="Arial"/>
          <w:color w:val="000000" w:themeColor="text1"/>
        </w:rPr>
        <w:t>La adquisición</w:t>
      </w:r>
      <w:r w:rsidRPr="004157FA">
        <w:rPr>
          <w:rFonts w:ascii="Verdana" w:eastAsia="Calibri" w:hAnsi="Verdana" w:cs="Arial"/>
          <w:color w:val="000000" w:themeColor="text1"/>
          <w:lang w:val="es-MX"/>
        </w:rPr>
        <w:t xml:space="preserve"> de estos bienes, sin perjuicio de la aplicación de los artículos 2.2.1.2.1.2.11</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a</w:t>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2.1.2.1.2.19 del Decreto 1082 de 2015 en lo pertinente, se rigen principalmente por el Decreto 2555 de 2010 y los reglamentos internos de las bolsas de productos en las que se lleven a cabo las operaciones. El Decreto 2555 de 2010, mediante el artículo 2.11.1.1.5, habilita a las bolsas de productos para expedir sus reglamentos, estableciendo que estos deberán regular la organización, administración, funcionamiento, así como las operaciones y actividades que se realicen por conducto de los mercados que </w:t>
      </w:r>
      <w:r w:rsidRPr="004157FA">
        <w:rPr>
          <w:rFonts w:ascii="Verdana" w:hAnsi="Verdana" w:cs="Arial"/>
          <w:lang w:val="es-MX"/>
        </w:rPr>
        <w:t>administre la correspondiente bolsa</w:t>
      </w:r>
      <w:r>
        <w:rPr>
          <w:rStyle w:val="Refdenotaalpie"/>
          <w:rFonts w:ascii="Verdana" w:hAnsi="Verdana" w:cs="Arial"/>
          <w:lang w:val="es-MX"/>
        </w:rPr>
        <w:footnoteReference w:id="10"/>
      </w:r>
      <w:r>
        <w:rPr>
          <w:rFonts w:ascii="Verdana" w:hAnsi="Verdana" w:cs="Arial"/>
          <w:lang w:val="es-MX"/>
        </w:rPr>
        <w:t>.</w:t>
      </w:r>
    </w:p>
    <w:p w14:paraId="24811C62" w14:textId="77777777" w:rsidR="00F4619C" w:rsidRDefault="00F4619C" w:rsidP="00F4619C">
      <w:pPr>
        <w:spacing w:after="120" w:line="276" w:lineRule="auto"/>
        <w:ind w:firstLine="709"/>
        <w:jc w:val="both"/>
        <w:rPr>
          <w:rFonts w:ascii="Verdana" w:eastAsia="Calibri" w:hAnsi="Verdana" w:cs="Arial"/>
          <w:color w:val="000000" w:themeColor="text1"/>
          <w:lang w:val="es-MX"/>
        </w:rPr>
      </w:pPr>
      <w:r w:rsidRPr="004157FA">
        <w:rPr>
          <w:rFonts w:ascii="Verdana" w:hAnsi="Verdana" w:cs="Arial"/>
          <w:lang w:val="es-MX"/>
        </w:rPr>
        <w:lastRenderedPageBreak/>
        <w:t>En el marco de</w:t>
      </w:r>
      <w:r w:rsidRPr="004157FA">
        <w:rPr>
          <w:rFonts w:ascii="Verdana" w:eastAsia="Calibri" w:hAnsi="Verdana" w:cs="Arial"/>
          <w:color w:val="000000" w:themeColor="text1"/>
          <w:lang w:val="es-MX"/>
        </w:rPr>
        <w:t xml:space="preserve"> tal ejercicio de autorregulación que implica la expedición de sus propios reglamentos, las bolsas de productos tienen la posibilidad de definir distintas modalidades para llevar a cabo las negociaciones de los productos, establecer sus requisitos, procedimientos e incluso determinar documentación que deberá ser producida en el marco de las operaciones que se lleven a cabo. Tal documentación relativa a la ocurrencia de las operaciones bursátiles, regulada por los reglamentos de las respectivas bolsas, es a la que se refiere el artículo 2.2.1.1.1.7.1 del Decreto 1082 de 2015.</w:t>
      </w:r>
    </w:p>
    <w:p w14:paraId="082AA290" w14:textId="77777777" w:rsidR="00F4619C" w:rsidRPr="0051718B" w:rsidRDefault="00F4619C" w:rsidP="00F4619C">
      <w:pPr>
        <w:spacing w:after="120" w:line="276" w:lineRule="auto"/>
        <w:ind w:firstLine="709"/>
        <w:jc w:val="both"/>
        <w:rPr>
          <w:rFonts w:ascii="Verdana" w:eastAsia="Calibri" w:hAnsi="Verdana" w:cs="Arial"/>
          <w:color w:val="000000" w:themeColor="text1"/>
          <w:lang w:val="es-MX"/>
        </w:rPr>
      </w:pPr>
      <w:r w:rsidRPr="004157FA">
        <w:rPr>
          <w:rFonts w:ascii="Verdana" w:eastAsia="Calibri" w:hAnsi="Verdana" w:cs="Arial"/>
          <w:color w:val="000000" w:themeColor="text1"/>
          <w:lang w:val="es-MX"/>
        </w:rPr>
        <w:t>Un ejemplo de estos documentos lo encontramos en el Reglamento de la Bolsa Mercantil de Colombia</w:t>
      </w:r>
      <w:r>
        <w:rPr>
          <w:rStyle w:val="Refdenotaalpie"/>
          <w:rFonts w:ascii="Verdana" w:eastAsia="Calibri" w:hAnsi="Verdana" w:cs="Arial"/>
          <w:color w:val="000000" w:themeColor="text1"/>
          <w:lang w:val="es-MX"/>
        </w:rPr>
        <w:footnoteReference w:id="11"/>
      </w:r>
      <w:r w:rsidRPr="004157FA">
        <w:rPr>
          <w:rFonts w:ascii="Verdana" w:eastAsia="Calibri" w:hAnsi="Verdana" w:cs="Arial"/>
          <w:color w:val="000000" w:themeColor="text1"/>
          <w:lang w:val="es-MX"/>
        </w:rPr>
        <w:t>, que en el marco de la regulación de las generalidades de los escenarios de negociación en rueda de viva voz, en el artículo 3.2.2.1.8, alude la necesidad de dejar constancia de las operaciones realizadas a través de la bolsa en “un documento idóneo, suscrito por las sociedades comisionistas miembros de la Bolsa que lo celebren y por un representante de la Bolsa debidamente facultado para tal efecto”, documento que titula comprobante de transacción</w:t>
      </w:r>
      <w:r>
        <w:rPr>
          <w:rStyle w:val="Refdenotaalpie"/>
          <w:rFonts w:ascii="Verdana" w:eastAsia="Calibri" w:hAnsi="Verdana" w:cs="Arial"/>
          <w:color w:val="000000" w:themeColor="text1"/>
          <w:lang w:val="es-MX"/>
        </w:rPr>
        <w:footnoteReference w:id="12"/>
      </w:r>
      <w:r>
        <w:rPr>
          <w:rFonts w:ascii="Verdana" w:eastAsia="Calibri" w:hAnsi="Verdana" w:cs="Arial"/>
          <w:color w:val="000000" w:themeColor="text1"/>
          <w:lang w:val="es-MX"/>
        </w:rPr>
        <w:t xml:space="preserve">. </w:t>
      </w:r>
      <w:r w:rsidRPr="004157FA">
        <w:rPr>
          <w:rFonts w:ascii="Verdana" w:eastAsia="Calibri" w:hAnsi="Verdana" w:cs="Arial"/>
          <w:color w:val="000000" w:themeColor="text1"/>
          <w:lang w:val="es-MX"/>
        </w:rPr>
        <w:t xml:space="preserve">Otro ejemplo se encuentra en el artículo 3.2.2.4.4. del referido reglamento, que en dentro de la regulación de la metodología de subasta como mecanismo de negociación, establece la obligación de la Bolsa de elaborar “un Instructivo Operativo que recoja las condiciones, aspectos operativos y criterios de adjudicación, en forma clara y completa, así como las demás que correspondan según el tipo de subasta que se </w:t>
      </w:r>
      <w:r w:rsidRPr="004157FA">
        <w:rPr>
          <w:rFonts w:ascii="Verdana" w:hAnsi="Verdana" w:cs="Arial"/>
          <w:lang w:val="es-MX"/>
        </w:rPr>
        <w:t>requiera adelantar (…).”</w:t>
      </w:r>
    </w:p>
    <w:p w14:paraId="66AB2250" w14:textId="77777777" w:rsidR="00F4619C" w:rsidRDefault="00F4619C" w:rsidP="00F4619C">
      <w:pPr>
        <w:spacing w:after="120" w:line="276" w:lineRule="auto"/>
        <w:ind w:firstLine="709"/>
        <w:jc w:val="both"/>
        <w:rPr>
          <w:rFonts w:ascii="Verdana" w:eastAsia="Calibri" w:hAnsi="Verdana" w:cs="Arial"/>
          <w:color w:val="000000" w:themeColor="text1"/>
          <w:lang w:val="es-MX"/>
        </w:rPr>
      </w:pPr>
      <w:r w:rsidRPr="004157FA">
        <w:rPr>
          <w:rFonts w:ascii="Verdana" w:hAnsi="Verdana" w:cs="Arial"/>
          <w:lang w:val="es-MX"/>
        </w:rPr>
        <w:t>Conforme a</w:t>
      </w:r>
      <w:r w:rsidRPr="004157FA">
        <w:rPr>
          <w:rFonts w:ascii="Verdana" w:eastAsia="Calibri" w:hAnsi="Verdana" w:cs="Arial"/>
          <w:color w:val="000000" w:themeColor="text1"/>
          <w:lang w:val="es-MX"/>
        </w:rPr>
        <w:t xml:space="preserve"> lo anterior, la excepción que hace el artículo 2.2.1.1.1.7.1 del Decreto 1082 de 2015 al deber de publicar en el SECOP los documentos en los que se refleja la actividad contractual de las entidades estatales,  se refiere a este tipo de documentos, que se relacionan directamente con las operaciones bursátiles que celebra el comisionista para la adquisición, dentro de la respectiva bolsa, de los bienes y servicios de características técnicas uniformes y de común </w:t>
      </w:r>
      <w:r w:rsidRPr="004157FA">
        <w:rPr>
          <w:rFonts w:ascii="Verdana" w:eastAsia="Calibri" w:hAnsi="Verdana" w:cs="Arial"/>
          <w:color w:val="000000" w:themeColor="text1"/>
          <w:lang w:val="es-MX"/>
        </w:rPr>
        <w:lastRenderedPageBreak/>
        <w:t>utilización que le han sido encargados por la entidad estatal. Estos documentos, al ser expedidos en el marco del funcionamiento de la bolsa, y de acuerdo con la reglamentación expedida por esta, están exceptuados de la publicación en el SECOP por el reglamento especial y particular.</w:t>
      </w:r>
    </w:p>
    <w:p w14:paraId="4E503326" w14:textId="77777777" w:rsidR="00F4619C" w:rsidRDefault="00F4619C" w:rsidP="00F4619C">
      <w:pPr>
        <w:spacing w:after="120" w:line="276" w:lineRule="auto"/>
        <w:ind w:firstLine="709"/>
        <w:jc w:val="both"/>
        <w:rPr>
          <w:rFonts w:ascii="Verdana" w:hAnsi="Verdana" w:cs="Arial"/>
        </w:rPr>
      </w:pPr>
      <w:r w:rsidRPr="00F751A8">
        <w:rPr>
          <w:rFonts w:ascii="Verdana" w:hAnsi="Verdana" w:cs="Arial"/>
          <w:lang w:val="es-MX"/>
        </w:rPr>
        <w:t xml:space="preserve">Finalmente, el parágrafo 1 de artículo 2.2.1.2.1.2.12, faculta a </w:t>
      </w:r>
      <w:r w:rsidRPr="00F751A8">
        <w:rPr>
          <w:rFonts w:ascii="Verdana" w:hAnsi="Verdana" w:cs="Arial"/>
        </w:rPr>
        <w:t>la Agencia Nacional de contratación Pública - Colombia Compra Eficiente para definir los lineamientos generales, así como los criterios objetivos y medibles con arreglo a los cuales, las entidades estatales deben realizar sus adquisiciones de bienes o servicios de características técnicas uniformes a través de bolsas de productos, independientemente de que exista o no un acuerdo marco de precios vigente.</w:t>
      </w:r>
    </w:p>
    <w:p w14:paraId="75C71BB5" w14:textId="77777777" w:rsidR="00F4619C" w:rsidRDefault="00F4619C" w:rsidP="00F4619C">
      <w:pPr>
        <w:spacing w:after="120" w:line="276" w:lineRule="auto"/>
        <w:ind w:firstLine="709"/>
        <w:jc w:val="both"/>
        <w:rPr>
          <w:rFonts w:ascii="Verdana" w:hAnsi="Verdana" w:cs="Arial"/>
        </w:rPr>
      </w:pPr>
      <w:r>
        <w:rPr>
          <w:rFonts w:ascii="Verdana" w:hAnsi="Verdana" w:cs="Arial"/>
        </w:rPr>
        <w:t>En ese orden de ideas, d</w:t>
      </w:r>
      <w:r w:rsidRPr="00F751A8">
        <w:rPr>
          <w:rFonts w:ascii="Verdana" w:hAnsi="Verdana" w:cs="Arial"/>
        </w:rPr>
        <w:t>icha facultad fue ejercida a través de la Circular CCE-004 del 21 de septiembre de 2021</w:t>
      </w:r>
      <w:r>
        <w:rPr>
          <w:rStyle w:val="Refdenotaalpie"/>
          <w:rFonts w:ascii="Verdana" w:hAnsi="Verdana" w:cs="Arial"/>
        </w:rPr>
        <w:footnoteReference w:id="13"/>
      </w:r>
      <w:r>
        <w:rPr>
          <w:rFonts w:ascii="Verdana" w:hAnsi="Verdana" w:cs="Arial"/>
        </w:rPr>
        <w:t xml:space="preserve">, </w:t>
      </w:r>
      <w:r w:rsidRPr="00F751A8">
        <w:rPr>
          <w:rFonts w:ascii="Verdana" w:hAnsi="Verdana" w:cs="Arial"/>
        </w:rPr>
        <w:t xml:space="preserve">en la que además del Plan Operativo de Despliegue para materializar el régimen de obligatoriedad de la utilización de los acuerdos marco de precios, se establecieron unos criterios con base en los cuales las entidades estatales deben sustentar la escogencia del respectivo mecanismo para adquirir los bienes y/o servicios de características técnicas uniformes que requieran. Dentro de estos encontramos: </w:t>
      </w:r>
    </w:p>
    <w:p w14:paraId="727EE5F6" w14:textId="77777777" w:rsidR="00F4619C" w:rsidRPr="00841950" w:rsidRDefault="00F4619C" w:rsidP="00F4619C">
      <w:pPr>
        <w:pStyle w:val="Prrafodelista"/>
        <w:numPr>
          <w:ilvl w:val="0"/>
          <w:numId w:val="18"/>
        </w:numPr>
        <w:spacing w:after="120" w:line="276" w:lineRule="auto"/>
        <w:jc w:val="both"/>
        <w:rPr>
          <w:rFonts w:ascii="Verdana" w:hAnsi="Verdana" w:cs="Arial"/>
        </w:rPr>
      </w:pPr>
      <w:r w:rsidRPr="00841950">
        <w:rPr>
          <w:rFonts w:ascii="Verdana" w:hAnsi="Verdana" w:cs="Arial"/>
        </w:rPr>
        <w:t>validación de la disponibilidad del Bien o Servicio requerido por la entidad estatal en los catálogos de bienes y servicios ofrecidos en los acuerdos marco vigentes en la Tienda Virtual del Estado Colombiano;</w:t>
      </w:r>
    </w:p>
    <w:p w14:paraId="09490E46" w14:textId="77777777" w:rsidR="00F4619C" w:rsidRDefault="00F4619C" w:rsidP="00F4619C">
      <w:pPr>
        <w:pStyle w:val="Prrafodelista"/>
        <w:numPr>
          <w:ilvl w:val="0"/>
          <w:numId w:val="18"/>
        </w:numPr>
        <w:spacing w:after="120" w:line="276" w:lineRule="auto"/>
        <w:jc w:val="both"/>
        <w:rPr>
          <w:rFonts w:ascii="Verdana" w:hAnsi="Verdana" w:cs="Arial"/>
        </w:rPr>
      </w:pPr>
      <w:r w:rsidRPr="00841950">
        <w:rPr>
          <w:rFonts w:ascii="Verdana" w:hAnsi="Verdana" w:cs="Arial"/>
        </w:rPr>
        <w:t>existencia de un Acuerdo Marco de precios y disponibilidad de los mismos bienes y/o servicios a través de la Bolsa de Productos; y</w:t>
      </w:r>
    </w:p>
    <w:p w14:paraId="52B5494D" w14:textId="77777777" w:rsidR="00F4619C" w:rsidRPr="00316834" w:rsidRDefault="00F4619C" w:rsidP="00F4619C">
      <w:pPr>
        <w:pStyle w:val="Prrafodelista"/>
        <w:numPr>
          <w:ilvl w:val="0"/>
          <w:numId w:val="18"/>
        </w:numPr>
        <w:spacing w:after="120" w:line="276" w:lineRule="auto"/>
        <w:jc w:val="both"/>
        <w:rPr>
          <w:rFonts w:ascii="Verdana" w:hAnsi="Verdana" w:cs="Arial"/>
        </w:rPr>
      </w:pPr>
      <w:r w:rsidRPr="00316834">
        <w:rPr>
          <w:rFonts w:ascii="Verdana" w:hAnsi="Verdana" w:cs="Arial"/>
        </w:rPr>
        <w:t>no existencia de un Acuerdo Marco de precios.</w:t>
      </w:r>
    </w:p>
    <w:p w14:paraId="3D93E330" w14:textId="77777777" w:rsidR="00D56920" w:rsidRPr="00304485" w:rsidRDefault="00D56920" w:rsidP="00F4619C">
      <w:pPr>
        <w:tabs>
          <w:tab w:val="left" w:pos="0"/>
        </w:tabs>
        <w:spacing w:before="120" w:after="0" w:line="276" w:lineRule="auto"/>
        <w:jc w:val="both"/>
        <w:rPr>
          <w:rFonts w:ascii="Verdana" w:hAnsi="Verdana" w:cs="Arial"/>
          <w:color w:val="000000" w:themeColor="text1"/>
        </w:rPr>
      </w:pPr>
    </w:p>
    <w:p w14:paraId="5367BD88" w14:textId="77777777" w:rsidR="00F4619C" w:rsidRPr="00593A5F" w:rsidRDefault="00F4619C" w:rsidP="00F461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DDEE49F" w14:textId="77777777" w:rsidR="00F4619C" w:rsidRPr="00593A5F" w:rsidRDefault="00F4619C" w:rsidP="00F4619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4619C" w:rsidRPr="00593A5F" w14:paraId="16C5E394" w14:textId="77777777" w:rsidTr="003D0810">
        <w:trPr>
          <w:trHeight w:val="870"/>
        </w:trPr>
        <w:tc>
          <w:tcPr>
            <w:tcW w:w="8647" w:type="dxa"/>
          </w:tcPr>
          <w:p w14:paraId="7AF575E9" w14:textId="77777777" w:rsidR="00F4619C" w:rsidRPr="00C75FC4" w:rsidRDefault="00F4619C" w:rsidP="00F4619C">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C75FC4">
              <w:rPr>
                <w:rFonts w:ascii="Verdana" w:eastAsia="Calibri" w:hAnsi="Verdana" w:cs="Arial"/>
                <w:color w:val="000000" w:themeColor="text1"/>
                <w:lang w:val="es-MX"/>
              </w:rPr>
              <w:t>Ley 1150 de 2007</w:t>
            </w:r>
            <w:r w:rsidRPr="00C75FC4">
              <w:rPr>
                <w:rFonts w:ascii="Verdana" w:hAnsi="Verdana" w:cs="Arial"/>
                <w:color w:val="000000" w:themeColor="text1"/>
              </w:rPr>
              <w:t xml:space="preserve"> </w:t>
            </w:r>
            <w:r w:rsidRPr="00C75FC4">
              <w:rPr>
                <w:rFonts w:ascii="Verdana" w:eastAsia="Calibri" w:hAnsi="Verdana" w:cs="Arial"/>
                <w:color w:val="000000" w:themeColor="text1"/>
                <w:lang w:val="es-MX"/>
              </w:rPr>
              <w:t>–</w:t>
            </w:r>
            <w:r w:rsidRPr="00C75FC4">
              <w:rPr>
                <w:rFonts w:ascii="Verdana" w:hAnsi="Verdana" w:cs="Arial"/>
                <w:color w:val="000000" w:themeColor="text1"/>
              </w:rPr>
              <w:t xml:space="preserve"> A</w:t>
            </w:r>
            <w:r w:rsidRPr="00C75FC4">
              <w:rPr>
                <w:rFonts w:ascii="Verdana" w:eastAsia="Calibri" w:hAnsi="Verdana" w:cs="Arial"/>
                <w:color w:val="000000" w:themeColor="text1"/>
                <w:lang w:val="es-MX"/>
              </w:rPr>
              <w:t>rtículo 2 numeral 2.</w:t>
            </w:r>
          </w:p>
          <w:p w14:paraId="35B956CB" w14:textId="77777777" w:rsidR="00F4619C" w:rsidRPr="00C75FC4" w:rsidRDefault="00F4619C" w:rsidP="00F4619C">
            <w:pPr>
              <w:pStyle w:val="Prrafodelista"/>
              <w:widowControl w:val="0"/>
              <w:numPr>
                <w:ilvl w:val="0"/>
                <w:numId w:val="17"/>
              </w:numPr>
              <w:autoSpaceDE w:val="0"/>
              <w:autoSpaceDN w:val="0"/>
              <w:spacing w:line="276" w:lineRule="auto"/>
              <w:ind w:left="714" w:hanging="357"/>
              <w:jc w:val="both"/>
              <w:rPr>
                <w:rFonts w:ascii="Verdana" w:hAnsi="Verdana" w:cs="Arial"/>
                <w:color w:val="000000" w:themeColor="text1"/>
              </w:rPr>
            </w:pPr>
            <w:r w:rsidRPr="00C75FC4">
              <w:rPr>
                <w:rFonts w:ascii="Verdana" w:eastAsia="Calibri" w:hAnsi="Verdana" w:cs="Arial"/>
                <w:color w:val="000000" w:themeColor="text1"/>
                <w:lang w:val="es-MX"/>
              </w:rPr>
              <w:t xml:space="preserve">Decreto 1082 de 2017 – Artículos </w:t>
            </w:r>
            <w:r w:rsidRPr="00C75FC4">
              <w:rPr>
                <w:rFonts w:ascii="Verdana" w:eastAsia="Times New Roman" w:hAnsi="Verdana" w:cs="Calibri"/>
                <w:color w:val="000000"/>
                <w:shd w:val="clear" w:color="auto" w:fill="FFFFFF"/>
                <w:lang w:eastAsia="es-CO"/>
              </w:rPr>
              <w:t>2.2.1.2.1.2.11 a 2.2.1.2.1.2.19</w:t>
            </w:r>
          </w:p>
          <w:p w14:paraId="224379FF" w14:textId="77777777" w:rsidR="00F4619C" w:rsidRPr="00C75FC4" w:rsidRDefault="00F4619C" w:rsidP="00F4619C">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rPr>
              <w:t xml:space="preserve">Decreto 2555 de 2010 </w:t>
            </w:r>
          </w:p>
          <w:p w14:paraId="11ABF3B9" w14:textId="77777777" w:rsidR="00F4619C" w:rsidRPr="00C75FC4" w:rsidRDefault="00F4619C" w:rsidP="00F4619C">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rPr>
              <w:t>Decreto 310 de 2021, articulo 2.</w:t>
            </w:r>
          </w:p>
          <w:p w14:paraId="0CB1A9A5" w14:textId="77777777" w:rsidR="00F4619C" w:rsidRPr="00C75FC4" w:rsidRDefault="00F4619C" w:rsidP="00F4619C">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rPr>
            </w:pPr>
            <w:r w:rsidRPr="00C75FC4">
              <w:rPr>
                <w:rFonts w:ascii="Verdana" w:hAnsi="Verdana" w:cs="Arial"/>
              </w:rPr>
              <w:t xml:space="preserve">Circular CCE-004 del 21 de septiembre de 2021. Disponible: </w:t>
            </w:r>
            <w:hyperlink r:id="rId13" w:history="1">
              <w:r w:rsidRPr="00C75FC4">
                <w:rPr>
                  <w:rStyle w:val="Hipervnculo"/>
                  <w:rFonts w:ascii="Verdana" w:hAnsi="Verdana" w:cs="Arial"/>
                </w:rPr>
                <w:t xml:space="preserve">vf_circular_externa_004_de_2021_002_2.pdf </w:t>
              </w:r>
              <w:r w:rsidRPr="00C75FC4">
                <w:rPr>
                  <w:rStyle w:val="Hipervnculo"/>
                  <w:rFonts w:ascii="Verdana" w:hAnsi="Verdana" w:cs="Arial"/>
                </w:rPr>
                <w:lastRenderedPageBreak/>
                <w:t>(colombiacompra.gov.co)</w:t>
              </w:r>
            </w:hyperlink>
            <w:r>
              <w:rPr>
                <w:rFonts w:ascii="Verdana" w:hAnsi="Verdana" w:cs="Arial"/>
              </w:rPr>
              <w:t xml:space="preserve"> </w:t>
            </w:r>
          </w:p>
        </w:tc>
      </w:tr>
    </w:tbl>
    <w:p w14:paraId="40B866ED" w14:textId="77777777" w:rsidR="00F4619C" w:rsidRPr="00593A5F" w:rsidRDefault="00F4619C" w:rsidP="00F4619C">
      <w:pPr>
        <w:widowControl w:val="0"/>
        <w:autoSpaceDE w:val="0"/>
        <w:autoSpaceDN w:val="0"/>
        <w:spacing w:after="0" w:line="276" w:lineRule="auto"/>
        <w:jc w:val="both"/>
        <w:rPr>
          <w:rFonts w:ascii="Verdana" w:hAnsi="Verdana" w:cs="Arial"/>
        </w:rPr>
      </w:pPr>
    </w:p>
    <w:p w14:paraId="7D517AD8" w14:textId="77777777" w:rsidR="00F4619C" w:rsidRPr="00593A5F" w:rsidRDefault="00F4619C" w:rsidP="00F4619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9E2AE20" w14:textId="77777777" w:rsidR="00F4619C" w:rsidRPr="00593A5F" w:rsidRDefault="00F4619C" w:rsidP="00F4619C">
      <w:pPr>
        <w:widowControl w:val="0"/>
        <w:autoSpaceDE w:val="0"/>
        <w:autoSpaceDN w:val="0"/>
        <w:spacing w:after="0" w:line="276" w:lineRule="auto"/>
        <w:jc w:val="both"/>
        <w:rPr>
          <w:rFonts w:ascii="Verdana" w:hAnsi="Verdana" w:cs="Arial"/>
        </w:rPr>
      </w:pPr>
    </w:p>
    <w:p w14:paraId="483ECCA1" w14:textId="77777777" w:rsidR="00F4619C" w:rsidRDefault="00F4619C" w:rsidP="00F4619C">
      <w:pPr>
        <w:jc w:val="both"/>
        <w:rPr>
          <w:rFonts w:ascii="Verdana" w:hAnsi="Verdana" w:cs="Arial"/>
          <w:shd w:val="clear" w:color="auto" w:fill="FFFFFF"/>
        </w:rPr>
      </w:pPr>
      <w:r w:rsidRPr="00774100">
        <w:rPr>
          <w:rFonts w:ascii="Verdana" w:eastAsia="Calibri" w:hAnsi="Verdana" w:cs="Arial"/>
          <w:shd w:val="clear" w:color="auto" w:fill="FFFFFF"/>
          <w:lang w:val="es-ES"/>
        </w:rPr>
        <w:t xml:space="preserve">La Agencia Nacional de Contratación Pública − Colombia Compra Eficiente se pronunció </w:t>
      </w:r>
      <w:r>
        <w:rPr>
          <w:rFonts w:ascii="Verdana" w:eastAsia="Calibri" w:hAnsi="Verdana" w:cs="Arial"/>
          <w:shd w:val="clear" w:color="auto" w:fill="FFFFFF"/>
          <w:lang w:val="es-ES"/>
        </w:rPr>
        <w:t>frente a las</w:t>
      </w:r>
      <w:r w:rsidRPr="00C83B6B">
        <w:rPr>
          <w:rFonts w:ascii="Verdana" w:hAnsi="Verdana" w:cs="Arial"/>
        </w:rPr>
        <w:t xml:space="preserve"> características de los procedimientos contractuales en el marco de operaciones en la bolsa de productos en el concepto con radicado No. 4201912000007253 del 4 de diciembre de 2019, reiterado en el concepto con radicado No. 4201912000007289 de la misma fecha, así como en el C-336 del 2 de junio de 2020, estudió la publicidad de los procedimientos contractuales en el SECOP I y SECOP II, posiciones que fueron unificadas en el concepto de unificación CU–367 del 23 de julio de 2020; además, en el concepto C–455 del 31 de julio de 2020, C-068 del 22 de abril de 2021, C-211 del 23 de junio de 2023 y C-561 del 8 de octubre de 2024</w:t>
      </w:r>
      <w:r w:rsidRPr="0038350D">
        <w:rPr>
          <w:rFonts w:ascii="Verdana" w:eastAsia="Calibri" w:hAnsi="Verdana" w:cs="Arial"/>
          <w:shd w:val="clear" w:color="auto" w:fill="FFFFFF"/>
          <w:lang w:val="es-ES"/>
        </w:rPr>
        <w:t>, entre otros</w:t>
      </w:r>
      <w:r>
        <w:rPr>
          <w:rFonts w:ascii="Verdana" w:eastAsia="Calibri" w:hAnsi="Verdana" w:cs="Arial"/>
          <w:shd w:val="clear" w:color="auto" w:fill="FFFFFF"/>
          <w:lang w:val="es-ES"/>
        </w:rPr>
        <w:t>.</w:t>
      </w:r>
      <w:r>
        <w:rPr>
          <w:rFonts w:ascii="Verdana" w:hAnsi="Verdana"/>
        </w:rPr>
        <w:t xml:space="preserve"> </w:t>
      </w:r>
      <w:r w:rsidRPr="005A267A">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w:t>
      </w:r>
      <w:r w:rsidRPr="005D1F62">
        <w:rPr>
          <w:rFonts w:ascii="Verdana" w:hAnsi="Verdana" w:cs="Arial"/>
          <w:shd w:val="clear" w:color="auto" w:fill="FFFFFF"/>
        </w:rPr>
        <w:t xml:space="preserve"> contratación concordada con la doctrina de la Subdirección de Gestión Contractual.</w:t>
      </w:r>
      <w:r>
        <w:rPr>
          <w:rFonts w:ascii="Verdana" w:hAnsi="Verdana" w:cs="Arial"/>
          <w:shd w:val="clear" w:color="auto" w:fill="FFFFFF"/>
        </w:rPr>
        <w:t xml:space="preserve"> </w:t>
      </w:r>
      <w:r w:rsidRPr="005D1F62">
        <w:rPr>
          <w:rFonts w:ascii="Verdana" w:hAnsi="Verdana" w:cs="Arial"/>
          <w:shd w:val="clear" w:color="auto" w:fill="FFFFFF"/>
        </w:rPr>
        <w:t>Accede a través del siguiente enlace: </w:t>
      </w:r>
      <w:hyperlink r:id="rId14" w:tgtFrame="_blank" w:tooltip="Dirección URL original: https://relatoria.colombiacompra.gov.co/. Haga clic o pulse si confía en este vínculo." w:history="1">
        <w:r w:rsidRPr="005D1F62">
          <w:rPr>
            <w:rStyle w:val="Hipervnculo"/>
            <w:rFonts w:ascii="Verdana" w:hAnsi="Verdana" w:cs="Arial"/>
            <w:shd w:val="clear" w:color="auto" w:fill="FFFFFF"/>
          </w:rPr>
          <w:t>https://relatoria.colombiacompra.gov.co/</w:t>
        </w:r>
      </w:hyperlink>
      <w:r w:rsidRPr="005D1F62">
        <w:rPr>
          <w:rFonts w:ascii="Verdana" w:hAnsi="Verdana" w:cs="Arial"/>
          <w:shd w:val="clear" w:color="auto" w:fill="FFFFFF"/>
        </w:rPr>
        <w:t>.</w:t>
      </w:r>
    </w:p>
    <w:p w14:paraId="2C3D0F83" w14:textId="77777777" w:rsidR="00F4619C" w:rsidRDefault="00F4619C" w:rsidP="00F4619C">
      <w:pPr>
        <w:jc w:val="both"/>
        <w:rPr>
          <w:rFonts w:ascii="Verdana" w:hAnsi="Verdana" w:cs="Arial"/>
          <w:shd w:val="clear" w:color="auto" w:fill="FFFFFF"/>
        </w:rPr>
      </w:pPr>
      <w:r w:rsidRPr="009C0079">
        <w:rPr>
          <w:rFonts w:ascii="Verdana" w:hAnsi="Verdana"/>
          <w:color w:val="000000"/>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5" w:tgtFrame="_blank" w:tooltip="Dirección URL original: https://www.colombiacompra.gov.co/sites/cce_public/files/cce_documents/manual_para_el_manejo_de_acuerdos_comerciales_vf.pdf. Haga clic o pulse si confía en este vínculo." w:history="1">
        <w:r w:rsidRPr="009C0079">
          <w:rPr>
            <w:rStyle w:val="Hipervnculo"/>
            <w:rFonts w:ascii="Verdana" w:hAnsi="Verdana"/>
            <w:bdr w:val="none" w:sz="0" w:space="0" w:color="auto" w:frame="1"/>
          </w:rPr>
          <w:t>manual_para_el_manejo_de_acuerdos_comerciales_vf.pdf</w:t>
        </w:r>
      </w:hyperlink>
    </w:p>
    <w:p w14:paraId="3D88D1F5" w14:textId="77777777" w:rsidR="00F4619C" w:rsidRPr="00851CE9" w:rsidRDefault="00F4619C" w:rsidP="00F4619C">
      <w:pPr>
        <w:shd w:val="clear" w:color="auto" w:fill="FFFFFF"/>
        <w:jc w:val="both"/>
        <w:textAlignment w:val="baseline"/>
        <w:rPr>
          <w:rFonts w:ascii="Aptos" w:hAnsi="Aptos"/>
          <w:color w:val="242424"/>
        </w:rPr>
      </w:pPr>
      <w:r w:rsidRPr="00851CE9">
        <w:rPr>
          <w:rFonts w:ascii="Verdana" w:hAnsi="Verdana"/>
          <w:color w:val="000000"/>
          <w:bdr w:val="none" w:sz="0" w:space="0" w:color="auto" w:frame="1"/>
        </w:rPr>
        <w:t>También le invitamos a consultar las versiones V y VI de 2024 del Boletín de Relatoría de la Subdirección de Gestión Contractual relacionados con las guías de Plan Anual de Adquisiciones y la modalidad de selección de mínima cuantía, los cuales se pueden descargar en la página web de la Agencia: </w:t>
      </w:r>
      <w:hyperlink r:id="rId16" w:tgtFrame="_blank" w:tooltip="Dirección URL original: https://www.colombiacompra.gov.co/sala-de-prensa/boletin-digital. Haga clic o pulse si confía en este vínculo." w:history="1">
        <w:r w:rsidRPr="00851CE9">
          <w:rPr>
            <w:rStyle w:val="Hipervnculo"/>
            <w:rFonts w:ascii="Verdana" w:hAnsi="Verdana"/>
            <w:color w:val="467886"/>
            <w:bdr w:val="none" w:sz="0" w:space="0" w:color="auto" w:frame="1"/>
          </w:rPr>
          <w:t>https://www.colombiacompra.gov.co/sala-de-prensa/boletin-digital</w:t>
        </w:r>
      </w:hyperlink>
      <w:r>
        <w:rPr>
          <w:rFonts w:ascii="Aptos" w:hAnsi="Aptos"/>
          <w:color w:val="000000"/>
          <w:bdr w:val="none" w:sz="0" w:space="0" w:color="auto" w:frame="1"/>
        </w:rPr>
        <w:t>  </w:t>
      </w:r>
    </w:p>
    <w:p w14:paraId="44EB74C7" w14:textId="77777777" w:rsidR="00F4619C" w:rsidRDefault="00F4619C" w:rsidP="00F4619C">
      <w:pPr>
        <w:spacing w:after="0" w:line="240" w:lineRule="auto"/>
        <w:jc w:val="both"/>
        <w:rPr>
          <w:rFonts w:ascii="Verdana" w:hAnsi="Verdana"/>
        </w:rPr>
      </w:pPr>
      <w:r w:rsidRPr="003E2460">
        <w:rPr>
          <w:rFonts w:ascii="Verdana" w:hAnsi="Verdana"/>
        </w:rPr>
        <w:t>Por último, lo invitamos a seguirnos en las redes sociales en las cuales se difunde información institucional:</w:t>
      </w:r>
    </w:p>
    <w:p w14:paraId="17EBC8CB" w14:textId="77777777" w:rsidR="00F4619C" w:rsidRPr="003E2460" w:rsidRDefault="00F4619C" w:rsidP="00F4619C">
      <w:pPr>
        <w:spacing w:after="0" w:line="240" w:lineRule="auto"/>
        <w:jc w:val="both"/>
        <w:rPr>
          <w:rFonts w:ascii="Verdana" w:hAnsi="Verdana"/>
        </w:rPr>
      </w:pPr>
    </w:p>
    <w:p w14:paraId="4B82C6B2" w14:textId="77777777" w:rsidR="00F4619C" w:rsidRPr="003E2460" w:rsidRDefault="00F4619C" w:rsidP="00F4619C">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730D8848" w14:textId="77777777" w:rsidR="00F4619C" w:rsidRPr="003E2460" w:rsidRDefault="00F4619C" w:rsidP="00F4619C">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69322864" w14:textId="77777777" w:rsidR="00F4619C" w:rsidRPr="003E2460" w:rsidRDefault="00F4619C" w:rsidP="00F4619C">
      <w:pPr>
        <w:spacing w:after="0" w:line="240" w:lineRule="auto"/>
        <w:jc w:val="both"/>
        <w:rPr>
          <w:rFonts w:ascii="Verdana" w:hAnsi="Verdana"/>
        </w:rPr>
      </w:pPr>
      <w:r w:rsidRPr="003E2460">
        <w:rPr>
          <w:rFonts w:ascii="Verdana" w:hAnsi="Verdana"/>
        </w:rPr>
        <w:lastRenderedPageBreak/>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44447672" w14:textId="77777777" w:rsidR="00F4619C" w:rsidRPr="00593A5F" w:rsidRDefault="00F4619C" w:rsidP="00F4619C">
      <w:pPr>
        <w:widowControl w:val="0"/>
        <w:autoSpaceDE w:val="0"/>
        <w:autoSpaceDN w:val="0"/>
        <w:spacing w:after="0" w:line="276" w:lineRule="auto"/>
        <w:jc w:val="both"/>
        <w:rPr>
          <w:rFonts w:ascii="Verdana" w:hAnsi="Verdana" w:cs="Arial"/>
        </w:rPr>
      </w:pPr>
    </w:p>
    <w:p w14:paraId="1180BF65" w14:textId="77777777" w:rsidR="00F4619C" w:rsidRPr="00593A5F" w:rsidRDefault="00F4619C" w:rsidP="00F4619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33B4037" w14:textId="77777777" w:rsidR="00F4619C" w:rsidRPr="00593A5F" w:rsidRDefault="00F4619C" w:rsidP="00F4619C">
      <w:pPr>
        <w:widowControl w:val="0"/>
        <w:autoSpaceDE w:val="0"/>
        <w:autoSpaceDN w:val="0"/>
        <w:spacing w:after="0" w:line="276" w:lineRule="auto"/>
        <w:jc w:val="both"/>
        <w:rPr>
          <w:rFonts w:ascii="Verdana" w:hAnsi="Verdana" w:cs="Arial"/>
        </w:rPr>
      </w:pPr>
    </w:p>
    <w:p w14:paraId="631B2C22" w14:textId="77777777" w:rsidR="00F4619C" w:rsidRPr="00593A5F" w:rsidRDefault="00F4619C" w:rsidP="00F4619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479105C" w14:textId="77777777" w:rsidR="00F4619C" w:rsidRDefault="00F4619C" w:rsidP="00F4619C">
      <w:pPr>
        <w:spacing w:line="276" w:lineRule="auto"/>
        <w:jc w:val="center"/>
        <w:rPr>
          <w:rFonts w:ascii="Verdana" w:hAnsi="Verdana" w:cs="Arial"/>
          <w:color w:val="000000"/>
          <w:lang w:val="es-ES_tradnl" w:eastAsia="es-CO"/>
        </w:rPr>
      </w:pPr>
    </w:p>
    <w:p w14:paraId="53756480" w14:textId="282FC5D2" w:rsidR="00F4619C" w:rsidRDefault="00312A32" w:rsidP="00F4619C">
      <w:pPr>
        <w:spacing w:line="276" w:lineRule="auto"/>
        <w:jc w:val="center"/>
        <w:rPr>
          <w:rFonts w:ascii="Verdana" w:hAnsi="Verdana" w:cs="Arial"/>
          <w:color w:val="000000"/>
          <w:lang w:val="es-ES_tradnl" w:eastAsia="es-CO"/>
        </w:rPr>
      </w:pPr>
      <w:bookmarkStart w:id="2" w:name="_GoBack"/>
      <w:r>
        <w:rPr>
          <w:noProof/>
        </w:rPr>
        <w:drawing>
          <wp:inline distT="0" distB="0" distL="0" distR="0" wp14:anchorId="4BC4CD40" wp14:editId="5802E06C">
            <wp:extent cx="3771429" cy="1400000"/>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771429" cy="1400000"/>
                    </a:xfrm>
                    <a:prstGeom prst="rect">
                      <a:avLst/>
                    </a:prstGeom>
                  </pic:spPr>
                </pic:pic>
              </a:graphicData>
            </a:graphic>
          </wp:inline>
        </w:drawing>
      </w:r>
      <w:bookmarkEnd w:id="2"/>
    </w:p>
    <w:p w14:paraId="599D5C7D" w14:textId="77777777" w:rsidR="00F4619C" w:rsidRDefault="00F4619C" w:rsidP="00F4619C">
      <w:pPr>
        <w:spacing w:line="276" w:lineRule="auto"/>
        <w:rPr>
          <w:rFonts w:ascii="Verdana" w:hAnsi="Verdana" w:cs="Arial"/>
          <w:color w:val="000000"/>
          <w:lang w:val="es-ES_tradnl" w:eastAsia="es-CO"/>
        </w:rPr>
      </w:pPr>
    </w:p>
    <w:p w14:paraId="05956178" w14:textId="77777777" w:rsidR="00F4619C" w:rsidRDefault="00F4619C" w:rsidP="00F4619C">
      <w:pPr>
        <w:spacing w:line="276" w:lineRule="auto"/>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4619C" w:rsidRPr="00593A5F" w14:paraId="63E40ABC" w14:textId="77777777" w:rsidTr="003D0810">
        <w:trPr>
          <w:trHeight w:val="315"/>
        </w:trPr>
        <w:tc>
          <w:tcPr>
            <w:tcW w:w="893" w:type="dxa"/>
            <w:vAlign w:val="center"/>
            <w:hideMark/>
          </w:tcPr>
          <w:p w14:paraId="4EC8DB5C" w14:textId="77777777" w:rsidR="00F4619C" w:rsidRPr="003751C7" w:rsidRDefault="00F4619C" w:rsidP="003D081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A943D0E" w14:textId="77777777" w:rsidR="00F4619C" w:rsidRPr="00E1151D" w:rsidRDefault="00F4619C" w:rsidP="003D0810">
            <w:pPr>
              <w:contextualSpacing/>
              <w:rPr>
                <w:rFonts w:ascii="Verdana" w:eastAsia="Arial" w:hAnsi="Verdana" w:cs="Arial"/>
                <w:sz w:val="16"/>
                <w:szCs w:val="16"/>
              </w:rPr>
            </w:pPr>
            <w:r w:rsidRPr="00E1151D">
              <w:rPr>
                <w:rStyle w:val="normaltextrun"/>
                <w:rFonts w:ascii="Verdana" w:hAnsi="Verdana"/>
                <w:sz w:val="16"/>
                <w:szCs w:val="16"/>
              </w:rPr>
              <w:t>Sergio Andrés Rivera Cano</w:t>
            </w:r>
          </w:p>
          <w:p w14:paraId="73F6F363" w14:textId="77777777" w:rsidR="00F4619C" w:rsidRPr="003751C7" w:rsidRDefault="00F4619C" w:rsidP="003D0810">
            <w:pPr>
              <w:contextualSpacing/>
              <w:rPr>
                <w:rFonts w:ascii="Verdana" w:eastAsia="Arial" w:hAnsi="Verdana" w:cs="Arial"/>
                <w:sz w:val="16"/>
                <w:szCs w:val="16"/>
              </w:rPr>
            </w:pPr>
            <w:r w:rsidRPr="00E1151D">
              <w:rPr>
                <w:rStyle w:val="normaltextrun"/>
                <w:rFonts w:ascii="Verdana" w:eastAsia="Arial" w:hAnsi="Verdana" w:cs="Arial"/>
                <w:sz w:val="16"/>
                <w:szCs w:val="16"/>
              </w:rPr>
              <w:t>Contratista de la Subdirección de Gestión Contractual</w:t>
            </w:r>
          </w:p>
        </w:tc>
      </w:tr>
      <w:tr w:rsidR="00F4619C" w:rsidRPr="00593A5F" w14:paraId="5CE9C73B" w14:textId="77777777" w:rsidTr="003D0810">
        <w:trPr>
          <w:trHeight w:val="330"/>
        </w:trPr>
        <w:tc>
          <w:tcPr>
            <w:tcW w:w="893" w:type="dxa"/>
            <w:vAlign w:val="center"/>
            <w:hideMark/>
          </w:tcPr>
          <w:p w14:paraId="3E7CAC2F" w14:textId="77777777" w:rsidR="00F4619C" w:rsidRPr="003751C7" w:rsidRDefault="00F4619C" w:rsidP="003D081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E65167" w14:textId="77777777" w:rsidR="00F4619C" w:rsidRPr="0078388D" w:rsidRDefault="00F4619C" w:rsidP="003D0810">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Cielo Victoria González Meza</w:t>
            </w:r>
          </w:p>
          <w:p w14:paraId="51CDBD73" w14:textId="77777777" w:rsidR="00F4619C" w:rsidRPr="003751C7" w:rsidRDefault="00F4619C" w:rsidP="003D0810">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w:t>
            </w:r>
            <w:r w:rsidRPr="0078388D">
              <w:rPr>
                <w:rStyle w:val="normaltextrun"/>
                <w:rFonts w:ascii="Verdana" w:hAnsi="Verdana" w:cs="Arial"/>
                <w:sz w:val="16"/>
                <w:szCs w:val="16"/>
                <w:lang w:val="es-ES"/>
              </w:rPr>
              <w:t xml:space="preserve"> Subdirección de Gestión Contractual</w:t>
            </w:r>
          </w:p>
        </w:tc>
      </w:tr>
      <w:tr w:rsidR="00F4619C" w:rsidRPr="00593A5F" w14:paraId="73DB3F1F" w14:textId="77777777" w:rsidTr="003D0810">
        <w:trPr>
          <w:trHeight w:val="300"/>
        </w:trPr>
        <w:tc>
          <w:tcPr>
            <w:tcW w:w="893" w:type="dxa"/>
            <w:vAlign w:val="center"/>
          </w:tcPr>
          <w:p w14:paraId="0F8D1633" w14:textId="77777777" w:rsidR="00F4619C" w:rsidRPr="003751C7" w:rsidRDefault="00F4619C" w:rsidP="003D081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2996E5B" w14:textId="77777777" w:rsidR="00F4619C" w:rsidRPr="003751C7" w:rsidRDefault="00F4619C" w:rsidP="003D0810">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432B6C01" w14:textId="77777777" w:rsidR="00F4619C" w:rsidRPr="003751C7" w:rsidRDefault="00F4619C" w:rsidP="003D0810">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w:t>
            </w:r>
            <w:proofErr w:type="spellStart"/>
            <w:r w:rsidRPr="003751C7">
              <w:rPr>
                <w:rFonts w:ascii="Verdana" w:eastAsia="Calibri" w:hAnsi="Verdana" w:cs="Arial"/>
                <w:sz w:val="16"/>
                <w:szCs w:val="16"/>
                <w:lang w:val="pt-BR" w:eastAsia="es-ES"/>
              </w:rPr>
              <w:t>Gestión</w:t>
            </w:r>
            <w:proofErr w:type="spellEnd"/>
            <w:r w:rsidRPr="003751C7">
              <w:rPr>
                <w:rFonts w:ascii="Verdana" w:eastAsia="Calibri" w:hAnsi="Verdana" w:cs="Arial"/>
                <w:sz w:val="16"/>
                <w:szCs w:val="16"/>
                <w:lang w:val="pt-BR" w:eastAsia="es-ES"/>
              </w:rPr>
              <w:t xml:space="preserve">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D118385" w14:textId="77777777" w:rsidR="00F4619C" w:rsidRPr="00910315" w:rsidRDefault="00F4619C" w:rsidP="00F4619C"/>
    <w:p w14:paraId="3900974D" w14:textId="77777777" w:rsidR="003D5B0D" w:rsidRPr="00F4619C" w:rsidRDefault="003D5B0D" w:rsidP="00F4619C"/>
    <w:sectPr w:rsidR="003D5B0D" w:rsidRPr="00F4619C"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957EEB" w14:textId="77777777" w:rsidR="002B348C" w:rsidRDefault="002B348C" w:rsidP="004A1847">
      <w:pPr>
        <w:spacing w:after="0" w:line="240" w:lineRule="auto"/>
      </w:pPr>
      <w:r>
        <w:separator/>
      </w:r>
    </w:p>
  </w:endnote>
  <w:endnote w:type="continuationSeparator" w:id="0">
    <w:p w14:paraId="1FAE4FE0" w14:textId="77777777" w:rsidR="002B348C" w:rsidRDefault="002B348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16F69E" w14:textId="77777777" w:rsidR="002B348C" w:rsidRDefault="002B348C" w:rsidP="004A1847">
      <w:pPr>
        <w:spacing w:after="0" w:line="240" w:lineRule="auto"/>
      </w:pPr>
      <w:r>
        <w:separator/>
      </w:r>
    </w:p>
  </w:footnote>
  <w:footnote w:type="continuationSeparator" w:id="0">
    <w:p w14:paraId="0FABF925" w14:textId="77777777" w:rsidR="002B348C" w:rsidRDefault="002B348C" w:rsidP="004A1847">
      <w:pPr>
        <w:spacing w:after="0" w:line="240" w:lineRule="auto"/>
      </w:pPr>
      <w:r>
        <w:continuationSeparator/>
      </w:r>
    </w:p>
  </w:footnote>
  <w:footnote w:id="1">
    <w:p w14:paraId="1BE13DEF" w14:textId="5D9B589E" w:rsidR="00862E6E" w:rsidRPr="003E3D0D" w:rsidRDefault="00862E6E" w:rsidP="00334C61">
      <w:pPr>
        <w:pStyle w:val="Textonotapie"/>
        <w:ind w:firstLine="709"/>
        <w:rPr>
          <w:lang w:val="es-ES"/>
        </w:rPr>
      </w:pPr>
      <w:r>
        <w:rPr>
          <w:rStyle w:val="Refdenotaalpie"/>
        </w:rPr>
        <w:footnoteRef/>
      </w:r>
      <w:r>
        <w:t xml:space="preserve"> </w:t>
      </w:r>
      <w:r w:rsidRPr="00334C61">
        <w:rPr>
          <w:rFonts w:ascii="Verdana" w:eastAsia="Calibri" w:hAnsi="Verdana" w:cs="Arial"/>
          <w:sz w:val="16"/>
          <w:szCs w:val="16"/>
          <w:lang w:val="es-ES" w:eastAsia="es-ES"/>
        </w:rPr>
        <w:t>C – 619 de 2024 expedido por la ANCP-CCE</w:t>
      </w:r>
    </w:p>
  </w:footnote>
  <w:footnote w:id="2">
    <w:p w14:paraId="5CD09A6E" w14:textId="77777777" w:rsidR="00F4619C" w:rsidRPr="00A565FD" w:rsidRDefault="00F4619C" w:rsidP="00F4619C">
      <w:pPr>
        <w:pStyle w:val="Textonotapie"/>
        <w:spacing w:line="276" w:lineRule="auto"/>
        <w:ind w:firstLine="709"/>
        <w:jc w:val="both"/>
        <w:rPr>
          <w:rFonts w:ascii="Verdana" w:hAnsi="Verdana" w:cs="Arial"/>
          <w:color w:val="000000"/>
          <w:sz w:val="16"/>
          <w:szCs w:val="16"/>
        </w:rPr>
      </w:pPr>
      <w:r w:rsidRPr="00A565FD">
        <w:rPr>
          <w:rStyle w:val="Refdenotaalpie"/>
          <w:rFonts w:ascii="Verdana" w:hAnsi="Verdana"/>
          <w:sz w:val="16"/>
          <w:szCs w:val="16"/>
        </w:rPr>
        <w:footnoteRef/>
      </w:r>
      <w:r w:rsidRPr="00A565FD">
        <w:rPr>
          <w:rFonts w:ascii="Verdana" w:hAnsi="Verdana"/>
          <w:sz w:val="16"/>
          <w:szCs w:val="16"/>
        </w:rPr>
        <w:t xml:space="preserve"> </w:t>
      </w:r>
      <w:r w:rsidRPr="00A565FD">
        <w:rPr>
          <w:rFonts w:ascii="Verdana" w:hAnsi="Verdana" w:cs="Arial"/>
          <w:sz w:val="16"/>
          <w:szCs w:val="16"/>
        </w:rPr>
        <w:t>Ley 1150 de 2007 “</w:t>
      </w:r>
      <w:r w:rsidRPr="00A565FD">
        <w:rPr>
          <w:rStyle w:val="Textoennegrita"/>
          <w:rFonts w:ascii="Verdana" w:hAnsi="Verdana" w:cs="Arial"/>
          <w:b w:val="0"/>
          <w:bCs w:val="0"/>
          <w:color w:val="000000"/>
          <w:sz w:val="16"/>
          <w:szCs w:val="16"/>
        </w:rPr>
        <w:t>Artículo 2.</w:t>
      </w:r>
      <w:r w:rsidRPr="00A565FD">
        <w:rPr>
          <w:rStyle w:val="nfasis"/>
          <w:rFonts w:ascii="Verdana" w:hAnsi="Verdana" w:cs="Arial"/>
          <w:color w:val="000000"/>
          <w:sz w:val="16"/>
          <w:szCs w:val="16"/>
        </w:rPr>
        <w:t xml:space="preserve"> </w:t>
      </w:r>
      <w:r w:rsidRPr="00A565FD">
        <w:rPr>
          <w:rStyle w:val="nfasis"/>
          <w:rFonts w:ascii="Verdana" w:hAnsi="Verdana" w:cs="Arial"/>
          <w:i w:val="0"/>
          <w:iCs w:val="0"/>
          <w:color w:val="000000"/>
          <w:sz w:val="16"/>
          <w:szCs w:val="16"/>
        </w:rPr>
        <w:t>De las modalidades de selección.</w:t>
      </w:r>
      <w:r w:rsidRPr="00A565FD">
        <w:rPr>
          <w:rStyle w:val="nfasis"/>
          <w:rFonts w:ascii="Verdana" w:hAnsi="Verdana" w:cs="Arial"/>
          <w:color w:val="000000"/>
          <w:sz w:val="16"/>
          <w:szCs w:val="16"/>
        </w:rPr>
        <w:t> </w:t>
      </w:r>
      <w:r w:rsidRPr="00A565FD">
        <w:rPr>
          <w:rFonts w:ascii="Verdana" w:hAnsi="Verdana" w:cs="Arial"/>
          <w:color w:val="000000"/>
          <w:sz w:val="16"/>
          <w:szCs w:val="16"/>
        </w:rPr>
        <w:t>La escogencia del contratista se efectuará con arreglo a las modalidades de selección de licitación pública, selección abreviada, concurso de méritos y contratación directa, con base en las siguientes reglas:</w:t>
      </w:r>
    </w:p>
    <w:p w14:paraId="49C162C6" w14:textId="77777777" w:rsidR="00F4619C" w:rsidRPr="00A565FD" w:rsidRDefault="00F4619C" w:rsidP="00F4619C">
      <w:pPr>
        <w:pStyle w:val="Textonotapie"/>
        <w:spacing w:line="276" w:lineRule="auto"/>
        <w:ind w:firstLine="709"/>
        <w:jc w:val="both"/>
        <w:rPr>
          <w:rFonts w:ascii="Verdana" w:hAnsi="Verdana" w:cs="Arial"/>
          <w:color w:val="000000"/>
          <w:sz w:val="16"/>
          <w:szCs w:val="16"/>
        </w:rPr>
      </w:pPr>
      <w:r w:rsidRPr="00A565FD">
        <w:rPr>
          <w:rFonts w:ascii="Verdana" w:hAnsi="Verdana" w:cs="Arial"/>
          <w:color w:val="000000"/>
          <w:sz w:val="16"/>
          <w:szCs w:val="16"/>
        </w:rPr>
        <w:t>(…)</w:t>
      </w:r>
    </w:p>
    <w:p w14:paraId="1AF72697" w14:textId="77777777" w:rsidR="00F4619C" w:rsidRPr="00A565FD" w:rsidRDefault="00F4619C" w:rsidP="00F4619C">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El Gobierno Nacional reglamentará la materia. </w:t>
      </w:r>
    </w:p>
    <w:p w14:paraId="16902E79" w14:textId="77777777" w:rsidR="00F4619C" w:rsidRPr="00A565FD" w:rsidRDefault="00F4619C" w:rsidP="00F4619C">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Serán causales de selección abreviada las siguientes: </w:t>
      </w:r>
    </w:p>
    <w:p w14:paraId="3453939A" w14:textId="77777777" w:rsidR="00F4619C" w:rsidRPr="00A565FD" w:rsidRDefault="00F4619C" w:rsidP="00F4619C">
      <w:pPr>
        <w:pStyle w:val="Textonotapie"/>
        <w:spacing w:line="276" w:lineRule="auto"/>
        <w:ind w:firstLine="709"/>
        <w:jc w:val="both"/>
        <w:rPr>
          <w:rFonts w:ascii="Verdana" w:hAnsi="Verdana" w:cs="Arial"/>
          <w:sz w:val="16"/>
          <w:szCs w:val="16"/>
        </w:rPr>
      </w:pPr>
      <w:r w:rsidRPr="00A565FD">
        <w:rPr>
          <w:rFonts w:ascii="Verdana" w:hAnsi="Verdana" w:cs="Arial"/>
          <w:sz w:val="16"/>
          <w:szCs w:val="16"/>
        </w:rPr>
        <w:t xml:space="preserve">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 </w:t>
      </w:r>
    </w:p>
    <w:p w14:paraId="055244E7" w14:textId="77777777" w:rsidR="00F4619C" w:rsidRPr="00A565FD" w:rsidRDefault="00F4619C" w:rsidP="00F4619C">
      <w:pPr>
        <w:pStyle w:val="Textonotapie"/>
        <w:spacing w:line="276" w:lineRule="auto"/>
        <w:ind w:firstLine="709"/>
        <w:jc w:val="both"/>
        <w:rPr>
          <w:rFonts w:ascii="Arial" w:hAnsi="Arial" w:cs="Arial"/>
          <w:sz w:val="19"/>
          <w:szCs w:val="19"/>
        </w:rPr>
      </w:pPr>
      <w:r w:rsidRPr="00A565FD">
        <w:rPr>
          <w:rFonts w:ascii="Verdana" w:hAnsi="Verdana" w:cs="Arial"/>
          <w:sz w:val="16"/>
          <w:szCs w:val="16"/>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r w:rsidRPr="00FC1901">
        <w:rPr>
          <w:rFonts w:ascii="Arial" w:hAnsi="Arial" w:cs="Arial"/>
          <w:color w:val="000000"/>
          <w:sz w:val="19"/>
          <w:szCs w:val="19"/>
        </w:rPr>
        <w:t> </w:t>
      </w:r>
    </w:p>
  </w:footnote>
  <w:footnote w:id="3">
    <w:p w14:paraId="28B8D2DF" w14:textId="77777777" w:rsidR="00F4619C" w:rsidRPr="00A565FD" w:rsidRDefault="00F4619C" w:rsidP="00F4619C">
      <w:pPr>
        <w:pStyle w:val="Textonotapie"/>
        <w:ind w:firstLine="708"/>
        <w:jc w:val="both"/>
        <w:rPr>
          <w:rFonts w:ascii="Verdana" w:hAnsi="Verdana" w:cs="Arial"/>
          <w:color w:val="000000" w:themeColor="text1"/>
          <w:sz w:val="16"/>
          <w:szCs w:val="16"/>
          <w:lang w:val="es-CO"/>
        </w:rPr>
      </w:pPr>
      <w:r w:rsidRPr="00A565FD">
        <w:rPr>
          <w:rStyle w:val="Refdenotaalpie"/>
          <w:rFonts w:ascii="Verdana" w:hAnsi="Verdana" w:cs="Arial"/>
          <w:color w:val="000000" w:themeColor="text1"/>
          <w:sz w:val="16"/>
          <w:szCs w:val="16"/>
        </w:rPr>
        <w:footnoteRef/>
      </w:r>
      <w:r w:rsidRPr="00A565FD">
        <w:rPr>
          <w:rFonts w:ascii="Verdana" w:hAnsi="Verdana" w:cs="Arial"/>
          <w:color w:val="000000" w:themeColor="text1"/>
          <w:sz w:val="16"/>
          <w:szCs w:val="16"/>
        </w:rPr>
        <w:t xml:space="preserve"> DÁVILA VINUEZA, Luis Guillermo. Régimen jurídico de la contratación estatal. Tercera edición. Bogotá: Legis, 2016. p. 469. </w:t>
      </w:r>
    </w:p>
  </w:footnote>
  <w:footnote w:id="4">
    <w:p w14:paraId="557E808A" w14:textId="77777777" w:rsidR="00F4619C" w:rsidRPr="009B41DD" w:rsidRDefault="00F4619C" w:rsidP="00F4619C">
      <w:pPr>
        <w:pStyle w:val="Textonotapie"/>
        <w:ind w:firstLine="709"/>
        <w:rPr>
          <w:rFonts w:ascii="Verdana" w:hAnsi="Verdana"/>
          <w:sz w:val="16"/>
          <w:szCs w:val="16"/>
          <w:lang w:val="es-ES"/>
        </w:rPr>
      </w:pPr>
      <w:r w:rsidRPr="009B41DD">
        <w:rPr>
          <w:rStyle w:val="Refdenotaalpie"/>
          <w:rFonts w:ascii="Verdana" w:hAnsi="Verdana"/>
          <w:sz w:val="16"/>
          <w:szCs w:val="16"/>
        </w:rPr>
        <w:footnoteRef/>
      </w:r>
      <w:r w:rsidRPr="009B41DD">
        <w:rPr>
          <w:rFonts w:ascii="Verdana" w:hAnsi="Verdana"/>
          <w:sz w:val="16"/>
          <w:szCs w:val="16"/>
        </w:rPr>
        <w:t xml:space="preserve"> </w:t>
      </w:r>
      <w:r w:rsidRPr="009B41DD">
        <w:rPr>
          <w:rFonts w:ascii="Verdana" w:hAnsi="Verdana" w:cs="Arial"/>
          <w:i/>
          <w:iCs/>
          <w:sz w:val="16"/>
          <w:szCs w:val="16"/>
        </w:rPr>
        <w:t>Ibídem.</w:t>
      </w:r>
    </w:p>
  </w:footnote>
  <w:footnote w:id="5">
    <w:p w14:paraId="71160B91" w14:textId="77777777" w:rsidR="00F4619C" w:rsidRPr="009B41DD" w:rsidRDefault="00F4619C" w:rsidP="00F4619C">
      <w:pPr>
        <w:pStyle w:val="Textonotapie"/>
        <w:ind w:firstLine="708"/>
        <w:jc w:val="both"/>
        <w:rPr>
          <w:rFonts w:ascii="Verdana" w:hAnsi="Verdana" w:cs="Arial"/>
          <w:sz w:val="16"/>
          <w:szCs w:val="16"/>
        </w:rPr>
      </w:pPr>
      <w:r w:rsidRPr="009B41DD">
        <w:rPr>
          <w:rStyle w:val="Refdenotaalpie"/>
          <w:rFonts w:ascii="Verdana" w:hAnsi="Verdana"/>
          <w:sz w:val="16"/>
          <w:szCs w:val="16"/>
        </w:rPr>
        <w:footnoteRef/>
      </w:r>
      <w:r w:rsidRPr="009B41DD">
        <w:rPr>
          <w:rFonts w:ascii="Verdana" w:hAnsi="Verdana"/>
          <w:sz w:val="16"/>
          <w:szCs w:val="16"/>
        </w:rPr>
        <w:t xml:space="preserve"> </w:t>
      </w:r>
      <w:r w:rsidRPr="009B41DD">
        <w:rPr>
          <w:rFonts w:ascii="Verdana" w:hAnsi="Verdana" w:cs="Arial"/>
          <w:sz w:val="16"/>
          <w:szCs w:val="16"/>
        </w:rPr>
        <w:t>Decreto 1082 de 2015 “Artículo 2.2.1.2.1.2.14. Selección del comisionista. La Entidad Estatal debe seleccionar al comisionista de acuerdo con el procedimiento interno aplicable en la bolsa de productos, el cual debe ser competitivo.</w:t>
      </w:r>
    </w:p>
    <w:p w14:paraId="75C6A6EB" w14:textId="77777777" w:rsidR="00F4619C" w:rsidRPr="009B41DD" w:rsidRDefault="00F4619C" w:rsidP="00F4619C">
      <w:pPr>
        <w:pStyle w:val="Textonotapie"/>
        <w:ind w:firstLine="708"/>
        <w:jc w:val="both"/>
        <w:rPr>
          <w:rFonts w:ascii="Verdana" w:hAnsi="Verdana" w:cs="Arial"/>
          <w:sz w:val="16"/>
          <w:szCs w:val="16"/>
        </w:rPr>
      </w:pPr>
      <w:r w:rsidRPr="009B41DD">
        <w:rPr>
          <w:rFonts w:ascii="Verdana" w:hAnsi="Verdana" w:cs="Arial"/>
          <w:sz w:val="16"/>
          <w:szCs w:val="16"/>
        </w:rPr>
        <w:t>“Entidad Estatal debe publicar el contrato suscrito con el comisionista seleccionado y sus modificaciones en el Secop”.</w:t>
      </w:r>
    </w:p>
  </w:footnote>
  <w:footnote w:id="6">
    <w:p w14:paraId="60FE7F47" w14:textId="77777777" w:rsidR="00F4619C" w:rsidRPr="009B41DD" w:rsidRDefault="00F4619C" w:rsidP="00F4619C">
      <w:pPr>
        <w:pStyle w:val="NormalWeb"/>
        <w:spacing w:before="0" w:beforeAutospacing="0" w:after="0" w:afterAutospacing="0"/>
        <w:ind w:firstLine="708"/>
        <w:jc w:val="both"/>
        <w:rPr>
          <w:rFonts w:ascii="Verdana" w:hAnsi="Verdana" w:cs="Arial"/>
          <w:color w:val="000000"/>
          <w:sz w:val="16"/>
          <w:szCs w:val="16"/>
        </w:rPr>
      </w:pPr>
      <w:r w:rsidRPr="009B41DD">
        <w:rPr>
          <w:rStyle w:val="Refdenotaalpie"/>
          <w:rFonts w:ascii="Verdana" w:hAnsi="Verdana"/>
          <w:sz w:val="16"/>
          <w:szCs w:val="16"/>
        </w:rPr>
        <w:footnoteRef/>
      </w:r>
      <w:r>
        <w:rPr>
          <w:rFonts w:ascii="Verdana" w:hAnsi="Verdana" w:cs="Arial"/>
          <w:sz w:val="16"/>
          <w:szCs w:val="16"/>
        </w:rPr>
        <w:t xml:space="preserve"> </w:t>
      </w:r>
      <w:r w:rsidRPr="009B41DD">
        <w:rPr>
          <w:rFonts w:ascii="Verdana" w:hAnsi="Verdana" w:cs="Arial"/>
          <w:sz w:val="16"/>
          <w:szCs w:val="16"/>
        </w:rPr>
        <w:t>Decreto 1082 de 2015 “</w:t>
      </w:r>
      <w:r w:rsidRPr="009B41DD">
        <w:rPr>
          <w:rFonts w:ascii="Verdana" w:hAnsi="Verdana" w:cs="Arial"/>
          <w:color w:val="000000"/>
          <w:sz w:val="16"/>
          <w:szCs w:val="16"/>
        </w:rPr>
        <w:t>Artículo 2.2.1.2.1.2.17. Garantía única a favor de la Entidad Estatal. Como requisito para la ejecución del contrato de comisión, el comisionista seleccionado debe constituir a favor de la entidad estatal comitente la garantía única de cumplimiento, en relación con el valor de la comisión que la Entidad Estatal pagará al comisionista por sus servicios. </w:t>
      </w:r>
    </w:p>
    <w:p w14:paraId="1E65B504" w14:textId="77777777" w:rsidR="00F4619C" w:rsidRPr="009B41DD" w:rsidRDefault="00F4619C" w:rsidP="00F4619C">
      <w:pPr>
        <w:spacing w:after="0"/>
        <w:ind w:firstLine="709"/>
        <w:jc w:val="both"/>
        <w:rPr>
          <w:rFonts w:ascii="Verdana" w:eastAsia="Times New Roman" w:hAnsi="Verdana" w:cs="Arial"/>
          <w:color w:val="000000"/>
          <w:sz w:val="16"/>
          <w:szCs w:val="16"/>
          <w:lang w:eastAsia="es-CO"/>
        </w:rPr>
      </w:pPr>
      <w:bookmarkStart w:id="1" w:name="ver_30051355"/>
      <w:bookmarkEnd w:id="1"/>
      <w:r w:rsidRPr="009B41DD">
        <w:rPr>
          <w:rFonts w:ascii="Verdana" w:eastAsia="Times New Roman" w:hAnsi="Verdana" w:cs="Arial"/>
          <w:color w:val="000000"/>
          <w:sz w:val="16"/>
          <w:szCs w:val="16"/>
          <w:lang w:eastAsia="es-CO"/>
        </w:rPr>
        <w:t>“Artículo 2.2.1.2.1.2.18. Garantías de cumplimiento a favor del organismo de compensación de la bolsa de productos. La Entidad Estatal y el comitente vendedor deben constituir a favor del organismo de compensación de la bolsa de productos las garantías establecidas en su reglamento, para garantizar el cumplimiento de las negociaciones mediante las cuales la Entidad Estatal adquiere Bienes y Servicios de Características Técnicas Uniformes.</w:t>
      </w:r>
    </w:p>
    <w:p w14:paraId="3EDE1559" w14:textId="77777777" w:rsidR="00F4619C" w:rsidRPr="009B41DD" w:rsidRDefault="00F4619C" w:rsidP="00F4619C">
      <w:pPr>
        <w:spacing w:after="0"/>
        <w:ind w:firstLine="709"/>
        <w:jc w:val="both"/>
        <w:rPr>
          <w:rFonts w:ascii="Arial" w:eastAsia="Times New Roman" w:hAnsi="Arial" w:cs="Arial"/>
          <w:color w:val="000000"/>
          <w:sz w:val="19"/>
          <w:szCs w:val="19"/>
          <w:lang w:eastAsia="es-CO"/>
        </w:rPr>
      </w:pPr>
      <w:r w:rsidRPr="009B41DD">
        <w:rPr>
          <w:rFonts w:ascii="Verdana" w:eastAsia="Times New Roman" w:hAnsi="Verdana" w:cs="Arial"/>
          <w:color w:val="000000"/>
          <w:sz w:val="16"/>
          <w:szCs w:val="16"/>
          <w:lang w:eastAsia="es-CO"/>
        </w:rPr>
        <w:t>Las Entidades Estatales pueden exigir al comitente vendedor garantías adicionales a las señaladas en el presente artículo, siempre y cuando resulten adecuadas y proporcionales al objeto a contratar y a su valor”.</w:t>
      </w:r>
    </w:p>
  </w:footnote>
  <w:footnote w:id="7">
    <w:p w14:paraId="68E5C854" w14:textId="77777777" w:rsidR="00F4619C" w:rsidRPr="00D7529D" w:rsidRDefault="00F4619C" w:rsidP="00F4619C">
      <w:pPr>
        <w:pStyle w:val="Textonotapie"/>
        <w:ind w:firstLine="708"/>
        <w:jc w:val="both"/>
        <w:rPr>
          <w:rFonts w:ascii="Verdana" w:hAnsi="Verdana" w:cs="Arial"/>
          <w:sz w:val="16"/>
          <w:szCs w:val="16"/>
        </w:rPr>
      </w:pPr>
      <w:r w:rsidRPr="00D7529D">
        <w:rPr>
          <w:rStyle w:val="Refdenotaalpie"/>
          <w:rFonts w:ascii="Verdana" w:hAnsi="Verdana"/>
          <w:sz w:val="16"/>
          <w:szCs w:val="16"/>
        </w:rPr>
        <w:footnoteRef/>
      </w:r>
      <w:r w:rsidRPr="00D7529D">
        <w:rPr>
          <w:rFonts w:ascii="Verdana" w:hAnsi="Verdana"/>
          <w:sz w:val="16"/>
          <w:szCs w:val="16"/>
        </w:rPr>
        <w:t xml:space="preserve"> </w:t>
      </w:r>
      <w:r w:rsidRPr="00D7529D">
        <w:rPr>
          <w:rFonts w:ascii="Verdana" w:hAnsi="Verdana" w:cs="Arial"/>
          <w:sz w:val="16"/>
          <w:szCs w:val="16"/>
        </w:rPr>
        <w:t>El artículo 2.2.1.2.1.2.12. del Decreto 1082 de 2015, modificado por el artículo 2 del Decreto 310 del 25 de marzo de 2021 establece: “Planeación de una adquisición en la bolsa de productos.</w:t>
      </w:r>
      <w:r w:rsidRPr="00D7529D">
        <w:rPr>
          <w:rFonts w:ascii="Arial" w:hAnsi="Arial" w:cs="Arial"/>
          <w:sz w:val="16"/>
          <w:szCs w:val="16"/>
        </w:rPr>
        <w:t>​</w:t>
      </w:r>
      <w:r w:rsidRPr="00D7529D">
        <w:rPr>
          <w:rFonts w:ascii="Verdana" w:hAnsi="Verdana" w:cs="Arial"/>
          <w:sz w:val="16"/>
          <w:szCs w:val="16"/>
        </w:rPr>
        <w:t xml:space="preserve"> Cuando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incluyendo el análisis del Proceso de Selección del comisionista, los costos asociados a la selección, el valor de la comisión y de las garantías. </w:t>
      </w:r>
    </w:p>
    <w:p w14:paraId="524325EA" w14:textId="77777777" w:rsidR="00F4619C" w:rsidRPr="00D7529D" w:rsidRDefault="00F4619C" w:rsidP="00F4619C">
      <w:pPr>
        <w:pStyle w:val="Textonotapie"/>
        <w:ind w:firstLine="708"/>
        <w:jc w:val="both"/>
        <w:rPr>
          <w:rFonts w:ascii="Verdana" w:hAnsi="Verdana" w:cs="Arial"/>
          <w:sz w:val="16"/>
          <w:szCs w:val="16"/>
        </w:rPr>
      </w:pPr>
      <w:r w:rsidRPr="00D7529D">
        <w:rPr>
          <w:rFonts w:ascii="Verdana" w:hAnsi="Verdana" w:cs="Arial"/>
          <w:sz w:val="16"/>
          <w:szCs w:val="16"/>
        </w:rPr>
        <w:t xml:space="preserve">“El estudio mencionado deberá dar cuenta de la forma en que la Entidad Estatal garantiza los principios y objetivos del sistema de compras, contratación pública, los postulados de la función administrativa y de la gestión fiscal. Este estudio deberá consignarse expresamente en los documentos del Proceso de Selección y se deberá garantizar su oportuna publicidad a través del SECOP. </w:t>
      </w:r>
    </w:p>
    <w:p w14:paraId="75127552" w14:textId="77777777" w:rsidR="00F4619C" w:rsidRPr="00D7529D" w:rsidRDefault="00F4619C" w:rsidP="00F4619C">
      <w:pPr>
        <w:pStyle w:val="Textonotapie"/>
        <w:ind w:firstLine="708"/>
        <w:jc w:val="both"/>
        <w:rPr>
          <w:rFonts w:ascii="Verdana" w:hAnsi="Verdana" w:cs="Arial"/>
          <w:sz w:val="16"/>
          <w:szCs w:val="16"/>
        </w:rPr>
      </w:pPr>
      <w:r w:rsidRPr="00D7529D">
        <w:rPr>
          <w:rFonts w:ascii="Verdana" w:hAnsi="Verdana" w:cs="Arial"/>
          <w:sz w:val="16"/>
          <w:szCs w:val="16"/>
        </w:rPr>
        <w:t xml:space="preserve">“Aun existiendo un Acuerdo Marco de Precios, las entidades estatales podrán acudir a las bolsas de productos, siempre que a través de este mecanismo se obtengan precios inferiores al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 incluyendo los costos generados por concepto de comisionistas de bolsa y gastos de operación de qué trata el artículo 2.2.1.2.1.2.1.5 del presente Decreto, valores que deberán ser verificados por el respectivo ordenador del gasto en el último boletín de precios que, para el efecto, expida el órgano rector de la contratación estatal. </w:t>
      </w:r>
    </w:p>
    <w:p w14:paraId="602BB988" w14:textId="77777777" w:rsidR="00F4619C" w:rsidRPr="00D7529D" w:rsidRDefault="00F4619C" w:rsidP="00F4619C">
      <w:pPr>
        <w:pStyle w:val="Textonotapie"/>
        <w:ind w:firstLine="708"/>
        <w:jc w:val="both"/>
        <w:rPr>
          <w:rFonts w:ascii="Verdana" w:hAnsi="Verdana" w:cs="Arial"/>
          <w:sz w:val="16"/>
          <w:szCs w:val="16"/>
        </w:rPr>
      </w:pPr>
      <w:r w:rsidRPr="00D7529D">
        <w:rPr>
          <w:rFonts w:ascii="Verdana" w:hAnsi="Verdana" w:cs="Arial"/>
          <w:sz w:val="16"/>
          <w:szCs w:val="16"/>
        </w:rPr>
        <w:t xml:space="preserve">“Estas adquisiciones, no podrán desmejorar las condiciones técnicas y de calidad definidas para los bienes y servicios que conforman los catálogos de los acuerdos marco de precios de la Agencia Nacional de Contratación Pública como ente rector en la materia o quien haga sus veces. </w:t>
      </w:r>
    </w:p>
    <w:p w14:paraId="0879823B" w14:textId="77777777" w:rsidR="00F4619C" w:rsidRPr="00D7529D" w:rsidRDefault="00F4619C" w:rsidP="00F4619C">
      <w:pPr>
        <w:pStyle w:val="Textonotapie"/>
        <w:ind w:firstLine="708"/>
        <w:jc w:val="both"/>
        <w:rPr>
          <w:rFonts w:ascii="Verdana" w:hAnsi="Verdana" w:cs="Arial"/>
          <w:sz w:val="16"/>
          <w:szCs w:val="16"/>
        </w:rPr>
      </w:pPr>
      <w:r w:rsidRPr="00D7529D">
        <w:rPr>
          <w:rFonts w:ascii="Verdana" w:hAnsi="Verdana" w:cs="Arial"/>
          <w:sz w:val="16"/>
          <w:szCs w:val="16"/>
        </w:rPr>
        <w:t xml:space="preserve">“Parágrafo 1. La Agencia Nacional de contratación Pública - Colombia Compra Eficiente, a través de la circular de que trata el numeral 2 del parágrafo 1 del artículo 2.2.1.2.1.2.7. del presente Decreto definirá los lineamientos generales, así como los criterios objetivos y medibles a los cuales deberán sujetarse las entidades estatales para la adquisición de bienes o servicios de características técnicas uniformes a través de Bolsas de Productos, independientemente de que exista o no un Acuerdo Marco de Precios vigente. </w:t>
      </w:r>
    </w:p>
    <w:p w14:paraId="3885D385" w14:textId="77777777" w:rsidR="00F4619C" w:rsidRDefault="00F4619C" w:rsidP="00F4619C">
      <w:pPr>
        <w:pStyle w:val="Textonotapie"/>
        <w:ind w:firstLine="708"/>
        <w:jc w:val="both"/>
        <w:rPr>
          <w:rFonts w:ascii="Verdana" w:hAnsi="Verdana" w:cs="Arial"/>
          <w:sz w:val="16"/>
          <w:szCs w:val="16"/>
        </w:rPr>
      </w:pPr>
      <w:r w:rsidRPr="00D7529D">
        <w:rPr>
          <w:rFonts w:ascii="Verdana" w:hAnsi="Verdana" w:cs="Arial"/>
          <w:sz w:val="16"/>
          <w:szCs w:val="16"/>
        </w:rPr>
        <w:t>“Parágrafo 2. Para los efectos de este Decreto, entiéndase por Bolsa de Productos, las sociedades vigiladas por la Superintendencia Financiera de Colombia y definidas en el artículo 2.11.1.1.1 del Decreto 2555 de 2010 o la norma que la modifique, adicione o sustituya.</w:t>
      </w:r>
    </w:p>
    <w:p w14:paraId="0110771A" w14:textId="77777777" w:rsidR="00F4619C" w:rsidRPr="00D7529D" w:rsidRDefault="00F4619C" w:rsidP="00F4619C">
      <w:pPr>
        <w:pStyle w:val="Textonotapie"/>
        <w:ind w:firstLine="708"/>
        <w:jc w:val="both"/>
        <w:rPr>
          <w:rFonts w:ascii="Verdana" w:hAnsi="Verdana" w:cs="Arial"/>
          <w:sz w:val="16"/>
          <w:szCs w:val="16"/>
        </w:rPr>
      </w:pPr>
      <w:r w:rsidRPr="00D7529D">
        <w:rPr>
          <w:rFonts w:ascii="Verdana" w:hAnsi="Verdana" w:cs="Arial"/>
          <w:sz w:val="16"/>
          <w:szCs w:val="16"/>
        </w:rPr>
        <w:t>“Parágrafo 3. Lo previsto en el parágrafo 1 de este artículo no será aplicable a las Entidades Estatales de la Rama Ejecutiva del Poder Público del orden nacional, obligadas a aplicar la Ley 80 de 1993 y la Ley 1150 de 2007, o las normas que las modifiquen, aclaren, adicionen o sustituyan, las cuales en todo caso están obligadas a adquirir Bienes y Servicios de Características Técnicas Uniformes a través de los Acuerdos Marco de Precios vigentes estructurados por la Agencia Nacional de Contratación Pública -Colombia Compra Eficiente”.</w:t>
      </w:r>
    </w:p>
  </w:footnote>
  <w:footnote w:id="8">
    <w:p w14:paraId="6FB5D57E" w14:textId="77777777" w:rsidR="00F4619C" w:rsidRPr="00F026FD" w:rsidRDefault="00F4619C" w:rsidP="00F4619C">
      <w:pPr>
        <w:pStyle w:val="Textonotapie"/>
        <w:ind w:firstLine="709"/>
        <w:jc w:val="both"/>
        <w:rPr>
          <w:rFonts w:ascii="Verdana" w:hAnsi="Verdana"/>
          <w:sz w:val="16"/>
          <w:szCs w:val="16"/>
          <w:lang w:val="es-ES"/>
        </w:rPr>
      </w:pPr>
      <w:r w:rsidRPr="00F026FD">
        <w:rPr>
          <w:rStyle w:val="Refdenotaalpie"/>
          <w:rFonts w:ascii="Verdana" w:hAnsi="Verdana"/>
          <w:sz w:val="16"/>
          <w:szCs w:val="16"/>
        </w:rPr>
        <w:footnoteRef/>
      </w:r>
      <w:r w:rsidRPr="00F026FD">
        <w:rPr>
          <w:rFonts w:ascii="Verdana" w:hAnsi="Verdana"/>
          <w:sz w:val="16"/>
          <w:szCs w:val="16"/>
        </w:rPr>
        <w:t xml:space="preserve"> </w:t>
      </w:r>
      <w:r w:rsidRPr="00F026FD">
        <w:rPr>
          <w:rFonts w:ascii="Verdana" w:hAnsi="Verdana" w:cs="Arial"/>
          <w:color w:val="000000" w:themeColor="text1"/>
          <w:sz w:val="16"/>
          <w:szCs w:val="16"/>
        </w:rPr>
        <w:t xml:space="preserve">PIAGGIO, H. Las operaciones de Bolsa. Revista de la Facultad de Derecho. Pontificia Universidad Católica del Perú, No. 2, 1945, pp. 37-43. Recuperado en: </w:t>
      </w:r>
      <w:hyperlink r:id="rId1" w:history="1">
        <w:r w:rsidRPr="00F026FD">
          <w:rPr>
            <w:rFonts w:ascii="Verdana" w:hAnsi="Verdana" w:cs="Arial"/>
            <w:color w:val="000000" w:themeColor="text1"/>
            <w:sz w:val="16"/>
            <w:szCs w:val="16"/>
          </w:rPr>
          <w:t>http://revistas.pucp.edu.pe/index.php/derechopucp/article/view/6348/6396</w:t>
        </w:r>
      </w:hyperlink>
    </w:p>
  </w:footnote>
  <w:footnote w:id="9">
    <w:p w14:paraId="2DCC33B1" w14:textId="77777777" w:rsidR="00F4619C" w:rsidRPr="00F026FD" w:rsidRDefault="00F4619C" w:rsidP="00F4619C">
      <w:pPr>
        <w:pStyle w:val="Textonotapie"/>
        <w:rPr>
          <w:rFonts w:ascii="Verdana" w:hAnsi="Verdana"/>
          <w:sz w:val="16"/>
          <w:szCs w:val="16"/>
          <w:lang w:val="es-ES"/>
        </w:rPr>
      </w:pPr>
      <w:r w:rsidRPr="00F026FD">
        <w:rPr>
          <w:rStyle w:val="Refdenotaalpie"/>
          <w:rFonts w:ascii="Verdana" w:hAnsi="Verdana"/>
          <w:sz w:val="16"/>
          <w:szCs w:val="16"/>
        </w:rPr>
        <w:footnoteRef/>
      </w:r>
      <w:r w:rsidRPr="00F026FD">
        <w:rPr>
          <w:rFonts w:ascii="Verdana" w:hAnsi="Verdana"/>
          <w:sz w:val="16"/>
          <w:szCs w:val="16"/>
        </w:rPr>
        <w:t xml:space="preserve"> </w:t>
      </w:r>
      <w:r w:rsidRPr="00F026FD">
        <w:rPr>
          <w:rFonts w:ascii="Verdana" w:hAnsi="Verdana" w:cs="Arial"/>
          <w:color w:val="000000" w:themeColor="text1"/>
          <w:sz w:val="16"/>
          <w:szCs w:val="16"/>
        </w:rPr>
        <w:t>Ibídem</w:t>
      </w:r>
      <w:r>
        <w:rPr>
          <w:rFonts w:ascii="Verdana" w:hAnsi="Verdana" w:cs="Arial"/>
          <w:color w:val="000000" w:themeColor="text1"/>
          <w:sz w:val="16"/>
          <w:szCs w:val="16"/>
        </w:rPr>
        <w:t>.</w:t>
      </w:r>
    </w:p>
  </w:footnote>
  <w:footnote w:id="10">
    <w:p w14:paraId="0DE7E87E" w14:textId="77777777" w:rsidR="00F4619C" w:rsidRDefault="00F4619C" w:rsidP="00F4619C">
      <w:pPr>
        <w:spacing w:after="0" w:line="240" w:lineRule="auto"/>
        <w:ind w:firstLine="709"/>
        <w:jc w:val="both"/>
        <w:rPr>
          <w:rFonts w:ascii="Verdana" w:hAnsi="Verdana"/>
          <w:sz w:val="16"/>
          <w:szCs w:val="16"/>
        </w:rPr>
      </w:pPr>
      <w:r>
        <w:rPr>
          <w:rStyle w:val="Refdenotaalpie"/>
        </w:rPr>
        <w:footnoteRef/>
      </w:r>
      <w:r>
        <w:t xml:space="preserve"> </w:t>
      </w:r>
      <w:r w:rsidRPr="00446113">
        <w:rPr>
          <w:rFonts w:ascii="Verdana" w:hAnsi="Verdana"/>
          <w:sz w:val="16"/>
          <w:szCs w:val="16"/>
        </w:rPr>
        <w:t>Decreto 2555 de 2010 “Artículo 2.11.1.1.5. Reglamentos generales de las bolsas.   </w:t>
      </w:r>
      <w:r w:rsidRPr="00446113">
        <w:rPr>
          <w:rFonts w:ascii="Verdana" w:hAnsi="Verdana"/>
          <w:sz w:val="16"/>
          <w:szCs w:val="16"/>
        </w:rPr>
        <w:tab/>
        <w:t>“Las bolsas de bienes y productos agropecuarios, agroindustriales o de otros commodities deberán contar con reglamentos que rijan su organización, administración, funcionamiento, así como las operaciones y actividades que se realicen por conducto de los mercados que administren. </w:t>
      </w:r>
    </w:p>
    <w:p w14:paraId="14CEDF6D" w14:textId="77777777" w:rsidR="00F4619C" w:rsidRPr="00446113" w:rsidRDefault="00F4619C" w:rsidP="00F4619C">
      <w:pPr>
        <w:spacing w:after="0" w:line="240" w:lineRule="auto"/>
        <w:ind w:firstLine="709"/>
        <w:jc w:val="both"/>
        <w:rPr>
          <w:rFonts w:ascii="Verdana" w:hAnsi="Verdana"/>
          <w:sz w:val="16"/>
          <w:szCs w:val="16"/>
        </w:rPr>
      </w:pPr>
      <w:r w:rsidRPr="00446113">
        <w:rPr>
          <w:rFonts w:ascii="Verdana" w:hAnsi="Verdana"/>
          <w:sz w:val="16"/>
          <w:szCs w:val="16"/>
        </w:rPr>
        <w:t>“Las bolsas de bienes y productos agropecuarios, agroindustriales o de otros commodities que administren sistemas de registro de operaciones, deberán establecer las normas que regulen la organización, administración y funcionamiento de dichos sistemas. </w:t>
      </w:r>
    </w:p>
    <w:p w14:paraId="5F5E0E2B" w14:textId="77777777" w:rsidR="00F4619C" w:rsidRDefault="00F4619C" w:rsidP="00F4619C">
      <w:pPr>
        <w:spacing w:after="0" w:line="240" w:lineRule="auto"/>
        <w:ind w:firstLine="709"/>
        <w:jc w:val="both"/>
        <w:rPr>
          <w:rFonts w:ascii="Verdana" w:hAnsi="Verdana"/>
          <w:sz w:val="16"/>
          <w:szCs w:val="16"/>
        </w:rPr>
      </w:pPr>
      <w:r w:rsidRPr="00446113">
        <w:rPr>
          <w:rFonts w:ascii="Verdana" w:hAnsi="Verdana"/>
          <w:sz w:val="16"/>
          <w:szCs w:val="16"/>
        </w:rPr>
        <w:t> “Estos reglamentos y sus modificaciones deberán ser aprobados por la junta directiva y autorizados por la Superintendencia Financiera de Colombia.</w:t>
      </w:r>
    </w:p>
    <w:p w14:paraId="365282F4" w14:textId="77777777" w:rsidR="00F4619C" w:rsidRPr="00F33A6C" w:rsidRDefault="00F4619C" w:rsidP="00F4619C">
      <w:pPr>
        <w:spacing w:after="0" w:line="240" w:lineRule="auto"/>
        <w:ind w:firstLine="709"/>
        <w:jc w:val="both"/>
        <w:rPr>
          <w:rFonts w:ascii="Verdana" w:hAnsi="Verdana"/>
          <w:sz w:val="16"/>
          <w:szCs w:val="16"/>
        </w:rPr>
      </w:pPr>
      <w:r w:rsidRPr="00446113">
        <w:rPr>
          <w:rFonts w:ascii="Verdana" w:hAnsi="Verdana"/>
          <w:sz w:val="16"/>
          <w:szCs w:val="16"/>
        </w:rPr>
        <w:t>“Parágrafo 1°. Cuando se trate de las subastas y los servicios a cargo del gestor del mercado de gas natural realizados en desarrollo de la regulación establecida por la Comisión de Regulación de Energía y Gas Combustible (CREG) respecto del funcionamiento del mercado mayorista de gas combustible, no será necesario que las bolsas de bienes y productos agropecuarios, agroindustriales o de otros commodities tengan reglamentos autorizados por la Superintendencia Financiera de Colombia”.</w:t>
      </w:r>
    </w:p>
  </w:footnote>
  <w:footnote w:id="11">
    <w:p w14:paraId="1676A3BC" w14:textId="77777777" w:rsidR="00F4619C" w:rsidRPr="00F33A6C" w:rsidRDefault="00F4619C" w:rsidP="00F4619C">
      <w:pPr>
        <w:pStyle w:val="Textonotapie"/>
        <w:ind w:firstLine="709"/>
        <w:rPr>
          <w:lang w:val="es-ES"/>
        </w:rPr>
      </w:pPr>
      <w:r>
        <w:rPr>
          <w:rStyle w:val="Refdenotaalpie"/>
        </w:rPr>
        <w:footnoteRef/>
      </w:r>
      <w:r>
        <w:t xml:space="preserve"> </w:t>
      </w:r>
      <w:r w:rsidRPr="00F751A8">
        <w:rPr>
          <w:rFonts w:ascii="Verdana" w:hAnsi="Verdana"/>
          <w:sz w:val="12"/>
          <w:szCs w:val="12"/>
        </w:rPr>
        <w:t xml:space="preserve">Ver en línea: </w:t>
      </w:r>
      <w:hyperlink r:id="rId2" w:history="1">
        <w:r w:rsidRPr="00F751A8">
          <w:rPr>
            <w:rStyle w:val="Hipervnculo"/>
            <w:rFonts w:ascii="Verdana" w:hAnsi="Verdana"/>
            <w:sz w:val="12"/>
            <w:szCs w:val="12"/>
          </w:rPr>
          <w:t>https://bolsamercantil.com.co/sites/default/files/2022-07/Reglamento%20BMC%20-%20v20220525.pdf</w:t>
        </w:r>
      </w:hyperlink>
    </w:p>
  </w:footnote>
  <w:footnote w:id="12">
    <w:p w14:paraId="607415A6" w14:textId="77777777" w:rsidR="00F4619C" w:rsidRPr="00F33A6C" w:rsidRDefault="00F4619C" w:rsidP="00F4619C">
      <w:pPr>
        <w:pStyle w:val="Textonotapie"/>
        <w:ind w:firstLine="708"/>
        <w:jc w:val="both"/>
        <w:rPr>
          <w:rFonts w:ascii="Verdana" w:hAnsi="Verdana" w:cs="Arial"/>
          <w:color w:val="000000" w:themeColor="text1"/>
          <w:sz w:val="16"/>
          <w:szCs w:val="16"/>
        </w:rPr>
      </w:pPr>
      <w:r>
        <w:rPr>
          <w:rStyle w:val="Refdenotaalpie"/>
        </w:rPr>
        <w:footnoteRef/>
      </w:r>
      <w:r>
        <w:t xml:space="preserve"> </w:t>
      </w:r>
      <w:r w:rsidRPr="00F33A6C">
        <w:rPr>
          <w:rFonts w:ascii="Verdana" w:hAnsi="Verdana" w:cs="Arial"/>
          <w:color w:val="000000" w:themeColor="text1"/>
          <w:sz w:val="16"/>
          <w:szCs w:val="16"/>
        </w:rPr>
        <w:t xml:space="preserve">Reglamento Bolsa Mercantil de Colombia, aprobado por la Resolución No. 2023 de 2008 de la Superintendencia Financiera de Colombia. “Artículo 3.2.2.1.8.- Comprobantes de transacción. Aprobado por Resolución No. 2023 de 2008 de la Superintendencia Financiera de Colombia. De las operaciones realizadas a través de la Bolsa se dejará constancia en un documento idóneo, suscrito por las sociedades comisionistas miembros de la Bolsa que lo celebren y por un representante de la Bolsa debidamente facultado para tal efecto. </w:t>
      </w:r>
    </w:p>
    <w:p w14:paraId="606F5D8A" w14:textId="77777777" w:rsidR="00F4619C" w:rsidRPr="00F33A6C" w:rsidRDefault="00F4619C" w:rsidP="00F4619C">
      <w:pPr>
        <w:pStyle w:val="Textonotapie"/>
        <w:jc w:val="both"/>
        <w:rPr>
          <w:lang w:val="es-ES"/>
        </w:rPr>
      </w:pPr>
      <w:r w:rsidRPr="00F33A6C">
        <w:rPr>
          <w:rFonts w:ascii="Verdana" w:hAnsi="Verdana" w:cs="Arial"/>
          <w:color w:val="000000" w:themeColor="text1"/>
          <w:sz w:val="16"/>
          <w:szCs w:val="16"/>
        </w:rPr>
        <w:t>“Los comprobantes deberán expresar al menos el activo, la calidad y cantidad del objeto de la operación, su precio, lugar y plazo de entrega, y la comisión cobrada. El documento original se les entregará a las sociedades comisionistas miembros de la Bolsa la copia del original será conservada por la Bolsa”.</w:t>
      </w:r>
    </w:p>
  </w:footnote>
  <w:footnote w:id="13">
    <w:p w14:paraId="2B6467FA" w14:textId="03BA3FEC" w:rsidR="00F4619C" w:rsidRPr="00152814" w:rsidRDefault="00F4619C" w:rsidP="00F4619C">
      <w:pPr>
        <w:pStyle w:val="Textonotapie"/>
        <w:ind w:firstLine="709"/>
        <w:jc w:val="both"/>
        <w:rPr>
          <w:lang w:val="en-US"/>
        </w:rPr>
      </w:pPr>
      <w:r>
        <w:rPr>
          <w:rStyle w:val="Refdenotaalpie"/>
        </w:rPr>
        <w:footnoteRef/>
      </w:r>
      <w:hyperlink r:id="rId3" w:history="1">
        <w:r w:rsidR="00334C61" w:rsidRPr="00457C91">
          <w:rPr>
            <w:rStyle w:val="Hipervnculo"/>
            <w:rFonts w:ascii="Verdana" w:hAnsi="Verdana" w:cs="Arial"/>
            <w:sz w:val="16"/>
            <w:szCs w:val="16"/>
            <w:lang w:val="en-US"/>
          </w:rPr>
          <w:t>https://www.colombiacompra.gov.co/sites/cce_public/files/cce_circulares/vf_circular_externa_004_de_2021_ 002_2.pdf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F022D9"/>
    <w:multiLevelType w:val="hybridMultilevel"/>
    <w:tmpl w:val="EDA4693E"/>
    <w:lvl w:ilvl="0" w:tplc="405EC3D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num>
  <w:num w:numId="17">
    <w:abstractNumId w:val="10"/>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revisionView w:markup="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3FDF"/>
    <w:rsid w:val="00082362"/>
    <w:rsid w:val="00092080"/>
    <w:rsid w:val="000A683E"/>
    <w:rsid w:val="000B19B9"/>
    <w:rsid w:val="000D0334"/>
    <w:rsid w:val="000F6486"/>
    <w:rsid w:val="00125105"/>
    <w:rsid w:val="00127233"/>
    <w:rsid w:val="001511A0"/>
    <w:rsid w:val="00152814"/>
    <w:rsid w:val="0015597A"/>
    <w:rsid w:val="001C6282"/>
    <w:rsid w:val="001E4177"/>
    <w:rsid w:val="001F7DC6"/>
    <w:rsid w:val="002421BB"/>
    <w:rsid w:val="0025796E"/>
    <w:rsid w:val="002707A2"/>
    <w:rsid w:val="002951A0"/>
    <w:rsid w:val="002962BC"/>
    <w:rsid w:val="002A093D"/>
    <w:rsid w:val="002A0DD0"/>
    <w:rsid w:val="002A49AC"/>
    <w:rsid w:val="002A64FD"/>
    <w:rsid w:val="002B348C"/>
    <w:rsid w:val="002C7A84"/>
    <w:rsid w:val="002D1340"/>
    <w:rsid w:val="002E4FD9"/>
    <w:rsid w:val="002F2390"/>
    <w:rsid w:val="00312A32"/>
    <w:rsid w:val="00322A85"/>
    <w:rsid w:val="00324168"/>
    <w:rsid w:val="00334C61"/>
    <w:rsid w:val="00343C7E"/>
    <w:rsid w:val="003448F4"/>
    <w:rsid w:val="00374F5E"/>
    <w:rsid w:val="00377E3E"/>
    <w:rsid w:val="003A779E"/>
    <w:rsid w:val="003D0F4D"/>
    <w:rsid w:val="003D5B0D"/>
    <w:rsid w:val="003E0499"/>
    <w:rsid w:val="003E3D0D"/>
    <w:rsid w:val="003F3941"/>
    <w:rsid w:val="00406575"/>
    <w:rsid w:val="00414C74"/>
    <w:rsid w:val="0042722E"/>
    <w:rsid w:val="0044528D"/>
    <w:rsid w:val="004A1847"/>
    <w:rsid w:val="004A305D"/>
    <w:rsid w:val="004F21C4"/>
    <w:rsid w:val="004F685F"/>
    <w:rsid w:val="005566E8"/>
    <w:rsid w:val="00574867"/>
    <w:rsid w:val="00591460"/>
    <w:rsid w:val="005B3816"/>
    <w:rsid w:val="005C3777"/>
    <w:rsid w:val="005C5CDC"/>
    <w:rsid w:val="005D476C"/>
    <w:rsid w:val="006219F8"/>
    <w:rsid w:val="00665D70"/>
    <w:rsid w:val="006900D9"/>
    <w:rsid w:val="00706C16"/>
    <w:rsid w:val="00756841"/>
    <w:rsid w:val="007649AB"/>
    <w:rsid w:val="00771D0C"/>
    <w:rsid w:val="00774ACC"/>
    <w:rsid w:val="007833AC"/>
    <w:rsid w:val="007B06F5"/>
    <w:rsid w:val="007B268C"/>
    <w:rsid w:val="007B7171"/>
    <w:rsid w:val="007C0C0F"/>
    <w:rsid w:val="007C3DC2"/>
    <w:rsid w:val="007E5497"/>
    <w:rsid w:val="00806F5F"/>
    <w:rsid w:val="00820278"/>
    <w:rsid w:val="00862E6E"/>
    <w:rsid w:val="00867F95"/>
    <w:rsid w:val="008843B6"/>
    <w:rsid w:val="00891928"/>
    <w:rsid w:val="008A446D"/>
    <w:rsid w:val="008D031A"/>
    <w:rsid w:val="008D180B"/>
    <w:rsid w:val="008F0EA7"/>
    <w:rsid w:val="00923EEF"/>
    <w:rsid w:val="009419F9"/>
    <w:rsid w:val="0095685E"/>
    <w:rsid w:val="00961B09"/>
    <w:rsid w:val="00965334"/>
    <w:rsid w:val="0097093E"/>
    <w:rsid w:val="00986623"/>
    <w:rsid w:val="00986AC5"/>
    <w:rsid w:val="009A0DFA"/>
    <w:rsid w:val="009B2D26"/>
    <w:rsid w:val="009C71FA"/>
    <w:rsid w:val="009C72E7"/>
    <w:rsid w:val="009D3058"/>
    <w:rsid w:val="009F3A13"/>
    <w:rsid w:val="00A122D3"/>
    <w:rsid w:val="00A17F13"/>
    <w:rsid w:val="00A20739"/>
    <w:rsid w:val="00A25A76"/>
    <w:rsid w:val="00A33C78"/>
    <w:rsid w:val="00AB0ADB"/>
    <w:rsid w:val="00B01B1A"/>
    <w:rsid w:val="00B0334B"/>
    <w:rsid w:val="00B523E8"/>
    <w:rsid w:val="00B66319"/>
    <w:rsid w:val="00B72CD3"/>
    <w:rsid w:val="00B72FFF"/>
    <w:rsid w:val="00B7626D"/>
    <w:rsid w:val="00BC3D36"/>
    <w:rsid w:val="00BD7F72"/>
    <w:rsid w:val="00C04FB3"/>
    <w:rsid w:val="00C330EB"/>
    <w:rsid w:val="00C41061"/>
    <w:rsid w:val="00C5267C"/>
    <w:rsid w:val="00C754BE"/>
    <w:rsid w:val="00C76B1C"/>
    <w:rsid w:val="00C973BC"/>
    <w:rsid w:val="00CB6357"/>
    <w:rsid w:val="00CC1B26"/>
    <w:rsid w:val="00D00C5C"/>
    <w:rsid w:val="00D20F28"/>
    <w:rsid w:val="00D423A2"/>
    <w:rsid w:val="00D520D8"/>
    <w:rsid w:val="00D56920"/>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31EDC"/>
    <w:rsid w:val="00F4619C"/>
    <w:rsid w:val="00F462B3"/>
    <w:rsid w:val="00F5664F"/>
    <w:rsid w:val="00F666C4"/>
    <w:rsid w:val="00F76AFC"/>
    <w:rsid w:val="00F93A6A"/>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06F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4619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4619C"/>
    <w:rPr>
      <w:rFonts w:ascii="Geomanist Light" w:hAnsi="Geomanist Light"/>
      <w:lang w:val="es-ES"/>
    </w:rPr>
  </w:style>
  <w:style w:type="character" w:styleId="Textoennegrita">
    <w:name w:val="Strong"/>
    <w:basedOn w:val="Fuentedeprrafopredeter"/>
    <w:uiPriority w:val="22"/>
    <w:qFormat/>
    <w:rsid w:val="00F4619C"/>
    <w:rPr>
      <w:b/>
      <w:bCs/>
    </w:rPr>
  </w:style>
  <w:style w:type="character" w:styleId="nfasis">
    <w:name w:val="Emphasis"/>
    <w:basedOn w:val="Fuentedeprrafopredeter"/>
    <w:uiPriority w:val="20"/>
    <w:qFormat/>
    <w:rsid w:val="00F4619C"/>
    <w:rPr>
      <w:i/>
      <w:iCs/>
    </w:rPr>
  </w:style>
  <w:style w:type="character" w:customStyle="1" w:styleId="NormalWebCar">
    <w:name w:val="Normal (Web) Car"/>
    <w:link w:val="NormalWeb"/>
    <w:uiPriority w:val="99"/>
    <w:rsid w:val="00F4619C"/>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152814"/>
    <w:rPr>
      <w:sz w:val="16"/>
      <w:szCs w:val="16"/>
    </w:rPr>
  </w:style>
  <w:style w:type="paragraph" w:styleId="Textocomentario">
    <w:name w:val="annotation text"/>
    <w:basedOn w:val="Normal"/>
    <w:link w:val="TextocomentarioCar"/>
    <w:uiPriority w:val="99"/>
    <w:semiHidden/>
    <w:unhideWhenUsed/>
    <w:rsid w:val="0015281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2814"/>
    <w:rPr>
      <w:sz w:val="20"/>
      <w:szCs w:val="20"/>
    </w:rPr>
  </w:style>
  <w:style w:type="paragraph" w:styleId="Asuntodelcomentario">
    <w:name w:val="annotation subject"/>
    <w:basedOn w:val="Textocomentario"/>
    <w:next w:val="Textocomentario"/>
    <w:link w:val="AsuntodelcomentarioCar"/>
    <w:uiPriority w:val="99"/>
    <w:semiHidden/>
    <w:unhideWhenUsed/>
    <w:rsid w:val="00152814"/>
    <w:rPr>
      <w:b/>
      <w:bCs/>
    </w:rPr>
  </w:style>
  <w:style w:type="character" w:customStyle="1" w:styleId="AsuntodelcomentarioCar">
    <w:name w:val="Asunto del comentario Car"/>
    <w:basedOn w:val="TextocomentarioCar"/>
    <w:link w:val="Asuntodelcomentario"/>
    <w:uiPriority w:val="99"/>
    <w:semiHidden/>
    <w:rsid w:val="00152814"/>
    <w:rPr>
      <w:b/>
      <w:bCs/>
      <w:sz w:val="20"/>
      <w:szCs w:val="20"/>
    </w:rPr>
  </w:style>
  <w:style w:type="paragraph" w:styleId="Textodeglobo">
    <w:name w:val="Balloon Text"/>
    <w:basedOn w:val="Normal"/>
    <w:link w:val="TextodegloboCar"/>
    <w:uiPriority w:val="99"/>
    <w:semiHidden/>
    <w:unhideWhenUsed/>
    <w:rsid w:val="00334C6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4C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9501526">
      <w:bodyDiv w:val="1"/>
      <w:marLeft w:val="0"/>
      <w:marRight w:val="0"/>
      <w:marTop w:val="0"/>
      <w:marBottom w:val="0"/>
      <w:divBdr>
        <w:top w:val="none" w:sz="0" w:space="0" w:color="auto"/>
        <w:left w:val="none" w:sz="0" w:space="0" w:color="auto"/>
        <w:bottom w:val="none" w:sz="0" w:space="0" w:color="auto"/>
        <w:right w:val="none" w:sz="0" w:space="0" w:color="auto"/>
      </w:divBdr>
      <w:divsChild>
        <w:div w:id="1916667692">
          <w:marLeft w:val="0"/>
          <w:marRight w:val="0"/>
          <w:marTop w:val="0"/>
          <w:marBottom w:val="0"/>
          <w:divBdr>
            <w:top w:val="none" w:sz="0" w:space="0" w:color="auto"/>
            <w:left w:val="none" w:sz="0" w:space="0" w:color="auto"/>
            <w:bottom w:val="none" w:sz="0" w:space="0" w:color="auto"/>
            <w:right w:val="none" w:sz="0" w:space="0" w:color="auto"/>
          </w:divBdr>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791585565">
      <w:bodyDiv w:val="1"/>
      <w:marLeft w:val="0"/>
      <w:marRight w:val="0"/>
      <w:marTop w:val="0"/>
      <w:marBottom w:val="0"/>
      <w:divBdr>
        <w:top w:val="none" w:sz="0" w:space="0" w:color="auto"/>
        <w:left w:val="none" w:sz="0" w:space="0" w:color="auto"/>
        <w:bottom w:val="none" w:sz="0" w:space="0" w:color="auto"/>
        <w:right w:val="none" w:sz="0" w:space="0" w:color="auto"/>
      </w:divBdr>
      <w:divsChild>
        <w:div w:id="2055081744">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circulares/vf_circular_externa_004_de_2021_002_2.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yennyariza_77@hot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sergio.rivera%40colombiacompra.gov.co%7C096eca3fdcca424ff1c708dcf932f947%7C7b09041e245149d08cb179d5e3d8c1be%7C0%7C0%7C638659244553971823%7CUnknown%7CTWFpbGZsb3d8eyJWIjoiMC4wLjAwMDAiLCJQIjoiV2luMzIiLCJBTiI6Ik1haWwiLCJXVCI6Mn0%3D%7C0%7C%7C%7C&amp;sdata=YW4blgNg37XDmE%2B6SKIl9zpbMXronWkhLhJ1GT27zZo%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sites%2Fcce_public%2Ffiles%2Fcce_documents%2Fmanual_para_el_manejo_de_acuerdos_comerciales_vf.pdf&amp;data=05%7C02%7Csergio.rivera%40colombiacompra.gov.co%7C6192b0470d324981a09708dd0a6c28db%7C7b09041e245149d08cb179d5e3d8c1be%7C0%7C0%7C638678181873303083%7CUnknown%7CTWFpbGZsb3d8eyJFbXB0eU1hcGkiOnRydWUsIlYiOiIwLjAuMDAwMCIsIlAiOiJXaW4zMiIsIkFOIjoiTWFpbCIsIldUIjoyfQ%3D%3D%7C0%7C%7C%7C&amp;sdata=RZ8UGZwZz1u6P2uX7%2FCr73boVT1JLXCwE20Uk3OdT6E%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cce_circulares/vf_circular_externa_004_de_2021_%20002_2.pdf" TargetMode="External"/><Relationship Id="rId2" Type="http://schemas.openxmlformats.org/officeDocument/2006/relationships/hyperlink" Target="https://bolsamercantil.com.co/sites/default/files/2022-07/Reglamento%20BMC%20-%20v20220525.pdf" TargetMode="External"/><Relationship Id="rId1" Type="http://schemas.openxmlformats.org/officeDocument/2006/relationships/hyperlink" Target="http://revistas.pucp.edu.pe/index.php/derechopucp/article/view/6348/639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6c82cfe-0eda-494d-b392-a9281b89aaf0">
      <Terms xmlns="http://schemas.microsoft.com/office/infopath/2007/PartnerControls"/>
    </lcf76f155ced4ddcb4097134ff3c332f>
    <TaxCatchAll xmlns="8ae15d26-076e-464e-81a7-6f76a0fb391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B4CA33565ABFA4887DD024B77D849DF" ma:contentTypeVersion="13" ma:contentTypeDescription="Crear nuevo documento." ma:contentTypeScope="" ma:versionID="d00b3bc8a4e11ace844c69ffa9b74cd5">
  <xsd:schema xmlns:xsd="http://www.w3.org/2001/XMLSchema" xmlns:xs="http://www.w3.org/2001/XMLSchema" xmlns:p="http://schemas.microsoft.com/office/2006/metadata/properties" xmlns:ns2="8ae15d26-076e-464e-81a7-6f76a0fb3917" xmlns:ns3="36c82cfe-0eda-494d-b392-a9281b89aaf0" targetNamespace="http://schemas.microsoft.com/office/2006/metadata/properties" ma:root="true" ma:fieldsID="283a496a8d33ff127bd02a70b3db076a" ns2:_="" ns3:_="">
    <xsd:import namespace="8ae15d26-076e-464e-81a7-6f76a0fb3917"/>
    <xsd:import namespace="36c82cfe-0eda-494d-b392-a9281b89aaf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c82cfe-0eda-494d-b392-a9281b89aaf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customXml/itemProps3.xml><?xml version="1.0" encoding="utf-8"?>
<ds:datastoreItem xmlns:ds="http://schemas.openxmlformats.org/officeDocument/2006/customXml" ds:itemID="{5899AB07-3B8C-46E1-BF9A-1A6D6823DD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e15d26-076e-464e-81a7-6f76a0fb3917"/>
    <ds:schemaRef ds:uri="36c82cfe-0eda-494d-b392-a9281b89aa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10A5B9-26E5-4E06-B85B-ED5819676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12</Pages>
  <Words>3593</Words>
  <Characters>19764</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15</cp:revision>
  <cp:lastPrinted>2023-01-10T21:18:00Z</cp:lastPrinted>
  <dcterms:created xsi:type="dcterms:W3CDTF">2024-12-12T20:28:00Z</dcterms:created>
  <dcterms:modified xsi:type="dcterms:W3CDTF">2024-12-17T19:11:00Z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0x0101005B4CA33565ABFA4887DD024B77D849DF</vt:lpwstr>
  </property>
  <property fmtid="{D5CDD505-2E9C-101B-9397-08002B2CF9AE}" pid="3" name="MediaServiceImageTags">
    <vt:lpwstr/>
  </property>
</Properties>
</file>