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786BA" w14:textId="77777777" w:rsidR="00D47A7F" w:rsidRPr="005622BB" w:rsidRDefault="00D47A7F" w:rsidP="00D47A7F">
      <w:pPr>
        <w:spacing w:after="0"/>
        <w:jc w:val="both"/>
        <w:rPr>
          <w:rFonts w:ascii="Verdana" w:eastAsia="Calibri" w:hAnsi="Verdana" w:cs="Arial"/>
          <w:b/>
          <w:bCs/>
          <w:color w:val="000000" w:themeColor="text1"/>
        </w:rPr>
      </w:pPr>
      <w:bookmarkStart w:id="0" w:name="_Hlk143780582"/>
      <w:r w:rsidRPr="005622BB">
        <w:rPr>
          <w:rFonts w:ascii="Verdana" w:eastAsia="Calibri" w:hAnsi="Verdana" w:cs="Arial"/>
          <w:b/>
          <w:bCs/>
          <w:color w:val="000000" w:themeColor="text1"/>
        </w:rPr>
        <w:t xml:space="preserve">ACUERDOS COMERCIALES – Fuentes – Aplicabilidad – Incorporación </w:t>
      </w:r>
    </w:p>
    <w:p w14:paraId="15E88A07" w14:textId="77777777" w:rsidR="00D47A7F" w:rsidRPr="005622BB" w:rsidRDefault="00D47A7F" w:rsidP="00D47A7F">
      <w:pPr>
        <w:spacing w:after="0"/>
        <w:jc w:val="both"/>
        <w:rPr>
          <w:rFonts w:ascii="Verdana" w:eastAsia="Calibri" w:hAnsi="Verdana" w:cs="Arial"/>
          <w:bCs/>
          <w:color w:val="000000" w:themeColor="text1"/>
        </w:rPr>
      </w:pPr>
    </w:p>
    <w:p w14:paraId="1503FD12" w14:textId="77777777" w:rsidR="00D47A7F" w:rsidRPr="005622BB" w:rsidRDefault="00D47A7F" w:rsidP="00D47A7F">
      <w:pPr>
        <w:spacing w:after="0"/>
        <w:jc w:val="both"/>
        <w:rPr>
          <w:rFonts w:ascii="Verdana" w:eastAsia="Calibri" w:hAnsi="Verdana" w:cs="Arial"/>
          <w:bCs/>
          <w:color w:val="000000" w:themeColor="text1"/>
        </w:rPr>
      </w:pPr>
      <w:r w:rsidRPr="005622BB">
        <w:rPr>
          <w:rFonts w:ascii="Verdana" w:eastAsia="Calibri" w:hAnsi="Verdana" w:cs="Arial"/>
          <w:bCs/>
          <w:color w:val="000000" w:themeColor="text1"/>
        </w:rPr>
        <w:t xml:space="preserve">Los tratados bilaterales de comercio con capítulos sobre contratación pública son hoy en día una realidad en el ordenamiento jurídico colombiano y las normas de contratación nacionales, como el Estatuto General de Contratación de la Administración Pública, deben ser aplicadas en la práctica con la debida observancia de las obligaciones internacionales del Estado, so pena de causar responsabilidad por incumplimiento de dichas obligaciones. </w:t>
      </w:r>
    </w:p>
    <w:p w14:paraId="55105CCD" w14:textId="77777777" w:rsidR="00D47A7F" w:rsidRPr="005622BB" w:rsidRDefault="00D47A7F" w:rsidP="00D47A7F">
      <w:pPr>
        <w:spacing w:after="0"/>
        <w:jc w:val="both"/>
        <w:rPr>
          <w:rFonts w:ascii="Verdana" w:eastAsia="Calibri" w:hAnsi="Verdana" w:cs="Arial"/>
          <w:bCs/>
          <w:color w:val="000000" w:themeColor="text1"/>
        </w:rPr>
      </w:pPr>
    </w:p>
    <w:p w14:paraId="6FC50654" w14:textId="77777777" w:rsidR="00D47A7F" w:rsidRPr="005622BB" w:rsidRDefault="00D47A7F" w:rsidP="00D47A7F">
      <w:pPr>
        <w:spacing w:after="0"/>
        <w:jc w:val="both"/>
        <w:rPr>
          <w:rFonts w:ascii="Verdana" w:eastAsia="Calibri" w:hAnsi="Verdana" w:cs="Arial"/>
          <w:bCs/>
          <w:color w:val="000000" w:themeColor="text1"/>
        </w:rPr>
      </w:pPr>
      <w:r w:rsidRPr="005622BB">
        <w:rPr>
          <w:rFonts w:ascii="Verdana" w:eastAsia="Calibri" w:hAnsi="Verdana" w:cs="Arial"/>
          <w:bCs/>
          <w:color w:val="000000" w:themeColor="text1"/>
        </w:rPr>
        <w:t xml:space="preserve">De esta forma, los acuerdos comerciales son tratados internacionales celebrados entre Estados e incorporados a los ordenamientos nacionales, cuyo contenido consagra derechos y obligaciones en distintas materias, entre estas las compras públicas. En el caso colombiano, cada acuerdo comercial, por ser un tratado que celebra el gobierno con otros Estados, debe ser aprobado y posteriormente incorporado al ordenamiento jurídico colombiano por una ley de la República. </w:t>
      </w:r>
    </w:p>
    <w:p w14:paraId="7490A6E5" w14:textId="77777777" w:rsidR="00D47A7F" w:rsidRPr="005622BB" w:rsidRDefault="00D47A7F" w:rsidP="00D47A7F">
      <w:pPr>
        <w:spacing w:after="0" w:line="240" w:lineRule="auto"/>
        <w:contextualSpacing/>
        <w:jc w:val="both"/>
        <w:rPr>
          <w:rFonts w:ascii="Verdana" w:eastAsia="Calibri" w:hAnsi="Verdana" w:cs="Arial"/>
        </w:rPr>
      </w:pPr>
    </w:p>
    <w:p w14:paraId="6C5F8C0F" w14:textId="77777777" w:rsidR="00D47A7F" w:rsidRPr="005622BB" w:rsidRDefault="00D47A7F" w:rsidP="00D47A7F">
      <w:pPr>
        <w:spacing w:after="0" w:line="240" w:lineRule="auto"/>
        <w:contextualSpacing/>
        <w:jc w:val="both"/>
        <w:rPr>
          <w:rFonts w:ascii="Verdana" w:eastAsia="Calibri" w:hAnsi="Verdana" w:cs="Arial"/>
          <w:b/>
          <w:bCs/>
        </w:rPr>
      </w:pPr>
      <w:r w:rsidRPr="005622BB">
        <w:rPr>
          <w:rFonts w:ascii="Verdana" w:eastAsia="Calibri" w:hAnsi="Verdana" w:cs="Arial"/>
          <w:b/>
          <w:bCs/>
        </w:rPr>
        <w:t xml:space="preserve">ACUERDOS COMERCIALES ― Entidades estatales ― Deber de verificación </w:t>
      </w:r>
    </w:p>
    <w:p w14:paraId="288D18CE" w14:textId="77777777" w:rsidR="00D47A7F" w:rsidRPr="005622BB" w:rsidRDefault="00D47A7F" w:rsidP="00D47A7F">
      <w:pPr>
        <w:spacing w:after="0" w:line="240" w:lineRule="auto"/>
        <w:contextualSpacing/>
        <w:jc w:val="both"/>
        <w:rPr>
          <w:rFonts w:ascii="Verdana" w:eastAsia="Calibri" w:hAnsi="Verdana" w:cs="Arial"/>
        </w:rPr>
      </w:pPr>
    </w:p>
    <w:p w14:paraId="47FD6C54" w14:textId="77777777" w:rsidR="00D47A7F" w:rsidRPr="005622BB" w:rsidRDefault="00D47A7F" w:rsidP="00D47A7F">
      <w:pPr>
        <w:spacing w:after="0" w:line="240" w:lineRule="auto"/>
        <w:contextualSpacing/>
        <w:jc w:val="both"/>
        <w:rPr>
          <w:rFonts w:ascii="Verdana" w:eastAsia="Calibri" w:hAnsi="Verdana" w:cs="Arial"/>
        </w:rPr>
      </w:pPr>
      <w:r w:rsidRPr="005622BB">
        <w:rPr>
          <w:rFonts w:ascii="Verdana" w:eastAsia="Calibri" w:hAnsi="Verdana" w:cs="Arial"/>
        </w:rPr>
        <w:t>[…] las entidades estatales tienen la obligación de identificar los Acuerdos Comerciales aplicables a sus procesos de contratación, y de esta manera cumplir con las obligaciones previstas en materia de compras y contratación pública. Para ello, las entidades estatales deben tener en cuenta que los capítulos de compras y contratación pública de los acuerdos comerciales contienen: i) una lista de las entidades estatales incluidas en el acuerdo comercial; ii) los valores (umbrales) a partir de los cuales el Acuerdo Comercial es aplicable al proceso de contratación; y, iii) las excepciones a la aplicación del acuerdo comercial.</w:t>
      </w:r>
    </w:p>
    <w:p w14:paraId="6031B605" w14:textId="77777777" w:rsidR="00D47A7F" w:rsidRPr="005622BB" w:rsidRDefault="00D47A7F" w:rsidP="00D47A7F">
      <w:pPr>
        <w:spacing w:after="0" w:line="240" w:lineRule="auto"/>
        <w:contextualSpacing/>
        <w:jc w:val="both"/>
        <w:rPr>
          <w:rFonts w:ascii="Verdana" w:eastAsia="Calibri" w:hAnsi="Verdana" w:cs="Arial"/>
        </w:rPr>
      </w:pPr>
    </w:p>
    <w:p w14:paraId="6E20C00B" w14:textId="77777777" w:rsidR="00D47A7F" w:rsidRPr="005622BB" w:rsidRDefault="00D47A7F" w:rsidP="00D47A7F">
      <w:pPr>
        <w:tabs>
          <w:tab w:val="left" w:pos="442"/>
        </w:tabs>
        <w:spacing w:after="0" w:line="240" w:lineRule="auto"/>
        <w:contextualSpacing/>
        <w:jc w:val="both"/>
        <w:rPr>
          <w:rFonts w:ascii="Verdana" w:eastAsia="Calibri" w:hAnsi="Verdana" w:cs="Arial"/>
          <w:b/>
          <w:bCs/>
        </w:rPr>
      </w:pPr>
      <w:r w:rsidRPr="005622BB">
        <w:rPr>
          <w:rFonts w:ascii="Verdana" w:eastAsia="Calibri" w:hAnsi="Verdana" w:cs="Arial"/>
          <w:b/>
          <w:bCs/>
        </w:rPr>
        <w:t>COLOMBIA COMPRA EFICIENTE – Decreto Ley 4170 de 2011 – Naturaleza jurídica – Objeto</w:t>
      </w:r>
    </w:p>
    <w:p w14:paraId="79746B37" w14:textId="77777777" w:rsidR="00D47A7F" w:rsidRPr="005622BB" w:rsidRDefault="00D47A7F" w:rsidP="00D47A7F">
      <w:pPr>
        <w:tabs>
          <w:tab w:val="left" w:pos="442"/>
        </w:tabs>
        <w:spacing w:after="0" w:line="240" w:lineRule="auto"/>
        <w:contextualSpacing/>
        <w:jc w:val="both"/>
        <w:rPr>
          <w:rFonts w:ascii="Verdana" w:eastAsia="Calibri" w:hAnsi="Verdana" w:cs="Arial"/>
        </w:rPr>
      </w:pPr>
    </w:p>
    <w:p w14:paraId="02421BB0" w14:textId="77777777" w:rsidR="00D47A7F" w:rsidRPr="005622BB" w:rsidRDefault="00D47A7F" w:rsidP="00D47A7F">
      <w:pPr>
        <w:tabs>
          <w:tab w:val="left" w:pos="442"/>
        </w:tabs>
        <w:spacing w:after="0" w:line="240" w:lineRule="auto"/>
        <w:contextualSpacing/>
        <w:jc w:val="both"/>
        <w:rPr>
          <w:rFonts w:ascii="Verdana" w:eastAsia="Calibri" w:hAnsi="Verdana" w:cs="Arial"/>
        </w:rPr>
      </w:pPr>
      <w:r w:rsidRPr="005622BB">
        <w:rPr>
          <w:rFonts w:ascii="Verdana" w:eastAsia="Calibri" w:hAnsi="Verdana" w:cs="Arial"/>
        </w:rPr>
        <w:t xml:space="preserve">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facultando a la Agencia para “difundir las normas, reglas, procedimientos, medios tecnológicos y mejores prácticas para las compras y la contratación pública”, de conformidad con el numeral 10 del artículo 3 del Decreto Ley 4170 de 2011. […] En este contexto, concretamente el numeral 2 del artículo 3 del Decreto Ley 4170 de 2011 señala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w:t>
      </w:r>
      <w:r w:rsidRPr="005622BB">
        <w:rPr>
          <w:rFonts w:ascii="Verdana" w:eastAsia="Calibri" w:hAnsi="Verdana" w:cs="Arial"/>
        </w:rPr>
        <w:lastRenderedPageBreak/>
        <w:t>del mismo, a fin de que se cumplan los principios y procesos generales que deben gobernar la actividad contractual de las entidades públicas”.</w:t>
      </w:r>
    </w:p>
    <w:p w14:paraId="3D2CE868" w14:textId="77777777" w:rsidR="00D47A7F" w:rsidRPr="005622BB" w:rsidRDefault="00D47A7F" w:rsidP="00D47A7F">
      <w:pPr>
        <w:spacing w:after="0" w:line="240" w:lineRule="auto"/>
        <w:contextualSpacing/>
        <w:jc w:val="both"/>
        <w:rPr>
          <w:rFonts w:ascii="Verdana" w:eastAsia="Calibri" w:hAnsi="Verdana" w:cs="Arial"/>
        </w:rPr>
      </w:pPr>
    </w:p>
    <w:p w14:paraId="7EDCC3D5" w14:textId="77777777" w:rsidR="00D47A7F" w:rsidRPr="005622BB" w:rsidRDefault="00D47A7F" w:rsidP="00D47A7F">
      <w:pPr>
        <w:spacing w:after="0" w:line="240" w:lineRule="auto"/>
        <w:contextualSpacing/>
        <w:jc w:val="both"/>
        <w:rPr>
          <w:rFonts w:ascii="Verdana" w:eastAsia="Calibri" w:hAnsi="Verdana" w:cs="Arial"/>
          <w:b/>
          <w:bCs/>
        </w:rPr>
      </w:pPr>
      <w:r w:rsidRPr="005622BB">
        <w:rPr>
          <w:rFonts w:ascii="Verdana" w:eastAsia="Calibri" w:hAnsi="Verdana" w:cs="Arial"/>
          <w:b/>
          <w:bCs/>
        </w:rPr>
        <w:t>COLOMBIA COMPRA EFICIENTE – Funciones – Expedición de guías y manuales – Obligatoriedad de sus actos</w:t>
      </w:r>
    </w:p>
    <w:p w14:paraId="7651C25A" w14:textId="77777777" w:rsidR="00D47A7F" w:rsidRPr="005622BB" w:rsidRDefault="00D47A7F" w:rsidP="00D47A7F">
      <w:pPr>
        <w:spacing w:after="0" w:line="240" w:lineRule="auto"/>
        <w:contextualSpacing/>
        <w:jc w:val="both"/>
        <w:rPr>
          <w:rFonts w:ascii="Verdana" w:eastAsia="Calibri" w:hAnsi="Verdana" w:cs="Arial"/>
        </w:rPr>
      </w:pPr>
    </w:p>
    <w:p w14:paraId="399A0030" w14:textId="77777777" w:rsidR="00D47A7F" w:rsidRPr="005622BB" w:rsidRDefault="00D47A7F" w:rsidP="00D47A7F">
      <w:pPr>
        <w:spacing w:after="0" w:line="240" w:lineRule="auto"/>
        <w:jc w:val="both"/>
        <w:rPr>
          <w:rFonts w:ascii="Verdana" w:eastAsia="Calibri" w:hAnsi="Verdana" w:cs="Arial"/>
        </w:rPr>
      </w:pPr>
      <w:r w:rsidRPr="005622BB">
        <w:rPr>
          <w:rFonts w:ascii="Verdana" w:eastAsia="Calibri" w:hAnsi="Verdana" w:cs="Arial"/>
        </w:rPr>
        <w:t>En ejercicio de estas competencias conferidas por el Decreto Ley 4170 de 2011, Colombia Compra Eficiente ha expedido Guías, Manuales y Circulares, los cuales pueden ser calificados como herramientas de apoyo a los partícipes de la contratación pública.</w:t>
      </w:r>
    </w:p>
    <w:p w14:paraId="64061743" w14:textId="77777777" w:rsidR="00D47A7F" w:rsidRPr="005622BB" w:rsidRDefault="00D47A7F" w:rsidP="00D47A7F">
      <w:pPr>
        <w:spacing w:after="0" w:line="240" w:lineRule="auto"/>
        <w:contextualSpacing/>
        <w:jc w:val="both"/>
        <w:rPr>
          <w:rFonts w:ascii="Verdana" w:eastAsia="Calibri" w:hAnsi="Verdana" w:cs="Arial"/>
        </w:rPr>
      </w:pPr>
      <w:r w:rsidRPr="005622BB">
        <w:rPr>
          <w:rFonts w:ascii="Verdana" w:eastAsia="Calibri" w:hAnsi="Verdana" w:cs="Arial"/>
        </w:rPr>
        <w:t>[…]</w:t>
      </w:r>
    </w:p>
    <w:p w14:paraId="58B75FC6" w14:textId="77777777" w:rsidR="00D47A7F" w:rsidRPr="005622BB" w:rsidRDefault="00D47A7F" w:rsidP="00D47A7F">
      <w:pPr>
        <w:spacing w:after="0" w:line="240" w:lineRule="auto"/>
        <w:contextualSpacing/>
        <w:jc w:val="both"/>
        <w:rPr>
          <w:rFonts w:ascii="Verdana" w:eastAsia="Calibri" w:hAnsi="Verdana" w:cs="Arial"/>
        </w:rPr>
      </w:pPr>
      <w:r w:rsidRPr="005622BB">
        <w:rPr>
          <w:rFonts w:ascii="Verdana" w:eastAsia="Calibri" w:hAnsi="Verdana" w:cs="Arial"/>
        </w:rPr>
        <w:t>[…] lo que define la obligatoriedad de determinado acto que expida la entidad no es que se adopte mediante Circular Externa, sino que el contenido sea de aquellos cuya regulación ha sido encargada por el legislador o el Presidente de la República a la Agencia Nacional de Contratación Pública. Lo anterior hace referencia a uno de los elementos de los actos administrativos: la competencia.</w:t>
      </w:r>
    </w:p>
    <w:p w14:paraId="0DE20121" w14:textId="77777777" w:rsidR="00D47A7F" w:rsidRPr="005622BB" w:rsidRDefault="00D47A7F" w:rsidP="00D47A7F">
      <w:pPr>
        <w:spacing w:after="0" w:line="240" w:lineRule="auto"/>
        <w:contextualSpacing/>
        <w:jc w:val="both"/>
        <w:rPr>
          <w:rFonts w:ascii="Verdana" w:eastAsia="Calibri" w:hAnsi="Verdana" w:cs="Arial"/>
        </w:rPr>
      </w:pPr>
    </w:p>
    <w:p w14:paraId="32520C6E" w14:textId="77777777" w:rsidR="00D47A7F" w:rsidRPr="005622BB" w:rsidRDefault="00D47A7F" w:rsidP="00D47A7F">
      <w:pPr>
        <w:spacing w:after="0" w:line="240" w:lineRule="auto"/>
        <w:contextualSpacing/>
        <w:jc w:val="both"/>
        <w:rPr>
          <w:rFonts w:ascii="Verdana" w:eastAsia="Calibri" w:hAnsi="Verdana" w:cs="Arial"/>
        </w:rPr>
      </w:pPr>
      <w:r w:rsidRPr="005622BB">
        <w:rPr>
          <w:rFonts w:ascii="Verdana" w:eastAsia="Calibri" w:hAnsi="Verdana" w:cs="Arial"/>
        </w:rPr>
        <w:t>Además, para que un acto expedido por esta entidad sea obligatorio, debe reunir todos los demás elementos de un acto administrativo, entendido este, desde su concepción clásica, como la manifestación unilateral de voluntad de la Administración, en ejercicio de la función administrativa, con el potencial de producir efectos jurídicos.</w:t>
      </w:r>
    </w:p>
    <w:p w14:paraId="10B3AFB5" w14:textId="77777777" w:rsidR="00D47A7F" w:rsidRPr="005622BB" w:rsidRDefault="00D47A7F" w:rsidP="00D47A7F">
      <w:pPr>
        <w:spacing w:after="0" w:line="240" w:lineRule="auto"/>
        <w:contextualSpacing/>
        <w:jc w:val="both"/>
        <w:rPr>
          <w:rFonts w:ascii="Verdana" w:eastAsia="Calibri" w:hAnsi="Verdana" w:cs="Arial"/>
        </w:rPr>
      </w:pPr>
    </w:p>
    <w:p w14:paraId="58685AC4" w14:textId="77777777" w:rsidR="00D47A7F" w:rsidRPr="005622BB" w:rsidRDefault="00D47A7F" w:rsidP="00D47A7F">
      <w:pPr>
        <w:spacing w:after="0" w:line="240" w:lineRule="auto"/>
        <w:contextualSpacing/>
        <w:jc w:val="both"/>
        <w:rPr>
          <w:rFonts w:ascii="Verdana" w:eastAsia="Calibri" w:hAnsi="Verdana" w:cs="Arial"/>
          <w:b/>
          <w:bCs/>
        </w:rPr>
      </w:pPr>
      <w:r w:rsidRPr="005622BB">
        <w:rPr>
          <w:rFonts w:ascii="Verdana" w:eastAsia="Calibri" w:hAnsi="Verdana" w:cs="Arial"/>
          <w:b/>
          <w:bCs/>
        </w:rPr>
        <w:t>MANUAL DE ACUERDOS COMERCIALES – Alcance</w:t>
      </w:r>
    </w:p>
    <w:p w14:paraId="366EEAE5" w14:textId="77777777" w:rsidR="00D47A7F" w:rsidRPr="005622BB" w:rsidRDefault="00D47A7F" w:rsidP="00D47A7F">
      <w:pPr>
        <w:spacing w:after="0" w:line="240" w:lineRule="auto"/>
        <w:contextualSpacing/>
        <w:jc w:val="both"/>
        <w:rPr>
          <w:rFonts w:ascii="Verdana" w:eastAsia="Calibri" w:hAnsi="Verdana" w:cs="Arial"/>
          <w:b/>
          <w:bCs/>
        </w:rPr>
      </w:pPr>
    </w:p>
    <w:p w14:paraId="583616ED" w14:textId="77777777" w:rsidR="00D47A7F" w:rsidRPr="005622BB" w:rsidRDefault="00D47A7F" w:rsidP="00D47A7F">
      <w:pPr>
        <w:spacing w:after="0" w:line="240" w:lineRule="auto"/>
        <w:contextualSpacing/>
        <w:jc w:val="both"/>
        <w:rPr>
          <w:rFonts w:ascii="Verdana" w:eastAsia="Calibri" w:hAnsi="Verdana" w:cs="Arial"/>
        </w:rPr>
      </w:pPr>
      <w:r w:rsidRPr="005622BB">
        <w:rPr>
          <w:rFonts w:ascii="Verdana" w:eastAsia="Calibri" w:hAnsi="Verdana" w:cs="Arial"/>
        </w:rPr>
        <w:t xml:space="preserve">[…] tratándose del Manual para el manejo de los Acuerdos Comerciales en Procesos de Contratación, como lo indicó esta Subdirección en el Concepto con radicado No. 2201913000008425 del 13 de noviembre de 2019, “Las entidades estatales pueden hacer uso del “Manual para el manejo de los Acuerdos Comerciales en Procesos de Contratación”, expedido por Colombia Compra Eficiente como herramienta orientadora para conocer la cobertura de los Acuerdos Comerciales y los plazos correspondientes, sin embargo, el uso del manual no exime a la entidad del deber de conocer y aplicar cada Acuerdo Comercial”. En otras palabras, el Manual es una herramienta de orientación, pero no exime a las entidades estatales de verificar la cobertura y aplicar los acuerdos comerciales que resulten obligatorios en el correspondiente procedimiento de selección. Lo anterior guarda consonancia con los artículos 2.2.1.2.4.1.1. y 2.2.1.2.4.1.2. del Decreto 1082 de 2015, que disponen, respectivamente, que: “Las Entidades Estatales deben adelantar los Procesos de Contratación de acuerdo con lo previsto en los Acuerdos Comerciales, cuando estos les sean aplicables” y que “Si un mismo Proceso de Contratación está sometido a varios Acuerdos Comerciales, la Entidad Estatal debe adoptar las medidas necesarias para el cumplimiento de la totalidad de los compromisos previstos en los Acuerdos Comerciales”. De esta manera, las entidades estatales </w:t>
      </w:r>
      <w:r w:rsidRPr="005622BB">
        <w:rPr>
          <w:rFonts w:ascii="Verdana" w:eastAsia="Calibri" w:hAnsi="Verdana" w:cs="Arial"/>
        </w:rPr>
        <w:lastRenderedPageBreak/>
        <w:t>y los procesos contractuales cubiertos por los tratados suscritos entre Colombia y otros Estados son aquellos que aparecen en sus listas. Por ello, la determinación de si tales acuerdos comerciales aplican o no en un determinado procedimiento de selección corresponde realizarlo a cada entidad estatal, consultando el ámbito de cobertura de cada Acuerdo Comercial.</w:t>
      </w:r>
    </w:p>
    <w:p w14:paraId="272DD1CC" w14:textId="77777777" w:rsidR="00D47A7F" w:rsidRPr="005622BB" w:rsidRDefault="00D47A7F" w:rsidP="00D47A7F">
      <w:pPr>
        <w:spacing w:after="0" w:line="240" w:lineRule="auto"/>
        <w:contextualSpacing/>
        <w:jc w:val="both"/>
        <w:rPr>
          <w:rFonts w:ascii="Verdana" w:eastAsia="Calibri" w:hAnsi="Verdana" w:cs="Arial"/>
        </w:rPr>
      </w:pPr>
    </w:p>
    <w:p w14:paraId="6BA769EE" w14:textId="1097D237" w:rsidR="00D47A7F" w:rsidRPr="005622BB" w:rsidRDefault="00D47A7F">
      <w:pPr>
        <w:rPr>
          <w:rFonts w:ascii="Verdana" w:eastAsia="Calibri" w:hAnsi="Verdana" w:cs="Arial"/>
        </w:rPr>
      </w:pPr>
      <w:r w:rsidRPr="005622BB">
        <w:rPr>
          <w:rFonts w:ascii="Verdana" w:eastAsia="Calibri" w:hAnsi="Verdana" w:cs="Arial"/>
        </w:rPr>
        <w:br w:type="page"/>
      </w:r>
    </w:p>
    <w:p w14:paraId="380AFA88" w14:textId="5376C64A" w:rsidR="003A6E04" w:rsidRPr="005622BB" w:rsidRDefault="003A6E04" w:rsidP="003A6E04">
      <w:pPr>
        <w:spacing w:after="0" w:line="240" w:lineRule="auto"/>
        <w:jc w:val="both"/>
        <w:rPr>
          <w:rFonts w:ascii="Verdana" w:eastAsia="Calibri" w:hAnsi="Verdana" w:cs="Arial"/>
          <w:lang w:val="es-ES_tradnl"/>
        </w:rPr>
      </w:pPr>
      <w:r w:rsidRPr="005622BB">
        <w:rPr>
          <w:rFonts w:ascii="Verdana" w:hAnsi="Verdana"/>
        </w:rPr>
        <w:lastRenderedPageBreak/>
        <w:t>Bogotá D.C.</w:t>
      </w:r>
    </w:p>
    <w:p w14:paraId="1D37620B" w14:textId="77777777" w:rsidR="00155C27" w:rsidRPr="005622BB" w:rsidRDefault="00155C27" w:rsidP="00155C27">
      <w:pPr>
        <w:spacing w:after="0" w:line="240" w:lineRule="auto"/>
        <w:jc w:val="both"/>
        <w:rPr>
          <w:rFonts w:ascii="Verdana" w:eastAsia="Calibri" w:hAnsi="Verdana" w:cs="Arial"/>
          <w:lang w:val="es-ES_tradnl" w:eastAsia="es-ES"/>
        </w:rPr>
      </w:pPr>
      <w:r w:rsidRPr="005622BB">
        <w:rPr>
          <w:rFonts w:ascii="Verdana" w:eastAsia="Calibri" w:hAnsi="Verdana" w:cs="Arial"/>
          <w:lang w:val="es-ES_tradnl" w:eastAsia="es-ES"/>
        </w:rPr>
        <w:t>Señora</w:t>
      </w:r>
    </w:p>
    <w:p w14:paraId="70B8F86A" w14:textId="77777777" w:rsidR="00155C27" w:rsidRPr="005622BB" w:rsidRDefault="00155C27" w:rsidP="00155C27">
      <w:pPr>
        <w:spacing w:after="0" w:line="240" w:lineRule="auto"/>
        <w:rPr>
          <w:rFonts w:ascii="Verdana" w:eastAsia="Calibri" w:hAnsi="Verdana" w:cs="Arial"/>
          <w:b/>
          <w:lang w:eastAsia="es-ES_tradnl"/>
        </w:rPr>
      </w:pPr>
      <w:r w:rsidRPr="005622BB">
        <w:rPr>
          <w:rFonts w:ascii="Verdana" w:eastAsia="Calibri" w:hAnsi="Verdana" w:cs="Arial"/>
          <w:b/>
          <w:lang w:eastAsia="es-ES_tradnl"/>
        </w:rPr>
        <w:t>Maria Teresa Lezcano Rodríguez</w:t>
      </w:r>
    </w:p>
    <w:p w14:paraId="031EF219" w14:textId="77777777" w:rsidR="00155C27" w:rsidRPr="005622BB" w:rsidRDefault="00155C27" w:rsidP="00155C27">
      <w:pPr>
        <w:spacing w:after="0" w:line="240" w:lineRule="auto"/>
        <w:rPr>
          <w:rFonts w:ascii="Verdana" w:eastAsia="Calibri" w:hAnsi="Verdana" w:cs="Arial"/>
          <w:u w:val="single"/>
          <w:lang w:eastAsia="es-ES"/>
        </w:rPr>
      </w:pPr>
      <w:hyperlink r:id="rId10" w:history="1">
        <w:r w:rsidRPr="005622BB">
          <w:rPr>
            <w:rStyle w:val="Hipervnculo"/>
            <w:rFonts w:ascii="Verdana" w:eastAsia="Calibri" w:hAnsi="Verdana" w:cs="Arial"/>
            <w:lang w:eastAsia="es-ES"/>
          </w:rPr>
          <w:t>maria.lezcano@chia.gov.co</w:t>
        </w:r>
      </w:hyperlink>
    </w:p>
    <w:p w14:paraId="553A58A9" w14:textId="77777777" w:rsidR="00155C27" w:rsidRPr="005622BB" w:rsidRDefault="00155C27" w:rsidP="00155C27">
      <w:pPr>
        <w:spacing w:after="0" w:line="240" w:lineRule="auto"/>
        <w:rPr>
          <w:rFonts w:ascii="Verdana" w:eastAsia="Calibri" w:hAnsi="Verdana" w:cs="Arial"/>
          <w:lang w:val="es-ES_tradnl" w:eastAsia="es-ES"/>
        </w:rPr>
      </w:pPr>
      <w:r w:rsidRPr="005622BB">
        <w:rPr>
          <w:rFonts w:ascii="Verdana" w:eastAsia="Calibri" w:hAnsi="Verdana" w:cs="Arial"/>
          <w:lang w:val="es-ES_tradnl" w:eastAsia="es-ES"/>
        </w:rPr>
        <w:t xml:space="preserve">Chía, Cundinamarca. </w:t>
      </w:r>
    </w:p>
    <w:p w14:paraId="3A683259" w14:textId="77777777" w:rsidR="00155C27" w:rsidRPr="005622BB" w:rsidRDefault="00155C27" w:rsidP="00155C27">
      <w:pPr>
        <w:spacing w:after="0" w:line="240" w:lineRule="auto"/>
        <w:rPr>
          <w:rFonts w:ascii="Verdana" w:eastAsia="Calibri" w:hAnsi="Verdana" w:cs="Arial"/>
          <w:b/>
          <w:bCs/>
          <w:lang w:val="es-ES_tradnl" w:eastAsia="es-ES_tradnl"/>
        </w:rPr>
      </w:pPr>
    </w:p>
    <w:p w14:paraId="4A6060D7" w14:textId="77777777" w:rsidR="00155C27" w:rsidRDefault="00155C27" w:rsidP="00155C27">
      <w:pPr>
        <w:spacing w:after="0" w:line="240" w:lineRule="auto"/>
        <w:rPr>
          <w:rFonts w:ascii="Verdana" w:eastAsia="Calibri" w:hAnsi="Verdana" w:cs="Arial"/>
          <w:b/>
          <w:bCs/>
          <w:lang w:val="es-ES_tradnl" w:eastAsia="es-ES_tradnl"/>
        </w:rPr>
      </w:pPr>
    </w:p>
    <w:p w14:paraId="5F35BABA" w14:textId="1B81B308" w:rsidR="001B3F9B" w:rsidRPr="005622BB" w:rsidRDefault="001B3F9B" w:rsidP="001B3F9B">
      <w:pPr>
        <w:spacing w:after="0" w:line="240" w:lineRule="auto"/>
        <w:jc w:val="right"/>
        <w:rPr>
          <w:rFonts w:ascii="Verdana" w:eastAsia="Calibri" w:hAnsi="Verdana" w:cs="Arial"/>
          <w:b/>
          <w:bCs/>
          <w:lang w:val="es-ES_tradnl" w:eastAsia="es-ES_tradnl"/>
        </w:rPr>
      </w:pPr>
      <w:r w:rsidRPr="001B3F9B">
        <w:rPr>
          <w:rFonts w:ascii="Verdana" w:eastAsia="Calibri" w:hAnsi="Verdana" w:cs="Arial"/>
          <w:b/>
          <w:bCs/>
          <w:lang w:val="es-ES_tradnl" w:eastAsia="es-ES_tradnl"/>
        </w:rPr>
        <w:drawing>
          <wp:inline distT="0" distB="0" distL="0" distR="0" wp14:anchorId="59BDF540" wp14:editId="67766CB1">
            <wp:extent cx="2377646" cy="723963"/>
            <wp:effectExtent l="0" t="0" r="3810" b="0"/>
            <wp:docPr id="4029908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990858" name=""/>
                    <pic:cNvPicPr/>
                  </pic:nvPicPr>
                  <pic:blipFill>
                    <a:blip r:embed="rId11"/>
                    <a:stretch>
                      <a:fillRect/>
                    </a:stretch>
                  </pic:blipFill>
                  <pic:spPr>
                    <a:xfrm>
                      <a:off x="0" y="0"/>
                      <a:ext cx="2377646" cy="723963"/>
                    </a:xfrm>
                    <a:prstGeom prst="rect">
                      <a:avLst/>
                    </a:prstGeom>
                  </pic:spPr>
                </pic:pic>
              </a:graphicData>
            </a:graphic>
          </wp:inline>
        </w:drawing>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55C27" w:rsidRPr="005622BB" w14:paraId="184D40A9" w14:textId="77777777" w:rsidTr="000E4E64">
        <w:trPr>
          <w:trHeight w:val="884"/>
        </w:trPr>
        <w:tc>
          <w:tcPr>
            <w:tcW w:w="2689" w:type="dxa"/>
          </w:tcPr>
          <w:p w14:paraId="6E6FF025" w14:textId="77777777" w:rsidR="00155C27" w:rsidRPr="005622BB" w:rsidRDefault="00155C27" w:rsidP="000E4E64">
            <w:pPr>
              <w:jc w:val="both"/>
              <w:rPr>
                <w:rFonts w:ascii="Verdana" w:eastAsia="Calibri" w:hAnsi="Verdana" w:cs="Arial"/>
                <w:b/>
                <w:bCs/>
                <w:lang w:val="es-ES_tradnl" w:eastAsia="es-ES_tradnl"/>
              </w:rPr>
            </w:pPr>
          </w:p>
        </w:tc>
        <w:tc>
          <w:tcPr>
            <w:tcW w:w="6100" w:type="dxa"/>
          </w:tcPr>
          <w:p w14:paraId="575CA5B0" w14:textId="77777777" w:rsidR="00155C27" w:rsidRPr="005622BB" w:rsidRDefault="00155C27" w:rsidP="000E4E64">
            <w:pPr>
              <w:jc w:val="both"/>
              <w:rPr>
                <w:rFonts w:ascii="Verdana" w:eastAsia="Calibri" w:hAnsi="Verdana" w:cs="Arial"/>
                <w:b/>
                <w:bCs/>
                <w:lang w:val="es-ES_tradnl" w:eastAsia="es-ES"/>
              </w:rPr>
            </w:pPr>
            <w:r w:rsidRPr="005622BB">
              <w:rPr>
                <w:rFonts w:ascii="Verdana" w:eastAsia="Calibri" w:hAnsi="Verdana" w:cs="Arial"/>
                <w:b/>
                <w:bCs/>
                <w:lang w:val="es-ES_tradnl" w:eastAsia="es-ES"/>
              </w:rPr>
              <w:t xml:space="preserve">Concepto C – </w:t>
            </w:r>
            <w:r>
              <w:rPr>
                <w:rFonts w:ascii="Verdana" w:eastAsia="Calibri" w:hAnsi="Verdana" w:cs="Arial"/>
                <w:b/>
                <w:bCs/>
                <w:lang w:val="es-ES_tradnl" w:eastAsia="es-ES"/>
              </w:rPr>
              <w:t>8</w:t>
            </w:r>
            <w:r w:rsidRPr="005622BB">
              <w:rPr>
                <w:rFonts w:ascii="Verdana" w:eastAsia="Calibri" w:hAnsi="Verdana" w:cs="Arial"/>
                <w:b/>
                <w:bCs/>
                <w:lang w:val="es-ES_tradnl" w:eastAsia="es-ES"/>
              </w:rPr>
              <w:t>88 de 2024</w:t>
            </w:r>
          </w:p>
        </w:tc>
      </w:tr>
      <w:tr w:rsidR="00155C27" w:rsidRPr="005622BB" w14:paraId="775FF3E8" w14:textId="77777777" w:rsidTr="000E4E64">
        <w:trPr>
          <w:trHeight w:val="884"/>
        </w:trPr>
        <w:tc>
          <w:tcPr>
            <w:tcW w:w="2689" w:type="dxa"/>
          </w:tcPr>
          <w:p w14:paraId="66B64033" w14:textId="77777777" w:rsidR="00155C27" w:rsidRPr="005622BB" w:rsidRDefault="00155C27" w:rsidP="000E4E64">
            <w:pPr>
              <w:jc w:val="both"/>
              <w:rPr>
                <w:rFonts w:ascii="Verdana" w:eastAsia="Calibri" w:hAnsi="Verdana" w:cs="Arial"/>
                <w:lang w:val="es-ES_tradnl" w:eastAsia="es-ES_tradnl"/>
              </w:rPr>
            </w:pPr>
            <w:r w:rsidRPr="005622BB">
              <w:rPr>
                <w:rFonts w:ascii="Verdana" w:eastAsia="Calibri" w:hAnsi="Verdana" w:cs="Arial"/>
                <w:b/>
                <w:lang w:val="es-ES_tradnl" w:eastAsia="es-ES_tradnl"/>
              </w:rPr>
              <w:t>Temas:</w:t>
            </w:r>
            <w:r w:rsidRPr="005622BB">
              <w:rPr>
                <w:rFonts w:ascii="Verdana" w:eastAsia="Calibri" w:hAnsi="Verdana" w:cs="Arial"/>
                <w:lang w:val="es-ES_tradnl" w:eastAsia="es-ES_tradnl"/>
              </w:rPr>
              <w:t xml:space="preserve">                   </w:t>
            </w:r>
          </w:p>
        </w:tc>
        <w:tc>
          <w:tcPr>
            <w:tcW w:w="6100" w:type="dxa"/>
          </w:tcPr>
          <w:p w14:paraId="78C9D631" w14:textId="77777777" w:rsidR="00155C27" w:rsidRPr="005622BB" w:rsidRDefault="00155C27" w:rsidP="000E4E64">
            <w:pPr>
              <w:spacing w:line="276" w:lineRule="auto"/>
              <w:jc w:val="both"/>
              <w:rPr>
                <w:rFonts w:ascii="Verdana" w:eastAsia="Times New Roman" w:hAnsi="Verdana" w:cs="Arial"/>
                <w:lang w:val="es-ES_tradnl" w:eastAsia="es-ES_tradnl"/>
              </w:rPr>
            </w:pPr>
            <w:r w:rsidRPr="005622BB">
              <w:rPr>
                <w:rFonts w:ascii="Verdana" w:eastAsia="Times New Roman" w:hAnsi="Verdana" w:cs="Arial"/>
                <w:lang w:val="es-ES_tradnl" w:eastAsia="es-ES_tradnl"/>
              </w:rPr>
              <w:t>ACUERDOS COMERCIALES – Fuentes – Aplicabilidad – Incorporación / ACUERDOS COMERCIALES – Entidades estatales – Deber de verificación / COLOMBIA COMPRA EFICIENTE – Decreto Ley 4170 de 2011 – Naturaleza jurídica – Objeto / COLOMBIA COMPRA EFICIENTE – Funciones – Expedición de guías y manuales – Obligatoriedad de sus actos / MANUAL DE ACUERDOS COMERCIALES – Alcance</w:t>
            </w:r>
          </w:p>
          <w:p w14:paraId="722B04B1" w14:textId="77777777" w:rsidR="00155C27" w:rsidRPr="005622BB" w:rsidRDefault="00155C27" w:rsidP="000E4E64">
            <w:pPr>
              <w:spacing w:line="276" w:lineRule="auto"/>
              <w:jc w:val="both"/>
              <w:rPr>
                <w:rFonts w:ascii="Verdana" w:eastAsia="Calibri" w:hAnsi="Verdana" w:cs="Arial"/>
                <w:highlight w:val="yellow"/>
                <w:lang w:val="es-ES_tradnl" w:eastAsia="es-ES"/>
              </w:rPr>
            </w:pPr>
          </w:p>
        </w:tc>
      </w:tr>
      <w:tr w:rsidR="00155C27" w:rsidRPr="005622BB" w14:paraId="7722A009" w14:textId="77777777" w:rsidTr="000E4E64">
        <w:tc>
          <w:tcPr>
            <w:tcW w:w="2689" w:type="dxa"/>
          </w:tcPr>
          <w:p w14:paraId="371D03FE" w14:textId="77777777" w:rsidR="00155C27" w:rsidRPr="005622BB" w:rsidRDefault="00155C27" w:rsidP="000E4E64">
            <w:pPr>
              <w:jc w:val="both"/>
              <w:rPr>
                <w:rFonts w:ascii="Verdana" w:eastAsia="Calibri" w:hAnsi="Verdana" w:cs="Arial"/>
                <w:b/>
                <w:lang w:val="es-ES_tradnl" w:eastAsia="es-ES_tradnl"/>
              </w:rPr>
            </w:pPr>
            <w:r w:rsidRPr="005622BB">
              <w:rPr>
                <w:rFonts w:ascii="Verdana" w:eastAsia="Calibri" w:hAnsi="Verdana" w:cs="Arial"/>
                <w:b/>
                <w:lang w:val="es-ES_tradnl" w:eastAsia="es-ES_tradnl"/>
              </w:rPr>
              <w:t>Radicación:</w:t>
            </w:r>
            <w:r w:rsidRPr="005622BB">
              <w:rPr>
                <w:rFonts w:ascii="Verdana" w:eastAsia="Calibri" w:hAnsi="Verdana" w:cs="Arial"/>
                <w:lang w:val="es-ES_tradnl" w:eastAsia="es-ES_tradnl"/>
              </w:rPr>
              <w:t xml:space="preserve">               </w:t>
            </w:r>
          </w:p>
        </w:tc>
        <w:tc>
          <w:tcPr>
            <w:tcW w:w="6100" w:type="dxa"/>
          </w:tcPr>
          <w:p w14:paraId="6F2EF2B9" w14:textId="77777777" w:rsidR="00155C27" w:rsidRPr="005622BB" w:rsidRDefault="00155C27" w:rsidP="000E4E64">
            <w:pPr>
              <w:jc w:val="both"/>
              <w:rPr>
                <w:rFonts w:ascii="Verdana" w:eastAsia="Calibri" w:hAnsi="Verdana" w:cs="Arial"/>
                <w:lang w:val="es-ES_tradnl" w:eastAsia="es-ES_tradnl"/>
              </w:rPr>
            </w:pPr>
            <w:r w:rsidRPr="005622BB">
              <w:rPr>
                <w:rFonts w:ascii="Verdana" w:eastAsia="Calibri" w:hAnsi="Verdana" w:cs="Arial"/>
                <w:lang w:val="es-ES_tradnl" w:eastAsia="es-ES_tradnl"/>
              </w:rPr>
              <w:t>Respuesta a consulta con radicado No. P20241119011621.</w:t>
            </w:r>
          </w:p>
        </w:tc>
      </w:tr>
    </w:tbl>
    <w:p w14:paraId="06626ACA" w14:textId="77777777" w:rsidR="00155C27" w:rsidRPr="005622BB" w:rsidRDefault="00155C27" w:rsidP="00155C27">
      <w:pPr>
        <w:spacing w:after="0" w:line="240" w:lineRule="auto"/>
        <w:jc w:val="both"/>
        <w:rPr>
          <w:rFonts w:ascii="Verdana" w:eastAsia="Calibri" w:hAnsi="Verdana" w:cs="Arial"/>
          <w:lang w:val="es-ES_tradnl" w:eastAsia="es-ES_tradnl"/>
        </w:rPr>
      </w:pPr>
    </w:p>
    <w:p w14:paraId="08A7820E" w14:textId="77777777" w:rsidR="00155C27" w:rsidRPr="005622BB" w:rsidRDefault="00155C27" w:rsidP="00155C27">
      <w:pPr>
        <w:spacing w:after="0" w:line="240" w:lineRule="auto"/>
        <w:jc w:val="both"/>
        <w:rPr>
          <w:rFonts w:ascii="Verdana" w:eastAsia="Calibri" w:hAnsi="Verdana" w:cs="Arial"/>
          <w:lang w:val="es-ES_tradnl" w:eastAsia="es-ES_tradnl"/>
        </w:rPr>
      </w:pPr>
    </w:p>
    <w:p w14:paraId="1D350F2E" w14:textId="77777777" w:rsidR="00155C27" w:rsidRPr="005622BB" w:rsidRDefault="00155C27" w:rsidP="00155C27">
      <w:pPr>
        <w:spacing w:after="0" w:line="276" w:lineRule="auto"/>
        <w:jc w:val="both"/>
        <w:rPr>
          <w:rFonts w:ascii="Verdana" w:eastAsia="Calibri" w:hAnsi="Verdana" w:cs="Arial"/>
          <w:lang w:val="es-ES_tradnl" w:eastAsia="es-ES"/>
        </w:rPr>
      </w:pPr>
      <w:r w:rsidRPr="005622BB">
        <w:rPr>
          <w:rFonts w:ascii="Verdana" w:eastAsia="Calibri" w:hAnsi="Verdana" w:cs="Arial"/>
          <w:lang w:val="es-ES_tradnl" w:eastAsia="es-ES"/>
        </w:rPr>
        <w:t xml:space="preserve">Estimada señora Lezcano:  </w:t>
      </w:r>
    </w:p>
    <w:p w14:paraId="1794251D" w14:textId="77777777" w:rsidR="00155C27" w:rsidRPr="005622BB" w:rsidRDefault="00155C27" w:rsidP="00155C27">
      <w:pPr>
        <w:tabs>
          <w:tab w:val="left" w:pos="3768"/>
        </w:tabs>
        <w:spacing w:after="0" w:line="276" w:lineRule="auto"/>
        <w:jc w:val="both"/>
        <w:rPr>
          <w:rFonts w:ascii="Verdana" w:eastAsia="Calibri" w:hAnsi="Verdana" w:cs="Arial"/>
          <w:lang w:val="es-ES_tradnl" w:eastAsia="es-ES"/>
        </w:rPr>
      </w:pPr>
      <w:r w:rsidRPr="005622BB">
        <w:rPr>
          <w:rFonts w:ascii="Verdana" w:eastAsia="Calibri" w:hAnsi="Verdana" w:cs="Arial"/>
          <w:lang w:val="es-ES_tradnl" w:eastAsia="es-ES"/>
        </w:rPr>
        <w:tab/>
      </w:r>
    </w:p>
    <w:p w14:paraId="2960955D" w14:textId="77777777" w:rsidR="00155C27" w:rsidRPr="005622BB" w:rsidRDefault="00155C27" w:rsidP="00155C27">
      <w:pPr>
        <w:snapToGrid w:val="0"/>
        <w:spacing w:after="0" w:line="276" w:lineRule="auto"/>
        <w:jc w:val="both"/>
        <w:rPr>
          <w:rFonts w:ascii="Verdana" w:eastAsia="Calibri" w:hAnsi="Verdana" w:cs="Arial"/>
          <w:lang w:val="es-ES_tradnl" w:eastAsia="es-ES"/>
        </w:rPr>
      </w:pPr>
      <w:r w:rsidRPr="005622BB">
        <w:rPr>
          <w:rFonts w:ascii="Verdana" w:eastAsia="Calibri" w:hAnsi="Verdana" w:cs="Arial"/>
          <w:lang w:val="es-ES_tradnl" w:eastAsia="es-ES"/>
        </w:rPr>
        <w:t>En ejercicio de la competencia otorgada por los artículos 3, numeral 5º, y 11, numeral 8º, del Decreto Ley 4170 de 2011,</w:t>
      </w:r>
      <w:r w:rsidRPr="005622BB">
        <w:rPr>
          <w:rFonts w:ascii="Verdana" w:eastAsia="Arial MT" w:hAnsi="Verdana" w:cs="Arial MT"/>
          <w:lang w:val="es-ES_tradnl" w:eastAsia="es-ES"/>
        </w:rPr>
        <w:t xml:space="preserve"> </w:t>
      </w:r>
      <w:r w:rsidRPr="005622BB">
        <w:rPr>
          <w:rFonts w:ascii="Verdana" w:eastAsia="Calibri" w:hAnsi="Verdana" w:cs="Arial"/>
          <w:lang w:val="es-ES_tradnl"/>
        </w:rPr>
        <w:t xml:space="preserve">así como lo establecido en el artículo 4 de la Resolución 1707 de 2018 expedida por esta Entidad, </w:t>
      </w:r>
      <w:r w:rsidRPr="005622BB">
        <w:rPr>
          <w:rFonts w:ascii="Verdana" w:eastAsia="Calibri" w:hAnsi="Verdana" w:cs="Arial"/>
          <w:lang w:val="es-ES_tradnl" w:eastAsia="es-ES"/>
        </w:rPr>
        <w:t>la Agencia Nacional de Contratación Pública – Colombia Compra Eficiente– responde su solicitud de consulta de fecha 19 de noviembre de 2024, la cual indica:</w:t>
      </w:r>
    </w:p>
    <w:p w14:paraId="794EE3BA" w14:textId="77777777" w:rsidR="00155C27" w:rsidRPr="005622BB" w:rsidRDefault="00155C27" w:rsidP="00155C27">
      <w:pPr>
        <w:tabs>
          <w:tab w:val="left" w:pos="142"/>
          <w:tab w:val="left" w:pos="284"/>
        </w:tabs>
        <w:snapToGrid w:val="0"/>
        <w:spacing w:after="0" w:line="240" w:lineRule="auto"/>
        <w:jc w:val="both"/>
        <w:rPr>
          <w:rFonts w:ascii="Verdana" w:eastAsia="Century Gothic" w:hAnsi="Verdana" w:cs="Century Gothic"/>
          <w:b/>
          <w:bCs/>
          <w:lang w:val="es-ES_tradnl"/>
        </w:rPr>
      </w:pPr>
    </w:p>
    <w:p w14:paraId="628359B1" w14:textId="77777777" w:rsidR="00155C27" w:rsidRPr="005622BB" w:rsidRDefault="00155C27" w:rsidP="00155C27">
      <w:pPr>
        <w:snapToGrid w:val="0"/>
        <w:spacing w:after="0" w:line="240" w:lineRule="auto"/>
        <w:ind w:left="720" w:right="709"/>
        <w:jc w:val="both"/>
        <w:rPr>
          <w:rFonts w:ascii="Verdana" w:eastAsia="Century Gothic" w:hAnsi="Verdana" w:cs="Century Gothic"/>
        </w:rPr>
      </w:pPr>
      <w:r w:rsidRPr="005622BB">
        <w:rPr>
          <w:rFonts w:ascii="Verdana" w:eastAsia="Century Gothic" w:hAnsi="Verdana" w:cs="Century Gothic"/>
          <w:lang w:val="es-ES_tradnl"/>
        </w:rPr>
        <w:t>“</w:t>
      </w:r>
      <w:r w:rsidRPr="005622BB">
        <w:rPr>
          <w:rFonts w:ascii="Verdana" w:eastAsia="Century Gothic" w:hAnsi="Verdana" w:cs="Century Gothic"/>
        </w:rPr>
        <w:t>De conformidad con el numeral 8 del artículo 2.2.1.1.2.1.1 del Decreto No. 1082 de 2015, que establece:</w:t>
      </w:r>
    </w:p>
    <w:p w14:paraId="6414D6B5" w14:textId="77777777" w:rsidR="00155C27" w:rsidRPr="005622BB" w:rsidRDefault="00155C27" w:rsidP="00155C27">
      <w:pPr>
        <w:snapToGrid w:val="0"/>
        <w:spacing w:after="0" w:line="240" w:lineRule="auto"/>
        <w:ind w:left="720" w:right="709"/>
        <w:jc w:val="both"/>
        <w:rPr>
          <w:rFonts w:ascii="Verdana" w:eastAsia="Century Gothic" w:hAnsi="Verdana" w:cs="Century Gothic"/>
        </w:rPr>
      </w:pPr>
      <w:r w:rsidRPr="005622BB">
        <w:rPr>
          <w:rFonts w:ascii="Verdana" w:eastAsia="Century Gothic" w:hAnsi="Verdana" w:cs="Century Gothic"/>
          <w:i/>
          <w:iCs/>
        </w:rPr>
        <w:t>ARTÍCULO 2.2.1.1.2.1.1. Estudios y documentos previos.</w:t>
      </w:r>
      <w:r w:rsidRPr="005622BB">
        <w:rPr>
          <w:rFonts w:ascii="Verdana" w:eastAsia="Century Gothic" w:hAnsi="Verdana" w:cs="Century Gothic"/>
        </w:rPr>
        <w:t xml:space="preserve"> Los estudios y documentos previos son el soporte para elaborar el proyecto de pliegos, los pliegos de condiciones y el contrato. Estos deben permanecer a disposición del público durante el desarrollo </w:t>
      </w:r>
      <w:r w:rsidRPr="005622BB">
        <w:rPr>
          <w:rFonts w:ascii="Verdana" w:eastAsia="Century Gothic" w:hAnsi="Verdana" w:cs="Century Gothic"/>
        </w:rPr>
        <w:lastRenderedPageBreak/>
        <w:t>del Proceso de Contratación y contener los siguientes elementos, además de los indicados para cada modalidad de selección:</w:t>
      </w:r>
    </w:p>
    <w:p w14:paraId="0E7DBDD1"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La descripción de la necesidad que la Entidad Estatal pretende satisfacer con el Proceso de Contratación.</w:t>
      </w:r>
    </w:p>
    <w:p w14:paraId="08E7A929"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El objeto a contratar, con sus especificaciones, las autorizaciones, permisos y licencias requeridos para su ejecución, y cuando el contrato incluye diseño y construcción, los documentos técnicos para el desarrollo del proyecto.</w:t>
      </w:r>
    </w:p>
    <w:p w14:paraId="3A514025"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La modalidad de selección del contratista y su justificación, incluyendo los fundamentos jurídicos.</w:t>
      </w:r>
    </w:p>
    <w:p w14:paraId="5A169266"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El valor estimado del contrato y la justificación del mismo.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w:t>
      </w:r>
    </w:p>
    <w:p w14:paraId="2EFB2D6B"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Los criterios para seleccionar la oferta más favorable.</w:t>
      </w:r>
    </w:p>
    <w:p w14:paraId="750A3DF4"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El análisis de riesgo y la forma de mitigarlo.</w:t>
      </w:r>
    </w:p>
    <w:p w14:paraId="24F7C2E9"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Las garantías que la Entidad Estatal contempla exigir en el proceso de contratación.</w:t>
      </w:r>
    </w:p>
    <w:p w14:paraId="4FFD357E"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La indicación de si el proceso de contratación está cobijado por un acuerdo comercial. </w:t>
      </w:r>
      <w:r w:rsidRPr="005622BB">
        <w:rPr>
          <w:rFonts w:ascii="Verdana" w:eastAsia="Century Gothic" w:hAnsi="Verdana" w:cs="Century Gothic"/>
          <w:i/>
          <w:iCs/>
        </w:rPr>
        <w:t>El presente artículo no es aplicable a la contratación por mínima cuantía.</w:t>
      </w:r>
    </w:p>
    <w:p w14:paraId="3FF9FC3D" w14:textId="77777777" w:rsidR="00155C27" w:rsidRPr="005622BB" w:rsidRDefault="00155C27" w:rsidP="00155C27">
      <w:pPr>
        <w:snapToGrid w:val="0"/>
        <w:spacing w:after="0" w:line="240" w:lineRule="auto"/>
        <w:ind w:left="720" w:right="709"/>
        <w:jc w:val="both"/>
        <w:rPr>
          <w:rFonts w:ascii="Verdana" w:eastAsia="Century Gothic" w:hAnsi="Verdana" w:cs="Century Gothic"/>
        </w:rPr>
      </w:pPr>
      <w:r w:rsidRPr="005622BB">
        <w:rPr>
          <w:rFonts w:ascii="Verdana" w:eastAsia="Century Gothic" w:hAnsi="Verdana" w:cs="Century Gothic"/>
        </w:rPr>
        <w:t>Además, en el Concepto N° C-203 de 2022 de la Agencia Nacional de Contratación Pública, emitido el 13 de abril de 2022, se indicó:</w:t>
      </w:r>
    </w:p>
    <w:p w14:paraId="744E855A" w14:textId="77777777" w:rsidR="00155C27" w:rsidRPr="005622BB" w:rsidRDefault="00155C27" w:rsidP="00155C27">
      <w:pPr>
        <w:snapToGrid w:val="0"/>
        <w:spacing w:after="0" w:line="240" w:lineRule="auto"/>
        <w:ind w:left="720" w:right="709"/>
        <w:jc w:val="both"/>
        <w:rPr>
          <w:rFonts w:ascii="Verdana" w:eastAsia="Century Gothic" w:hAnsi="Verdana" w:cs="Century Gothic"/>
        </w:rPr>
      </w:pPr>
      <w:r w:rsidRPr="005622BB">
        <w:rPr>
          <w:rFonts w:ascii="Verdana" w:eastAsia="Century Gothic" w:hAnsi="Verdana" w:cs="Century Gothic"/>
          <w:i/>
          <w:iCs/>
        </w:rPr>
        <w:t>“…En todo caso, se resalta que, por regla general, los umbrales que establecen los Acuerdos Comerciales son superiores al valor máximo de la mínima cuantía y, por tanto, en razón del umbral, los procesos de contratación mediante la modalidad de mínima cuantía, generalmente, no resultarían cubiertos por los Acuerdos Comerciales.”</w:t>
      </w:r>
    </w:p>
    <w:p w14:paraId="035EBBB2" w14:textId="77777777" w:rsidR="00155C27" w:rsidRPr="005622BB" w:rsidRDefault="00155C27" w:rsidP="00155C27">
      <w:pPr>
        <w:snapToGrid w:val="0"/>
        <w:spacing w:after="0" w:line="240" w:lineRule="auto"/>
        <w:ind w:left="720" w:right="709"/>
        <w:jc w:val="both"/>
        <w:rPr>
          <w:rFonts w:ascii="Verdana" w:eastAsia="Century Gothic" w:hAnsi="Verdana" w:cs="Century Gothic"/>
        </w:rPr>
      </w:pPr>
      <w:r w:rsidRPr="005622BB">
        <w:rPr>
          <w:rFonts w:ascii="Verdana" w:eastAsia="Century Gothic" w:hAnsi="Verdana" w:cs="Century Gothic"/>
        </w:rPr>
        <w:t>En ese orden de ideas, la solicitud es aclarar si los acuerdos comerciales deben incluirse en los estudios previos, teniendo en cuenta que en la Alcaldía de Chía se está interpretando de manera diferente, afirmando que, según el manual, es obligatorio que los procesos de mínima cuantía estén cubiertos por acuerdos comerciales.</w:t>
      </w:r>
      <w:r w:rsidRPr="005622BB">
        <w:rPr>
          <w:rFonts w:ascii="Verdana" w:eastAsia="Century Gothic" w:hAnsi="Verdana" w:cs="Century Gothic"/>
          <w:i/>
          <w:iCs/>
          <w:lang w:val="es-ES"/>
        </w:rPr>
        <w:t>?”</w:t>
      </w:r>
    </w:p>
    <w:p w14:paraId="645341A7" w14:textId="77777777" w:rsidR="00155C27" w:rsidRPr="005622BB" w:rsidRDefault="00155C27" w:rsidP="00155C27">
      <w:pPr>
        <w:tabs>
          <w:tab w:val="left" w:pos="142"/>
          <w:tab w:val="left" w:pos="284"/>
        </w:tabs>
        <w:spacing w:line="276" w:lineRule="auto"/>
        <w:contextualSpacing/>
        <w:jc w:val="both"/>
        <w:rPr>
          <w:rFonts w:ascii="Verdana" w:eastAsia="Century Gothic" w:hAnsi="Verdana" w:cs="Century Gothic"/>
          <w:b/>
          <w:bCs/>
          <w:lang w:val="es-ES_tradnl"/>
        </w:rPr>
      </w:pPr>
    </w:p>
    <w:p w14:paraId="690A8107" w14:textId="77777777" w:rsidR="00155C27" w:rsidRPr="005622BB" w:rsidRDefault="00155C27" w:rsidP="00155C27">
      <w:pPr>
        <w:spacing w:after="120" w:line="276" w:lineRule="auto"/>
        <w:ind w:firstLine="709"/>
        <w:jc w:val="both"/>
        <w:rPr>
          <w:rFonts w:ascii="Verdana" w:eastAsia="Calibri" w:hAnsi="Verdana" w:cs="Arial"/>
          <w:lang w:val="es-ES" w:eastAsia="es-ES"/>
        </w:rPr>
      </w:pPr>
      <w:r w:rsidRPr="005622B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622BB">
        <w:rPr>
          <w:rFonts w:ascii="Verdana" w:eastAsia="Calibri" w:hAnsi="Verdana" w:cs="Arial"/>
          <w:lang w:val="es-ES" w:eastAsia="es-ES"/>
        </w:rPr>
        <w:lastRenderedPageBreak/>
        <w:t xml:space="preserve">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622BB">
        <w:rPr>
          <w:rFonts w:ascii="Verdana" w:eastAsia="Calibri" w:hAnsi="Verdana" w:cs="Times New Roman"/>
        </w:rPr>
        <w:tab/>
      </w:r>
    </w:p>
    <w:p w14:paraId="5304CFD2" w14:textId="77777777" w:rsidR="00155C27" w:rsidRPr="005622BB" w:rsidRDefault="00155C27" w:rsidP="00155C27">
      <w:pPr>
        <w:snapToGrid w:val="0"/>
        <w:spacing w:after="0" w:line="276" w:lineRule="auto"/>
        <w:ind w:firstLine="709"/>
        <w:jc w:val="both"/>
        <w:rPr>
          <w:rFonts w:ascii="Verdana" w:eastAsia="Calibri" w:hAnsi="Verdana" w:cs="Arial"/>
          <w:lang w:val="es-ES_tradnl" w:eastAsia="es-ES"/>
        </w:rPr>
      </w:pPr>
      <w:r w:rsidRPr="005622BB">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AA582CD" w14:textId="77777777" w:rsidR="00155C27" w:rsidRPr="005622BB" w:rsidRDefault="00155C27" w:rsidP="00155C27">
      <w:pPr>
        <w:snapToGrid w:val="0"/>
        <w:spacing w:after="0" w:line="276" w:lineRule="auto"/>
        <w:ind w:firstLine="709"/>
        <w:jc w:val="both"/>
        <w:rPr>
          <w:rFonts w:ascii="Verdana" w:eastAsia="Calibri" w:hAnsi="Verdana" w:cs="Arial"/>
          <w:lang w:val="es-ES_tradnl" w:eastAsia="es-ES"/>
        </w:rPr>
      </w:pPr>
    </w:p>
    <w:p w14:paraId="3A97F8AB" w14:textId="77777777" w:rsidR="00155C27" w:rsidRPr="005622BB" w:rsidRDefault="00155C27" w:rsidP="00155C2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5622BB">
        <w:rPr>
          <w:rFonts w:ascii="Verdana" w:eastAsia="Century Gothic" w:hAnsi="Verdana" w:cs="Century Gothic"/>
          <w:b/>
          <w:bCs/>
          <w:lang w:val="es-ES_tradnl"/>
        </w:rPr>
        <w:t>Problema planteado:</w:t>
      </w:r>
    </w:p>
    <w:p w14:paraId="732B9E3F" w14:textId="77777777" w:rsidR="00155C27" w:rsidRPr="005622BB" w:rsidRDefault="00155C27" w:rsidP="00155C27">
      <w:pPr>
        <w:tabs>
          <w:tab w:val="left" w:pos="426"/>
        </w:tabs>
        <w:snapToGrid w:val="0"/>
        <w:spacing w:after="0" w:line="276" w:lineRule="auto"/>
        <w:jc w:val="both"/>
        <w:rPr>
          <w:rFonts w:ascii="Verdana" w:eastAsia="Century Gothic" w:hAnsi="Verdana" w:cs="Century Gothic"/>
          <w:lang w:val="es-ES_tradnl"/>
        </w:rPr>
      </w:pPr>
    </w:p>
    <w:p w14:paraId="6B62C6D4" w14:textId="77777777" w:rsidR="00155C27" w:rsidRPr="005622BB" w:rsidRDefault="00155C27" w:rsidP="00155C27">
      <w:pPr>
        <w:snapToGrid w:val="0"/>
        <w:spacing w:after="0" w:line="276" w:lineRule="auto"/>
        <w:jc w:val="both"/>
        <w:rPr>
          <w:rFonts w:ascii="Verdana" w:eastAsia="Century Gothic" w:hAnsi="Verdana" w:cs="Century Gothic"/>
        </w:rPr>
      </w:pPr>
      <w:r w:rsidRPr="005622BB">
        <w:rPr>
          <w:rFonts w:ascii="Verdana" w:eastAsia="Century Gothic" w:hAnsi="Verdana" w:cs="Century Gothic"/>
          <w:lang w:val="es-ES"/>
        </w:rPr>
        <w:t>De acuerdo con el contenido de su solicitud, esta Agencia resolverá el siguiente problema jurídico: ¿</w:t>
      </w:r>
      <w:r w:rsidRPr="005622BB">
        <w:rPr>
          <w:rFonts w:ascii="Verdana" w:eastAsia="Century Gothic" w:hAnsi="Verdana" w:cs="Century Gothic"/>
        </w:rPr>
        <w:t>Están obligadas las entidades estatales a aplicar los acuerdos comerciales en los procesos de contratación de mínima cuantía? </w:t>
      </w:r>
    </w:p>
    <w:p w14:paraId="47729B3E" w14:textId="77777777" w:rsidR="00155C27" w:rsidRPr="005622BB" w:rsidRDefault="00155C27" w:rsidP="00155C27">
      <w:pPr>
        <w:snapToGrid w:val="0"/>
        <w:spacing w:after="0" w:line="276" w:lineRule="auto"/>
        <w:jc w:val="both"/>
        <w:rPr>
          <w:rFonts w:ascii="Verdana" w:eastAsia="Century Gothic" w:hAnsi="Verdana" w:cs="Century Gothic"/>
          <w:lang w:val="es-ES"/>
        </w:rPr>
      </w:pPr>
    </w:p>
    <w:p w14:paraId="12BA667A" w14:textId="77777777" w:rsidR="00155C27" w:rsidRPr="005622BB" w:rsidRDefault="00155C27" w:rsidP="00155C2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5622BB">
        <w:rPr>
          <w:rFonts w:ascii="Verdana" w:eastAsia="Century Gothic" w:hAnsi="Verdana" w:cs="Century Gothic"/>
          <w:b/>
          <w:bCs/>
          <w:lang w:val="es-ES_tradnl"/>
        </w:rPr>
        <w:t>Respuesta:</w:t>
      </w:r>
    </w:p>
    <w:p w14:paraId="13FA1EB4" w14:textId="77777777" w:rsidR="00155C27" w:rsidRPr="005622BB" w:rsidRDefault="00155C27" w:rsidP="00155C27">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55C27" w:rsidRPr="005622BB" w14:paraId="232BF79D" w14:textId="77777777" w:rsidTr="000E4E64">
        <w:tc>
          <w:tcPr>
            <w:tcW w:w="8828" w:type="dxa"/>
            <w:shd w:val="clear" w:color="auto" w:fill="auto"/>
          </w:tcPr>
          <w:p w14:paraId="7D78A4B2" w14:textId="77777777" w:rsidR="00155C27" w:rsidRPr="005622BB" w:rsidRDefault="00155C27" w:rsidP="000E4E64">
            <w:pPr>
              <w:widowControl w:val="0"/>
              <w:autoSpaceDE w:val="0"/>
              <w:autoSpaceDN w:val="0"/>
              <w:spacing w:beforeLines="120" w:before="288" w:line="276" w:lineRule="auto"/>
              <w:contextualSpacing/>
              <w:jc w:val="both"/>
              <w:rPr>
                <w:rFonts w:ascii="Verdana" w:eastAsia="Calibri" w:hAnsi="Verdana" w:cs="Arial"/>
              </w:rPr>
            </w:pPr>
            <w:r w:rsidRPr="005622BB">
              <w:rPr>
                <w:rFonts w:ascii="Verdana" w:eastAsia="Calibri" w:hAnsi="Verdana" w:cs="Arial"/>
              </w:rPr>
              <w:t>Los Acuerdos Comerciales son tratados internacionales celebrados entre Estados e incorporados a los ordenamientos nacionales, cuyo contenido consagra derechos y obligaciones en distintas materias, entre estas las compras públicas. Por esta razón, las Entidades Estatales tienen la obligación de identificar los Acuerdo Comerciales aplicables a sus Procesos de Contratación, y de esta manera cumplir con las obligaciones previstas en materia de compras y contratación pública. Para ello, las Entidades Estatales deben tener en cuenta que los capítulos de compras y contratación pública de los Acuerdos Comerciales contienen: i) una lista de las Entidades Estatales incluidas en el Acuerdo Comercial; ii) los valores a partir de los cuales el Acuerdo Comercial es aplicable al Proceso de Contratación –umbrales–; y iii) las excepciones a la aplicación del Acuerdo Comercial.</w:t>
            </w:r>
          </w:p>
          <w:p w14:paraId="1853418B" w14:textId="77777777" w:rsidR="00155C27" w:rsidRDefault="00155C27" w:rsidP="000E4E64">
            <w:pPr>
              <w:spacing w:before="120" w:after="120" w:line="276" w:lineRule="auto"/>
              <w:jc w:val="both"/>
              <w:rPr>
                <w:rFonts w:ascii="Verdana" w:eastAsia="Calibri" w:hAnsi="Verdana" w:cs="Arial"/>
              </w:rPr>
            </w:pPr>
            <w:r w:rsidRPr="005622BB">
              <w:rPr>
                <w:rFonts w:ascii="Verdana" w:eastAsia="Calibri" w:hAnsi="Verdana" w:cs="Arial"/>
              </w:rPr>
              <w:t xml:space="preserve">Adicionalmente, resulta a bien recalcar que el “Manual para el manejo de los Acuerdos Comerciales en Procesos de Contratación” expedido por la Agencia Nacional de Contratación Pública – Colombia Compra Eficiente, constituye una herramienta orientadora para conocer la cobertura, excepciones y los plazos </w:t>
            </w:r>
            <w:r w:rsidRPr="005622BB">
              <w:rPr>
                <w:rFonts w:ascii="Verdana" w:eastAsia="Calibri" w:hAnsi="Verdana" w:cs="Arial"/>
              </w:rPr>
              <w:lastRenderedPageBreak/>
              <w:t>correspondientes contemplados en los Acuerdos Comerciales. Sin embargo, el uso de dicho manual no exime a la entidad de deber de conocer y aplicar cada Acuerdo Comercial.</w:t>
            </w:r>
          </w:p>
          <w:p w14:paraId="4D063528" w14:textId="77777777" w:rsidR="00155C27" w:rsidRDefault="00155C27" w:rsidP="000E4E64">
            <w:pPr>
              <w:spacing w:before="120" w:after="120" w:line="276" w:lineRule="auto"/>
              <w:jc w:val="both"/>
              <w:rPr>
                <w:rFonts w:ascii="Verdana" w:eastAsia="Calibri" w:hAnsi="Verdana" w:cs="Arial"/>
              </w:rPr>
            </w:pPr>
            <w:r>
              <w:rPr>
                <w:rFonts w:ascii="Verdana" w:eastAsia="Calibri" w:hAnsi="Verdana" w:cs="Arial"/>
              </w:rPr>
              <w:t xml:space="preserve">En este sentido, la Entidad estatal deber de realizar el análisis de cada uno de los acuerdos comerciales con el fin de determinar si aplica o no en el proceso de selección que se encuentra adelantando independiente de su modalidad de contratación. En ese orden de ideas, </w:t>
            </w:r>
            <w:r w:rsidRPr="00681B8B">
              <w:rPr>
                <w:rFonts w:ascii="Verdana" w:eastAsia="Calibri" w:hAnsi="Verdana" w:cs="Arial"/>
              </w:rPr>
              <w:t xml:space="preserve">el </w:t>
            </w:r>
            <w:r>
              <w:rPr>
                <w:rFonts w:ascii="Verdana" w:eastAsia="Calibri" w:hAnsi="Verdana" w:cs="Arial"/>
              </w:rPr>
              <w:t>n</w:t>
            </w:r>
            <w:r w:rsidRPr="00681B8B">
              <w:rPr>
                <w:rFonts w:ascii="Verdana" w:eastAsia="Calibri" w:hAnsi="Verdana" w:cs="Arial"/>
              </w:rPr>
              <w:t>umeral 8 del artículo 2.2.1..1.2.1.1</w:t>
            </w:r>
            <w:r>
              <w:rPr>
                <w:rFonts w:ascii="Verdana" w:eastAsia="Calibri" w:hAnsi="Verdana" w:cs="Arial"/>
              </w:rPr>
              <w:t xml:space="preserve"> “de los estudios y documentos previos del proceso de contratación en general”</w:t>
            </w:r>
            <w:r w:rsidRPr="00681B8B">
              <w:rPr>
                <w:rFonts w:ascii="Verdana" w:eastAsia="Calibri" w:hAnsi="Verdana" w:cs="Arial"/>
              </w:rPr>
              <w:t xml:space="preserve"> del Decreto 1082 de 2015</w:t>
            </w:r>
            <w:r>
              <w:rPr>
                <w:rFonts w:ascii="Verdana" w:eastAsia="Calibri" w:hAnsi="Verdana" w:cs="Arial"/>
              </w:rPr>
              <w:t xml:space="preserve"> </w:t>
            </w:r>
            <w:r w:rsidRPr="008043A5">
              <w:rPr>
                <w:rFonts w:ascii="Verdana" w:eastAsia="Calibri" w:hAnsi="Verdana" w:cs="Arial"/>
              </w:rPr>
              <w:t>Modificado por el Art. </w:t>
            </w:r>
            <w:hyperlink r:id="rId12" w:anchor="1" w:history="1">
              <w:r w:rsidRPr="008043A5">
                <w:rPr>
                  <w:rStyle w:val="Hipervnculo"/>
                  <w:rFonts w:ascii="Verdana" w:eastAsia="Calibri" w:hAnsi="Verdana" w:cs="Arial"/>
                </w:rPr>
                <w:t>1</w:t>
              </w:r>
            </w:hyperlink>
            <w:r w:rsidRPr="008043A5">
              <w:rPr>
                <w:rFonts w:ascii="Verdana" w:eastAsia="Calibri" w:hAnsi="Verdana" w:cs="Arial"/>
              </w:rPr>
              <w:t> del Decreto 399 de 2021</w:t>
            </w:r>
            <w:r w:rsidRPr="00681B8B">
              <w:rPr>
                <w:rFonts w:ascii="Verdana" w:eastAsia="Calibri" w:hAnsi="Verdana" w:cs="Arial"/>
              </w:rPr>
              <w:t xml:space="preserve">, </w:t>
            </w:r>
            <w:r>
              <w:rPr>
                <w:rFonts w:ascii="Verdana" w:eastAsia="Calibri" w:hAnsi="Verdana" w:cs="Arial"/>
              </w:rPr>
              <w:t xml:space="preserve">dispone que en </w:t>
            </w:r>
            <w:r w:rsidRPr="00681B8B">
              <w:rPr>
                <w:rFonts w:ascii="Verdana" w:eastAsia="Calibri" w:hAnsi="Verdana" w:cs="Arial"/>
              </w:rPr>
              <w:t>los procesos de mínima</w:t>
            </w:r>
            <w:r>
              <w:rPr>
                <w:rFonts w:ascii="Verdana" w:eastAsia="Calibri" w:hAnsi="Verdana" w:cs="Arial"/>
              </w:rPr>
              <w:t xml:space="preserve"> l</w:t>
            </w:r>
            <w:r w:rsidRPr="00681B8B">
              <w:rPr>
                <w:rFonts w:ascii="Verdana" w:eastAsia="Calibri" w:hAnsi="Verdana" w:cs="Arial"/>
              </w:rPr>
              <w:t>a indicación de sí el proceso de contratación está cobijado por un acuerdo comercial no es aplicable</w:t>
            </w:r>
            <w:r>
              <w:rPr>
                <w:rFonts w:ascii="Verdana" w:eastAsia="Calibri" w:hAnsi="Verdana" w:cs="Arial"/>
              </w:rPr>
              <w:t xml:space="preserve">. </w:t>
            </w:r>
          </w:p>
          <w:p w14:paraId="02321A33" w14:textId="77777777" w:rsidR="00155C27" w:rsidRDefault="00155C27" w:rsidP="000E4E64">
            <w:pPr>
              <w:spacing w:before="120" w:after="120" w:line="276" w:lineRule="auto"/>
              <w:jc w:val="both"/>
              <w:rPr>
                <w:rFonts w:ascii="Verdana" w:eastAsia="Calibri" w:hAnsi="Verdana" w:cs="Arial"/>
              </w:rPr>
            </w:pPr>
            <w:r>
              <w:rPr>
                <w:rFonts w:ascii="Verdana" w:eastAsia="Calibri" w:hAnsi="Verdana" w:cs="Arial"/>
              </w:rPr>
              <w:t xml:space="preserve">Por su parte, los artículos </w:t>
            </w:r>
            <w:r w:rsidRPr="009D0E83">
              <w:rPr>
                <w:rFonts w:ascii="Verdana" w:eastAsia="Calibri" w:hAnsi="Verdana" w:cs="Arial"/>
              </w:rPr>
              <w:t>2.2.1.2.1.5.1</w:t>
            </w:r>
            <w:r>
              <w:rPr>
                <w:rFonts w:ascii="Verdana" w:eastAsia="Calibri" w:hAnsi="Verdana" w:cs="Arial"/>
              </w:rPr>
              <w:t xml:space="preserve"> y </w:t>
            </w:r>
            <w:r w:rsidRPr="008043A5">
              <w:rPr>
                <w:rFonts w:ascii="Verdana" w:eastAsia="Calibri" w:hAnsi="Verdana" w:cs="Arial"/>
                <w:b/>
                <w:bCs/>
              </w:rPr>
              <w:t>2.2.1.2.1.5.2.</w:t>
            </w:r>
            <w:r>
              <w:rPr>
                <w:rFonts w:ascii="Verdana" w:eastAsia="Calibri" w:hAnsi="Verdana" w:cs="Arial"/>
              </w:rPr>
              <w:t xml:space="preserve"> ibidem, m</w:t>
            </w:r>
            <w:r w:rsidRPr="008043A5">
              <w:rPr>
                <w:rFonts w:ascii="Verdana" w:eastAsia="Calibri" w:hAnsi="Verdana" w:cs="Arial"/>
              </w:rPr>
              <w:t>odificado</w:t>
            </w:r>
            <w:r>
              <w:rPr>
                <w:rFonts w:ascii="Verdana" w:eastAsia="Calibri" w:hAnsi="Verdana" w:cs="Arial"/>
              </w:rPr>
              <w:t>s</w:t>
            </w:r>
            <w:r w:rsidRPr="008043A5">
              <w:rPr>
                <w:rFonts w:ascii="Verdana" w:eastAsia="Calibri" w:hAnsi="Verdana" w:cs="Arial"/>
              </w:rPr>
              <w:t xml:space="preserve"> por el Artículo </w:t>
            </w:r>
            <w:hyperlink r:id="rId13" w:anchor="5" w:tooltip="vinculo" w:history="1">
              <w:r w:rsidRPr="008043A5">
                <w:rPr>
                  <w:rStyle w:val="Hipervnculo"/>
                  <w:rFonts w:ascii="Verdana" w:eastAsia="Calibri" w:hAnsi="Verdana" w:cs="Arial"/>
                </w:rPr>
                <w:t>5</w:t>
              </w:r>
            </w:hyperlink>
            <w:r w:rsidRPr="008043A5">
              <w:rPr>
                <w:rFonts w:ascii="Verdana" w:eastAsia="Calibri" w:hAnsi="Verdana" w:cs="Arial"/>
              </w:rPr>
              <w:t> del Decreto </w:t>
            </w:r>
            <w:hyperlink r:id="rId14" w:anchor="142" w:tooltip="vinculo" w:history="1">
              <w:r w:rsidRPr="008043A5">
                <w:rPr>
                  <w:rStyle w:val="Hipervnculo"/>
                  <w:rFonts w:ascii="Verdana" w:eastAsia="Calibri" w:hAnsi="Verdana" w:cs="Arial"/>
                </w:rPr>
                <w:t>142</w:t>
              </w:r>
            </w:hyperlink>
            <w:r w:rsidRPr="008043A5">
              <w:rPr>
                <w:rFonts w:ascii="Verdana" w:eastAsia="Calibri" w:hAnsi="Verdana" w:cs="Arial"/>
              </w:rPr>
              <w:t> de 2023</w:t>
            </w:r>
            <w:r>
              <w:rPr>
                <w:rFonts w:ascii="Verdana" w:eastAsia="Calibri" w:hAnsi="Verdana" w:cs="Arial"/>
              </w:rPr>
              <w:t xml:space="preserve"> y m</w:t>
            </w:r>
            <w:r w:rsidRPr="008043A5">
              <w:rPr>
                <w:rFonts w:ascii="Verdana" w:eastAsia="Calibri" w:hAnsi="Verdana" w:cs="Arial"/>
              </w:rPr>
              <w:t>odificado por el Art. </w:t>
            </w:r>
            <w:hyperlink r:id="rId15" w:anchor="2" w:history="1">
              <w:r w:rsidRPr="008043A5">
                <w:rPr>
                  <w:rStyle w:val="Hipervnculo"/>
                  <w:rFonts w:ascii="Verdana" w:eastAsia="Calibri" w:hAnsi="Verdana" w:cs="Arial"/>
                </w:rPr>
                <w:t>2 </w:t>
              </w:r>
            </w:hyperlink>
            <w:r w:rsidRPr="008043A5">
              <w:rPr>
                <w:rFonts w:ascii="Verdana" w:eastAsia="Calibri" w:hAnsi="Verdana" w:cs="Arial"/>
              </w:rPr>
              <w:t>del Decreto 1860 de 2021</w:t>
            </w:r>
            <w:r>
              <w:rPr>
                <w:rFonts w:ascii="Verdana" w:eastAsia="Calibri" w:hAnsi="Verdana" w:cs="Arial"/>
              </w:rPr>
              <w:t xml:space="preserve">, respectivamente, tampoco contemplan en los estudios previos y el procedimiento para la contratación de mínima cuantía la regla de </w:t>
            </w:r>
            <w:r w:rsidRPr="008043A5">
              <w:rPr>
                <w:rFonts w:ascii="Verdana" w:eastAsia="Calibri" w:hAnsi="Verdana" w:cs="Arial"/>
              </w:rPr>
              <w:t>inclu</w:t>
            </w:r>
            <w:r>
              <w:rPr>
                <w:rFonts w:ascii="Verdana" w:eastAsia="Calibri" w:hAnsi="Verdana" w:cs="Arial"/>
              </w:rPr>
              <w:t>sión de</w:t>
            </w:r>
            <w:r w:rsidRPr="008043A5">
              <w:rPr>
                <w:rFonts w:ascii="Verdana" w:eastAsia="Calibri" w:hAnsi="Verdana" w:cs="Arial"/>
              </w:rPr>
              <w:t xml:space="preserve"> los acuerdos comerciales</w:t>
            </w:r>
            <w:r>
              <w:rPr>
                <w:rFonts w:ascii="Verdana" w:eastAsia="Calibri" w:hAnsi="Verdana" w:cs="Arial"/>
              </w:rPr>
              <w:t>, por lo cual la entidad estatal no está obligada</w:t>
            </w:r>
            <w:r w:rsidRPr="008043A5">
              <w:rPr>
                <w:rFonts w:ascii="Verdana" w:eastAsia="Calibri" w:hAnsi="Verdana" w:cs="Arial"/>
              </w:rPr>
              <w:t>.</w:t>
            </w:r>
            <w:r>
              <w:rPr>
                <w:rFonts w:ascii="Verdana" w:eastAsia="Calibri" w:hAnsi="Verdana" w:cs="Arial"/>
              </w:rPr>
              <w:t xml:space="preserve"> Por lo cual la Entidad estatal no está obligada, sin embargo, al no encontrarse prohibición alguna la entidad podrá evaluar su aplicación. En concordancia con lo anterior, e</w:t>
            </w:r>
            <w:r w:rsidRPr="009D0E83">
              <w:rPr>
                <w:rFonts w:ascii="Verdana" w:eastAsia="Calibri" w:hAnsi="Verdana" w:cs="Arial"/>
              </w:rPr>
              <w:t>l numeral 5 del artículo 2 de la Ley 1150</w:t>
            </w:r>
            <w:r>
              <w:rPr>
                <w:rFonts w:ascii="Verdana" w:eastAsia="Calibri" w:hAnsi="Verdana" w:cs="Arial"/>
              </w:rPr>
              <w:t xml:space="preserve"> que regula la modalidad de mínima cuantía</w:t>
            </w:r>
            <w:r w:rsidRPr="009D0E83">
              <w:rPr>
                <w:rFonts w:ascii="Verdana" w:eastAsia="Calibri" w:hAnsi="Verdana" w:cs="Arial"/>
              </w:rPr>
              <w:t xml:space="preserve"> no establece que los acuerdos comerciales hagan parte </w:t>
            </w:r>
            <w:r>
              <w:rPr>
                <w:rFonts w:ascii="Verdana" w:eastAsia="Calibri" w:hAnsi="Verdana" w:cs="Arial"/>
              </w:rPr>
              <w:t>de esta</w:t>
            </w:r>
            <w:r w:rsidRPr="009D0E83">
              <w:rPr>
                <w:rFonts w:ascii="Verdana" w:eastAsia="Calibri" w:hAnsi="Verdana" w:cs="Arial"/>
              </w:rPr>
              <w:t>, es decir, no lo contempla como una regla,</w:t>
            </w:r>
            <w:r>
              <w:rPr>
                <w:rFonts w:ascii="Verdana" w:eastAsia="Calibri" w:hAnsi="Verdana" w:cs="Arial"/>
              </w:rPr>
              <w:t xml:space="preserve"> y en su defecto el decreto reglamentario ibidem si lo establece. Por lo tanto, queda a discreción de la entidad si lo incorpora o no en los estudios previos. </w:t>
            </w:r>
          </w:p>
          <w:p w14:paraId="5723C1C3" w14:textId="77777777" w:rsidR="00155C27" w:rsidRPr="005544D7" w:rsidRDefault="00155C27" w:rsidP="000E4E64">
            <w:pPr>
              <w:spacing w:before="120" w:after="120" w:line="276" w:lineRule="auto"/>
              <w:jc w:val="both"/>
              <w:rPr>
                <w:rFonts w:ascii="Verdana" w:eastAsia="Century Gothic" w:hAnsi="Verdana" w:cs="Century Gothic"/>
              </w:rPr>
            </w:pPr>
            <w:r>
              <w:rPr>
                <w:rFonts w:ascii="Verdana" w:eastAsia="Calibri" w:hAnsi="Verdana" w:cs="Arial"/>
                <w:lang w:val="es-ES"/>
              </w:rPr>
              <w:t>En cuanto</w:t>
            </w:r>
            <w:r w:rsidRPr="008043A5">
              <w:rPr>
                <w:rFonts w:ascii="Verdana" w:eastAsia="Calibri" w:hAnsi="Verdana" w:cs="Arial"/>
                <w:lang w:val="es-ES"/>
              </w:rPr>
              <w:t xml:space="preserve"> </w:t>
            </w:r>
            <w:r>
              <w:rPr>
                <w:rFonts w:ascii="Verdana" w:eastAsia="Calibri" w:hAnsi="Verdana" w:cs="Arial"/>
                <w:lang w:val="es-ES"/>
              </w:rPr>
              <w:t>a</w:t>
            </w:r>
            <w:r w:rsidRPr="008043A5">
              <w:rPr>
                <w:rFonts w:ascii="Verdana" w:eastAsia="Calibri" w:hAnsi="Verdana" w:cs="Arial"/>
                <w:lang w:val="es-ES"/>
              </w:rPr>
              <w:t xml:space="preserve"> limita</w:t>
            </w:r>
            <w:r>
              <w:rPr>
                <w:rFonts w:ascii="Verdana" w:eastAsia="Calibri" w:hAnsi="Verdana" w:cs="Arial"/>
                <w:lang w:val="es-ES"/>
              </w:rPr>
              <w:t>ción de</w:t>
            </w:r>
            <w:r w:rsidRPr="008043A5">
              <w:rPr>
                <w:rFonts w:ascii="Verdana" w:eastAsia="Calibri" w:hAnsi="Verdana" w:cs="Arial"/>
                <w:lang w:val="es-ES"/>
              </w:rPr>
              <w:t xml:space="preserve"> la convocatoria</w:t>
            </w:r>
            <w:r>
              <w:rPr>
                <w:rFonts w:ascii="Verdana" w:eastAsia="Calibri" w:hAnsi="Verdana" w:cs="Arial"/>
                <w:lang w:val="es-ES"/>
              </w:rPr>
              <w:t>,</w:t>
            </w:r>
            <w:r w:rsidRPr="008043A5">
              <w:rPr>
                <w:rFonts w:ascii="Verdana" w:eastAsia="Calibri" w:hAnsi="Verdana" w:cs="Arial"/>
                <w:lang w:val="es-ES"/>
              </w:rPr>
              <w:t xml:space="preserve"> si</w:t>
            </w:r>
            <w:r>
              <w:rPr>
                <w:rFonts w:ascii="Verdana" w:eastAsia="Calibri" w:hAnsi="Verdana" w:cs="Arial"/>
                <w:lang w:val="es-ES"/>
              </w:rPr>
              <w:t xml:space="preserve"> podrá realizar la entidad estatal,</w:t>
            </w:r>
            <w:r w:rsidRPr="008043A5">
              <w:rPr>
                <w:rFonts w:ascii="Verdana" w:eastAsia="Calibri" w:hAnsi="Verdana" w:cs="Arial"/>
                <w:lang w:val="es-ES"/>
              </w:rPr>
              <w:t xml:space="preserve"> a petición de los interesado</w:t>
            </w:r>
            <w:r>
              <w:rPr>
                <w:rFonts w:ascii="Verdana" w:eastAsia="Calibri" w:hAnsi="Verdana" w:cs="Arial"/>
                <w:lang w:val="es-ES"/>
              </w:rPr>
              <w:t>s sí</w:t>
            </w:r>
            <w:r w:rsidRPr="008043A5">
              <w:rPr>
                <w:rFonts w:ascii="Verdana" w:eastAsia="Calibri" w:hAnsi="Verdana" w:cs="Arial"/>
                <w:lang w:val="es-ES"/>
              </w:rPr>
              <w:t xml:space="preserve"> así se dispone. Lo anterior de conformidad con el numeral 3 y parágrafo del artículo 2.2.1.2.1.5.2 </w:t>
            </w:r>
            <w:r w:rsidRPr="00681B8B">
              <w:rPr>
                <w:rFonts w:ascii="Verdana" w:eastAsia="Calibri" w:hAnsi="Verdana" w:cs="Arial"/>
              </w:rPr>
              <w:t>del Decreto 1082 de 2015</w:t>
            </w:r>
            <w:r>
              <w:rPr>
                <w:rFonts w:ascii="Verdana" w:eastAsia="Calibri" w:hAnsi="Verdana" w:cs="Arial"/>
              </w:rPr>
              <w:t xml:space="preserve"> </w:t>
            </w:r>
            <w:r w:rsidRPr="00C2498A">
              <w:rPr>
                <w:rFonts w:ascii="Verdana" w:eastAsia="Calibri" w:hAnsi="Verdana" w:cs="Arial"/>
                <w:lang w:val="es-ES"/>
              </w:rPr>
              <w:t>que señala, “dentro del mismo término para formular observaciones se podrán presentar las solicitudes para limitar la convocatoria a Mipyme colombianas”.</w:t>
            </w:r>
            <w:r w:rsidRPr="005544D7">
              <w:rPr>
                <w:rFonts w:ascii="Verdana" w:eastAsia="Century Gothic" w:hAnsi="Verdana" w:cs="Century Gothic"/>
              </w:rPr>
              <w:t>De igual manera, se reitera lo indicado en el Concepto C-203 de 2022 emitido por esta Agencia el cual establece que, por regla general, los umbrales que establecen los Acuerdos Comerciales son superiores al valor máximo de la mínima cuantía y, por tanto, en razón del umbral, los procesos de contratación mediante la modalidad de mínima cuantía, generalmente, no resultarían cubiertos por los Acuerdos Comerciales.</w:t>
            </w:r>
          </w:p>
          <w:p w14:paraId="11CD2844" w14:textId="77777777" w:rsidR="00155C27" w:rsidRPr="005622BB" w:rsidRDefault="00155C27" w:rsidP="000E4E64">
            <w:pPr>
              <w:spacing w:before="120" w:after="120" w:line="276" w:lineRule="auto"/>
              <w:jc w:val="both"/>
              <w:rPr>
                <w:rFonts w:ascii="Verdana" w:eastAsia="Calibri" w:hAnsi="Verdana" w:cs="Arial"/>
              </w:rPr>
            </w:pPr>
            <w:r w:rsidRPr="005622BB">
              <w:rPr>
                <w:rFonts w:ascii="Verdana" w:eastAsia="Calibri" w:hAnsi="Verdana" w:cs="Arial"/>
              </w:rPr>
              <w:t xml:space="preserve">Finalmente, para los efectos es importante indicar que en caso de que existan dudas sobre la interpretación o alcance de un Acuerdo Comercial, le sugerimos </w:t>
            </w:r>
            <w:r w:rsidRPr="005622BB">
              <w:rPr>
                <w:rFonts w:ascii="Verdana" w:eastAsia="Calibri" w:hAnsi="Verdana" w:cs="Arial"/>
              </w:rPr>
              <w:lastRenderedPageBreak/>
              <w:t>dirigirse a la Oficina de Asuntos Legales Internacionales del Ministerio de Comercio, Industria y Turismo, por ser el competente para resolver dichos asuntos, en virtud de las facultades que le otorgó el Legislador a través del artículo 10 del Decreto Ley 210 de 2003, compilado con el Decreto 1074 de 2015.</w:t>
            </w:r>
          </w:p>
          <w:p w14:paraId="068E7BB1" w14:textId="77777777" w:rsidR="00155C27" w:rsidRPr="005622BB" w:rsidRDefault="00155C27" w:rsidP="000E4E64">
            <w:pPr>
              <w:widowControl w:val="0"/>
              <w:autoSpaceDE w:val="0"/>
              <w:autoSpaceDN w:val="0"/>
              <w:spacing w:line="276" w:lineRule="auto"/>
              <w:contextualSpacing/>
              <w:jc w:val="both"/>
              <w:rPr>
                <w:rFonts w:ascii="Verdana" w:eastAsia="Calibri" w:hAnsi="Verdana" w:cs="Arial"/>
              </w:rPr>
            </w:pPr>
          </w:p>
        </w:tc>
      </w:tr>
    </w:tbl>
    <w:p w14:paraId="68C7125B" w14:textId="77777777" w:rsidR="00155C27" w:rsidRPr="005622BB" w:rsidRDefault="00155C27" w:rsidP="00155C27">
      <w:pPr>
        <w:tabs>
          <w:tab w:val="left" w:pos="142"/>
          <w:tab w:val="left" w:pos="284"/>
        </w:tabs>
        <w:snapToGrid w:val="0"/>
        <w:spacing w:after="0" w:line="276" w:lineRule="auto"/>
        <w:jc w:val="both"/>
        <w:rPr>
          <w:rFonts w:ascii="Verdana" w:eastAsia="Century Gothic" w:hAnsi="Verdana" w:cs="Century Gothic"/>
          <w:b/>
          <w:bCs/>
          <w:lang w:val="es-ES_tradnl"/>
        </w:rPr>
      </w:pPr>
    </w:p>
    <w:p w14:paraId="38182279" w14:textId="77777777" w:rsidR="00155C27" w:rsidRPr="005622BB" w:rsidRDefault="00155C27" w:rsidP="00155C2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5622BB">
        <w:rPr>
          <w:rFonts w:ascii="Verdana" w:eastAsia="Century Gothic" w:hAnsi="Verdana" w:cs="Century Gothic"/>
          <w:b/>
          <w:bCs/>
          <w:lang w:val="es-ES_tradnl"/>
        </w:rPr>
        <w:t>Razones de la respuesta:</w:t>
      </w:r>
    </w:p>
    <w:p w14:paraId="10EF47A3" w14:textId="77777777" w:rsidR="00155C27" w:rsidRPr="005622BB" w:rsidRDefault="00155C27" w:rsidP="00155C27">
      <w:pPr>
        <w:snapToGrid w:val="0"/>
        <w:spacing w:after="0" w:line="276" w:lineRule="auto"/>
        <w:jc w:val="both"/>
        <w:rPr>
          <w:rFonts w:ascii="Verdana" w:eastAsia="Calibri" w:hAnsi="Verdana" w:cs="Arial"/>
          <w:lang w:val="es-ES_tradnl"/>
        </w:rPr>
      </w:pPr>
    </w:p>
    <w:p w14:paraId="469BFD39" w14:textId="77777777" w:rsidR="00155C27" w:rsidRPr="005622BB" w:rsidRDefault="00155C27" w:rsidP="00155C27">
      <w:pPr>
        <w:snapToGrid w:val="0"/>
        <w:spacing w:after="0" w:line="276" w:lineRule="auto"/>
        <w:jc w:val="both"/>
        <w:rPr>
          <w:rFonts w:ascii="Verdana" w:eastAsia="Calibri" w:hAnsi="Verdana" w:cs="Arial"/>
          <w:lang w:val="es-ES_tradnl"/>
        </w:rPr>
      </w:pPr>
      <w:r w:rsidRPr="005622BB">
        <w:rPr>
          <w:rFonts w:ascii="Verdana" w:eastAsia="Calibri" w:hAnsi="Verdana" w:cs="Arial"/>
          <w:lang w:val="es-ES_tradnl"/>
        </w:rPr>
        <w:t xml:space="preserve">Lo anterior se sustenta en las siguientes consideraciones: </w:t>
      </w:r>
    </w:p>
    <w:p w14:paraId="694E58B5" w14:textId="77777777" w:rsidR="00155C27" w:rsidRPr="005622BB" w:rsidRDefault="00155C27" w:rsidP="00155C27">
      <w:pPr>
        <w:snapToGrid w:val="0"/>
        <w:spacing w:after="0" w:line="276" w:lineRule="auto"/>
        <w:jc w:val="both"/>
        <w:rPr>
          <w:rFonts w:ascii="Verdana" w:eastAsia="Calibri" w:hAnsi="Verdana" w:cs="Arial"/>
          <w:lang w:val="es-ES_tradnl"/>
        </w:rPr>
      </w:pPr>
    </w:p>
    <w:p w14:paraId="7DAE1242" w14:textId="77777777" w:rsidR="00155C27" w:rsidRPr="005544D7" w:rsidRDefault="00155C27" w:rsidP="00155C27">
      <w:pPr>
        <w:pStyle w:val="Prrafodelista"/>
        <w:numPr>
          <w:ilvl w:val="0"/>
          <w:numId w:val="21"/>
        </w:numPr>
        <w:spacing w:after="0" w:line="240" w:lineRule="auto"/>
        <w:ind w:right="62"/>
        <w:jc w:val="both"/>
        <w:rPr>
          <w:rFonts w:ascii="Verdana" w:eastAsia="Calibri" w:hAnsi="Verdana" w:cs="Arial"/>
          <w:bCs/>
          <w:color w:val="000000" w:themeColor="text1"/>
          <w:lang w:val="es-ES_tradnl"/>
        </w:rPr>
      </w:pPr>
      <w:r w:rsidRPr="005544D7">
        <w:rPr>
          <w:rFonts w:ascii="Verdana" w:eastAsia="Calibri" w:hAnsi="Verdana" w:cs="Arial"/>
          <w:bCs/>
          <w:color w:val="000000" w:themeColor="text1"/>
          <w:lang w:val="es-ES_tradnl"/>
        </w:rPr>
        <w:t xml:space="preserve">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 </w:t>
      </w:r>
    </w:p>
    <w:p w14:paraId="19FF6D82" w14:textId="77777777" w:rsidR="00155C27" w:rsidRPr="005544D7" w:rsidRDefault="00155C27" w:rsidP="00155C27">
      <w:pPr>
        <w:pStyle w:val="Prrafodelista"/>
        <w:spacing w:after="0" w:line="240" w:lineRule="auto"/>
        <w:jc w:val="both"/>
        <w:rPr>
          <w:rFonts w:ascii="Verdana" w:eastAsia="Calibri" w:hAnsi="Verdana" w:cs="Arial"/>
          <w:bCs/>
          <w:color w:val="000000" w:themeColor="text1"/>
          <w:lang w:val="es-ES_tradnl"/>
        </w:rPr>
      </w:pPr>
    </w:p>
    <w:p w14:paraId="7718CDB2" w14:textId="77777777" w:rsidR="00155C27" w:rsidRPr="005544D7" w:rsidRDefault="00155C27" w:rsidP="00155C27">
      <w:pPr>
        <w:pStyle w:val="Prrafodelista"/>
        <w:numPr>
          <w:ilvl w:val="0"/>
          <w:numId w:val="21"/>
        </w:numPr>
        <w:spacing w:after="0" w:line="240" w:lineRule="auto"/>
        <w:jc w:val="both"/>
        <w:rPr>
          <w:rFonts w:ascii="Verdana" w:eastAsia="Calibri" w:hAnsi="Verdana" w:cs="Arial"/>
          <w:bCs/>
          <w:color w:val="000000" w:themeColor="text1"/>
          <w:lang w:val="es-ES_tradnl"/>
        </w:rPr>
      </w:pPr>
      <w:r w:rsidRPr="005544D7">
        <w:rPr>
          <w:rFonts w:ascii="Verdana" w:eastAsia="Calibri" w:hAnsi="Verdana" w:cs="Arial"/>
          <w:bCs/>
          <w:color w:val="000000" w:themeColor="text1"/>
          <w:lang w:val="es-ES_tradnl"/>
        </w:rPr>
        <w:t xml:space="preserve">Dicho de otro modo, la mínima cuantía es un procedimiento de selección excepcional, porque es una excepción adicional a la regla general constituida por la licitación pública, pero se parece a esta en que también es un llamado general a presentar ofertas, efectuado por la Entidad Estatal interesada en contratar, aunque es distinta en otros aspectos, como su conducencia y su procedimiento; lo primero, porque solo procede por razón de una cuantía específica, y lo segundo, porque sus requisitos, etapas y términos son peculiares. </w:t>
      </w:r>
    </w:p>
    <w:p w14:paraId="0D980BB8" w14:textId="77777777" w:rsidR="00155C27" w:rsidRPr="005544D7" w:rsidRDefault="00155C27" w:rsidP="00155C27">
      <w:pPr>
        <w:pStyle w:val="Prrafodelista"/>
        <w:spacing w:after="0" w:line="240" w:lineRule="auto"/>
        <w:jc w:val="both"/>
        <w:rPr>
          <w:rFonts w:ascii="Verdana" w:eastAsia="Calibri" w:hAnsi="Verdana" w:cs="Arial"/>
          <w:bCs/>
          <w:color w:val="000000" w:themeColor="text1"/>
          <w:lang w:val="es-ES_tradnl"/>
        </w:rPr>
      </w:pPr>
    </w:p>
    <w:p w14:paraId="1D06549B" w14:textId="77777777" w:rsidR="00155C27" w:rsidRPr="005544D7" w:rsidRDefault="00155C27" w:rsidP="00155C27">
      <w:pPr>
        <w:pStyle w:val="Prrafodelista"/>
        <w:numPr>
          <w:ilvl w:val="0"/>
          <w:numId w:val="21"/>
        </w:numPr>
        <w:spacing w:after="0" w:line="240" w:lineRule="auto"/>
        <w:jc w:val="both"/>
        <w:rPr>
          <w:rFonts w:ascii="Verdana" w:eastAsia="Calibri" w:hAnsi="Verdana" w:cs="Arial"/>
          <w:bCs/>
          <w:color w:val="000000" w:themeColor="text1"/>
          <w:lang w:val="es-ES_tradnl"/>
        </w:rPr>
      </w:pPr>
      <w:r w:rsidRPr="005544D7">
        <w:rPr>
          <w:rFonts w:ascii="Verdana" w:eastAsia="Calibri" w:hAnsi="Verdana" w:cs="Arial"/>
          <w:bCs/>
          <w:color w:val="000000" w:themeColor="text1"/>
          <w:lang w:val="es-ES_tradnl"/>
        </w:rPr>
        <w:t>Cabe precisar que la disposición indicada anteriormente, esto es el artículo 94 de la Ley 1474 de 2011 –que adicionó el numeral 5º al artículo 2 de la Ley 1150 de 2007– ha sido modificada en distintas ocasiones, siendo la norma vigente que fundamenta la modalidad de mínima cuantía actualmente el artículo 30 de la Ley 2069 de 2020, como se procederá a explicar.</w:t>
      </w:r>
    </w:p>
    <w:p w14:paraId="16E89215" w14:textId="77777777" w:rsidR="00155C27" w:rsidRPr="006934CD" w:rsidRDefault="00155C27" w:rsidP="00155C27">
      <w:pPr>
        <w:pStyle w:val="Prrafodelista"/>
        <w:numPr>
          <w:ilvl w:val="0"/>
          <w:numId w:val="21"/>
        </w:numPr>
        <w:spacing w:before="120" w:after="0" w:line="276" w:lineRule="auto"/>
        <w:jc w:val="both"/>
        <w:rPr>
          <w:rFonts w:ascii="Verdana" w:eastAsia="Calibri" w:hAnsi="Verdana" w:cs="Arial"/>
          <w:bCs/>
          <w:strike/>
          <w:color w:val="000000" w:themeColor="text1"/>
          <w:lang w:val="es-ES_tradnl"/>
        </w:rPr>
      </w:pPr>
      <w:r w:rsidRPr="006934CD">
        <w:rPr>
          <w:rFonts w:ascii="Verdana" w:eastAsia="Calibri" w:hAnsi="Verdana" w:cs="Arial"/>
          <w:bCs/>
          <w:color w:val="000000" w:themeColor="text1"/>
          <w:lang w:val="es-ES_tradnl"/>
        </w:rPr>
        <w:t xml:space="preserve">Los acuerdos comerciales son tratados internacionales celebrados entre Estados e incorporados a los ordenamientos nacionales, cuyo contenido consagra derechos y obligaciones en distintas materias, entre estas las compras públicas. En el caso colombiano, cada acuerdo comercial, por ser </w:t>
      </w:r>
      <w:r w:rsidRPr="006934CD">
        <w:rPr>
          <w:rFonts w:ascii="Verdana" w:eastAsia="Calibri" w:hAnsi="Verdana" w:cs="Arial"/>
          <w:bCs/>
          <w:color w:val="000000" w:themeColor="text1"/>
          <w:lang w:val="es-ES_tradnl"/>
        </w:rPr>
        <w:lastRenderedPageBreak/>
        <w:t>un tratado que celebra el Gobierno con otros Estados, debe ser aprobado y posteriormente incorporado a nuestro ordenamiento jurídico por una ley de la República</w:t>
      </w:r>
      <w:r w:rsidRPr="005622BB">
        <w:rPr>
          <w:rStyle w:val="Refdenotaalpie"/>
          <w:rFonts w:ascii="Verdana" w:eastAsia="Calibri" w:hAnsi="Verdana" w:cs="Arial"/>
          <w:bCs/>
          <w:color w:val="000000" w:themeColor="text1"/>
          <w:lang w:val="es-ES_tradnl"/>
        </w:rPr>
        <w:footnoteReference w:id="2"/>
      </w:r>
      <w:r w:rsidRPr="006934CD">
        <w:rPr>
          <w:rFonts w:ascii="Verdana" w:eastAsia="Calibri" w:hAnsi="Verdana" w:cs="Arial"/>
          <w:bCs/>
          <w:color w:val="000000" w:themeColor="text1"/>
          <w:lang w:val="es-ES_tradnl"/>
        </w:rPr>
        <w:t>.</w:t>
      </w:r>
    </w:p>
    <w:p w14:paraId="7338E5F3" w14:textId="77777777" w:rsidR="00155C27" w:rsidRPr="005622BB"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t xml:space="preserve">Uno de los aspectos que presenta mayor complejidad a nivel internacional en materia de contratación pública se refiere al concepto de contratación pública cubierta. Esto es, las transacciones que se entienden comprometidas dentro del acuerdo, y a las cuales deben, en consecuencia, aplicarse los estándares de protección acordados. Para poder determinar qué es </w:t>
      </w:r>
      <w:r w:rsidRPr="005622BB">
        <w:rPr>
          <w:rFonts w:ascii="Verdana" w:eastAsia="Times New Roman" w:hAnsi="Verdana" w:cs="Arial"/>
          <w:i/>
          <w:lang w:val="es-ES_tradnl" w:eastAsia="es-ES_tradnl"/>
        </w:rPr>
        <w:t xml:space="preserve">contratación cubierta </w:t>
      </w:r>
      <w:r w:rsidRPr="005622BB">
        <w:rPr>
          <w:rFonts w:ascii="Verdana" w:eastAsia="Times New Roman" w:hAnsi="Verdana" w:cs="Arial"/>
          <w:iCs/>
          <w:lang w:val="es-ES_tradnl" w:eastAsia="es-ES_tradnl"/>
        </w:rPr>
        <w:t>es necesario revisar el instrumento normativo preciso cuya protección se invoca –el tratado– y determinar si la transacción que se alega como cubierta lo está o no.</w:t>
      </w:r>
    </w:p>
    <w:p w14:paraId="68DA8F90" w14:textId="77777777" w:rsidR="00155C27" w:rsidRPr="005622BB"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t>Por esta razón, las Entidades Estatales tienen la obligación de identificar los Acuerdo Comerciales aplicables a sus procesos de contratación, y de esta manera cumplir con las obligaciones previstas en materia de compras y contratación pública. Para ello, las Entidades Estatales deben tener en cuenta que los capítulos de compras y contratación pública de los acuerdos comerciales contienen: i) una lista de Entidades Estatales incluidas en el acuerdo comercial; ii) los valores a partir de los cuales el Acuerdo Comercial es aplicable al proceso de contratación y iii) las excepciones a la aplicación del acuerdo comercial.</w:t>
      </w:r>
    </w:p>
    <w:p w14:paraId="23C283EC" w14:textId="77777777" w:rsidR="00155C27"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t>Por otro lado, se destaca que los Acuerdos Comerciales contemplan excepciones a la aplicación de los compromisos y obligaciones contenidos en estos, por tanto, si un Proceso de Contratación se encuentra cobijado en una excepción, las obligaciones y compromisos del correspondiente Acuerdo Comercial no lo regirán. Las excepciones no aplican de manera uniforme a todas las entidades y a todos los acuerdos comerciales; por tanto, para determinar las excepciones aplicables a cada Acuerdo Comercial y a cada entidad, durante la etapa de planeación del proceso de selección, las entidades deben consultar la cobertura del acuerdo comercial y si existen excepciones aplicables a su Proceso de Contratación particular.</w:t>
      </w:r>
    </w:p>
    <w:p w14:paraId="784BAAD4" w14:textId="77777777" w:rsidR="00155C27" w:rsidRPr="005622BB" w:rsidRDefault="00155C27" w:rsidP="00155C27">
      <w:pPr>
        <w:pStyle w:val="Prrafodelista"/>
        <w:spacing w:before="120" w:after="0" w:line="276" w:lineRule="auto"/>
        <w:jc w:val="both"/>
        <w:rPr>
          <w:rFonts w:ascii="Verdana" w:eastAsia="Times New Roman" w:hAnsi="Verdana" w:cs="Arial"/>
          <w:iCs/>
          <w:lang w:val="es-ES_tradnl" w:eastAsia="es-ES_tradnl"/>
        </w:rPr>
      </w:pPr>
    </w:p>
    <w:p w14:paraId="09E58CC4" w14:textId="77777777" w:rsidR="00155C27" w:rsidRPr="005544D7" w:rsidRDefault="00155C27" w:rsidP="00155C27">
      <w:pPr>
        <w:pStyle w:val="Prrafodelista"/>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lastRenderedPageBreak/>
        <w:t>En este marco, la Agencia Nacional de Contratación Pública – Colombia Compra Eficiente expidió el “Manual para el manejo de los Acuerdos Comerciales en Procesos de Contratación”, con el fin de lograr que las Entidades Estatales cumplan, en la práctica, de manera sencilla con las obligaciones internacionales adquiridas por el Estado. Este Manual, sin introducir ninguna modificación o restricción a los tratados, condensa y explica los deberes internacionales del Estado colombiano que deben iluminar la actuación de las Entidades Estatales contratantes y por tanto, el “Manual para el manejo de los Acuerdos Comerciales en Procesos de Contratación”, se constituye como una herramienta orientadora para conocer la cobertura de los Acuerdos Comerciales y los plazos correspondientes. Sin embargo, el uso del manual no exime a la entidad del deber de conocer y aplicar cada Acuerdo Comercial, según corresponda.</w:t>
      </w:r>
    </w:p>
    <w:p w14:paraId="4655F785" w14:textId="77777777" w:rsidR="00155C27" w:rsidRPr="005544D7"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hAnsi="Verdana" w:cs="Arial"/>
        </w:rPr>
        <w:t xml:space="preserve">De igual forma, el ordenamiento jurídico colombiano, respecto a las compras públicas, en el artículo 2.2.1.2.4.1.1 del Decreto 1082 de 2015, dispuso que: </w:t>
      </w:r>
      <w:r>
        <w:rPr>
          <w:rFonts w:ascii="Verdana" w:hAnsi="Verdana" w:cs="Arial"/>
        </w:rPr>
        <w:t>“</w:t>
      </w:r>
      <w:r w:rsidRPr="005622BB">
        <w:rPr>
          <w:rFonts w:ascii="Verdana" w:hAnsi="Verdana" w:cs="Arial"/>
        </w:rPr>
        <w:t>Las Entidades Estatales deben adelantar los Procesos de Contratación de acuerdo con lo previsto en los Acuerdos Comerciales, cuando estos les sean aplicables</w:t>
      </w:r>
      <w:r>
        <w:rPr>
          <w:rFonts w:ascii="Verdana" w:hAnsi="Verdana" w:cs="Arial"/>
        </w:rPr>
        <w:t>”</w:t>
      </w:r>
      <w:r w:rsidRPr="005622BB">
        <w:rPr>
          <w:rFonts w:ascii="Verdana" w:hAnsi="Verdana" w:cs="Arial"/>
        </w:rPr>
        <w:t>, y por tanto, con base en lo dispuesto en el artículo en mención, la obligatoriedad de aplicar los tratados está sometido al cumplimiento de los requisitos legales de incorporación en el derecho nacional y no a su consagración en el Manual de Acuerdos Comerciales expedido por la Agencia</w:t>
      </w:r>
      <w:r>
        <w:rPr>
          <w:rFonts w:ascii="Verdana" w:hAnsi="Verdana" w:cs="Arial"/>
        </w:rPr>
        <w:t>.</w:t>
      </w:r>
    </w:p>
    <w:p w14:paraId="6B058B9F" w14:textId="77777777" w:rsidR="00155C27" w:rsidRPr="005622BB" w:rsidRDefault="00155C27" w:rsidP="00155C27">
      <w:pPr>
        <w:pStyle w:val="Prrafodelista"/>
        <w:spacing w:before="120" w:after="0" w:line="276" w:lineRule="auto"/>
        <w:jc w:val="both"/>
        <w:rPr>
          <w:rFonts w:ascii="Verdana" w:eastAsia="Times New Roman" w:hAnsi="Verdana" w:cs="Arial"/>
          <w:iCs/>
          <w:lang w:val="es-ES_tradnl" w:eastAsia="es-ES_tradnl"/>
        </w:rPr>
      </w:pPr>
    </w:p>
    <w:p w14:paraId="4ECA3897" w14:textId="77777777" w:rsidR="00155C27" w:rsidRPr="005622BB"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t>Así las cosas, en el Anexo 1 del “Manual para el manejo de los Acuerdos Comerciales en Procesos de Contratación” se encuentran listadas las excepciones que aplican por cada Acuerdo Comercial a las entidades del nivel nacional cubiertas por dichos acuerdos. El Anexo 2, contiene las excepciones a la aplicación de los Acuerdo Comerciales para las entidades del nivel departamental y, el Anexo 3, las aplicables a las entidades del nivel municipal. Finalmente, el Anexo 4 establece el listado de excepciones a la aplicación de los compromisos y obligaciones contenidos en los Acuerdos Comerciales, constituyéndose este como el anexo al cual pueden remitirse las entidades para conocer a qué hacen referencia los números relacionados en los Anexos 1, 2 y 3.</w:t>
      </w:r>
    </w:p>
    <w:p w14:paraId="3EE9CD00" w14:textId="77777777" w:rsidR="00155C27" w:rsidRPr="005544D7"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t xml:space="preserve">En consecuencia, </w:t>
      </w:r>
      <w:r w:rsidRPr="005622BB">
        <w:rPr>
          <w:rFonts w:ascii="Verdana" w:hAnsi="Verdana" w:cs="Arial"/>
        </w:rPr>
        <w:t xml:space="preserve">cada Entidad Estatal dependiendo del tratado y su contenido, deberá determinar específicamente el tipo de obligaciones que rigen los Procesos de Contratación, para lo cual debe determinar si es una </w:t>
      </w:r>
      <w:r w:rsidRPr="005622BB">
        <w:rPr>
          <w:rFonts w:ascii="Verdana" w:hAnsi="Verdana" w:cs="Arial"/>
        </w:rPr>
        <w:lastRenderedPageBreak/>
        <w:t>de las entidades cubiertas por el acuerdo, si el proceso se encuentra dentro de umbrales para su aplicación, así como si existen excepciones que conlleven que algún Acuerdo Comercial no sea aplicable.</w:t>
      </w:r>
    </w:p>
    <w:p w14:paraId="2A6A522B" w14:textId="77777777" w:rsidR="00155C27" w:rsidRPr="005477C5" w:rsidRDefault="00155C27" w:rsidP="00155C27">
      <w:pPr>
        <w:pStyle w:val="Prrafodelista"/>
        <w:numPr>
          <w:ilvl w:val="0"/>
          <w:numId w:val="21"/>
        </w:numPr>
        <w:spacing w:before="120" w:after="120" w:line="276" w:lineRule="auto"/>
        <w:jc w:val="both"/>
        <w:rPr>
          <w:rFonts w:ascii="Verdana" w:eastAsia="Century Gothic" w:hAnsi="Verdana" w:cs="Century Gothic"/>
        </w:rPr>
      </w:pPr>
      <w:r w:rsidRPr="005477C5">
        <w:rPr>
          <w:rFonts w:ascii="Verdana" w:eastAsia="Century Gothic" w:hAnsi="Verdana" w:cs="Century Gothic"/>
        </w:rPr>
        <w:t>De igual manera, se reitera lo indicado en el Concepto C-203 de 2022 emitido por esta Agencia el cual establece que, por regla general, los umbrales que establecen los Acuerdos Comerciales son superiores al valor máximo de la mínima cuantía y, por tanto, en razón del umbral, los procesos de contratación mediante la modalidad de mínima cuantía, generalmente, no resultarían cubiertos por los Acuerdos Comerciales.</w:t>
      </w:r>
    </w:p>
    <w:p w14:paraId="4BDEF4F1" w14:textId="77777777" w:rsidR="00155C27" w:rsidRPr="005622BB" w:rsidRDefault="00155C27" w:rsidP="00155C27">
      <w:pPr>
        <w:pStyle w:val="Prrafodelista"/>
        <w:spacing w:before="120" w:after="0" w:line="276" w:lineRule="auto"/>
        <w:jc w:val="both"/>
        <w:rPr>
          <w:rFonts w:ascii="Verdana" w:eastAsia="Times New Roman" w:hAnsi="Verdana" w:cs="Arial"/>
          <w:iCs/>
          <w:lang w:val="es-ES_tradnl" w:eastAsia="es-ES_tradnl"/>
        </w:rPr>
      </w:pPr>
    </w:p>
    <w:p w14:paraId="436799AB" w14:textId="77777777" w:rsidR="00155C27" w:rsidRPr="005622BB" w:rsidRDefault="00155C27" w:rsidP="00155C27">
      <w:pPr>
        <w:snapToGrid w:val="0"/>
        <w:spacing w:after="0" w:line="276" w:lineRule="auto"/>
        <w:ind w:left="720"/>
        <w:jc w:val="both"/>
        <w:rPr>
          <w:rFonts w:ascii="Verdana" w:eastAsia="Calibri" w:hAnsi="Verdana" w:cs="Arial"/>
          <w:lang w:val="es-ES_tradnl"/>
        </w:rPr>
      </w:pPr>
    </w:p>
    <w:p w14:paraId="787EFFF9" w14:textId="77777777" w:rsidR="00155C27" w:rsidRPr="005622BB" w:rsidRDefault="00155C27" w:rsidP="00155C2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5622BB">
        <w:rPr>
          <w:rFonts w:ascii="Verdana" w:eastAsia="Century Gothic" w:hAnsi="Verdana" w:cs="Century Gothic"/>
          <w:b/>
          <w:bCs/>
          <w:lang w:val="es-ES_tradnl"/>
        </w:rPr>
        <w:t>Referencias normativas, jurisprudenciales y otras fuentes:</w:t>
      </w:r>
    </w:p>
    <w:p w14:paraId="3B2EDEE8" w14:textId="77777777" w:rsidR="00155C27" w:rsidRPr="005622BB" w:rsidRDefault="00155C27" w:rsidP="00155C27">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155C27" w:rsidRPr="005622BB" w14:paraId="51E1D1DD" w14:textId="77777777" w:rsidTr="000E4E64">
        <w:trPr>
          <w:trHeight w:val="870"/>
        </w:trPr>
        <w:tc>
          <w:tcPr>
            <w:tcW w:w="8647" w:type="dxa"/>
          </w:tcPr>
          <w:p w14:paraId="102A300B" w14:textId="77777777" w:rsidR="00155C27" w:rsidRPr="0032600E" w:rsidRDefault="00155C27" w:rsidP="00155C27">
            <w:pPr>
              <w:widowControl w:val="0"/>
              <w:numPr>
                <w:ilvl w:val="0"/>
                <w:numId w:val="18"/>
              </w:numPr>
              <w:autoSpaceDE w:val="0"/>
              <w:autoSpaceDN w:val="0"/>
              <w:snapToGrid w:val="0"/>
              <w:spacing w:after="120" w:line="276" w:lineRule="auto"/>
              <w:ind w:left="714" w:hanging="357"/>
              <w:jc w:val="both"/>
              <w:rPr>
                <w:rFonts w:ascii="Verdana" w:eastAsia="Calibri" w:hAnsi="Verdana" w:cs="Arial"/>
                <w:lang w:val="es-ES_tradnl"/>
              </w:rPr>
            </w:pPr>
            <w:r w:rsidRPr="0032600E">
              <w:rPr>
                <w:rFonts w:ascii="Verdana" w:eastAsia="Calibri" w:hAnsi="Verdana" w:cs="Arial"/>
                <w:lang w:val="es-ES_tradnl"/>
              </w:rPr>
              <w:t>Decreto 1082 de 2015</w:t>
            </w:r>
          </w:p>
          <w:p w14:paraId="3D81CD98" w14:textId="77777777" w:rsidR="00155C27" w:rsidRPr="0032600E" w:rsidRDefault="00155C27" w:rsidP="00155C27">
            <w:pPr>
              <w:pStyle w:val="Prrafodelista"/>
              <w:widowControl w:val="0"/>
              <w:numPr>
                <w:ilvl w:val="0"/>
                <w:numId w:val="18"/>
              </w:numPr>
              <w:autoSpaceDE w:val="0"/>
              <w:autoSpaceDN w:val="0"/>
              <w:spacing w:after="120" w:line="276" w:lineRule="auto"/>
              <w:contextualSpacing w:val="0"/>
              <w:jc w:val="both"/>
              <w:rPr>
                <w:rFonts w:ascii="Verdana" w:eastAsia="Calibri" w:hAnsi="Verdana" w:cs="Arial"/>
                <w:color w:val="000000"/>
              </w:rPr>
            </w:pPr>
            <w:r w:rsidRPr="0032600E">
              <w:rPr>
                <w:rFonts w:ascii="Verdana" w:eastAsia="Calibri" w:hAnsi="Verdana" w:cs="Arial"/>
                <w:color w:val="000000"/>
              </w:rPr>
              <w:t xml:space="preserve">Jurisprudencia del Consejo de Estado. Disponible en: </w:t>
            </w:r>
            <w:hyperlink r:id="rId16" w:history="1">
              <w:r w:rsidRPr="0032600E">
                <w:rPr>
                  <w:rFonts w:ascii="Verdana" w:eastAsia="Calibri" w:hAnsi="Verdana" w:cs="Arial"/>
                  <w:color w:val="000000"/>
                </w:rPr>
                <w:t>https://relatoria.colombiacompra.gov.co/providencias-consejo-de-estado/</w:t>
              </w:r>
            </w:hyperlink>
            <w:r w:rsidRPr="0032600E">
              <w:rPr>
                <w:rFonts w:ascii="Verdana" w:eastAsia="Calibri" w:hAnsi="Verdana" w:cs="Arial"/>
                <w:color w:val="000000"/>
              </w:rPr>
              <w:t xml:space="preserve"> </w:t>
            </w:r>
          </w:p>
          <w:p w14:paraId="37B91184" w14:textId="77777777" w:rsidR="00155C27" w:rsidRPr="00733C4A" w:rsidRDefault="00155C27" w:rsidP="00155C27">
            <w:pPr>
              <w:pStyle w:val="Prrafodelista"/>
              <w:widowControl w:val="0"/>
              <w:numPr>
                <w:ilvl w:val="0"/>
                <w:numId w:val="18"/>
              </w:numPr>
              <w:autoSpaceDE w:val="0"/>
              <w:autoSpaceDN w:val="0"/>
              <w:spacing w:after="120" w:line="276" w:lineRule="auto"/>
              <w:contextualSpacing w:val="0"/>
              <w:jc w:val="both"/>
              <w:rPr>
                <w:rFonts w:ascii="Arial" w:eastAsia="Calibri" w:hAnsi="Arial" w:cs="Arial"/>
                <w:color w:val="000000"/>
                <w:sz w:val="24"/>
                <w:szCs w:val="24"/>
              </w:rPr>
            </w:pPr>
            <w:r w:rsidRPr="0032600E">
              <w:rPr>
                <w:rFonts w:ascii="Verdana" w:eastAsia="Calibri" w:hAnsi="Verdana" w:cs="Arial"/>
                <w:color w:val="000000"/>
              </w:rPr>
              <w:t xml:space="preserve">Guías y manuales expedidos por la ANCP-CCE. Disponible en: </w:t>
            </w:r>
            <w:hyperlink r:id="rId17" w:history="1">
              <w:r w:rsidRPr="0032600E">
                <w:rPr>
                  <w:rFonts w:ascii="Verdana" w:eastAsia="Calibri" w:hAnsi="Verdana" w:cs="Arial"/>
                  <w:color w:val="000000"/>
                </w:rPr>
                <w:t>https://www.colombiacompra.gov.co/manuales-guias-y-pliegos-tipo/manuales-y-guias</w:t>
              </w:r>
            </w:hyperlink>
          </w:p>
        </w:tc>
      </w:tr>
    </w:tbl>
    <w:p w14:paraId="5F3CEE1D" w14:textId="77777777" w:rsidR="00155C27" w:rsidRPr="005622BB" w:rsidRDefault="00155C27" w:rsidP="00155C27">
      <w:pPr>
        <w:widowControl w:val="0"/>
        <w:autoSpaceDE w:val="0"/>
        <w:autoSpaceDN w:val="0"/>
        <w:snapToGrid w:val="0"/>
        <w:spacing w:after="0" w:line="276" w:lineRule="auto"/>
        <w:jc w:val="both"/>
        <w:rPr>
          <w:rFonts w:ascii="Verdana" w:eastAsia="Calibri" w:hAnsi="Verdana" w:cs="Arial"/>
          <w:lang w:val="es-ES_tradnl"/>
        </w:rPr>
      </w:pPr>
    </w:p>
    <w:p w14:paraId="3F87BEC7" w14:textId="77777777" w:rsidR="00155C27" w:rsidRPr="005622BB" w:rsidRDefault="00155C27" w:rsidP="00155C2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5622BB">
        <w:rPr>
          <w:rFonts w:ascii="Verdana" w:eastAsia="Century Gothic" w:hAnsi="Verdana" w:cs="Century Gothic"/>
          <w:b/>
          <w:bCs/>
          <w:lang w:val="es-ES_tradnl"/>
        </w:rPr>
        <w:t>Doctrina de la Agencia Nacional de Contratación Pública:</w:t>
      </w:r>
    </w:p>
    <w:p w14:paraId="55AEB5E1" w14:textId="77777777" w:rsidR="00155C27" w:rsidRPr="005622BB" w:rsidRDefault="00155C27" w:rsidP="00155C27">
      <w:pPr>
        <w:widowControl w:val="0"/>
        <w:autoSpaceDE w:val="0"/>
        <w:autoSpaceDN w:val="0"/>
        <w:snapToGrid w:val="0"/>
        <w:spacing w:after="0" w:line="276" w:lineRule="auto"/>
        <w:jc w:val="both"/>
        <w:rPr>
          <w:rFonts w:ascii="Verdana" w:eastAsia="Calibri" w:hAnsi="Verdana" w:cs="Arial"/>
          <w:lang w:val="es-ES_tradnl"/>
        </w:rPr>
      </w:pPr>
    </w:p>
    <w:p w14:paraId="2A844D8F" w14:textId="77777777" w:rsidR="00155C27" w:rsidRPr="005544D7" w:rsidRDefault="00155C27" w:rsidP="00155C27">
      <w:pPr>
        <w:widowControl w:val="0"/>
        <w:autoSpaceDE w:val="0"/>
        <w:autoSpaceDN w:val="0"/>
        <w:snapToGrid w:val="0"/>
        <w:spacing w:after="0" w:line="276" w:lineRule="auto"/>
        <w:jc w:val="both"/>
        <w:rPr>
          <w:rFonts w:ascii="Verdana" w:eastAsia="Calibri" w:hAnsi="Verdana" w:cs="Arial"/>
          <w:kern w:val="2"/>
          <w:shd w:val="clear" w:color="auto" w:fill="FFFFFF"/>
          <w:lang w:val="es-ES"/>
          <w14:ligatures w14:val="standardContextual"/>
        </w:rPr>
      </w:pPr>
      <w:r w:rsidRPr="005544D7">
        <w:rPr>
          <w:rFonts w:ascii="Verdana" w:eastAsia="Calibri" w:hAnsi="Verdana" w:cs="Arial"/>
          <w:kern w:val="2"/>
          <w:shd w:val="clear" w:color="auto" w:fill="FFFFFF"/>
          <w:lang w:val="es-ES"/>
          <w14:ligatures w14:val="standardContextual"/>
        </w:rPr>
        <w:t xml:space="preserve">La Agencia Nacional de Contratación Pública − </w:t>
      </w:r>
      <w:r w:rsidRPr="005544D7">
        <w:rPr>
          <w:rFonts w:ascii="Verdana" w:eastAsia="Times New Roman" w:hAnsi="Verdana" w:cs="Arial"/>
          <w:lang w:eastAsia="es-ES_tradnl"/>
        </w:rPr>
        <w:t>Colombia Compra Eficiente se pronunció sobre  los tratados o acuerdos comerciales en la contratación estatal en los conceptos con radicado No. 2201913000006925 del 17 de septiembre de 2019, 2201913000008236 del 6 de noviembre de 2019, 2201913000008425 del 13 de noviembre de 2019, C–360 del 16 de julio de 2020, C–417 del 16 de julio de 2020, C–611 del 2 de octubre de 2020, C–613 del 26 de octubre de 2020, C–694 del 26 de noviembre de 2020, C–755 del 6 de enero de 2021 y C–285 del 11 de junio de 2021, de igual forma se ha pronunciado sobre la naturaleza de las guías y los manuales en los Conceptos C-451 del 31 de agosto de 2021, C-519 del 23 de septiembre de 2021, C-117 del 24 de marzo de 2022 y C-149 del 5 de abril de 2022, refiriéndose específicamente al “Manual para el manejo de los Acuerdos Comerciales en Procesos de Contratación” en los Conceptos C-124 del 5 de abril de 2021, C-191 del 12 de abril de 2022, C-117 de 24 de marzo de 2022 y C-383 del 15 de junio de 2022, entre otros</w:t>
      </w:r>
      <w:r w:rsidRPr="005544D7">
        <w:rPr>
          <w:rFonts w:ascii="Verdana" w:eastAsia="Calibri" w:hAnsi="Verdana" w:cs="Arial"/>
          <w:kern w:val="2"/>
          <w:shd w:val="clear" w:color="auto" w:fill="FFFFFF"/>
          <w:lang w:val="es-ES"/>
          <w14:ligatures w14:val="standardContextual"/>
        </w:rPr>
        <w:t xml:space="preserve">. Estos y otros conceptos se </w:t>
      </w:r>
      <w:r w:rsidRPr="005544D7">
        <w:rPr>
          <w:rFonts w:ascii="Verdana" w:eastAsia="Calibri" w:hAnsi="Verdana" w:cs="Arial"/>
          <w:kern w:val="2"/>
          <w:shd w:val="clear" w:color="auto" w:fill="FFFFFF"/>
          <w:lang w:val="es-ES"/>
          <w14:ligatures w14:val="standardContextual"/>
        </w:rPr>
        <w:lastRenderedPageBreak/>
        <w:t xml:space="preserve">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p>
    <w:p w14:paraId="30A0321B" w14:textId="77777777" w:rsidR="00155C27" w:rsidRPr="005622BB" w:rsidRDefault="00155C27" w:rsidP="00155C27">
      <w:pPr>
        <w:widowControl w:val="0"/>
        <w:autoSpaceDE w:val="0"/>
        <w:autoSpaceDN w:val="0"/>
        <w:spacing w:after="0" w:line="276" w:lineRule="auto"/>
        <w:jc w:val="both"/>
        <w:rPr>
          <w:rFonts w:ascii="Verdana" w:eastAsia="Calibri" w:hAnsi="Verdana" w:cs="Arial"/>
          <w:shd w:val="clear" w:color="auto" w:fill="FFFFFF"/>
          <w:lang w:val="es-ES_tradnl"/>
        </w:rPr>
      </w:pPr>
    </w:p>
    <w:p w14:paraId="0CAEF068" w14:textId="77777777" w:rsidR="00155C27" w:rsidRDefault="00155C27" w:rsidP="00155C27">
      <w:pPr>
        <w:spacing w:after="0" w:line="276" w:lineRule="auto"/>
        <w:jc w:val="both"/>
        <w:textAlignment w:val="baseline"/>
        <w:rPr>
          <w:rFonts w:ascii="Verdana" w:eastAsia="Times New Roman" w:hAnsi="Verdana" w:cs="Times New Roman"/>
          <w:color w:val="0000FF"/>
          <w:u w:val="single"/>
          <w:bdr w:val="none" w:sz="0" w:space="0" w:color="auto" w:frame="1"/>
          <w:lang w:eastAsia="es-CO"/>
        </w:rPr>
      </w:pPr>
      <w:r w:rsidRPr="00917C65">
        <w:rPr>
          <w:rFonts w:ascii="Verdana" w:eastAsia="Times New Roman" w:hAnsi="Verdana" w:cs="Times New Roman"/>
          <w:color w:val="000000"/>
          <w:lang w:eastAsia="es-CO"/>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8" w:tgtFrame="_blank" w:tooltip="Dirección URL original: https://www.colombiacompra.gov.co/sites/cce_public/files/cce_documents/manual_para_el_manejo_de_acuerdos_comerciales_vf.pdf. Haga clic o pulse si confía en este vínculo." w:history="1">
        <w:r w:rsidRPr="00917C65">
          <w:rPr>
            <w:rFonts w:ascii="Verdana" w:eastAsia="Times New Roman" w:hAnsi="Verdana" w:cs="Times New Roman"/>
            <w:color w:val="0000FF"/>
            <w:u w:val="single"/>
            <w:bdr w:val="none" w:sz="0" w:space="0" w:color="auto" w:frame="1"/>
            <w:lang w:eastAsia="es-CO"/>
          </w:rPr>
          <w:t>manual_para_el_manejo_de_acuerdos_comerciales_vf.pdf</w:t>
        </w:r>
      </w:hyperlink>
    </w:p>
    <w:p w14:paraId="2E497AE8" w14:textId="77777777" w:rsidR="00155C27" w:rsidRDefault="00155C27" w:rsidP="00155C27">
      <w:pPr>
        <w:spacing w:after="0" w:line="276" w:lineRule="auto"/>
        <w:jc w:val="both"/>
        <w:textAlignment w:val="baseline"/>
        <w:rPr>
          <w:rFonts w:ascii="Verdana" w:eastAsia="Times New Roman" w:hAnsi="Verdana" w:cs="Times New Roman"/>
          <w:color w:val="0000FF"/>
          <w:u w:val="single"/>
          <w:bdr w:val="none" w:sz="0" w:space="0" w:color="auto" w:frame="1"/>
          <w:lang w:eastAsia="es-CO"/>
        </w:rPr>
      </w:pPr>
    </w:p>
    <w:p w14:paraId="53FCE7CD" w14:textId="77777777" w:rsidR="00155C27" w:rsidRPr="00917C65" w:rsidRDefault="00155C27" w:rsidP="00155C27">
      <w:pPr>
        <w:spacing w:after="0" w:line="276" w:lineRule="auto"/>
        <w:jc w:val="both"/>
        <w:textAlignment w:val="baseline"/>
        <w:rPr>
          <w:rFonts w:ascii="Verdana" w:eastAsia="Times New Roman" w:hAnsi="Verdana" w:cs="Times New Roman"/>
          <w:color w:val="000000"/>
          <w:lang w:eastAsia="es-CO"/>
        </w:rPr>
      </w:pPr>
      <w:r w:rsidRPr="00917C65">
        <w:rPr>
          <w:rFonts w:ascii="Verdana" w:eastAsia="Times New Roman" w:hAnsi="Verdana" w:cs="Times New Roman"/>
          <w:color w:val="000000"/>
          <w:lang w:eastAsia="es-CO"/>
        </w:rPr>
        <w:t>También le invitamos a consultar la versión VII  de 2024 , del Boletín de Relatoría de la Subdirección de Gestión Contractual relacionado con las ASOCIACIONES PÚBLICO POPULARES , el cual se puede descargar en la página web de la Agencia: </w:t>
      </w:r>
      <w:hyperlink r:id="rId19" w:tgtFrame="_blank" w:tooltip="Dirección URL original: https://www.colombiacompra.gov.co/sala-de-prensa/boletin-digital. Haga clic o pulse si confía en este vínculo." w:history="1">
        <w:r w:rsidRPr="00917C65">
          <w:rPr>
            <w:rFonts w:ascii="Verdana" w:eastAsia="Times New Roman" w:hAnsi="Verdana" w:cs="Times New Roman"/>
            <w:color w:val="0000FF"/>
            <w:u w:val="single"/>
            <w:bdr w:val="none" w:sz="0" w:space="0" w:color="auto" w:frame="1"/>
            <w:lang w:eastAsia="es-CO"/>
          </w:rPr>
          <w:t>https://www.colombiacompra.gov.co/sala-de-prensa/boletin-digital</w:t>
        </w:r>
      </w:hyperlink>
      <w:r w:rsidRPr="00917C65">
        <w:rPr>
          <w:rFonts w:ascii="Verdana" w:eastAsia="Times New Roman" w:hAnsi="Verdana" w:cs="Times New Roman"/>
          <w:color w:val="000000"/>
          <w:lang w:eastAsia="es-CO"/>
        </w:rPr>
        <w:t> ".</w:t>
      </w:r>
    </w:p>
    <w:p w14:paraId="2855954A" w14:textId="77777777" w:rsidR="00155C27" w:rsidRPr="00733C4A" w:rsidRDefault="00155C27" w:rsidP="00155C27">
      <w:pPr>
        <w:widowControl w:val="0"/>
        <w:autoSpaceDE w:val="0"/>
        <w:autoSpaceDN w:val="0"/>
        <w:spacing w:after="0" w:line="276" w:lineRule="auto"/>
        <w:jc w:val="both"/>
        <w:rPr>
          <w:rFonts w:ascii="Verdana" w:eastAsia="Calibri" w:hAnsi="Verdana" w:cs="Arial"/>
          <w:shd w:val="clear" w:color="auto" w:fill="FFFFFF"/>
        </w:rPr>
      </w:pPr>
    </w:p>
    <w:p w14:paraId="764D0E59" w14:textId="77777777" w:rsidR="00155C27" w:rsidRPr="005622BB" w:rsidRDefault="00155C27" w:rsidP="00155C27">
      <w:pPr>
        <w:spacing w:after="0" w:line="276" w:lineRule="auto"/>
        <w:jc w:val="both"/>
        <w:rPr>
          <w:rFonts w:ascii="Verdana" w:eastAsia="Calibri" w:hAnsi="Verdana" w:cs="Times New Roman"/>
          <w:lang w:val="es-ES_tradnl"/>
        </w:rPr>
      </w:pPr>
      <w:r w:rsidRPr="005622BB">
        <w:rPr>
          <w:rFonts w:ascii="Verdana" w:eastAsia="Calibri" w:hAnsi="Verdana" w:cs="Times New Roman"/>
          <w:lang w:val="es-ES_tradnl"/>
        </w:rPr>
        <w:t xml:space="preserve">Por último, los invitamos a seguirnos en las redes sociales, en las cuales se difunde información institucional: </w:t>
      </w:r>
    </w:p>
    <w:p w14:paraId="052C5DB4" w14:textId="77777777" w:rsidR="00155C27" w:rsidRPr="005622BB" w:rsidRDefault="00155C27" w:rsidP="00155C27">
      <w:pPr>
        <w:spacing w:after="0" w:line="240" w:lineRule="auto"/>
        <w:jc w:val="both"/>
        <w:rPr>
          <w:rFonts w:ascii="Verdana" w:eastAsia="Calibri" w:hAnsi="Verdana" w:cs="Times New Roman"/>
          <w:lang w:val="es-ES_tradnl"/>
        </w:rPr>
      </w:pPr>
    </w:p>
    <w:p w14:paraId="12136F20" w14:textId="77777777" w:rsidR="00155C27" w:rsidRPr="005622BB" w:rsidRDefault="00155C27" w:rsidP="00155C27">
      <w:pPr>
        <w:spacing w:after="0" w:line="240" w:lineRule="auto"/>
        <w:jc w:val="both"/>
        <w:rPr>
          <w:rFonts w:ascii="Verdana" w:eastAsia="Calibri" w:hAnsi="Verdana" w:cs="Times New Roman"/>
          <w:lang w:val="es-ES_tradnl"/>
        </w:rPr>
      </w:pPr>
      <w:r w:rsidRPr="005622BB">
        <w:rPr>
          <w:rFonts w:ascii="Verdana" w:eastAsia="Calibri" w:hAnsi="Verdana" w:cs="Times New Roman"/>
          <w:lang w:val="es-ES_tradnl"/>
        </w:rPr>
        <w:t xml:space="preserve">Twitter: </w:t>
      </w:r>
      <w:r w:rsidRPr="005622BB">
        <w:rPr>
          <w:rFonts w:ascii="Verdana" w:eastAsia="Calibri" w:hAnsi="Verdana" w:cs="Times New Roman"/>
          <w:u w:val="single"/>
          <w:lang w:val="es-ES_tradnl"/>
        </w:rPr>
        <w:t>@colombiacompra</w:t>
      </w:r>
      <w:r w:rsidRPr="005622BB">
        <w:rPr>
          <w:rFonts w:ascii="Verdana" w:eastAsia="Calibri" w:hAnsi="Verdana" w:cs="Times New Roman"/>
          <w:lang w:val="es-ES_tradnl"/>
        </w:rPr>
        <w:t xml:space="preserve"> </w:t>
      </w:r>
    </w:p>
    <w:p w14:paraId="0E9AE2F7" w14:textId="77777777" w:rsidR="00155C27" w:rsidRPr="005622BB" w:rsidRDefault="00155C27" w:rsidP="00155C27">
      <w:pPr>
        <w:spacing w:after="0" w:line="240" w:lineRule="auto"/>
        <w:jc w:val="both"/>
        <w:rPr>
          <w:rFonts w:ascii="Verdana" w:eastAsia="Calibri" w:hAnsi="Verdana" w:cs="Times New Roman"/>
          <w:lang w:val="es-ES"/>
        </w:rPr>
      </w:pPr>
      <w:r w:rsidRPr="005622BB">
        <w:rPr>
          <w:rFonts w:ascii="Verdana" w:eastAsia="Calibri" w:hAnsi="Verdana" w:cs="Times New Roman"/>
          <w:lang w:val="es-ES"/>
        </w:rPr>
        <w:t xml:space="preserve">Facebook: </w:t>
      </w:r>
      <w:r w:rsidRPr="005622BB">
        <w:rPr>
          <w:rFonts w:ascii="Verdana" w:eastAsia="Calibri" w:hAnsi="Verdana" w:cs="Times New Roman"/>
          <w:u w:val="single"/>
          <w:lang w:val="es-ES"/>
        </w:rPr>
        <w:t>ColombiaCompraEficiente</w:t>
      </w:r>
    </w:p>
    <w:p w14:paraId="6701C404" w14:textId="77777777" w:rsidR="00155C27" w:rsidRPr="005622BB" w:rsidRDefault="00155C27" w:rsidP="00155C27">
      <w:pPr>
        <w:spacing w:after="0" w:line="240" w:lineRule="auto"/>
        <w:jc w:val="both"/>
        <w:rPr>
          <w:rFonts w:ascii="Verdana" w:eastAsia="Calibri" w:hAnsi="Verdana" w:cs="Times New Roman"/>
          <w:lang w:val="es-ES_tradnl"/>
        </w:rPr>
      </w:pPr>
      <w:r w:rsidRPr="005622BB">
        <w:rPr>
          <w:rFonts w:ascii="Verdana" w:eastAsia="Calibri" w:hAnsi="Verdana" w:cs="Times New Roman"/>
          <w:lang w:val="es-ES_tradnl"/>
        </w:rPr>
        <w:t xml:space="preserve">LinkedIn: </w:t>
      </w:r>
      <w:r w:rsidRPr="005622BB">
        <w:rPr>
          <w:rFonts w:ascii="Verdana" w:eastAsia="Calibri" w:hAnsi="Verdana" w:cs="Times New Roman"/>
          <w:u w:val="single"/>
          <w:lang w:val="es-ES_tradnl"/>
        </w:rPr>
        <w:t>Agencia Nacional de Contratación Pública - Colombia Compra Eficiente</w:t>
      </w:r>
      <w:r w:rsidRPr="005622BB">
        <w:rPr>
          <w:rFonts w:ascii="Verdana" w:eastAsia="Calibri" w:hAnsi="Verdana" w:cs="Times New Roman"/>
          <w:lang w:val="es-ES_tradnl"/>
        </w:rPr>
        <w:t xml:space="preserve"> Instagram: </w:t>
      </w:r>
      <w:r w:rsidRPr="005622BB">
        <w:rPr>
          <w:rFonts w:ascii="Verdana" w:eastAsia="Calibri" w:hAnsi="Verdana" w:cs="Times New Roman"/>
          <w:u w:val="single"/>
          <w:lang w:val="es-ES_tradnl"/>
        </w:rPr>
        <w:t>@colombiacompraeficiente_cce</w:t>
      </w:r>
    </w:p>
    <w:p w14:paraId="49C9C6B0" w14:textId="77777777" w:rsidR="00155C27" w:rsidRPr="005622BB" w:rsidRDefault="00155C27" w:rsidP="00155C27">
      <w:pPr>
        <w:widowControl w:val="0"/>
        <w:autoSpaceDE w:val="0"/>
        <w:autoSpaceDN w:val="0"/>
        <w:spacing w:after="0" w:line="276" w:lineRule="auto"/>
        <w:jc w:val="both"/>
        <w:rPr>
          <w:rFonts w:ascii="Verdana" w:eastAsia="Calibri" w:hAnsi="Verdana" w:cs="Arial"/>
          <w:lang w:val="es-ES_tradnl"/>
        </w:rPr>
      </w:pPr>
    </w:p>
    <w:p w14:paraId="5CD823BB" w14:textId="77777777" w:rsidR="00155C27" w:rsidRPr="005622BB" w:rsidRDefault="00155C27" w:rsidP="00155C27">
      <w:pPr>
        <w:widowControl w:val="0"/>
        <w:autoSpaceDE w:val="0"/>
        <w:autoSpaceDN w:val="0"/>
        <w:spacing w:after="0" w:line="276" w:lineRule="auto"/>
        <w:jc w:val="both"/>
        <w:rPr>
          <w:rFonts w:ascii="Verdana" w:eastAsia="Calibri" w:hAnsi="Verdana" w:cs="Arial"/>
          <w:lang w:val="es-ES_tradnl"/>
        </w:rPr>
      </w:pPr>
      <w:r w:rsidRPr="005622BB">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ADF95F2" w14:textId="77777777" w:rsidR="00155C27" w:rsidRPr="005622BB" w:rsidRDefault="00155C27" w:rsidP="00155C27">
      <w:pPr>
        <w:widowControl w:val="0"/>
        <w:autoSpaceDE w:val="0"/>
        <w:autoSpaceDN w:val="0"/>
        <w:spacing w:after="0" w:line="276" w:lineRule="auto"/>
        <w:jc w:val="both"/>
        <w:rPr>
          <w:rFonts w:ascii="Verdana" w:eastAsia="Calibri" w:hAnsi="Verdana" w:cs="Arial"/>
          <w:lang w:val="es-ES_tradnl"/>
        </w:rPr>
      </w:pPr>
    </w:p>
    <w:p w14:paraId="1E885D07" w14:textId="77777777" w:rsidR="00155C27" w:rsidRPr="005622BB" w:rsidRDefault="00155C27" w:rsidP="00155C27">
      <w:pPr>
        <w:spacing w:after="0" w:line="240" w:lineRule="auto"/>
        <w:rPr>
          <w:rFonts w:ascii="Verdana" w:eastAsia="Calibri" w:hAnsi="Verdana" w:cs="Arial"/>
          <w:lang w:val="es-ES_tradnl" w:eastAsia="es-CO"/>
        </w:rPr>
      </w:pPr>
      <w:r w:rsidRPr="005622BB">
        <w:rPr>
          <w:rFonts w:ascii="Verdana" w:eastAsia="Times New Roman" w:hAnsi="Verdana" w:cs="Arial"/>
          <w:lang w:val="es-ES_tradnl" w:eastAsia="es-CO"/>
        </w:rPr>
        <w:t>Atentamente,</w:t>
      </w:r>
      <w:r w:rsidRPr="005622BB">
        <w:rPr>
          <w:rFonts w:ascii="Verdana" w:eastAsia="Calibri" w:hAnsi="Verdana" w:cs="Arial"/>
          <w:lang w:val="es-ES_tradnl" w:eastAsia="es-CO"/>
        </w:rPr>
        <w:t xml:space="preserve"> </w:t>
      </w:r>
    </w:p>
    <w:p w14:paraId="70658F9C" w14:textId="77777777" w:rsidR="00155C27" w:rsidRPr="005622BB" w:rsidRDefault="00155C27" w:rsidP="00155C27">
      <w:pPr>
        <w:spacing w:line="276" w:lineRule="auto"/>
        <w:jc w:val="center"/>
        <w:rPr>
          <w:rFonts w:ascii="Verdana" w:hAnsi="Verdana"/>
          <w:noProof/>
        </w:rPr>
      </w:pPr>
    </w:p>
    <w:p w14:paraId="03434B1D" w14:textId="77777777" w:rsidR="00155C27" w:rsidRPr="005622BB" w:rsidRDefault="00155C27" w:rsidP="00155C27">
      <w:pPr>
        <w:spacing w:line="276" w:lineRule="auto"/>
        <w:jc w:val="center"/>
        <w:rPr>
          <w:rFonts w:ascii="Verdana" w:eastAsia="Calibri" w:hAnsi="Verdana" w:cs="Arial"/>
          <w:noProof/>
          <w:lang w:val="es-ES_tradnl" w:eastAsia="es-CO"/>
        </w:rPr>
      </w:pPr>
    </w:p>
    <w:p w14:paraId="47A53954" w14:textId="081F8199" w:rsidR="00155C27" w:rsidRPr="005622BB" w:rsidRDefault="00483BBC" w:rsidP="00155C27">
      <w:pPr>
        <w:spacing w:line="276" w:lineRule="auto"/>
        <w:jc w:val="center"/>
        <w:rPr>
          <w:rFonts w:ascii="Verdana" w:eastAsia="Calibri" w:hAnsi="Verdana" w:cs="Arial"/>
          <w:noProof/>
          <w:lang w:val="es-ES_tradnl" w:eastAsia="es-CO"/>
        </w:rPr>
      </w:pPr>
      <w:r w:rsidRPr="002C3AD6">
        <w:rPr>
          <w:rFonts w:ascii="Century Gothic" w:hAnsi="Century Gothic"/>
          <w:noProof/>
        </w:rPr>
        <w:lastRenderedPageBreak/>
        <w:drawing>
          <wp:inline distT="0" distB="0" distL="0" distR="0" wp14:anchorId="3BBB6DB9" wp14:editId="206D335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55C27" w:rsidRPr="00733C4A" w14:paraId="6B7F3292" w14:textId="77777777" w:rsidTr="000E4E64">
        <w:trPr>
          <w:trHeight w:val="315"/>
        </w:trPr>
        <w:tc>
          <w:tcPr>
            <w:tcW w:w="893" w:type="dxa"/>
            <w:vAlign w:val="center"/>
            <w:hideMark/>
          </w:tcPr>
          <w:p w14:paraId="28952249" w14:textId="77777777" w:rsidR="00155C27" w:rsidRPr="00733C4A" w:rsidRDefault="00155C27" w:rsidP="000E4E64">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7C512208" w14:textId="77777777" w:rsidR="00155C27" w:rsidRPr="00733C4A" w:rsidRDefault="00155C27" w:rsidP="000E4E64">
            <w:pPr>
              <w:rPr>
                <w:rFonts w:ascii="Verdana" w:eastAsia="Arial" w:hAnsi="Verdana" w:cs="Arial"/>
                <w:sz w:val="16"/>
                <w:szCs w:val="16"/>
                <w:lang w:val="es-ES_tradnl"/>
              </w:rPr>
            </w:pPr>
            <w:r>
              <w:rPr>
                <w:rFonts w:ascii="Verdana" w:eastAsia="Arial" w:hAnsi="Verdana" w:cs="Arial"/>
                <w:sz w:val="16"/>
                <w:szCs w:val="16"/>
                <w:lang w:val="es-ES_tradnl"/>
              </w:rPr>
              <w:t xml:space="preserve">Diana </w:t>
            </w:r>
            <w:r w:rsidRPr="00733C4A">
              <w:rPr>
                <w:rFonts w:ascii="Verdana" w:eastAsia="Arial" w:hAnsi="Verdana" w:cs="Arial"/>
                <w:sz w:val="16"/>
                <w:szCs w:val="16"/>
                <w:lang w:val="es-ES_tradnl"/>
              </w:rPr>
              <w:t xml:space="preserve">Carolina Blanco Rodriguez </w:t>
            </w:r>
          </w:p>
          <w:p w14:paraId="4F93931A" w14:textId="77777777" w:rsidR="00155C27" w:rsidRPr="00733C4A" w:rsidRDefault="00155C27" w:rsidP="000E4E64">
            <w:pPr>
              <w:rPr>
                <w:rFonts w:ascii="Verdana" w:eastAsia="Arial" w:hAnsi="Verdana" w:cs="Arial"/>
                <w:sz w:val="16"/>
                <w:szCs w:val="16"/>
                <w:lang w:val="es-ES_tradnl"/>
              </w:rPr>
            </w:pPr>
            <w:r w:rsidRPr="00733C4A">
              <w:rPr>
                <w:rFonts w:ascii="Verdana" w:eastAsia="Arial" w:hAnsi="Verdana" w:cs="Arial"/>
                <w:sz w:val="16"/>
                <w:szCs w:val="16"/>
                <w:lang w:val="es-ES_tradnl"/>
              </w:rPr>
              <w:t xml:space="preserve">Contratista de la Subdirección de Gestión Contractual </w:t>
            </w:r>
          </w:p>
        </w:tc>
      </w:tr>
      <w:tr w:rsidR="00155C27" w:rsidRPr="00733C4A" w14:paraId="6CC0BB97" w14:textId="77777777" w:rsidTr="000E4E64">
        <w:trPr>
          <w:trHeight w:val="330"/>
        </w:trPr>
        <w:tc>
          <w:tcPr>
            <w:tcW w:w="893" w:type="dxa"/>
            <w:vAlign w:val="center"/>
            <w:hideMark/>
          </w:tcPr>
          <w:p w14:paraId="09C3FAFC" w14:textId="77777777" w:rsidR="00155C27" w:rsidRPr="00733C4A" w:rsidRDefault="00155C27" w:rsidP="000E4E64">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3E805769" w14:textId="77777777" w:rsidR="00155C27" w:rsidRPr="00733C4A" w:rsidRDefault="00155C27" w:rsidP="000E4E64">
            <w:pPr>
              <w:textAlignment w:val="baseline"/>
              <w:rPr>
                <w:rFonts w:ascii="Verdana" w:eastAsia="Times New Roman" w:hAnsi="Verdana" w:cs="Segoe UI"/>
                <w:sz w:val="16"/>
                <w:szCs w:val="16"/>
                <w:lang w:val="es-ES_tradnl" w:eastAsia="es-ES_tradnl"/>
              </w:rPr>
            </w:pPr>
            <w:r>
              <w:rPr>
                <w:rFonts w:ascii="Verdana" w:eastAsia="Times New Roman" w:hAnsi="Verdana" w:cs="Segoe UI"/>
                <w:sz w:val="16"/>
                <w:szCs w:val="16"/>
                <w:lang w:val="es-ES_tradnl" w:eastAsia="es-ES_tradnl"/>
              </w:rPr>
              <w:t>Cielo</w:t>
            </w:r>
            <w:r w:rsidRPr="00733C4A">
              <w:rPr>
                <w:rFonts w:ascii="Verdana" w:eastAsia="Times New Roman" w:hAnsi="Verdana" w:cs="Segoe UI"/>
                <w:sz w:val="16"/>
                <w:szCs w:val="16"/>
                <w:lang w:val="es-ES_tradnl" w:eastAsia="es-ES_tradnl"/>
              </w:rPr>
              <w:t xml:space="preserve"> González </w:t>
            </w:r>
          </w:p>
          <w:p w14:paraId="5CA62405" w14:textId="77777777" w:rsidR="00155C27" w:rsidRPr="00733C4A" w:rsidRDefault="00155C27" w:rsidP="000E4E64">
            <w:pPr>
              <w:textAlignment w:val="baseline"/>
              <w:rPr>
                <w:rFonts w:ascii="Verdana" w:eastAsia="Times New Roman" w:hAnsi="Verdana" w:cs="Segoe UI"/>
                <w:sz w:val="16"/>
                <w:szCs w:val="16"/>
                <w:lang w:val="es-ES_tradnl" w:eastAsia="es-ES_tradnl"/>
              </w:rPr>
            </w:pPr>
            <w:r w:rsidRPr="00733C4A">
              <w:rPr>
                <w:rFonts w:ascii="Verdana" w:eastAsia="Times New Roman" w:hAnsi="Verdana" w:cs="Arial"/>
                <w:sz w:val="16"/>
                <w:szCs w:val="16"/>
                <w:lang w:val="es-ES_tradnl" w:eastAsia="es-ES_tradnl"/>
              </w:rPr>
              <w:t>Contratista de la Subdirección de Gestión Contractual </w:t>
            </w:r>
          </w:p>
        </w:tc>
      </w:tr>
      <w:tr w:rsidR="00155C27" w:rsidRPr="00733C4A" w14:paraId="095D27A4" w14:textId="77777777" w:rsidTr="000E4E64">
        <w:trPr>
          <w:trHeight w:val="300"/>
        </w:trPr>
        <w:tc>
          <w:tcPr>
            <w:tcW w:w="893" w:type="dxa"/>
            <w:vAlign w:val="center"/>
          </w:tcPr>
          <w:p w14:paraId="38E97FA6" w14:textId="77777777" w:rsidR="00155C27" w:rsidRPr="00733C4A" w:rsidRDefault="00155C27" w:rsidP="000E4E64">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70D2DD71" w14:textId="77777777" w:rsidR="00155C27" w:rsidRPr="00733C4A" w:rsidRDefault="00155C27" w:rsidP="000E4E64">
            <w:pPr>
              <w:rPr>
                <w:rFonts w:ascii="Verdana" w:eastAsia="Calibri" w:hAnsi="Verdana" w:cs="Arial"/>
                <w:sz w:val="16"/>
                <w:szCs w:val="16"/>
                <w:lang w:val="es-ES" w:eastAsia="es-ES"/>
              </w:rPr>
            </w:pPr>
            <w:r w:rsidRPr="00733C4A">
              <w:rPr>
                <w:rFonts w:ascii="Verdana" w:eastAsia="Calibri" w:hAnsi="Verdana" w:cs="Arial"/>
                <w:sz w:val="16"/>
                <w:szCs w:val="16"/>
                <w:lang w:val="es-ES" w:eastAsia="es-ES"/>
              </w:rPr>
              <w:t>Carolina Quintero Gacharná</w:t>
            </w:r>
          </w:p>
          <w:p w14:paraId="64862598" w14:textId="77777777" w:rsidR="00155C27" w:rsidRPr="00733C4A" w:rsidRDefault="00155C27" w:rsidP="000E4E64">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Subdirectora de Gestión Contractual ANCP – CCE</w:t>
            </w:r>
          </w:p>
        </w:tc>
      </w:tr>
    </w:tbl>
    <w:p w14:paraId="55C675E0" w14:textId="77777777" w:rsidR="00155C27" w:rsidRPr="00733C4A" w:rsidRDefault="00155C27" w:rsidP="00155C27">
      <w:pPr>
        <w:spacing w:after="0" w:line="240" w:lineRule="auto"/>
        <w:rPr>
          <w:rFonts w:ascii="Verdana" w:eastAsia="Aptos" w:hAnsi="Verdana" w:cs="Times New Roman"/>
          <w:kern w:val="2"/>
          <w:sz w:val="16"/>
          <w:szCs w:val="16"/>
          <w:lang w:val="es-ES_tradnl"/>
          <w14:ligatures w14:val="standardContextual"/>
        </w:rPr>
      </w:pPr>
    </w:p>
    <w:p w14:paraId="39A4EE2A" w14:textId="77777777" w:rsidR="00155C27" w:rsidRPr="005622BB" w:rsidRDefault="00155C27" w:rsidP="00155C27">
      <w:pPr>
        <w:snapToGrid w:val="0"/>
        <w:spacing w:after="0" w:line="276" w:lineRule="auto"/>
        <w:jc w:val="both"/>
        <w:rPr>
          <w:rFonts w:ascii="Verdana" w:eastAsia="Calibri" w:hAnsi="Verdana" w:cs="Arial"/>
          <w:lang w:val="es-ES_tradnl"/>
        </w:rPr>
      </w:pPr>
    </w:p>
    <w:bookmarkEnd w:id="0"/>
    <w:p w14:paraId="183A0202" w14:textId="68EF9F53" w:rsidR="003A6E04" w:rsidRPr="005622BB" w:rsidRDefault="003A6E04" w:rsidP="00367C9C">
      <w:pPr>
        <w:spacing w:after="0" w:line="240" w:lineRule="auto"/>
        <w:jc w:val="right"/>
        <w:rPr>
          <w:rFonts w:ascii="Verdana" w:eastAsia="Calibri" w:hAnsi="Verdana" w:cs="Arial"/>
          <w:lang w:val="es-ES_tradnl" w:eastAsia="es-ES"/>
        </w:rPr>
      </w:pPr>
    </w:p>
    <w:sectPr w:rsidR="003A6E04" w:rsidRPr="005622BB"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60ABB" w14:textId="77777777" w:rsidR="00916A8C" w:rsidRDefault="00916A8C" w:rsidP="004A1847">
      <w:pPr>
        <w:spacing w:after="0" w:line="240" w:lineRule="auto"/>
      </w:pPr>
      <w:r>
        <w:separator/>
      </w:r>
    </w:p>
  </w:endnote>
  <w:endnote w:type="continuationSeparator" w:id="0">
    <w:p w14:paraId="7307F807" w14:textId="77777777" w:rsidR="00916A8C" w:rsidRDefault="00916A8C" w:rsidP="004A1847">
      <w:pPr>
        <w:spacing w:after="0" w:line="240" w:lineRule="auto"/>
      </w:pPr>
      <w:r>
        <w:continuationSeparator/>
      </w:r>
    </w:p>
  </w:endnote>
  <w:endnote w:type="continuationNotice" w:id="1">
    <w:p w14:paraId="4079A44E" w14:textId="77777777" w:rsidR="00916A8C" w:rsidRDefault="00916A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D1DF44" w14:textId="77777777" w:rsidR="00916A8C" w:rsidRDefault="00916A8C" w:rsidP="004A1847">
      <w:pPr>
        <w:spacing w:after="0" w:line="240" w:lineRule="auto"/>
      </w:pPr>
      <w:r>
        <w:separator/>
      </w:r>
    </w:p>
  </w:footnote>
  <w:footnote w:type="continuationSeparator" w:id="0">
    <w:p w14:paraId="1328A48C" w14:textId="77777777" w:rsidR="00916A8C" w:rsidRDefault="00916A8C" w:rsidP="004A1847">
      <w:pPr>
        <w:spacing w:after="0" w:line="240" w:lineRule="auto"/>
      </w:pPr>
      <w:r>
        <w:continuationSeparator/>
      </w:r>
    </w:p>
  </w:footnote>
  <w:footnote w:type="continuationNotice" w:id="1">
    <w:p w14:paraId="5E578CB7" w14:textId="77777777" w:rsidR="00916A8C" w:rsidRDefault="00916A8C">
      <w:pPr>
        <w:spacing w:after="0" w:line="240" w:lineRule="auto"/>
      </w:pPr>
    </w:p>
  </w:footnote>
  <w:footnote w:id="2">
    <w:p w14:paraId="6A05F5F2" w14:textId="77777777" w:rsidR="00155C27" w:rsidRPr="00085FDB" w:rsidRDefault="00155C27" w:rsidP="00155C27">
      <w:pPr>
        <w:pStyle w:val="Textonotapie"/>
        <w:ind w:firstLine="709"/>
        <w:jc w:val="both"/>
        <w:rPr>
          <w:rFonts w:ascii="Arial" w:hAnsi="Arial" w:cs="Arial"/>
          <w:sz w:val="18"/>
          <w:szCs w:val="18"/>
        </w:rPr>
      </w:pPr>
      <w:r w:rsidRPr="00085FDB">
        <w:rPr>
          <w:rStyle w:val="Refdenotaalpie"/>
          <w:rFonts w:ascii="Arial" w:hAnsi="Arial" w:cs="Arial"/>
          <w:sz w:val="18"/>
          <w:szCs w:val="18"/>
        </w:rPr>
        <w:footnoteRef/>
      </w:r>
      <w:r w:rsidRPr="00085FDB">
        <w:rPr>
          <w:rFonts w:ascii="Arial" w:hAnsi="Arial" w:cs="Arial"/>
          <w:sz w:val="18"/>
          <w:szCs w:val="18"/>
        </w:rPr>
        <w:t xml:space="preserve"> La Constitución Política, en el artículo 189, numeral 2, dispone que el Presidente de la República debe: “Dirigir las relaciones internacionales. Nombrar a los agentes diplomáticos y consulares, recibir a los agentes respectivos y celebrar con otros Estados y entidades de derecho internacional tratados o convenios que se someterán a la aprobación del Congreso”. Así mismo, en el artículo 150, numeral 16, establece que el Congreso de la Republica debe: “Aprobar o improbar los tratados que el Gobierno celebre con otros Estados o con entidades de derecho internacional. Por medio de dichos tratados podrá́ el Estado, sobre bases de equidad, reciprocidad y conveniencia nacional, transferir parcialmente determinadas atribuciones a organismos internacionales, que tengan por objeto promover o consolidar la integración económica con otros Estados”.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3" type="#_x0000_t75" style="width:11.4pt;height:11.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0E10B32"/>
    <w:multiLevelType w:val="hybridMultilevel"/>
    <w:tmpl w:val="5FF0D8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5C802C4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2DC60A1"/>
    <w:multiLevelType w:val="multilevel"/>
    <w:tmpl w:val="AA38C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F2322F0"/>
    <w:multiLevelType w:val="hybridMultilevel"/>
    <w:tmpl w:val="238C17CA"/>
    <w:lvl w:ilvl="0" w:tplc="849CDDCA">
      <w:start w:val="1"/>
      <w:numFmt w:val="bullet"/>
      <w:lvlText w:val=""/>
      <w:lvlJc w:val="left"/>
      <w:pPr>
        <w:ind w:left="1440" w:hanging="360"/>
      </w:pPr>
      <w:rPr>
        <w:rFonts w:ascii="Symbol" w:hAnsi="Symbol" w:hint="default"/>
        <w:color w:val="auto"/>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1492209491">
    <w:abstractNumId w:val="6"/>
  </w:num>
  <w:num w:numId="18" w16cid:durableId="679089576">
    <w:abstractNumId w:val="11"/>
  </w:num>
  <w:num w:numId="19" w16cid:durableId="1292635229">
    <w:abstractNumId w:val="18"/>
  </w:num>
  <w:num w:numId="20" w16cid:durableId="1077559912">
    <w:abstractNumId w:val="12"/>
  </w:num>
  <w:num w:numId="21" w16cid:durableId="4241546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86C09"/>
    <w:rsid w:val="000A2DA5"/>
    <w:rsid w:val="000A683E"/>
    <w:rsid w:val="000B19B9"/>
    <w:rsid w:val="000C6D58"/>
    <w:rsid w:val="000D0334"/>
    <w:rsid w:val="000F6486"/>
    <w:rsid w:val="00114CE8"/>
    <w:rsid w:val="00125105"/>
    <w:rsid w:val="00127233"/>
    <w:rsid w:val="00155C27"/>
    <w:rsid w:val="0017306B"/>
    <w:rsid w:val="001B3F9B"/>
    <w:rsid w:val="001E4177"/>
    <w:rsid w:val="001F7DC6"/>
    <w:rsid w:val="002421BB"/>
    <w:rsid w:val="00250531"/>
    <w:rsid w:val="0025796E"/>
    <w:rsid w:val="002707A2"/>
    <w:rsid w:val="002951A0"/>
    <w:rsid w:val="002962BC"/>
    <w:rsid w:val="002A093D"/>
    <w:rsid w:val="002A0DD0"/>
    <w:rsid w:val="002A49AC"/>
    <w:rsid w:val="002A5F8C"/>
    <w:rsid w:val="002A64FD"/>
    <w:rsid w:val="002C7A84"/>
    <w:rsid w:val="002D7C31"/>
    <w:rsid w:val="002E4FD9"/>
    <w:rsid w:val="00322A85"/>
    <w:rsid w:val="00324168"/>
    <w:rsid w:val="00332368"/>
    <w:rsid w:val="003448F4"/>
    <w:rsid w:val="00357C1D"/>
    <w:rsid w:val="00367C9C"/>
    <w:rsid w:val="00373728"/>
    <w:rsid w:val="00374F5E"/>
    <w:rsid w:val="00377E3E"/>
    <w:rsid w:val="00394F4A"/>
    <w:rsid w:val="003A26D1"/>
    <w:rsid w:val="003A6E04"/>
    <w:rsid w:val="003A779E"/>
    <w:rsid w:val="003D0F4D"/>
    <w:rsid w:val="003D5B0D"/>
    <w:rsid w:val="003E0499"/>
    <w:rsid w:val="003F2281"/>
    <w:rsid w:val="003F3941"/>
    <w:rsid w:val="00406575"/>
    <w:rsid w:val="0042722E"/>
    <w:rsid w:val="0044528D"/>
    <w:rsid w:val="004705EC"/>
    <w:rsid w:val="00483BBC"/>
    <w:rsid w:val="00486227"/>
    <w:rsid w:val="004A1847"/>
    <w:rsid w:val="004A305D"/>
    <w:rsid w:val="004B16CD"/>
    <w:rsid w:val="004F21C4"/>
    <w:rsid w:val="004F685F"/>
    <w:rsid w:val="005566E8"/>
    <w:rsid w:val="005622BB"/>
    <w:rsid w:val="00574867"/>
    <w:rsid w:val="00591460"/>
    <w:rsid w:val="00592628"/>
    <w:rsid w:val="005C3777"/>
    <w:rsid w:val="005C5CDC"/>
    <w:rsid w:val="005D476C"/>
    <w:rsid w:val="00610812"/>
    <w:rsid w:val="006219F8"/>
    <w:rsid w:val="006420E0"/>
    <w:rsid w:val="00650FF7"/>
    <w:rsid w:val="00665D70"/>
    <w:rsid w:val="00671DAC"/>
    <w:rsid w:val="006900D9"/>
    <w:rsid w:val="006D12F8"/>
    <w:rsid w:val="006E0F06"/>
    <w:rsid w:val="006F5E7F"/>
    <w:rsid w:val="00706C16"/>
    <w:rsid w:val="00733C4A"/>
    <w:rsid w:val="00756841"/>
    <w:rsid w:val="007649AB"/>
    <w:rsid w:val="00771D0C"/>
    <w:rsid w:val="007833AC"/>
    <w:rsid w:val="007B268C"/>
    <w:rsid w:val="007B7171"/>
    <w:rsid w:val="007C0C0F"/>
    <w:rsid w:val="007C3DC2"/>
    <w:rsid w:val="007E5497"/>
    <w:rsid w:val="00806F5F"/>
    <w:rsid w:val="00820278"/>
    <w:rsid w:val="0082405C"/>
    <w:rsid w:val="00842281"/>
    <w:rsid w:val="008843B6"/>
    <w:rsid w:val="00891928"/>
    <w:rsid w:val="008A446D"/>
    <w:rsid w:val="008D180B"/>
    <w:rsid w:val="008F0EA7"/>
    <w:rsid w:val="00911A49"/>
    <w:rsid w:val="00916A8C"/>
    <w:rsid w:val="00920786"/>
    <w:rsid w:val="00923EEF"/>
    <w:rsid w:val="009419F9"/>
    <w:rsid w:val="0095685E"/>
    <w:rsid w:val="00961B09"/>
    <w:rsid w:val="00965334"/>
    <w:rsid w:val="0097093E"/>
    <w:rsid w:val="009A0DFA"/>
    <w:rsid w:val="009B2D26"/>
    <w:rsid w:val="009C71FA"/>
    <w:rsid w:val="009C72E7"/>
    <w:rsid w:val="009D3058"/>
    <w:rsid w:val="009F3A13"/>
    <w:rsid w:val="00A122D3"/>
    <w:rsid w:val="00A17F13"/>
    <w:rsid w:val="00A20739"/>
    <w:rsid w:val="00A33C78"/>
    <w:rsid w:val="00A4739B"/>
    <w:rsid w:val="00A71F2E"/>
    <w:rsid w:val="00AB0ADB"/>
    <w:rsid w:val="00AD595F"/>
    <w:rsid w:val="00B01B1A"/>
    <w:rsid w:val="00B72CD3"/>
    <w:rsid w:val="00B72FFF"/>
    <w:rsid w:val="00BC3D36"/>
    <w:rsid w:val="00BD7F72"/>
    <w:rsid w:val="00C04FB3"/>
    <w:rsid w:val="00C10604"/>
    <w:rsid w:val="00C15AAE"/>
    <w:rsid w:val="00C330EB"/>
    <w:rsid w:val="00C55E89"/>
    <w:rsid w:val="00C66E65"/>
    <w:rsid w:val="00C754BE"/>
    <w:rsid w:val="00C76B1C"/>
    <w:rsid w:val="00C923D0"/>
    <w:rsid w:val="00CA4F61"/>
    <w:rsid w:val="00CB6357"/>
    <w:rsid w:val="00CC1B26"/>
    <w:rsid w:val="00CE3D1A"/>
    <w:rsid w:val="00D423A2"/>
    <w:rsid w:val="00D47A7F"/>
    <w:rsid w:val="00D520D8"/>
    <w:rsid w:val="00D63AC2"/>
    <w:rsid w:val="00D7383B"/>
    <w:rsid w:val="00DA231B"/>
    <w:rsid w:val="00DA23A0"/>
    <w:rsid w:val="00DC39FC"/>
    <w:rsid w:val="00DE6472"/>
    <w:rsid w:val="00DF5254"/>
    <w:rsid w:val="00E10417"/>
    <w:rsid w:val="00E112FF"/>
    <w:rsid w:val="00E16408"/>
    <w:rsid w:val="00E20894"/>
    <w:rsid w:val="00E245AB"/>
    <w:rsid w:val="00E2764C"/>
    <w:rsid w:val="00E27F2E"/>
    <w:rsid w:val="00E413EA"/>
    <w:rsid w:val="00E50AFE"/>
    <w:rsid w:val="00E5700B"/>
    <w:rsid w:val="00E725F8"/>
    <w:rsid w:val="00E756C1"/>
    <w:rsid w:val="00E75C92"/>
    <w:rsid w:val="00E771DC"/>
    <w:rsid w:val="00E8740D"/>
    <w:rsid w:val="00E8772A"/>
    <w:rsid w:val="00E90F6B"/>
    <w:rsid w:val="00E92C27"/>
    <w:rsid w:val="00EA0E3D"/>
    <w:rsid w:val="00EC38A7"/>
    <w:rsid w:val="00EC3B8A"/>
    <w:rsid w:val="00EE1AA8"/>
    <w:rsid w:val="00F22712"/>
    <w:rsid w:val="00F31EDC"/>
    <w:rsid w:val="00F462B3"/>
    <w:rsid w:val="00F5664F"/>
    <w:rsid w:val="00F666C4"/>
    <w:rsid w:val="00F712CC"/>
    <w:rsid w:val="00F76AFC"/>
    <w:rsid w:val="00FA47C0"/>
    <w:rsid w:val="00FB5DD1"/>
    <w:rsid w:val="00FC2B5D"/>
    <w:rsid w:val="00FF1449"/>
    <w:rsid w:val="37C67F7E"/>
    <w:rsid w:val="5CEADB7B"/>
    <w:rsid w:val="6F6F757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A6E0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33C4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95094">
      <w:bodyDiv w:val="1"/>
      <w:marLeft w:val="0"/>
      <w:marRight w:val="0"/>
      <w:marTop w:val="0"/>
      <w:marBottom w:val="0"/>
      <w:divBdr>
        <w:top w:val="none" w:sz="0" w:space="0" w:color="auto"/>
        <w:left w:val="none" w:sz="0" w:space="0" w:color="auto"/>
        <w:bottom w:val="none" w:sz="0" w:space="0" w:color="auto"/>
        <w:right w:val="none" w:sz="0" w:space="0" w:color="auto"/>
      </w:divBdr>
      <w:divsChild>
        <w:div w:id="1289362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6633186">
              <w:marLeft w:val="0"/>
              <w:marRight w:val="0"/>
              <w:marTop w:val="0"/>
              <w:marBottom w:val="0"/>
              <w:divBdr>
                <w:top w:val="none" w:sz="0" w:space="0" w:color="auto"/>
                <w:left w:val="none" w:sz="0" w:space="0" w:color="auto"/>
                <w:bottom w:val="none" w:sz="0" w:space="0" w:color="auto"/>
                <w:right w:val="none" w:sz="0" w:space="0" w:color="auto"/>
              </w:divBdr>
              <w:divsChild>
                <w:div w:id="1099258409">
                  <w:marLeft w:val="0"/>
                  <w:marRight w:val="0"/>
                  <w:marTop w:val="0"/>
                  <w:marBottom w:val="160"/>
                  <w:divBdr>
                    <w:top w:val="none" w:sz="0" w:space="0" w:color="auto"/>
                    <w:left w:val="none" w:sz="0" w:space="0" w:color="auto"/>
                    <w:bottom w:val="none" w:sz="0" w:space="0" w:color="auto"/>
                    <w:right w:val="none" w:sz="0" w:space="0" w:color="auto"/>
                  </w:divBdr>
                </w:div>
              </w:divsChild>
            </w:div>
          </w:divsChild>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48345786">
      <w:bodyDiv w:val="1"/>
      <w:marLeft w:val="0"/>
      <w:marRight w:val="0"/>
      <w:marTop w:val="0"/>
      <w:marBottom w:val="0"/>
      <w:divBdr>
        <w:top w:val="none" w:sz="0" w:space="0" w:color="auto"/>
        <w:left w:val="none" w:sz="0" w:space="0" w:color="auto"/>
        <w:bottom w:val="none" w:sz="0" w:space="0" w:color="auto"/>
        <w:right w:val="none" w:sz="0" w:space="0" w:color="auto"/>
      </w:divBdr>
      <w:divsChild>
        <w:div w:id="10494545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83919071">
              <w:marLeft w:val="0"/>
              <w:marRight w:val="0"/>
              <w:marTop w:val="0"/>
              <w:marBottom w:val="0"/>
              <w:divBdr>
                <w:top w:val="none" w:sz="0" w:space="0" w:color="auto"/>
                <w:left w:val="none" w:sz="0" w:space="0" w:color="auto"/>
                <w:bottom w:val="none" w:sz="0" w:space="0" w:color="auto"/>
                <w:right w:val="none" w:sz="0" w:space="0" w:color="auto"/>
              </w:divBdr>
              <w:divsChild>
                <w:div w:id="129254685">
                  <w:marLeft w:val="0"/>
                  <w:marRight w:val="0"/>
                  <w:marTop w:val="0"/>
                  <w:marBottom w:val="160"/>
                  <w:divBdr>
                    <w:top w:val="none" w:sz="0" w:space="0" w:color="auto"/>
                    <w:left w:val="none" w:sz="0" w:space="0" w:color="auto"/>
                    <w:bottom w:val="none" w:sz="0" w:space="0" w:color="auto"/>
                    <w:right w:val="none" w:sz="0" w:space="0" w:color="auto"/>
                  </w:divBdr>
                </w:div>
              </w:divsChild>
            </w:div>
          </w:divsChild>
        </w:div>
      </w:divsChild>
    </w:div>
    <w:div w:id="273365810">
      <w:bodyDiv w:val="1"/>
      <w:marLeft w:val="0"/>
      <w:marRight w:val="0"/>
      <w:marTop w:val="0"/>
      <w:marBottom w:val="0"/>
      <w:divBdr>
        <w:top w:val="none" w:sz="0" w:space="0" w:color="auto"/>
        <w:left w:val="none" w:sz="0" w:space="0" w:color="auto"/>
        <w:bottom w:val="none" w:sz="0" w:space="0" w:color="auto"/>
        <w:right w:val="none" w:sz="0" w:space="0" w:color="auto"/>
      </w:divBdr>
      <w:divsChild>
        <w:div w:id="1369720728">
          <w:marLeft w:val="0"/>
          <w:marRight w:val="0"/>
          <w:marTop w:val="240"/>
          <w:marBottom w:val="240"/>
          <w:divBdr>
            <w:top w:val="none" w:sz="0" w:space="0" w:color="auto"/>
            <w:left w:val="none" w:sz="0" w:space="0" w:color="auto"/>
            <w:bottom w:val="none" w:sz="0" w:space="0" w:color="auto"/>
            <w:right w:val="none" w:sz="0" w:space="0" w:color="auto"/>
          </w:divBdr>
        </w:div>
        <w:div w:id="754323018">
          <w:marLeft w:val="0"/>
          <w:marRight w:val="0"/>
          <w:marTop w:val="240"/>
          <w:marBottom w:val="240"/>
          <w:divBdr>
            <w:top w:val="none" w:sz="0" w:space="0" w:color="auto"/>
            <w:left w:val="none" w:sz="0" w:space="0" w:color="auto"/>
            <w:bottom w:val="none" w:sz="0" w:space="0" w:color="auto"/>
            <w:right w:val="none" w:sz="0" w:space="0" w:color="auto"/>
          </w:divBdr>
        </w:div>
        <w:div w:id="905652536">
          <w:marLeft w:val="0"/>
          <w:marRight w:val="0"/>
          <w:marTop w:val="240"/>
          <w:marBottom w:val="240"/>
          <w:divBdr>
            <w:top w:val="none" w:sz="0" w:space="0" w:color="auto"/>
            <w:left w:val="none" w:sz="0" w:space="0" w:color="auto"/>
            <w:bottom w:val="none" w:sz="0" w:space="0" w:color="auto"/>
            <w:right w:val="none" w:sz="0" w:space="0" w:color="auto"/>
          </w:divBdr>
        </w:div>
        <w:div w:id="1436556679">
          <w:marLeft w:val="0"/>
          <w:marRight w:val="0"/>
          <w:marTop w:val="240"/>
          <w:marBottom w:val="240"/>
          <w:divBdr>
            <w:top w:val="none" w:sz="0" w:space="0" w:color="auto"/>
            <w:left w:val="none" w:sz="0" w:space="0" w:color="auto"/>
            <w:bottom w:val="none" w:sz="0" w:space="0" w:color="auto"/>
            <w:right w:val="none" w:sz="0" w:space="0" w:color="auto"/>
          </w:divBdr>
        </w:div>
        <w:div w:id="1486430557">
          <w:marLeft w:val="0"/>
          <w:marRight w:val="0"/>
          <w:marTop w:val="240"/>
          <w:marBottom w:val="24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05048520">
      <w:bodyDiv w:val="1"/>
      <w:marLeft w:val="0"/>
      <w:marRight w:val="0"/>
      <w:marTop w:val="0"/>
      <w:marBottom w:val="0"/>
      <w:divBdr>
        <w:top w:val="none" w:sz="0" w:space="0" w:color="auto"/>
        <w:left w:val="none" w:sz="0" w:space="0" w:color="auto"/>
        <w:bottom w:val="none" w:sz="0" w:space="0" w:color="auto"/>
        <w:right w:val="none" w:sz="0" w:space="0" w:color="auto"/>
      </w:divBdr>
      <w:divsChild>
        <w:div w:id="1466657660">
          <w:marLeft w:val="0"/>
          <w:marRight w:val="0"/>
          <w:marTop w:val="240"/>
          <w:marBottom w:val="240"/>
          <w:divBdr>
            <w:top w:val="none" w:sz="0" w:space="0" w:color="auto"/>
            <w:left w:val="none" w:sz="0" w:space="0" w:color="auto"/>
            <w:bottom w:val="none" w:sz="0" w:space="0" w:color="auto"/>
            <w:right w:val="none" w:sz="0" w:space="0" w:color="auto"/>
          </w:divBdr>
        </w:div>
        <w:div w:id="617376671">
          <w:marLeft w:val="0"/>
          <w:marRight w:val="0"/>
          <w:marTop w:val="240"/>
          <w:marBottom w:val="240"/>
          <w:divBdr>
            <w:top w:val="none" w:sz="0" w:space="0" w:color="auto"/>
            <w:left w:val="none" w:sz="0" w:space="0" w:color="auto"/>
            <w:bottom w:val="none" w:sz="0" w:space="0" w:color="auto"/>
            <w:right w:val="none" w:sz="0" w:space="0" w:color="auto"/>
          </w:divBdr>
        </w:div>
        <w:div w:id="1580485383">
          <w:marLeft w:val="0"/>
          <w:marRight w:val="0"/>
          <w:marTop w:val="240"/>
          <w:marBottom w:val="240"/>
          <w:divBdr>
            <w:top w:val="none" w:sz="0" w:space="0" w:color="auto"/>
            <w:left w:val="none" w:sz="0" w:space="0" w:color="auto"/>
            <w:bottom w:val="none" w:sz="0" w:space="0" w:color="auto"/>
            <w:right w:val="none" w:sz="0" w:space="0" w:color="auto"/>
          </w:divBdr>
        </w:div>
        <w:div w:id="1936863099">
          <w:marLeft w:val="0"/>
          <w:marRight w:val="0"/>
          <w:marTop w:val="240"/>
          <w:marBottom w:val="240"/>
          <w:divBdr>
            <w:top w:val="none" w:sz="0" w:space="0" w:color="auto"/>
            <w:left w:val="none" w:sz="0" w:space="0" w:color="auto"/>
            <w:bottom w:val="none" w:sz="0" w:space="0" w:color="auto"/>
            <w:right w:val="none" w:sz="0" w:space="0" w:color="auto"/>
          </w:divBdr>
        </w:div>
        <w:div w:id="123666767">
          <w:marLeft w:val="0"/>
          <w:marRight w:val="0"/>
          <w:marTop w:val="240"/>
          <w:marBottom w:val="24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484547528">
      <w:bodyDiv w:val="1"/>
      <w:marLeft w:val="0"/>
      <w:marRight w:val="0"/>
      <w:marTop w:val="0"/>
      <w:marBottom w:val="0"/>
      <w:divBdr>
        <w:top w:val="none" w:sz="0" w:space="0" w:color="auto"/>
        <w:left w:val="none" w:sz="0" w:space="0" w:color="auto"/>
        <w:bottom w:val="none" w:sz="0" w:space="0" w:color="auto"/>
        <w:right w:val="none" w:sz="0" w:space="0" w:color="auto"/>
      </w:divBdr>
      <w:divsChild>
        <w:div w:id="239557187">
          <w:marLeft w:val="0"/>
          <w:marRight w:val="0"/>
          <w:marTop w:val="0"/>
          <w:marBottom w:val="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44643" TargetMode="External"/><Relationship Id="rId18" Type="http://schemas.openxmlformats.org/officeDocument/2006/relationships/hyperlink" Target="https://nam02.safelinks.protection.outlook.com/?url=https%3A%2F%2Fwww.colombiacompra.gov.co%2Fsites%2Fcce_public%2Ffiles%2Fcce_documents%2Fmanual_para_el_manejo_de_acuerdos_comerciales_vf.pdf&amp;data=05%7C02%7Cnasly.mosquera%40colombiacompra.gov.co%7C6192b0470d324981a09708dd0a6c28db%7C7b09041e245149d08cb179d5e3d8c1be%7C0%7C0%7C638678181871504615%7CUnknown%7CTWFpbGZsb3d8eyJFbXB0eU1hcGkiOnRydWUsIlYiOiIwLjAuMDAwMCIsIlAiOiJXaW4zMiIsIkFOIjoiTWFpbCIsIldUIjoyfQ%3D%3D%7C0%7C%7C%7C&amp;sdata=PZ4Q9UmFuWHyzXNxvljfxpaa%2F7anMTziVh%2FF0lPERu8%3D&amp;reserved=0"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https://www.funcionpublica.gov.co/eva/gestornormativo/norma.php?i=161571" TargetMode="External"/><Relationship Id="rId17" Type="http://schemas.openxmlformats.org/officeDocument/2006/relationships/hyperlink" Target="https://www.colombiacompra.gov.co/manuales-guias-y-pliegos-tipo/manuales-y-guias" TargetMode="External"/><Relationship Id="rId2" Type="http://schemas.openxmlformats.org/officeDocument/2006/relationships/customXml" Target="../customXml/item2.xml"/><Relationship Id="rId16" Type="http://schemas.openxmlformats.org/officeDocument/2006/relationships/hyperlink" Target="https://relatoria.colombiacompra.gov.co/providencias-consejo-de-estado/"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www.funcionpublica.gov.co/eva/gestornormativo/norma.php?i=175187" TargetMode="External"/><Relationship Id="rId23" Type="http://schemas.openxmlformats.org/officeDocument/2006/relationships/fontTable" Target="fontTable.xml"/><Relationship Id="rId10" Type="http://schemas.openxmlformats.org/officeDocument/2006/relationships/hyperlink" Target="mailto:maria.lezcano@chia.gov.co" TargetMode="External"/><Relationship Id="rId19" Type="http://schemas.openxmlformats.org/officeDocument/2006/relationships/hyperlink" Target="https://nam02.safelinks.protection.outlook.com/?url=https%3A%2F%2Fwww.colombiacompra.gov.co%2Fsala-de-prensa%2Fboletin-digital&amp;data=05%7C02%7Cnasly.mosquera%40colombiacompra.gov.co%7C6192b0470d324981a09708dd0a6c28db%7C7b09041e245149d08cb179d5e3d8c1be%7C0%7C0%7C638678181871561850%7CUnknown%7CTWFpbGZsb3d8eyJFbXB0eU1hcGkiOnRydWUsIlYiOiIwLjAuMDAwMCIsIlAiOiJXaW4zMiIsIkFOIjoiTWFpbCIsIldUIjoyfQ%3D%3D%7C0%7C%7C%7C&amp;sdata=d8njxlfTQkXpB8bcjKJcjmmAbbvqPKMstwOAPJnVrX4%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funcionpublica.gov.co/eva/gestornormativo/norma.php?i=44643"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E639201B-5956-4609-B05C-175A085A0A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13</Pages>
  <Words>4229</Words>
  <Characters>23264</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Carolina Blanco Rodriguez</cp:lastModifiedBy>
  <cp:revision>5</cp:revision>
  <cp:lastPrinted>2023-01-10T21:18:00Z</cp:lastPrinted>
  <dcterms:created xsi:type="dcterms:W3CDTF">2024-12-18T23:20:00Z</dcterms:created>
  <dcterms:modified xsi:type="dcterms:W3CDTF">2024-12-31T17:02:00Z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