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42B1A" w14:textId="77777777" w:rsidR="0013363D" w:rsidRDefault="0013363D" w:rsidP="0013363D">
      <w:pPr>
        <w:spacing w:after="0" w:line="240" w:lineRule="auto"/>
        <w:jc w:val="both"/>
        <w:rPr>
          <w:rFonts w:ascii="Verdana" w:eastAsia="Geomanist Light" w:hAnsi="Verdana" w:cs="Arial"/>
          <w:color w:val="000000" w:themeColor="text1"/>
          <w:lang w:val="es-MX"/>
        </w:rPr>
      </w:pPr>
    </w:p>
    <w:p w14:paraId="2EDFFBDC" w14:textId="6784D23E" w:rsidR="0013363D" w:rsidRPr="0013363D" w:rsidRDefault="0013363D" w:rsidP="0013363D">
      <w:pPr>
        <w:spacing w:after="0" w:line="240" w:lineRule="auto"/>
        <w:jc w:val="both"/>
        <w:rPr>
          <w:rFonts w:ascii="Verdana" w:eastAsia="Geomanist Light" w:hAnsi="Verdana" w:cs="Arial"/>
          <w:b/>
          <w:bCs/>
          <w:color w:val="000000" w:themeColor="text1"/>
        </w:rPr>
      </w:pPr>
      <w:r w:rsidRPr="0013363D">
        <w:rPr>
          <w:rFonts w:ascii="Verdana" w:eastAsia="Geomanist Light" w:hAnsi="Verdana" w:cs="Arial"/>
          <w:b/>
          <w:bCs/>
          <w:color w:val="000000" w:themeColor="text1"/>
        </w:rPr>
        <w:t xml:space="preserve">SUPERVISIÓN DEL CONTRATO – </w:t>
      </w:r>
      <w:r w:rsidRPr="0013363D">
        <w:rPr>
          <w:rFonts w:ascii="Verdana" w:eastAsia="Calibri" w:hAnsi="Verdana" w:cs="Arial"/>
          <w:b/>
          <w:bCs/>
          <w:color w:val="000000" w:themeColor="text1"/>
          <w:lang w:val="es-ES" w:eastAsia="es-ES"/>
        </w:rPr>
        <w:t xml:space="preserve">Concepto – Características – Apoyo a la supervisión </w:t>
      </w:r>
    </w:p>
    <w:p w14:paraId="61CDF0E0" w14:textId="77777777" w:rsidR="0013363D" w:rsidRPr="0013363D" w:rsidRDefault="0013363D" w:rsidP="0013363D">
      <w:pPr>
        <w:spacing w:after="0" w:line="240" w:lineRule="auto"/>
        <w:jc w:val="both"/>
        <w:rPr>
          <w:rFonts w:ascii="Verdana" w:eastAsia="Geomanist Light" w:hAnsi="Verdana" w:cs="Arial"/>
          <w:color w:val="000000" w:themeColor="text1"/>
        </w:rPr>
      </w:pPr>
      <w:r w:rsidRPr="0013363D">
        <w:rPr>
          <w:rFonts w:ascii="Verdana" w:eastAsia="Geomanist Light" w:hAnsi="Verdana" w:cs="Arial"/>
          <w:b/>
          <w:bCs/>
          <w:color w:val="000000" w:themeColor="text1"/>
        </w:rPr>
        <w:t> </w:t>
      </w:r>
    </w:p>
    <w:p w14:paraId="349EA5EE" w14:textId="77777777" w:rsidR="0013363D" w:rsidRPr="00E44EAF" w:rsidRDefault="0013363D" w:rsidP="0013363D">
      <w:pPr>
        <w:spacing w:after="0" w:line="240" w:lineRule="auto"/>
        <w:jc w:val="both"/>
        <w:rPr>
          <w:rFonts w:ascii="Verdana" w:eastAsia="Geomanist Light" w:hAnsi="Verdana" w:cs="Arial"/>
          <w:color w:val="000000" w:themeColor="text1"/>
          <w:sz w:val="20"/>
          <w:szCs w:val="20"/>
        </w:rPr>
      </w:pPr>
      <w:r w:rsidRPr="0013363D">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13363D">
        <w:rPr>
          <w:rFonts w:ascii="Verdana" w:eastAsia="Geomanist Light" w:hAnsi="Verdana" w:cs="Arial"/>
          <w:color w:val="000000" w:themeColor="text1"/>
          <w:sz w:val="20"/>
          <w:szCs w:val="20"/>
        </w:rPr>
        <w:t>ii</w:t>
      </w:r>
      <w:proofErr w:type="spellEnd"/>
      <w:r w:rsidRPr="0013363D">
        <w:rPr>
          <w:rFonts w:ascii="Verdana" w:eastAsia="Geomanist Light" w:hAnsi="Verdana" w:cs="Arial"/>
          <w:color w:val="000000" w:themeColor="text1"/>
          <w:sz w:val="20"/>
          <w:szCs w:val="20"/>
        </w:rPr>
        <w:t xml:space="preserve">) no requiere conocimientos tan especializados como la interventoría; </w:t>
      </w:r>
      <w:proofErr w:type="spellStart"/>
      <w:r w:rsidRPr="0013363D">
        <w:rPr>
          <w:rFonts w:ascii="Verdana" w:eastAsia="Geomanist Light" w:hAnsi="Verdana" w:cs="Arial"/>
          <w:color w:val="000000" w:themeColor="text1"/>
          <w:sz w:val="20"/>
          <w:szCs w:val="20"/>
        </w:rPr>
        <w:t>iii</w:t>
      </w:r>
      <w:proofErr w:type="spellEnd"/>
      <w:r w:rsidRPr="0013363D">
        <w:rPr>
          <w:rFonts w:ascii="Verdana" w:eastAsia="Geomanist Light" w:hAnsi="Verdana" w:cs="Arial"/>
          <w:color w:val="000000" w:themeColor="text1"/>
          <w:sz w:val="20"/>
          <w:szCs w:val="20"/>
        </w:rPr>
        <w:t xml:space="preserve">) se ejerce por la Entidad Estatal por conducto de la designación de servidores públicos idóneos para cumplir la función; </w:t>
      </w:r>
      <w:proofErr w:type="spellStart"/>
      <w:r w:rsidRPr="0013363D">
        <w:rPr>
          <w:rFonts w:ascii="Verdana" w:eastAsia="Geomanist Light" w:hAnsi="Verdana" w:cs="Arial"/>
          <w:color w:val="000000" w:themeColor="text1"/>
          <w:sz w:val="20"/>
          <w:szCs w:val="20"/>
        </w:rPr>
        <w:t>iv</w:t>
      </w:r>
      <w:proofErr w:type="spellEnd"/>
      <w:r w:rsidRPr="0013363D">
        <w:rPr>
          <w:rFonts w:ascii="Verdana" w:eastAsia="Geomanist Light" w:hAnsi="Verdana"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w:t>
      </w:r>
    </w:p>
    <w:p w14:paraId="777EB15B" w14:textId="77777777" w:rsidR="0013363D" w:rsidRDefault="0013363D" w:rsidP="0013363D">
      <w:pPr>
        <w:spacing w:after="0" w:line="240" w:lineRule="auto"/>
        <w:jc w:val="both"/>
        <w:rPr>
          <w:rFonts w:ascii="Verdana" w:eastAsia="Geomanist Light" w:hAnsi="Verdana" w:cs="Arial"/>
          <w:color w:val="000000" w:themeColor="text1"/>
        </w:rPr>
      </w:pPr>
    </w:p>
    <w:p w14:paraId="4EEBB0D1" w14:textId="77777777" w:rsidR="0013363D" w:rsidRDefault="0013363D" w:rsidP="0013363D">
      <w:pPr>
        <w:spacing w:after="0" w:line="240" w:lineRule="auto"/>
        <w:jc w:val="both"/>
        <w:rPr>
          <w:rFonts w:ascii="Verdana" w:eastAsia="Geomanist Light" w:hAnsi="Verdana" w:cs="Arial"/>
          <w:color w:val="000000" w:themeColor="text1"/>
        </w:rPr>
      </w:pPr>
    </w:p>
    <w:p w14:paraId="4EBAB537" w14:textId="086EC409" w:rsidR="0013363D" w:rsidRPr="00E44EAF" w:rsidRDefault="00E44EAF" w:rsidP="0013363D">
      <w:pPr>
        <w:spacing w:after="0" w:line="240" w:lineRule="auto"/>
        <w:jc w:val="both"/>
        <w:rPr>
          <w:rFonts w:ascii="Verdana" w:eastAsia="Geomanist Light" w:hAnsi="Verdana" w:cs="Arial"/>
          <w:b/>
          <w:bCs/>
          <w:color w:val="000000" w:themeColor="text1"/>
        </w:rPr>
      </w:pPr>
      <w:r w:rsidRPr="00E44EAF">
        <w:rPr>
          <w:rFonts w:ascii="Verdana" w:eastAsia="Geomanist Light" w:hAnsi="Verdana" w:cs="Arial"/>
          <w:b/>
          <w:bCs/>
          <w:color w:val="000000" w:themeColor="text1"/>
        </w:rPr>
        <w:t xml:space="preserve">LEY 489 DE 1998 – </w:t>
      </w:r>
      <w:r w:rsidRPr="00E44EAF">
        <w:rPr>
          <w:rFonts w:ascii="Verdana" w:eastAsia="Calibri" w:hAnsi="Verdana" w:cs="Arial"/>
          <w:b/>
          <w:color w:val="000000" w:themeColor="text1"/>
          <w:lang w:val="es-ES" w:eastAsia="es-ES"/>
        </w:rPr>
        <w:t>Convenios</w:t>
      </w:r>
      <w:r w:rsidRPr="00E44EAF">
        <w:rPr>
          <w:rFonts w:ascii="Verdana" w:eastAsia="Calibri" w:hAnsi="Verdana" w:cs="Arial"/>
          <w:b/>
          <w:color w:val="000000" w:themeColor="text1"/>
          <w:lang w:eastAsia="es-ES"/>
        </w:rPr>
        <w:t xml:space="preserve"> – Particulares –</w:t>
      </w:r>
      <w:r w:rsidRPr="00E44EAF">
        <w:rPr>
          <w:rFonts w:ascii="Verdana" w:eastAsia="Calibri" w:hAnsi="Verdana" w:cs="Arial"/>
          <w:b/>
          <w:color w:val="000000" w:themeColor="text1"/>
          <w:lang w:val="es-ES" w:eastAsia="es-ES"/>
        </w:rPr>
        <w:t xml:space="preserve"> Requisitos</w:t>
      </w:r>
    </w:p>
    <w:p w14:paraId="44D234F9" w14:textId="77777777" w:rsidR="0013363D" w:rsidRDefault="0013363D" w:rsidP="0013363D">
      <w:pPr>
        <w:spacing w:after="0" w:line="240" w:lineRule="auto"/>
        <w:jc w:val="both"/>
        <w:rPr>
          <w:rFonts w:ascii="Verdana" w:eastAsia="Geomanist Light" w:hAnsi="Verdana" w:cs="Arial"/>
          <w:color w:val="000000" w:themeColor="text1"/>
        </w:rPr>
      </w:pPr>
    </w:p>
    <w:p w14:paraId="17ADCCD9" w14:textId="0B692DB3" w:rsidR="00E44EAF" w:rsidRPr="00E44EAF" w:rsidRDefault="00E44EAF" w:rsidP="00E44EAF">
      <w:pPr>
        <w:spacing w:before="120" w:line="276" w:lineRule="auto"/>
        <w:jc w:val="both"/>
        <w:rPr>
          <w:rFonts w:ascii="Verdana" w:eastAsia="Times New Roman" w:hAnsi="Verdana" w:cs="Arial"/>
          <w:color w:val="000000"/>
          <w:sz w:val="20"/>
          <w:szCs w:val="20"/>
          <w:lang w:val="es-ES_tradnl" w:eastAsia="es-ES_tradnl"/>
        </w:rPr>
      </w:pPr>
      <w:r w:rsidRPr="00E44EAF">
        <w:rPr>
          <w:rFonts w:ascii="Verdana" w:eastAsia="Times New Roman" w:hAnsi="Verdana" w:cs="Arial"/>
          <w:color w:val="000000"/>
          <w:sz w:val="20"/>
          <w:szCs w:val="20"/>
        </w:rPr>
        <w:t>El artículo 111 de la Ley 489 de 1998</w:t>
      </w:r>
      <w:r w:rsidRPr="00E44EAF">
        <w:rPr>
          <w:rStyle w:val="Refdenotaalpie"/>
          <w:rFonts w:ascii="Verdana" w:eastAsia="Times New Roman" w:hAnsi="Verdana" w:cs="Arial"/>
          <w:color w:val="000000"/>
          <w:sz w:val="20"/>
          <w:szCs w:val="20"/>
        </w:rPr>
        <w:footnoteReference w:id="1"/>
      </w:r>
      <w:r w:rsidRPr="00E44EAF">
        <w:rPr>
          <w:rFonts w:ascii="Verdana" w:eastAsia="Times New Roman" w:hAnsi="Verdana" w:cs="Arial"/>
          <w:color w:val="000000"/>
          <w:sz w:val="20"/>
          <w:szCs w:val="20"/>
        </w:rPr>
        <w:t xml:space="preserve"> establece los requisitos y procedimientos para conferir funciones administrativas a particulares, complementando lo dispuesto en el artículo 110. Las entidades o autoridades administrativas pueden delegar funciones a particulares mediante un acto administrativo aprobado por el </w:t>
      </w:r>
      <w:proofErr w:type="gramStart"/>
      <w:r w:rsidRPr="00E44EAF">
        <w:rPr>
          <w:rFonts w:ascii="Verdana" w:eastAsia="Times New Roman" w:hAnsi="Verdana" w:cs="Arial"/>
          <w:color w:val="000000"/>
          <w:sz w:val="20"/>
          <w:szCs w:val="20"/>
        </w:rPr>
        <w:t>Presidente</w:t>
      </w:r>
      <w:proofErr w:type="gramEnd"/>
      <w:r w:rsidRPr="00E44EAF">
        <w:rPr>
          <w:rFonts w:ascii="Verdana" w:eastAsia="Times New Roman" w:hAnsi="Verdana" w:cs="Arial"/>
          <w:color w:val="000000"/>
          <w:sz w:val="20"/>
          <w:szCs w:val="20"/>
        </w:rPr>
        <w:t xml:space="preserve"> de la República o, por delegación, por ministros, directores de departamentos administrativos, según corresponda. Este acto debe especificar las funciones a encomendar, los requisitos que deben cumplir los particulares, las condiciones del ejercicio de las funciones, la forma de remuneración (si aplica), la duración del encargo y las garantías para asegurar el cumplimiento de los principios constitucionales y legales. Si es necesario, se debe celebrar un convenio con un plazo de ejecución de hasta cinco años, en el cual la entidad debe elaborar un pliego de condiciones y hacer una convocatoria pública conforme a la Ley 80 de 1993 sobre contratación estatal. El convenio también debe incluir las cláusulas excepcionales previstas en dicha ley, una vez seleccionado el particular encargado. Algunas partes de este artículo fueron declaradas inexequibles por la Corte Constitucional en las Sentencias C-866 de 1999 y C-702 de 1999, y se hace referencia a una sentencia del Consejo de Estado de julio de 2015 sobre el tema.</w:t>
      </w:r>
    </w:p>
    <w:p w14:paraId="4AEFF77E" w14:textId="77777777" w:rsidR="00E44EAF" w:rsidRPr="00BE38A3" w:rsidRDefault="00E44EAF" w:rsidP="00E44EAF">
      <w:pPr>
        <w:spacing w:after="0" w:line="240" w:lineRule="auto"/>
        <w:jc w:val="both"/>
        <w:rPr>
          <w:rFonts w:ascii="Verdana" w:eastAsia="Geomanist Light" w:hAnsi="Verdana" w:cs="Arial"/>
          <w:b/>
          <w:bCs/>
          <w:color w:val="000000" w:themeColor="text1"/>
        </w:rPr>
      </w:pPr>
    </w:p>
    <w:p w14:paraId="76D935E6" w14:textId="7672B7BB" w:rsidR="00E44EAF" w:rsidRPr="00BE38A3" w:rsidRDefault="00E44EAF" w:rsidP="00BE38A3">
      <w:pPr>
        <w:spacing w:line="276" w:lineRule="auto"/>
        <w:jc w:val="both"/>
        <w:rPr>
          <w:rFonts w:ascii="Verdana" w:eastAsia="Calibri" w:hAnsi="Verdana" w:cs="Arial"/>
          <w:b/>
          <w:bCs/>
          <w:color w:val="000000" w:themeColor="text1"/>
          <w:lang w:eastAsia="es-ES"/>
        </w:rPr>
      </w:pPr>
      <w:r w:rsidRPr="00BE38A3">
        <w:rPr>
          <w:rFonts w:ascii="Verdana" w:eastAsia="Calibri" w:hAnsi="Verdana" w:cs="Arial"/>
          <w:b/>
          <w:bCs/>
          <w:color w:val="000000" w:themeColor="text1"/>
          <w:lang w:eastAsia="es-ES"/>
        </w:rPr>
        <w:t xml:space="preserve">LEY 1474 DE 2011 – </w:t>
      </w:r>
      <w:r w:rsidR="00BE38A3" w:rsidRPr="00BE38A3">
        <w:rPr>
          <w:rFonts w:ascii="Verdana" w:eastAsia="Calibri" w:hAnsi="Verdana" w:cs="Arial"/>
          <w:b/>
          <w:bCs/>
          <w:color w:val="000000" w:themeColor="text1"/>
          <w:lang w:val="es-ES" w:eastAsia="es-ES"/>
        </w:rPr>
        <w:t>Supervisión</w:t>
      </w:r>
      <w:r w:rsidR="00BE38A3" w:rsidRPr="00BE38A3">
        <w:rPr>
          <w:rFonts w:ascii="Verdana" w:eastAsia="Calibri" w:hAnsi="Verdana" w:cs="Arial"/>
          <w:b/>
          <w:bCs/>
          <w:color w:val="000000" w:themeColor="text1"/>
          <w:lang w:eastAsia="es-ES"/>
        </w:rPr>
        <w:t xml:space="preserve"> </w:t>
      </w:r>
      <w:proofErr w:type="spellStart"/>
      <w:r w:rsidR="00BE38A3" w:rsidRPr="00BE38A3">
        <w:rPr>
          <w:rFonts w:ascii="Verdana" w:eastAsia="Calibri" w:hAnsi="Verdana" w:cs="Arial"/>
          <w:b/>
          <w:bCs/>
          <w:color w:val="000000" w:themeColor="text1"/>
          <w:lang w:eastAsia="es-ES"/>
        </w:rPr>
        <w:t>e</w:t>
      </w:r>
      <w:proofErr w:type="spellEnd"/>
      <w:r w:rsidR="00BE38A3" w:rsidRPr="00BE38A3">
        <w:rPr>
          <w:rFonts w:ascii="Verdana" w:eastAsia="Calibri" w:hAnsi="Verdana" w:cs="Arial"/>
          <w:b/>
          <w:bCs/>
          <w:color w:val="000000" w:themeColor="text1"/>
          <w:lang w:eastAsia="es-ES"/>
        </w:rPr>
        <w:t xml:space="preserve"> interventoría contractual</w:t>
      </w:r>
    </w:p>
    <w:p w14:paraId="445C4E1B" w14:textId="77777777" w:rsidR="00203342" w:rsidRPr="00E44EAF" w:rsidRDefault="00203342" w:rsidP="00203342">
      <w:pPr>
        <w:spacing w:after="0" w:line="240" w:lineRule="auto"/>
        <w:jc w:val="both"/>
        <w:rPr>
          <w:rFonts w:ascii="Verdana" w:eastAsia="Geomanist Light" w:hAnsi="Verdana" w:cs="Arial"/>
          <w:b/>
          <w:color w:val="000000" w:themeColor="text1"/>
        </w:rPr>
      </w:pPr>
    </w:p>
    <w:p w14:paraId="05F59FCF" w14:textId="77777777" w:rsidR="00E44EAF" w:rsidRPr="00E44EAF" w:rsidRDefault="00E44EAF" w:rsidP="00E44EAF">
      <w:pPr>
        <w:spacing w:after="0" w:line="240" w:lineRule="auto"/>
        <w:jc w:val="both"/>
        <w:rPr>
          <w:rFonts w:ascii="Verdana" w:eastAsia="Geomanist Light" w:hAnsi="Verdana" w:cs="Arial"/>
          <w:color w:val="000000" w:themeColor="text1"/>
        </w:rPr>
      </w:pPr>
      <w:r w:rsidRPr="00E44EAF">
        <w:rPr>
          <w:rFonts w:ascii="Verdana" w:eastAsia="Geomanist Light" w:hAnsi="Verdana" w:cs="Arial"/>
          <w:color w:val="000000" w:themeColor="text1"/>
        </w:rPr>
        <w:t xml:space="preserve">[…]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w:t>
      </w:r>
      <w:r w:rsidRPr="00E44EAF">
        <w:rPr>
          <w:rFonts w:ascii="Verdana" w:eastAsia="Geomanist Light" w:hAnsi="Verdana" w:cs="Arial"/>
          <w:color w:val="000000" w:themeColor="text1"/>
        </w:rPr>
        <w:lastRenderedPageBreak/>
        <w:t>a vigilar permanentemente la correcta ejecución del objeto contratado a través de un supervisor o un interventor, según corresponda”.</w:t>
      </w:r>
    </w:p>
    <w:p w14:paraId="4B101FBC" w14:textId="3B00875D" w:rsidR="00F82BE7" w:rsidRPr="0013363D" w:rsidRDefault="00F82BE7" w:rsidP="0013363D">
      <w:pPr>
        <w:spacing w:after="0" w:line="240" w:lineRule="auto"/>
        <w:jc w:val="both"/>
        <w:rPr>
          <w:rFonts w:ascii="Verdana" w:eastAsia="Geomanist Light" w:hAnsi="Verdana" w:cs="Arial"/>
          <w:color w:val="000000" w:themeColor="text1"/>
        </w:rPr>
      </w:pPr>
    </w:p>
    <w:p w14:paraId="09627EA1" w14:textId="77777777" w:rsidR="00F82BE7" w:rsidRDefault="00F82BE7" w:rsidP="00512B6B">
      <w:pPr>
        <w:spacing w:after="0" w:line="240" w:lineRule="auto"/>
        <w:rPr>
          <w:rFonts w:ascii="Verdana" w:eastAsia="Geomanist Light" w:hAnsi="Verdana" w:cs="Arial"/>
          <w:color w:val="000000" w:themeColor="text1"/>
          <w:lang w:val="es-MX"/>
        </w:rPr>
      </w:pPr>
    </w:p>
    <w:p w14:paraId="06B824F9" w14:textId="77777777" w:rsidR="00F82BE7" w:rsidRDefault="00F82BE7" w:rsidP="00512B6B">
      <w:pPr>
        <w:spacing w:after="0" w:line="240" w:lineRule="auto"/>
        <w:rPr>
          <w:rFonts w:ascii="Verdana" w:eastAsia="Geomanist Light" w:hAnsi="Verdana" w:cs="Arial"/>
          <w:color w:val="000000" w:themeColor="text1"/>
          <w:lang w:val="es-MX"/>
        </w:rPr>
      </w:pPr>
    </w:p>
    <w:p w14:paraId="00B35DF2" w14:textId="77777777" w:rsidR="00F82BE7" w:rsidRDefault="00F82BE7" w:rsidP="00512B6B">
      <w:pPr>
        <w:spacing w:after="0" w:line="240" w:lineRule="auto"/>
        <w:rPr>
          <w:rFonts w:ascii="Verdana" w:eastAsia="Geomanist Light" w:hAnsi="Verdana" w:cs="Arial"/>
          <w:color w:val="000000" w:themeColor="text1"/>
          <w:lang w:val="es-MX"/>
        </w:rPr>
      </w:pPr>
    </w:p>
    <w:p w14:paraId="1AC4DCBF" w14:textId="77777777" w:rsidR="00F82BE7" w:rsidRDefault="00F82BE7" w:rsidP="00512B6B">
      <w:pPr>
        <w:spacing w:after="0" w:line="240" w:lineRule="auto"/>
        <w:rPr>
          <w:rFonts w:ascii="Verdana" w:eastAsia="Geomanist Light" w:hAnsi="Verdana" w:cs="Arial"/>
          <w:color w:val="000000" w:themeColor="text1"/>
          <w:lang w:val="es-MX"/>
        </w:rPr>
      </w:pPr>
    </w:p>
    <w:p w14:paraId="1D6D1286" w14:textId="77777777" w:rsidR="00F82BE7" w:rsidRDefault="00F82BE7" w:rsidP="00512B6B">
      <w:pPr>
        <w:spacing w:after="0" w:line="240" w:lineRule="auto"/>
        <w:rPr>
          <w:rFonts w:ascii="Verdana" w:eastAsia="Geomanist Light" w:hAnsi="Verdana" w:cs="Arial"/>
          <w:color w:val="000000" w:themeColor="text1"/>
          <w:lang w:val="es-MX"/>
        </w:rPr>
      </w:pPr>
    </w:p>
    <w:p w14:paraId="65C8F579" w14:textId="77777777" w:rsidR="00F82BE7" w:rsidRDefault="00F82BE7" w:rsidP="00512B6B">
      <w:pPr>
        <w:spacing w:after="0" w:line="240" w:lineRule="auto"/>
        <w:rPr>
          <w:rFonts w:ascii="Verdana" w:eastAsia="Geomanist Light" w:hAnsi="Verdana" w:cs="Arial"/>
          <w:color w:val="000000" w:themeColor="text1"/>
          <w:lang w:val="es-MX"/>
        </w:rPr>
      </w:pPr>
    </w:p>
    <w:p w14:paraId="2420CFB6" w14:textId="77777777" w:rsidR="00F82BE7" w:rsidRDefault="00F82BE7" w:rsidP="00512B6B">
      <w:pPr>
        <w:spacing w:after="0" w:line="240" w:lineRule="auto"/>
        <w:rPr>
          <w:rFonts w:ascii="Verdana" w:eastAsia="Geomanist Light" w:hAnsi="Verdana" w:cs="Arial"/>
          <w:color w:val="000000" w:themeColor="text1"/>
          <w:lang w:val="es-MX"/>
        </w:rPr>
      </w:pPr>
    </w:p>
    <w:p w14:paraId="71343DDE" w14:textId="77777777" w:rsidR="00F82BE7" w:rsidRDefault="00F82BE7" w:rsidP="00512B6B">
      <w:pPr>
        <w:spacing w:after="0" w:line="240" w:lineRule="auto"/>
        <w:rPr>
          <w:rFonts w:ascii="Verdana" w:eastAsia="Geomanist Light" w:hAnsi="Verdana" w:cs="Arial"/>
          <w:color w:val="000000" w:themeColor="text1"/>
          <w:lang w:val="es-MX"/>
        </w:rPr>
      </w:pPr>
    </w:p>
    <w:p w14:paraId="4E5D9EBC" w14:textId="77777777" w:rsidR="00F82BE7" w:rsidRDefault="00F82BE7" w:rsidP="00512B6B">
      <w:pPr>
        <w:spacing w:after="0" w:line="240" w:lineRule="auto"/>
        <w:rPr>
          <w:rFonts w:ascii="Verdana" w:eastAsia="Geomanist Light" w:hAnsi="Verdana" w:cs="Arial"/>
          <w:color w:val="000000" w:themeColor="text1"/>
          <w:lang w:val="es-MX"/>
        </w:rPr>
      </w:pPr>
    </w:p>
    <w:p w14:paraId="19C1ACD5" w14:textId="77777777" w:rsidR="00F82BE7" w:rsidRDefault="00F82BE7" w:rsidP="00512B6B">
      <w:pPr>
        <w:spacing w:after="0" w:line="240" w:lineRule="auto"/>
        <w:rPr>
          <w:rFonts w:ascii="Verdana" w:eastAsia="Geomanist Light" w:hAnsi="Verdana" w:cs="Arial"/>
          <w:color w:val="000000" w:themeColor="text1"/>
          <w:lang w:val="es-MX"/>
        </w:rPr>
      </w:pPr>
    </w:p>
    <w:p w14:paraId="2760E180" w14:textId="77777777" w:rsidR="00F82BE7" w:rsidRDefault="00F82BE7" w:rsidP="00512B6B">
      <w:pPr>
        <w:spacing w:after="0" w:line="240" w:lineRule="auto"/>
        <w:rPr>
          <w:rFonts w:ascii="Verdana" w:eastAsia="Geomanist Light" w:hAnsi="Verdana" w:cs="Arial"/>
          <w:color w:val="000000" w:themeColor="text1"/>
          <w:lang w:val="es-MX"/>
        </w:rPr>
      </w:pPr>
    </w:p>
    <w:p w14:paraId="07372AFD" w14:textId="77777777" w:rsidR="00F82BE7" w:rsidRDefault="00F82BE7" w:rsidP="00512B6B">
      <w:pPr>
        <w:spacing w:after="0" w:line="240" w:lineRule="auto"/>
        <w:rPr>
          <w:rFonts w:ascii="Verdana" w:eastAsia="Geomanist Light" w:hAnsi="Verdana" w:cs="Arial"/>
          <w:color w:val="000000" w:themeColor="text1"/>
          <w:lang w:val="es-MX"/>
        </w:rPr>
      </w:pPr>
    </w:p>
    <w:p w14:paraId="39A03054" w14:textId="77777777" w:rsidR="00F82BE7" w:rsidRDefault="00F82BE7" w:rsidP="00512B6B">
      <w:pPr>
        <w:spacing w:after="0" w:line="240" w:lineRule="auto"/>
        <w:rPr>
          <w:rFonts w:ascii="Verdana" w:eastAsia="Geomanist Light" w:hAnsi="Verdana" w:cs="Arial"/>
          <w:color w:val="000000" w:themeColor="text1"/>
          <w:lang w:val="es-MX"/>
        </w:rPr>
      </w:pPr>
    </w:p>
    <w:p w14:paraId="0A8A279E" w14:textId="77777777" w:rsidR="00F82BE7" w:rsidRDefault="00F82BE7" w:rsidP="00512B6B">
      <w:pPr>
        <w:spacing w:after="0" w:line="240" w:lineRule="auto"/>
        <w:rPr>
          <w:rFonts w:ascii="Verdana" w:eastAsia="Geomanist Light" w:hAnsi="Verdana" w:cs="Arial"/>
          <w:color w:val="000000" w:themeColor="text1"/>
          <w:lang w:val="es-MX"/>
        </w:rPr>
      </w:pPr>
    </w:p>
    <w:p w14:paraId="3A05F7C6" w14:textId="77777777" w:rsidR="00F82BE7" w:rsidRDefault="00F82BE7" w:rsidP="00512B6B">
      <w:pPr>
        <w:spacing w:after="0" w:line="240" w:lineRule="auto"/>
        <w:rPr>
          <w:rFonts w:ascii="Verdana" w:eastAsia="Geomanist Light" w:hAnsi="Verdana" w:cs="Arial"/>
          <w:color w:val="000000" w:themeColor="text1"/>
          <w:lang w:val="es-MX"/>
        </w:rPr>
      </w:pPr>
    </w:p>
    <w:p w14:paraId="089E14A8" w14:textId="77777777" w:rsidR="00F82BE7" w:rsidRDefault="00F82BE7" w:rsidP="00512B6B">
      <w:pPr>
        <w:spacing w:after="0" w:line="240" w:lineRule="auto"/>
        <w:rPr>
          <w:rFonts w:ascii="Verdana" w:eastAsia="Geomanist Light" w:hAnsi="Verdana" w:cs="Arial"/>
          <w:color w:val="000000" w:themeColor="text1"/>
          <w:lang w:val="es-MX"/>
        </w:rPr>
      </w:pPr>
    </w:p>
    <w:p w14:paraId="7B18AB80" w14:textId="77777777" w:rsidR="00F82BE7" w:rsidRDefault="00F82BE7" w:rsidP="00512B6B">
      <w:pPr>
        <w:spacing w:after="0" w:line="240" w:lineRule="auto"/>
        <w:rPr>
          <w:rFonts w:ascii="Verdana" w:eastAsia="Geomanist Light" w:hAnsi="Verdana" w:cs="Arial"/>
          <w:color w:val="000000" w:themeColor="text1"/>
          <w:lang w:val="es-MX"/>
        </w:rPr>
      </w:pPr>
    </w:p>
    <w:p w14:paraId="2D1ED197" w14:textId="77777777" w:rsidR="00F82BE7" w:rsidRDefault="00F82BE7" w:rsidP="00512B6B">
      <w:pPr>
        <w:spacing w:after="0" w:line="240" w:lineRule="auto"/>
        <w:rPr>
          <w:rFonts w:ascii="Verdana" w:eastAsia="Geomanist Light" w:hAnsi="Verdana" w:cs="Arial"/>
          <w:color w:val="000000" w:themeColor="text1"/>
          <w:lang w:val="es-MX"/>
        </w:rPr>
      </w:pPr>
    </w:p>
    <w:p w14:paraId="53E014CA" w14:textId="77777777" w:rsidR="00F82BE7" w:rsidRDefault="00F82BE7" w:rsidP="00512B6B">
      <w:pPr>
        <w:spacing w:after="0" w:line="240" w:lineRule="auto"/>
        <w:rPr>
          <w:rFonts w:ascii="Verdana" w:eastAsia="Geomanist Light" w:hAnsi="Verdana" w:cs="Arial"/>
          <w:color w:val="000000" w:themeColor="text1"/>
          <w:lang w:val="es-MX"/>
        </w:rPr>
      </w:pPr>
    </w:p>
    <w:p w14:paraId="16860DF3" w14:textId="77777777" w:rsidR="00F82BE7" w:rsidRDefault="00F82BE7" w:rsidP="00512B6B">
      <w:pPr>
        <w:spacing w:after="0" w:line="240" w:lineRule="auto"/>
        <w:rPr>
          <w:rFonts w:ascii="Verdana" w:eastAsia="Geomanist Light" w:hAnsi="Verdana" w:cs="Arial"/>
          <w:color w:val="000000" w:themeColor="text1"/>
          <w:lang w:val="es-MX"/>
        </w:rPr>
      </w:pPr>
    </w:p>
    <w:p w14:paraId="22E5DC3B" w14:textId="77777777" w:rsidR="00F82BE7" w:rsidRDefault="00F82BE7" w:rsidP="00512B6B">
      <w:pPr>
        <w:spacing w:after="0" w:line="240" w:lineRule="auto"/>
        <w:rPr>
          <w:rFonts w:ascii="Verdana" w:eastAsia="Geomanist Light" w:hAnsi="Verdana" w:cs="Arial"/>
          <w:color w:val="000000" w:themeColor="text1"/>
          <w:lang w:val="es-MX"/>
        </w:rPr>
      </w:pPr>
    </w:p>
    <w:p w14:paraId="66DCA6D8" w14:textId="77777777" w:rsidR="00F82BE7" w:rsidRDefault="00F82BE7" w:rsidP="00512B6B">
      <w:pPr>
        <w:spacing w:after="0" w:line="240" w:lineRule="auto"/>
        <w:rPr>
          <w:rFonts w:ascii="Verdana" w:eastAsia="Geomanist Light" w:hAnsi="Verdana" w:cs="Arial"/>
          <w:color w:val="000000" w:themeColor="text1"/>
          <w:lang w:val="es-MX"/>
        </w:rPr>
      </w:pPr>
    </w:p>
    <w:p w14:paraId="35FB46DA" w14:textId="77777777" w:rsidR="00F82BE7" w:rsidRDefault="00F82BE7" w:rsidP="00512B6B">
      <w:pPr>
        <w:spacing w:after="0" w:line="240" w:lineRule="auto"/>
        <w:rPr>
          <w:rFonts w:ascii="Verdana" w:eastAsia="Geomanist Light" w:hAnsi="Verdana" w:cs="Arial"/>
          <w:color w:val="000000" w:themeColor="text1"/>
          <w:lang w:val="es-MX"/>
        </w:rPr>
      </w:pPr>
    </w:p>
    <w:p w14:paraId="5BDD2B79" w14:textId="77777777" w:rsidR="00F82BE7" w:rsidRDefault="00F82BE7" w:rsidP="00512B6B">
      <w:pPr>
        <w:spacing w:after="0" w:line="240" w:lineRule="auto"/>
        <w:rPr>
          <w:rFonts w:ascii="Verdana" w:eastAsia="Geomanist Light" w:hAnsi="Verdana" w:cs="Arial"/>
          <w:color w:val="000000" w:themeColor="text1"/>
          <w:lang w:val="es-MX"/>
        </w:rPr>
      </w:pPr>
    </w:p>
    <w:p w14:paraId="10A0ACEB" w14:textId="77777777" w:rsidR="00F82BE7" w:rsidRDefault="00F82BE7" w:rsidP="00512B6B">
      <w:pPr>
        <w:spacing w:after="0" w:line="240" w:lineRule="auto"/>
        <w:rPr>
          <w:rFonts w:ascii="Verdana" w:eastAsia="Geomanist Light" w:hAnsi="Verdana" w:cs="Arial"/>
          <w:color w:val="000000" w:themeColor="text1"/>
          <w:lang w:val="es-MX"/>
        </w:rPr>
      </w:pPr>
    </w:p>
    <w:p w14:paraId="19B3A1A9" w14:textId="77777777" w:rsidR="00F82BE7" w:rsidRDefault="00F82BE7" w:rsidP="00512B6B">
      <w:pPr>
        <w:spacing w:after="0" w:line="240" w:lineRule="auto"/>
        <w:rPr>
          <w:rFonts w:ascii="Verdana" w:eastAsia="Geomanist Light" w:hAnsi="Verdana" w:cs="Arial"/>
          <w:color w:val="000000" w:themeColor="text1"/>
          <w:lang w:val="es-MX"/>
        </w:rPr>
      </w:pPr>
    </w:p>
    <w:p w14:paraId="0B60AA4E" w14:textId="77777777" w:rsidR="00F82BE7" w:rsidRDefault="00F82BE7" w:rsidP="00512B6B">
      <w:pPr>
        <w:spacing w:after="0" w:line="240" w:lineRule="auto"/>
        <w:rPr>
          <w:rFonts w:ascii="Verdana" w:eastAsia="Geomanist Light" w:hAnsi="Verdana" w:cs="Arial"/>
          <w:color w:val="000000" w:themeColor="text1"/>
          <w:lang w:val="es-MX"/>
        </w:rPr>
      </w:pPr>
    </w:p>
    <w:p w14:paraId="31E847D8" w14:textId="77777777" w:rsidR="00F82BE7" w:rsidRDefault="00F82BE7" w:rsidP="00512B6B">
      <w:pPr>
        <w:spacing w:after="0" w:line="240" w:lineRule="auto"/>
        <w:rPr>
          <w:rFonts w:ascii="Verdana" w:eastAsia="Geomanist Light" w:hAnsi="Verdana" w:cs="Arial"/>
          <w:color w:val="000000" w:themeColor="text1"/>
          <w:lang w:val="es-MX"/>
        </w:rPr>
      </w:pPr>
    </w:p>
    <w:p w14:paraId="515C7084" w14:textId="77777777" w:rsidR="00F82BE7" w:rsidRDefault="00F82BE7" w:rsidP="00512B6B">
      <w:pPr>
        <w:spacing w:after="0" w:line="240" w:lineRule="auto"/>
        <w:rPr>
          <w:rFonts w:ascii="Verdana" w:eastAsia="Geomanist Light" w:hAnsi="Verdana" w:cs="Arial"/>
          <w:color w:val="000000" w:themeColor="text1"/>
          <w:lang w:val="es-MX"/>
        </w:rPr>
      </w:pPr>
    </w:p>
    <w:p w14:paraId="7D15F717" w14:textId="77777777" w:rsidR="00F82BE7" w:rsidRDefault="00F82BE7" w:rsidP="00512B6B">
      <w:pPr>
        <w:spacing w:after="0" w:line="240" w:lineRule="auto"/>
        <w:rPr>
          <w:rFonts w:ascii="Verdana" w:eastAsia="Geomanist Light" w:hAnsi="Verdana" w:cs="Arial"/>
          <w:color w:val="000000" w:themeColor="text1"/>
          <w:lang w:val="es-MX"/>
        </w:rPr>
      </w:pPr>
    </w:p>
    <w:p w14:paraId="14D8B8C6" w14:textId="77777777" w:rsidR="00F82BE7" w:rsidRDefault="00F82BE7" w:rsidP="00512B6B">
      <w:pPr>
        <w:spacing w:after="0" w:line="240" w:lineRule="auto"/>
        <w:rPr>
          <w:rFonts w:ascii="Verdana" w:eastAsia="Geomanist Light" w:hAnsi="Verdana" w:cs="Arial"/>
          <w:color w:val="000000" w:themeColor="text1"/>
          <w:lang w:val="es-MX"/>
        </w:rPr>
      </w:pPr>
    </w:p>
    <w:p w14:paraId="68848EFF" w14:textId="77777777" w:rsidR="00F82BE7" w:rsidRDefault="00F82BE7" w:rsidP="00512B6B">
      <w:pPr>
        <w:spacing w:after="0" w:line="240" w:lineRule="auto"/>
        <w:rPr>
          <w:rFonts w:ascii="Verdana" w:eastAsia="Geomanist Light" w:hAnsi="Verdana" w:cs="Arial"/>
          <w:color w:val="000000" w:themeColor="text1"/>
          <w:lang w:val="es-MX"/>
        </w:rPr>
      </w:pPr>
    </w:p>
    <w:p w14:paraId="724E2CF6" w14:textId="77777777" w:rsidR="00F82BE7" w:rsidRDefault="00F82BE7" w:rsidP="00512B6B">
      <w:pPr>
        <w:spacing w:after="0" w:line="240" w:lineRule="auto"/>
        <w:rPr>
          <w:rFonts w:ascii="Verdana" w:eastAsia="Geomanist Light" w:hAnsi="Verdana" w:cs="Arial"/>
          <w:color w:val="000000" w:themeColor="text1"/>
          <w:lang w:val="es-MX"/>
        </w:rPr>
      </w:pPr>
    </w:p>
    <w:p w14:paraId="2A414683" w14:textId="77777777" w:rsidR="00F82BE7" w:rsidRDefault="00F82BE7" w:rsidP="00512B6B">
      <w:pPr>
        <w:spacing w:after="0" w:line="240" w:lineRule="auto"/>
        <w:rPr>
          <w:rFonts w:ascii="Verdana" w:eastAsia="Geomanist Light" w:hAnsi="Verdana" w:cs="Arial"/>
          <w:color w:val="000000" w:themeColor="text1"/>
          <w:lang w:val="es-MX"/>
        </w:rPr>
      </w:pPr>
    </w:p>
    <w:p w14:paraId="5F031F2D" w14:textId="77777777" w:rsidR="00F82BE7" w:rsidRDefault="00F82BE7" w:rsidP="00512B6B">
      <w:pPr>
        <w:spacing w:after="0" w:line="240" w:lineRule="auto"/>
        <w:rPr>
          <w:rFonts w:ascii="Verdana" w:eastAsia="Geomanist Light" w:hAnsi="Verdana" w:cs="Arial"/>
          <w:color w:val="000000" w:themeColor="text1"/>
          <w:lang w:val="es-MX"/>
        </w:rPr>
      </w:pPr>
    </w:p>
    <w:p w14:paraId="64715714" w14:textId="77777777" w:rsidR="00F82BE7" w:rsidRDefault="00F82BE7" w:rsidP="00512B6B">
      <w:pPr>
        <w:spacing w:after="0" w:line="240" w:lineRule="auto"/>
        <w:rPr>
          <w:rFonts w:ascii="Verdana" w:eastAsia="Geomanist Light" w:hAnsi="Verdana" w:cs="Arial"/>
          <w:color w:val="000000" w:themeColor="text1"/>
          <w:lang w:val="es-MX"/>
        </w:rPr>
      </w:pPr>
    </w:p>
    <w:p w14:paraId="40577DEB" w14:textId="77777777" w:rsidR="00F82BE7" w:rsidRDefault="00F82BE7" w:rsidP="00512B6B">
      <w:pPr>
        <w:spacing w:after="0" w:line="240" w:lineRule="auto"/>
        <w:rPr>
          <w:rFonts w:ascii="Verdana" w:eastAsia="Geomanist Light" w:hAnsi="Verdana" w:cs="Arial"/>
          <w:color w:val="000000" w:themeColor="text1"/>
          <w:lang w:val="es-MX"/>
        </w:rPr>
      </w:pPr>
    </w:p>
    <w:p w14:paraId="79E09FC1" w14:textId="77777777" w:rsidR="00F82BE7" w:rsidRDefault="00F82BE7" w:rsidP="00512B6B">
      <w:pPr>
        <w:spacing w:after="0" w:line="240" w:lineRule="auto"/>
        <w:rPr>
          <w:rFonts w:ascii="Verdana" w:eastAsia="Geomanist Light" w:hAnsi="Verdana" w:cs="Arial"/>
          <w:color w:val="000000" w:themeColor="text1"/>
          <w:lang w:val="es-MX"/>
        </w:rPr>
      </w:pPr>
    </w:p>
    <w:p w14:paraId="5BB9758C" w14:textId="77777777" w:rsidR="00F82BE7" w:rsidRDefault="00F82BE7" w:rsidP="00512B6B">
      <w:pPr>
        <w:spacing w:after="0" w:line="240" w:lineRule="auto"/>
        <w:rPr>
          <w:rFonts w:ascii="Verdana" w:eastAsia="Geomanist Light" w:hAnsi="Verdana" w:cs="Arial"/>
          <w:color w:val="000000" w:themeColor="text1"/>
          <w:lang w:val="es-MX"/>
        </w:rPr>
      </w:pPr>
    </w:p>
    <w:p w14:paraId="3AEF7746" w14:textId="77777777" w:rsidR="00F82BE7" w:rsidRDefault="00F82BE7" w:rsidP="00512B6B">
      <w:pPr>
        <w:spacing w:after="0" w:line="240" w:lineRule="auto"/>
        <w:rPr>
          <w:rFonts w:ascii="Verdana" w:eastAsia="Geomanist Light" w:hAnsi="Verdana" w:cs="Arial"/>
          <w:color w:val="000000" w:themeColor="text1"/>
          <w:lang w:val="es-MX"/>
        </w:rPr>
      </w:pPr>
    </w:p>
    <w:p w14:paraId="400E18C3" w14:textId="77777777" w:rsidR="00F82BE7" w:rsidRDefault="00F82BE7" w:rsidP="00512B6B">
      <w:pPr>
        <w:spacing w:after="0" w:line="240" w:lineRule="auto"/>
        <w:rPr>
          <w:rFonts w:ascii="Verdana" w:eastAsia="Geomanist Light" w:hAnsi="Verdana" w:cs="Arial"/>
          <w:color w:val="000000" w:themeColor="text1"/>
          <w:lang w:val="es-MX"/>
        </w:rPr>
      </w:pPr>
    </w:p>
    <w:p w14:paraId="506BE355" w14:textId="77777777" w:rsidR="00F82BE7" w:rsidRDefault="00F82BE7" w:rsidP="00512B6B">
      <w:pPr>
        <w:spacing w:after="0" w:line="240" w:lineRule="auto"/>
        <w:rPr>
          <w:rFonts w:ascii="Verdana" w:eastAsia="Geomanist Light" w:hAnsi="Verdana" w:cs="Arial"/>
          <w:color w:val="000000" w:themeColor="text1"/>
          <w:lang w:val="es-MX"/>
        </w:rPr>
      </w:pPr>
    </w:p>
    <w:p w14:paraId="6B9BF421" w14:textId="77777777" w:rsidR="00F82BE7" w:rsidRDefault="00F82BE7" w:rsidP="00512B6B">
      <w:pPr>
        <w:spacing w:after="0" w:line="240" w:lineRule="auto"/>
        <w:rPr>
          <w:rFonts w:ascii="Verdana" w:eastAsia="Geomanist Light" w:hAnsi="Verdana" w:cs="Arial"/>
          <w:color w:val="000000" w:themeColor="text1"/>
          <w:lang w:val="es-MX"/>
        </w:rPr>
      </w:pPr>
    </w:p>
    <w:p w14:paraId="58284600" w14:textId="55FD25B2" w:rsidR="00512B6B" w:rsidRPr="00115E3D" w:rsidRDefault="00512B6B" w:rsidP="00512B6B">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t>Bogotá D.C., [Día] de [</w:t>
      </w:r>
      <w:proofErr w:type="spellStart"/>
      <w:r w:rsidRPr="00115E3D">
        <w:rPr>
          <w:rFonts w:ascii="Verdana" w:eastAsia="Geomanist Light" w:hAnsi="Verdana" w:cs="Arial"/>
          <w:color w:val="000000" w:themeColor="text1"/>
          <w:lang w:val="es-MX"/>
        </w:rPr>
        <w:t>Mes.NombreCapitalizado</w:t>
      </w:r>
      <w:proofErr w:type="spellEnd"/>
      <w:r w:rsidRPr="00115E3D">
        <w:rPr>
          <w:rFonts w:ascii="Verdana" w:eastAsia="Geomanist Light" w:hAnsi="Verdana" w:cs="Arial"/>
          <w:color w:val="000000" w:themeColor="text1"/>
          <w:lang w:val="es-MX"/>
        </w:rPr>
        <w:t>] de [Año]</w:t>
      </w:r>
    </w:p>
    <w:p w14:paraId="1C124166" w14:textId="4156CBB6" w:rsidR="00512B6B" w:rsidRPr="00115E3D" w:rsidRDefault="00C76D74" w:rsidP="00512B6B">
      <w:pPr>
        <w:spacing w:after="0" w:line="240" w:lineRule="auto"/>
        <w:jc w:val="both"/>
        <w:rPr>
          <w:rFonts w:ascii="Verdana" w:eastAsia="Calibri" w:hAnsi="Verdana" w:cs="Arial"/>
          <w:color w:val="000000" w:themeColor="text1"/>
          <w:lang w:val="es-ES"/>
        </w:rPr>
      </w:pPr>
      <w:r w:rsidRPr="00C76D74">
        <w:rPr>
          <w:rFonts w:ascii="Verdana" w:eastAsia="Calibri" w:hAnsi="Verdana" w:cs="Arial"/>
          <w:noProof/>
          <w:color w:val="000000" w:themeColor="text1"/>
          <w:lang w:val="es-ES" w:eastAsia="es-ES"/>
        </w:rPr>
        <w:drawing>
          <wp:anchor distT="0" distB="0" distL="114300" distR="114300" simplePos="0" relativeHeight="251658240" behindDoc="1" locked="0" layoutInCell="1" allowOverlap="1" wp14:anchorId="2AB76399" wp14:editId="14FF57E2">
            <wp:simplePos x="0" y="0"/>
            <wp:positionH relativeFrom="column">
              <wp:posOffset>2823488</wp:posOffset>
            </wp:positionH>
            <wp:positionV relativeFrom="paragraph">
              <wp:posOffset>166334</wp:posOffset>
            </wp:positionV>
            <wp:extent cx="3381375" cy="990600"/>
            <wp:effectExtent l="0" t="0" r="9525" b="0"/>
            <wp:wrapTight wrapText="bothSides">
              <wp:wrapPolygon edited="0">
                <wp:start x="0" y="0"/>
                <wp:lineTo x="0" y="21185"/>
                <wp:lineTo x="21539" y="21185"/>
                <wp:lineTo x="21539" y="0"/>
                <wp:lineTo x="0" y="0"/>
              </wp:wrapPolygon>
            </wp:wrapTight>
            <wp:docPr id="37891128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1288"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381375" cy="990600"/>
                    </a:xfrm>
                    <a:prstGeom prst="rect">
                      <a:avLst/>
                    </a:prstGeom>
                  </pic:spPr>
                </pic:pic>
              </a:graphicData>
            </a:graphic>
          </wp:anchor>
        </w:drawing>
      </w:r>
    </w:p>
    <w:p w14:paraId="03639FE7" w14:textId="285A5CFE" w:rsidR="00512B6B" w:rsidRDefault="00512B6B" w:rsidP="00512B6B">
      <w:pPr>
        <w:spacing w:after="0" w:line="240" w:lineRule="auto"/>
        <w:jc w:val="both"/>
        <w:rPr>
          <w:rFonts w:ascii="Verdana" w:eastAsia="Calibri" w:hAnsi="Verdana" w:cs="Arial"/>
          <w:color w:val="000000" w:themeColor="text1"/>
          <w:lang w:val="es-ES" w:eastAsia="es-ES"/>
        </w:rPr>
      </w:pPr>
    </w:p>
    <w:p w14:paraId="56AD237E" w14:textId="0F015642" w:rsidR="0066555B" w:rsidRDefault="0066555B" w:rsidP="00512B6B">
      <w:pPr>
        <w:spacing w:after="0" w:line="240" w:lineRule="auto"/>
        <w:jc w:val="both"/>
        <w:rPr>
          <w:rFonts w:ascii="Verdana" w:eastAsia="Calibri" w:hAnsi="Verdana" w:cs="Arial"/>
          <w:color w:val="000000" w:themeColor="text1"/>
          <w:lang w:val="es-ES" w:eastAsia="es-ES"/>
        </w:rPr>
      </w:pPr>
    </w:p>
    <w:p w14:paraId="2B70C8F9" w14:textId="77777777" w:rsidR="0066555B" w:rsidRDefault="0066555B" w:rsidP="00512B6B">
      <w:pPr>
        <w:spacing w:after="0" w:line="240" w:lineRule="auto"/>
        <w:jc w:val="both"/>
        <w:rPr>
          <w:rFonts w:ascii="Verdana" w:eastAsia="Calibri" w:hAnsi="Verdana" w:cs="Arial"/>
          <w:color w:val="000000" w:themeColor="text1"/>
          <w:lang w:val="es-ES" w:eastAsia="es-ES"/>
        </w:rPr>
      </w:pPr>
    </w:p>
    <w:p w14:paraId="03867905" w14:textId="77777777" w:rsidR="0066555B" w:rsidRDefault="0066555B" w:rsidP="00512B6B">
      <w:pPr>
        <w:spacing w:after="0" w:line="240" w:lineRule="auto"/>
        <w:jc w:val="both"/>
        <w:rPr>
          <w:rFonts w:ascii="Verdana" w:eastAsia="Calibri" w:hAnsi="Verdana" w:cs="Arial"/>
          <w:color w:val="000000" w:themeColor="text1"/>
          <w:lang w:val="es-ES" w:eastAsia="es-ES"/>
        </w:rPr>
      </w:pPr>
    </w:p>
    <w:p w14:paraId="6E8A72FB" w14:textId="77777777" w:rsidR="0066555B" w:rsidRDefault="0066555B" w:rsidP="00512B6B">
      <w:pPr>
        <w:spacing w:after="0" w:line="240" w:lineRule="auto"/>
        <w:jc w:val="both"/>
        <w:rPr>
          <w:rFonts w:ascii="Verdana" w:eastAsia="Calibri" w:hAnsi="Verdana" w:cs="Arial"/>
          <w:color w:val="000000" w:themeColor="text1"/>
          <w:lang w:val="es-ES" w:eastAsia="es-ES"/>
        </w:rPr>
      </w:pPr>
    </w:p>
    <w:p w14:paraId="50C904F6" w14:textId="77777777" w:rsidR="0066555B" w:rsidRDefault="0066555B" w:rsidP="00512B6B">
      <w:pPr>
        <w:spacing w:after="0" w:line="240" w:lineRule="auto"/>
        <w:jc w:val="both"/>
        <w:rPr>
          <w:rFonts w:ascii="Verdana" w:eastAsia="Calibri" w:hAnsi="Verdana" w:cs="Arial"/>
          <w:color w:val="000000" w:themeColor="text1"/>
          <w:lang w:val="es-ES" w:eastAsia="es-ES"/>
        </w:rPr>
      </w:pPr>
    </w:p>
    <w:p w14:paraId="1FFA1D16" w14:textId="77777777" w:rsidR="00512B6B" w:rsidRDefault="00512B6B" w:rsidP="00512B6B">
      <w:pPr>
        <w:spacing w:after="0" w:line="240" w:lineRule="auto"/>
        <w:jc w:val="both"/>
        <w:rPr>
          <w:rFonts w:ascii="Verdana" w:eastAsia="Calibri" w:hAnsi="Verdana" w:cs="Arial"/>
          <w:color w:val="000000" w:themeColor="text1"/>
          <w:lang w:val="es-ES" w:eastAsia="es-ES"/>
        </w:rPr>
      </w:pPr>
    </w:p>
    <w:p w14:paraId="593AA95C" w14:textId="77777777" w:rsidR="00512B6B" w:rsidRPr="008F1238" w:rsidRDefault="00512B6B" w:rsidP="00512B6B">
      <w:pPr>
        <w:spacing w:after="0" w:line="240" w:lineRule="auto"/>
        <w:jc w:val="both"/>
        <w:rPr>
          <w:rFonts w:ascii="Verdana" w:eastAsia="Calibri" w:hAnsi="Verdana" w:cs="Arial"/>
          <w:color w:val="000000" w:themeColor="text1"/>
          <w:lang w:val="es-ES" w:eastAsia="es-ES"/>
        </w:rPr>
      </w:pPr>
      <w:r w:rsidRPr="008F1238">
        <w:rPr>
          <w:rFonts w:ascii="Verdana" w:eastAsia="Calibri" w:hAnsi="Verdana" w:cs="Arial"/>
          <w:color w:val="000000" w:themeColor="text1"/>
          <w:lang w:val="es-ES" w:eastAsia="es-ES"/>
        </w:rPr>
        <w:t>Señor</w:t>
      </w:r>
      <w:r w:rsidRPr="008F1238">
        <w:rPr>
          <w:rFonts w:ascii="Verdana" w:eastAsia="Times New Roman" w:hAnsi="Verdana" w:cs="Times New Roman"/>
          <w:color w:val="000000"/>
          <w:lang w:eastAsia="es-CO"/>
        </w:rPr>
        <w:br/>
      </w:r>
      <w:r w:rsidRPr="0081393C">
        <w:rPr>
          <w:rFonts w:ascii="Verdana" w:eastAsia="Calibri" w:hAnsi="Verdana" w:cs="Arial"/>
          <w:b/>
          <w:bCs/>
          <w:color w:val="000000" w:themeColor="text1"/>
          <w:lang w:val="es-ES" w:eastAsia="es-ES"/>
        </w:rPr>
        <w:t>Yesid Hernando Cabuya Ortiz</w:t>
      </w:r>
    </w:p>
    <w:p w14:paraId="3A801C7E" w14:textId="77777777" w:rsidR="00512B6B" w:rsidRDefault="00512B6B" w:rsidP="00512B6B">
      <w:pPr>
        <w:spacing w:after="0" w:line="240" w:lineRule="auto"/>
        <w:rPr>
          <w:rFonts w:ascii="Verdana" w:eastAsia="Calibri" w:hAnsi="Verdana" w:cs="Arial"/>
          <w:color w:val="000000" w:themeColor="text1"/>
          <w:u w:val="single"/>
          <w:lang w:eastAsia="es-ES"/>
        </w:rPr>
      </w:pPr>
      <w:hyperlink r:id="rId11" w:history="1">
        <w:r w:rsidRPr="002D08A7">
          <w:rPr>
            <w:rStyle w:val="Hipervnculo"/>
            <w:rFonts w:ascii="Verdana" w:eastAsia="Calibri" w:hAnsi="Verdana" w:cs="Arial"/>
            <w:lang w:eastAsia="es-ES"/>
          </w:rPr>
          <w:t>ycabuyao@mindeporte.gov.co</w:t>
        </w:r>
      </w:hyperlink>
    </w:p>
    <w:p w14:paraId="5FD1E118" w14:textId="77777777" w:rsidR="00512B6B" w:rsidRPr="008F1238" w:rsidRDefault="00512B6B" w:rsidP="00512B6B">
      <w:pPr>
        <w:spacing w:after="0" w:line="240" w:lineRule="auto"/>
        <w:rPr>
          <w:rFonts w:ascii="Verdana" w:eastAsia="Calibri" w:hAnsi="Verdana" w:cs="Arial"/>
          <w:b/>
          <w:bCs/>
          <w:color w:val="000000" w:themeColor="text1"/>
          <w:lang w:val="en-US" w:eastAsia="es-ES"/>
        </w:rPr>
      </w:pPr>
      <w:r>
        <w:rPr>
          <w:rFonts w:ascii="Verdana" w:eastAsia="Calibri" w:hAnsi="Verdana" w:cs="Arial"/>
          <w:color w:val="000000" w:themeColor="text1"/>
          <w:lang w:val="en-US" w:eastAsia="es-ES"/>
        </w:rPr>
        <w:t>Ciudad</w:t>
      </w:r>
    </w:p>
    <w:p w14:paraId="11B52EF6" w14:textId="77777777" w:rsidR="00512B6B" w:rsidRPr="007C6ACB" w:rsidRDefault="00512B6B" w:rsidP="00512B6B">
      <w:pPr>
        <w:spacing w:after="0" w:line="240" w:lineRule="auto"/>
        <w:rPr>
          <w:rFonts w:ascii="Verdana" w:eastAsia="Calibri" w:hAnsi="Verdana" w:cs="Arial"/>
          <w:b/>
          <w:bCs/>
          <w:color w:val="000000" w:themeColor="text1"/>
          <w:lang w:val="en-US" w:eastAsia="es-ES_tradnl"/>
        </w:rPr>
      </w:pPr>
    </w:p>
    <w:p w14:paraId="6ED753A7" w14:textId="77777777" w:rsidR="00512B6B" w:rsidRPr="007C6ACB" w:rsidRDefault="00512B6B" w:rsidP="00512B6B">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2B6B" w:rsidRPr="00115E3D" w14:paraId="67BED05C" w14:textId="77777777" w:rsidTr="00EF5085">
        <w:trPr>
          <w:trHeight w:val="884"/>
        </w:trPr>
        <w:tc>
          <w:tcPr>
            <w:tcW w:w="2689" w:type="dxa"/>
          </w:tcPr>
          <w:p w14:paraId="55B12806" w14:textId="77777777" w:rsidR="00512B6B" w:rsidRPr="007C6ACB" w:rsidRDefault="00512B6B" w:rsidP="00EF5085">
            <w:pPr>
              <w:jc w:val="both"/>
              <w:rPr>
                <w:rFonts w:ascii="Verdana" w:eastAsia="Calibri" w:hAnsi="Verdana" w:cs="Arial"/>
                <w:b/>
                <w:bCs/>
                <w:color w:val="000000" w:themeColor="text1"/>
                <w:lang w:val="en-US" w:eastAsia="es-ES_tradnl"/>
              </w:rPr>
            </w:pPr>
          </w:p>
        </w:tc>
        <w:tc>
          <w:tcPr>
            <w:tcW w:w="6100" w:type="dxa"/>
          </w:tcPr>
          <w:p w14:paraId="08595FDA" w14:textId="77777777" w:rsidR="00512B6B" w:rsidRPr="00115E3D" w:rsidRDefault="00512B6B" w:rsidP="00EF508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972</w:t>
            </w:r>
            <w:r w:rsidRPr="00115E3D">
              <w:rPr>
                <w:rFonts w:ascii="Verdana" w:eastAsia="Calibri" w:hAnsi="Verdana" w:cs="Arial"/>
                <w:b/>
                <w:bCs/>
                <w:color w:val="000000" w:themeColor="text1"/>
                <w:lang w:val="es-ES" w:eastAsia="es-ES"/>
              </w:rPr>
              <w:t xml:space="preserve"> de 2024</w:t>
            </w:r>
          </w:p>
        </w:tc>
      </w:tr>
      <w:tr w:rsidR="00512B6B" w:rsidRPr="00115E3D" w14:paraId="505469F5" w14:textId="77777777" w:rsidTr="00EF5085">
        <w:trPr>
          <w:trHeight w:val="884"/>
        </w:trPr>
        <w:tc>
          <w:tcPr>
            <w:tcW w:w="2689" w:type="dxa"/>
          </w:tcPr>
          <w:p w14:paraId="1E4C5308" w14:textId="77777777" w:rsidR="00512B6B" w:rsidRPr="00577877" w:rsidRDefault="00512B6B" w:rsidP="00EF5085">
            <w:pPr>
              <w:jc w:val="both"/>
              <w:rPr>
                <w:rFonts w:ascii="Verdana" w:eastAsia="Calibri" w:hAnsi="Verdana" w:cs="Arial"/>
                <w:bCs/>
                <w:color w:val="000000" w:themeColor="text1"/>
                <w:lang w:val="es-ES_tradnl" w:eastAsia="es-ES_tradnl"/>
              </w:rPr>
            </w:pPr>
            <w:r w:rsidRPr="00577877">
              <w:rPr>
                <w:rFonts w:ascii="Verdana" w:eastAsia="Calibri" w:hAnsi="Verdana" w:cs="Arial"/>
                <w:bCs/>
                <w:color w:val="000000" w:themeColor="text1"/>
                <w:lang w:val="es-ES_tradnl" w:eastAsia="es-ES_tradnl"/>
              </w:rPr>
              <w:t xml:space="preserve">Temas:                   </w:t>
            </w:r>
          </w:p>
        </w:tc>
        <w:tc>
          <w:tcPr>
            <w:tcW w:w="6100" w:type="dxa"/>
          </w:tcPr>
          <w:p w14:paraId="711A2C2D" w14:textId="77777777" w:rsidR="00512B6B" w:rsidRPr="00577877" w:rsidRDefault="00512B6B" w:rsidP="00EF5085">
            <w:pPr>
              <w:spacing w:line="276" w:lineRule="auto"/>
              <w:jc w:val="both"/>
              <w:rPr>
                <w:rFonts w:ascii="Verdana" w:eastAsia="Calibri" w:hAnsi="Verdana" w:cs="Arial"/>
                <w:bCs/>
                <w:color w:val="000000" w:themeColor="text1"/>
                <w:lang w:eastAsia="es-ES"/>
              </w:rPr>
            </w:pPr>
            <w:r w:rsidRPr="00577877">
              <w:rPr>
                <w:rFonts w:ascii="Verdana" w:eastAsia="Calibri" w:hAnsi="Verdana" w:cs="Arial"/>
                <w:bCs/>
                <w:color w:val="000000" w:themeColor="text1"/>
                <w:lang w:val="es-ES" w:eastAsia="es-ES"/>
              </w:rPr>
              <w:t>SUPERVISIÓN DEL CONTRATO – C</w:t>
            </w:r>
            <w:r>
              <w:rPr>
                <w:rFonts w:ascii="Verdana" w:eastAsia="Calibri" w:hAnsi="Verdana" w:cs="Arial"/>
                <w:bCs/>
                <w:color w:val="000000" w:themeColor="text1"/>
                <w:lang w:val="es-ES" w:eastAsia="es-ES"/>
              </w:rPr>
              <w:t>oncepto</w:t>
            </w:r>
            <w:r w:rsidRPr="00577877">
              <w:rPr>
                <w:rFonts w:ascii="Verdana" w:eastAsia="Calibri" w:hAnsi="Verdana" w:cs="Arial"/>
                <w:bCs/>
                <w:color w:val="000000" w:themeColor="text1"/>
                <w:lang w:val="es-ES" w:eastAsia="es-ES"/>
              </w:rPr>
              <w:t xml:space="preserve"> </w:t>
            </w:r>
            <w:r w:rsidRPr="008B3E0F">
              <w:rPr>
                <w:rFonts w:ascii="Verdana" w:eastAsia="Calibri" w:hAnsi="Verdana" w:cs="Arial"/>
                <w:bCs/>
                <w:color w:val="000000" w:themeColor="text1"/>
                <w:lang w:val="es-ES" w:eastAsia="es-ES"/>
              </w:rPr>
              <w:t>–</w:t>
            </w:r>
            <w:r w:rsidRPr="00577877">
              <w:rPr>
                <w:rFonts w:ascii="Verdana" w:eastAsia="Calibri" w:hAnsi="Verdana" w:cs="Arial"/>
                <w:bCs/>
                <w:color w:val="000000" w:themeColor="text1"/>
                <w:lang w:val="es-ES" w:eastAsia="es-ES"/>
              </w:rPr>
              <w:t xml:space="preserve"> C</w:t>
            </w:r>
            <w:r>
              <w:rPr>
                <w:rFonts w:ascii="Verdana" w:eastAsia="Calibri" w:hAnsi="Verdana" w:cs="Arial"/>
                <w:bCs/>
                <w:color w:val="000000" w:themeColor="text1"/>
                <w:lang w:val="es-ES" w:eastAsia="es-ES"/>
              </w:rPr>
              <w:t>aracterísticas</w:t>
            </w:r>
            <w:r w:rsidRPr="00577877">
              <w:rPr>
                <w:rFonts w:ascii="Verdana" w:eastAsia="Calibri" w:hAnsi="Verdana" w:cs="Arial"/>
                <w:bCs/>
                <w:color w:val="000000" w:themeColor="text1"/>
                <w:lang w:val="es-ES" w:eastAsia="es-ES"/>
              </w:rPr>
              <w:t xml:space="preserve"> – Apoyo a la supervisión </w:t>
            </w:r>
            <w:r>
              <w:rPr>
                <w:rFonts w:ascii="Verdana" w:eastAsia="Calibri" w:hAnsi="Verdana" w:cs="Arial"/>
                <w:bCs/>
                <w:color w:val="000000" w:themeColor="text1"/>
                <w:lang w:val="es-ES" w:eastAsia="es-ES"/>
              </w:rPr>
              <w:t>/</w:t>
            </w:r>
            <w:r w:rsidRPr="00577877">
              <w:rPr>
                <w:rFonts w:ascii="Verdana" w:eastAsia="Calibri" w:hAnsi="Verdana" w:cs="Arial"/>
                <w:bCs/>
                <w:color w:val="000000" w:themeColor="text1"/>
                <w:lang w:val="es-ES" w:eastAsia="es-ES"/>
              </w:rPr>
              <w:t xml:space="preserve"> LEY 489 DE 1998 – </w:t>
            </w:r>
            <w:r>
              <w:rPr>
                <w:rFonts w:ascii="Verdana" w:eastAsia="Calibri" w:hAnsi="Verdana" w:cs="Arial"/>
                <w:bCs/>
                <w:color w:val="000000" w:themeColor="text1"/>
                <w:lang w:val="es-ES" w:eastAsia="es-ES"/>
              </w:rPr>
              <w:t>Convenios</w:t>
            </w:r>
            <w:r>
              <w:rPr>
                <w:rFonts w:ascii="Verdana" w:eastAsia="Calibri" w:hAnsi="Verdana" w:cs="Arial"/>
                <w:bCs/>
                <w:color w:val="000000" w:themeColor="text1"/>
                <w:lang w:eastAsia="es-ES"/>
              </w:rPr>
              <w:t xml:space="preserve"> </w:t>
            </w:r>
            <w:r w:rsidRPr="00577877">
              <w:rPr>
                <w:rFonts w:ascii="Verdana" w:eastAsia="Calibri" w:hAnsi="Verdana" w:cs="Arial"/>
                <w:bCs/>
                <w:color w:val="000000" w:themeColor="text1"/>
                <w:lang w:eastAsia="es-ES"/>
              </w:rPr>
              <w:t xml:space="preserve">– </w:t>
            </w:r>
            <w:r>
              <w:rPr>
                <w:rFonts w:ascii="Verdana" w:eastAsia="Calibri" w:hAnsi="Verdana" w:cs="Arial"/>
                <w:bCs/>
                <w:color w:val="000000" w:themeColor="text1"/>
                <w:lang w:eastAsia="es-ES"/>
              </w:rPr>
              <w:t>Particulares</w:t>
            </w:r>
            <w:r w:rsidRPr="00577877">
              <w:rPr>
                <w:rFonts w:ascii="Verdana" w:eastAsia="Calibri" w:hAnsi="Verdana" w:cs="Arial"/>
                <w:bCs/>
                <w:color w:val="000000" w:themeColor="text1"/>
                <w:lang w:eastAsia="es-ES"/>
              </w:rPr>
              <w:t xml:space="preserve"> </w:t>
            </w:r>
            <w:r w:rsidRPr="008B3E0F">
              <w:rPr>
                <w:rFonts w:ascii="Verdana" w:eastAsia="Calibri" w:hAnsi="Verdana" w:cs="Arial"/>
                <w:bCs/>
                <w:color w:val="000000" w:themeColor="text1"/>
                <w:lang w:eastAsia="es-ES"/>
              </w:rPr>
              <w:t>–</w:t>
            </w:r>
            <w:r>
              <w:rPr>
                <w:rFonts w:ascii="Verdana" w:eastAsia="Calibri" w:hAnsi="Verdana" w:cs="Arial"/>
                <w:bCs/>
                <w:color w:val="000000" w:themeColor="text1"/>
                <w:lang w:val="es-ES" w:eastAsia="es-ES"/>
              </w:rPr>
              <w:t xml:space="preserve"> Requisitos</w:t>
            </w:r>
            <w:r w:rsidRPr="008B3E0F">
              <w:rPr>
                <w:rFonts w:ascii="Verdana" w:eastAsia="Calibri" w:hAnsi="Verdana" w:cs="Arial"/>
                <w:bCs/>
                <w:color w:val="000000" w:themeColor="text1"/>
                <w:lang w:val="es-ES" w:eastAsia="es-ES"/>
              </w:rPr>
              <w:t xml:space="preserve"> </w:t>
            </w:r>
            <w:r>
              <w:rPr>
                <w:rFonts w:ascii="Verdana" w:eastAsia="Calibri" w:hAnsi="Verdana" w:cs="Arial"/>
                <w:bCs/>
                <w:color w:val="000000" w:themeColor="text1"/>
                <w:lang w:val="es-ES" w:eastAsia="es-ES"/>
              </w:rPr>
              <w:t>/</w:t>
            </w:r>
            <w:r w:rsidRPr="008B3E0F">
              <w:rPr>
                <w:rFonts w:ascii="Verdana" w:eastAsia="Calibri" w:hAnsi="Verdana" w:cs="Arial"/>
                <w:bCs/>
                <w:color w:val="000000" w:themeColor="text1"/>
                <w:lang w:val="es-ES" w:eastAsia="es-ES"/>
              </w:rPr>
              <w:t xml:space="preserve"> </w:t>
            </w:r>
            <w:r w:rsidRPr="008B3E0F">
              <w:rPr>
                <w:rFonts w:ascii="Verdana" w:eastAsia="Calibri" w:hAnsi="Verdana" w:cs="Arial"/>
                <w:bCs/>
                <w:color w:val="000000" w:themeColor="text1"/>
                <w:lang w:eastAsia="es-ES"/>
              </w:rPr>
              <w:t>LEY 1474 DE 2011 –</w:t>
            </w:r>
            <w:r>
              <w:rPr>
                <w:rFonts w:ascii="Verdana" w:eastAsia="Calibri" w:hAnsi="Verdana" w:cs="Arial"/>
                <w:bCs/>
                <w:color w:val="000000" w:themeColor="text1"/>
                <w:lang w:eastAsia="es-ES"/>
              </w:rPr>
              <w:t xml:space="preserve"> Artículo 83 –</w:t>
            </w:r>
            <w:r w:rsidRPr="008B3E0F">
              <w:rPr>
                <w:rFonts w:ascii="Verdana" w:eastAsia="Calibri" w:hAnsi="Verdana" w:cs="Arial"/>
                <w:bCs/>
                <w:color w:val="000000" w:themeColor="text1"/>
                <w:lang w:eastAsia="es-ES"/>
              </w:rPr>
              <w:t xml:space="preserve"> </w:t>
            </w:r>
            <w:r w:rsidRPr="008B3E0F">
              <w:rPr>
                <w:rFonts w:ascii="Verdana" w:eastAsia="Calibri" w:hAnsi="Verdana" w:cs="Arial"/>
                <w:bCs/>
                <w:color w:val="000000" w:themeColor="text1"/>
                <w:lang w:val="es-ES" w:eastAsia="es-ES"/>
              </w:rPr>
              <w:t>Supervisión</w:t>
            </w:r>
            <w:r w:rsidRPr="008B3E0F">
              <w:rPr>
                <w:rFonts w:ascii="Verdana" w:eastAsia="Calibri" w:hAnsi="Verdana" w:cs="Arial"/>
                <w:bCs/>
                <w:color w:val="000000" w:themeColor="text1"/>
                <w:lang w:eastAsia="es-ES"/>
              </w:rPr>
              <w:t xml:space="preserve"> </w:t>
            </w:r>
            <w:proofErr w:type="spellStart"/>
            <w:r w:rsidRPr="008B3E0F">
              <w:rPr>
                <w:rFonts w:ascii="Verdana" w:eastAsia="Calibri" w:hAnsi="Verdana" w:cs="Arial"/>
                <w:bCs/>
                <w:color w:val="000000" w:themeColor="text1"/>
                <w:lang w:eastAsia="es-ES"/>
              </w:rPr>
              <w:t>e</w:t>
            </w:r>
            <w:proofErr w:type="spellEnd"/>
            <w:r w:rsidRPr="008B3E0F">
              <w:rPr>
                <w:rFonts w:ascii="Verdana" w:eastAsia="Calibri" w:hAnsi="Verdana" w:cs="Arial"/>
                <w:bCs/>
                <w:color w:val="000000" w:themeColor="text1"/>
                <w:lang w:eastAsia="es-ES"/>
              </w:rPr>
              <w:t xml:space="preserve"> interventoría contractual</w:t>
            </w:r>
          </w:p>
          <w:p w14:paraId="141DA520" w14:textId="77777777" w:rsidR="00512B6B" w:rsidRPr="00295900" w:rsidRDefault="00512B6B" w:rsidP="00EF5085">
            <w:pPr>
              <w:spacing w:line="276" w:lineRule="auto"/>
              <w:jc w:val="both"/>
              <w:rPr>
                <w:rFonts w:ascii="Verdana" w:eastAsia="Calibri" w:hAnsi="Verdana" w:cs="Arial"/>
                <w:color w:val="000000" w:themeColor="text1"/>
                <w:highlight w:val="yellow"/>
                <w:lang w:eastAsia="es-ES"/>
              </w:rPr>
            </w:pPr>
          </w:p>
        </w:tc>
      </w:tr>
      <w:tr w:rsidR="00512B6B" w:rsidRPr="008F1238" w14:paraId="0F194DAC" w14:textId="77777777" w:rsidTr="00EF5085">
        <w:tc>
          <w:tcPr>
            <w:tcW w:w="2689" w:type="dxa"/>
          </w:tcPr>
          <w:p w14:paraId="5171B1B9" w14:textId="77777777" w:rsidR="00512B6B" w:rsidRPr="00115E3D" w:rsidRDefault="00512B6B" w:rsidP="00EF5085">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1BBD842" w14:textId="77777777" w:rsidR="00512B6B" w:rsidRPr="008F1238" w:rsidRDefault="00512B6B" w:rsidP="00EF5085">
            <w:pPr>
              <w:jc w:val="both"/>
              <w:rPr>
                <w:rFonts w:ascii="Verdana" w:eastAsia="Calibri" w:hAnsi="Verdana" w:cs="Arial"/>
                <w:color w:val="000000" w:themeColor="text1"/>
                <w:lang w:val="es-ES_tradnl" w:eastAsia="es-ES_tradnl"/>
              </w:rPr>
            </w:pPr>
            <w:r w:rsidRPr="008F1238">
              <w:rPr>
                <w:rFonts w:ascii="Verdana" w:eastAsia="Calibri" w:hAnsi="Verdana" w:cs="Arial"/>
                <w:color w:val="000000" w:themeColor="text1"/>
                <w:lang w:val="es-ES_tradnl" w:eastAsia="es-ES_tradnl"/>
              </w:rPr>
              <w:t xml:space="preserve">Respuesta a consulta con radicado No. </w:t>
            </w:r>
          </w:p>
          <w:p w14:paraId="6E640B7B" w14:textId="77777777" w:rsidR="00512B6B" w:rsidRPr="008F1238" w:rsidRDefault="00512B6B" w:rsidP="00EF5085">
            <w:pPr>
              <w:jc w:val="both"/>
              <w:rPr>
                <w:rFonts w:ascii="Verdana" w:hAnsi="Verdana" w:cs="Arial"/>
                <w:color w:val="000000"/>
              </w:rPr>
            </w:pPr>
            <w:r w:rsidRPr="0081393C">
              <w:rPr>
                <w:rFonts w:ascii="Verdana" w:hAnsi="Verdana" w:cs="Arial"/>
                <w:color w:val="000000"/>
              </w:rPr>
              <w:t>P20241206012262</w:t>
            </w:r>
            <w:r>
              <w:rPr>
                <w:rFonts w:ascii="Verdana" w:hAnsi="Verdana" w:cs="Arial"/>
                <w:color w:val="000000"/>
              </w:rPr>
              <w:t xml:space="preserve"> </w:t>
            </w:r>
          </w:p>
        </w:tc>
      </w:tr>
    </w:tbl>
    <w:p w14:paraId="58C566D2" w14:textId="77777777" w:rsidR="00512B6B" w:rsidRPr="00115E3D" w:rsidRDefault="00512B6B" w:rsidP="00512B6B">
      <w:pPr>
        <w:spacing w:after="0" w:line="240" w:lineRule="auto"/>
        <w:jc w:val="both"/>
        <w:rPr>
          <w:rFonts w:ascii="Verdana" w:eastAsia="Calibri" w:hAnsi="Verdana" w:cs="Arial"/>
          <w:color w:val="000000" w:themeColor="text1"/>
          <w:lang w:val="es-ES_tradnl" w:eastAsia="es-ES_tradnl"/>
        </w:rPr>
      </w:pPr>
    </w:p>
    <w:p w14:paraId="28066DFE" w14:textId="77777777" w:rsidR="00512B6B" w:rsidRPr="00115E3D" w:rsidRDefault="00512B6B" w:rsidP="00512B6B">
      <w:pPr>
        <w:spacing w:after="0" w:line="240" w:lineRule="auto"/>
        <w:jc w:val="both"/>
        <w:rPr>
          <w:rFonts w:ascii="Verdana" w:eastAsia="Calibri" w:hAnsi="Verdana" w:cs="Arial"/>
          <w:color w:val="000000" w:themeColor="text1"/>
          <w:lang w:val="es-ES_tradnl" w:eastAsia="es-ES_tradnl"/>
        </w:rPr>
      </w:pPr>
    </w:p>
    <w:p w14:paraId="19B66BBD" w14:textId="77777777" w:rsidR="00512B6B" w:rsidRPr="00115E3D" w:rsidRDefault="00512B6B" w:rsidP="00512B6B">
      <w:pPr>
        <w:spacing w:after="0" w:line="276" w:lineRule="auto"/>
        <w:jc w:val="both"/>
        <w:rPr>
          <w:rFonts w:ascii="Verdana" w:eastAsia="Calibri" w:hAnsi="Verdana" w:cs="Arial"/>
          <w:color w:val="000000" w:themeColor="text1"/>
          <w:lang w:val="es-ES" w:eastAsia="es-ES"/>
        </w:rPr>
      </w:pPr>
      <w:r w:rsidRPr="0081393C">
        <w:rPr>
          <w:rFonts w:ascii="Verdana" w:eastAsia="Calibri" w:hAnsi="Verdana" w:cs="Arial"/>
          <w:color w:val="000000" w:themeColor="text1"/>
          <w:lang w:val="es-ES" w:eastAsia="es-ES"/>
        </w:rPr>
        <w:t>Estimado señor Cabuya:</w:t>
      </w:r>
      <w:r w:rsidRPr="00115E3D">
        <w:rPr>
          <w:rFonts w:ascii="Verdana" w:eastAsia="Calibri" w:hAnsi="Verdana" w:cs="Arial"/>
          <w:color w:val="000000" w:themeColor="text1"/>
          <w:lang w:val="es-ES" w:eastAsia="es-ES"/>
        </w:rPr>
        <w:t xml:space="preserve"> </w:t>
      </w:r>
    </w:p>
    <w:p w14:paraId="064FE98F" w14:textId="77777777" w:rsidR="00512B6B" w:rsidRPr="00115E3D" w:rsidRDefault="00512B6B" w:rsidP="00512B6B">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42BFD9C2" w14:textId="77777777" w:rsidR="00512B6B" w:rsidRPr="00115E3D" w:rsidRDefault="00512B6B" w:rsidP="00512B6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6</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diciembre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5511B3E7" w14:textId="77777777" w:rsidR="00512B6B" w:rsidRPr="00115E3D" w:rsidRDefault="00512B6B" w:rsidP="00512B6B">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232F8940" w14:textId="77777777" w:rsidR="00512B6B" w:rsidRPr="00141269" w:rsidRDefault="00512B6B" w:rsidP="00512B6B">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r w:rsidRPr="00141269">
        <w:rPr>
          <w:rFonts w:ascii="Verdana" w:eastAsia="Century Gothic" w:hAnsi="Verdana" w:cs="Century Gothic"/>
          <w:i/>
          <w:iCs/>
          <w:color w:val="000000" w:themeColor="text1"/>
          <w:sz w:val="20"/>
          <w:szCs w:val="20"/>
          <w:lang w:val="es-ES"/>
        </w:rPr>
        <w:t>“</w:t>
      </w:r>
      <w:bookmarkEnd w:id="0"/>
      <w:r w:rsidRPr="0081393C">
        <w:rPr>
          <w:rFonts w:ascii="Verdana" w:eastAsia="Century Gothic" w:hAnsi="Verdana" w:cs="Century Gothic"/>
          <w:i/>
          <w:iCs/>
          <w:color w:val="000000" w:themeColor="text1"/>
          <w:sz w:val="20"/>
          <w:szCs w:val="20"/>
        </w:rPr>
        <w:t xml:space="preserve">Considerando que NO estoy de acuerdo con la respuesta emitida al radicado P20241204012178, con el radicado RS20241206016212, toda vez que, mi consulta SI es relativa a temas contractuales para “absolver consultas sobre la aplicación de normas de carácter general", reitero la consulta, ¿se pueden celebrar convenios para conferir funciones </w:t>
      </w:r>
      <w:r w:rsidRPr="0081393C">
        <w:rPr>
          <w:rFonts w:ascii="Verdana" w:eastAsia="Century Gothic" w:hAnsi="Verdana" w:cs="Century Gothic"/>
          <w:i/>
          <w:iCs/>
          <w:color w:val="000000" w:themeColor="text1"/>
          <w:sz w:val="20"/>
          <w:szCs w:val="20"/>
        </w:rPr>
        <w:lastRenderedPageBreak/>
        <w:t>administrativas a particulares (contemplados en los artículos 110 a 114 de la Ley 489 de 1998) de supervisión de contratos y convenios suscritos por una entidad estatal? Agradezco la atención y respuesta de fondo, al ser un tema competencia de Colombia Compra Eficiente.</w:t>
      </w:r>
      <w:r>
        <w:rPr>
          <w:rFonts w:ascii="Verdana" w:eastAsia="Century Gothic" w:hAnsi="Verdana" w:cs="Century Gothic"/>
          <w:i/>
          <w:iCs/>
          <w:color w:val="000000" w:themeColor="text1"/>
          <w:sz w:val="20"/>
          <w:szCs w:val="20"/>
        </w:rPr>
        <w:t>”</w:t>
      </w:r>
    </w:p>
    <w:p w14:paraId="71B1180A" w14:textId="77777777" w:rsidR="00512B6B" w:rsidRPr="00115E3D" w:rsidRDefault="00512B6B" w:rsidP="00512B6B">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31F435E3" w14:textId="77777777" w:rsidR="00512B6B" w:rsidRPr="00115E3D" w:rsidRDefault="00512B6B" w:rsidP="00512B6B">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0C421DB" w14:textId="77777777" w:rsidR="00512B6B" w:rsidRPr="00115E3D" w:rsidRDefault="00512B6B" w:rsidP="00512B6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7F53809B" w14:textId="77777777" w:rsidR="00512B6B" w:rsidRPr="00115E3D" w:rsidRDefault="00512B6B" w:rsidP="00512B6B">
      <w:pPr>
        <w:spacing w:after="0" w:line="276" w:lineRule="auto"/>
        <w:ind w:firstLine="709"/>
        <w:jc w:val="both"/>
        <w:rPr>
          <w:rFonts w:ascii="Verdana" w:eastAsia="Calibri" w:hAnsi="Verdana" w:cs="Arial"/>
          <w:color w:val="000000" w:themeColor="text1"/>
          <w:lang w:val="es-ES" w:eastAsia="es-ES"/>
        </w:rPr>
      </w:pPr>
    </w:p>
    <w:p w14:paraId="4179C766" w14:textId="77777777" w:rsidR="00512B6B" w:rsidRPr="00115E3D" w:rsidRDefault="00512B6B" w:rsidP="00512B6B">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7E37AA1" w14:textId="77777777" w:rsidR="00512B6B" w:rsidRPr="00115E3D" w:rsidRDefault="00512B6B" w:rsidP="00512B6B">
      <w:pPr>
        <w:tabs>
          <w:tab w:val="left" w:pos="426"/>
        </w:tabs>
        <w:spacing w:after="0" w:line="276" w:lineRule="auto"/>
        <w:jc w:val="both"/>
        <w:rPr>
          <w:rFonts w:ascii="Verdana" w:eastAsia="Century Gothic" w:hAnsi="Verdana" w:cs="Century Gothic"/>
          <w:color w:val="000000" w:themeColor="text1"/>
          <w:lang w:val="es-ES"/>
        </w:rPr>
      </w:pPr>
    </w:p>
    <w:p w14:paraId="6CE465E0" w14:textId="77777777" w:rsidR="00512B6B" w:rsidRDefault="00512B6B" w:rsidP="00512B6B">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el siguiente problema jurídico: </w:t>
      </w:r>
    </w:p>
    <w:p w14:paraId="11253817" w14:textId="77777777" w:rsidR="00512B6B" w:rsidRDefault="00512B6B" w:rsidP="00512B6B">
      <w:pPr>
        <w:spacing w:after="0" w:line="276" w:lineRule="auto"/>
        <w:jc w:val="both"/>
        <w:rPr>
          <w:rFonts w:ascii="Verdana" w:eastAsia="Century Gothic" w:hAnsi="Verdana" w:cs="Century Gothic"/>
          <w:color w:val="000000" w:themeColor="text1"/>
        </w:rPr>
      </w:pPr>
    </w:p>
    <w:p w14:paraId="5BE58B9E" w14:textId="77777777" w:rsidR="00512B6B" w:rsidRPr="00115E3D" w:rsidRDefault="00512B6B" w:rsidP="00512B6B">
      <w:p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i)</w:t>
      </w:r>
      <w:r w:rsidRPr="0053389E">
        <w:t xml:space="preserve"> </w:t>
      </w:r>
      <w:r w:rsidRPr="0053389E">
        <w:rPr>
          <w:rFonts w:ascii="Verdana" w:eastAsia="Century Gothic" w:hAnsi="Verdana" w:cs="Century Gothic"/>
          <w:color w:val="000000" w:themeColor="text1"/>
        </w:rPr>
        <w:t>¿Es posible que una entidad estatal celebre convenios con particulares para que estos asuman funciones administrativas de supervisión de contratos y convenios suscritos por la entidad, conforme a lo dispuesto en los artículos 110</w:t>
      </w:r>
      <w:r>
        <w:rPr>
          <w:rFonts w:ascii="Verdana" w:eastAsia="Century Gothic" w:hAnsi="Verdana" w:cs="Century Gothic"/>
          <w:color w:val="000000" w:themeColor="text1"/>
        </w:rPr>
        <w:t xml:space="preserve"> y siguientes</w:t>
      </w:r>
      <w:r w:rsidRPr="0053389E">
        <w:rPr>
          <w:rFonts w:ascii="Verdana" w:eastAsia="Century Gothic" w:hAnsi="Verdana" w:cs="Century Gothic"/>
          <w:color w:val="000000" w:themeColor="text1"/>
        </w:rPr>
        <w:t xml:space="preserve"> de la Ley 489 de 1998?</w:t>
      </w:r>
    </w:p>
    <w:p w14:paraId="102A0E42" w14:textId="77777777" w:rsidR="00512B6B" w:rsidRPr="00115E3D" w:rsidRDefault="00512B6B" w:rsidP="00512B6B">
      <w:pPr>
        <w:spacing w:after="0" w:line="276" w:lineRule="auto"/>
        <w:jc w:val="both"/>
        <w:rPr>
          <w:rFonts w:ascii="Verdana" w:eastAsia="Calibri" w:hAnsi="Verdana" w:cs="Arial"/>
          <w:color w:val="000000" w:themeColor="text1"/>
          <w:lang w:val="es-ES"/>
        </w:rPr>
      </w:pPr>
    </w:p>
    <w:p w14:paraId="3871B5FF" w14:textId="77777777" w:rsidR="00512B6B" w:rsidRPr="00115E3D" w:rsidRDefault="00512B6B" w:rsidP="00512B6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D5FBE11" w14:textId="77777777" w:rsidR="00512B6B" w:rsidRPr="00115E3D" w:rsidRDefault="00512B6B" w:rsidP="00512B6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2B6B" w:rsidRPr="00115E3D" w14:paraId="2E0F5E57" w14:textId="77777777" w:rsidTr="00EF5085">
        <w:tc>
          <w:tcPr>
            <w:tcW w:w="8828" w:type="dxa"/>
            <w:shd w:val="clear" w:color="auto" w:fill="auto"/>
          </w:tcPr>
          <w:p w14:paraId="5D0B887C" w14:textId="77777777" w:rsidR="00512B6B" w:rsidRPr="005E6F2A" w:rsidRDefault="00512B6B" w:rsidP="00EF5085">
            <w:pPr>
              <w:spacing w:line="276" w:lineRule="auto"/>
              <w:jc w:val="both"/>
              <w:rPr>
                <w:rFonts w:ascii="Verdana" w:eastAsia="Calibri" w:hAnsi="Verdana" w:cs="Arial"/>
                <w:color w:val="000000"/>
              </w:rPr>
            </w:pPr>
            <w:r w:rsidRPr="00867EA3">
              <w:rPr>
                <w:rFonts w:ascii="Verdana" w:eastAsia="Times New Roman" w:hAnsi="Verdana" w:cs="Arial"/>
                <w:color w:val="000000"/>
              </w:rPr>
              <w:t xml:space="preserve">Aunque el artículo 110 de la Ley 489 de 1998 establece que las entidades públicas pueden celebrar convenios con particulares para </w:t>
            </w:r>
            <w:r>
              <w:rPr>
                <w:rFonts w:ascii="Verdana" w:eastAsia="Times New Roman" w:hAnsi="Verdana" w:cs="Arial"/>
                <w:color w:val="000000"/>
              </w:rPr>
              <w:t xml:space="preserve">entregarles </w:t>
            </w:r>
            <w:r w:rsidRPr="00867EA3">
              <w:rPr>
                <w:rFonts w:ascii="Verdana" w:eastAsia="Times New Roman" w:hAnsi="Verdana" w:cs="Arial"/>
                <w:color w:val="000000"/>
              </w:rPr>
              <w:t xml:space="preserve">funciones administrativas, esto no se aplica a la supervisión de contratos </w:t>
            </w:r>
            <w:r w:rsidRPr="00867EA3">
              <w:rPr>
                <w:rFonts w:ascii="Verdana" w:eastAsia="Times New Roman" w:hAnsi="Verdana" w:cs="Arial"/>
                <w:color w:val="000000"/>
              </w:rPr>
              <w:lastRenderedPageBreak/>
              <w:t>estatales, ya que la Ley 1474 de 2011 establece normas específicas para esta actividad. En su artículo 83</w:t>
            </w:r>
            <w:r>
              <w:rPr>
                <w:rFonts w:ascii="Verdana" w:eastAsia="Times New Roman" w:hAnsi="Verdana" w:cs="Arial"/>
                <w:color w:val="000000"/>
              </w:rPr>
              <w:t xml:space="preserve">, </w:t>
            </w:r>
            <w:r w:rsidRPr="00867EA3">
              <w:rPr>
                <w:rFonts w:ascii="Verdana" w:eastAsia="Times New Roman" w:hAnsi="Verdana" w:cs="Arial"/>
                <w:color w:val="000000"/>
              </w:rPr>
              <w:t>dispone que la supervisión de los contratos debe ser ejercida por la misma entidad estatal, a través de un supervisor designado internamente, aunque en ciertos casos,</w:t>
            </w:r>
            <w:r w:rsidRPr="001827D1">
              <w:rPr>
                <w:rFonts w:ascii="Verdana" w:eastAsia="Calibri" w:hAnsi="Verdana" w:cs="Arial"/>
                <w:color w:val="000000"/>
              </w:rPr>
              <w:t xml:space="preserve"> </w:t>
            </w:r>
            <w:r>
              <w:rPr>
                <w:rFonts w:ascii="Verdana" w:eastAsia="Calibri" w:hAnsi="Verdana" w:cs="Arial"/>
                <w:color w:val="000000"/>
              </w:rPr>
              <w:t>s</w:t>
            </w:r>
            <w:r w:rsidRPr="001827D1">
              <w:rPr>
                <w:rFonts w:ascii="Verdana" w:eastAsia="Calibri" w:hAnsi="Verdana" w:cs="Arial"/>
                <w:color w:val="000000"/>
              </w:rPr>
              <w:t xml:space="preserve">i bien las entidades pueden contratar servicios de apoyo </w:t>
            </w:r>
            <w:r>
              <w:rPr>
                <w:rFonts w:ascii="Verdana" w:eastAsia="Calibri" w:hAnsi="Verdana" w:cs="Arial"/>
                <w:color w:val="000000"/>
              </w:rPr>
              <w:t>a la supervisión</w:t>
            </w:r>
            <w:r w:rsidRPr="001827D1">
              <w:rPr>
                <w:rFonts w:ascii="Verdana" w:eastAsia="Calibri" w:hAnsi="Verdana" w:cs="Arial"/>
                <w:color w:val="000000"/>
              </w:rPr>
              <w:t xml:space="preserve"> para facilitar el seguimiento del contrato, este apoyo no habilita a los contratistas para asumir las funciones de supervisión, que son competencia exclusiva del supervisor formalmente designado. La designación oportuna de un supervisor es fundamental para garantizar el cumplimiento de los principios de eficiencia, eficacia y responsabilidad en la contratación estatal. </w:t>
            </w:r>
          </w:p>
          <w:p w14:paraId="1E7FF60F" w14:textId="77777777" w:rsidR="00512B6B" w:rsidRPr="00671AB3" w:rsidRDefault="00512B6B" w:rsidP="00EF5085">
            <w:pPr>
              <w:spacing w:before="120" w:line="276" w:lineRule="auto"/>
              <w:ind w:firstLine="709"/>
              <w:jc w:val="both"/>
              <w:rPr>
                <w:rFonts w:ascii="Verdana" w:eastAsia="Times New Roman" w:hAnsi="Verdana" w:cs="Arial"/>
                <w:color w:val="000000"/>
              </w:rPr>
            </w:pPr>
            <w:r>
              <w:rPr>
                <w:rFonts w:ascii="Verdana" w:eastAsia="Calibri" w:hAnsi="Verdana" w:cs="Arial"/>
                <w:color w:val="000000"/>
              </w:rPr>
              <w:t xml:space="preserve">Por otra parte, la entidad, cuando requiere conocimientos especializados, también tiene la opción de contratar un </w:t>
            </w:r>
            <w:r w:rsidRPr="001827D1">
              <w:rPr>
                <w:rFonts w:ascii="Verdana" w:eastAsia="Calibri" w:hAnsi="Verdana" w:cs="Arial"/>
                <w:color w:val="000000"/>
              </w:rPr>
              <w:t>interventor, su papel es netamente técnico y operativo, limitado a revisar aspectos técnicos específicos en contratos complejos o especializados. Sin embargo, el interventor no puede reemplazar al supervisor, ya que son figuras diferentes y de acuerdo con la guía</w:t>
            </w:r>
            <w:r>
              <w:rPr>
                <w:rFonts w:ascii="Verdana" w:eastAsia="Calibri" w:hAnsi="Verdana" w:cs="Arial"/>
                <w:color w:val="000000"/>
              </w:rPr>
              <w:t xml:space="preserve"> de Colombia Compra Eficiente</w:t>
            </w:r>
            <w:r w:rsidRPr="001827D1">
              <w:rPr>
                <w:rFonts w:ascii="Verdana" w:eastAsia="Calibri" w:hAnsi="Verdana" w:cs="Arial"/>
                <w:color w:val="000000"/>
              </w:rPr>
              <w:t xml:space="preserve"> “la diferencia es que la interventoría es un seguimiento especializado y la supervisión no tiene el nivel de especialización propio de la interventoría”. Pero es posible que estas figuras concurran caso en el cual la entidad debe fijar con claridad el alcance y las responsabilidades del supervisor y del interventor para evitar dificultades.</w:t>
            </w:r>
            <w:r>
              <w:rPr>
                <w:rFonts w:ascii="Verdana" w:eastAsia="Calibri" w:hAnsi="Verdana" w:cs="Arial"/>
                <w:color w:val="000000"/>
              </w:rPr>
              <w:t xml:space="preserve"> </w:t>
            </w:r>
            <w:r>
              <w:rPr>
                <w:rFonts w:ascii="Verdana" w:eastAsia="Times New Roman" w:hAnsi="Verdana" w:cs="Arial"/>
                <w:color w:val="000000"/>
              </w:rPr>
              <w:t xml:space="preserve"> </w:t>
            </w:r>
          </w:p>
        </w:tc>
      </w:tr>
    </w:tbl>
    <w:p w14:paraId="1EA2EE9F" w14:textId="77777777" w:rsidR="00512B6B" w:rsidRPr="00115E3D" w:rsidRDefault="00512B6B" w:rsidP="00512B6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BA91A62" w14:textId="77777777" w:rsidR="00512B6B" w:rsidRPr="00115E3D" w:rsidRDefault="00512B6B" w:rsidP="00512B6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51660C86" w14:textId="77777777" w:rsidR="00512B6B" w:rsidRPr="00115E3D" w:rsidRDefault="00512B6B" w:rsidP="00512B6B">
      <w:pPr>
        <w:spacing w:after="0" w:line="276" w:lineRule="auto"/>
        <w:jc w:val="both"/>
        <w:rPr>
          <w:rFonts w:ascii="Verdana" w:eastAsia="Calibri" w:hAnsi="Verdana" w:cs="Arial"/>
          <w:color w:val="000000" w:themeColor="text1"/>
          <w:lang w:val="es-ES"/>
        </w:rPr>
      </w:pPr>
    </w:p>
    <w:p w14:paraId="52FB524F" w14:textId="77777777" w:rsidR="00512B6B" w:rsidRPr="00115E3D" w:rsidRDefault="00512B6B" w:rsidP="00512B6B">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0E91948B" w14:textId="77777777" w:rsidR="00512B6B" w:rsidRPr="00115E3D" w:rsidRDefault="00512B6B" w:rsidP="00512B6B">
      <w:pPr>
        <w:spacing w:after="0" w:line="276" w:lineRule="auto"/>
        <w:jc w:val="both"/>
        <w:rPr>
          <w:rFonts w:ascii="Verdana" w:eastAsia="Calibri" w:hAnsi="Verdana" w:cs="Arial"/>
          <w:color w:val="000000" w:themeColor="text1"/>
          <w:lang w:val="es-ES"/>
        </w:rPr>
      </w:pPr>
    </w:p>
    <w:p w14:paraId="01FC44EF" w14:textId="77777777" w:rsidR="00512B6B" w:rsidRPr="005A1E4E" w:rsidRDefault="00512B6B" w:rsidP="00512B6B">
      <w:pPr>
        <w:numPr>
          <w:ilvl w:val="0"/>
          <w:numId w:val="3"/>
        </w:numPr>
        <w:spacing w:line="276" w:lineRule="auto"/>
        <w:contextualSpacing/>
        <w:jc w:val="both"/>
        <w:rPr>
          <w:rFonts w:ascii="Verdana" w:eastAsia="Times New Roman" w:hAnsi="Verdana" w:cs="Arial"/>
          <w:lang w:val="es-ES_tradnl" w:eastAsia="es-MX"/>
        </w:rPr>
      </w:pPr>
      <w:bookmarkStart w:id="1" w:name="_Hlk173311098"/>
      <w:bookmarkStart w:id="2" w:name="_Hlk182495957"/>
      <w:r w:rsidRPr="005A1E4E">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5ED2D49" w14:textId="77777777" w:rsidR="00512B6B" w:rsidRPr="005A1E4E" w:rsidRDefault="00512B6B" w:rsidP="00512B6B">
      <w:pPr>
        <w:spacing w:line="276" w:lineRule="auto"/>
        <w:ind w:left="720"/>
        <w:contextualSpacing/>
        <w:jc w:val="both"/>
        <w:rPr>
          <w:rFonts w:ascii="Verdana" w:eastAsia="Times New Roman" w:hAnsi="Verdana" w:cs="Arial"/>
          <w:lang w:val="es-ES_tradnl" w:eastAsia="es-MX"/>
        </w:rPr>
      </w:pPr>
    </w:p>
    <w:p w14:paraId="36EF26A9" w14:textId="77777777" w:rsidR="00512B6B" w:rsidRPr="005A1E4E" w:rsidRDefault="00512B6B" w:rsidP="00512B6B">
      <w:pPr>
        <w:numPr>
          <w:ilvl w:val="0"/>
          <w:numId w:val="3"/>
        </w:numPr>
        <w:spacing w:line="276" w:lineRule="auto"/>
        <w:contextualSpacing/>
        <w:jc w:val="both"/>
        <w:textAlignment w:val="baseline"/>
        <w:rPr>
          <w:rFonts w:ascii="Verdana" w:eastAsia="Times New Roman" w:hAnsi="Verdana" w:cs="Arial"/>
          <w:lang w:val="es-ES_tradnl" w:eastAsia="es-MX"/>
        </w:rPr>
      </w:pPr>
      <w:r w:rsidRPr="005A1E4E">
        <w:rPr>
          <w:rFonts w:ascii="Verdana" w:eastAsia="Times New Roman" w:hAnsi="Verdana" w:cs="Arial"/>
          <w:lang w:val="es-ES_tradnl" w:eastAsia="es-MX"/>
        </w:rPr>
        <w:t xml:space="preserve">Las Leyes 1150 de 2007 y 1474 de 2011, complementan el régimen jurídico de la obligación de vigilar la correcta ejecución de los contratos estatales. En dichas normas se impone el debido proceso como principio </w:t>
      </w:r>
      <w:r w:rsidRPr="005A1E4E">
        <w:rPr>
          <w:rFonts w:ascii="Verdana" w:eastAsia="Times New Roman" w:hAnsi="Verdana" w:cs="Arial"/>
          <w:lang w:val="es-ES_tradnl" w:eastAsia="es-MX"/>
        </w:rPr>
        <w:lastRenderedPageBreak/>
        <w:t>rector en materia sancionatoria contractual, entre otros, para la imposición de multas y la decisión de hacer efectiva la cláusula penal, principio que se debe respetar en el ejercicio del control y vigilancia de la ejecución contractual</w:t>
      </w:r>
      <w:r w:rsidRPr="005A1E4E">
        <w:rPr>
          <w:rFonts w:ascii="Verdana" w:eastAsia="Times New Roman" w:hAnsi="Verdana" w:cs="Arial"/>
          <w:vertAlign w:val="superscript"/>
          <w:lang w:val="es-ES_tradnl" w:eastAsia="es-MX"/>
        </w:rPr>
        <w:footnoteReference w:id="2"/>
      </w:r>
      <w:r w:rsidRPr="005A1E4E">
        <w:rPr>
          <w:rFonts w:ascii="Verdana" w:eastAsia="Times New Roman" w:hAnsi="Verdana" w:cs="Arial"/>
          <w:lang w:val="es-ES_tradnl" w:eastAsia="es-MX"/>
        </w:rPr>
        <w:t>. También se establecen los límites de la responsabilidad del representante legal ante la delegación de sus funciones en materia contractual</w:t>
      </w:r>
      <w:r w:rsidRPr="005A1E4E">
        <w:rPr>
          <w:rFonts w:ascii="Verdana" w:eastAsia="Times New Roman" w:hAnsi="Verdana" w:cs="Arial"/>
          <w:vertAlign w:val="superscript"/>
          <w:lang w:val="es-ES_tradnl" w:eastAsia="es-MX"/>
        </w:rPr>
        <w:footnoteReference w:id="3"/>
      </w:r>
      <w:r w:rsidRPr="005A1E4E">
        <w:rPr>
          <w:rFonts w:ascii="Verdana" w:eastAsia="Times New Roman" w:hAnsi="Verdana" w:cs="Arial"/>
          <w:lang w:val="es-ES_tradnl" w:eastAsia="es-MX"/>
        </w:rPr>
        <w:t xml:space="preserve"> y se regula la supervisión y la interventoría de los contratos estatales</w:t>
      </w:r>
      <w:r w:rsidRPr="005A1E4E">
        <w:rPr>
          <w:rFonts w:ascii="Verdana" w:eastAsia="Times New Roman" w:hAnsi="Verdana" w:cs="Arial"/>
          <w:vertAlign w:val="superscript"/>
          <w:lang w:val="es-ES_tradnl" w:eastAsia="es-MX"/>
        </w:rPr>
        <w:footnoteReference w:id="4"/>
      </w:r>
      <w:r w:rsidRPr="005A1E4E">
        <w:rPr>
          <w:rFonts w:ascii="Verdana" w:eastAsia="Times New Roman" w:hAnsi="Verdana" w:cs="Arial"/>
          <w:lang w:val="es-ES_tradnl" w:eastAsia="es-MX"/>
        </w:rPr>
        <w:t>.</w:t>
      </w:r>
    </w:p>
    <w:p w14:paraId="0FAAE369" w14:textId="77777777" w:rsidR="00512B6B" w:rsidRPr="005A1E4E" w:rsidRDefault="00512B6B" w:rsidP="00512B6B">
      <w:pPr>
        <w:ind w:left="720"/>
        <w:contextualSpacing/>
        <w:rPr>
          <w:rFonts w:ascii="Verdana" w:eastAsia="Times New Roman" w:hAnsi="Verdana" w:cs="Arial"/>
          <w:lang w:val="es-ES_tradnl" w:eastAsia="es-MX"/>
        </w:rPr>
      </w:pPr>
    </w:p>
    <w:p w14:paraId="29E2E799" w14:textId="77777777" w:rsidR="00512B6B" w:rsidRPr="005A1E4E" w:rsidRDefault="00512B6B" w:rsidP="00512B6B">
      <w:pPr>
        <w:numPr>
          <w:ilvl w:val="0"/>
          <w:numId w:val="3"/>
        </w:numPr>
        <w:spacing w:before="120" w:after="120" w:line="276" w:lineRule="auto"/>
        <w:contextualSpacing/>
        <w:jc w:val="both"/>
        <w:textAlignment w:val="baseline"/>
        <w:rPr>
          <w:rFonts w:ascii="Verdana" w:eastAsia="Times New Roman" w:hAnsi="Verdana" w:cs="Arial"/>
          <w:lang w:val="es-ES_tradnl" w:eastAsia="es-MX"/>
        </w:rPr>
      </w:pPr>
      <w:r w:rsidRPr="005A1E4E">
        <w:rPr>
          <w:rFonts w:ascii="Verdana" w:eastAsia="Times New Roman" w:hAnsi="Verdana" w:cs="Arial"/>
          <w:lang w:val="es-ES_tradnl"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00DB91C2" w14:textId="77777777" w:rsidR="00512B6B" w:rsidRPr="005A1E4E" w:rsidRDefault="00512B6B" w:rsidP="00512B6B">
      <w:pPr>
        <w:spacing w:after="0"/>
        <w:ind w:left="709"/>
        <w:contextualSpacing/>
        <w:jc w:val="both"/>
        <w:rPr>
          <w:rFonts w:ascii="Verdana" w:eastAsia="Times New Roman" w:hAnsi="Verdana" w:cs="Arial"/>
          <w:lang w:val="es-ES_tradnl" w:eastAsia="es-MX"/>
        </w:rPr>
      </w:pPr>
    </w:p>
    <w:p w14:paraId="0273634C" w14:textId="77777777" w:rsidR="00512B6B" w:rsidRPr="005A1E4E" w:rsidRDefault="00512B6B" w:rsidP="00512B6B">
      <w:pPr>
        <w:spacing w:after="0" w:line="240" w:lineRule="auto"/>
        <w:ind w:left="1416" w:right="709"/>
        <w:contextualSpacing/>
        <w:jc w:val="both"/>
        <w:rPr>
          <w:rFonts w:ascii="Verdana" w:eastAsia="Times New Roman" w:hAnsi="Verdana" w:cs="Arial"/>
          <w:sz w:val="20"/>
          <w:szCs w:val="20"/>
          <w:lang w:val="es-ES_tradnl" w:eastAsia="es-MX"/>
        </w:rPr>
      </w:pPr>
      <w:bookmarkStart w:id="3" w:name="_Hlk178671999"/>
      <w:r w:rsidRPr="005A1E4E">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3"/>
      <w:r w:rsidRPr="005A1E4E">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5A1E4E">
        <w:rPr>
          <w:rFonts w:ascii="Verdana" w:eastAsia="Times New Roman" w:hAnsi="Verdana" w:cs="Arial"/>
          <w:sz w:val="20"/>
          <w:szCs w:val="20"/>
          <w:vertAlign w:val="superscript"/>
          <w:lang w:val="es-ES_tradnl" w:eastAsia="es-MX"/>
        </w:rPr>
        <w:footnoteReference w:id="5"/>
      </w:r>
      <w:r w:rsidRPr="005A1E4E">
        <w:rPr>
          <w:rFonts w:ascii="Verdana" w:eastAsia="Times New Roman" w:hAnsi="Verdana" w:cs="Arial"/>
          <w:sz w:val="20"/>
          <w:szCs w:val="20"/>
          <w:lang w:val="es-ES_tradnl" w:eastAsia="es-MX"/>
        </w:rPr>
        <w:t>.</w:t>
      </w:r>
    </w:p>
    <w:p w14:paraId="1FB50758" w14:textId="77777777" w:rsidR="00512B6B" w:rsidRPr="005A1E4E" w:rsidRDefault="00512B6B" w:rsidP="00512B6B">
      <w:pPr>
        <w:ind w:left="720"/>
        <w:contextualSpacing/>
        <w:rPr>
          <w:rFonts w:ascii="Verdana" w:eastAsia="Times New Roman" w:hAnsi="Verdana" w:cs="Arial"/>
          <w:lang w:val="es-ES_tradnl" w:eastAsia="es-MX"/>
        </w:rPr>
      </w:pPr>
    </w:p>
    <w:p w14:paraId="7EE78ACD" w14:textId="77777777" w:rsidR="00512B6B" w:rsidRPr="005A1E4E" w:rsidRDefault="00512B6B" w:rsidP="00512B6B">
      <w:pPr>
        <w:numPr>
          <w:ilvl w:val="0"/>
          <w:numId w:val="3"/>
        </w:numPr>
        <w:spacing w:after="0" w:line="276" w:lineRule="auto"/>
        <w:contextualSpacing/>
        <w:jc w:val="both"/>
        <w:textAlignment w:val="baseline"/>
        <w:rPr>
          <w:rFonts w:ascii="Verdana" w:eastAsia="Times New Roman" w:hAnsi="Verdana" w:cs="Arial"/>
          <w:lang w:val="es-ES" w:eastAsia="es-MX"/>
        </w:rPr>
      </w:pPr>
      <w:r w:rsidRPr="005A1E4E">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13C4C523" w14:textId="77777777" w:rsidR="00512B6B" w:rsidRPr="005A1E4E" w:rsidRDefault="00512B6B" w:rsidP="00512B6B">
      <w:pPr>
        <w:spacing w:after="0" w:line="276" w:lineRule="auto"/>
        <w:ind w:left="720"/>
        <w:contextualSpacing/>
        <w:jc w:val="both"/>
        <w:textAlignment w:val="baseline"/>
        <w:rPr>
          <w:rFonts w:ascii="Verdana" w:eastAsia="Times New Roman" w:hAnsi="Verdana" w:cs="Arial"/>
          <w:lang w:val="es-ES_tradnl" w:eastAsia="es-MX"/>
        </w:rPr>
      </w:pPr>
    </w:p>
    <w:p w14:paraId="7ECB85BC" w14:textId="77777777" w:rsidR="00512B6B" w:rsidRPr="005A1E4E" w:rsidRDefault="00512B6B" w:rsidP="00512B6B">
      <w:pPr>
        <w:spacing w:after="0" w:line="240" w:lineRule="auto"/>
        <w:ind w:left="1417" w:right="709"/>
        <w:jc w:val="both"/>
        <w:textAlignment w:val="baseline"/>
        <w:rPr>
          <w:rFonts w:ascii="Verdana" w:eastAsia="Times New Roman" w:hAnsi="Verdana" w:cs="Arial"/>
          <w:sz w:val="20"/>
          <w:szCs w:val="20"/>
          <w:lang w:val="es-ES" w:eastAsia="es-MX"/>
        </w:rPr>
      </w:pPr>
      <w:r w:rsidRPr="005A1E4E">
        <w:rPr>
          <w:rFonts w:ascii="Verdana" w:eastAsia="Times New Roman" w:hAnsi="Verdana" w:cs="Arial"/>
          <w:sz w:val="20"/>
          <w:szCs w:val="20"/>
          <w:lang w:val="es-ES" w:eastAsia="es-MX"/>
        </w:rPr>
        <w:lastRenderedPageBreak/>
        <w:t xml:space="preserve">“La supervisión consistirá en el seguimiento técnico, administrativo, financiero, contable, y jurídico </w:t>
      </w:r>
      <w:proofErr w:type="gramStart"/>
      <w:r w:rsidRPr="005A1E4E">
        <w:rPr>
          <w:rFonts w:ascii="Verdana" w:eastAsia="Times New Roman" w:hAnsi="Verdana" w:cs="Arial"/>
          <w:sz w:val="20"/>
          <w:szCs w:val="20"/>
          <w:lang w:val="es-ES" w:eastAsia="es-MX"/>
        </w:rPr>
        <w:t>que</w:t>
      </w:r>
      <w:proofErr w:type="gramEnd"/>
      <w:r w:rsidRPr="005A1E4E">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0D67C13" w14:textId="77777777" w:rsidR="00512B6B" w:rsidRPr="005A1E4E" w:rsidRDefault="00512B6B" w:rsidP="00512B6B">
      <w:pPr>
        <w:spacing w:after="0" w:line="240" w:lineRule="auto"/>
        <w:ind w:left="1418" w:right="709"/>
        <w:jc w:val="both"/>
        <w:textAlignment w:val="baseline"/>
        <w:rPr>
          <w:rFonts w:ascii="Verdana" w:eastAsia="Times New Roman" w:hAnsi="Verdana" w:cs="Arial"/>
          <w:sz w:val="20"/>
          <w:szCs w:val="20"/>
          <w:lang w:val="es-ES" w:eastAsia="es-MX"/>
        </w:rPr>
      </w:pPr>
      <w:r w:rsidRPr="005A1E4E">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5A1E4E">
        <w:rPr>
          <w:rFonts w:ascii="Verdana" w:eastAsia="Times New Roman" w:hAnsi="Verdana" w:cs="Arial"/>
          <w:sz w:val="20"/>
          <w:szCs w:val="20"/>
          <w:lang w:val="es-ES" w:eastAsia="es-MX"/>
        </w:rPr>
        <w:t>del mismo</w:t>
      </w:r>
      <w:proofErr w:type="gramEnd"/>
      <w:r w:rsidRPr="005A1E4E">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5A1E4E">
        <w:rPr>
          <w:rFonts w:ascii="Verdana" w:eastAsia="Times New Roman" w:hAnsi="Verdana" w:cs="Arial"/>
          <w:sz w:val="20"/>
          <w:szCs w:val="20"/>
          <w:vertAlign w:val="superscript"/>
          <w:lang w:val="es-ES" w:eastAsia="es-MX"/>
        </w:rPr>
        <w:footnoteReference w:id="6"/>
      </w:r>
      <w:r w:rsidRPr="005A1E4E">
        <w:rPr>
          <w:rFonts w:ascii="Verdana" w:eastAsia="Times New Roman" w:hAnsi="Verdana" w:cs="Arial"/>
          <w:sz w:val="20"/>
          <w:szCs w:val="20"/>
          <w:lang w:val="es-ES" w:eastAsia="es-MX"/>
        </w:rPr>
        <w:t>.</w:t>
      </w:r>
    </w:p>
    <w:p w14:paraId="1F62CBA2" w14:textId="77777777" w:rsidR="00512B6B" w:rsidRPr="005A1E4E" w:rsidRDefault="00512B6B" w:rsidP="00512B6B">
      <w:pPr>
        <w:spacing w:after="0" w:line="276" w:lineRule="auto"/>
        <w:ind w:left="720"/>
        <w:contextualSpacing/>
        <w:jc w:val="both"/>
        <w:textAlignment w:val="baseline"/>
        <w:rPr>
          <w:rFonts w:ascii="Verdana" w:eastAsia="Times New Roman" w:hAnsi="Verdana" w:cs="Arial"/>
          <w:lang w:val="es-ES" w:eastAsia="es-MX"/>
        </w:rPr>
      </w:pPr>
    </w:p>
    <w:p w14:paraId="2C2ABA74" w14:textId="77777777" w:rsidR="00512B6B" w:rsidRPr="005A1E4E" w:rsidRDefault="00512B6B" w:rsidP="00512B6B">
      <w:pPr>
        <w:numPr>
          <w:ilvl w:val="0"/>
          <w:numId w:val="3"/>
        </w:numPr>
        <w:tabs>
          <w:tab w:val="left" w:pos="709"/>
        </w:tabs>
        <w:spacing w:before="120" w:after="120" w:line="276" w:lineRule="auto"/>
        <w:contextualSpacing/>
        <w:jc w:val="both"/>
        <w:rPr>
          <w:rFonts w:ascii="Verdana" w:eastAsia="Times New Roman" w:hAnsi="Verdana" w:cs="Arial"/>
          <w:shd w:val="clear" w:color="auto" w:fill="FFFFFF"/>
          <w:lang w:val="es-ES"/>
        </w:rPr>
      </w:pPr>
      <w:r w:rsidRPr="005A1E4E">
        <w:rPr>
          <w:rFonts w:ascii="Verdana" w:eastAsia="Times New Roman" w:hAnsi="Verdana" w:cs="Arial"/>
          <w:bCs/>
          <w:lang w:val="es-ES"/>
        </w:rPr>
        <w:t>Sin perjuicio de lo anterior, según lo expresado por esta Agencia en el concepto No. 4201913000008240 del 20 de diciembre de 2019,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5A1E4E">
        <w:rPr>
          <w:rFonts w:ascii="Verdana" w:eastAsia="Times New Roman" w:hAnsi="Verdana" w:cs="Arial"/>
          <w:bCs/>
          <w:vertAlign w:val="superscript"/>
          <w:lang w:val="es-ES"/>
        </w:rPr>
        <w:footnoteReference w:id="7"/>
      </w:r>
      <w:r w:rsidRPr="005A1E4E">
        <w:rPr>
          <w:rFonts w:ascii="Verdana" w:eastAsia="Times New Roman" w:hAnsi="Verdana" w:cs="Arial"/>
          <w:bCs/>
          <w:lang w:val="es-ES"/>
        </w:rPr>
        <w:t xml:space="preserve">–; </w:t>
      </w:r>
      <w:proofErr w:type="spellStart"/>
      <w:r w:rsidRPr="005A1E4E">
        <w:rPr>
          <w:rFonts w:ascii="Verdana" w:eastAsia="Times New Roman" w:hAnsi="Verdana" w:cs="Arial"/>
          <w:bCs/>
          <w:lang w:val="es-ES"/>
        </w:rPr>
        <w:t>ii</w:t>
      </w:r>
      <w:proofErr w:type="spellEnd"/>
      <w:r w:rsidRPr="005A1E4E">
        <w:rPr>
          <w:rFonts w:ascii="Verdana" w:eastAsia="Times New Roman" w:hAnsi="Verdana" w:cs="Arial"/>
          <w:bCs/>
          <w:lang w:val="es-ES"/>
        </w:rPr>
        <w:t xml:space="preserve">) no requiere conocimientos tan especializados como la interventoría; </w:t>
      </w:r>
      <w:proofErr w:type="spellStart"/>
      <w:r w:rsidRPr="005A1E4E">
        <w:rPr>
          <w:rFonts w:ascii="Verdana" w:eastAsia="Times New Roman" w:hAnsi="Verdana" w:cs="Arial"/>
          <w:bCs/>
          <w:lang w:val="es-ES"/>
        </w:rPr>
        <w:t>iii</w:t>
      </w:r>
      <w:proofErr w:type="spellEnd"/>
      <w:r w:rsidRPr="005A1E4E">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5A1E4E">
        <w:rPr>
          <w:rFonts w:ascii="Verdana" w:eastAsia="Times New Roman" w:hAnsi="Verdana" w:cs="Arial"/>
          <w:bCs/>
          <w:lang w:val="es-ES"/>
        </w:rPr>
        <w:t>iv</w:t>
      </w:r>
      <w:proofErr w:type="spellEnd"/>
      <w:r w:rsidRPr="005A1E4E">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7E3FBB3E" w14:textId="77777777" w:rsidR="00512B6B" w:rsidRPr="005A1E4E" w:rsidRDefault="00512B6B" w:rsidP="00512B6B">
      <w:pPr>
        <w:tabs>
          <w:tab w:val="left" w:pos="709"/>
        </w:tabs>
        <w:spacing w:before="120" w:after="120" w:line="276" w:lineRule="auto"/>
        <w:contextualSpacing/>
        <w:jc w:val="both"/>
        <w:rPr>
          <w:rFonts w:ascii="Verdana" w:eastAsia="Times New Roman" w:hAnsi="Verdana" w:cs="Arial"/>
          <w:shd w:val="clear" w:color="auto" w:fill="FFFFFF"/>
          <w:lang w:val="es-ES"/>
        </w:rPr>
      </w:pPr>
      <w:r w:rsidRPr="005A1E4E">
        <w:rPr>
          <w:rFonts w:ascii="Verdana" w:eastAsia="Times New Roman" w:hAnsi="Verdana" w:cs="Arial"/>
          <w:bCs/>
          <w:lang w:val="es-ES"/>
        </w:rPr>
        <w:t xml:space="preserve"> </w:t>
      </w:r>
    </w:p>
    <w:p w14:paraId="6DFF482F" w14:textId="77777777" w:rsidR="00512B6B" w:rsidRPr="005A1E4E" w:rsidRDefault="00512B6B" w:rsidP="00512B6B">
      <w:pPr>
        <w:numPr>
          <w:ilvl w:val="0"/>
          <w:numId w:val="3"/>
        </w:numPr>
        <w:tabs>
          <w:tab w:val="left" w:pos="709"/>
        </w:tabs>
        <w:spacing w:before="120" w:after="120" w:line="276" w:lineRule="auto"/>
        <w:contextualSpacing/>
        <w:jc w:val="both"/>
        <w:rPr>
          <w:rFonts w:ascii="Verdana" w:eastAsia="Times New Roman" w:hAnsi="Verdana" w:cs="Arial"/>
          <w:bCs/>
          <w:lang w:val="es-ES"/>
        </w:rPr>
      </w:pPr>
      <w:r w:rsidRPr="005A1E4E">
        <w:rPr>
          <w:rFonts w:ascii="Verdana" w:eastAsia="Times New Roman" w:hAnsi="Verdana" w:cs="Arial"/>
          <w:bCs/>
          <w:lang w:val="es-ES"/>
        </w:rPr>
        <w:t xml:space="preserve">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 </w:t>
      </w:r>
    </w:p>
    <w:p w14:paraId="75812D48" w14:textId="77777777" w:rsidR="00512B6B" w:rsidRPr="005A1E4E" w:rsidRDefault="00512B6B" w:rsidP="00512B6B">
      <w:pPr>
        <w:tabs>
          <w:tab w:val="left" w:pos="709"/>
        </w:tabs>
        <w:spacing w:before="120" w:after="120" w:line="276" w:lineRule="auto"/>
        <w:contextualSpacing/>
        <w:jc w:val="both"/>
        <w:rPr>
          <w:rFonts w:ascii="Verdana" w:eastAsia="Times New Roman" w:hAnsi="Verdana" w:cs="Arial"/>
          <w:bCs/>
          <w:lang w:val="es-ES"/>
        </w:rPr>
      </w:pPr>
    </w:p>
    <w:p w14:paraId="77B306E2" w14:textId="77777777" w:rsidR="00512B6B" w:rsidRPr="005A1E4E" w:rsidRDefault="00512B6B" w:rsidP="00512B6B">
      <w:pPr>
        <w:numPr>
          <w:ilvl w:val="0"/>
          <w:numId w:val="3"/>
        </w:numPr>
        <w:tabs>
          <w:tab w:val="left" w:pos="709"/>
        </w:tabs>
        <w:spacing w:before="120" w:after="120" w:line="276" w:lineRule="auto"/>
        <w:contextualSpacing/>
        <w:jc w:val="both"/>
        <w:rPr>
          <w:rFonts w:ascii="Verdana" w:eastAsia="Times New Roman" w:hAnsi="Verdana" w:cs="Arial"/>
          <w:bCs/>
          <w:lang w:val="es-ES"/>
        </w:rPr>
      </w:pPr>
      <w:r w:rsidRPr="005A1E4E">
        <w:rPr>
          <w:rFonts w:ascii="Verdana" w:eastAsia="Times New Roman" w:hAnsi="Verdana" w:cs="Arial"/>
          <w:bCs/>
          <w:lang w:val="es-ES"/>
        </w:rPr>
        <w:t>Lo anterior postura se soporta del trámite del proyecto de ley que se convirtió en la Ley 1474 de 2011, inicialmente, establecía que “la supervisión de los contratos seria ejercida por un funcionario de la misma entidad estatal, o por un contratista de prestación de servicios profesionales […]”</w:t>
      </w:r>
      <w:r w:rsidRPr="005A1E4E">
        <w:rPr>
          <w:rFonts w:ascii="Verdana" w:eastAsia="Times New Roman" w:hAnsi="Verdana" w:cs="Arial"/>
          <w:vertAlign w:val="superscript"/>
          <w:lang w:val="es-ES"/>
        </w:rPr>
        <w:footnoteReference w:id="8"/>
      </w:r>
      <w:r w:rsidRPr="005A1E4E">
        <w:rPr>
          <w:rFonts w:ascii="Verdana" w:eastAsia="Times New Roman" w:hAnsi="Verdana" w:cs="Arial"/>
          <w:bCs/>
          <w:lang w:val="es-ES"/>
        </w:rPr>
        <w:t>. Sin embargo, también lo es que esa postura fue modificada para el segundo debate legislativo</w:t>
      </w:r>
      <w:r w:rsidRPr="005A1E4E">
        <w:rPr>
          <w:rFonts w:ascii="Verdana" w:eastAsia="Times New Roman" w:hAnsi="Verdana" w:cs="Arial"/>
          <w:vertAlign w:val="superscript"/>
          <w:lang w:val="es-ES"/>
        </w:rPr>
        <w:footnoteReference w:id="9"/>
      </w:r>
      <w:r w:rsidRPr="005A1E4E">
        <w:rPr>
          <w:rFonts w:ascii="Verdana" w:eastAsia="Times New Roman" w:hAnsi="Verdana" w:cs="Arial"/>
          <w:bCs/>
          <w:lang w:val="es-ES"/>
        </w:rPr>
        <w:t xml:space="preserve"> y en la ponencia registrada para tercer debate</w:t>
      </w:r>
      <w:r w:rsidRPr="005A1E4E">
        <w:rPr>
          <w:rFonts w:ascii="Verdana" w:eastAsia="Times New Roman" w:hAnsi="Verdana" w:cs="Arial"/>
          <w:vertAlign w:val="superscript"/>
          <w:lang w:val="es-ES"/>
        </w:rPr>
        <w:footnoteReference w:id="10"/>
      </w:r>
      <w:r w:rsidRPr="005A1E4E">
        <w:rPr>
          <w:rFonts w:ascii="Verdana" w:eastAsia="Times New Roman" w:hAnsi="Verdana" w:cs="Arial"/>
          <w:bCs/>
          <w:lang w:val="es-ES"/>
        </w:rPr>
        <w:t>, en donde se estableció que “la supervisión de los contratos ser[</w:t>
      </w:r>
      <w:proofErr w:type="spellStart"/>
      <w:r w:rsidRPr="005A1E4E">
        <w:rPr>
          <w:rFonts w:ascii="Verdana" w:eastAsia="Times New Roman" w:hAnsi="Verdana" w:cs="Arial"/>
          <w:bCs/>
          <w:lang w:val="es-ES"/>
        </w:rPr>
        <w:t>ía</w:t>
      </w:r>
      <w:proofErr w:type="spellEnd"/>
      <w:r w:rsidRPr="005A1E4E">
        <w:rPr>
          <w:rFonts w:ascii="Verdana" w:eastAsia="Times New Roman" w:hAnsi="Verdana" w:cs="Arial"/>
          <w:bCs/>
          <w:lang w:val="es-ES"/>
        </w:rPr>
        <w:t>] ejercida por un funcionario de la misma entidad estatal”. Incluso, la versión que finalmente se aprobó en cuarto debate</w:t>
      </w:r>
      <w:r w:rsidRPr="005A1E4E">
        <w:rPr>
          <w:rFonts w:ascii="Verdana" w:eastAsia="Times New Roman" w:hAnsi="Verdana" w:cs="Arial"/>
          <w:vertAlign w:val="superscript"/>
          <w:lang w:val="es-ES"/>
        </w:rPr>
        <w:footnoteReference w:id="11"/>
      </w:r>
      <w:r w:rsidRPr="005A1E4E">
        <w:rPr>
          <w:rFonts w:ascii="Verdana" w:eastAsia="Times New Roman" w:hAnsi="Verdana" w:cs="Arial"/>
          <w:bCs/>
          <w:lang w:val="es-ES"/>
        </w:rPr>
        <w:t>, que fue acogida por ambas cámaras legislativas</w:t>
      </w:r>
      <w:r w:rsidRPr="005A1E4E">
        <w:rPr>
          <w:rFonts w:ascii="Verdana" w:eastAsia="Times New Roman" w:hAnsi="Verdana" w:cs="Arial"/>
          <w:vertAlign w:val="superscript"/>
          <w:lang w:val="es-ES"/>
        </w:rPr>
        <w:footnoteReference w:id="12"/>
      </w:r>
      <w:r w:rsidRPr="005A1E4E">
        <w:rPr>
          <w:rFonts w:ascii="Verdana" w:eastAsia="Times New Roman" w:hAnsi="Verdana" w:cs="Arial"/>
          <w:bCs/>
          <w:lang w:val="es-ES"/>
        </w:rPr>
        <w:t xml:space="preserve"> luego del correspondiente trámite de conciliación</w:t>
      </w:r>
      <w:r w:rsidRPr="005A1E4E">
        <w:rPr>
          <w:rFonts w:ascii="Verdana" w:eastAsia="Times New Roman" w:hAnsi="Verdana" w:cs="Arial"/>
          <w:vertAlign w:val="superscript"/>
          <w:lang w:val="es-ES"/>
        </w:rPr>
        <w:footnoteReference w:id="13"/>
      </w:r>
      <w:r w:rsidRPr="005A1E4E">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2A1C0350" w14:textId="77777777" w:rsidR="00512B6B" w:rsidRPr="005A1E4E" w:rsidRDefault="00512B6B" w:rsidP="00512B6B">
      <w:pPr>
        <w:tabs>
          <w:tab w:val="left" w:pos="709"/>
        </w:tabs>
        <w:spacing w:before="120" w:after="120" w:line="276" w:lineRule="auto"/>
        <w:ind w:left="720"/>
        <w:contextualSpacing/>
        <w:jc w:val="both"/>
        <w:rPr>
          <w:rFonts w:ascii="Verdana" w:eastAsia="Times New Roman" w:hAnsi="Verdana" w:cs="Arial"/>
          <w:bCs/>
          <w:lang w:val="es-ES"/>
        </w:rPr>
      </w:pPr>
    </w:p>
    <w:p w14:paraId="0FB7ED9B" w14:textId="77777777" w:rsidR="00512B6B" w:rsidRPr="005A1E4E" w:rsidRDefault="00512B6B" w:rsidP="00512B6B">
      <w:pPr>
        <w:numPr>
          <w:ilvl w:val="0"/>
          <w:numId w:val="3"/>
        </w:numPr>
        <w:tabs>
          <w:tab w:val="left" w:pos="709"/>
        </w:tabs>
        <w:spacing w:before="120" w:after="120" w:line="276" w:lineRule="auto"/>
        <w:contextualSpacing/>
        <w:jc w:val="both"/>
        <w:rPr>
          <w:rFonts w:ascii="Verdana" w:eastAsia="Times New Roman" w:hAnsi="Verdana" w:cs="Arial"/>
          <w:bCs/>
          <w:lang w:val="es-ES"/>
        </w:rPr>
      </w:pPr>
      <w:r w:rsidRPr="005A1E4E">
        <w:rPr>
          <w:rFonts w:ascii="Verdana" w:eastAsia="Times New Roman" w:hAnsi="Verdana" w:cs="Arial"/>
          <w:bCs/>
          <w:lang w:val="es-ES"/>
        </w:rPr>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5A1E4E">
        <w:rPr>
          <w:rFonts w:ascii="Verdana" w:eastAsia="Times New Roman" w:hAnsi="Verdana" w:cs="Arial"/>
          <w:bCs/>
          <w:lang w:val="es-ES"/>
        </w:rPr>
        <w:footnoteReference w:id="14"/>
      </w:r>
      <w:r w:rsidRPr="005A1E4E">
        <w:rPr>
          <w:rFonts w:ascii="Verdana" w:eastAsia="Times New Roman" w:hAnsi="Verdana" w:cs="Arial"/>
          <w:bCs/>
          <w:lang w:val="es-ES"/>
        </w:rPr>
        <w:t>, en providencia del 12 de diciembre de 2014, consideró que la calidad de supervisor la tienen los funcionarios de la entidad y no los contratistas. Esto, en los siguientes términos:</w:t>
      </w:r>
    </w:p>
    <w:p w14:paraId="1E23091C" w14:textId="77777777" w:rsidR="00512B6B" w:rsidRPr="005A1E4E" w:rsidRDefault="00512B6B" w:rsidP="00512B6B">
      <w:pPr>
        <w:tabs>
          <w:tab w:val="left" w:pos="709"/>
        </w:tabs>
        <w:spacing w:before="120" w:after="120" w:line="276" w:lineRule="auto"/>
        <w:contextualSpacing/>
        <w:jc w:val="both"/>
        <w:rPr>
          <w:rFonts w:ascii="Verdana" w:eastAsia="Times New Roman" w:hAnsi="Verdana" w:cs="Arial"/>
          <w:bCs/>
          <w:lang w:val="es-ES"/>
        </w:rPr>
      </w:pPr>
    </w:p>
    <w:p w14:paraId="41213AAF" w14:textId="77777777" w:rsidR="00512B6B" w:rsidRPr="00176C0C" w:rsidRDefault="00512B6B" w:rsidP="00512B6B">
      <w:pPr>
        <w:spacing w:after="0" w:line="240" w:lineRule="auto"/>
        <w:ind w:left="1417" w:right="709"/>
        <w:jc w:val="both"/>
        <w:textAlignment w:val="baseline"/>
        <w:rPr>
          <w:rFonts w:ascii="Verdana" w:eastAsia="Times New Roman" w:hAnsi="Verdana" w:cs="Arial"/>
          <w:sz w:val="20"/>
          <w:szCs w:val="20"/>
          <w:lang w:val="es-ES" w:eastAsia="es-MX"/>
        </w:rPr>
      </w:pPr>
      <w:r w:rsidRPr="005A1E4E">
        <w:rPr>
          <w:rFonts w:ascii="Verdana" w:eastAsia="Times New Roman" w:hAnsi="Verdana" w:cs="Arial"/>
          <w:color w:val="000000"/>
          <w:sz w:val="20"/>
          <w:szCs w:val="20"/>
          <w:lang w:val="es-MX"/>
        </w:rPr>
        <w:t>“</w:t>
      </w:r>
      <w:r w:rsidRPr="00176C0C">
        <w:rPr>
          <w:rFonts w:ascii="Verdana" w:eastAsia="Times New Roman" w:hAnsi="Verdana" w:cs="Arial"/>
          <w:sz w:val="20"/>
          <w:szCs w:val="20"/>
          <w:lang w:val="es-ES" w:eastAsia="es-MX"/>
        </w:rPr>
        <w:t xml:space="preserve">De entrada, debe advertirse que la supervisión de los contratos es un deber de las entidades públicas (artículo 4 de la Ley 80 de 1993), que bien pueden realizarla a través de supervisores o </w:t>
      </w:r>
      <w:r w:rsidRPr="00176C0C">
        <w:rPr>
          <w:rFonts w:ascii="Verdana" w:eastAsia="Times New Roman" w:hAnsi="Verdana" w:cs="Arial"/>
          <w:sz w:val="20"/>
          <w:szCs w:val="20"/>
          <w:lang w:val="es-ES" w:eastAsia="es-MX"/>
        </w:rPr>
        <w:lastRenderedPageBreak/>
        <w:t xml:space="preserve">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32D5184D" w14:textId="77777777" w:rsidR="00512B6B" w:rsidRPr="00176C0C" w:rsidRDefault="00512B6B" w:rsidP="00512B6B">
      <w:pPr>
        <w:spacing w:after="0" w:line="240" w:lineRule="auto"/>
        <w:ind w:left="1417" w:right="709"/>
        <w:jc w:val="both"/>
        <w:textAlignment w:val="baseline"/>
        <w:rPr>
          <w:rFonts w:ascii="Verdana" w:eastAsia="Times New Roman" w:hAnsi="Verdana" w:cs="Arial"/>
          <w:sz w:val="20"/>
          <w:szCs w:val="20"/>
          <w:lang w:val="es-ES" w:eastAsia="es-MX"/>
        </w:rPr>
      </w:pPr>
      <w:r w:rsidRPr="00176C0C">
        <w:rPr>
          <w:rFonts w:ascii="Verdana" w:eastAsia="Times New Roman" w:hAnsi="Verdana" w:cs="Arial"/>
          <w:sz w:val="20"/>
          <w:szCs w:val="20"/>
          <w:lang w:val="es-ES" w:eastAsia="es-MX"/>
        </w:rPr>
        <w:t>[…]</w:t>
      </w:r>
    </w:p>
    <w:p w14:paraId="34121BD0" w14:textId="77777777" w:rsidR="00512B6B" w:rsidRDefault="00512B6B" w:rsidP="00512B6B">
      <w:pPr>
        <w:spacing w:after="0" w:line="240" w:lineRule="auto"/>
        <w:ind w:left="1417" w:right="709"/>
        <w:jc w:val="both"/>
        <w:textAlignment w:val="baseline"/>
        <w:rPr>
          <w:rFonts w:ascii="Verdana" w:eastAsia="Times New Roman" w:hAnsi="Verdana" w:cs="Arial"/>
          <w:sz w:val="20"/>
          <w:szCs w:val="20"/>
          <w:lang w:val="es-ES" w:eastAsia="es-MX"/>
        </w:rPr>
      </w:pPr>
      <w:r w:rsidRPr="00176C0C">
        <w:rPr>
          <w:rFonts w:ascii="Verdana" w:eastAsia="Times New Roman" w:hAnsi="Verdana" w:cs="Arial"/>
          <w:sz w:val="20"/>
          <w:szCs w:val="20"/>
          <w:lang w:val="es-ES" w:eastAsia="es-MX"/>
        </w:rPr>
        <w:t>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selección. Por su parte, se hablará de interventor cuando se trate de una vigilancia externa o contratada</w:t>
      </w:r>
      <w:r w:rsidRPr="00C6245E">
        <w:rPr>
          <w:rFonts w:ascii="Verdana" w:eastAsia="Times New Roman" w:hAnsi="Verdana" w:cs="Arial"/>
          <w:sz w:val="20"/>
          <w:szCs w:val="20"/>
          <w:vertAlign w:val="superscript"/>
          <w:lang w:val="es-ES" w:eastAsia="es-MX"/>
        </w:rPr>
        <w:footnoteReference w:id="15"/>
      </w:r>
      <w:r w:rsidRPr="00176C0C">
        <w:rPr>
          <w:rFonts w:ascii="Verdana" w:eastAsia="Times New Roman" w:hAnsi="Verdana" w:cs="Arial"/>
          <w:sz w:val="20"/>
          <w:szCs w:val="20"/>
          <w:lang w:val="es-ES" w:eastAsia="es-MX"/>
        </w:rPr>
        <w:t>.”</w:t>
      </w:r>
    </w:p>
    <w:p w14:paraId="35C1CC3C" w14:textId="77777777" w:rsidR="00512B6B" w:rsidRPr="00176C0C" w:rsidRDefault="00512B6B" w:rsidP="00512B6B">
      <w:pPr>
        <w:spacing w:after="0" w:line="240" w:lineRule="auto"/>
        <w:ind w:left="1417" w:right="709"/>
        <w:jc w:val="both"/>
        <w:textAlignment w:val="baseline"/>
        <w:rPr>
          <w:rFonts w:ascii="Verdana" w:eastAsia="Times New Roman" w:hAnsi="Verdana" w:cs="Arial"/>
          <w:sz w:val="20"/>
          <w:szCs w:val="20"/>
          <w:lang w:val="es-ES" w:eastAsia="es-MX"/>
        </w:rPr>
      </w:pPr>
    </w:p>
    <w:p w14:paraId="66C4F32F" w14:textId="77777777" w:rsidR="00512B6B" w:rsidRPr="005A1E4E" w:rsidRDefault="00512B6B" w:rsidP="00512B6B">
      <w:pPr>
        <w:numPr>
          <w:ilvl w:val="0"/>
          <w:numId w:val="3"/>
        </w:numPr>
        <w:spacing w:before="120" w:line="276" w:lineRule="auto"/>
        <w:contextualSpacing/>
        <w:jc w:val="both"/>
        <w:rPr>
          <w:rFonts w:ascii="Verdana" w:eastAsia="Times New Roman" w:hAnsi="Verdana" w:cs="Arial"/>
          <w:shd w:val="clear" w:color="auto" w:fill="FFFFFF"/>
          <w:lang w:val="es-ES"/>
        </w:rPr>
      </w:pPr>
      <w:r w:rsidRPr="005A1E4E">
        <w:rPr>
          <w:rFonts w:ascii="Verdana" w:eastAsia="Times New Roman" w:hAnsi="Verdana" w:cs="Arial"/>
          <w:shd w:val="clear" w:color="auto" w:fill="FFFFFF"/>
          <w:lang w:val="es-ES"/>
        </w:rPr>
        <w:t>En ese mismo sentido, como se expuso previamente, la “Guía para el ejercicio de las funciones de supervisión e interventoría de los contratos suscritos por las Entidades Estatales”</w:t>
      </w:r>
      <w:r>
        <w:rPr>
          <w:rFonts w:ascii="Verdana" w:eastAsia="Times New Roman" w:hAnsi="Verdana" w:cs="Arial"/>
          <w:shd w:val="clear" w:color="auto" w:fill="FFFFFF"/>
          <w:lang w:val="es-ES"/>
        </w:rPr>
        <w:t xml:space="preserve"> de Colombia Compra Eficiente</w:t>
      </w:r>
      <w:r w:rsidRPr="005A1E4E">
        <w:rPr>
          <w:rFonts w:ascii="Verdana" w:eastAsia="Times New Roman" w:hAnsi="Verdana" w:cs="Arial"/>
          <w:shd w:val="clear" w:color="auto" w:fill="FFFFFF"/>
          <w:lang w:val="es-ES"/>
        </w:rPr>
        <w:t xml:space="preserve"> consagró que la supervisión del contrato estatal corresponde al funcionario público de la entidad. Sin embargo, dicha guía reiteró que las </w:t>
      </w:r>
      <w:r w:rsidRPr="005A1E4E">
        <w:rPr>
          <w:rFonts w:ascii="Verdana" w:eastAsia="Times New Roman" w:hAnsi="Verdana" w:cs="Arial"/>
          <w:shd w:val="clear" w:color="auto" w:fill="FFFFFF"/>
          <w:lang w:val="es-ES"/>
        </w:rPr>
        <w:lastRenderedPageBreak/>
        <w:t>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Así, por ejemplo, el contratista de prestación de servicios podrá revisar los entregables, productos, en general, los requisitos para el pago y darle su concepto al supervisor. De todos modos, quien autorizará el pago ante la Entidad Estatal será el funcionario sobre quien recae la supervisión y el respectivo ordenador del gasto de la entidad.</w:t>
      </w:r>
    </w:p>
    <w:p w14:paraId="2CB246AA" w14:textId="77777777" w:rsidR="00512B6B" w:rsidRPr="005A1E4E" w:rsidRDefault="00512B6B" w:rsidP="00512B6B">
      <w:pPr>
        <w:spacing w:before="120" w:line="276" w:lineRule="auto"/>
        <w:ind w:left="720"/>
        <w:contextualSpacing/>
        <w:jc w:val="both"/>
        <w:rPr>
          <w:rFonts w:ascii="Verdana" w:eastAsia="Times New Roman" w:hAnsi="Verdana" w:cs="Arial"/>
          <w:shd w:val="clear" w:color="auto" w:fill="FFFFFF"/>
          <w:lang w:val="es-ES"/>
        </w:rPr>
      </w:pPr>
    </w:p>
    <w:p w14:paraId="4E4DB383" w14:textId="77777777" w:rsidR="00512B6B" w:rsidRPr="005A1E4E" w:rsidRDefault="00512B6B" w:rsidP="00512B6B">
      <w:pPr>
        <w:numPr>
          <w:ilvl w:val="0"/>
          <w:numId w:val="3"/>
        </w:numPr>
        <w:spacing w:before="120" w:line="276" w:lineRule="auto"/>
        <w:contextualSpacing/>
        <w:jc w:val="both"/>
        <w:rPr>
          <w:rFonts w:ascii="Verdana" w:eastAsia="Times New Roman" w:hAnsi="Verdana" w:cs="Arial"/>
          <w:shd w:val="clear" w:color="auto" w:fill="FFFFFF"/>
          <w:lang w:val="es-ES"/>
        </w:rPr>
      </w:pPr>
      <w:r w:rsidRPr="005A1E4E">
        <w:rPr>
          <w:rFonts w:ascii="Verdana" w:eastAsia="Times New Roman" w:hAnsi="Verdana" w:cs="Arial"/>
          <w:shd w:val="clear" w:color="auto" w:fill="FFFFFF"/>
          <w:lang w:val="es-ES"/>
        </w:rPr>
        <w:t xml:space="preserve">Además, la mencionada guía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mencionada Guía, los supervisores e intervenciones tienen funciones generales como: </w:t>
      </w:r>
    </w:p>
    <w:p w14:paraId="15EC7492" w14:textId="77777777" w:rsidR="00512B6B" w:rsidRPr="005A1E4E" w:rsidRDefault="00512B6B" w:rsidP="00512B6B">
      <w:pPr>
        <w:spacing w:line="276" w:lineRule="auto"/>
        <w:ind w:firstLine="709"/>
        <w:jc w:val="both"/>
        <w:rPr>
          <w:rFonts w:ascii="Century Gothic" w:eastAsia="Times New Roman" w:hAnsi="Century Gothic" w:cs="Arial"/>
          <w:lang w:val="es-ES"/>
        </w:rPr>
      </w:pPr>
    </w:p>
    <w:p w14:paraId="2B40BF8F"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Pr>
          <w:rFonts w:ascii="Verdana" w:eastAsia="Times New Roman" w:hAnsi="Verdana" w:cs="Arial"/>
          <w:color w:val="000000"/>
          <w:sz w:val="20"/>
          <w:szCs w:val="20"/>
          <w:lang w:val="es-MX"/>
        </w:rPr>
        <w:t>“</w:t>
      </w:r>
      <w:r w:rsidRPr="005A1E4E">
        <w:rPr>
          <w:rFonts w:ascii="Verdana" w:eastAsia="Times New Roman" w:hAnsi="Verdana" w:cs="Arial"/>
          <w:color w:val="000000"/>
          <w:sz w:val="20"/>
          <w:szCs w:val="20"/>
          <w:lang w:val="es-MX"/>
        </w:rPr>
        <w:t>Apoyar el logro de los objetivos contractuales.</w:t>
      </w:r>
    </w:p>
    <w:p w14:paraId="6E01A577"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Velar por el cumplimiento del contrato en términos de plazos, calidades, cantidades y adecuada ejecución de los recursos del contrato.</w:t>
      </w:r>
    </w:p>
    <w:p w14:paraId="5035C23C"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Mantener en contacto a las partes del contrato.</w:t>
      </w:r>
    </w:p>
    <w:p w14:paraId="39696950"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 xml:space="preserve">Evitar la generación de controversias y propender por su rápida solución. </w:t>
      </w:r>
    </w:p>
    <w:p w14:paraId="1BFA0306"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Solicitar informes, llevar a cabo reuniones, integrar comités y desarrollar otras herramientas encaminadas a verificar la adecuada ejecución del contrato.</w:t>
      </w:r>
    </w:p>
    <w:p w14:paraId="6152B24D"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 xml:space="preserve">Llevar a cabo las labores de monitoreo y control de riesgos que se le asignen, en coordinación con el área responsable de cada riesgo incluido en el mapa correspondiente, así como la identificación y tratamiento de los riesgos que puedan surgir durante las diversas etapas del contrato. </w:t>
      </w:r>
    </w:p>
    <w:p w14:paraId="3C8F2BDC"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lastRenderedPageBreak/>
        <w:t>Aprobar o rechazar por escrito, de forma oportuna y motivada la entrega de los bienes o servicios, cuando éstos no se ajustan a lo requerido en el contrato, especificaciones técnicas, condiciones y/o calidades acordadas.</w:t>
      </w:r>
    </w:p>
    <w:p w14:paraId="5B926260"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Suscribir las actas que se generen durante la ejecución del contrato para dejar documentadas diversas situaciones y entre las que se encuentran: actas de actas parciales de avance, actas parciales de recibo y actas de recibo final.</w:t>
      </w:r>
    </w:p>
    <w:p w14:paraId="19D4D358"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 xml:space="preserve">Informar a la Entidad Estatal de hechos o circunstancias que puedan constituir actos de corrupción tipificados como conductas punibles, o que pongan en riesgo el cumplimiento del contrato; así como entregar los soportes necesarios para que la Entidad Estatal desarrolle las actividades correspondientes. </w:t>
      </w:r>
    </w:p>
    <w:p w14:paraId="14BCA1FA" w14:textId="77777777" w:rsidR="00512B6B"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r w:rsidRPr="005A1E4E">
        <w:rPr>
          <w:rFonts w:ascii="Verdana" w:eastAsia="Times New Roman" w:hAnsi="Verdana" w:cs="Arial"/>
          <w:color w:val="000000"/>
          <w:sz w:val="20"/>
          <w:szCs w:val="20"/>
          <w:lang w:val="es-MX"/>
        </w:rPr>
        <w:t>Informar a la Entidad Estatal cuando se presente incumplimiento contractual; así como entregar los soportes necesarios para que la Entidad Estatal desarrolle las actividades correspondientes</w:t>
      </w:r>
      <w:r>
        <w:rPr>
          <w:rFonts w:ascii="Verdana" w:eastAsia="Times New Roman" w:hAnsi="Verdana" w:cs="Arial"/>
          <w:color w:val="000000"/>
          <w:sz w:val="20"/>
          <w:szCs w:val="20"/>
          <w:lang w:val="es-MX"/>
        </w:rPr>
        <w:t>”.</w:t>
      </w:r>
      <w:r w:rsidRPr="005A1E4E">
        <w:rPr>
          <w:rFonts w:ascii="Verdana" w:eastAsia="Times New Roman" w:hAnsi="Verdana" w:cs="Arial"/>
          <w:color w:val="000000"/>
          <w:sz w:val="20"/>
          <w:szCs w:val="20"/>
          <w:lang w:val="es-MX"/>
        </w:rPr>
        <w:t xml:space="preserve"> </w:t>
      </w:r>
    </w:p>
    <w:p w14:paraId="239EA07B" w14:textId="77777777" w:rsidR="00512B6B" w:rsidRPr="005A1E4E" w:rsidRDefault="00512B6B" w:rsidP="00512B6B">
      <w:pPr>
        <w:spacing w:after="0" w:line="240" w:lineRule="auto"/>
        <w:ind w:left="1417" w:right="709"/>
        <w:jc w:val="both"/>
        <w:textAlignment w:val="baseline"/>
        <w:rPr>
          <w:rFonts w:ascii="Verdana" w:eastAsia="Times New Roman" w:hAnsi="Verdana" w:cs="Arial"/>
          <w:color w:val="000000"/>
          <w:sz w:val="20"/>
          <w:szCs w:val="20"/>
          <w:lang w:val="es-MX"/>
        </w:rPr>
      </w:pPr>
    </w:p>
    <w:p w14:paraId="177F4C0D" w14:textId="77777777" w:rsidR="00512B6B" w:rsidRPr="005A1E4E" w:rsidRDefault="00512B6B" w:rsidP="00512B6B">
      <w:pPr>
        <w:numPr>
          <w:ilvl w:val="0"/>
          <w:numId w:val="3"/>
        </w:numPr>
        <w:spacing w:before="120" w:line="276" w:lineRule="auto"/>
        <w:contextualSpacing/>
        <w:jc w:val="both"/>
        <w:rPr>
          <w:rFonts w:ascii="Verdana" w:eastAsia="Times New Roman" w:hAnsi="Verdana" w:cs="Arial"/>
          <w:shd w:val="clear" w:color="auto" w:fill="FFFFFF"/>
          <w:lang w:val="es-ES"/>
        </w:rPr>
      </w:pPr>
      <w:r w:rsidRPr="005A1E4E">
        <w:rPr>
          <w:rFonts w:ascii="Verdana" w:eastAsia="Times New Roman" w:hAnsi="Verdana" w:cs="Arial"/>
          <w:shd w:val="clear" w:color="auto" w:fill="FFFFFF"/>
          <w:lang w:val="es-ES"/>
        </w:rPr>
        <w:t>Según se desprende del apartado en cita,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p>
    <w:p w14:paraId="09955F80" w14:textId="77777777" w:rsidR="00512B6B" w:rsidRPr="005A1E4E" w:rsidRDefault="00512B6B" w:rsidP="00512B6B">
      <w:pPr>
        <w:ind w:left="720"/>
        <w:contextualSpacing/>
        <w:rPr>
          <w:rFonts w:ascii="Verdana" w:eastAsia="Times New Roman" w:hAnsi="Verdana" w:cs="Arial"/>
          <w:shd w:val="clear" w:color="auto" w:fill="FFFFFF"/>
          <w:lang w:val="es-ES"/>
        </w:rPr>
      </w:pPr>
    </w:p>
    <w:p w14:paraId="427D5DA2" w14:textId="77777777" w:rsidR="00512B6B" w:rsidRPr="005A1E4E" w:rsidRDefault="00512B6B" w:rsidP="00512B6B">
      <w:pPr>
        <w:numPr>
          <w:ilvl w:val="0"/>
          <w:numId w:val="3"/>
        </w:numPr>
        <w:spacing w:before="120" w:line="276" w:lineRule="auto"/>
        <w:contextualSpacing/>
        <w:jc w:val="both"/>
        <w:rPr>
          <w:rFonts w:ascii="Verdana" w:eastAsia="Times New Roman" w:hAnsi="Verdana" w:cs="Arial"/>
          <w:color w:val="000000"/>
          <w:lang w:val="es-ES_tradnl"/>
        </w:rPr>
      </w:pPr>
      <w:r w:rsidRPr="005A1E4E">
        <w:rPr>
          <w:rFonts w:ascii="Verdana" w:eastAsia="Times New Roman" w:hAnsi="Verdana" w:cs="Arial"/>
          <w:shd w:val="clear" w:color="auto" w:fill="FFFFFF"/>
          <w:lang w:val="es-ES"/>
        </w:rPr>
        <w:t>En ese sentido, puede colegirse que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impliquen la vigilancia y seguimiento del cumplimiento de los contratos, función que puede ser asignada a un empleado público siempre que se ajusten a las fijadas para el cargo.</w:t>
      </w:r>
    </w:p>
    <w:p w14:paraId="5E7DE92A" w14:textId="77777777" w:rsidR="00512B6B" w:rsidRPr="005A1E4E" w:rsidRDefault="00512B6B" w:rsidP="00512B6B">
      <w:pPr>
        <w:spacing w:before="120" w:line="276" w:lineRule="auto"/>
        <w:contextualSpacing/>
        <w:jc w:val="both"/>
        <w:rPr>
          <w:rFonts w:ascii="Verdana" w:eastAsia="Times New Roman" w:hAnsi="Verdana" w:cs="Arial"/>
          <w:color w:val="000000"/>
          <w:lang w:val="es-ES_tradnl"/>
        </w:rPr>
      </w:pPr>
    </w:p>
    <w:p w14:paraId="1F66DDE1" w14:textId="77777777" w:rsidR="00512B6B" w:rsidRPr="0003428D" w:rsidRDefault="00512B6B" w:rsidP="00512B6B">
      <w:pPr>
        <w:numPr>
          <w:ilvl w:val="0"/>
          <w:numId w:val="3"/>
        </w:numPr>
        <w:spacing w:before="120" w:line="276" w:lineRule="auto"/>
        <w:contextualSpacing/>
        <w:jc w:val="both"/>
        <w:rPr>
          <w:rFonts w:ascii="Verdana" w:eastAsia="Times New Roman" w:hAnsi="Verdana" w:cs="Arial"/>
          <w:color w:val="000000"/>
          <w:lang w:val="es-ES_tradnl"/>
        </w:rPr>
      </w:pPr>
      <w:r w:rsidRPr="0003428D">
        <w:rPr>
          <w:rFonts w:ascii="Verdana" w:eastAsia="Times New Roman" w:hAnsi="Verdana" w:cs="Arial"/>
          <w:color w:val="000000"/>
          <w:lang w:val="es-ES_tradnl" w:eastAsia="es-ES_tradnl"/>
        </w:rPr>
        <w:t xml:space="preserve">Adicionalmente, debe precisarse que esta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w:t>
      </w:r>
      <w:r w:rsidRPr="0003428D">
        <w:rPr>
          <w:rFonts w:ascii="Verdana" w:eastAsia="Times New Roman" w:hAnsi="Verdana" w:cs="Arial"/>
          <w:color w:val="000000"/>
          <w:lang w:val="es-ES_tradnl" w:eastAsia="es-ES_tradnl"/>
        </w:rPr>
        <w:lastRenderedPageBreak/>
        <w:t>contratos estatales, que se encuentra disponible para su consulta en el siguiente enlace:</w:t>
      </w:r>
    </w:p>
    <w:p w14:paraId="485AD09D" w14:textId="77777777" w:rsidR="00512B6B" w:rsidRPr="0003428D" w:rsidRDefault="00512B6B" w:rsidP="00512B6B">
      <w:pPr>
        <w:spacing w:before="120" w:line="276" w:lineRule="auto"/>
        <w:ind w:left="720"/>
        <w:contextualSpacing/>
        <w:jc w:val="both"/>
        <w:rPr>
          <w:rFonts w:ascii="Verdana" w:eastAsia="Times New Roman" w:hAnsi="Verdana" w:cs="Arial"/>
          <w:color w:val="000000"/>
          <w:lang w:val="es-ES_tradnl" w:eastAsia="es-ES_tradnl"/>
        </w:rPr>
      </w:pPr>
      <w:hyperlink r:id="rId12" w:history="1">
        <w:r w:rsidRPr="0003428D">
          <w:rPr>
            <w:rFonts w:ascii="Verdana" w:eastAsia="Times New Roman" w:hAnsi="Verdana" w:cs="Arial"/>
            <w:color w:val="0000FF"/>
            <w:u w:val="single"/>
            <w:lang w:val="es-ES_tradnl" w:eastAsia="es-ES_tradnl"/>
          </w:rPr>
          <w:t>https://www.colombiacompra.gov.co/sites/cce_public/files/cce_documents/cce_guia_para_el_ejercicio_de_las_funciones_de_supervision_e_interventoria_de_los_contratos_del_estado.pdf</w:t>
        </w:r>
      </w:hyperlink>
      <w:r w:rsidRPr="0003428D">
        <w:rPr>
          <w:rFonts w:ascii="Verdana" w:eastAsia="Times New Roman" w:hAnsi="Verdana" w:cs="Arial"/>
          <w:color w:val="000000"/>
          <w:lang w:val="es-ES_tradnl" w:eastAsia="es-ES_tradnl"/>
        </w:rPr>
        <w:t xml:space="preserve"> </w:t>
      </w:r>
    </w:p>
    <w:p w14:paraId="5F01E2A3" w14:textId="77777777" w:rsidR="00512B6B" w:rsidRPr="0003428D" w:rsidRDefault="00512B6B" w:rsidP="00512B6B">
      <w:pPr>
        <w:spacing w:before="120" w:line="276" w:lineRule="auto"/>
        <w:contextualSpacing/>
        <w:jc w:val="both"/>
        <w:rPr>
          <w:rFonts w:ascii="Verdana" w:eastAsia="Times New Roman" w:hAnsi="Verdana" w:cs="Arial"/>
          <w:color w:val="000000"/>
          <w:lang w:val="es-ES_tradnl" w:eastAsia="es-ES_tradnl"/>
        </w:rPr>
      </w:pPr>
    </w:p>
    <w:p w14:paraId="66606B9E" w14:textId="77777777" w:rsidR="00512B6B" w:rsidRPr="001C10D0" w:rsidRDefault="00512B6B" w:rsidP="00512B6B">
      <w:pPr>
        <w:numPr>
          <w:ilvl w:val="0"/>
          <w:numId w:val="3"/>
        </w:numPr>
        <w:spacing w:before="120" w:line="276" w:lineRule="auto"/>
        <w:contextualSpacing/>
        <w:jc w:val="both"/>
        <w:rPr>
          <w:rFonts w:ascii="Verdana" w:eastAsia="Times New Roman" w:hAnsi="Verdana" w:cs="Arial"/>
          <w:color w:val="000000"/>
          <w:lang w:val="es-ES_tradnl"/>
        </w:rPr>
      </w:pPr>
      <w:r w:rsidRPr="001C10D0">
        <w:rPr>
          <w:rFonts w:ascii="Verdana" w:eastAsia="Times New Roman" w:hAnsi="Verdana" w:cs="Arial"/>
          <w:color w:val="000000"/>
          <w:lang w:val="es-ES_tradnl" w:eastAsia="es-ES_tradnl"/>
        </w:rPr>
        <w:t>Por otro lado, el artículo 110</w:t>
      </w:r>
      <w:r w:rsidRPr="0003428D">
        <w:rPr>
          <w:rStyle w:val="Refdenotaalpie"/>
          <w:rFonts w:ascii="Verdana" w:eastAsia="Times New Roman" w:hAnsi="Verdana" w:cs="Arial"/>
          <w:color w:val="000000"/>
          <w:lang w:val="es-ES_tradnl" w:eastAsia="es-ES_tradnl"/>
        </w:rPr>
        <w:footnoteReference w:id="16"/>
      </w:r>
      <w:r w:rsidRPr="001C10D0">
        <w:rPr>
          <w:rFonts w:ascii="Verdana" w:eastAsia="Times New Roman" w:hAnsi="Verdana" w:cs="Arial"/>
          <w:color w:val="000000"/>
          <w:lang w:val="es-ES_tradnl" w:eastAsia="es-ES_tradnl"/>
        </w:rPr>
        <w:t xml:space="preserve"> de la Ley 489 de 1998 establece que las personas naturales y jurídicas privadas pueden ejercer funciones administrativas, siempre bajo la supervisión y control de la entidad pública correspondiente, la cual debe garantizar el cumplimiento de las leyes, objetivos y políticas relacionadas. La </w:t>
      </w:r>
      <w:r>
        <w:rPr>
          <w:rFonts w:ascii="Verdana" w:eastAsia="Times New Roman" w:hAnsi="Verdana" w:cs="Arial"/>
          <w:color w:val="000000"/>
          <w:lang w:val="es-ES_tradnl" w:eastAsia="es-ES_tradnl"/>
        </w:rPr>
        <w:t>atribución</w:t>
      </w:r>
      <w:r w:rsidRPr="001C10D0">
        <w:rPr>
          <w:rFonts w:ascii="Verdana" w:eastAsia="Times New Roman" w:hAnsi="Verdana" w:cs="Arial"/>
          <w:color w:val="000000"/>
          <w:lang w:val="es-ES_tradnl" w:eastAsia="es-ES_tradnl"/>
        </w:rPr>
        <w:t xml:space="preserve"> de estas funciones debe ser precedida por un acto administrativo y</w:t>
      </w:r>
      <w:r>
        <w:rPr>
          <w:rFonts w:ascii="Verdana" w:eastAsia="Times New Roman" w:hAnsi="Verdana" w:cs="Arial"/>
          <w:color w:val="000000"/>
          <w:lang w:val="es-ES_tradnl" w:eastAsia="es-ES_tradnl"/>
        </w:rPr>
        <w:t xml:space="preserve"> acompañada del </w:t>
      </w:r>
      <w:r w:rsidRPr="001C10D0">
        <w:rPr>
          <w:rFonts w:ascii="Verdana" w:eastAsia="Times New Roman" w:hAnsi="Verdana" w:cs="Arial"/>
          <w:color w:val="000000"/>
          <w:lang w:val="es-ES_tradnl" w:eastAsia="es-ES_tradnl"/>
        </w:rPr>
        <w:t>convenio. La entidad pública puede revocar la autorización en cualquier momento por razones de interés público o social.</w:t>
      </w:r>
    </w:p>
    <w:p w14:paraId="1C0D7586" w14:textId="77777777" w:rsidR="00512B6B" w:rsidRPr="00737F29" w:rsidRDefault="00512B6B" w:rsidP="00512B6B">
      <w:pPr>
        <w:pStyle w:val="Prrafodelista"/>
        <w:numPr>
          <w:ilvl w:val="0"/>
          <w:numId w:val="3"/>
        </w:numPr>
        <w:spacing w:before="120" w:line="276" w:lineRule="auto"/>
        <w:jc w:val="both"/>
        <w:rPr>
          <w:rFonts w:ascii="Verdana" w:eastAsia="Times New Roman" w:hAnsi="Verdana" w:cs="Arial"/>
          <w:color w:val="000000"/>
          <w:lang w:val="es-ES_tradnl" w:eastAsia="es-ES_tradnl"/>
        </w:rPr>
      </w:pPr>
      <w:r w:rsidRPr="00737F29">
        <w:rPr>
          <w:rFonts w:ascii="Verdana" w:eastAsia="Times New Roman" w:hAnsi="Verdana" w:cs="Arial"/>
          <w:color w:val="000000"/>
          <w:lang w:val="es-ES_tradnl"/>
        </w:rPr>
        <w:t xml:space="preserve">Así mismo, </w:t>
      </w:r>
      <w:r w:rsidRPr="00737F29">
        <w:rPr>
          <w:rFonts w:ascii="Verdana" w:eastAsia="Times New Roman" w:hAnsi="Verdana" w:cs="Arial"/>
          <w:color w:val="000000"/>
        </w:rPr>
        <w:t>el artículo 111 de la Ley 489 de 1998</w:t>
      </w:r>
      <w:r w:rsidRPr="0003428D">
        <w:rPr>
          <w:rStyle w:val="Refdenotaalpie"/>
          <w:rFonts w:ascii="Verdana" w:eastAsia="Times New Roman" w:hAnsi="Verdana" w:cs="Arial"/>
          <w:color w:val="000000"/>
        </w:rPr>
        <w:footnoteReference w:id="17"/>
      </w:r>
      <w:r w:rsidRPr="00737F29">
        <w:rPr>
          <w:rFonts w:ascii="Verdana" w:eastAsia="Times New Roman" w:hAnsi="Verdana" w:cs="Arial"/>
          <w:color w:val="000000"/>
        </w:rPr>
        <w:t xml:space="preserve"> establece los requisitos y procedimientos para conferir funciones administrativas a particulares, complementando lo dispuesto en el artículo 110. Las entidades o autoridades administrativas pueden delegar funciones a particulares mediante un acto administrativo aprobado por el </w:t>
      </w:r>
      <w:proofErr w:type="gramStart"/>
      <w:r w:rsidRPr="00737F29">
        <w:rPr>
          <w:rFonts w:ascii="Verdana" w:eastAsia="Times New Roman" w:hAnsi="Verdana" w:cs="Arial"/>
          <w:color w:val="000000"/>
        </w:rPr>
        <w:t>Presidente</w:t>
      </w:r>
      <w:proofErr w:type="gramEnd"/>
      <w:r w:rsidRPr="00737F29">
        <w:rPr>
          <w:rFonts w:ascii="Verdana" w:eastAsia="Times New Roman" w:hAnsi="Verdana" w:cs="Arial"/>
          <w:color w:val="000000"/>
        </w:rPr>
        <w:t xml:space="preserve"> de la República o, por delegación, por ministros, directores de departamentos administrativos,</w:t>
      </w:r>
      <w:r>
        <w:rPr>
          <w:rFonts w:ascii="Verdana" w:eastAsia="Times New Roman" w:hAnsi="Verdana" w:cs="Arial"/>
          <w:color w:val="000000"/>
        </w:rPr>
        <w:t xml:space="preserve"> </w:t>
      </w:r>
      <w:r w:rsidRPr="00737F29">
        <w:rPr>
          <w:rFonts w:ascii="Verdana" w:eastAsia="Times New Roman" w:hAnsi="Verdana" w:cs="Arial"/>
          <w:color w:val="000000"/>
        </w:rPr>
        <w:t>según corresponda. Este acto debe especificar las funciones a encomendar, los requisitos que deben cumplir los particulares, las condiciones del ejercicio de las funciones, la forma de remuneración (si aplica), la duración del encargo y las garantías para asegurar el cumplimiento de los principios constitucionales y legales. Si es necesario, se debe celebrar un convenio con un plazo de ejecución de hasta cinco años, en el cual la entidad debe elaborar un pliego de condiciones y hacer una convocatoria pública conforme a la Ley 80 de 1993 sobre contratación estatal. El convenio también debe incluir las cláusulas excepcionales previstas en dicha ley, una vez seleccionado el particular encargado. Algunas partes de este artículo fueron declaradas inexequibles por la Corte Constitucional en las Sentencias C-866 de 1999 y C-702 de 1999, y se hace referencia a una sentencia del Consejo de Estado de julio de 2015 sobre el tema.</w:t>
      </w:r>
    </w:p>
    <w:p w14:paraId="4B626973" w14:textId="77777777" w:rsidR="00512B6B" w:rsidRPr="0003428D" w:rsidRDefault="00512B6B" w:rsidP="00512B6B">
      <w:pPr>
        <w:pStyle w:val="Prrafodelista"/>
        <w:spacing w:before="120" w:line="276" w:lineRule="auto"/>
        <w:jc w:val="both"/>
        <w:rPr>
          <w:rFonts w:ascii="Verdana" w:eastAsia="Times New Roman" w:hAnsi="Verdana" w:cs="Arial"/>
          <w:color w:val="000000"/>
          <w:lang w:val="es-ES_tradnl"/>
        </w:rPr>
      </w:pPr>
    </w:p>
    <w:p w14:paraId="19743D77" w14:textId="77777777" w:rsidR="00512B6B" w:rsidRPr="0003428D" w:rsidDel="00AA7249" w:rsidRDefault="00512B6B" w:rsidP="00512B6B">
      <w:pPr>
        <w:pStyle w:val="Prrafodelista"/>
        <w:numPr>
          <w:ilvl w:val="0"/>
          <w:numId w:val="3"/>
        </w:numPr>
        <w:spacing w:before="120" w:line="276" w:lineRule="auto"/>
        <w:jc w:val="both"/>
        <w:rPr>
          <w:rFonts w:ascii="Verdana" w:eastAsia="Times New Roman" w:hAnsi="Verdana" w:cs="Arial"/>
          <w:color w:val="000000"/>
          <w:lang w:val="es-ES_tradnl"/>
        </w:rPr>
      </w:pPr>
      <w:r w:rsidRPr="0003428D">
        <w:rPr>
          <w:rFonts w:ascii="Verdana" w:eastAsia="Times New Roman" w:hAnsi="Verdana" w:cs="Arial"/>
          <w:color w:val="000000"/>
        </w:rPr>
        <w:lastRenderedPageBreak/>
        <w:t>Igualmente, el artículo 112 de la Ley 489 de 1998</w:t>
      </w:r>
      <w:r w:rsidRPr="0003428D">
        <w:rPr>
          <w:rStyle w:val="Refdenotaalpie"/>
          <w:rFonts w:ascii="Verdana" w:eastAsia="Times New Roman" w:hAnsi="Verdana" w:cs="Arial"/>
          <w:color w:val="000000"/>
        </w:rPr>
        <w:footnoteReference w:id="18"/>
      </w:r>
      <w:r w:rsidRPr="0003428D">
        <w:rPr>
          <w:rFonts w:ascii="Verdana" w:eastAsia="Times New Roman" w:hAnsi="Verdana" w:cs="Arial"/>
          <w:color w:val="000000"/>
        </w:rPr>
        <w:t xml:space="preserve"> establece que la celebración de convenios y el ejercicio de funciones administrativas por entidades privadas no cambia su naturaleza ni régimen. Los actos unilaterales que realicen deben seguir los procedimientos administrativos, y los contratos celebrados por cuenta de entidades estatales deben ajustarse a las normas de contratación pública.</w:t>
      </w:r>
    </w:p>
    <w:p w14:paraId="1B66CC29" w14:textId="77777777" w:rsidR="00512B6B" w:rsidRPr="00403F7C" w:rsidDel="00AA7249" w:rsidRDefault="00512B6B" w:rsidP="00512B6B">
      <w:pPr>
        <w:pStyle w:val="Prrafodelista"/>
        <w:rPr>
          <w:rFonts w:ascii="Verdana" w:eastAsia="Times New Roman" w:hAnsi="Verdana" w:cs="Arial"/>
          <w:color w:val="000000"/>
          <w:lang w:val="es-ES_tradnl"/>
        </w:rPr>
      </w:pPr>
    </w:p>
    <w:p w14:paraId="51B2F0C6" w14:textId="77777777" w:rsidR="00512B6B" w:rsidRPr="00403F7C" w:rsidDel="00AA7249" w:rsidRDefault="00512B6B" w:rsidP="00512B6B">
      <w:pPr>
        <w:pStyle w:val="Prrafodelista"/>
        <w:spacing w:before="120" w:line="276" w:lineRule="auto"/>
        <w:jc w:val="both"/>
        <w:rPr>
          <w:rFonts w:ascii="Verdana" w:eastAsia="Times New Roman" w:hAnsi="Verdana" w:cs="Arial"/>
          <w:color w:val="000000"/>
          <w:lang w:val="es-ES_tradnl"/>
        </w:rPr>
      </w:pPr>
    </w:p>
    <w:p w14:paraId="58CBB864" w14:textId="77777777" w:rsidR="00512B6B" w:rsidRPr="0003428D" w:rsidRDefault="00512B6B" w:rsidP="00512B6B">
      <w:pPr>
        <w:pStyle w:val="Prrafodelista"/>
        <w:numPr>
          <w:ilvl w:val="0"/>
          <w:numId w:val="3"/>
        </w:numPr>
        <w:spacing w:before="120" w:line="276" w:lineRule="auto"/>
        <w:jc w:val="both"/>
        <w:rPr>
          <w:rFonts w:ascii="Verdana" w:eastAsia="Times New Roman" w:hAnsi="Verdana" w:cs="Arial"/>
          <w:color w:val="000000"/>
          <w:lang w:val="es-ES_tradnl"/>
        </w:rPr>
      </w:pPr>
      <w:r w:rsidRPr="0003428D">
        <w:rPr>
          <w:rFonts w:ascii="Verdana" w:eastAsia="Times New Roman" w:hAnsi="Verdana" w:cs="Arial"/>
          <w:color w:val="000000"/>
          <w:lang w:val="es-ES_tradnl"/>
        </w:rPr>
        <w:t>El artículo 113</w:t>
      </w:r>
      <w:r w:rsidRPr="0003428D">
        <w:rPr>
          <w:rStyle w:val="Refdenotaalpie"/>
          <w:rFonts w:ascii="Verdana" w:eastAsia="Times New Roman" w:hAnsi="Verdana" w:cs="Arial"/>
          <w:color w:val="000000"/>
          <w:lang w:val="es-ES_tradnl"/>
        </w:rPr>
        <w:footnoteReference w:id="19"/>
      </w:r>
      <w:r w:rsidRPr="0003428D" w:rsidDel="00F41310">
        <w:rPr>
          <w:rFonts w:ascii="Verdana" w:eastAsia="Times New Roman" w:hAnsi="Verdana" w:cs="Arial"/>
          <w:color w:val="000000"/>
          <w:lang w:val="es-ES_tradnl"/>
        </w:rPr>
        <w:t>,</w:t>
      </w:r>
      <w:r w:rsidRPr="0003428D">
        <w:rPr>
          <w:rFonts w:ascii="Verdana" w:eastAsia="Times New Roman" w:hAnsi="Verdana" w:cs="Arial"/>
          <w:color w:val="000000"/>
          <w:lang w:val="es-ES_tradnl"/>
        </w:rPr>
        <w:t xml:space="preserve"> establece que los representantes legales de las entidades privadas encargadas de funciones administrativas están sujetos a las mismas prohibiciones e incompatibilidades que los servidores públicos, en relación con las funciones que desempeñan.</w:t>
      </w:r>
    </w:p>
    <w:p w14:paraId="1A6DB3B7" w14:textId="77777777" w:rsidR="00512B6B" w:rsidRPr="0003428D" w:rsidRDefault="00512B6B" w:rsidP="00512B6B">
      <w:pPr>
        <w:pStyle w:val="Prrafodelista"/>
        <w:spacing w:before="120" w:line="276" w:lineRule="auto"/>
        <w:jc w:val="both"/>
        <w:rPr>
          <w:rFonts w:ascii="Verdana" w:eastAsia="Times New Roman" w:hAnsi="Verdana" w:cs="Arial"/>
          <w:color w:val="000000"/>
          <w:lang w:val="es-ES_tradnl"/>
        </w:rPr>
      </w:pPr>
    </w:p>
    <w:p w14:paraId="7D942FB8" w14:textId="77777777" w:rsidR="00512B6B" w:rsidDel="00E72195" w:rsidRDefault="00512B6B" w:rsidP="00512B6B">
      <w:pPr>
        <w:pStyle w:val="Prrafodelista"/>
        <w:numPr>
          <w:ilvl w:val="0"/>
          <w:numId w:val="3"/>
        </w:numPr>
        <w:spacing w:before="120" w:line="276" w:lineRule="auto"/>
        <w:jc w:val="both"/>
        <w:rPr>
          <w:rFonts w:ascii="Verdana" w:eastAsia="Times New Roman" w:hAnsi="Verdana" w:cs="Arial"/>
          <w:color w:val="000000"/>
          <w:lang w:val="es-ES_tradnl"/>
        </w:rPr>
      </w:pPr>
      <w:r w:rsidRPr="0003428D">
        <w:rPr>
          <w:rFonts w:ascii="Verdana" w:eastAsia="Times New Roman" w:hAnsi="Verdana" w:cs="Arial"/>
          <w:color w:val="000000"/>
          <w:lang w:val="es-ES_tradnl"/>
        </w:rPr>
        <w:t>Además, prohíbe que estos representantes legales y los miembros de las juntas directivas o de los órganos de decisión de las entidades privadas que hayan ejercido funciones administrativas sean contratistas ejecutores de las decisiones en las que hayan participado en su regulación o adopción.</w:t>
      </w:r>
    </w:p>
    <w:p w14:paraId="38F7A78C" w14:textId="77777777" w:rsidR="00512B6B" w:rsidRPr="00403F7C" w:rsidRDefault="00512B6B" w:rsidP="00512B6B">
      <w:pPr>
        <w:spacing w:before="120" w:line="276" w:lineRule="auto"/>
        <w:jc w:val="both"/>
        <w:rPr>
          <w:rFonts w:ascii="Verdana" w:eastAsia="Times New Roman" w:hAnsi="Verdana" w:cs="Arial"/>
          <w:color w:val="000000"/>
          <w:lang w:val="es-ES_tradnl"/>
        </w:rPr>
      </w:pPr>
    </w:p>
    <w:p w14:paraId="0FE36986" w14:textId="77777777" w:rsidR="00512B6B" w:rsidRPr="0003428D" w:rsidRDefault="00512B6B" w:rsidP="00512B6B">
      <w:pPr>
        <w:pStyle w:val="Prrafodelista"/>
        <w:numPr>
          <w:ilvl w:val="0"/>
          <w:numId w:val="3"/>
        </w:numPr>
        <w:spacing w:before="120" w:line="276" w:lineRule="auto"/>
        <w:jc w:val="both"/>
        <w:rPr>
          <w:rFonts w:ascii="Verdana" w:eastAsia="Times New Roman" w:hAnsi="Verdana" w:cs="Arial"/>
          <w:color w:val="000000"/>
          <w:lang w:val="es-ES_tradnl"/>
        </w:rPr>
      </w:pPr>
      <w:r w:rsidRPr="0003428D">
        <w:rPr>
          <w:rFonts w:ascii="Verdana" w:eastAsia="Times New Roman" w:hAnsi="Verdana" w:cs="Arial"/>
          <w:color w:val="000000"/>
          <w:lang w:val="es-ES_tradnl"/>
        </w:rPr>
        <w:t>El artículo 114</w:t>
      </w:r>
      <w:r w:rsidRPr="0003428D">
        <w:rPr>
          <w:rStyle w:val="Refdenotaalpie"/>
          <w:rFonts w:ascii="Verdana" w:eastAsia="Times New Roman" w:hAnsi="Verdana" w:cs="Arial"/>
          <w:color w:val="000000"/>
          <w:lang w:val="es-ES_tradnl"/>
        </w:rPr>
        <w:footnoteReference w:id="20"/>
      </w:r>
      <w:r w:rsidRPr="0003428D" w:rsidDel="00E72195">
        <w:rPr>
          <w:rFonts w:ascii="Verdana" w:eastAsia="Times New Roman" w:hAnsi="Verdana" w:cs="Arial"/>
          <w:color w:val="000000"/>
          <w:lang w:val="es-ES_tradnl"/>
        </w:rPr>
        <w:t>,</w:t>
      </w:r>
      <w:r w:rsidRPr="0003428D">
        <w:rPr>
          <w:rFonts w:ascii="Verdana" w:eastAsia="Times New Roman" w:hAnsi="Verdana" w:cs="Arial"/>
          <w:color w:val="000000"/>
          <w:lang w:val="es-ES_tradnl"/>
        </w:rPr>
        <w:t xml:space="preserve"> establece que, sin perjuicio de los </w:t>
      </w:r>
      <w:r w:rsidRPr="0003428D" w:rsidDel="004A24D2">
        <w:rPr>
          <w:rFonts w:ascii="Verdana" w:eastAsia="Times New Roman" w:hAnsi="Verdana" w:cs="Arial"/>
          <w:color w:val="000000"/>
          <w:lang w:val="es-ES_tradnl"/>
        </w:rPr>
        <w:t xml:space="preserve">contratos </w:t>
      </w:r>
      <w:r w:rsidRPr="0003428D">
        <w:rPr>
          <w:rFonts w:ascii="Verdana" w:eastAsia="Times New Roman" w:hAnsi="Verdana" w:cs="Arial"/>
          <w:color w:val="000000"/>
          <w:lang w:val="es-ES_tradnl"/>
        </w:rPr>
        <w:t xml:space="preserve">pertinentes según la naturaleza de la actividad, la entidad pública que </w:t>
      </w:r>
      <w:r w:rsidRPr="0003428D" w:rsidDel="00D93E09">
        <w:rPr>
          <w:rFonts w:ascii="Verdana" w:eastAsia="Times New Roman" w:hAnsi="Verdana" w:cs="Arial"/>
          <w:color w:val="000000"/>
          <w:lang w:val="es-ES_tradnl"/>
        </w:rPr>
        <w:t xml:space="preserve">delegue </w:t>
      </w:r>
      <w:r w:rsidRPr="0003428D">
        <w:rPr>
          <w:rFonts w:ascii="Verdana" w:eastAsia="Times New Roman" w:hAnsi="Verdana" w:cs="Arial"/>
          <w:color w:val="000000"/>
          <w:lang w:val="es-ES_tradnl"/>
        </w:rPr>
        <w:t xml:space="preserve">funciones </w:t>
      </w:r>
      <w:r w:rsidRPr="0003428D" w:rsidDel="00D93E09">
        <w:rPr>
          <w:rFonts w:ascii="Verdana" w:eastAsia="Times New Roman" w:hAnsi="Verdana" w:cs="Arial"/>
          <w:color w:val="000000"/>
          <w:lang w:val="es-ES_tradnl"/>
        </w:rPr>
        <w:t xml:space="preserve">sobre </w:t>
      </w:r>
      <w:r w:rsidRPr="0003428D">
        <w:rPr>
          <w:rFonts w:ascii="Verdana" w:eastAsia="Times New Roman" w:hAnsi="Verdana" w:cs="Arial"/>
          <w:color w:val="000000"/>
          <w:lang w:val="es-ES_tradnl"/>
        </w:rPr>
        <w:t xml:space="preserve">un particular deberá ejercer un control directo sobre el cumplimiento de las finalidades, objetivos, políticas y programas que </w:t>
      </w:r>
      <w:r w:rsidRPr="0003428D" w:rsidDel="003F45AD">
        <w:rPr>
          <w:rFonts w:ascii="Verdana" w:eastAsia="Times New Roman" w:hAnsi="Verdana" w:cs="Arial"/>
          <w:color w:val="000000"/>
          <w:lang w:val="es-ES_tradnl"/>
        </w:rPr>
        <w:t xml:space="preserve">se </w:t>
      </w:r>
      <w:r w:rsidRPr="0003428D">
        <w:rPr>
          <w:rFonts w:ascii="Verdana" w:eastAsia="Times New Roman" w:hAnsi="Verdana" w:cs="Arial"/>
          <w:color w:val="000000"/>
          <w:lang w:val="es-ES_tradnl"/>
        </w:rPr>
        <w:t>debe</w:t>
      </w:r>
      <w:r w:rsidRPr="0003428D" w:rsidDel="003F45AD">
        <w:rPr>
          <w:rFonts w:ascii="Verdana" w:eastAsia="Times New Roman" w:hAnsi="Verdana" w:cs="Arial"/>
          <w:color w:val="000000"/>
          <w:lang w:val="es-ES_tradnl"/>
        </w:rPr>
        <w:t>n</w:t>
      </w:r>
      <w:r w:rsidRPr="0003428D">
        <w:rPr>
          <w:rFonts w:ascii="Verdana" w:eastAsia="Times New Roman" w:hAnsi="Verdana" w:cs="Arial"/>
          <w:color w:val="000000"/>
          <w:lang w:val="es-ES_tradnl"/>
        </w:rPr>
        <w:t xml:space="preserve"> seguir.</w:t>
      </w:r>
    </w:p>
    <w:p w14:paraId="2253EDFB" w14:textId="77777777" w:rsidR="00512B6B" w:rsidRPr="0003428D" w:rsidRDefault="00512B6B" w:rsidP="00512B6B">
      <w:pPr>
        <w:pStyle w:val="Prrafodelista"/>
        <w:rPr>
          <w:rFonts w:ascii="Verdana" w:eastAsia="Times New Roman" w:hAnsi="Verdana" w:cs="Arial"/>
          <w:color w:val="000000"/>
          <w:lang w:val="es-ES_tradnl"/>
        </w:rPr>
      </w:pPr>
    </w:p>
    <w:p w14:paraId="08DD87C9" w14:textId="77777777" w:rsidR="00512B6B" w:rsidRDefault="00512B6B" w:rsidP="00512B6B">
      <w:pPr>
        <w:pStyle w:val="Prrafodelista"/>
        <w:numPr>
          <w:ilvl w:val="0"/>
          <w:numId w:val="3"/>
        </w:numPr>
        <w:spacing w:before="120" w:line="276" w:lineRule="auto"/>
        <w:jc w:val="both"/>
        <w:rPr>
          <w:rFonts w:ascii="Verdana" w:hAnsi="Verdana" w:cs="Arial"/>
          <w:color w:val="000000"/>
        </w:rPr>
      </w:pPr>
      <w:r w:rsidRPr="0097686D">
        <w:rPr>
          <w:rFonts w:ascii="Verdana" w:hAnsi="Verdana" w:cs="Arial"/>
          <w:color w:val="000000"/>
        </w:rPr>
        <w:t xml:space="preserve">Con sustento en lo anterior, 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 Además, la Ley 489 de 1998 permite la delegación de funciones administrativas a particulares, pero siempre bajo la supervisión directa de la entidad pública, asegurando el cumplimiento </w:t>
      </w:r>
      <w:r w:rsidRPr="0097686D">
        <w:rPr>
          <w:rFonts w:ascii="Verdana" w:hAnsi="Verdana" w:cs="Arial"/>
          <w:color w:val="000000"/>
        </w:rPr>
        <w:lastRenderedPageBreak/>
        <w:t>de los principios legales y la correcta ejecución del contrato. En conjunto, estas leyes buscan asegurar la transparencia, el cumplimiento de los plazos, condiciones y calidades pactadas, y la adecuada gestión de los recursos públicos.</w:t>
      </w:r>
    </w:p>
    <w:bookmarkEnd w:id="1"/>
    <w:bookmarkEnd w:id="2"/>
    <w:p w14:paraId="35AED614" w14:textId="77777777" w:rsidR="00512B6B" w:rsidRPr="0097686D" w:rsidDel="000E6884" w:rsidRDefault="00512B6B" w:rsidP="00512B6B">
      <w:pPr>
        <w:pStyle w:val="Prrafodelista"/>
        <w:rPr>
          <w:rFonts w:ascii="Verdana" w:hAnsi="Verdana" w:cs="Arial"/>
          <w:color w:val="000000"/>
        </w:rPr>
      </w:pPr>
    </w:p>
    <w:p w14:paraId="0F578F9D" w14:textId="77777777" w:rsidR="00512B6B" w:rsidRPr="0097686D" w:rsidRDefault="00512B6B" w:rsidP="00512B6B">
      <w:pPr>
        <w:pStyle w:val="Prrafodelista"/>
        <w:spacing w:before="120" w:line="276" w:lineRule="auto"/>
        <w:jc w:val="both"/>
        <w:rPr>
          <w:rFonts w:ascii="Verdana" w:hAnsi="Verdana" w:cs="Arial"/>
          <w:color w:val="000000"/>
        </w:rPr>
      </w:pPr>
    </w:p>
    <w:p w14:paraId="2D2D456A" w14:textId="77777777" w:rsidR="00512B6B" w:rsidRPr="00115E3D" w:rsidRDefault="00512B6B" w:rsidP="00512B6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3CCCC302"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2B6B" w:rsidRPr="00115E3D" w14:paraId="01284553" w14:textId="77777777" w:rsidTr="00EF5085">
        <w:trPr>
          <w:trHeight w:val="870"/>
        </w:trPr>
        <w:tc>
          <w:tcPr>
            <w:tcW w:w="8647" w:type="dxa"/>
          </w:tcPr>
          <w:p w14:paraId="1661F2DB" w14:textId="77777777" w:rsidR="00512B6B" w:rsidRPr="00912093" w:rsidRDefault="00512B6B" w:rsidP="00EF5085">
            <w:pPr>
              <w:pStyle w:val="Prrafodelista"/>
              <w:widowControl w:val="0"/>
              <w:numPr>
                <w:ilvl w:val="0"/>
                <w:numId w:val="2"/>
              </w:numPr>
              <w:autoSpaceDE w:val="0"/>
              <w:autoSpaceDN w:val="0"/>
              <w:spacing w:after="120" w:line="276" w:lineRule="auto"/>
              <w:jc w:val="both"/>
              <w:rPr>
                <w:rFonts w:ascii="Verdana" w:hAnsi="Verdana" w:cs="Arial"/>
                <w:color w:val="000000" w:themeColor="text1"/>
              </w:rPr>
            </w:pPr>
            <w:r w:rsidRPr="00912093">
              <w:rPr>
                <w:rFonts w:ascii="Verdana" w:hAnsi="Verdana" w:cs="Arial"/>
                <w:color w:val="000000" w:themeColor="text1"/>
              </w:rPr>
              <w:t>Ley 80 de 1993. Artículos 4, 5, 12, 14 y 26</w:t>
            </w:r>
          </w:p>
          <w:p w14:paraId="46AE67D7" w14:textId="77777777" w:rsidR="00512B6B" w:rsidRPr="00912093" w:rsidRDefault="00512B6B" w:rsidP="00EF5085">
            <w:pPr>
              <w:pStyle w:val="Prrafodelista"/>
              <w:widowControl w:val="0"/>
              <w:numPr>
                <w:ilvl w:val="0"/>
                <w:numId w:val="2"/>
              </w:numPr>
              <w:autoSpaceDE w:val="0"/>
              <w:autoSpaceDN w:val="0"/>
              <w:spacing w:after="120" w:line="276" w:lineRule="auto"/>
              <w:jc w:val="both"/>
              <w:rPr>
                <w:rFonts w:ascii="Verdana" w:hAnsi="Verdana" w:cs="Arial"/>
                <w:color w:val="000000" w:themeColor="text1"/>
              </w:rPr>
            </w:pPr>
            <w:r w:rsidRPr="00912093">
              <w:rPr>
                <w:rFonts w:ascii="Verdana" w:hAnsi="Verdana" w:cs="Arial"/>
                <w:color w:val="000000" w:themeColor="text1"/>
              </w:rPr>
              <w:t>Ley 1150 de 2007. Artículos 17 y 21</w:t>
            </w:r>
          </w:p>
          <w:p w14:paraId="2BD28A5C" w14:textId="77777777" w:rsidR="00512B6B" w:rsidRDefault="00512B6B" w:rsidP="00EF5085">
            <w:pPr>
              <w:pStyle w:val="Prrafodelista"/>
              <w:widowControl w:val="0"/>
              <w:numPr>
                <w:ilvl w:val="0"/>
                <w:numId w:val="2"/>
              </w:numPr>
              <w:autoSpaceDE w:val="0"/>
              <w:autoSpaceDN w:val="0"/>
              <w:spacing w:after="120" w:line="276" w:lineRule="auto"/>
              <w:jc w:val="both"/>
              <w:rPr>
                <w:rFonts w:ascii="Verdana" w:hAnsi="Verdana" w:cs="Arial"/>
                <w:color w:val="000000" w:themeColor="text1"/>
              </w:rPr>
            </w:pPr>
            <w:r w:rsidRPr="00912093">
              <w:rPr>
                <w:rFonts w:ascii="Verdana" w:hAnsi="Verdana" w:cs="Arial"/>
                <w:color w:val="000000" w:themeColor="text1"/>
              </w:rPr>
              <w:t>Ley 1474 de 2011. Artículos 83</w:t>
            </w:r>
          </w:p>
          <w:p w14:paraId="4712AA70" w14:textId="77777777" w:rsidR="00512B6B" w:rsidRPr="00912093" w:rsidRDefault="00512B6B" w:rsidP="00EF5085">
            <w:pPr>
              <w:pStyle w:val="Prrafodelista"/>
              <w:widowControl w:val="0"/>
              <w:numPr>
                <w:ilvl w:val="0"/>
                <w:numId w:val="2"/>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Ley 489 de 1998, Artículos 110, 111,112,113,114.</w:t>
            </w:r>
          </w:p>
          <w:p w14:paraId="32215B50" w14:textId="77777777" w:rsidR="00512B6B" w:rsidRPr="00573220" w:rsidRDefault="00512B6B" w:rsidP="00EF5085">
            <w:pPr>
              <w:pStyle w:val="Prrafodelista"/>
              <w:widowControl w:val="0"/>
              <w:numPr>
                <w:ilvl w:val="0"/>
                <w:numId w:val="2"/>
              </w:numPr>
              <w:autoSpaceDE w:val="0"/>
              <w:autoSpaceDN w:val="0"/>
              <w:spacing w:after="160" w:line="276" w:lineRule="auto"/>
              <w:jc w:val="both"/>
              <w:rPr>
                <w:rFonts w:ascii="Verdana" w:hAnsi="Verdana" w:cs="Arial"/>
                <w:color w:val="000000" w:themeColor="text1"/>
              </w:rPr>
            </w:pPr>
            <w:r w:rsidRPr="00912093">
              <w:rPr>
                <w:rFonts w:ascii="Verdana" w:hAnsi="Verdana" w:cs="Arial"/>
                <w:color w:val="000000" w:themeColor="text1"/>
              </w:rPr>
              <w:t xml:space="preserve">Colombia Compra Eficiente, Guía para el ejercicio de las funciones de Supervisión e Interventoría de los contratos del Estado, disponible </w:t>
            </w:r>
            <w:hyperlink r:id="rId13" w:history="1">
              <w:r w:rsidRPr="00912093">
                <w:rPr>
                  <w:rStyle w:val="Hipervnculo"/>
                  <w:rFonts w:ascii="Verdana" w:hAnsi="Verdana" w:cs="Arial"/>
                </w:rPr>
                <w:t>aquí</w:t>
              </w:r>
            </w:hyperlink>
          </w:p>
          <w:p w14:paraId="44B8D09F" w14:textId="77777777" w:rsidR="00512B6B" w:rsidRPr="00115E3D" w:rsidRDefault="00512B6B" w:rsidP="00EF5085">
            <w:pPr>
              <w:pStyle w:val="Prrafodelista"/>
              <w:widowControl w:val="0"/>
              <w:numPr>
                <w:ilvl w:val="0"/>
                <w:numId w:val="2"/>
              </w:numPr>
              <w:autoSpaceDE w:val="0"/>
              <w:autoSpaceDN w:val="0"/>
              <w:spacing w:after="120" w:line="276" w:lineRule="auto"/>
              <w:contextualSpacing w:val="0"/>
              <w:jc w:val="both"/>
              <w:rPr>
                <w:rFonts w:ascii="Verdana" w:hAnsi="Verdana" w:cs="Arial"/>
                <w:color w:val="000000" w:themeColor="text1"/>
              </w:rPr>
            </w:pPr>
            <w:r w:rsidRPr="00912093">
              <w:rPr>
                <w:rFonts w:ascii="Verdana" w:hAnsi="Verdana" w:cs="Arial"/>
                <w:color w:val="000000" w:themeColor="text1"/>
              </w:rPr>
              <w:t xml:space="preserve">Consejo de Estado. Sección 3ª. Sentencia del 27 de noviembre de 2017. M.P. Jaime Orlando Santofimio. </w:t>
            </w:r>
            <w:proofErr w:type="spellStart"/>
            <w:r w:rsidRPr="00912093">
              <w:rPr>
                <w:rFonts w:ascii="Verdana" w:hAnsi="Verdana" w:cs="Arial"/>
                <w:color w:val="000000" w:themeColor="text1"/>
              </w:rPr>
              <w:t>Exp</w:t>
            </w:r>
            <w:proofErr w:type="spellEnd"/>
            <w:r w:rsidRPr="00912093">
              <w:rPr>
                <w:rFonts w:ascii="Verdana" w:hAnsi="Verdana" w:cs="Arial"/>
                <w:color w:val="000000" w:themeColor="text1"/>
              </w:rPr>
              <w:t>. 51.802</w:t>
            </w:r>
          </w:p>
        </w:tc>
      </w:tr>
    </w:tbl>
    <w:p w14:paraId="00F8214D"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rPr>
      </w:pPr>
    </w:p>
    <w:p w14:paraId="4A223787" w14:textId="77777777" w:rsidR="00512B6B" w:rsidRPr="00115E3D" w:rsidRDefault="00512B6B" w:rsidP="00512B6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1DB90FFF"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rPr>
      </w:pPr>
    </w:p>
    <w:p w14:paraId="5FA75B9D" w14:textId="77777777" w:rsidR="00512B6B" w:rsidRDefault="00512B6B" w:rsidP="00512B6B">
      <w:pPr>
        <w:widowControl w:val="0"/>
        <w:autoSpaceDE w:val="0"/>
        <w:autoSpaceDN w:val="0"/>
        <w:spacing w:after="0" w:line="276" w:lineRule="auto"/>
        <w:jc w:val="both"/>
        <w:rPr>
          <w:rFonts w:ascii="Verdana" w:hAnsi="Verdana" w:cs="Arial"/>
          <w:color w:val="000000" w:themeColor="text1"/>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 xml:space="preserve">,C-600 del 7 de octubre de 2024,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E55233">
          <w:rPr>
            <w:rStyle w:val="Hipervnculo"/>
            <w:rFonts w:ascii="Verdana" w:hAnsi="Verdana" w:cs="Arial"/>
            <w:shd w:val="clear" w:color="auto" w:fill="FFFFFF"/>
          </w:rPr>
          <w:t>https://relatoria.colombiacompra.gov.co/</w:t>
        </w:r>
      </w:hyperlink>
      <w:r w:rsidRPr="00E55233" w:rsidDel="00E1541B">
        <w:rPr>
          <w:rFonts w:ascii="Verdana" w:hAnsi="Verdana" w:cs="Arial"/>
          <w:color w:val="000000" w:themeColor="text1"/>
          <w:shd w:val="clear" w:color="auto" w:fill="FFFFFF"/>
          <w:lang w:val="es-ES"/>
        </w:rPr>
        <w:t>.</w:t>
      </w:r>
      <w:r w:rsidRPr="00E55233">
        <w:rPr>
          <w:rFonts w:ascii="Verdana" w:hAnsi="Verdana" w:cs="Arial"/>
          <w:color w:val="000000" w:themeColor="text1"/>
          <w:shd w:val="clear" w:color="auto" w:fill="FFFFFF"/>
          <w:lang w:val="es-ES"/>
        </w:rPr>
        <w:t xml:space="preserve"> </w:t>
      </w:r>
    </w:p>
    <w:p w14:paraId="327275CB" w14:textId="77777777" w:rsidR="00512B6B" w:rsidRDefault="00512B6B" w:rsidP="00512B6B">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6C1DCBD4" w14:textId="77777777" w:rsidR="00512B6B" w:rsidRPr="002B3F82" w:rsidRDefault="00512B6B" w:rsidP="00512B6B">
      <w:pPr>
        <w:widowControl w:val="0"/>
        <w:autoSpaceDE w:val="0"/>
        <w:autoSpaceDN w:val="0"/>
        <w:spacing w:after="0" w:line="276" w:lineRule="auto"/>
        <w:jc w:val="both"/>
        <w:rPr>
          <w:rFonts w:ascii="Verdana" w:hAnsi="Verdana" w:cs="Arial"/>
          <w:color w:val="000000" w:themeColor="text1"/>
          <w:shd w:val="clear" w:color="auto" w:fill="FFFFFF"/>
        </w:rPr>
      </w:pPr>
      <w:r w:rsidRPr="002B3F82">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4E21711C" w14:textId="77777777" w:rsidR="00512B6B" w:rsidRPr="002B3F82" w:rsidRDefault="00512B6B" w:rsidP="00512B6B">
      <w:pPr>
        <w:widowControl w:val="0"/>
        <w:numPr>
          <w:ilvl w:val="0"/>
          <w:numId w:val="4"/>
        </w:numPr>
        <w:autoSpaceDE w:val="0"/>
        <w:autoSpaceDN w:val="0"/>
        <w:spacing w:after="0" w:line="276" w:lineRule="auto"/>
        <w:jc w:val="both"/>
        <w:rPr>
          <w:rFonts w:ascii="Verdana" w:hAnsi="Verdana" w:cs="Arial"/>
          <w:color w:val="000000" w:themeColor="text1"/>
          <w:shd w:val="clear" w:color="auto" w:fill="FFFFFF"/>
        </w:rPr>
      </w:pPr>
      <w:r w:rsidRPr="002B3F82">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5" w:tgtFrame="_blank" w:tooltip="Dirección URL original: https://www.colombiacompra.gov.co/content/03-documentos-tipo-para-los-procesos-de-seleccion-de-interventoria-de-obra-publica-de. Haga clic o pulse si confía en este vínculo." w:history="1">
        <w:r w:rsidRPr="002B3F82">
          <w:rPr>
            <w:rStyle w:val="Hipervnculo"/>
            <w:rFonts w:ascii="Verdana" w:hAnsi="Verdana" w:cs="Arial"/>
            <w:shd w:val="clear" w:color="auto" w:fill="FFFFFF"/>
          </w:rPr>
          <w:t>03. Documentos tipo para los procesos de selección de interventoría de obra pública de infraestructura de transporte – versión 3 | Colombia Compra Eficiente | Agencia Nacional de Contratación Pública</w:t>
        </w:r>
      </w:hyperlink>
    </w:p>
    <w:p w14:paraId="73FD2AFE" w14:textId="77777777" w:rsidR="00512B6B" w:rsidRPr="002B3F82" w:rsidRDefault="00512B6B" w:rsidP="00512B6B">
      <w:pPr>
        <w:widowControl w:val="0"/>
        <w:numPr>
          <w:ilvl w:val="0"/>
          <w:numId w:val="4"/>
        </w:numPr>
        <w:autoSpaceDE w:val="0"/>
        <w:autoSpaceDN w:val="0"/>
        <w:spacing w:after="0" w:line="276" w:lineRule="auto"/>
        <w:jc w:val="both"/>
        <w:rPr>
          <w:rFonts w:ascii="Verdana" w:hAnsi="Verdana" w:cs="Arial"/>
          <w:color w:val="000000" w:themeColor="text1"/>
          <w:shd w:val="clear" w:color="auto" w:fill="FFFFFF"/>
        </w:rPr>
      </w:pPr>
      <w:r w:rsidRPr="002B3F82">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2B3F82">
        <w:rPr>
          <w:rFonts w:ascii="Verdana" w:hAnsi="Verdana" w:cs="Arial"/>
          <w:color w:val="000000" w:themeColor="text1"/>
          <w:shd w:val="clear" w:color="auto" w:fill="FFFFFF"/>
        </w:rPr>
        <w:t> </w:t>
      </w:r>
      <w:hyperlink r:id="rId16" w:tgtFrame="_blank" w:tooltip="Dirección URL original: https://www.colombiacompra.gov.co/content/02-documentos-tipo-para-los-procesos-de-seleccion-de-consultoria-de-obra-publica-de. Haga clic o pulse si confía en este vínculo." w:history="1">
        <w:r w:rsidRPr="002B3F82">
          <w:rPr>
            <w:rStyle w:val="Hipervnculo"/>
            <w:rFonts w:ascii="Verdana" w:hAnsi="Verdana" w:cs="Arial"/>
            <w:shd w:val="clear" w:color="auto" w:fill="FFFFFF"/>
          </w:rPr>
          <w:t>02. Documentos tipo para los procesos de selección de consultoría de obra pública de infraestructura de transporte – versión 2. | Colombia Compra Eficiente | Agencia Nacional de Contratación Pública</w:t>
        </w:r>
      </w:hyperlink>
    </w:p>
    <w:p w14:paraId="52673AB9" w14:textId="77777777" w:rsidR="00512B6B" w:rsidRDefault="00512B6B" w:rsidP="00512B6B">
      <w:pPr>
        <w:widowControl w:val="0"/>
        <w:autoSpaceDE w:val="0"/>
        <w:autoSpaceDN w:val="0"/>
        <w:spacing w:after="0" w:line="276" w:lineRule="auto"/>
        <w:jc w:val="both"/>
        <w:rPr>
          <w:rFonts w:ascii="Verdana" w:hAnsi="Verdana" w:cs="Arial"/>
          <w:color w:val="000000" w:themeColor="text1"/>
          <w:shd w:val="clear" w:color="auto" w:fill="FFFFFF"/>
        </w:rPr>
      </w:pPr>
    </w:p>
    <w:p w14:paraId="5D44AD23" w14:textId="77777777" w:rsidR="00512B6B" w:rsidRPr="002B3F82" w:rsidRDefault="00512B6B" w:rsidP="00512B6B">
      <w:pPr>
        <w:widowControl w:val="0"/>
        <w:autoSpaceDE w:val="0"/>
        <w:autoSpaceDN w:val="0"/>
        <w:spacing w:after="0" w:line="276" w:lineRule="auto"/>
        <w:jc w:val="both"/>
        <w:rPr>
          <w:rFonts w:ascii="Verdana" w:hAnsi="Verdana" w:cs="Arial"/>
          <w:color w:val="000000" w:themeColor="text1"/>
          <w:shd w:val="clear" w:color="auto" w:fill="FFFFFF"/>
        </w:rPr>
      </w:pPr>
      <w:r w:rsidRPr="002B3F82">
        <w:rPr>
          <w:rFonts w:ascii="Verdana" w:hAnsi="Verdana" w:cs="Arial"/>
          <w:color w:val="000000" w:themeColor="text1"/>
          <w:shd w:val="clear" w:color="auto" w:fill="FFFFFF"/>
        </w:rPr>
        <w:t>También, te contamos que ya publicamos </w:t>
      </w:r>
      <w:r w:rsidRPr="002B3F82">
        <w:rPr>
          <w:rFonts w:ascii="Verdana" w:hAnsi="Verdana" w:cs="Arial"/>
          <w:b/>
          <w:bCs/>
          <w:color w:val="000000" w:themeColor="text1"/>
          <w:shd w:val="clear" w:color="auto" w:fill="FFFFFF"/>
        </w:rPr>
        <w:t>la nueva Guía de Contratación Pública Sostenible y Socialmente Responsable</w:t>
      </w:r>
      <w:r w:rsidRPr="002B3F82">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2B3F82">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2EB30111" w14:textId="77777777" w:rsidR="00512B6B" w:rsidRPr="00115E3D" w:rsidRDefault="00512B6B" w:rsidP="00512B6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43CAB7D" w14:textId="77777777" w:rsidR="00512B6B" w:rsidRPr="00115E3D" w:rsidRDefault="00512B6B" w:rsidP="00512B6B">
      <w:pPr>
        <w:spacing w:after="0" w:line="240" w:lineRule="auto"/>
        <w:jc w:val="both"/>
        <w:rPr>
          <w:rFonts w:ascii="Verdana" w:hAnsi="Verdana"/>
          <w:color w:val="000000" w:themeColor="text1"/>
        </w:rPr>
      </w:pPr>
      <w:r>
        <w:rPr>
          <w:rFonts w:ascii="Verdana" w:hAnsi="Verdana"/>
          <w:color w:val="000000" w:themeColor="text1"/>
          <w:lang w:val="es-ES"/>
        </w:rPr>
        <w:t>L</w:t>
      </w:r>
      <w:r w:rsidRPr="00115E3D">
        <w:rPr>
          <w:rFonts w:ascii="Verdana" w:hAnsi="Verdana"/>
          <w:color w:val="000000" w:themeColor="text1"/>
        </w:rPr>
        <w:t xml:space="preserve">o invitamos a seguirnos en las redes sociales en las cuales se difunde información institucional: </w:t>
      </w:r>
    </w:p>
    <w:p w14:paraId="468BAABC" w14:textId="77777777" w:rsidR="00512B6B" w:rsidRPr="00115E3D" w:rsidRDefault="00512B6B" w:rsidP="00512B6B">
      <w:pPr>
        <w:spacing w:after="0" w:line="240" w:lineRule="auto"/>
        <w:jc w:val="both"/>
        <w:rPr>
          <w:rFonts w:ascii="Verdana" w:hAnsi="Verdana"/>
          <w:color w:val="000000" w:themeColor="text1"/>
        </w:rPr>
      </w:pPr>
    </w:p>
    <w:p w14:paraId="7721BD58" w14:textId="77777777" w:rsidR="00512B6B" w:rsidRPr="00115E3D" w:rsidRDefault="00512B6B" w:rsidP="00512B6B">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6469CB02" w14:textId="77777777" w:rsidR="00512B6B" w:rsidRPr="00115E3D" w:rsidRDefault="00512B6B" w:rsidP="00512B6B">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499DF740" w14:textId="77777777" w:rsidR="00512B6B" w:rsidRPr="00115E3D" w:rsidRDefault="00512B6B" w:rsidP="00512B6B">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C231ED4"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rPr>
      </w:pPr>
    </w:p>
    <w:p w14:paraId="7A6276EA"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E78EF49" w14:textId="77777777" w:rsidR="00512B6B" w:rsidRPr="00115E3D" w:rsidRDefault="00512B6B" w:rsidP="00512B6B">
      <w:pPr>
        <w:widowControl w:val="0"/>
        <w:autoSpaceDE w:val="0"/>
        <w:autoSpaceDN w:val="0"/>
        <w:spacing w:after="0" w:line="276" w:lineRule="auto"/>
        <w:jc w:val="both"/>
        <w:rPr>
          <w:rFonts w:ascii="Verdana" w:hAnsi="Verdana" w:cs="Arial"/>
          <w:color w:val="000000" w:themeColor="text1"/>
        </w:rPr>
      </w:pPr>
    </w:p>
    <w:p w14:paraId="70809C28" w14:textId="77777777" w:rsidR="00512B6B" w:rsidRPr="00115E3D" w:rsidRDefault="00512B6B" w:rsidP="00512B6B">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10F3A62B" w14:textId="7EBA614E" w:rsidR="00512B6B" w:rsidRPr="00115E3D" w:rsidRDefault="00837A16" w:rsidP="00512B6B">
      <w:pPr>
        <w:spacing w:line="276" w:lineRule="auto"/>
        <w:jc w:val="center"/>
        <w:rPr>
          <w:rFonts w:ascii="Verdana" w:hAnsi="Verdana" w:cs="Arial"/>
          <w:color w:val="000000" w:themeColor="text1"/>
          <w:lang w:val="es-ES_tradnl" w:eastAsia="es-CO"/>
        </w:rPr>
      </w:pPr>
      <w:r>
        <w:rPr>
          <w:noProof/>
        </w:rPr>
        <w:lastRenderedPageBreak/>
        <w:drawing>
          <wp:inline distT="0" distB="0" distL="0" distR="0" wp14:anchorId="4F33F268" wp14:editId="16E77067">
            <wp:extent cx="3771900" cy="1400175"/>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2B6B" w:rsidRPr="00115E3D" w14:paraId="48BF64D2" w14:textId="77777777" w:rsidTr="00EF5085">
        <w:trPr>
          <w:trHeight w:val="315"/>
        </w:trPr>
        <w:tc>
          <w:tcPr>
            <w:tcW w:w="893" w:type="dxa"/>
            <w:vAlign w:val="center"/>
            <w:hideMark/>
          </w:tcPr>
          <w:p w14:paraId="6E3A6801" w14:textId="77777777" w:rsidR="00512B6B" w:rsidRPr="00115E3D" w:rsidRDefault="00512B6B"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B4EAE5" w14:textId="77777777" w:rsidR="00512B6B" w:rsidRPr="00115E3D" w:rsidRDefault="00512B6B" w:rsidP="00EF508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p>
          <w:p w14:paraId="24A428D6" w14:textId="77777777" w:rsidR="00512B6B" w:rsidRPr="00115E3D" w:rsidRDefault="00512B6B" w:rsidP="00EF5085">
            <w:pPr>
              <w:contextualSpacing/>
              <w:rPr>
                <w:rFonts w:ascii="Verdana" w:eastAsia="Arial" w:hAnsi="Verdana" w:cs="Arial"/>
                <w:color w:val="000000" w:themeColor="text1"/>
                <w:sz w:val="16"/>
                <w:szCs w:val="16"/>
              </w:rPr>
            </w:pPr>
            <w:r>
              <w:rPr>
                <w:rStyle w:val="normaltextrun"/>
                <w:rFonts w:ascii="Verdana" w:eastAsia="Arial" w:hAnsi="Verdana" w:cs="Arial"/>
                <w:color w:val="000000" w:themeColor="text1"/>
                <w:sz w:val="16"/>
                <w:szCs w:val="16"/>
              </w:rPr>
              <w:t>Analista T2-02</w:t>
            </w:r>
            <w:r w:rsidRPr="00115E3D">
              <w:rPr>
                <w:rStyle w:val="normaltextrun"/>
                <w:rFonts w:ascii="Verdana" w:eastAsia="Arial" w:hAnsi="Verdana" w:cs="Arial"/>
                <w:color w:val="000000" w:themeColor="text1"/>
                <w:sz w:val="16"/>
                <w:szCs w:val="16"/>
              </w:rPr>
              <w:t xml:space="preserve"> de la Subdirección de Gestión Contractual</w:t>
            </w:r>
          </w:p>
        </w:tc>
      </w:tr>
      <w:tr w:rsidR="00512B6B" w:rsidRPr="00115E3D" w14:paraId="277CE2A7" w14:textId="77777777" w:rsidTr="00EF5085">
        <w:trPr>
          <w:trHeight w:val="330"/>
        </w:trPr>
        <w:tc>
          <w:tcPr>
            <w:tcW w:w="893" w:type="dxa"/>
            <w:vAlign w:val="center"/>
            <w:hideMark/>
          </w:tcPr>
          <w:p w14:paraId="718BA646" w14:textId="77777777" w:rsidR="00512B6B" w:rsidRPr="00115E3D" w:rsidRDefault="00512B6B"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6D168" w14:textId="77777777" w:rsidR="00512B6B" w:rsidRPr="00580396" w:rsidRDefault="00512B6B" w:rsidP="00EF5085">
            <w:pPr>
              <w:pStyle w:val="paragraph"/>
              <w:spacing w:before="0" w:beforeAutospacing="0" w:after="0" w:afterAutospacing="0"/>
              <w:contextualSpacing/>
              <w:textAlignment w:val="baseline"/>
              <w:rPr>
                <w:rFonts w:ascii="Verdana" w:hAnsi="Verdana" w:cs="Segoe UI"/>
                <w:color w:val="000000" w:themeColor="text1"/>
                <w:sz w:val="16"/>
                <w:szCs w:val="16"/>
              </w:rPr>
            </w:pPr>
            <w:r w:rsidRPr="00580396">
              <w:rPr>
                <w:rFonts w:ascii="Verdana" w:hAnsi="Verdana" w:cs="Segoe UI"/>
                <w:color w:val="000000" w:themeColor="text1"/>
                <w:sz w:val="16"/>
                <w:szCs w:val="16"/>
              </w:rPr>
              <w:t>X</w:t>
            </w:r>
            <w:r w:rsidRPr="00580396">
              <w:rPr>
                <w:rFonts w:ascii="Verdana" w:hAnsi="Verdana" w:cs="Segoe UI"/>
                <w:sz w:val="16"/>
                <w:szCs w:val="16"/>
              </w:rPr>
              <w:t xml:space="preserve">imena Ríos López </w:t>
            </w:r>
          </w:p>
          <w:p w14:paraId="0A4C2D92" w14:textId="77777777" w:rsidR="00512B6B" w:rsidRPr="00115E3D" w:rsidRDefault="00512B6B" w:rsidP="00EF5085">
            <w:pPr>
              <w:pStyle w:val="paragraph"/>
              <w:spacing w:before="0" w:beforeAutospacing="0" w:after="0" w:afterAutospacing="0"/>
              <w:contextualSpacing/>
              <w:textAlignment w:val="baseline"/>
              <w:rPr>
                <w:rFonts w:ascii="Verdana" w:hAnsi="Verdana" w:cs="Segoe UI"/>
                <w:color w:val="000000" w:themeColor="text1"/>
                <w:sz w:val="16"/>
                <w:szCs w:val="16"/>
              </w:rPr>
            </w:pPr>
            <w:r w:rsidRPr="00580396">
              <w:rPr>
                <w:rStyle w:val="normaltextrun"/>
                <w:rFonts w:ascii="Verdana" w:hAnsi="Verdana" w:cs="Arial"/>
                <w:color w:val="000000" w:themeColor="text1"/>
                <w:sz w:val="16"/>
                <w:szCs w:val="16"/>
                <w:lang w:val="es-ES"/>
              </w:rPr>
              <w:t>Gestor T1-11 de la Subdirección de Gestión Contractual</w:t>
            </w:r>
            <w:r w:rsidRPr="00115E3D">
              <w:rPr>
                <w:rStyle w:val="eop"/>
                <w:rFonts w:ascii="Verdana" w:hAnsi="Verdana" w:cs="Arial"/>
                <w:color w:val="000000" w:themeColor="text1"/>
                <w:sz w:val="16"/>
                <w:szCs w:val="16"/>
              </w:rPr>
              <w:t> </w:t>
            </w:r>
          </w:p>
        </w:tc>
      </w:tr>
      <w:tr w:rsidR="00512B6B" w:rsidRPr="00115E3D" w14:paraId="324856F6" w14:textId="77777777" w:rsidTr="00EF5085">
        <w:trPr>
          <w:trHeight w:val="300"/>
        </w:trPr>
        <w:tc>
          <w:tcPr>
            <w:tcW w:w="893" w:type="dxa"/>
            <w:vAlign w:val="center"/>
          </w:tcPr>
          <w:p w14:paraId="7D0FE560" w14:textId="77777777" w:rsidR="00512B6B" w:rsidRPr="00115E3D" w:rsidRDefault="00512B6B"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DF835E" w14:textId="77777777" w:rsidR="00512B6B" w:rsidRPr="00115E3D" w:rsidRDefault="00512B6B" w:rsidP="00EF508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4ABF91C7" w14:textId="77777777" w:rsidR="00512B6B" w:rsidRPr="00115E3D" w:rsidRDefault="00512B6B" w:rsidP="00EF508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1C3CE2C7" w14:textId="77777777" w:rsidR="00512B6B" w:rsidRPr="00115E3D" w:rsidRDefault="00512B6B" w:rsidP="00512B6B">
      <w:pPr>
        <w:spacing w:after="0" w:line="240" w:lineRule="auto"/>
        <w:rPr>
          <w:rFonts w:ascii="Verdana" w:eastAsia="Times New Roman" w:hAnsi="Verdana" w:cs="Arial"/>
          <w:color w:val="000000" w:themeColor="text1"/>
          <w:sz w:val="24"/>
          <w:szCs w:val="24"/>
          <w:lang w:eastAsia="es-ES"/>
        </w:rPr>
      </w:pPr>
    </w:p>
    <w:p w14:paraId="66D4A3BD" w14:textId="77777777" w:rsidR="00512B6B" w:rsidRPr="00115E3D" w:rsidRDefault="00512B6B" w:rsidP="00512B6B">
      <w:pPr>
        <w:rPr>
          <w:color w:val="000000" w:themeColor="text1"/>
        </w:rPr>
      </w:pPr>
    </w:p>
    <w:p w14:paraId="069A7363" w14:textId="77777777" w:rsidR="00512B6B" w:rsidRDefault="00512B6B" w:rsidP="00512B6B"/>
    <w:p w14:paraId="6E495BC1" w14:textId="77777777" w:rsidR="00512B6B" w:rsidRDefault="00512B6B" w:rsidP="00512B6B"/>
    <w:p w14:paraId="0F51DD33" w14:textId="77777777" w:rsidR="00512B6B" w:rsidRPr="00A341EA" w:rsidRDefault="00512B6B" w:rsidP="00512B6B"/>
    <w:p w14:paraId="385811C9" w14:textId="77777777" w:rsidR="000F5A42" w:rsidRPr="00F32F50" w:rsidRDefault="000F5A42" w:rsidP="00F32F50"/>
    <w:sectPr w:rsidR="000F5A42" w:rsidRPr="00F32F50" w:rsidSect="00570D88">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35C2D" w14:textId="77777777" w:rsidR="001F6D4E" w:rsidRDefault="001F6D4E" w:rsidP="00570D88">
      <w:pPr>
        <w:spacing w:after="0" w:line="240" w:lineRule="auto"/>
      </w:pPr>
      <w:r>
        <w:separator/>
      </w:r>
    </w:p>
  </w:endnote>
  <w:endnote w:type="continuationSeparator" w:id="0">
    <w:p w14:paraId="208D0126" w14:textId="77777777" w:rsidR="001F6D4E" w:rsidRDefault="001F6D4E" w:rsidP="00570D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altName w:val="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A160D" w14:textId="77777777" w:rsidR="00570D88" w:rsidRPr="00174B77" w:rsidRDefault="00570D88" w:rsidP="00F1541F">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7DCCC70" w14:textId="77777777" w:rsidR="00570D88" w:rsidRPr="003A07E0" w:rsidRDefault="00570D88" w:rsidP="00F1541F">
    <w:pPr>
      <w:spacing w:after="0"/>
      <w:jc w:val="both"/>
      <w:rPr>
        <w:rFonts w:ascii="Verdana" w:hAnsi="Verdana"/>
        <w:sz w:val="16"/>
        <w:szCs w:val="16"/>
      </w:rPr>
    </w:pPr>
    <w:r w:rsidRPr="003A07E0">
      <w:rPr>
        <w:rFonts w:ascii="Verdana" w:hAnsi="Verdana"/>
        <w:sz w:val="16"/>
        <w:szCs w:val="16"/>
      </w:rPr>
      <w:t>Dirección: Carrera 7 # 26 – 20 - Bogotá, Colombia</w:t>
    </w:r>
  </w:p>
  <w:p w14:paraId="3C9BA4C0" w14:textId="77777777" w:rsidR="00570D88" w:rsidRPr="003A07E0" w:rsidRDefault="00570D88" w:rsidP="00F1541F">
    <w:pPr>
      <w:spacing w:after="0"/>
      <w:jc w:val="both"/>
      <w:rPr>
        <w:rFonts w:ascii="Verdana" w:hAnsi="Verdana"/>
        <w:sz w:val="16"/>
        <w:szCs w:val="16"/>
      </w:rPr>
    </w:pPr>
    <w:r w:rsidRPr="003A07E0">
      <w:rPr>
        <w:rFonts w:ascii="Verdana" w:hAnsi="Verdana"/>
        <w:sz w:val="16"/>
        <w:szCs w:val="16"/>
      </w:rPr>
      <w:t>Mesa de servicio: (+57) 601 7456788</w:t>
    </w:r>
  </w:p>
  <w:p w14:paraId="3A0C3F34" w14:textId="77777777" w:rsidR="00570D88" w:rsidRDefault="00570D88" w:rsidP="00F1541F">
    <w:pPr>
      <w:pStyle w:val="Piedepgina"/>
    </w:pPr>
    <w:r w:rsidRPr="003A07E0">
      <w:rPr>
        <w:rFonts w:ascii="Verdana" w:hAnsi="Verdana"/>
        <w:sz w:val="16"/>
        <w:szCs w:val="16"/>
      </w:rPr>
      <w:t xml:space="preserve">Atención al ciudadano: (+57) 601 7956600   </w:t>
    </w:r>
    <w:r>
      <w:rPr>
        <w:rFonts w:ascii="Verdana" w:hAnsi="Verdana"/>
        <w:sz w:val="16"/>
        <w:szCs w:val="16"/>
      </w:rPr>
      <w:t xml:space="preserve">     </w:t>
    </w:r>
    <w:r w:rsidRPr="003A07E0">
      <w:rPr>
        <w:rFonts w:ascii="Verdana" w:hAnsi="Verdana"/>
        <w:sz w:val="16"/>
        <w:szCs w:val="16"/>
      </w:rPr>
      <w:t xml:space="preserve"> </w:t>
    </w:r>
    <w:r w:rsidRPr="00E34D14">
      <w:rPr>
        <w:rFonts w:ascii="Century Gothic" w:hAnsi="Century Gothic"/>
        <w:b/>
        <w:bCs/>
        <w:sz w:val="18"/>
        <w:szCs w:val="18"/>
      </w:rPr>
      <w:t>Código: </w:t>
    </w:r>
    <w:r w:rsidRPr="00E34D14">
      <w:rPr>
        <w:rFonts w:ascii="Century Gothic" w:hAnsi="Century Gothic"/>
        <w:sz w:val="18"/>
        <w:szCs w:val="18"/>
      </w:rPr>
      <w:t>CCE-REC-FM-</w:t>
    </w:r>
    <w:r>
      <w:rPr>
        <w:rFonts w:ascii="Century Gothic" w:hAnsi="Century Gothic"/>
        <w:sz w:val="18"/>
        <w:szCs w:val="18"/>
      </w:rPr>
      <w:t>26</w:t>
    </w:r>
    <w:r w:rsidRPr="00E34D14">
      <w:rPr>
        <w:rFonts w:ascii="Century Gothic" w:hAnsi="Century Gothic"/>
        <w:sz w:val="18"/>
        <w:szCs w:val="18"/>
      </w:rPr>
      <w:t> </w:t>
    </w:r>
    <w:r w:rsidRPr="00E34D14">
      <w:rPr>
        <w:rFonts w:ascii="Century Gothic" w:hAnsi="Century Gothic"/>
        <w:b/>
        <w:bCs/>
        <w:sz w:val="18"/>
        <w:szCs w:val="18"/>
      </w:rPr>
      <w:t>Versión: </w:t>
    </w:r>
    <w:r w:rsidRPr="00E34D14">
      <w:rPr>
        <w:rFonts w:ascii="Century Gothic" w:hAnsi="Century Gothic"/>
        <w:sz w:val="18"/>
        <w:szCs w:val="18"/>
      </w:rPr>
      <w:t>01 </w:t>
    </w:r>
    <w:r w:rsidRPr="00B07B23">
      <w:rPr>
        <w:rFonts w:ascii="Century Gothic" w:hAnsi="Century Gothic"/>
        <w:b/>
        <w:bCs/>
        <w:sz w:val="18"/>
        <w:szCs w:val="18"/>
      </w:rPr>
      <w:t>Fecha</w:t>
    </w:r>
    <w:r w:rsidRPr="00E34D14">
      <w:rPr>
        <w:rFonts w:ascii="Century Gothic" w:hAnsi="Century Gothic"/>
        <w:sz w:val="18"/>
        <w:szCs w:val="18"/>
      </w:rPr>
      <w:t xml:space="preserve">: </w:t>
    </w:r>
    <w:r>
      <w:rPr>
        <w:rFonts w:ascii="Century Gothic" w:hAnsi="Century Gothic"/>
        <w:sz w:val="18"/>
        <w:szCs w:val="18"/>
      </w:rPr>
      <w:t>11</w:t>
    </w:r>
    <w:r w:rsidRPr="00E34D14">
      <w:rPr>
        <w:rFonts w:ascii="Century Gothic" w:hAnsi="Century Gothic"/>
        <w:sz w:val="18"/>
        <w:szCs w:val="18"/>
      </w:rPr>
      <w:t>-09-2024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95BEC" w14:textId="77777777" w:rsidR="001F6D4E" w:rsidRDefault="001F6D4E" w:rsidP="00570D88">
      <w:pPr>
        <w:spacing w:after="0" w:line="240" w:lineRule="auto"/>
      </w:pPr>
      <w:r>
        <w:separator/>
      </w:r>
    </w:p>
  </w:footnote>
  <w:footnote w:type="continuationSeparator" w:id="0">
    <w:p w14:paraId="7DF92B06" w14:textId="77777777" w:rsidR="001F6D4E" w:rsidRDefault="001F6D4E" w:rsidP="00570D88">
      <w:pPr>
        <w:spacing w:after="0" w:line="240" w:lineRule="auto"/>
      </w:pPr>
      <w:r>
        <w:continuationSeparator/>
      </w:r>
    </w:p>
  </w:footnote>
  <w:footnote w:id="1">
    <w:p w14:paraId="0AAD4D3A" w14:textId="77777777" w:rsidR="00E44EAF" w:rsidRPr="00E44EAF" w:rsidRDefault="00E44EAF" w:rsidP="00E44EAF">
      <w:pPr>
        <w:pStyle w:val="Textonotapie"/>
        <w:ind w:firstLine="708"/>
        <w:rPr>
          <w:rFonts w:ascii="Verdana" w:hAnsi="Verdana"/>
          <w:sz w:val="12"/>
          <w:szCs w:val="12"/>
          <w:lang w:val="es-CO"/>
        </w:rPr>
      </w:pPr>
      <w:r w:rsidRPr="004E716D">
        <w:rPr>
          <w:rStyle w:val="Refdenotaalpie"/>
          <w:rFonts w:ascii="Verdana" w:hAnsi="Verdana"/>
          <w:sz w:val="12"/>
          <w:szCs w:val="12"/>
        </w:rPr>
        <w:footnoteRef/>
      </w:r>
      <w:r w:rsidRPr="00E44EAF">
        <w:rPr>
          <w:rFonts w:ascii="Verdana" w:hAnsi="Verdana"/>
          <w:sz w:val="12"/>
          <w:szCs w:val="12"/>
          <w:lang w:val="es-CO"/>
        </w:rPr>
        <w:t xml:space="preserve"> Ibidem. (art. 111).</w:t>
      </w:r>
    </w:p>
  </w:footnote>
  <w:footnote w:id="2">
    <w:p w14:paraId="5F51E48F" w14:textId="77777777" w:rsidR="00512B6B" w:rsidRPr="00A57AFB" w:rsidRDefault="00512B6B" w:rsidP="00512B6B">
      <w:pPr>
        <w:pStyle w:val="Textonotapie"/>
        <w:ind w:firstLine="708"/>
        <w:jc w:val="both"/>
        <w:rPr>
          <w:rFonts w:ascii="Verdana" w:hAnsi="Verdana"/>
          <w:sz w:val="12"/>
          <w:szCs w:val="12"/>
        </w:rPr>
      </w:pPr>
      <w:r w:rsidRPr="00A57AFB">
        <w:rPr>
          <w:rFonts w:ascii="Verdana" w:hAnsi="Verdana"/>
          <w:sz w:val="12"/>
          <w:szCs w:val="12"/>
          <w:vertAlign w:val="superscript"/>
        </w:rPr>
        <w:footnoteRef/>
      </w:r>
      <w:r w:rsidRPr="00A57AFB">
        <w:rPr>
          <w:rFonts w:ascii="Verdana" w:hAnsi="Verdana"/>
          <w:sz w:val="12"/>
          <w:szCs w:val="12"/>
        </w:rPr>
        <w:t xml:space="preserve"> Artículo 17 de la Ley 1150 de 2007</w:t>
      </w:r>
    </w:p>
    <w:p w14:paraId="63BA30B1" w14:textId="77777777" w:rsidR="00512B6B" w:rsidRDefault="00512B6B" w:rsidP="00512B6B">
      <w:pPr>
        <w:pStyle w:val="Textonotapie"/>
        <w:ind w:firstLine="708"/>
        <w:jc w:val="both"/>
      </w:pPr>
    </w:p>
  </w:footnote>
  <w:footnote w:id="3">
    <w:p w14:paraId="78EAE1F8" w14:textId="77777777" w:rsidR="00512B6B" w:rsidRPr="00A57AFB" w:rsidRDefault="00512B6B" w:rsidP="00512B6B">
      <w:pPr>
        <w:pStyle w:val="Textonotapie"/>
        <w:ind w:firstLine="708"/>
        <w:jc w:val="both"/>
        <w:rPr>
          <w:rFonts w:ascii="Verdana" w:hAnsi="Verdana"/>
          <w:sz w:val="12"/>
          <w:szCs w:val="12"/>
        </w:rPr>
      </w:pPr>
      <w:r w:rsidRPr="00A57AFB">
        <w:rPr>
          <w:rFonts w:ascii="Verdana" w:hAnsi="Verdana"/>
          <w:sz w:val="12"/>
          <w:szCs w:val="12"/>
          <w:vertAlign w:val="superscript"/>
        </w:rPr>
        <w:footnoteRef/>
      </w:r>
      <w:r w:rsidRPr="00A57AFB">
        <w:rPr>
          <w:rFonts w:ascii="Verdana" w:hAnsi="Verdana"/>
          <w:sz w:val="12"/>
          <w:szCs w:val="12"/>
        </w:rPr>
        <w:t xml:space="preserve"> Artículo 21 de la Ley 1150 de 2007</w:t>
      </w:r>
    </w:p>
    <w:p w14:paraId="65EBE7F8" w14:textId="77777777" w:rsidR="00512B6B" w:rsidRDefault="00512B6B" w:rsidP="00512B6B">
      <w:pPr>
        <w:pStyle w:val="Textonotapie"/>
        <w:ind w:firstLine="708"/>
        <w:jc w:val="both"/>
      </w:pPr>
    </w:p>
  </w:footnote>
  <w:footnote w:id="4">
    <w:p w14:paraId="262EFF1F" w14:textId="77777777" w:rsidR="00512B6B" w:rsidRPr="00A57AFB" w:rsidRDefault="00512B6B" w:rsidP="00512B6B">
      <w:pPr>
        <w:pStyle w:val="Textonotapie"/>
        <w:ind w:firstLine="708"/>
        <w:jc w:val="both"/>
        <w:rPr>
          <w:rFonts w:ascii="Verdana" w:hAnsi="Verdana"/>
          <w:sz w:val="12"/>
          <w:szCs w:val="12"/>
        </w:rPr>
      </w:pPr>
      <w:r w:rsidRPr="00A57AFB">
        <w:rPr>
          <w:rFonts w:ascii="Verdana" w:hAnsi="Verdana"/>
          <w:sz w:val="12"/>
          <w:szCs w:val="12"/>
          <w:vertAlign w:val="superscript"/>
        </w:rPr>
        <w:footnoteRef/>
      </w:r>
      <w:r w:rsidRPr="00A57AFB">
        <w:rPr>
          <w:rFonts w:ascii="Verdana" w:hAnsi="Verdana"/>
          <w:sz w:val="12"/>
          <w:szCs w:val="12"/>
        </w:rPr>
        <w:t xml:space="preserve"> Artículos 83 a 86 de la Ley 1474 de 2011</w:t>
      </w:r>
    </w:p>
    <w:p w14:paraId="73FDFC8F" w14:textId="77777777" w:rsidR="00512B6B" w:rsidRDefault="00512B6B" w:rsidP="00512B6B">
      <w:pPr>
        <w:pStyle w:val="Textonotapie"/>
        <w:ind w:firstLine="708"/>
        <w:jc w:val="both"/>
      </w:pPr>
    </w:p>
  </w:footnote>
  <w:footnote w:id="5">
    <w:p w14:paraId="71CEF1E8" w14:textId="77777777" w:rsidR="00512B6B" w:rsidRPr="00A57AFB" w:rsidRDefault="00512B6B" w:rsidP="00512B6B">
      <w:pPr>
        <w:pStyle w:val="Textonotapie"/>
        <w:ind w:firstLine="708"/>
        <w:jc w:val="both"/>
        <w:rPr>
          <w:rFonts w:ascii="Verdana" w:hAnsi="Verdana"/>
          <w:sz w:val="12"/>
          <w:szCs w:val="12"/>
        </w:rPr>
      </w:pPr>
      <w:r w:rsidRPr="00A57AFB">
        <w:rPr>
          <w:rFonts w:ascii="Verdana" w:hAnsi="Verdana"/>
          <w:sz w:val="12"/>
          <w:szCs w:val="12"/>
          <w:vertAlign w:val="superscript"/>
        </w:rPr>
        <w:footnoteRef/>
      </w:r>
      <w:r w:rsidRPr="00A57AFB">
        <w:rPr>
          <w:rFonts w:ascii="Verdana" w:hAnsi="Verdana"/>
          <w:sz w:val="12"/>
          <w:szCs w:val="12"/>
        </w:rPr>
        <w:t xml:space="preserve"> Consejo de Estado. Sección 3ª. Sentencia del 27 de noviembre de 2017. M.P. Jaime Orlando</w:t>
      </w:r>
      <w:r>
        <w:rPr>
          <w:rFonts w:ascii="Verdana" w:hAnsi="Verdana"/>
          <w:sz w:val="12"/>
          <w:szCs w:val="12"/>
        </w:rPr>
        <w:t xml:space="preserve"> </w:t>
      </w:r>
      <w:r w:rsidRPr="00A57AFB">
        <w:rPr>
          <w:rFonts w:ascii="Verdana" w:hAnsi="Verdana"/>
          <w:sz w:val="12"/>
          <w:szCs w:val="12"/>
        </w:rPr>
        <w:t xml:space="preserve">Santofimio. </w:t>
      </w:r>
      <w:proofErr w:type="spellStart"/>
      <w:r w:rsidRPr="00A57AFB">
        <w:rPr>
          <w:rFonts w:ascii="Verdana" w:hAnsi="Verdana"/>
          <w:sz w:val="12"/>
          <w:szCs w:val="12"/>
        </w:rPr>
        <w:t>Exp</w:t>
      </w:r>
      <w:proofErr w:type="spellEnd"/>
      <w:r w:rsidRPr="00A57AFB">
        <w:rPr>
          <w:rFonts w:ascii="Verdana" w:hAnsi="Verdana"/>
          <w:sz w:val="12"/>
          <w:szCs w:val="12"/>
        </w:rPr>
        <w:t>. 51.802</w:t>
      </w:r>
    </w:p>
    <w:p w14:paraId="2B234A24" w14:textId="77777777" w:rsidR="00512B6B" w:rsidRDefault="00512B6B" w:rsidP="00512B6B">
      <w:pPr>
        <w:pStyle w:val="Textonotapie"/>
        <w:ind w:firstLine="708"/>
        <w:jc w:val="both"/>
      </w:pPr>
    </w:p>
  </w:footnote>
  <w:footnote w:id="6">
    <w:p w14:paraId="03E02079" w14:textId="77777777" w:rsidR="00512B6B" w:rsidRPr="00A57AFB" w:rsidRDefault="00512B6B" w:rsidP="00512B6B">
      <w:pPr>
        <w:pStyle w:val="Textonotapie"/>
        <w:ind w:firstLine="708"/>
        <w:jc w:val="both"/>
        <w:rPr>
          <w:rFonts w:ascii="Verdana" w:hAnsi="Verdana"/>
          <w:sz w:val="12"/>
          <w:szCs w:val="12"/>
        </w:rPr>
      </w:pPr>
      <w:r w:rsidRPr="00A57AFB">
        <w:rPr>
          <w:rFonts w:ascii="Verdana" w:hAnsi="Verdana"/>
          <w:sz w:val="12"/>
          <w:szCs w:val="12"/>
          <w:vertAlign w:val="superscript"/>
        </w:rPr>
        <w:footnoteRef/>
      </w:r>
      <w:r w:rsidRPr="00A57AFB">
        <w:rPr>
          <w:rFonts w:ascii="Verdana" w:hAnsi="Verdana"/>
          <w:sz w:val="12"/>
          <w:szCs w:val="12"/>
        </w:rPr>
        <w:t xml:space="preserve"> Artículo 83 de la Ley 1474 de 2011</w:t>
      </w:r>
    </w:p>
    <w:p w14:paraId="484A69D2" w14:textId="77777777" w:rsidR="00512B6B" w:rsidRDefault="00512B6B" w:rsidP="00512B6B">
      <w:pPr>
        <w:pStyle w:val="Textonotapie"/>
        <w:ind w:firstLine="708"/>
        <w:jc w:val="both"/>
      </w:pPr>
    </w:p>
  </w:footnote>
  <w:footnote w:id="7">
    <w:p w14:paraId="69CA690A" w14:textId="77777777" w:rsidR="00512B6B" w:rsidRDefault="00512B6B" w:rsidP="00512B6B">
      <w:pPr>
        <w:pStyle w:val="Textonotapie"/>
        <w:ind w:firstLine="708"/>
        <w:jc w:val="both"/>
      </w:pPr>
      <w:r w:rsidRPr="00A57AFB">
        <w:rPr>
          <w:rFonts w:ascii="Verdana" w:hAnsi="Verdana"/>
          <w:sz w:val="12"/>
          <w:szCs w:val="12"/>
          <w:vertAlign w:val="superscript"/>
        </w:rPr>
        <w:footnoteRef/>
      </w:r>
      <w:r w:rsidRPr="00A57AFB">
        <w:rPr>
          <w:rFonts w:ascii="Verdana" w:hAnsi="Verdana"/>
          <w:sz w:val="12"/>
          <w:szCs w:val="12"/>
        </w:rPr>
        <w:t xml:space="preserve"> A excepción de la interventoría del contrato de obra adjudicado por licitación pública que es</w:t>
      </w:r>
      <w:r>
        <w:rPr>
          <w:rFonts w:ascii="Verdana" w:hAnsi="Verdana"/>
          <w:sz w:val="12"/>
          <w:szCs w:val="12"/>
        </w:rPr>
        <w:t xml:space="preserve"> </w:t>
      </w:r>
      <w:r w:rsidRPr="00A57AFB">
        <w:rPr>
          <w:rFonts w:ascii="Verdana" w:hAnsi="Verdana"/>
          <w:sz w:val="12"/>
          <w:szCs w:val="12"/>
        </w:rPr>
        <w:t>obligatoria según el numeral 1° del artículo 32 de la Ley 80 de 1993.</w:t>
      </w:r>
    </w:p>
  </w:footnote>
  <w:footnote w:id="8">
    <w:p w14:paraId="152C96FA"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En las Gacetas Nos. 607 y 784 de 2010, en las páginas 12 y 24, respectivamente, se da cuenta de esto.</w:t>
      </w:r>
    </w:p>
    <w:p w14:paraId="6AA8AF56" w14:textId="77777777" w:rsidR="00512B6B" w:rsidRDefault="00512B6B" w:rsidP="00512B6B">
      <w:pPr>
        <w:pStyle w:val="Textonotapie"/>
        <w:ind w:firstLine="708"/>
        <w:jc w:val="both"/>
      </w:pPr>
    </w:p>
  </w:footnote>
  <w:footnote w:id="9">
    <w:p w14:paraId="645B711F"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Ver las Gacetas Nos. 1002 y 1117 de 2010, en las páginas 44 y 13, respectivamente.</w:t>
      </w:r>
    </w:p>
    <w:p w14:paraId="230FAE45" w14:textId="77777777" w:rsidR="00512B6B" w:rsidRDefault="00512B6B" w:rsidP="00512B6B">
      <w:pPr>
        <w:pStyle w:val="Textonotapie"/>
        <w:ind w:firstLine="708"/>
        <w:jc w:val="both"/>
      </w:pPr>
    </w:p>
  </w:footnote>
  <w:footnote w:id="10">
    <w:p w14:paraId="2B9D5825"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Ver la Gaceta No. 019 de 2011, en la página 17.</w:t>
      </w:r>
    </w:p>
    <w:p w14:paraId="4E4B5D6E" w14:textId="77777777" w:rsidR="00512B6B" w:rsidRDefault="00512B6B" w:rsidP="00512B6B">
      <w:pPr>
        <w:pStyle w:val="Textonotapie"/>
        <w:ind w:firstLine="708"/>
        <w:jc w:val="both"/>
      </w:pPr>
    </w:p>
  </w:footnote>
  <w:footnote w:id="11">
    <w:p w14:paraId="3C4C2492"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Ver la Gaceta No. 128 de 2011, en la página 20.</w:t>
      </w:r>
    </w:p>
    <w:p w14:paraId="5023C630" w14:textId="77777777" w:rsidR="00512B6B" w:rsidRDefault="00512B6B" w:rsidP="00512B6B">
      <w:pPr>
        <w:pStyle w:val="Textonotapie"/>
        <w:ind w:firstLine="708"/>
        <w:jc w:val="both"/>
      </w:pPr>
    </w:p>
  </w:footnote>
  <w:footnote w:id="12">
    <w:p w14:paraId="0776EE6A"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Ver la Gaceta No. 258 de 2011, en la página 16.</w:t>
      </w:r>
    </w:p>
    <w:p w14:paraId="78A51D37" w14:textId="77777777" w:rsidR="00512B6B" w:rsidRDefault="00512B6B" w:rsidP="00512B6B">
      <w:pPr>
        <w:pStyle w:val="Textonotapie"/>
        <w:ind w:firstLine="708"/>
        <w:jc w:val="both"/>
      </w:pPr>
    </w:p>
  </w:footnote>
  <w:footnote w:id="13">
    <w:p w14:paraId="715EB679"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Ver las Gacetas Nos. 1002 y 1117 de 2010.</w:t>
      </w:r>
    </w:p>
    <w:p w14:paraId="598B2496" w14:textId="77777777" w:rsidR="00512B6B" w:rsidRDefault="00512B6B" w:rsidP="00512B6B">
      <w:pPr>
        <w:pStyle w:val="Textonotapie"/>
        <w:ind w:firstLine="708"/>
        <w:jc w:val="both"/>
      </w:pPr>
    </w:p>
  </w:footnote>
  <w:footnote w:id="14">
    <w:p w14:paraId="4A07663C"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Consejo de Estado, Sección Tercera, Subsección A. Radicado No. 27426. C.P. Ramiro Pazos Guerrero.</w:t>
      </w:r>
    </w:p>
    <w:p w14:paraId="18E9DA2D" w14:textId="77777777" w:rsidR="00512B6B" w:rsidRDefault="00512B6B" w:rsidP="00512B6B">
      <w:pPr>
        <w:pStyle w:val="Textonotapie"/>
        <w:ind w:firstLine="708"/>
        <w:jc w:val="both"/>
      </w:pPr>
    </w:p>
  </w:footnote>
  <w:footnote w:id="15">
    <w:p w14:paraId="5E63A3AC" w14:textId="77777777" w:rsidR="00512B6B" w:rsidRPr="00A57AFB" w:rsidRDefault="00512B6B" w:rsidP="00512B6B">
      <w:pPr>
        <w:pStyle w:val="Textonotapie"/>
        <w:ind w:firstLine="708"/>
        <w:jc w:val="both"/>
        <w:rPr>
          <w:rFonts w:ascii="Verdana" w:hAnsi="Verdana" w:cs="Arial"/>
          <w:color w:val="000000"/>
          <w:sz w:val="12"/>
          <w:szCs w:val="12"/>
        </w:rPr>
      </w:pPr>
      <w:r w:rsidRPr="00A57AFB">
        <w:rPr>
          <w:rFonts w:ascii="Verdana" w:hAnsi="Verdana" w:cs="Arial"/>
          <w:color w:val="000000"/>
          <w:sz w:val="12"/>
          <w:szCs w:val="12"/>
          <w:vertAlign w:val="superscript"/>
        </w:rPr>
        <w:footnoteRef/>
      </w:r>
      <w:r w:rsidRPr="00A57AFB">
        <w:rPr>
          <w:rFonts w:ascii="Verdana" w:hAnsi="Verdana" w:cs="Arial"/>
          <w:color w:val="000000"/>
          <w:sz w:val="12"/>
          <w:szCs w:val="12"/>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w:t>
      </w:r>
      <w:proofErr w:type="gramStart"/>
      <w:r w:rsidRPr="00A57AFB">
        <w:rPr>
          <w:rFonts w:ascii="Verdana" w:hAnsi="Verdana" w:cs="Arial"/>
          <w:color w:val="000000"/>
          <w:sz w:val="12"/>
          <w:szCs w:val="12"/>
        </w:rPr>
        <w:t>que</w:t>
      </w:r>
      <w:proofErr w:type="gramEnd"/>
      <w:r w:rsidRPr="00A57AFB">
        <w:rPr>
          <w:rFonts w:ascii="Verdana" w:hAnsi="Verdana" w:cs="Arial"/>
          <w:color w:val="000000"/>
          <w:sz w:val="12"/>
          <w:szCs w:val="12"/>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A57AFB">
        <w:rPr>
          <w:rFonts w:ascii="Verdana" w:hAnsi="Verdana" w:cs="Arial"/>
          <w:color w:val="000000"/>
          <w:sz w:val="12"/>
          <w:szCs w:val="12"/>
        </w:rPr>
        <w:t>del mismo</w:t>
      </w:r>
      <w:proofErr w:type="gramEnd"/>
      <w:r w:rsidRPr="00A57AFB">
        <w:rPr>
          <w:rFonts w:ascii="Verdana" w:hAnsi="Verdana" w:cs="Arial"/>
          <w:color w:val="000000"/>
          <w:sz w:val="12"/>
          <w:szCs w:val="12"/>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 // Por regla general, no serán concurrentes en relación con un mismo contrato, las funciones de supervisión e interventoría. Sin embargo, la entidad puede dividir la vigilancia del contrato principal, caso en el </w:t>
      </w:r>
      <w:proofErr w:type="gramStart"/>
      <w:r w:rsidRPr="00A57AFB">
        <w:rPr>
          <w:rFonts w:ascii="Verdana" w:hAnsi="Verdana" w:cs="Arial"/>
          <w:color w:val="000000"/>
          <w:sz w:val="12"/>
          <w:szCs w:val="12"/>
        </w:rPr>
        <w:t>cual</w:t>
      </w:r>
      <w:proofErr w:type="gramEnd"/>
      <w:r w:rsidRPr="00A57AFB">
        <w:rPr>
          <w:rFonts w:ascii="Verdana" w:hAnsi="Verdana" w:cs="Arial"/>
          <w:color w:val="000000"/>
          <w:sz w:val="12"/>
          <w:szCs w:val="12"/>
        </w:rPr>
        <w:t xml:space="preserve"> en el contrato respectivo de interventoría, se deberán indicar las actividades técnicas a cargo del interventor y las demás quedarán a cargo de la Entidad a través del supervisor. // El contrato de Interventoría será supervisado directamente por la entidad estatal”.</w:t>
      </w:r>
    </w:p>
    <w:p w14:paraId="2F8AE796" w14:textId="77777777" w:rsidR="00512B6B" w:rsidRDefault="00512B6B" w:rsidP="00512B6B">
      <w:pPr>
        <w:pStyle w:val="Textonotapie"/>
        <w:ind w:firstLine="708"/>
        <w:jc w:val="both"/>
      </w:pPr>
    </w:p>
  </w:footnote>
  <w:footnote w:id="16">
    <w:p w14:paraId="7EE320C2" w14:textId="77777777" w:rsidR="00512B6B" w:rsidRDefault="00512B6B" w:rsidP="00512B6B">
      <w:pPr>
        <w:pStyle w:val="Textonotapie"/>
        <w:ind w:firstLine="708"/>
        <w:rPr>
          <w:rFonts w:ascii="Verdana" w:hAnsi="Verdana"/>
          <w:sz w:val="12"/>
          <w:szCs w:val="12"/>
          <w:lang w:val="es-CO"/>
        </w:rPr>
      </w:pPr>
      <w:r w:rsidRPr="00A25293">
        <w:rPr>
          <w:rStyle w:val="Refdenotaalpie"/>
          <w:rFonts w:ascii="Verdana" w:hAnsi="Verdana"/>
          <w:sz w:val="12"/>
          <w:szCs w:val="12"/>
        </w:rPr>
        <w:footnoteRef/>
      </w:r>
      <w:r w:rsidRPr="00A25293">
        <w:rPr>
          <w:rFonts w:ascii="Verdana" w:hAnsi="Verdana"/>
          <w:sz w:val="12"/>
          <w:szCs w:val="12"/>
        </w:rPr>
        <w:t xml:space="preserve"> </w:t>
      </w:r>
      <w:r w:rsidRPr="00A25293">
        <w:rPr>
          <w:rFonts w:ascii="Verdana" w:hAnsi="Verdana"/>
          <w:sz w:val="12"/>
          <w:szCs w:val="12"/>
          <w:lang w:val="es-CO"/>
        </w:rPr>
        <w:t xml:space="preserve">Congreso de la República de Colombia. (1998). </w:t>
      </w:r>
      <w:r w:rsidRPr="00A25293">
        <w:rPr>
          <w:rFonts w:ascii="Verdana" w:hAnsi="Verdana"/>
          <w:i/>
          <w:iCs/>
          <w:sz w:val="12"/>
          <w:szCs w:val="12"/>
          <w:lang w:val="es-CO"/>
        </w:rPr>
        <w:t>Ley 489 de 1998, por la cual se dictan normas sobre la organización y el funcionamiento de la Administración Pública</w:t>
      </w:r>
      <w:r w:rsidRPr="00A25293">
        <w:rPr>
          <w:rFonts w:ascii="Verdana" w:hAnsi="Verdana"/>
          <w:sz w:val="12"/>
          <w:szCs w:val="12"/>
          <w:lang w:val="es-CO"/>
        </w:rPr>
        <w:t xml:space="preserve"> (art. 110)</w:t>
      </w:r>
    </w:p>
    <w:p w14:paraId="6A6CA650" w14:textId="77777777" w:rsidR="00512B6B" w:rsidRPr="00A25293" w:rsidRDefault="00512B6B" w:rsidP="00512B6B">
      <w:pPr>
        <w:pStyle w:val="Textonotapie"/>
        <w:ind w:firstLine="708"/>
        <w:rPr>
          <w:rFonts w:ascii="Verdana" w:hAnsi="Verdana"/>
          <w:sz w:val="12"/>
          <w:szCs w:val="12"/>
          <w:lang w:val="es-CO"/>
        </w:rPr>
      </w:pPr>
    </w:p>
  </w:footnote>
  <w:footnote w:id="17">
    <w:p w14:paraId="6535445F" w14:textId="77777777" w:rsidR="00512B6B" w:rsidRPr="006527FF" w:rsidRDefault="00512B6B" w:rsidP="00512B6B">
      <w:pPr>
        <w:pStyle w:val="Textonotapie"/>
        <w:ind w:firstLine="708"/>
        <w:rPr>
          <w:rFonts w:ascii="Verdana" w:hAnsi="Verdana"/>
          <w:sz w:val="12"/>
          <w:szCs w:val="12"/>
          <w:lang w:val="en-US"/>
        </w:rPr>
      </w:pPr>
      <w:r w:rsidRPr="004E716D">
        <w:rPr>
          <w:rStyle w:val="Refdenotaalpie"/>
          <w:rFonts w:ascii="Verdana" w:hAnsi="Verdana"/>
          <w:sz w:val="12"/>
          <w:szCs w:val="12"/>
        </w:rPr>
        <w:footnoteRef/>
      </w:r>
      <w:r w:rsidRPr="006527FF">
        <w:rPr>
          <w:rFonts w:ascii="Verdana" w:hAnsi="Verdana"/>
          <w:sz w:val="12"/>
          <w:szCs w:val="12"/>
          <w:lang w:val="en-US"/>
        </w:rPr>
        <w:t xml:space="preserve"> Ibidem. (art. 111)</w:t>
      </w:r>
      <w:r>
        <w:rPr>
          <w:rFonts w:ascii="Verdana" w:hAnsi="Verdana"/>
          <w:sz w:val="12"/>
          <w:szCs w:val="12"/>
          <w:lang w:val="en-US"/>
        </w:rPr>
        <w:t>.</w:t>
      </w:r>
    </w:p>
  </w:footnote>
  <w:footnote w:id="18">
    <w:p w14:paraId="478CCD46" w14:textId="77777777" w:rsidR="00512B6B" w:rsidRPr="006527FF" w:rsidRDefault="00512B6B" w:rsidP="00512B6B">
      <w:pPr>
        <w:pStyle w:val="Textonotapie"/>
        <w:ind w:firstLine="708"/>
        <w:rPr>
          <w:rFonts w:ascii="Verdana" w:hAnsi="Verdana"/>
          <w:sz w:val="12"/>
          <w:szCs w:val="12"/>
          <w:lang w:val="en-US"/>
        </w:rPr>
      </w:pPr>
      <w:r w:rsidRPr="00647661">
        <w:rPr>
          <w:rStyle w:val="Refdenotaalpie"/>
          <w:rFonts w:ascii="Verdana" w:hAnsi="Verdana"/>
          <w:sz w:val="12"/>
          <w:szCs w:val="12"/>
        </w:rPr>
        <w:footnoteRef/>
      </w:r>
      <w:r w:rsidRPr="006527FF">
        <w:rPr>
          <w:rFonts w:ascii="Verdana" w:hAnsi="Verdana"/>
          <w:sz w:val="12"/>
          <w:szCs w:val="12"/>
          <w:lang w:val="en-US"/>
        </w:rPr>
        <w:t xml:space="preserve"> Ibidem. (art. 112).</w:t>
      </w:r>
      <w:r w:rsidRPr="006527FF" w:rsidDel="008078B5">
        <w:rPr>
          <w:rFonts w:ascii="Verdana" w:hAnsi="Verdana"/>
          <w:sz w:val="12"/>
          <w:szCs w:val="12"/>
          <w:lang w:val="en-US"/>
        </w:rPr>
        <w:t xml:space="preserve"> </w:t>
      </w:r>
    </w:p>
    <w:p w14:paraId="7FABCB52" w14:textId="77777777" w:rsidR="00512B6B" w:rsidRPr="006527FF" w:rsidRDefault="00512B6B" w:rsidP="00512B6B">
      <w:pPr>
        <w:pStyle w:val="Textonotapie"/>
        <w:ind w:firstLine="708"/>
        <w:rPr>
          <w:rFonts w:ascii="Verdana" w:hAnsi="Verdana"/>
          <w:sz w:val="12"/>
          <w:szCs w:val="12"/>
          <w:lang w:val="en-US"/>
        </w:rPr>
      </w:pPr>
    </w:p>
  </w:footnote>
  <w:footnote w:id="19">
    <w:p w14:paraId="7CA40145" w14:textId="77777777" w:rsidR="00512B6B" w:rsidRPr="00D45033" w:rsidRDefault="00512B6B" w:rsidP="00512B6B">
      <w:pPr>
        <w:pStyle w:val="Textonotapie"/>
        <w:ind w:firstLine="708"/>
        <w:rPr>
          <w:rFonts w:ascii="Verdana" w:hAnsi="Verdana"/>
          <w:sz w:val="12"/>
          <w:szCs w:val="12"/>
          <w:lang w:val="es-CO"/>
        </w:rPr>
      </w:pPr>
      <w:r w:rsidRPr="00647661">
        <w:rPr>
          <w:rStyle w:val="Refdenotaalpie"/>
          <w:rFonts w:ascii="Verdana" w:hAnsi="Verdana"/>
          <w:sz w:val="12"/>
          <w:szCs w:val="12"/>
        </w:rPr>
        <w:footnoteRef/>
      </w:r>
      <w:r w:rsidRPr="006527FF">
        <w:rPr>
          <w:rFonts w:ascii="Verdana" w:hAnsi="Verdana"/>
          <w:sz w:val="12"/>
          <w:szCs w:val="12"/>
          <w:lang w:val="en-US"/>
        </w:rPr>
        <w:t xml:space="preserve"> Ibidem. </w:t>
      </w:r>
      <w:r w:rsidRPr="00D45033">
        <w:rPr>
          <w:rFonts w:ascii="Verdana" w:hAnsi="Verdana"/>
          <w:sz w:val="12"/>
          <w:szCs w:val="12"/>
          <w:lang w:val="es-CO"/>
        </w:rPr>
        <w:t>(art. 113)</w:t>
      </w:r>
      <w:r>
        <w:rPr>
          <w:rFonts w:ascii="Verdana" w:hAnsi="Verdana"/>
          <w:sz w:val="12"/>
          <w:szCs w:val="12"/>
          <w:lang w:val="es-CO"/>
        </w:rPr>
        <w:t>.</w:t>
      </w:r>
      <w:r w:rsidRPr="00D45033">
        <w:rPr>
          <w:rFonts w:ascii="Verdana" w:hAnsi="Verdana"/>
          <w:sz w:val="12"/>
          <w:szCs w:val="12"/>
          <w:lang w:val="es-CO"/>
        </w:rPr>
        <w:t xml:space="preserve"> </w:t>
      </w:r>
    </w:p>
  </w:footnote>
  <w:footnote w:id="20">
    <w:p w14:paraId="3AD1B744" w14:textId="77777777" w:rsidR="00512B6B" w:rsidRPr="00D45033" w:rsidRDefault="00512B6B" w:rsidP="00512B6B">
      <w:pPr>
        <w:pStyle w:val="Textonotapie"/>
        <w:rPr>
          <w:lang w:val="es-CO"/>
        </w:rPr>
      </w:pPr>
      <w:r w:rsidRPr="00A678B8">
        <w:rPr>
          <w:rStyle w:val="Refdenotaalpie"/>
          <w:rFonts w:ascii="Verdana" w:hAnsi="Verdana"/>
          <w:sz w:val="12"/>
          <w:szCs w:val="12"/>
        </w:rPr>
        <w:footnoteRef/>
      </w:r>
      <w:r w:rsidRPr="00D45033">
        <w:rPr>
          <w:rFonts w:ascii="Verdana" w:hAnsi="Verdana"/>
          <w:sz w:val="12"/>
          <w:szCs w:val="12"/>
        </w:rPr>
        <w:t xml:space="preserve"> </w:t>
      </w:r>
      <w:r w:rsidRPr="00D45033" w:rsidDel="008078B5">
        <w:rPr>
          <w:rFonts w:ascii="Verdana" w:hAnsi="Verdana"/>
          <w:sz w:val="12"/>
          <w:szCs w:val="12"/>
          <w:lang w:val="es-CO"/>
        </w:rPr>
        <w:t xml:space="preserve">Congreso de la República de Colombia. (1998). </w:t>
      </w:r>
      <w:r w:rsidRPr="00D45033" w:rsidDel="008078B5">
        <w:rPr>
          <w:rFonts w:ascii="Verdana" w:hAnsi="Verdana"/>
          <w:i/>
          <w:sz w:val="12"/>
          <w:szCs w:val="12"/>
          <w:lang w:val="es-CO"/>
        </w:rPr>
        <w:t>Ley 489 de 1998, por la cual se dictan normas sobre la organización y el funcionamiento de la Administración Pública</w:t>
      </w:r>
      <w:r w:rsidRPr="00D45033">
        <w:rPr>
          <w:rFonts w:ascii="Verdana" w:hAnsi="Verdana"/>
          <w:sz w:val="12"/>
          <w:szCs w:val="12"/>
          <w:lang w:val="es-CO"/>
        </w:rPr>
        <w:t xml:space="preserve"> (art. 114).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B0031" w14:textId="77777777" w:rsidR="00570D88" w:rsidRDefault="00570D8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0CAA67D" wp14:editId="1961C4FC">
          <wp:simplePos x="0" y="0"/>
          <wp:positionH relativeFrom="margin">
            <wp:align>center</wp:align>
          </wp:positionH>
          <wp:positionV relativeFrom="paragraph">
            <wp:posOffset>-280797</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6CEAB2C" wp14:editId="5189969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6631CA8" w14:textId="77777777" w:rsidR="00570D88" w:rsidRDefault="00570D88">
    <w:pPr>
      <w:pStyle w:val="Encabezado"/>
    </w:pPr>
  </w:p>
  <w:p w14:paraId="534F5676" w14:textId="77777777" w:rsidR="00570D88" w:rsidRDefault="00570D88">
    <w:pPr>
      <w:pStyle w:val="Encabezado"/>
    </w:pPr>
  </w:p>
  <w:p w14:paraId="25B4C968" w14:textId="77777777" w:rsidR="00570D88" w:rsidRDefault="00570D8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856CAA"/>
    <w:multiLevelType w:val="multilevel"/>
    <w:tmpl w:val="19D2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BCD33FF"/>
    <w:multiLevelType w:val="hybridMultilevel"/>
    <w:tmpl w:val="18B8A3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2"/>
  </w:num>
  <w:num w:numId="3" w16cid:durableId="455372714">
    <w:abstractNumId w:val="3"/>
  </w:num>
  <w:num w:numId="4" w16cid:durableId="2046048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D88"/>
    <w:rsid w:val="000F5A42"/>
    <w:rsid w:val="0013363D"/>
    <w:rsid w:val="001F6D4E"/>
    <w:rsid w:val="00203342"/>
    <w:rsid w:val="00512B6B"/>
    <w:rsid w:val="00553BCB"/>
    <w:rsid w:val="00570D88"/>
    <w:rsid w:val="0066555B"/>
    <w:rsid w:val="00837A16"/>
    <w:rsid w:val="009E7789"/>
    <w:rsid w:val="00A12218"/>
    <w:rsid w:val="00A90678"/>
    <w:rsid w:val="00BE38A3"/>
    <w:rsid w:val="00C76D74"/>
    <w:rsid w:val="00DC68B8"/>
    <w:rsid w:val="00E44EAF"/>
    <w:rsid w:val="00F32F50"/>
    <w:rsid w:val="00F82B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F5DA1"/>
  <w15:chartTrackingRefBased/>
  <w15:docId w15:val="{5A6F88F9-6BA1-43BE-90D9-23BB329DB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8A3"/>
    <w:rPr>
      <w:kern w:val="0"/>
      <w14:ligatures w14:val="none"/>
    </w:rPr>
  </w:style>
  <w:style w:type="paragraph" w:styleId="Ttulo1">
    <w:name w:val="heading 1"/>
    <w:basedOn w:val="Normal"/>
    <w:next w:val="Normal"/>
    <w:link w:val="Ttulo1Car"/>
    <w:uiPriority w:val="9"/>
    <w:qFormat/>
    <w:rsid w:val="00570D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70D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70D8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70D8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70D8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70D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70D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70D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70D8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0D8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70D8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70D8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70D8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70D8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70D8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70D8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70D8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70D88"/>
    <w:rPr>
      <w:rFonts w:eastAsiaTheme="majorEastAsia" w:cstheme="majorBidi"/>
      <w:color w:val="272727" w:themeColor="text1" w:themeTint="D8"/>
    </w:rPr>
  </w:style>
  <w:style w:type="paragraph" w:styleId="Ttulo">
    <w:name w:val="Title"/>
    <w:basedOn w:val="Normal"/>
    <w:next w:val="Normal"/>
    <w:link w:val="TtuloCar"/>
    <w:uiPriority w:val="10"/>
    <w:qFormat/>
    <w:rsid w:val="00570D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70D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70D8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70D8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70D88"/>
    <w:pPr>
      <w:spacing w:before="160"/>
      <w:jc w:val="center"/>
    </w:pPr>
    <w:rPr>
      <w:i/>
      <w:iCs/>
      <w:color w:val="404040" w:themeColor="text1" w:themeTint="BF"/>
    </w:rPr>
  </w:style>
  <w:style w:type="character" w:customStyle="1" w:styleId="CitaCar">
    <w:name w:val="Cita Car"/>
    <w:basedOn w:val="Fuentedeprrafopredeter"/>
    <w:link w:val="Cita"/>
    <w:uiPriority w:val="29"/>
    <w:rsid w:val="00570D8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70D88"/>
    <w:pPr>
      <w:ind w:left="720"/>
      <w:contextualSpacing/>
    </w:pPr>
  </w:style>
  <w:style w:type="character" w:styleId="nfasisintenso">
    <w:name w:val="Intense Emphasis"/>
    <w:basedOn w:val="Fuentedeprrafopredeter"/>
    <w:uiPriority w:val="21"/>
    <w:qFormat/>
    <w:rsid w:val="00570D88"/>
    <w:rPr>
      <w:i/>
      <w:iCs/>
      <w:color w:val="0F4761" w:themeColor="accent1" w:themeShade="BF"/>
    </w:rPr>
  </w:style>
  <w:style w:type="paragraph" w:styleId="Citadestacada">
    <w:name w:val="Intense Quote"/>
    <w:basedOn w:val="Normal"/>
    <w:next w:val="Normal"/>
    <w:link w:val="CitadestacadaCar"/>
    <w:uiPriority w:val="30"/>
    <w:qFormat/>
    <w:rsid w:val="00570D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70D88"/>
    <w:rPr>
      <w:i/>
      <w:iCs/>
      <w:color w:val="0F4761" w:themeColor="accent1" w:themeShade="BF"/>
    </w:rPr>
  </w:style>
  <w:style w:type="character" w:styleId="Referenciaintensa">
    <w:name w:val="Intense Reference"/>
    <w:basedOn w:val="Fuentedeprrafopredeter"/>
    <w:uiPriority w:val="32"/>
    <w:qFormat/>
    <w:rsid w:val="00570D88"/>
    <w:rPr>
      <w:b/>
      <w:bCs/>
      <w:smallCaps/>
      <w:color w:val="0F4761" w:themeColor="accent1" w:themeShade="BF"/>
      <w:spacing w:val="5"/>
    </w:rPr>
  </w:style>
  <w:style w:type="paragraph" w:styleId="Encabezado">
    <w:name w:val="header"/>
    <w:basedOn w:val="Normal"/>
    <w:link w:val="EncabezadoCar"/>
    <w:uiPriority w:val="99"/>
    <w:unhideWhenUsed/>
    <w:rsid w:val="00570D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0D88"/>
    <w:rPr>
      <w:kern w:val="0"/>
      <w14:ligatures w14:val="none"/>
    </w:rPr>
  </w:style>
  <w:style w:type="paragraph" w:styleId="Piedepgina">
    <w:name w:val="footer"/>
    <w:basedOn w:val="Normal"/>
    <w:link w:val="PiedepginaCar"/>
    <w:uiPriority w:val="99"/>
    <w:unhideWhenUsed/>
    <w:rsid w:val="00570D8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70D8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70D8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70D8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70D8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570D88"/>
    <w:rPr>
      <w:vertAlign w:val="superscript"/>
    </w:rPr>
  </w:style>
  <w:style w:type="character" w:customStyle="1" w:styleId="normaltextrun">
    <w:name w:val="normaltextrun"/>
    <w:basedOn w:val="Fuentedeprrafopredeter"/>
    <w:rsid w:val="00570D88"/>
  </w:style>
  <w:style w:type="table" w:styleId="Tablaconcuadrcula">
    <w:name w:val="Table Grid"/>
    <w:basedOn w:val="Tablanormal"/>
    <w:uiPriority w:val="39"/>
    <w:qFormat/>
    <w:rsid w:val="00570D8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70D88"/>
    <w:rPr>
      <w:rFonts w:cs="Times New Roman"/>
      <w:color w:val="0000FF"/>
      <w:u w:val="single"/>
    </w:rPr>
  </w:style>
  <w:style w:type="paragraph" w:customStyle="1" w:styleId="paragraph">
    <w:name w:val="paragraph"/>
    <w:basedOn w:val="Normal"/>
    <w:rsid w:val="00570D8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570D88"/>
  </w:style>
  <w:style w:type="character" w:styleId="Refdecomentario">
    <w:name w:val="annotation reference"/>
    <w:basedOn w:val="Fuentedeprrafopredeter"/>
    <w:uiPriority w:val="99"/>
    <w:semiHidden/>
    <w:unhideWhenUsed/>
    <w:rsid w:val="00570D88"/>
    <w:rPr>
      <w:sz w:val="16"/>
      <w:szCs w:val="16"/>
    </w:rPr>
  </w:style>
  <w:style w:type="paragraph" w:styleId="Textocomentario">
    <w:name w:val="annotation text"/>
    <w:basedOn w:val="Normal"/>
    <w:link w:val="TextocomentarioCar"/>
    <w:uiPriority w:val="99"/>
    <w:unhideWhenUsed/>
    <w:rsid w:val="00570D88"/>
    <w:pPr>
      <w:spacing w:line="240" w:lineRule="auto"/>
    </w:pPr>
    <w:rPr>
      <w:sz w:val="20"/>
      <w:szCs w:val="20"/>
    </w:rPr>
  </w:style>
  <w:style w:type="character" w:customStyle="1" w:styleId="TextocomentarioCar">
    <w:name w:val="Texto comentario Car"/>
    <w:basedOn w:val="Fuentedeprrafopredeter"/>
    <w:link w:val="Textocomentario"/>
    <w:uiPriority w:val="99"/>
    <w:rsid w:val="00570D88"/>
    <w:rPr>
      <w:kern w:val="0"/>
      <w:sz w:val="20"/>
      <w:szCs w:val="20"/>
      <w14:ligatures w14:val="non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70D88"/>
  </w:style>
  <w:style w:type="paragraph" w:styleId="NormalWeb">
    <w:name w:val="Normal (Web)"/>
    <w:basedOn w:val="Normal"/>
    <w:uiPriority w:val="99"/>
    <w:semiHidden/>
    <w:unhideWhenUsed/>
    <w:rsid w:val="00E44EA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558784">
      <w:bodyDiv w:val="1"/>
      <w:marLeft w:val="0"/>
      <w:marRight w:val="0"/>
      <w:marTop w:val="0"/>
      <w:marBottom w:val="0"/>
      <w:divBdr>
        <w:top w:val="none" w:sz="0" w:space="0" w:color="auto"/>
        <w:left w:val="none" w:sz="0" w:space="0" w:color="auto"/>
        <w:bottom w:val="none" w:sz="0" w:space="0" w:color="auto"/>
        <w:right w:val="none" w:sz="0" w:space="0" w:color="auto"/>
      </w:divBdr>
    </w:div>
    <w:div w:id="927228660">
      <w:bodyDiv w:val="1"/>
      <w:marLeft w:val="0"/>
      <w:marRight w:val="0"/>
      <w:marTop w:val="0"/>
      <w:marBottom w:val="0"/>
      <w:divBdr>
        <w:top w:val="none" w:sz="0" w:space="0" w:color="auto"/>
        <w:left w:val="none" w:sz="0" w:space="0" w:color="auto"/>
        <w:bottom w:val="none" w:sz="0" w:space="0" w:color="auto"/>
        <w:right w:val="none" w:sz="0" w:space="0" w:color="auto"/>
      </w:divBdr>
    </w:div>
    <w:div w:id="990838954">
      <w:bodyDiv w:val="1"/>
      <w:marLeft w:val="0"/>
      <w:marRight w:val="0"/>
      <w:marTop w:val="0"/>
      <w:marBottom w:val="0"/>
      <w:divBdr>
        <w:top w:val="none" w:sz="0" w:space="0" w:color="auto"/>
        <w:left w:val="none" w:sz="0" w:space="0" w:color="auto"/>
        <w:bottom w:val="none" w:sz="0" w:space="0" w:color="auto"/>
        <w:right w:val="none" w:sz="0" w:space="0" w:color="auto"/>
      </w:divBdr>
    </w:div>
    <w:div w:id="1612664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andreina.cerpa%40colombiacompra.gov.co%7Cb18b651bca3a4eb8eab008dd269b400d%7C7b09041e245149d08cb179d5e3d8c1be%7C0%7C0%7C638709170415772816%7CUnknown%7CTWFpbGZsb3d8eyJFbXB0eU1hcGkiOnRydWUsIlYiOiIwLjAuMDAwMCIsIlAiOiJXaW4zMiIsIkFOIjoiTWFpbCIsIldUIjoyfQ%3D%3D%7C0%7C%7C%7C&amp;sdata=PBDkvgAHeIoaCeeQekGFgDhs2Sk1tsb5MPeryxTBPfY%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andreina.cerpa%40colombiacompra.gov.co%7Cb18b651bca3a4eb8eab008dd269b400d%7C7b09041e245149d08cb179d5e3d8c1be%7C0%7C0%7C638709170415762859%7CUnknown%7CTWFpbGZsb3d8eyJFbXB0eU1hcGkiOnRydWUsIlYiOiIwLjAuMDAwMCIsIlAiOiJXaW4zMiIsIkFOIjoiTWFpbCIsIldUIjoyfQ%3D%3D%7C0%7C%7C%7C&amp;sdata=QEXbsPMsy4NNbejOWug2qoOHUVSLpC6V2KjZEegrbWE%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cabuyao@mindeporte.gov.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ontent%2F03-documentos-tipo-para-los-procesos-de-seleccion-de-interventoria-de-obra-publica-de&amp;data=05%7C02%7Candreina.cerpa%40colombiacompra.gov.co%7Cb18b651bca3a4eb8eab008dd269b400d%7C7b09041e245149d08cb179d5e3d8c1be%7C0%7C0%7C638709170415744530%7CUnknown%7CTWFpbGZsb3d8eyJFbXB0eU1hcGkiOnRydWUsIlYiOiIwLjAuMDAwMCIsIlAiOiJXaW4zMiIsIkFOIjoiTWFpbCIsIldUIjoyfQ%3D%3D%7C0%7C%7C%7C&amp;sdata=%2BVedJu7Gpp7wg2hvJwFoj1NpmV2LIKtcMjk%2F9gnqIA4%3D&amp;reserved=0"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11B160-9AE5-4A5E-9502-7E3A86BE7D83}">
  <ds:schemaRefs>
    <ds:schemaRef ds:uri="http://schemas.microsoft.com/sharepoint/v3/contenttype/forms"/>
  </ds:schemaRefs>
</ds:datastoreItem>
</file>

<file path=customXml/itemProps2.xml><?xml version="1.0" encoding="utf-8"?>
<ds:datastoreItem xmlns:ds="http://schemas.openxmlformats.org/officeDocument/2006/customXml" ds:itemID="{E12EF6E0-ECE2-444F-9518-791A798C84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A9876A-50C8-4A9A-B44B-D71BAECE5F05}">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16</Pages>
  <Words>5208</Words>
  <Characters>28649</Characters>
  <Application>Microsoft Office Word</Application>
  <DocSecurity>0</DocSecurity>
  <Lines>238</Lines>
  <Paragraphs>67</Paragraphs>
  <ScaleCrop>false</ScaleCrop>
  <Company/>
  <LinksUpToDate>false</LinksUpToDate>
  <CharactersWithSpaces>33790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12</cp:revision>
  <dcterms:created xsi:type="dcterms:W3CDTF">2025-01-15T20:10:00Z</dcterms:created>
  <dcterms:modified xsi:type="dcterms:W3CDTF">2025-01-27T16:22:00Z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