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9B4599" w14:textId="25343BB4" w:rsidR="00A7790D" w:rsidRPr="00A7790D" w:rsidRDefault="00A7790D" w:rsidP="00A7790D">
      <w:pPr>
        <w:spacing w:after="0" w:line="240" w:lineRule="auto"/>
        <w:jc w:val="both"/>
        <w:rPr>
          <w:rFonts w:ascii="Verdana" w:eastAsia="Geomanist Light" w:hAnsi="Verdana" w:cs="Arial"/>
          <w:color w:val="000000" w:themeColor="text1"/>
        </w:rPr>
      </w:pPr>
      <w:r w:rsidRPr="00A7790D">
        <w:rPr>
          <w:rFonts w:ascii="Verdana" w:eastAsia="Geomanist Light" w:hAnsi="Verdana" w:cs="Arial"/>
          <w:b/>
          <w:bCs/>
          <w:color w:val="000000" w:themeColor="text1"/>
        </w:rPr>
        <w:t>REQUISITOS HABILITANTES – Capacidad financiera – Autonomía</w:t>
      </w:r>
    </w:p>
    <w:p w14:paraId="29AC3382" w14:textId="77777777" w:rsidR="00A7790D" w:rsidRDefault="00A7790D" w:rsidP="00A7790D">
      <w:pPr>
        <w:spacing w:after="0" w:line="240" w:lineRule="auto"/>
        <w:jc w:val="both"/>
        <w:rPr>
          <w:rFonts w:ascii="Verdana" w:eastAsia="Geomanist Light" w:hAnsi="Verdana" w:cs="Arial"/>
          <w:color w:val="000000" w:themeColor="text1"/>
        </w:rPr>
      </w:pPr>
    </w:p>
    <w:p w14:paraId="3DC9EC6D" w14:textId="2ADE3536" w:rsidR="00A7790D" w:rsidRPr="00A7790D" w:rsidRDefault="00A7790D" w:rsidP="00A7790D">
      <w:pPr>
        <w:spacing w:after="0" w:line="240" w:lineRule="auto"/>
        <w:jc w:val="both"/>
        <w:rPr>
          <w:rFonts w:ascii="Verdana" w:eastAsia="Geomanist Light" w:hAnsi="Verdana" w:cs="Arial"/>
          <w:color w:val="000000" w:themeColor="text1"/>
          <w:sz w:val="20"/>
          <w:szCs w:val="20"/>
        </w:rPr>
      </w:pPr>
      <w:r w:rsidRPr="00A7790D">
        <w:rPr>
          <w:rFonts w:ascii="Verdana" w:eastAsia="Geomanist Light" w:hAnsi="Verdana" w:cs="Arial"/>
          <w:color w:val="000000" w:themeColor="text1"/>
          <w:sz w:val="20"/>
          <w:szCs w:val="20"/>
        </w:rPr>
        <w:t>Los requisitos habilitantes se definen como exigencias de participación en los procedimientos de selección, establecidos en disposiciones normativas, de carácter legal o reglamentario, o contenidas en el acto administrativo que regula las reglas de la convocatoria, es decir, en el pliego de condiciones o el documento equivalente a este. Se diferencian de los criterios de evaluación –también conocidos como criterios de calificación– en que estos son los factores definidos por la Entidad Estatal para la asignación de puntaje en el momento de la comparación de las ofertas, y que, a partir de su ponderación, permiten establecer el orden de elegibilidad y, por ende, la propuesta ganadora.</w:t>
      </w:r>
    </w:p>
    <w:p w14:paraId="067FF688" w14:textId="77777777" w:rsidR="00A7790D" w:rsidRPr="00A7790D" w:rsidRDefault="00A7790D" w:rsidP="00A7790D">
      <w:pPr>
        <w:spacing w:after="0" w:line="240" w:lineRule="auto"/>
        <w:jc w:val="both"/>
        <w:rPr>
          <w:rFonts w:ascii="Verdana" w:eastAsia="Geomanist Light" w:hAnsi="Verdana" w:cs="Arial"/>
          <w:color w:val="000000" w:themeColor="text1"/>
          <w:sz w:val="20"/>
          <w:szCs w:val="20"/>
        </w:rPr>
      </w:pPr>
      <w:r w:rsidRPr="00A7790D">
        <w:rPr>
          <w:rFonts w:ascii="Verdana" w:eastAsia="Geomanist Light" w:hAnsi="Verdana" w:cs="Arial"/>
          <w:color w:val="000000" w:themeColor="text1"/>
          <w:sz w:val="20"/>
          <w:szCs w:val="20"/>
        </w:rPr>
        <w:t>[…]</w:t>
      </w:r>
    </w:p>
    <w:p w14:paraId="76216637" w14:textId="77777777" w:rsidR="00A7790D" w:rsidRPr="00A7790D" w:rsidRDefault="00A7790D" w:rsidP="00A7790D">
      <w:pPr>
        <w:spacing w:after="0" w:line="240" w:lineRule="auto"/>
        <w:jc w:val="both"/>
        <w:rPr>
          <w:rFonts w:ascii="Verdana" w:eastAsia="Geomanist Light" w:hAnsi="Verdana" w:cs="Arial"/>
          <w:color w:val="000000" w:themeColor="text1"/>
          <w:sz w:val="20"/>
          <w:szCs w:val="20"/>
        </w:rPr>
      </w:pPr>
      <w:r w:rsidRPr="00A7790D">
        <w:rPr>
          <w:rFonts w:ascii="Verdana" w:eastAsia="Geomanist Light" w:hAnsi="Verdana" w:cs="Arial"/>
          <w:color w:val="000000" w:themeColor="text1"/>
          <w:sz w:val="20"/>
          <w:szCs w:val="20"/>
        </w:rPr>
        <w:t>Ahora bien, dentro de los requisitos habilitantes se destaca la capacidad financiera, la cual se deriva del comportamiento contable de la empresa, su liquidez y endeudamiento, para determinar que sus recursos y solidez financiera le permita cumplir los compromisos que adquiera. Como explica esta Agencia en el Manual para determinar y verificar los requisitos habilitantes en los procesos de contratación: </w:t>
      </w:r>
      <w:r w:rsidRPr="00A7790D">
        <w:rPr>
          <w:rFonts w:ascii="Verdana" w:eastAsia="Geomanist Light" w:hAnsi="Verdana" w:cs="Arial"/>
          <w:i/>
          <w:iCs/>
          <w:color w:val="000000" w:themeColor="text1"/>
          <w:sz w:val="20"/>
          <w:szCs w:val="20"/>
        </w:rPr>
        <w:t>“Los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r w:rsidRPr="00A7790D">
        <w:rPr>
          <w:rFonts w:ascii="Verdana" w:eastAsia="Geomanist Light" w:hAnsi="Verdana" w:cs="Arial"/>
          <w:color w:val="000000" w:themeColor="text1"/>
          <w:sz w:val="20"/>
          <w:szCs w:val="20"/>
        </w:rPr>
        <w:t>”.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 y sus componentes como la identificación de riesgos, el mercado y precio del bien, obra o servicio a contratar.</w:t>
      </w:r>
    </w:p>
    <w:p w14:paraId="11F49D03" w14:textId="77777777" w:rsidR="00E07985" w:rsidRPr="00A7790D" w:rsidRDefault="00E07985" w:rsidP="00631F2C">
      <w:pPr>
        <w:spacing w:after="0" w:line="240" w:lineRule="auto"/>
        <w:rPr>
          <w:rFonts w:ascii="Verdana" w:eastAsia="Geomanist Light" w:hAnsi="Verdana" w:cs="Arial"/>
          <w:color w:val="000000" w:themeColor="text1"/>
        </w:rPr>
      </w:pPr>
    </w:p>
    <w:p w14:paraId="5C660070" w14:textId="77777777" w:rsidR="00570C9C" w:rsidRPr="000C484B" w:rsidRDefault="00570C9C" w:rsidP="00570C9C">
      <w:pPr>
        <w:spacing w:line="276" w:lineRule="auto"/>
        <w:jc w:val="both"/>
        <w:rPr>
          <w:rFonts w:ascii="Verdana" w:eastAsia="Calibri" w:hAnsi="Verdana" w:cs="Arial"/>
          <w:b/>
          <w:lang w:val="es-MX" w:eastAsia="es-ES_tradnl"/>
        </w:rPr>
      </w:pPr>
      <w:r w:rsidRPr="000C484B">
        <w:rPr>
          <w:rFonts w:ascii="Verdana" w:eastAsia="Calibri" w:hAnsi="Verdana" w:cs="Arial"/>
          <w:b/>
          <w:lang w:val="es-MX" w:eastAsia="es-ES_tradnl"/>
        </w:rPr>
        <w:t xml:space="preserve">CAPACIDAD FINANCIERA – Acreditación – Endeudamiento – Manual para determinar los requisitos habilitantes </w:t>
      </w:r>
    </w:p>
    <w:p w14:paraId="3A0F169C" w14:textId="77777777" w:rsidR="00E07985" w:rsidRDefault="00E07985" w:rsidP="00631F2C">
      <w:pPr>
        <w:spacing w:after="0" w:line="240" w:lineRule="auto"/>
        <w:rPr>
          <w:rFonts w:ascii="Verdana" w:eastAsia="Geomanist Light" w:hAnsi="Verdana" w:cs="Arial"/>
          <w:color w:val="000000" w:themeColor="text1"/>
          <w:lang w:val="es-MX"/>
        </w:rPr>
      </w:pPr>
    </w:p>
    <w:p w14:paraId="06FFF9D2" w14:textId="579C8FC3" w:rsidR="00F16ED8" w:rsidRDefault="00B53763" w:rsidP="00F16ED8">
      <w:pPr>
        <w:spacing w:after="0" w:line="240" w:lineRule="auto"/>
        <w:jc w:val="both"/>
        <w:rPr>
          <w:rFonts w:ascii="Verdana" w:eastAsia="Geomanist Light" w:hAnsi="Verdana" w:cs="Arial"/>
          <w:color w:val="000000" w:themeColor="text1"/>
          <w:sz w:val="20"/>
          <w:szCs w:val="20"/>
          <w:lang w:val="es-MX"/>
        </w:rPr>
      </w:pPr>
      <w:r w:rsidRPr="00F16ED8">
        <w:rPr>
          <w:rFonts w:ascii="Verdana" w:eastAsia="Geomanist Light" w:hAnsi="Verdana" w:cs="Arial"/>
          <w:color w:val="000000" w:themeColor="text1"/>
          <w:sz w:val="20"/>
          <w:szCs w:val="20"/>
        </w:rPr>
        <w:t xml:space="preserve">La capacidad financiera se deriva del comportamiento contable de la empresa, su liquidez y endeudamiento, para determinar que sus recursos y solidez financiera le permita cumplir los compromisos que adquiera. Como explica la Agencia Nacional de Contratación Pública – Colombia Compra Eficiente en el </w:t>
      </w:r>
      <w:r w:rsidRPr="00F16ED8">
        <w:rPr>
          <w:rFonts w:ascii="Verdana" w:eastAsia="Geomanist Light" w:hAnsi="Verdana" w:cs="Arial"/>
          <w:color w:val="000000" w:themeColor="text1"/>
          <w:sz w:val="20"/>
          <w:szCs w:val="20"/>
        </w:rPr>
        <w:t>“</w:t>
      </w:r>
      <w:r w:rsidRPr="00F16ED8">
        <w:rPr>
          <w:rFonts w:ascii="Verdana" w:eastAsia="Geomanist Light" w:hAnsi="Verdana" w:cs="Arial"/>
          <w:color w:val="000000" w:themeColor="text1"/>
          <w:sz w:val="20"/>
          <w:szCs w:val="20"/>
        </w:rPr>
        <w:t>Manual para determinar y verificar los requisitos habilitantes en los procesos de contratación</w:t>
      </w:r>
      <w:r w:rsidRPr="00F16ED8">
        <w:rPr>
          <w:rFonts w:ascii="Verdana" w:eastAsia="Geomanist Light" w:hAnsi="Verdana" w:cs="Arial"/>
          <w:color w:val="000000" w:themeColor="text1"/>
          <w:sz w:val="20"/>
          <w:szCs w:val="20"/>
        </w:rPr>
        <w:t>2</w:t>
      </w:r>
      <w:r w:rsidRPr="00F16ED8">
        <w:rPr>
          <w:rFonts w:ascii="Verdana" w:eastAsia="Geomanist Light" w:hAnsi="Verdana" w:cs="Arial"/>
          <w:color w:val="000000" w:themeColor="text1"/>
          <w:sz w:val="20"/>
          <w:szCs w:val="20"/>
        </w:rPr>
        <w:t xml:space="preserve">, </w:t>
      </w:r>
      <w:r w:rsidR="00570C9C" w:rsidRPr="00F16ED8">
        <w:rPr>
          <w:rFonts w:ascii="Verdana" w:eastAsia="Geomanist Light" w:hAnsi="Verdana" w:cs="Arial"/>
          <w:color w:val="000000" w:themeColor="text1"/>
          <w:sz w:val="20"/>
          <w:szCs w:val="20"/>
        </w:rPr>
        <w:t>“</w:t>
      </w:r>
      <w:r w:rsidRPr="00F16ED8">
        <w:rPr>
          <w:rFonts w:ascii="Verdana" w:eastAsia="Geomanist Light" w:hAnsi="Verdana" w:cs="Arial"/>
          <w:color w:val="000000" w:themeColor="text1"/>
          <w:sz w:val="20"/>
          <w:szCs w:val="20"/>
        </w:rPr>
        <w:t>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r w:rsidR="00F35E5D">
        <w:rPr>
          <w:rFonts w:ascii="Verdana" w:eastAsia="Geomanist Light" w:hAnsi="Verdana" w:cs="Arial"/>
          <w:color w:val="000000" w:themeColor="text1"/>
          <w:sz w:val="20"/>
          <w:szCs w:val="20"/>
        </w:rPr>
        <w:t>”</w:t>
      </w:r>
      <w:r w:rsidRPr="00F16ED8">
        <w:rPr>
          <w:rFonts w:ascii="Verdana" w:eastAsia="Geomanist Light" w:hAnsi="Verdana" w:cs="Arial"/>
          <w:color w:val="000000" w:themeColor="text1"/>
          <w:sz w:val="20"/>
          <w:szCs w:val="20"/>
        </w:rPr>
        <w:t xml:space="preserve">. La capacidad organizacional, por su parte, </w:t>
      </w:r>
      <w:r w:rsidR="00570C9C" w:rsidRPr="00F16ED8">
        <w:rPr>
          <w:rFonts w:ascii="Verdana" w:eastAsia="Geomanist Light" w:hAnsi="Verdana" w:cs="Arial"/>
          <w:color w:val="000000" w:themeColor="text1"/>
          <w:sz w:val="20"/>
          <w:szCs w:val="20"/>
        </w:rPr>
        <w:t>“</w:t>
      </w:r>
      <w:r w:rsidRPr="00F16ED8">
        <w:rPr>
          <w:rFonts w:ascii="Verdana" w:eastAsia="Geomanist Light" w:hAnsi="Verdana" w:cs="Arial"/>
          <w:color w:val="000000" w:themeColor="text1"/>
          <w:sz w:val="20"/>
          <w:szCs w:val="20"/>
        </w:rPr>
        <w:t>[…] es la aptitud de un proponente para cumplir oportuna y cabalmente el objeto del contrato en función de su organización interna. El Decreto 1082 de 2015 definió los indicadores de rentabilidad para medir la capacidad organizacional de un proponente teniendo en cuenta que está bien organizado cuando es rentable</w:t>
      </w:r>
      <w:r w:rsidR="00570C9C" w:rsidRPr="00F16ED8">
        <w:rPr>
          <w:rFonts w:ascii="Verdana" w:eastAsia="Geomanist Light" w:hAnsi="Verdana" w:cs="Arial"/>
          <w:color w:val="000000" w:themeColor="text1"/>
          <w:sz w:val="20"/>
          <w:szCs w:val="20"/>
        </w:rPr>
        <w:t>”</w:t>
      </w:r>
      <w:r w:rsidRPr="00F16ED8">
        <w:rPr>
          <w:rFonts w:ascii="Verdana" w:eastAsia="Geomanist Light" w:hAnsi="Verdana" w:cs="Arial"/>
          <w:color w:val="000000" w:themeColor="text1"/>
          <w:sz w:val="20"/>
          <w:szCs w:val="20"/>
        </w:rPr>
        <w:t>.</w:t>
      </w:r>
    </w:p>
    <w:p w14:paraId="5F5BFD58" w14:textId="6226D681" w:rsidR="00631F2C" w:rsidRPr="00F16ED8" w:rsidRDefault="00631F2C" w:rsidP="00F16ED8">
      <w:pPr>
        <w:spacing w:after="0" w:line="240" w:lineRule="auto"/>
        <w:jc w:val="both"/>
        <w:rPr>
          <w:rFonts w:ascii="Verdana" w:eastAsia="Geomanist Light" w:hAnsi="Verdana" w:cs="Arial"/>
          <w:color w:val="000000" w:themeColor="text1"/>
          <w:sz w:val="20"/>
          <w:szCs w:val="20"/>
          <w:lang w:val="es-MX"/>
        </w:rPr>
      </w:pPr>
      <w:r w:rsidRPr="00115E3D">
        <w:rPr>
          <w:rFonts w:ascii="Verdana" w:eastAsia="Geomanist Light" w:hAnsi="Verdana" w:cs="Arial"/>
          <w:color w:val="000000" w:themeColor="text1"/>
          <w:lang w:val="es-MX"/>
        </w:rPr>
        <w:lastRenderedPageBreak/>
        <w:t>Bogotá D.C., [Día] de [Mes.NombreCapitalizado] de [Año]</w:t>
      </w:r>
    </w:p>
    <w:p w14:paraId="67131293" w14:textId="0AB25112" w:rsidR="00631F2C" w:rsidRPr="00115E3D" w:rsidRDefault="002540DE" w:rsidP="00631F2C">
      <w:pPr>
        <w:spacing w:after="0" w:line="240" w:lineRule="auto"/>
        <w:jc w:val="both"/>
        <w:rPr>
          <w:rFonts w:ascii="Verdana" w:eastAsia="Calibri" w:hAnsi="Verdana" w:cs="Arial"/>
          <w:color w:val="000000" w:themeColor="text1"/>
          <w:lang w:val="es-ES"/>
        </w:rPr>
      </w:pPr>
      <w:r w:rsidRPr="002540DE">
        <w:rPr>
          <w:rFonts w:ascii="Verdana" w:eastAsia="Calibri" w:hAnsi="Verdana" w:cs="Arial"/>
          <w:color w:val="000000" w:themeColor="text1"/>
          <w:lang w:val="es-ES" w:eastAsia="es-ES"/>
        </w:rPr>
        <w:drawing>
          <wp:anchor distT="0" distB="0" distL="114300" distR="114300" simplePos="0" relativeHeight="251658240" behindDoc="1" locked="0" layoutInCell="1" allowOverlap="1" wp14:anchorId="18928450" wp14:editId="07D606C7">
            <wp:simplePos x="0" y="0"/>
            <wp:positionH relativeFrom="column">
              <wp:posOffset>2456766</wp:posOffset>
            </wp:positionH>
            <wp:positionV relativeFrom="paragraph">
              <wp:posOffset>35107</wp:posOffset>
            </wp:positionV>
            <wp:extent cx="3419475" cy="1000125"/>
            <wp:effectExtent l="0" t="0" r="9525" b="9525"/>
            <wp:wrapTight wrapText="bothSides">
              <wp:wrapPolygon edited="0">
                <wp:start x="0" y="0"/>
                <wp:lineTo x="0" y="21394"/>
                <wp:lineTo x="21540" y="21394"/>
                <wp:lineTo x="21540" y="0"/>
                <wp:lineTo x="0" y="0"/>
              </wp:wrapPolygon>
            </wp:wrapTight>
            <wp:docPr id="1467579116"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7579116" name="Imagen 1" descr="Texto&#10;&#10;Descripción generada automáticamente"/>
                    <pic:cNvPicPr/>
                  </pic:nvPicPr>
                  <pic:blipFill>
                    <a:blip r:embed="rId7">
                      <a:extLst>
                        <a:ext uri="{28A0092B-C50C-407E-A947-70E740481C1C}">
                          <a14:useLocalDpi xmlns:a14="http://schemas.microsoft.com/office/drawing/2010/main" val="0"/>
                        </a:ext>
                      </a:extLst>
                    </a:blip>
                    <a:stretch>
                      <a:fillRect/>
                    </a:stretch>
                  </pic:blipFill>
                  <pic:spPr>
                    <a:xfrm>
                      <a:off x="0" y="0"/>
                      <a:ext cx="3419475" cy="1000125"/>
                    </a:xfrm>
                    <a:prstGeom prst="rect">
                      <a:avLst/>
                    </a:prstGeom>
                  </pic:spPr>
                </pic:pic>
              </a:graphicData>
            </a:graphic>
          </wp:anchor>
        </w:drawing>
      </w:r>
    </w:p>
    <w:p w14:paraId="61BC8A09" w14:textId="19130BA4" w:rsidR="00631F2C" w:rsidRDefault="00631F2C" w:rsidP="00631F2C">
      <w:pPr>
        <w:spacing w:after="0" w:line="240" w:lineRule="auto"/>
        <w:jc w:val="both"/>
        <w:rPr>
          <w:rFonts w:ascii="Verdana" w:eastAsia="Calibri" w:hAnsi="Verdana" w:cs="Arial"/>
          <w:color w:val="000000" w:themeColor="text1"/>
          <w:lang w:val="es-ES" w:eastAsia="es-ES"/>
        </w:rPr>
      </w:pPr>
    </w:p>
    <w:p w14:paraId="1908660C" w14:textId="77777777" w:rsidR="00631F2C" w:rsidRDefault="00631F2C" w:rsidP="00631F2C">
      <w:pPr>
        <w:spacing w:after="0" w:line="240" w:lineRule="auto"/>
        <w:jc w:val="both"/>
        <w:rPr>
          <w:rFonts w:ascii="Verdana" w:eastAsia="Calibri" w:hAnsi="Verdana" w:cs="Arial"/>
          <w:color w:val="000000" w:themeColor="text1"/>
          <w:lang w:val="es-ES" w:eastAsia="es-ES"/>
        </w:rPr>
      </w:pPr>
    </w:p>
    <w:p w14:paraId="723F879D" w14:textId="77777777" w:rsidR="00631F2C" w:rsidRDefault="00631F2C" w:rsidP="00631F2C">
      <w:pPr>
        <w:spacing w:after="0" w:line="240" w:lineRule="auto"/>
        <w:jc w:val="both"/>
        <w:rPr>
          <w:rFonts w:ascii="Verdana" w:eastAsia="Calibri" w:hAnsi="Verdana" w:cs="Arial"/>
          <w:color w:val="000000" w:themeColor="text1"/>
          <w:lang w:val="es-ES" w:eastAsia="es-ES"/>
        </w:rPr>
      </w:pPr>
    </w:p>
    <w:p w14:paraId="3666B1CB" w14:textId="77777777" w:rsidR="002540DE" w:rsidRDefault="002540DE" w:rsidP="00631F2C">
      <w:pPr>
        <w:spacing w:after="0" w:line="240" w:lineRule="auto"/>
        <w:jc w:val="both"/>
        <w:rPr>
          <w:rFonts w:ascii="Verdana" w:eastAsia="Calibri" w:hAnsi="Verdana" w:cs="Arial"/>
          <w:color w:val="000000" w:themeColor="text1"/>
          <w:lang w:val="es-ES" w:eastAsia="es-ES"/>
        </w:rPr>
      </w:pPr>
    </w:p>
    <w:p w14:paraId="7D2ACD5E" w14:textId="77777777" w:rsidR="002540DE" w:rsidRDefault="002540DE" w:rsidP="00631F2C">
      <w:pPr>
        <w:spacing w:after="0" w:line="240" w:lineRule="auto"/>
        <w:jc w:val="both"/>
        <w:rPr>
          <w:rFonts w:ascii="Verdana" w:eastAsia="Calibri" w:hAnsi="Verdana" w:cs="Arial"/>
          <w:color w:val="000000" w:themeColor="text1"/>
          <w:lang w:val="es-ES" w:eastAsia="es-ES"/>
        </w:rPr>
      </w:pPr>
    </w:p>
    <w:p w14:paraId="0A428727" w14:textId="1CBF97AF" w:rsidR="00631F2C" w:rsidRPr="00115E3D" w:rsidRDefault="00631F2C" w:rsidP="00631F2C">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3547930C" w14:textId="77777777" w:rsidR="00631F2C" w:rsidRPr="00115E3D" w:rsidRDefault="00631F2C" w:rsidP="00631F2C">
      <w:pPr>
        <w:spacing w:after="0" w:line="240" w:lineRule="auto"/>
        <w:rPr>
          <w:rFonts w:ascii="Verdana" w:eastAsia="Calibri" w:hAnsi="Verdana" w:cs="Arial"/>
          <w:b/>
          <w:color w:val="000000" w:themeColor="text1"/>
          <w:lang w:val="es-ES_tradnl" w:eastAsia="es-ES_tradnl"/>
        </w:rPr>
      </w:pPr>
      <w:r>
        <w:rPr>
          <w:rFonts w:ascii="Verdana" w:eastAsia="Calibri" w:hAnsi="Verdana" w:cs="Arial"/>
          <w:b/>
          <w:color w:val="000000" w:themeColor="text1"/>
          <w:lang w:val="es-ES_tradnl" w:eastAsia="es-ES_tradnl"/>
        </w:rPr>
        <w:t>Ana Alejandra Garzón Jamaica</w:t>
      </w:r>
    </w:p>
    <w:p w14:paraId="15E10FD3" w14:textId="77777777" w:rsidR="00631F2C" w:rsidRPr="008D5A76" w:rsidRDefault="00631F2C" w:rsidP="00631F2C">
      <w:pPr>
        <w:spacing w:after="0" w:line="240" w:lineRule="auto"/>
        <w:rPr>
          <w:rFonts w:ascii="Verdana" w:eastAsia="Calibri" w:hAnsi="Verdana" w:cs="Arial"/>
          <w:color w:val="000000" w:themeColor="text1"/>
          <w:u w:val="single"/>
          <w:lang w:eastAsia="es-ES"/>
        </w:rPr>
      </w:pPr>
      <w:hyperlink r:id="rId8" w:history="1">
        <w:r w:rsidRPr="008D5A76">
          <w:rPr>
            <w:rStyle w:val="Hipervnculo"/>
            <w:rFonts w:ascii="Verdana" w:eastAsia="Calibri" w:hAnsi="Verdana" w:cs="Arial"/>
            <w:lang w:eastAsia="es-ES"/>
          </w:rPr>
          <w:t>aramysmirandamorales.arq@gmail.com</w:t>
        </w:r>
      </w:hyperlink>
    </w:p>
    <w:p w14:paraId="7628CAAB" w14:textId="77777777" w:rsidR="00631F2C" w:rsidRPr="007C6ACB" w:rsidRDefault="00631F2C" w:rsidP="00631F2C">
      <w:pPr>
        <w:spacing w:after="0" w:line="240" w:lineRule="auto"/>
        <w:rPr>
          <w:rFonts w:ascii="Verdana" w:eastAsia="Calibri" w:hAnsi="Verdana" w:cs="Arial"/>
          <w:b/>
          <w:bCs/>
          <w:color w:val="000000" w:themeColor="text1"/>
          <w:lang w:val="en-US" w:eastAsia="es-ES"/>
        </w:rPr>
      </w:pPr>
      <w:r>
        <w:rPr>
          <w:rFonts w:ascii="Verdana" w:eastAsia="Calibri" w:hAnsi="Verdana" w:cs="Arial"/>
          <w:color w:val="000000" w:themeColor="text1"/>
          <w:lang w:val="en-US" w:eastAsia="es-ES"/>
        </w:rPr>
        <w:t>Puerto Carreño</w:t>
      </w:r>
      <w:r w:rsidRPr="007C6ACB">
        <w:rPr>
          <w:rFonts w:ascii="Verdana" w:eastAsia="Calibri" w:hAnsi="Verdana" w:cs="Arial"/>
          <w:color w:val="000000" w:themeColor="text1"/>
          <w:lang w:val="en-US" w:eastAsia="es-ES"/>
        </w:rPr>
        <w:t xml:space="preserve">, </w:t>
      </w:r>
      <w:r>
        <w:rPr>
          <w:rFonts w:ascii="Verdana" w:eastAsia="Calibri" w:hAnsi="Verdana" w:cs="Arial"/>
          <w:color w:val="000000" w:themeColor="text1"/>
          <w:lang w:val="en-US" w:eastAsia="es-ES"/>
        </w:rPr>
        <w:t xml:space="preserve">Vichada </w:t>
      </w:r>
    </w:p>
    <w:p w14:paraId="15F40B18" w14:textId="77777777" w:rsidR="00631F2C" w:rsidRPr="007C6ACB" w:rsidRDefault="00631F2C" w:rsidP="00631F2C">
      <w:pPr>
        <w:spacing w:after="0" w:line="240" w:lineRule="auto"/>
        <w:rPr>
          <w:rFonts w:ascii="Verdana" w:eastAsia="Calibri" w:hAnsi="Verdana" w:cs="Arial"/>
          <w:b/>
          <w:bCs/>
          <w:color w:val="000000" w:themeColor="text1"/>
          <w:lang w:val="en-US" w:eastAsia="es-ES_tradnl"/>
        </w:rPr>
      </w:pPr>
    </w:p>
    <w:p w14:paraId="4E5A4CB1" w14:textId="77777777" w:rsidR="00631F2C" w:rsidRPr="007C6ACB" w:rsidRDefault="00631F2C" w:rsidP="00631F2C">
      <w:pPr>
        <w:spacing w:after="0" w:line="240" w:lineRule="auto"/>
        <w:rPr>
          <w:rFonts w:ascii="Verdana" w:eastAsia="Calibri" w:hAnsi="Verdana" w:cs="Arial"/>
          <w:b/>
          <w:bCs/>
          <w:color w:val="000000" w:themeColor="text1"/>
          <w:lang w:val="en-US"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31F2C" w:rsidRPr="00115E3D" w14:paraId="7CDC07B4" w14:textId="77777777" w:rsidTr="00EF5085">
        <w:trPr>
          <w:trHeight w:val="884"/>
        </w:trPr>
        <w:tc>
          <w:tcPr>
            <w:tcW w:w="2689" w:type="dxa"/>
          </w:tcPr>
          <w:p w14:paraId="793D0C3F" w14:textId="77777777" w:rsidR="00631F2C" w:rsidRPr="007C6ACB" w:rsidRDefault="00631F2C" w:rsidP="00EF5085">
            <w:pPr>
              <w:jc w:val="both"/>
              <w:rPr>
                <w:rFonts w:ascii="Verdana" w:eastAsia="Calibri" w:hAnsi="Verdana" w:cs="Arial"/>
                <w:b/>
                <w:bCs/>
                <w:color w:val="000000" w:themeColor="text1"/>
                <w:lang w:val="en-US" w:eastAsia="es-ES_tradnl"/>
              </w:rPr>
            </w:pPr>
          </w:p>
        </w:tc>
        <w:tc>
          <w:tcPr>
            <w:tcW w:w="6100" w:type="dxa"/>
          </w:tcPr>
          <w:p w14:paraId="360BC6F2" w14:textId="77777777" w:rsidR="00631F2C" w:rsidRPr="00115E3D" w:rsidRDefault="00631F2C" w:rsidP="00EF5085">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996</w:t>
            </w:r>
            <w:r w:rsidRPr="00115E3D">
              <w:rPr>
                <w:rFonts w:ascii="Verdana" w:eastAsia="Calibri" w:hAnsi="Verdana" w:cs="Arial"/>
                <w:b/>
                <w:bCs/>
                <w:color w:val="000000" w:themeColor="text1"/>
                <w:lang w:val="es-ES" w:eastAsia="es-ES"/>
              </w:rPr>
              <w:t xml:space="preserve"> de 2024</w:t>
            </w:r>
          </w:p>
        </w:tc>
      </w:tr>
      <w:tr w:rsidR="00631F2C" w:rsidRPr="00115E3D" w14:paraId="465075BC" w14:textId="77777777" w:rsidTr="00EF5085">
        <w:trPr>
          <w:trHeight w:val="884"/>
        </w:trPr>
        <w:tc>
          <w:tcPr>
            <w:tcW w:w="2689" w:type="dxa"/>
          </w:tcPr>
          <w:p w14:paraId="202083C5" w14:textId="77777777" w:rsidR="00631F2C" w:rsidRPr="00096ED9" w:rsidRDefault="00631F2C" w:rsidP="00EF5085">
            <w:pPr>
              <w:jc w:val="both"/>
              <w:rPr>
                <w:rFonts w:ascii="Verdana" w:eastAsia="Calibri" w:hAnsi="Verdana" w:cs="Arial"/>
                <w:color w:val="000000" w:themeColor="text1"/>
                <w:highlight w:val="yellow"/>
                <w:lang w:val="es-ES_tradnl" w:eastAsia="es-ES_tradnl"/>
              </w:rPr>
            </w:pPr>
            <w:r w:rsidRPr="00AA3E27">
              <w:rPr>
                <w:rFonts w:ascii="Verdana" w:eastAsia="Calibri" w:hAnsi="Verdana" w:cs="Arial"/>
                <w:b/>
                <w:color w:val="000000" w:themeColor="text1"/>
                <w:lang w:val="es-ES_tradnl" w:eastAsia="es-ES_tradnl"/>
              </w:rPr>
              <w:t>Temas:</w:t>
            </w:r>
            <w:r w:rsidRPr="00AA3E27">
              <w:rPr>
                <w:rFonts w:ascii="Verdana" w:eastAsia="Calibri" w:hAnsi="Verdana" w:cs="Arial"/>
                <w:color w:val="000000" w:themeColor="text1"/>
                <w:lang w:val="es-ES_tradnl" w:eastAsia="es-ES_tradnl"/>
              </w:rPr>
              <w:t xml:space="preserve">                   </w:t>
            </w:r>
          </w:p>
        </w:tc>
        <w:tc>
          <w:tcPr>
            <w:tcW w:w="6100" w:type="dxa"/>
          </w:tcPr>
          <w:p w14:paraId="1A6BEE51" w14:textId="77777777" w:rsidR="00631F2C" w:rsidRPr="00005535" w:rsidRDefault="00631F2C" w:rsidP="00EF5085">
            <w:pPr>
              <w:spacing w:line="276" w:lineRule="auto"/>
              <w:jc w:val="both"/>
              <w:rPr>
                <w:rFonts w:ascii="Verdana" w:eastAsia="Calibri" w:hAnsi="Verdana" w:cs="Arial"/>
                <w:bCs/>
                <w:lang w:val="es-MX" w:eastAsia="es-ES_tradnl"/>
              </w:rPr>
            </w:pPr>
            <w:r w:rsidRPr="00005535">
              <w:rPr>
                <w:rFonts w:ascii="Verdana" w:eastAsia="Calibri" w:hAnsi="Verdana" w:cs="Arial"/>
                <w:bCs/>
                <w:lang w:val="es-MX" w:eastAsia="es-ES_tradnl"/>
              </w:rPr>
              <w:t xml:space="preserve">REQUISITOS HABILITANTES – Capacidad financiera – Autonomía / CAPACIDAD FINANCIERA – Acreditación – Endeudamiento </w:t>
            </w:r>
            <w:r>
              <w:rPr>
                <w:rFonts w:ascii="Verdana" w:eastAsia="Calibri" w:hAnsi="Verdana" w:cs="Arial"/>
                <w:bCs/>
                <w:lang w:val="es-MX" w:eastAsia="es-ES_tradnl"/>
              </w:rPr>
              <w:t xml:space="preserve">– Manual para determinar los requisitos habilitantes </w:t>
            </w:r>
          </w:p>
          <w:p w14:paraId="39A2536C" w14:textId="77777777" w:rsidR="00631F2C" w:rsidRPr="00AA3E27" w:rsidRDefault="00631F2C" w:rsidP="00EF5085">
            <w:pPr>
              <w:spacing w:line="276" w:lineRule="auto"/>
              <w:jc w:val="both"/>
              <w:rPr>
                <w:rFonts w:ascii="Verdana" w:eastAsia="Calibri" w:hAnsi="Verdana" w:cs="Arial"/>
                <w:color w:val="000000" w:themeColor="text1"/>
                <w:highlight w:val="yellow"/>
                <w:lang w:val="es-MX" w:eastAsia="es-ES"/>
              </w:rPr>
            </w:pPr>
          </w:p>
          <w:p w14:paraId="23672057" w14:textId="77777777" w:rsidR="00631F2C" w:rsidRPr="00096ED9" w:rsidRDefault="00631F2C" w:rsidP="00EF5085">
            <w:pPr>
              <w:spacing w:line="276" w:lineRule="auto"/>
              <w:jc w:val="both"/>
              <w:rPr>
                <w:rFonts w:ascii="Verdana" w:eastAsia="Calibri" w:hAnsi="Verdana" w:cs="Arial"/>
                <w:color w:val="000000" w:themeColor="text1"/>
                <w:highlight w:val="yellow"/>
                <w:lang w:val="es-ES" w:eastAsia="es-ES"/>
              </w:rPr>
            </w:pPr>
          </w:p>
        </w:tc>
      </w:tr>
      <w:tr w:rsidR="00631F2C" w:rsidRPr="00115E3D" w14:paraId="6FD987B8" w14:textId="77777777" w:rsidTr="00EF5085">
        <w:tc>
          <w:tcPr>
            <w:tcW w:w="2689" w:type="dxa"/>
          </w:tcPr>
          <w:p w14:paraId="17C175C1" w14:textId="77777777" w:rsidR="00631F2C" w:rsidRPr="00115E3D" w:rsidRDefault="00631F2C" w:rsidP="00EF5085">
            <w:pPr>
              <w:jc w:val="both"/>
              <w:rPr>
                <w:rFonts w:ascii="Verdana" w:eastAsia="Calibri" w:hAnsi="Verdana" w:cs="Arial"/>
                <w:b/>
                <w:color w:val="000000" w:themeColor="text1"/>
                <w:lang w:val="es-ES_tradnl" w:eastAsia="es-ES_tradnl"/>
              </w:rPr>
            </w:pPr>
            <w:r w:rsidRPr="00115E3D">
              <w:rPr>
                <w:rFonts w:ascii="Verdana" w:eastAsia="Calibri" w:hAnsi="Verdana" w:cs="Arial"/>
                <w:b/>
                <w:color w:val="000000" w:themeColor="text1"/>
                <w:lang w:val="es-ES_tradnl" w:eastAsia="es-ES_tradnl"/>
              </w:rPr>
              <w:t>Radicación:</w:t>
            </w:r>
            <w:r w:rsidRPr="00115E3D">
              <w:rPr>
                <w:rFonts w:ascii="Verdana" w:eastAsia="Calibri" w:hAnsi="Verdana" w:cs="Arial"/>
                <w:color w:val="000000" w:themeColor="text1"/>
                <w:lang w:val="es-ES_tradnl" w:eastAsia="es-ES_tradnl"/>
              </w:rPr>
              <w:t xml:space="preserve">               </w:t>
            </w:r>
          </w:p>
        </w:tc>
        <w:tc>
          <w:tcPr>
            <w:tcW w:w="6100" w:type="dxa"/>
          </w:tcPr>
          <w:p w14:paraId="73CF3963" w14:textId="77777777" w:rsidR="00631F2C" w:rsidRPr="00115E3D" w:rsidRDefault="00631F2C" w:rsidP="00EF5085">
            <w:pPr>
              <w:jc w:val="both"/>
              <w:rPr>
                <w:rFonts w:ascii="Verdana" w:eastAsia="Calibri" w:hAnsi="Verdana" w:cs="Arial"/>
                <w:color w:val="000000" w:themeColor="text1"/>
                <w:lang w:val="es-ES_tradnl" w:eastAsia="es-ES_tradnl"/>
              </w:rPr>
            </w:pPr>
            <w:r w:rsidRPr="00115E3D">
              <w:rPr>
                <w:rFonts w:ascii="Verdana" w:eastAsia="Calibri" w:hAnsi="Verdana" w:cs="Arial"/>
                <w:color w:val="000000" w:themeColor="text1"/>
                <w:lang w:val="es-ES_tradnl" w:eastAsia="es-ES_tradnl"/>
              </w:rPr>
              <w:t xml:space="preserve">Respuesta a consulta con radicado No. </w:t>
            </w:r>
            <w:r w:rsidRPr="005C17AC">
              <w:rPr>
                <w:rFonts w:ascii="Verdana" w:eastAsia="Calibri" w:hAnsi="Verdana" w:cs="Arial"/>
                <w:color w:val="000000" w:themeColor="text1"/>
                <w:lang w:eastAsia="es-ES_tradnl"/>
              </w:rPr>
              <w:t>P20241214012529</w:t>
            </w:r>
            <w:r>
              <w:rPr>
                <w:rFonts w:ascii="Verdana" w:eastAsia="Calibri" w:hAnsi="Verdana" w:cs="Arial"/>
                <w:color w:val="000000" w:themeColor="text1"/>
                <w:lang w:eastAsia="es-ES_tradnl"/>
              </w:rPr>
              <w:t xml:space="preserve"> </w:t>
            </w:r>
          </w:p>
        </w:tc>
      </w:tr>
    </w:tbl>
    <w:p w14:paraId="07388852" w14:textId="77777777" w:rsidR="00631F2C" w:rsidRPr="00115E3D" w:rsidRDefault="00631F2C" w:rsidP="00631F2C">
      <w:pPr>
        <w:spacing w:after="0" w:line="240" w:lineRule="auto"/>
        <w:jc w:val="both"/>
        <w:rPr>
          <w:rFonts w:ascii="Verdana" w:eastAsia="Calibri" w:hAnsi="Verdana" w:cs="Arial"/>
          <w:color w:val="000000" w:themeColor="text1"/>
          <w:lang w:val="es-ES_tradnl" w:eastAsia="es-ES_tradnl"/>
        </w:rPr>
      </w:pPr>
    </w:p>
    <w:p w14:paraId="1ED2699D" w14:textId="77777777" w:rsidR="00631F2C" w:rsidRPr="00115E3D" w:rsidRDefault="00631F2C" w:rsidP="00631F2C">
      <w:pPr>
        <w:spacing w:after="0" w:line="240" w:lineRule="auto"/>
        <w:jc w:val="both"/>
        <w:rPr>
          <w:rFonts w:ascii="Verdana" w:eastAsia="Calibri" w:hAnsi="Verdana" w:cs="Arial"/>
          <w:color w:val="000000" w:themeColor="text1"/>
          <w:lang w:val="es-ES_tradnl" w:eastAsia="es-ES_tradnl"/>
        </w:rPr>
      </w:pPr>
    </w:p>
    <w:p w14:paraId="092A6BE1" w14:textId="77777777" w:rsidR="00631F2C" w:rsidRPr="00115E3D" w:rsidRDefault="00631F2C" w:rsidP="00631F2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Ana</w:t>
      </w:r>
      <w:r w:rsidRPr="00115E3D">
        <w:rPr>
          <w:rFonts w:ascii="Verdana" w:eastAsia="Calibri" w:hAnsi="Verdana" w:cs="Arial"/>
          <w:color w:val="000000" w:themeColor="text1"/>
          <w:lang w:val="es-ES" w:eastAsia="es-ES"/>
        </w:rPr>
        <w:t xml:space="preserve">: </w:t>
      </w:r>
    </w:p>
    <w:p w14:paraId="3B7940EC" w14:textId="77777777" w:rsidR="00631F2C" w:rsidRPr="00115E3D" w:rsidRDefault="00631F2C" w:rsidP="00631F2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35BC81B1" w14:textId="77777777" w:rsidR="00631F2C" w:rsidRPr="00115E3D" w:rsidRDefault="00631F2C" w:rsidP="00631F2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14</w:t>
      </w:r>
      <w:r w:rsidRPr="00115E3D">
        <w:rPr>
          <w:rFonts w:ascii="Verdana" w:eastAsia="Calibri" w:hAnsi="Verdana" w:cs="Arial"/>
          <w:color w:val="000000" w:themeColor="text1"/>
          <w:lang w:val="es-ES" w:eastAsia="es-ES"/>
        </w:rPr>
        <w:t xml:space="preserve"> de </w:t>
      </w:r>
      <w:r>
        <w:rPr>
          <w:rFonts w:ascii="Verdana" w:eastAsia="Calibri" w:hAnsi="Verdana" w:cs="Arial"/>
          <w:color w:val="000000" w:themeColor="text1"/>
          <w:lang w:val="es-ES" w:eastAsia="es-ES"/>
        </w:rPr>
        <w:t>diciembre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24</w:t>
      </w:r>
      <w:r w:rsidRPr="00115E3D">
        <w:rPr>
          <w:rFonts w:ascii="Verdana" w:eastAsia="Calibri" w:hAnsi="Verdana" w:cs="Arial"/>
          <w:color w:val="000000" w:themeColor="text1"/>
          <w:lang w:val="es-ES" w:eastAsia="es-ES"/>
        </w:rPr>
        <w:t xml:space="preserve">, en la cual manifiesta lo siguiente: </w:t>
      </w:r>
    </w:p>
    <w:p w14:paraId="1BC8229E" w14:textId="77777777" w:rsidR="00631F2C" w:rsidRPr="00115E3D" w:rsidRDefault="00631F2C" w:rsidP="00631F2C">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67E4CD87" w14:textId="77777777" w:rsidR="00631F2C" w:rsidRPr="00141269" w:rsidRDefault="00631F2C" w:rsidP="00631F2C">
      <w:pPr>
        <w:spacing w:after="0" w:line="240" w:lineRule="auto"/>
        <w:ind w:left="709" w:right="709"/>
        <w:jc w:val="both"/>
        <w:rPr>
          <w:rFonts w:ascii="Verdana" w:eastAsia="Century Gothic" w:hAnsi="Verdana" w:cs="Century Gothic"/>
          <w:i/>
          <w:iCs/>
          <w:color w:val="000000" w:themeColor="text1"/>
          <w:sz w:val="20"/>
          <w:szCs w:val="20"/>
          <w:lang w:val="es-ES"/>
        </w:rPr>
      </w:pPr>
      <w:bookmarkStart w:id="0" w:name="_Hlk95313578"/>
      <w:r w:rsidRPr="00141269">
        <w:rPr>
          <w:rFonts w:ascii="Verdana" w:eastAsia="Century Gothic" w:hAnsi="Verdana" w:cs="Century Gothic"/>
          <w:i/>
          <w:iCs/>
          <w:color w:val="000000" w:themeColor="text1"/>
          <w:sz w:val="20"/>
          <w:szCs w:val="20"/>
          <w:lang w:val="es-ES"/>
        </w:rPr>
        <w:t>“</w:t>
      </w:r>
      <w:bookmarkEnd w:id="0"/>
      <w:r w:rsidRPr="005C17AC">
        <w:rPr>
          <w:rFonts w:ascii="Verdana" w:eastAsia="Century Gothic" w:hAnsi="Verdana" w:cs="Century Gothic"/>
          <w:i/>
          <w:iCs/>
          <w:color w:val="000000" w:themeColor="text1"/>
          <w:sz w:val="20"/>
          <w:szCs w:val="20"/>
        </w:rPr>
        <w:t xml:space="preserve">En el caso de que se evidencie que la simbologia del indicador de endeudamiento fue mal establecido es decir &gt;=,sabiendo que el manul de colombia compra eficiente indica que la entidad debe establecer un indice de endeudamiento maximo. que se debe hacer? es decir se debe evaluar </w:t>
      </w:r>
      <w:r w:rsidRPr="005C17AC">
        <w:rPr>
          <w:rFonts w:ascii="Verdana" w:eastAsia="Century Gothic" w:hAnsi="Verdana" w:cs="Century Gothic"/>
          <w:i/>
          <w:iCs/>
          <w:color w:val="000000" w:themeColor="text1"/>
          <w:sz w:val="20"/>
          <w:szCs w:val="20"/>
        </w:rPr>
        <w:lastRenderedPageBreak/>
        <w:t>el indicador &lt;= como establece el manual de colombia compra eficiente o se debe regir a lo estipulado en el pliego de condiciones definitivo?</w:t>
      </w:r>
      <w:r>
        <w:rPr>
          <w:rFonts w:ascii="Verdana" w:eastAsia="Century Gothic" w:hAnsi="Verdana" w:cs="Century Gothic"/>
          <w:i/>
          <w:iCs/>
          <w:color w:val="000000" w:themeColor="text1"/>
          <w:sz w:val="20"/>
          <w:szCs w:val="20"/>
        </w:rPr>
        <w:t>.”(SIC)</w:t>
      </w:r>
    </w:p>
    <w:p w14:paraId="4FADB4D8" w14:textId="77777777" w:rsidR="00631F2C" w:rsidRPr="00115E3D" w:rsidRDefault="00631F2C" w:rsidP="00631F2C">
      <w:pPr>
        <w:pStyle w:val="Prrafodelista"/>
        <w:tabs>
          <w:tab w:val="left" w:pos="142"/>
          <w:tab w:val="left" w:pos="284"/>
        </w:tabs>
        <w:spacing w:line="276" w:lineRule="auto"/>
        <w:ind w:left="0"/>
        <w:jc w:val="both"/>
        <w:rPr>
          <w:rFonts w:ascii="Verdana" w:eastAsia="Century Gothic" w:hAnsi="Verdana" w:cs="Century Gothic"/>
          <w:b/>
          <w:bCs/>
          <w:color w:val="000000" w:themeColor="text1"/>
          <w:lang w:val="es-ES"/>
        </w:rPr>
      </w:pPr>
    </w:p>
    <w:p w14:paraId="55FFA586" w14:textId="77777777" w:rsidR="00631F2C" w:rsidRPr="00115E3D" w:rsidRDefault="00631F2C" w:rsidP="00631F2C">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4B7DE477" w14:textId="77777777" w:rsidR="00631F2C" w:rsidRPr="00115E3D" w:rsidRDefault="00631F2C" w:rsidP="00631F2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(los) problema(s) jurídico(s) de su consulta. </w:t>
      </w:r>
    </w:p>
    <w:p w14:paraId="37B27A74" w14:textId="77777777" w:rsidR="00631F2C" w:rsidRPr="00115E3D" w:rsidRDefault="00631F2C" w:rsidP="00631F2C">
      <w:pPr>
        <w:spacing w:after="0" w:line="276" w:lineRule="auto"/>
        <w:ind w:firstLine="709"/>
        <w:jc w:val="both"/>
        <w:rPr>
          <w:rFonts w:ascii="Verdana" w:eastAsia="Calibri" w:hAnsi="Verdana" w:cs="Arial"/>
          <w:color w:val="000000" w:themeColor="text1"/>
          <w:lang w:val="es-ES" w:eastAsia="es-ES"/>
        </w:rPr>
      </w:pPr>
    </w:p>
    <w:p w14:paraId="55108A15" w14:textId="77777777" w:rsidR="00631F2C" w:rsidRPr="00115E3D" w:rsidRDefault="00631F2C" w:rsidP="00631F2C">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Problema planteado:</w:t>
      </w:r>
    </w:p>
    <w:p w14:paraId="768E2E94" w14:textId="77777777" w:rsidR="00631F2C" w:rsidRPr="00115E3D" w:rsidRDefault="00631F2C" w:rsidP="00631F2C">
      <w:pPr>
        <w:tabs>
          <w:tab w:val="left" w:pos="426"/>
        </w:tabs>
        <w:spacing w:after="0" w:line="276" w:lineRule="auto"/>
        <w:jc w:val="both"/>
        <w:rPr>
          <w:rFonts w:ascii="Verdana" w:eastAsia="Century Gothic" w:hAnsi="Verdana" w:cs="Century Gothic"/>
          <w:color w:val="000000" w:themeColor="text1"/>
          <w:lang w:val="es-ES"/>
        </w:rPr>
      </w:pPr>
    </w:p>
    <w:p w14:paraId="479DD3A2" w14:textId="77777777" w:rsidR="00631F2C" w:rsidRPr="0033797D" w:rsidRDefault="00631F2C" w:rsidP="00631F2C">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el siguiente problema jurídico: </w:t>
      </w:r>
      <w:r>
        <w:rPr>
          <w:rFonts w:ascii="Verdana" w:eastAsia="Century Gothic" w:hAnsi="Verdana" w:cs="Century Gothic"/>
          <w:color w:val="000000" w:themeColor="text1"/>
        </w:rPr>
        <w:t>¿Cómo se debe definir el indicador de endeudamiento requisito habilitante en un proceso de contratación?</w:t>
      </w:r>
    </w:p>
    <w:p w14:paraId="0CCCCF09" w14:textId="77777777" w:rsidR="00631F2C" w:rsidRPr="00727D31" w:rsidRDefault="00631F2C" w:rsidP="00631F2C">
      <w:pPr>
        <w:spacing w:after="0" w:line="276" w:lineRule="auto"/>
        <w:jc w:val="both"/>
        <w:rPr>
          <w:rFonts w:ascii="Verdana" w:eastAsia="Century Gothic" w:hAnsi="Verdana" w:cs="Century Gothic"/>
          <w:color w:val="000000" w:themeColor="text1"/>
        </w:rPr>
      </w:pPr>
    </w:p>
    <w:p w14:paraId="282F564D" w14:textId="77777777" w:rsidR="00631F2C" w:rsidRPr="0033797D" w:rsidRDefault="00631F2C" w:rsidP="00631F2C">
      <w:pPr>
        <w:spacing w:after="0" w:line="276" w:lineRule="auto"/>
        <w:jc w:val="both"/>
        <w:rPr>
          <w:rFonts w:ascii="Verdana" w:eastAsia="Calibri" w:hAnsi="Verdana" w:cs="Arial"/>
          <w:color w:val="000000" w:themeColor="text1"/>
        </w:rPr>
      </w:pPr>
    </w:p>
    <w:p w14:paraId="3B0E8D22" w14:textId="77777777" w:rsidR="00631F2C" w:rsidRPr="00115E3D" w:rsidRDefault="00631F2C" w:rsidP="00631F2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Respuesta:</w:t>
      </w:r>
    </w:p>
    <w:p w14:paraId="38491DEE" w14:textId="77777777" w:rsidR="00631F2C" w:rsidRPr="00115E3D" w:rsidRDefault="00631F2C" w:rsidP="00631F2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31F2C" w:rsidRPr="00115E3D" w14:paraId="05DC6078" w14:textId="77777777" w:rsidTr="00EF5085">
        <w:tc>
          <w:tcPr>
            <w:tcW w:w="8828" w:type="dxa"/>
            <w:shd w:val="clear" w:color="auto" w:fill="auto"/>
          </w:tcPr>
          <w:p w14:paraId="680DFF5C" w14:textId="77777777" w:rsidR="00631F2C" w:rsidRPr="008D50D3" w:rsidRDefault="00631F2C" w:rsidP="00EF5085">
            <w:pPr>
              <w:spacing w:before="120" w:after="120" w:line="276" w:lineRule="auto"/>
              <w:ind w:firstLine="709"/>
              <w:jc w:val="both"/>
              <w:rPr>
                <w:rFonts w:ascii="Verdana" w:eastAsia="Calibri" w:hAnsi="Verdana" w:cs="Arial"/>
                <w:lang w:eastAsia="es-MX"/>
              </w:rPr>
            </w:pPr>
            <w:r w:rsidRPr="008D50D3">
              <w:rPr>
                <w:rFonts w:ascii="Verdana" w:eastAsia="Calibri" w:hAnsi="Verdana" w:cs="Arial"/>
                <w:lang w:eastAsia="es-MX"/>
              </w:rPr>
              <w:t xml:space="preserve">Es relevante señalar que, al establecer los requisitos habilitantes relacionados con la capacidad financiera en un proceso de selección regido por el Estatuto General de Contratación de la Administración Pública (EGCAP), cada entidad tiene la responsabilidad de definir los indicadores adecuados, en </w:t>
            </w:r>
            <w:r w:rsidRPr="008D50D3">
              <w:rPr>
                <w:rFonts w:ascii="Verdana" w:eastAsia="Calibri" w:hAnsi="Verdana" w:cs="Arial"/>
                <w:lang w:eastAsia="es-MX"/>
              </w:rPr>
              <w:lastRenderedPageBreak/>
              <w:t>función de la naturaleza y el valor del contrato. Para ello, se debe considerar el análisis del sector y los resultados obtenidos en los estudios previos correspondientes al proceso de contratación.</w:t>
            </w:r>
          </w:p>
          <w:p w14:paraId="36F8E7AB" w14:textId="091AD6CB" w:rsidR="00631F2C" w:rsidRPr="00832B54" w:rsidRDefault="00631F2C" w:rsidP="00ED10F7">
            <w:pPr>
              <w:spacing w:before="120" w:after="120" w:line="276" w:lineRule="auto"/>
              <w:ind w:firstLine="709"/>
              <w:jc w:val="both"/>
              <w:rPr>
                <w:rFonts w:ascii="Verdana" w:eastAsia="Calibri" w:hAnsi="Verdana" w:cs="Arial"/>
                <w:lang w:eastAsia="es-MX"/>
              </w:rPr>
            </w:pPr>
            <w:r w:rsidRPr="008D50D3">
              <w:rPr>
                <w:rFonts w:ascii="Verdana" w:eastAsia="Calibri" w:hAnsi="Verdana" w:cs="Arial"/>
                <w:lang w:eastAsia="es-MX"/>
              </w:rPr>
              <w:t xml:space="preserve">En este contexto, </w:t>
            </w:r>
            <w:r w:rsidRPr="00AF13E5">
              <w:rPr>
                <w:rFonts w:ascii="Verdana" w:eastAsia="Calibri" w:hAnsi="Verdana" w:cs="Arial"/>
                <w:lang w:eastAsia="es-MX"/>
              </w:rPr>
              <w:t>De acuerdo con las indicaciones de la Guía para la Determinación y Verificación de los Requisitos Habilitantes, el indicador de endeudamiento como requisito habilitante en un proceso de contratación debe definirse tomando en cuenta el análisis del sector, la naturaleza del contrato, los riesgos asociados y el valor del mismo. Este indicador se calcula como la relación entre el pasivo total y el activo total de la empresa, reflejando su grado de apalancamiento financiero. La entidad debe establecer un umbral adecuado para el indicador, fijando valores máximos o mínimos aceptables con los operadores "menor o igual (≤)" o "mayor o igual (≥)", según lo que considere apropiado para asegurar que el proponente pueda cumplir con sus obligaciones contractuales sin comprometer su estabilidad financiera. Además, debe basarse en los estudios previos del proceso de contratación y en el contexto económico del sector, siguiendo la normativa vigente, como lo establece el artículo 2.2.1.1.1.5.3 del Decreto 1082 de 2015.</w:t>
            </w:r>
          </w:p>
        </w:tc>
      </w:tr>
    </w:tbl>
    <w:p w14:paraId="726D8ACC" w14:textId="77777777" w:rsidR="00631F2C" w:rsidRPr="00115E3D" w:rsidRDefault="00631F2C" w:rsidP="00631F2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6F729E94" w14:textId="77777777" w:rsidR="00631F2C" w:rsidRPr="00115E3D" w:rsidRDefault="00631F2C" w:rsidP="00631F2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Razones de la respuesta:</w:t>
      </w:r>
    </w:p>
    <w:p w14:paraId="1B3A9851" w14:textId="77777777" w:rsidR="00631F2C" w:rsidRPr="00115E3D" w:rsidRDefault="00631F2C" w:rsidP="00631F2C">
      <w:pPr>
        <w:spacing w:after="0" w:line="276" w:lineRule="auto"/>
        <w:jc w:val="both"/>
        <w:rPr>
          <w:rFonts w:ascii="Verdana" w:eastAsia="Calibri" w:hAnsi="Verdana" w:cs="Arial"/>
          <w:color w:val="000000" w:themeColor="text1"/>
          <w:lang w:val="es-ES"/>
        </w:rPr>
      </w:pPr>
    </w:p>
    <w:p w14:paraId="31F21B57" w14:textId="77777777" w:rsidR="00631F2C" w:rsidRPr="00115E3D" w:rsidRDefault="00631F2C" w:rsidP="00631F2C">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300FB01F" w14:textId="77777777" w:rsidR="00631F2C" w:rsidRPr="00115E3D" w:rsidRDefault="00631F2C" w:rsidP="00631F2C">
      <w:pPr>
        <w:spacing w:after="0" w:line="276" w:lineRule="auto"/>
        <w:jc w:val="both"/>
        <w:rPr>
          <w:rFonts w:ascii="Verdana" w:eastAsia="Calibri" w:hAnsi="Verdana" w:cs="Arial"/>
          <w:color w:val="000000" w:themeColor="text1"/>
          <w:lang w:val="es-ES"/>
        </w:rPr>
      </w:pPr>
    </w:p>
    <w:p w14:paraId="64E47518" w14:textId="77777777" w:rsidR="00631F2C" w:rsidRDefault="00631F2C" w:rsidP="00631F2C">
      <w:pPr>
        <w:widowControl w:val="0"/>
        <w:autoSpaceDE w:val="0"/>
        <w:autoSpaceDN w:val="0"/>
        <w:spacing w:after="0" w:line="276" w:lineRule="auto"/>
        <w:jc w:val="both"/>
        <w:rPr>
          <w:rFonts w:ascii="Verdana" w:hAnsi="Verdana" w:cs="Arial"/>
          <w:color w:val="000000" w:themeColor="text1"/>
        </w:rPr>
      </w:pPr>
    </w:p>
    <w:p w14:paraId="2B6CFFC6" w14:textId="77777777" w:rsidR="00631F2C" w:rsidRPr="00005535" w:rsidRDefault="00631F2C" w:rsidP="00631F2C">
      <w:pPr>
        <w:pStyle w:val="Prrafodelista"/>
        <w:numPr>
          <w:ilvl w:val="0"/>
          <w:numId w:val="4"/>
        </w:numPr>
        <w:spacing w:after="120" w:line="276" w:lineRule="auto"/>
        <w:jc w:val="both"/>
        <w:rPr>
          <w:rFonts w:ascii="Verdana" w:eastAsia="Calibri" w:hAnsi="Verdana" w:cs="Arial"/>
          <w:color w:val="000000" w:themeColor="text1"/>
          <w:lang w:val="es-ES_tradnl" w:eastAsia="es-ES_tradnl"/>
        </w:rPr>
      </w:pPr>
      <w:r w:rsidRPr="006F45E4">
        <w:rPr>
          <w:rFonts w:ascii="Verdana" w:eastAsia="Calibri" w:hAnsi="Verdana" w:cs="Arial"/>
          <w:color w:val="000000" w:themeColor="text1"/>
          <w:lang w:val="es-ES_tradnl" w:eastAsia="es-ES_tradnl"/>
        </w:rPr>
        <w:t>Los requisitos habilitantes se definen como exigencias de participación en los procedimientos de selección, establecidos en disposiciones normativas, de carácter legal o reglamentario, o contenidas en el acto administrativo que regula las reglas de la convocatoria, es decir, en el pliego</w:t>
      </w:r>
      <w:r w:rsidRPr="00005535">
        <w:rPr>
          <w:rFonts w:ascii="Verdana" w:eastAsia="Calibri" w:hAnsi="Verdana" w:cs="Arial"/>
          <w:color w:val="000000" w:themeColor="text1"/>
          <w:lang w:val="es-ES_tradnl" w:eastAsia="es-ES_tradnl"/>
        </w:rPr>
        <w:t xml:space="preserve"> de condiciones o el documento equivalente a este. Se diferencian de los </w:t>
      </w:r>
      <w:r w:rsidRPr="00005535">
        <w:rPr>
          <w:rFonts w:ascii="Verdana" w:eastAsia="Calibri" w:hAnsi="Verdana" w:cs="Arial"/>
          <w:i/>
          <w:iCs/>
          <w:color w:val="000000" w:themeColor="text1"/>
          <w:lang w:val="es-ES_tradnl" w:eastAsia="es-ES_tradnl"/>
        </w:rPr>
        <w:t>criterios de evaluación</w:t>
      </w:r>
      <w:r w:rsidRPr="00005535">
        <w:rPr>
          <w:rFonts w:ascii="Verdana" w:eastAsia="Calibri" w:hAnsi="Verdana" w:cs="Arial"/>
          <w:color w:val="000000" w:themeColor="text1"/>
          <w:lang w:val="es-ES_tradnl" w:eastAsia="es-ES_tradnl"/>
        </w:rPr>
        <w:t xml:space="preserve"> –también conocidos como </w:t>
      </w:r>
      <w:r w:rsidRPr="00005535">
        <w:rPr>
          <w:rFonts w:ascii="Verdana" w:eastAsia="Calibri" w:hAnsi="Verdana" w:cs="Arial"/>
          <w:i/>
          <w:iCs/>
          <w:color w:val="000000" w:themeColor="text1"/>
          <w:lang w:val="es-ES_tradnl" w:eastAsia="es-ES_tradnl"/>
        </w:rPr>
        <w:t>criterios de calificación</w:t>
      </w:r>
      <w:r w:rsidRPr="00005535">
        <w:rPr>
          <w:rFonts w:ascii="Verdana" w:eastAsia="Calibri" w:hAnsi="Verdana" w:cs="Arial"/>
          <w:color w:val="000000" w:themeColor="text1"/>
          <w:lang w:val="es-ES_tradnl" w:eastAsia="es-ES_tradnl"/>
        </w:rPr>
        <w:t xml:space="preserve">– en que estos son los factores definidos por la Entidad Estatal para la asignación de puntaje en el momento de la comparación de las ofertas, y que, a partir de su ponderación, permiten establecer el orden de elegibilidad y, por ende, la propuesta ganadora. </w:t>
      </w:r>
    </w:p>
    <w:p w14:paraId="0F9D118B" w14:textId="77777777" w:rsidR="00631F2C" w:rsidRPr="00005535" w:rsidRDefault="00631F2C" w:rsidP="00631F2C">
      <w:pPr>
        <w:pStyle w:val="Prrafodelista"/>
        <w:spacing w:after="120" w:line="276" w:lineRule="auto"/>
        <w:jc w:val="both"/>
        <w:rPr>
          <w:rFonts w:ascii="Verdana" w:eastAsia="Calibri" w:hAnsi="Verdana" w:cs="Arial"/>
          <w:color w:val="000000" w:themeColor="text1"/>
          <w:lang w:val="es-ES_tradnl" w:eastAsia="es-ES_tradnl"/>
        </w:rPr>
      </w:pPr>
    </w:p>
    <w:p w14:paraId="17B6C755" w14:textId="77777777" w:rsidR="00631F2C" w:rsidRPr="00005535" w:rsidRDefault="00631F2C" w:rsidP="00631F2C">
      <w:pPr>
        <w:pStyle w:val="Prrafodelista"/>
        <w:numPr>
          <w:ilvl w:val="0"/>
          <w:numId w:val="4"/>
        </w:numPr>
        <w:spacing w:after="120" w:line="276" w:lineRule="auto"/>
        <w:jc w:val="both"/>
        <w:rPr>
          <w:rFonts w:ascii="Verdana" w:eastAsia="Calibri" w:hAnsi="Verdana" w:cs="Arial"/>
          <w:color w:val="000000" w:themeColor="text1"/>
          <w:lang w:val="es-ES" w:eastAsia="es-ES"/>
        </w:rPr>
      </w:pPr>
      <w:r w:rsidRPr="00005535">
        <w:rPr>
          <w:rFonts w:ascii="Verdana" w:eastAsia="Calibri" w:hAnsi="Verdana" w:cs="Arial"/>
          <w:color w:val="000000" w:themeColor="text1"/>
          <w:lang w:val="es-ES" w:eastAsia="es-ES"/>
        </w:rPr>
        <w:lastRenderedPageBreak/>
        <w:t>A partir de lo dicho se deduce que los requisitos habilitantes, si bien constituyen obligaciones que los proponentes deben cumplir y acreditar para participar en el procedimiento de selección, no se valoran con un puntaje que determine el orden de escogencia, sino que se analizan como criterios previos a la evaluación en sentido estricto, de manera que quienes no los reúnan no pueden continuar en el procedimiento de selección, o sea, incurren en causal de rechazo. Esto sin perjuicio del derecho que tienen los oferentes de subsanar los defectos que se presenten en la prueba de tales requisitos, de conformidad con el artículo 5, parágrafos 1º al 4º, de la Ley 1150 de 2007.</w:t>
      </w:r>
    </w:p>
    <w:p w14:paraId="5A09C671" w14:textId="77777777" w:rsidR="00631F2C" w:rsidRPr="00005535" w:rsidRDefault="00631F2C" w:rsidP="00631F2C">
      <w:pPr>
        <w:pStyle w:val="Prrafodelista"/>
        <w:spacing w:after="120" w:line="276" w:lineRule="auto"/>
        <w:jc w:val="both"/>
        <w:rPr>
          <w:rFonts w:ascii="Verdana" w:eastAsia="Calibri" w:hAnsi="Verdana" w:cs="Arial"/>
          <w:color w:val="000000" w:themeColor="text1"/>
          <w:lang w:val="es-ES" w:eastAsia="es-ES"/>
        </w:rPr>
      </w:pPr>
    </w:p>
    <w:p w14:paraId="440ED097" w14:textId="77777777" w:rsidR="00631F2C" w:rsidRPr="00005535" w:rsidRDefault="00631F2C" w:rsidP="00631F2C">
      <w:pPr>
        <w:pStyle w:val="Prrafodelista"/>
        <w:numPr>
          <w:ilvl w:val="0"/>
          <w:numId w:val="4"/>
        </w:numPr>
        <w:spacing w:after="0" w:line="276" w:lineRule="auto"/>
        <w:jc w:val="both"/>
        <w:rPr>
          <w:rFonts w:ascii="Verdana" w:eastAsia="Calibri" w:hAnsi="Verdana" w:cs="Arial"/>
          <w:color w:val="000000" w:themeColor="text1"/>
          <w:lang w:val="es-ES" w:eastAsia="es-ES"/>
        </w:rPr>
      </w:pPr>
      <w:r w:rsidRPr="00005535">
        <w:rPr>
          <w:rFonts w:ascii="Verdana" w:eastAsia="Calibri" w:hAnsi="Verdana" w:cs="Arial"/>
          <w:color w:val="000000" w:themeColor="text1"/>
          <w:lang w:val="es-ES" w:eastAsia="es-ES"/>
        </w:rPr>
        <w:t xml:space="preserve">El mencionado artículo dispone que se considera </w:t>
      </w:r>
      <w:r w:rsidRPr="00005535">
        <w:rPr>
          <w:rFonts w:ascii="Verdana" w:eastAsia="Calibri" w:hAnsi="Verdana" w:cs="Arial"/>
          <w:i/>
          <w:iCs/>
          <w:color w:val="000000" w:themeColor="text1"/>
          <w:lang w:val="es-ES" w:eastAsia="es-ES"/>
        </w:rPr>
        <w:t>“objetiva la selección en la cual la escogencia se haga al ofrecimiento más favorable a la entidad y a los fines que ella busca, sin tener en consideración factores de afecto o de interés y, en general, cualquier clase de motivación subjetiva”.</w:t>
      </w:r>
      <w:r w:rsidRPr="00005535">
        <w:rPr>
          <w:rFonts w:ascii="Verdana" w:eastAsia="Calibri" w:hAnsi="Verdana" w:cs="Arial"/>
          <w:color w:val="000000" w:themeColor="text1"/>
          <w:lang w:val="es-ES" w:eastAsia="es-ES"/>
        </w:rPr>
        <w:t xml:space="preserve"> En ese contexto, los factores de escogencia y calificación que establezcan las entidades en los pliegos de condiciones o sus documentos equivalentes deberán tener en cuenta, entre otras cuestiones, los criterios establecidos en dicha disposición. Específicamente, el numeral 1º del artículo referido establece que en los procesos de selección de contratistas serán objeto de verificación, como requisitos habilitantes, </w:t>
      </w:r>
      <w:r w:rsidRPr="00005535">
        <w:rPr>
          <w:rFonts w:ascii="Verdana" w:eastAsia="Calibri" w:hAnsi="Verdana" w:cs="Arial"/>
          <w:i/>
          <w:iCs/>
          <w:color w:val="000000" w:themeColor="text1"/>
          <w:lang w:val="es-ES" w:eastAsia="es-ES"/>
        </w:rPr>
        <w:t>entre otros</w:t>
      </w:r>
      <w:r w:rsidRPr="00005535">
        <w:rPr>
          <w:rFonts w:ascii="Verdana" w:eastAsia="Calibri" w:hAnsi="Verdana" w:cs="Arial"/>
          <w:color w:val="000000" w:themeColor="text1"/>
          <w:lang w:val="es-ES" w:eastAsia="es-ES"/>
        </w:rPr>
        <w:t>, los siguientes: i) la capacidad jurídica; ii) la experiencia; iii) la capacidad financiera y iv) la capacidad de organización. En efecto, la normativa citada prescribe lo siguiente:</w:t>
      </w:r>
    </w:p>
    <w:p w14:paraId="07650E25" w14:textId="77777777" w:rsidR="00631F2C" w:rsidRPr="00005535" w:rsidRDefault="00631F2C" w:rsidP="00631F2C">
      <w:pPr>
        <w:spacing w:after="0" w:line="276" w:lineRule="auto"/>
        <w:ind w:firstLine="709"/>
        <w:jc w:val="both"/>
        <w:rPr>
          <w:rFonts w:ascii="Verdana" w:eastAsia="Calibri" w:hAnsi="Verdana" w:cs="Arial"/>
          <w:color w:val="000000" w:themeColor="text1"/>
          <w:lang w:val="es-ES_tradnl" w:eastAsia="es-ES_tradnl"/>
        </w:rPr>
      </w:pPr>
      <w:r w:rsidRPr="00005535">
        <w:rPr>
          <w:rFonts w:ascii="Verdana" w:eastAsia="Calibri" w:hAnsi="Verdana" w:cs="Arial"/>
          <w:color w:val="000000" w:themeColor="text1"/>
          <w:lang w:val="es-ES_tradnl" w:eastAsia="es-ES_tradnl"/>
        </w:rPr>
        <w:t xml:space="preserve"> </w:t>
      </w:r>
    </w:p>
    <w:p w14:paraId="4ADC5A63" w14:textId="77777777" w:rsidR="00631F2C" w:rsidRPr="00005535" w:rsidRDefault="00631F2C" w:rsidP="00631F2C">
      <w:pPr>
        <w:spacing w:after="0" w:line="240" w:lineRule="auto"/>
        <w:ind w:left="1134" w:right="709"/>
        <w:jc w:val="both"/>
        <w:rPr>
          <w:rFonts w:ascii="Verdana" w:eastAsia="Calibri" w:hAnsi="Verdana" w:cs="Arial"/>
          <w:color w:val="000000" w:themeColor="text1"/>
          <w:sz w:val="20"/>
          <w:szCs w:val="20"/>
          <w:lang w:val="es-ES_tradnl" w:eastAsia="es-ES_tradnl"/>
        </w:rPr>
      </w:pPr>
      <w:r w:rsidRPr="00005535">
        <w:rPr>
          <w:rFonts w:ascii="Verdana" w:eastAsia="Calibri" w:hAnsi="Verdana" w:cs="Arial"/>
          <w:i/>
          <w:iCs/>
          <w:color w:val="000000" w:themeColor="text1"/>
          <w:sz w:val="20"/>
          <w:szCs w:val="20"/>
          <w:lang w:val="es-ES_tradnl" w:eastAsia="es-ES_tradnl"/>
        </w:rPr>
        <w:t>“</w:t>
      </w:r>
      <w:r w:rsidRPr="00005535">
        <w:rPr>
          <w:rFonts w:ascii="Verdana" w:eastAsia="Calibri" w:hAnsi="Verdana" w:cs="Arial"/>
          <w:color w:val="000000" w:themeColor="text1"/>
          <w:sz w:val="20"/>
          <w:szCs w:val="20"/>
          <w:lang w:val="es-ES_tradnl" w:eastAsia="es-ES_tradnl"/>
        </w:rPr>
        <w:t xml:space="preserve">Artículo 5. De la Selección Objetiva. </w:t>
      </w:r>
    </w:p>
    <w:p w14:paraId="0284639B" w14:textId="77777777" w:rsidR="00631F2C" w:rsidRPr="00005535" w:rsidRDefault="00631F2C" w:rsidP="00631F2C">
      <w:pPr>
        <w:spacing w:after="0" w:line="240" w:lineRule="auto"/>
        <w:ind w:left="1134" w:right="709"/>
        <w:jc w:val="both"/>
        <w:rPr>
          <w:rFonts w:ascii="Verdana" w:eastAsia="Calibri" w:hAnsi="Verdana" w:cs="Arial"/>
          <w:color w:val="000000" w:themeColor="text1"/>
          <w:sz w:val="20"/>
          <w:szCs w:val="20"/>
          <w:lang w:val="es-ES_tradnl" w:eastAsia="es-ES_tradnl"/>
        </w:rPr>
      </w:pPr>
      <w:r w:rsidRPr="00005535">
        <w:rPr>
          <w:rFonts w:ascii="Verdana" w:eastAsia="Calibri" w:hAnsi="Verdana" w:cs="Arial"/>
          <w:color w:val="000000" w:themeColor="text1"/>
          <w:sz w:val="20"/>
          <w:szCs w:val="20"/>
          <w:lang w:val="es-ES_tradnl" w:eastAsia="es-ES_tradnl"/>
        </w:rPr>
        <w:t>[…]</w:t>
      </w:r>
    </w:p>
    <w:p w14:paraId="2BEDEA68" w14:textId="77777777" w:rsidR="00631F2C" w:rsidRPr="00005535" w:rsidRDefault="00631F2C" w:rsidP="00631F2C">
      <w:pPr>
        <w:pStyle w:val="Prrafodelista"/>
        <w:numPr>
          <w:ilvl w:val="0"/>
          <w:numId w:val="6"/>
        </w:numPr>
        <w:spacing w:after="0" w:line="240" w:lineRule="auto"/>
        <w:ind w:right="709"/>
        <w:jc w:val="both"/>
        <w:rPr>
          <w:rFonts w:ascii="Verdana" w:eastAsia="Calibri" w:hAnsi="Verdana" w:cs="Arial"/>
          <w:color w:val="000000" w:themeColor="text1"/>
          <w:sz w:val="20"/>
          <w:szCs w:val="20"/>
          <w:lang w:val="es-ES"/>
        </w:rPr>
      </w:pPr>
      <w:r w:rsidRPr="00005535">
        <w:rPr>
          <w:rFonts w:ascii="Verdana" w:eastAsia="Calibri" w:hAnsi="Verdana" w:cs="Arial"/>
          <w:color w:val="000000" w:themeColor="text1"/>
          <w:sz w:val="20"/>
          <w:szCs w:val="20"/>
          <w:lang w:val="es-ES"/>
        </w:rPr>
        <w:t>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 de la presente ley, de acuerdo con lo cual se expedirá la respectiva certificación”.</w:t>
      </w:r>
    </w:p>
    <w:p w14:paraId="61465AFE" w14:textId="77777777" w:rsidR="00631F2C" w:rsidRPr="00005535" w:rsidRDefault="00631F2C" w:rsidP="00631F2C">
      <w:pPr>
        <w:pStyle w:val="Prrafodelista"/>
        <w:spacing w:after="0" w:line="240" w:lineRule="auto"/>
        <w:ind w:left="1494" w:right="709"/>
        <w:jc w:val="both"/>
        <w:rPr>
          <w:rFonts w:ascii="Verdana" w:eastAsia="Calibri" w:hAnsi="Verdana" w:cs="Arial"/>
          <w:color w:val="000000" w:themeColor="text1"/>
          <w:sz w:val="20"/>
          <w:szCs w:val="20"/>
          <w:lang w:val="es-ES_tradnl"/>
        </w:rPr>
      </w:pPr>
    </w:p>
    <w:p w14:paraId="631DB07E" w14:textId="77777777" w:rsidR="00631F2C" w:rsidRPr="00005535" w:rsidRDefault="00631F2C" w:rsidP="00631F2C">
      <w:pPr>
        <w:pStyle w:val="Prrafodelista"/>
        <w:numPr>
          <w:ilvl w:val="0"/>
          <w:numId w:val="5"/>
        </w:numPr>
        <w:spacing w:after="120" w:line="276" w:lineRule="auto"/>
        <w:jc w:val="both"/>
        <w:rPr>
          <w:rFonts w:ascii="Verdana" w:eastAsia="Calibri" w:hAnsi="Verdana" w:cs="Arial"/>
          <w:lang w:val="es-MX"/>
        </w:rPr>
      </w:pPr>
      <w:r w:rsidRPr="00005535">
        <w:rPr>
          <w:rFonts w:ascii="Verdana" w:eastAsia="Calibri" w:hAnsi="Verdana" w:cs="Arial"/>
          <w:lang w:val="es-MX"/>
        </w:rPr>
        <w:t>Una vez fijados los requisitos habilitantes por la Entidad Estatal, quienes presenten ofertas deben acreditar que cumplen con los mismos, pues, en el evento contrario, las propuestas deberán ser rechazadas. El ente encargado de verificar el cumplimiento por parte de los proponentes sobre los requisitos que haya considerado la entidad como habilitantes será la Cámara de Comercio, esto en la medida en que, mediante el Registro Único de Proponentes –RUP</w:t>
      </w:r>
      <w:r w:rsidRPr="00005535">
        <w:rPr>
          <w:rFonts w:ascii="Verdana" w:hAnsi="Verdana"/>
          <w:color w:val="000000" w:themeColor="text1"/>
          <w:vertAlign w:val="superscript"/>
          <w:lang w:val="es-ES_tradnl" w:eastAsia="es-ES_tradnl"/>
        </w:rPr>
        <w:footnoteReference w:id="1"/>
      </w:r>
      <w:r w:rsidRPr="00005535">
        <w:rPr>
          <w:rFonts w:ascii="Verdana" w:eastAsia="Calibri" w:hAnsi="Verdana" w:cs="Arial"/>
          <w:lang w:val="es-MX"/>
        </w:rPr>
        <w:t xml:space="preserve">–, se pondrá de presente toda la información relacionada con la experiencia, capacidad jurídica, capacidad financiera y organizacional, así como la clasificación del proponente. </w:t>
      </w:r>
    </w:p>
    <w:p w14:paraId="0508B309" w14:textId="77777777" w:rsidR="00631F2C" w:rsidRPr="00005535" w:rsidRDefault="00631F2C" w:rsidP="00631F2C">
      <w:pPr>
        <w:pStyle w:val="Prrafodelista"/>
        <w:spacing w:after="120" w:line="276" w:lineRule="auto"/>
        <w:jc w:val="both"/>
        <w:rPr>
          <w:rFonts w:ascii="Verdana" w:eastAsia="Calibri" w:hAnsi="Verdana" w:cs="Arial"/>
          <w:lang w:val="es-MX"/>
        </w:rPr>
      </w:pPr>
    </w:p>
    <w:p w14:paraId="39C90AE8" w14:textId="77777777" w:rsidR="00631F2C" w:rsidRPr="00005535" w:rsidRDefault="00631F2C" w:rsidP="00631F2C">
      <w:pPr>
        <w:pStyle w:val="Prrafodelista"/>
        <w:numPr>
          <w:ilvl w:val="0"/>
          <w:numId w:val="5"/>
        </w:numPr>
        <w:spacing w:after="120" w:line="276" w:lineRule="auto"/>
        <w:jc w:val="both"/>
        <w:rPr>
          <w:rFonts w:ascii="Verdana" w:eastAsia="Calibri" w:hAnsi="Verdana" w:cs="Arial"/>
          <w:lang w:val="es-MX"/>
        </w:rPr>
      </w:pPr>
      <w:r w:rsidRPr="00005535">
        <w:rPr>
          <w:rFonts w:ascii="Verdana" w:eastAsia="Calibri" w:hAnsi="Verdana" w:cs="Arial"/>
          <w:lang w:val="es-MX"/>
        </w:rPr>
        <w:t xml:space="preserve">El artículo 6 de la Ley 1150 de 2007, que regula los sujetos que deben inscribirse en el RUP, señaló que deben hacerlo las personas naturales o jurídicas, nacionales o extranjeras que tengan domicilio o sucursal en el país. Estas personas tienen la obligación de registrarse en el RUP, en dos casos: a) cuando pretendan celebrar contratos estatales y b) si el procedimiento de contratación es de aquellos en los cuales no se exceptúa el RUP, de acuerdo con el inciso segundo del artículo 6 de la Ley 1150 de 2007 –contratación directa, contratos para la prestación de servicios de salud, contratos de mínima cuantía, entre otros puestos de presente por la norma–. De esto se desprende que las personas extranjeras sin domicilio o sucursal en Colombia que pretendan celebrar contratos con el Estado colombiano no están obligadas a inscribirse en el RUP, puesto que, tratándose de proponentes extranjeros la norma únicamente señala como obligados a quienes tengan domicilio o sucursal en el país. En consecuencia, este tipo de proponentes extranjeros deberán acreditar la experiencia y los demás requisitos habilitantes exigidos en los procesos de selección de contratación pública en los que participen mediante la presentación de los documentos que cumplan con los requisitos de validez </w:t>
      </w:r>
      <w:r w:rsidRPr="00005535">
        <w:rPr>
          <w:rFonts w:ascii="Verdana" w:eastAsia="Calibri" w:hAnsi="Verdana" w:cs="Arial"/>
          <w:lang w:val="es-MX"/>
        </w:rPr>
        <w:lastRenderedPageBreak/>
        <w:t>dispuestos por la ley y el pliego de condiciones que haya determinado previamente la Entidad Estatal, para que sirvan de prueba, y la Entidad Estatal deberá realizar una verificación directa del cumplimiento de los requisitos habilitantes.</w:t>
      </w:r>
    </w:p>
    <w:p w14:paraId="70B42751" w14:textId="77777777" w:rsidR="00631F2C" w:rsidRPr="00005535" w:rsidRDefault="00631F2C" w:rsidP="00631F2C">
      <w:pPr>
        <w:pStyle w:val="Prrafodelista"/>
        <w:spacing w:after="120" w:line="276" w:lineRule="auto"/>
        <w:jc w:val="both"/>
        <w:rPr>
          <w:rFonts w:ascii="Verdana" w:eastAsia="Calibri" w:hAnsi="Verdana" w:cs="Arial"/>
          <w:lang w:val="es-MX"/>
        </w:rPr>
      </w:pPr>
    </w:p>
    <w:p w14:paraId="4A5541BD" w14:textId="77777777" w:rsidR="00631F2C" w:rsidRPr="00005535" w:rsidRDefault="00631F2C" w:rsidP="00631F2C">
      <w:pPr>
        <w:pStyle w:val="Prrafodelista"/>
        <w:numPr>
          <w:ilvl w:val="0"/>
          <w:numId w:val="5"/>
        </w:numPr>
        <w:spacing w:after="120" w:line="276" w:lineRule="auto"/>
        <w:jc w:val="both"/>
        <w:rPr>
          <w:rFonts w:ascii="Verdana" w:eastAsia="Calibri" w:hAnsi="Verdana" w:cs="Arial"/>
          <w:lang w:val="es-MX"/>
        </w:rPr>
      </w:pPr>
      <w:r w:rsidRPr="00005535">
        <w:rPr>
          <w:rFonts w:ascii="Verdana" w:eastAsia="Calibri" w:hAnsi="Verdana" w:cs="Arial"/>
          <w:color w:val="000000"/>
          <w:lang w:val="es-MX" w:eastAsia="es-ES_tradnl"/>
        </w:rPr>
        <w:t xml:space="preserve">Ahora bien, dentro de los requisitos habilitantes se destaca la capacidad financiera, la cual </w:t>
      </w:r>
      <w:r w:rsidRPr="00005535">
        <w:rPr>
          <w:rFonts w:ascii="Verdana" w:eastAsia="Calibri" w:hAnsi="Verdana" w:cs="Arial"/>
          <w:lang w:val="es-MX"/>
        </w:rPr>
        <w:t xml:space="preserve">se deriva del comportamiento contable de la empresa, su liquidez y endeudamiento, para determinar que sus recursos y solidez financiera le permita cumplir los compromisos que adquiera. Como explica esta Agencia en el </w:t>
      </w:r>
      <w:r w:rsidRPr="00005535">
        <w:rPr>
          <w:rFonts w:ascii="Verdana" w:eastAsia="Calibri" w:hAnsi="Verdana" w:cs="Arial"/>
          <w:i/>
          <w:iCs/>
          <w:lang w:val="es-MX"/>
        </w:rPr>
        <w:t>Manual para determinar y verificar los requisitos habilitantes en los procesos de contratación</w:t>
      </w:r>
      <w:r w:rsidRPr="00005535">
        <w:rPr>
          <w:rFonts w:ascii="Verdana" w:eastAsia="Calibri" w:hAnsi="Verdana" w:cs="Arial"/>
          <w:lang w:val="es-MX"/>
        </w:rPr>
        <w:t xml:space="preserve">: </w:t>
      </w:r>
      <w:r w:rsidRPr="00005535">
        <w:rPr>
          <w:rFonts w:ascii="Verdana" w:eastAsia="Calibri" w:hAnsi="Verdana" w:cs="Arial"/>
          <w:i/>
          <w:iCs/>
          <w:lang w:val="es-MX"/>
        </w:rPr>
        <w:t>“Los indicadores de capacidad financiera buscan establecer unas condiciones mínimas que reflejan la salud financiera de los proponentes a través de su liquidez y endeudamiento. Estas condiciones muestran la aptitud del proponente para cumplir oportuna y cabalmente el objeto del contrato”</w:t>
      </w:r>
      <w:r w:rsidRPr="00005535">
        <w:rPr>
          <w:rFonts w:ascii="Verdana" w:hAnsi="Verdana"/>
          <w:i/>
          <w:iCs/>
          <w:color w:val="000000"/>
          <w:vertAlign w:val="superscript"/>
          <w:lang w:val="es-ES_tradnl" w:eastAsia="es-ES_tradnl"/>
        </w:rPr>
        <w:footnoteReference w:id="2"/>
      </w:r>
      <w:r w:rsidRPr="00005535">
        <w:rPr>
          <w:rFonts w:ascii="Verdana" w:eastAsia="Calibri" w:hAnsi="Verdana" w:cs="Arial"/>
          <w:i/>
          <w:iCs/>
          <w:color w:val="000000"/>
          <w:lang w:val="es-ES_tradnl" w:eastAsia="es-ES_tradnl"/>
        </w:rPr>
        <w:t>.</w:t>
      </w:r>
      <w:r w:rsidRPr="00005535">
        <w:rPr>
          <w:rFonts w:ascii="Verdana" w:eastAsia="Calibri" w:hAnsi="Verdana" w:cs="Arial"/>
          <w:color w:val="000000"/>
          <w:lang w:val="es-MX" w:eastAsia="es-ES_tradnl"/>
        </w:rPr>
        <w:t xml:space="preserve"> La Entidad Estatal, como responsable de la estructuración de su procedimiento de selección, es autónoma para determinar la capacidad financiera necesaria de acuerdo con el objeto contractual que se pretende satisfacer, no obstante, en atención a lo dispuesto en el artículo 2.2.1.1.1.6.2 del Decreto 1082 de 2015, debe ser establecida con sustento en el estudio del sector</w:t>
      </w:r>
      <w:r w:rsidRPr="00005535">
        <w:rPr>
          <w:rFonts w:ascii="Verdana" w:hAnsi="Verdana"/>
          <w:color w:val="000000"/>
          <w:vertAlign w:val="superscript"/>
          <w:lang w:val="es-MX" w:eastAsia="es-ES_tradnl"/>
        </w:rPr>
        <w:footnoteReference w:id="3"/>
      </w:r>
      <w:r w:rsidRPr="00005535">
        <w:rPr>
          <w:rFonts w:ascii="Verdana" w:eastAsia="Calibri" w:hAnsi="Verdana" w:cs="Arial"/>
          <w:color w:val="000000"/>
          <w:lang w:val="es-MX" w:eastAsia="es-ES_tradnl"/>
        </w:rPr>
        <w:t xml:space="preserve"> y sus componentes como la identificación de riesgos, el mercado y precio del bien, obra o servicio a contratar</w:t>
      </w:r>
      <w:r w:rsidRPr="00005535">
        <w:rPr>
          <w:rFonts w:ascii="Verdana" w:hAnsi="Verdana"/>
          <w:color w:val="000000"/>
          <w:vertAlign w:val="superscript"/>
          <w:lang w:val="es-MX" w:eastAsia="es-ES_tradnl"/>
        </w:rPr>
        <w:footnoteReference w:id="4"/>
      </w:r>
      <w:r w:rsidRPr="00005535">
        <w:rPr>
          <w:rFonts w:ascii="Verdana" w:eastAsia="Calibri" w:hAnsi="Verdana" w:cs="Arial"/>
          <w:color w:val="000000"/>
          <w:lang w:val="es-MX" w:eastAsia="es-ES_tradnl"/>
        </w:rPr>
        <w:t>.</w:t>
      </w:r>
    </w:p>
    <w:p w14:paraId="43C7DE7B" w14:textId="77777777" w:rsidR="00631F2C" w:rsidRPr="00005535" w:rsidRDefault="00631F2C" w:rsidP="00631F2C">
      <w:pPr>
        <w:pStyle w:val="Prrafodelista"/>
        <w:spacing w:after="120" w:line="276" w:lineRule="auto"/>
        <w:jc w:val="both"/>
        <w:rPr>
          <w:rFonts w:ascii="Verdana" w:eastAsia="Calibri" w:hAnsi="Verdana" w:cs="Arial"/>
          <w:lang w:val="es-MX"/>
        </w:rPr>
      </w:pPr>
    </w:p>
    <w:p w14:paraId="65AEE0F5" w14:textId="77777777" w:rsidR="00631F2C" w:rsidRPr="00005535" w:rsidRDefault="00631F2C" w:rsidP="00631F2C">
      <w:pPr>
        <w:pStyle w:val="Prrafodelista"/>
        <w:numPr>
          <w:ilvl w:val="0"/>
          <w:numId w:val="5"/>
        </w:numPr>
        <w:spacing w:before="120" w:after="120" w:line="276" w:lineRule="auto"/>
        <w:jc w:val="both"/>
        <w:rPr>
          <w:rFonts w:ascii="Verdana" w:eastAsia="Calibri" w:hAnsi="Verdana" w:cs="Arial"/>
          <w:color w:val="000000"/>
          <w:lang w:val="es-ES_tradnl" w:eastAsia="es-ES_tradnl"/>
        </w:rPr>
      </w:pPr>
      <w:r w:rsidRPr="00005535">
        <w:rPr>
          <w:rFonts w:ascii="Verdana" w:eastAsia="Calibri" w:hAnsi="Verdana" w:cs="Arial"/>
          <w:color w:val="000000"/>
          <w:lang w:val="es-ES_tradnl" w:eastAsia="es-ES_tradnl"/>
        </w:rPr>
        <w:t xml:space="preserve">De conformidad con lo dispuesto en los artículos 5, numeral 1 de la Ley 1150 de 2007 y 2.2.1.1.1.5.3 del Decreto 1082 de 2015, por regla general, la acreditación del requisito habilitante de capacidad financiera se realiza a través del RUP. En atención a esto, para los tramites de inscripción, renovación y actualización el numeral 2.3 del artículo 2.2.1.1.1.5.2 del Decreto 1082 de 2015 exige la presentación de los </w:t>
      </w:r>
      <w:r w:rsidRPr="00005535">
        <w:rPr>
          <w:rFonts w:ascii="Verdana" w:eastAsia="Calibri" w:hAnsi="Verdana" w:cs="Arial"/>
          <w:i/>
          <w:iCs/>
          <w:color w:val="000000"/>
          <w:lang w:val="es-ES_tradnl" w:eastAsia="es-ES_tradnl"/>
        </w:rPr>
        <w:lastRenderedPageBreak/>
        <w:t>“</w:t>
      </w:r>
      <w:r w:rsidRPr="00005535">
        <w:rPr>
          <w:rFonts w:ascii="Verdana" w:hAnsi="Verdana" w:cs="Arial"/>
          <w:i/>
          <w:iCs/>
          <w:color w:val="000000"/>
        </w:rPr>
        <w:t>Estados financieros de la sociedad y los estados financieros consolidados del grupo empresarial, cuando la norma aplicable lo exige, auditados con sus notas […]”</w:t>
      </w:r>
      <w:r w:rsidRPr="00005535">
        <w:rPr>
          <w:rFonts w:ascii="Verdana" w:eastAsia="Calibri" w:hAnsi="Verdana" w:cs="Arial"/>
          <w:color w:val="000000"/>
          <w:lang w:val="es-ES_tradnl" w:eastAsia="es-ES_tradnl"/>
        </w:rPr>
        <w:t>, además de unos anexos dirigidos a servir de medio de verificación de la salud financiera de los proponentes</w:t>
      </w:r>
      <w:r w:rsidRPr="00005535">
        <w:rPr>
          <w:rStyle w:val="Refdenotaalpie"/>
          <w:rFonts w:ascii="Verdana" w:eastAsia="Calibri" w:hAnsi="Verdana" w:cs="Arial"/>
          <w:color w:val="000000"/>
          <w:lang w:val="es-ES_tradnl" w:eastAsia="es-ES_tradnl"/>
        </w:rPr>
        <w:footnoteReference w:id="5"/>
      </w:r>
      <w:r w:rsidRPr="00005535">
        <w:rPr>
          <w:rFonts w:ascii="Verdana" w:eastAsia="Calibri" w:hAnsi="Verdana" w:cs="Arial"/>
          <w:color w:val="000000"/>
          <w:lang w:val="es-ES_tradnl" w:eastAsia="es-ES_tradnl"/>
        </w:rPr>
        <w:t xml:space="preserve">.  De este modo, lo que se verifica con el registro es que el proponente cumpla con los indicadores financieros solicitados por la entidad para medir la capacidad financiera requerida para el procedimiento de selección. </w:t>
      </w:r>
    </w:p>
    <w:p w14:paraId="00F913C4" w14:textId="77777777" w:rsidR="00631F2C" w:rsidRPr="00005535" w:rsidRDefault="00631F2C" w:rsidP="00631F2C">
      <w:pPr>
        <w:pStyle w:val="Prrafodelista"/>
        <w:spacing w:before="120" w:after="120" w:line="276" w:lineRule="auto"/>
        <w:jc w:val="both"/>
        <w:rPr>
          <w:rFonts w:ascii="Verdana" w:eastAsia="Calibri" w:hAnsi="Verdana" w:cs="Arial"/>
          <w:color w:val="000000"/>
          <w:lang w:val="es-ES_tradnl" w:eastAsia="es-ES_tradnl"/>
        </w:rPr>
      </w:pPr>
    </w:p>
    <w:p w14:paraId="6E77E3DF" w14:textId="77777777" w:rsidR="00631F2C" w:rsidRPr="00005535" w:rsidRDefault="00631F2C" w:rsidP="00631F2C">
      <w:pPr>
        <w:pStyle w:val="Prrafodelista"/>
        <w:numPr>
          <w:ilvl w:val="0"/>
          <w:numId w:val="5"/>
        </w:numPr>
        <w:spacing w:before="120" w:after="120" w:line="276" w:lineRule="auto"/>
        <w:jc w:val="both"/>
        <w:rPr>
          <w:rFonts w:ascii="Verdana" w:eastAsia="Calibri" w:hAnsi="Verdana" w:cs="Arial"/>
          <w:color w:val="000000"/>
          <w:lang w:val="es-ES" w:eastAsia="es-ES"/>
        </w:rPr>
      </w:pPr>
      <w:r w:rsidRPr="00005535">
        <w:rPr>
          <w:rFonts w:ascii="Verdana" w:eastAsia="Calibri" w:hAnsi="Verdana" w:cs="Arial"/>
          <w:color w:val="000000"/>
          <w:lang w:val="es-ES" w:eastAsia="es-ES"/>
        </w:rPr>
        <w:t xml:space="preserve">Según el artículo 2.2.1.1.1.5.3. del Decreto 1082 de 2015, el RUP contempla como indicadores de capacidad financiera los siguientes: i) el </w:t>
      </w:r>
      <w:r w:rsidRPr="00005535">
        <w:rPr>
          <w:rFonts w:ascii="Verdana" w:eastAsia="Calibri" w:hAnsi="Verdana" w:cs="Arial"/>
          <w:i/>
          <w:iCs/>
          <w:color w:val="000000"/>
          <w:lang w:val="es-ES" w:eastAsia="es-ES"/>
        </w:rPr>
        <w:t>índice de liquidez</w:t>
      </w:r>
      <w:r w:rsidRPr="00005535">
        <w:rPr>
          <w:rFonts w:ascii="Verdana" w:eastAsia="Calibri" w:hAnsi="Verdana" w:cs="Arial"/>
          <w:color w:val="000000"/>
          <w:lang w:val="es-ES" w:eastAsia="es-ES"/>
        </w:rPr>
        <w:t xml:space="preserve">, que corresponde a la división entre el activo corriente y el pasivo corriente, y que determina la capacidad que tiene el proponente para cumplir con sus obligaciones de corto plazo; ii) el </w:t>
      </w:r>
      <w:r w:rsidRPr="00005535">
        <w:rPr>
          <w:rFonts w:ascii="Verdana" w:eastAsia="Calibri" w:hAnsi="Verdana" w:cs="Arial"/>
          <w:i/>
          <w:iCs/>
          <w:color w:val="000000"/>
          <w:lang w:val="es-ES" w:eastAsia="es-ES"/>
        </w:rPr>
        <w:t>índice de endeudamiento</w:t>
      </w:r>
      <w:r w:rsidRPr="00005535">
        <w:rPr>
          <w:rFonts w:ascii="Verdana" w:eastAsia="Calibri" w:hAnsi="Verdana" w:cs="Arial"/>
          <w:color w:val="000000"/>
          <w:lang w:val="es-ES" w:eastAsia="es-ES"/>
        </w:rPr>
        <w:t xml:space="preserve">, que se calcula dividiendo el pasivo total por el activo total, el cual determina el grado de endeudamiento en la estructura de financiación del proponente; y iii) la </w:t>
      </w:r>
      <w:r w:rsidRPr="00005535">
        <w:rPr>
          <w:rFonts w:ascii="Verdana" w:eastAsia="Calibri" w:hAnsi="Verdana" w:cs="Arial"/>
          <w:i/>
          <w:iCs/>
          <w:color w:val="000000"/>
          <w:lang w:val="es-ES" w:eastAsia="es-ES"/>
        </w:rPr>
        <w:t>razón de cobertura de intereses</w:t>
      </w:r>
      <w:r w:rsidRPr="00005535">
        <w:rPr>
          <w:rFonts w:ascii="Verdana" w:eastAsia="Calibri" w:hAnsi="Verdana" w:cs="Arial"/>
          <w:color w:val="000000"/>
          <w:lang w:val="es-ES" w:eastAsia="es-ES"/>
        </w:rPr>
        <w:t xml:space="preserve">, que es igual a la utilidad operacional, sobre los gastos de intereses, y que refleja la capacidad del proponente para cumplir con sus obligaciones financieras. Adicionalmente, la Agencia Nacional de Contratación Pública – Colombia Compra Eficiente recomienda valorar otro tipo de indicadores como el </w:t>
      </w:r>
      <w:r w:rsidRPr="00005535">
        <w:rPr>
          <w:rFonts w:ascii="Verdana" w:eastAsia="Calibri" w:hAnsi="Verdana" w:cs="Arial"/>
          <w:i/>
          <w:iCs/>
          <w:color w:val="000000"/>
          <w:lang w:val="es-ES" w:eastAsia="es-ES"/>
        </w:rPr>
        <w:t>capital de trabajo</w:t>
      </w:r>
      <w:r w:rsidRPr="00005535">
        <w:rPr>
          <w:rFonts w:ascii="Verdana" w:eastAsia="Calibri" w:hAnsi="Verdana" w:cs="Arial"/>
          <w:color w:val="000000"/>
          <w:lang w:val="es-ES" w:eastAsia="es-ES"/>
        </w:rPr>
        <w:t xml:space="preserve">, la </w:t>
      </w:r>
      <w:r w:rsidRPr="00005535">
        <w:rPr>
          <w:rFonts w:ascii="Verdana" w:eastAsia="Calibri" w:hAnsi="Verdana" w:cs="Arial"/>
          <w:i/>
          <w:iCs/>
          <w:color w:val="000000"/>
          <w:lang w:val="es-ES" w:eastAsia="es-ES"/>
        </w:rPr>
        <w:t>razón de efectivo</w:t>
      </w:r>
      <w:r w:rsidRPr="00005535">
        <w:rPr>
          <w:rFonts w:ascii="Verdana" w:eastAsia="Calibri" w:hAnsi="Verdana" w:cs="Arial"/>
          <w:color w:val="000000"/>
          <w:lang w:val="es-ES" w:eastAsia="es-ES"/>
        </w:rPr>
        <w:t xml:space="preserve">, la denominada </w:t>
      </w:r>
      <w:r w:rsidRPr="00005535">
        <w:rPr>
          <w:rFonts w:ascii="Verdana" w:eastAsia="Calibri" w:hAnsi="Verdana" w:cs="Arial"/>
          <w:i/>
          <w:iCs/>
          <w:color w:val="000000"/>
          <w:lang w:val="es-ES" w:eastAsia="es-ES"/>
        </w:rPr>
        <w:t>prueba ácida</w:t>
      </w:r>
      <w:r w:rsidRPr="00005535">
        <w:rPr>
          <w:rFonts w:ascii="Verdana" w:hAnsi="Verdana"/>
          <w:vertAlign w:val="superscript"/>
          <w:lang w:val="es-ES" w:eastAsia="es-ES"/>
        </w:rPr>
        <w:footnoteReference w:id="6"/>
      </w:r>
      <w:r w:rsidRPr="00005535">
        <w:rPr>
          <w:rFonts w:ascii="Verdana" w:eastAsia="Calibri" w:hAnsi="Verdana" w:cs="Arial"/>
          <w:color w:val="000000"/>
          <w:lang w:val="es-ES" w:eastAsia="es-ES"/>
        </w:rPr>
        <w:t xml:space="preserve">, la </w:t>
      </w:r>
      <w:r w:rsidRPr="00005535">
        <w:rPr>
          <w:rFonts w:ascii="Verdana" w:eastAsia="Calibri" w:hAnsi="Verdana" w:cs="Arial"/>
          <w:i/>
          <w:iCs/>
          <w:color w:val="000000"/>
          <w:lang w:val="es-ES" w:eastAsia="es-ES"/>
        </w:rPr>
        <w:t xml:space="preserve">concentración de endeudamiento a corto </w:t>
      </w:r>
      <w:r w:rsidRPr="00005535">
        <w:rPr>
          <w:rFonts w:ascii="Verdana" w:eastAsia="Calibri" w:hAnsi="Verdana" w:cs="Arial"/>
          <w:color w:val="000000"/>
          <w:lang w:val="es-ES" w:eastAsia="es-ES"/>
        </w:rPr>
        <w:t>y</w:t>
      </w:r>
      <w:r w:rsidRPr="00005535">
        <w:rPr>
          <w:rFonts w:ascii="Verdana" w:eastAsia="Calibri" w:hAnsi="Verdana" w:cs="Arial"/>
          <w:i/>
          <w:iCs/>
          <w:color w:val="000000"/>
          <w:lang w:val="es-ES" w:eastAsia="es-ES"/>
        </w:rPr>
        <w:t xml:space="preserve"> a largo plazo</w:t>
      </w:r>
      <w:r w:rsidRPr="00005535">
        <w:rPr>
          <w:rFonts w:ascii="Verdana" w:eastAsia="Calibri" w:hAnsi="Verdana" w:cs="Arial"/>
          <w:color w:val="000000"/>
          <w:lang w:val="es-ES" w:eastAsia="es-ES"/>
        </w:rPr>
        <w:t xml:space="preserve"> y el </w:t>
      </w:r>
      <w:r w:rsidRPr="00005535">
        <w:rPr>
          <w:rFonts w:ascii="Verdana" w:eastAsia="Calibri" w:hAnsi="Verdana" w:cs="Arial"/>
          <w:i/>
          <w:iCs/>
          <w:color w:val="000000"/>
          <w:lang w:val="es-ES" w:eastAsia="es-ES"/>
        </w:rPr>
        <w:t>patrimonio</w:t>
      </w:r>
      <w:r w:rsidRPr="00005535">
        <w:rPr>
          <w:rFonts w:ascii="Verdana" w:hAnsi="Verdana"/>
          <w:i/>
          <w:iCs/>
          <w:vertAlign w:val="superscript"/>
          <w:lang w:val="es-ES" w:eastAsia="es-ES"/>
        </w:rPr>
        <w:footnoteReference w:id="7"/>
      </w:r>
      <w:r w:rsidRPr="00005535">
        <w:rPr>
          <w:rFonts w:ascii="Verdana" w:eastAsia="Calibri" w:hAnsi="Verdana" w:cs="Arial"/>
          <w:color w:val="000000"/>
          <w:lang w:val="es-ES" w:eastAsia="es-ES"/>
        </w:rPr>
        <w:t>.</w:t>
      </w:r>
    </w:p>
    <w:p w14:paraId="086DDF86" w14:textId="77777777" w:rsidR="00631F2C" w:rsidRPr="00005535" w:rsidRDefault="00631F2C" w:rsidP="00631F2C">
      <w:pPr>
        <w:pStyle w:val="Prrafodelista"/>
        <w:spacing w:before="120" w:after="120" w:line="276" w:lineRule="auto"/>
        <w:jc w:val="both"/>
        <w:rPr>
          <w:rFonts w:ascii="Verdana" w:eastAsia="Calibri" w:hAnsi="Verdana" w:cs="Arial"/>
          <w:color w:val="000000"/>
          <w:lang w:val="es-ES" w:eastAsia="es-ES"/>
        </w:rPr>
      </w:pPr>
    </w:p>
    <w:p w14:paraId="7A24B9EB" w14:textId="77777777" w:rsidR="00631F2C" w:rsidRPr="00005535" w:rsidRDefault="00631F2C" w:rsidP="00631F2C">
      <w:pPr>
        <w:pStyle w:val="Prrafodelista"/>
        <w:numPr>
          <w:ilvl w:val="0"/>
          <w:numId w:val="5"/>
        </w:numPr>
        <w:spacing w:before="120" w:after="120" w:line="276" w:lineRule="auto"/>
        <w:jc w:val="both"/>
        <w:rPr>
          <w:rFonts w:ascii="Verdana" w:eastAsia="Calibri" w:hAnsi="Verdana" w:cs="Arial"/>
          <w:color w:val="000000" w:themeColor="text1"/>
          <w:lang w:val="es-ES_tradnl" w:eastAsia="es-ES_tradnl"/>
        </w:rPr>
      </w:pPr>
      <w:r w:rsidRPr="00005535">
        <w:rPr>
          <w:rFonts w:ascii="Verdana" w:eastAsia="Calibri" w:hAnsi="Verdana" w:cs="Arial"/>
          <w:color w:val="000000" w:themeColor="text1"/>
          <w:lang w:val="es-ES_tradnl" w:eastAsia="es-ES_tradnl"/>
        </w:rPr>
        <w:t xml:space="preserve">De igual forma, es importante tener en cuenta que el numeral 3 del artículo 2.2.1.1.1.5.3. del Decreto 1082 de 2015 se refiere a los aspectos </w:t>
      </w:r>
      <w:r w:rsidRPr="00005535">
        <w:rPr>
          <w:rFonts w:ascii="Verdana" w:eastAsia="Calibri" w:hAnsi="Verdana" w:cs="Arial"/>
          <w:color w:val="000000" w:themeColor="text1"/>
          <w:lang w:val="es-ES_tradnl" w:eastAsia="es-ES_tradnl"/>
        </w:rPr>
        <w:lastRenderedPageBreak/>
        <w:t>de la capacidad financiera que deben verificar las cámaras de comercio al momento de la inscripción, renovación o actualización del Registro Único de Proponentes. Sin embargo, no dispone expresamente que el índice de liquidez, el índice de endeudamiento y la razón de cobertura de intereses sean aspectos que deban validarse obligatoriamente en cada proceso de selección. Una cosa son los requisitos de capacidad financiera que debe certificar el registro y otra, muy diferente, los aspectos de este requisito habilitante que la entidad verifica en cada procedimiento contractual. Mientras los primeros están regulados en el artículo 2.2.1.1.1.5.3. del Decreto 1082 de 2015, los segundos debe establecerlos la entidad contratante en el pliego de condiciones o la invitación, según corresponda.</w:t>
      </w:r>
    </w:p>
    <w:p w14:paraId="6DFD6CF2" w14:textId="77777777" w:rsidR="00631F2C" w:rsidRPr="00005535" w:rsidRDefault="00631F2C" w:rsidP="00631F2C">
      <w:pPr>
        <w:pStyle w:val="Prrafodelista"/>
        <w:rPr>
          <w:rFonts w:ascii="Verdana" w:eastAsia="Calibri" w:hAnsi="Verdana" w:cs="Arial"/>
          <w:color w:val="000000" w:themeColor="text1"/>
          <w:lang w:val="es-ES_tradnl" w:eastAsia="es-ES_tradnl"/>
        </w:rPr>
      </w:pPr>
    </w:p>
    <w:p w14:paraId="2E49746E" w14:textId="77777777" w:rsidR="00631F2C" w:rsidRPr="006D14B0" w:rsidRDefault="00631F2C" w:rsidP="00631F2C">
      <w:pPr>
        <w:pStyle w:val="Prrafodelista"/>
        <w:numPr>
          <w:ilvl w:val="0"/>
          <w:numId w:val="5"/>
        </w:numPr>
        <w:spacing w:before="120" w:after="120" w:line="276" w:lineRule="auto"/>
        <w:jc w:val="both"/>
        <w:rPr>
          <w:rFonts w:ascii="Verdana" w:eastAsia="Calibri" w:hAnsi="Verdana" w:cs="Arial"/>
          <w:color w:val="000000" w:themeColor="text1"/>
          <w:lang w:val="es-ES_tradnl" w:eastAsia="es-ES_tradnl"/>
        </w:rPr>
      </w:pPr>
      <w:r>
        <w:rPr>
          <w:rFonts w:ascii="Verdana" w:eastAsia="Calibri" w:hAnsi="Verdana" w:cs="Arial"/>
          <w:color w:val="000000" w:themeColor="text1"/>
          <w:lang w:val="es-ES_tradnl" w:eastAsia="es-ES_tradnl"/>
        </w:rPr>
        <w:t>Finalmente</w:t>
      </w:r>
      <w:r w:rsidRPr="00291584">
        <w:rPr>
          <w:rFonts w:ascii="Verdana" w:eastAsia="Calibri" w:hAnsi="Verdana" w:cs="Arial"/>
          <w:color w:val="000000" w:themeColor="text1"/>
          <w:lang w:val="es-ES_tradnl" w:eastAsia="es-ES_tradnl"/>
        </w:rPr>
        <w:t xml:space="preserve">, </w:t>
      </w:r>
      <w:r w:rsidRPr="00291584">
        <w:rPr>
          <w:rFonts w:ascii="Verdana" w:eastAsia="Calibri" w:hAnsi="Verdana" w:cs="Arial"/>
          <w:color w:val="000000" w:themeColor="text1"/>
          <w:lang w:eastAsia="es-ES_tradnl"/>
        </w:rPr>
        <w:t xml:space="preserve">El manual para determinar y verificar los requisitos habilitantes en los procesos de contratación establece un marco detallado para evaluar la capacidad financiera de los proponentes, garantizando que estos puedan cumplir con las obligaciones del contrato de manera eficiente y oportuna. Para ello, las entidades estatales deben utilizar una serie de indicadores financieros clave, como el índice de liquidez, el índice de endeudamiento y la razón de cobertura de intereses. Estos indicadores se deben seleccionar en función de las características del contrato, como su naturaleza, valor, plazo y complejidad. Por ejemplo, el índice de liquidez se utiliza para medir la capacidad del proponente de cumplir con sus obligaciones de corto plazo, mientras que el índice de endeudamiento refleja el grado de apalancamiento financiero y la razón de cobertura de intereses evalúa la capacidad de la empresa para cubrir sus gastos financieros. La entidad también debe establecer valores mínimos o máximos para estos indicadores según el nivel de riesgo que representan: valores bajos de liquidez, altos índices de endeudamiento o una baja cobertura de intereses aumentan el riesgo de incumplimiento. Además, el manual destaca la importancia de evaluar el mejor año fiscal del proponente, tomando el periodo con los indicadores más favorables para asegurarse de que la capacidad financiera esté al nivel requerido. En algunos casos, la entidad puede optar por utilizar indicadores adicionales, como el capital de trabajo o la razón de efectivo, para obtener una visión más completa de la situación financiera del proponente, especialmente si la liquidez o la capacidad de pago inmediato son factores críticos para el </w:t>
      </w:r>
      <w:r w:rsidRPr="00291584">
        <w:rPr>
          <w:rFonts w:ascii="Verdana" w:eastAsia="Calibri" w:hAnsi="Verdana" w:cs="Arial"/>
          <w:color w:val="000000" w:themeColor="text1"/>
          <w:lang w:eastAsia="es-ES_tradnl"/>
        </w:rPr>
        <w:lastRenderedPageBreak/>
        <w:t>éxito del contrato. Por otro lado, se resalta la Capacidad Residual o K de Contratación, que mide la capacidad del proponente para asumir nuevos compromisos sin comprometer el cumplimiento de otros contratos, un requisito importante en proyectos de obras públicas. Todo este análisis debe ser ajustado al contexto del contrato, de manera que los riesgos sean mitigados adecuadamente, asegurando que los proponentes seleccionados sean financieramente sólidos y capaces de cumplir con el objeto contractual.</w:t>
      </w:r>
    </w:p>
    <w:p w14:paraId="530464D2"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rPr>
      </w:pPr>
    </w:p>
    <w:p w14:paraId="6A9CA35A" w14:textId="77777777" w:rsidR="00631F2C" w:rsidRPr="00115E3D" w:rsidRDefault="00631F2C" w:rsidP="00631F2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Referencias normativas, jurisprudenciales y otras fuentes:</w:t>
      </w:r>
    </w:p>
    <w:p w14:paraId="1633B673"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31F2C" w:rsidRPr="00115E3D" w14:paraId="61C6E0A8" w14:textId="77777777" w:rsidTr="00EF5085">
        <w:trPr>
          <w:trHeight w:val="870"/>
        </w:trPr>
        <w:tc>
          <w:tcPr>
            <w:tcW w:w="8647" w:type="dxa"/>
          </w:tcPr>
          <w:p w14:paraId="58EB0BD4" w14:textId="77777777" w:rsidR="00631F2C" w:rsidRPr="00305654" w:rsidRDefault="00631F2C" w:rsidP="00631F2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305654">
              <w:rPr>
                <w:rFonts w:ascii="Verdana" w:hAnsi="Verdana" w:cs="Arial"/>
                <w:color w:val="000000" w:themeColor="text1"/>
              </w:rPr>
              <w:t>Ley 1150 de 2007</w:t>
            </w:r>
            <w:r>
              <w:rPr>
                <w:rFonts w:ascii="Verdana" w:hAnsi="Verdana" w:cs="Arial"/>
                <w:color w:val="000000" w:themeColor="text1"/>
              </w:rPr>
              <w:t xml:space="preserve">, </w:t>
            </w:r>
            <w:r w:rsidRPr="00005535">
              <w:rPr>
                <w:rFonts w:ascii="Verdana" w:eastAsia="Calibri" w:hAnsi="Verdana" w:cs="Arial"/>
                <w:color w:val="000000" w:themeColor="text1"/>
                <w:lang w:val="es-ES" w:eastAsia="es-ES"/>
              </w:rPr>
              <w:t>artículo 5, parágrafos 1º al 4º</w:t>
            </w:r>
            <w:r>
              <w:rPr>
                <w:rFonts w:ascii="Verdana" w:eastAsia="Calibri" w:hAnsi="Verdana" w:cs="Arial"/>
                <w:color w:val="000000" w:themeColor="text1"/>
                <w:lang w:val="es-ES" w:eastAsia="es-ES"/>
              </w:rPr>
              <w:t xml:space="preserve"> </w:t>
            </w:r>
          </w:p>
          <w:p w14:paraId="4C31AABE" w14:textId="77777777" w:rsidR="00631F2C" w:rsidRPr="00305654" w:rsidRDefault="00631F2C" w:rsidP="00631F2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305654">
              <w:rPr>
                <w:rFonts w:ascii="Verdana" w:hAnsi="Verdana" w:cs="Arial"/>
                <w:color w:val="000000" w:themeColor="text1"/>
              </w:rPr>
              <w:t>Artículo 2.2.1.2.1.4.8 del Decreto Único Reglamentario 1082 de 2015</w:t>
            </w:r>
          </w:p>
          <w:p w14:paraId="287015FD" w14:textId="77777777" w:rsidR="00631F2C" w:rsidRDefault="00631F2C" w:rsidP="00631F2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 xml:space="preserve">Decreto 1082 de 2015; Artículos </w:t>
            </w:r>
            <w:r w:rsidRPr="00005535">
              <w:rPr>
                <w:rFonts w:ascii="Verdana" w:eastAsia="Calibri" w:hAnsi="Verdana" w:cs="Arial"/>
                <w:color w:val="000000"/>
                <w:lang w:val="es-ES_tradnl" w:eastAsia="es-ES_tradnl"/>
              </w:rPr>
              <w:t>2.2.1.1.1.5.3</w:t>
            </w:r>
            <w:r>
              <w:rPr>
                <w:rFonts w:ascii="Verdana" w:eastAsia="Calibri" w:hAnsi="Verdana" w:cs="Arial"/>
                <w:color w:val="000000"/>
                <w:lang w:val="es-ES_tradnl" w:eastAsia="es-ES_tradnl"/>
              </w:rPr>
              <w:t xml:space="preserve"> </w:t>
            </w:r>
          </w:p>
          <w:p w14:paraId="6F085204" w14:textId="77777777" w:rsidR="00631F2C" w:rsidRDefault="00631F2C" w:rsidP="00631F2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305654">
              <w:rPr>
                <w:rFonts w:ascii="Verdana" w:hAnsi="Verdana" w:cs="Arial"/>
                <w:color w:val="000000" w:themeColor="text1"/>
              </w:rPr>
              <w:t xml:space="preserve">Jurisprudencia del Consejo de Estado. Disponible en: https://relatoria.colombiacompra.gov.co/providencias-consejo-de-estado/ </w:t>
            </w:r>
          </w:p>
          <w:p w14:paraId="2D3F4BC1" w14:textId="77777777" w:rsidR="00631F2C" w:rsidRPr="00305654" w:rsidRDefault="00631F2C" w:rsidP="00631F2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996312">
              <w:rPr>
                <w:rFonts w:ascii="Verdana" w:eastAsia="Times New Roman" w:hAnsi="Verdana" w:cs="Times New Roman"/>
                <w:lang w:eastAsia="es-CO"/>
              </w:rPr>
              <w:t>Manual para determinar y verificar los requisitos habilitantes en los procesos de contratación</w:t>
            </w:r>
            <w:r>
              <w:rPr>
                <w:rFonts w:ascii="Verdana" w:eastAsia="Times New Roman" w:hAnsi="Verdana" w:cs="Times New Roman"/>
                <w:lang w:eastAsia="es-CO"/>
              </w:rPr>
              <w:t xml:space="preserve">: </w:t>
            </w:r>
            <w:hyperlink r:id="rId9" w:history="1">
              <w:r w:rsidRPr="00485205">
                <w:rPr>
                  <w:rStyle w:val="Hipervnculo"/>
                  <w:rFonts w:ascii="Verdana" w:eastAsia="Times New Roman" w:hAnsi="Verdana" w:cs="Times New Roman"/>
                  <w:lang w:eastAsia="es-CO"/>
                </w:rPr>
                <w:t>cce-eicp-ma-04._manual_requisitos_habilitantes_v3_29-09-2023.pdf</w:t>
              </w:r>
            </w:hyperlink>
            <w:r>
              <w:rPr>
                <w:rFonts w:ascii="Verdana" w:eastAsia="Times New Roman" w:hAnsi="Verdana" w:cs="Times New Roman"/>
                <w:lang w:eastAsia="es-CO"/>
              </w:rPr>
              <w:t xml:space="preserve"> </w:t>
            </w:r>
          </w:p>
          <w:p w14:paraId="7049FEF5" w14:textId="77777777" w:rsidR="00631F2C" w:rsidRPr="005258CA" w:rsidRDefault="00631F2C" w:rsidP="00631F2C">
            <w:pPr>
              <w:pStyle w:val="Prrafodelista"/>
              <w:widowControl w:val="0"/>
              <w:numPr>
                <w:ilvl w:val="0"/>
                <w:numId w:val="3"/>
              </w:numPr>
              <w:autoSpaceDE w:val="0"/>
              <w:autoSpaceDN w:val="0"/>
              <w:spacing w:after="120" w:line="276" w:lineRule="auto"/>
              <w:jc w:val="both"/>
              <w:rPr>
                <w:rFonts w:ascii="Verdana" w:hAnsi="Verdana" w:cs="Arial"/>
                <w:color w:val="000000" w:themeColor="text1"/>
              </w:rPr>
            </w:pPr>
            <w:r w:rsidRPr="00305654">
              <w:rPr>
                <w:rFonts w:ascii="Verdana" w:hAnsi="Verdana" w:cs="Arial"/>
                <w:color w:val="000000" w:themeColor="text1"/>
              </w:rPr>
              <w:t>Guías y manuales expedidos por la ANCP-CCE. Disponible en: https://www.colombiacompra.gov.co/manuales-guias-y-pliegos-tipo/manuales-y-guias</w:t>
            </w:r>
          </w:p>
        </w:tc>
      </w:tr>
    </w:tbl>
    <w:p w14:paraId="25A57D5A"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rPr>
      </w:pPr>
    </w:p>
    <w:p w14:paraId="58C6A3E2" w14:textId="77777777" w:rsidR="00631F2C" w:rsidRPr="00115E3D" w:rsidRDefault="00631F2C" w:rsidP="00631F2C">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lang w:val="es-ES"/>
        </w:rPr>
      </w:pPr>
      <w:r w:rsidRPr="00115E3D">
        <w:rPr>
          <w:rFonts w:ascii="Verdana" w:eastAsia="Century Gothic" w:hAnsi="Verdana" w:cs="Century Gothic"/>
          <w:b/>
          <w:bCs/>
          <w:color w:val="000000" w:themeColor="text1"/>
          <w:lang w:val="es-ES"/>
        </w:rPr>
        <w:t>Doctrina de la Agencia Nacional de Contratación Pública:</w:t>
      </w:r>
    </w:p>
    <w:p w14:paraId="578A0C29"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rPr>
      </w:pPr>
    </w:p>
    <w:p w14:paraId="660172C9" w14:textId="77777777" w:rsidR="00631F2C" w:rsidRPr="006D14B0" w:rsidRDefault="00631F2C" w:rsidP="00631F2C">
      <w:pPr>
        <w:widowControl w:val="0"/>
        <w:autoSpaceDE w:val="0"/>
        <w:autoSpaceDN w:val="0"/>
        <w:spacing w:after="0" w:line="276" w:lineRule="auto"/>
        <w:jc w:val="both"/>
        <w:rPr>
          <w:rFonts w:ascii="Verdana" w:hAnsi="Verdana"/>
        </w:rPr>
      </w:pPr>
      <w:r w:rsidRPr="006D14B0">
        <w:rPr>
          <w:rFonts w:ascii="Verdana" w:hAnsi="Verdana"/>
        </w:rPr>
        <w:t xml:space="preserve">La Agencia Nacional de Contratación Pública – Colombia Compra Eficiente, en los conceptos No. 4201912000006798 del 24 de octubre de 2019, C-002 del 12 de febrero de 2020, C-089 del 4 de marzo de 2020, C-099 del 06 de abril de 2020, C-166 del 14 de abril de 2020, C-233 del 16 de abril de 2020, C-326 del 9 de junio de 2020, C-140 del 9 de abril de 2021. Respecto de la reciente reglamentación establecida en los Decretos 399 y 579 de 2021 se pronunció en los Conceptos C-288 de 17 de junio de 2021, C-353 del 19 de julio de 2021, C-366 del 26 de julio de 2021 y C-372 del 28 de julio de 2021, C-406 del 8 de agosto de 2021, C-407 del 25 de agosto de 2021, C-439 de 5 de julio de 2022, </w:t>
      </w:r>
      <w:r w:rsidRPr="006D14B0">
        <w:rPr>
          <w:rFonts w:ascii="Verdana" w:hAnsi="Verdana"/>
        </w:rPr>
        <w:lastRenderedPageBreak/>
        <w:t>C-673 del 19 de octubre de 2023 y C-831 del 28 de noviembre de 2023, entre otros.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0" w:tgtFrame="_blank" w:tooltip="Dirección URL original: https://relatoria.colombiacompra.gov.co/. Haga clic o pulse si confía en este vínculo." w:history="1">
        <w:r w:rsidRPr="006D14B0">
          <w:rPr>
            <w:rStyle w:val="Hipervnculo"/>
            <w:rFonts w:ascii="Verdana" w:hAnsi="Verdana"/>
          </w:rPr>
          <w:t>https://relatoria.colombiacompra.gov.co/</w:t>
        </w:r>
      </w:hyperlink>
      <w:r w:rsidRPr="006D14B0">
        <w:rPr>
          <w:rFonts w:ascii="Verdana" w:hAnsi="Verdana"/>
        </w:rPr>
        <w:t> .</w:t>
      </w:r>
    </w:p>
    <w:p w14:paraId="609D6674" w14:textId="77777777" w:rsidR="00631F2C" w:rsidRPr="00171E80" w:rsidRDefault="00631F2C" w:rsidP="00631F2C">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11705D64" w14:textId="77777777" w:rsidR="00631F2C" w:rsidRPr="00C31717" w:rsidRDefault="00631F2C" w:rsidP="00631F2C">
      <w:pPr>
        <w:widowControl w:val="0"/>
        <w:autoSpaceDE w:val="0"/>
        <w:autoSpaceDN w:val="0"/>
        <w:spacing w:after="0" w:line="276" w:lineRule="auto"/>
        <w:jc w:val="both"/>
        <w:rPr>
          <w:rFonts w:ascii="Verdana" w:hAnsi="Verdana" w:cs="Arial"/>
          <w:color w:val="000000" w:themeColor="text1"/>
          <w:shd w:val="clear" w:color="auto" w:fill="FFFFFF"/>
        </w:rPr>
      </w:pPr>
      <w:r w:rsidRPr="00C31717">
        <w:rPr>
          <w:rFonts w:ascii="Verdana" w:hAnsi="Verdana" w:cs="Arial"/>
          <w:color w:val="000000" w:themeColor="text1"/>
          <w:shd w:val="clear" w:color="auto" w:fill="FFFFFF"/>
        </w:rPr>
        <w:t>Nos complace informarte que ya están disponibles las nuevas versiones de los Documentos Tipo para Infraestructura de Transporte, recuerda que es de obligatoria observancia por TODAS las entidades sometidas al EGCAP y entidades de régimen especial, con las excepciones de ley:</w:t>
      </w:r>
    </w:p>
    <w:p w14:paraId="1EBB725D" w14:textId="77777777" w:rsidR="00631F2C" w:rsidRPr="00C31717" w:rsidRDefault="00631F2C" w:rsidP="00631F2C">
      <w:pPr>
        <w:widowControl w:val="0"/>
        <w:numPr>
          <w:ilvl w:val="0"/>
          <w:numId w:val="8"/>
        </w:numPr>
        <w:autoSpaceDE w:val="0"/>
        <w:autoSpaceDN w:val="0"/>
        <w:spacing w:after="0" w:line="276" w:lineRule="auto"/>
        <w:jc w:val="both"/>
        <w:rPr>
          <w:rFonts w:ascii="Verdana" w:hAnsi="Verdana" w:cs="Arial"/>
          <w:color w:val="000000" w:themeColor="text1"/>
          <w:shd w:val="clear" w:color="auto" w:fill="FFFFFF"/>
        </w:rPr>
      </w:pPr>
      <w:r w:rsidRPr="00C31717">
        <w:rPr>
          <w:rFonts w:ascii="Verdana" w:hAnsi="Verdana" w:cs="Arial"/>
          <w:b/>
          <w:bCs/>
          <w:color w:val="000000" w:themeColor="text1"/>
          <w:shd w:val="clear" w:color="auto" w:fill="FFFFFF"/>
        </w:rPr>
        <w:t>Documentos tipo para los procesos de selección de interventoría de obra pública de infraestructura de transporte – versión 3: </w:t>
      </w:r>
      <w:hyperlink r:id="rId11" w:tgtFrame="_blank" w:tooltip="Dirección URL original: https://www.colombiacompra.gov.co/content/03-documentos-tipo-para-los-procesos-de-seleccion-de-interventoria-de-obra-publica-de. Haga clic o pulse si confía en este vínculo." w:history="1">
        <w:r w:rsidRPr="00C31717">
          <w:rPr>
            <w:rStyle w:val="Hipervnculo"/>
            <w:rFonts w:ascii="Verdana" w:hAnsi="Verdana" w:cs="Arial"/>
            <w:shd w:val="clear" w:color="auto" w:fill="FFFFFF"/>
          </w:rPr>
          <w:t>03. Documentos tipo para los procesos de selección de interventoría de obra pública de infraestructura de transporte – versión 3 | Colombia Compra Eficiente | Agencia Nacional de Contratación Pública</w:t>
        </w:r>
      </w:hyperlink>
    </w:p>
    <w:p w14:paraId="181F13A2" w14:textId="77777777" w:rsidR="00631F2C" w:rsidRPr="00C31717" w:rsidRDefault="00631F2C" w:rsidP="00631F2C">
      <w:pPr>
        <w:widowControl w:val="0"/>
        <w:numPr>
          <w:ilvl w:val="0"/>
          <w:numId w:val="8"/>
        </w:numPr>
        <w:autoSpaceDE w:val="0"/>
        <w:autoSpaceDN w:val="0"/>
        <w:spacing w:after="0" w:line="276" w:lineRule="auto"/>
        <w:jc w:val="both"/>
        <w:rPr>
          <w:rFonts w:ascii="Verdana" w:hAnsi="Verdana" w:cs="Arial"/>
          <w:color w:val="000000" w:themeColor="text1"/>
          <w:shd w:val="clear" w:color="auto" w:fill="FFFFFF"/>
        </w:rPr>
      </w:pPr>
      <w:r w:rsidRPr="00C31717">
        <w:rPr>
          <w:rFonts w:ascii="Verdana" w:hAnsi="Verdana" w:cs="Arial"/>
          <w:b/>
          <w:bCs/>
          <w:color w:val="000000" w:themeColor="text1"/>
          <w:shd w:val="clear" w:color="auto" w:fill="FFFFFF"/>
        </w:rPr>
        <w:t>Documentos tipo para los procesos de selección de consultoría de obra pública de infraestructura de transporte – versión 2:</w:t>
      </w:r>
      <w:r w:rsidRPr="00C31717">
        <w:rPr>
          <w:rFonts w:ascii="Verdana" w:hAnsi="Verdana" w:cs="Arial"/>
          <w:color w:val="000000" w:themeColor="text1"/>
          <w:shd w:val="clear" w:color="auto" w:fill="FFFFFF"/>
        </w:rPr>
        <w:t> </w:t>
      </w:r>
      <w:hyperlink r:id="rId12" w:tgtFrame="_blank" w:tooltip="Dirección URL original: https://www.colombiacompra.gov.co/content/02-documentos-tipo-para-los-procesos-de-seleccion-de-consultoria-de-obra-publica-de. Haga clic o pulse si confía en este vínculo." w:history="1">
        <w:r w:rsidRPr="00C31717">
          <w:rPr>
            <w:rStyle w:val="Hipervnculo"/>
            <w:rFonts w:ascii="Verdana" w:hAnsi="Verdana" w:cs="Arial"/>
            <w:shd w:val="clear" w:color="auto" w:fill="FFFFFF"/>
          </w:rPr>
          <w:t>02. Documentos tipo para los procesos de selección de consultoría de obra pública de infraestructura de transporte – versión 2. | Colombia Compra Eficiente | Agencia Nacional de Contratación Pública</w:t>
        </w:r>
      </w:hyperlink>
    </w:p>
    <w:p w14:paraId="7B40EA04" w14:textId="77777777" w:rsidR="00631F2C" w:rsidRPr="00C31717" w:rsidRDefault="00631F2C" w:rsidP="00631F2C">
      <w:pPr>
        <w:widowControl w:val="0"/>
        <w:autoSpaceDE w:val="0"/>
        <w:autoSpaceDN w:val="0"/>
        <w:spacing w:after="0" w:line="276" w:lineRule="auto"/>
        <w:jc w:val="both"/>
        <w:rPr>
          <w:rFonts w:ascii="Verdana" w:hAnsi="Verdana" w:cs="Arial"/>
          <w:color w:val="000000" w:themeColor="text1"/>
          <w:shd w:val="clear" w:color="auto" w:fill="FFFFFF"/>
        </w:rPr>
      </w:pPr>
      <w:r w:rsidRPr="00C31717">
        <w:rPr>
          <w:rFonts w:ascii="Verdana" w:hAnsi="Verdana" w:cs="Arial"/>
          <w:color w:val="000000" w:themeColor="text1"/>
          <w:shd w:val="clear" w:color="auto" w:fill="FFFFFF"/>
        </w:rPr>
        <w:t>También, te contamos que ya publicamos </w:t>
      </w:r>
      <w:r w:rsidRPr="00C31717">
        <w:rPr>
          <w:rFonts w:ascii="Verdana" w:hAnsi="Verdana" w:cs="Arial"/>
          <w:b/>
          <w:bCs/>
          <w:color w:val="000000" w:themeColor="text1"/>
          <w:shd w:val="clear" w:color="auto" w:fill="FFFFFF"/>
        </w:rPr>
        <w:t>la nueva Guía de Contratación Pública Sostenible y Socialmente Responsable</w:t>
      </w:r>
      <w:r w:rsidRPr="00C31717">
        <w:rPr>
          <w:rFonts w:ascii="Verdana" w:hAnsi="Verdana" w:cs="Arial"/>
          <w:color w:val="000000" w:themeColor="text1"/>
          <w:shd w:val="clear" w:color="auto" w:fill="FFFFFF"/>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3" w:tgtFrame="_blank" w:tooltip="Dirección URL original: https://www.colombiacompra.gov.co/manuales-guias-y-pliegos-tipo/manuales-y-guias/guia-de-contratacion-publica-sostenible-y-socialmente. Haga clic o pulse si confía en este vínculo." w:history="1">
        <w:r w:rsidRPr="00C31717">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045E9631" w14:textId="77777777" w:rsidR="00631F2C" w:rsidRPr="00C31717" w:rsidRDefault="00631F2C" w:rsidP="00631F2C">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3BB4774B" w14:textId="77777777" w:rsidR="00631F2C" w:rsidRPr="00115E3D" w:rsidRDefault="00631F2C" w:rsidP="00631F2C">
      <w:pPr>
        <w:spacing w:after="0" w:line="240" w:lineRule="auto"/>
        <w:jc w:val="both"/>
        <w:rPr>
          <w:rFonts w:ascii="Verdana" w:hAnsi="Verdana"/>
          <w:color w:val="000000" w:themeColor="text1"/>
        </w:rPr>
      </w:pPr>
      <w:r w:rsidRPr="00115E3D">
        <w:rPr>
          <w:rFonts w:ascii="Verdana" w:hAnsi="Verdana"/>
          <w:color w:val="000000" w:themeColor="text1"/>
        </w:rPr>
        <w:t xml:space="preserve">Por último, lo invitamos a seguirnos en las redes sociales en las cuales se difunde información institucional: </w:t>
      </w:r>
    </w:p>
    <w:p w14:paraId="15515982" w14:textId="77777777" w:rsidR="00631F2C" w:rsidRPr="00115E3D" w:rsidRDefault="00631F2C" w:rsidP="00631F2C">
      <w:pPr>
        <w:spacing w:after="0" w:line="240" w:lineRule="auto"/>
        <w:jc w:val="both"/>
        <w:rPr>
          <w:rFonts w:ascii="Verdana" w:hAnsi="Verdana"/>
          <w:color w:val="000000" w:themeColor="text1"/>
        </w:rPr>
      </w:pPr>
    </w:p>
    <w:p w14:paraId="6CE37ADC" w14:textId="77777777" w:rsidR="00631F2C" w:rsidRPr="00115E3D" w:rsidRDefault="00631F2C" w:rsidP="00631F2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6DED3152" w14:textId="77777777" w:rsidR="00631F2C" w:rsidRPr="00115E3D" w:rsidRDefault="00631F2C" w:rsidP="00631F2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3F8A0A1B" w14:textId="77777777" w:rsidR="00631F2C" w:rsidRPr="00115E3D" w:rsidRDefault="00631F2C" w:rsidP="00631F2C">
      <w:pPr>
        <w:spacing w:after="0" w:line="240" w:lineRule="auto"/>
        <w:jc w:val="both"/>
        <w:rPr>
          <w:rFonts w:ascii="Verdana" w:hAnsi="Verdana"/>
          <w:color w:val="000000" w:themeColor="text1"/>
        </w:rPr>
      </w:pPr>
      <w:r w:rsidRPr="00115E3D">
        <w:rPr>
          <w:rFonts w:ascii="Verdana" w:hAnsi="Verdana"/>
          <w:color w:val="000000" w:themeColor="text1"/>
        </w:rPr>
        <w:lastRenderedPageBreak/>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2DB27644"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rPr>
      </w:pPr>
    </w:p>
    <w:p w14:paraId="326FDAFB"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0830A594" w14:textId="77777777" w:rsidR="00631F2C" w:rsidRPr="00115E3D" w:rsidRDefault="00631F2C" w:rsidP="00631F2C">
      <w:pPr>
        <w:widowControl w:val="0"/>
        <w:autoSpaceDE w:val="0"/>
        <w:autoSpaceDN w:val="0"/>
        <w:spacing w:after="0" w:line="276" w:lineRule="auto"/>
        <w:jc w:val="both"/>
        <w:rPr>
          <w:rFonts w:ascii="Verdana" w:hAnsi="Verdana" w:cs="Arial"/>
          <w:color w:val="000000" w:themeColor="text1"/>
        </w:rPr>
      </w:pPr>
    </w:p>
    <w:p w14:paraId="4D4CE2CD" w14:textId="77777777" w:rsidR="00631F2C" w:rsidRPr="00115E3D" w:rsidRDefault="00631F2C" w:rsidP="00631F2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19A5A99E" w14:textId="78429C5F" w:rsidR="00631F2C" w:rsidRPr="00115E3D" w:rsidRDefault="0002094D" w:rsidP="00631F2C">
      <w:pPr>
        <w:spacing w:line="276" w:lineRule="auto"/>
        <w:jc w:val="center"/>
        <w:rPr>
          <w:rFonts w:ascii="Verdana" w:hAnsi="Verdana" w:cs="Arial"/>
          <w:color w:val="000000" w:themeColor="text1"/>
          <w:lang w:val="es-ES_tradnl" w:eastAsia="es-CO"/>
        </w:rPr>
      </w:pPr>
      <w:r>
        <w:rPr>
          <w:noProof/>
        </w:rPr>
        <w:drawing>
          <wp:inline distT="0" distB="0" distL="0" distR="0" wp14:anchorId="2E75D217" wp14:editId="79097BAB">
            <wp:extent cx="3771900" cy="1400175"/>
            <wp:effectExtent l="0" t="0" r="381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4"/>
                    <a:stretch>
                      <a:fillRect/>
                    </a:stretch>
                  </pic:blipFill>
                  <pic:spPr>
                    <a:xfrm>
                      <a:off x="0" y="0"/>
                      <a:ext cx="3771900" cy="1400175"/>
                    </a:xfrm>
                    <a:prstGeom prst="rect">
                      <a:avLst/>
                    </a:prstGeom>
                  </pic:spPr>
                </pic:pic>
              </a:graphicData>
            </a:graphic>
          </wp:inline>
        </w:drawing>
      </w:r>
    </w:p>
    <w:p w14:paraId="0368CF65" w14:textId="77777777" w:rsidR="00631F2C" w:rsidRPr="00115E3D" w:rsidRDefault="00631F2C" w:rsidP="00631F2C">
      <w:pPr>
        <w:spacing w:after="0" w:line="240" w:lineRule="auto"/>
        <w:rPr>
          <w:rFonts w:ascii="Verdana" w:eastAsia="Times New Roman" w:hAnsi="Verdana" w:cs="Arial"/>
          <w:color w:val="000000" w:themeColor="text1"/>
          <w:sz w:val="24"/>
          <w:szCs w:val="24"/>
          <w:lang w:eastAsia="es-ES"/>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31F2C" w:rsidRPr="00AF2DF5" w14:paraId="0645D270" w14:textId="77777777" w:rsidTr="00EF5085">
        <w:trPr>
          <w:trHeight w:val="315"/>
        </w:trPr>
        <w:tc>
          <w:tcPr>
            <w:tcW w:w="893" w:type="dxa"/>
            <w:vAlign w:val="center"/>
            <w:hideMark/>
          </w:tcPr>
          <w:p w14:paraId="66E9039F" w14:textId="77777777" w:rsidR="00631F2C" w:rsidRPr="00AF2DF5" w:rsidRDefault="00631F2C" w:rsidP="00EF5085">
            <w:pPr>
              <w:contextualSpacing/>
              <w:rPr>
                <w:rFonts w:ascii="Verdana" w:hAnsi="Verdana" w:cs="Arial"/>
                <w:sz w:val="16"/>
                <w:szCs w:val="16"/>
                <w:lang w:val="es-ES_tradnl"/>
              </w:rPr>
            </w:pPr>
            <w:r w:rsidRPr="00AF2DF5">
              <w:rPr>
                <w:rFonts w:ascii="Verdana" w:hAnsi="Verdana" w:cs="Arial"/>
                <w:sz w:val="16"/>
                <w:szCs w:val="16"/>
                <w:lang w:val="es-ES_tradnl"/>
              </w:rPr>
              <w:t>Elaboró:</w:t>
            </w:r>
          </w:p>
        </w:tc>
        <w:tc>
          <w:tcPr>
            <w:tcW w:w="5628" w:type="dxa"/>
            <w:tcBorders>
              <w:top w:val="nil"/>
              <w:left w:val="nil"/>
              <w:bottom w:val="dotted" w:sz="4" w:space="0" w:color="7F7F7F" w:themeColor="text1" w:themeTint="80"/>
              <w:right w:val="nil"/>
            </w:tcBorders>
            <w:vAlign w:val="center"/>
            <w:hideMark/>
          </w:tcPr>
          <w:p w14:paraId="143CD1DE" w14:textId="77777777" w:rsidR="00631F2C" w:rsidRPr="00AF2DF5" w:rsidRDefault="00631F2C" w:rsidP="00EF5085">
            <w:pPr>
              <w:contextualSpacing/>
              <w:rPr>
                <w:rFonts w:ascii="Verdana" w:hAnsi="Verdana" w:cs="Arial"/>
                <w:sz w:val="16"/>
                <w:szCs w:val="16"/>
                <w:lang w:val="es-ES_tradnl"/>
              </w:rPr>
            </w:pPr>
            <w:r>
              <w:rPr>
                <w:rFonts w:ascii="Verdana" w:hAnsi="Verdana" w:cs="Arial"/>
                <w:sz w:val="16"/>
                <w:szCs w:val="16"/>
                <w:lang w:val="es-ES_tradnl"/>
              </w:rPr>
              <w:t xml:space="preserve">Andreina Cerpa Muñoz </w:t>
            </w:r>
            <w:r w:rsidRPr="00AF2DF5">
              <w:rPr>
                <w:rFonts w:ascii="Verdana" w:hAnsi="Verdana" w:cs="Arial"/>
                <w:sz w:val="16"/>
                <w:szCs w:val="16"/>
                <w:lang w:val="es-ES_tradnl"/>
              </w:rPr>
              <w:t xml:space="preserve"> </w:t>
            </w:r>
          </w:p>
          <w:p w14:paraId="7C4BE2B9" w14:textId="77777777" w:rsidR="00631F2C" w:rsidRPr="00AF2DF5" w:rsidRDefault="00631F2C" w:rsidP="00EF5085">
            <w:pPr>
              <w:contextualSpacing/>
              <w:rPr>
                <w:rFonts w:ascii="Verdana" w:hAnsi="Verdana" w:cs="Arial"/>
                <w:sz w:val="16"/>
                <w:szCs w:val="16"/>
                <w:lang w:val="es-ES_tradnl"/>
              </w:rPr>
            </w:pPr>
            <w:r>
              <w:rPr>
                <w:rFonts w:ascii="Verdana" w:hAnsi="Verdana"/>
                <w:sz w:val="16"/>
                <w:szCs w:val="16"/>
                <w:lang w:val="es-ES_tradnl"/>
              </w:rPr>
              <w:t>Analista T2-02</w:t>
            </w:r>
            <w:r w:rsidRPr="00AF2DF5">
              <w:rPr>
                <w:rFonts w:ascii="Verdana" w:hAnsi="Verdana"/>
                <w:sz w:val="16"/>
                <w:szCs w:val="16"/>
                <w:lang w:val="es-ES_tradnl"/>
              </w:rPr>
              <w:t xml:space="preserve"> de la Subdirección de Gestión Contractual</w:t>
            </w:r>
          </w:p>
        </w:tc>
      </w:tr>
      <w:tr w:rsidR="00631F2C" w:rsidRPr="00AF2DF5" w14:paraId="0172D71C" w14:textId="77777777" w:rsidTr="00EF5085">
        <w:trPr>
          <w:trHeight w:val="330"/>
        </w:trPr>
        <w:tc>
          <w:tcPr>
            <w:tcW w:w="893" w:type="dxa"/>
            <w:vAlign w:val="center"/>
            <w:hideMark/>
          </w:tcPr>
          <w:p w14:paraId="3FA6D6A6" w14:textId="77777777" w:rsidR="00631F2C" w:rsidRPr="00AF2DF5" w:rsidRDefault="00631F2C" w:rsidP="00EF5085">
            <w:pPr>
              <w:contextualSpacing/>
              <w:rPr>
                <w:rFonts w:ascii="Verdana" w:hAnsi="Verdana" w:cs="Arial"/>
                <w:sz w:val="16"/>
                <w:szCs w:val="16"/>
                <w:lang w:val="es-ES_tradnl"/>
              </w:rPr>
            </w:pPr>
            <w:r w:rsidRPr="00AF2DF5">
              <w:rPr>
                <w:rFonts w:ascii="Verdana" w:hAnsi="Verdana" w:cs="Arial"/>
                <w:sz w:val="16"/>
                <w:szCs w:val="16"/>
                <w:lang w:val="es-ES_tradnl"/>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856E79" w14:textId="1AFB2132" w:rsidR="00631F2C" w:rsidRPr="00AF2DF5" w:rsidRDefault="00884E8A" w:rsidP="00EF5085">
            <w:pPr>
              <w:pStyle w:val="paragraph"/>
              <w:spacing w:before="0" w:beforeAutospacing="0" w:after="0" w:afterAutospacing="0"/>
              <w:contextualSpacing/>
              <w:textAlignment w:val="baseline"/>
              <w:rPr>
                <w:rFonts w:ascii="Verdana" w:eastAsiaTheme="minorHAnsi" w:hAnsi="Verdana"/>
                <w:sz w:val="16"/>
                <w:szCs w:val="16"/>
                <w:lang w:val="es-ES_tradnl" w:eastAsia="en-US"/>
              </w:rPr>
            </w:pPr>
            <w:r>
              <w:rPr>
                <w:rFonts w:ascii="Verdana" w:eastAsiaTheme="minorHAnsi" w:hAnsi="Verdana"/>
                <w:sz w:val="16"/>
                <w:szCs w:val="16"/>
                <w:lang w:val="es-ES_tradnl" w:eastAsia="en-US"/>
              </w:rPr>
              <w:t xml:space="preserve">Juan </w:t>
            </w:r>
            <w:r w:rsidR="005D0284">
              <w:rPr>
                <w:rFonts w:ascii="Verdana" w:eastAsiaTheme="minorHAnsi" w:hAnsi="Verdana"/>
                <w:sz w:val="16"/>
                <w:szCs w:val="16"/>
                <w:lang w:val="es-ES_tradnl" w:eastAsia="en-US"/>
              </w:rPr>
              <w:t xml:space="preserve">David </w:t>
            </w:r>
            <w:r>
              <w:rPr>
                <w:rFonts w:ascii="Verdana" w:eastAsiaTheme="minorHAnsi" w:hAnsi="Verdana"/>
                <w:sz w:val="16"/>
                <w:szCs w:val="16"/>
                <w:lang w:val="es-ES_tradnl" w:eastAsia="en-US"/>
              </w:rPr>
              <w:t>C</w:t>
            </w:r>
            <w:r w:rsidR="005D0284">
              <w:rPr>
                <w:rFonts w:ascii="Verdana" w:eastAsiaTheme="minorHAnsi" w:hAnsi="Verdana"/>
                <w:sz w:val="16"/>
                <w:szCs w:val="16"/>
                <w:lang w:val="es-ES_tradnl" w:eastAsia="en-US"/>
              </w:rPr>
              <w:t>á</w:t>
            </w:r>
            <w:r>
              <w:rPr>
                <w:rFonts w:ascii="Verdana" w:eastAsiaTheme="minorHAnsi" w:hAnsi="Verdana"/>
                <w:sz w:val="16"/>
                <w:szCs w:val="16"/>
                <w:lang w:val="es-ES_tradnl" w:eastAsia="en-US"/>
              </w:rPr>
              <w:t xml:space="preserve">rdenas Cabeza </w:t>
            </w:r>
          </w:p>
          <w:p w14:paraId="5FEC25CB" w14:textId="77777777" w:rsidR="00631F2C" w:rsidRPr="00AF2DF5" w:rsidRDefault="00631F2C" w:rsidP="00EF5085">
            <w:pPr>
              <w:pStyle w:val="paragraph"/>
              <w:spacing w:before="0" w:beforeAutospacing="0" w:after="0" w:afterAutospacing="0"/>
              <w:contextualSpacing/>
              <w:textAlignment w:val="baseline"/>
              <w:rPr>
                <w:rFonts w:ascii="Verdana" w:eastAsiaTheme="minorHAnsi" w:hAnsi="Verdana" w:cs="Arial"/>
                <w:sz w:val="16"/>
                <w:szCs w:val="16"/>
                <w:lang w:val="es-ES_tradnl" w:eastAsia="en-US"/>
              </w:rPr>
            </w:pPr>
            <w:r w:rsidRPr="00AF2DF5">
              <w:rPr>
                <w:rFonts w:ascii="Verdana" w:eastAsiaTheme="minorHAnsi" w:hAnsi="Verdana"/>
                <w:sz w:val="16"/>
                <w:szCs w:val="16"/>
                <w:lang w:val="es-ES_tradnl" w:eastAsia="en-US"/>
              </w:rPr>
              <w:t>Gestor T1-15 de la Subdirección de Gestión Contractual </w:t>
            </w:r>
          </w:p>
        </w:tc>
      </w:tr>
      <w:tr w:rsidR="00631F2C" w:rsidRPr="00AF2DF5" w14:paraId="62981369" w14:textId="77777777" w:rsidTr="00EF5085">
        <w:trPr>
          <w:trHeight w:val="300"/>
        </w:trPr>
        <w:tc>
          <w:tcPr>
            <w:tcW w:w="893" w:type="dxa"/>
            <w:vAlign w:val="center"/>
          </w:tcPr>
          <w:p w14:paraId="2DB2F20A" w14:textId="77777777" w:rsidR="00631F2C" w:rsidRPr="00AF2DF5" w:rsidRDefault="00631F2C" w:rsidP="00EF5085">
            <w:pPr>
              <w:contextualSpacing/>
              <w:rPr>
                <w:rFonts w:ascii="Verdana" w:hAnsi="Verdana" w:cs="Arial"/>
                <w:sz w:val="16"/>
                <w:szCs w:val="16"/>
                <w:lang w:val="es-ES_tradnl"/>
              </w:rPr>
            </w:pPr>
            <w:r w:rsidRPr="00AF2DF5">
              <w:rPr>
                <w:rFonts w:ascii="Verdana" w:hAnsi="Verdana" w:cs="Arial"/>
                <w:sz w:val="16"/>
                <w:szCs w:val="16"/>
                <w:lang w:val="es-ES_tradnl"/>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4FC2B32" w14:textId="77777777" w:rsidR="00631F2C" w:rsidRPr="00AF2DF5" w:rsidRDefault="00631F2C" w:rsidP="00EF5085">
            <w:pPr>
              <w:contextualSpacing/>
              <w:rPr>
                <w:rFonts w:ascii="Verdana" w:hAnsi="Verdana" w:cs="Arial"/>
                <w:sz w:val="16"/>
                <w:szCs w:val="16"/>
                <w:lang w:val="es-ES"/>
              </w:rPr>
            </w:pPr>
            <w:r w:rsidRPr="00AF2DF5">
              <w:rPr>
                <w:rFonts w:ascii="Verdana" w:hAnsi="Verdana" w:cs="Arial"/>
                <w:sz w:val="16"/>
                <w:szCs w:val="16"/>
                <w:lang w:val="es-ES"/>
              </w:rPr>
              <w:t>Carolina Quintero Gacharná</w:t>
            </w:r>
          </w:p>
          <w:p w14:paraId="19120009" w14:textId="77777777" w:rsidR="00631F2C" w:rsidRPr="00AF2DF5" w:rsidRDefault="00631F2C" w:rsidP="00EF5085">
            <w:pPr>
              <w:contextualSpacing/>
              <w:rPr>
                <w:rFonts w:ascii="Verdana" w:hAnsi="Verdana" w:cs="Arial"/>
                <w:sz w:val="16"/>
                <w:szCs w:val="16"/>
                <w:lang w:val="es-ES_tradnl"/>
              </w:rPr>
            </w:pPr>
            <w:r w:rsidRPr="00AF2DF5">
              <w:rPr>
                <w:rFonts w:ascii="Verdana" w:hAnsi="Verdana" w:cs="Arial"/>
                <w:sz w:val="16"/>
                <w:szCs w:val="16"/>
                <w:lang w:val="es-ES_tradnl"/>
              </w:rPr>
              <w:t>Subdirectora de Gestión Contractual ANCP – CCE</w:t>
            </w:r>
          </w:p>
        </w:tc>
      </w:tr>
    </w:tbl>
    <w:p w14:paraId="7F2DA18C" w14:textId="77777777" w:rsidR="00631F2C" w:rsidRPr="00115E3D" w:rsidRDefault="00631F2C" w:rsidP="00631F2C">
      <w:pPr>
        <w:rPr>
          <w:color w:val="000000" w:themeColor="text1"/>
        </w:rPr>
      </w:pPr>
    </w:p>
    <w:p w14:paraId="149B621C" w14:textId="77777777" w:rsidR="00631F2C" w:rsidRDefault="00631F2C" w:rsidP="00631F2C"/>
    <w:p w14:paraId="280F9587" w14:textId="77777777" w:rsidR="00631F2C" w:rsidRPr="00A43C47" w:rsidRDefault="00631F2C" w:rsidP="00631F2C"/>
    <w:p w14:paraId="77DC186E" w14:textId="77777777" w:rsidR="000F5A42" w:rsidRPr="00631F2C" w:rsidRDefault="000F5A42" w:rsidP="00631F2C"/>
    <w:sectPr w:rsidR="000F5A42" w:rsidRPr="00631F2C" w:rsidSect="005C17A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A1E81D" w14:textId="77777777" w:rsidR="00207A9B" w:rsidRDefault="00207A9B" w:rsidP="005C17AC">
      <w:pPr>
        <w:spacing w:after="0" w:line="240" w:lineRule="auto"/>
      </w:pPr>
      <w:r>
        <w:separator/>
      </w:r>
    </w:p>
  </w:endnote>
  <w:endnote w:type="continuationSeparator" w:id="0">
    <w:p w14:paraId="4A38DA85" w14:textId="77777777" w:rsidR="00207A9B" w:rsidRDefault="00207A9B" w:rsidP="005C17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altName w:val="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BD1AC" w14:textId="77777777" w:rsidR="0044599C" w:rsidRDefault="0044599C" w:rsidP="000849D5">
    <w:pPr>
      <w:spacing w:after="0"/>
      <w:rPr>
        <w:rFonts w:ascii="Verdana" w:hAnsi="Verdana"/>
        <w:b/>
        <w:bCs/>
        <w:sz w:val="20"/>
        <w:szCs w:val="20"/>
      </w:rPr>
    </w:pPr>
  </w:p>
  <w:p w14:paraId="73179F74" w14:textId="77777777" w:rsidR="0044599C" w:rsidRPr="00174B77" w:rsidRDefault="00000000"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C4D1B9A" w14:textId="77777777" w:rsidR="0044599C" w:rsidRDefault="00000000"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6528C387" w14:textId="77777777" w:rsidR="0044599C" w:rsidRPr="00E41027" w:rsidRDefault="00000000" w:rsidP="000849D5">
    <w:pPr>
      <w:spacing w:after="0"/>
      <w:jc w:val="both"/>
      <w:rPr>
        <w:rFonts w:ascii="Verdana" w:hAnsi="Verdana"/>
        <w:sz w:val="18"/>
        <w:szCs w:val="18"/>
      </w:rPr>
    </w:pPr>
    <w:r w:rsidRPr="00E41027">
      <w:rPr>
        <w:rFonts w:ascii="Verdana" w:hAnsi="Verdana"/>
        <w:sz w:val="18"/>
        <w:szCs w:val="18"/>
      </w:rPr>
      <w:t>Mesa de servicio: (+57) 601 7456788</w:t>
    </w:r>
  </w:p>
  <w:p w14:paraId="67E1F120" w14:textId="77777777" w:rsidR="0044599C" w:rsidRDefault="00000000"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61EC45B8" w14:textId="77777777" w:rsidR="0044599C" w:rsidRPr="007D04B2" w:rsidRDefault="0044599C" w:rsidP="000849D5">
    <w:pPr>
      <w:pStyle w:val="Piedepgina"/>
    </w:pPr>
  </w:p>
  <w:p w14:paraId="403B8FAA" w14:textId="77777777" w:rsidR="0044599C" w:rsidRPr="000849D5" w:rsidRDefault="0044599C"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5C370" w14:textId="77777777" w:rsidR="00207A9B" w:rsidRDefault="00207A9B" w:rsidP="005C17AC">
      <w:pPr>
        <w:spacing w:after="0" w:line="240" w:lineRule="auto"/>
      </w:pPr>
      <w:r>
        <w:separator/>
      </w:r>
    </w:p>
  </w:footnote>
  <w:footnote w:type="continuationSeparator" w:id="0">
    <w:p w14:paraId="46CF665F" w14:textId="77777777" w:rsidR="00207A9B" w:rsidRDefault="00207A9B" w:rsidP="005C17AC">
      <w:pPr>
        <w:spacing w:after="0" w:line="240" w:lineRule="auto"/>
      </w:pPr>
      <w:r>
        <w:continuationSeparator/>
      </w:r>
    </w:p>
  </w:footnote>
  <w:footnote w:id="1">
    <w:p w14:paraId="7B11E51F" w14:textId="77777777" w:rsidR="00631F2C" w:rsidRPr="00005535" w:rsidRDefault="00631F2C" w:rsidP="00631F2C">
      <w:pPr>
        <w:pStyle w:val="NormalWeb"/>
        <w:spacing w:after="0"/>
        <w:ind w:firstLine="708"/>
        <w:jc w:val="both"/>
        <w:rPr>
          <w:rFonts w:ascii="Verdana" w:eastAsia="Calibri" w:hAnsi="Verdana" w:cs="Arial"/>
          <w:color w:val="000000"/>
          <w:sz w:val="12"/>
          <w:szCs w:val="12"/>
          <w:lang w:val="es-ES_tradnl" w:eastAsia="es-ES_tradnl"/>
        </w:rPr>
      </w:pPr>
      <w:r w:rsidRPr="00005535">
        <w:rPr>
          <w:rStyle w:val="Refdenotaalpie"/>
          <w:rFonts w:ascii="Verdana" w:hAnsi="Verdana" w:cs="Arial"/>
          <w:color w:val="000000" w:themeColor="text1"/>
          <w:sz w:val="12"/>
          <w:szCs w:val="12"/>
        </w:rPr>
        <w:footnoteRef/>
      </w:r>
      <w:r w:rsidRPr="00005535">
        <w:rPr>
          <w:rFonts w:ascii="Verdana" w:hAnsi="Verdana" w:cs="Arial"/>
          <w:color w:val="000000" w:themeColor="text1"/>
          <w:sz w:val="12"/>
          <w:szCs w:val="12"/>
        </w:rPr>
        <w:t xml:space="preserve"> </w:t>
      </w:r>
      <w:r w:rsidRPr="00005535">
        <w:rPr>
          <w:rFonts w:ascii="Verdana" w:eastAsia="Calibri" w:hAnsi="Verdana" w:cs="Arial"/>
          <w:color w:val="000000"/>
          <w:sz w:val="12"/>
          <w:szCs w:val="12"/>
          <w:lang w:val="es-ES_tradnl" w:eastAsia="es-ES_tradnl"/>
        </w:rPr>
        <w:t>Ley 1150 de 2007: “Artículo 6.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788FD6E9" w14:textId="77777777" w:rsidR="00631F2C" w:rsidRPr="00005535" w:rsidRDefault="00631F2C" w:rsidP="00631F2C">
      <w:pPr>
        <w:pStyle w:val="NormalWeb"/>
        <w:spacing w:after="0"/>
        <w:ind w:firstLine="708"/>
        <w:jc w:val="both"/>
        <w:rPr>
          <w:rFonts w:ascii="Verdana" w:eastAsia="Calibri" w:hAnsi="Verdana" w:cs="Arial"/>
          <w:color w:val="000000"/>
          <w:sz w:val="12"/>
          <w:szCs w:val="12"/>
          <w:lang w:val="es-ES_tradnl" w:eastAsia="es-ES_tradnl"/>
        </w:rPr>
      </w:pPr>
      <w:r w:rsidRPr="00005535">
        <w:rPr>
          <w:rFonts w:ascii="Verdana" w:eastAsia="Calibri" w:hAnsi="Verdana" w:cs="Arial"/>
          <w:color w:val="000000"/>
          <w:sz w:val="12"/>
          <w:szCs w:val="12"/>
          <w:lang w:val="es-ES_tradnl" w:eastAsia="es-ES_tradnl"/>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4134A434" w14:textId="77777777" w:rsidR="00631F2C" w:rsidRPr="00005535" w:rsidRDefault="00631F2C" w:rsidP="00631F2C">
      <w:pPr>
        <w:pStyle w:val="NormalWeb"/>
        <w:spacing w:after="0"/>
        <w:ind w:firstLine="708"/>
        <w:jc w:val="both"/>
        <w:rPr>
          <w:rFonts w:ascii="Verdana" w:hAnsi="Verdana" w:cs="Arial"/>
          <w:color w:val="000000" w:themeColor="text1"/>
          <w:sz w:val="12"/>
          <w:szCs w:val="12"/>
        </w:rPr>
      </w:pPr>
      <w:r w:rsidRPr="00005535">
        <w:rPr>
          <w:rFonts w:ascii="Verdana" w:eastAsia="Calibri" w:hAnsi="Verdana" w:cs="Arial"/>
          <w:color w:val="000000"/>
          <w:sz w:val="12"/>
          <w:szCs w:val="12"/>
          <w:lang w:val="es-ES_tradnl" w:eastAsia="es-ES_tradnl"/>
        </w:rPr>
        <w:t>En dicho registro constará la información relacionada con la experiencia, capacidad jurídica, financiera y de organización del proponente y su clasificación”.</w:t>
      </w:r>
    </w:p>
  </w:footnote>
  <w:footnote w:id="2">
    <w:p w14:paraId="1B8C2699" w14:textId="77777777" w:rsidR="00631F2C" w:rsidRPr="00EE1C26" w:rsidRDefault="00631F2C" w:rsidP="00631F2C">
      <w:pPr>
        <w:pStyle w:val="Textonotapie"/>
        <w:ind w:firstLine="709"/>
        <w:jc w:val="both"/>
        <w:rPr>
          <w:rFonts w:ascii="Arial" w:hAnsi="Arial" w:cs="Arial"/>
          <w:sz w:val="16"/>
          <w:szCs w:val="16"/>
        </w:rPr>
      </w:pPr>
    </w:p>
    <w:p w14:paraId="6AB18EE6" w14:textId="77777777" w:rsidR="00631F2C" w:rsidRPr="00005535" w:rsidRDefault="00631F2C" w:rsidP="00631F2C">
      <w:pPr>
        <w:pStyle w:val="Textonotapie"/>
        <w:ind w:firstLine="709"/>
        <w:jc w:val="both"/>
        <w:rPr>
          <w:rFonts w:ascii="Verdana" w:hAnsi="Verdana" w:cs="Arial"/>
          <w:sz w:val="12"/>
          <w:szCs w:val="12"/>
          <w:lang w:val="es-ES"/>
        </w:rPr>
      </w:pPr>
      <w:r w:rsidRPr="00005535">
        <w:rPr>
          <w:rStyle w:val="Refdenotaalpie"/>
          <w:rFonts w:ascii="Verdana" w:hAnsi="Verdana" w:cs="Arial"/>
          <w:sz w:val="12"/>
          <w:szCs w:val="12"/>
        </w:rPr>
        <w:footnoteRef/>
      </w:r>
      <w:r w:rsidRPr="00005535">
        <w:rPr>
          <w:rFonts w:ascii="Verdana" w:hAnsi="Verdana" w:cs="Arial"/>
          <w:sz w:val="12"/>
          <w:szCs w:val="12"/>
        </w:rPr>
        <w:t xml:space="preserve"> </w:t>
      </w:r>
      <w:r w:rsidRPr="00005535">
        <w:rPr>
          <w:rFonts w:ascii="Verdana" w:eastAsia="Calibri" w:hAnsi="Verdana" w:cs="Arial"/>
          <w:color w:val="000000"/>
          <w:sz w:val="12"/>
          <w:szCs w:val="12"/>
          <w:lang w:val="es-ES_tradnl" w:eastAsia="es-ES_tradnl"/>
        </w:rPr>
        <w:t>Ibídem.</w:t>
      </w:r>
    </w:p>
    <w:p w14:paraId="38C40D29" w14:textId="77777777" w:rsidR="00631F2C" w:rsidRPr="00EE1C26" w:rsidRDefault="00631F2C" w:rsidP="00631F2C">
      <w:pPr>
        <w:pStyle w:val="Textonotapie"/>
        <w:ind w:firstLine="709"/>
        <w:jc w:val="both"/>
        <w:rPr>
          <w:rFonts w:ascii="Arial" w:hAnsi="Arial" w:cs="Arial"/>
          <w:sz w:val="16"/>
          <w:szCs w:val="16"/>
          <w:lang w:val="es-ES"/>
        </w:rPr>
      </w:pPr>
    </w:p>
  </w:footnote>
  <w:footnote w:id="3">
    <w:p w14:paraId="54399E2F"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olor w:val="000000"/>
          <w:sz w:val="12"/>
          <w:szCs w:val="12"/>
          <w:lang w:val="es-ES_tradnl" w:eastAsia="es-ES_tradnl"/>
        </w:rPr>
        <w:footnoteRef/>
      </w:r>
      <w:r w:rsidRPr="00992EB2">
        <w:rPr>
          <w:rFonts w:ascii="Verdana" w:eastAsia="Calibri" w:hAnsi="Verdana" w:cs="Arial"/>
          <w:color w:val="000000"/>
          <w:sz w:val="12"/>
          <w:szCs w:val="12"/>
          <w:lang w:val="es-ES_tradnl" w:eastAsia="es-ES_tradnl"/>
        </w:rPr>
        <w:t xml:space="preserve"> Para la realización de los respectivos análisis del sector de los Procesos de Contratación, esta Agencia recomienda tener en cuenta la última modificación de la “Guía de Elaboración de Estudios del Sector”, que puede ser consultada en el siguiente link: </w:t>
      </w:r>
      <w:hyperlink r:id="rId1" w:history="1">
        <w:r w:rsidRPr="00992EB2">
          <w:rPr>
            <w:rFonts w:ascii="Verdana" w:hAnsi="Verdana"/>
            <w:color w:val="000000"/>
            <w:sz w:val="12"/>
            <w:szCs w:val="12"/>
            <w:lang w:val="es-ES_tradnl" w:eastAsia="es-ES_tradnl"/>
          </w:rPr>
          <w:t>https://www.colombiacompra.gov.co/sites/cce_public/files/cce_documentos/cce-eicp-gi-18._gees_v.2_2.pdf</w:t>
        </w:r>
      </w:hyperlink>
      <w:r w:rsidRPr="00992EB2">
        <w:rPr>
          <w:rFonts w:ascii="Verdana" w:eastAsia="Calibri" w:hAnsi="Verdana" w:cs="Arial"/>
          <w:color w:val="000000"/>
          <w:sz w:val="12"/>
          <w:szCs w:val="12"/>
          <w:lang w:val="es-ES_tradnl" w:eastAsia="es-ES_tradnl"/>
        </w:rPr>
        <w:t xml:space="preserve"> </w:t>
      </w:r>
    </w:p>
    <w:p w14:paraId="41764512"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p>
  </w:footnote>
  <w:footnote w:id="4">
    <w:p w14:paraId="71448EC4"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olor w:val="000000"/>
          <w:sz w:val="12"/>
          <w:szCs w:val="12"/>
          <w:lang w:val="es-ES_tradnl" w:eastAsia="es-ES_tradnl"/>
        </w:rPr>
        <w:footnoteRef/>
      </w:r>
      <w:r w:rsidRPr="00992EB2">
        <w:rPr>
          <w:rFonts w:ascii="Verdana" w:eastAsia="Calibri" w:hAnsi="Verdana" w:cs="Arial"/>
          <w:color w:val="000000"/>
          <w:sz w:val="12"/>
          <w:szCs w:val="12"/>
          <w:lang w:val="es-ES_tradnl" w:eastAsia="es-ES_tradnl"/>
        </w:rPr>
        <w:t xml:space="preserve"> Decreto 1082 de 2015: “Artículo 2.2.1.1.1.6.2. Determinación de los Requisitos Habilitantes. La Entidad Estatal debe establecer los requisitos habilitantes en los pliegos de condiciones o en la invitación, teniendo en cuenta: (a) el Riesgo del Proceso de Contratación; (b) el valor del contrato objeto del Proceso de Contratación; (c) el análisis del sector económico respectivo; y (d) el conocimiento de fondo de los posibles oferentes desde la perspectiva comercial. La Entidad Estatal no debe limitarse a la aplicación mecánica de fórmulas financieras para verificar los requisitos habilitantes”.</w:t>
      </w:r>
    </w:p>
  </w:footnote>
  <w:footnote w:id="5">
    <w:p w14:paraId="6E25DD20" w14:textId="77777777" w:rsidR="00631F2C" w:rsidRPr="00992EB2" w:rsidRDefault="00631F2C" w:rsidP="00631F2C">
      <w:pPr>
        <w:pStyle w:val="Textonotapie"/>
        <w:ind w:firstLine="708"/>
        <w:rPr>
          <w:rFonts w:ascii="Verdana" w:eastAsia="Calibri" w:hAnsi="Verdana" w:cs="Arial"/>
          <w:color w:val="000000"/>
          <w:sz w:val="12"/>
          <w:szCs w:val="12"/>
          <w:lang w:val="es-ES_tradnl" w:eastAsia="es-ES_tradnl"/>
        </w:rPr>
      </w:pPr>
    </w:p>
    <w:p w14:paraId="3DA1126E"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olor w:val="000000"/>
          <w:sz w:val="12"/>
          <w:szCs w:val="12"/>
          <w:lang w:val="es-ES_tradnl" w:eastAsia="es-ES_tradnl"/>
        </w:rPr>
        <w:footnoteRef/>
      </w:r>
      <w:r w:rsidRPr="00992EB2">
        <w:rPr>
          <w:rFonts w:ascii="Verdana" w:eastAsia="Calibri" w:hAnsi="Verdana" w:cs="Arial"/>
          <w:color w:val="000000"/>
          <w:sz w:val="12"/>
          <w:szCs w:val="12"/>
          <w:lang w:val="es-ES_tradnl" w:eastAsia="es-ES_tradnl"/>
        </w:rPr>
        <w:t xml:space="preserve"> Decreto 1082 de 2015: “</w:t>
      </w:r>
      <w:r w:rsidRPr="00992EB2">
        <w:rPr>
          <w:rFonts w:ascii="Verdana" w:eastAsia="Calibri" w:hAnsi="Verdana"/>
          <w:b/>
          <w:bCs/>
          <w:sz w:val="12"/>
          <w:szCs w:val="12"/>
          <w:lang w:val="es-ES_tradnl" w:eastAsia="es-ES_tradnl"/>
        </w:rPr>
        <w:t>Artículo 2.2.1.1.1.5.2. </w:t>
      </w:r>
      <w:r w:rsidRPr="00992EB2">
        <w:rPr>
          <w:rFonts w:ascii="Verdana" w:eastAsia="Calibri" w:hAnsi="Verdana"/>
          <w:i/>
          <w:iCs/>
          <w:sz w:val="12"/>
          <w:szCs w:val="12"/>
          <w:lang w:val="es-ES_tradnl" w:eastAsia="es-ES_tradnl"/>
        </w:rPr>
        <w:t>Información para inscripción, renovación o actualización. </w:t>
      </w:r>
      <w:r w:rsidRPr="00992EB2">
        <w:rPr>
          <w:rFonts w:ascii="Verdana" w:eastAsia="Calibri" w:hAnsi="Verdana" w:cs="Arial"/>
          <w:color w:val="000000"/>
          <w:sz w:val="12"/>
          <w:szCs w:val="12"/>
          <w:lang w:val="es-ES_tradnl" w:eastAsia="es-ES_tradnl"/>
        </w:rPr>
        <w:t>El interesado debe presentar a cualquier cámara de comercio del país una solicitud de registro, acompañada de la siguiente información. La cámara de comercio del domicilio del solicitante es la responsable de la inscripción, renovación o actualización correspondiente: </w:t>
      </w:r>
    </w:p>
    <w:p w14:paraId="674CDEE6"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s="Arial"/>
          <w:color w:val="000000"/>
          <w:sz w:val="12"/>
          <w:szCs w:val="12"/>
          <w:lang w:val="es-ES_tradnl" w:eastAsia="es-ES_tradnl"/>
        </w:rPr>
        <w:t>[…]</w:t>
      </w:r>
    </w:p>
    <w:p w14:paraId="0B100EB3"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s="Arial"/>
          <w:color w:val="000000"/>
          <w:sz w:val="12"/>
          <w:szCs w:val="12"/>
          <w:lang w:val="es-ES_tradnl" w:eastAsia="es-ES_tradnl"/>
        </w:rPr>
        <w:t xml:space="preserve">2.3.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w:t>
      </w:r>
    </w:p>
    <w:p w14:paraId="0210A726"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s="Arial"/>
          <w:color w:val="000000"/>
          <w:sz w:val="12"/>
          <w:szCs w:val="12"/>
          <w:lang w:val="es-ES_tradnl" w:eastAsia="es-ES_tradnl"/>
        </w:rPr>
        <w:t xml:space="preserve">I. Principales cuentas detalladas del balance general. </w:t>
      </w:r>
    </w:p>
    <w:p w14:paraId="53E9002C"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s="Arial"/>
          <w:color w:val="000000"/>
          <w:sz w:val="12"/>
          <w:szCs w:val="12"/>
          <w:lang w:val="es-ES_tradnl" w:eastAsia="es-ES_tradnl"/>
        </w:rPr>
        <w:t xml:space="preserve">II. Principales cuentas del estado de pérdidas y ganancias. </w:t>
      </w:r>
    </w:p>
    <w:p w14:paraId="2CB867A3" w14:textId="77777777" w:rsidR="00631F2C" w:rsidRPr="00992EB2" w:rsidRDefault="00631F2C" w:rsidP="00631F2C">
      <w:pPr>
        <w:pStyle w:val="Textonotapie"/>
        <w:ind w:firstLine="708"/>
        <w:jc w:val="both"/>
        <w:rPr>
          <w:rFonts w:ascii="Verdana" w:eastAsia="Calibri" w:hAnsi="Verdana" w:cs="Arial"/>
          <w:color w:val="000000"/>
          <w:sz w:val="12"/>
          <w:szCs w:val="12"/>
          <w:lang w:val="es-ES_tradnl" w:eastAsia="es-ES_tradnl"/>
        </w:rPr>
      </w:pPr>
      <w:r w:rsidRPr="00992EB2">
        <w:rPr>
          <w:rFonts w:ascii="Verdana" w:eastAsia="Calibri" w:hAnsi="Verdana" w:cs="Arial"/>
          <w:color w:val="000000"/>
          <w:sz w:val="12"/>
          <w:szCs w:val="12"/>
          <w:lang w:val="es-ES_tradnl" w:eastAsia="es-ES_tradnl"/>
        </w:rPr>
        <w:t xml:space="preserve">III. Cuentas contingentes deudoras y acreedoras. </w:t>
      </w:r>
    </w:p>
    <w:p w14:paraId="396CA5EB" w14:textId="77777777" w:rsidR="00631F2C" w:rsidRPr="00EE1C26" w:rsidRDefault="00631F2C" w:rsidP="00631F2C">
      <w:pPr>
        <w:pStyle w:val="Textonotapie"/>
        <w:ind w:firstLine="708"/>
        <w:jc w:val="both"/>
        <w:rPr>
          <w:rFonts w:ascii="Arial" w:hAnsi="Arial" w:cs="Arial"/>
          <w:sz w:val="16"/>
          <w:szCs w:val="16"/>
        </w:rPr>
      </w:pPr>
      <w:r w:rsidRPr="00992EB2">
        <w:rPr>
          <w:rFonts w:ascii="Verdana" w:eastAsia="Calibri" w:hAnsi="Verdana" w:cs="Arial"/>
          <w:color w:val="000000"/>
          <w:sz w:val="12"/>
          <w:szCs w:val="12"/>
          <w:lang w:val="es-ES_tradnl" w:eastAsia="es-ES_tradnl"/>
        </w:rPr>
        <w:t>Si el interesado no tiene antigüedad suficiente para tener estados financieros auditados a 31 de diciembre, debe inscribirse con estados financieros de corte trimestral, suscritos por el representante legal y el auditor o contador o estados financieros de apertura[...]”</w:t>
      </w:r>
      <w:r w:rsidRPr="00EE1C26">
        <w:rPr>
          <w:rFonts w:ascii="Arial" w:hAnsi="Arial" w:cs="Arial"/>
          <w:sz w:val="16"/>
          <w:szCs w:val="16"/>
        </w:rPr>
        <w:t xml:space="preserve">  </w:t>
      </w:r>
    </w:p>
  </w:footnote>
  <w:footnote w:id="6">
    <w:p w14:paraId="1825E9B6" w14:textId="77777777" w:rsidR="00631F2C" w:rsidRPr="00005535" w:rsidRDefault="00631F2C" w:rsidP="00631F2C">
      <w:pPr>
        <w:pStyle w:val="Textonotapie"/>
        <w:ind w:firstLine="708"/>
        <w:jc w:val="both"/>
        <w:rPr>
          <w:rFonts w:ascii="Verdana" w:eastAsia="Calibri" w:hAnsi="Verdana" w:cs="Arial"/>
          <w:color w:val="000000"/>
          <w:sz w:val="12"/>
          <w:szCs w:val="12"/>
          <w:lang w:val="es-ES_tradnl" w:eastAsia="es-ES_tradnl"/>
        </w:rPr>
      </w:pPr>
      <w:r w:rsidRPr="00005535">
        <w:rPr>
          <w:rStyle w:val="Refdenotaalpie"/>
          <w:rFonts w:ascii="Verdana" w:hAnsi="Verdana" w:cs="Arial"/>
          <w:sz w:val="12"/>
          <w:szCs w:val="12"/>
        </w:rPr>
        <w:footnoteRef/>
      </w:r>
      <w:r w:rsidRPr="00005535">
        <w:rPr>
          <w:rFonts w:ascii="Verdana" w:hAnsi="Verdana" w:cs="Arial"/>
          <w:sz w:val="12"/>
          <w:szCs w:val="12"/>
        </w:rPr>
        <w:t xml:space="preserve"> </w:t>
      </w:r>
      <w:r w:rsidRPr="00005535">
        <w:rPr>
          <w:rFonts w:ascii="Verdana" w:eastAsia="Calibri" w:hAnsi="Verdana" w:cs="Arial"/>
          <w:color w:val="000000"/>
          <w:sz w:val="12"/>
          <w:szCs w:val="12"/>
          <w:lang w:val="es-ES_tradnl" w:eastAsia="es-ES_tradnl"/>
        </w:rPr>
        <w:t>Mide la liquidez del proponente de manera más estricta que el índice de liquidez, pues no tiene en cuenta su inventario. El inventario es excluido, teniendo en cuenta que es la cuenta menos líquida del activo corriente y no debe ser usada para pagar las obligaciones de corto plazo.</w:t>
      </w:r>
    </w:p>
    <w:p w14:paraId="0183AD95" w14:textId="77777777" w:rsidR="00631F2C" w:rsidRPr="00005535" w:rsidRDefault="00631F2C" w:rsidP="00631F2C">
      <w:pPr>
        <w:pStyle w:val="Textonotapie"/>
        <w:ind w:firstLine="708"/>
        <w:jc w:val="both"/>
        <w:rPr>
          <w:rFonts w:ascii="Verdana" w:eastAsia="Calibri" w:hAnsi="Verdana" w:cs="Arial"/>
          <w:color w:val="000000"/>
          <w:sz w:val="12"/>
          <w:szCs w:val="12"/>
          <w:lang w:val="es-ES_tradnl" w:eastAsia="es-ES_tradnl"/>
        </w:rPr>
      </w:pPr>
    </w:p>
  </w:footnote>
  <w:footnote w:id="7">
    <w:p w14:paraId="33A6E507" w14:textId="77777777" w:rsidR="00631F2C" w:rsidRPr="00005535" w:rsidRDefault="00631F2C" w:rsidP="00631F2C">
      <w:pPr>
        <w:pStyle w:val="Textonotapie"/>
        <w:ind w:firstLine="708"/>
        <w:jc w:val="both"/>
        <w:rPr>
          <w:rFonts w:ascii="Verdana" w:eastAsia="Calibri" w:hAnsi="Verdana" w:cs="Arial"/>
          <w:color w:val="000000"/>
          <w:sz w:val="12"/>
          <w:szCs w:val="12"/>
          <w:lang w:val="es-ES_tradnl" w:eastAsia="es-ES_tradnl"/>
        </w:rPr>
      </w:pPr>
      <w:r w:rsidRPr="00005535">
        <w:rPr>
          <w:rFonts w:ascii="Verdana" w:eastAsia="Calibri" w:hAnsi="Verdana"/>
          <w:color w:val="000000"/>
          <w:sz w:val="12"/>
          <w:szCs w:val="12"/>
          <w:vertAlign w:val="superscript"/>
          <w:lang w:val="es-ES_tradnl" w:eastAsia="es-ES_tradnl"/>
        </w:rPr>
        <w:footnoteRef/>
      </w:r>
      <w:r w:rsidRPr="00005535">
        <w:rPr>
          <w:rFonts w:ascii="Verdana" w:eastAsia="Calibri" w:hAnsi="Verdana" w:cs="Arial"/>
          <w:color w:val="000000"/>
          <w:sz w:val="12"/>
          <w:szCs w:val="12"/>
          <w:vertAlign w:val="superscript"/>
          <w:lang w:val="es-ES_tradnl" w:eastAsia="es-ES_tradnl"/>
        </w:rPr>
        <w:t xml:space="preserve"> </w:t>
      </w:r>
      <w:r w:rsidRPr="00005535">
        <w:rPr>
          <w:rFonts w:ascii="Verdana" w:eastAsia="Calibri" w:hAnsi="Verdana" w:cs="Arial"/>
          <w:color w:val="000000"/>
          <w:sz w:val="12"/>
          <w:szCs w:val="12"/>
          <w:lang w:val="es-ES_tradnl" w:eastAsia="es-ES_tradnl"/>
        </w:rPr>
        <w:t>Agencia Nacional de Contratación Pública – Colombia Compra Eficiente, “Manual para determinar y verificar los requisitos habilitantes en los Procesos de Contratación”.</w:t>
      </w:r>
    </w:p>
    <w:p w14:paraId="24AD045A" w14:textId="77777777" w:rsidR="00631F2C" w:rsidRPr="002153B5" w:rsidRDefault="00631F2C" w:rsidP="00631F2C">
      <w:pPr>
        <w:pStyle w:val="Textonotapie"/>
        <w:ind w:firstLine="567"/>
        <w:jc w:val="both"/>
        <w:rPr>
          <w:rFonts w:ascii="Arial" w:hAnsi="Arial" w:cs="Arial"/>
          <w:sz w:val="16"/>
          <w:szCs w:val="16"/>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BB574" w14:textId="77777777" w:rsidR="0044599C" w:rsidRDefault="00000000" w:rsidP="00515FB5">
    <w:pPr>
      <w:pStyle w:val="Encabezado"/>
    </w:pPr>
    <w:r>
      <w:rPr>
        <w:rFonts w:ascii="Geomanist Bold" w:hAnsi="Geomanist Bold"/>
        <w:b/>
        <w:bCs/>
        <w:noProof/>
        <w:color w:val="002060"/>
        <w:sz w:val="24"/>
        <w:szCs w:val="24"/>
      </w:rPr>
      <w:drawing>
        <wp:anchor distT="0" distB="0" distL="114300" distR="114300" simplePos="0" relativeHeight="251660288" behindDoc="1" locked="0" layoutInCell="1" allowOverlap="1" wp14:anchorId="42E8B409" wp14:editId="744F98AE">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2CA13C21" wp14:editId="408C8DA3">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572D03F2" w14:textId="77777777" w:rsidR="0044599C" w:rsidRDefault="0044599C" w:rsidP="00515FB5">
    <w:pPr>
      <w:pStyle w:val="Encabezado"/>
    </w:pPr>
  </w:p>
  <w:p w14:paraId="74FD4ED3" w14:textId="77777777" w:rsidR="0044599C" w:rsidRDefault="0044599C" w:rsidP="00515FB5">
    <w:pPr>
      <w:pStyle w:val="Encabezado"/>
    </w:pPr>
  </w:p>
  <w:p w14:paraId="34C5F4C8" w14:textId="77777777" w:rsidR="0044599C" w:rsidRPr="00515FB5" w:rsidRDefault="0044599C"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D245F"/>
    <w:multiLevelType w:val="hybridMultilevel"/>
    <w:tmpl w:val="332A415A"/>
    <w:lvl w:ilvl="0" w:tplc="B9AEE23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2" w15:restartNumberingAfterBreak="0">
    <w:nsid w:val="2F545C62"/>
    <w:multiLevelType w:val="multilevel"/>
    <w:tmpl w:val="C316CF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6"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341274352">
    <w:abstractNumId w:val="1"/>
  </w:num>
  <w:num w:numId="2" w16cid:durableId="1492209491">
    <w:abstractNumId w:val="3"/>
  </w:num>
  <w:num w:numId="3" w16cid:durableId="679089576">
    <w:abstractNumId w:val="4"/>
  </w:num>
  <w:num w:numId="4" w16cid:durableId="2097506960">
    <w:abstractNumId w:val="7"/>
  </w:num>
  <w:num w:numId="5" w16cid:durableId="1977490869">
    <w:abstractNumId w:val="6"/>
  </w:num>
  <w:num w:numId="6" w16cid:durableId="158663248">
    <w:abstractNumId w:val="5"/>
  </w:num>
  <w:num w:numId="7" w16cid:durableId="1226796094">
    <w:abstractNumId w:val="0"/>
  </w:num>
  <w:num w:numId="8" w16cid:durableId="13385082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17AC"/>
    <w:rsid w:val="00005535"/>
    <w:rsid w:val="00012FAA"/>
    <w:rsid w:val="0002094D"/>
    <w:rsid w:val="00027240"/>
    <w:rsid w:val="00096ED9"/>
    <w:rsid w:val="000C484B"/>
    <w:rsid w:val="000F5A42"/>
    <w:rsid w:val="001106F3"/>
    <w:rsid w:val="00171E80"/>
    <w:rsid w:val="001A7A83"/>
    <w:rsid w:val="001C3EC3"/>
    <w:rsid w:val="001F66CE"/>
    <w:rsid w:val="00207A9B"/>
    <w:rsid w:val="00211E3C"/>
    <w:rsid w:val="0021460B"/>
    <w:rsid w:val="002540DE"/>
    <w:rsid w:val="002552E9"/>
    <w:rsid w:val="00291584"/>
    <w:rsid w:val="002F7EE3"/>
    <w:rsid w:val="00305654"/>
    <w:rsid w:val="0033797D"/>
    <w:rsid w:val="00367773"/>
    <w:rsid w:val="00373554"/>
    <w:rsid w:val="00374F0D"/>
    <w:rsid w:val="003B1C1A"/>
    <w:rsid w:val="003B6AA3"/>
    <w:rsid w:val="00414709"/>
    <w:rsid w:val="0044599C"/>
    <w:rsid w:val="004649E8"/>
    <w:rsid w:val="00473984"/>
    <w:rsid w:val="00480DDD"/>
    <w:rsid w:val="00485205"/>
    <w:rsid w:val="00486F04"/>
    <w:rsid w:val="004F05EB"/>
    <w:rsid w:val="00505AD7"/>
    <w:rsid w:val="005258CA"/>
    <w:rsid w:val="00553BCB"/>
    <w:rsid w:val="00553C90"/>
    <w:rsid w:val="00554B7E"/>
    <w:rsid w:val="00570C9C"/>
    <w:rsid w:val="00574157"/>
    <w:rsid w:val="005C17AC"/>
    <w:rsid w:val="005D0284"/>
    <w:rsid w:val="005D3831"/>
    <w:rsid w:val="00631F2C"/>
    <w:rsid w:val="0063232D"/>
    <w:rsid w:val="00647FED"/>
    <w:rsid w:val="006D14B0"/>
    <w:rsid w:val="006D2561"/>
    <w:rsid w:val="006F45E4"/>
    <w:rsid w:val="00724FB4"/>
    <w:rsid w:val="00727D31"/>
    <w:rsid w:val="007E0E8B"/>
    <w:rsid w:val="007E1B2D"/>
    <w:rsid w:val="008304B8"/>
    <w:rsid w:val="00832B54"/>
    <w:rsid w:val="00884E8A"/>
    <w:rsid w:val="00885890"/>
    <w:rsid w:val="008B6211"/>
    <w:rsid w:val="008D50D3"/>
    <w:rsid w:val="00917C7F"/>
    <w:rsid w:val="009200A9"/>
    <w:rsid w:val="00955C9E"/>
    <w:rsid w:val="0096391A"/>
    <w:rsid w:val="00985730"/>
    <w:rsid w:val="00992EB2"/>
    <w:rsid w:val="00996312"/>
    <w:rsid w:val="009B17A1"/>
    <w:rsid w:val="00A12218"/>
    <w:rsid w:val="00A13734"/>
    <w:rsid w:val="00A564DE"/>
    <w:rsid w:val="00A7790D"/>
    <w:rsid w:val="00A90678"/>
    <w:rsid w:val="00AA3E27"/>
    <w:rsid w:val="00AD11A0"/>
    <w:rsid w:val="00AD3A83"/>
    <w:rsid w:val="00AF2DF5"/>
    <w:rsid w:val="00B45DA6"/>
    <w:rsid w:val="00B53763"/>
    <w:rsid w:val="00B54AAA"/>
    <w:rsid w:val="00C02FBA"/>
    <w:rsid w:val="00C31717"/>
    <w:rsid w:val="00C91A4E"/>
    <w:rsid w:val="00CA45AF"/>
    <w:rsid w:val="00CC795D"/>
    <w:rsid w:val="00D040CA"/>
    <w:rsid w:val="00D92732"/>
    <w:rsid w:val="00DA0F01"/>
    <w:rsid w:val="00DB1190"/>
    <w:rsid w:val="00DB3FFE"/>
    <w:rsid w:val="00DC68B8"/>
    <w:rsid w:val="00E07985"/>
    <w:rsid w:val="00E64581"/>
    <w:rsid w:val="00E8536C"/>
    <w:rsid w:val="00E95CD6"/>
    <w:rsid w:val="00EC6B95"/>
    <w:rsid w:val="00ED10F7"/>
    <w:rsid w:val="00EE3291"/>
    <w:rsid w:val="00F156D8"/>
    <w:rsid w:val="00F16ED8"/>
    <w:rsid w:val="00F35E5D"/>
    <w:rsid w:val="00F5401E"/>
    <w:rsid w:val="00F56522"/>
    <w:rsid w:val="00F76F92"/>
    <w:rsid w:val="00F87E87"/>
    <w:rsid w:val="00FC3E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6179D"/>
  <w15:chartTrackingRefBased/>
  <w15:docId w15:val="{BD17C761-B816-4EC9-B801-AF1816CE4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C9C"/>
    <w:rPr>
      <w:kern w:val="0"/>
      <w14:ligatures w14:val="none"/>
    </w:rPr>
  </w:style>
  <w:style w:type="paragraph" w:styleId="Ttulo1">
    <w:name w:val="heading 1"/>
    <w:basedOn w:val="Normal"/>
    <w:next w:val="Normal"/>
    <w:link w:val="Ttulo1Car"/>
    <w:uiPriority w:val="9"/>
    <w:qFormat/>
    <w:rsid w:val="005C17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C17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C17A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C17A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C17A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C17A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C17A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C17A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C17AC"/>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C17AC"/>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C17AC"/>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C17AC"/>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C17AC"/>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C17AC"/>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C17AC"/>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C17AC"/>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C17AC"/>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C17AC"/>
    <w:rPr>
      <w:rFonts w:eastAsiaTheme="majorEastAsia" w:cstheme="majorBidi"/>
      <w:color w:val="272727" w:themeColor="text1" w:themeTint="D8"/>
    </w:rPr>
  </w:style>
  <w:style w:type="paragraph" w:styleId="Ttulo">
    <w:name w:val="Title"/>
    <w:basedOn w:val="Normal"/>
    <w:next w:val="Normal"/>
    <w:link w:val="TtuloCar"/>
    <w:uiPriority w:val="10"/>
    <w:qFormat/>
    <w:rsid w:val="005C17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C17A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C17AC"/>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C17AC"/>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C17AC"/>
    <w:pPr>
      <w:spacing w:before="160"/>
      <w:jc w:val="center"/>
    </w:pPr>
    <w:rPr>
      <w:i/>
      <w:iCs/>
      <w:color w:val="404040" w:themeColor="text1" w:themeTint="BF"/>
    </w:rPr>
  </w:style>
  <w:style w:type="character" w:customStyle="1" w:styleId="CitaCar">
    <w:name w:val="Cita Car"/>
    <w:basedOn w:val="Fuentedeprrafopredeter"/>
    <w:link w:val="Cita"/>
    <w:uiPriority w:val="29"/>
    <w:rsid w:val="005C17AC"/>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C17AC"/>
    <w:pPr>
      <w:ind w:left="720"/>
      <w:contextualSpacing/>
    </w:pPr>
  </w:style>
  <w:style w:type="character" w:styleId="nfasisintenso">
    <w:name w:val="Intense Emphasis"/>
    <w:basedOn w:val="Fuentedeprrafopredeter"/>
    <w:uiPriority w:val="21"/>
    <w:qFormat/>
    <w:rsid w:val="005C17AC"/>
    <w:rPr>
      <w:i/>
      <w:iCs/>
      <w:color w:val="0F4761" w:themeColor="accent1" w:themeShade="BF"/>
    </w:rPr>
  </w:style>
  <w:style w:type="paragraph" w:styleId="Citadestacada">
    <w:name w:val="Intense Quote"/>
    <w:basedOn w:val="Normal"/>
    <w:next w:val="Normal"/>
    <w:link w:val="CitadestacadaCar"/>
    <w:uiPriority w:val="30"/>
    <w:qFormat/>
    <w:rsid w:val="005C17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C17AC"/>
    <w:rPr>
      <w:i/>
      <w:iCs/>
      <w:color w:val="0F4761" w:themeColor="accent1" w:themeShade="BF"/>
    </w:rPr>
  </w:style>
  <w:style w:type="character" w:styleId="Referenciaintensa">
    <w:name w:val="Intense Reference"/>
    <w:basedOn w:val="Fuentedeprrafopredeter"/>
    <w:uiPriority w:val="32"/>
    <w:qFormat/>
    <w:rsid w:val="005C17AC"/>
    <w:rPr>
      <w:b/>
      <w:bCs/>
      <w:smallCaps/>
      <w:color w:val="0F4761" w:themeColor="accent1" w:themeShade="BF"/>
      <w:spacing w:val="5"/>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C17AC"/>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C17AC"/>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C17AC"/>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C17AC"/>
    <w:rPr>
      <w:vertAlign w:val="superscript"/>
    </w:rPr>
  </w:style>
  <w:style w:type="paragraph" w:customStyle="1" w:styleId="Appelnotedebasde">
    <w:name w:val="Appel note de bas de..."/>
    <w:basedOn w:val="Normal"/>
    <w:link w:val="Refdenotaalpie"/>
    <w:uiPriority w:val="99"/>
    <w:rsid w:val="005C17AC"/>
    <w:pPr>
      <w:spacing w:line="240" w:lineRule="exact"/>
    </w:pPr>
    <w:rPr>
      <w:kern w:val="2"/>
      <w:vertAlign w:val="superscript"/>
      <w14:ligatures w14:val="standardContextual"/>
    </w:rPr>
  </w:style>
  <w:style w:type="paragraph" w:styleId="Encabezado">
    <w:name w:val="header"/>
    <w:basedOn w:val="Normal"/>
    <w:link w:val="EncabezadoCar"/>
    <w:uiPriority w:val="99"/>
    <w:unhideWhenUsed/>
    <w:rsid w:val="005C17AC"/>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C17AC"/>
    <w:rPr>
      <w:kern w:val="0"/>
      <w14:ligatures w14:val="none"/>
    </w:rPr>
  </w:style>
  <w:style w:type="paragraph" w:styleId="Piedepgina">
    <w:name w:val="footer"/>
    <w:basedOn w:val="Normal"/>
    <w:link w:val="PiedepginaCar"/>
    <w:uiPriority w:val="99"/>
    <w:unhideWhenUsed/>
    <w:rsid w:val="005C17A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C17AC"/>
    <w:rPr>
      <w:kern w:val="0"/>
      <w14:ligatures w14:val="none"/>
    </w:rPr>
  </w:style>
  <w:style w:type="table" w:styleId="Tablaconcuadrcula">
    <w:name w:val="Table Grid"/>
    <w:basedOn w:val="Tablanormal"/>
    <w:uiPriority w:val="39"/>
    <w:qFormat/>
    <w:rsid w:val="005C17A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C17AC"/>
    <w:rPr>
      <w:color w:val="467886" w:themeColor="hyperlink"/>
      <w:u w:val="single"/>
    </w:rPr>
  </w:style>
  <w:style w:type="character" w:styleId="Refdecomentario">
    <w:name w:val="annotation reference"/>
    <w:basedOn w:val="Fuentedeprrafopredeter"/>
    <w:uiPriority w:val="99"/>
    <w:semiHidden/>
    <w:unhideWhenUsed/>
    <w:rsid w:val="005C17AC"/>
    <w:rPr>
      <w:sz w:val="16"/>
      <w:szCs w:val="16"/>
    </w:rPr>
  </w:style>
  <w:style w:type="paragraph" w:styleId="Textocomentario">
    <w:name w:val="annotation text"/>
    <w:basedOn w:val="Normal"/>
    <w:link w:val="TextocomentarioCar"/>
    <w:uiPriority w:val="99"/>
    <w:unhideWhenUsed/>
    <w:rsid w:val="005C17AC"/>
    <w:pPr>
      <w:spacing w:line="240" w:lineRule="auto"/>
    </w:pPr>
    <w:rPr>
      <w:sz w:val="20"/>
      <w:szCs w:val="20"/>
    </w:rPr>
  </w:style>
  <w:style w:type="character" w:customStyle="1" w:styleId="TextocomentarioCar">
    <w:name w:val="Texto comentario Car"/>
    <w:basedOn w:val="Fuentedeprrafopredeter"/>
    <w:link w:val="Textocomentario"/>
    <w:uiPriority w:val="99"/>
    <w:rsid w:val="005C17AC"/>
    <w:rPr>
      <w:kern w:val="0"/>
      <w:sz w:val="20"/>
      <w:szCs w:val="20"/>
      <w14:ligatures w14:val="none"/>
    </w:rPr>
  </w:style>
  <w:style w:type="character" w:customStyle="1" w:styleId="normaltextrun">
    <w:name w:val="normaltextrun"/>
    <w:basedOn w:val="Fuentedeprrafopredeter"/>
    <w:rsid w:val="005C17AC"/>
  </w:style>
  <w:style w:type="character" w:customStyle="1" w:styleId="eop">
    <w:name w:val="eop"/>
    <w:basedOn w:val="Fuentedeprrafopredeter"/>
    <w:rsid w:val="005C17AC"/>
  </w:style>
  <w:style w:type="paragraph" w:customStyle="1" w:styleId="paragraph">
    <w:name w:val="paragraph"/>
    <w:basedOn w:val="Normal"/>
    <w:rsid w:val="005C17AC"/>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C17AC"/>
  </w:style>
  <w:style w:type="paragraph" w:styleId="NormalWeb">
    <w:name w:val="Normal (Web)"/>
    <w:basedOn w:val="Normal"/>
    <w:uiPriority w:val="99"/>
    <w:unhideWhenUsed/>
    <w:rsid w:val="001A7A83"/>
    <w:rPr>
      <w:rFonts w:ascii="Times New Roman" w:hAnsi="Times New Roman" w:cs="Times New Roman"/>
      <w:sz w:val="24"/>
      <w:szCs w:val="24"/>
    </w:rPr>
  </w:style>
  <w:style w:type="character" w:styleId="Mencinsinresolver">
    <w:name w:val="Unresolved Mention"/>
    <w:basedOn w:val="Fuentedeprrafopredeter"/>
    <w:uiPriority w:val="99"/>
    <w:semiHidden/>
    <w:unhideWhenUsed/>
    <w:rsid w:val="004852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1397">
      <w:bodyDiv w:val="1"/>
      <w:marLeft w:val="0"/>
      <w:marRight w:val="0"/>
      <w:marTop w:val="0"/>
      <w:marBottom w:val="0"/>
      <w:divBdr>
        <w:top w:val="none" w:sz="0" w:space="0" w:color="auto"/>
        <w:left w:val="none" w:sz="0" w:space="0" w:color="auto"/>
        <w:bottom w:val="none" w:sz="0" w:space="0" w:color="auto"/>
        <w:right w:val="none" w:sz="0" w:space="0" w:color="auto"/>
      </w:divBdr>
      <w:divsChild>
        <w:div w:id="811946253">
          <w:marLeft w:val="0"/>
          <w:marRight w:val="0"/>
          <w:marTop w:val="0"/>
          <w:marBottom w:val="0"/>
          <w:divBdr>
            <w:top w:val="none" w:sz="0" w:space="0" w:color="auto"/>
            <w:left w:val="none" w:sz="0" w:space="0" w:color="auto"/>
            <w:bottom w:val="none" w:sz="0" w:space="0" w:color="auto"/>
            <w:right w:val="none" w:sz="0" w:space="0" w:color="auto"/>
          </w:divBdr>
          <w:divsChild>
            <w:div w:id="1872500095">
              <w:marLeft w:val="0"/>
              <w:marRight w:val="0"/>
              <w:marTop w:val="0"/>
              <w:marBottom w:val="0"/>
              <w:divBdr>
                <w:top w:val="none" w:sz="0" w:space="0" w:color="auto"/>
                <w:left w:val="none" w:sz="0" w:space="0" w:color="auto"/>
                <w:bottom w:val="none" w:sz="0" w:space="0" w:color="auto"/>
                <w:right w:val="none" w:sz="0" w:space="0" w:color="auto"/>
              </w:divBdr>
              <w:divsChild>
                <w:div w:id="131756453">
                  <w:marLeft w:val="0"/>
                  <w:marRight w:val="0"/>
                  <w:marTop w:val="0"/>
                  <w:marBottom w:val="0"/>
                  <w:divBdr>
                    <w:top w:val="none" w:sz="0" w:space="0" w:color="auto"/>
                    <w:left w:val="none" w:sz="0" w:space="0" w:color="auto"/>
                    <w:bottom w:val="none" w:sz="0" w:space="0" w:color="auto"/>
                    <w:right w:val="none" w:sz="0" w:space="0" w:color="auto"/>
                  </w:divBdr>
                  <w:divsChild>
                    <w:div w:id="1006446415">
                      <w:marLeft w:val="0"/>
                      <w:marRight w:val="0"/>
                      <w:marTop w:val="0"/>
                      <w:marBottom w:val="0"/>
                      <w:divBdr>
                        <w:top w:val="none" w:sz="0" w:space="0" w:color="auto"/>
                        <w:left w:val="none" w:sz="0" w:space="0" w:color="auto"/>
                        <w:bottom w:val="none" w:sz="0" w:space="0" w:color="auto"/>
                        <w:right w:val="none" w:sz="0" w:space="0" w:color="auto"/>
                      </w:divBdr>
                      <w:divsChild>
                        <w:div w:id="1975021771">
                          <w:marLeft w:val="0"/>
                          <w:marRight w:val="0"/>
                          <w:marTop w:val="0"/>
                          <w:marBottom w:val="0"/>
                          <w:divBdr>
                            <w:top w:val="none" w:sz="0" w:space="0" w:color="auto"/>
                            <w:left w:val="none" w:sz="0" w:space="0" w:color="auto"/>
                            <w:bottom w:val="none" w:sz="0" w:space="0" w:color="auto"/>
                            <w:right w:val="none" w:sz="0" w:space="0" w:color="auto"/>
                          </w:divBdr>
                          <w:divsChild>
                            <w:div w:id="1608345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54650">
      <w:bodyDiv w:val="1"/>
      <w:marLeft w:val="0"/>
      <w:marRight w:val="0"/>
      <w:marTop w:val="0"/>
      <w:marBottom w:val="0"/>
      <w:divBdr>
        <w:top w:val="none" w:sz="0" w:space="0" w:color="auto"/>
        <w:left w:val="none" w:sz="0" w:space="0" w:color="auto"/>
        <w:bottom w:val="none" w:sz="0" w:space="0" w:color="auto"/>
        <w:right w:val="none" w:sz="0" w:space="0" w:color="auto"/>
      </w:divBdr>
    </w:div>
    <w:div w:id="154300407">
      <w:bodyDiv w:val="1"/>
      <w:marLeft w:val="0"/>
      <w:marRight w:val="0"/>
      <w:marTop w:val="0"/>
      <w:marBottom w:val="0"/>
      <w:divBdr>
        <w:top w:val="none" w:sz="0" w:space="0" w:color="auto"/>
        <w:left w:val="none" w:sz="0" w:space="0" w:color="auto"/>
        <w:bottom w:val="none" w:sz="0" w:space="0" w:color="auto"/>
        <w:right w:val="none" w:sz="0" w:space="0" w:color="auto"/>
      </w:divBdr>
      <w:divsChild>
        <w:div w:id="184445349">
          <w:marLeft w:val="0"/>
          <w:marRight w:val="0"/>
          <w:marTop w:val="0"/>
          <w:marBottom w:val="0"/>
          <w:divBdr>
            <w:top w:val="none" w:sz="0" w:space="0" w:color="auto"/>
            <w:left w:val="none" w:sz="0" w:space="0" w:color="auto"/>
            <w:bottom w:val="none" w:sz="0" w:space="0" w:color="auto"/>
            <w:right w:val="none" w:sz="0" w:space="0" w:color="auto"/>
          </w:divBdr>
          <w:divsChild>
            <w:div w:id="878904901">
              <w:marLeft w:val="0"/>
              <w:marRight w:val="0"/>
              <w:marTop w:val="0"/>
              <w:marBottom w:val="0"/>
              <w:divBdr>
                <w:top w:val="none" w:sz="0" w:space="0" w:color="auto"/>
                <w:left w:val="none" w:sz="0" w:space="0" w:color="auto"/>
                <w:bottom w:val="none" w:sz="0" w:space="0" w:color="auto"/>
                <w:right w:val="none" w:sz="0" w:space="0" w:color="auto"/>
              </w:divBdr>
              <w:divsChild>
                <w:div w:id="864246778">
                  <w:marLeft w:val="0"/>
                  <w:marRight w:val="0"/>
                  <w:marTop w:val="0"/>
                  <w:marBottom w:val="0"/>
                  <w:divBdr>
                    <w:top w:val="none" w:sz="0" w:space="0" w:color="auto"/>
                    <w:left w:val="none" w:sz="0" w:space="0" w:color="auto"/>
                    <w:bottom w:val="none" w:sz="0" w:space="0" w:color="auto"/>
                    <w:right w:val="none" w:sz="0" w:space="0" w:color="auto"/>
                  </w:divBdr>
                  <w:divsChild>
                    <w:div w:id="1638797308">
                      <w:marLeft w:val="0"/>
                      <w:marRight w:val="0"/>
                      <w:marTop w:val="0"/>
                      <w:marBottom w:val="0"/>
                      <w:divBdr>
                        <w:top w:val="none" w:sz="0" w:space="0" w:color="auto"/>
                        <w:left w:val="none" w:sz="0" w:space="0" w:color="auto"/>
                        <w:bottom w:val="none" w:sz="0" w:space="0" w:color="auto"/>
                        <w:right w:val="none" w:sz="0" w:space="0" w:color="auto"/>
                      </w:divBdr>
                      <w:divsChild>
                        <w:div w:id="705062221">
                          <w:marLeft w:val="0"/>
                          <w:marRight w:val="0"/>
                          <w:marTop w:val="0"/>
                          <w:marBottom w:val="0"/>
                          <w:divBdr>
                            <w:top w:val="none" w:sz="0" w:space="0" w:color="auto"/>
                            <w:left w:val="none" w:sz="0" w:space="0" w:color="auto"/>
                            <w:bottom w:val="none" w:sz="0" w:space="0" w:color="auto"/>
                            <w:right w:val="none" w:sz="0" w:space="0" w:color="auto"/>
                          </w:divBdr>
                          <w:divsChild>
                            <w:div w:id="80420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261506">
      <w:bodyDiv w:val="1"/>
      <w:marLeft w:val="0"/>
      <w:marRight w:val="0"/>
      <w:marTop w:val="0"/>
      <w:marBottom w:val="0"/>
      <w:divBdr>
        <w:top w:val="none" w:sz="0" w:space="0" w:color="auto"/>
        <w:left w:val="none" w:sz="0" w:space="0" w:color="auto"/>
        <w:bottom w:val="none" w:sz="0" w:space="0" w:color="auto"/>
        <w:right w:val="none" w:sz="0" w:space="0" w:color="auto"/>
      </w:divBdr>
      <w:divsChild>
        <w:div w:id="794372820">
          <w:marLeft w:val="0"/>
          <w:marRight w:val="0"/>
          <w:marTop w:val="0"/>
          <w:marBottom w:val="0"/>
          <w:divBdr>
            <w:top w:val="none" w:sz="0" w:space="0" w:color="auto"/>
            <w:left w:val="none" w:sz="0" w:space="0" w:color="auto"/>
            <w:bottom w:val="none" w:sz="0" w:space="0" w:color="auto"/>
            <w:right w:val="none" w:sz="0" w:space="0" w:color="auto"/>
          </w:divBdr>
          <w:divsChild>
            <w:div w:id="1277367882">
              <w:marLeft w:val="0"/>
              <w:marRight w:val="0"/>
              <w:marTop w:val="0"/>
              <w:marBottom w:val="0"/>
              <w:divBdr>
                <w:top w:val="none" w:sz="0" w:space="0" w:color="auto"/>
                <w:left w:val="none" w:sz="0" w:space="0" w:color="auto"/>
                <w:bottom w:val="none" w:sz="0" w:space="0" w:color="auto"/>
                <w:right w:val="none" w:sz="0" w:space="0" w:color="auto"/>
              </w:divBdr>
              <w:divsChild>
                <w:div w:id="652760295">
                  <w:marLeft w:val="0"/>
                  <w:marRight w:val="0"/>
                  <w:marTop w:val="0"/>
                  <w:marBottom w:val="0"/>
                  <w:divBdr>
                    <w:top w:val="none" w:sz="0" w:space="0" w:color="auto"/>
                    <w:left w:val="none" w:sz="0" w:space="0" w:color="auto"/>
                    <w:bottom w:val="none" w:sz="0" w:space="0" w:color="auto"/>
                    <w:right w:val="none" w:sz="0" w:space="0" w:color="auto"/>
                  </w:divBdr>
                  <w:divsChild>
                    <w:div w:id="453863999">
                      <w:marLeft w:val="0"/>
                      <w:marRight w:val="0"/>
                      <w:marTop w:val="0"/>
                      <w:marBottom w:val="0"/>
                      <w:divBdr>
                        <w:top w:val="none" w:sz="0" w:space="0" w:color="auto"/>
                        <w:left w:val="none" w:sz="0" w:space="0" w:color="auto"/>
                        <w:bottom w:val="none" w:sz="0" w:space="0" w:color="auto"/>
                        <w:right w:val="none" w:sz="0" w:space="0" w:color="auto"/>
                      </w:divBdr>
                      <w:divsChild>
                        <w:div w:id="665982561">
                          <w:marLeft w:val="0"/>
                          <w:marRight w:val="0"/>
                          <w:marTop w:val="0"/>
                          <w:marBottom w:val="0"/>
                          <w:divBdr>
                            <w:top w:val="none" w:sz="0" w:space="0" w:color="auto"/>
                            <w:left w:val="none" w:sz="0" w:space="0" w:color="auto"/>
                            <w:bottom w:val="none" w:sz="0" w:space="0" w:color="auto"/>
                            <w:right w:val="none" w:sz="0" w:space="0" w:color="auto"/>
                          </w:divBdr>
                          <w:divsChild>
                            <w:div w:id="86910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430452">
      <w:bodyDiv w:val="1"/>
      <w:marLeft w:val="0"/>
      <w:marRight w:val="0"/>
      <w:marTop w:val="0"/>
      <w:marBottom w:val="0"/>
      <w:divBdr>
        <w:top w:val="none" w:sz="0" w:space="0" w:color="auto"/>
        <w:left w:val="none" w:sz="0" w:space="0" w:color="auto"/>
        <w:bottom w:val="none" w:sz="0" w:space="0" w:color="auto"/>
        <w:right w:val="none" w:sz="0" w:space="0" w:color="auto"/>
      </w:divBdr>
      <w:divsChild>
        <w:div w:id="1315724809">
          <w:marLeft w:val="0"/>
          <w:marRight w:val="0"/>
          <w:marTop w:val="0"/>
          <w:marBottom w:val="0"/>
          <w:divBdr>
            <w:top w:val="none" w:sz="0" w:space="0" w:color="auto"/>
            <w:left w:val="none" w:sz="0" w:space="0" w:color="auto"/>
            <w:bottom w:val="none" w:sz="0" w:space="0" w:color="auto"/>
            <w:right w:val="none" w:sz="0" w:space="0" w:color="auto"/>
          </w:divBdr>
          <w:divsChild>
            <w:div w:id="351149921">
              <w:marLeft w:val="0"/>
              <w:marRight w:val="0"/>
              <w:marTop w:val="0"/>
              <w:marBottom w:val="0"/>
              <w:divBdr>
                <w:top w:val="none" w:sz="0" w:space="0" w:color="auto"/>
                <w:left w:val="none" w:sz="0" w:space="0" w:color="auto"/>
                <w:bottom w:val="none" w:sz="0" w:space="0" w:color="auto"/>
                <w:right w:val="none" w:sz="0" w:space="0" w:color="auto"/>
              </w:divBdr>
              <w:divsChild>
                <w:div w:id="1556888701">
                  <w:marLeft w:val="0"/>
                  <w:marRight w:val="0"/>
                  <w:marTop w:val="0"/>
                  <w:marBottom w:val="0"/>
                  <w:divBdr>
                    <w:top w:val="none" w:sz="0" w:space="0" w:color="auto"/>
                    <w:left w:val="none" w:sz="0" w:space="0" w:color="auto"/>
                    <w:bottom w:val="none" w:sz="0" w:space="0" w:color="auto"/>
                    <w:right w:val="none" w:sz="0" w:space="0" w:color="auto"/>
                  </w:divBdr>
                  <w:divsChild>
                    <w:div w:id="877163123">
                      <w:marLeft w:val="0"/>
                      <w:marRight w:val="0"/>
                      <w:marTop w:val="0"/>
                      <w:marBottom w:val="0"/>
                      <w:divBdr>
                        <w:top w:val="none" w:sz="0" w:space="0" w:color="auto"/>
                        <w:left w:val="none" w:sz="0" w:space="0" w:color="auto"/>
                        <w:bottom w:val="none" w:sz="0" w:space="0" w:color="auto"/>
                        <w:right w:val="none" w:sz="0" w:space="0" w:color="auto"/>
                      </w:divBdr>
                      <w:divsChild>
                        <w:div w:id="1911621153">
                          <w:marLeft w:val="0"/>
                          <w:marRight w:val="0"/>
                          <w:marTop w:val="0"/>
                          <w:marBottom w:val="0"/>
                          <w:divBdr>
                            <w:top w:val="none" w:sz="0" w:space="0" w:color="auto"/>
                            <w:left w:val="none" w:sz="0" w:space="0" w:color="auto"/>
                            <w:bottom w:val="none" w:sz="0" w:space="0" w:color="auto"/>
                            <w:right w:val="none" w:sz="0" w:space="0" w:color="auto"/>
                          </w:divBdr>
                          <w:divsChild>
                            <w:div w:id="216403481">
                              <w:marLeft w:val="0"/>
                              <w:marRight w:val="0"/>
                              <w:marTop w:val="0"/>
                              <w:marBottom w:val="0"/>
                              <w:divBdr>
                                <w:top w:val="none" w:sz="0" w:space="0" w:color="auto"/>
                                <w:left w:val="none" w:sz="0" w:space="0" w:color="auto"/>
                                <w:bottom w:val="none" w:sz="0" w:space="0" w:color="auto"/>
                                <w:right w:val="none" w:sz="0" w:space="0" w:color="auto"/>
                              </w:divBdr>
                              <w:divsChild>
                                <w:div w:id="1503088733">
                                  <w:marLeft w:val="0"/>
                                  <w:marRight w:val="0"/>
                                  <w:marTop w:val="0"/>
                                  <w:marBottom w:val="0"/>
                                  <w:divBdr>
                                    <w:top w:val="none" w:sz="0" w:space="0" w:color="auto"/>
                                    <w:left w:val="none" w:sz="0" w:space="0" w:color="auto"/>
                                    <w:bottom w:val="none" w:sz="0" w:space="0" w:color="auto"/>
                                    <w:right w:val="none" w:sz="0" w:space="0" w:color="auto"/>
                                  </w:divBdr>
                                  <w:divsChild>
                                    <w:div w:id="717819277">
                                      <w:marLeft w:val="0"/>
                                      <w:marRight w:val="0"/>
                                      <w:marTop w:val="0"/>
                                      <w:marBottom w:val="0"/>
                                      <w:divBdr>
                                        <w:top w:val="none" w:sz="0" w:space="0" w:color="auto"/>
                                        <w:left w:val="none" w:sz="0" w:space="0" w:color="auto"/>
                                        <w:bottom w:val="none" w:sz="0" w:space="0" w:color="auto"/>
                                        <w:right w:val="none" w:sz="0" w:space="0" w:color="auto"/>
                                      </w:divBdr>
                                      <w:divsChild>
                                        <w:div w:id="1593706020">
                                          <w:marLeft w:val="0"/>
                                          <w:marRight w:val="0"/>
                                          <w:marTop w:val="0"/>
                                          <w:marBottom w:val="0"/>
                                          <w:divBdr>
                                            <w:top w:val="none" w:sz="0" w:space="0" w:color="auto"/>
                                            <w:left w:val="none" w:sz="0" w:space="0" w:color="auto"/>
                                            <w:bottom w:val="none" w:sz="0" w:space="0" w:color="auto"/>
                                            <w:right w:val="none" w:sz="0" w:space="0" w:color="auto"/>
                                          </w:divBdr>
                                          <w:divsChild>
                                            <w:div w:id="816343610">
                                              <w:marLeft w:val="0"/>
                                              <w:marRight w:val="0"/>
                                              <w:marTop w:val="0"/>
                                              <w:marBottom w:val="0"/>
                                              <w:divBdr>
                                                <w:top w:val="none" w:sz="0" w:space="0" w:color="auto"/>
                                                <w:left w:val="none" w:sz="0" w:space="0" w:color="auto"/>
                                                <w:bottom w:val="none" w:sz="0" w:space="0" w:color="auto"/>
                                                <w:right w:val="none" w:sz="0" w:space="0" w:color="auto"/>
                                              </w:divBdr>
                                              <w:divsChild>
                                                <w:div w:id="1987973009">
                                                  <w:marLeft w:val="0"/>
                                                  <w:marRight w:val="0"/>
                                                  <w:marTop w:val="0"/>
                                                  <w:marBottom w:val="0"/>
                                                  <w:divBdr>
                                                    <w:top w:val="none" w:sz="0" w:space="0" w:color="auto"/>
                                                    <w:left w:val="none" w:sz="0" w:space="0" w:color="auto"/>
                                                    <w:bottom w:val="none" w:sz="0" w:space="0" w:color="auto"/>
                                                    <w:right w:val="none" w:sz="0" w:space="0" w:color="auto"/>
                                                  </w:divBdr>
                                                  <w:divsChild>
                                                    <w:div w:id="173224730">
                                                      <w:marLeft w:val="0"/>
                                                      <w:marRight w:val="0"/>
                                                      <w:marTop w:val="0"/>
                                                      <w:marBottom w:val="0"/>
                                                      <w:divBdr>
                                                        <w:top w:val="none" w:sz="0" w:space="0" w:color="auto"/>
                                                        <w:left w:val="none" w:sz="0" w:space="0" w:color="auto"/>
                                                        <w:bottom w:val="none" w:sz="0" w:space="0" w:color="auto"/>
                                                        <w:right w:val="none" w:sz="0" w:space="0" w:color="auto"/>
                                                      </w:divBdr>
                                                      <w:divsChild>
                                                        <w:div w:id="1687365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11925717">
      <w:bodyDiv w:val="1"/>
      <w:marLeft w:val="0"/>
      <w:marRight w:val="0"/>
      <w:marTop w:val="0"/>
      <w:marBottom w:val="0"/>
      <w:divBdr>
        <w:top w:val="none" w:sz="0" w:space="0" w:color="auto"/>
        <w:left w:val="none" w:sz="0" w:space="0" w:color="auto"/>
        <w:bottom w:val="none" w:sz="0" w:space="0" w:color="auto"/>
        <w:right w:val="none" w:sz="0" w:space="0" w:color="auto"/>
      </w:divBdr>
    </w:div>
    <w:div w:id="814294363">
      <w:bodyDiv w:val="1"/>
      <w:marLeft w:val="0"/>
      <w:marRight w:val="0"/>
      <w:marTop w:val="0"/>
      <w:marBottom w:val="0"/>
      <w:divBdr>
        <w:top w:val="none" w:sz="0" w:space="0" w:color="auto"/>
        <w:left w:val="none" w:sz="0" w:space="0" w:color="auto"/>
        <w:bottom w:val="none" w:sz="0" w:space="0" w:color="auto"/>
        <w:right w:val="none" w:sz="0" w:space="0" w:color="auto"/>
      </w:divBdr>
      <w:divsChild>
        <w:div w:id="1132553760">
          <w:marLeft w:val="0"/>
          <w:marRight w:val="0"/>
          <w:marTop w:val="0"/>
          <w:marBottom w:val="160"/>
          <w:divBdr>
            <w:top w:val="none" w:sz="0" w:space="0" w:color="auto"/>
            <w:left w:val="none" w:sz="0" w:space="0" w:color="auto"/>
            <w:bottom w:val="none" w:sz="0" w:space="0" w:color="auto"/>
            <w:right w:val="none" w:sz="0" w:space="0" w:color="auto"/>
          </w:divBdr>
        </w:div>
        <w:div w:id="1130780921">
          <w:marLeft w:val="0"/>
          <w:marRight w:val="0"/>
          <w:marTop w:val="0"/>
          <w:marBottom w:val="0"/>
          <w:divBdr>
            <w:top w:val="none" w:sz="0" w:space="0" w:color="auto"/>
            <w:left w:val="none" w:sz="0" w:space="0" w:color="auto"/>
            <w:bottom w:val="none" w:sz="0" w:space="0" w:color="auto"/>
            <w:right w:val="none" w:sz="0" w:space="0" w:color="auto"/>
          </w:divBdr>
        </w:div>
        <w:div w:id="1574927210">
          <w:marLeft w:val="0"/>
          <w:marRight w:val="0"/>
          <w:marTop w:val="0"/>
          <w:marBottom w:val="0"/>
          <w:divBdr>
            <w:top w:val="none" w:sz="0" w:space="0" w:color="auto"/>
            <w:left w:val="none" w:sz="0" w:space="0" w:color="auto"/>
            <w:bottom w:val="none" w:sz="0" w:space="0" w:color="auto"/>
            <w:right w:val="none" w:sz="0" w:space="0" w:color="auto"/>
          </w:divBdr>
        </w:div>
      </w:divsChild>
    </w:div>
    <w:div w:id="879825053">
      <w:bodyDiv w:val="1"/>
      <w:marLeft w:val="0"/>
      <w:marRight w:val="0"/>
      <w:marTop w:val="0"/>
      <w:marBottom w:val="0"/>
      <w:divBdr>
        <w:top w:val="none" w:sz="0" w:space="0" w:color="auto"/>
        <w:left w:val="none" w:sz="0" w:space="0" w:color="auto"/>
        <w:bottom w:val="none" w:sz="0" w:space="0" w:color="auto"/>
        <w:right w:val="none" w:sz="0" w:space="0" w:color="auto"/>
      </w:divBdr>
      <w:divsChild>
        <w:div w:id="356391876">
          <w:marLeft w:val="0"/>
          <w:marRight w:val="0"/>
          <w:marTop w:val="0"/>
          <w:marBottom w:val="0"/>
          <w:divBdr>
            <w:top w:val="none" w:sz="0" w:space="0" w:color="auto"/>
            <w:left w:val="none" w:sz="0" w:space="0" w:color="auto"/>
            <w:bottom w:val="none" w:sz="0" w:space="0" w:color="auto"/>
            <w:right w:val="none" w:sz="0" w:space="0" w:color="auto"/>
          </w:divBdr>
          <w:divsChild>
            <w:div w:id="1216694868">
              <w:marLeft w:val="0"/>
              <w:marRight w:val="0"/>
              <w:marTop w:val="0"/>
              <w:marBottom w:val="0"/>
              <w:divBdr>
                <w:top w:val="none" w:sz="0" w:space="0" w:color="auto"/>
                <w:left w:val="none" w:sz="0" w:space="0" w:color="auto"/>
                <w:bottom w:val="none" w:sz="0" w:space="0" w:color="auto"/>
                <w:right w:val="none" w:sz="0" w:space="0" w:color="auto"/>
              </w:divBdr>
              <w:divsChild>
                <w:div w:id="734861732">
                  <w:marLeft w:val="0"/>
                  <w:marRight w:val="0"/>
                  <w:marTop w:val="0"/>
                  <w:marBottom w:val="0"/>
                  <w:divBdr>
                    <w:top w:val="none" w:sz="0" w:space="0" w:color="auto"/>
                    <w:left w:val="none" w:sz="0" w:space="0" w:color="auto"/>
                    <w:bottom w:val="none" w:sz="0" w:space="0" w:color="auto"/>
                    <w:right w:val="none" w:sz="0" w:space="0" w:color="auto"/>
                  </w:divBdr>
                  <w:divsChild>
                    <w:div w:id="1095321186">
                      <w:marLeft w:val="0"/>
                      <w:marRight w:val="0"/>
                      <w:marTop w:val="0"/>
                      <w:marBottom w:val="0"/>
                      <w:divBdr>
                        <w:top w:val="none" w:sz="0" w:space="0" w:color="auto"/>
                        <w:left w:val="none" w:sz="0" w:space="0" w:color="auto"/>
                        <w:bottom w:val="none" w:sz="0" w:space="0" w:color="auto"/>
                        <w:right w:val="none" w:sz="0" w:space="0" w:color="auto"/>
                      </w:divBdr>
                      <w:divsChild>
                        <w:div w:id="303897457">
                          <w:marLeft w:val="0"/>
                          <w:marRight w:val="0"/>
                          <w:marTop w:val="0"/>
                          <w:marBottom w:val="0"/>
                          <w:divBdr>
                            <w:top w:val="none" w:sz="0" w:space="0" w:color="auto"/>
                            <w:left w:val="none" w:sz="0" w:space="0" w:color="auto"/>
                            <w:bottom w:val="none" w:sz="0" w:space="0" w:color="auto"/>
                            <w:right w:val="none" w:sz="0" w:space="0" w:color="auto"/>
                          </w:divBdr>
                          <w:divsChild>
                            <w:div w:id="2120491414">
                              <w:marLeft w:val="0"/>
                              <w:marRight w:val="0"/>
                              <w:marTop w:val="0"/>
                              <w:marBottom w:val="0"/>
                              <w:divBdr>
                                <w:top w:val="none" w:sz="0" w:space="0" w:color="auto"/>
                                <w:left w:val="none" w:sz="0" w:space="0" w:color="auto"/>
                                <w:bottom w:val="none" w:sz="0" w:space="0" w:color="auto"/>
                                <w:right w:val="none" w:sz="0" w:space="0" w:color="auto"/>
                              </w:divBdr>
                              <w:divsChild>
                                <w:div w:id="121534542">
                                  <w:marLeft w:val="0"/>
                                  <w:marRight w:val="0"/>
                                  <w:marTop w:val="0"/>
                                  <w:marBottom w:val="0"/>
                                  <w:divBdr>
                                    <w:top w:val="none" w:sz="0" w:space="0" w:color="auto"/>
                                    <w:left w:val="none" w:sz="0" w:space="0" w:color="auto"/>
                                    <w:bottom w:val="none" w:sz="0" w:space="0" w:color="auto"/>
                                    <w:right w:val="none" w:sz="0" w:space="0" w:color="auto"/>
                                  </w:divBdr>
                                  <w:divsChild>
                                    <w:div w:id="1960448955">
                                      <w:marLeft w:val="0"/>
                                      <w:marRight w:val="0"/>
                                      <w:marTop w:val="0"/>
                                      <w:marBottom w:val="0"/>
                                      <w:divBdr>
                                        <w:top w:val="none" w:sz="0" w:space="0" w:color="auto"/>
                                        <w:left w:val="none" w:sz="0" w:space="0" w:color="auto"/>
                                        <w:bottom w:val="none" w:sz="0" w:space="0" w:color="auto"/>
                                        <w:right w:val="none" w:sz="0" w:space="0" w:color="auto"/>
                                      </w:divBdr>
                                      <w:divsChild>
                                        <w:div w:id="1841312111">
                                          <w:marLeft w:val="0"/>
                                          <w:marRight w:val="0"/>
                                          <w:marTop w:val="0"/>
                                          <w:marBottom w:val="0"/>
                                          <w:divBdr>
                                            <w:top w:val="none" w:sz="0" w:space="0" w:color="auto"/>
                                            <w:left w:val="none" w:sz="0" w:space="0" w:color="auto"/>
                                            <w:bottom w:val="none" w:sz="0" w:space="0" w:color="auto"/>
                                            <w:right w:val="none" w:sz="0" w:space="0" w:color="auto"/>
                                          </w:divBdr>
                                          <w:divsChild>
                                            <w:div w:id="1908955342">
                                              <w:marLeft w:val="0"/>
                                              <w:marRight w:val="0"/>
                                              <w:marTop w:val="0"/>
                                              <w:marBottom w:val="0"/>
                                              <w:divBdr>
                                                <w:top w:val="none" w:sz="0" w:space="0" w:color="auto"/>
                                                <w:left w:val="none" w:sz="0" w:space="0" w:color="auto"/>
                                                <w:bottom w:val="none" w:sz="0" w:space="0" w:color="auto"/>
                                                <w:right w:val="none" w:sz="0" w:space="0" w:color="auto"/>
                                              </w:divBdr>
                                              <w:divsChild>
                                                <w:div w:id="1995571323">
                                                  <w:marLeft w:val="0"/>
                                                  <w:marRight w:val="0"/>
                                                  <w:marTop w:val="0"/>
                                                  <w:marBottom w:val="0"/>
                                                  <w:divBdr>
                                                    <w:top w:val="none" w:sz="0" w:space="0" w:color="auto"/>
                                                    <w:left w:val="none" w:sz="0" w:space="0" w:color="auto"/>
                                                    <w:bottom w:val="none" w:sz="0" w:space="0" w:color="auto"/>
                                                    <w:right w:val="none" w:sz="0" w:space="0" w:color="auto"/>
                                                  </w:divBdr>
                                                  <w:divsChild>
                                                    <w:div w:id="455951191">
                                                      <w:marLeft w:val="0"/>
                                                      <w:marRight w:val="0"/>
                                                      <w:marTop w:val="0"/>
                                                      <w:marBottom w:val="0"/>
                                                      <w:divBdr>
                                                        <w:top w:val="none" w:sz="0" w:space="0" w:color="auto"/>
                                                        <w:left w:val="none" w:sz="0" w:space="0" w:color="auto"/>
                                                        <w:bottom w:val="none" w:sz="0" w:space="0" w:color="auto"/>
                                                        <w:right w:val="none" w:sz="0" w:space="0" w:color="auto"/>
                                                      </w:divBdr>
                                                      <w:divsChild>
                                                        <w:div w:id="188941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154178281">
      <w:bodyDiv w:val="1"/>
      <w:marLeft w:val="0"/>
      <w:marRight w:val="0"/>
      <w:marTop w:val="0"/>
      <w:marBottom w:val="0"/>
      <w:divBdr>
        <w:top w:val="none" w:sz="0" w:space="0" w:color="auto"/>
        <w:left w:val="none" w:sz="0" w:space="0" w:color="auto"/>
        <w:bottom w:val="none" w:sz="0" w:space="0" w:color="auto"/>
        <w:right w:val="none" w:sz="0" w:space="0" w:color="auto"/>
      </w:divBdr>
      <w:divsChild>
        <w:div w:id="417559318">
          <w:marLeft w:val="0"/>
          <w:marRight w:val="0"/>
          <w:marTop w:val="0"/>
          <w:marBottom w:val="0"/>
          <w:divBdr>
            <w:top w:val="none" w:sz="0" w:space="0" w:color="auto"/>
            <w:left w:val="none" w:sz="0" w:space="0" w:color="auto"/>
            <w:bottom w:val="none" w:sz="0" w:space="0" w:color="auto"/>
            <w:right w:val="none" w:sz="0" w:space="0" w:color="auto"/>
          </w:divBdr>
          <w:divsChild>
            <w:div w:id="612518007">
              <w:marLeft w:val="0"/>
              <w:marRight w:val="0"/>
              <w:marTop w:val="0"/>
              <w:marBottom w:val="0"/>
              <w:divBdr>
                <w:top w:val="none" w:sz="0" w:space="0" w:color="auto"/>
                <w:left w:val="none" w:sz="0" w:space="0" w:color="auto"/>
                <w:bottom w:val="none" w:sz="0" w:space="0" w:color="auto"/>
                <w:right w:val="none" w:sz="0" w:space="0" w:color="auto"/>
              </w:divBdr>
              <w:divsChild>
                <w:div w:id="1398286943">
                  <w:marLeft w:val="0"/>
                  <w:marRight w:val="0"/>
                  <w:marTop w:val="0"/>
                  <w:marBottom w:val="0"/>
                  <w:divBdr>
                    <w:top w:val="none" w:sz="0" w:space="0" w:color="auto"/>
                    <w:left w:val="none" w:sz="0" w:space="0" w:color="auto"/>
                    <w:bottom w:val="none" w:sz="0" w:space="0" w:color="auto"/>
                    <w:right w:val="none" w:sz="0" w:space="0" w:color="auto"/>
                  </w:divBdr>
                  <w:divsChild>
                    <w:div w:id="130098457">
                      <w:marLeft w:val="0"/>
                      <w:marRight w:val="0"/>
                      <w:marTop w:val="0"/>
                      <w:marBottom w:val="0"/>
                      <w:divBdr>
                        <w:top w:val="none" w:sz="0" w:space="0" w:color="auto"/>
                        <w:left w:val="none" w:sz="0" w:space="0" w:color="auto"/>
                        <w:bottom w:val="none" w:sz="0" w:space="0" w:color="auto"/>
                        <w:right w:val="none" w:sz="0" w:space="0" w:color="auto"/>
                      </w:divBdr>
                      <w:divsChild>
                        <w:div w:id="1972976231">
                          <w:marLeft w:val="0"/>
                          <w:marRight w:val="0"/>
                          <w:marTop w:val="0"/>
                          <w:marBottom w:val="0"/>
                          <w:divBdr>
                            <w:top w:val="none" w:sz="0" w:space="0" w:color="auto"/>
                            <w:left w:val="none" w:sz="0" w:space="0" w:color="auto"/>
                            <w:bottom w:val="none" w:sz="0" w:space="0" w:color="auto"/>
                            <w:right w:val="none" w:sz="0" w:space="0" w:color="auto"/>
                          </w:divBdr>
                          <w:divsChild>
                            <w:div w:id="102440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0532575">
      <w:bodyDiv w:val="1"/>
      <w:marLeft w:val="0"/>
      <w:marRight w:val="0"/>
      <w:marTop w:val="0"/>
      <w:marBottom w:val="0"/>
      <w:divBdr>
        <w:top w:val="none" w:sz="0" w:space="0" w:color="auto"/>
        <w:left w:val="none" w:sz="0" w:space="0" w:color="auto"/>
        <w:bottom w:val="none" w:sz="0" w:space="0" w:color="auto"/>
        <w:right w:val="none" w:sz="0" w:space="0" w:color="auto"/>
      </w:divBdr>
      <w:divsChild>
        <w:div w:id="1927231574">
          <w:marLeft w:val="0"/>
          <w:marRight w:val="0"/>
          <w:marTop w:val="0"/>
          <w:marBottom w:val="0"/>
          <w:divBdr>
            <w:top w:val="none" w:sz="0" w:space="0" w:color="auto"/>
            <w:left w:val="none" w:sz="0" w:space="0" w:color="auto"/>
            <w:bottom w:val="none" w:sz="0" w:space="0" w:color="auto"/>
            <w:right w:val="none" w:sz="0" w:space="0" w:color="auto"/>
          </w:divBdr>
          <w:divsChild>
            <w:div w:id="1205370238">
              <w:marLeft w:val="0"/>
              <w:marRight w:val="0"/>
              <w:marTop w:val="0"/>
              <w:marBottom w:val="0"/>
              <w:divBdr>
                <w:top w:val="none" w:sz="0" w:space="0" w:color="auto"/>
                <w:left w:val="none" w:sz="0" w:space="0" w:color="auto"/>
                <w:bottom w:val="none" w:sz="0" w:space="0" w:color="auto"/>
                <w:right w:val="none" w:sz="0" w:space="0" w:color="auto"/>
              </w:divBdr>
              <w:divsChild>
                <w:div w:id="1179152510">
                  <w:marLeft w:val="0"/>
                  <w:marRight w:val="0"/>
                  <w:marTop w:val="0"/>
                  <w:marBottom w:val="0"/>
                  <w:divBdr>
                    <w:top w:val="none" w:sz="0" w:space="0" w:color="auto"/>
                    <w:left w:val="none" w:sz="0" w:space="0" w:color="auto"/>
                    <w:bottom w:val="none" w:sz="0" w:space="0" w:color="auto"/>
                    <w:right w:val="none" w:sz="0" w:space="0" w:color="auto"/>
                  </w:divBdr>
                  <w:divsChild>
                    <w:div w:id="1365594096">
                      <w:marLeft w:val="0"/>
                      <w:marRight w:val="0"/>
                      <w:marTop w:val="0"/>
                      <w:marBottom w:val="0"/>
                      <w:divBdr>
                        <w:top w:val="none" w:sz="0" w:space="0" w:color="auto"/>
                        <w:left w:val="none" w:sz="0" w:space="0" w:color="auto"/>
                        <w:bottom w:val="none" w:sz="0" w:space="0" w:color="auto"/>
                        <w:right w:val="none" w:sz="0" w:space="0" w:color="auto"/>
                      </w:divBdr>
                      <w:divsChild>
                        <w:div w:id="1401251">
                          <w:marLeft w:val="0"/>
                          <w:marRight w:val="0"/>
                          <w:marTop w:val="0"/>
                          <w:marBottom w:val="0"/>
                          <w:divBdr>
                            <w:top w:val="none" w:sz="0" w:space="0" w:color="auto"/>
                            <w:left w:val="none" w:sz="0" w:space="0" w:color="auto"/>
                            <w:bottom w:val="none" w:sz="0" w:space="0" w:color="auto"/>
                            <w:right w:val="none" w:sz="0" w:space="0" w:color="auto"/>
                          </w:divBdr>
                          <w:divsChild>
                            <w:div w:id="2099791957">
                              <w:marLeft w:val="0"/>
                              <w:marRight w:val="0"/>
                              <w:marTop w:val="0"/>
                              <w:marBottom w:val="0"/>
                              <w:divBdr>
                                <w:top w:val="none" w:sz="0" w:space="0" w:color="auto"/>
                                <w:left w:val="none" w:sz="0" w:space="0" w:color="auto"/>
                                <w:bottom w:val="none" w:sz="0" w:space="0" w:color="auto"/>
                                <w:right w:val="none" w:sz="0" w:space="0" w:color="auto"/>
                              </w:divBdr>
                              <w:divsChild>
                                <w:div w:id="848179714">
                                  <w:marLeft w:val="0"/>
                                  <w:marRight w:val="0"/>
                                  <w:marTop w:val="0"/>
                                  <w:marBottom w:val="0"/>
                                  <w:divBdr>
                                    <w:top w:val="none" w:sz="0" w:space="0" w:color="auto"/>
                                    <w:left w:val="none" w:sz="0" w:space="0" w:color="auto"/>
                                    <w:bottom w:val="none" w:sz="0" w:space="0" w:color="auto"/>
                                    <w:right w:val="none" w:sz="0" w:space="0" w:color="auto"/>
                                  </w:divBdr>
                                  <w:divsChild>
                                    <w:div w:id="500124015">
                                      <w:marLeft w:val="0"/>
                                      <w:marRight w:val="0"/>
                                      <w:marTop w:val="0"/>
                                      <w:marBottom w:val="0"/>
                                      <w:divBdr>
                                        <w:top w:val="none" w:sz="0" w:space="0" w:color="auto"/>
                                        <w:left w:val="none" w:sz="0" w:space="0" w:color="auto"/>
                                        <w:bottom w:val="none" w:sz="0" w:space="0" w:color="auto"/>
                                        <w:right w:val="none" w:sz="0" w:space="0" w:color="auto"/>
                                      </w:divBdr>
                                      <w:divsChild>
                                        <w:div w:id="1645086448">
                                          <w:marLeft w:val="0"/>
                                          <w:marRight w:val="0"/>
                                          <w:marTop w:val="0"/>
                                          <w:marBottom w:val="0"/>
                                          <w:divBdr>
                                            <w:top w:val="none" w:sz="0" w:space="0" w:color="auto"/>
                                            <w:left w:val="none" w:sz="0" w:space="0" w:color="auto"/>
                                            <w:bottom w:val="none" w:sz="0" w:space="0" w:color="auto"/>
                                            <w:right w:val="none" w:sz="0" w:space="0" w:color="auto"/>
                                          </w:divBdr>
                                          <w:divsChild>
                                            <w:div w:id="1505050761">
                                              <w:marLeft w:val="0"/>
                                              <w:marRight w:val="0"/>
                                              <w:marTop w:val="0"/>
                                              <w:marBottom w:val="0"/>
                                              <w:divBdr>
                                                <w:top w:val="none" w:sz="0" w:space="0" w:color="auto"/>
                                                <w:left w:val="none" w:sz="0" w:space="0" w:color="auto"/>
                                                <w:bottom w:val="none" w:sz="0" w:space="0" w:color="auto"/>
                                                <w:right w:val="none" w:sz="0" w:space="0" w:color="auto"/>
                                              </w:divBdr>
                                              <w:divsChild>
                                                <w:div w:id="854804220">
                                                  <w:marLeft w:val="0"/>
                                                  <w:marRight w:val="0"/>
                                                  <w:marTop w:val="0"/>
                                                  <w:marBottom w:val="0"/>
                                                  <w:divBdr>
                                                    <w:top w:val="none" w:sz="0" w:space="0" w:color="auto"/>
                                                    <w:left w:val="none" w:sz="0" w:space="0" w:color="auto"/>
                                                    <w:bottom w:val="none" w:sz="0" w:space="0" w:color="auto"/>
                                                    <w:right w:val="none" w:sz="0" w:space="0" w:color="auto"/>
                                                  </w:divBdr>
                                                  <w:divsChild>
                                                    <w:div w:id="682634011">
                                                      <w:marLeft w:val="0"/>
                                                      <w:marRight w:val="0"/>
                                                      <w:marTop w:val="0"/>
                                                      <w:marBottom w:val="0"/>
                                                      <w:divBdr>
                                                        <w:top w:val="none" w:sz="0" w:space="0" w:color="auto"/>
                                                        <w:left w:val="none" w:sz="0" w:space="0" w:color="auto"/>
                                                        <w:bottom w:val="none" w:sz="0" w:space="0" w:color="auto"/>
                                                        <w:right w:val="none" w:sz="0" w:space="0" w:color="auto"/>
                                                      </w:divBdr>
                                                      <w:divsChild>
                                                        <w:div w:id="665673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39270468">
      <w:bodyDiv w:val="1"/>
      <w:marLeft w:val="0"/>
      <w:marRight w:val="0"/>
      <w:marTop w:val="0"/>
      <w:marBottom w:val="0"/>
      <w:divBdr>
        <w:top w:val="none" w:sz="0" w:space="0" w:color="auto"/>
        <w:left w:val="none" w:sz="0" w:space="0" w:color="auto"/>
        <w:bottom w:val="none" w:sz="0" w:space="0" w:color="auto"/>
        <w:right w:val="none" w:sz="0" w:space="0" w:color="auto"/>
      </w:divBdr>
      <w:divsChild>
        <w:div w:id="1632780248">
          <w:marLeft w:val="0"/>
          <w:marRight w:val="0"/>
          <w:marTop w:val="0"/>
          <w:marBottom w:val="0"/>
          <w:divBdr>
            <w:top w:val="none" w:sz="0" w:space="0" w:color="auto"/>
            <w:left w:val="none" w:sz="0" w:space="0" w:color="auto"/>
            <w:bottom w:val="none" w:sz="0" w:space="0" w:color="auto"/>
            <w:right w:val="none" w:sz="0" w:space="0" w:color="auto"/>
          </w:divBdr>
          <w:divsChild>
            <w:div w:id="1273591819">
              <w:marLeft w:val="0"/>
              <w:marRight w:val="0"/>
              <w:marTop w:val="0"/>
              <w:marBottom w:val="0"/>
              <w:divBdr>
                <w:top w:val="none" w:sz="0" w:space="0" w:color="auto"/>
                <w:left w:val="none" w:sz="0" w:space="0" w:color="auto"/>
                <w:bottom w:val="none" w:sz="0" w:space="0" w:color="auto"/>
                <w:right w:val="none" w:sz="0" w:space="0" w:color="auto"/>
              </w:divBdr>
              <w:divsChild>
                <w:div w:id="1243637876">
                  <w:marLeft w:val="0"/>
                  <w:marRight w:val="0"/>
                  <w:marTop w:val="0"/>
                  <w:marBottom w:val="0"/>
                  <w:divBdr>
                    <w:top w:val="none" w:sz="0" w:space="0" w:color="auto"/>
                    <w:left w:val="none" w:sz="0" w:space="0" w:color="auto"/>
                    <w:bottom w:val="none" w:sz="0" w:space="0" w:color="auto"/>
                    <w:right w:val="none" w:sz="0" w:space="0" w:color="auto"/>
                  </w:divBdr>
                  <w:divsChild>
                    <w:div w:id="580676424">
                      <w:marLeft w:val="0"/>
                      <w:marRight w:val="0"/>
                      <w:marTop w:val="0"/>
                      <w:marBottom w:val="0"/>
                      <w:divBdr>
                        <w:top w:val="none" w:sz="0" w:space="0" w:color="auto"/>
                        <w:left w:val="none" w:sz="0" w:space="0" w:color="auto"/>
                        <w:bottom w:val="none" w:sz="0" w:space="0" w:color="auto"/>
                        <w:right w:val="none" w:sz="0" w:space="0" w:color="auto"/>
                      </w:divBdr>
                      <w:divsChild>
                        <w:div w:id="867330266">
                          <w:marLeft w:val="0"/>
                          <w:marRight w:val="0"/>
                          <w:marTop w:val="0"/>
                          <w:marBottom w:val="0"/>
                          <w:divBdr>
                            <w:top w:val="none" w:sz="0" w:space="0" w:color="auto"/>
                            <w:left w:val="none" w:sz="0" w:space="0" w:color="auto"/>
                            <w:bottom w:val="none" w:sz="0" w:space="0" w:color="auto"/>
                            <w:right w:val="none" w:sz="0" w:space="0" w:color="auto"/>
                          </w:divBdr>
                          <w:divsChild>
                            <w:div w:id="1063674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6454703">
      <w:bodyDiv w:val="1"/>
      <w:marLeft w:val="0"/>
      <w:marRight w:val="0"/>
      <w:marTop w:val="0"/>
      <w:marBottom w:val="0"/>
      <w:divBdr>
        <w:top w:val="none" w:sz="0" w:space="0" w:color="auto"/>
        <w:left w:val="none" w:sz="0" w:space="0" w:color="auto"/>
        <w:bottom w:val="none" w:sz="0" w:space="0" w:color="auto"/>
        <w:right w:val="none" w:sz="0" w:space="0" w:color="auto"/>
      </w:divBdr>
      <w:divsChild>
        <w:div w:id="257720065">
          <w:marLeft w:val="0"/>
          <w:marRight w:val="0"/>
          <w:marTop w:val="0"/>
          <w:marBottom w:val="0"/>
          <w:divBdr>
            <w:top w:val="none" w:sz="0" w:space="0" w:color="auto"/>
            <w:left w:val="none" w:sz="0" w:space="0" w:color="auto"/>
            <w:bottom w:val="none" w:sz="0" w:space="0" w:color="auto"/>
            <w:right w:val="none" w:sz="0" w:space="0" w:color="auto"/>
          </w:divBdr>
          <w:divsChild>
            <w:div w:id="126822777">
              <w:marLeft w:val="0"/>
              <w:marRight w:val="0"/>
              <w:marTop w:val="0"/>
              <w:marBottom w:val="0"/>
              <w:divBdr>
                <w:top w:val="none" w:sz="0" w:space="0" w:color="auto"/>
                <w:left w:val="none" w:sz="0" w:space="0" w:color="auto"/>
                <w:bottom w:val="none" w:sz="0" w:space="0" w:color="auto"/>
                <w:right w:val="none" w:sz="0" w:space="0" w:color="auto"/>
              </w:divBdr>
              <w:divsChild>
                <w:div w:id="364523640">
                  <w:marLeft w:val="0"/>
                  <w:marRight w:val="0"/>
                  <w:marTop w:val="0"/>
                  <w:marBottom w:val="0"/>
                  <w:divBdr>
                    <w:top w:val="none" w:sz="0" w:space="0" w:color="auto"/>
                    <w:left w:val="none" w:sz="0" w:space="0" w:color="auto"/>
                    <w:bottom w:val="none" w:sz="0" w:space="0" w:color="auto"/>
                    <w:right w:val="none" w:sz="0" w:space="0" w:color="auto"/>
                  </w:divBdr>
                  <w:divsChild>
                    <w:div w:id="2069835249">
                      <w:marLeft w:val="0"/>
                      <w:marRight w:val="0"/>
                      <w:marTop w:val="0"/>
                      <w:marBottom w:val="0"/>
                      <w:divBdr>
                        <w:top w:val="none" w:sz="0" w:space="0" w:color="auto"/>
                        <w:left w:val="none" w:sz="0" w:space="0" w:color="auto"/>
                        <w:bottom w:val="none" w:sz="0" w:space="0" w:color="auto"/>
                        <w:right w:val="none" w:sz="0" w:space="0" w:color="auto"/>
                      </w:divBdr>
                      <w:divsChild>
                        <w:div w:id="898051896">
                          <w:marLeft w:val="0"/>
                          <w:marRight w:val="0"/>
                          <w:marTop w:val="0"/>
                          <w:marBottom w:val="0"/>
                          <w:divBdr>
                            <w:top w:val="none" w:sz="0" w:space="0" w:color="auto"/>
                            <w:left w:val="none" w:sz="0" w:space="0" w:color="auto"/>
                            <w:bottom w:val="none" w:sz="0" w:space="0" w:color="auto"/>
                            <w:right w:val="none" w:sz="0" w:space="0" w:color="auto"/>
                          </w:divBdr>
                          <w:divsChild>
                            <w:div w:id="1238326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94075360">
      <w:bodyDiv w:val="1"/>
      <w:marLeft w:val="0"/>
      <w:marRight w:val="0"/>
      <w:marTop w:val="0"/>
      <w:marBottom w:val="0"/>
      <w:divBdr>
        <w:top w:val="none" w:sz="0" w:space="0" w:color="auto"/>
        <w:left w:val="none" w:sz="0" w:space="0" w:color="auto"/>
        <w:bottom w:val="none" w:sz="0" w:space="0" w:color="auto"/>
        <w:right w:val="none" w:sz="0" w:space="0" w:color="auto"/>
      </w:divBdr>
      <w:divsChild>
        <w:div w:id="434253416">
          <w:marLeft w:val="0"/>
          <w:marRight w:val="0"/>
          <w:marTop w:val="0"/>
          <w:marBottom w:val="0"/>
          <w:divBdr>
            <w:top w:val="none" w:sz="0" w:space="0" w:color="auto"/>
            <w:left w:val="none" w:sz="0" w:space="0" w:color="auto"/>
            <w:bottom w:val="none" w:sz="0" w:space="0" w:color="auto"/>
            <w:right w:val="none" w:sz="0" w:space="0" w:color="auto"/>
          </w:divBdr>
          <w:divsChild>
            <w:div w:id="385299787">
              <w:marLeft w:val="0"/>
              <w:marRight w:val="0"/>
              <w:marTop w:val="0"/>
              <w:marBottom w:val="0"/>
              <w:divBdr>
                <w:top w:val="none" w:sz="0" w:space="0" w:color="auto"/>
                <w:left w:val="none" w:sz="0" w:space="0" w:color="auto"/>
                <w:bottom w:val="none" w:sz="0" w:space="0" w:color="auto"/>
                <w:right w:val="none" w:sz="0" w:space="0" w:color="auto"/>
              </w:divBdr>
              <w:divsChild>
                <w:div w:id="143935884">
                  <w:marLeft w:val="0"/>
                  <w:marRight w:val="0"/>
                  <w:marTop w:val="0"/>
                  <w:marBottom w:val="0"/>
                  <w:divBdr>
                    <w:top w:val="none" w:sz="0" w:space="0" w:color="auto"/>
                    <w:left w:val="none" w:sz="0" w:space="0" w:color="auto"/>
                    <w:bottom w:val="none" w:sz="0" w:space="0" w:color="auto"/>
                    <w:right w:val="none" w:sz="0" w:space="0" w:color="auto"/>
                  </w:divBdr>
                  <w:divsChild>
                    <w:div w:id="1318152116">
                      <w:marLeft w:val="0"/>
                      <w:marRight w:val="0"/>
                      <w:marTop w:val="0"/>
                      <w:marBottom w:val="0"/>
                      <w:divBdr>
                        <w:top w:val="none" w:sz="0" w:space="0" w:color="auto"/>
                        <w:left w:val="none" w:sz="0" w:space="0" w:color="auto"/>
                        <w:bottom w:val="none" w:sz="0" w:space="0" w:color="auto"/>
                        <w:right w:val="none" w:sz="0" w:space="0" w:color="auto"/>
                      </w:divBdr>
                      <w:divsChild>
                        <w:div w:id="56322494">
                          <w:marLeft w:val="0"/>
                          <w:marRight w:val="0"/>
                          <w:marTop w:val="0"/>
                          <w:marBottom w:val="0"/>
                          <w:divBdr>
                            <w:top w:val="none" w:sz="0" w:space="0" w:color="auto"/>
                            <w:left w:val="none" w:sz="0" w:space="0" w:color="auto"/>
                            <w:bottom w:val="none" w:sz="0" w:space="0" w:color="auto"/>
                            <w:right w:val="none" w:sz="0" w:space="0" w:color="auto"/>
                          </w:divBdr>
                          <w:divsChild>
                            <w:div w:id="179551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2020381">
      <w:bodyDiv w:val="1"/>
      <w:marLeft w:val="0"/>
      <w:marRight w:val="0"/>
      <w:marTop w:val="0"/>
      <w:marBottom w:val="0"/>
      <w:divBdr>
        <w:top w:val="none" w:sz="0" w:space="0" w:color="auto"/>
        <w:left w:val="none" w:sz="0" w:space="0" w:color="auto"/>
        <w:bottom w:val="none" w:sz="0" w:space="0" w:color="auto"/>
        <w:right w:val="none" w:sz="0" w:space="0" w:color="auto"/>
      </w:divBdr>
      <w:divsChild>
        <w:div w:id="1061253835">
          <w:marLeft w:val="0"/>
          <w:marRight w:val="0"/>
          <w:marTop w:val="0"/>
          <w:marBottom w:val="0"/>
          <w:divBdr>
            <w:top w:val="none" w:sz="0" w:space="0" w:color="auto"/>
            <w:left w:val="none" w:sz="0" w:space="0" w:color="auto"/>
            <w:bottom w:val="none" w:sz="0" w:space="0" w:color="auto"/>
            <w:right w:val="none" w:sz="0" w:space="0" w:color="auto"/>
          </w:divBdr>
          <w:divsChild>
            <w:div w:id="582690500">
              <w:marLeft w:val="0"/>
              <w:marRight w:val="0"/>
              <w:marTop w:val="0"/>
              <w:marBottom w:val="0"/>
              <w:divBdr>
                <w:top w:val="none" w:sz="0" w:space="0" w:color="auto"/>
                <w:left w:val="none" w:sz="0" w:space="0" w:color="auto"/>
                <w:bottom w:val="none" w:sz="0" w:space="0" w:color="auto"/>
                <w:right w:val="none" w:sz="0" w:space="0" w:color="auto"/>
              </w:divBdr>
              <w:divsChild>
                <w:div w:id="417870248">
                  <w:marLeft w:val="0"/>
                  <w:marRight w:val="0"/>
                  <w:marTop w:val="0"/>
                  <w:marBottom w:val="0"/>
                  <w:divBdr>
                    <w:top w:val="none" w:sz="0" w:space="0" w:color="auto"/>
                    <w:left w:val="none" w:sz="0" w:space="0" w:color="auto"/>
                    <w:bottom w:val="none" w:sz="0" w:space="0" w:color="auto"/>
                    <w:right w:val="none" w:sz="0" w:space="0" w:color="auto"/>
                  </w:divBdr>
                  <w:divsChild>
                    <w:div w:id="1975526156">
                      <w:marLeft w:val="0"/>
                      <w:marRight w:val="0"/>
                      <w:marTop w:val="0"/>
                      <w:marBottom w:val="0"/>
                      <w:divBdr>
                        <w:top w:val="none" w:sz="0" w:space="0" w:color="auto"/>
                        <w:left w:val="none" w:sz="0" w:space="0" w:color="auto"/>
                        <w:bottom w:val="none" w:sz="0" w:space="0" w:color="auto"/>
                        <w:right w:val="none" w:sz="0" w:space="0" w:color="auto"/>
                      </w:divBdr>
                      <w:divsChild>
                        <w:div w:id="512648339">
                          <w:marLeft w:val="0"/>
                          <w:marRight w:val="0"/>
                          <w:marTop w:val="0"/>
                          <w:marBottom w:val="0"/>
                          <w:divBdr>
                            <w:top w:val="none" w:sz="0" w:space="0" w:color="auto"/>
                            <w:left w:val="none" w:sz="0" w:space="0" w:color="auto"/>
                            <w:bottom w:val="none" w:sz="0" w:space="0" w:color="auto"/>
                            <w:right w:val="none" w:sz="0" w:space="0" w:color="auto"/>
                          </w:divBdr>
                          <w:divsChild>
                            <w:div w:id="640689796">
                              <w:marLeft w:val="0"/>
                              <w:marRight w:val="0"/>
                              <w:marTop w:val="0"/>
                              <w:marBottom w:val="0"/>
                              <w:divBdr>
                                <w:top w:val="none" w:sz="0" w:space="0" w:color="auto"/>
                                <w:left w:val="none" w:sz="0" w:space="0" w:color="auto"/>
                                <w:bottom w:val="none" w:sz="0" w:space="0" w:color="auto"/>
                                <w:right w:val="none" w:sz="0" w:space="0" w:color="auto"/>
                              </w:divBdr>
                              <w:divsChild>
                                <w:div w:id="1989631400">
                                  <w:marLeft w:val="0"/>
                                  <w:marRight w:val="0"/>
                                  <w:marTop w:val="0"/>
                                  <w:marBottom w:val="0"/>
                                  <w:divBdr>
                                    <w:top w:val="none" w:sz="0" w:space="0" w:color="auto"/>
                                    <w:left w:val="none" w:sz="0" w:space="0" w:color="auto"/>
                                    <w:bottom w:val="none" w:sz="0" w:space="0" w:color="auto"/>
                                    <w:right w:val="none" w:sz="0" w:space="0" w:color="auto"/>
                                  </w:divBdr>
                                  <w:divsChild>
                                    <w:div w:id="9383028">
                                      <w:marLeft w:val="0"/>
                                      <w:marRight w:val="0"/>
                                      <w:marTop w:val="0"/>
                                      <w:marBottom w:val="0"/>
                                      <w:divBdr>
                                        <w:top w:val="none" w:sz="0" w:space="0" w:color="auto"/>
                                        <w:left w:val="none" w:sz="0" w:space="0" w:color="auto"/>
                                        <w:bottom w:val="none" w:sz="0" w:space="0" w:color="auto"/>
                                        <w:right w:val="none" w:sz="0" w:space="0" w:color="auto"/>
                                      </w:divBdr>
                                      <w:divsChild>
                                        <w:div w:id="519241931">
                                          <w:marLeft w:val="0"/>
                                          <w:marRight w:val="0"/>
                                          <w:marTop w:val="0"/>
                                          <w:marBottom w:val="0"/>
                                          <w:divBdr>
                                            <w:top w:val="none" w:sz="0" w:space="0" w:color="auto"/>
                                            <w:left w:val="none" w:sz="0" w:space="0" w:color="auto"/>
                                            <w:bottom w:val="none" w:sz="0" w:space="0" w:color="auto"/>
                                            <w:right w:val="none" w:sz="0" w:space="0" w:color="auto"/>
                                          </w:divBdr>
                                          <w:divsChild>
                                            <w:div w:id="2102795453">
                                              <w:marLeft w:val="0"/>
                                              <w:marRight w:val="0"/>
                                              <w:marTop w:val="0"/>
                                              <w:marBottom w:val="0"/>
                                              <w:divBdr>
                                                <w:top w:val="none" w:sz="0" w:space="0" w:color="auto"/>
                                                <w:left w:val="none" w:sz="0" w:space="0" w:color="auto"/>
                                                <w:bottom w:val="none" w:sz="0" w:space="0" w:color="auto"/>
                                                <w:right w:val="none" w:sz="0" w:space="0" w:color="auto"/>
                                              </w:divBdr>
                                              <w:divsChild>
                                                <w:div w:id="1614819458">
                                                  <w:marLeft w:val="0"/>
                                                  <w:marRight w:val="0"/>
                                                  <w:marTop w:val="0"/>
                                                  <w:marBottom w:val="0"/>
                                                  <w:divBdr>
                                                    <w:top w:val="none" w:sz="0" w:space="0" w:color="auto"/>
                                                    <w:left w:val="none" w:sz="0" w:space="0" w:color="auto"/>
                                                    <w:bottom w:val="none" w:sz="0" w:space="0" w:color="auto"/>
                                                    <w:right w:val="none" w:sz="0" w:space="0" w:color="auto"/>
                                                  </w:divBdr>
                                                  <w:divsChild>
                                                    <w:div w:id="543717514">
                                                      <w:marLeft w:val="0"/>
                                                      <w:marRight w:val="0"/>
                                                      <w:marTop w:val="0"/>
                                                      <w:marBottom w:val="0"/>
                                                      <w:divBdr>
                                                        <w:top w:val="none" w:sz="0" w:space="0" w:color="auto"/>
                                                        <w:left w:val="none" w:sz="0" w:space="0" w:color="auto"/>
                                                        <w:bottom w:val="none" w:sz="0" w:space="0" w:color="auto"/>
                                                        <w:right w:val="none" w:sz="0" w:space="0" w:color="auto"/>
                                                      </w:divBdr>
                                                      <w:divsChild>
                                                        <w:div w:id="122868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16827287">
      <w:bodyDiv w:val="1"/>
      <w:marLeft w:val="0"/>
      <w:marRight w:val="0"/>
      <w:marTop w:val="0"/>
      <w:marBottom w:val="0"/>
      <w:divBdr>
        <w:top w:val="none" w:sz="0" w:space="0" w:color="auto"/>
        <w:left w:val="none" w:sz="0" w:space="0" w:color="auto"/>
        <w:bottom w:val="none" w:sz="0" w:space="0" w:color="auto"/>
        <w:right w:val="none" w:sz="0" w:space="0" w:color="auto"/>
      </w:divBdr>
      <w:divsChild>
        <w:div w:id="1338338583">
          <w:marLeft w:val="0"/>
          <w:marRight w:val="0"/>
          <w:marTop w:val="0"/>
          <w:marBottom w:val="160"/>
          <w:divBdr>
            <w:top w:val="none" w:sz="0" w:space="0" w:color="auto"/>
            <w:left w:val="none" w:sz="0" w:space="0" w:color="auto"/>
            <w:bottom w:val="none" w:sz="0" w:space="0" w:color="auto"/>
            <w:right w:val="none" w:sz="0" w:space="0" w:color="auto"/>
          </w:divBdr>
        </w:div>
        <w:div w:id="1932352743">
          <w:marLeft w:val="0"/>
          <w:marRight w:val="0"/>
          <w:marTop w:val="0"/>
          <w:marBottom w:val="0"/>
          <w:divBdr>
            <w:top w:val="none" w:sz="0" w:space="0" w:color="auto"/>
            <w:left w:val="none" w:sz="0" w:space="0" w:color="auto"/>
            <w:bottom w:val="none" w:sz="0" w:space="0" w:color="auto"/>
            <w:right w:val="none" w:sz="0" w:space="0" w:color="auto"/>
          </w:divBdr>
        </w:div>
        <w:div w:id="91324839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ramysmirandamorales.arq@gmail.com" TargetMode="External"/><Relationship Id="rId13" Type="http://schemas.openxmlformats.org/officeDocument/2006/relationships/hyperlink" Target="https://nam02.safelinks.protection.outlook.com/?url=https%3A%2F%2Fwww.colombiacompra.gov.co%2Fmanuales-guias-y-pliegos-tipo%2Fmanuales-y-guias%2Fguia-de-contratacion-publica-sostenible-y-socialmente&amp;data=05%7C02%7Candreina.cerpa%40colombiacompra.gov.co%7Cb18b651bca3a4eb8eab008dd269b400d%7C7b09041e245149d08cb179d5e3d8c1be%7C0%7C0%7C638709170415772816%7CUnknown%7CTWFpbGZsb3d8eyJFbXB0eU1hcGkiOnRydWUsIlYiOiIwLjAuMDAwMCIsIlAiOiJXaW4zMiIsIkFOIjoiTWFpbCIsIldUIjoyfQ%3D%3D%7C0%7C%7C%7C&amp;sdata=PBDkvgAHeIoaCeeQekGFgDhs2Sk1tsb5MPeryxTBPfY%3D&amp;reserved=0" TargetMode="External"/><Relationship Id="rId18"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customXml" Target="../customXml/item3.xml"/><Relationship Id="rId7" Type="http://schemas.openxmlformats.org/officeDocument/2006/relationships/image" Target="media/image1.png"/><Relationship Id="rId12" Type="http://schemas.openxmlformats.org/officeDocument/2006/relationships/hyperlink" Target="https://nam02.safelinks.protection.outlook.com/?url=https%3A%2F%2Fwww.colombiacompra.gov.co%2Fcontent%2F02-documentos-tipo-para-los-procesos-de-seleccion-de-consultoria-de-obra-publica-de&amp;data=05%7C02%7Candreina.cerpa%40colombiacompra.gov.co%7Cb18b651bca3a4eb8eab008dd269b400d%7C7b09041e245149d08cb179d5e3d8c1be%7C0%7C0%7C638709170415762859%7CUnknown%7CTWFpbGZsb3d8eyJFbXB0eU1hcGkiOnRydWUsIlYiOiIwLjAuMDAwMCIsIlAiOiJXaW4zMiIsIkFOIjoiTWFpbCIsIldUIjoyfQ%3D%3D%7C0%7C%7C%7C&amp;sdata=QEXbsPMsy4NNbejOWug2qoOHUVSLpC6V2KjZEegrbWE%3D&amp;reserved=0"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am02.safelinks.protection.outlook.com/?url=https%3A%2F%2Fwww.colombiacompra.gov.co%2Fcontent%2F03-documentos-tipo-para-los-procesos-de-seleccion-de-interventoria-de-obra-publica-de&amp;data=05%7C02%7Candreina.cerpa%40colombiacompra.gov.co%7Cb18b651bca3a4eb8eab008dd269b400d%7C7b09041e245149d08cb179d5e3d8c1be%7C0%7C0%7C638709170415744530%7CUnknown%7CTWFpbGZsb3d8eyJFbXB0eU1hcGkiOnRydWUsIlYiOiIwLjAuMDAwMCIsIlAiOiJXaW4zMiIsIkFOIjoiTWFpbCIsIldUIjoyfQ%3D%3D%7C0%7C%7C%7C&amp;sdata=%2BVedJu7Gpp7wg2hvJwFoj1NpmV2LIKtcMjk%2F9gnqIA4%3D&amp;reserved=0"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 Id="rId19"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hyperlink" Target="https://www.colombiacompra.gov.co/sites/cce_public/files/cce_documents/cce-eicp-ma-04._manual_requisitos_habilitantes_v3_29-09-2023.pdf" TargetMode="Externa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os/cce-eicp-gi-18._gees_v.2_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E5B4EA6-CD50-4BDA-BE82-B6983341C6E7}"/>
</file>

<file path=customXml/itemProps2.xml><?xml version="1.0" encoding="utf-8"?>
<ds:datastoreItem xmlns:ds="http://schemas.openxmlformats.org/officeDocument/2006/customXml" ds:itemID="{3E10FBD0-2664-436A-A4B3-D30578B6A470}"/>
</file>

<file path=customXml/itemProps3.xml><?xml version="1.0" encoding="utf-8"?>
<ds:datastoreItem xmlns:ds="http://schemas.openxmlformats.org/officeDocument/2006/customXml" ds:itemID="{65A83089-217C-4B6D-A96D-D8D07EB4E835}"/>
</file>

<file path=docProps/app.xml><?xml version="1.0" encoding="utf-8"?>
<Properties xmlns="http://schemas.openxmlformats.org/officeDocument/2006/extended-properties" xmlns:vt="http://schemas.openxmlformats.org/officeDocument/2006/docPropsVTypes">
  <Template>Normal</Template>
  <TotalTime>4321</TotalTime>
  <Pages>12</Pages>
  <Words>4057</Words>
  <Characters>22319</Characters>
  <Application>Microsoft Office Word</Application>
  <DocSecurity>0</DocSecurity>
  <Lines>185</Lines>
  <Paragraphs>52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103</cp:revision>
  <dcterms:created xsi:type="dcterms:W3CDTF">2025-01-10T20:23:00Z</dcterms:created>
  <dcterms:modified xsi:type="dcterms:W3CDTF">2025-01-30T18:53:00Z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