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6C590F" w14:textId="203525C9" w:rsidR="00F37333" w:rsidRDefault="00F37333" w:rsidP="00F37333">
      <w:pPr>
        <w:spacing w:after="0" w:line="240" w:lineRule="auto"/>
        <w:rPr>
          <w:rFonts w:ascii="Verdana" w:eastAsia="Geomanist Light" w:hAnsi="Verdana" w:cs="Arial"/>
          <w:color w:val="000000" w:themeColor="text1"/>
          <w:lang w:val="es-MX"/>
        </w:rPr>
      </w:pPr>
    </w:p>
    <w:p w14:paraId="2DA16C6B" w14:textId="044CFCE8" w:rsidR="00F37333" w:rsidRPr="00593A5F" w:rsidRDefault="00F37333" w:rsidP="00F37333">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t>Bogotá D.C., </w:t>
      </w:r>
      <w:r w:rsidRPr="00593A5F">
        <w:rPr>
          <w:rFonts w:ascii="Verdana" w:eastAsia="Geomanist Light" w:hAnsi="Verdana" w:cs="Arial"/>
          <w:color w:val="201F1E"/>
          <w:lang w:val="es-MX"/>
        </w:rPr>
        <w:t>[Día] de [</w:t>
      </w:r>
      <w:proofErr w:type="spellStart"/>
      <w:r w:rsidRPr="00593A5F">
        <w:rPr>
          <w:rFonts w:ascii="Verdana" w:eastAsia="Geomanist Light" w:hAnsi="Verdana" w:cs="Arial"/>
          <w:color w:val="201F1E"/>
          <w:lang w:val="es-MX"/>
        </w:rPr>
        <w:t>Mes.NombreCapitalizado</w:t>
      </w:r>
      <w:proofErr w:type="spellEnd"/>
      <w:r w:rsidRPr="00593A5F">
        <w:rPr>
          <w:rFonts w:ascii="Verdana" w:eastAsia="Geomanist Light" w:hAnsi="Verdana" w:cs="Arial"/>
          <w:color w:val="201F1E"/>
          <w:lang w:val="es-MX"/>
        </w:rPr>
        <w:t>] de [Año]</w:t>
      </w:r>
    </w:p>
    <w:p w14:paraId="24C901CA" w14:textId="4AC234A7" w:rsidR="00F37333" w:rsidRDefault="00F37333" w:rsidP="00F37333">
      <w:pPr>
        <w:spacing w:after="0" w:line="240" w:lineRule="auto"/>
        <w:jc w:val="both"/>
        <w:rPr>
          <w:rFonts w:ascii="Verdana" w:eastAsia="Calibri" w:hAnsi="Verdana" w:cs="Arial"/>
          <w:color w:val="000000"/>
          <w:lang w:val="es-ES"/>
        </w:rPr>
      </w:pPr>
    </w:p>
    <w:p w14:paraId="4E566FB5" w14:textId="55965890" w:rsidR="00F37333" w:rsidRPr="00593A5F" w:rsidRDefault="00F37333" w:rsidP="00F37333">
      <w:pPr>
        <w:spacing w:after="0" w:line="240" w:lineRule="auto"/>
        <w:jc w:val="both"/>
        <w:rPr>
          <w:rFonts w:ascii="Verdana" w:eastAsia="Calibri" w:hAnsi="Verdana" w:cs="Arial"/>
          <w:color w:val="000000"/>
          <w:lang w:val="es-ES"/>
        </w:rPr>
      </w:pPr>
    </w:p>
    <w:p w14:paraId="4B5B4AB3" w14:textId="188F0329" w:rsidR="00793B0E" w:rsidRDefault="00793B0E" w:rsidP="00F37333">
      <w:pPr>
        <w:spacing w:after="0" w:line="240" w:lineRule="auto"/>
        <w:jc w:val="both"/>
        <w:rPr>
          <w:rFonts w:ascii="Verdana" w:eastAsia="Calibri" w:hAnsi="Verdana" w:cs="Arial"/>
          <w:lang w:val="es-ES" w:eastAsia="es-ES"/>
        </w:rPr>
      </w:pPr>
      <w:r>
        <w:rPr>
          <w:noProof/>
        </w:rPr>
        <w:drawing>
          <wp:anchor distT="0" distB="0" distL="0" distR="0" simplePos="0" relativeHeight="251659264" behindDoc="0" locked="0" layoutInCell="1" allowOverlap="1" wp14:anchorId="2F13BD15" wp14:editId="51D3CB9F">
            <wp:simplePos x="0" y="0"/>
            <wp:positionH relativeFrom="margin">
              <wp:align>right</wp:align>
            </wp:positionH>
            <wp:positionV relativeFrom="paragraph">
              <wp:posOffset>8255</wp:posOffset>
            </wp:positionV>
            <wp:extent cx="2674189" cy="862641"/>
            <wp:effectExtent l="0" t="0" r="0" b="0"/>
            <wp:wrapNone/>
            <wp:docPr id="8" name="Image 8" descr="Texto&#10;&#10;El contenido generado por IA puede ser incorrect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descr="Texto&#10;&#10;El contenido generado por IA puede ser incorrecto."/>
                    <pic:cNvPicPr/>
                  </pic:nvPicPr>
                  <pic:blipFill>
                    <a:blip r:embed="rId10" cstate="print"/>
                    <a:stretch>
                      <a:fillRect/>
                    </a:stretch>
                  </pic:blipFill>
                  <pic:spPr>
                    <a:xfrm>
                      <a:off x="0" y="0"/>
                      <a:ext cx="2674189" cy="862641"/>
                    </a:xfrm>
                    <a:prstGeom prst="rect">
                      <a:avLst/>
                    </a:prstGeom>
                  </pic:spPr>
                </pic:pic>
              </a:graphicData>
            </a:graphic>
            <wp14:sizeRelH relativeFrom="margin">
              <wp14:pctWidth>0</wp14:pctWidth>
            </wp14:sizeRelH>
            <wp14:sizeRelV relativeFrom="margin">
              <wp14:pctHeight>0</wp14:pctHeight>
            </wp14:sizeRelV>
          </wp:anchor>
        </w:drawing>
      </w:r>
    </w:p>
    <w:p w14:paraId="250F4E0F" w14:textId="77777777" w:rsidR="00793B0E" w:rsidRDefault="00793B0E" w:rsidP="00F37333">
      <w:pPr>
        <w:spacing w:after="0" w:line="240" w:lineRule="auto"/>
        <w:jc w:val="both"/>
        <w:rPr>
          <w:rFonts w:ascii="Verdana" w:eastAsia="Calibri" w:hAnsi="Verdana" w:cs="Arial"/>
          <w:lang w:val="es-ES" w:eastAsia="es-ES"/>
        </w:rPr>
      </w:pPr>
    </w:p>
    <w:p w14:paraId="4409C562" w14:textId="77777777" w:rsidR="00793B0E" w:rsidRDefault="00793B0E" w:rsidP="00F37333">
      <w:pPr>
        <w:spacing w:after="0" w:line="240" w:lineRule="auto"/>
        <w:jc w:val="both"/>
        <w:rPr>
          <w:rFonts w:ascii="Verdana" w:eastAsia="Calibri" w:hAnsi="Verdana" w:cs="Arial"/>
          <w:lang w:val="es-ES" w:eastAsia="es-ES"/>
        </w:rPr>
      </w:pPr>
    </w:p>
    <w:p w14:paraId="287168A3" w14:textId="77777777" w:rsidR="00793B0E" w:rsidRDefault="00793B0E" w:rsidP="00F37333">
      <w:pPr>
        <w:spacing w:after="0" w:line="240" w:lineRule="auto"/>
        <w:jc w:val="both"/>
        <w:rPr>
          <w:rFonts w:ascii="Verdana" w:eastAsia="Calibri" w:hAnsi="Verdana" w:cs="Arial"/>
          <w:lang w:val="es-ES" w:eastAsia="es-ES"/>
        </w:rPr>
      </w:pPr>
    </w:p>
    <w:p w14:paraId="65085DF9" w14:textId="45E62049" w:rsidR="00F37333" w:rsidRDefault="00F37333" w:rsidP="00F37333">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0D0A16E4" w14:textId="2E94956E" w:rsidR="00F37333" w:rsidRDefault="00505185" w:rsidP="00F37333">
      <w:pPr>
        <w:spacing w:after="0" w:line="240" w:lineRule="auto"/>
        <w:jc w:val="both"/>
        <w:rPr>
          <w:rFonts w:ascii="Verdana" w:eastAsia="Calibri" w:hAnsi="Verdana" w:cs="Arial"/>
          <w:b/>
          <w:bCs/>
          <w:lang w:val="es-ES" w:eastAsia="es-ES"/>
        </w:rPr>
      </w:pPr>
      <w:r w:rsidRPr="00392FF8">
        <w:rPr>
          <w:rFonts w:ascii="Verdana" w:eastAsia="Calibri" w:hAnsi="Verdana" w:cs="Arial"/>
          <w:b/>
          <w:bCs/>
          <w:lang w:val="es-ES" w:eastAsia="es-ES"/>
        </w:rPr>
        <w:t>Iván</w:t>
      </w:r>
      <w:r w:rsidR="00F37333" w:rsidRPr="00392FF8">
        <w:rPr>
          <w:rFonts w:ascii="Verdana" w:eastAsia="Calibri" w:hAnsi="Verdana" w:cs="Arial"/>
          <w:b/>
          <w:bCs/>
          <w:lang w:val="es-ES" w:eastAsia="es-ES"/>
        </w:rPr>
        <w:t xml:space="preserve"> </w:t>
      </w:r>
      <w:proofErr w:type="spellStart"/>
      <w:r w:rsidR="00F37333" w:rsidRPr="00392FF8">
        <w:rPr>
          <w:rFonts w:ascii="Verdana" w:eastAsia="Calibri" w:hAnsi="Verdana" w:cs="Arial"/>
          <w:b/>
          <w:bCs/>
          <w:lang w:val="es-ES" w:eastAsia="es-ES"/>
        </w:rPr>
        <w:t>Dario</w:t>
      </w:r>
      <w:proofErr w:type="spellEnd"/>
      <w:r w:rsidR="00F37333" w:rsidRPr="00392FF8">
        <w:rPr>
          <w:rFonts w:ascii="Verdana" w:eastAsia="Calibri" w:hAnsi="Verdana" w:cs="Arial"/>
          <w:b/>
          <w:bCs/>
          <w:lang w:val="es-ES" w:eastAsia="es-ES"/>
        </w:rPr>
        <w:t xml:space="preserve"> Guti</w:t>
      </w:r>
      <w:r>
        <w:rPr>
          <w:rFonts w:ascii="Verdana" w:eastAsia="Calibri" w:hAnsi="Verdana" w:cs="Arial"/>
          <w:b/>
          <w:bCs/>
          <w:lang w:val="es-ES" w:eastAsia="es-ES"/>
        </w:rPr>
        <w:t>é</w:t>
      </w:r>
      <w:r w:rsidR="00F37333" w:rsidRPr="00392FF8">
        <w:rPr>
          <w:rFonts w:ascii="Verdana" w:eastAsia="Calibri" w:hAnsi="Verdana" w:cs="Arial"/>
          <w:b/>
          <w:bCs/>
          <w:lang w:val="es-ES" w:eastAsia="es-ES"/>
        </w:rPr>
        <w:t>rrez Cardozo</w:t>
      </w:r>
    </w:p>
    <w:p w14:paraId="571CDEDA" w14:textId="77777777" w:rsidR="00F37333" w:rsidRPr="00392FF8" w:rsidRDefault="00F37333" w:rsidP="00F37333">
      <w:pPr>
        <w:spacing w:after="0" w:line="240" w:lineRule="auto"/>
        <w:jc w:val="both"/>
        <w:rPr>
          <w:rFonts w:ascii="Verdana" w:eastAsia="Calibri" w:hAnsi="Verdana" w:cs="Arial"/>
          <w:lang w:val="es-ES" w:eastAsia="es-ES"/>
        </w:rPr>
      </w:pPr>
      <w:r w:rsidRPr="00392FF8">
        <w:rPr>
          <w:rFonts w:ascii="Verdana" w:eastAsia="Calibri" w:hAnsi="Verdana" w:cs="Arial"/>
          <w:lang w:val="es-ES" w:eastAsia="es-ES"/>
        </w:rPr>
        <w:t>ivandariog@hotmail.com</w:t>
      </w:r>
    </w:p>
    <w:p w14:paraId="099E299D" w14:textId="2FB2B9AB" w:rsidR="00F37333" w:rsidRDefault="00F37333" w:rsidP="00F37333">
      <w:pPr>
        <w:spacing w:after="0" w:line="240" w:lineRule="auto"/>
        <w:rPr>
          <w:rFonts w:ascii="Verdana" w:eastAsia="Calibri" w:hAnsi="Verdana" w:cs="Arial"/>
          <w:color w:val="000000"/>
          <w:lang w:val="es-ES_tradnl" w:eastAsia="es-ES_tradnl"/>
        </w:rPr>
      </w:pPr>
      <w:r>
        <w:rPr>
          <w:rFonts w:ascii="Verdana" w:eastAsia="Calibri" w:hAnsi="Verdana" w:cs="Arial"/>
          <w:color w:val="000000"/>
          <w:lang w:val="es-ES_tradnl" w:eastAsia="es-ES_tradnl"/>
        </w:rPr>
        <w:t>Neiva</w:t>
      </w:r>
      <w:r w:rsidR="000B7772">
        <w:rPr>
          <w:rFonts w:ascii="Verdana" w:eastAsia="Calibri" w:hAnsi="Verdana" w:cs="Arial"/>
          <w:color w:val="000000"/>
          <w:lang w:val="es-ES_tradnl" w:eastAsia="es-ES_tradnl"/>
        </w:rPr>
        <w:t>, Huila</w:t>
      </w:r>
    </w:p>
    <w:p w14:paraId="13AF2C67" w14:textId="77777777" w:rsidR="00F37333" w:rsidRDefault="00F37333" w:rsidP="00F37333">
      <w:pPr>
        <w:spacing w:after="0" w:line="240" w:lineRule="auto"/>
        <w:rPr>
          <w:rFonts w:ascii="Verdana" w:eastAsia="Calibri" w:hAnsi="Verdana" w:cs="Arial"/>
          <w:color w:val="000000"/>
          <w:lang w:val="es-ES_tradnl" w:eastAsia="es-ES_tradnl"/>
        </w:rPr>
      </w:pPr>
    </w:p>
    <w:p w14:paraId="42472005" w14:textId="77777777" w:rsidR="00F37333" w:rsidRPr="00392FF8" w:rsidRDefault="00F37333" w:rsidP="00F37333">
      <w:pPr>
        <w:spacing w:after="0" w:line="240" w:lineRule="auto"/>
        <w:rPr>
          <w:rFonts w:ascii="Verdana" w:eastAsia="Calibri" w:hAnsi="Verdana" w:cs="Arial"/>
          <w:color w:val="000000"/>
          <w:lang w:val="es-ES_tradnl" w:eastAsia="es-ES_tradnl"/>
        </w:rPr>
      </w:pPr>
    </w:p>
    <w:p w14:paraId="3DA426EC" w14:textId="77777777" w:rsidR="00F37333" w:rsidRPr="00593A5F" w:rsidRDefault="00F37333" w:rsidP="00F37333">
      <w:pPr>
        <w:spacing w:after="0" w:line="240" w:lineRule="auto"/>
        <w:rPr>
          <w:rFonts w:ascii="Verdana" w:eastAsia="Calibri" w:hAnsi="Verdana" w:cs="Arial"/>
          <w:b/>
          <w:bCs/>
          <w:color w:val="000000"/>
          <w:lang w:val="es-ES_tradnl" w:eastAsia="es-ES_tradnl"/>
        </w:rPr>
      </w:pPr>
    </w:p>
    <w:tbl>
      <w:tblPr>
        <w:tblStyle w:val="Tablaconcuadrcula"/>
        <w:tblW w:w="88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38"/>
        <w:gridCol w:w="6100"/>
      </w:tblGrid>
      <w:tr w:rsidR="00F37333" w:rsidRPr="00593A5F" w14:paraId="045F4932" w14:textId="77777777" w:rsidTr="00D9693C">
        <w:trPr>
          <w:trHeight w:val="884"/>
        </w:trPr>
        <w:tc>
          <w:tcPr>
            <w:tcW w:w="2738" w:type="dxa"/>
          </w:tcPr>
          <w:p w14:paraId="5D761408" w14:textId="77777777" w:rsidR="00F37333" w:rsidRPr="00C00976" w:rsidRDefault="00F37333" w:rsidP="00D9693C">
            <w:pPr>
              <w:jc w:val="both"/>
              <w:rPr>
                <w:rFonts w:ascii="Verdana" w:eastAsia="Calibri" w:hAnsi="Verdana" w:cs="Arial"/>
                <w:b/>
                <w:bCs/>
                <w:color w:val="7030A0"/>
                <w:lang w:val="es-ES_tradnl" w:eastAsia="es-ES_tradnl"/>
              </w:rPr>
            </w:pPr>
          </w:p>
        </w:tc>
        <w:tc>
          <w:tcPr>
            <w:tcW w:w="6100" w:type="dxa"/>
          </w:tcPr>
          <w:p w14:paraId="15EB711E" w14:textId="77777777" w:rsidR="00F37333" w:rsidRPr="00E23087" w:rsidRDefault="00F37333" w:rsidP="00D9693C">
            <w:pPr>
              <w:jc w:val="both"/>
              <w:rPr>
                <w:rFonts w:ascii="Verdana" w:eastAsia="Calibri" w:hAnsi="Verdana" w:cs="Arial"/>
                <w:b/>
                <w:bCs/>
                <w:color w:val="7030A0"/>
                <w:lang w:val="es-ES" w:eastAsia="es-ES"/>
              </w:rPr>
            </w:pPr>
            <w:r w:rsidRPr="00E23087">
              <w:rPr>
                <w:rFonts w:ascii="Verdana" w:eastAsia="Calibri" w:hAnsi="Verdana" w:cs="Arial"/>
                <w:b/>
                <w:bCs/>
                <w:lang w:val="es-ES" w:eastAsia="es-ES"/>
              </w:rPr>
              <w:t>Concepto C- 005 de 2025</w:t>
            </w:r>
          </w:p>
        </w:tc>
      </w:tr>
      <w:tr w:rsidR="00F37333" w:rsidRPr="00593A5F" w14:paraId="04E4E16A" w14:textId="77777777" w:rsidTr="00D9693C">
        <w:trPr>
          <w:trHeight w:val="884"/>
        </w:trPr>
        <w:tc>
          <w:tcPr>
            <w:tcW w:w="2738" w:type="dxa"/>
          </w:tcPr>
          <w:p w14:paraId="5687A69B" w14:textId="77777777" w:rsidR="00F37333" w:rsidRPr="00593A5F" w:rsidRDefault="00F37333" w:rsidP="00D9693C">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2D0F5EED" w14:textId="43CD367A" w:rsidR="00F37333" w:rsidRPr="00FF349D" w:rsidRDefault="00F37333" w:rsidP="00D9693C">
            <w:pPr>
              <w:spacing w:line="276" w:lineRule="auto"/>
              <w:jc w:val="both"/>
              <w:rPr>
                <w:rFonts w:ascii="Verdana" w:eastAsia="Calibri" w:hAnsi="Verdana" w:cs="Arial"/>
                <w:lang w:val="es-ES_tradnl" w:eastAsia="es-ES"/>
              </w:rPr>
            </w:pPr>
            <w:r w:rsidRPr="00FF349D">
              <w:rPr>
                <w:rFonts w:ascii="Verdana" w:eastAsia="Calibri" w:hAnsi="Verdana" w:cs="Arial"/>
                <w:lang w:val="es-ES_tradnl" w:eastAsia="es-ES"/>
              </w:rPr>
              <w:t>LEY 2069 DE 2020 – Finalidad / MIPYMES – Convocatorias limitadas – Ley 2069 de 2020 – Artículo 34 / MIPYMES – ESAL – Convocatorias limitadas a MiPymes – Imposibilidad – Participación</w:t>
            </w:r>
          </w:p>
          <w:p w14:paraId="41B9830A" w14:textId="77777777" w:rsidR="00F37333" w:rsidRPr="00593A5F" w:rsidRDefault="00F37333" w:rsidP="00D9693C">
            <w:pPr>
              <w:spacing w:line="276" w:lineRule="auto"/>
              <w:jc w:val="both"/>
              <w:rPr>
                <w:rFonts w:ascii="Verdana" w:eastAsia="Calibri" w:hAnsi="Verdana" w:cs="Arial"/>
                <w:lang w:val="es-ES" w:eastAsia="es-ES"/>
              </w:rPr>
            </w:pPr>
          </w:p>
        </w:tc>
      </w:tr>
      <w:tr w:rsidR="00F37333" w:rsidRPr="00E23087" w14:paraId="2B543751" w14:textId="77777777" w:rsidTr="00D9693C">
        <w:trPr>
          <w:trHeight w:val="125"/>
        </w:trPr>
        <w:tc>
          <w:tcPr>
            <w:tcW w:w="2738" w:type="dxa"/>
          </w:tcPr>
          <w:p w14:paraId="5BA85D9F" w14:textId="77777777" w:rsidR="00F37333" w:rsidRPr="00B96799" w:rsidRDefault="00F37333" w:rsidP="00D9693C">
            <w:pPr>
              <w:jc w:val="both"/>
              <w:rPr>
                <w:rFonts w:ascii="Verdana" w:eastAsia="Calibri" w:hAnsi="Verdana" w:cs="Arial"/>
                <w:b/>
                <w:color w:val="7030A0"/>
                <w:lang w:val="es-ES_tradnl" w:eastAsia="es-ES_tradnl"/>
              </w:rPr>
            </w:pPr>
            <w:r w:rsidRPr="00E23087">
              <w:rPr>
                <w:rFonts w:ascii="Verdana" w:eastAsia="Calibri" w:hAnsi="Verdana" w:cs="Arial"/>
                <w:b/>
                <w:lang w:val="es-ES_tradnl" w:eastAsia="es-ES_tradnl"/>
              </w:rPr>
              <w:t>Radicación:</w:t>
            </w:r>
            <w:r w:rsidRPr="00E23087">
              <w:rPr>
                <w:rFonts w:ascii="Verdana" w:eastAsia="Calibri" w:hAnsi="Verdana" w:cs="Arial"/>
                <w:lang w:val="es-ES_tradnl" w:eastAsia="es-ES_tradnl"/>
              </w:rPr>
              <w:t xml:space="preserve">          </w:t>
            </w:r>
          </w:p>
        </w:tc>
        <w:tc>
          <w:tcPr>
            <w:tcW w:w="6100" w:type="dxa"/>
          </w:tcPr>
          <w:p w14:paraId="651C8CDA" w14:textId="77777777" w:rsidR="00F37333" w:rsidRPr="00E23087" w:rsidRDefault="00F37333" w:rsidP="00D9693C">
            <w:pPr>
              <w:jc w:val="both"/>
              <w:rPr>
                <w:rFonts w:ascii="Verdana" w:eastAsia="Calibri" w:hAnsi="Verdana" w:cs="Arial"/>
                <w:lang w:val="es-ES_tradnl" w:eastAsia="es-ES_tradnl"/>
              </w:rPr>
            </w:pPr>
            <w:r w:rsidRPr="00E23087">
              <w:rPr>
                <w:rFonts w:ascii="Verdana" w:eastAsia="Calibri" w:hAnsi="Verdana" w:cs="Arial"/>
                <w:lang w:val="es-ES_tradnl" w:eastAsia="es-ES_tradnl"/>
              </w:rPr>
              <w:t>Respuesta a consulta con radicado No.</w:t>
            </w:r>
            <w:r>
              <w:rPr>
                <w:rFonts w:ascii="Verdana" w:eastAsia="Calibri" w:hAnsi="Verdana" w:cs="Arial"/>
                <w:lang w:val="es-ES_tradnl" w:eastAsia="es-ES_tradnl"/>
              </w:rPr>
              <w:t xml:space="preserve"> </w:t>
            </w:r>
            <w:r w:rsidRPr="00E23087">
              <w:rPr>
                <w:rFonts w:ascii="Verdana" w:hAnsi="Verdana" w:cs="Calibri"/>
              </w:rPr>
              <w:t>P20250101000004</w:t>
            </w:r>
          </w:p>
          <w:p w14:paraId="13547D36" w14:textId="77777777" w:rsidR="00F37333" w:rsidRPr="00E23087" w:rsidRDefault="00F37333" w:rsidP="00D9693C">
            <w:pPr>
              <w:jc w:val="both"/>
              <w:rPr>
                <w:rFonts w:ascii="Verdana" w:eastAsia="Calibri" w:hAnsi="Verdana" w:cs="Arial"/>
                <w:lang w:val="es-ES_tradnl" w:eastAsia="es-ES_tradnl"/>
              </w:rPr>
            </w:pPr>
          </w:p>
        </w:tc>
      </w:tr>
    </w:tbl>
    <w:p w14:paraId="58DAE8D4" w14:textId="77777777" w:rsidR="00F37333" w:rsidRPr="00593A5F" w:rsidRDefault="00F37333" w:rsidP="00F37333">
      <w:pPr>
        <w:spacing w:after="0" w:line="240" w:lineRule="auto"/>
        <w:jc w:val="both"/>
        <w:rPr>
          <w:rFonts w:ascii="Verdana" w:eastAsia="Calibri" w:hAnsi="Verdana" w:cs="Arial"/>
          <w:color w:val="000000"/>
          <w:lang w:val="es-ES_tradnl" w:eastAsia="es-ES_tradnl"/>
        </w:rPr>
      </w:pPr>
    </w:p>
    <w:p w14:paraId="6122F504" w14:textId="77777777" w:rsidR="00F37333" w:rsidRPr="00593A5F" w:rsidRDefault="00F37333" w:rsidP="00F37333">
      <w:pPr>
        <w:spacing w:after="0" w:line="240" w:lineRule="auto"/>
        <w:jc w:val="both"/>
        <w:rPr>
          <w:rFonts w:ascii="Verdana" w:eastAsia="Calibri" w:hAnsi="Verdana" w:cs="Arial"/>
          <w:color w:val="000000"/>
          <w:lang w:val="es-ES_tradnl" w:eastAsia="es-ES_tradnl"/>
        </w:rPr>
      </w:pPr>
    </w:p>
    <w:p w14:paraId="151E78CA" w14:textId="77777777" w:rsidR="00F37333" w:rsidRDefault="00F37333" w:rsidP="00F37333">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 xml:space="preserve">Estimado </w:t>
      </w:r>
      <w:r w:rsidRPr="00E23087">
        <w:rPr>
          <w:rFonts w:ascii="Verdana" w:eastAsia="Calibri" w:hAnsi="Verdana" w:cs="Arial"/>
          <w:lang w:val="es-ES" w:eastAsia="es-ES"/>
        </w:rPr>
        <w:t xml:space="preserve">señor Gutiérrez: </w:t>
      </w:r>
    </w:p>
    <w:p w14:paraId="4D0CAB28" w14:textId="77777777" w:rsidR="00F37333" w:rsidRDefault="00F37333" w:rsidP="00F3733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A0F0C32" w14:textId="77777777" w:rsidR="00F37333" w:rsidRPr="00643556" w:rsidRDefault="00F37333" w:rsidP="00F37333">
      <w:pPr>
        <w:spacing w:after="0" w:line="276" w:lineRule="auto"/>
        <w:jc w:val="both"/>
        <w:rPr>
          <w:rFonts w:ascii="Verdana" w:eastAsia="Calibri" w:hAnsi="Verdana" w:cs="Arial"/>
          <w:lang w:val="es-ES" w:eastAsia="es-ES"/>
        </w:rPr>
      </w:pPr>
      <w:r w:rsidRPr="00593A5F">
        <w:rPr>
          <w:rFonts w:ascii="Verdana" w:eastAsia="Calibri" w:hAnsi="Verdana" w:cs="Arial"/>
          <w:color w:val="000000" w:themeColor="text1"/>
          <w:lang w:val="es-ES" w:eastAsia="es-ES"/>
        </w:rPr>
        <w:t xml:space="preserve">En </w:t>
      </w:r>
      <w:r w:rsidRPr="00643556">
        <w:rPr>
          <w:rFonts w:ascii="Verdana" w:eastAsia="Calibri" w:hAnsi="Verdana" w:cs="Arial"/>
          <w:lang w:val="es-ES" w:eastAsia="es-ES"/>
        </w:rPr>
        <w:t>ejercicio de la competencia otorgada por los artículos 3, numeral 5º, y 11, numeral 8º, del Decreto Ley 4170 de 2011,</w:t>
      </w:r>
      <w:r w:rsidRPr="00643556">
        <w:rPr>
          <w:rFonts w:ascii="Verdana" w:eastAsia="Arial MT" w:hAnsi="Verdana" w:cs="Arial MT"/>
          <w:lang w:val="es-ES" w:eastAsia="es-ES"/>
        </w:rPr>
        <w:t xml:space="preserve"> </w:t>
      </w:r>
      <w:r w:rsidRPr="00643556">
        <w:rPr>
          <w:rFonts w:ascii="Verdana" w:hAnsi="Verdana" w:cs="Arial"/>
        </w:rPr>
        <w:t xml:space="preserve">así como lo establecido en el artículo 4 de la Resolución 1707 de 2018 expedida por esta Entidad, </w:t>
      </w:r>
      <w:r w:rsidRPr="00643556">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 xml:space="preserve">1 </w:t>
      </w:r>
      <w:r w:rsidRPr="00643556">
        <w:rPr>
          <w:rFonts w:ascii="Verdana" w:eastAsia="Calibri" w:hAnsi="Verdana" w:cs="Arial"/>
          <w:lang w:val="es-ES" w:eastAsia="es-ES"/>
        </w:rPr>
        <w:t xml:space="preserve">de </w:t>
      </w:r>
      <w:r>
        <w:rPr>
          <w:rFonts w:ascii="Verdana" w:eastAsia="Calibri" w:hAnsi="Verdana" w:cs="Arial"/>
          <w:lang w:val="es-ES" w:eastAsia="es-ES"/>
        </w:rPr>
        <w:t>enero</w:t>
      </w:r>
      <w:r w:rsidRPr="00643556">
        <w:rPr>
          <w:rFonts w:ascii="Verdana" w:eastAsia="Calibri" w:hAnsi="Verdana" w:cs="Arial"/>
          <w:lang w:val="es-ES" w:eastAsia="es-ES"/>
        </w:rPr>
        <w:t xml:space="preserve"> de 20</w:t>
      </w:r>
      <w:r>
        <w:rPr>
          <w:rFonts w:ascii="Verdana" w:eastAsia="Calibri" w:hAnsi="Verdana" w:cs="Arial"/>
          <w:lang w:val="es-ES" w:eastAsia="es-ES"/>
        </w:rPr>
        <w:t>25</w:t>
      </w:r>
      <w:r w:rsidRPr="00643556">
        <w:rPr>
          <w:rFonts w:ascii="Verdana" w:eastAsia="Calibri" w:hAnsi="Verdana" w:cs="Arial"/>
          <w:lang w:val="es-ES" w:eastAsia="es-ES"/>
        </w:rPr>
        <w:t xml:space="preserve">, en la cual manifiesta lo siguiente: </w:t>
      </w:r>
    </w:p>
    <w:p w14:paraId="2E53E53B" w14:textId="77777777" w:rsidR="00F37333" w:rsidRPr="00643556" w:rsidRDefault="00F37333" w:rsidP="00F37333">
      <w:pPr>
        <w:pStyle w:val="Prrafodelista"/>
        <w:tabs>
          <w:tab w:val="left" w:pos="142"/>
          <w:tab w:val="left" w:pos="284"/>
        </w:tabs>
        <w:spacing w:line="276" w:lineRule="auto"/>
        <w:ind w:left="0"/>
        <w:jc w:val="both"/>
        <w:rPr>
          <w:rFonts w:ascii="Verdana" w:eastAsia="Century Gothic" w:hAnsi="Verdana" w:cs="Century Gothic"/>
          <w:b/>
          <w:bCs/>
          <w:i/>
          <w:iCs/>
        </w:rPr>
      </w:pPr>
    </w:p>
    <w:p w14:paraId="638DE711" w14:textId="77777777" w:rsidR="00F37333" w:rsidRPr="00643556" w:rsidRDefault="00F37333" w:rsidP="00F37333">
      <w:pPr>
        <w:spacing w:after="0" w:line="240" w:lineRule="auto"/>
        <w:ind w:left="709" w:right="709"/>
        <w:jc w:val="both"/>
        <w:rPr>
          <w:rFonts w:ascii="Verdana" w:eastAsia="Century Gothic" w:hAnsi="Verdana" w:cs="Century Gothic"/>
          <w:i/>
          <w:iCs/>
          <w:sz w:val="20"/>
          <w:szCs w:val="20"/>
          <w:lang w:val="es-ES"/>
        </w:rPr>
      </w:pPr>
      <w:bookmarkStart w:id="0" w:name="_Hlk95313578"/>
      <w:r w:rsidRPr="00643556">
        <w:rPr>
          <w:rFonts w:ascii="Verdana" w:eastAsia="Century Gothic" w:hAnsi="Verdana" w:cs="Century Gothic"/>
          <w:i/>
          <w:iCs/>
          <w:sz w:val="20"/>
          <w:szCs w:val="20"/>
          <w:lang w:val="es-ES"/>
        </w:rPr>
        <w:t xml:space="preserve">“puede una </w:t>
      </w:r>
      <w:proofErr w:type="spellStart"/>
      <w:r w:rsidRPr="00643556">
        <w:rPr>
          <w:rFonts w:ascii="Verdana" w:eastAsia="Century Gothic" w:hAnsi="Verdana" w:cs="Century Gothic"/>
          <w:i/>
          <w:iCs/>
          <w:sz w:val="20"/>
          <w:szCs w:val="20"/>
          <w:lang w:val="es-ES"/>
        </w:rPr>
        <w:t>esal</w:t>
      </w:r>
      <w:proofErr w:type="spellEnd"/>
      <w:r w:rsidRPr="00643556">
        <w:rPr>
          <w:rFonts w:ascii="Verdana" w:eastAsia="Century Gothic" w:hAnsi="Verdana" w:cs="Century Gothic"/>
          <w:i/>
          <w:iCs/>
          <w:sz w:val="20"/>
          <w:szCs w:val="20"/>
          <w:lang w:val="es-ES"/>
        </w:rPr>
        <w:t xml:space="preserve">, presentar oferta y ser evaluada en un proceso limitado a </w:t>
      </w:r>
      <w:proofErr w:type="spellStart"/>
      <w:r w:rsidRPr="00643556">
        <w:rPr>
          <w:rFonts w:ascii="Verdana" w:eastAsia="Century Gothic" w:hAnsi="Verdana" w:cs="Century Gothic"/>
          <w:i/>
          <w:iCs/>
          <w:sz w:val="20"/>
          <w:szCs w:val="20"/>
          <w:lang w:val="es-ES"/>
        </w:rPr>
        <w:t>mypime</w:t>
      </w:r>
      <w:proofErr w:type="spellEnd"/>
      <w:r w:rsidRPr="00643556">
        <w:rPr>
          <w:rFonts w:ascii="Verdana" w:eastAsia="Century Gothic" w:hAnsi="Verdana" w:cs="Century Gothic"/>
          <w:i/>
          <w:iCs/>
          <w:sz w:val="20"/>
          <w:szCs w:val="20"/>
          <w:lang w:val="es-ES"/>
        </w:rPr>
        <w:t>”</w:t>
      </w:r>
      <w:bookmarkEnd w:id="0"/>
      <w:r w:rsidRPr="00643556">
        <w:rPr>
          <w:rFonts w:ascii="Verdana" w:eastAsia="Century Gothic" w:hAnsi="Verdana" w:cs="Century Gothic"/>
          <w:i/>
          <w:iCs/>
          <w:sz w:val="20"/>
          <w:szCs w:val="20"/>
          <w:lang w:val="es-ES"/>
        </w:rPr>
        <w:t>.</w:t>
      </w:r>
    </w:p>
    <w:p w14:paraId="55E660D3" w14:textId="77777777" w:rsidR="00F37333" w:rsidRPr="00593A5F" w:rsidRDefault="00F37333" w:rsidP="00F37333">
      <w:pPr>
        <w:pStyle w:val="Prrafodelista"/>
        <w:tabs>
          <w:tab w:val="left" w:pos="142"/>
          <w:tab w:val="left" w:pos="284"/>
        </w:tabs>
        <w:spacing w:line="276" w:lineRule="auto"/>
        <w:ind w:left="0"/>
        <w:jc w:val="both"/>
        <w:rPr>
          <w:rFonts w:ascii="Verdana" w:eastAsia="Century Gothic" w:hAnsi="Verdana" w:cs="Century Gothic"/>
          <w:b/>
          <w:bCs/>
        </w:rPr>
      </w:pPr>
    </w:p>
    <w:p w14:paraId="021D5CD7" w14:textId="77777777" w:rsidR="00F37333" w:rsidRDefault="00F37333" w:rsidP="00F37333">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B7F63F2" w14:textId="77777777" w:rsidR="00F37333" w:rsidRDefault="00F37333" w:rsidP="00F37333">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 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212A0B77" w14:textId="77777777" w:rsidR="00F37333" w:rsidRPr="00593A5F" w:rsidRDefault="00F37333" w:rsidP="00F37333">
      <w:pPr>
        <w:spacing w:after="0" w:line="276" w:lineRule="auto"/>
        <w:ind w:firstLine="709"/>
        <w:jc w:val="both"/>
        <w:rPr>
          <w:rFonts w:ascii="Verdana" w:eastAsia="Calibri" w:hAnsi="Verdana" w:cs="Arial"/>
          <w:color w:val="000000"/>
          <w:lang w:val="es-ES" w:eastAsia="es-ES"/>
        </w:rPr>
      </w:pPr>
    </w:p>
    <w:p w14:paraId="6506A8D3" w14:textId="77777777" w:rsidR="00F37333" w:rsidRPr="00593A5F" w:rsidRDefault="00F37333" w:rsidP="00F3733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B878343" w14:textId="77777777" w:rsidR="00F37333" w:rsidRPr="00593A5F" w:rsidRDefault="00F37333" w:rsidP="00F37333">
      <w:pPr>
        <w:tabs>
          <w:tab w:val="left" w:pos="426"/>
        </w:tabs>
        <w:spacing w:after="0" w:line="276" w:lineRule="auto"/>
        <w:jc w:val="both"/>
        <w:rPr>
          <w:rFonts w:ascii="Verdana" w:eastAsia="Century Gothic" w:hAnsi="Verdana" w:cs="Century Gothic"/>
          <w:lang w:val="es-ES"/>
        </w:rPr>
      </w:pPr>
    </w:p>
    <w:p w14:paraId="28C38EA9" w14:textId="633D0932" w:rsidR="00F37333" w:rsidRPr="00593A5F" w:rsidRDefault="00F37333" w:rsidP="00F37333">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su solicitud, esta Agencia resolverá el siguiente</w:t>
      </w:r>
      <w:r w:rsidR="00177CC3">
        <w:rPr>
          <w:rFonts w:ascii="Verdana" w:eastAsia="Century Gothic" w:hAnsi="Verdana" w:cs="Century Gothic"/>
        </w:rPr>
        <w:t xml:space="preserve"> </w:t>
      </w:r>
      <w:r w:rsidRPr="00593A5F">
        <w:rPr>
          <w:rFonts w:ascii="Verdana" w:eastAsia="Century Gothic" w:hAnsi="Verdana" w:cs="Century Gothic"/>
        </w:rPr>
        <w:t>problema</w:t>
      </w:r>
      <w:r w:rsidR="00177CC3">
        <w:rPr>
          <w:rFonts w:ascii="Verdana" w:eastAsia="Century Gothic" w:hAnsi="Verdana" w:cs="Century Gothic"/>
        </w:rPr>
        <w:t xml:space="preserve"> </w:t>
      </w:r>
      <w:r w:rsidRPr="00593A5F">
        <w:rPr>
          <w:rFonts w:ascii="Verdana" w:eastAsia="Century Gothic" w:hAnsi="Verdana" w:cs="Century Gothic"/>
        </w:rPr>
        <w:t>jurídico</w:t>
      </w:r>
      <w:r w:rsidRPr="00353EA1">
        <w:rPr>
          <w:rFonts w:ascii="Verdana" w:eastAsia="Century Gothic" w:hAnsi="Verdana" w:cs="Century Gothic"/>
        </w:rPr>
        <w:t xml:space="preserve">: ¿Las entidades sin ánimo de lucro (ESAL) tienen </w:t>
      </w:r>
      <w:r w:rsidR="00EC7507" w:rsidRPr="00353EA1">
        <w:rPr>
          <w:rFonts w:ascii="Verdana" w:eastAsia="Century Gothic" w:hAnsi="Verdana" w:cs="Century Gothic"/>
        </w:rPr>
        <w:t>la</w:t>
      </w:r>
      <w:r w:rsidRPr="00353EA1">
        <w:rPr>
          <w:rFonts w:ascii="Verdana" w:eastAsia="Century Gothic" w:hAnsi="Verdana" w:cs="Century Gothic"/>
        </w:rPr>
        <w:t xml:space="preserve"> posibilidad de participar en los procesos limita</w:t>
      </w:r>
      <w:r w:rsidR="00EC7507">
        <w:rPr>
          <w:rFonts w:ascii="Verdana" w:eastAsia="Century Gothic" w:hAnsi="Verdana" w:cs="Century Gothic"/>
        </w:rPr>
        <w:t>dos</w:t>
      </w:r>
      <w:r w:rsidRPr="00353EA1">
        <w:rPr>
          <w:rFonts w:ascii="Verdana" w:eastAsia="Century Gothic" w:hAnsi="Verdana" w:cs="Century Gothic"/>
        </w:rPr>
        <w:t xml:space="preserve"> a las </w:t>
      </w:r>
      <w:proofErr w:type="spellStart"/>
      <w:r w:rsidRPr="00353EA1">
        <w:rPr>
          <w:rFonts w:ascii="Verdana" w:eastAsia="Century Gothic" w:hAnsi="Verdana" w:cs="Century Gothic"/>
        </w:rPr>
        <w:t>Mypime</w:t>
      </w:r>
      <w:proofErr w:type="spellEnd"/>
      <w:r w:rsidRPr="00353EA1">
        <w:rPr>
          <w:rFonts w:ascii="Verdana" w:eastAsia="Century Gothic" w:hAnsi="Verdana" w:cs="Century Gothic"/>
        </w:rPr>
        <w:t xml:space="preserve">? </w:t>
      </w:r>
    </w:p>
    <w:p w14:paraId="7144C3C1" w14:textId="77777777" w:rsidR="00F37333" w:rsidRPr="00353EA1" w:rsidRDefault="00F37333" w:rsidP="00F37333">
      <w:pPr>
        <w:spacing w:after="0" w:line="276" w:lineRule="auto"/>
        <w:jc w:val="both"/>
        <w:rPr>
          <w:rFonts w:ascii="Verdana" w:eastAsia="Calibri" w:hAnsi="Verdana" w:cs="Arial"/>
          <w:color w:val="7030A0"/>
        </w:rPr>
      </w:pPr>
    </w:p>
    <w:p w14:paraId="7616C58F" w14:textId="77777777" w:rsidR="00F37333" w:rsidRPr="00593A5F" w:rsidRDefault="00F37333" w:rsidP="00F3733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62A6084A" w14:textId="77777777" w:rsidR="00F37333" w:rsidRPr="00593A5F" w:rsidRDefault="00F37333" w:rsidP="00F3733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37333" w:rsidRPr="00593A5F" w14:paraId="3FD541C2" w14:textId="77777777" w:rsidTr="00D9693C">
        <w:tc>
          <w:tcPr>
            <w:tcW w:w="8828" w:type="dxa"/>
            <w:shd w:val="clear" w:color="auto" w:fill="auto"/>
          </w:tcPr>
          <w:p w14:paraId="148B51FE" w14:textId="1171675C" w:rsidR="00F37333" w:rsidRPr="007D24E5" w:rsidRDefault="007D292B" w:rsidP="007D4476">
            <w:pPr>
              <w:spacing w:before="120" w:line="276" w:lineRule="auto"/>
              <w:ind w:right="49"/>
              <w:jc w:val="both"/>
              <w:rPr>
                <w:rFonts w:ascii="Verdana" w:hAnsi="Verdana"/>
              </w:rPr>
            </w:pPr>
            <w:r w:rsidRPr="007D292B">
              <w:rPr>
                <w:rFonts w:ascii="Verdana" w:hAnsi="Verdana"/>
              </w:rPr>
              <w:t xml:space="preserve">Respecto del problema jurídico planteado en el presente concepto debe advertirse que, las ESAL, a pesar de cumplir los requisitos de tamaño empresarial, no son empresas, por lo que, en principio, no cumplen las condiciones para participar en las convocatorias limitadas a </w:t>
            </w:r>
            <w:proofErr w:type="spellStart"/>
            <w:r w:rsidRPr="007D292B">
              <w:rPr>
                <w:rFonts w:ascii="Verdana" w:hAnsi="Verdana"/>
              </w:rPr>
              <w:t>Mipyme</w:t>
            </w:r>
            <w:proofErr w:type="spellEnd"/>
            <w:r w:rsidRPr="007D292B">
              <w:rPr>
                <w:rFonts w:ascii="Verdana" w:hAnsi="Verdana"/>
              </w:rPr>
              <w:t xml:space="preserve">. No obstante, con la entrada en vigor del artículo 23 de la Ley 2069 de 2020 se avala la posibilidad de que cooperativas, asociaciones mutuales y demás entes considerados de economía solidaria, según el artículo 6 de la Ley 454 de 1998 –al que alude el propio artículo 23 de la Ley de Emprendimiento–, sean clasificados como </w:t>
            </w:r>
            <w:proofErr w:type="spellStart"/>
            <w:r w:rsidRPr="007D292B">
              <w:rPr>
                <w:rFonts w:ascii="Verdana" w:hAnsi="Verdana"/>
              </w:rPr>
              <w:t>Mipymes</w:t>
            </w:r>
            <w:proofErr w:type="spellEnd"/>
            <w:r w:rsidRPr="007D292B">
              <w:rPr>
                <w:rFonts w:ascii="Verdana" w:hAnsi="Verdana"/>
              </w:rPr>
              <w:t xml:space="preserve"> y puedan participar en procesos de selección </w:t>
            </w:r>
            <w:r w:rsidRPr="007D292B">
              <w:rPr>
                <w:rFonts w:ascii="Verdana" w:hAnsi="Verdana"/>
              </w:rPr>
              <w:lastRenderedPageBreak/>
              <w:t>limitados a aquellas, conforme a lo regulado por el artículo 34 de la Ley 2069 de 2020</w:t>
            </w:r>
            <w:r>
              <w:rPr>
                <w:rFonts w:ascii="Verdana" w:hAnsi="Verdana"/>
              </w:rPr>
              <w:t>.</w:t>
            </w:r>
          </w:p>
        </w:tc>
      </w:tr>
    </w:tbl>
    <w:p w14:paraId="73488A10" w14:textId="77777777" w:rsidR="00F37333" w:rsidRDefault="00F37333" w:rsidP="00F37333">
      <w:pPr>
        <w:tabs>
          <w:tab w:val="left" w:pos="142"/>
          <w:tab w:val="left" w:pos="284"/>
        </w:tabs>
        <w:spacing w:after="0" w:line="276" w:lineRule="auto"/>
        <w:jc w:val="both"/>
        <w:rPr>
          <w:rFonts w:ascii="Verdana" w:eastAsia="Century Gothic" w:hAnsi="Verdana" w:cs="Century Gothic"/>
          <w:b/>
          <w:bCs/>
          <w:lang w:val="es-ES"/>
        </w:rPr>
      </w:pPr>
    </w:p>
    <w:p w14:paraId="40E578CE" w14:textId="77777777" w:rsidR="00F37333" w:rsidRDefault="00F37333" w:rsidP="00F37333">
      <w:pPr>
        <w:tabs>
          <w:tab w:val="left" w:pos="142"/>
          <w:tab w:val="left" w:pos="284"/>
        </w:tabs>
        <w:spacing w:after="0" w:line="276" w:lineRule="auto"/>
        <w:jc w:val="both"/>
        <w:rPr>
          <w:rFonts w:ascii="Verdana" w:eastAsia="Century Gothic" w:hAnsi="Verdana" w:cs="Century Gothic"/>
          <w:b/>
          <w:bCs/>
          <w:lang w:val="es-ES"/>
        </w:rPr>
      </w:pPr>
    </w:p>
    <w:p w14:paraId="3E584D61" w14:textId="77777777" w:rsidR="00F37333" w:rsidRPr="00593A5F" w:rsidRDefault="00F37333" w:rsidP="00F37333">
      <w:pPr>
        <w:tabs>
          <w:tab w:val="left" w:pos="142"/>
          <w:tab w:val="left" w:pos="284"/>
        </w:tabs>
        <w:spacing w:after="0" w:line="276" w:lineRule="auto"/>
        <w:jc w:val="both"/>
        <w:rPr>
          <w:rFonts w:ascii="Verdana" w:eastAsia="Century Gothic" w:hAnsi="Verdana" w:cs="Century Gothic"/>
          <w:b/>
          <w:bCs/>
          <w:lang w:val="es-ES"/>
        </w:rPr>
      </w:pPr>
    </w:p>
    <w:p w14:paraId="5C9D5435" w14:textId="77777777" w:rsidR="00F37333" w:rsidRPr="00593A5F" w:rsidRDefault="00F37333" w:rsidP="00F3733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AB46A85" w14:textId="77777777" w:rsidR="00F37333" w:rsidRPr="00593A5F" w:rsidRDefault="00F37333" w:rsidP="00F37333">
      <w:pPr>
        <w:spacing w:after="0" w:line="276" w:lineRule="auto"/>
        <w:jc w:val="both"/>
        <w:rPr>
          <w:rFonts w:ascii="Verdana" w:eastAsia="Calibri" w:hAnsi="Verdana" w:cs="Arial"/>
          <w:color w:val="7030A0"/>
          <w:lang w:val="es-ES"/>
        </w:rPr>
      </w:pPr>
    </w:p>
    <w:p w14:paraId="16672E0F" w14:textId="77777777" w:rsidR="00F37333" w:rsidRPr="00B96799" w:rsidRDefault="00F37333" w:rsidP="00F37333">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0F5EC2B4" w14:textId="77777777" w:rsidR="00F37333" w:rsidRPr="00C42AF5" w:rsidRDefault="00F37333" w:rsidP="00F37333">
      <w:pPr>
        <w:spacing w:after="0" w:line="276" w:lineRule="auto"/>
        <w:jc w:val="both"/>
        <w:rPr>
          <w:rFonts w:ascii="Verdana" w:eastAsia="Calibri" w:hAnsi="Verdana" w:cs="Arial"/>
          <w:color w:val="7030A0"/>
          <w:lang w:val="es-ES"/>
        </w:rPr>
      </w:pPr>
    </w:p>
    <w:p w14:paraId="41603148" w14:textId="77777777" w:rsidR="00F37333" w:rsidRPr="00C42AF5" w:rsidRDefault="00F37333" w:rsidP="00F37333">
      <w:pPr>
        <w:spacing w:line="276" w:lineRule="auto"/>
        <w:jc w:val="both"/>
        <w:rPr>
          <w:rFonts w:ascii="Verdana" w:hAnsi="Verdana"/>
          <w:color w:val="000000" w:themeColor="text1"/>
          <w:lang w:val="es-ES_tradnl"/>
        </w:rPr>
      </w:pPr>
      <w:r w:rsidRPr="00C42AF5">
        <w:rPr>
          <w:rFonts w:ascii="Verdana" w:hAnsi="Verdana"/>
          <w:color w:val="000000" w:themeColor="text1"/>
          <w:lang w:val="es-ES_tradnl"/>
        </w:rPr>
        <w:t xml:space="preserve">El artículo 2 de la ley 590 de 2000, modificado por el artículo 43 de la Ley 1450 de 2011, define la </w:t>
      </w:r>
      <w:r w:rsidRPr="00C42AF5">
        <w:rPr>
          <w:rFonts w:ascii="Verdana" w:hAnsi="Verdana"/>
          <w:i/>
          <w:iCs/>
          <w:color w:val="000000" w:themeColor="text1"/>
          <w:lang w:val="es-ES_tradnl"/>
        </w:rPr>
        <w:t>empresa</w:t>
      </w:r>
      <w:r w:rsidRPr="00C42AF5">
        <w:rPr>
          <w:rFonts w:ascii="Verdana" w:hAnsi="Verdana"/>
          <w:color w:val="000000" w:themeColor="text1"/>
          <w:lang w:val="es-ES_tradnl"/>
        </w:rPr>
        <w:t xml:space="preserve"> como toda unidad de explotación económica que realiza una persona natural o jurídica en actividades agropecuarias, industriales, comerciales o de servicios</w:t>
      </w:r>
      <w:r w:rsidRPr="00C42AF5">
        <w:rPr>
          <w:rStyle w:val="Refdenotaalpie"/>
          <w:rFonts w:ascii="Verdana" w:hAnsi="Verdana"/>
          <w:color w:val="000000" w:themeColor="text1"/>
          <w:lang w:val="es-ES_tradnl"/>
        </w:rPr>
        <w:footnoteReference w:id="2"/>
      </w:r>
      <w:r w:rsidRPr="00C42AF5">
        <w:rPr>
          <w:rFonts w:ascii="Verdana" w:hAnsi="Verdana"/>
          <w:color w:val="000000" w:themeColor="text1"/>
          <w:lang w:val="es-ES_tradnl"/>
        </w:rPr>
        <w:t xml:space="preserve">. Además, establece que estas se clasifican en micro, pequeña, mediana y gran empresa, de acuerdo con los criterios del número de trabajadores totales, el valor de ventas brutales anuales y el valor de activos totales. Ahora bien, el artículo 2.2.1.13.2.2. del Decreto 1074 de 2015, adicionado por el Decreto 957 de 2019, establece que: </w:t>
      </w:r>
    </w:p>
    <w:p w14:paraId="224F7259" w14:textId="77777777" w:rsidR="00F37333" w:rsidRPr="00C42AF5" w:rsidRDefault="00F37333" w:rsidP="00F37333">
      <w:pPr>
        <w:spacing w:before="120" w:line="276" w:lineRule="auto"/>
        <w:ind w:firstLine="709"/>
        <w:jc w:val="both"/>
        <w:rPr>
          <w:rFonts w:ascii="Verdana" w:hAnsi="Verdana"/>
          <w:color w:val="000000" w:themeColor="text1"/>
          <w:lang w:val="es-ES_tradnl"/>
        </w:rPr>
      </w:pPr>
      <w:r w:rsidRPr="00C42AF5">
        <w:rPr>
          <w:rFonts w:ascii="Verdana" w:hAnsi="Verdana"/>
          <w:color w:val="000000" w:themeColor="text1"/>
          <w:lang w:val="es-ES_tradnl"/>
        </w:rPr>
        <w:t xml:space="preserve">i) La mediana empresa, en el sector manufacturero, es aquella “cuyos ingresos por actividades ordinarias anuales sean superiores a doscientos cuatro mil novecientos noventa y cinco Unidades de Valor Tributario (204.995 UVT) e inferiores o iguales a un millón setecientos treinta y seis mil quinientos sesenta y cinco Unidades de Valor Tributario (1'736.565 UVT)”; en el sector servicios, la que sus “ingresos por actividades ordinarias anuales sean superiores a ciento treinta y un mil novecientos cincuenta y un Unidades de Valor Tributario (131.951 UVT) e inferiores o iguales a cuatrocientos ochenta y tres mil treinta y cuatro Unidades de Valor Tributario (483.034 UVT)”, y en el sector comercio, la </w:t>
      </w:r>
      <w:r w:rsidRPr="00C42AF5">
        <w:rPr>
          <w:rFonts w:ascii="Verdana" w:hAnsi="Verdana"/>
          <w:color w:val="000000" w:themeColor="text1"/>
          <w:lang w:val="es-ES_tradnl"/>
        </w:rPr>
        <w:lastRenderedPageBreak/>
        <w:t xml:space="preserve">que sus “ingresos por actividades ordinarias anuales sean superiores a cuatrocientos treinta y un mil ciento noventa y seis Unidades de Valor Tributario (431.196 UVT) e inferiores o iguales a dos millones ciento sesenta mil seiscientos noventa y dos Unidades de Valor Tributario (2'160 .692 UVT)”.  </w:t>
      </w:r>
    </w:p>
    <w:p w14:paraId="5CE275FB" w14:textId="77777777" w:rsidR="00F37333" w:rsidRPr="00C42AF5" w:rsidRDefault="00F37333" w:rsidP="00F37333">
      <w:pPr>
        <w:spacing w:before="120" w:line="276" w:lineRule="auto"/>
        <w:ind w:firstLine="709"/>
        <w:jc w:val="both"/>
        <w:rPr>
          <w:rFonts w:ascii="Verdana" w:hAnsi="Verdana"/>
          <w:color w:val="000000" w:themeColor="text1"/>
          <w:lang w:val="es-ES"/>
        </w:rPr>
      </w:pPr>
      <w:proofErr w:type="spellStart"/>
      <w:r w:rsidRPr="2EBE3AB5">
        <w:rPr>
          <w:rFonts w:ascii="Verdana" w:hAnsi="Verdana"/>
          <w:color w:val="000000" w:themeColor="text1"/>
          <w:lang w:val="es-ES"/>
        </w:rPr>
        <w:t>ii</w:t>
      </w:r>
      <w:proofErr w:type="spellEnd"/>
      <w:r w:rsidRPr="2EBE3AB5">
        <w:rPr>
          <w:rFonts w:ascii="Verdana" w:hAnsi="Verdana"/>
          <w:color w:val="000000" w:themeColor="text1"/>
          <w:lang w:val="es-ES"/>
        </w:rPr>
        <w:t>) La pequeña empresa en el sector manufacturero, es aquella “cuyos ingresos por actividades ordinarias anuales sean superiores a veintitrés mil quinientos sesenta y tres Unidades de Valor Tributario (23.563 UVT) e inferiores o iguales a doscientos cuatro mil novecientos noventa y cinco Unidades de Valor Tributario (204.995 UVT)”; en el sector servicios, la que sus “ingresos por actividades ordinarias anuales sean superiores a treinta y dos mil novecientos ochenta y ocho Unidades de Valor Tributario (32.988 UVT) e inferiores o iguales a ciento treinta y un mil novecientos cincuenta y uno Unidades de Valor Tributario (131. 951 UVT)”; y en el sector comercio, la que sus “ingresos por actividades ordinarias anuales sean superiores a cuarenta y cuatro mil setecientos sesenta y nueve Unidades de Valor Tributario (44.769 UVT) e inferiores o iguales a cuatrocientos treinta y un mil ciento noventa y seis Unidades de Valor Tributario (431.196 UVT)”.</w:t>
      </w:r>
    </w:p>
    <w:p w14:paraId="76D4FA1E" w14:textId="77777777" w:rsidR="00F37333" w:rsidRPr="00C42AF5" w:rsidRDefault="00F37333" w:rsidP="00F37333">
      <w:pPr>
        <w:spacing w:before="120" w:line="276" w:lineRule="auto"/>
        <w:ind w:firstLine="709"/>
        <w:jc w:val="both"/>
        <w:rPr>
          <w:rFonts w:ascii="Verdana" w:hAnsi="Verdana"/>
          <w:color w:val="000000" w:themeColor="text1"/>
          <w:lang w:val="es-ES"/>
        </w:rPr>
      </w:pPr>
      <w:proofErr w:type="spellStart"/>
      <w:r w:rsidRPr="2EBE3AB5">
        <w:rPr>
          <w:rFonts w:ascii="Verdana" w:hAnsi="Verdana"/>
          <w:color w:val="000000" w:themeColor="text1"/>
          <w:lang w:val="es-ES"/>
        </w:rPr>
        <w:t>iii</w:t>
      </w:r>
      <w:proofErr w:type="spellEnd"/>
      <w:r w:rsidRPr="2EBE3AB5">
        <w:rPr>
          <w:rFonts w:ascii="Verdana" w:hAnsi="Verdana"/>
          <w:color w:val="000000" w:themeColor="text1"/>
          <w:lang w:val="es-ES"/>
        </w:rPr>
        <w:t>) La microempresa en el sector manufacturero, es “aquella cuyos ingresos por actividades ordinarias anuales sean inferiores o iguales a veintitrés mil quinientos sesenta y tres Unidades de Valor Tributario (23.563 UVT)”, en el sector servicios, la que sus “ingresos por actividades ordinarias anuales sean inferiores o iguales a treinta y dos mil novecientos ochenta y ocho Unidades de Valor Tributario (32.988 UVT)”, y en el sector comercio, la que sus “ingresos por actividades ordinarias anuales sean inferiores o iguales a cuarenta y cuatro mil setecientos sesenta y nueve Unidades de Valor Tributario (44.769 UVT)”</w:t>
      </w:r>
      <w:r w:rsidRPr="2EBE3AB5">
        <w:rPr>
          <w:rStyle w:val="Refdenotaalpie"/>
          <w:rFonts w:ascii="Verdana" w:hAnsi="Verdana"/>
          <w:color w:val="000000" w:themeColor="text1"/>
          <w:lang w:val="es-ES"/>
        </w:rPr>
        <w:footnoteReference w:id="3"/>
      </w:r>
      <w:r w:rsidRPr="2EBE3AB5">
        <w:rPr>
          <w:rFonts w:ascii="Verdana" w:hAnsi="Verdana"/>
          <w:color w:val="000000" w:themeColor="text1"/>
          <w:lang w:val="es-ES"/>
        </w:rPr>
        <w:t>.</w:t>
      </w:r>
    </w:p>
    <w:p w14:paraId="638C4C3B" w14:textId="77777777" w:rsidR="00F37333" w:rsidRPr="00C42AF5" w:rsidRDefault="00F37333" w:rsidP="00F37333">
      <w:pPr>
        <w:spacing w:before="120" w:line="276" w:lineRule="auto"/>
        <w:ind w:right="51" w:firstLine="709"/>
        <w:jc w:val="both"/>
        <w:rPr>
          <w:rFonts w:ascii="Verdana" w:hAnsi="Verdana"/>
          <w:color w:val="000000" w:themeColor="text1"/>
        </w:rPr>
      </w:pPr>
      <w:r w:rsidRPr="00C42AF5">
        <w:rPr>
          <w:rFonts w:ascii="Verdana" w:hAnsi="Verdana"/>
          <w:color w:val="000000" w:themeColor="text1"/>
          <w:lang w:val="es-ES_tradnl"/>
        </w:rPr>
        <w:t xml:space="preserve">Teniendo en cuenta lo anterior, es importante precisar que esta Agencia ha sostenido de forma reiterada la tesis consistente en que las ESAL no pueden participar en los procesos contractuales limitados a </w:t>
      </w:r>
      <w:proofErr w:type="spellStart"/>
      <w:r w:rsidRPr="00C42AF5">
        <w:rPr>
          <w:rFonts w:ascii="Verdana" w:hAnsi="Verdana"/>
          <w:color w:val="000000" w:themeColor="text1"/>
          <w:lang w:val="es-ES_tradnl"/>
        </w:rPr>
        <w:t>Mipyme</w:t>
      </w:r>
      <w:proofErr w:type="spellEnd"/>
      <w:r w:rsidRPr="00C42AF5">
        <w:rPr>
          <w:rFonts w:ascii="Verdana" w:hAnsi="Verdana"/>
          <w:color w:val="000000" w:themeColor="text1"/>
          <w:lang w:val="es-ES_tradnl"/>
        </w:rPr>
        <w:t>, considerando que “</w:t>
      </w:r>
      <w:r w:rsidRPr="00C42AF5">
        <w:rPr>
          <w:rFonts w:ascii="Verdana" w:hAnsi="Verdana"/>
          <w:color w:val="000000" w:themeColor="text1"/>
        </w:rPr>
        <w:t xml:space="preserve">en virtud del artículo 43 de la Ley 1450 de 2011, que modificó el artículo 2 de la Ley 590 de 2000, […] puede decirse que solo podrán ser </w:t>
      </w:r>
      <w:proofErr w:type="spellStart"/>
      <w:r w:rsidRPr="00C42AF5">
        <w:rPr>
          <w:rFonts w:ascii="Verdana" w:hAnsi="Verdana"/>
          <w:color w:val="000000" w:themeColor="text1"/>
        </w:rPr>
        <w:t>Mipymes</w:t>
      </w:r>
      <w:proofErr w:type="spellEnd"/>
      <w:r w:rsidRPr="00C42AF5">
        <w:rPr>
          <w:rFonts w:ascii="Verdana" w:hAnsi="Verdana"/>
          <w:color w:val="000000" w:themeColor="text1"/>
        </w:rPr>
        <w:t xml:space="preserve"> las empresas, entendidas estas como las unidades de explotación económica que buscan el reparto de utilidades entre los miembros de la empresa. De esta forma, en razón a que las ESAL no persiguen el reparto de utilidades entre sus </w:t>
      </w:r>
      <w:r w:rsidRPr="00C42AF5">
        <w:rPr>
          <w:rFonts w:ascii="Verdana" w:hAnsi="Verdana"/>
          <w:color w:val="000000" w:themeColor="text1"/>
        </w:rPr>
        <w:lastRenderedPageBreak/>
        <w:t xml:space="preserve">miembros, sino que su objeto está destinado a realizar una actividad de interés general sin esperar a cambio un reparto de ganancia en proporción a sus utilidades, lo cierto es que estas no podrán participar en los procesos de contratación limitado a </w:t>
      </w:r>
      <w:proofErr w:type="spellStart"/>
      <w:r w:rsidRPr="00C42AF5">
        <w:rPr>
          <w:rFonts w:ascii="Verdana" w:hAnsi="Verdana"/>
          <w:color w:val="000000" w:themeColor="text1"/>
        </w:rPr>
        <w:t>mipymes</w:t>
      </w:r>
      <w:proofErr w:type="spellEnd"/>
      <w:r w:rsidRPr="00C42AF5">
        <w:rPr>
          <w:rFonts w:ascii="Verdana" w:hAnsi="Verdana"/>
          <w:color w:val="000000" w:themeColor="text1"/>
        </w:rPr>
        <w:t xml:space="preserve">. Lo anterior teniendo en cuenta que no responden al concepto de empresa que involucra dicha categoría, por lo que no resulta jurídicamente válido aplicar a las ESAL las normas dirigidas a las </w:t>
      </w:r>
      <w:proofErr w:type="spellStart"/>
      <w:r w:rsidRPr="00C42AF5">
        <w:rPr>
          <w:rFonts w:ascii="Verdana" w:hAnsi="Verdana"/>
          <w:color w:val="000000" w:themeColor="text1"/>
        </w:rPr>
        <w:t>Mipymes</w:t>
      </w:r>
      <w:proofErr w:type="spellEnd"/>
      <w:r w:rsidRPr="00C42AF5">
        <w:rPr>
          <w:rFonts w:ascii="Verdana" w:hAnsi="Verdana"/>
          <w:color w:val="000000" w:themeColor="text1"/>
        </w:rPr>
        <w:t>”</w:t>
      </w:r>
      <w:r w:rsidRPr="00C42AF5">
        <w:rPr>
          <w:rStyle w:val="Refdenotaalpie"/>
          <w:rFonts w:ascii="Verdana" w:hAnsi="Verdana"/>
          <w:color w:val="000000" w:themeColor="text1"/>
        </w:rPr>
        <w:footnoteReference w:id="4"/>
      </w:r>
      <w:r w:rsidRPr="00C42AF5">
        <w:rPr>
          <w:rFonts w:ascii="Verdana" w:hAnsi="Verdana"/>
          <w:color w:val="000000" w:themeColor="text1"/>
        </w:rPr>
        <w:t xml:space="preserve">. </w:t>
      </w:r>
    </w:p>
    <w:p w14:paraId="18554CAD" w14:textId="77777777" w:rsidR="00F37333" w:rsidRPr="00C42AF5" w:rsidRDefault="00F37333" w:rsidP="00F37333">
      <w:pPr>
        <w:spacing w:before="120" w:line="276" w:lineRule="auto"/>
        <w:ind w:right="51" w:firstLine="709"/>
        <w:jc w:val="both"/>
        <w:rPr>
          <w:rFonts w:ascii="Verdana" w:hAnsi="Verdana"/>
          <w:color w:val="000000" w:themeColor="text1"/>
          <w:lang w:val="es-ES"/>
        </w:rPr>
      </w:pPr>
      <w:r w:rsidRPr="2EBE3AB5">
        <w:rPr>
          <w:rFonts w:ascii="Verdana" w:hAnsi="Verdana"/>
          <w:color w:val="000000" w:themeColor="text1"/>
          <w:lang w:val="es-ES"/>
        </w:rPr>
        <w:t xml:space="preserve">Retomando la postura indicada, debe aclararse que en virtud del artículo 43 de la Ley 1450 de 2011, que modificó el artículo 2 de la Ley 590 de 2000, y a la luz de las consideraciones contenidas en los párrafos precedentes, puede decirse que solo podrán ser </w:t>
      </w:r>
      <w:proofErr w:type="spellStart"/>
      <w:r w:rsidRPr="2EBE3AB5">
        <w:rPr>
          <w:rFonts w:ascii="Verdana" w:hAnsi="Verdana"/>
          <w:color w:val="000000" w:themeColor="text1"/>
          <w:lang w:val="es-ES"/>
        </w:rPr>
        <w:t>Mipymes</w:t>
      </w:r>
      <w:proofErr w:type="spellEnd"/>
      <w:r w:rsidRPr="2EBE3AB5">
        <w:rPr>
          <w:rFonts w:ascii="Verdana" w:hAnsi="Verdana"/>
          <w:color w:val="000000" w:themeColor="text1"/>
          <w:lang w:val="es-ES"/>
        </w:rPr>
        <w:t xml:space="preserve"> las empresas, entendidas estas como las unidades de explotación económica que buscan el reparto de utilidades entre los miembros de la empresa, sin perjuicio de las precisiones que se realizarán en el numeral siguiente de este concepto en relación con el artículo 23 de la Ley 2069 de 2020. De esta forma, en razón a que las ESAL no persiguen el reparto de utilidades entre sus miembros, sino que su objeto está destinado a realizar una actividad de interés general sin esperar a cambio un reparto de ganancia en proporción a sus utilidades, lo cierto es que estas, por regla general, no podrán participar en los procesos de contratación limitados a </w:t>
      </w:r>
      <w:proofErr w:type="spellStart"/>
      <w:r w:rsidRPr="2EBE3AB5">
        <w:rPr>
          <w:rFonts w:ascii="Verdana" w:hAnsi="Verdana"/>
          <w:color w:val="000000" w:themeColor="text1"/>
          <w:lang w:val="es-ES"/>
        </w:rPr>
        <w:t>Mipymes</w:t>
      </w:r>
      <w:proofErr w:type="spellEnd"/>
      <w:r w:rsidRPr="2EBE3AB5">
        <w:rPr>
          <w:rFonts w:ascii="Verdana" w:hAnsi="Verdana"/>
          <w:color w:val="000000" w:themeColor="text1"/>
          <w:lang w:val="es-ES"/>
        </w:rPr>
        <w:t xml:space="preserve">. Lo anterior, teniendo en cuenta que no responden al concepto de empresa que involucra dicha categoría, por lo que no resulta jurídicamente válido aplicar a las ESAL las normas dirigidas a las </w:t>
      </w:r>
      <w:proofErr w:type="spellStart"/>
      <w:r w:rsidRPr="2EBE3AB5">
        <w:rPr>
          <w:rFonts w:ascii="Verdana" w:hAnsi="Verdana"/>
          <w:color w:val="000000" w:themeColor="text1"/>
          <w:lang w:val="es-ES"/>
        </w:rPr>
        <w:t>Mipymes</w:t>
      </w:r>
      <w:proofErr w:type="spellEnd"/>
      <w:r w:rsidRPr="2EBE3AB5">
        <w:rPr>
          <w:rFonts w:ascii="Verdana" w:hAnsi="Verdana"/>
          <w:color w:val="000000" w:themeColor="text1"/>
          <w:lang w:val="es-ES"/>
        </w:rPr>
        <w:t>, como lo ha señalado esta Agencia en</w:t>
      </w:r>
      <w:r w:rsidRPr="2EBE3AB5">
        <w:rPr>
          <w:rFonts w:ascii="Verdana" w:eastAsia="Calibri" w:hAnsi="Verdana"/>
          <w:color w:val="000000" w:themeColor="text1"/>
          <w:lang w:val="es-ES"/>
        </w:rPr>
        <w:t xml:space="preserve"> el Concepto del 21 de julio de 2016 −radicado No. E20161300000072−, reiterado en los Conceptos del 20, 21 y 22 de agosto y el 17 de septiembre de 2019 −radicados Nos. 2201913000006007, 2201913000006081, 2201913000006151 y 2201913000006895−, C-258 del 17 de abril, C-413 de 30 de junio de 2020, C-705 del 7 de diciembre de 2020, C-728 del 14 de diciembre de 2020 y C-160 del 20 de abril de 2021.</w:t>
      </w:r>
    </w:p>
    <w:p w14:paraId="1B6B4924" w14:textId="6627AEF8" w:rsidR="00F37333" w:rsidRPr="00C42AF5" w:rsidRDefault="00F37333" w:rsidP="00F37333">
      <w:pPr>
        <w:spacing w:before="120" w:line="276" w:lineRule="auto"/>
        <w:ind w:firstLine="708"/>
        <w:jc w:val="both"/>
        <w:rPr>
          <w:rFonts w:ascii="Verdana" w:hAnsi="Verdana"/>
          <w:color w:val="000000" w:themeColor="text1"/>
          <w:lang w:val="es-ES"/>
        </w:rPr>
      </w:pPr>
      <w:r w:rsidRPr="2EBE3AB5">
        <w:rPr>
          <w:rFonts w:ascii="Verdana" w:hAnsi="Verdana"/>
          <w:color w:val="000000" w:themeColor="text1"/>
          <w:lang w:val="es-ES"/>
        </w:rPr>
        <w:t xml:space="preserve">Lo anterior no quiere decir que las ESAL no sean personas jurídicas o que no tengan capacidad contractual. De hecho, el Decreto 92 de 2017 reguló su régimen especial de contratación e, incluso, nada obsta para que las ESAL participen, en términos de igualdad con los demás oferentes, en los diferentes procesos contractuales que regula el Estatuto General de Contratación de la Administración Pública, salvo aquellos procesos contractuales limitados a </w:t>
      </w:r>
      <w:proofErr w:type="spellStart"/>
      <w:r w:rsidRPr="2EBE3AB5">
        <w:rPr>
          <w:rFonts w:ascii="Verdana" w:hAnsi="Verdana"/>
          <w:color w:val="000000" w:themeColor="text1"/>
          <w:lang w:val="es-ES"/>
        </w:rPr>
        <w:lastRenderedPageBreak/>
        <w:t>Mipymes</w:t>
      </w:r>
      <w:proofErr w:type="spellEnd"/>
      <w:r w:rsidRPr="2EBE3AB5">
        <w:rPr>
          <w:rFonts w:ascii="Verdana" w:hAnsi="Verdana"/>
          <w:color w:val="000000" w:themeColor="text1"/>
          <w:lang w:val="es-ES"/>
        </w:rPr>
        <w:t xml:space="preserve">, con excepción de lo que se explicará en el próximo numeral del concepto. No </w:t>
      </w:r>
      <w:r w:rsidR="000C31E8" w:rsidRPr="2EBE3AB5">
        <w:rPr>
          <w:rFonts w:ascii="Verdana" w:hAnsi="Verdana"/>
          <w:color w:val="000000" w:themeColor="text1"/>
          <w:lang w:val="es-ES"/>
        </w:rPr>
        <w:t>obstante,</w:t>
      </w:r>
      <w:r w:rsidRPr="2EBE3AB5">
        <w:rPr>
          <w:rFonts w:ascii="Verdana" w:hAnsi="Verdana"/>
          <w:color w:val="000000" w:themeColor="text1"/>
          <w:lang w:val="es-ES"/>
        </w:rPr>
        <w:t xml:space="preserve"> lo señalado, en relación con las cooperativas y demás entidades de economía solidaria, deben tenerse en cuenta las consideraciones que se realizarán en el siguiente numeral.</w:t>
      </w:r>
    </w:p>
    <w:p w14:paraId="7DE197B5" w14:textId="77777777" w:rsidR="00F37333" w:rsidRPr="00C42AF5" w:rsidRDefault="00F37333" w:rsidP="00F37333">
      <w:pPr>
        <w:widowControl w:val="0"/>
        <w:autoSpaceDE w:val="0"/>
        <w:autoSpaceDN w:val="0"/>
        <w:spacing w:after="0" w:line="276" w:lineRule="auto"/>
        <w:jc w:val="both"/>
        <w:rPr>
          <w:rFonts w:ascii="Verdana" w:hAnsi="Verdana" w:cs="Arial"/>
          <w:lang w:val="es-ES_tradnl"/>
        </w:rPr>
      </w:pPr>
    </w:p>
    <w:p w14:paraId="5285EC58" w14:textId="77777777" w:rsidR="00F37333" w:rsidRPr="00593A5F" w:rsidRDefault="00F37333" w:rsidP="00F3733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76C8D3E4" w14:textId="77777777" w:rsidR="00F37333" w:rsidRPr="00593A5F" w:rsidRDefault="00F37333" w:rsidP="00F37333">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37333" w:rsidRPr="00593A5F" w14:paraId="5AABD812" w14:textId="77777777" w:rsidTr="00D9693C">
        <w:trPr>
          <w:trHeight w:val="870"/>
        </w:trPr>
        <w:tc>
          <w:tcPr>
            <w:tcW w:w="8647" w:type="dxa"/>
          </w:tcPr>
          <w:p w14:paraId="1175CF90" w14:textId="77777777" w:rsidR="00F37333" w:rsidRPr="00FF349D" w:rsidRDefault="00F37333" w:rsidP="00F37333">
            <w:pPr>
              <w:numPr>
                <w:ilvl w:val="0"/>
                <w:numId w:val="18"/>
              </w:numPr>
              <w:contextualSpacing/>
              <w:jc w:val="both"/>
              <w:rPr>
                <w:rFonts w:ascii="Verdana" w:hAnsi="Verdana"/>
                <w:lang w:val="es-ES_tradnl"/>
              </w:rPr>
            </w:pPr>
            <w:r w:rsidRPr="00FF349D">
              <w:rPr>
                <w:rFonts w:ascii="Verdana" w:hAnsi="Verdana"/>
                <w:lang w:val="es-ES_tradnl"/>
              </w:rPr>
              <w:t xml:space="preserve">Decreto 092 de 2017. Disponible en: </w:t>
            </w:r>
            <w:hyperlink r:id="rId11" w:history="1">
              <w:r w:rsidRPr="00FF349D">
                <w:rPr>
                  <w:rFonts w:ascii="Verdana" w:hAnsi="Verdana"/>
                  <w:color w:val="0563C1" w:themeColor="hyperlink"/>
                  <w:u w:val="single"/>
                  <w:lang w:val="es-ES_tradnl"/>
                </w:rPr>
                <w:t>https://relatoria.colombiacompra.gov.co/normativa/decreto-092-de-2017/</w:t>
              </w:r>
            </w:hyperlink>
          </w:p>
          <w:p w14:paraId="6FA872FE" w14:textId="77777777" w:rsidR="00F37333" w:rsidRPr="00FF349D" w:rsidRDefault="00F37333" w:rsidP="00D9693C">
            <w:pPr>
              <w:ind w:left="720"/>
              <w:contextualSpacing/>
              <w:jc w:val="both"/>
              <w:rPr>
                <w:rFonts w:ascii="Verdana" w:hAnsi="Verdana"/>
                <w:lang w:val="es-ES_tradnl"/>
              </w:rPr>
            </w:pPr>
          </w:p>
          <w:p w14:paraId="2C507682" w14:textId="77777777" w:rsidR="00F37333" w:rsidRPr="00FF349D" w:rsidRDefault="00F37333" w:rsidP="00F37333">
            <w:pPr>
              <w:numPr>
                <w:ilvl w:val="0"/>
                <w:numId w:val="18"/>
              </w:numPr>
              <w:contextualSpacing/>
              <w:jc w:val="both"/>
              <w:rPr>
                <w:rFonts w:ascii="Verdana" w:hAnsi="Verdana"/>
                <w:lang w:val="es-ES_tradnl"/>
              </w:rPr>
            </w:pPr>
            <w:r w:rsidRPr="00FF349D">
              <w:rPr>
                <w:rFonts w:ascii="Verdana" w:hAnsi="Verdana"/>
                <w:lang w:val="es-ES_tradnl"/>
              </w:rPr>
              <w:t xml:space="preserve">Ley 2069 de 2020. Disponible en: </w:t>
            </w:r>
            <w:hyperlink r:id="rId12" w:history="1">
              <w:r w:rsidRPr="00FF349D">
                <w:rPr>
                  <w:rFonts w:ascii="Verdana" w:hAnsi="Verdana"/>
                  <w:color w:val="0070C0"/>
                  <w:u w:val="single"/>
                  <w:lang w:val="es-ES_tradnl"/>
                </w:rPr>
                <w:t>https://relatoria.colombiacompra.gov.co/normativa/ley-2069-de-2020/</w:t>
              </w:r>
            </w:hyperlink>
          </w:p>
          <w:p w14:paraId="25DF1300" w14:textId="77777777" w:rsidR="00F37333" w:rsidRPr="00FF349D" w:rsidRDefault="00F37333" w:rsidP="00D9693C">
            <w:pPr>
              <w:ind w:left="720"/>
              <w:contextualSpacing/>
              <w:jc w:val="both"/>
              <w:rPr>
                <w:rFonts w:ascii="Verdana" w:hAnsi="Verdana"/>
                <w:lang w:val="es-ES_tradnl"/>
              </w:rPr>
            </w:pPr>
          </w:p>
          <w:p w14:paraId="79E89C32" w14:textId="77777777" w:rsidR="00F37333" w:rsidRPr="00FF349D" w:rsidRDefault="00F37333" w:rsidP="00F37333">
            <w:pPr>
              <w:numPr>
                <w:ilvl w:val="0"/>
                <w:numId w:val="18"/>
              </w:numPr>
              <w:contextualSpacing/>
              <w:jc w:val="both"/>
              <w:rPr>
                <w:rFonts w:ascii="Verdana" w:hAnsi="Verdana"/>
                <w:lang w:val="es-ES_tradnl"/>
              </w:rPr>
            </w:pPr>
            <w:r w:rsidRPr="00FF349D">
              <w:rPr>
                <w:rFonts w:ascii="Verdana" w:hAnsi="Verdana"/>
                <w:lang w:val="es-ES_tradnl"/>
              </w:rPr>
              <w:t xml:space="preserve">Ley 1450 de 2011. Disponible en: </w:t>
            </w:r>
            <w:hyperlink r:id="rId13" w:history="1">
              <w:r w:rsidRPr="00FF349D">
                <w:rPr>
                  <w:rFonts w:ascii="Verdana" w:hAnsi="Verdana"/>
                  <w:color w:val="0070C0"/>
                  <w:u w:val="single"/>
                  <w:lang w:val="es-ES_tradnl"/>
                </w:rPr>
                <w:t>https://relatoria.colombiacompra.gov.co/normativa/ley-1450-de-2011/</w:t>
              </w:r>
            </w:hyperlink>
          </w:p>
          <w:p w14:paraId="6BBD2904" w14:textId="77777777" w:rsidR="00F37333" w:rsidRPr="00FF349D" w:rsidRDefault="00F37333" w:rsidP="00D9693C">
            <w:pPr>
              <w:ind w:left="720"/>
              <w:contextualSpacing/>
              <w:jc w:val="both"/>
              <w:rPr>
                <w:rFonts w:ascii="Verdana" w:hAnsi="Verdana"/>
                <w:lang w:val="es-ES_tradnl"/>
              </w:rPr>
            </w:pPr>
          </w:p>
          <w:p w14:paraId="52DB6C39" w14:textId="77777777" w:rsidR="00F37333" w:rsidRPr="00FF349D" w:rsidRDefault="00F37333" w:rsidP="00F37333">
            <w:pPr>
              <w:numPr>
                <w:ilvl w:val="0"/>
                <w:numId w:val="18"/>
              </w:numPr>
              <w:contextualSpacing/>
              <w:jc w:val="both"/>
              <w:rPr>
                <w:rFonts w:ascii="Verdana" w:hAnsi="Verdana"/>
                <w:lang w:val="es-ES_tradnl"/>
              </w:rPr>
            </w:pPr>
            <w:r w:rsidRPr="00FF349D">
              <w:rPr>
                <w:rFonts w:ascii="Verdana" w:hAnsi="Verdana"/>
                <w:lang w:val="es-ES_tradnl"/>
              </w:rPr>
              <w:t xml:space="preserve">Ley 590 de 2000. Disponible en: </w:t>
            </w:r>
            <w:hyperlink r:id="rId14" w:history="1">
              <w:r w:rsidRPr="00FF349D">
                <w:rPr>
                  <w:rFonts w:ascii="Verdana" w:hAnsi="Verdana"/>
                  <w:color w:val="0070C0"/>
                  <w:u w:val="single"/>
                  <w:lang w:val="es-ES_tradnl"/>
                </w:rPr>
                <w:t>https://relatoria.colombiacompra.gov.co/normativa/ley-590-de-2000/</w:t>
              </w:r>
            </w:hyperlink>
          </w:p>
          <w:p w14:paraId="46D3A498" w14:textId="77777777" w:rsidR="00F37333" w:rsidRPr="00FF349D" w:rsidRDefault="00F37333" w:rsidP="00D9693C">
            <w:pPr>
              <w:ind w:left="720"/>
              <w:contextualSpacing/>
              <w:jc w:val="both"/>
              <w:rPr>
                <w:rFonts w:ascii="Verdana" w:hAnsi="Verdana"/>
                <w:lang w:val="es-ES_tradnl"/>
              </w:rPr>
            </w:pPr>
          </w:p>
          <w:p w14:paraId="405E258C" w14:textId="77777777" w:rsidR="00F37333" w:rsidRPr="00FF349D" w:rsidRDefault="00F37333" w:rsidP="00F37333">
            <w:pPr>
              <w:numPr>
                <w:ilvl w:val="0"/>
                <w:numId w:val="18"/>
              </w:numPr>
              <w:contextualSpacing/>
              <w:jc w:val="both"/>
              <w:rPr>
                <w:rFonts w:ascii="Verdana" w:hAnsi="Verdana"/>
                <w:lang w:val="es-ES"/>
              </w:rPr>
            </w:pPr>
            <w:r w:rsidRPr="29DDF2A8">
              <w:rPr>
                <w:rFonts w:ascii="Verdana" w:hAnsi="Verdana"/>
                <w:lang w:val="es-ES"/>
              </w:rPr>
              <w:t xml:space="preserve">Guía para la contratación con entidades privadas sin ánimo de lucro y de reconocida idoneidad de la Agencia Nacional de Contratación Pública–Colombia Compra Eficiente–. Disponible </w:t>
            </w:r>
            <w:proofErr w:type="gramStart"/>
            <w:r w:rsidRPr="29DDF2A8">
              <w:rPr>
                <w:rFonts w:ascii="Verdana" w:hAnsi="Verdana"/>
                <w:lang w:val="es-ES"/>
              </w:rPr>
              <w:t>en :</w:t>
            </w:r>
            <w:proofErr w:type="gramEnd"/>
            <w:r w:rsidRPr="29DDF2A8">
              <w:rPr>
                <w:rFonts w:ascii="Verdana" w:hAnsi="Verdana"/>
                <w:lang w:val="es-ES"/>
              </w:rPr>
              <w:t xml:space="preserve"> </w:t>
            </w:r>
            <w:hyperlink r:id="rId15">
              <w:r w:rsidRPr="29DDF2A8">
                <w:rPr>
                  <w:rFonts w:ascii="Verdana" w:hAnsi="Verdana"/>
                  <w:color w:val="0070C0"/>
                  <w:u w:val="single"/>
                  <w:lang w:val="es-ES"/>
                </w:rPr>
                <w:t>https://www.colombiacompra.gov.co/sites/cce_public/files/cce_documents/cce_guia_esal.pdf</w:t>
              </w:r>
            </w:hyperlink>
          </w:p>
          <w:p w14:paraId="76D34CE3" w14:textId="77777777" w:rsidR="00F37333" w:rsidRPr="00FF349D" w:rsidRDefault="00F37333" w:rsidP="00D9693C">
            <w:pPr>
              <w:ind w:left="720"/>
              <w:contextualSpacing/>
              <w:jc w:val="both"/>
              <w:rPr>
                <w:rFonts w:ascii="Verdana" w:hAnsi="Verdana"/>
                <w:lang w:val="es-ES_tradnl"/>
              </w:rPr>
            </w:pPr>
          </w:p>
          <w:p w14:paraId="2339A949" w14:textId="77777777" w:rsidR="00F37333" w:rsidRPr="00FF349D" w:rsidRDefault="00F37333" w:rsidP="00F37333">
            <w:pPr>
              <w:numPr>
                <w:ilvl w:val="0"/>
                <w:numId w:val="18"/>
              </w:numPr>
              <w:contextualSpacing/>
              <w:jc w:val="both"/>
              <w:rPr>
                <w:rFonts w:ascii="Verdana" w:hAnsi="Verdana"/>
                <w:lang w:val="es-ES"/>
              </w:rPr>
            </w:pPr>
            <w:r w:rsidRPr="29DDF2A8">
              <w:rPr>
                <w:rFonts w:ascii="Verdana" w:hAnsi="Verdana"/>
                <w:lang w:val="es-ES"/>
              </w:rPr>
              <w:t xml:space="preserve">Guía para promover la participación de las </w:t>
            </w:r>
            <w:proofErr w:type="spellStart"/>
            <w:r w:rsidRPr="29DDF2A8">
              <w:rPr>
                <w:rFonts w:ascii="Verdana" w:hAnsi="Verdana"/>
                <w:lang w:val="es-ES"/>
              </w:rPr>
              <w:t>Mipymes</w:t>
            </w:r>
            <w:proofErr w:type="spellEnd"/>
            <w:r w:rsidRPr="29DDF2A8">
              <w:rPr>
                <w:rFonts w:ascii="Verdana" w:hAnsi="Verdana"/>
                <w:lang w:val="es-ES"/>
              </w:rPr>
              <w:t xml:space="preserve"> en los procesos de compra pública de la Agencia Nacional de Contratación Pública–Colombia Compra Eficiente–. Disponible </w:t>
            </w:r>
            <w:proofErr w:type="gramStart"/>
            <w:r w:rsidRPr="29DDF2A8">
              <w:rPr>
                <w:rFonts w:ascii="Verdana" w:hAnsi="Verdana"/>
                <w:lang w:val="es-ES"/>
              </w:rPr>
              <w:t>en :</w:t>
            </w:r>
            <w:proofErr w:type="gramEnd"/>
            <w:r w:rsidRPr="29DDF2A8">
              <w:rPr>
                <w:rFonts w:ascii="Verdana" w:hAnsi="Verdana"/>
                <w:lang w:val="es-ES"/>
              </w:rPr>
              <w:t xml:space="preserve"> </w:t>
            </w:r>
            <w:hyperlink r:id="rId16">
              <w:r w:rsidRPr="29DDF2A8">
                <w:rPr>
                  <w:rFonts w:ascii="Verdana" w:hAnsi="Verdana"/>
                  <w:color w:val="0563C1"/>
                  <w:u w:val="single"/>
                  <w:lang w:val="es-ES"/>
                </w:rPr>
                <w:t>https://www.colombiacompra.gov.co/sites/cce_public/files/cce_tienda_virtual/propuesta_guia_vf_-mipymes.pdf</w:t>
              </w:r>
            </w:hyperlink>
          </w:p>
          <w:p w14:paraId="76202311" w14:textId="77777777" w:rsidR="00F37333" w:rsidRPr="00FF349D" w:rsidRDefault="00F37333" w:rsidP="00D9693C">
            <w:pPr>
              <w:widowControl w:val="0"/>
              <w:autoSpaceDE w:val="0"/>
              <w:autoSpaceDN w:val="0"/>
              <w:spacing w:after="120" w:line="276" w:lineRule="auto"/>
              <w:ind w:left="720"/>
              <w:jc w:val="both"/>
              <w:rPr>
                <w:rFonts w:ascii="Verdana" w:hAnsi="Verdana" w:cs="Arial"/>
                <w:color w:val="000000" w:themeColor="text1"/>
                <w:lang w:val="es-ES_tradnl"/>
              </w:rPr>
            </w:pPr>
            <w:r w:rsidRPr="00FF349D">
              <w:rPr>
                <w:rFonts w:ascii="Verdana" w:hAnsi="Verdana" w:cs="Arial"/>
                <w:lang w:val="es-ES_tradnl"/>
              </w:rPr>
              <w:t xml:space="preserve"> </w:t>
            </w:r>
          </w:p>
          <w:p w14:paraId="49EE434E" w14:textId="77777777" w:rsidR="00F37333" w:rsidRPr="00FF349D" w:rsidRDefault="00F37333" w:rsidP="00F37333">
            <w:pPr>
              <w:widowControl w:val="0"/>
              <w:numPr>
                <w:ilvl w:val="0"/>
                <w:numId w:val="17"/>
              </w:numPr>
              <w:autoSpaceDE w:val="0"/>
              <w:autoSpaceDN w:val="0"/>
              <w:spacing w:after="120" w:line="276" w:lineRule="auto"/>
              <w:jc w:val="both"/>
              <w:rPr>
                <w:rFonts w:ascii="Verdana" w:hAnsi="Verdana" w:cs="Arial"/>
                <w:lang w:val="es-ES_tradnl"/>
              </w:rPr>
            </w:pPr>
            <w:r w:rsidRPr="00FF349D">
              <w:rPr>
                <w:rFonts w:ascii="Verdana" w:hAnsi="Verdana" w:cs="Arial"/>
                <w:color w:val="000000" w:themeColor="text1"/>
                <w:lang w:val="es-ES_tradnl"/>
              </w:rPr>
              <w:t xml:space="preserve">Jurisprudencia del Consejo de Estado. Disponible en: </w:t>
            </w:r>
            <w:hyperlink r:id="rId17" w:history="1">
              <w:r w:rsidRPr="00FF349D">
                <w:rPr>
                  <w:rFonts w:ascii="Verdana" w:hAnsi="Verdana" w:cs="Arial"/>
                  <w:color w:val="0563C1" w:themeColor="hyperlink"/>
                  <w:u w:val="single"/>
                  <w:lang w:val="es-ES_tradnl"/>
                </w:rPr>
                <w:t>https://relatoria.colombiacompra.gov.co/providencias-consejo-de-estado/</w:t>
              </w:r>
            </w:hyperlink>
            <w:r w:rsidRPr="00FF349D">
              <w:rPr>
                <w:rFonts w:ascii="Verdana" w:hAnsi="Verdana" w:cs="Arial"/>
                <w:lang w:val="es-ES_tradnl"/>
              </w:rPr>
              <w:t xml:space="preserve"> </w:t>
            </w:r>
          </w:p>
          <w:p w14:paraId="5498D230" w14:textId="77777777" w:rsidR="00F37333" w:rsidRPr="00FF349D" w:rsidRDefault="00F37333" w:rsidP="00F37333">
            <w:pPr>
              <w:widowControl w:val="0"/>
              <w:numPr>
                <w:ilvl w:val="0"/>
                <w:numId w:val="17"/>
              </w:numPr>
              <w:autoSpaceDE w:val="0"/>
              <w:autoSpaceDN w:val="0"/>
              <w:spacing w:after="120" w:line="276" w:lineRule="auto"/>
              <w:jc w:val="both"/>
              <w:rPr>
                <w:rFonts w:ascii="Verdana" w:hAnsi="Verdana" w:cs="Arial"/>
                <w:lang w:val="es-ES_tradnl"/>
              </w:rPr>
            </w:pPr>
            <w:r w:rsidRPr="00FF349D">
              <w:rPr>
                <w:rFonts w:ascii="Verdana" w:hAnsi="Verdana" w:cs="Arial"/>
                <w:color w:val="000000" w:themeColor="text1"/>
                <w:lang w:val="es-ES_tradnl"/>
              </w:rPr>
              <w:t>Guías y manuales expedidos por la ANCP-CCE. Disponible en:</w:t>
            </w:r>
            <w:r w:rsidRPr="00FF349D">
              <w:rPr>
                <w:color w:val="000000" w:themeColor="text1"/>
                <w:lang w:val="es-ES_tradnl"/>
              </w:rPr>
              <w:t xml:space="preserve"> </w:t>
            </w:r>
            <w:hyperlink r:id="rId18" w:history="1">
              <w:r w:rsidRPr="00FF349D">
                <w:rPr>
                  <w:rFonts w:ascii="Verdana" w:hAnsi="Verdana" w:cs="Arial"/>
                  <w:color w:val="0563C1" w:themeColor="hyperlink"/>
                  <w:u w:val="single"/>
                  <w:lang w:val="es-ES_tradnl"/>
                </w:rPr>
                <w:t>https://www.colombiacompra.gov.co/manuales-guias-y-pliegos-tipo/manuales-y-guias</w:t>
              </w:r>
            </w:hyperlink>
            <w:r w:rsidRPr="00FF349D">
              <w:rPr>
                <w:rFonts w:ascii="Verdana" w:hAnsi="Verdana" w:cs="Arial"/>
                <w:lang w:val="es-ES_tradnl"/>
              </w:rPr>
              <w:t xml:space="preserve"> </w:t>
            </w:r>
          </w:p>
          <w:p w14:paraId="05C466E3" w14:textId="77777777" w:rsidR="00F37333" w:rsidRPr="00AC742F" w:rsidRDefault="00F37333" w:rsidP="000C31E8">
            <w:pPr>
              <w:pStyle w:val="Prrafodelista"/>
              <w:widowControl w:val="0"/>
              <w:autoSpaceDE w:val="0"/>
              <w:autoSpaceDN w:val="0"/>
              <w:spacing w:after="120" w:line="276" w:lineRule="auto"/>
              <w:contextualSpacing w:val="0"/>
              <w:jc w:val="both"/>
              <w:rPr>
                <w:rFonts w:ascii="Verdana" w:hAnsi="Verdana" w:cs="Arial"/>
              </w:rPr>
            </w:pPr>
          </w:p>
        </w:tc>
      </w:tr>
    </w:tbl>
    <w:p w14:paraId="0D8D20EE" w14:textId="77777777" w:rsidR="00F37333" w:rsidRPr="00593A5F" w:rsidRDefault="00F37333" w:rsidP="00F37333">
      <w:pPr>
        <w:widowControl w:val="0"/>
        <w:autoSpaceDE w:val="0"/>
        <w:autoSpaceDN w:val="0"/>
        <w:spacing w:after="0" w:line="276" w:lineRule="auto"/>
        <w:jc w:val="both"/>
        <w:rPr>
          <w:rFonts w:ascii="Verdana" w:hAnsi="Verdana" w:cs="Arial"/>
        </w:rPr>
      </w:pPr>
    </w:p>
    <w:p w14:paraId="7A34FDA2" w14:textId="77777777" w:rsidR="00F37333" w:rsidRPr="00593A5F" w:rsidRDefault="00F37333" w:rsidP="00F3733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DF33260" w14:textId="77777777" w:rsidR="00F37333" w:rsidRPr="00593A5F" w:rsidRDefault="00F37333" w:rsidP="00F37333">
      <w:pPr>
        <w:widowControl w:val="0"/>
        <w:autoSpaceDE w:val="0"/>
        <w:autoSpaceDN w:val="0"/>
        <w:spacing w:after="0" w:line="276" w:lineRule="auto"/>
        <w:jc w:val="both"/>
        <w:rPr>
          <w:rFonts w:ascii="Verdana" w:hAnsi="Verdana" w:cs="Arial"/>
        </w:rPr>
      </w:pPr>
    </w:p>
    <w:p w14:paraId="55E076E6" w14:textId="77777777" w:rsidR="00F37333" w:rsidRPr="00FF349D" w:rsidRDefault="00F37333" w:rsidP="00F37333">
      <w:pPr>
        <w:widowControl w:val="0"/>
        <w:autoSpaceDE w:val="0"/>
        <w:autoSpaceDN w:val="0"/>
        <w:spacing w:after="0" w:line="276" w:lineRule="auto"/>
        <w:jc w:val="both"/>
        <w:rPr>
          <w:rFonts w:ascii="Verdana" w:hAnsi="Verdana" w:cs="Arial"/>
          <w:color w:val="FF0000"/>
          <w:shd w:val="clear" w:color="auto" w:fill="FFFFFF"/>
          <w:lang w:val="es-ES_tradnl"/>
        </w:rPr>
      </w:pPr>
      <w:r w:rsidRPr="00FF349D">
        <w:rPr>
          <w:rFonts w:ascii="Verdana" w:hAnsi="Verdana" w:cs="Arial"/>
          <w:lang w:val="es-ES_tradnl"/>
        </w:rPr>
        <w:t>Esta Agencia se ha pronunciado en diferentes conceptos sobre la participación de las entidades sin ánimo de lucro – desde ahora ESAL – en procesos contractuales limitados a MiPymes. Al respecto expidió el concepto del 21 de julio de 2016 −radicado No. E20161300000072−, reiterado en los conceptos del 20, 21 y 22 de agosto y el 17 de septiembre de 2019 −radicados Nos. 2201913000006007</w:t>
      </w:r>
      <w:r>
        <w:rPr>
          <w:rFonts w:ascii="Verdana" w:hAnsi="Verdana" w:cs="Arial"/>
          <w:lang w:val="es-ES_tradnl"/>
        </w:rPr>
        <w:t>,</w:t>
      </w:r>
      <w:r w:rsidRPr="00FF349D">
        <w:rPr>
          <w:rFonts w:ascii="Verdana" w:hAnsi="Verdana" w:cs="Arial"/>
          <w:lang w:val="es-ES_tradnl"/>
        </w:rPr>
        <w:t>2201913000006081,</w:t>
      </w:r>
      <w:r>
        <w:rPr>
          <w:rFonts w:ascii="Verdana" w:hAnsi="Verdana" w:cs="Arial"/>
          <w:lang w:val="es-ES_tradnl"/>
        </w:rPr>
        <w:t xml:space="preserve"> </w:t>
      </w:r>
      <w:r w:rsidRPr="00FF349D">
        <w:rPr>
          <w:rFonts w:ascii="Verdana" w:hAnsi="Verdana" w:cs="Arial"/>
          <w:lang w:val="es-ES_tradnl"/>
        </w:rPr>
        <w:t xml:space="preserve">2201913000006151 y 2201913000006895−, C-258 del 17 de abril, C-413 de 30 de junio de 2020, C-705 del 7 de diciembre de 2020, C-728 del 14 de diciembre de 2020, C-160 del 20 de abril de 2021, C-474 del 26 de julio de 2022, C-020 del 14 de febrero de 2023 Y C-094 de 19 de julio de 2024. </w:t>
      </w:r>
      <w:r w:rsidRPr="00FF349D">
        <w:rPr>
          <w:rFonts w:ascii="Verdana" w:hAnsi="Verdana" w:cs="Arial"/>
          <w:shd w:val="clear" w:color="auto" w:fill="FFFFFF"/>
          <w:lang w:val="es-ES_tradnl"/>
        </w:rPr>
        <w:t>Es</w:t>
      </w:r>
      <w:r w:rsidRPr="00FF349D">
        <w:rPr>
          <w:rFonts w:ascii="Verdana" w:hAnsi="Verdana"/>
          <w:lang w:val="es-ES_tradnl"/>
        </w:rPr>
        <w:t>tos y otros conceptos se encuentran disponibles para consulta en el Sistema de relatoría de la Agencia, al cual se puede acceder a través del siguiente enlace:</w:t>
      </w:r>
      <w:r w:rsidRPr="00FF349D">
        <w:rPr>
          <w:rFonts w:ascii="Verdana" w:hAnsi="Verdana" w:cs="Arial"/>
          <w:shd w:val="clear" w:color="auto" w:fill="FFFFFF"/>
          <w:lang w:val="es-ES_tradnl"/>
        </w:rPr>
        <w:t xml:space="preserve"> </w:t>
      </w:r>
      <w:hyperlink r:id="rId19" w:history="1">
        <w:r w:rsidRPr="00FF349D">
          <w:rPr>
            <w:rFonts w:ascii="Verdana" w:hAnsi="Verdana" w:cs="Arial"/>
            <w:color w:val="0563C1" w:themeColor="hyperlink"/>
            <w:u w:val="single"/>
            <w:shd w:val="clear" w:color="auto" w:fill="FFFFFF"/>
            <w:lang w:val="es-ES_tradnl"/>
          </w:rPr>
          <w:t>https://relatoria.colombiacompra.gov.co/busqueda/conceptos</w:t>
        </w:r>
      </w:hyperlink>
      <w:r w:rsidRPr="00FF349D">
        <w:rPr>
          <w:rFonts w:ascii="Verdana" w:hAnsi="Verdana" w:cs="Arial"/>
          <w:color w:val="FF0000"/>
          <w:shd w:val="clear" w:color="auto" w:fill="FFFFFF"/>
          <w:lang w:val="es-ES_tradnl"/>
        </w:rPr>
        <w:t xml:space="preserve">. </w:t>
      </w:r>
    </w:p>
    <w:p w14:paraId="1F3E3038" w14:textId="77777777" w:rsidR="00F37333" w:rsidRPr="00FF349D" w:rsidRDefault="00F37333" w:rsidP="00F37333">
      <w:pPr>
        <w:widowControl w:val="0"/>
        <w:autoSpaceDE w:val="0"/>
        <w:autoSpaceDN w:val="0"/>
        <w:spacing w:after="0" w:line="276" w:lineRule="auto"/>
        <w:jc w:val="both"/>
        <w:rPr>
          <w:rFonts w:ascii="Verdana" w:hAnsi="Verdana" w:cs="Arial"/>
          <w:color w:val="FF0000"/>
          <w:shd w:val="clear" w:color="auto" w:fill="FFFFFF"/>
          <w:lang w:val="es-ES_tradnl"/>
        </w:rPr>
      </w:pPr>
    </w:p>
    <w:p w14:paraId="2FCCA5F1" w14:textId="77777777" w:rsidR="00F37333" w:rsidRPr="00FF349D" w:rsidRDefault="00F37333" w:rsidP="00F37333">
      <w:pPr>
        <w:widowControl w:val="0"/>
        <w:autoSpaceDE w:val="0"/>
        <w:autoSpaceDN w:val="0"/>
        <w:spacing w:after="0" w:line="276" w:lineRule="auto"/>
        <w:jc w:val="both"/>
        <w:rPr>
          <w:rFonts w:ascii="Verdana" w:hAnsi="Verdana" w:cs="Arial"/>
          <w:color w:val="FF0000"/>
          <w:shd w:val="clear" w:color="auto" w:fill="FFFFFF"/>
          <w:lang w:val="es-ES_tradnl"/>
        </w:rPr>
      </w:pPr>
      <w:r w:rsidRPr="00FF349D">
        <w:rPr>
          <w:rFonts w:ascii="Verdana" w:hAnsi="Verdana" w:cs="Arial"/>
          <w:color w:val="000000" w:themeColor="text1"/>
          <w:shd w:val="clear" w:color="auto" w:fill="FFFFFF"/>
          <w:lang w:val="es-ES_tradnl"/>
        </w:rPr>
        <w:t>También le invitamos a consultar las versiones I y II de 2024 del Boletín de Relatoría de la Subdirección de Gestión Contractual, las cuales puede descargar en la página web de la Agencia:</w:t>
      </w:r>
      <w:r w:rsidRPr="00FF349D">
        <w:rPr>
          <w:rFonts w:ascii="Verdana" w:hAnsi="Verdana" w:cs="Arial"/>
          <w:color w:val="FF0000"/>
          <w:shd w:val="clear" w:color="auto" w:fill="FFFFFF"/>
          <w:lang w:val="es-ES_tradnl"/>
        </w:rPr>
        <w:t xml:space="preserve"> </w:t>
      </w:r>
      <w:hyperlink r:id="rId20" w:history="1">
        <w:r w:rsidRPr="00FF349D">
          <w:rPr>
            <w:rFonts w:ascii="Verdana" w:hAnsi="Verdana" w:cs="Arial"/>
            <w:color w:val="0563C1" w:themeColor="hyperlink"/>
            <w:u w:val="single"/>
            <w:shd w:val="clear" w:color="auto" w:fill="FFFFFF"/>
            <w:lang w:val="es-ES_tradnl"/>
          </w:rPr>
          <w:t>https://www.colombiacompra.gov.co/sala-de-prensa/boletin-digital</w:t>
        </w:r>
      </w:hyperlink>
      <w:r w:rsidRPr="00FF349D">
        <w:rPr>
          <w:rFonts w:ascii="Verdana" w:hAnsi="Verdana" w:cs="Arial"/>
          <w:color w:val="FF0000"/>
          <w:shd w:val="clear" w:color="auto" w:fill="FFFFFF"/>
          <w:lang w:val="es-ES_tradnl"/>
        </w:rPr>
        <w:t xml:space="preserve">      </w:t>
      </w:r>
    </w:p>
    <w:p w14:paraId="5906E0F8" w14:textId="77777777" w:rsidR="00F37333" w:rsidRPr="00FF349D" w:rsidRDefault="00F37333" w:rsidP="00F37333">
      <w:pPr>
        <w:spacing w:after="0" w:line="240" w:lineRule="auto"/>
        <w:jc w:val="both"/>
        <w:rPr>
          <w:rFonts w:ascii="Verdana" w:hAnsi="Verdana"/>
          <w:lang w:val="es-ES_tradnl"/>
        </w:rPr>
      </w:pPr>
      <w:r w:rsidRPr="00FF349D">
        <w:rPr>
          <w:rFonts w:ascii="Verdana" w:hAnsi="Verdana"/>
          <w:lang w:val="es-ES_tradnl"/>
        </w:rPr>
        <w:t xml:space="preserve">Por último, lo invitamos a seguirnos en las redes sociales en las cuales se difunde información institucional: </w:t>
      </w:r>
    </w:p>
    <w:p w14:paraId="77F182CD" w14:textId="77777777" w:rsidR="00F37333" w:rsidRPr="00FF349D" w:rsidRDefault="00F37333" w:rsidP="00F37333">
      <w:pPr>
        <w:spacing w:after="0" w:line="240" w:lineRule="auto"/>
        <w:jc w:val="both"/>
        <w:rPr>
          <w:rFonts w:ascii="Verdana" w:hAnsi="Verdana"/>
          <w:lang w:val="es-ES_tradnl"/>
        </w:rPr>
      </w:pPr>
    </w:p>
    <w:p w14:paraId="0733E438" w14:textId="77777777" w:rsidR="00F37333" w:rsidRPr="00FF349D" w:rsidRDefault="00F37333" w:rsidP="00F37333">
      <w:pPr>
        <w:spacing w:after="0" w:line="240" w:lineRule="auto"/>
        <w:jc w:val="both"/>
        <w:rPr>
          <w:rFonts w:ascii="Verdana" w:hAnsi="Verdana"/>
          <w:lang w:val="es-ES_tradnl"/>
        </w:rPr>
      </w:pPr>
      <w:r w:rsidRPr="00FF349D">
        <w:rPr>
          <w:rFonts w:ascii="Verdana" w:hAnsi="Verdana"/>
          <w:lang w:val="es-ES_tradnl"/>
        </w:rPr>
        <w:t xml:space="preserve">Twitter: </w:t>
      </w:r>
      <w:r w:rsidRPr="00FF349D">
        <w:rPr>
          <w:rFonts w:ascii="Verdana" w:hAnsi="Verdana"/>
          <w:color w:val="4472C4" w:themeColor="accent1"/>
          <w:u w:val="single"/>
          <w:lang w:val="es-ES_tradnl"/>
        </w:rPr>
        <w:t>@colombiacompra</w:t>
      </w:r>
      <w:r w:rsidRPr="00FF349D">
        <w:rPr>
          <w:rFonts w:ascii="Verdana" w:hAnsi="Verdana"/>
          <w:color w:val="4472C4" w:themeColor="accent1"/>
          <w:lang w:val="es-ES_tradnl"/>
        </w:rPr>
        <w:t xml:space="preserve"> </w:t>
      </w:r>
    </w:p>
    <w:p w14:paraId="6CC6E1A0" w14:textId="77777777" w:rsidR="00F37333" w:rsidRPr="00FF349D" w:rsidRDefault="00F37333" w:rsidP="00F37333">
      <w:pPr>
        <w:spacing w:after="0" w:line="240" w:lineRule="auto"/>
        <w:jc w:val="both"/>
        <w:rPr>
          <w:rFonts w:ascii="Verdana" w:hAnsi="Verdana"/>
          <w:lang w:val="es-ES"/>
        </w:rPr>
      </w:pPr>
      <w:r w:rsidRPr="29DDF2A8">
        <w:rPr>
          <w:rFonts w:ascii="Verdana" w:hAnsi="Verdana"/>
          <w:lang w:val="es-ES"/>
        </w:rPr>
        <w:t xml:space="preserve">Facebook: </w:t>
      </w:r>
      <w:proofErr w:type="spellStart"/>
      <w:r w:rsidRPr="29DDF2A8">
        <w:rPr>
          <w:rFonts w:ascii="Verdana" w:hAnsi="Verdana"/>
          <w:color w:val="4472C4" w:themeColor="accent1"/>
          <w:u w:val="single"/>
          <w:lang w:val="es-ES"/>
        </w:rPr>
        <w:t>ColombiaCompraEficiente</w:t>
      </w:r>
      <w:proofErr w:type="spellEnd"/>
    </w:p>
    <w:p w14:paraId="24CABA8D" w14:textId="77777777" w:rsidR="00F37333" w:rsidRPr="00FF349D" w:rsidRDefault="00F37333" w:rsidP="00F37333">
      <w:pPr>
        <w:spacing w:after="0" w:line="240" w:lineRule="auto"/>
        <w:jc w:val="both"/>
        <w:rPr>
          <w:rFonts w:ascii="Verdana" w:hAnsi="Verdana"/>
          <w:lang w:val="es-ES_tradnl"/>
        </w:rPr>
      </w:pPr>
      <w:r w:rsidRPr="00FF349D">
        <w:rPr>
          <w:rFonts w:ascii="Verdana" w:hAnsi="Verdana"/>
          <w:lang w:val="es-ES_tradnl"/>
        </w:rPr>
        <w:t xml:space="preserve">LinkedIn: </w:t>
      </w:r>
      <w:r w:rsidRPr="00FF349D">
        <w:rPr>
          <w:rFonts w:ascii="Verdana" w:hAnsi="Verdana"/>
          <w:color w:val="4472C4" w:themeColor="accent1"/>
          <w:u w:val="single"/>
          <w:lang w:val="es-ES_tradnl"/>
        </w:rPr>
        <w:t>Agencia Nacional de Contratación Pública - Colombia Compra Eficiente</w:t>
      </w:r>
      <w:r w:rsidRPr="00FF349D">
        <w:rPr>
          <w:rFonts w:ascii="Verdana" w:hAnsi="Verdana"/>
          <w:color w:val="4472C4" w:themeColor="accent1"/>
          <w:lang w:val="es-ES_tradnl"/>
        </w:rPr>
        <w:t xml:space="preserve"> </w:t>
      </w:r>
      <w:r w:rsidRPr="00FF349D">
        <w:rPr>
          <w:rFonts w:ascii="Verdana" w:hAnsi="Verdana"/>
          <w:lang w:val="es-ES_tradnl"/>
        </w:rPr>
        <w:t xml:space="preserve">Instagram: </w:t>
      </w:r>
      <w:r w:rsidRPr="00FF349D">
        <w:rPr>
          <w:rFonts w:ascii="Verdana" w:hAnsi="Verdana"/>
          <w:color w:val="4472C4" w:themeColor="accent1"/>
          <w:u w:val="single"/>
          <w:lang w:val="es-ES_tradnl"/>
        </w:rPr>
        <w:t>@colombiacompraeficiente_cce</w:t>
      </w:r>
    </w:p>
    <w:p w14:paraId="10637DC8" w14:textId="77777777" w:rsidR="00F37333" w:rsidRDefault="00F37333" w:rsidP="00F37333">
      <w:pPr>
        <w:widowControl w:val="0"/>
        <w:autoSpaceDE w:val="0"/>
        <w:autoSpaceDN w:val="0"/>
        <w:spacing w:after="0" w:line="276" w:lineRule="auto"/>
        <w:jc w:val="both"/>
        <w:rPr>
          <w:rFonts w:ascii="Verdana" w:hAnsi="Verdana" w:cs="Arial"/>
          <w:lang w:val="es-ES_tradnl"/>
        </w:rPr>
      </w:pPr>
    </w:p>
    <w:p w14:paraId="53DD0ADE" w14:textId="77777777" w:rsidR="00F37333" w:rsidRDefault="00F37333" w:rsidP="00F37333">
      <w:pPr>
        <w:widowControl w:val="0"/>
        <w:autoSpaceDE w:val="0"/>
        <w:autoSpaceDN w:val="0"/>
        <w:spacing w:after="0" w:line="276" w:lineRule="auto"/>
        <w:jc w:val="both"/>
        <w:rPr>
          <w:rFonts w:ascii="Verdana" w:hAnsi="Verdana" w:cs="Arial"/>
          <w:lang w:val="es-ES_tradnl"/>
        </w:rPr>
      </w:pPr>
    </w:p>
    <w:p w14:paraId="1251B286" w14:textId="77777777" w:rsidR="00F37333" w:rsidRPr="00FF349D" w:rsidRDefault="00F37333" w:rsidP="00F37333">
      <w:pPr>
        <w:widowControl w:val="0"/>
        <w:autoSpaceDE w:val="0"/>
        <w:autoSpaceDN w:val="0"/>
        <w:spacing w:after="0" w:line="276" w:lineRule="auto"/>
        <w:jc w:val="both"/>
        <w:rPr>
          <w:rFonts w:ascii="Verdana" w:hAnsi="Verdana" w:cs="Arial"/>
          <w:lang w:val="es-ES_tradnl"/>
        </w:rPr>
      </w:pPr>
    </w:p>
    <w:p w14:paraId="61F6BCBD" w14:textId="77777777" w:rsidR="00F37333" w:rsidRDefault="00F37333" w:rsidP="00F37333">
      <w:pPr>
        <w:widowControl w:val="0"/>
        <w:autoSpaceDE w:val="0"/>
        <w:autoSpaceDN w:val="0"/>
        <w:spacing w:after="0" w:line="276" w:lineRule="auto"/>
        <w:jc w:val="both"/>
        <w:rPr>
          <w:rFonts w:ascii="Verdana" w:hAnsi="Verdana" w:cs="Arial"/>
          <w:lang w:val="es-ES_tradnl"/>
        </w:rPr>
      </w:pPr>
    </w:p>
    <w:p w14:paraId="40D7B908" w14:textId="77777777" w:rsidR="000C31E8" w:rsidRPr="00C42AF5" w:rsidRDefault="000C31E8" w:rsidP="00F37333">
      <w:pPr>
        <w:widowControl w:val="0"/>
        <w:autoSpaceDE w:val="0"/>
        <w:autoSpaceDN w:val="0"/>
        <w:spacing w:after="0" w:line="276" w:lineRule="auto"/>
        <w:jc w:val="both"/>
        <w:rPr>
          <w:rFonts w:ascii="Verdana" w:hAnsi="Verdana" w:cs="Arial"/>
          <w:lang w:val="es-ES_tradnl"/>
        </w:rPr>
      </w:pPr>
    </w:p>
    <w:p w14:paraId="51B3938C" w14:textId="77777777" w:rsidR="00F37333" w:rsidRPr="00593A5F" w:rsidRDefault="00F37333" w:rsidP="00F37333">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w:t>
      </w:r>
      <w:r w:rsidRPr="00593A5F">
        <w:rPr>
          <w:rFonts w:ascii="Verdana" w:hAnsi="Verdana" w:cs="Arial"/>
        </w:rPr>
        <w:lastRenderedPageBreak/>
        <w:t xml:space="preserve">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130497C" w14:textId="77777777" w:rsidR="00F37333" w:rsidRPr="00593A5F" w:rsidRDefault="00F37333" w:rsidP="00F37333">
      <w:pPr>
        <w:widowControl w:val="0"/>
        <w:autoSpaceDE w:val="0"/>
        <w:autoSpaceDN w:val="0"/>
        <w:spacing w:after="0" w:line="276" w:lineRule="auto"/>
        <w:jc w:val="both"/>
        <w:rPr>
          <w:rFonts w:ascii="Verdana" w:hAnsi="Verdana" w:cs="Arial"/>
        </w:rPr>
      </w:pPr>
    </w:p>
    <w:p w14:paraId="647FFBE7" w14:textId="77777777" w:rsidR="00F37333" w:rsidRPr="00593A5F" w:rsidRDefault="00F37333" w:rsidP="00F37333">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CEFAF73" w14:textId="2271A5D4" w:rsidR="00F37333" w:rsidRPr="00593A5F" w:rsidRDefault="00793B0E" w:rsidP="00F37333">
      <w:pPr>
        <w:spacing w:line="276" w:lineRule="auto"/>
        <w:jc w:val="center"/>
        <w:rPr>
          <w:rFonts w:ascii="Verdana" w:hAnsi="Verdana" w:cs="Arial"/>
          <w:color w:val="000000"/>
          <w:lang w:val="es-ES_tradnl" w:eastAsia="es-CO"/>
        </w:rPr>
      </w:pPr>
      <w:r>
        <w:rPr>
          <w:noProof/>
        </w:rPr>
        <w:drawing>
          <wp:inline distT="0" distB="0" distL="0" distR="0" wp14:anchorId="7CF36C56" wp14:editId="21901388">
            <wp:extent cx="3463047" cy="1285525"/>
            <wp:effectExtent l="0" t="0" r="4445" b="0"/>
            <wp:docPr id="107950162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501621" name="Imagen 1" descr="Texto&#10;&#10;Descripción generada automáticamente"/>
                    <pic:cNvPicPr/>
                  </pic:nvPicPr>
                  <pic:blipFill>
                    <a:blip r:embed="rId21"/>
                    <a:stretch>
                      <a:fillRect/>
                    </a:stretch>
                  </pic:blipFill>
                  <pic:spPr>
                    <a:xfrm>
                      <a:off x="0" y="0"/>
                      <a:ext cx="3477010" cy="1290708"/>
                    </a:xfrm>
                    <a:prstGeom prst="rect">
                      <a:avLst/>
                    </a:prstGeom>
                  </pic:spPr>
                </pic:pic>
              </a:graphicData>
            </a:graphic>
          </wp:inline>
        </w:drawing>
      </w:r>
    </w:p>
    <w:p w14:paraId="322AA326" w14:textId="77777777" w:rsidR="00F37333" w:rsidRPr="00F37333" w:rsidRDefault="00F37333" w:rsidP="00F37333">
      <w:pPr>
        <w:rPr>
          <w:rFonts w:ascii="Verdana" w:hAnsi="Verdana"/>
        </w:rPr>
      </w:pPr>
    </w:p>
    <w:tbl>
      <w:tblPr>
        <w:tblW w:w="52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0"/>
        <w:gridCol w:w="4410"/>
      </w:tblGrid>
      <w:tr w:rsidR="00F37333" w:rsidRPr="00F37333" w14:paraId="0DE21FC2" w14:textId="77777777" w:rsidTr="00D9693C">
        <w:trPr>
          <w:trHeight w:val="106"/>
        </w:trPr>
        <w:tc>
          <w:tcPr>
            <w:tcW w:w="810" w:type="dxa"/>
            <w:tcBorders>
              <w:top w:val="nil"/>
              <w:left w:val="nil"/>
              <w:bottom w:val="nil"/>
              <w:right w:val="nil"/>
            </w:tcBorders>
            <w:shd w:val="clear" w:color="auto" w:fill="auto"/>
            <w:vAlign w:val="center"/>
            <w:hideMark/>
          </w:tcPr>
          <w:p w14:paraId="28C1B083" w14:textId="77777777" w:rsidR="00F37333" w:rsidRPr="00F37333" w:rsidRDefault="00F37333" w:rsidP="00D9693C">
            <w:pPr>
              <w:spacing w:after="0" w:line="240" w:lineRule="auto"/>
              <w:textAlignment w:val="baseline"/>
              <w:rPr>
                <w:rFonts w:ascii="Verdana" w:eastAsia="Times New Roman" w:hAnsi="Verdana" w:cs="Times New Roman"/>
                <w:sz w:val="24"/>
                <w:szCs w:val="24"/>
                <w:lang w:eastAsia="es-CO"/>
              </w:rPr>
            </w:pPr>
            <w:r w:rsidRPr="00F37333">
              <w:rPr>
                <w:rFonts w:ascii="Verdana" w:eastAsia="Times New Roman" w:hAnsi="Verdana" w:cs="Arial"/>
                <w:sz w:val="16"/>
                <w:szCs w:val="16"/>
                <w:lang w:val="es-MX" w:eastAsia="es-CO"/>
              </w:rPr>
              <w:t>Elaboró:</w:t>
            </w:r>
            <w:r w:rsidRPr="00F37333">
              <w:rPr>
                <w:rFonts w:ascii="Verdana" w:eastAsia="Times New Roman" w:hAnsi="Verdana" w:cs="Arial"/>
                <w:sz w:val="16"/>
                <w:szCs w:val="16"/>
                <w:lang w:eastAsia="es-CO"/>
              </w:rPr>
              <w:t> </w:t>
            </w:r>
          </w:p>
        </w:tc>
        <w:tc>
          <w:tcPr>
            <w:tcW w:w="4410" w:type="dxa"/>
            <w:tcBorders>
              <w:top w:val="nil"/>
              <w:left w:val="nil"/>
              <w:bottom w:val="dotted" w:sz="6" w:space="0" w:color="7F7F7F"/>
              <w:right w:val="nil"/>
            </w:tcBorders>
            <w:shd w:val="clear" w:color="auto" w:fill="auto"/>
            <w:vAlign w:val="center"/>
            <w:hideMark/>
          </w:tcPr>
          <w:p w14:paraId="299D64E9" w14:textId="77777777" w:rsidR="00F37333" w:rsidRPr="00F37333" w:rsidRDefault="00F37333" w:rsidP="00D9693C">
            <w:pPr>
              <w:spacing w:after="0" w:line="240" w:lineRule="auto"/>
              <w:textAlignment w:val="baseline"/>
              <w:rPr>
                <w:rFonts w:ascii="Verdana" w:eastAsia="Times New Roman" w:hAnsi="Verdana" w:cs="Arial"/>
                <w:sz w:val="16"/>
                <w:szCs w:val="16"/>
                <w:lang w:eastAsia="es-CO"/>
              </w:rPr>
            </w:pPr>
            <w:r w:rsidRPr="00F37333">
              <w:rPr>
                <w:rFonts w:ascii="Verdana" w:eastAsia="Times New Roman" w:hAnsi="Verdana" w:cs="Arial"/>
                <w:sz w:val="16"/>
                <w:szCs w:val="16"/>
                <w:lang w:eastAsia="es-CO"/>
              </w:rPr>
              <w:t xml:space="preserve">Oscar David </w:t>
            </w:r>
            <w:proofErr w:type="spellStart"/>
            <w:r w:rsidRPr="00F37333">
              <w:rPr>
                <w:rFonts w:ascii="Verdana" w:eastAsia="Times New Roman" w:hAnsi="Verdana" w:cs="Arial"/>
                <w:sz w:val="16"/>
                <w:szCs w:val="16"/>
                <w:lang w:eastAsia="es-CO"/>
              </w:rPr>
              <w:t>Morelo</w:t>
            </w:r>
            <w:proofErr w:type="spellEnd"/>
            <w:r w:rsidRPr="00F37333">
              <w:rPr>
                <w:rFonts w:ascii="Verdana" w:eastAsia="Times New Roman" w:hAnsi="Verdana" w:cs="Arial"/>
                <w:sz w:val="16"/>
                <w:szCs w:val="16"/>
                <w:lang w:eastAsia="es-CO"/>
              </w:rPr>
              <w:t xml:space="preserve"> Pedrozo</w:t>
            </w:r>
          </w:p>
          <w:p w14:paraId="163517E3" w14:textId="77777777" w:rsidR="00F37333" w:rsidRPr="00F37333" w:rsidRDefault="00F37333" w:rsidP="00D9693C">
            <w:pPr>
              <w:spacing w:after="0" w:line="240" w:lineRule="auto"/>
              <w:textAlignment w:val="baseline"/>
              <w:rPr>
                <w:rFonts w:ascii="Verdana" w:eastAsia="Times New Roman" w:hAnsi="Verdana" w:cs="Arial"/>
                <w:sz w:val="16"/>
                <w:szCs w:val="16"/>
                <w:lang w:val="es-MX" w:eastAsia="es-CO"/>
              </w:rPr>
            </w:pPr>
            <w:r w:rsidRPr="00F37333">
              <w:rPr>
                <w:rFonts w:ascii="Verdana" w:eastAsia="Times New Roman" w:hAnsi="Verdana" w:cs="Arial"/>
                <w:sz w:val="16"/>
                <w:szCs w:val="16"/>
                <w:lang w:val="es-MX" w:eastAsia="es-CO"/>
              </w:rPr>
              <w:t xml:space="preserve">Analista T2 –02 de la </w:t>
            </w:r>
            <w:r w:rsidRPr="00F37333">
              <w:rPr>
                <w:rFonts w:ascii="Verdana" w:eastAsia="Times New Roman" w:hAnsi="Verdana" w:cs="Arial"/>
                <w:sz w:val="16"/>
                <w:szCs w:val="16"/>
                <w:lang w:eastAsia="es-CO"/>
              </w:rPr>
              <w:t>Subdirección de Gestión Contractual</w:t>
            </w:r>
          </w:p>
        </w:tc>
      </w:tr>
      <w:tr w:rsidR="00F37333" w:rsidRPr="00F37333" w14:paraId="4794988D" w14:textId="77777777" w:rsidTr="00D9693C">
        <w:trPr>
          <w:trHeight w:val="315"/>
        </w:trPr>
        <w:tc>
          <w:tcPr>
            <w:tcW w:w="810" w:type="dxa"/>
            <w:tcBorders>
              <w:top w:val="nil"/>
              <w:left w:val="nil"/>
              <w:bottom w:val="nil"/>
              <w:right w:val="nil"/>
            </w:tcBorders>
            <w:shd w:val="clear" w:color="auto" w:fill="auto"/>
            <w:vAlign w:val="center"/>
            <w:hideMark/>
          </w:tcPr>
          <w:p w14:paraId="36E9031C" w14:textId="77777777" w:rsidR="00F37333" w:rsidRPr="00F37333" w:rsidRDefault="00F37333" w:rsidP="00D9693C">
            <w:pPr>
              <w:spacing w:after="0" w:line="240" w:lineRule="auto"/>
              <w:textAlignment w:val="baseline"/>
              <w:rPr>
                <w:rFonts w:ascii="Verdana" w:eastAsia="Times New Roman" w:hAnsi="Verdana" w:cs="Times New Roman"/>
                <w:sz w:val="24"/>
                <w:szCs w:val="24"/>
                <w:lang w:eastAsia="es-CO"/>
              </w:rPr>
            </w:pPr>
            <w:r w:rsidRPr="00F37333">
              <w:rPr>
                <w:rFonts w:ascii="Verdana" w:eastAsia="Times New Roman" w:hAnsi="Verdana" w:cs="Arial"/>
                <w:sz w:val="16"/>
                <w:szCs w:val="16"/>
                <w:lang w:val="es-MX" w:eastAsia="es-CO"/>
              </w:rPr>
              <w:t>Revisó:</w:t>
            </w:r>
            <w:r w:rsidRPr="00F37333">
              <w:rPr>
                <w:rFonts w:ascii="Verdana" w:eastAsia="Times New Roman" w:hAnsi="Verdana" w:cs="Arial"/>
                <w:sz w:val="16"/>
                <w:szCs w:val="16"/>
                <w:lang w:eastAsia="es-CO"/>
              </w:rPr>
              <w:t> </w:t>
            </w:r>
          </w:p>
        </w:tc>
        <w:tc>
          <w:tcPr>
            <w:tcW w:w="4410" w:type="dxa"/>
            <w:tcBorders>
              <w:top w:val="dotted" w:sz="6" w:space="0" w:color="7F7F7F"/>
              <w:left w:val="nil"/>
              <w:bottom w:val="dotted" w:sz="6" w:space="0" w:color="7F7F7F"/>
              <w:right w:val="nil"/>
            </w:tcBorders>
            <w:shd w:val="clear" w:color="auto" w:fill="auto"/>
            <w:vAlign w:val="center"/>
            <w:hideMark/>
          </w:tcPr>
          <w:p w14:paraId="24291467" w14:textId="77777777" w:rsidR="00F37333" w:rsidRPr="00F37333" w:rsidRDefault="00F37333" w:rsidP="00D9693C">
            <w:pPr>
              <w:pStyle w:val="Sinespaciado"/>
              <w:rPr>
                <w:rFonts w:ascii="Verdana" w:hAnsi="Verdana"/>
                <w:sz w:val="16"/>
                <w:szCs w:val="16"/>
                <w:lang w:val="es-MX" w:eastAsia="es-CO"/>
              </w:rPr>
            </w:pPr>
            <w:r w:rsidRPr="00F37333">
              <w:rPr>
                <w:rFonts w:ascii="Verdana" w:hAnsi="Verdana"/>
                <w:sz w:val="16"/>
                <w:szCs w:val="16"/>
                <w:lang w:val="es-MX" w:eastAsia="es-CO"/>
              </w:rPr>
              <w:t>Ximena Ríos López</w:t>
            </w:r>
          </w:p>
          <w:p w14:paraId="570074FB" w14:textId="77777777" w:rsidR="00F37333" w:rsidRPr="00F37333" w:rsidRDefault="00F37333" w:rsidP="00D9693C">
            <w:pPr>
              <w:spacing w:after="0" w:line="240" w:lineRule="auto"/>
              <w:textAlignment w:val="baseline"/>
              <w:rPr>
                <w:rFonts w:ascii="Verdana" w:eastAsia="Times New Roman" w:hAnsi="Verdana" w:cs="Arial"/>
                <w:sz w:val="16"/>
                <w:szCs w:val="16"/>
                <w:lang w:val="es-MX" w:eastAsia="es-CO"/>
              </w:rPr>
            </w:pPr>
            <w:r w:rsidRPr="00F37333">
              <w:rPr>
                <w:rFonts w:ascii="Verdana" w:hAnsi="Verdana"/>
                <w:sz w:val="16"/>
                <w:szCs w:val="16"/>
                <w:lang w:val="es-MX" w:eastAsia="es-CO"/>
              </w:rPr>
              <w:t xml:space="preserve">Gestor T1 </w:t>
            </w:r>
            <w:r w:rsidRPr="00F37333">
              <w:rPr>
                <w:rFonts w:ascii="Verdana" w:hAnsi="Verdana" w:cs="Arial"/>
                <w:sz w:val="16"/>
                <w:szCs w:val="16"/>
                <w:lang w:val="es-MX" w:eastAsia="es-CO"/>
              </w:rPr>
              <w:t>‒</w:t>
            </w:r>
            <w:r w:rsidRPr="00F37333">
              <w:rPr>
                <w:rFonts w:ascii="Verdana" w:hAnsi="Verdana"/>
                <w:sz w:val="16"/>
                <w:szCs w:val="16"/>
                <w:lang w:val="es-MX" w:eastAsia="es-CO"/>
              </w:rPr>
              <w:t xml:space="preserve"> 11 de la Subdirecci</w:t>
            </w:r>
            <w:r w:rsidRPr="00F37333">
              <w:rPr>
                <w:rFonts w:ascii="Verdana" w:hAnsi="Verdana" w:cs="Century Gothic"/>
                <w:sz w:val="16"/>
                <w:szCs w:val="16"/>
                <w:lang w:val="es-MX" w:eastAsia="es-CO"/>
              </w:rPr>
              <w:t>ó</w:t>
            </w:r>
            <w:r w:rsidRPr="00F37333">
              <w:rPr>
                <w:rFonts w:ascii="Verdana" w:hAnsi="Verdana"/>
                <w:sz w:val="16"/>
                <w:szCs w:val="16"/>
                <w:lang w:val="es-MX" w:eastAsia="es-CO"/>
              </w:rPr>
              <w:t>n de Gesti</w:t>
            </w:r>
            <w:r w:rsidRPr="00F37333">
              <w:rPr>
                <w:rFonts w:ascii="Verdana" w:hAnsi="Verdana" w:cs="Century Gothic"/>
                <w:sz w:val="16"/>
                <w:szCs w:val="16"/>
                <w:lang w:val="es-MX" w:eastAsia="es-CO"/>
              </w:rPr>
              <w:t>ó</w:t>
            </w:r>
            <w:r w:rsidRPr="00F37333">
              <w:rPr>
                <w:rFonts w:ascii="Verdana" w:hAnsi="Verdana"/>
                <w:sz w:val="16"/>
                <w:szCs w:val="16"/>
                <w:lang w:val="es-MX" w:eastAsia="es-CO"/>
              </w:rPr>
              <w:t>n Contractual</w:t>
            </w:r>
          </w:p>
        </w:tc>
      </w:tr>
      <w:tr w:rsidR="00F37333" w:rsidRPr="00F37333" w14:paraId="740A856B" w14:textId="77777777" w:rsidTr="00D9693C">
        <w:trPr>
          <w:trHeight w:val="45"/>
        </w:trPr>
        <w:tc>
          <w:tcPr>
            <w:tcW w:w="810" w:type="dxa"/>
            <w:tcBorders>
              <w:top w:val="nil"/>
              <w:left w:val="nil"/>
              <w:bottom w:val="nil"/>
              <w:right w:val="nil"/>
            </w:tcBorders>
            <w:shd w:val="clear" w:color="auto" w:fill="auto"/>
            <w:vAlign w:val="center"/>
            <w:hideMark/>
          </w:tcPr>
          <w:p w14:paraId="2AAD2B1F" w14:textId="77777777" w:rsidR="00F37333" w:rsidRPr="00F37333" w:rsidRDefault="00F37333" w:rsidP="00D9693C">
            <w:pPr>
              <w:spacing w:after="0" w:line="240" w:lineRule="auto"/>
              <w:textAlignment w:val="baseline"/>
              <w:rPr>
                <w:rFonts w:ascii="Verdana" w:eastAsia="Times New Roman" w:hAnsi="Verdana" w:cs="Times New Roman"/>
                <w:sz w:val="24"/>
                <w:szCs w:val="24"/>
                <w:lang w:eastAsia="es-CO"/>
              </w:rPr>
            </w:pPr>
            <w:r w:rsidRPr="00F37333">
              <w:rPr>
                <w:rFonts w:ascii="Verdana" w:eastAsia="Times New Roman" w:hAnsi="Verdana" w:cs="Arial"/>
                <w:sz w:val="16"/>
                <w:szCs w:val="16"/>
                <w:lang w:val="es-MX" w:eastAsia="es-CO"/>
              </w:rPr>
              <w:t>Aprobó:</w:t>
            </w:r>
            <w:r w:rsidRPr="00F37333">
              <w:rPr>
                <w:rFonts w:ascii="Verdana" w:eastAsia="Times New Roman" w:hAnsi="Verdana" w:cs="Arial"/>
                <w:sz w:val="16"/>
                <w:szCs w:val="16"/>
                <w:lang w:eastAsia="es-CO"/>
              </w:rPr>
              <w:t> </w:t>
            </w:r>
          </w:p>
        </w:tc>
        <w:tc>
          <w:tcPr>
            <w:tcW w:w="4410" w:type="dxa"/>
            <w:tcBorders>
              <w:top w:val="dotted" w:sz="6" w:space="0" w:color="7F7F7F"/>
              <w:left w:val="nil"/>
              <w:bottom w:val="dotted" w:sz="6" w:space="0" w:color="7F7F7F"/>
              <w:right w:val="nil"/>
            </w:tcBorders>
            <w:shd w:val="clear" w:color="auto" w:fill="auto"/>
            <w:vAlign w:val="center"/>
            <w:hideMark/>
          </w:tcPr>
          <w:p w14:paraId="505C0C31" w14:textId="77777777" w:rsidR="00F37333" w:rsidRPr="00F37333" w:rsidRDefault="00F37333" w:rsidP="00D9693C">
            <w:pPr>
              <w:spacing w:after="0" w:line="240" w:lineRule="auto"/>
              <w:textAlignment w:val="baseline"/>
              <w:rPr>
                <w:rFonts w:ascii="Verdana" w:eastAsia="Times New Roman" w:hAnsi="Verdana" w:cs="Arial"/>
                <w:sz w:val="16"/>
                <w:szCs w:val="16"/>
                <w:lang w:val="es-MX" w:eastAsia="es-CO"/>
              </w:rPr>
            </w:pPr>
            <w:r w:rsidRPr="00F37333">
              <w:rPr>
                <w:rFonts w:ascii="Verdana" w:eastAsia="Times New Roman" w:hAnsi="Verdana" w:cs="Arial"/>
                <w:sz w:val="16"/>
                <w:szCs w:val="16"/>
                <w:lang w:val="es-MX" w:eastAsia="es-CO"/>
              </w:rPr>
              <w:t xml:space="preserve">Carolina Quintero </w:t>
            </w:r>
            <w:proofErr w:type="spellStart"/>
            <w:r w:rsidRPr="00F37333">
              <w:rPr>
                <w:rFonts w:ascii="Verdana" w:eastAsia="Times New Roman" w:hAnsi="Verdana" w:cs="Arial"/>
                <w:sz w:val="16"/>
                <w:szCs w:val="16"/>
                <w:lang w:val="es-MX" w:eastAsia="es-CO"/>
              </w:rPr>
              <w:t>Gacharná</w:t>
            </w:r>
            <w:proofErr w:type="spellEnd"/>
          </w:p>
          <w:p w14:paraId="764C9C06" w14:textId="77777777" w:rsidR="00F37333" w:rsidRPr="00F37333" w:rsidRDefault="00F37333" w:rsidP="00D9693C">
            <w:pPr>
              <w:spacing w:after="0" w:line="240" w:lineRule="auto"/>
              <w:textAlignment w:val="baseline"/>
              <w:rPr>
                <w:rFonts w:ascii="Verdana" w:eastAsia="Times New Roman" w:hAnsi="Verdana" w:cs="Times New Roman"/>
                <w:sz w:val="24"/>
                <w:szCs w:val="24"/>
                <w:lang w:eastAsia="es-CO"/>
              </w:rPr>
            </w:pPr>
            <w:r w:rsidRPr="00F37333">
              <w:rPr>
                <w:rFonts w:ascii="Verdana" w:eastAsia="Times New Roman" w:hAnsi="Verdana" w:cs="Arial"/>
                <w:sz w:val="16"/>
                <w:szCs w:val="16"/>
                <w:lang w:val="es-MX" w:eastAsia="es-CO"/>
              </w:rPr>
              <w:t>Subdirectora de Gestión Contractual</w:t>
            </w:r>
          </w:p>
        </w:tc>
      </w:tr>
    </w:tbl>
    <w:p w14:paraId="52AD41CC" w14:textId="77777777" w:rsidR="00F37333" w:rsidRPr="00F37333" w:rsidRDefault="00F37333" w:rsidP="00F37333">
      <w:pPr>
        <w:rPr>
          <w:rFonts w:ascii="Verdana" w:hAnsi="Verdana"/>
        </w:rPr>
      </w:pPr>
    </w:p>
    <w:p w14:paraId="3900974D" w14:textId="77777777" w:rsidR="003D5B0D" w:rsidRPr="00F37333" w:rsidRDefault="003D5B0D" w:rsidP="00F37333"/>
    <w:sectPr w:rsidR="003D5B0D" w:rsidRPr="00F37333"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0F6B74" w14:textId="77777777" w:rsidR="0030671A" w:rsidRDefault="0030671A" w:rsidP="004A1847">
      <w:pPr>
        <w:spacing w:after="0" w:line="240" w:lineRule="auto"/>
      </w:pPr>
      <w:r>
        <w:separator/>
      </w:r>
    </w:p>
  </w:endnote>
  <w:endnote w:type="continuationSeparator" w:id="0">
    <w:p w14:paraId="73552005" w14:textId="77777777" w:rsidR="0030671A" w:rsidRDefault="0030671A" w:rsidP="004A1847">
      <w:pPr>
        <w:spacing w:after="0" w:line="240" w:lineRule="auto"/>
      </w:pPr>
      <w:r>
        <w:continuationSeparator/>
      </w:r>
    </w:p>
  </w:endnote>
  <w:endnote w:type="continuationNotice" w:id="1">
    <w:p w14:paraId="3F4D59A3" w14:textId="77777777" w:rsidR="0030671A" w:rsidRDefault="0030671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A5274" w14:textId="77777777" w:rsidR="0030671A" w:rsidRDefault="0030671A" w:rsidP="004A1847">
      <w:pPr>
        <w:spacing w:after="0" w:line="240" w:lineRule="auto"/>
      </w:pPr>
      <w:r>
        <w:separator/>
      </w:r>
    </w:p>
  </w:footnote>
  <w:footnote w:type="continuationSeparator" w:id="0">
    <w:p w14:paraId="4D22142D" w14:textId="77777777" w:rsidR="0030671A" w:rsidRDefault="0030671A" w:rsidP="004A1847">
      <w:pPr>
        <w:spacing w:after="0" w:line="240" w:lineRule="auto"/>
      </w:pPr>
      <w:r>
        <w:continuationSeparator/>
      </w:r>
    </w:p>
  </w:footnote>
  <w:footnote w:type="continuationNotice" w:id="1">
    <w:p w14:paraId="7E702D4C" w14:textId="77777777" w:rsidR="0030671A" w:rsidRDefault="0030671A">
      <w:pPr>
        <w:spacing w:after="0" w:line="240" w:lineRule="auto"/>
      </w:pPr>
    </w:p>
  </w:footnote>
  <w:footnote w:id="2">
    <w:p w14:paraId="4548BE2A" w14:textId="77777777" w:rsidR="00F37333" w:rsidRPr="00F37333" w:rsidRDefault="00F37333" w:rsidP="00F37333">
      <w:pPr>
        <w:pStyle w:val="Textonotapie"/>
        <w:spacing w:line="276" w:lineRule="auto"/>
        <w:ind w:firstLine="708"/>
        <w:jc w:val="both"/>
        <w:rPr>
          <w:rFonts w:ascii="Verdana" w:hAnsi="Verdana" w:cstheme="minorHAnsi"/>
          <w:sz w:val="14"/>
          <w:szCs w:val="14"/>
        </w:rPr>
      </w:pPr>
      <w:r w:rsidRPr="00F37333">
        <w:rPr>
          <w:rStyle w:val="Refdenotaalpie"/>
          <w:rFonts w:ascii="Verdana" w:hAnsi="Verdana" w:cstheme="minorHAnsi"/>
          <w:sz w:val="14"/>
          <w:szCs w:val="14"/>
        </w:rPr>
        <w:footnoteRef/>
      </w:r>
      <w:r w:rsidRPr="00F37333">
        <w:rPr>
          <w:rFonts w:ascii="Verdana" w:hAnsi="Verdana" w:cstheme="minorHAnsi"/>
          <w:sz w:val="14"/>
          <w:szCs w:val="14"/>
        </w:rPr>
        <w:t xml:space="preserve"> Ley 1450 de 2011. “Artículo 43. Definiciones de tamaño empresarial. El artículo 2° de la Ley 590 de 2000, quedará así: </w:t>
      </w:r>
    </w:p>
    <w:p w14:paraId="12B439DC" w14:textId="77777777" w:rsidR="00F37333" w:rsidRPr="00F37333" w:rsidRDefault="00F37333" w:rsidP="00F37333">
      <w:pPr>
        <w:pStyle w:val="Textonotapie"/>
        <w:spacing w:line="276" w:lineRule="auto"/>
        <w:ind w:firstLine="708"/>
        <w:jc w:val="both"/>
        <w:rPr>
          <w:rFonts w:ascii="Verdana" w:hAnsi="Verdana" w:cstheme="minorHAnsi"/>
          <w:sz w:val="14"/>
          <w:szCs w:val="14"/>
        </w:rPr>
      </w:pPr>
      <w:r w:rsidRPr="00F37333">
        <w:rPr>
          <w:rFonts w:ascii="Verdana" w:hAnsi="Verdana" w:cstheme="minorHAnsi"/>
          <w:sz w:val="14"/>
          <w:szCs w:val="14"/>
        </w:rPr>
        <w:t xml:space="preserve">"Artículo 2°. Definiciones de tamaño empresarial. Para todos los efectos, se entiende por empresa, toda unidad de explotación económica, realizada por persona natural o jurídica, en actividades agropecuarias, industriales, comerciales o de servicios, en el área rural o urbana. Para la clasificación por tamaño empresarial, entiéndase micro, pequeña, mediana y gran empresa, se podrá utilizar uno o varios de los siguientes criterios: </w:t>
      </w:r>
    </w:p>
    <w:p w14:paraId="271C7647" w14:textId="77777777" w:rsidR="00F37333" w:rsidRPr="00F37333" w:rsidRDefault="00F37333" w:rsidP="00F37333">
      <w:pPr>
        <w:pStyle w:val="Textonotapie"/>
        <w:spacing w:line="276" w:lineRule="auto"/>
        <w:ind w:firstLine="708"/>
        <w:jc w:val="both"/>
        <w:rPr>
          <w:rFonts w:ascii="Verdana" w:hAnsi="Verdana" w:cstheme="minorHAnsi"/>
          <w:sz w:val="14"/>
          <w:szCs w:val="14"/>
        </w:rPr>
      </w:pPr>
      <w:r w:rsidRPr="00F37333">
        <w:rPr>
          <w:rFonts w:ascii="Verdana" w:hAnsi="Verdana" w:cstheme="minorHAnsi"/>
          <w:sz w:val="14"/>
          <w:szCs w:val="14"/>
        </w:rPr>
        <w:t xml:space="preserve">1. Número de trabajadores totales. </w:t>
      </w:r>
    </w:p>
    <w:p w14:paraId="09F254F8" w14:textId="77777777" w:rsidR="00F37333" w:rsidRPr="00F37333" w:rsidRDefault="00F37333" w:rsidP="00F37333">
      <w:pPr>
        <w:pStyle w:val="Textonotapie"/>
        <w:spacing w:line="276" w:lineRule="auto"/>
        <w:jc w:val="both"/>
        <w:rPr>
          <w:rFonts w:ascii="Verdana" w:hAnsi="Verdana" w:cstheme="minorHAnsi"/>
          <w:sz w:val="14"/>
          <w:szCs w:val="14"/>
        </w:rPr>
      </w:pPr>
      <w:r w:rsidRPr="00F37333">
        <w:rPr>
          <w:rFonts w:ascii="Verdana" w:hAnsi="Verdana" w:cstheme="minorHAnsi"/>
          <w:sz w:val="14"/>
          <w:szCs w:val="14"/>
        </w:rPr>
        <w:t xml:space="preserve"> </w:t>
      </w:r>
      <w:r w:rsidRPr="00F37333">
        <w:rPr>
          <w:rFonts w:ascii="Verdana" w:hAnsi="Verdana" w:cstheme="minorHAnsi"/>
          <w:sz w:val="14"/>
          <w:szCs w:val="14"/>
        </w:rPr>
        <w:tab/>
        <w:t xml:space="preserve">2. Valor de ventas brutas anuales. </w:t>
      </w:r>
    </w:p>
    <w:p w14:paraId="30B25309" w14:textId="77777777" w:rsidR="00F37333" w:rsidRPr="00F37333" w:rsidRDefault="00F37333" w:rsidP="00F37333">
      <w:pPr>
        <w:pStyle w:val="Textonotapie"/>
        <w:spacing w:line="276" w:lineRule="auto"/>
        <w:ind w:firstLine="708"/>
        <w:jc w:val="both"/>
        <w:rPr>
          <w:rFonts w:ascii="Verdana" w:hAnsi="Verdana" w:cstheme="minorHAnsi"/>
          <w:sz w:val="14"/>
          <w:szCs w:val="14"/>
        </w:rPr>
      </w:pPr>
      <w:r w:rsidRPr="00F37333">
        <w:rPr>
          <w:rFonts w:ascii="Verdana" w:hAnsi="Verdana" w:cstheme="minorHAnsi"/>
          <w:sz w:val="14"/>
          <w:szCs w:val="14"/>
        </w:rPr>
        <w:t xml:space="preserve"> 3. Valor activos totales. </w:t>
      </w:r>
    </w:p>
    <w:p w14:paraId="442848CD" w14:textId="77777777" w:rsidR="00F37333" w:rsidRPr="00F37333" w:rsidRDefault="00F37333" w:rsidP="00F37333">
      <w:pPr>
        <w:pStyle w:val="Textonotapie"/>
        <w:spacing w:line="276" w:lineRule="auto"/>
        <w:ind w:firstLine="708"/>
        <w:jc w:val="both"/>
        <w:rPr>
          <w:rFonts w:ascii="Verdana" w:hAnsi="Verdana" w:cstheme="minorHAnsi"/>
          <w:sz w:val="14"/>
          <w:szCs w:val="14"/>
        </w:rPr>
      </w:pPr>
      <w:r w:rsidRPr="00F37333">
        <w:rPr>
          <w:rFonts w:ascii="Verdana" w:hAnsi="Verdana" w:cstheme="minorHAnsi"/>
          <w:sz w:val="14"/>
          <w:szCs w:val="14"/>
        </w:rPr>
        <w:t xml:space="preserve">Para efectos de los beneficios otorgados por el Gobierno nacional a las micro, pequeñas y medianas empresas el criterio determinante será el valor de ventas brutas anuales. </w:t>
      </w:r>
    </w:p>
    <w:p w14:paraId="587DB3B8" w14:textId="77777777" w:rsidR="00F37333" w:rsidRPr="00F37333" w:rsidRDefault="00F37333" w:rsidP="00F37333">
      <w:pPr>
        <w:pStyle w:val="Textonotapie"/>
        <w:spacing w:line="276" w:lineRule="auto"/>
        <w:ind w:firstLine="708"/>
        <w:jc w:val="both"/>
        <w:rPr>
          <w:rFonts w:ascii="Verdana" w:hAnsi="Verdana" w:cstheme="minorHAnsi"/>
          <w:sz w:val="14"/>
          <w:szCs w:val="14"/>
        </w:rPr>
      </w:pPr>
      <w:r w:rsidRPr="00F37333">
        <w:rPr>
          <w:rFonts w:ascii="Verdana" w:hAnsi="Verdana" w:cstheme="minorHAnsi"/>
          <w:sz w:val="14"/>
          <w:szCs w:val="14"/>
        </w:rPr>
        <w:t xml:space="preserve">Parágrafo 1°. El Gobierno Nacional reglamentará los rangos que aplicarán para los tres criterios e incluirá especificidades sectoriales en los casos que considere necesario. </w:t>
      </w:r>
    </w:p>
    <w:p w14:paraId="69646C1D" w14:textId="77777777" w:rsidR="00F37333" w:rsidRPr="00F37333" w:rsidRDefault="00F37333" w:rsidP="00F37333">
      <w:pPr>
        <w:pStyle w:val="Textonotapie"/>
        <w:spacing w:line="276" w:lineRule="auto"/>
        <w:ind w:firstLine="708"/>
        <w:jc w:val="both"/>
        <w:rPr>
          <w:rFonts w:ascii="Verdana" w:hAnsi="Verdana" w:cstheme="minorHAnsi"/>
          <w:sz w:val="14"/>
          <w:szCs w:val="14"/>
        </w:rPr>
      </w:pPr>
      <w:r w:rsidRPr="00F37333">
        <w:rPr>
          <w:rFonts w:ascii="Verdana" w:hAnsi="Verdana" w:cstheme="minorHAnsi"/>
          <w:sz w:val="14"/>
          <w:szCs w:val="14"/>
        </w:rPr>
        <w:t>Parágrafo 2°. Las definiciones contenidas en el artículo 2° de la Ley 590 de 2000 continuarán vigentes hasta tanto entren a regir las normas reglamentarias que profiera el Gobierno Nacional en desarrollo de lo previsto en el presente artículo".</w:t>
      </w:r>
    </w:p>
  </w:footnote>
  <w:footnote w:id="3">
    <w:p w14:paraId="4C947F4F" w14:textId="77777777" w:rsidR="00F37333" w:rsidRPr="00F37333" w:rsidRDefault="00F37333" w:rsidP="00F37333">
      <w:pPr>
        <w:spacing w:line="276" w:lineRule="auto"/>
        <w:ind w:firstLine="708"/>
        <w:rPr>
          <w:rFonts w:ascii="Verdana" w:hAnsi="Verdana" w:cstheme="minorHAnsi"/>
          <w:sz w:val="14"/>
          <w:szCs w:val="14"/>
        </w:rPr>
      </w:pPr>
      <w:r w:rsidRPr="00F37333">
        <w:rPr>
          <w:rStyle w:val="Refdenotaalpie"/>
          <w:rFonts w:ascii="Verdana" w:hAnsi="Verdana" w:cstheme="minorHAnsi"/>
          <w:sz w:val="14"/>
          <w:szCs w:val="14"/>
        </w:rPr>
        <w:footnoteRef/>
      </w:r>
      <w:r w:rsidRPr="00F37333">
        <w:rPr>
          <w:rFonts w:ascii="Verdana" w:hAnsi="Verdana" w:cstheme="minorHAnsi"/>
          <w:sz w:val="14"/>
          <w:szCs w:val="14"/>
        </w:rPr>
        <w:t xml:space="preserve"> Artículo 2.2.1.13.2.2. del Decreto 1074 de 2015, adicionado por el Decreto 957 de 2019.</w:t>
      </w:r>
    </w:p>
  </w:footnote>
  <w:footnote w:id="4">
    <w:p w14:paraId="77E4CD51" w14:textId="77777777" w:rsidR="00F37333" w:rsidRPr="00F37333" w:rsidRDefault="00F37333" w:rsidP="00F37333">
      <w:pPr>
        <w:pStyle w:val="Textonotapie"/>
        <w:spacing w:line="276" w:lineRule="auto"/>
        <w:ind w:firstLine="708"/>
        <w:rPr>
          <w:rFonts w:ascii="Verdana" w:hAnsi="Verdana" w:cstheme="minorHAnsi"/>
          <w:sz w:val="14"/>
          <w:szCs w:val="14"/>
        </w:rPr>
      </w:pPr>
      <w:r w:rsidRPr="00F37333">
        <w:rPr>
          <w:rStyle w:val="Refdenotaalpie"/>
          <w:rFonts w:ascii="Verdana" w:hAnsi="Verdana" w:cstheme="minorHAnsi"/>
          <w:sz w:val="14"/>
          <w:szCs w:val="14"/>
        </w:rPr>
        <w:footnoteRef/>
      </w:r>
      <w:r w:rsidRPr="00F37333">
        <w:rPr>
          <w:rFonts w:ascii="Verdana" w:hAnsi="Verdana" w:cstheme="minorHAnsi"/>
          <w:sz w:val="14"/>
          <w:szCs w:val="14"/>
        </w:rPr>
        <w:t xml:space="preserve"> Cfr. Concepto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4A9EA43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564647189" o:spid="_x0000_i1025" type="#_x0000_t75" style="width:11.5pt;height:11.5pt;visibility:visible;mso-wrap-style:square">
            <v:imagedata r:id="rId1" o:title=""/>
          </v:shape>
        </w:pict>
      </mc:Choice>
      <mc:Fallback>
        <w:drawing>
          <wp:inline distT="0" distB="0" distL="0" distR="0" wp14:anchorId="136B96C5" wp14:editId="2183C3C8">
            <wp:extent cx="146050" cy="146050"/>
            <wp:effectExtent l="0" t="0" r="0" b="0"/>
            <wp:docPr id="564647189" name="Imagen 564647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4DD38FF"/>
    <w:multiLevelType w:val="hybridMultilevel"/>
    <w:tmpl w:val="836A103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14046477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38E3"/>
    <w:rsid w:val="00046945"/>
    <w:rsid w:val="00061B2A"/>
    <w:rsid w:val="00082362"/>
    <w:rsid w:val="000A683E"/>
    <w:rsid w:val="000B19B9"/>
    <w:rsid w:val="000B7772"/>
    <w:rsid w:val="000C31E8"/>
    <w:rsid w:val="000D0334"/>
    <w:rsid w:val="000F6486"/>
    <w:rsid w:val="00125105"/>
    <w:rsid w:val="001251BD"/>
    <w:rsid w:val="00127233"/>
    <w:rsid w:val="001511A0"/>
    <w:rsid w:val="00177CC3"/>
    <w:rsid w:val="001E4177"/>
    <w:rsid w:val="001F7DC6"/>
    <w:rsid w:val="00233974"/>
    <w:rsid w:val="002421BB"/>
    <w:rsid w:val="0025796E"/>
    <w:rsid w:val="002707A2"/>
    <w:rsid w:val="002951A0"/>
    <w:rsid w:val="002962BC"/>
    <w:rsid w:val="002A093D"/>
    <w:rsid w:val="002A0DD0"/>
    <w:rsid w:val="002A49AC"/>
    <w:rsid w:val="002A64FD"/>
    <w:rsid w:val="002C7A84"/>
    <w:rsid w:val="002E4FD9"/>
    <w:rsid w:val="0030671A"/>
    <w:rsid w:val="00322A85"/>
    <w:rsid w:val="00324168"/>
    <w:rsid w:val="0033248C"/>
    <w:rsid w:val="003448F4"/>
    <w:rsid w:val="00374F5E"/>
    <w:rsid w:val="00377E3E"/>
    <w:rsid w:val="003A779E"/>
    <w:rsid w:val="003D0F4D"/>
    <w:rsid w:val="003D5B0D"/>
    <w:rsid w:val="003E0499"/>
    <w:rsid w:val="003F3941"/>
    <w:rsid w:val="00404B62"/>
    <w:rsid w:val="00406575"/>
    <w:rsid w:val="00414C74"/>
    <w:rsid w:val="0042722E"/>
    <w:rsid w:val="0044528D"/>
    <w:rsid w:val="004A1847"/>
    <w:rsid w:val="004A305D"/>
    <w:rsid w:val="004B2898"/>
    <w:rsid w:val="004D29C8"/>
    <w:rsid w:val="004F21C4"/>
    <w:rsid w:val="004F685F"/>
    <w:rsid w:val="00505185"/>
    <w:rsid w:val="005566E8"/>
    <w:rsid w:val="00574867"/>
    <w:rsid w:val="00591460"/>
    <w:rsid w:val="005B3816"/>
    <w:rsid w:val="005C3777"/>
    <w:rsid w:val="005C5CDC"/>
    <w:rsid w:val="005D476C"/>
    <w:rsid w:val="0060342F"/>
    <w:rsid w:val="006219F8"/>
    <w:rsid w:val="00632B85"/>
    <w:rsid w:val="00665D70"/>
    <w:rsid w:val="00667723"/>
    <w:rsid w:val="006900D9"/>
    <w:rsid w:val="00706C16"/>
    <w:rsid w:val="007234C0"/>
    <w:rsid w:val="00756841"/>
    <w:rsid w:val="007649AB"/>
    <w:rsid w:val="00771D0C"/>
    <w:rsid w:val="007833AC"/>
    <w:rsid w:val="00793B0E"/>
    <w:rsid w:val="00795504"/>
    <w:rsid w:val="007A2440"/>
    <w:rsid w:val="007B268C"/>
    <w:rsid w:val="007B7171"/>
    <w:rsid w:val="007C0C0F"/>
    <w:rsid w:val="007C3DC2"/>
    <w:rsid w:val="007D292B"/>
    <w:rsid w:val="007D4476"/>
    <w:rsid w:val="007D60E9"/>
    <w:rsid w:val="007E5497"/>
    <w:rsid w:val="00806F5F"/>
    <w:rsid w:val="00820278"/>
    <w:rsid w:val="00867F95"/>
    <w:rsid w:val="008843B6"/>
    <w:rsid w:val="00891928"/>
    <w:rsid w:val="008A1598"/>
    <w:rsid w:val="008A446D"/>
    <w:rsid w:val="008D180B"/>
    <w:rsid w:val="008F0EA7"/>
    <w:rsid w:val="00923EEF"/>
    <w:rsid w:val="009419F9"/>
    <w:rsid w:val="0095685E"/>
    <w:rsid w:val="00961B09"/>
    <w:rsid w:val="00965334"/>
    <w:rsid w:val="0097093E"/>
    <w:rsid w:val="00986AC5"/>
    <w:rsid w:val="009A0DFA"/>
    <w:rsid w:val="009B2D26"/>
    <w:rsid w:val="009C71FA"/>
    <w:rsid w:val="009C72E7"/>
    <w:rsid w:val="009D3058"/>
    <w:rsid w:val="009F3A13"/>
    <w:rsid w:val="00A122D3"/>
    <w:rsid w:val="00A17F13"/>
    <w:rsid w:val="00A20739"/>
    <w:rsid w:val="00A33C78"/>
    <w:rsid w:val="00AB0ADB"/>
    <w:rsid w:val="00AD11C3"/>
    <w:rsid w:val="00B01B1A"/>
    <w:rsid w:val="00B131EA"/>
    <w:rsid w:val="00B660F2"/>
    <w:rsid w:val="00B66319"/>
    <w:rsid w:val="00B72CD3"/>
    <w:rsid w:val="00B72FFF"/>
    <w:rsid w:val="00BC3D36"/>
    <w:rsid w:val="00BD7D00"/>
    <w:rsid w:val="00BD7F72"/>
    <w:rsid w:val="00BE6562"/>
    <w:rsid w:val="00C04FB3"/>
    <w:rsid w:val="00C06C9C"/>
    <w:rsid w:val="00C330EB"/>
    <w:rsid w:val="00C41061"/>
    <w:rsid w:val="00C754BE"/>
    <w:rsid w:val="00C76B1C"/>
    <w:rsid w:val="00C83748"/>
    <w:rsid w:val="00CB6357"/>
    <w:rsid w:val="00CC1B26"/>
    <w:rsid w:val="00D04B9D"/>
    <w:rsid w:val="00D16FA8"/>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C7507"/>
    <w:rsid w:val="00ED7384"/>
    <w:rsid w:val="00EE1AA8"/>
    <w:rsid w:val="00F31EDC"/>
    <w:rsid w:val="00F37333"/>
    <w:rsid w:val="00F462B3"/>
    <w:rsid w:val="00F5664F"/>
    <w:rsid w:val="00F666C4"/>
    <w:rsid w:val="00F76AFC"/>
    <w:rsid w:val="00FA47C0"/>
    <w:rsid w:val="00FB5DD1"/>
    <w:rsid w:val="00FC2B5D"/>
    <w:rsid w:val="00FF1449"/>
    <w:rsid w:val="00FF5850"/>
    <w:rsid w:val="2EBE3AB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3733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37333"/>
    <w:rPr>
      <w:rFonts w:ascii="Geomanist Light" w:hAnsi="Geomanist Light"/>
      <w:lang w:val="es-ES"/>
    </w:rPr>
  </w:style>
  <w:style w:type="paragraph" w:styleId="Sinespaciado">
    <w:name w:val="No Spacing"/>
    <w:uiPriority w:val="1"/>
    <w:qFormat/>
    <w:rsid w:val="00F37333"/>
    <w:pPr>
      <w:spacing w:after="0" w:line="240" w:lineRule="auto"/>
    </w:pPr>
  </w:style>
  <w:style w:type="character" w:styleId="Refdecomentario">
    <w:name w:val="annotation reference"/>
    <w:basedOn w:val="Fuentedeprrafopredeter"/>
    <w:uiPriority w:val="99"/>
    <w:semiHidden/>
    <w:unhideWhenUsed/>
    <w:rsid w:val="00233974"/>
    <w:rPr>
      <w:sz w:val="16"/>
      <w:szCs w:val="16"/>
    </w:rPr>
  </w:style>
  <w:style w:type="paragraph" w:styleId="Textocomentario">
    <w:name w:val="annotation text"/>
    <w:basedOn w:val="Normal"/>
    <w:link w:val="TextocomentarioCar"/>
    <w:uiPriority w:val="99"/>
    <w:unhideWhenUsed/>
    <w:rsid w:val="00233974"/>
    <w:pPr>
      <w:spacing w:line="240" w:lineRule="auto"/>
    </w:pPr>
    <w:rPr>
      <w:sz w:val="20"/>
      <w:szCs w:val="20"/>
    </w:rPr>
  </w:style>
  <w:style w:type="character" w:customStyle="1" w:styleId="TextocomentarioCar">
    <w:name w:val="Texto comentario Car"/>
    <w:basedOn w:val="Fuentedeprrafopredeter"/>
    <w:link w:val="Textocomentario"/>
    <w:uiPriority w:val="99"/>
    <w:rsid w:val="00233974"/>
    <w:rPr>
      <w:sz w:val="20"/>
      <w:szCs w:val="20"/>
    </w:rPr>
  </w:style>
  <w:style w:type="paragraph" w:styleId="Asuntodelcomentario">
    <w:name w:val="annotation subject"/>
    <w:basedOn w:val="Textocomentario"/>
    <w:next w:val="Textocomentario"/>
    <w:link w:val="AsuntodelcomentarioCar"/>
    <w:uiPriority w:val="99"/>
    <w:semiHidden/>
    <w:unhideWhenUsed/>
    <w:rsid w:val="00233974"/>
    <w:rPr>
      <w:b/>
      <w:bCs/>
    </w:rPr>
  </w:style>
  <w:style w:type="character" w:customStyle="1" w:styleId="AsuntodelcomentarioCar">
    <w:name w:val="Asunto del comentario Car"/>
    <w:basedOn w:val="TextocomentarioCar"/>
    <w:link w:val="Asuntodelcomentario"/>
    <w:uiPriority w:val="99"/>
    <w:semiHidden/>
    <w:rsid w:val="0023397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normativa/ley-1450-de-2011/" TargetMode="External"/><Relationship Id="rId18" Type="http://schemas.openxmlformats.org/officeDocument/2006/relationships/hyperlink" Target="https://www.colombiacompra.gov.co/manuales-guias-y-pliegos-tipo/manuales-y-guias" TargetMode="Externa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webSettings" Target="webSettings.xml"/><Relationship Id="rId12" Type="http://schemas.openxmlformats.org/officeDocument/2006/relationships/hyperlink" Target="https://relatoria.colombiacompra.gov.co/normativa/ley-2069-de-2020/" TargetMode="External"/><Relationship Id="rId17" Type="http://schemas.openxmlformats.org/officeDocument/2006/relationships/hyperlink" Target="https://relatoria.colombiacompra.gov.co/providencias-consejo-de-estado/"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sites/cce_public/files/cce_tienda_virtual/propuesta_guia_vf_-mipymes.pdf" TargetMode="External"/><Relationship Id="rId20" Type="http://schemas.openxmlformats.org/officeDocument/2006/relationships/hyperlink" Target="https://www.colombiacompra.gov.co/sala-de-prensa/boletin-digital"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normativa/decreto-092-de-2017/"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www.colombiacompra.gov.co/sites/cce_public/files/cce_documents/cce_guia_esal.pdf" TargetMode="External"/><Relationship Id="rId23"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hyperlink" Target="https://relatoria.colombiacompra.gov.co/busqueda/concepto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normativa/ley-590-de-2000/"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531b13d-89bf-4629-be1e-22fdf3dd34d4">
      <Terms xmlns="http://schemas.microsoft.com/office/infopath/2007/PartnerControls"/>
    </lcf76f155ced4ddcb4097134ff3c332f>
    <TaxCatchAll xmlns="8ae15d26-076e-464e-81a7-6f76a0fb391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9C830F35543C1B419FA171669882D1EB" ma:contentTypeVersion="11" ma:contentTypeDescription="Crear nuevo documento." ma:contentTypeScope="" ma:versionID="86c6e4c3b74c32ca5ceba4e7038e490c">
  <xsd:schema xmlns:xsd="http://www.w3.org/2001/XMLSchema" xmlns:xs="http://www.w3.org/2001/XMLSchema" xmlns:p="http://schemas.microsoft.com/office/2006/metadata/properties" xmlns:ns2="b531b13d-89bf-4629-be1e-22fdf3dd34d4" xmlns:ns3="8ae15d26-076e-464e-81a7-6f76a0fb3917" targetNamespace="http://schemas.microsoft.com/office/2006/metadata/properties" ma:root="true" ma:fieldsID="aaed1ae076f3a65ef45080b3b018bda0" ns2:_="" ns3:_="">
    <xsd:import namespace="b531b13d-89bf-4629-be1e-22fdf3dd34d4"/>
    <xsd:import namespace="8ae15d26-076e-464e-81a7-6f76a0fb391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31b13d-89bf-4629-be1e-22fdf3dd34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ae15d26-076e-464e-81a7-6f76a0fb391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ad88d4a-7227-4e1d-b72c-ce765edc4aa4}" ma:internalName="TaxCatchAll" ma:showField="CatchAllData" ma:web="8ae15d26-076e-464e-81a7-6f76a0fb391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b531b13d-89bf-4629-be1e-22fdf3dd34d4"/>
    <ds:schemaRef ds:uri="8ae15d26-076e-464e-81a7-6f76a0fb3917"/>
  </ds:schemaRefs>
</ds:datastoreItem>
</file>

<file path=customXml/itemProps2.xml><?xml version="1.0" encoding="utf-8"?>
<ds:datastoreItem xmlns:ds="http://schemas.openxmlformats.org/officeDocument/2006/customXml" ds:itemID="{210F4FB4-155B-4A63-9107-1183560E73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31b13d-89bf-4629-be1e-22fdf3dd34d4"/>
    <ds:schemaRef ds:uri="8ae15d26-076e-464e-81a7-6f76a0fb39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2185</Words>
  <Characters>12018</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Oscar David Mórelo Pedroza</cp:lastModifiedBy>
  <cp:revision>3</cp:revision>
  <cp:lastPrinted>2023-01-10T21:18:00Z</cp:lastPrinted>
  <dcterms:created xsi:type="dcterms:W3CDTF">2025-02-19T15:27:00Z</dcterms:created>
  <dcterms:modified xsi:type="dcterms:W3CDTF">2025-02-19T19:56:00Z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0x0101009C830F35543C1B419FA171669882D1EB</vt:lpwstr>
  </property>
  <property fmtid="{D5CDD505-2E9C-101B-9397-08002B2CF9AE}" pid="3" name="MediaServiceImageTags">
    <vt:lpwstr/>
  </property>
</Properties>
</file>