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75B9AD" w14:textId="77777777" w:rsidR="00323B34" w:rsidRPr="00323B34" w:rsidRDefault="00323B34" w:rsidP="00323B34">
      <w:pPr>
        <w:spacing w:after="0"/>
        <w:jc w:val="both"/>
        <w:rPr>
          <w:rFonts w:ascii="Verdana" w:hAnsi="Verdana"/>
        </w:rPr>
      </w:pPr>
      <w:bookmarkStart w:id="0" w:name="_Hlk181166130"/>
      <w:bookmarkStart w:id="1" w:name="_Hlk143780582"/>
      <w:r w:rsidRPr="00323B34">
        <w:rPr>
          <w:rFonts w:ascii="Verdana" w:eastAsia="Aptos" w:hAnsi="Verdana" w:cs="Arial"/>
          <w:b/>
          <w:color w:val="000000"/>
          <w:kern w:val="2"/>
          <w:lang w:val="es-ES_tradnl"/>
          <w14:ligatures w14:val="standardContextual"/>
        </w:rPr>
        <w:t xml:space="preserve">CAUSALES DE RECHAZO – Principio de legalidad – Configuración </w:t>
      </w:r>
    </w:p>
    <w:p w14:paraId="2560F420" w14:textId="77777777" w:rsidR="00323B34" w:rsidRPr="00323B34" w:rsidRDefault="00323B34" w:rsidP="00323B34">
      <w:pPr>
        <w:spacing w:after="0" w:line="276" w:lineRule="auto"/>
        <w:jc w:val="both"/>
        <w:rPr>
          <w:rFonts w:ascii="Verdana" w:eastAsia="Aptos" w:hAnsi="Verdana" w:cs="Arial"/>
          <w:bCs/>
          <w:color w:val="000000"/>
          <w:kern w:val="2"/>
          <w:lang w:val="es-ES_tradnl"/>
          <w14:ligatures w14:val="standardContextual"/>
        </w:rPr>
      </w:pPr>
    </w:p>
    <w:p w14:paraId="6BAC105B" w14:textId="1F92BE4E" w:rsidR="00C06373" w:rsidRDefault="00323B34" w:rsidP="00323B34">
      <w:pPr>
        <w:spacing w:after="0" w:line="240" w:lineRule="auto"/>
        <w:jc w:val="both"/>
        <w:rPr>
          <w:rFonts w:ascii="Verdana" w:eastAsia="Aptos" w:hAnsi="Verdana" w:cs="Arial"/>
          <w:bCs/>
          <w:color w:val="000000"/>
          <w:kern w:val="2"/>
          <w:lang w:val="es-ES_tradnl"/>
          <w14:ligatures w14:val="standardContextual"/>
        </w:rPr>
      </w:pPr>
      <w:r w:rsidRPr="00323B34">
        <w:rPr>
          <w:rFonts w:ascii="Verdana" w:eastAsia="Aptos" w:hAnsi="Verdana" w:cs="Arial"/>
          <w:bCs/>
          <w:color w:val="000000"/>
          <w:kern w:val="2"/>
          <w:lang w:val="es-ES_tradnl"/>
          <w14:ligatures w14:val="standardContextual"/>
        </w:rPr>
        <w:t xml:space="preserve">Las causales de rechazo son las establecidas en la Ley y las fijadas por la Entidad Estatal en los pliegos de condiciones. Sin embargo, en ejercicio de dicha facultad, a las entidades no les es dable fijar causales de rechazo que soslayen o afecten la selección objetiva en la contratación. </w:t>
      </w:r>
    </w:p>
    <w:p w14:paraId="77677D81" w14:textId="77777777" w:rsidR="0089049B" w:rsidRDefault="0089049B" w:rsidP="00323B34">
      <w:pPr>
        <w:spacing w:after="0" w:line="240" w:lineRule="auto"/>
        <w:jc w:val="both"/>
        <w:rPr>
          <w:rFonts w:ascii="Verdana" w:eastAsia="Aptos" w:hAnsi="Verdana" w:cs="Arial"/>
          <w:bCs/>
          <w:color w:val="000000"/>
          <w:kern w:val="2"/>
          <w:lang w:val="es-ES_tradnl"/>
          <w14:ligatures w14:val="standardContextual"/>
        </w:rPr>
      </w:pPr>
    </w:p>
    <w:p w14:paraId="7918FDFD" w14:textId="598879F7" w:rsidR="00323B34" w:rsidRDefault="00323B34" w:rsidP="00323B34">
      <w:pPr>
        <w:spacing w:after="0" w:line="240" w:lineRule="auto"/>
        <w:jc w:val="both"/>
        <w:rPr>
          <w:rFonts w:ascii="Verdana" w:eastAsia="Aptos" w:hAnsi="Verdana" w:cs="Arial"/>
          <w:bCs/>
          <w:color w:val="000000"/>
          <w:kern w:val="2"/>
          <w:lang w:val="es-ES_tradnl"/>
          <w14:ligatures w14:val="standardContextual"/>
        </w:rPr>
      </w:pPr>
      <w:r w:rsidRPr="00323B34">
        <w:rPr>
          <w:rFonts w:ascii="Verdana" w:eastAsia="Aptos" w:hAnsi="Verdana" w:cs="Arial"/>
          <w:bCs/>
          <w:color w:val="000000"/>
          <w:kern w:val="2"/>
          <w:lang w:val="es-ES_tradnl"/>
          <w14:ligatures w14:val="standardContextual"/>
        </w:rPr>
        <w:t>De igual forma, esta Agencia ha reiterado la postura del Consejo de Estado, según la cual, por la naturaleza propia de las causales de rechazo, su aplicación es estricta y restrictiva, lo que significa que su interpretación gramatical prevalece sobre una interpretación extensiva o de otra índole, mediante la cual se pretenda ampliar su alcance. Al respecto, el Consejo de Estado</w:t>
      </w:r>
      <w:r w:rsidR="0089049B">
        <w:rPr>
          <w:rStyle w:val="Refdenotaalpie"/>
          <w:rFonts w:ascii="Verdana" w:eastAsia="Aptos" w:hAnsi="Verdana" w:cs="Arial"/>
          <w:bCs/>
          <w:color w:val="000000"/>
          <w:kern w:val="2"/>
          <w:lang w:val="es-ES_tradnl"/>
          <w14:ligatures w14:val="standardContextual"/>
        </w:rPr>
        <w:footnoteReference w:id="1"/>
      </w:r>
      <w:r w:rsidRPr="00323B34">
        <w:rPr>
          <w:rFonts w:ascii="Verdana" w:eastAsia="Aptos" w:hAnsi="Verdana" w:cs="Arial"/>
          <w:bCs/>
          <w:color w:val="000000"/>
          <w:kern w:val="2"/>
          <w:lang w:val="es-ES_tradnl"/>
          <w14:ligatures w14:val="standardContextual"/>
        </w:rPr>
        <w:t xml:space="preserve"> sostuvo:</w:t>
      </w:r>
    </w:p>
    <w:p w14:paraId="06257DB3" w14:textId="661EBC58" w:rsidR="00C06373" w:rsidRDefault="00C06373" w:rsidP="00323B34">
      <w:pPr>
        <w:spacing w:after="0" w:line="240" w:lineRule="auto"/>
        <w:jc w:val="both"/>
        <w:rPr>
          <w:rFonts w:ascii="Verdana" w:eastAsia="Aptos" w:hAnsi="Verdana" w:cs="Arial"/>
          <w:bCs/>
          <w:color w:val="000000"/>
          <w:kern w:val="2"/>
          <w:lang w:val="es-ES_tradnl"/>
          <w14:ligatures w14:val="standardContextual"/>
        </w:rPr>
      </w:pPr>
    </w:p>
    <w:p w14:paraId="7699404D" w14:textId="77777777" w:rsidR="0089049B" w:rsidRPr="00F217FD" w:rsidRDefault="0089049B" w:rsidP="0089049B">
      <w:pPr>
        <w:spacing w:after="0" w:line="240" w:lineRule="auto"/>
        <w:ind w:left="284" w:right="425"/>
        <w:contextualSpacing/>
        <w:jc w:val="both"/>
        <w:rPr>
          <w:rFonts w:ascii="Verdana" w:eastAsia="Times New Roman" w:hAnsi="Verdana" w:cs="Arial"/>
          <w:bCs/>
          <w:iCs/>
          <w:kern w:val="2"/>
          <w:sz w:val="21"/>
          <w:szCs w:val="21"/>
          <w:lang w:val="es-ES_tradnl" w:eastAsia="es-MX"/>
          <w14:ligatures w14:val="standardContextual"/>
        </w:rPr>
      </w:pPr>
      <w:r w:rsidRPr="00F217FD">
        <w:rPr>
          <w:rFonts w:ascii="Verdana" w:eastAsia="Times New Roman" w:hAnsi="Verdana" w:cs="Arial"/>
          <w:bCs/>
          <w:iCs/>
          <w:kern w:val="2"/>
          <w:sz w:val="21"/>
          <w:szCs w:val="21"/>
          <w:lang w:val="es-ES_tradnl" w:eastAsia="es-MX"/>
          <w14:ligatures w14:val="standardContextual"/>
        </w:rPr>
        <w:t>“En esta línea de pensamiento, resulta claro que el rechazo o la descalificación de ofertas no puede depender de la libre discrecionalidad de la administración, en la medida en que el oferente, por el hecho de participar en el proceso licitatorio,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4ED4CF5E" w14:textId="77777777" w:rsidR="00323B34" w:rsidRPr="00323B34" w:rsidRDefault="00323B34" w:rsidP="00323B34">
      <w:pPr>
        <w:spacing w:after="0" w:line="240" w:lineRule="auto"/>
        <w:jc w:val="both"/>
        <w:rPr>
          <w:rFonts w:ascii="Verdana" w:hAnsi="Verdana" w:cs="Arial"/>
          <w:b/>
          <w:lang w:val="es-ES_tradnl" w:eastAsia="es-ES"/>
        </w:rPr>
      </w:pPr>
    </w:p>
    <w:p w14:paraId="55242EAD" w14:textId="77777777" w:rsidR="00323B34" w:rsidRPr="00323B34" w:rsidRDefault="00323B34" w:rsidP="00323B34">
      <w:pPr>
        <w:spacing w:after="0" w:line="240" w:lineRule="auto"/>
        <w:jc w:val="both"/>
        <w:rPr>
          <w:rFonts w:ascii="Verdana" w:hAnsi="Verdana" w:cs="Arial"/>
          <w:b/>
          <w:lang w:val="es-ES_tradnl" w:eastAsia="es-ES"/>
        </w:rPr>
      </w:pPr>
    </w:p>
    <w:p w14:paraId="681F8168" w14:textId="77777777" w:rsidR="00323B34" w:rsidRPr="00323B34" w:rsidRDefault="00323B34" w:rsidP="00323B34">
      <w:pPr>
        <w:spacing w:after="0" w:line="240" w:lineRule="auto"/>
        <w:jc w:val="both"/>
        <w:rPr>
          <w:rFonts w:ascii="Verdana" w:hAnsi="Verdana" w:cs="Arial"/>
          <w:b/>
          <w:lang w:val="es-ES_tradnl" w:eastAsia="es-ES"/>
        </w:rPr>
      </w:pPr>
      <w:r w:rsidRPr="00323B34">
        <w:rPr>
          <w:rFonts w:ascii="Verdana" w:hAnsi="Verdana" w:cs="Arial"/>
          <w:b/>
          <w:lang w:val="es-ES_tradnl" w:eastAsia="es-ES"/>
        </w:rPr>
        <w:t>PRINCIPIO DE SELECCIÓN OBJETIVA – Rechazo de las ofertas – Aspectos formales</w:t>
      </w:r>
    </w:p>
    <w:p w14:paraId="1BB45577" w14:textId="77777777" w:rsidR="00323B34" w:rsidRPr="00323B34" w:rsidRDefault="00323B34" w:rsidP="00323B34">
      <w:pPr>
        <w:spacing w:after="0" w:line="240" w:lineRule="auto"/>
        <w:jc w:val="both"/>
        <w:rPr>
          <w:rFonts w:ascii="Verdana" w:hAnsi="Verdana" w:cs="Arial"/>
          <w:b/>
          <w:lang w:val="es-ES_tradnl" w:eastAsia="es-ES"/>
        </w:rPr>
      </w:pPr>
    </w:p>
    <w:p w14:paraId="703F722C" w14:textId="77777777" w:rsidR="00323B34" w:rsidRPr="00323B34" w:rsidRDefault="00323B34" w:rsidP="00323B34">
      <w:pPr>
        <w:spacing w:after="0" w:line="240" w:lineRule="auto"/>
        <w:jc w:val="both"/>
        <w:rPr>
          <w:rFonts w:ascii="Verdana" w:hAnsi="Verdana" w:cs="Arial"/>
          <w:lang w:val="es-ES" w:eastAsia="es-ES"/>
        </w:rPr>
      </w:pPr>
      <w:r w:rsidRPr="00323B34">
        <w:rPr>
          <w:rFonts w:ascii="Verdana" w:hAnsi="Verdana" w:cs="Arial"/>
          <w:lang w:val="es-ES" w:eastAsia="es-ES"/>
        </w:rPr>
        <w:t xml:space="preserve">Por otra parte, es importante señalar que, uno de los principios transversales de los procedimientos de selección es el de selección objetiva. Se trata del postulado que exige que la escogencia de la oferta ganadora deba fundamentarse en factores objetivos, de carácter técnico, jurídico y financiero, y no en criterios subjetivos, como el afecto, la amistad, el ánimo de ayuda, el interés personal, etc. Si bien dentro de la historia de la contratación pública en </w:t>
      </w:r>
      <w:r w:rsidRPr="00323B34">
        <w:rPr>
          <w:rFonts w:ascii="Verdana" w:hAnsi="Verdana" w:cs="Arial"/>
          <w:lang w:val="es-ES" w:eastAsia="es-ES"/>
        </w:rPr>
        <w:lastRenderedPageBreak/>
        <w:t>Colombia se vislumbran antecedentes normativos que consagraban dicho principio, en la actualidad la disposición legal que lo prevé de manera más clara y contundente es el artículo 5 de la Ley 1150 de 2007, modificado por el artículo 88 de la Ley 1474 de 2011 y por el artículo 5 de la Ley 1882 de 2018.</w:t>
      </w:r>
    </w:p>
    <w:p w14:paraId="55FDB01F" w14:textId="77777777" w:rsidR="00323B34" w:rsidRDefault="00323B34" w:rsidP="009143F1">
      <w:pPr>
        <w:tabs>
          <w:tab w:val="left" w:pos="3374"/>
        </w:tabs>
        <w:jc w:val="both"/>
        <w:rPr>
          <w:rFonts w:ascii="Verdana" w:hAnsi="Verdana" w:cs="Arial"/>
          <w:color w:val="000000" w:themeColor="text1"/>
          <w:lang w:val="es-ES_tradnl"/>
        </w:rPr>
      </w:pPr>
    </w:p>
    <w:p w14:paraId="29AFD0F1" w14:textId="77777777" w:rsidR="00323B34" w:rsidRPr="00323B34" w:rsidRDefault="00323B34" w:rsidP="00323B34">
      <w:pPr>
        <w:tabs>
          <w:tab w:val="left" w:pos="3374"/>
        </w:tabs>
        <w:jc w:val="both"/>
        <w:rPr>
          <w:rFonts w:ascii="Verdana" w:hAnsi="Verdana" w:cs="Arial"/>
          <w:b/>
          <w:bCs/>
          <w:color w:val="000000" w:themeColor="text1"/>
          <w:lang w:val="es-ES_tradnl"/>
        </w:rPr>
      </w:pPr>
      <w:r w:rsidRPr="00323B34">
        <w:rPr>
          <w:rFonts w:ascii="Verdana" w:hAnsi="Verdana" w:cs="Arial"/>
          <w:b/>
          <w:bCs/>
          <w:color w:val="000000" w:themeColor="text1"/>
          <w:lang w:val="es-ES_tradnl"/>
        </w:rPr>
        <w:t>FACTOR MULTIPLICADOR – Noción – Estipulación del precio – Contrato de consultoría</w:t>
      </w:r>
    </w:p>
    <w:p w14:paraId="78075A8C" w14:textId="77777777" w:rsidR="00323B34" w:rsidRPr="00323B34" w:rsidRDefault="00323B34" w:rsidP="2EC92E15">
      <w:pPr>
        <w:tabs>
          <w:tab w:val="left" w:pos="3374"/>
        </w:tabs>
        <w:jc w:val="both"/>
        <w:rPr>
          <w:rFonts w:ascii="Verdana" w:hAnsi="Verdana" w:cs="Arial"/>
          <w:color w:val="000000" w:themeColor="text1"/>
          <w:lang w:val="es-ES"/>
        </w:rPr>
      </w:pPr>
      <w:r w:rsidRPr="2EC92E15">
        <w:rPr>
          <w:rFonts w:ascii="Verdana" w:hAnsi="Verdana" w:cs="Arial"/>
          <w:color w:val="000000" w:themeColor="text1"/>
          <w:lang w:val="es-ES"/>
        </w:rPr>
        <w:t>En la estipulación del precio de los contratos de consultoría es común la utilización del sistema del factor multiplicador, el cual permite imputar al contrato los costos directos asociados a salarios del personal vinculado con carácter exclusivo al proyecto, así como conceptos asociados a prestaciones sociales, la utilidad de ingeniero y los costos de administración. De esta manera se obtiene un subtotal de costos directos a partir de la sumatoria de los valores correspondientes a salarios del personal, incrementado a partir de su multiplicación por un factor que suele consistir en una cifra de dos dígitos, con una parte entera y otra decimal. Esto sin perjuicio de la incorporación de otros costos directos como viáticos, alquiler de equipos, oficinas, etc., cuya discriminación se exige de manera separada de los costos de personal, para ser sumados al valor resultante la aplicación del factor multiplicador.</w:t>
      </w:r>
    </w:p>
    <w:p w14:paraId="54793E32" w14:textId="77777777" w:rsidR="00323B34" w:rsidRPr="00323B34" w:rsidRDefault="00323B34" w:rsidP="00323B34">
      <w:pPr>
        <w:tabs>
          <w:tab w:val="left" w:pos="3374"/>
        </w:tabs>
        <w:jc w:val="both"/>
        <w:rPr>
          <w:rFonts w:ascii="Verdana" w:hAnsi="Verdana" w:cs="Arial"/>
          <w:b/>
          <w:bCs/>
          <w:color w:val="000000" w:themeColor="text1"/>
          <w:lang w:val="es-ES_tradnl"/>
        </w:rPr>
      </w:pPr>
      <w:r w:rsidRPr="00323B34">
        <w:rPr>
          <w:rFonts w:ascii="Verdana" w:hAnsi="Verdana" w:cs="Arial"/>
          <w:b/>
          <w:bCs/>
          <w:color w:val="000000" w:themeColor="text1"/>
          <w:lang w:val="es-ES_tradnl"/>
        </w:rPr>
        <w:t>FACTOR MULTIPLICADOR – Ausencia de marco normativo – Deber de planeación – Principio de autonomía</w:t>
      </w:r>
    </w:p>
    <w:p w14:paraId="0DFD0399" w14:textId="77777777" w:rsidR="00323B34" w:rsidRPr="00323B34" w:rsidRDefault="00323B34" w:rsidP="2EC92E15">
      <w:pPr>
        <w:tabs>
          <w:tab w:val="left" w:pos="3374"/>
        </w:tabs>
        <w:jc w:val="both"/>
        <w:rPr>
          <w:rFonts w:ascii="Verdana" w:hAnsi="Verdana" w:cs="Arial"/>
          <w:color w:val="000000" w:themeColor="text1"/>
          <w:lang w:val="es-ES"/>
        </w:rPr>
      </w:pPr>
      <w:r w:rsidRPr="2EC92E15">
        <w:rPr>
          <w:rFonts w:ascii="Verdana" w:hAnsi="Verdana" w:cs="Arial"/>
          <w:color w:val="000000" w:themeColor="text1"/>
          <w:lang w:val="es-ES"/>
        </w:rPr>
        <w:t>Pese a que el Estatuto General de Contratación de la Administración Pública, en adelante EGCAP, no establece una regulación integral o detallada conforme a la cual se debe dar la estructuración del valor del contrato cuando se usa el sistema de precios unitarios, el Decreto 1082 de 2015 impone taxativamente una carga justificativa para las entidades que utilicen dicho sistema. Al respecto, el artículo 2.2.1.1.2.1.1 del Decreto 1082 de 2015 que regula el contenido del estudio del sector, indica en su numeral 4 que: “Cuando el valor del contrato esté determinado por precios unitarios, la Entidad Estatal debe incluir la forma como los calculó y soportar sus cálculos presupuestales en la estimación de aquello”. En todo caso, esta Agencia estima que, si bien el factor multiplicador no está mencionado en el referido artículo, ello no implica que la entidad esté exenta del deber de incluir en los estudios previos, la razón por la cual determinó la viabilidad o conveniencia de usar tal metodología para estimar el valor del contrato, esto, independientemente del método que haya utilizado para calcularlo.</w:t>
      </w:r>
    </w:p>
    <w:p w14:paraId="4842E0E7" w14:textId="14FF0C42" w:rsidR="00323B34" w:rsidRPr="00323B34" w:rsidRDefault="00323B34" w:rsidP="2EC92E15">
      <w:pPr>
        <w:tabs>
          <w:tab w:val="left" w:pos="3374"/>
        </w:tabs>
        <w:jc w:val="both"/>
        <w:rPr>
          <w:rFonts w:ascii="Verdana" w:hAnsi="Verdana" w:cs="Arial"/>
          <w:color w:val="000000" w:themeColor="text1"/>
        </w:rPr>
      </w:pPr>
      <w:r w:rsidRPr="2EC92E15">
        <w:rPr>
          <w:rFonts w:ascii="Verdana" w:hAnsi="Verdana" w:cs="Arial"/>
          <w:color w:val="000000" w:themeColor="text1"/>
        </w:rPr>
        <w:lastRenderedPageBreak/>
        <w:t>[…]el principal sustento para que las Entidades Estatales sujetas al EGCAP, como las excluidas de este, aplique las referidas metodologías, es la autonomía de la que gozan para la estructuración de las condiciones del negocio jurídico, determinando el sistema más apropiado para satisfacer los fines de la contratación, respetando los límites previstos en el ordenamiento. De ahí que, las entidades cuenten con la discrecionalidad para disponer en los documentos del proceso, la aplicación de metodologías como las explicadas, siempre que resulten adecuadas y proporcionales al objeto del contrato</w:t>
      </w:r>
      <w:r w:rsidR="00E738E4" w:rsidRPr="2EC92E15">
        <w:rPr>
          <w:rStyle w:val="Refdenotaalpie"/>
          <w:rFonts w:ascii="Verdana" w:hAnsi="Verdana" w:cs="Arial"/>
          <w:color w:val="000000" w:themeColor="text1"/>
        </w:rPr>
        <w:footnoteReference w:id="2"/>
      </w:r>
      <w:r w:rsidRPr="2EC92E15">
        <w:rPr>
          <w:rFonts w:ascii="Verdana" w:hAnsi="Verdana" w:cs="Arial"/>
          <w:color w:val="000000" w:themeColor="text1"/>
        </w:rPr>
        <w:t>.</w:t>
      </w:r>
      <w:r w:rsidR="00E738E4" w:rsidRPr="2EC92E15">
        <w:rPr>
          <w:rFonts w:ascii="Verdana" w:hAnsi="Verdana" w:cs="Arial"/>
          <w:color w:val="000000" w:themeColor="text1"/>
        </w:rPr>
        <w:t>[…]</w:t>
      </w:r>
    </w:p>
    <w:p w14:paraId="2714B940" w14:textId="77777777" w:rsidR="00323B34" w:rsidRDefault="00323B34" w:rsidP="009143F1">
      <w:pPr>
        <w:tabs>
          <w:tab w:val="left" w:pos="3374"/>
        </w:tabs>
        <w:jc w:val="both"/>
        <w:rPr>
          <w:rFonts w:ascii="Verdana" w:hAnsi="Verdana" w:cs="Arial"/>
          <w:color w:val="000000" w:themeColor="text1"/>
          <w:lang w:val="es-ES_tradnl"/>
        </w:rPr>
      </w:pPr>
    </w:p>
    <w:p w14:paraId="474B1DC5" w14:textId="77777777" w:rsidR="00323B34" w:rsidRDefault="00323B34" w:rsidP="009143F1">
      <w:pPr>
        <w:tabs>
          <w:tab w:val="left" w:pos="3374"/>
        </w:tabs>
        <w:jc w:val="both"/>
        <w:rPr>
          <w:rFonts w:ascii="Verdana" w:hAnsi="Verdana" w:cs="Arial"/>
          <w:color w:val="000000" w:themeColor="text1"/>
          <w:lang w:val="es-ES_tradnl"/>
        </w:rPr>
      </w:pPr>
    </w:p>
    <w:p w14:paraId="3BBCBD7E" w14:textId="77777777" w:rsidR="009143F1" w:rsidRDefault="009143F1" w:rsidP="009143F1">
      <w:pPr>
        <w:tabs>
          <w:tab w:val="left" w:pos="3374"/>
        </w:tabs>
        <w:jc w:val="both"/>
        <w:rPr>
          <w:rFonts w:ascii="Verdana" w:hAnsi="Verdana" w:cs="Arial"/>
          <w:color w:val="000000" w:themeColor="text1"/>
          <w:lang w:val="es-ES_tradnl"/>
        </w:rPr>
      </w:pPr>
    </w:p>
    <w:p w14:paraId="2D158377" w14:textId="77777777" w:rsidR="00323B34" w:rsidRDefault="00323B34" w:rsidP="009143F1">
      <w:pPr>
        <w:tabs>
          <w:tab w:val="left" w:pos="3374"/>
        </w:tabs>
        <w:jc w:val="both"/>
        <w:rPr>
          <w:rFonts w:ascii="Verdana" w:hAnsi="Verdana" w:cs="Arial"/>
          <w:color w:val="000000" w:themeColor="text1"/>
          <w:lang w:val="es-ES_tradnl"/>
        </w:rPr>
      </w:pPr>
    </w:p>
    <w:p w14:paraId="06EF7C0B" w14:textId="77777777" w:rsidR="00323B34" w:rsidRDefault="00323B34" w:rsidP="009143F1">
      <w:pPr>
        <w:tabs>
          <w:tab w:val="left" w:pos="3374"/>
        </w:tabs>
        <w:jc w:val="both"/>
        <w:rPr>
          <w:rFonts w:ascii="Verdana" w:hAnsi="Verdana" w:cs="Arial"/>
          <w:color w:val="000000" w:themeColor="text1"/>
          <w:lang w:val="es-ES_tradnl"/>
        </w:rPr>
      </w:pPr>
    </w:p>
    <w:p w14:paraId="079A77E0" w14:textId="77777777" w:rsidR="00E738E4" w:rsidRDefault="00E738E4" w:rsidP="009143F1">
      <w:pPr>
        <w:tabs>
          <w:tab w:val="left" w:pos="3374"/>
        </w:tabs>
        <w:jc w:val="both"/>
        <w:rPr>
          <w:rFonts w:ascii="Verdana" w:hAnsi="Verdana" w:cs="Arial"/>
          <w:color w:val="000000" w:themeColor="text1"/>
          <w:lang w:val="es-ES_tradnl"/>
        </w:rPr>
      </w:pPr>
    </w:p>
    <w:p w14:paraId="6936EA83" w14:textId="77777777" w:rsidR="00E738E4" w:rsidRDefault="00E738E4" w:rsidP="009143F1">
      <w:pPr>
        <w:tabs>
          <w:tab w:val="left" w:pos="3374"/>
        </w:tabs>
        <w:jc w:val="both"/>
        <w:rPr>
          <w:rFonts w:ascii="Verdana" w:hAnsi="Verdana" w:cs="Arial"/>
          <w:color w:val="000000" w:themeColor="text1"/>
          <w:lang w:val="es-ES_tradnl"/>
        </w:rPr>
      </w:pPr>
    </w:p>
    <w:p w14:paraId="24551B9A" w14:textId="77777777" w:rsidR="00E738E4" w:rsidRDefault="00E738E4" w:rsidP="009143F1">
      <w:pPr>
        <w:tabs>
          <w:tab w:val="left" w:pos="3374"/>
        </w:tabs>
        <w:jc w:val="both"/>
        <w:rPr>
          <w:rFonts w:ascii="Verdana" w:hAnsi="Verdana" w:cs="Arial"/>
          <w:color w:val="000000" w:themeColor="text1"/>
          <w:lang w:val="es-ES_tradnl"/>
        </w:rPr>
      </w:pPr>
    </w:p>
    <w:p w14:paraId="4B8111CA" w14:textId="77777777" w:rsidR="00E738E4" w:rsidRDefault="00E738E4" w:rsidP="009143F1">
      <w:pPr>
        <w:tabs>
          <w:tab w:val="left" w:pos="3374"/>
        </w:tabs>
        <w:jc w:val="both"/>
        <w:rPr>
          <w:rFonts w:ascii="Verdana" w:hAnsi="Verdana" w:cs="Arial"/>
          <w:color w:val="000000" w:themeColor="text1"/>
          <w:lang w:val="es-ES_tradnl"/>
        </w:rPr>
      </w:pPr>
    </w:p>
    <w:p w14:paraId="0901932B" w14:textId="77777777" w:rsidR="00E738E4" w:rsidRDefault="00E738E4" w:rsidP="009143F1">
      <w:pPr>
        <w:tabs>
          <w:tab w:val="left" w:pos="3374"/>
        </w:tabs>
        <w:jc w:val="both"/>
        <w:rPr>
          <w:rFonts w:ascii="Verdana" w:hAnsi="Verdana" w:cs="Arial"/>
          <w:color w:val="000000" w:themeColor="text1"/>
          <w:lang w:val="es-ES_tradnl"/>
        </w:rPr>
      </w:pPr>
    </w:p>
    <w:p w14:paraId="47F58BE6" w14:textId="77777777" w:rsidR="00E738E4" w:rsidRDefault="00E738E4" w:rsidP="009143F1">
      <w:pPr>
        <w:tabs>
          <w:tab w:val="left" w:pos="3374"/>
        </w:tabs>
        <w:jc w:val="both"/>
        <w:rPr>
          <w:rFonts w:ascii="Verdana" w:hAnsi="Verdana" w:cs="Arial"/>
          <w:color w:val="000000" w:themeColor="text1"/>
          <w:lang w:val="es-ES_tradnl"/>
        </w:rPr>
      </w:pPr>
    </w:p>
    <w:p w14:paraId="324173DE" w14:textId="77777777" w:rsidR="00E738E4" w:rsidRDefault="00E738E4" w:rsidP="009143F1">
      <w:pPr>
        <w:tabs>
          <w:tab w:val="left" w:pos="3374"/>
        </w:tabs>
        <w:jc w:val="both"/>
        <w:rPr>
          <w:rFonts w:ascii="Verdana" w:hAnsi="Verdana" w:cs="Arial"/>
          <w:color w:val="000000" w:themeColor="text1"/>
          <w:lang w:val="es-ES_tradnl"/>
        </w:rPr>
      </w:pPr>
    </w:p>
    <w:p w14:paraId="656597B0" w14:textId="77777777" w:rsidR="00E738E4" w:rsidRDefault="00E738E4" w:rsidP="009143F1">
      <w:pPr>
        <w:tabs>
          <w:tab w:val="left" w:pos="3374"/>
        </w:tabs>
        <w:jc w:val="both"/>
        <w:rPr>
          <w:rFonts w:ascii="Verdana" w:hAnsi="Verdana" w:cs="Arial"/>
          <w:color w:val="000000" w:themeColor="text1"/>
          <w:lang w:val="es-ES_tradnl"/>
        </w:rPr>
      </w:pPr>
    </w:p>
    <w:p w14:paraId="129A56E6" w14:textId="77777777" w:rsidR="00E738E4" w:rsidRDefault="00E738E4" w:rsidP="009143F1">
      <w:pPr>
        <w:tabs>
          <w:tab w:val="left" w:pos="3374"/>
        </w:tabs>
        <w:jc w:val="both"/>
        <w:rPr>
          <w:rFonts w:ascii="Verdana" w:hAnsi="Verdana" w:cs="Arial"/>
          <w:color w:val="000000" w:themeColor="text1"/>
          <w:lang w:val="es-ES_tradnl"/>
        </w:rPr>
      </w:pPr>
    </w:p>
    <w:p w14:paraId="31247641" w14:textId="77777777" w:rsidR="00E738E4" w:rsidRDefault="00E738E4" w:rsidP="009143F1">
      <w:pPr>
        <w:tabs>
          <w:tab w:val="left" w:pos="3374"/>
        </w:tabs>
        <w:jc w:val="both"/>
        <w:rPr>
          <w:rFonts w:ascii="Verdana" w:hAnsi="Verdana" w:cs="Arial"/>
          <w:color w:val="000000" w:themeColor="text1"/>
          <w:lang w:val="es-ES_tradnl"/>
        </w:rPr>
      </w:pPr>
    </w:p>
    <w:p w14:paraId="54B2D4E2" w14:textId="77777777" w:rsidR="00E738E4" w:rsidRDefault="00E738E4" w:rsidP="009143F1">
      <w:pPr>
        <w:tabs>
          <w:tab w:val="left" w:pos="3374"/>
        </w:tabs>
        <w:jc w:val="both"/>
        <w:rPr>
          <w:rFonts w:ascii="Verdana" w:hAnsi="Verdana" w:cs="Arial"/>
          <w:color w:val="000000" w:themeColor="text1"/>
          <w:lang w:val="es-ES_tradnl"/>
        </w:rPr>
      </w:pPr>
    </w:p>
    <w:p w14:paraId="20DD7495" w14:textId="77777777" w:rsidR="00E738E4" w:rsidRDefault="00E738E4" w:rsidP="009143F1">
      <w:pPr>
        <w:tabs>
          <w:tab w:val="left" w:pos="3374"/>
        </w:tabs>
        <w:jc w:val="both"/>
        <w:rPr>
          <w:rFonts w:ascii="Verdana" w:hAnsi="Verdana" w:cs="Arial"/>
          <w:color w:val="000000" w:themeColor="text1"/>
          <w:lang w:val="es-ES_tradnl"/>
        </w:rPr>
      </w:pPr>
    </w:p>
    <w:p w14:paraId="3BD296C6" w14:textId="77777777" w:rsidR="00E738E4" w:rsidRDefault="00E738E4" w:rsidP="009143F1">
      <w:pPr>
        <w:tabs>
          <w:tab w:val="left" w:pos="3374"/>
        </w:tabs>
        <w:jc w:val="both"/>
        <w:rPr>
          <w:rFonts w:ascii="Verdana" w:hAnsi="Verdana" w:cs="Arial"/>
          <w:color w:val="000000" w:themeColor="text1"/>
          <w:lang w:val="es-ES_tradnl"/>
        </w:rPr>
      </w:pPr>
    </w:p>
    <w:p w14:paraId="7F384CCC" w14:textId="00DA64C0" w:rsidR="007D5768" w:rsidRDefault="00AD79BB" w:rsidP="007D5768">
      <w:pPr>
        <w:spacing w:after="0"/>
        <w:rPr>
          <w:rFonts w:ascii="Verdana" w:hAnsi="Verdana"/>
        </w:rPr>
      </w:pPr>
      <w:r>
        <w:rPr>
          <w:rFonts w:ascii="Verdana" w:hAnsi="Verdana"/>
        </w:rPr>
        <w:lastRenderedPageBreak/>
        <w:t>B</w:t>
      </w:r>
      <w:r w:rsidR="007D5768" w:rsidRPr="0044528D">
        <w:rPr>
          <w:rFonts w:ascii="Verdana" w:hAnsi="Verdana"/>
        </w:rPr>
        <w:t>ogotá D.C., [Día] [</w:t>
      </w:r>
      <w:proofErr w:type="spellStart"/>
      <w:r w:rsidR="007D5768" w:rsidRPr="0044528D">
        <w:rPr>
          <w:rFonts w:ascii="Verdana" w:hAnsi="Verdana"/>
        </w:rPr>
        <w:t>Mes</w:t>
      </w:r>
      <w:r w:rsidR="007D5768">
        <w:rPr>
          <w:rFonts w:ascii="Verdana" w:hAnsi="Verdana"/>
        </w:rPr>
        <w:t>.</w:t>
      </w:r>
      <w:r w:rsidR="007D5768" w:rsidRPr="0044528D">
        <w:rPr>
          <w:rFonts w:ascii="Verdana" w:hAnsi="Verdana"/>
        </w:rPr>
        <w:t>NombreCapitalizado</w:t>
      </w:r>
      <w:proofErr w:type="spellEnd"/>
      <w:r w:rsidR="007D5768" w:rsidRPr="0044528D">
        <w:rPr>
          <w:rFonts w:ascii="Verdana" w:hAnsi="Verdana"/>
        </w:rPr>
        <w:t>] [Año]</w:t>
      </w:r>
    </w:p>
    <w:p w14:paraId="1673010F" w14:textId="77777777" w:rsidR="007D5768" w:rsidRDefault="007D5768" w:rsidP="007D5768">
      <w:pPr>
        <w:spacing w:after="0"/>
        <w:rPr>
          <w:rFonts w:ascii="Verdana" w:hAnsi="Verdana"/>
        </w:rPr>
      </w:pPr>
      <w:bookmarkStart w:id="2" w:name="_Hlk180638295"/>
      <w:bookmarkEnd w:id="0"/>
    </w:p>
    <w:p w14:paraId="54FC63A1" w14:textId="41C4B266" w:rsidR="007D5768" w:rsidRPr="00560511" w:rsidRDefault="007D5768" w:rsidP="007D5768">
      <w:pPr>
        <w:spacing w:after="0" w:line="240" w:lineRule="auto"/>
        <w:jc w:val="both"/>
        <w:rPr>
          <w:rFonts w:ascii="Verdana" w:eastAsia="Calibri" w:hAnsi="Verdana" w:cs="Arial"/>
          <w:lang w:eastAsia="es-ES"/>
        </w:rPr>
      </w:pPr>
      <w:bookmarkStart w:id="3" w:name="_Hlk181166167"/>
      <w:r w:rsidRPr="00560511">
        <w:rPr>
          <w:rFonts w:ascii="Verdana" w:eastAsia="Calibri" w:hAnsi="Verdana" w:cs="Arial"/>
          <w:lang w:eastAsia="es-ES"/>
        </w:rPr>
        <w:t>Señor</w:t>
      </w:r>
      <w:r w:rsidR="003A2ECF">
        <w:rPr>
          <w:rFonts w:ascii="Verdana" w:eastAsia="Calibri" w:hAnsi="Verdana" w:cs="Arial"/>
          <w:lang w:eastAsia="es-ES"/>
        </w:rPr>
        <w:tab/>
      </w:r>
    </w:p>
    <w:p w14:paraId="7719F98D" w14:textId="70C33BCB" w:rsidR="00EF4E84" w:rsidRPr="00EF4E84" w:rsidRDefault="00FA3AB1" w:rsidP="00EF4E84">
      <w:pPr>
        <w:spacing w:after="0" w:line="240" w:lineRule="auto"/>
        <w:jc w:val="both"/>
        <w:rPr>
          <w:rFonts w:ascii="Verdana" w:eastAsia="Calibri" w:hAnsi="Verdana" w:cs="Arial"/>
          <w:b/>
          <w:bCs/>
          <w:color w:val="000000"/>
          <w:lang w:eastAsia="es-ES_tradnl"/>
        </w:rPr>
      </w:pPr>
      <w:r w:rsidRPr="00FA3AB1">
        <w:rPr>
          <w:rFonts w:ascii="Verdana" w:eastAsia="Calibri" w:hAnsi="Verdana" w:cs="Arial"/>
          <w:b/>
          <w:bCs/>
          <w:color w:val="000000"/>
          <w:lang w:eastAsia="es-ES_tradnl"/>
        </w:rPr>
        <w:t>IVAN DARIO GUTIERREZ CARDOZO</w:t>
      </w:r>
    </w:p>
    <w:p w14:paraId="1632A310" w14:textId="5E1D0AE2" w:rsidR="00ED58AB" w:rsidRDefault="00FA3AB1" w:rsidP="007D5768">
      <w:pPr>
        <w:spacing w:after="0" w:line="240" w:lineRule="auto"/>
        <w:rPr>
          <w:rFonts w:ascii="Verdana" w:hAnsi="Verdana"/>
        </w:rPr>
      </w:pPr>
      <w:r w:rsidRPr="00FA3AB1">
        <w:rPr>
          <w:rFonts w:ascii="Verdana" w:hAnsi="Verdana"/>
          <w:color w:val="0000FF"/>
          <w:u w:val="single"/>
        </w:rPr>
        <w:t>ivandariog@hotmail.com</w:t>
      </w:r>
    </w:p>
    <w:p w14:paraId="4E77D58E" w14:textId="0CA0F70F" w:rsidR="00C63E0F" w:rsidRDefault="003A2ECF" w:rsidP="007D5768">
      <w:pPr>
        <w:spacing w:after="0" w:line="240" w:lineRule="auto"/>
        <w:rPr>
          <w:rFonts w:ascii="Verdana" w:hAnsi="Verdana"/>
        </w:rPr>
      </w:pPr>
      <w:r w:rsidRPr="0044528D">
        <w:rPr>
          <w:rFonts w:ascii="Verdana" w:hAnsi="Verdana"/>
        </w:rPr>
        <w:t>Bogotá D.C.</w:t>
      </w:r>
    </w:p>
    <w:p w14:paraId="70547B69" w14:textId="77777777" w:rsidR="003A2ECF" w:rsidRDefault="003A2ECF" w:rsidP="007D5768">
      <w:pPr>
        <w:spacing w:after="0" w:line="240" w:lineRule="auto"/>
        <w:rPr>
          <w:rFonts w:ascii="Verdana" w:eastAsia="Calibri" w:hAnsi="Verdana" w:cs="Arial"/>
          <w:b/>
          <w:bCs/>
          <w:color w:val="000000"/>
          <w:lang w:val="es-ES_tradnl" w:eastAsia="es-ES_tradnl"/>
        </w:rPr>
      </w:pPr>
    </w:p>
    <w:p w14:paraId="4E060AE6" w14:textId="77777777" w:rsidR="00AA2B1E" w:rsidRPr="00593A5F" w:rsidRDefault="00AA2B1E" w:rsidP="007D5768">
      <w:pPr>
        <w:spacing w:after="0" w:line="240" w:lineRule="auto"/>
        <w:rPr>
          <w:rFonts w:ascii="Verdana" w:eastAsia="Calibri" w:hAnsi="Verdana" w:cs="Arial"/>
          <w:b/>
          <w:bCs/>
          <w:color w:val="000000"/>
          <w:lang w:val="es-ES_tradnl" w:eastAsia="es-ES_tradnl"/>
        </w:rPr>
      </w:pPr>
    </w:p>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468"/>
        <w:gridCol w:w="336"/>
      </w:tblGrid>
      <w:tr w:rsidR="007D5768" w:rsidRPr="00593A5F" w14:paraId="14747069" w14:textId="77777777" w:rsidTr="00E1079D">
        <w:trPr>
          <w:trHeight w:val="884"/>
        </w:trPr>
        <w:tc>
          <w:tcPr>
            <w:tcW w:w="2410" w:type="dxa"/>
          </w:tcPr>
          <w:p w14:paraId="36C8BBF6" w14:textId="77777777" w:rsidR="007D5768" w:rsidRPr="00E5644F" w:rsidRDefault="007D5768" w:rsidP="00E1079D">
            <w:pPr>
              <w:jc w:val="both"/>
              <w:rPr>
                <w:rFonts w:ascii="Verdana" w:eastAsia="Calibri" w:hAnsi="Verdana" w:cs="Arial"/>
                <w:b/>
                <w:bCs/>
                <w:color w:val="7030A0"/>
                <w:lang w:val="es-ES_tradnl" w:eastAsia="es-ES_tradnl"/>
              </w:rPr>
            </w:pPr>
          </w:p>
        </w:tc>
        <w:tc>
          <w:tcPr>
            <w:tcW w:w="6804" w:type="dxa"/>
            <w:gridSpan w:val="2"/>
          </w:tcPr>
          <w:p w14:paraId="4DDF8EC1" w14:textId="09ED08B6" w:rsidR="007D5768" w:rsidRPr="00E5644F" w:rsidRDefault="007D5768" w:rsidP="00E1079D">
            <w:pPr>
              <w:jc w:val="both"/>
              <w:rPr>
                <w:rFonts w:ascii="Verdana" w:eastAsia="Calibri" w:hAnsi="Verdana" w:cs="Arial"/>
                <w:b/>
                <w:bCs/>
                <w:color w:val="7030A0"/>
                <w:lang w:val="es-ES" w:eastAsia="es-ES"/>
              </w:rPr>
            </w:pPr>
            <w:r w:rsidRPr="00E5644F">
              <w:rPr>
                <w:rFonts w:ascii="Verdana" w:eastAsia="Calibri" w:hAnsi="Verdana" w:cs="Arial"/>
                <w:b/>
                <w:bCs/>
                <w:lang w:val="es-ES" w:eastAsia="es-ES"/>
              </w:rPr>
              <w:t xml:space="preserve">Concepto C- </w:t>
            </w:r>
            <w:r w:rsidR="003F6253">
              <w:rPr>
                <w:rFonts w:ascii="Verdana" w:eastAsia="Calibri" w:hAnsi="Verdana" w:cs="Arial"/>
                <w:b/>
                <w:bCs/>
                <w:lang w:val="es-ES" w:eastAsia="es-ES"/>
              </w:rPr>
              <w:t>1018</w:t>
            </w:r>
            <w:r>
              <w:rPr>
                <w:rFonts w:ascii="Verdana" w:eastAsia="Calibri" w:hAnsi="Verdana" w:cs="Arial"/>
                <w:b/>
                <w:bCs/>
                <w:lang w:val="es-ES" w:eastAsia="es-ES"/>
              </w:rPr>
              <w:t xml:space="preserve"> </w:t>
            </w:r>
            <w:r w:rsidRPr="00E5644F">
              <w:rPr>
                <w:rFonts w:ascii="Verdana" w:eastAsia="Calibri" w:hAnsi="Verdana" w:cs="Arial"/>
                <w:b/>
                <w:bCs/>
                <w:lang w:val="es-ES" w:eastAsia="es-ES"/>
              </w:rPr>
              <w:t>de 2024</w:t>
            </w:r>
          </w:p>
        </w:tc>
      </w:tr>
      <w:tr w:rsidR="003F2418" w:rsidRPr="00593A5F" w14:paraId="0E5838A4" w14:textId="77777777" w:rsidTr="00E1079D">
        <w:trPr>
          <w:trHeight w:val="884"/>
        </w:trPr>
        <w:tc>
          <w:tcPr>
            <w:tcW w:w="2410" w:type="dxa"/>
          </w:tcPr>
          <w:p w14:paraId="52092E01" w14:textId="77777777" w:rsidR="003F2418" w:rsidRPr="00593A5F" w:rsidRDefault="003F2418" w:rsidP="003F2418">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804" w:type="dxa"/>
            <w:gridSpan w:val="2"/>
          </w:tcPr>
          <w:p w14:paraId="76E6F653" w14:textId="4C80BBAE" w:rsidR="00323B34" w:rsidRDefault="00323B34" w:rsidP="003F2418">
            <w:pPr>
              <w:spacing w:line="276" w:lineRule="auto"/>
              <w:jc w:val="both"/>
              <w:rPr>
                <w:rFonts w:ascii="Verdana" w:eastAsia="Aptos" w:hAnsi="Verdana" w:cs="Arial"/>
                <w:bCs/>
                <w:color w:val="000000"/>
                <w:lang w:val="es-ES_tradnl"/>
              </w:rPr>
            </w:pPr>
            <w:r w:rsidRPr="00F217FD">
              <w:rPr>
                <w:rFonts w:ascii="Verdana" w:eastAsia="Aptos" w:hAnsi="Verdana" w:cs="Arial"/>
                <w:bCs/>
                <w:color w:val="000000"/>
                <w:lang w:val="es-ES_tradnl"/>
              </w:rPr>
              <w:t>CAUSALES DE RECHAZO – Principio de legalidad – Configuración / PRINCIPIO DE SELECCIÓN OBJETIVA – Rechazo de las ofertas – Aspectos formales</w:t>
            </w:r>
            <w:r w:rsidR="00AE31F9">
              <w:rPr>
                <w:rFonts w:ascii="Verdana" w:eastAsia="Aptos" w:hAnsi="Verdana" w:cs="Arial"/>
                <w:bCs/>
                <w:color w:val="000000"/>
                <w:lang w:val="es-ES_tradnl"/>
              </w:rPr>
              <w:t xml:space="preserve"> / </w:t>
            </w:r>
            <w:r w:rsidR="00AE31F9" w:rsidRPr="00AE31F9">
              <w:rPr>
                <w:rFonts w:ascii="Verdana" w:eastAsia="Aptos" w:hAnsi="Verdana" w:cs="Arial"/>
                <w:bCs/>
                <w:color w:val="000000"/>
                <w:lang w:val="es-ES_tradnl"/>
              </w:rPr>
              <w:t>FACTOR MULTIPLICADOR – Noción – Estipulación del precio / FACTOR MULTIPLICADOR – Ausencia de marco normativo</w:t>
            </w:r>
            <w:r w:rsidR="00B87213">
              <w:rPr>
                <w:rFonts w:ascii="Verdana" w:eastAsia="Aptos" w:hAnsi="Verdana" w:cs="Arial"/>
                <w:bCs/>
                <w:color w:val="000000"/>
                <w:lang w:val="es-ES_tradnl"/>
              </w:rPr>
              <w:t>.</w:t>
            </w:r>
          </w:p>
          <w:p w14:paraId="62C72EB8" w14:textId="7A284B8A" w:rsidR="003F2418" w:rsidRPr="00EF4E84" w:rsidRDefault="003F2418" w:rsidP="003F2418">
            <w:pPr>
              <w:spacing w:line="276" w:lineRule="auto"/>
              <w:jc w:val="both"/>
              <w:rPr>
                <w:rFonts w:ascii="Verdana" w:eastAsia="Calibri" w:hAnsi="Verdana" w:cs="Arial"/>
                <w:highlight w:val="yellow"/>
                <w:lang w:val="es-ES" w:eastAsia="es-ES"/>
              </w:rPr>
            </w:pPr>
            <w:r w:rsidRPr="00EF4E84">
              <w:rPr>
                <w:rFonts w:ascii="Verdana" w:hAnsi="Verdana" w:cs="Arial"/>
                <w:highlight w:val="yellow"/>
                <w:lang w:val="es-ES" w:eastAsia="es-ES"/>
              </w:rPr>
              <w:t xml:space="preserve">  </w:t>
            </w:r>
          </w:p>
        </w:tc>
      </w:tr>
      <w:tr w:rsidR="003F2418" w:rsidRPr="00593A5F" w14:paraId="09936C6F" w14:textId="77777777" w:rsidTr="00E1079D">
        <w:tc>
          <w:tcPr>
            <w:tcW w:w="2410" w:type="dxa"/>
          </w:tcPr>
          <w:p w14:paraId="69819F5A" w14:textId="77777777" w:rsidR="003F2418" w:rsidRPr="006730E9" w:rsidRDefault="003F2418" w:rsidP="003F2418">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804" w:type="dxa"/>
            <w:gridSpan w:val="2"/>
          </w:tcPr>
          <w:p w14:paraId="2CCB2D3E" w14:textId="40A3B79D" w:rsidR="003F2418" w:rsidRPr="006730E9" w:rsidRDefault="003F2418" w:rsidP="003F2418">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FA3AB1" w:rsidRPr="00FA3AB1">
              <w:rPr>
                <w:rFonts w:ascii="Verdana" w:eastAsia="Calibri" w:hAnsi="Verdana" w:cs="Arial"/>
                <w:lang w:val="es-ES_tradnl" w:eastAsia="es-ES_tradnl"/>
              </w:rPr>
              <w:t>P20241218012646</w:t>
            </w:r>
          </w:p>
        </w:tc>
      </w:tr>
      <w:tr w:rsidR="003F2418" w:rsidRPr="00DB23D2" w14:paraId="3D69289B" w14:textId="77777777" w:rsidTr="00E1079D">
        <w:trPr>
          <w:gridAfter w:val="1"/>
          <w:wAfter w:w="336" w:type="dxa"/>
          <w:trHeight w:val="233"/>
        </w:trPr>
        <w:tc>
          <w:tcPr>
            <w:tcW w:w="8878" w:type="dxa"/>
            <w:gridSpan w:val="2"/>
          </w:tcPr>
          <w:p w14:paraId="77B387AE" w14:textId="5AE22ED0" w:rsidR="003F2418" w:rsidRPr="00DB23D2" w:rsidRDefault="003F2418" w:rsidP="003F2418">
            <w:pPr>
              <w:spacing w:after="120" w:line="276" w:lineRule="auto"/>
              <w:jc w:val="both"/>
              <w:rPr>
                <w:rFonts w:ascii="Verdana" w:eastAsia="Calibri" w:hAnsi="Verdana" w:cs="Arial"/>
                <w:lang w:val="es-ES_tradnl" w:eastAsia="es-ES"/>
              </w:rPr>
            </w:pPr>
          </w:p>
        </w:tc>
      </w:tr>
    </w:tbl>
    <w:p w14:paraId="064788AC" w14:textId="691EAF46" w:rsidR="007D5768" w:rsidRPr="006730E9" w:rsidRDefault="007D5768" w:rsidP="007D5768">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sidR="00FA3AB1">
        <w:rPr>
          <w:rFonts w:ascii="Verdana" w:eastAsia="Calibri" w:hAnsi="Verdana" w:cs="Arial"/>
          <w:lang w:val="es-ES" w:eastAsia="es-ES"/>
        </w:rPr>
        <w:t>o</w:t>
      </w:r>
      <w:r w:rsidR="00EF4E84">
        <w:rPr>
          <w:rFonts w:ascii="Verdana" w:eastAsia="Calibri" w:hAnsi="Verdana" w:cs="Arial"/>
          <w:lang w:val="es-ES" w:eastAsia="es-ES"/>
        </w:rPr>
        <w:t xml:space="preserve"> </w:t>
      </w:r>
      <w:r w:rsidRPr="006730E9">
        <w:rPr>
          <w:rFonts w:ascii="Verdana" w:eastAsia="Calibri" w:hAnsi="Verdana" w:cs="Arial"/>
          <w:lang w:val="es-ES" w:eastAsia="es-ES"/>
        </w:rPr>
        <w:t>señor</w:t>
      </w:r>
      <w:r w:rsidR="00EF4E84">
        <w:rPr>
          <w:rFonts w:ascii="Verdana" w:eastAsia="Calibri" w:hAnsi="Verdana" w:cs="Arial"/>
          <w:lang w:val="es-ES" w:eastAsia="es-ES"/>
        </w:rPr>
        <w:t xml:space="preserve"> </w:t>
      </w:r>
      <w:r w:rsidR="00FA3AB1">
        <w:rPr>
          <w:rFonts w:ascii="Verdana" w:eastAsia="Calibri" w:hAnsi="Verdana" w:cs="Arial"/>
          <w:lang w:val="es-ES" w:eastAsia="es-ES"/>
        </w:rPr>
        <w:t>Gutiérrez</w:t>
      </w:r>
      <w:r w:rsidR="00ED58AB">
        <w:rPr>
          <w:rFonts w:ascii="Verdana" w:eastAsia="Calibri" w:hAnsi="Verdana" w:cs="Arial"/>
          <w:lang w:val="es-ES" w:eastAsia="es-ES"/>
        </w:rPr>
        <w:t>;</w:t>
      </w:r>
    </w:p>
    <w:p w14:paraId="0152D11B" w14:textId="77777777" w:rsidR="007D5768" w:rsidRDefault="007D5768" w:rsidP="007D5768">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12CA923" w14:textId="2DDF870C" w:rsidR="007D5768" w:rsidRPr="006730E9" w:rsidRDefault="007D5768" w:rsidP="007D5768">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 xml:space="preserve">la Agencia Nacional de Contratación Pública – Colombia Compra Eficiente– responde su solicitud </w:t>
      </w:r>
      <w:r>
        <w:rPr>
          <w:rFonts w:ascii="Verdana" w:eastAsia="Calibri" w:hAnsi="Verdana" w:cs="Arial"/>
          <w:lang w:val="es-ES" w:eastAsia="es-ES"/>
        </w:rPr>
        <w:t xml:space="preserve">y radicada </w:t>
      </w:r>
      <w:r w:rsidR="00ED58AB">
        <w:rPr>
          <w:rFonts w:ascii="Verdana" w:eastAsia="Calibri" w:hAnsi="Verdana" w:cs="Arial"/>
          <w:lang w:val="es-ES" w:eastAsia="es-ES"/>
        </w:rPr>
        <w:t xml:space="preserve">trasladada por competencia por el Departamento Administrativo de la Función Pública y radicada </w:t>
      </w:r>
      <w:r>
        <w:rPr>
          <w:rFonts w:ascii="Verdana" w:eastAsia="Calibri" w:hAnsi="Verdana" w:cs="Arial"/>
          <w:lang w:val="es-ES" w:eastAsia="es-ES"/>
        </w:rPr>
        <w:t xml:space="preserve">en esta entidad </w:t>
      </w:r>
      <w:r w:rsidRPr="00E5644F">
        <w:rPr>
          <w:rFonts w:ascii="Verdana" w:eastAsia="Calibri" w:hAnsi="Verdana" w:cs="Arial"/>
          <w:lang w:val="es-ES" w:eastAsia="es-ES"/>
        </w:rPr>
        <w:t xml:space="preserve">el </w:t>
      </w:r>
      <w:r w:rsidR="00EF4E84">
        <w:rPr>
          <w:rFonts w:ascii="Verdana" w:eastAsia="Calibri" w:hAnsi="Verdana" w:cs="Arial"/>
          <w:lang w:val="es-ES" w:eastAsia="es-ES"/>
        </w:rPr>
        <w:t>1</w:t>
      </w:r>
      <w:r w:rsidR="00FA3AB1">
        <w:rPr>
          <w:rFonts w:ascii="Verdana" w:eastAsia="Calibri" w:hAnsi="Verdana" w:cs="Arial"/>
          <w:lang w:val="es-ES" w:eastAsia="es-ES"/>
        </w:rPr>
        <w:t>9</w:t>
      </w:r>
      <w:r w:rsidR="00043043">
        <w:rPr>
          <w:rFonts w:ascii="Verdana" w:eastAsia="Calibri" w:hAnsi="Verdana" w:cs="Arial"/>
          <w:lang w:val="es-ES" w:eastAsia="es-ES"/>
        </w:rPr>
        <w:t xml:space="preserve"> </w:t>
      </w:r>
      <w:r w:rsidRPr="00E5644F">
        <w:rPr>
          <w:rFonts w:ascii="Verdana" w:eastAsia="Calibri" w:hAnsi="Verdana" w:cs="Arial"/>
          <w:lang w:val="es-ES" w:eastAsia="es-ES"/>
        </w:rPr>
        <w:t xml:space="preserve">de </w:t>
      </w:r>
      <w:r w:rsidR="00043043">
        <w:rPr>
          <w:rFonts w:ascii="Verdana" w:eastAsia="Calibri" w:hAnsi="Verdana" w:cs="Arial"/>
          <w:lang w:val="es-ES" w:eastAsia="es-ES"/>
        </w:rPr>
        <w:t>diciembre</w:t>
      </w:r>
      <w:r w:rsidRPr="00E5644F">
        <w:rPr>
          <w:rFonts w:ascii="Verdana" w:eastAsia="Calibri" w:hAnsi="Verdana" w:cs="Arial"/>
          <w:lang w:val="es-ES" w:eastAsia="es-ES"/>
        </w:rPr>
        <w:t xml:space="preserve"> de 2024, en</w:t>
      </w:r>
      <w:r w:rsidRPr="006730E9">
        <w:rPr>
          <w:rFonts w:ascii="Verdana" w:eastAsia="Calibri" w:hAnsi="Verdana" w:cs="Arial"/>
          <w:lang w:val="es-ES" w:eastAsia="es-ES"/>
        </w:rPr>
        <w:t xml:space="preserve"> la cual manifiesta lo siguiente: </w:t>
      </w:r>
    </w:p>
    <w:p w14:paraId="096183A1" w14:textId="77777777" w:rsidR="007D5768" w:rsidRPr="00326382" w:rsidRDefault="007D5768" w:rsidP="007D5768">
      <w:pPr>
        <w:spacing w:after="0" w:line="240" w:lineRule="auto"/>
        <w:ind w:left="709" w:right="474"/>
        <w:jc w:val="both"/>
        <w:rPr>
          <w:rFonts w:ascii="Verdana" w:hAnsi="Verdana" w:cs="Arial"/>
          <w:sz w:val="20"/>
          <w:szCs w:val="20"/>
          <w:shd w:val="clear" w:color="auto" w:fill="FFFFFF"/>
        </w:rPr>
      </w:pPr>
      <w:bookmarkStart w:id="4" w:name="_Hlk95313578"/>
    </w:p>
    <w:bookmarkEnd w:id="4"/>
    <w:p w14:paraId="409F5F76" w14:textId="2731A164" w:rsidR="00EF4E84" w:rsidRPr="00ED58AB" w:rsidRDefault="00E6781E" w:rsidP="00FA3AB1">
      <w:pPr>
        <w:pStyle w:val="Prrafodelista"/>
        <w:tabs>
          <w:tab w:val="left" w:pos="142"/>
          <w:tab w:val="left" w:pos="284"/>
        </w:tabs>
        <w:ind w:left="709" w:right="709"/>
        <w:jc w:val="both"/>
        <w:rPr>
          <w:rFonts w:ascii="Verdana" w:eastAsia="Century Gothic" w:hAnsi="Verdana" w:cs="Century Gothic"/>
          <w:i/>
          <w:iCs/>
          <w:lang w:val="es-CO"/>
        </w:rPr>
      </w:pPr>
      <w:r w:rsidRPr="00ED58AB">
        <w:rPr>
          <w:rFonts w:ascii="Verdana" w:eastAsia="Century Gothic" w:hAnsi="Verdana" w:cs="Century Gothic"/>
          <w:i/>
          <w:iCs/>
          <w:lang w:val="es-CO"/>
        </w:rPr>
        <w:t>“</w:t>
      </w:r>
      <w:r w:rsidR="00FA3AB1">
        <w:rPr>
          <w:rFonts w:ascii="Verdana" w:eastAsia="Century Gothic" w:hAnsi="Verdana" w:cs="Century Gothic"/>
          <w:i/>
          <w:iCs/>
          <w:lang w:val="es-CO"/>
        </w:rPr>
        <w:t xml:space="preserve">(…) </w:t>
      </w:r>
      <w:r w:rsidR="00FA3AB1" w:rsidRPr="00FA3AB1">
        <w:rPr>
          <w:rFonts w:ascii="Verdana" w:eastAsia="Century Gothic" w:hAnsi="Verdana" w:cs="Century Gothic"/>
          <w:i/>
          <w:iCs/>
        </w:rPr>
        <w:t>puede ser rechazada una oferta en concurso de méritos abierto para contratar</w:t>
      </w:r>
      <w:r w:rsidR="00FA3AB1">
        <w:rPr>
          <w:rFonts w:ascii="Verdana" w:eastAsia="Century Gothic" w:hAnsi="Verdana" w:cs="Century Gothic"/>
          <w:i/>
          <w:iCs/>
        </w:rPr>
        <w:t xml:space="preserve"> </w:t>
      </w:r>
      <w:r w:rsidR="00FA3AB1" w:rsidRPr="00FA3AB1">
        <w:rPr>
          <w:rFonts w:ascii="Verdana" w:eastAsia="Century Gothic" w:hAnsi="Verdana" w:cs="Century Gothic"/>
          <w:i/>
          <w:iCs/>
        </w:rPr>
        <w:t>servicios de interventoría,</w:t>
      </w:r>
      <w:r w:rsidR="00FA3AB1">
        <w:rPr>
          <w:rFonts w:ascii="Verdana" w:eastAsia="Century Gothic" w:hAnsi="Verdana" w:cs="Century Gothic"/>
          <w:i/>
          <w:iCs/>
        </w:rPr>
        <w:t xml:space="preserve"> </w:t>
      </w:r>
      <w:r w:rsidR="00FA3AB1" w:rsidRPr="00FA3AB1">
        <w:rPr>
          <w:rFonts w:ascii="Verdana" w:eastAsia="Century Gothic" w:hAnsi="Verdana" w:cs="Century Gothic"/>
          <w:i/>
          <w:iCs/>
        </w:rPr>
        <w:t>cu</w:t>
      </w:r>
      <w:r w:rsidR="00FA3AB1">
        <w:rPr>
          <w:rFonts w:ascii="Verdana" w:eastAsia="Century Gothic" w:hAnsi="Verdana" w:cs="Century Gothic"/>
          <w:i/>
          <w:iCs/>
        </w:rPr>
        <w:t>a</w:t>
      </w:r>
      <w:r w:rsidR="00FA3AB1" w:rsidRPr="00FA3AB1">
        <w:rPr>
          <w:rFonts w:ascii="Verdana" w:eastAsia="Century Gothic" w:hAnsi="Verdana" w:cs="Century Gothic"/>
          <w:i/>
          <w:iCs/>
        </w:rPr>
        <w:t>ndo el oferente modifica el valor del factor</w:t>
      </w:r>
      <w:r w:rsidR="00FA3AB1">
        <w:rPr>
          <w:rFonts w:ascii="Verdana" w:eastAsia="Century Gothic" w:hAnsi="Verdana" w:cs="Century Gothic"/>
          <w:i/>
          <w:iCs/>
        </w:rPr>
        <w:t xml:space="preserve"> </w:t>
      </w:r>
      <w:r w:rsidR="00FA3AB1" w:rsidRPr="00FA3AB1">
        <w:rPr>
          <w:rFonts w:ascii="Verdana" w:eastAsia="Century Gothic" w:hAnsi="Verdana" w:cs="Century Gothic"/>
          <w:i/>
          <w:iCs/>
        </w:rPr>
        <w:t>multiplicador definido por la entidad en el presupuesto oficial, o definido por la</w:t>
      </w:r>
      <w:r w:rsidR="00FA3AB1">
        <w:rPr>
          <w:rFonts w:ascii="Verdana" w:eastAsia="Century Gothic" w:hAnsi="Verdana" w:cs="Century Gothic"/>
          <w:i/>
          <w:iCs/>
        </w:rPr>
        <w:t xml:space="preserve"> </w:t>
      </w:r>
      <w:r w:rsidR="00FA3AB1" w:rsidRPr="00FA3AB1">
        <w:rPr>
          <w:rFonts w:ascii="Verdana" w:eastAsia="Century Gothic" w:hAnsi="Verdana" w:cs="Century Gothic"/>
          <w:i/>
          <w:iCs/>
          <w:lang w:val="es-CO"/>
        </w:rPr>
        <w:t>entidad en el formato u anexo de propuesta económica, del proceso</w:t>
      </w:r>
      <w:r w:rsidR="00EF4E84" w:rsidRPr="00ED58AB">
        <w:rPr>
          <w:rFonts w:ascii="Verdana" w:eastAsia="Century Gothic" w:hAnsi="Verdana" w:cs="Century Gothic"/>
          <w:i/>
          <w:iCs/>
          <w:lang w:val="es-CO"/>
        </w:rPr>
        <w:t>”.</w:t>
      </w:r>
    </w:p>
    <w:p w14:paraId="7EDE0C68" w14:textId="217D55E2" w:rsidR="00E6781E" w:rsidRPr="00AA3B9F" w:rsidRDefault="00E6781E" w:rsidP="00E6781E">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w:t>
      </w:r>
      <w:r w:rsidRPr="00AA3B9F">
        <w:rPr>
          <w:rFonts w:ascii="Verdana" w:eastAsia="Calibri" w:hAnsi="Verdana" w:cs="Arial"/>
          <w:lang w:val="es-ES" w:eastAsia="es-ES"/>
        </w:rPr>
        <w:lastRenderedPageBreak/>
        <w:t xml:space="preserve">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sidR="00BD77C4">
        <w:rPr>
          <w:rFonts w:ascii="Verdana" w:eastAsia="Calibri" w:hAnsi="Verdana" w:cs="Arial"/>
          <w:lang w:val="es-ES" w:eastAsia="es-ES"/>
        </w:rPr>
        <w:t>E</w:t>
      </w:r>
      <w:r w:rsidRPr="00AA3B9F">
        <w:rPr>
          <w:rFonts w:ascii="Verdana" w:eastAsia="Calibri" w:hAnsi="Verdana" w:cs="Arial"/>
          <w:lang w:val="es-ES" w:eastAsia="es-ES"/>
        </w:rPr>
        <w:t xml:space="preserve">ntidades </w:t>
      </w:r>
      <w:r w:rsidR="00BD77C4">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278EE459" w14:textId="77777777" w:rsidR="00E6781E" w:rsidRPr="00AA3B9F" w:rsidRDefault="00E6781E" w:rsidP="00E6781E">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060344BA" w14:textId="77777777" w:rsidR="007D5768" w:rsidRDefault="007D5768" w:rsidP="007D5768">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6704925" w14:textId="77777777" w:rsidR="007D5768" w:rsidRPr="00593A5F" w:rsidRDefault="007D5768" w:rsidP="007D576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 xml:space="preserve">Problema </w:t>
      </w:r>
      <w:r>
        <w:rPr>
          <w:rFonts w:ascii="Verdana" w:eastAsia="Century Gothic" w:hAnsi="Verdana" w:cs="Century Gothic"/>
          <w:b/>
          <w:bCs/>
        </w:rPr>
        <w:t xml:space="preserve">jurídico </w:t>
      </w:r>
      <w:r w:rsidRPr="00593A5F">
        <w:rPr>
          <w:rFonts w:ascii="Verdana" w:eastAsia="Century Gothic" w:hAnsi="Verdana" w:cs="Century Gothic"/>
          <w:b/>
          <w:bCs/>
        </w:rPr>
        <w:t>planteado:</w:t>
      </w:r>
    </w:p>
    <w:p w14:paraId="5CB2E569" w14:textId="77777777" w:rsidR="007D5768" w:rsidRPr="00593A5F" w:rsidRDefault="007D5768" w:rsidP="007D5768">
      <w:pPr>
        <w:tabs>
          <w:tab w:val="left" w:pos="426"/>
        </w:tabs>
        <w:spacing w:after="0" w:line="276" w:lineRule="auto"/>
        <w:jc w:val="both"/>
        <w:rPr>
          <w:rFonts w:ascii="Verdana" w:eastAsia="Century Gothic" w:hAnsi="Verdana" w:cs="Century Gothic"/>
          <w:lang w:val="es-ES"/>
        </w:rPr>
      </w:pPr>
    </w:p>
    <w:p w14:paraId="16124A79" w14:textId="183B3A63" w:rsidR="00FA3AB1" w:rsidRDefault="007D5768" w:rsidP="001561D6">
      <w:pPr>
        <w:pStyle w:val="Prrafodelista"/>
        <w:ind w:left="0" w:right="49"/>
        <w:jc w:val="both"/>
        <w:rPr>
          <w:rFonts w:ascii="Verdana" w:eastAsia="Century Gothic" w:hAnsi="Verdana" w:cs="Century Gothic"/>
          <w:i/>
          <w:iCs/>
        </w:rPr>
      </w:pPr>
      <w:r w:rsidRPr="00B22D91">
        <w:rPr>
          <w:rFonts w:ascii="Verdana" w:eastAsia="Century Gothic" w:hAnsi="Verdana" w:cs="Century Gothic"/>
        </w:rPr>
        <w:t xml:space="preserve">De acuerdo con el contenido de su solicitud, esta Agencia resolverá </w:t>
      </w:r>
      <w:r w:rsidR="00ED291B">
        <w:rPr>
          <w:rFonts w:ascii="Verdana" w:eastAsia="Century Gothic" w:hAnsi="Verdana" w:cs="Century Gothic"/>
        </w:rPr>
        <w:t xml:space="preserve">el </w:t>
      </w:r>
      <w:r>
        <w:rPr>
          <w:rFonts w:ascii="Verdana" w:eastAsia="Century Gothic" w:hAnsi="Verdana" w:cs="Century Gothic"/>
        </w:rPr>
        <w:t xml:space="preserve">siguiente </w:t>
      </w:r>
      <w:r w:rsidRPr="00B22D91">
        <w:rPr>
          <w:rFonts w:ascii="Verdana" w:eastAsia="Century Gothic" w:hAnsi="Verdana" w:cs="Century Gothic"/>
        </w:rPr>
        <w:t>problema jurídico:</w:t>
      </w:r>
      <w:r w:rsidR="003103F2">
        <w:rPr>
          <w:rFonts w:ascii="Verdana" w:eastAsia="Century Gothic" w:hAnsi="Verdana" w:cs="Century Gothic"/>
        </w:rPr>
        <w:t xml:space="preserve"> </w:t>
      </w:r>
      <w:r w:rsidR="00321C89" w:rsidRPr="00321C89">
        <w:rPr>
          <w:rFonts w:ascii="Verdana" w:eastAsia="Century Gothic" w:hAnsi="Verdana" w:cs="Century Gothic"/>
          <w:i/>
          <w:iCs/>
        </w:rPr>
        <w:t>“</w:t>
      </w:r>
      <w:r w:rsidR="00AE31F9">
        <w:rPr>
          <w:rFonts w:ascii="Verdana" w:eastAsia="Century Gothic" w:hAnsi="Verdana" w:cs="Century Gothic"/>
          <w:i/>
          <w:iCs/>
        </w:rPr>
        <w:t>¿</w:t>
      </w:r>
      <w:r w:rsidR="00FA3AB1" w:rsidRPr="00321C89">
        <w:rPr>
          <w:rFonts w:ascii="Verdana" w:eastAsia="Century Gothic" w:hAnsi="Verdana" w:cs="Century Gothic"/>
          <w:i/>
          <w:iCs/>
          <w:lang w:val="es-CO"/>
        </w:rPr>
        <w:t>Pued</w:t>
      </w:r>
      <w:r w:rsidR="00321C89" w:rsidRPr="00321C89">
        <w:rPr>
          <w:rFonts w:ascii="Verdana" w:eastAsia="Century Gothic" w:hAnsi="Verdana" w:cs="Century Gothic"/>
          <w:i/>
          <w:iCs/>
          <w:lang w:val="es-CO"/>
        </w:rPr>
        <w:t>e</w:t>
      </w:r>
      <w:r w:rsidR="00FA3AB1" w:rsidRPr="00321C89">
        <w:rPr>
          <w:rFonts w:ascii="Verdana" w:eastAsia="Century Gothic" w:hAnsi="Verdana" w:cs="Century Gothic"/>
          <w:i/>
          <w:iCs/>
          <w:lang w:val="es-CO"/>
        </w:rPr>
        <w:t xml:space="preserve"> </w:t>
      </w:r>
      <w:r w:rsidR="00321C89" w:rsidRPr="00321C89">
        <w:rPr>
          <w:rFonts w:ascii="Verdana" w:eastAsia="Century Gothic" w:hAnsi="Verdana" w:cs="Century Gothic"/>
          <w:i/>
          <w:iCs/>
          <w:lang w:val="es-CO"/>
        </w:rPr>
        <w:t xml:space="preserve">una oferta ser rechazada si el proponente </w:t>
      </w:r>
      <w:r w:rsidR="00321C89" w:rsidRPr="00FA3AB1">
        <w:rPr>
          <w:rFonts w:ascii="Verdana" w:eastAsia="Century Gothic" w:hAnsi="Verdana" w:cs="Century Gothic"/>
          <w:i/>
          <w:iCs/>
        </w:rPr>
        <w:t xml:space="preserve">modifica </w:t>
      </w:r>
      <w:r w:rsidR="00321C89" w:rsidRPr="00321C89">
        <w:rPr>
          <w:rFonts w:ascii="Verdana" w:eastAsia="Century Gothic" w:hAnsi="Verdana" w:cs="Century Gothic"/>
          <w:i/>
          <w:iCs/>
        </w:rPr>
        <w:t xml:space="preserve">en el formato de propuesta económica </w:t>
      </w:r>
      <w:r w:rsidR="00321C89" w:rsidRPr="00FA3AB1">
        <w:rPr>
          <w:rFonts w:ascii="Verdana" w:eastAsia="Century Gothic" w:hAnsi="Verdana" w:cs="Century Gothic"/>
          <w:i/>
          <w:iCs/>
        </w:rPr>
        <w:t>el valor del factor</w:t>
      </w:r>
      <w:r w:rsidR="00321C89" w:rsidRPr="00321C89">
        <w:rPr>
          <w:rFonts w:ascii="Verdana" w:eastAsia="Century Gothic" w:hAnsi="Verdana" w:cs="Century Gothic"/>
          <w:i/>
          <w:iCs/>
        </w:rPr>
        <w:t xml:space="preserve"> </w:t>
      </w:r>
      <w:r w:rsidR="00321C89" w:rsidRPr="00FA3AB1">
        <w:rPr>
          <w:rFonts w:ascii="Verdana" w:eastAsia="Century Gothic" w:hAnsi="Verdana" w:cs="Century Gothic"/>
          <w:i/>
          <w:iCs/>
        </w:rPr>
        <w:t>multiplicador definido por la entidad en el presupuesto oficial</w:t>
      </w:r>
      <w:r w:rsidR="003D3D8D" w:rsidRPr="00EF04FC">
        <w:rPr>
          <w:rFonts w:ascii="Verdana" w:hAnsi="Verdana"/>
          <w:i/>
          <w:iCs/>
          <w:sz w:val="21"/>
          <w:szCs w:val="21"/>
        </w:rPr>
        <w:t>?</w:t>
      </w:r>
      <w:r w:rsidR="00321C89" w:rsidRPr="00321C89">
        <w:rPr>
          <w:rFonts w:ascii="Verdana" w:eastAsia="Century Gothic" w:hAnsi="Verdana" w:cs="Century Gothic"/>
          <w:i/>
          <w:iCs/>
        </w:rPr>
        <w:t>”</w:t>
      </w:r>
    </w:p>
    <w:p w14:paraId="305DC1ED" w14:textId="77777777" w:rsidR="00AA2B1E" w:rsidRDefault="00AA2B1E" w:rsidP="001561D6">
      <w:pPr>
        <w:pStyle w:val="Prrafodelista"/>
        <w:ind w:left="0" w:right="49"/>
        <w:jc w:val="both"/>
        <w:rPr>
          <w:rFonts w:ascii="Verdana" w:eastAsia="Century Gothic" w:hAnsi="Verdana" w:cs="Century Gothic"/>
        </w:rPr>
      </w:pPr>
    </w:p>
    <w:p w14:paraId="0FABB1D4" w14:textId="77777777" w:rsidR="007D5768" w:rsidRPr="00593A5F" w:rsidRDefault="007D5768" w:rsidP="007D576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8D1DC7E" w14:textId="77777777" w:rsidR="007D5768" w:rsidRPr="00593A5F" w:rsidRDefault="007D5768" w:rsidP="007D5768">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779"/>
      </w:tblGrid>
      <w:tr w:rsidR="007D5768" w:rsidRPr="00593A5F" w14:paraId="2BAE82EC" w14:textId="77777777" w:rsidTr="00E1079D">
        <w:tc>
          <w:tcPr>
            <w:tcW w:w="8828" w:type="dxa"/>
            <w:shd w:val="clear" w:color="auto" w:fill="auto"/>
          </w:tcPr>
          <w:p w14:paraId="70B2C26A" w14:textId="77777777" w:rsidR="00321C89" w:rsidRPr="00321C89" w:rsidRDefault="00321C89" w:rsidP="00321C89">
            <w:pPr>
              <w:spacing w:before="130" w:line="276" w:lineRule="auto"/>
              <w:ind w:left="113" w:right="111" w:firstLine="709"/>
              <w:jc w:val="both"/>
              <w:rPr>
                <w:rFonts w:ascii="Verdana" w:hAnsi="Verdana"/>
              </w:rPr>
            </w:pPr>
            <w:r w:rsidRPr="00321C89">
              <w:rPr>
                <w:rFonts w:ascii="Verdana" w:hAnsi="Verdana"/>
              </w:rPr>
              <w:t>Frente al interrogante planteado, las causales de rechazo son las establecidas en la Ley y las fijadas por la Entidad Estatal en los pliegos de condiciones y/o invitación a participar. No obstante, cuando se trata de ausencia de requisitos o la falta de documentos referentes a la futura contratación o al proponente, que no son necesarios para la comparación de las</w:t>
            </w:r>
            <w:r w:rsidRPr="00321C89">
              <w:rPr>
                <w:rFonts w:ascii="Verdana" w:hAnsi="Verdana"/>
                <w:spacing w:val="-3"/>
              </w:rPr>
              <w:t xml:space="preserve"> </w:t>
            </w:r>
            <w:r w:rsidRPr="00321C89">
              <w:rPr>
                <w:rFonts w:ascii="Verdana" w:hAnsi="Verdana"/>
              </w:rPr>
              <w:t>propuestas, la</w:t>
            </w:r>
            <w:r w:rsidRPr="00321C89">
              <w:rPr>
                <w:rFonts w:ascii="Verdana" w:hAnsi="Verdana"/>
                <w:spacing w:val="-3"/>
              </w:rPr>
              <w:t xml:space="preserve"> </w:t>
            </w:r>
            <w:r w:rsidRPr="00321C89">
              <w:rPr>
                <w:rFonts w:ascii="Verdana" w:hAnsi="Verdana"/>
              </w:rPr>
              <w:t>Ley</w:t>
            </w:r>
            <w:r w:rsidRPr="00321C89">
              <w:rPr>
                <w:rFonts w:ascii="Verdana" w:hAnsi="Verdana"/>
                <w:spacing w:val="-3"/>
              </w:rPr>
              <w:t xml:space="preserve"> </w:t>
            </w:r>
            <w:r w:rsidRPr="00321C89">
              <w:rPr>
                <w:rFonts w:ascii="Verdana" w:hAnsi="Verdana"/>
              </w:rPr>
              <w:t>dispone</w:t>
            </w:r>
            <w:r w:rsidRPr="00321C89">
              <w:rPr>
                <w:rFonts w:ascii="Verdana" w:hAnsi="Verdana"/>
                <w:spacing w:val="-2"/>
              </w:rPr>
              <w:t xml:space="preserve"> </w:t>
            </w:r>
            <w:r w:rsidRPr="00321C89">
              <w:rPr>
                <w:rFonts w:ascii="Verdana" w:hAnsi="Verdana"/>
              </w:rPr>
              <w:t>que</w:t>
            </w:r>
            <w:r w:rsidRPr="00321C89">
              <w:rPr>
                <w:rFonts w:ascii="Verdana" w:hAnsi="Verdana"/>
                <w:spacing w:val="-3"/>
              </w:rPr>
              <w:t xml:space="preserve"> </w:t>
            </w:r>
            <w:r w:rsidRPr="00321C89">
              <w:rPr>
                <w:rFonts w:ascii="Verdana" w:hAnsi="Verdana"/>
              </w:rPr>
              <w:t>esto</w:t>
            </w:r>
            <w:r w:rsidRPr="00321C89">
              <w:rPr>
                <w:rFonts w:ascii="Verdana" w:hAnsi="Verdana"/>
                <w:spacing w:val="-2"/>
              </w:rPr>
              <w:t xml:space="preserve"> </w:t>
            </w:r>
            <w:r w:rsidRPr="00321C89">
              <w:rPr>
                <w:rFonts w:ascii="Verdana" w:hAnsi="Verdana"/>
              </w:rPr>
              <w:t>no</w:t>
            </w:r>
            <w:r w:rsidRPr="00321C89">
              <w:rPr>
                <w:rFonts w:ascii="Verdana" w:hAnsi="Verdana"/>
                <w:spacing w:val="-3"/>
              </w:rPr>
              <w:t xml:space="preserve"> </w:t>
            </w:r>
            <w:r w:rsidRPr="00321C89">
              <w:rPr>
                <w:rFonts w:ascii="Verdana" w:hAnsi="Verdana"/>
              </w:rPr>
              <w:t>es</w:t>
            </w:r>
            <w:r w:rsidRPr="00321C89">
              <w:rPr>
                <w:rFonts w:ascii="Verdana" w:hAnsi="Verdana"/>
                <w:spacing w:val="-3"/>
              </w:rPr>
              <w:t xml:space="preserve"> </w:t>
            </w:r>
            <w:r w:rsidRPr="00321C89">
              <w:rPr>
                <w:rFonts w:ascii="Verdana" w:hAnsi="Verdana"/>
              </w:rPr>
              <w:t>título</w:t>
            </w:r>
            <w:r w:rsidRPr="00321C89">
              <w:rPr>
                <w:rFonts w:ascii="Verdana" w:hAnsi="Verdana"/>
                <w:spacing w:val="-2"/>
              </w:rPr>
              <w:t xml:space="preserve"> </w:t>
            </w:r>
            <w:r w:rsidRPr="00321C89">
              <w:rPr>
                <w:rFonts w:ascii="Verdana" w:hAnsi="Verdana"/>
              </w:rPr>
              <w:t>suficiente para</w:t>
            </w:r>
            <w:r w:rsidRPr="00321C89">
              <w:rPr>
                <w:rFonts w:ascii="Verdana" w:hAnsi="Verdana"/>
                <w:spacing w:val="-3"/>
              </w:rPr>
              <w:t xml:space="preserve"> </w:t>
            </w:r>
            <w:r w:rsidRPr="00321C89">
              <w:rPr>
                <w:rFonts w:ascii="Verdana" w:hAnsi="Verdana"/>
              </w:rPr>
              <w:t>el</w:t>
            </w:r>
            <w:r w:rsidRPr="00321C89">
              <w:rPr>
                <w:rFonts w:ascii="Verdana" w:hAnsi="Verdana"/>
                <w:spacing w:val="-3"/>
              </w:rPr>
              <w:t xml:space="preserve"> </w:t>
            </w:r>
            <w:r w:rsidRPr="00321C89">
              <w:rPr>
                <w:rFonts w:ascii="Verdana" w:hAnsi="Verdana"/>
              </w:rPr>
              <w:t>rechazo de las propuestas</w:t>
            </w:r>
            <w:r w:rsidRPr="00321C89">
              <w:rPr>
                <w:rFonts w:ascii="Verdana" w:hAnsi="Verdana"/>
                <w:vertAlign w:val="superscript"/>
              </w:rPr>
              <w:t>1</w:t>
            </w:r>
          </w:p>
          <w:p w14:paraId="058FF7A5" w14:textId="77777777" w:rsidR="00F73C01" w:rsidRDefault="00F73C01" w:rsidP="00321C89">
            <w:pPr>
              <w:spacing w:line="276" w:lineRule="auto"/>
              <w:ind w:firstLine="708"/>
              <w:jc w:val="both"/>
              <w:rPr>
                <w:rFonts w:ascii="Verdana" w:hAnsi="Verdana" w:cs="Arial"/>
                <w:bCs/>
                <w:color w:val="000000" w:themeColor="text1"/>
              </w:rPr>
            </w:pPr>
          </w:p>
          <w:p w14:paraId="3F732E40" w14:textId="0EE91B03" w:rsidR="00321C89" w:rsidRDefault="00321C89" w:rsidP="00DB1170">
            <w:pPr>
              <w:spacing w:line="276" w:lineRule="auto"/>
              <w:jc w:val="both"/>
              <w:rPr>
                <w:rFonts w:ascii="Verdana" w:hAnsi="Verdana" w:cs="Arial"/>
                <w:bCs/>
                <w:color w:val="000000" w:themeColor="text1"/>
              </w:rPr>
            </w:pPr>
            <w:r w:rsidRPr="00321C89">
              <w:rPr>
                <w:rFonts w:ascii="Verdana" w:hAnsi="Verdana" w:cs="Arial"/>
                <w:bCs/>
                <w:color w:val="000000" w:themeColor="text1"/>
              </w:rPr>
              <w:t>En ese orden de ideas, el rechazo de las ofertas debe provenir entre otros factores, de la imposibilidad de hacer una escogencia favorable a la</w:t>
            </w:r>
            <w:r>
              <w:rPr>
                <w:rFonts w:ascii="Verdana" w:hAnsi="Verdana" w:cs="Arial"/>
                <w:bCs/>
                <w:color w:val="000000" w:themeColor="text1"/>
              </w:rPr>
              <w:t xml:space="preserve"> entidad estatal y a los fines que ella busca en cumplimiento del deber </w:t>
            </w:r>
            <w:r w:rsidRPr="00321C89">
              <w:rPr>
                <w:rFonts w:ascii="Verdana" w:hAnsi="Verdana" w:cs="Arial"/>
                <w:bCs/>
                <w:color w:val="000000" w:themeColor="text1"/>
              </w:rPr>
              <w:t xml:space="preserve">selección </w:t>
            </w:r>
            <w:r w:rsidRPr="00321C89">
              <w:rPr>
                <w:rFonts w:ascii="Verdana" w:hAnsi="Verdana" w:cs="Arial"/>
                <w:bCs/>
                <w:color w:val="000000" w:themeColor="text1"/>
              </w:rPr>
              <w:lastRenderedPageBreak/>
              <w:t xml:space="preserve">objetiva. Por tanto y de acuerdo con lo señalado previamente, será́ la Entidad Estatal quién determinará las circunstancias que no permitan admitir una propuesta en un </w:t>
            </w:r>
            <w:r w:rsidR="00EF04FC">
              <w:rPr>
                <w:rFonts w:ascii="Verdana" w:hAnsi="Verdana" w:cs="Arial"/>
                <w:bCs/>
                <w:color w:val="000000" w:themeColor="text1"/>
              </w:rPr>
              <w:t>p</w:t>
            </w:r>
            <w:r w:rsidRPr="00321C89">
              <w:rPr>
                <w:rFonts w:ascii="Verdana" w:hAnsi="Verdana" w:cs="Arial"/>
                <w:bCs/>
                <w:color w:val="000000" w:themeColor="text1"/>
              </w:rPr>
              <w:t xml:space="preserve">roceso de </w:t>
            </w:r>
            <w:r w:rsidR="00EF04FC">
              <w:rPr>
                <w:rFonts w:ascii="Verdana" w:hAnsi="Verdana" w:cs="Arial"/>
                <w:bCs/>
                <w:color w:val="000000" w:themeColor="text1"/>
              </w:rPr>
              <w:t>c</w:t>
            </w:r>
            <w:r w:rsidRPr="00321C89">
              <w:rPr>
                <w:rFonts w:ascii="Verdana" w:hAnsi="Verdana" w:cs="Arial"/>
                <w:bCs/>
                <w:color w:val="000000" w:themeColor="text1"/>
              </w:rPr>
              <w:t>ontratación</w:t>
            </w:r>
            <w:r>
              <w:rPr>
                <w:rFonts w:ascii="Verdana" w:hAnsi="Verdana" w:cs="Arial"/>
                <w:bCs/>
                <w:color w:val="000000" w:themeColor="text1"/>
              </w:rPr>
              <w:t>.</w:t>
            </w:r>
          </w:p>
          <w:p w14:paraId="38E3FA80" w14:textId="77777777" w:rsidR="00321C89" w:rsidRDefault="00321C89" w:rsidP="00321C89">
            <w:pPr>
              <w:spacing w:line="276" w:lineRule="auto"/>
              <w:ind w:firstLine="708"/>
              <w:jc w:val="both"/>
              <w:rPr>
                <w:rFonts w:ascii="Verdana" w:hAnsi="Verdana" w:cs="Arial"/>
                <w:bCs/>
                <w:color w:val="000000" w:themeColor="text1"/>
              </w:rPr>
            </w:pPr>
          </w:p>
          <w:p w14:paraId="3784CB81" w14:textId="77777777" w:rsidR="005773E3" w:rsidRDefault="00E949C2" w:rsidP="00E949C2">
            <w:pPr>
              <w:spacing w:line="276" w:lineRule="auto"/>
              <w:jc w:val="both"/>
              <w:rPr>
                <w:rFonts w:ascii="Verdana" w:hAnsi="Verdana" w:cs="Arial"/>
                <w:color w:val="000000" w:themeColor="text1"/>
                <w:lang w:val="es-ES_tradnl"/>
              </w:rPr>
            </w:pPr>
            <w:r w:rsidRPr="00323B34">
              <w:rPr>
                <w:rFonts w:ascii="Verdana" w:eastAsia="Calibri" w:hAnsi="Verdana" w:cs="Arial"/>
                <w:lang w:val="es-ES"/>
              </w:rPr>
              <w:t xml:space="preserve">Ahora bien, </w:t>
            </w:r>
            <w:r w:rsidR="00EF04FC">
              <w:rPr>
                <w:rFonts w:ascii="Verdana" w:eastAsia="Calibri" w:hAnsi="Verdana" w:cs="Arial"/>
                <w:lang w:val="es-ES"/>
              </w:rPr>
              <w:t>e</w:t>
            </w:r>
            <w:r w:rsidR="00EF04FC" w:rsidRPr="00323B34">
              <w:rPr>
                <w:rFonts w:ascii="Verdana" w:hAnsi="Verdana" w:cs="Arial"/>
                <w:color w:val="000000" w:themeColor="text1"/>
                <w:lang w:val="es-ES_tradnl"/>
              </w:rPr>
              <w:t>n l</w:t>
            </w:r>
            <w:r w:rsidR="00EF04FC">
              <w:rPr>
                <w:rFonts w:ascii="Verdana" w:hAnsi="Verdana" w:cs="Arial"/>
                <w:color w:val="000000" w:themeColor="text1"/>
                <w:lang w:val="es-ES_tradnl"/>
              </w:rPr>
              <w:t>o relacionado con la</w:t>
            </w:r>
            <w:r w:rsidR="00EF04FC" w:rsidRPr="00323B34">
              <w:rPr>
                <w:rFonts w:ascii="Verdana" w:hAnsi="Verdana" w:cs="Arial"/>
                <w:color w:val="000000" w:themeColor="text1"/>
                <w:lang w:val="es-ES_tradnl"/>
              </w:rPr>
              <w:t xml:space="preserve"> estipulación del precio de los contratos</w:t>
            </w:r>
            <w:r w:rsidR="00EF04FC">
              <w:rPr>
                <w:rFonts w:ascii="Verdana" w:hAnsi="Verdana" w:cs="Arial"/>
                <w:color w:val="000000" w:themeColor="text1"/>
                <w:lang w:val="es-ES_tradnl"/>
              </w:rPr>
              <w:t>,</w:t>
            </w:r>
          </w:p>
          <w:p w14:paraId="1EEFB6A5" w14:textId="7C7FE1A3" w:rsidR="00E949C2" w:rsidRPr="00323B34" w:rsidRDefault="00E949C2" w:rsidP="00E949C2">
            <w:pPr>
              <w:spacing w:line="276" w:lineRule="auto"/>
              <w:jc w:val="both"/>
              <w:rPr>
                <w:rFonts w:ascii="Verdana" w:eastAsia="Calibri" w:hAnsi="Verdana" w:cs="Arial"/>
                <w:lang w:val="es-ES"/>
              </w:rPr>
            </w:pPr>
            <w:r w:rsidRPr="00323B34">
              <w:rPr>
                <w:rFonts w:ascii="Verdana" w:eastAsia="Calibri" w:hAnsi="Verdana" w:cs="Arial"/>
                <w:lang w:val="es-ES"/>
              </w:rPr>
              <w:t xml:space="preserve">el </w:t>
            </w:r>
            <w:r w:rsidRPr="00323B34">
              <w:rPr>
                <w:rFonts w:ascii="Verdana" w:eastAsia="Calibri" w:hAnsi="Verdana" w:cs="Arial"/>
                <w:i/>
                <w:iCs/>
                <w:lang w:val="es-ES"/>
              </w:rPr>
              <w:t>factor multiplicador</w:t>
            </w:r>
            <w:r w:rsidRPr="00323B34">
              <w:rPr>
                <w:rFonts w:ascii="Verdana" w:eastAsia="Calibri" w:hAnsi="Verdana" w:cs="Arial"/>
                <w:lang w:val="es-ES"/>
              </w:rPr>
              <w:t xml:space="preserve"> es un sistema que permite imputar al contrato los costos directos asociados a las prestaciones laborales y sociales del personal vinculado con carácter exclusivo al proyecto, así como conceptos asociados a prestaciones sociales, la utilidad del ingeniero y los costos de administración. De esta manera se obtiene un subtotal de costos directos a partir de la sumatoria de los valores correspondientes a los salarios del personal, incrementando a partir de su multiplicación por un factor que suele consistir en una cifra de dos dígitos, con una parte entera y otra decimal. Esto sin perjuicio de la incorporación de otros costos directos como viáticos, alquiler de equipos, oficinas, etc., cuya discriminación se exige de manera separada de los costos de personal, para ser sumados al valor resultante la aplicación del factor multiplicador.</w:t>
            </w:r>
          </w:p>
          <w:p w14:paraId="6642BCE1" w14:textId="77777777" w:rsidR="00E949C2" w:rsidRPr="00323B34" w:rsidRDefault="00E949C2" w:rsidP="00E949C2">
            <w:pPr>
              <w:spacing w:line="276" w:lineRule="auto"/>
              <w:jc w:val="both"/>
              <w:rPr>
                <w:rFonts w:ascii="Verdana" w:hAnsi="Verdana" w:cs="Arial"/>
              </w:rPr>
            </w:pPr>
          </w:p>
          <w:p w14:paraId="38782207" w14:textId="0CF9098D" w:rsidR="00321C89" w:rsidRDefault="00E949C2" w:rsidP="00E949C2">
            <w:pPr>
              <w:spacing w:line="276" w:lineRule="auto"/>
              <w:jc w:val="both"/>
              <w:rPr>
                <w:rFonts w:ascii="Verdana" w:hAnsi="Verdana" w:cs="Arial"/>
                <w:bCs/>
                <w:color w:val="000000" w:themeColor="text1"/>
              </w:rPr>
            </w:pPr>
            <w:r w:rsidRPr="00323B34">
              <w:rPr>
                <w:rFonts w:ascii="Verdana" w:hAnsi="Verdana" w:cs="Arial"/>
              </w:rPr>
              <w:t xml:space="preserve">En este orden de ideas el </w:t>
            </w:r>
            <w:r w:rsidRPr="00323B34">
              <w:rPr>
                <w:rFonts w:ascii="Verdana" w:hAnsi="Verdana" w:cs="Arial"/>
                <w:i/>
                <w:iCs/>
              </w:rPr>
              <w:t>factor multiplicador</w:t>
            </w:r>
            <w:r w:rsidRPr="00323B34">
              <w:rPr>
                <w:rFonts w:ascii="Verdana" w:hAnsi="Verdana" w:cs="Arial"/>
              </w:rPr>
              <w:t xml:space="preserve"> no está ligado a nivel normativo con el sistema de precios unitarios. Sin embargo, su metodología es de común utilización en contratos que optan por este, en la medida en que esta solo incluye los costos directos e indirectos asociados al personal, más no incluye los otros costos directos e indirectos en los que puede incurrir el contratista, por lo que deben incorporarse en el valor del contrato y en las propuestas económicas de manera separada a los costos de personal afectados por el factor multiplicador, ya sea mediante el sistema de precios unitarios o mediante partidas globales adicionales a las referentes al factor multiplicador.</w:t>
            </w:r>
          </w:p>
          <w:p w14:paraId="62AAB8F0" w14:textId="77777777" w:rsidR="00321C89" w:rsidRDefault="00321C89" w:rsidP="00321C89">
            <w:pPr>
              <w:spacing w:line="276" w:lineRule="auto"/>
              <w:ind w:firstLine="708"/>
              <w:jc w:val="both"/>
              <w:rPr>
                <w:rFonts w:ascii="Verdana" w:hAnsi="Verdana" w:cs="Arial"/>
                <w:bCs/>
                <w:color w:val="000000" w:themeColor="text1"/>
              </w:rPr>
            </w:pPr>
          </w:p>
          <w:p w14:paraId="7EDF1665" w14:textId="77777777" w:rsidR="00357D03" w:rsidRDefault="00357D03" w:rsidP="00357D03">
            <w:pPr>
              <w:spacing w:line="276" w:lineRule="auto"/>
              <w:ind w:firstLine="360"/>
              <w:contextualSpacing/>
              <w:jc w:val="both"/>
              <w:rPr>
                <w:rFonts w:ascii="Verdana" w:eastAsia="Arial" w:hAnsi="Verdana" w:cs="Arial"/>
                <w:color w:val="000000"/>
                <w:kern w:val="2"/>
                <w14:ligatures w14:val="standardContextual"/>
              </w:rPr>
            </w:pPr>
            <w:r>
              <w:rPr>
                <w:rFonts w:ascii="Verdana" w:eastAsia="Arial" w:hAnsi="Verdana" w:cs="Arial"/>
                <w:color w:val="000000"/>
                <w:kern w:val="2"/>
                <w14:ligatures w14:val="standardContextual"/>
              </w:rPr>
              <w:t>Ahora bien, l</w:t>
            </w:r>
            <w:r w:rsidRPr="00576583">
              <w:rPr>
                <w:rFonts w:ascii="Verdana" w:eastAsia="Arial" w:hAnsi="Verdana" w:cs="Arial"/>
                <w:color w:val="000000"/>
                <w:kern w:val="2"/>
                <w14:ligatures w14:val="standardContextual"/>
              </w:rPr>
              <w:t xml:space="preserve">os costos asociados al personal requerido para ejecutar el contrato son un aspecto que entran a determinar su precio, por lo que son un tema para considerar al hacer el ofrecimiento económico en la etapa de presentación de ofertas, con sujeción al mecanismo para determinar el precio que regule la entidad en el pliego de condiciones. En ese sentido, cuando una entidad incorpora el mecanismo del factor multiplicador debe incluir las reglas para que estos sean considerados por los proponentes, de suerte que incluyan los costos asociados al personal para la ejecución del contrato en concordancia </w:t>
            </w:r>
            <w:r w:rsidRPr="00576583">
              <w:rPr>
                <w:rFonts w:ascii="Verdana" w:eastAsia="Arial" w:hAnsi="Verdana" w:cs="Arial"/>
                <w:color w:val="000000"/>
                <w:kern w:val="2"/>
                <w14:ligatures w14:val="standardContextual"/>
              </w:rPr>
              <w:lastRenderedPageBreak/>
              <w:t xml:space="preserve">con el equipo de trabajo exigido, el cual debe atender unas condiciones y perfiles específicos establecidos en los Documentos del Proceso. </w:t>
            </w:r>
            <w:r w:rsidRPr="000B64D3">
              <w:rPr>
                <w:rFonts w:ascii="Verdana" w:eastAsia="Arial" w:hAnsi="Verdana" w:cs="Arial"/>
                <w:color w:val="000000"/>
                <w:kern w:val="2"/>
                <w14:ligatures w14:val="standardContextual"/>
              </w:rPr>
              <w:t>Las reglas que discrecionalmente deben establecer las entidades estatales en los pliegos de condiciones para regular los mencionados aspectos son las que en últimas determinan que tipo de contratación de personal es la que corresponde realizar al contratista para ejecutar el proyecto</w:t>
            </w:r>
            <w:r w:rsidRPr="00576583">
              <w:rPr>
                <w:rFonts w:ascii="Verdana" w:eastAsia="Arial" w:hAnsi="Verdana" w:cs="Arial"/>
                <w:color w:val="000000"/>
                <w:kern w:val="2"/>
                <w14:ligatures w14:val="standardContextual"/>
              </w:rPr>
              <w:t>, así como la posibilidad de que los costos de dicha contratación–ya sea laboral o por prestación de servicios–, se incorporen al precio del contrato, por la vía del factor multiplicador aplicado para hacer la oferta económica.</w:t>
            </w:r>
          </w:p>
          <w:p w14:paraId="5B91E63F" w14:textId="77777777" w:rsidR="00357D03" w:rsidRDefault="00357D03" w:rsidP="00E949C2">
            <w:pPr>
              <w:spacing w:line="276" w:lineRule="auto"/>
              <w:jc w:val="both"/>
              <w:rPr>
                <w:rFonts w:ascii="Verdana" w:eastAsia="Calibri" w:hAnsi="Verdana" w:cs="Arial"/>
                <w:lang w:val="es-ES"/>
              </w:rPr>
            </w:pPr>
          </w:p>
          <w:p w14:paraId="53647A26" w14:textId="4F6B1F05" w:rsidR="00E949C2" w:rsidRPr="00E949C2" w:rsidRDefault="00E949C2" w:rsidP="00E949C2">
            <w:pPr>
              <w:spacing w:line="276" w:lineRule="auto"/>
              <w:jc w:val="both"/>
              <w:rPr>
                <w:rFonts w:ascii="Verdana" w:hAnsi="Verdana" w:cs="Arial"/>
                <w:bCs/>
                <w:color w:val="000000" w:themeColor="text1"/>
              </w:rPr>
            </w:pPr>
            <w:r>
              <w:rPr>
                <w:rFonts w:ascii="Verdana" w:eastAsia="Calibri" w:hAnsi="Verdana" w:cs="Arial"/>
                <w:lang w:val="es-ES"/>
              </w:rPr>
              <w:t>Asi las cosas</w:t>
            </w:r>
            <w:r w:rsidR="005773E3">
              <w:rPr>
                <w:rFonts w:ascii="Verdana" w:eastAsia="Calibri" w:hAnsi="Verdana" w:cs="Arial"/>
                <w:lang w:val="es-ES"/>
              </w:rPr>
              <w:t>,</w:t>
            </w:r>
            <w:r w:rsidR="00DB1170">
              <w:rPr>
                <w:rFonts w:ascii="Verdana" w:eastAsia="Calibri" w:hAnsi="Verdana" w:cs="Arial"/>
                <w:lang w:val="es-ES"/>
              </w:rPr>
              <w:t xml:space="preserve"> resulta necesario que se verifiquen las condiciones propias de cada proceso de selección en el que se pretenda </w:t>
            </w:r>
            <w:r>
              <w:rPr>
                <w:rFonts w:ascii="Verdana" w:eastAsia="Calibri" w:hAnsi="Verdana" w:cs="Arial"/>
                <w:lang w:val="es-ES"/>
              </w:rPr>
              <w:t>participar con</w:t>
            </w:r>
            <w:r w:rsidR="00DB1170">
              <w:rPr>
                <w:rFonts w:ascii="Verdana" w:eastAsia="Calibri" w:hAnsi="Verdana" w:cs="Arial"/>
                <w:lang w:val="es-ES"/>
              </w:rPr>
              <w:t xml:space="preserve"> el fin de dar cumplimiento estricto a las reglas propias de este y no incurrir en causales de rechazo</w:t>
            </w:r>
            <w:r>
              <w:rPr>
                <w:rFonts w:ascii="Verdana" w:eastAsia="Calibri" w:hAnsi="Verdana" w:cs="Arial"/>
                <w:lang w:val="es-ES"/>
              </w:rPr>
              <w:t xml:space="preserve">, </w:t>
            </w:r>
            <w:r>
              <w:rPr>
                <w:rFonts w:ascii="Verdana" w:hAnsi="Verdana" w:cs="Arial"/>
                <w:bCs/>
                <w:color w:val="000000" w:themeColor="text1"/>
              </w:rPr>
              <w:t>por lo que corresponderá</w:t>
            </w:r>
            <w:r w:rsidRPr="00523EE3">
              <w:rPr>
                <w:rFonts w:ascii="Verdana" w:hAnsi="Verdana" w:cs="Arial"/>
                <w:bCs/>
                <w:color w:val="000000" w:themeColor="text1"/>
              </w:rPr>
              <w:t xml:space="preserve"> a cada entidad pública, en ejercicio de su competencia y previa valoración de los elementos fácticos</w:t>
            </w:r>
            <w:r w:rsidR="00576583">
              <w:rPr>
                <w:rFonts w:ascii="Verdana" w:hAnsi="Verdana" w:cs="Arial"/>
                <w:bCs/>
                <w:color w:val="000000" w:themeColor="text1"/>
              </w:rPr>
              <w:t xml:space="preserve">, </w:t>
            </w:r>
            <w:r w:rsidRPr="00523EE3">
              <w:rPr>
                <w:rFonts w:ascii="Verdana" w:hAnsi="Verdana" w:cs="Arial"/>
                <w:bCs/>
                <w:color w:val="000000" w:themeColor="text1"/>
              </w:rPr>
              <w:t>jurídicos</w:t>
            </w:r>
            <w:r w:rsidR="00576583">
              <w:rPr>
                <w:rFonts w:ascii="Verdana" w:hAnsi="Verdana" w:cs="Arial"/>
                <w:bCs/>
                <w:color w:val="000000" w:themeColor="text1"/>
              </w:rPr>
              <w:t xml:space="preserve"> y en especial de las condiciones establecidas en los pliegos de condiciones</w:t>
            </w:r>
            <w:r w:rsidR="005773E3">
              <w:rPr>
                <w:rFonts w:ascii="Verdana" w:hAnsi="Verdana" w:cs="Arial"/>
                <w:bCs/>
                <w:color w:val="000000" w:themeColor="text1"/>
              </w:rPr>
              <w:t>,</w:t>
            </w:r>
            <w:r w:rsidRPr="00523EE3">
              <w:rPr>
                <w:rFonts w:ascii="Verdana" w:hAnsi="Verdana" w:cs="Arial"/>
                <w:bCs/>
                <w:color w:val="000000" w:themeColor="text1"/>
              </w:rPr>
              <w:t xml:space="preserve"> </w:t>
            </w:r>
            <w:r>
              <w:rPr>
                <w:rFonts w:ascii="Verdana" w:hAnsi="Verdana" w:cs="Arial"/>
                <w:bCs/>
                <w:color w:val="000000" w:themeColor="text1"/>
              </w:rPr>
              <w:t>determinar la viabilidad o no de proceder al r</w:t>
            </w:r>
            <w:r w:rsidRPr="00E949C2">
              <w:rPr>
                <w:rFonts w:ascii="Verdana" w:hAnsi="Verdana" w:cs="Arial"/>
                <w:bCs/>
                <w:color w:val="000000" w:themeColor="text1"/>
              </w:rPr>
              <w:t>echaz</w:t>
            </w:r>
            <w:r>
              <w:rPr>
                <w:rFonts w:ascii="Verdana" w:hAnsi="Verdana" w:cs="Arial"/>
                <w:bCs/>
                <w:color w:val="000000" w:themeColor="text1"/>
              </w:rPr>
              <w:t>o de una oferta</w:t>
            </w:r>
            <w:r w:rsidRPr="00E949C2">
              <w:rPr>
                <w:rFonts w:ascii="Verdana" w:hAnsi="Verdana" w:cs="Arial"/>
                <w:bCs/>
                <w:color w:val="000000" w:themeColor="text1"/>
              </w:rPr>
              <w:t xml:space="preserve"> </w:t>
            </w:r>
            <w:r>
              <w:rPr>
                <w:rFonts w:ascii="Verdana" w:hAnsi="Verdana" w:cs="Arial"/>
                <w:bCs/>
                <w:color w:val="000000" w:themeColor="text1"/>
              </w:rPr>
              <w:t xml:space="preserve">en el caso que se presente una </w:t>
            </w:r>
            <w:r w:rsidRPr="00E949C2">
              <w:rPr>
                <w:rFonts w:ascii="Verdana" w:hAnsi="Verdana" w:cs="Arial"/>
                <w:bCs/>
                <w:color w:val="000000" w:themeColor="text1"/>
              </w:rPr>
              <w:t>modifica</w:t>
            </w:r>
            <w:r>
              <w:rPr>
                <w:rFonts w:ascii="Verdana" w:hAnsi="Verdana" w:cs="Arial"/>
                <w:bCs/>
                <w:color w:val="000000" w:themeColor="text1"/>
              </w:rPr>
              <w:t>ción</w:t>
            </w:r>
            <w:r w:rsidRPr="00E949C2">
              <w:rPr>
                <w:rFonts w:ascii="Verdana" w:hAnsi="Verdana" w:cs="Arial"/>
                <w:bCs/>
                <w:color w:val="000000" w:themeColor="text1"/>
              </w:rPr>
              <w:t xml:space="preserve"> </w:t>
            </w:r>
            <w:r>
              <w:rPr>
                <w:rFonts w:ascii="Verdana" w:hAnsi="Verdana" w:cs="Arial"/>
                <w:bCs/>
                <w:color w:val="000000" w:themeColor="text1"/>
              </w:rPr>
              <w:t xml:space="preserve">por parte del proponente </w:t>
            </w:r>
            <w:r w:rsidRPr="00E949C2">
              <w:rPr>
                <w:rFonts w:ascii="Verdana" w:hAnsi="Verdana" w:cs="Arial"/>
                <w:bCs/>
                <w:color w:val="000000" w:themeColor="text1"/>
              </w:rPr>
              <w:t xml:space="preserve">en el formato de propuesta económica </w:t>
            </w:r>
            <w:r>
              <w:rPr>
                <w:rFonts w:ascii="Verdana" w:hAnsi="Verdana" w:cs="Arial"/>
                <w:bCs/>
                <w:color w:val="000000" w:themeColor="text1"/>
              </w:rPr>
              <w:t>d</w:t>
            </w:r>
            <w:r w:rsidRPr="00E949C2">
              <w:rPr>
                <w:rFonts w:ascii="Verdana" w:hAnsi="Verdana" w:cs="Arial"/>
                <w:bCs/>
                <w:color w:val="000000" w:themeColor="text1"/>
              </w:rPr>
              <w:t>el valor del factor multiplicador definido por la entidad en el presupuesto oficial</w:t>
            </w:r>
            <w:r>
              <w:rPr>
                <w:rFonts w:ascii="Verdana" w:hAnsi="Verdana" w:cs="Arial"/>
                <w:bCs/>
                <w:color w:val="000000" w:themeColor="text1"/>
              </w:rPr>
              <w:t>.</w:t>
            </w:r>
          </w:p>
          <w:p w14:paraId="50AEE1FD" w14:textId="77777777" w:rsidR="00E949C2" w:rsidRDefault="00E949C2" w:rsidP="00E949C2">
            <w:pPr>
              <w:spacing w:line="276" w:lineRule="auto"/>
              <w:jc w:val="both"/>
              <w:rPr>
                <w:rFonts w:ascii="Verdana" w:hAnsi="Verdana" w:cs="Arial"/>
                <w:bCs/>
                <w:color w:val="000000" w:themeColor="text1"/>
              </w:rPr>
            </w:pPr>
          </w:p>
          <w:p w14:paraId="47EEB54F" w14:textId="60208D1C" w:rsidR="00321C89" w:rsidRPr="00831CDD" w:rsidRDefault="00E949C2" w:rsidP="00E949C2">
            <w:pPr>
              <w:spacing w:line="276" w:lineRule="auto"/>
              <w:ind w:firstLine="708"/>
              <w:jc w:val="both"/>
              <w:rPr>
                <w:rFonts w:ascii="Verdana" w:hAnsi="Verdana" w:cs="Arial"/>
                <w:bCs/>
                <w:color w:val="000000" w:themeColor="text1"/>
              </w:rPr>
            </w:pPr>
            <w:r w:rsidRPr="00523EE3">
              <w:rPr>
                <w:rFonts w:ascii="Verdana" w:hAnsi="Verdana" w:cs="Arial"/>
                <w:bCs/>
                <w:color w:val="000000" w:themeColor="text1"/>
              </w:rPr>
              <w:t xml:space="preserve">De esta manera, al tratarse de un análisis que se debe realizar en cada caso concreto, la Agencia,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lo anterior, previo concepto de sus órganos asesores, la solución de casos particulares corresponde a la entidad que debe adoptar la decisión correspondiente para </w:t>
            </w:r>
            <w:r>
              <w:rPr>
                <w:rFonts w:ascii="Verdana" w:hAnsi="Verdana" w:cs="Arial"/>
                <w:bCs/>
                <w:color w:val="000000" w:themeColor="text1"/>
              </w:rPr>
              <w:t>atender las necesidades de la entidad pública</w:t>
            </w:r>
            <w:r w:rsidRPr="00523EE3">
              <w:rPr>
                <w:rFonts w:ascii="Verdana" w:hAnsi="Verdana" w:cs="Arial"/>
                <w:bCs/>
                <w:color w:val="000000" w:themeColor="text1"/>
              </w:rPr>
              <w:t>.</w:t>
            </w:r>
          </w:p>
        </w:tc>
      </w:tr>
      <w:tr w:rsidR="007D5768" w:rsidRPr="00593A5F" w14:paraId="43648ADC" w14:textId="77777777" w:rsidTr="00E1079D">
        <w:tc>
          <w:tcPr>
            <w:tcW w:w="8828" w:type="dxa"/>
            <w:shd w:val="clear" w:color="auto" w:fill="auto"/>
          </w:tcPr>
          <w:p w14:paraId="60E16ECD" w14:textId="77777777" w:rsidR="007D5768" w:rsidRPr="002973E9" w:rsidRDefault="007D5768" w:rsidP="00E1079D">
            <w:pPr>
              <w:spacing w:line="276" w:lineRule="auto"/>
              <w:jc w:val="both"/>
              <w:rPr>
                <w:rFonts w:ascii="Verdana" w:eastAsia="Calibri" w:hAnsi="Verdana" w:cs="Arial"/>
                <w:lang w:val="es-ES"/>
              </w:rPr>
            </w:pPr>
          </w:p>
        </w:tc>
      </w:tr>
    </w:tbl>
    <w:p w14:paraId="032FF257" w14:textId="77777777" w:rsidR="007D5768" w:rsidRDefault="007D5768" w:rsidP="007D5768">
      <w:pPr>
        <w:tabs>
          <w:tab w:val="left" w:pos="142"/>
          <w:tab w:val="left" w:pos="284"/>
        </w:tabs>
        <w:spacing w:after="0" w:line="276" w:lineRule="auto"/>
        <w:jc w:val="both"/>
        <w:rPr>
          <w:rFonts w:ascii="Verdana" w:eastAsia="Century Gothic" w:hAnsi="Verdana" w:cs="Century Gothic"/>
          <w:b/>
          <w:bCs/>
          <w:lang w:val="es-ES"/>
        </w:rPr>
      </w:pPr>
    </w:p>
    <w:p w14:paraId="6170B3F8" w14:textId="77777777" w:rsidR="007D5768" w:rsidRPr="00593A5F" w:rsidRDefault="007D5768" w:rsidP="007D576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3BB50C0F" w14:textId="77777777" w:rsidR="007D5768" w:rsidRPr="00593A5F" w:rsidRDefault="007D5768" w:rsidP="007D5768">
      <w:pPr>
        <w:spacing w:after="0" w:line="276" w:lineRule="auto"/>
        <w:jc w:val="both"/>
        <w:rPr>
          <w:rFonts w:ascii="Verdana" w:eastAsia="Calibri" w:hAnsi="Verdana" w:cs="Arial"/>
          <w:color w:val="7030A0"/>
          <w:lang w:val="es-ES"/>
        </w:rPr>
      </w:pPr>
    </w:p>
    <w:p w14:paraId="2B9C7990" w14:textId="77777777" w:rsidR="007D5768" w:rsidRDefault="007D5768" w:rsidP="007D5768">
      <w:pPr>
        <w:spacing w:after="0" w:line="276" w:lineRule="auto"/>
        <w:jc w:val="both"/>
        <w:rPr>
          <w:rFonts w:ascii="Verdana" w:eastAsia="Calibri" w:hAnsi="Verdana" w:cs="Arial"/>
          <w:lang w:val="es-ES"/>
        </w:rPr>
      </w:pPr>
      <w:r w:rsidRPr="00542ED3">
        <w:rPr>
          <w:rFonts w:ascii="Verdana" w:eastAsia="Calibri" w:hAnsi="Verdana" w:cs="Arial"/>
          <w:lang w:val="es-ES"/>
        </w:rPr>
        <w:t xml:space="preserve">Lo anterior se sustenta en las siguientes consideraciones: </w:t>
      </w:r>
    </w:p>
    <w:p w14:paraId="40861D08" w14:textId="77777777" w:rsidR="00C42100" w:rsidRDefault="00C42100" w:rsidP="00BC4CD4">
      <w:pPr>
        <w:spacing w:after="0" w:line="276" w:lineRule="auto"/>
        <w:ind w:firstLine="708"/>
        <w:jc w:val="both"/>
        <w:rPr>
          <w:rFonts w:ascii="Verdana" w:hAnsi="Verdana" w:cs="Arial"/>
          <w:color w:val="000000" w:themeColor="text1"/>
          <w:lang w:val="es-ES_tradnl"/>
        </w:rPr>
      </w:pPr>
      <w:bookmarkStart w:id="5" w:name="_Hlk185366844"/>
    </w:p>
    <w:bookmarkEnd w:id="5"/>
    <w:p w14:paraId="3426F9AA" w14:textId="0ACC49DB" w:rsidR="00573C59" w:rsidRPr="00573C59" w:rsidRDefault="00573C59" w:rsidP="00573C59">
      <w:pPr>
        <w:spacing w:after="120" w:line="276" w:lineRule="auto"/>
        <w:jc w:val="both"/>
        <w:rPr>
          <w:rFonts w:ascii="Verdana" w:eastAsia="Century Gothic" w:hAnsi="Verdana" w:cs="Century Gothic"/>
        </w:rPr>
      </w:pPr>
      <w:r w:rsidRPr="00573C59">
        <w:rPr>
          <w:rFonts w:ascii="Verdana" w:eastAsia="Century Gothic" w:hAnsi="Verdana" w:cs="Century Gothic"/>
        </w:rPr>
        <w:lastRenderedPageBreak/>
        <w:t>Las causales de rechazo son las establecidas en la ley y las fijadas por la Entidad Estatal en los pliegos de condiciones. No obstante, en el ejercicio de dicha facultad a las entidades no les es dable el establecer causales de rechazo que afecten la selección objetiva en la contratación. Sobre el particular, el Consejo de Estado</w:t>
      </w:r>
      <w:r>
        <w:rPr>
          <w:rStyle w:val="Refdenotaalpie"/>
          <w:rFonts w:ascii="Verdana" w:eastAsia="Century Gothic" w:hAnsi="Verdana" w:cs="Century Gothic"/>
        </w:rPr>
        <w:footnoteReference w:id="3"/>
      </w:r>
      <w:r w:rsidRPr="00573C59">
        <w:rPr>
          <w:rFonts w:ascii="Verdana" w:eastAsia="Century Gothic" w:hAnsi="Verdana" w:cs="Century Gothic"/>
        </w:rPr>
        <w:t xml:space="preserve"> señala:</w:t>
      </w:r>
    </w:p>
    <w:p w14:paraId="26EA719A" w14:textId="77777777" w:rsidR="00573C59" w:rsidRDefault="00573C59" w:rsidP="00573C59">
      <w:pPr>
        <w:spacing w:after="120" w:line="240" w:lineRule="auto"/>
        <w:ind w:left="709" w:right="1134"/>
        <w:jc w:val="both"/>
        <w:rPr>
          <w:rFonts w:ascii="Verdana" w:eastAsia="Century Gothic" w:hAnsi="Verdana" w:cs="Century Gothic"/>
        </w:rPr>
      </w:pPr>
      <w:r w:rsidRPr="00573C59">
        <w:rPr>
          <w:rFonts w:ascii="Verdana" w:eastAsia="Century Gothic" w:hAnsi="Verdana" w:cs="Century Gothic"/>
        </w:rPr>
        <w:t xml:space="preserve">“Quiere con esto destacar la Sala que las causales de rechazo de las propuestas pueden ser legales y por lo mismo generan el efecto del descarte o exclusión de la oferta </w:t>
      </w:r>
      <w:proofErr w:type="spellStart"/>
      <w:r w:rsidRPr="00573C59">
        <w:rPr>
          <w:rFonts w:ascii="Verdana" w:eastAsia="Century Gothic" w:hAnsi="Verdana" w:cs="Century Gothic"/>
        </w:rPr>
        <w:t>ope</w:t>
      </w:r>
      <w:proofErr w:type="spellEnd"/>
      <w:r w:rsidRPr="00573C59">
        <w:rPr>
          <w:rFonts w:ascii="Verdana" w:eastAsia="Century Gothic" w:hAnsi="Verdana" w:cs="Century Gothic"/>
        </w:rPr>
        <w:t xml:space="preserve"> </w:t>
      </w:r>
      <w:proofErr w:type="spellStart"/>
      <w:r w:rsidRPr="00573C59">
        <w:rPr>
          <w:rFonts w:ascii="Verdana" w:eastAsia="Century Gothic" w:hAnsi="Verdana" w:cs="Century Gothic"/>
        </w:rPr>
        <w:t>legis</w:t>
      </w:r>
      <w:proofErr w:type="spellEnd"/>
      <w:r w:rsidRPr="00573C59">
        <w:rPr>
          <w:rFonts w:ascii="Verdana" w:eastAsia="Century Gothic" w:hAnsi="Verdana" w:cs="Century Gothic"/>
        </w:rPr>
        <w:t>, sin necesidad de que se haga referencia a las mismas en el pliego de condiciones; o también pueden las causales de rechazo de las propuestas ser establecidas expresamente por la entidad en el respectivo pliego de condiciones. Lo cierto es que, sea que las causales de rechazo de la oferta emanen directamente de la ley o del pliego de condiciones, en uno y en otro caso se refieren a defectos, omisiones o circunstancias impeditivas que permiten deducir que la misma no resulta favorable para los intereses de la entidad y los fines de la contratación y que de soslayarse se comprometería el cumplimiento de los principios de transparencia, economía y responsabilidad, así como el deber de selección objetiva en la contratación.”</w:t>
      </w:r>
    </w:p>
    <w:p w14:paraId="5549F915" w14:textId="4911C838" w:rsidR="00573C59" w:rsidRDefault="00573C59" w:rsidP="00573C59">
      <w:pPr>
        <w:spacing w:after="120" w:line="276" w:lineRule="auto"/>
        <w:jc w:val="both"/>
        <w:rPr>
          <w:rFonts w:ascii="Verdana" w:eastAsia="Century Gothic" w:hAnsi="Verdana" w:cs="Century Gothic"/>
        </w:rPr>
      </w:pPr>
      <w:r w:rsidRPr="00573C59">
        <w:rPr>
          <w:rFonts w:ascii="Verdana" w:eastAsia="Century Gothic" w:hAnsi="Verdana" w:cs="Century Gothic"/>
        </w:rPr>
        <w:t>De igual forma, esta Agencia ha reiterado la postura del Consejo de Estado, según la cual, por l</w:t>
      </w:r>
      <w:r>
        <w:rPr>
          <w:rFonts w:ascii="Verdana" w:eastAsia="Century Gothic" w:hAnsi="Verdana" w:cs="Century Gothic"/>
        </w:rPr>
        <w:t>a</w:t>
      </w:r>
      <w:r w:rsidRPr="00573C59">
        <w:rPr>
          <w:rFonts w:ascii="Verdana" w:eastAsia="Century Gothic" w:hAnsi="Verdana" w:cs="Century Gothic"/>
        </w:rPr>
        <w:t xml:space="preserve"> naturaleza propia de las causales de rechazo, su aplicación</w:t>
      </w:r>
      <w:r>
        <w:rPr>
          <w:rFonts w:ascii="Verdana" w:eastAsia="Century Gothic" w:hAnsi="Verdana" w:cs="Century Gothic"/>
        </w:rPr>
        <w:t xml:space="preserve"> </w:t>
      </w:r>
      <w:r w:rsidRPr="00573C59">
        <w:rPr>
          <w:rFonts w:ascii="Verdana" w:eastAsia="Century Gothic" w:hAnsi="Verdana" w:cs="Century Gothic"/>
        </w:rPr>
        <w:t>es estricta y restrictiva, lo que significa que su interpretación gramatical prevalece sobre una interpretación extensiva o de otra índole, mediante la cual se pretenda ampliar su alcance. Al respecto, el Consejo de Estado</w:t>
      </w:r>
      <w:r>
        <w:rPr>
          <w:rStyle w:val="Refdenotaalpie"/>
          <w:rFonts w:ascii="Verdana" w:eastAsia="Century Gothic" w:hAnsi="Verdana" w:cs="Century Gothic"/>
        </w:rPr>
        <w:footnoteReference w:id="4"/>
      </w:r>
      <w:r w:rsidRPr="00573C59">
        <w:rPr>
          <w:rFonts w:ascii="Verdana" w:eastAsia="Century Gothic" w:hAnsi="Verdana" w:cs="Century Gothic"/>
        </w:rPr>
        <w:t xml:space="preserve"> sostuvo:</w:t>
      </w:r>
    </w:p>
    <w:p w14:paraId="2AC3307E" w14:textId="77777777" w:rsidR="00573C59" w:rsidRDefault="00573C59" w:rsidP="00573C59">
      <w:pPr>
        <w:tabs>
          <w:tab w:val="left" w:pos="7938"/>
        </w:tabs>
        <w:spacing w:after="120" w:line="240" w:lineRule="auto"/>
        <w:ind w:left="567" w:right="851"/>
        <w:jc w:val="both"/>
        <w:rPr>
          <w:rFonts w:ascii="Verdana" w:eastAsia="Century Gothic" w:hAnsi="Verdana" w:cs="Century Gothic"/>
        </w:rPr>
      </w:pPr>
      <w:r w:rsidRPr="00573C59">
        <w:rPr>
          <w:rFonts w:ascii="Verdana" w:eastAsia="Century Gothic" w:hAnsi="Verdana" w:cs="Century Gothic"/>
        </w:rPr>
        <w:t xml:space="preserve">“En esta línea de pensamiento, resulta claro que el rechazo o la descalificación de ofertas no puede depender de la libre discrecionalidad de la administración, en la medida en que el oferente, por el hecho de participar en el proceso licitatorio,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deriven del incumplimiento de requisitos de </w:t>
      </w:r>
      <w:r w:rsidRPr="00573C59">
        <w:rPr>
          <w:rFonts w:ascii="Verdana" w:eastAsia="Century Gothic" w:hAnsi="Verdana" w:cs="Century Gothic"/>
        </w:rPr>
        <w:lastRenderedPageBreak/>
        <w:t>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2558232A" w14:textId="77777777" w:rsidR="00573C59" w:rsidRPr="00573C59" w:rsidRDefault="00573C59" w:rsidP="00890B1A">
      <w:pPr>
        <w:spacing w:after="120" w:line="276" w:lineRule="auto"/>
        <w:ind w:firstLine="567"/>
        <w:jc w:val="both"/>
        <w:rPr>
          <w:rFonts w:ascii="Verdana" w:eastAsia="Century Gothic" w:hAnsi="Verdana" w:cs="Century Gothic"/>
        </w:rPr>
      </w:pPr>
      <w:r w:rsidRPr="00573C59">
        <w:rPr>
          <w:rFonts w:ascii="Verdana" w:eastAsia="Century Gothic" w:hAnsi="Verdana" w:cs="Century Gothic"/>
        </w:rPr>
        <w:t>Las causales de rechazo deben estar necesariamente nominadas en la ley o en el pliego de condiciones y no puede realizarse frente a su redacción, ninguna interpretación extensiva.</w:t>
      </w:r>
    </w:p>
    <w:p w14:paraId="7ABAA886" w14:textId="77777777" w:rsidR="00890B1A" w:rsidRPr="00F217FD" w:rsidRDefault="00890B1A" w:rsidP="00890B1A">
      <w:pPr>
        <w:spacing w:after="0" w:line="276" w:lineRule="auto"/>
        <w:ind w:firstLine="708"/>
        <w:jc w:val="both"/>
        <w:rPr>
          <w:rFonts w:ascii="Verdana" w:eastAsia="Calibri" w:hAnsi="Verdana" w:cs="Arial"/>
          <w:kern w:val="2"/>
          <w:lang w:val="es-ES_tradnl"/>
          <w14:ligatures w14:val="standardContextual"/>
        </w:rPr>
      </w:pPr>
      <w:r w:rsidRPr="00F217FD">
        <w:rPr>
          <w:rFonts w:ascii="Verdana" w:eastAsia="Calibri" w:hAnsi="Verdana" w:cs="Arial"/>
          <w:kern w:val="2"/>
          <w:lang w:val="es-ES_tradnl"/>
          <w14:ligatures w14:val="standardContextual"/>
        </w:rPr>
        <w:t>De igual forma, esta Agencia ha reiterado la postura del Consejo de Estado, según la cual, por la naturaleza propia de las causales de rechazo, su aplicación es estricta y restrictiva, lo que significa que su interpretación gramatical prevalece sobre una interpretación extensiva o de otra índole, mediante la cual se pretenda ampliar su alcance. Al respecto, el Consejo de Estado</w:t>
      </w:r>
      <w:r w:rsidRPr="00F217FD">
        <w:rPr>
          <w:rFonts w:ascii="Aptos" w:eastAsia="Aptos" w:hAnsi="Aptos" w:cs="Times New Roman"/>
          <w:i/>
          <w:kern w:val="2"/>
          <w:sz w:val="24"/>
          <w:szCs w:val="24"/>
          <w:vertAlign w:val="superscript"/>
          <w:lang w:val="es-ES_tradnl"/>
          <w14:ligatures w14:val="standardContextual"/>
        </w:rPr>
        <w:footnoteReference w:id="5"/>
      </w:r>
      <w:r w:rsidRPr="00F217FD">
        <w:rPr>
          <w:rFonts w:ascii="Verdana" w:eastAsia="Calibri" w:hAnsi="Verdana" w:cs="Arial"/>
          <w:kern w:val="2"/>
          <w:lang w:val="es-ES_tradnl"/>
          <w14:ligatures w14:val="standardContextual"/>
        </w:rPr>
        <w:t xml:space="preserve"> sostuvo: </w:t>
      </w:r>
    </w:p>
    <w:p w14:paraId="65E01D2E" w14:textId="77777777" w:rsidR="00890B1A" w:rsidRPr="00F217FD" w:rsidRDefault="00890B1A" w:rsidP="00890B1A">
      <w:pPr>
        <w:spacing w:after="0" w:line="276" w:lineRule="auto"/>
        <w:ind w:left="709" w:right="709"/>
        <w:jc w:val="both"/>
        <w:rPr>
          <w:rFonts w:ascii="Verdana" w:eastAsia="Times New Roman" w:hAnsi="Verdana" w:cs="Arial"/>
          <w:bCs/>
          <w:iCs/>
          <w:kern w:val="2"/>
          <w:lang w:val="es-ES_tradnl" w:eastAsia="es-MX"/>
          <w14:ligatures w14:val="standardContextual"/>
        </w:rPr>
      </w:pPr>
    </w:p>
    <w:p w14:paraId="61CC5B54" w14:textId="77777777" w:rsidR="00890B1A" w:rsidRPr="00F217FD" w:rsidRDefault="00890B1A" w:rsidP="00357D03">
      <w:pPr>
        <w:spacing w:after="0" w:line="240" w:lineRule="auto"/>
        <w:ind w:left="709" w:right="992"/>
        <w:jc w:val="both"/>
        <w:rPr>
          <w:rFonts w:ascii="Verdana" w:eastAsia="Times New Roman" w:hAnsi="Verdana" w:cs="Arial"/>
          <w:bCs/>
          <w:iCs/>
          <w:kern w:val="2"/>
          <w:sz w:val="21"/>
          <w:szCs w:val="21"/>
          <w:lang w:val="es-ES_tradnl" w:eastAsia="es-MX"/>
          <w14:ligatures w14:val="standardContextual"/>
        </w:rPr>
      </w:pPr>
      <w:r w:rsidRPr="00F217FD">
        <w:rPr>
          <w:rFonts w:ascii="Verdana" w:eastAsia="Times New Roman" w:hAnsi="Verdana" w:cs="Arial"/>
          <w:bCs/>
          <w:iCs/>
          <w:kern w:val="2"/>
          <w:sz w:val="21"/>
          <w:szCs w:val="21"/>
          <w:lang w:val="es-ES_tradnl" w:eastAsia="es-MX"/>
          <w14:ligatures w14:val="standardContextual"/>
        </w:rPr>
        <w:t>“En esta línea de pensamiento, resulta claro que el rechazo o la descalificación de ofertas no puede depender de la libre discrecionalidad de la administración, en la medida en que el oferente, por el hecho de participar en el proceso licitatorio,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77D89BC0" w14:textId="77777777" w:rsidR="00890B1A" w:rsidRPr="00F217FD" w:rsidRDefault="00890B1A" w:rsidP="00890B1A">
      <w:pPr>
        <w:spacing w:after="0" w:line="276" w:lineRule="auto"/>
        <w:ind w:left="709" w:right="709"/>
        <w:jc w:val="both"/>
        <w:rPr>
          <w:rFonts w:ascii="Verdana" w:eastAsia="Times New Roman" w:hAnsi="Verdana" w:cs="Arial"/>
          <w:bCs/>
          <w:iCs/>
          <w:kern w:val="2"/>
          <w:lang w:val="es-ES_tradnl" w:eastAsia="es-MX"/>
          <w14:ligatures w14:val="standardContextual"/>
        </w:rPr>
      </w:pPr>
    </w:p>
    <w:p w14:paraId="4BDC06B7" w14:textId="77777777" w:rsidR="00890B1A" w:rsidRDefault="00890B1A" w:rsidP="00357D03">
      <w:pPr>
        <w:spacing w:after="0" w:line="276" w:lineRule="auto"/>
        <w:ind w:firstLine="708"/>
        <w:contextualSpacing/>
        <w:jc w:val="both"/>
        <w:rPr>
          <w:rFonts w:ascii="Verdana" w:eastAsia="Calibri" w:hAnsi="Verdana" w:cs="Arial"/>
          <w:kern w:val="2"/>
          <w:lang w:val="es-ES"/>
          <w14:ligatures w14:val="standardContextual"/>
        </w:rPr>
      </w:pPr>
      <w:r w:rsidRPr="0594F8A8">
        <w:rPr>
          <w:rFonts w:ascii="Verdana" w:eastAsia="Calibri" w:hAnsi="Verdana" w:cs="Arial"/>
          <w:kern w:val="2"/>
          <w:lang w:val="es-ES"/>
          <w14:ligatures w14:val="standardContextual"/>
        </w:rPr>
        <w:lastRenderedPageBreak/>
        <w:t>Por lo expuesto, las causales de rechazo deben estar necesariamente nominadas en la Ley o en el pliego de condiciones, y no puede realizarse, frente a su redacción, ninguna interpretación extensiva. Por esta razón si el Estatuto General de Contratación de la Administración Pública o el pliego de condiciones no establecen de manera literal una causal de rechazo, en los términos expuestos, no podrán rechazarse las propuestas.</w:t>
      </w:r>
    </w:p>
    <w:p w14:paraId="52FA7EF5" w14:textId="77777777" w:rsidR="00890B1A" w:rsidRDefault="00890B1A" w:rsidP="00890B1A">
      <w:pPr>
        <w:spacing w:after="0" w:line="276" w:lineRule="auto"/>
        <w:ind w:left="720"/>
        <w:contextualSpacing/>
        <w:jc w:val="both"/>
        <w:rPr>
          <w:rFonts w:ascii="Verdana" w:eastAsia="Calibri" w:hAnsi="Verdana" w:cs="Arial"/>
          <w:kern w:val="2"/>
          <w:lang w:val="es-ES"/>
          <w14:ligatures w14:val="standardContextual"/>
        </w:rPr>
      </w:pPr>
    </w:p>
    <w:p w14:paraId="6EE56D18" w14:textId="0C592B35" w:rsidR="00890B1A" w:rsidRPr="007F0535" w:rsidRDefault="00890B1A" w:rsidP="000B64D3">
      <w:pPr>
        <w:spacing w:after="0" w:line="276" w:lineRule="auto"/>
        <w:ind w:firstLine="708"/>
        <w:contextualSpacing/>
        <w:jc w:val="both"/>
        <w:rPr>
          <w:rFonts w:ascii="Verdana" w:eastAsia="Calibri" w:hAnsi="Verdana" w:cs="Arial"/>
          <w:kern w:val="2"/>
          <w:lang w:val="es-ES_tradnl"/>
          <w14:ligatures w14:val="standardContextual"/>
        </w:rPr>
      </w:pPr>
      <w:r>
        <w:rPr>
          <w:rFonts w:ascii="Verdana" w:eastAsia="Calibri" w:hAnsi="Verdana" w:cs="Arial"/>
          <w:lang w:val="es-MX" w:eastAsia="es-MX"/>
        </w:rPr>
        <w:t>L</w:t>
      </w:r>
      <w:r w:rsidRPr="00F217FD">
        <w:rPr>
          <w:rFonts w:ascii="Verdana" w:eastAsia="Calibri" w:hAnsi="Verdana" w:cs="Arial"/>
          <w:lang w:val="es-MX" w:eastAsia="es-MX"/>
        </w:rPr>
        <w:t>a Agencia Nacional de Contratación Pública – Colombia Compra Eficiente, mediante los conceptos con radicados Nos. 2201913000007117 del 25 de septiembre de 2019, 2201913000009538 del 23 de diciembre de 2019 y C- 716 del 30 de octubre de 2020, entre otros, ha señalado que las causales de rechazo de las ofertas, descartándose que la entidad introduzca nuevas, salvo las contempladas directamente en la ley. Igualmente, por la naturaleza de las causales de rechazo, su aplicación es estricta, lo que –a juicio de la Agencia Nacional de Contratación Pública– significa que su interpretación gramatical prevalece sobre una interpretación extensiva o de otra índole, mediante la cual se pretenda ampliar su alcance.</w:t>
      </w:r>
    </w:p>
    <w:p w14:paraId="20996DE3" w14:textId="77777777" w:rsidR="00890B1A" w:rsidRDefault="00890B1A" w:rsidP="00890B1A">
      <w:pPr>
        <w:spacing w:after="0" w:line="276" w:lineRule="auto"/>
        <w:contextualSpacing/>
        <w:jc w:val="both"/>
        <w:rPr>
          <w:rFonts w:ascii="Verdana" w:eastAsia="Arial" w:hAnsi="Verdana" w:cs="Arial"/>
          <w:color w:val="000000"/>
          <w:kern w:val="2"/>
          <w14:ligatures w14:val="standardContextual"/>
        </w:rPr>
      </w:pPr>
    </w:p>
    <w:p w14:paraId="2BDC0E12" w14:textId="53DB56B0" w:rsidR="00890B1A" w:rsidRPr="00F217FD" w:rsidRDefault="00890B1A" w:rsidP="000B64D3">
      <w:pPr>
        <w:spacing w:after="0" w:line="276" w:lineRule="auto"/>
        <w:ind w:firstLine="708"/>
        <w:contextualSpacing/>
        <w:jc w:val="both"/>
        <w:rPr>
          <w:rFonts w:ascii="Verdana" w:eastAsia="Calibri" w:hAnsi="Verdana" w:cs="Arial"/>
          <w:kern w:val="2"/>
          <w:lang w:val="es-ES_tradnl"/>
          <w14:ligatures w14:val="standardContextual"/>
        </w:rPr>
      </w:pPr>
      <w:r w:rsidRPr="00F217FD">
        <w:rPr>
          <w:rFonts w:ascii="Verdana" w:eastAsia="Arial" w:hAnsi="Verdana" w:cs="Arial"/>
          <w:color w:val="000000"/>
          <w:kern w:val="2"/>
          <w14:ligatures w14:val="standardContextual"/>
        </w:rPr>
        <w:t xml:space="preserve">Por otra parte, es importante señalar que, uno de los principios transversales de los procedimientos de selección es el de </w:t>
      </w:r>
      <w:r w:rsidRPr="00F217FD">
        <w:rPr>
          <w:rFonts w:ascii="Verdana" w:eastAsia="Arial" w:hAnsi="Verdana" w:cs="Arial"/>
          <w:i/>
          <w:color w:val="000000"/>
          <w:kern w:val="2"/>
          <w14:ligatures w14:val="standardContextual"/>
        </w:rPr>
        <w:t>selección objetiva</w:t>
      </w:r>
      <w:r w:rsidRPr="00F217FD">
        <w:rPr>
          <w:rFonts w:ascii="Verdana" w:eastAsia="Arial" w:hAnsi="Verdana" w:cs="Arial"/>
          <w:color w:val="000000"/>
          <w:kern w:val="2"/>
          <w14:ligatures w14:val="standardContextual"/>
        </w:rPr>
        <w:t>. Se trata del postulado que exige que la escogencia de la oferta ganadora deba fundamentarse en factores objetivos, de carácter técnico, jurídico y financiero, y no en criterios subjetivos, como el afecto, la amistad, el ánimo de ayuda, el interés personal, etc. Si bien dentro de la historia de la contratación pública en Colombia se vislumbran antecedentes normativos que consagraban dicho principio</w:t>
      </w:r>
      <w:r w:rsidRPr="00F217FD">
        <w:rPr>
          <w:rFonts w:ascii="Aptos" w:eastAsia="Aptos" w:hAnsi="Aptos" w:cs="Times New Roman"/>
          <w:kern w:val="2"/>
          <w:sz w:val="24"/>
          <w:szCs w:val="24"/>
          <w:vertAlign w:val="superscript"/>
          <w14:ligatures w14:val="standardContextual"/>
        </w:rPr>
        <w:footnoteReference w:id="6"/>
      </w:r>
      <w:r w:rsidRPr="00F217FD">
        <w:rPr>
          <w:rFonts w:ascii="Verdana" w:eastAsia="Arial" w:hAnsi="Verdana" w:cs="Arial"/>
          <w:color w:val="000000"/>
          <w:kern w:val="2"/>
          <w14:ligatures w14:val="standardContextual"/>
        </w:rPr>
        <w:t xml:space="preserve">, en la actualidad la disposición legal que lo prevé de manera más clara </w:t>
      </w:r>
      <w:r w:rsidRPr="00F217FD">
        <w:rPr>
          <w:rFonts w:ascii="Verdana" w:eastAsia="Arial" w:hAnsi="Verdana" w:cs="Arial"/>
          <w:color w:val="000000"/>
          <w:kern w:val="2"/>
          <w14:ligatures w14:val="standardContextual"/>
        </w:rPr>
        <w:lastRenderedPageBreak/>
        <w:t>y contundente es el artículo 5 de la Ley 1150 de 2007, modificado por el artículo 88 de la Ley 1474 de 2011 y por el artículo 5 de la Ley 1882 de 2018.</w:t>
      </w:r>
    </w:p>
    <w:p w14:paraId="341499FD" w14:textId="77777777" w:rsidR="00890B1A" w:rsidRPr="00F217FD" w:rsidRDefault="00890B1A" w:rsidP="00890B1A">
      <w:pPr>
        <w:spacing w:line="278" w:lineRule="auto"/>
        <w:ind w:left="720"/>
        <w:contextualSpacing/>
        <w:rPr>
          <w:rFonts w:ascii="Verdana" w:eastAsia="Arial" w:hAnsi="Verdana" w:cs="Arial"/>
          <w:color w:val="000000"/>
          <w:kern w:val="2"/>
          <w14:ligatures w14:val="standardContextual"/>
        </w:rPr>
      </w:pPr>
    </w:p>
    <w:p w14:paraId="15644366" w14:textId="77777777" w:rsidR="00890B1A" w:rsidRPr="00F217FD" w:rsidRDefault="00890B1A" w:rsidP="00641A05">
      <w:pPr>
        <w:spacing w:after="0" w:line="276" w:lineRule="auto"/>
        <w:ind w:firstLine="708"/>
        <w:contextualSpacing/>
        <w:jc w:val="both"/>
        <w:rPr>
          <w:rFonts w:ascii="Verdana" w:eastAsia="Calibri" w:hAnsi="Verdana" w:cs="Arial"/>
          <w:kern w:val="2"/>
          <w:lang w:val="es-ES_tradnl"/>
          <w14:ligatures w14:val="standardContextual"/>
        </w:rPr>
      </w:pPr>
      <w:r w:rsidRPr="00F217FD">
        <w:rPr>
          <w:rFonts w:ascii="Verdana" w:eastAsia="Arial" w:hAnsi="Verdana" w:cs="Arial"/>
          <w:color w:val="000000"/>
          <w:kern w:val="2"/>
          <w14:ligatures w14:val="standardContextual"/>
        </w:rPr>
        <w:t>Para garantizar el principio de selección objetiva, es necesario, entre otras, que las entidades estatales se abstengan de rechazar las ofertas, por el incumplimiento de requisitos meramente formales, sacrificando la favorabilidad que podría representar la oferta que adolezca de estos defectos, si se permitiese su corrección. En otras palabras, es consustancial a la selección objetiva la obligación que tienen las entidades estatales de permitir la subsanación de los requisitos de participación, bajo las condiciones indicadas en la ley, antes de tomar la decisión de rechazar las propuestas que hayan omitido la observancia de los requisitos habilitantes.</w:t>
      </w:r>
    </w:p>
    <w:p w14:paraId="427A5448" w14:textId="77777777" w:rsidR="00890B1A" w:rsidRPr="00F217FD" w:rsidRDefault="00890B1A" w:rsidP="00890B1A">
      <w:pPr>
        <w:spacing w:after="0" w:line="276" w:lineRule="auto"/>
        <w:jc w:val="both"/>
        <w:rPr>
          <w:rFonts w:ascii="Verdana" w:eastAsia="Calibri" w:hAnsi="Verdana" w:cs="Arial"/>
          <w:kern w:val="2"/>
          <w:lang w:val="es-ES_tradnl"/>
          <w14:ligatures w14:val="standardContextual"/>
        </w:rPr>
      </w:pPr>
    </w:p>
    <w:p w14:paraId="6A0018C8" w14:textId="77777777" w:rsidR="00890B1A" w:rsidRDefault="00890B1A" w:rsidP="00890B1A">
      <w:pPr>
        <w:spacing w:after="0" w:line="276" w:lineRule="auto"/>
        <w:ind w:firstLine="360"/>
        <w:contextualSpacing/>
        <w:jc w:val="both"/>
        <w:rPr>
          <w:rFonts w:ascii="Verdana" w:eastAsia="Arial" w:hAnsi="Verdana" w:cs="Arial"/>
          <w:color w:val="000000"/>
          <w:kern w:val="2"/>
          <w14:ligatures w14:val="standardContextual"/>
        </w:rPr>
      </w:pPr>
      <w:r w:rsidRPr="00F217FD">
        <w:rPr>
          <w:rFonts w:ascii="Verdana" w:eastAsia="Arial" w:hAnsi="Verdana" w:cs="Arial"/>
          <w:color w:val="000000"/>
          <w:kern w:val="2"/>
          <w14:ligatures w14:val="standardContextual"/>
        </w:rPr>
        <w:t>La decisión de rechazar, por regla general –salvo en los casos específicos previstos en la ley, como el de la imposibilidad de subsanar la no entrega de la garantía de seriedad de la oferta o de acreditar circunstancias ocurridas con posterioridad al cierre del procedimiento de selección –art. 5, par. 1º y 3º, Ley 1150 de 2007)– solo puede tomarse si, previamente, se ha permitido que los proponentes completen o corrijan la información relacionada con los requisitos que no asignan puntaje, como mecanismo para hacer prevalecer el derecho sustancial sobre las formalidades.</w:t>
      </w:r>
    </w:p>
    <w:p w14:paraId="47EB2646" w14:textId="77777777" w:rsidR="00576583" w:rsidRDefault="00576583" w:rsidP="00890B1A">
      <w:pPr>
        <w:spacing w:after="0" w:line="276" w:lineRule="auto"/>
        <w:ind w:firstLine="360"/>
        <w:contextualSpacing/>
        <w:jc w:val="both"/>
        <w:rPr>
          <w:rFonts w:ascii="Verdana" w:eastAsia="Arial" w:hAnsi="Verdana" w:cs="Arial"/>
          <w:color w:val="000000"/>
          <w:kern w:val="2"/>
          <w14:ligatures w14:val="standardContextual"/>
        </w:rPr>
      </w:pPr>
    </w:p>
    <w:p w14:paraId="2FABDEC4" w14:textId="22E0D060" w:rsidR="00641A05" w:rsidRPr="003648D3" w:rsidRDefault="00641A05" w:rsidP="00641A05">
      <w:pPr>
        <w:spacing w:line="276" w:lineRule="auto"/>
        <w:ind w:firstLine="360"/>
        <w:jc w:val="both"/>
        <w:rPr>
          <w:rFonts w:ascii="Verdana" w:eastAsia="Calibri" w:hAnsi="Verdana" w:cs="Arial"/>
          <w:lang w:val="es-ES"/>
        </w:rPr>
      </w:pPr>
      <w:r w:rsidRPr="003648D3">
        <w:rPr>
          <w:rFonts w:ascii="Verdana" w:eastAsia="Calibri" w:hAnsi="Verdana" w:cs="Arial"/>
          <w:lang w:val="es-ES"/>
        </w:rPr>
        <w:t xml:space="preserve">Ahora bien, </w:t>
      </w:r>
      <w:r w:rsidR="003648D3" w:rsidRPr="003648D3">
        <w:rPr>
          <w:rFonts w:ascii="Verdana" w:eastAsia="Calibri" w:hAnsi="Verdana" w:cs="Arial"/>
          <w:lang w:val="es-ES"/>
        </w:rPr>
        <w:t xml:space="preserve">en relación con la estimación del precio en los contratos estatales </w:t>
      </w:r>
      <w:r w:rsidRPr="003648D3">
        <w:rPr>
          <w:rFonts w:ascii="Verdana" w:eastAsia="Calibri" w:hAnsi="Verdana" w:cs="Arial"/>
          <w:lang w:val="es-ES"/>
        </w:rPr>
        <w:t xml:space="preserve">el </w:t>
      </w:r>
      <w:r w:rsidRPr="003648D3">
        <w:rPr>
          <w:rFonts w:ascii="Verdana" w:eastAsia="Calibri" w:hAnsi="Verdana" w:cs="Arial"/>
          <w:i/>
          <w:iCs/>
          <w:lang w:val="es-ES"/>
        </w:rPr>
        <w:t>factor multiplicador</w:t>
      </w:r>
      <w:r w:rsidRPr="003648D3">
        <w:rPr>
          <w:rFonts w:ascii="Verdana" w:eastAsia="Calibri" w:hAnsi="Verdana" w:cs="Arial"/>
          <w:lang w:val="es-ES"/>
        </w:rPr>
        <w:t xml:space="preserve"> es un sistema que permite imputar al contrato los costos directos asociados a las prestaciones laborales y sociales del personal vinculado con carácter exclusivo al proyecto, así como conceptos asociados a prestaciones sociales, la utilidad del ingeniero y los costos de administración. De esta manera se obtiene un subtotal de costos directos a partir de la sumatoria de los valores correspondientes a los salarios del personal, incrementando a partir de su multiplicación por un factor que suele consistir en una cifra de dos dígitos, con una parte entera y otra decimal. Esto sin perjuicio de la incorporación de otros costos directos como viáticos, alquiler de equipos, oficinas, etc., cuya discriminación se exige de manera separada de los costos de personal, para ser sumados al valor resultante la aplicación del factor multiplicador.</w:t>
      </w:r>
    </w:p>
    <w:p w14:paraId="6827AA19" w14:textId="2ABBEE2C" w:rsidR="00641A05" w:rsidRDefault="00641A05" w:rsidP="00641A05">
      <w:pPr>
        <w:spacing w:after="0" w:line="276" w:lineRule="auto"/>
        <w:ind w:firstLine="360"/>
        <w:contextualSpacing/>
        <w:jc w:val="both"/>
        <w:rPr>
          <w:rFonts w:ascii="Verdana" w:eastAsia="Arial" w:hAnsi="Verdana" w:cs="Arial"/>
          <w:color w:val="000000"/>
          <w:kern w:val="2"/>
          <w14:ligatures w14:val="standardContextual"/>
        </w:rPr>
      </w:pPr>
      <w:r w:rsidRPr="003648D3">
        <w:rPr>
          <w:rFonts w:ascii="Verdana" w:hAnsi="Verdana" w:cs="Arial"/>
        </w:rPr>
        <w:t xml:space="preserve">En este orden de ideas el </w:t>
      </w:r>
      <w:r w:rsidRPr="003648D3">
        <w:rPr>
          <w:rFonts w:ascii="Verdana" w:hAnsi="Verdana" w:cs="Arial"/>
          <w:i/>
          <w:iCs/>
        </w:rPr>
        <w:t>factor multiplicador</w:t>
      </w:r>
      <w:r w:rsidRPr="003648D3">
        <w:rPr>
          <w:rFonts w:ascii="Verdana" w:hAnsi="Verdana" w:cs="Arial"/>
        </w:rPr>
        <w:t xml:space="preserve"> no está ligado a nivel normativo con el sistema de precios unitarios. Sin embargo, su metodología es de común </w:t>
      </w:r>
      <w:r w:rsidRPr="003648D3">
        <w:rPr>
          <w:rFonts w:ascii="Verdana" w:hAnsi="Verdana" w:cs="Arial"/>
        </w:rPr>
        <w:lastRenderedPageBreak/>
        <w:t>utilización en contratos que optan por este, en la medida en que esta solo incluye los costos directos e indirectos asociados al personal, más no incluye los otros costos directos e indirectos en los que puede incurrir el contratista, por lo que deben incorporarse en el valor del contrato y en las propuestas económicas de manera separada a los costos de personal afectados por el factor multiplicador, ya sea mediante el sistema de precios unitarios o mediante partidas globales adicionales a las referentes al factor multiplicador</w:t>
      </w:r>
      <w:r w:rsidR="003648D3">
        <w:rPr>
          <w:rFonts w:ascii="Verdana" w:hAnsi="Verdana" w:cs="Arial"/>
        </w:rPr>
        <w:t>.</w:t>
      </w:r>
    </w:p>
    <w:p w14:paraId="4DE0B0B9" w14:textId="77777777" w:rsidR="00641A05" w:rsidRDefault="00641A05" w:rsidP="00576583">
      <w:pPr>
        <w:spacing w:after="0" w:line="276" w:lineRule="auto"/>
        <w:ind w:firstLine="360"/>
        <w:contextualSpacing/>
        <w:jc w:val="both"/>
        <w:rPr>
          <w:rFonts w:ascii="Verdana" w:eastAsia="Arial" w:hAnsi="Verdana" w:cs="Arial"/>
          <w:color w:val="000000"/>
          <w:kern w:val="2"/>
          <w14:ligatures w14:val="standardContextual"/>
        </w:rPr>
      </w:pPr>
    </w:p>
    <w:p w14:paraId="43F46D4D" w14:textId="1D797D38" w:rsidR="00576583" w:rsidRDefault="00641A05" w:rsidP="00576583">
      <w:pPr>
        <w:spacing w:after="0" w:line="276" w:lineRule="auto"/>
        <w:ind w:firstLine="360"/>
        <w:contextualSpacing/>
        <w:jc w:val="both"/>
        <w:rPr>
          <w:rFonts w:ascii="Verdana" w:eastAsia="Arial" w:hAnsi="Verdana" w:cs="Arial"/>
          <w:color w:val="000000"/>
          <w:kern w:val="2"/>
          <w14:ligatures w14:val="standardContextual"/>
        </w:rPr>
      </w:pPr>
      <w:r>
        <w:rPr>
          <w:rFonts w:ascii="Verdana" w:eastAsia="Arial" w:hAnsi="Verdana" w:cs="Arial"/>
          <w:color w:val="000000"/>
          <w:kern w:val="2"/>
          <w14:ligatures w14:val="standardContextual"/>
        </w:rPr>
        <w:t>Ahora bien, l</w:t>
      </w:r>
      <w:r w:rsidR="00576583" w:rsidRPr="00576583">
        <w:rPr>
          <w:rFonts w:ascii="Verdana" w:eastAsia="Arial" w:hAnsi="Verdana" w:cs="Arial"/>
          <w:color w:val="000000"/>
          <w:kern w:val="2"/>
          <w14:ligatures w14:val="standardContextual"/>
        </w:rPr>
        <w:t>os costos asociados al personal requerido para ejecutar el contrato son un aspecto que entran a determinar su precio, por lo que son un tema para considerar al hacer el ofrecimiento económico en la etapa de presentación de ofertas, con sujeción al mecanismo para determinar el precio que regule la entidad en el pliego de condiciones. En ese sentido, cuando una entidad incorpora el mecanismo del factor multiplicador debe incluir las reglas para que estos sean considerados por los proponentes, de suerte que incluyan los costos asociados al personal para la ejecución del contrato en concordancia con el equipo de trabajo exigido, el cual debe atender unas condiciones y perfiles específicos establecidos en los Documentos del Proceso. Las reglas que discrecionalmente deben establecer las entidades estatales en los pliegos de condiciones para regular los mencionados aspectos son las que en últimas determinan que tipo de contratación de personal es la que corresponde realizar al contratista para ejecutar el proyecto, así como la posibilidad de que los costos de dicha contratación–ya sea laboral o por prestación de servicios–, se incorporen al precio del contrato, por la vía del factor multiplicador aplicado para hacer la oferta económica.</w:t>
      </w:r>
    </w:p>
    <w:p w14:paraId="0EB80809" w14:textId="77777777" w:rsidR="00641A05" w:rsidRDefault="00641A05" w:rsidP="00641A05">
      <w:pPr>
        <w:spacing w:line="276" w:lineRule="auto"/>
        <w:jc w:val="both"/>
        <w:rPr>
          <w:rFonts w:ascii="Verdana" w:eastAsia="Calibri" w:hAnsi="Verdana" w:cs="Arial"/>
          <w:lang w:val="es-ES"/>
        </w:rPr>
      </w:pPr>
    </w:p>
    <w:p w14:paraId="746C5793" w14:textId="286390D5" w:rsidR="00641A05" w:rsidRPr="00E949C2" w:rsidRDefault="00641A05" w:rsidP="00641A05">
      <w:pPr>
        <w:spacing w:line="276" w:lineRule="auto"/>
        <w:ind w:firstLine="360"/>
        <w:jc w:val="both"/>
        <w:rPr>
          <w:rFonts w:ascii="Verdana" w:hAnsi="Verdana" w:cs="Arial"/>
          <w:bCs/>
          <w:color w:val="000000" w:themeColor="text1"/>
        </w:rPr>
      </w:pPr>
      <w:r>
        <w:rPr>
          <w:rFonts w:ascii="Verdana" w:eastAsia="Calibri" w:hAnsi="Verdana" w:cs="Arial"/>
          <w:lang w:val="es-ES"/>
        </w:rPr>
        <w:t xml:space="preserve">Asi las cosas resulta necesario que se verifiquen las condiciones propias de cada proceso de selección en el que se pretenda participar con el fin de dar cumplimiento estricto a las reglas propias de este y no incurrir en causales de rechazo, </w:t>
      </w:r>
      <w:r>
        <w:rPr>
          <w:rFonts w:ascii="Verdana" w:hAnsi="Verdana" w:cs="Arial"/>
          <w:bCs/>
          <w:color w:val="000000" w:themeColor="text1"/>
        </w:rPr>
        <w:t>por lo que corresponderá</w:t>
      </w:r>
      <w:r w:rsidRPr="00523EE3">
        <w:rPr>
          <w:rFonts w:ascii="Verdana" w:hAnsi="Verdana" w:cs="Arial"/>
          <w:bCs/>
          <w:color w:val="000000" w:themeColor="text1"/>
        </w:rPr>
        <w:t xml:space="preserve"> a cada entidad pública, en ejercicio de su competencia y previa valoración de los elementos fácticos</w:t>
      </w:r>
      <w:r>
        <w:rPr>
          <w:rFonts w:ascii="Verdana" w:hAnsi="Verdana" w:cs="Arial"/>
          <w:bCs/>
          <w:color w:val="000000" w:themeColor="text1"/>
        </w:rPr>
        <w:t xml:space="preserve">, </w:t>
      </w:r>
      <w:r w:rsidRPr="00523EE3">
        <w:rPr>
          <w:rFonts w:ascii="Verdana" w:hAnsi="Verdana" w:cs="Arial"/>
          <w:bCs/>
          <w:color w:val="000000" w:themeColor="text1"/>
        </w:rPr>
        <w:t>jurídicos</w:t>
      </w:r>
      <w:r>
        <w:rPr>
          <w:rFonts w:ascii="Verdana" w:hAnsi="Verdana" w:cs="Arial"/>
          <w:bCs/>
          <w:color w:val="000000" w:themeColor="text1"/>
        </w:rPr>
        <w:t xml:space="preserve"> y en especial de las condiciones establecidas en los pliegos de condiciones</w:t>
      </w:r>
      <w:r w:rsidRPr="00523EE3">
        <w:rPr>
          <w:rFonts w:ascii="Verdana" w:hAnsi="Verdana" w:cs="Arial"/>
          <w:bCs/>
          <w:color w:val="000000" w:themeColor="text1"/>
        </w:rPr>
        <w:t xml:space="preserve"> </w:t>
      </w:r>
      <w:r>
        <w:rPr>
          <w:rFonts w:ascii="Verdana" w:hAnsi="Verdana" w:cs="Arial"/>
          <w:bCs/>
          <w:color w:val="000000" w:themeColor="text1"/>
        </w:rPr>
        <w:t>determinar la viabilidad o no de proceder al r</w:t>
      </w:r>
      <w:r w:rsidRPr="00E949C2">
        <w:rPr>
          <w:rFonts w:ascii="Verdana" w:hAnsi="Verdana" w:cs="Arial"/>
          <w:bCs/>
          <w:color w:val="000000" w:themeColor="text1"/>
        </w:rPr>
        <w:t>echaz</w:t>
      </w:r>
      <w:r>
        <w:rPr>
          <w:rFonts w:ascii="Verdana" w:hAnsi="Verdana" w:cs="Arial"/>
          <w:bCs/>
          <w:color w:val="000000" w:themeColor="text1"/>
        </w:rPr>
        <w:t>o de una oferta</w:t>
      </w:r>
      <w:r w:rsidRPr="00E949C2">
        <w:rPr>
          <w:rFonts w:ascii="Verdana" w:hAnsi="Verdana" w:cs="Arial"/>
          <w:bCs/>
          <w:color w:val="000000" w:themeColor="text1"/>
        </w:rPr>
        <w:t xml:space="preserve"> </w:t>
      </w:r>
      <w:r>
        <w:rPr>
          <w:rFonts w:ascii="Verdana" w:hAnsi="Verdana" w:cs="Arial"/>
          <w:bCs/>
          <w:color w:val="000000" w:themeColor="text1"/>
        </w:rPr>
        <w:t xml:space="preserve">en el caso que se presente una </w:t>
      </w:r>
      <w:r w:rsidRPr="00E949C2">
        <w:rPr>
          <w:rFonts w:ascii="Verdana" w:hAnsi="Verdana" w:cs="Arial"/>
          <w:bCs/>
          <w:color w:val="000000" w:themeColor="text1"/>
        </w:rPr>
        <w:t>modifica</w:t>
      </w:r>
      <w:r>
        <w:rPr>
          <w:rFonts w:ascii="Verdana" w:hAnsi="Verdana" w:cs="Arial"/>
          <w:bCs/>
          <w:color w:val="000000" w:themeColor="text1"/>
        </w:rPr>
        <w:t>ción</w:t>
      </w:r>
      <w:r w:rsidRPr="00E949C2">
        <w:rPr>
          <w:rFonts w:ascii="Verdana" w:hAnsi="Verdana" w:cs="Arial"/>
          <w:bCs/>
          <w:color w:val="000000" w:themeColor="text1"/>
        </w:rPr>
        <w:t xml:space="preserve"> </w:t>
      </w:r>
      <w:r>
        <w:rPr>
          <w:rFonts w:ascii="Verdana" w:hAnsi="Verdana" w:cs="Arial"/>
          <w:bCs/>
          <w:color w:val="000000" w:themeColor="text1"/>
        </w:rPr>
        <w:t xml:space="preserve">por parte del proponente </w:t>
      </w:r>
      <w:r w:rsidRPr="00E949C2">
        <w:rPr>
          <w:rFonts w:ascii="Verdana" w:hAnsi="Verdana" w:cs="Arial"/>
          <w:bCs/>
          <w:color w:val="000000" w:themeColor="text1"/>
        </w:rPr>
        <w:t xml:space="preserve">en el formato de propuesta económica </w:t>
      </w:r>
      <w:r>
        <w:rPr>
          <w:rFonts w:ascii="Verdana" w:hAnsi="Verdana" w:cs="Arial"/>
          <w:bCs/>
          <w:color w:val="000000" w:themeColor="text1"/>
        </w:rPr>
        <w:t>d</w:t>
      </w:r>
      <w:r w:rsidRPr="00E949C2">
        <w:rPr>
          <w:rFonts w:ascii="Verdana" w:hAnsi="Verdana" w:cs="Arial"/>
          <w:bCs/>
          <w:color w:val="000000" w:themeColor="text1"/>
        </w:rPr>
        <w:t>el valor del factor multiplicador definido por la entidad en el presupuesto oficial</w:t>
      </w:r>
      <w:r>
        <w:rPr>
          <w:rFonts w:ascii="Verdana" w:hAnsi="Verdana" w:cs="Arial"/>
          <w:bCs/>
          <w:color w:val="000000" w:themeColor="text1"/>
        </w:rPr>
        <w:t>.</w:t>
      </w:r>
    </w:p>
    <w:p w14:paraId="67925E4D" w14:textId="7810679B" w:rsidR="00641A05" w:rsidRDefault="00641A05" w:rsidP="00641A05">
      <w:pPr>
        <w:spacing w:after="120" w:line="276" w:lineRule="auto"/>
        <w:ind w:firstLine="360"/>
        <w:jc w:val="both"/>
        <w:rPr>
          <w:rFonts w:ascii="Verdana" w:eastAsia="Century Gothic" w:hAnsi="Verdana" w:cs="Century Gothic"/>
        </w:rPr>
      </w:pPr>
      <w:r w:rsidRPr="00523EE3">
        <w:rPr>
          <w:rFonts w:ascii="Verdana" w:hAnsi="Verdana" w:cs="Arial"/>
          <w:bCs/>
          <w:color w:val="000000" w:themeColor="text1"/>
        </w:rPr>
        <w:lastRenderedPageBreak/>
        <w:t xml:space="preserve">De esta manera, al tratarse de un análisis que se debe realizar en cada caso concreto, la Agencia,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lo anterior, previo concepto de sus órganos asesores, la solución de casos particulares corresponde a la entidad que debe adoptar la decisión correspondiente para </w:t>
      </w:r>
      <w:r>
        <w:rPr>
          <w:rFonts w:ascii="Verdana" w:hAnsi="Verdana" w:cs="Arial"/>
          <w:bCs/>
          <w:color w:val="000000" w:themeColor="text1"/>
        </w:rPr>
        <w:t>atender las necesidades de la entidad pública</w:t>
      </w:r>
      <w:r w:rsidRPr="00523EE3">
        <w:rPr>
          <w:rFonts w:ascii="Verdana" w:hAnsi="Verdana" w:cs="Arial"/>
          <w:bCs/>
          <w:color w:val="000000" w:themeColor="text1"/>
        </w:rPr>
        <w:t>.</w:t>
      </w:r>
    </w:p>
    <w:p w14:paraId="23064A8B" w14:textId="58E0A42E" w:rsidR="00DB7D44" w:rsidRPr="00593A5F" w:rsidRDefault="00DB7D44" w:rsidP="00EF40D2">
      <w:pPr>
        <w:spacing w:after="120" w:line="276" w:lineRule="auto"/>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4366865F" w14:textId="77777777" w:rsidR="00DB7D44" w:rsidRPr="00593A5F" w:rsidRDefault="00DB7D44" w:rsidP="00DB7D44">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B7D44" w:rsidRPr="00593A5F" w14:paraId="2975C83A" w14:textId="77777777" w:rsidTr="00DC0D97">
        <w:trPr>
          <w:trHeight w:val="870"/>
        </w:trPr>
        <w:tc>
          <w:tcPr>
            <w:tcW w:w="8647" w:type="dxa"/>
          </w:tcPr>
          <w:p w14:paraId="46DF8F70" w14:textId="77777777" w:rsidR="00890B1A" w:rsidRPr="00FB5A88" w:rsidRDefault="00890B1A" w:rsidP="00890B1A">
            <w:pPr>
              <w:pStyle w:val="Prrafodelista"/>
              <w:numPr>
                <w:ilvl w:val="0"/>
                <w:numId w:val="39"/>
              </w:numPr>
              <w:rPr>
                <w:rFonts w:ascii="Verdana" w:eastAsia="Times New Roman" w:hAnsi="Verdana" w:cs="Arial"/>
                <w:color w:val="000000" w:themeColor="text1"/>
              </w:rPr>
            </w:pPr>
            <w:r w:rsidRPr="00FB5A88">
              <w:rPr>
                <w:rFonts w:ascii="Verdana" w:eastAsia="Times New Roman" w:hAnsi="Verdana" w:cs="Arial"/>
                <w:color w:val="000000" w:themeColor="text1"/>
              </w:rPr>
              <w:t>Artículo 25.15, 30.7.8 Ley 80 De 1993</w:t>
            </w:r>
          </w:p>
          <w:p w14:paraId="098E8AF7" w14:textId="77777777" w:rsidR="00890B1A" w:rsidRPr="00FB5A88" w:rsidRDefault="00890B1A" w:rsidP="00890B1A">
            <w:pPr>
              <w:pStyle w:val="Prrafodelista"/>
              <w:rPr>
                <w:rFonts w:ascii="Verdana" w:eastAsia="Times New Roman" w:hAnsi="Verdana" w:cs="Arial"/>
                <w:color w:val="000000" w:themeColor="text1"/>
              </w:rPr>
            </w:pPr>
          </w:p>
          <w:p w14:paraId="3C75DFF3" w14:textId="77777777" w:rsidR="00890B1A" w:rsidRPr="00FB5A88" w:rsidRDefault="00890B1A" w:rsidP="00890B1A">
            <w:pPr>
              <w:pStyle w:val="Prrafodelista"/>
              <w:numPr>
                <w:ilvl w:val="0"/>
                <w:numId w:val="39"/>
              </w:numPr>
              <w:rPr>
                <w:rFonts w:ascii="Verdana" w:eastAsia="Times New Roman" w:hAnsi="Verdana" w:cs="Arial"/>
                <w:color w:val="000000" w:themeColor="text1"/>
              </w:rPr>
            </w:pPr>
            <w:r w:rsidRPr="00FB5A88">
              <w:rPr>
                <w:rFonts w:ascii="Verdana" w:eastAsia="Times New Roman" w:hAnsi="Verdana" w:cs="Arial"/>
                <w:color w:val="000000" w:themeColor="text1"/>
              </w:rPr>
              <w:t>Artículo 5 De La Ley 1150 De 2007</w:t>
            </w:r>
          </w:p>
          <w:p w14:paraId="111D4C4A" w14:textId="77777777" w:rsidR="00890B1A" w:rsidRPr="00FB5A88" w:rsidRDefault="00890B1A" w:rsidP="00890B1A">
            <w:pPr>
              <w:pStyle w:val="Prrafodelista"/>
              <w:rPr>
                <w:rFonts w:ascii="Verdana" w:eastAsia="Times New Roman" w:hAnsi="Verdana" w:cs="Arial"/>
                <w:color w:val="000000" w:themeColor="text1"/>
              </w:rPr>
            </w:pPr>
          </w:p>
          <w:p w14:paraId="2C0472A6" w14:textId="77777777" w:rsidR="00890B1A" w:rsidRPr="00FB5A88" w:rsidRDefault="00890B1A" w:rsidP="00890B1A">
            <w:pPr>
              <w:pStyle w:val="Prrafodelista"/>
              <w:numPr>
                <w:ilvl w:val="0"/>
                <w:numId w:val="39"/>
              </w:numPr>
              <w:rPr>
                <w:rFonts w:ascii="Verdana" w:eastAsia="Times New Roman" w:hAnsi="Verdana" w:cs="Arial"/>
                <w:color w:val="000000" w:themeColor="text1"/>
              </w:rPr>
            </w:pPr>
            <w:r w:rsidRPr="00FB5A88">
              <w:rPr>
                <w:rFonts w:ascii="Verdana" w:eastAsia="Times New Roman" w:hAnsi="Verdana" w:cs="Arial"/>
                <w:color w:val="000000" w:themeColor="text1"/>
              </w:rPr>
              <w:t>Artículo 5 Ley 1882 De 2018</w:t>
            </w:r>
          </w:p>
          <w:p w14:paraId="41AF13E2" w14:textId="77777777" w:rsidR="00890B1A" w:rsidRPr="00FB5A88" w:rsidRDefault="00890B1A" w:rsidP="00890B1A">
            <w:pPr>
              <w:pStyle w:val="Prrafodelista"/>
              <w:rPr>
                <w:rFonts w:ascii="Verdana" w:eastAsia="Times New Roman" w:hAnsi="Verdana" w:cs="Arial"/>
                <w:color w:val="000000" w:themeColor="text1"/>
              </w:rPr>
            </w:pPr>
          </w:p>
          <w:p w14:paraId="749AAD2D" w14:textId="77777777" w:rsidR="00890B1A" w:rsidRPr="00FB5A88" w:rsidRDefault="00890B1A" w:rsidP="00890B1A">
            <w:pPr>
              <w:pStyle w:val="Prrafodelista"/>
              <w:numPr>
                <w:ilvl w:val="0"/>
                <w:numId w:val="39"/>
              </w:numPr>
              <w:rPr>
                <w:rFonts w:ascii="Verdana" w:eastAsia="Times New Roman" w:hAnsi="Verdana" w:cs="Arial"/>
                <w:color w:val="000000" w:themeColor="text1"/>
              </w:rPr>
            </w:pPr>
            <w:r w:rsidRPr="00FB5A88">
              <w:rPr>
                <w:rFonts w:ascii="Verdana" w:eastAsia="Times New Roman" w:hAnsi="Verdana" w:cs="Arial"/>
                <w:color w:val="000000" w:themeColor="text1"/>
              </w:rPr>
              <w:t>Artículo 35 De La Ley 2069 De 2020</w:t>
            </w:r>
          </w:p>
          <w:p w14:paraId="6CF27CA6" w14:textId="77777777" w:rsidR="00890B1A" w:rsidRPr="00FB5A88" w:rsidRDefault="00890B1A" w:rsidP="00890B1A">
            <w:pPr>
              <w:pStyle w:val="Prrafodelista"/>
              <w:rPr>
                <w:rFonts w:ascii="Verdana" w:eastAsia="Times New Roman" w:hAnsi="Verdana" w:cs="Arial"/>
                <w:color w:val="000000" w:themeColor="text1"/>
              </w:rPr>
            </w:pPr>
          </w:p>
          <w:p w14:paraId="28A524E9" w14:textId="77777777" w:rsidR="00890B1A" w:rsidRPr="00FB5A88" w:rsidRDefault="00890B1A" w:rsidP="00890B1A">
            <w:pPr>
              <w:pStyle w:val="Prrafodelista"/>
              <w:numPr>
                <w:ilvl w:val="0"/>
                <w:numId w:val="39"/>
              </w:numPr>
              <w:rPr>
                <w:rFonts w:ascii="Verdana" w:eastAsia="Times New Roman" w:hAnsi="Verdana" w:cs="Arial"/>
                <w:color w:val="000000" w:themeColor="text1"/>
              </w:rPr>
            </w:pPr>
            <w:r w:rsidRPr="00FB5A88">
              <w:rPr>
                <w:rFonts w:ascii="Verdana" w:eastAsia="Times New Roman" w:hAnsi="Verdana" w:cs="Arial"/>
                <w:color w:val="000000" w:themeColor="text1"/>
              </w:rPr>
              <w:t xml:space="preserve">Consejo De Estado. Sala De Consulta Y Servicio Civil. Concepto Del 20 De </w:t>
            </w:r>
            <w:proofErr w:type="gramStart"/>
            <w:r w:rsidRPr="00FB5A88">
              <w:rPr>
                <w:rFonts w:ascii="Verdana" w:eastAsia="Times New Roman" w:hAnsi="Verdana" w:cs="Arial"/>
                <w:color w:val="000000" w:themeColor="text1"/>
              </w:rPr>
              <w:t>Mayo</w:t>
            </w:r>
            <w:proofErr w:type="gramEnd"/>
            <w:r w:rsidRPr="00FB5A88">
              <w:rPr>
                <w:rFonts w:ascii="Verdana" w:eastAsia="Times New Roman" w:hAnsi="Verdana" w:cs="Arial"/>
                <w:color w:val="000000" w:themeColor="text1"/>
              </w:rPr>
              <w:t xml:space="preserve"> De 2010. No. De Radicado: 11001-03-06-000-2010-00034-00(1992). C.P. Enrique José Arboleda Perdomo.</w:t>
            </w:r>
          </w:p>
          <w:p w14:paraId="6285C06E" w14:textId="77777777" w:rsidR="00890B1A" w:rsidRPr="00FB5A88" w:rsidRDefault="00890B1A" w:rsidP="00890B1A">
            <w:pPr>
              <w:pStyle w:val="Prrafodelista"/>
              <w:rPr>
                <w:rFonts w:ascii="Verdana" w:eastAsia="Times New Roman" w:hAnsi="Verdana" w:cs="Arial"/>
                <w:color w:val="000000" w:themeColor="text1"/>
              </w:rPr>
            </w:pPr>
          </w:p>
          <w:p w14:paraId="4034283C" w14:textId="74773620" w:rsidR="00890B1A" w:rsidRPr="00FB5A88" w:rsidRDefault="00890B1A" w:rsidP="00890B1A">
            <w:pPr>
              <w:pStyle w:val="Prrafodelista"/>
              <w:numPr>
                <w:ilvl w:val="0"/>
                <w:numId w:val="39"/>
              </w:numPr>
              <w:rPr>
                <w:rFonts w:ascii="Verdana" w:eastAsia="Times New Roman" w:hAnsi="Verdana" w:cs="Arial"/>
                <w:color w:val="000000" w:themeColor="text1"/>
              </w:rPr>
            </w:pPr>
            <w:r w:rsidRPr="00FB5A88">
              <w:rPr>
                <w:rFonts w:ascii="Verdana" w:eastAsia="Times New Roman" w:hAnsi="Verdana" w:cs="Arial"/>
                <w:color w:val="000000" w:themeColor="text1"/>
              </w:rPr>
              <w:t xml:space="preserve">Consejo De Estado. Sección Tercera. Subsección C. Sentencia </w:t>
            </w:r>
            <w:r>
              <w:rPr>
                <w:rFonts w:ascii="Verdana" w:eastAsia="Times New Roman" w:hAnsi="Verdana" w:cs="Arial"/>
                <w:color w:val="000000" w:themeColor="text1"/>
              </w:rPr>
              <w:t>d</w:t>
            </w:r>
            <w:r w:rsidRPr="00FB5A88">
              <w:rPr>
                <w:rFonts w:ascii="Verdana" w:eastAsia="Times New Roman" w:hAnsi="Verdana" w:cs="Arial"/>
                <w:color w:val="000000" w:themeColor="text1"/>
              </w:rPr>
              <w:t xml:space="preserve">el 26 </w:t>
            </w:r>
            <w:r>
              <w:rPr>
                <w:rFonts w:ascii="Verdana" w:eastAsia="Times New Roman" w:hAnsi="Verdana" w:cs="Arial"/>
                <w:color w:val="000000" w:themeColor="text1"/>
              </w:rPr>
              <w:t>d</w:t>
            </w:r>
            <w:r w:rsidRPr="00FB5A88">
              <w:rPr>
                <w:rFonts w:ascii="Verdana" w:eastAsia="Times New Roman" w:hAnsi="Verdana" w:cs="Arial"/>
                <w:color w:val="000000" w:themeColor="text1"/>
              </w:rPr>
              <w:t>e febrero De 2014. Expediente: 25.804. Consejero Ponente: Enrique Gil Botero.</w:t>
            </w:r>
          </w:p>
          <w:p w14:paraId="2BF84B55" w14:textId="77777777" w:rsidR="00890B1A" w:rsidRPr="00FB5A88" w:rsidRDefault="00890B1A" w:rsidP="00890B1A">
            <w:pPr>
              <w:pStyle w:val="Prrafodelista"/>
              <w:rPr>
                <w:rFonts w:ascii="Verdana" w:eastAsia="Times New Roman" w:hAnsi="Verdana" w:cs="Arial"/>
                <w:color w:val="000000" w:themeColor="text1"/>
              </w:rPr>
            </w:pPr>
          </w:p>
          <w:p w14:paraId="2E3B0684" w14:textId="6F6EC4EE" w:rsidR="00E52602" w:rsidRPr="000D446F" w:rsidRDefault="00890B1A" w:rsidP="00890B1A">
            <w:pPr>
              <w:pStyle w:val="Prrafodelista"/>
              <w:widowControl w:val="0"/>
              <w:autoSpaceDE w:val="0"/>
              <w:autoSpaceDN w:val="0"/>
              <w:spacing w:after="120" w:line="276" w:lineRule="auto"/>
              <w:contextualSpacing w:val="0"/>
              <w:jc w:val="both"/>
              <w:rPr>
                <w:rFonts w:ascii="Verdana" w:hAnsi="Verdana" w:cs="Arial"/>
              </w:rPr>
            </w:pPr>
            <w:r w:rsidRPr="00FB5A88">
              <w:rPr>
                <w:rFonts w:ascii="Verdana" w:eastAsia="Times New Roman" w:hAnsi="Verdana" w:cs="Arial"/>
                <w:color w:val="000000" w:themeColor="text1"/>
              </w:rPr>
              <w:t xml:space="preserve">Consejo </w:t>
            </w:r>
            <w:r>
              <w:rPr>
                <w:rFonts w:ascii="Verdana" w:eastAsia="Times New Roman" w:hAnsi="Verdana" w:cs="Arial"/>
                <w:color w:val="000000" w:themeColor="text1"/>
              </w:rPr>
              <w:t>d</w:t>
            </w:r>
            <w:r w:rsidRPr="00FB5A88">
              <w:rPr>
                <w:rFonts w:ascii="Verdana" w:eastAsia="Times New Roman" w:hAnsi="Verdana" w:cs="Arial"/>
                <w:color w:val="000000" w:themeColor="text1"/>
              </w:rPr>
              <w:t xml:space="preserve">e Estado Sala </w:t>
            </w:r>
            <w:r>
              <w:rPr>
                <w:rFonts w:ascii="Verdana" w:eastAsia="Times New Roman" w:hAnsi="Verdana" w:cs="Arial"/>
                <w:color w:val="000000" w:themeColor="text1"/>
              </w:rPr>
              <w:t>d</w:t>
            </w:r>
            <w:r w:rsidRPr="00FB5A88">
              <w:rPr>
                <w:rFonts w:ascii="Verdana" w:eastAsia="Times New Roman" w:hAnsi="Verdana" w:cs="Arial"/>
                <w:color w:val="000000" w:themeColor="text1"/>
              </w:rPr>
              <w:t xml:space="preserve">e </w:t>
            </w:r>
            <w:r>
              <w:rPr>
                <w:rFonts w:ascii="Verdana" w:eastAsia="Times New Roman" w:hAnsi="Verdana" w:cs="Arial"/>
                <w:color w:val="000000" w:themeColor="text1"/>
              </w:rPr>
              <w:t>l</w:t>
            </w:r>
            <w:r w:rsidRPr="00FB5A88">
              <w:rPr>
                <w:rFonts w:ascii="Verdana" w:eastAsia="Times New Roman" w:hAnsi="Verdana" w:cs="Arial"/>
                <w:color w:val="000000" w:themeColor="text1"/>
              </w:rPr>
              <w:t xml:space="preserve">o Contencioso Administrativo Sección Tercera – Subsección Sentencia De Fecha Dos (2) De Agosto De Dos Mil Veinticuatro (2024). Radicado </w:t>
            </w:r>
            <w:proofErr w:type="spellStart"/>
            <w:r w:rsidRPr="00FB5A88">
              <w:rPr>
                <w:rFonts w:ascii="Verdana" w:eastAsia="Times New Roman" w:hAnsi="Verdana" w:cs="Arial"/>
                <w:color w:val="000000" w:themeColor="text1"/>
              </w:rPr>
              <w:t>N°</w:t>
            </w:r>
            <w:proofErr w:type="spellEnd"/>
            <w:r w:rsidRPr="00FB5A88">
              <w:rPr>
                <w:rFonts w:ascii="Verdana" w:eastAsia="Times New Roman" w:hAnsi="Verdana" w:cs="Arial"/>
                <w:color w:val="000000" w:themeColor="text1"/>
              </w:rPr>
              <w:t xml:space="preserve"> 70.597</w:t>
            </w:r>
          </w:p>
        </w:tc>
      </w:tr>
    </w:tbl>
    <w:p w14:paraId="7A137FC7" w14:textId="77777777" w:rsidR="009023EF" w:rsidRPr="00593A5F" w:rsidRDefault="009023EF" w:rsidP="00DB7D44">
      <w:pPr>
        <w:widowControl w:val="0"/>
        <w:autoSpaceDE w:val="0"/>
        <w:autoSpaceDN w:val="0"/>
        <w:spacing w:after="0" w:line="276" w:lineRule="auto"/>
        <w:jc w:val="both"/>
        <w:rPr>
          <w:rFonts w:ascii="Verdana" w:hAnsi="Verdana" w:cs="Arial"/>
        </w:rPr>
      </w:pPr>
    </w:p>
    <w:p w14:paraId="5B6ACB4D" w14:textId="77777777" w:rsidR="00DB7D44" w:rsidRPr="00593A5F" w:rsidRDefault="00DB7D44" w:rsidP="00DB7D4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B063E16" w14:textId="77777777" w:rsidR="00DB7D44" w:rsidRDefault="00DB7D44" w:rsidP="00DB7D44">
      <w:pPr>
        <w:widowControl w:val="0"/>
        <w:autoSpaceDE w:val="0"/>
        <w:autoSpaceDN w:val="0"/>
        <w:spacing w:after="0" w:line="276" w:lineRule="auto"/>
        <w:jc w:val="both"/>
        <w:rPr>
          <w:rStyle w:val="normaltextrun"/>
          <w:rFonts w:ascii="Verdana" w:hAnsi="Verdana" w:cs="Arial"/>
          <w:color w:val="7030A0"/>
          <w:shd w:val="clear" w:color="auto" w:fill="FFFFFF"/>
          <w:lang w:val="es-ES"/>
        </w:rPr>
      </w:pPr>
    </w:p>
    <w:p w14:paraId="66443042" w14:textId="11BF5B5D" w:rsidR="00DA4761" w:rsidRDefault="00117E40" w:rsidP="00DB7D44">
      <w:pPr>
        <w:widowControl w:val="0"/>
        <w:autoSpaceDE w:val="0"/>
        <w:autoSpaceDN w:val="0"/>
        <w:spacing w:after="0" w:line="276" w:lineRule="auto"/>
        <w:jc w:val="both"/>
        <w:rPr>
          <w:rFonts w:ascii="Verdana" w:eastAsia="Calibri" w:hAnsi="Verdana" w:cs="Arial"/>
          <w:shd w:val="clear" w:color="auto" w:fill="FFFFFF"/>
          <w:lang w:val="es-ES"/>
        </w:rPr>
      </w:pPr>
      <w:r w:rsidRPr="00165F2C">
        <w:rPr>
          <w:rFonts w:ascii="Verdana" w:hAnsi="Verdana" w:cs="Arial"/>
          <w:shd w:val="clear" w:color="auto" w:fill="FFFFFF"/>
        </w:rPr>
        <w:t xml:space="preserve">Esta Subdirección se ha </w:t>
      </w:r>
      <w:r w:rsidR="000B64D3">
        <w:rPr>
          <w:rFonts w:ascii="Verdana" w:hAnsi="Verdana" w:cs="Arial"/>
          <w:shd w:val="clear" w:color="auto" w:fill="FFFFFF"/>
        </w:rPr>
        <w:t xml:space="preserve">pronunciado </w:t>
      </w:r>
      <w:r w:rsidR="00641A05" w:rsidRPr="00F217FD">
        <w:rPr>
          <w:rFonts w:ascii="Verdana" w:eastAsia="Calibri" w:hAnsi="Verdana" w:cs="Arial"/>
          <w:shd w:val="clear" w:color="auto" w:fill="FFFFFF"/>
          <w:lang w:val="es-ES"/>
        </w:rPr>
        <w:t xml:space="preserve">sobre las causales de rechazo incorporadas en los pliegos de condiciones, en los conceptos 2201913000007117 del 25 de septiembre de 2019, 2201913000009538 del 23 de diciembre de 2019, C- 716 del 30 de octubre de 2020, C-096 del 24 de marzo de 2021, C-056 del 20 de abril de 2021, C-078 del 15 de marzo de 2022, C-321 del 17 de mayo de 2022, </w:t>
      </w:r>
      <w:r w:rsidR="00641A05" w:rsidRPr="00F217FD">
        <w:rPr>
          <w:rFonts w:ascii="Verdana" w:eastAsia="Calibri" w:hAnsi="Verdana" w:cs="Arial"/>
          <w:shd w:val="clear" w:color="auto" w:fill="FFFFFF"/>
          <w:lang w:val="es-ES"/>
        </w:rPr>
        <w:lastRenderedPageBreak/>
        <w:t xml:space="preserve">C-113 del 22 de marzo de 2022, C-178, C-186 del 12 de abril de 2022, C-406 del 2 de octubre de 2023, </w:t>
      </w:r>
      <w:r w:rsidR="00641A05">
        <w:rPr>
          <w:rFonts w:ascii="Verdana" w:eastAsia="Calibri" w:hAnsi="Verdana" w:cs="Arial"/>
          <w:shd w:val="clear" w:color="auto" w:fill="FFFFFF"/>
          <w:lang w:val="es-ES"/>
        </w:rPr>
        <w:t>C-128 del 2 de agosto de 20</w:t>
      </w:r>
      <w:r w:rsidR="00DA4761">
        <w:rPr>
          <w:rFonts w:ascii="Verdana" w:eastAsia="Calibri" w:hAnsi="Verdana" w:cs="Arial"/>
          <w:shd w:val="clear" w:color="auto" w:fill="FFFFFF"/>
          <w:lang w:val="es-ES"/>
        </w:rPr>
        <w:t xml:space="preserve">-786 del 09 de diciembre de 2024 </w:t>
      </w:r>
      <w:r w:rsidR="00DA4761">
        <w:rPr>
          <w:rFonts w:ascii="Verdana" w:hAnsi="Verdana" w:cs="Arial"/>
          <w:shd w:val="clear" w:color="auto" w:fill="FFFFFF"/>
          <w:lang w:val="es-ES"/>
        </w:rPr>
        <w:t>Por su parte frente a</w:t>
      </w:r>
      <w:r w:rsidR="00DA4761" w:rsidRPr="006849F1">
        <w:rPr>
          <w:rFonts w:ascii="Verdana" w:hAnsi="Verdana" w:cs="Arial"/>
          <w:shd w:val="clear" w:color="auto" w:fill="FFFFFF"/>
          <w:lang w:val="es-ES"/>
        </w:rPr>
        <w:t xml:space="preserve"> la determinación del precio o valor en los contratos estatales se pronunció esta Subdirección en los conceptos</w:t>
      </w:r>
      <w:r w:rsidR="00DA4761" w:rsidRPr="006849F1">
        <w:rPr>
          <w:rFonts w:ascii="Verdana" w:hAnsi="Verdana" w:cs="Calibri"/>
          <w:shd w:val="clear" w:color="auto" w:fill="FFFFFF"/>
        </w:rPr>
        <w:t xml:space="preserve"> </w:t>
      </w:r>
      <w:r w:rsidR="00DA4761" w:rsidRPr="006849F1">
        <w:rPr>
          <w:rFonts w:ascii="Verdana" w:hAnsi="Verdana" w:cs="Arial"/>
          <w:shd w:val="clear" w:color="auto" w:fill="FFFFFF"/>
          <w:lang w:val="es-ES"/>
        </w:rPr>
        <w:t>C-064 del 28 de febrero de 2020, C-150 del 18 de marzo de 2020, C-075 del 26 de marzo de 2020, C-180 del 13 de abril de 2020, C-344 del 26 de mayo de 2020, C-765 del 7 de enero de 2021, C-411 del 17 de agosto de 2021, C-650 del 22 de diciembre de 2021, C-238 del 27 de abril de 2022, C-432 del 13 de julio de 2022, C-590 del 20 de septiembre de 2022, C-716 del 15 de noviembre de 2022, C-114 del 4 de mayo de 2023, C-198 del 16 de junio de 2023, C-250 del 31 de julio de 2023 y C-288 del 14 de julio de 2023</w:t>
      </w:r>
      <w:r w:rsidR="00DA4761">
        <w:rPr>
          <w:rFonts w:ascii="Verdana" w:hAnsi="Verdana" w:cs="Arial"/>
          <w:shd w:val="clear" w:color="auto" w:fill="FFFFFF"/>
          <w:lang w:val="es-ES"/>
        </w:rPr>
        <w:t>.</w:t>
      </w:r>
    </w:p>
    <w:p w14:paraId="4972EEB0" w14:textId="77777777" w:rsidR="00DA4761" w:rsidRDefault="00DA4761" w:rsidP="00DB7D44">
      <w:pPr>
        <w:widowControl w:val="0"/>
        <w:autoSpaceDE w:val="0"/>
        <w:autoSpaceDN w:val="0"/>
        <w:spacing w:after="0" w:line="276" w:lineRule="auto"/>
        <w:jc w:val="both"/>
        <w:rPr>
          <w:rFonts w:ascii="Verdana" w:eastAsia="Calibri" w:hAnsi="Verdana" w:cs="Arial"/>
          <w:shd w:val="clear" w:color="auto" w:fill="FFFFFF"/>
          <w:lang w:val="es-ES"/>
        </w:rPr>
      </w:pPr>
    </w:p>
    <w:p w14:paraId="1E621184" w14:textId="60FC486A" w:rsidR="00DB7D44" w:rsidRDefault="00DB7D44" w:rsidP="00DB7D44">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A8619D">
        <w:rPr>
          <w:rFonts w:ascii="Verdana" w:hAnsi="Verdana" w:cs="Arial"/>
          <w:color w:val="000000" w:themeColor="text1"/>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1" w:tgtFrame="_blank" w:tooltip="Dirección URL original: https://relatoria.colombiacompra.gov.co/. Haga clic o pulse si confía en este vínculo." w:history="1">
        <w:r w:rsidRPr="00A8619D">
          <w:rPr>
            <w:rStyle w:val="Hipervnculo"/>
            <w:rFonts w:ascii="Verdana" w:hAnsi="Verdana" w:cs="Arial"/>
            <w:shd w:val="clear" w:color="auto" w:fill="FFFFFF"/>
          </w:rPr>
          <w:t>https://relatoria.colombiacompra.gov.co/</w:t>
        </w:r>
      </w:hyperlink>
      <w:r w:rsidRPr="00A8619D">
        <w:rPr>
          <w:rFonts w:ascii="Verdana" w:hAnsi="Verdana" w:cs="Arial"/>
          <w:color w:val="000000" w:themeColor="text1"/>
          <w:shd w:val="clear" w:color="auto" w:fill="FFFFFF"/>
        </w:rPr>
        <w:t> . Te invitamos también a revisar la tercera edición del  Boletín de Relatoría de 2024 en el cual podrás consultar en detalle el marco normativo de documentos tipo: </w:t>
      </w:r>
      <w:hyperlink r:id="rId12" w:tgtFrame="_blank" w:tooltip="Dirección URL original: https://www.colombiacompra.gov.co/sites/cce_public/files/files_2020/boletin_de_realtoria_iii.pdf. Haga clic o pulse si confía en este vínculo." w:history="1">
        <w:r w:rsidRPr="00A8619D">
          <w:rPr>
            <w:rStyle w:val="Hipervnculo"/>
            <w:rFonts w:ascii="Verdana" w:hAnsi="Verdana" w:cs="Arial"/>
            <w:shd w:val="clear" w:color="auto" w:fill="FFFFFF"/>
          </w:rPr>
          <w:t>https://www.colombiacompra.gov.co/sites/cce_public/files/files_2020/boletin_de_realtoria_iii.pdf</w:t>
        </w:r>
      </w:hyperlink>
      <w:r w:rsidRPr="00A8619D">
        <w:rPr>
          <w:rFonts w:ascii="Verdana" w:hAnsi="Verdana" w:cs="Arial"/>
          <w:color w:val="000000" w:themeColor="text1"/>
          <w:shd w:val="clear" w:color="auto" w:fill="FFFFFF"/>
        </w:rPr>
        <w:t> ".</w:t>
      </w:r>
    </w:p>
    <w:p w14:paraId="3346A6C8" w14:textId="77777777" w:rsidR="00DB7D44" w:rsidRDefault="00DB7D44" w:rsidP="00DB7D44">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3879187B" w14:textId="77777777" w:rsidR="00DB7D44" w:rsidRDefault="00DB7D44" w:rsidP="00DB7D44">
      <w:pPr>
        <w:widowControl w:val="0"/>
        <w:autoSpaceDE w:val="0"/>
        <w:autoSpaceDN w:val="0"/>
        <w:spacing w:after="0" w:line="276" w:lineRule="auto"/>
        <w:jc w:val="both"/>
      </w:pPr>
      <w:r w:rsidRPr="00985B04">
        <w:rPr>
          <w:rStyle w:val="normaltextrun"/>
          <w:rFonts w:ascii="Verdana" w:hAnsi="Verdana" w:cs="Arial"/>
          <w:color w:val="000000" w:themeColor="text1"/>
          <w:shd w:val="clear" w:color="auto" w:fill="FFFFFF"/>
          <w:lang w:val="es-ES"/>
        </w:rPr>
        <w:t>También le invitamos a consultar la</w:t>
      </w:r>
      <w:r>
        <w:rPr>
          <w:rStyle w:val="normaltextrun"/>
          <w:rFonts w:ascii="Verdana" w:hAnsi="Verdana" w:cs="Arial"/>
          <w:color w:val="000000" w:themeColor="text1"/>
          <w:shd w:val="clear" w:color="auto" w:fill="FFFFFF"/>
          <w:lang w:val="es-ES"/>
        </w:rPr>
        <w:t xml:space="preserve"> </w:t>
      </w:r>
      <w:r w:rsidRPr="00985B04">
        <w:rPr>
          <w:rStyle w:val="normaltextrun"/>
          <w:rFonts w:ascii="Verdana" w:hAnsi="Verdana" w:cs="Arial"/>
          <w:color w:val="000000" w:themeColor="text1"/>
          <w:shd w:val="clear" w:color="auto" w:fill="FFFFFF"/>
          <w:lang w:val="es-ES"/>
        </w:rPr>
        <w:t xml:space="preserve">versión </w:t>
      </w:r>
      <w:r>
        <w:rPr>
          <w:rStyle w:val="normaltextrun"/>
          <w:rFonts w:ascii="Verdana" w:hAnsi="Verdana" w:cs="Arial"/>
          <w:color w:val="000000" w:themeColor="text1"/>
          <w:shd w:val="clear" w:color="auto" w:fill="FFFFFF"/>
          <w:lang w:val="es-ES"/>
        </w:rPr>
        <w:t>IV</w:t>
      </w:r>
      <w:r w:rsidRPr="00985B04">
        <w:rPr>
          <w:rStyle w:val="normaltextrun"/>
          <w:rFonts w:ascii="Verdana" w:hAnsi="Verdana" w:cs="Arial"/>
          <w:color w:val="000000" w:themeColor="text1"/>
          <w:shd w:val="clear" w:color="auto" w:fill="FFFFFF"/>
          <w:lang w:val="es-ES"/>
        </w:rPr>
        <w:t xml:space="preserve"> de 2024 del Boletín de Relatoría de la Subdirección de Gestión Contractual, las cuales puede descargar en la página web de la Agencia:</w:t>
      </w:r>
      <w:r>
        <w:rPr>
          <w:rStyle w:val="normaltextrun"/>
          <w:rFonts w:ascii="Verdana" w:hAnsi="Verdana" w:cs="Arial"/>
          <w:color w:val="FF0000"/>
          <w:shd w:val="clear" w:color="auto" w:fill="FFFFFF"/>
          <w:lang w:val="es-ES"/>
        </w:rPr>
        <w:t xml:space="preserve"> </w:t>
      </w:r>
      <w:hyperlink r:id="rId13" w:history="1">
        <w:r w:rsidRPr="008E0FA3">
          <w:rPr>
            <w:rStyle w:val="Hipervnculo"/>
            <w:rFonts w:ascii="Verdana" w:hAnsi="Verdana"/>
          </w:rPr>
          <w:t>https://www.colombiacompra.gov.co/sala-de-prensa/boletin-digital/boletin-de-relatoria-2024-vi-modalidad-de-seleccion-de-seleccion-de</w:t>
        </w:r>
      </w:hyperlink>
      <w:r>
        <w:rPr>
          <w:rFonts w:ascii="Verdana" w:hAnsi="Verdana"/>
        </w:rPr>
        <w:t xml:space="preserve"> </w:t>
      </w:r>
      <w:r>
        <w:t xml:space="preserve">  </w:t>
      </w:r>
    </w:p>
    <w:p w14:paraId="18ACE7A6" w14:textId="77777777" w:rsidR="00DB7D44" w:rsidRDefault="00DB7D44" w:rsidP="00DB7D44">
      <w:pPr>
        <w:widowControl w:val="0"/>
        <w:autoSpaceDE w:val="0"/>
        <w:autoSpaceDN w:val="0"/>
        <w:spacing w:after="0" w:line="276" w:lineRule="auto"/>
        <w:jc w:val="both"/>
        <w:rPr>
          <w:rFonts w:ascii="Verdana" w:hAnsi="Verdana"/>
        </w:rPr>
      </w:pPr>
    </w:p>
    <w:p w14:paraId="3C3F914A" w14:textId="77777777" w:rsidR="00DB7D44" w:rsidRPr="003E2460" w:rsidRDefault="00DB7D44" w:rsidP="00DB7D44">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6DB59062" w14:textId="77777777" w:rsidR="00DB7D44" w:rsidRPr="003E2460" w:rsidRDefault="00DB7D44" w:rsidP="00DB7D44">
      <w:pPr>
        <w:spacing w:after="0" w:line="240" w:lineRule="auto"/>
        <w:jc w:val="both"/>
        <w:rPr>
          <w:rFonts w:ascii="Verdana" w:hAnsi="Verdana"/>
        </w:rPr>
      </w:pPr>
    </w:p>
    <w:p w14:paraId="6970EAE6" w14:textId="77777777" w:rsidR="00DB7D44" w:rsidRPr="003E2460" w:rsidRDefault="00DB7D44" w:rsidP="00DB7D44">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2BF05797" w14:textId="77777777" w:rsidR="00DB7D44" w:rsidRPr="003E2460" w:rsidRDefault="00DB7D44" w:rsidP="00DB7D44">
      <w:pPr>
        <w:spacing w:after="0" w:line="240" w:lineRule="auto"/>
        <w:jc w:val="both"/>
        <w:rPr>
          <w:rFonts w:ascii="Verdana" w:hAnsi="Verdana"/>
        </w:rPr>
      </w:pPr>
      <w:r w:rsidRPr="003E2460">
        <w:rPr>
          <w:rFonts w:ascii="Verdana" w:hAnsi="Verdana"/>
        </w:rPr>
        <w:t xml:space="preserve">Facebook: </w:t>
      </w:r>
      <w:proofErr w:type="spellStart"/>
      <w:r w:rsidRPr="003E2460">
        <w:rPr>
          <w:rStyle w:val="Hipervnculo"/>
          <w:rFonts w:ascii="Verdana" w:hAnsi="Verdana"/>
          <w:color w:val="4472C4" w:themeColor="accent1"/>
        </w:rPr>
        <w:t>ColombiaCompraEficiente</w:t>
      </w:r>
      <w:proofErr w:type="spellEnd"/>
    </w:p>
    <w:p w14:paraId="3E5D141F" w14:textId="77777777" w:rsidR="00DB7D44" w:rsidRPr="003E2460" w:rsidRDefault="00DB7D44" w:rsidP="00DB7D44">
      <w:pPr>
        <w:spacing w:after="0" w:line="240"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13D9C20E" w14:textId="77777777" w:rsidR="00DB7D44" w:rsidRPr="00593A5F" w:rsidRDefault="00DB7D44" w:rsidP="00DB7D44">
      <w:pPr>
        <w:widowControl w:val="0"/>
        <w:autoSpaceDE w:val="0"/>
        <w:autoSpaceDN w:val="0"/>
        <w:spacing w:after="0" w:line="276" w:lineRule="auto"/>
        <w:jc w:val="both"/>
        <w:rPr>
          <w:rFonts w:ascii="Verdana" w:hAnsi="Verdana" w:cs="Arial"/>
        </w:rPr>
      </w:pPr>
    </w:p>
    <w:p w14:paraId="23F64FEE" w14:textId="77777777" w:rsidR="00DB7D44" w:rsidRPr="00593A5F" w:rsidRDefault="00DB7D44" w:rsidP="00DB7D44">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w:t>
      </w:r>
      <w:r w:rsidRPr="00593A5F">
        <w:rPr>
          <w:rFonts w:ascii="Verdana" w:hAnsi="Verdana" w:cs="Arial"/>
        </w:rPr>
        <w:lastRenderedPageBreak/>
        <w:t xml:space="preserve">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3B6523D2" w14:textId="77777777" w:rsidR="00DB7D44" w:rsidRPr="00593A5F" w:rsidRDefault="00DB7D44" w:rsidP="00DB7D44">
      <w:pPr>
        <w:widowControl w:val="0"/>
        <w:autoSpaceDE w:val="0"/>
        <w:autoSpaceDN w:val="0"/>
        <w:spacing w:after="0" w:line="276" w:lineRule="auto"/>
        <w:jc w:val="both"/>
        <w:rPr>
          <w:rFonts w:ascii="Verdana" w:hAnsi="Verdana" w:cs="Arial"/>
        </w:rPr>
      </w:pPr>
    </w:p>
    <w:p w14:paraId="65D31AF3" w14:textId="77777777" w:rsidR="007D5768" w:rsidRPr="00593A5F" w:rsidRDefault="007D5768" w:rsidP="007D5768">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6EBDD6B5" w14:textId="47E08B89" w:rsidR="007D5768" w:rsidRDefault="007D5768" w:rsidP="007D5768">
      <w:pPr>
        <w:spacing w:line="276" w:lineRule="auto"/>
        <w:jc w:val="center"/>
        <w:rPr>
          <w:rFonts w:ascii="Verdana" w:hAnsi="Verdana"/>
          <w:noProof/>
        </w:rPr>
      </w:pPr>
    </w:p>
    <w:p w14:paraId="3E6BCF58" w14:textId="7B7CB6BD" w:rsidR="00FB38D0" w:rsidRPr="00FB38D0" w:rsidRDefault="00FB38D0" w:rsidP="00FB38D0">
      <w:pPr>
        <w:spacing w:line="276" w:lineRule="auto"/>
        <w:jc w:val="center"/>
        <w:rPr>
          <w:rFonts w:ascii="Verdana" w:hAnsi="Verdana"/>
          <w:noProof/>
          <w:color w:val="000000"/>
        </w:rPr>
      </w:pPr>
      <w:r w:rsidRPr="00FB38D0">
        <w:rPr>
          <w:rFonts w:ascii="Verdana" w:hAnsi="Verdana"/>
          <w:noProof/>
          <w:color w:val="000000"/>
        </w:rPr>
        <w:drawing>
          <wp:inline distT="0" distB="0" distL="0" distR="0" wp14:anchorId="7C615E4E" wp14:editId="6741B91F">
            <wp:extent cx="3761740" cy="1614865"/>
            <wp:effectExtent l="0" t="0" r="0" b="4445"/>
            <wp:docPr id="67562138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66944" cy="1617099"/>
                    </a:xfrm>
                    <a:prstGeom prst="rect">
                      <a:avLst/>
                    </a:prstGeom>
                    <a:noFill/>
                    <a:ln>
                      <a:noFill/>
                    </a:ln>
                  </pic:spPr>
                </pic:pic>
              </a:graphicData>
            </a:graphic>
          </wp:inline>
        </w:drawing>
      </w:r>
    </w:p>
    <w:p w14:paraId="34D79892" w14:textId="77777777" w:rsidR="00FB38D0" w:rsidRPr="00593A5F" w:rsidRDefault="00FB38D0" w:rsidP="007D5768">
      <w:pPr>
        <w:spacing w:line="276" w:lineRule="auto"/>
        <w:jc w:val="center"/>
        <w:rPr>
          <w:rFonts w:ascii="Verdana" w:hAnsi="Verdana" w:cs="Arial"/>
          <w:color w:val="000000"/>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D5768" w:rsidRPr="00593A5F" w14:paraId="31D06E98" w14:textId="77777777" w:rsidTr="00E1079D">
        <w:trPr>
          <w:trHeight w:val="315"/>
        </w:trPr>
        <w:tc>
          <w:tcPr>
            <w:tcW w:w="893" w:type="dxa"/>
            <w:vAlign w:val="center"/>
            <w:hideMark/>
          </w:tcPr>
          <w:p w14:paraId="03E2D651" w14:textId="77777777" w:rsidR="007D5768" w:rsidRPr="003751C7" w:rsidRDefault="007D5768" w:rsidP="00E1079D">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0449EF1" w14:textId="633C0114" w:rsidR="007D5768" w:rsidRPr="000015E6" w:rsidRDefault="000015E6" w:rsidP="00E1079D">
            <w:pPr>
              <w:contextualSpacing/>
              <w:rPr>
                <w:rFonts w:ascii="Verdana" w:eastAsia="Arial" w:hAnsi="Verdana" w:cs="Arial"/>
                <w:color w:val="7030A0"/>
                <w:sz w:val="16"/>
                <w:szCs w:val="16"/>
              </w:rPr>
            </w:pPr>
            <w:r w:rsidRPr="000015E6">
              <w:rPr>
                <w:rStyle w:val="normaltextrun"/>
                <w:rFonts w:ascii="Verdana" w:hAnsi="Verdana"/>
                <w:sz w:val="16"/>
                <w:szCs w:val="16"/>
              </w:rPr>
              <w:t xml:space="preserve">Daniel Eduardo Rojas Poveda </w:t>
            </w:r>
          </w:p>
          <w:p w14:paraId="53926242" w14:textId="77777777" w:rsidR="007D5768" w:rsidRPr="000015E6" w:rsidRDefault="007D5768" w:rsidP="00E1079D">
            <w:pPr>
              <w:contextualSpacing/>
              <w:rPr>
                <w:rFonts w:ascii="Verdana" w:eastAsia="Arial" w:hAnsi="Verdana" w:cs="Arial"/>
                <w:sz w:val="16"/>
                <w:szCs w:val="16"/>
              </w:rPr>
            </w:pPr>
            <w:r w:rsidRPr="000015E6">
              <w:rPr>
                <w:rStyle w:val="normaltextrun"/>
                <w:rFonts w:ascii="Verdana" w:eastAsia="Arial" w:hAnsi="Verdana" w:cs="Arial"/>
                <w:sz w:val="16"/>
                <w:szCs w:val="16"/>
              </w:rPr>
              <w:t>Contratista de la Subdirección de Gestión Contractual</w:t>
            </w:r>
          </w:p>
        </w:tc>
      </w:tr>
      <w:tr w:rsidR="007D5768" w:rsidRPr="00593A5F" w14:paraId="7860D780" w14:textId="77777777" w:rsidTr="00E1079D">
        <w:trPr>
          <w:trHeight w:val="330"/>
        </w:trPr>
        <w:tc>
          <w:tcPr>
            <w:tcW w:w="893" w:type="dxa"/>
            <w:vAlign w:val="center"/>
            <w:hideMark/>
          </w:tcPr>
          <w:p w14:paraId="242F9749" w14:textId="77777777" w:rsidR="007D5768" w:rsidRPr="003751C7" w:rsidRDefault="007D5768" w:rsidP="00E1079D">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4CC40AB" w14:textId="5F306A80" w:rsidR="00EF40D2" w:rsidRDefault="00ED58AB" w:rsidP="004E0A42">
            <w:pPr>
              <w:pStyle w:val="paragraph"/>
              <w:spacing w:before="0" w:beforeAutospacing="0" w:after="0" w:afterAutospacing="0"/>
              <w:contextualSpacing/>
              <w:textAlignment w:val="baseline"/>
              <w:rPr>
                <w:rStyle w:val="normaltextrun"/>
                <w:rFonts w:ascii="Verdana" w:hAnsi="Verdana" w:cstheme="minorHAnsi"/>
                <w:sz w:val="16"/>
                <w:szCs w:val="16"/>
              </w:rPr>
            </w:pPr>
            <w:r>
              <w:rPr>
                <w:rStyle w:val="normaltextrun"/>
                <w:rFonts w:ascii="Verdana" w:hAnsi="Verdana" w:cstheme="minorHAnsi"/>
                <w:sz w:val="16"/>
                <w:szCs w:val="16"/>
              </w:rPr>
              <w:t xml:space="preserve">Juan Carlos </w:t>
            </w:r>
            <w:r w:rsidR="00C42100">
              <w:rPr>
                <w:rStyle w:val="normaltextrun"/>
                <w:rFonts w:ascii="Verdana" w:hAnsi="Verdana" w:cstheme="minorHAnsi"/>
                <w:sz w:val="16"/>
                <w:szCs w:val="16"/>
              </w:rPr>
              <w:t>Gonzále</w:t>
            </w:r>
            <w:r w:rsidR="005E3751">
              <w:rPr>
                <w:rStyle w:val="normaltextrun"/>
                <w:rFonts w:ascii="Verdana" w:hAnsi="Verdana" w:cstheme="minorHAnsi"/>
                <w:sz w:val="16"/>
                <w:szCs w:val="16"/>
              </w:rPr>
              <w:t>z Vásquez</w:t>
            </w:r>
          </w:p>
          <w:p w14:paraId="2BBC7853" w14:textId="6C5DBAC2" w:rsidR="007D5768" w:rsidRPr="00EF40D2" w:rsidRDefault="00ED58AB" w:rsidP="004E0A42">
            <w:pPr>
              <w:pStyle w:val="paragraph"/>
              <w:spacing w:before="0" w:beforeAutospacing="0" w:after="0" w:afterAutospacing="0"/>
              <w:contextualSpacing/>
              <w:textAlignment w:val="baseline"/>
              <w:rPr>
                <w:rFonts w:ascii="Verdana" w:hAnsi="Verdana" w:cstheme="minorHAnsi"/>
                <w:sz w:val="16"/>
                <w:szCs w:val="16"/>
              </w:rPr>
            </w:pPr>
            <w:r>
              <w:rPr>
                <w:rStyle w:val="normaltextrun"/>
                <w:rFonts w:ascii="Verdana" w:eastAsia="Arial" w:hAnsi="Verdana" w:cs="Arial"/>
                <w:sz w:val="16"/>
                <w:szCs w:val="16"/>
              </w:rPr>
              <w:t xml:space="preserve">Contratista </w:t>
            </w:r>
            <w:r w:rsidR="007D5768" w:rsidRPr="000015E6">
              <w:rPr>
                <w:rStyle w:val="normaltextrun"/>
                <w:rFonts w:ascii="Verdana" w:eastAsia="Arial" w:hAnsi="Verdana" w:cs="Arial"/>
                <w:sz w:val="16"/>
                <w:szCs w:val="16"/>
              </w:rPr>
              <w:t>Subdirección de Gestión Contractual</w:t>
            </w:r>
          </w:p>
        </w:tc>
      </w:tr>
      <w:tr w:rsidR="007D5768" w:rsidRPr="00593A5F" w14:paraId="2DB10D30" w14:textId="77777777" w:rsidTr="00E1079D">
        <w:trPr>
          <w:trHeight w:val="300"/>
        </w:trPr>
        <w:tc>
          <w:tcPr>
            <w:tcW w:w="893" w:type="dxa"/>
            <w:vAlign w:val="center"/>
          </w:tcPr>
          <w:p w14:paraId="3638310D" w14:textId="77777777" w:rsidR="007D5768" w:rsidRPr="003751C7" w:rsidRDefault="007D5768" w:rsidP="00E1079D">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4BE9AC3" w14:textId="77777777" w:rsidR="007D5768" w:rsidRPr="000015E6" w:rsidRDefault="007D5768" w:rsidP="00E1079D">
            <w:pPr>
              <w:contextualSpacing/>
              <w:rPr>
                <w:rFonts w:ascii="Verdana" w:eastAsia="Calibri" w:hAnsi="Verdana" w:cs="Arial"/>
                <w:sz w:val="16"/>
                <w:szCs w:val="16"/>
                <w:lang w:val="pt-BR" w:eastAsia="es-ES"/>
              </w:rPr>
            </w:pPr>
            <w:r w:rsidRPr="000015E6">
              <w:rPr>
                <w:rFonts w:ascii="Verdana" w:eastAsia="Calibri" w:hAnsi="Verdana" w:cs="Arial"/>
                <w:sz w:val="16"/>
                <w:szCs w:val="16"/>
                <w:lang w:val="pt-BR" w:eastAsia="es-ES"/>
              </w:rPr>
              <w:t>Carolina Quintero Gacharná</w:t>
            </w:r>
          </w:p>
          <w:p w14:paraId="3F43F8EA" w14:textId="2BA9B9FC" w:rsidR="007D5768" w:rsidRPr="000015E6" w:rsidRDefault="007D5768" w:rsidP="00E1079D">
            <w:pPr>
              <w:contextualSpacing/>
              <w:rPr>
                <w:rFonts w:ascii="Verdana" w:eastAsia="Calibri" w:hAnsi="Verdana" w:cs="Arial"/>
                <w:sz w:val="16"/>
                <w:szCs w:val="16"/>
                <w:lang w:val="pt-BR" w:eastAsia="es-ES"/>
              </w:rPr>
            </w:pPr>
            <w:r w:rsidRPr="000015E6">
              <w:rPr>
                <w:rFonts w:ascii="Verdana" w:eastAsia="Calibri" w:hAnsi="Verdana" w:cs="Arial"/>
                <w:sz w:val="16"/>
                <w:szCs w:val="16"/>
                <w:lang w:eastAsia="es-ES"/>
              </w:rPr>
              <w:t>Subdirectora</w:t>
            </w:r>
            <w:r w:rsidRPr="000015E6">
              <w:rPr>
                <w:rFonts w:ascii="Verdana" w:eastAsia="Calibri" w:hAnsi="Verdana" w:cs="Arial"/>
                <w:sz w:val="16"/>
                <w:szCs w:val="16"/>
                <w:lang w:val="pt-BR" w:eastAsia="es-ES"/>
              </w:rPr>
              <w:t xml:space="preserve"> de Gestión </w:t>
            </w:r>
            <w:r w:rsidR="009B3357" w:rsidRPr="000015E6">
              <w:rPr>
                <w:rFonts w:ascii="Verdana" w:eastAsia="Calibri" w:hAnsi="Verdana" w:cs="Arial"/>
                <w:sz w:val="16"/>
                <w:szCs w:val="16"/>
                <w:lang w:val="pt-BR" w:eastAsia="es-ES"/>
              </w:rPr>
              <w:t>Contratual</w:t>
            </w:r>
            <w:r w:rsidRPr="000015E6">
              <w:rPr>
                <w:rFonts w:ascii="Verdana" w:eastAsia="Calibri" w:hAnsi="Verdana" w:cs="Arial"/>
                <w:sz w:val="16"/>
                <w:szCs w:val="16"/>
                <w:lang w:val="pt-BR" w:eastAsia="es-ES"/>
              </w:rPr>
              <w:t xml:space="preserve"> ANCP – CCE</w:t>
            </w:r>
          </w:p>
        </w:tc>
      </w:tr>
      <w:bookmarkEnd w:id="2"/>
      <w:bookmarkEnd w:id="3"/>
    </w:tbl>
    <w:p w14:paraId="7C53BEA7" w14:textId="77777777" w:rsidR="007D5768" w:rsidRPr="00593A5F" w:rsidRDefault="007D5768" w:rsidP="007D5768">
      <w:pPr>
        <w:spacing w:after="0" w:line="240" w:lineRule="auto"/>
        <w:rPr>
          <w:rFonts w:ascii="Verdana" w:eastAsia="Times New Roman" w:hAnsi="Verdana" w:cs="Arial"/>
          <w:sz w:val="24"/>
          <w:szCs w:val="24"/>
          <w:lang w:eastAsia="es-ES"/>
        </w:rPr>
      </w:pPr>
    </w:p>
    <w:bookmarkEnd w:id="1"/>
    <w:p w14:paraId="0465BA6D" w14:textId="409EEA43" w:rsidR="00E245AB" w:rsidRPr="0044528D" w:rsidRDefault="00E245AB" w:rsidP="00E245AB">
      <w:pPr>
        <w:spacing w:after="0"/>
        <w:rPr>
          <w:rFonts w:ascii="Verdana" w:hAnsi="Verdana"/>
        </w:rPr>
      </w:pPr>
    </w:p>
    <w:sectPr w:rsidR="00E245AB" w:rsidRPr="0044528D" w:rsidSect="009023EF">
      <w:headerReference w:type="even" r:id="rId15"/>
      <w:headerReference w:type="default" r:id="rId16"/>
      <w:footerReference w:type="even" r:id="rId17"/>
      <w:footerReference w:type="default" r:id="rId18"/>
      <w:pgSz w:w="12240" w:h="15840" w:code="1"/>
      <w:pgMar w:top="1417" w:right="1750" w:bottom="1134" w:left="1701"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90FA5C" w14:textId="77777777" w:rsidR="00760EA0" w:rsidRDefault="00760EA0" w:rsidP="004A1847">
      <w:pPr>
        <w:spacing w:after="0" w:line="240" w:lineRule="auto"/>
      </w:pPr>
      <w:r>
        <w:separator/>
      </w:r>
    </w:p>
  </w:endnote>
  <w:endnote w:type="continuationSeparator" w:id="0">
    <w:p w14:paraId="73FA4A63" w14:textId="77777777" w:rsidR="00760EA0" w:rsidRDefault="00760EA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B7AAC8" w14:textId="77777777" w:rsidR="00AF4209" w:rsidRDefault="00AF4209">
    <w:pPr>
      <w:pStyle w:val="Piedepgina"/>
    </w:pPr>
  </w:p>
  <w:p w14:paraId="3526CBDE" w14:textId="77777777" w:rsidR="00687340" w:rsidRDefault="00687340"/>
  <w:p w14:paraId="5CEABD7F" w14:textId="77777777" w:rsidR="00E62880" w:rsidRDefault="00E6288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1C7B20" w14:textId="77777777" w:rsidR="009023EF" w:rsidRDefault="009023EF">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p w14:paraId="53800D44" w14:textId="77777777" w:rsidR="00250743" w:rsidRDefault="00250743"/>
  <w:p w14:paraId="2C260A65" w14:textId="77777777" w:rsidR="00687340" w:rsidRDefault="0068734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0EF605" w14:textId="77777777" w:rsidR="00760EA0" w:rsidRDefault="00760EA0" w:rsidP="004A1847">
      <w:pPr>
        <w:spacing w:after="0" w:line="240" w:lineRule="auto"/>
      </w:pPr>
      <w:r>
        <w:separator/>
      </w:r>
    </w:p>
  </w:footnote>
  <w:footnote w:type="continuationSeparator" w:id="0">
    <w:p w14:paraId="50DC48B4" w14:textId="77777777" w:rsidR="00760EA0" w:rsidRDefault="00760EA0" w:rsidP="004A1847">
      <w:pPr>
        <w:spacing w:after="0" w:line="240" w:lineRule="auto"/>
      </w:pPr>
      <w:r>
        <w:continuationSeparator/>
      </w:r>
    </w:p>
  </w:footnote>
  <w:footnote w:id="1">
    <w:p w14:paraId="58704A89" w14:textId="37B517F4" w:rsidR="0089049B" w:rsidRPr="0089049B" w:rsidRDefault="0089049B" w:rsidP="0089049B">
      <w:pPr>
        <w:pStyle w:val="Textonotapie"/>
        <w:jc w:val="both"/>
        <w:rPr>
          <w:rFonts w:ascii="Verdana" w:eastAsia="Times New Roman" w:hAnsi="Verdana" w:cs="Arial"/>
          <w:sz w:val="16"/>
          <w:szCs w:val="16"/>
          <w:lang w:val="es-CO" w:eastAsia="es-CO"/>
        </w:rPr>
      </w:pPr>
      <w:r w:rsidRPr="0089049B">
        <w:rPr>
          <w:rStyle w:val="Refdenotaalpie"/>
          <w:rFonts w:ascii="Verdana" w:hAnsi="Verdana"/>
          <w:sz w:val="16"/>
          <w:szCs w:val="16"/>
        </w:rPr>
        <w:footnoteRef/>
      </w:r>
      <w:r w:rsidRPr="0089049B">
        <w:rPr>
          <w:rFonts w:ascii="Verdana" w:hAnsi="Verdana"/>
          <w:sz w:val="16"/>
          <w:szCs w:val="16"/>
        </w:rPr>
        <w:t xml:space="preserve"> </w:t>
      </w:r>
      <w:r w:rsidRPr="0089049B">
        <w:rPr>
          <w:rFonts w:ascii="Verdana" w:eastAsia="Times New Roman" w:hAnsi="Verdana" w:cs="Arial"/>
          <w:sz w:val="16"/>
          <w:szCs w:val="16"/>
          <w:lang w:val="es-CO" w:eastAsia="es-CO"/>
        </w:rPr>
        <w:t xml:space="preserve">Consejo de Estado. Sección Tercera. Sentencia del 21 de noviembre de </w:t>
      </w:r>
      <w:proofErr w:type="gramStart"/>
      <w:r w:rsidRPr="0089049B">
        <w:rPr>
          <w:rFonts w:ascii="Verdana" w:eastAsia="Times New Roman" w:hAnsi="Verdana" w:cs="Arial"/>
          <w:sz w:val="16"/>
          <w:szCs w:val="16"/>
          <w:lang w:val="es-CO" w:eastAsia="es-CO"/>
        </w:rPr>
        <w:t>2013  Exp</w:t>
      </w:r>
      <w:proofErr w:type="gramEnd"/>
      <w:r w:rsidRPr="0089049B">
        <w:rPr>
          <w:rFonts w:ascii="Verdana" w:eastAsia="Times New Roman" w:hAnsi="Verdana" w:cs="Arial"/>
          <w:sz w:val="16"/>
          <w:szCs w:val="16"/>
          <w:lang w:val="es-CO" w:eastAsia="es-CO"/>
        </w:rPr>
        <w:t>. 25397. C.P. Carlos Alberto Zambrano Barrera.</w:t>
      </w:r>
    </w:p>
    <w:p w14:paraId="63BBD7E3" w14:textId="66E860C1" w:rsidR="0089049B" w:rsidRPr="0089049B" w:rsidRDefault="0089049B">
      <w:pPr>
        <w:pStyle w:val="Textonotapie"/>
        <w:rPr>
          <w:lang w:val="es-ES"/>
        </w:rPr>
      </w:pPr>
    </w:p>
  </w:footnote>
  <w:footnote w:id="2">
    <w:p w14:paraId="1785F4BB" w14:textId="2F8FD333" w:rsidR="00E738E4" w:rsidRPr="00E738E4" w:rsidRDefault="00E738E4" w:rsidP="00E738E4">
      <w:pPr>
        <w:pStyle w:val="Textonotapie"/>
        <w:jc w:val="both"/>
        <w:rPr>
          <w:rFonts w:ascii="Verdana" w:hAnsi="Verdana"/>
          <w:sz w:val="16"/>
          <w:szCs w:val="16"/>
          <w:lang w:val="es-ES"/>
        </w:rPr>
      </w:pPr>
      <w:r w:rsidRPr="00E738E4">
        <w:rPr>
          <w:rStyle w:val="Refdenotaalpie"/>
          <w:rFonts w:ascii="Verdana" w:hAnsi="Verdana"/>
          <w:sz w:val="16"/>
          <w:szCs w:val="16"/>
        </w:rPr>
        <w:footnoteRef/>
      </w:r>
      <w:r w:rsidRPr="00E738E4">
        <w:rPr>
          <w:rFonts w:ascii="Verdana" w:hAnsi="Verdana"/>
          <w:sz w:val="16"/>
          <w:szCs w:val="16"/>
        </w:rPr>
        <w:t xml:space="preserve"> Concepto Agencia Nacional de Contratación Publica -Colombia Compra Eficiente- C-388 del 25 de septiembre de 2023</w:t>
      </w:r>
      <w:r w:rsidR="00387588">
        <w:rPr>
          <w:rFonts w:ascii="Verdana" w:hAnsi="Verdana"/>
          <w:sz w:val="16"/>
          <w:szCs w:val="16"/>
        </w:rPr>
        <w:t>.</w:t>
      </w:r>
    </w:p>
  </w:footnote>
  <w:footnote w:id="3">
    <w:p w14:paraId="5A39FBA6" w14:textId="47273F47" w:rsidR="00573C59" w:rsidRPr="00573C59" w:rsidRDefault="00573C59" w:rsidP="009023EF">
      <w:pPr>
        <w:pStyle w:val="Textonotapie"/>
        <w:jc w:val="both"/>
        <w:rPr>
          <w:rFonts w:ascii="Verdana" w:hAnsi="Verdana"/>
          <w:sz w:val="16"/>
          <w:szCs w:val="16"/>
          <w:lang w:val="es-ES"/>
        </w:rPr>
      </w:pPr>
      <w:r w:rsidRPr="00573C59">
        <w:rPr>
          <w:rStyle w:val="Refdenotaalpie"/>
          <w:rFonts w:ascii="Verdana" w:hAnsi="Verdana"/>
          <w:sz w:val="16"/>
          <w:szCs w:val="16"/>
        </w:rPr>
        <w:footnoteRef/>
      </w:r>
      <w:r w:rsidRPr="00573C59">
        <w:rPr>
          <w:rFonts w:ascii="Verdana" w:hAnsi="Verdana"/>
          <w:sz w:val="16"/>
          <w:szCs w:val="16"/>
        </w:rPr>
        <w:t xml:space="preserve"> Consejo de Estado. Sección Tercera. Sentencia del 27 de abril de 2011. Exp. 18.293. C.P. Ruth Stella Correa Palacio.</w:t>
      </w:r>
    </w:p>
  </w:footnote>
  <w:footnote w:id="4">
    <w:p w14:paraId="08421BEC" w14:textId="688564CE" w:rsidR="00573C59" w:rsidRPr="00573C59" w:rsidRDefault="00573C59" w:rsidP="009023EF">
      <w:pPr>
        <w:pStyle w:val="Textonotapie"/>
        <w:jc w:val="both"/>
        <w:rPr>
          <w:rFonts w:ascii="Verdana" w:hAnsi="Verdana"/>
          <w:sz w:val="16"/>
          <w:szCs w:val="16"/>
          <w:lang w:val="es-ES"/>
        </w:rPr>
      </w:pPr>
      <w:r w:rsidRPr="00573C59">
        <w:rPr>
          <w:rStyle w:val="Refdenotaalpie"/>
          <w:rFonts w:ascii="Verdana" w:hAnsi="Verdana"/>
          <w:sz w:val="16"/>
          <w:szCs w:val="16"/>
        </w:rPr>
        <w:footnoteRef/>
      </w:r>
      <w:r w:rsidRPr="00573C59">
        <w:rPr>
          <w:rFonts w:ascii="Verdana" w:hAnsi="Verdana"/>
          <w:sz w:val="16"/>
          <w:szCs w:val="16"/>
        </w:rPr>
        <w:t xml:space="preserve"> Consejo de Estado. Sección Tercera. Sentencia del 21 de noviembre de 2013 Exp. 25397. C.P. Carlos Alberto Zambrano Barrera.</w:t>
      </w:r>
    </w:p>
  </w:footnote>
  <w:footnote w:id="5">
    <w:p w14:paraId="221B3213" w14:textId="77777777" w:rsidR="00890B1A" w:rsidRPr="00890B1A" w:rsidRDefault="00890B1A" w:rsidP="00890B1A">
      <w:pPr>
        <w:pStyle w:val="Textonotapie"/>
        <w:jc w:val="both"/>
        <w:rPr>
          <w:rFonts w:ascii="Verdana" w:eastAsia="Times New Roman" w:hAnsi="Verdana" w:cs="Arial"/>
          <w:sz w:val="16"/>
          <w:szCs w:val="16"/>
          <w:lang w:val="es-CO" w:eastAsia="es-CO"/>
        </w:rPr>
      </w:pPr>
      <w:r w:rsidRPr="00890B1A">
        <w:rPr>
          <w:rStyle w:val="Refdenotaalpie"/>
          <w:rFonts w:ascii="Verdana" w:hAnsi="Verdana" w:cs="Arial"/>
          <w:sz w:val="16"/>
          <w:szCs w:val="16"/>
        </w:rPr>
        <w:footnoteRef/>
      </w:r>
      <w:r w:rsidRPr="00890B1A">
        <w:rPr>
          <w:rFonts w:ascii="Verdana" w:hAnsi="Verdana" w:cs="Arial"/>
          <w:sz w:val="16"/>
          <w:szCs w:val="16"/>
        </w:rPr>
        <w:t xml:space="preserve"> </w:t>
      </w:r>
      <w:r w:rsidRPr="00890B1A">
        <w:rPr>
          <w:rFonts w:ascii="Verdana" w:eastAsia="Times New Roman" w:hAnsi="Verdana" w:cs="Arial"/>
          <w:sz w:val="16"/>
          <w:szCs w:val="16"/>
          <w:lang w:val="es-CO" w:eastAsia="es-CO"/>
        </w:rPr>
        <w:t xml:space="preserve">Consejo de Estado. Sección Tercera. Sentencia del 21 de noviembre de </w:t>
      </w:r>
      <w:proofErr w:type="gramStart"/>
      <w:r w:rsidRPr="00890B1A">
        <w:rPr>
          <w:rFonts w:ascii="Verdana" w:eastAsia="Times New Roman" w:hAnsi="Verdana" w:cs="Arial"/>
          <w:sz w:val="16"/>
          <w:szCs w:val="16"/>
          <w:lang w:val="es-CO" w:eastAsia="es-CO"/>
        </w:rPr>
        <w:t>2013  Exp</w:t>
      </w:r>
      <w:proofErr w:type="gramEnd"/>
      <w:r w:rsidRPr="00890B1A">
        <w:rPr>
          <w:rFonts w:ascii="Verdana" w:eastAsia="Times New Roman" w:hAnsi="Verdana" w:cs="Arial"/>
          <w:sz w:val="16"/>
          <w:szCs w:val="16"/>
          <w:lang w:val="es-CO" w:eastAsia="es-CO"/>
        </w:rPr>
        <w:t>. 25397. C.P. Carlos Alberto Zambrano Barrera.</w:t>
      </w:r>
    </w:p>
    <w:p w14:paraId="085CC0CC" w14:textId="77777777" w:rsidR="00890B1A" w:rsidRPr="0034663B" w:rsidRDefault="00890B1A" w:rsidP="00890B1A">
      <w:pPr>
        <w:pStyle w:val="Textonotapie"/>
        <w:ind w:firstLine="709"/>
        <w:jc w:val="both"/>
        <w:rPr>
          <w:rFonts w:ascii="Verdana" w:eastAsia="Calibri" w:hAnsi="Verdana" w:cs="Arial"/>
          <w:sz w:val="14"/>
          <w:szCs w:val="14"/>
          <w:lang w:val="es-CO"/>
        </w:rPr>
      </w:pPr>
    </w:p>
  </w:footnote>
  <w:footnote w:id="6">
    <w:p w14:paraId="695D06EE" w14:textId="77777777" w:rsidR="00890B1A" w:rsidRPr="0034663B" w:rsidRDefault="00890B1A" w:rsidP="00890B1A">
      <w:pPr>
        <w:pBdr>
          <w:top w:val="nil"/>
          <w:left w:val="nil"/>
          <w:bottom w:val="nil"/>
          <w:right w:val="nil"/>
          <w:between w:val="nil"/>
        </w:pBdr>
        <w:spacing w:after="0" w:line="240" w:lineRule="auto"/>
        <w:jc w:val="both"/>
        <w:rPr>
          <w:rFonts w:ascii="Verdana" w:eastAsia="Arial" w:hAnsi="Verdana" w:cs="Arial"/>
          <w:color w:val="000000"/>
          <w:sz w:val="14"/>
          <w:szCs w:val="14"/>
        </w:rPr>
      </w:pPr>
      <w:r w:rsidRPr="0034663B">
        <w:rPr>
          <w:rFonts w:ascii="Verdana" w:hAnsi="Verdana" w:cs="Arial"/>
          <w:sz w:val="14"/>
          <w:szCs w:val="14"/>
          <w:vertAlign w:val="superscript"/>
        </w:rPr>
        <w:footnoteRef/>
      </w:r>
      <w:r w:rsidRPr="0034663B">
        <w:rPr>
          <w:rFonts w:ascii="Verdana" w:eastAsia="Arial" w:hAnsi="Verdana" w:cs="Arial"/>
          <w:color w:val="000000"/>
          <w:sz w:val="14"/>
          <w:szCs w:val="14"/>
        </w:rPr>
        <w:t xml:space="preserve"> Al respecto, conviene recordar el artículo 29 de la Ley 80 de 1993, derogado por el artículo 32 de la Ley 1150 de 2007, que establecía: “La selección de contratistas será objetiva.</w:t>
      </w:r>
    </w:p>
    <w:p w14:paraId="30DFDAD6" w14:textId="77777777" w:rsidR="00890B1A" w:rsidRPr="0034663B" w:rsidRDefault="00890B1A" w:rsidP="00890B1A">
      <w:pPr>
        <w:pBdr>
          <w:top w:val="nil"/>
          <w:left w:val="nil"/>
          <w:bottom w:val="nil"/>
          <w:right w:val="nil"/>
          <w:between w:val="nil"/>
        </w:pBdr>
        <w:spacing w:after="0" w:line="240" w:lineRule="auto"/>
        <w:jc w:val="both"/>
        <w:rPr>
          <w:rFonts w:ascii="Verdana" w:eastAsia="Arial" w:hAnsi="Verdana" w:cs="Arial"/>
          <w:color w:val="000000"/>
          <w:sz w:val="14"/>
          <w:szCs w:val="14"/>
        </w:rPr>
      </w:pPr>
      <w:r w:rsidRPr="0034663B">
        <w:rPr>
          <w:rFonts w:ascii="Verdana" w:eastAsia="Arial" w:hAnsi="Verdana" w:cs="Arial"/>
          <w:color w:val="000000"/>
          <w:sz w:val="14"/>
          <w:szCs w:val="14"/>
        </w:rPr>
        <w:t>Es objetiva la selección en la cual la escogencia se hace al ofrecimiento más favorable a la entidad y a los fines que ella busca, sin tener en consideración factores de afecto o de interés y, en general, cualquier clase de motivación subjetiva.</w:t>
      </w:r>
    </w:p>
    <w:p w14:paraId="16DB1FAF" w14:textId="77777777" w:rsidR="00890B1A" w:rsidRPr="0034663B" w:rsidRDefault="00890B1A" w:rsidP="00890B1A">
      <w:pPr>
        <w:pBdr>
          <w:top w:val="nil"/>
          <w:left w:val="nil"/>
          <w:bottom w:val="nil"/>
          <w:right w:val="nil"/>
          <w:between w:val="nil"/>
        </w:pBdr>
        <w:spacing w:after="0" w:line="240" w:lineRule="auto"/>
        <w:jc w:val="both"/>
        <w:rPr>
          <w:rFonts w:ascii="Verdana" w:eastAsia="Arial" w:hAnsi="Verdana" w:cs="Arial"/>
          <w:color w:val="000000"/>
          <w:sz w:val="14"/>
          <w:szCs w:val="14"/>
        </w:rPr>
      </w:pPr>
      <w:r w:rsidRPr="0034663B">
        <w:rPr>
          <w:rFonts w:ascii="Verdana" w:eastAsia="Arial" w:hAnsi="Verdana" w:cs="Arial"/>
          <w:color w:val="000000"/>
          <w:sz w:val="14"/>
          <w:szCs w:val="14"/>
        </w:rPr>
        <w:t xml:space="preserve">Ofrecimiento más favorable es aquel que, teniendo en cuenta los factores de escogencia, tales como cumplimiento, experiencia, organización, equipos, plazo, precio y la ponderación precisa, detallada y concreta de los mismos, contenida en los pliegos de condiciones o términos de referencia o en el análisis previo a la suscripción del contrato, si se trata de contratación directa, resulta ser el más ventajoso para la entidad, sin que la favorabilidad la constituyan factores diferentes a los contenidos en dichos documentos, sólo alguno de ellos, el más bajo precio o el plazo ofrecido. El menor plazo que se ofrezca inferior al solicitado en los </w:t>
      </w:r>
      <w:proofErr w:type="gramStart"/>
      <w:r w:rsidRPr="0034663B">
        <w:rPr>
          <w:rFonts w:ascii="Verdana" w:eastAsia="Arial" w:hAnsi="Verdana" w:cs="Arial"/>
          <w:color w:val="000000"/>
          <w:sz w:val="14"/>
          <w:szCs w:val="14"/>
        </w:rPr>
        <w:t>pliegos,</w:t>
      </w:r>
      <w:proofErr w:type="gramEnd"/>
      <w:r w:rsidRPr="0034663B">
        <w:rPr>
          <w:rFonts w:ascii="Verdana" w:eastAsia="Arial" w:hAnsi="Verdana" w:cs="Arial"/>
          <w:color w:val="000000"/>
          <w:sz w:val="14"/>
          <w:szCs w:val="14"/>
        </w:rPr>
        <w:t xml:space="preserve"> no será objeto de evaluación”.</w:t>
      </w:r>
    </w:p>
    <w:p w14:paraId="6F5B2B2D" w14:textId="77777777" w:rsidR="00890B1A" w:rsidRPr="0034663B" w:rsidRDefault="00890B1A" w:rsidP="00890B1A">
      <w:pPr>
        <w:pBdr>
          <w:top w:val="nil"/>
          <w:left w:val="nil"/>
          <w:bottom w:val="nil"/>
          <w:right w:val="nil"/>
          <w:between w:val="nil"/>
        </w:pBdr>
        <w:spacing w:after="0" w:line="240" w:lineRule="auto"/>
        <w:jc w:val="both"/>
        <w:rPr>
          <w:rFonts w:ascii="Verdana" w:eastAsia="Arial" w:hAnsi="Verdana" w:cs="Arial"/>
          <w:color w:val="000000"/>
          <w:sz w:val="14"/>
          <w:szCs w:val="14"/>
        </w:rPr>
      </w:pPr>
      <w:r w:rsidRPr="0034663B">
        <w:rPr>
          <w:rFonts w:ascii="Verdana" w:eastAsia="Arial" w:hAnsi="Verdana" w:cs="Arial"/>
          <w:color w:val="000000"/>
          <w:sz w:val="14"/>
          <w:szCs w:val="14"/>
        </w:rPr>
        <w:t>El administrador efectuará las comparaciones del caso mediante el cotejo de los diferentes ofrecimientos recibidos, la consulta de precios o condiciones del mercado y los estudios y deducciones de la entidad o de los organismos consultores o asesores designados para ello.</w:t>
      </w:r>
    </w:p>
    <w:p w14:paraId="17945CCE" w14:textId="77777777" w:rsidR="00890B1A" w:rsidRPr="0034663B" w:rsidRDefault="00890B1A" w:rsidP="00890B1A">
      <w:pPr>
        <w:pBdr>
          <w:top w:val="nil"/>
          <w:left w:val="nil"/>
          <w:bottom w:val="nil"/>
          <w:right w:val="nil"/>
          <w:between w:val="nil"/>
        </w:pBdr>
        <w:spacing w:after="0" w:line="240" w:lineRule="auto"/>
        <w:jc w:val="both"/>
        <w:rPr>
          <w:rFonts w:ascii="Verdana" w:eastAsia="Arial" w:hAnsi="Verdana" w:cs="Arial"/>
          <w:color w:val="000000"/>
          <w:sz w:val="14"/>
          <w:szCs w:val="14"/>
        </w:rPr>
      </w:pPr>
      <w:r w:rsidRPr="0034663B">
        <w:rPr>
          <w:rFonts w:ascii="Verdana" w:eastAsia="Arial" w:hAnsi="Verdana" w:cs="Arial"/>
          <w:color w:val="000000"/>
          <w:sz w:val="14"/>
          <w:szCs w:val="14"/>
        </w:rPr>
        <w:t>En caso de comparación de propuestas nacionales y extranjeras, se incluirán los costos necesarios para la entrega del producto terminado en el lugar de su utilización”.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90070" w14:textId="77777777" w:rsidR="00AF4209" w:rsidRDefault="00AF4209">
    <w:pPr>
      <w:pStyle w:val="Encabezado"/>
    </w:pPr>
  </w:p>
  <w:p w14:paraId="136C5567" w14:textId="77777777" w:rsidR="00687340" w:rsidRDefault="00687340"/>
  <w:p w14:paraId="4B3816E8" w14:textId="77777777" w:rsidR="00E62880" w:rsidRDefault="00E62880"/>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209118945"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15871717" name="Imagen 158717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17C5DE6B" w14:textId="77777777" w:rsidR="00687340" w:rsidRDefault="00687340"/>
  <w:p w14:paraId="08691B49" w14:textId="77777777" w:rsidR="00E62880" w:rsidRDefault="00E6288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70D7145"/>
    <w:multiLevelType w:val="hybridMultilevel"/>
    <w:tmpl w:val="388A8DD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7931FAD"/>
    <w:multiLevelType w:val="hybridMultilevel"/>
    <w:tmpl w:val="CF2441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B400B4F"/>
    <w:multiLevelType w:val="hybridMultilevel"/>
    <w:tmpl w:val="F12825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20550DDB"/>
    <w:multiLevelType w:val="hybridMultilevel"/>
    <w:tmpl w:val="992EFA66"/>
    <w:lvl w:ilvl="0" w:tplc="C284BA10">
      <w:numFmt w:val="bullet"/>
      <w:lvlText w:val=""/>
      <w:lvlJc w:val="left"/>
      <w:pPr>
        <w:ind w:left="823" w:hanging="360"/>
      </w:pPr>
      <w:rPr>
        <w:rFonts w:ascii="Symbol" w:eastAsia="Symbol" w:hAnsi="Symbol" w:cs="Symbol" w:hint="default"/>
        <w:w w:val="99"/>
        <w:sz w:val="22"/>
        <w:szCs w:val="22"/>
        <w:lang w:val="es-ES" w:eastAsia="en-US" w:bidi="ar-SA"/>
      </w:rPr>
    </w:lvl>
    <w:lvl w:ilvl="1" w:tplc="75BC0E92">
      <w:numFmt w:val="bullet"/>
      <w:lvlText w:val="•"/>
      <w:lvlJc w:val="left"/>
      <w:pPr>
        <w:ind w:left="1601" w:hanging="360"/>
      </w:pPr>
      <w:rPr>
        <w:rFonts w:hint="default"/>
        <w:lang w:val="es-ES" w:eastAsia="en-US" w:bidi="ar-SA"/>
      </w:rPr>
    </w:lvl>
    <w:lvl w:ilvl="2" w:tplc="6234D9D2">
      <w:numFmt w:val="bullet"/>
      <w:lvlText w:val="•"/>
      <w:lvlJc w:val="left"/>
      <w:pPr>
        <w:ind w:left="2383" w:hanging="360"/>
      </w:pPr>
      <w:rPr>
        <w:rFonts w:hint="default"/>
        <w:lang w:val="es-ES" w:eastAsia="en-US" w:bidi="ar-SA"/>
      </w:rPr>
    </w:lvl>
    <w:lvl w:ilvl="3" w:tplc="D8DE518A">
      <w:numFmt w:val="bullet"/>
      <w:lvlText w:val="•"/>
      <w:lvlJc w:val="left"/>
      <w:pPr>
        <w:ind w:left="3165" w:hanging="360"/>
      </w:pPr>
      <w:rPr>
        <w:rFonts w:hint="default"/>
        <w:lang w:val="es-ES" w:eastAsia="en-US" w:bidi="ar-SA"/>
      </w:rPr>
    </w:lvl>
    <w:lvl w:ilvl="4" w:tplc="9D484E64">
      <w:numFmt w:val="bullet"/>
      <w:lvlText w:val="•"/>
      <w:lvlJc w:val="left"/>
      <w:pPr>
        <w:ind w:left="3946" w:hanging="360"/>
      </w:pPr>
      <w:rPr>
        <w:rFonts w:hint="default"/>
        <w:lang w:val="es-ES" w:eastAsia="en-US" w:bidi="ar-SA"/>
      </w:rPr>
    </w:lvl>
    <w:lvl w:ilvl="5" w:tplc="E5F481EE">
      <w:numFmt w:val="bullet"/>
      <w:lvlText w:val="•"/>
      <w:lvlJc w:val="left"/>
      <w:pPr>
        <w:ind w:left="4728" w:hanging="360"/>
      </w:pPr>
      <w:rPr>
        <w:rFonts w:hint="default"/>
        <w:lang w:val="es-ES" w:eastAsia="en-US" w:bidi="ar-SA"/>
      </w:rPr>
    </w:lvl>
    <w:lvl w:ilvl="6" w:tplc="263AC6AC">
      <w:numFmt w:val="bullet"/>
      <w:lvlText w:val="•"/>
      <w:lvlJc w:val="left"/>
      <w:pPr>
        <w:ind w:left="5510" w:hanging="360"/>
      </w:pPr>
      <w:rPr>
        <w:rFonts w:hint="default"/>
        <w:lang w:val="es-ES" w:eastAsia="en-US" w:bidi="ar-SA"/>
      </w:rPr>
    </w:lvl>
    <w:lvl w:ilvl="7" w:tplc="6240A5FA">
      <w:numFmt w:val="bullet"/>
      <w:lvlText w:val="•"/>
      <w:lvlJc w:val="left"/>
      <w:pPr>
        <w:ind w:left="6291" w:hanging="360"/>
      </w:pPr>
      <w:rPr>
        <w:rFonts w:hint="default"/>
        <w:lang w:val="es-ES" w:eastAsia="en-US" w:bidi="ar-SA"/>
      </w:rPr>
    </w:lvl>
    <w:lvl w:ilvl="8" w:tplc="0814455C">
      <w:numFmt w:val="bullet"/>
      <w:lvlText w:val="•"/>
      <w:lvlJc w:val="left"/>
      <w:pPr>
        <w:ind w:left="7073" w:hanging="360"/>
      </w:pPr>
      <w:rPr>
        <w:rFonts w:hint="default"/>
        <w:lang w:val="es-ES" w:eastAsia="en-US" w:bidi="ar-SA"/>
      </w:rPr>
    </w:lvl>
  </w:abstractNum>
  <w:abstractNum w:abstractNumId="7" w15:restartNumberingAfterBreak="0">
    <w:nsid w:val="221405AE"/>
    <w:multiLevelType w:val="hybridMultilevel"/>
    <w:tmpl w:val="7BD406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C4A618E"/>
    <w:multiLevelType w:val="hybridMultilevel"/>
    <w:tmpl w:val="8D825AF8"/>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0" w15:restartNumberingAfterBreak="0">
    <w:nsid w:val="2FCD0DB5"/>
    <w:multiLevelType w:val="multilevel"/>
    <w:tmpl w:val="115E934A"/>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35553C26"/>
    <w:multiLevelType w:val="hybridMultilevel"/>
    <w:tmpl w:val="AD704D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8960B20"/>
    <w:multiLevelType w:val="hybridMultilevel"/>
    <w:tmpl w:val="929E1BA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9" w15:restartNumberingAfterBreak="0">
    <w:nsid w:val="40E12C2B"/>
    <w:multiLevelType w:val="hybridMultilevel"/>
    <w:tmpl w:val="E7D6AF9E"/>
    <w:lvl w:ilvl="0" w:tplc="240A0001">
      <w:start w:val="1"/>
      <w:numFmt w:val="bullet"/>
      <w:lvlText w:val=""/>
      <w:lvlJc w:val="left"/>
      <w:pPr>
        <w:ind w:left="840" w:hanging="360"/>
      </w:pPr>
      <w:rPr>
        <w:rFonts w:ascii="Symbol" w:hAnsi="Symbol" w:hint="default"/>
      </w:rPr>
    </w:lvl>
    <w:lvl w:ilvl="1" w:tplc="240A0003" w:tentative="1">
      <w:start w:val="1"/>
      <w:numFmt w:val="bullet"/>
      <w:lvlText w:val="o"/>
      <w:lvlJc w:val="left"/>
      <w:pPr>
        <w:ind w:left="1560" w:hanging="360"/>
      </w:pPr>
      <w:rPr>
        <w:rFonts w:ascii="Courier New" w:hAnsi="Courier New" w:cs="Courier New" w:hint="default"/>
      </w:rPr>
    </w:lvl>
    <w:lvl w:ilvl="2" w:tplc="240A0005" w:tentative="1">
      <w:start w:val="1"/>
      <w:numFmt w:val="bullet"/>
      <w:lvlText w:val=""/>
      <w:lvlJc w:val="left"/>
      <w:pPr>
        <w:ind w:left="2280" w:hanging="360"/>
      </w:pPr>
      <w:rPr>
        <w:rFonts w:ascii="Wingdings" w:hAnsi="Wingdings" w:hint="default"/>
      </w:rPr>
    </w:lvl>
    <w:lvl w:ilvl="3" w:tplc="240A0001" w:tentative="1">
      <w:start w:val="1"/>
      <w:numFmt w:val="bullet"/>
      <w:lvlText w:val=""/>
      <w:lvlJc w:val="left"/>
      <w:pPr>
        <w:ind w:left="3000" w:hanging="360"/>
      </w:pPr>
      <w:rPr>
        <w:rFonts w:ascii="Symbol" w:hAnsi="Symbol" w:hint="default"/>
      </w:rPr>
    </w:lvl>
    <w:lvl w:ilvl="4" w:tplc="240A0003" w:tentative="1">
      <w:start w:val="1"/>
      <w:numFmt w:val="bullet"/>
      <w:lvlText w:val="o"/>
      <w:lvlJc w:val="left"/>
      <w:pPr>
        <w:ind w:left="3720" w:hanging="360"/>
      </w:pPr>
      <w:rPr>
        <w:rFonts w:ascii="Courier New" w:hAnsi="Courier New" w:cs="Courier New" w:hint="default"/>
      </w:rPr>
    </w:lvl>
    <w:lvl w:ilvl="5" w:tplc="240A0005" w:tentative="1">
      <w:start w:val="1"/>
      <w:numFmt w:val="bullet"/>
      <w:lvlText w:val=""/>
      <w:lvlJc w:val="left"/>
      <w:pPr>
        <w:ind w:left="4440" w:hanging="360"/>
      </w:pPr>
      <w:rPr>
        <w:rFonts w:ascii="Wingdings" w:hAnsi="Wingdings" w:hint="default"/>
      </w:rPr>
    </w:lvl>
    <w:lvl w:ilvl="6" w:tplc="240A0001" w:tentative="1">
      <w:start w:val="1"/>
      <w:numFmt w:val="bullet"/>
      <w:lvlText w:val=""/>
      <w:lvlJc w:val="left"/>
      <w:pPr>
        <w:ind w:left="5160" w:hanging="360"/>
      </w:pPr>
      <w:rPr>
        <w:rFonts w:ascii="Symbol" w:hAnsi="Symbol" w:hint="default"/>
      </w:rPr>
    </w:lvl>
    <w:lvl w:ilvl="7" w:tplc="240A0003" w:tentative="1">
      <w:start w:val="1"/>
      <w:numFmt w:val="bullet"/>
      <w:lvlText w:val="o"/>
      <w:lvlJc w:val="left"/>
      <w:pPr>
        <w:ind w:left="5880" w:hanging="360"/>
      </w:pPr>
      <w:rPr>
        <w:rFonts w:ascii="Courier New" w:hAnsi="Courier New" w:cs="Courier New" w:hint="default"/>
      </w:rPr>
    </w:lvl>
    <w:lvl w:ilvl="8" w:tplc="240A0005" w:tentative="1">
      <w:start w:val="1"/>
      <w:numFmt w:val="bullet"/>
      <w:lvlText w:val=""/>
      <w:lvlJc w:val="left"/>
      <w:pPr>
        <w:ind w:left="6600" w:hanging="360"/>
      </w:pPr>
      <w:rPr>
        <w:rFonts w:ascii="Wingdings" w:hAnsi="Wingdings" w:hint="default"/>
      </w:rPr>
    </w:lvl>
  </w:abstractNum>
  <w:abstractNum w:abstractNumId="20" w15:restartNumberingAfterBreak="0">
    <w:nsid w:val="4A07209D"/>
    <w:multiLevelType w:val="hybridMultilevel"/>
    <w:tmpl w:val="12C46106"/>
    <w:lvl w:ilvl="0" w:tplc="240A0001">
      <w:start w:val="1"/>
      <w:numFmt w:val="bullet"/>
      <w:lvlText w:val=""/>
      <w:lvlJc w:val="left"/>
      <w:pPr>
        <w:ind w:left="2280" w:hanging="360"/>
      </w:pPr>
      <w:rPr>
        <w:rFonts w:ascii="Symbol" w:hAnsi="Symbol" w:hint="default"/>
      </w:rPr>
    </w:lvl>
    <w:lvl w:ilvl="1" w:tplc="240A0003" w:tentative="1">
      <w:start w:val="1"/>
      <w:numFmt w:val="bullet"/>
      <w:lvlText w:val="o"/>
      <w:lvlJc w:val="left"/>
      <w:pPr>
        <w:ind w:left="3000" w:hanging="360"/>
      </w:pPr>
      <w:rPr>
        <w:rFonts w:ascii="Courier New" w:hAnsi="Courier New" w:cs="Courier New" w:hint="default"/>
      </w:rPr>
    </w:lvl>
    <w:lvl w:ilvl="2" w:tplc="240A0005" w:tentative="1">
      <w:start w:val="1"/>
      <w:numFmt w:val="bullet"/>
      <w:lvlText w:val=""/>
      <w:lvlJc w:val="left"/>
      <w:pPr>
        <w:ind w:left="3720" w:hanging="360"/>
      </w:pPr>
      <w:rPr>
        <w:rFonts w:ascii="Wingdings" w:hAnsi="Wingdings" w:hint="default"/>
      </w:rPr>
    </w:lvl>
    <w:lvl w:ilvl="3" w:tplc="240A0001" w:tentative="1">
      <w:start w:val="1"/>
      <w:numFmt w:val="bullet"/>
      <w:lvlText w:val=""/>
      <w:lvlJc w:val="left"/>
      <w:pPr>
        <w:ind w:left="4440" w:hanging="360"/>
      </w:pPr>
      <w:rPr>
        <w:rFonts w:ascii="Symbol" w:hAnsi="Symbol" w:hint="default"/>
      </w:rPr>
    </w:lvl>
    <w:lvl w:ilvl="4" w:tplc="240A0003" w:tentative="1">
      <w:start w:val="1"/>
      <w:numFmt w:val="bullet"/>
      <w:lvlText w:val="o"/>
      <w:lvlJc w:val="left"/>
      <w:pPr>
        <w:ind w:left="5160" w:hanging="360"/>
      </w:pPr>
      <w:rPr>
        <w:rFonts w:ascii="Courier New" w:hAnsi="Courier New" w:cs="Courier New" w:hint="default"/>
      </w:rPr>
    </w:lvl>
    <w:lvl w:ilvl="5" w:tplc="240A0005" w:tentative="1">
      <w:start w:val="1"/>
      <w:numFmt w:val="bullet"/>
      <w:lvlText w:val=""/>
      <w:lvlJc w:val="left"/>
      <w:pPr>
        <w:ind w:left="5880" w:hanging="360"/>
      </w:pPr>
      <w:rPr>
        <w:rFonts w:ascii="Wingdings" w:hAnsi="Wingdings" w:hint="default"/>
      </w:rPr>
    </w:lvl>
    <w:lvl w:ilvl="6" w:tplc="240A0001" w:tentative="1">
      <w:start w:val="1"/>
      <w:numFmt w:val="bullet"/>
      <w:lvlText w:val=""/>
      <w:lvlJc w:val="left"/>
      <w:pPr>
        <w:ind w:left="6600" w:hanging="360"/>
      </w:pPr>
      <w:rPr>
        <w:rFonts w:ascii="Symbol" w:hAnsi="Symbol" w:hint="default"/>
      </w:rPr>
    </w:lvl>
    <w:lvl w:ilvl="7" w:tplc="240A0003" w:tentative="1">
      <w:start w:val="1"/>
      <w:numFmt w:val="bullet"/>
      <w:lvlText w:val="o"/>
      <w:lvlJc w:val="left"/>
      <w:pPr>
        <w:ind w:left="7320" w:hanging="360"/>
      </w:pPr>
      <w:rPr>
        <w:rFonts w:ascii="Courier New" w:hAnsi="Courier New" w:cs="Courier New" w:hint="default"/>
      </w:rPr>
    </w:lvl>
    <w:lvl w:ilvl="8" w:tplc="240A0005" w:tentative="1">
      <w:start w:val="1"/>
      <w:numFmt w:val="bullet"/>
      <w:lvlText w:val=""/>
      <w:lvlJc w:val="left"/>
      <w:pPr>
        <w:ind w:left="8040" w:hanging="360"/>
      </w:pPr>
      <w:rPr>
        <w:rFonts w:ascii="Wingdings" w:hAnsi="Wingdings" w:hint="default"/>
      </w:rPr>
    </w:lvl>
  </w:abstractNum>
  <w:abstractNum w:abstractNumId="21" w15:restartNumberingAfterBreak="0">
    <w:nsid w:val="4A3F27CD"/>
    <w:multiLevelType w:val="hybridMultilevel"/>
    <w:tmpl w:val="1AB87B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4F1117FC"/>
    <w:multiLevelType w:val="hybridMultilevel"/>
    <w:tmpl w:val="D36A3F8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52135D5B"/>
    <w:multiLevelType w:val="hybridMultilevel"/>
    <w:tmpl w:val="465A66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533320B5"/>
    <w:multiLevelType w:val="multilevel"/>
    <w:tmpl w:val="D74E669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15:restartNumberingAfterBreak="0">
    <w:nsid w:val="543A09DF"/>
    <w:multiLevelType w:val="multilevel"/>
    <w:tmpl w:val="9FB46D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7" w15:restartNumberingAfterBreak="0">
    <w:nsid w:val="65873129"/>
    <w:multiLevelType w:val="hybridMultilevel"/>
    <w:tmpl w:val="23CA46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663276E"/>
    <w:multiLevelType w:val="hybridMultilevel"/>
    <w:tmpl w:val="4C78242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D471CDA"/>
    <w:multiLevelType w:val="hybridMultilevel"/>
    <w:tmpl w:val="FF68D47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1CC6F5F"/>
    <w:multiLevelType w:val="hybridMultilevel"/>
    <w:tmpl w:val="C05E8E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E67788B"/>
    <w:multiLevelType w:val="hybridMultilevel"/>
    <w:tmpl w:val="1324D0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7EAD19C2"/>
    <w:multiLevelType w:val="hybridMultilevel"/>
    <w:tmpl w:val="CD4A15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948779781">
    <w:abstractNumId w:val="13"/>
  </w:num>
  <w:num w:numId="2" w16cid:durableId="19822139">
    <w:abstractNumId w:val="2"/>
  </w:num>
  <w:num w:numId="3" w16cid:durableId="876742304">
    <w:abstractNumId w:val="11"/>
  </w:num>
  <w:num w:numId="4" w16cid:durableId="24518640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32"/>
  </w:num>
  <w:num w:numId="7" w16cid:durableId="1946422806">
    <w:abstractNumId w:val="12"/>
  </w:num>
  <w:num w:numId="8" w16cid:durableId="152644682">
    <w:abstractNumId w:val="30"/>
  </w:num>
  <w:num w:numId="9" w16cid:durableId="1317221377">
    <w:abstractNumId w:val="15"/>
  </w:num>
  <w:num w:numId="10" w16cid:durableId="1471245386">
    <w:abstractNumId w:val="29"/>
  </w:num>
  <w:num w:numId="11" w16cid:durableId="289172385">
    <w:abstractNumId w:val="16"/>
  </w:num>
  <w:num w:numId="12" w16cid:durableId="1470781324">
    <w:abstractNumId w:val="1"/>
  </w:num>
  <w:num w:numId="13" w16cid:durableId="1512908409">
    <w:abstractNumId w:val="8"/>
  </w:num>
  <w:num w:numId="14" w16cid:durableId="895897244">
    <w:abstractNumId w:val="33"/>
  </w:num>
  <w:num w:numId="15" w16cid:durableId="390349800">
    <w:abstractNumId w:val="26"/>
  </w:num>
  <w:num w:numId="16" w16cid:durableId="1380713882">
    <w:abstractNumId w:val="0"/>
  </w:num>
  <w:num w:numId="17" w16cid:durableId="1528370592">
    <w:abstractNumId w:val="31"/>
  </w:num>
  <w:num w:numId="18" w16cid:durableId="1827160323">
    <w:abstractNumId w:val="23"/>
  </w:num>
  <w:num w:numId="19" w16cid:durableId="1341393406">
    <w:abstractNumId w:val="7"/>
  </w:num>
  <w:num w:numId="20" w16cid:durableId="142542170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714770774">
    <w:abstractNumId w:val="1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53683062">
    <w:abstractNumId w:val="25"/>
  </w:num>
  <w:num w:numId="23" w16cid:durableId="821585723">
    <w:abstractNumId w:val="35"/>
  </w:num>
  <w:num w:numId="24" w16cid:durableId="278218624">
    <w:abstractNumId w:val="22"/>
  </w:num>
  <w:num w:numId="25" w16cid:durableId="619844469">
    <w:abstractNumId w:val="3"/>
  </w:num>
  <w:num w:numId="26" w16cid:durableId="2032217959">
    <w:abstractNumId w:val="19"/>
  </w:num>
  <w:num w:numId="27" w16cid:durableId="1194152408">
    <w:abstractNumId w:val="5"/>
  </w:num>
  <w:num w:numId="28" w16cid:durableId="765926342">
    <w:abstractNumId w:val="6"/>
  </w:num>
  <w:num w:numId="29" w16cid:durableId="772895453">
    <w:abstractNumId w:val="27"/>
  </w:num>
  <w:num w:numId="30" w16cid:durableId="784039179">
    <w:abstractNumId w:val="34"/>
  </w:num>
  <w:num w:numId="31" w16cid:durableId="998077508">
    <w:abstractNumId w:val="21"/>
  </w:num>
  <w:num w:numId="32" w16cid:durableId="836310654">
    <w:abstractNumId w:val="4"/>
  </w:num>
  <w:num w:numId="33" w16cid:durableId="1178544198">
    <w:abstractNumId w:val="14"/>
  </w:num>
  <w:num w:numId="34" w16cid:durableId="449785796">
    <w:abstractNumId w:val="9"/>
  </w:num>
  <w:num w:numId="35" w16cid:durableId="558784917">
    <w:abstractNumId w:val="20"/>
  </w:num>
  <w:num w:numId="36" w16cid:durableId="679089576">
    <w:abstractNumId w:val="18"/>
  </w:num>
  <w:num w:numId="37" w16cid:durableId="1733503356">
    <w:abstractNumId w:val="28"/>
  </w:num>
  <w:num w:numId="38" w16cid:durableId="588075328">
    <w:abstractNumId w:val="17"/>
  </w:num>
  <w:num w:numId="39" w16cid:durableId="1514563553">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5E6"/>
    <w:rsid w:val="00002BA0"/>
    <w:rsid w:val="00004C50"/>
    <w:rsid w:val="00043043"/>
    <w:rsid w:val="0005032D"/>
    <w:rsid w:val="00052A7F"/>
    <w:rsid w:val="00053ED1"/>
    <w:rsid w:val="00061B2A"/>
    <w:rsid w:val="000716C3"/>
    <w:rsid w:val="000816DD"/>
    <w:rsid w:val="00082362"/>
    <w:rsid w:val="00091052"/>
    <w:rsid w:val="00097A44"/>
    <w:rsid w:val="000A683E"/>
    <w:rsid w:val="000B19B9"/>
    <w:rsid w:val="000B64D3"/>
    <w:rsid w:val="000C3898"/>
    <w:rsid w:val="000D0334"/>
    <w:rsid w:val="000F6486"/>
    <w:rsid w:val="00117E40"/>
    <w:rsid w:val="00125105"/>
    <w:rsid w:val="001254C6"/>
    <w:rsid w:val="00127233"/>
    <w:rsid w:val="001318DA"/>
    <w:rsid w:val="0015095D"/>
    <w:rsid w:val="001561D6"/>
    <w:rsid w:val="001572FA"/>
    <w:rsid w:val="001643A7"/>
    <w:rsid w:val="00174353"/>
    <w:rsid w:val="001A13C1"/>
    <w:rsid w:val="001B7AF4"/>
    <w:rsid w:val="001D756C"/>
    <w:rsid w:val="001E4177"/>
    <w:rsid w:val="001E5B16"/>
    <w:rsid w:val="001F0FB2"/>
    <w:rsid w:val="001F6D8D"/>
    <w:rsid w:val="001F7DC6"/>
    <w:rsid w:val="00201766"/>
    <w:rsid w:val="002121EB"/>
    <w:rsid w:val="002221DA"/>
    <w:rsid w:val="002241CA"/>
    <w:rsid w:val="00232683"/>
    <w:rsid w:val="00237E44"/>
    <w:rsid w:val="002421BB"/>
    <w:rsid w:val="00250743"/>
    <w:rsid w:val="002520F5"/>
    <w:rsid w:val="0025398C"/>
    <w:rsid w:val="0025796E"/>
    <w:rsid w:val="002707A2"/>
    <w:rsid w:val="00272513"/>
    <w:rsid w:val="002933DA"/>
    <w:rsid w:val="002951A0"/>
    <w:rsid w:val="002962BC"/>
    <w:rsid w:val="002A093D"/>
    <w:rsid w:val="002A0DD0"/>
    <w:rsid w:val="002A4677"/>
    <w:rsid w:val="002A49AC"/>
    <w:rsid w:val="002A64FD"/>
    <w:rsid w:val="002C7A84"/>
    <w:rsid w:val="002E22F1"/>
    <w:rsid w:val="002E4FD9"/>
    <w:rsid w:val="003103F2"/>
    <w:rsid w:val="00321C89"/>
    <w:rsid w:val="00322A85"/>
    <w:rsid w:val="00323B34"/>
    <w:rsid w:val="00324168"/>
    <w:rsid w:val="003448F4"/>
    <w:rsid w:val="00355F0B"/>
    <w:rsid w:val="00357D03"/>
    <w:rsid w:val="00362EC9"/>
    <w:rsid w:val="003648D3"/>
    <w:rsid w:val="0036753A"/>
    <w:rsid w:val="00374F5E"/>
    <w:rsid w:val="00376CD8"/>
    <w:rsid w:val="00377E3E"/>
    <w:rsid w:val="003838FF"/>
    <w:rsid w:val="00387588"/>
    <w:rsid w:val="003A26D1"/>
    <w:rsid w:val="003A2ECF"/>
    <w:rsid w:val="003A779E"/>
    <w:rsid w:val="003C28D0"/>
    <w:rsid w:val="003C3A88"/>
    <w:rsid w:val="003D0F4D"/>
    <w:rsid w:val="003D3D8D"/>
    <w:rsid w:val="003D5B0D"/>
    <w:rsid w:val="003E0499"/>
    <w:rsid w:val="003E41C3"/>
    <w:rsid w:val="003F2418"/>
    <w:rsid w:val="003F3941"/>
    <w:rsid w:val="003F5236"/>
    <w:rsid w:val="003F6253"/>
    <w:rsid w:val="00404877"/>
    <w:rsid w:val="00406575"/>
    <w:rsid w:val="00412AC0"/>
    <w:rsid w:val="00426B4E"/>
    <w:rsid w:val="0042722E"/>
    <w:rsid w:val="00437B03"/>
    <w:rsid w:val="00440694"/>
    <w:rsid w:val="00442DEF"/>
    <w:rsid w:val="0044528D"/>
    <w:rsid w:val="004470E1"/>
    <w:rsid w:val="0045343A"/>
    <w:rsid w:val="004634BD"/>
    <w:rsid w:val="004735E5"/>
    <w:rsid w:val="00491ED8"/>
    <w:rsid w:val="004A1847"/>
    <w:rsid w:val="004A305D"/>
    <w:rsid w:val="004E0A42"/>
    <w:rsid w:val="004F21C4"/>
    <w:rsid w:val="004F685F"/>
    <w:rsid w:val="00521153"/>
    <w:rsid w:val="00540088"/>
    <w:rsid w:val="0055375E"/>
    <w:rsid w:val="005566E8"/>
    <w:rsid w:val="00566D40"/>
    <w:rsid w:val="00573C59"/>
    <w:rsid w:val="00574867"/>
    <w:rsid w:val="00574CB1"/>
    <w:rsid w:val="00576583"/>
    <w:rsid w:val="005773E3"/>
    <w:rsid w:val="0058374D"/>
    <w:rsid w:val="00591460"/>
    <w:rsid w:val="00592628"/>
    <w:rsid w:val="005C1B4D"/>
    <w:rsid w:val="005C3777"/>
    <w:rsid w:val="005C5CDC"/>
    <w:rsid w:val="005C74BA"/>
    <w:rsid w:val="005D2DA6"/>
    <w:rsid w:val="005D476C"/>
    <w:rsid w:val="005D5319"/>
    <w:rsid w:val="005E3751"/>
    <w:rsid w:val="005F7B58"/>
    <w:rsid w:val="00610812"/>
    <w:rsid w:val="006173C6"/>
    <w:rsid w:val="006219F8"/>
    <w:rsid w:val="00641A05"/>
    <w:rsid w:val="00650FF7"/>
    <w:rsid w:val="0065107F"/>
    <w:rsid w:val="00665D70"/>
    <w:rsid w:val="00671DAC"/>
    <w:rsid w:val="00677639"/>
    <w:rsid w:val="00687340"/>
    <w:rsid w:val="006900D9"/>
    <w:rsid w:val="00691D55"/>
    <w:rsid w:val="006A319E"/>
    <w:rsid w:val="006A5AE8"/>
    <w:rsid w:val="006A6837"/>
    <w:rsid w:val="006C5F67"/>
    <w:rsid w:val="006D0268"/>
    <w:rsid w:val="006D12F8"/>
    <w:rsid w:val="006D28BE"/>
    <w:rsid w:val="00706C16"/>
    <w:rsid w:val="00712B92"/>
    <w:rsid w:val="00756841"/>
    <w:rsid w:val="00760EA0"/>
    <w:rsid w:val="007649AB"/>
    <w:rsid w:val="00771D0C"/>
    <w:rsid w:val="00775EFA"/>
    <w:rsid w:val="0077649C"/>
    <w:rsid w:val="007833AC"/>
    <w:rsid w:val="00783B11"/>
    <w:rsid w:val="00793192"/>
    <w:rsid w:val="007937A8"/>
    <w:rsid w:val="00794660"/>
    <w:rsid w:val="007964E2"/>
    <w:rsid w:val="007A4461"/>
    <w:rsid w:val="007B268C"/>
    <w:rsid w:val="007B7171"/>
    <w:rsid w:val="007C0C0F"/>
    <w:rsid w:val="007C3DC2"/>
    <w:rsid w:val="007D5768"/>
    <w:rsid w:val="007E5497"/>
    <w:rsid w:val="00806F5F"/>
    <w:rsid w:val="00811ADC"/>
    <w:rsid w:val="00820278"/>
    <w:rsid w:val="00841B3B"/>
    <w:rsid w:val="00845A8D"/>
    <w:rsid w:val="00847CCC"/>
    <w:rsid w:val="0086418A"/>
    <w:rsid w:val="008677DE"/>
    <w:rsid w:val="008843B6"/>
    <w:rsid w:val="0089049B"/>
    <w:rsid w:val="00890759"/>
    <w:rsid w:val="00890B1A"/>
    <w:rsid w:val="00891928"/>
    <w:rsid w:val="008A446D"/>
    <w:rsid w:val="008C0A2F"/>
    <w:rsid w:val="008D180B"/>
    <w:rsid w:val="008E712D"/>
    <w:rsid w:val="008F0EA7"/>
    <w:rsid w:val="008F4339"/>
    <w:rsid w:val="008F7D92"/>
    <w:rsid w:val="00901D60"/>
    <w:rsid w:val="009023EF"/>
    <w:rsid w:val="00903114"/>
    <w:rsid w:val="009143F1"/>
    <w:rsid w:val="00922211"/>
    <w:rsid w:val="00922EAB"/>
    <w:rsid w:val="00923EEF"/>
    <w:rsid w:val="00927F89"/>
    <w:rsid w:val="009419F9"/>
    <w:rsid w:val="00943A3B"/>
    <w:rsid w:val="0095685E"/>
    <w:rsid w:val="00961B09"/>
    <w:rsid w:val="00965334"/>
    <w:rsid w:val="0097093E"/>
    <w:rsid w:val="009A0DFA"/>
    <w:rsid w:val="009B2421"/>
    <w:rsid w:val="009B28FC"/>
    <w:rsid w:val="009B2D26"/>
    <w:rsid w:val="009B3357"/>
    <w:rsid w:val="009C547E"/>
    <w:rsid w:val="009C71FA"/>
    <w:rsid w:val="009C72E7"/>
    <w:rsid w:val="009D05E0"/>
    <w:rsid w:val="009D258B"/>
    <w:rsid w:val="009D3058"/>
    <w:rsid w:val="009F3A13"/>
    <w:rsid w:val="00A122D3"/>
    <w:rsid w:val="00A17F13"/>
    <w:rsid w:val="00A20739"/>
    <w:rsid w:val="00A33C78"/>
    <w:rsid w:val="00A3710E"/>
    <w:rsid w:val="00A42AAE"/>
    <w:rsid w:val="00A519A0"/>
    <w:rsid w:val="00A644E0"/>
    <w:rsid w:val="00A65B78"/>
    <w:rsid w:val="00A8229A"/>
    <w:rsid w:val="00AA2B1E"/>
    <w:rsid w:val="00AA7047"/>
    <w:rsid w:val="00AB0ADB"/>
    <w:rsid w:val="00AB2AC1"/>
    <w:rsid w:val="00AC0B6D"/>
    <w:rsid w:val="00AD1BDE"/>
    <w:rsid w:val="00AD79BB"/>
    <w:rsid w:val="00AE31F9"/>
    <w:rsid w:val="00AE7B20"/>
    <w:rsid w:val="00AF4209"/>
    <w:rsid w:val="00B01B1A"/>
    <w:rsid w:val="00B05B83"/>
    <w:rsid w:val="00B44494"/>
    <w:rsid w:val="00B72CD3"/>
    <w:rsid w:val="00B72FFF"/>
    <w:rsid w:val="00B75709"/>
    <w:rsid w:val="00B87213"/>
    <w:rsid w:val="00B96BEA"/>
    <w:rsid w:val="00BA0D07"/>
    <w:rsid w:val="00BC3D36"/>
    <w:rsid w:val="00BC4CD4"/>
    <w:rsid w:val="00BD77C4"/>
    <w:rsid w:val="00BD7F72"/>
    <w:rsid w:val="00BE6BAA"/>
    <w:rsid w:val="00C04FB3"/>
    <w:rsid w:val="00C06373"/>
    <w:rsid w:val="00C13BC0"/>
    <w:rsid w:val="00C21782"/>
    <w:rsid w:val="00C330EB"/>
    <w:rsid w:val="00C42100"/>
    <w:rsid w:val="00C45B33"/>
    <w:rsid w:val="00C63E0F"/>
    <w:rsid w:val="00C754BE"/>
    <w:rsid w:val="00C76B1C"/>
    <w:rsid w:val="00C83C0F"/>
    <w:rsid w:val="00C8442F"/>
    <w:rsid w:val="00C903DE"/>
    <w:rsid w:val="00C90ADE"/>
    <w:rsid w:val="00CA31BC"/>
    <w:rsid w:val="00CB6357"/>
    <w:rsid w:val="00CC02E3"/>
    <w:rsid w:val="00CC1B26"/>
    <w:rsid w:val="00CD4EA4"/>
    <w:rsid w:val="00CD5214"/>
    <w:rsid w:val="00CD70AD"/>
    <w:rsid w:val="00D16132"/>
    <w:rsid w:val="00D423A2"/>
    <w:rsid w:val="00D520D8"/>
    <w:rsid w:val="00D63AC2"/>
    <w:rsid w:val="00D7383B"/>
    <w:rsid w:val="00DA022D"/>
    <w:rsid w:val="00DA231B"/>
    <w:rsid w:val="00DA23A0"/>
    <w:rsid w:val="00DA4761"/>
    <w:rsid w:val="00DB1170"/>
    <w:rsid w:val="00DB29E1"/>
    <w:rsid w:val="00DB7D44"/>
    <w:rsid w:val="00DC2958"/>
    <w:rsid w:val="00DC39FC"/>
    <w:rsid w:val="00DE2464"/>
    <w:rsid w:val="00DE3616"/>
    <w:rsid w:val="00DF0103"/>
    <w:rsid w:val="00DF5254"/>
    <w:rsid w:val="00DF7F54"/>
    <w:rsid w:val="00E005E5"/>
    <w:rsid w:val="00E16408"/>
    <w:rsid w:val="00E20894"/>
    <w:rsid w:val="00E245AB"/>
    <w:rsid w:val="00E2764C"/>
    <w:rsid w:val="00E27F2E"/>
    <w:rsid w:val="00E362C7"/>
    <w:rsid w:val="00E413EA"/>
    <w:rsid w:val="00E41CC9"/>
    <w:rsid w:val="00E447AD"/>
    <w:rsid w:val="00E50AFE"/>
    <w:rsid w:val="00E52602"/>
    <w:rsid w:val="00E56422"/>
    <w:rsid w:val="00E62880"/>
    <w:rsid w:val="00E6781E"/>
    <w:rsid w:val="00E7019A"/>
    <w:rsid w:val="00E738E4"/>
    <w:rsid w:val="00E75C92"/>
    <w:rsid w:val="00E771DC"/>
    <w:rsid w:val="00E8671A"/>
    <w:rsid w:val="00E8772A"/>
    <w:rsid w:val="00E90F6B"/>
    <w:rsid w:val="00E92C27"/>
    <w:rsid w:val="00E949C2"/>
    <w:rsid w:val="00EA0E3D"/>
    <w:rsid w:val="00EA7B0A"/>
    <w:rsid w:val="00EB3CD8"/>
    <w:rsid w:val="00EB7D13"/>
    <w:rsid w:val="00EC38A7"/>
    <w:rsid w:val="00ED291B"/>
    <w:rsid w:val="00ED58AB"/>
    <w:rsid w:val="00EE1AA8"/>
    <w:rsid w:val="00EF04FC"/>
    <w:rsid w:val="00EF40D2"/>
    <w:rsid w:val="00EF4E84"/>
    <w:rsid w:val="00F118DB"/>
    <w:rsid w:val="00F254DC"/>
    <w:rsid w:val="00F31EDC"/>
    <w:rsid w:val="00F45BF2"/>
    <w:rsid w:val="00F462B3"/>
    <w:rsid w:val="00F5664F"/>
    <w:rsid w:val="00F666C4"/>
    <w:rsid w:val="00F73C01"/>
    <w:rsid w:val="00F76AFC"/>
    <w:rsid w:val="00F81493"/>
    <w:rsid w:val="00F930CF"/>
    <w:rsid w:val="00FA3AB1"/>
    <w:rsid w:val="00FA47C0"/>
    <w:rsid w:val="00FA738A"/>
    <w:rsid w:val="00FB38D0"/>
    <w:rsid w:val="00FB5CB7"/>
    <w:rsid w:val="00FB5DD1"/>
    <w:rsid w:val="00FB7EA8"/>
    <w:rsid w:val="00FC2B5D"/>
    <w:rsid w:val="00FF1449"/>
    <w:rsid w:val="00FF5F98"/>
    <w:rsid w:val="2EC92E15"/>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D576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D5768"/>
    <w:rPr>
      <w:rFonts w:ascii="Geomanist Light" w:hAnsi="Geomanist Light"/>
      <w:lang w:val="es-ES"/>
    </w:rPr>
  </w:style>
  <w:style w:type="table" w:customStyle="1" w:styleId="Tablaconcuadrcula1">
    <w:name w:val="Tabla con cuadrícula1"/>
    <w:basedOn w:val="Tablanormal"/>
    <w:next w:val="Tablaconcuadrcula"/>
    <w:uiPriority w:val="39"/>
    <w:qFormat/>
    <w:rsid w:val="007D57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AE7B20"/>
    <w:rPr>
      <w:sz w:val="16"/>
      <w:szCs w:val="16"/>
    </w:rPr>
  </w:style>
  <w:style w:type="paragraph" w:styleId="Textocomentario">
    <w:name w:val="annotation text"/>
    <w:basedOn w:val="Normal"/>
    <w:link w:val="TextocomentarioCar"/>
    <w:uiPriority w:val="99"/>
    <w:unhideWhenUsed/>
    <w:rsid w:val="00AE7B20"/>
    <w:pPr>
      <w:spacing w:line="240" w:lineRule="auto"/>
    </w:pPr>
    <w:rPr>
      <w:sz w:val="20"/>
      <w:szCs w:val="20"/>
    </w:rPr>
  </w:style>
  <w:style w:type="character" w:customStyle="1" w:styleId="TextocomentarioCar">
    <w:name w:val="Texto comentario Car"/>
    <w:basedOn w:val="Fuentedeprrafopredeter"/>
    <w:link w:val="Textocomentario"/>
    <w:uiPriority w:val="99"/>
    <w:rsid w:val="00AE7B20"/>
    <w:rPr>
      <w:sz w:val="20"/>
      <w:szCs w:val="20"/>
    </w:rPr>
  </w:style>
  <w:style w:type="paragraph" w:styleId="Asuntodelcomentario">
    <w:name w:val="annotation subject"/>
    <w:basedOn w:val="Textocomentario"/>
    <w:next w:val="Textocomentario"/>
    <w:link w:val="AsuntodelcomentarioCar"/>
    <w:uiPriority w:val="99"/>
    <w:semiHidden/>
    <w:unhideWhenUsed/>
    <w:rsid w:val="00AE7B20"/>
    <w:rPr>
      <w:b/>
      <w:bCs/>
    </w:rPr>
  </w:style>
  <w:style w:type="character" w:customStyle="1" w:styleId="AsuntodelcomentarioCar">
    <w:name w:val="Asunto del comentario Car"/>
    <w:basedOn w:val="TextocomentarioCar"/>
    <w:link w:val="Asuntodelcomentario"/>
    <w:uiPriority w:val="99"/>
    <w:semiHidden/>
    <w:rsid w:val="00AE7B20"/>
    <w:rPr>
      <w:b/>
      <w:bCs/>
      <w:sz w:val="20"/>
      <w:szCs w:val="20"/>
    </w:rPr>
  </w:style>
  <w:style w:type="character" w:customStyle="1" w:styleId="Hipervnculo1">
    <w:name w:val="Hipervínculo1"/>
    <w:basedOn w:val="Fuentedeprrafopredeter"/>
    <w:uiPriority w:val="99"/>
    <w:unhideWhenUsed/>
    <w:rsid w:val="00B75709"/>
    <w:rPr>
      <w:color w:val="F2F2F2"/>
      <w:u w:val="single"/>
    </w:rPr>
  </w:style>
  <w:style w:type="character" w:styleId="Textoennegrita">
    <w:name w:val="Strong"/>
    <w:basedOn w:val="Fuentedeprrafopredeter"/>
    <w:uiPriority w:val="22"/>
    <w:qFormat/>
    <w:rsid w:val="00AC0B6D"/>
    <w:rPr>
      <w:b/>
      <w:bCs/>
    </w:rPr>
  </w:style>
  <w:style w:type="character" w:styleId="nfasis">
    <w:name w:val="Emphasis"/>
    <w:basedOn w:val="Fuentedeprrafopredeter"/>
    <w:uiPriority w:val="20"/>
    <w:qFormat/>
    <w:rsid w:val="00AC0B6D"/>
    <w:rPr>
      <w:i/>
      <w:iCs/>
    </w:rPr>
  </w:style>
  <w:style w:type="paragraph" w:styleId="Textoindependiente">
    <w:name w:val="Body Text"/>
    <w:basedOn w:val="Normal"/>
    <w:link w:val="TextoindependienteCar"/>
    <w:uiPriority w:val="1"/>
    <w:qFormat/>
    <w:rsid w:val="00AC0B6D"/>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AC0B6D"/>
    <w:rPr>
      <w:rFonts w:ascii="Arial" w:eastAsia="Arial" w:hAnsi="Arial" w:cs="Arial"/>
      <w:lang w:val="es-ES"/>
    </w:rPr>
  </w:style>
  <w:style w:type="character" w:customStyle="1" w:styleId="NormalWebCar">
    <w:name w:val="Normal (Web) Car"/>
    <w:link w:val="NormalWeb"/>
    <w:uiPriority w:val="99"/>
    <w:locked/>
    <w:rsid w:val="00AC0B6D"/>
    <w:rPr>
      <w:rFonts w:ascii="Times New Roman" w:eastAsia="Times New Roman" w:hAnsi="Times New Roman" w:cs="Times New Roman"/>
      <w:sz w:val="24"/>
      <w:szCs w:val="24"/>
      <w:lang w:eastAsia="es-CO"/>
    </w:rPr>
  </w:style>
  <w:style w:type="character" w:customStyle="1" w:styleId="apple-converted-space">
    <w:name w:val="apple-converted-space"/>
    <w:basedOn w:val="Fuentedeprrafopredeter"/>
    <w:rsid w:val="00AC0B6D"/>
  </w:style>
  <w:style w:type="character" w:customStyle="1" w:styleId="SinespaciadoCar">
    <w:name w:val="Sin espaciado Car"/>
    <w:aliases w:val="No Indent Car"/>
    <w:link w:val="Sinespaciado"/>
    <w:uiPriority w:val="3"/>
    <w:locked/>
    <w:rsid w:val="00442DEF"/>
  </w:style>
  <w:style w:type="paragraph" w:styleId="Sinespaciado">
    <w:name w:val="No Spacing"/>
    <w:aliases w:val="No Indent"/>
    <w:link w:val="SinespaciadoCar"/>
    <w:uiPriority w:val="3"/>
    <w:qFormat/>
    <w:rsid w:val="00442DEF"/>
    <w:pPr>
      <w:spacing w:after="0" w:line="240" w:lineRule="auto"/>
    </w:pPr>
  </w:style>
  <w:style w:type="character" w:customStyle="1" w:styleId="superscript">
    <w:name w:val="superscript"/>
    <w:basedOn w:val="Fuentedeprrafopredeter"/>
    <w:rsid w:val="00DB7D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362213">
      <w:bodyDiv w:val="1"/>
      <w:marLeft w:val="0"/>
      <w:marRight w:val="0"/>
      <w:marTop w:val="0"/>
      <w:marBottom w:val="0"/>
      <w:divBdr>
        <w:top w:val="none" w:sz="0" w:space="0" w:color="auto"/>
        <w:left w:val="none" w:sz="0" w:space="0" w:color="auto"/>
        <w:bottom w:val="none" w:sz="0" w:space="0" w:color="auto"/>
        <w:right w:val="none" w:sz="0" w:space="0" w:color="auto"/>
      </w:divBdr>
    </w:div>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223030413">
      <w:bodyDiv w:val="1"/>
      <w:marLeft w:val="0"/>
      <w:marRight w:val="0"/>
      <w:marTop w:val="0"/>
      <w:marBottom w:val="0"/>
      <w:divBdr>
        <w:top w:val="none" w:sz="0" w:space="0" w:color="auto"/>
        <w:left w:val="none" w:sz="0" w:space="0" w:color="auto"/>
        <w:bottom w:val="none" w:sz="0" w:space="0" w:color="auto"/>
        <w:right w:val="none" w:sz="0" w:space="0" w:color="auto"/>
      </w:divBdr>
    </w:div>
    <w:div w:id="416485500">
      <w:bodyDiv w:val="1"/>
      <w:marLeft w:val="0"/>
      <w:marRight w:val="0"/>
      <w:marTop w:val="0"/>
      <w:marBottom w:val="0"/>
      <w:divBdr>
        <w:top w:val="none" w:sz="0" w:space="0" w:color="auto"/>
        <w:left w:val="none" w:sz="0" w:space="0" w:color="auto"/>
        <w:bottom w:val="none" w:sz="0" w:space="0" w:color="auto"/>
        <w:right w:val="none" w:sz="0" w:space="0" w:color="auto"/>
      </w:divBdr>
    </w:div>
    <w:div w:id="481117338">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30692785">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56560363">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875194579">
      <w:bodyDiv w:val="1"/>
      <w:marLeft w:val="0"/>
      <w:marRight w:val="0"/>
      <w:marTop w:val="0"/>
      <w:marBottom w:val="0"/>
      <w:divBdr>
        <w:top w:val="none" w:sz="0" w:space="0" w:color="auto"/>
        <w:left w:val="none" w:sz="0" w:space="0" w:color="auto"/>
        <w:bottom w:val="none" w:sz="0" w:space="0" w:color="auto"/>
        <w:right w:val="none" w:sz="0" w:space="0" w:color="auto"/>
      </w:divBdr>
    </w:div>
    <w:div w:id="903876566">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71797011">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75544553">
      <w:bodyDiv w:val="1"/>
      <w:marLeft w:val="0"/>
      <w:marRight w:val="0"/>
      <w:marTop w:val="0"/>
      <w:marBottom w:val="0"/>
      <w:divBdr>
        <w:top w:val="none" w:sz="0" w:space="0" w:color="auto"/>
        <w:left w:val="none" w:sz="0" w:space="0" w:color="auto"/>
        <w:bottom w:val="none" w:sz="0" w:space="0" w:color="auto"/>
        <w:right w:val="none" w:sz="0" w:space="0" w:color="auto"/>
      </w:divBdr>
    </w:div>
    <w:div w:id="1440954064">
      <w:bodyDiv w:val="1"/>
      <w:marLeft w:val="0"/>
      <w:marRight w:val="0"/>
      <w:marTop w:val="0"/>
      <w:marBottom w:val="0"/>
      <w:divBdr>
        <w:top w:val="none" w:sz="0" w:space="0" w:color="auto"/>
        <w:left w:val="none" w:sz="0" w:space="0" w:color="auto"/>
        <w:bottom w:val="none" w:sz="0" w:space="0" w:color="auto"/>
        <w:right w:val="none" w:sz="0" w:space="0" w:color="auto"/>
      </w:divBdr>
    </w:div>
    <w:div w:id="1627274354">
      <w:bodyDiv w:val="1"/>
      <w:marLeft w:val="0"/>
      <w:marRight w:val="0"/>
      <w:marTop w:val="0"/>
      <w:marBottom w:val="0"/>
      <w:divBdr>
        <w:top w:val="none" w:sz="0" w:space="0" w:color="auto"/>
        <w:left w:val="none" w:sz="0" w:space="0" w:color="auto"/>
        <w:bottom w:val="none" w:sz="0" w:space="0" w:color="auto"/>
        <w:right w:val="none" w:sz="0" w:space="0" w:color="auto"/>
      </w:divBdr>
    </w:div>
    <w:div w:id="1632784556">
      <w:bodyDiv w:val="1"/>
      <w:marLeft w:val="0"/>
      <w:marRight w:val="0"/>
      <w:marTop w:val="0"/>
      <w:marBottom w:val="0"/>
      <w:divBdr>
        <w:top w:val="none" w:sz="0" w:space="0" w:color="auto"/>
        <w:left w:val="none" w:sz="0" w:space="0" w:color="auto"/>
        <w:bottom w:val="none" w:sz="0" w:space="0" w:color="auto"/>
        <w:right w:val="none" w:sz="0" w:space="0" w:color="auto"/>
      </w:divBdr>
    </w:div>
    <w:div w:id="1842310157">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044986166">
      <w:bodyDiv w:val="1"/>
      <w:marLeft w:val="0"/>
      <w:marRight w:val="0"/>
      <w:marTop w:val="0"/>
      <w:marBottom w:val="0"/>
      <w:divBdr>
        <w:top w:val="none" w:sz="0" w:space="0" w:color="auto"/>
        <w:left w:val="none" w:sz="0" w:space="0" w:color="auto"/>
        <w:bottom w:val="none" w:sz="0" w:space="0" w:color="auto"/>
        <w:right w:val="none" w:sz="0" w:space="0" w:color="auto"/>
      </w:divBdr>
    </w:div>
    <w:div w:id="2048796178">
      <w:bodyDiv w:val="1"/>
      <w:marLeft w:val="0"/>
      <w:marRight w:val="0"/>
      <w:marTop w:val="0"/>
      <w:marBottom w:val="0"/>
      <w:divBdr>
        <w:top w:val="none" w:sz="0" w:space="0" w:color="auto"/>
        <w:left w:val="none" w:sz="0" w:space="0" w:color="auto"/>
        <w:bottom w:val="none" w:sz="0" w:space="0" w:color="auto"/>
        <w:right w:val="none" w:sz="0" w:space="0" w:color="auto"/>
      </w:divBdr>
      <w:divsChild>
        <w:div w:id="1058746364">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sala-de-prensa/boletin-digital/boletin-de-relatoria-2024-vi-modalidad-de-seleccion-de-seleccion-de"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nam02.safelinks.protection.outlook.com/?url=https%3A%2F%2Fwww.colombiacompra.gov.co%2Fsites%2Fcce_public%2Ffiles%2Ffiles_2020%2Fboletin_de_realtoria_iii.pdf&amp;data=05%7C02%7Cchristian.orjuela%40colombiacompra.gov.co%7C5aad36a736844ec87b2108dcc1fa4639%7C7b09041e245149d08cb179d5e3d8c1be%7C0%7C0%7C638598527916617214%7CUnknown%7CTWFpbGZsb3d8eyJWIjoiMC4wLjAwMDAiLCJQIjoiV2luMzIiLCJBTiI6Ik1haWwiLCJXVCI6Mn0%3D%7C0%7C%7C%7C&amp;sdata=AVPd%2FrvNpqdM%2BuVy%2B26fHExOTCkR31VGEzbwu2z7dHw%3D&amp;reserved=0"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nam02.safelinks.protection.outlook.com/?url=https%3A%2F%2Frelatoria.colombiacompra.gov.co%2F&amp;data=05%7C02%7Cchristian.orjuela%40colombiacompra.gov.co%7C5aad36a736844ec87b2108dcc1fa4639%7C7b09041e245149d08cb179d5e3d8c1be%7C0%7C0%7C638598527916602220%7CUnknown%7CTWFpbGZsb3d8eyJWIjoiMC4wLjAwMDAiLCJQIjoiV2luMzIiLCJBTiI6Ik1haWwiLCJXVCI6Mn0%3D%7C0%7C%7C%7C&amp;sdata=cssoUixS%2FLJ%2FPxxu6YKzw%2BCyaZXzEtuMM2P%2FcEstCfY%3D&amp;reserved=0"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9C6A1A9-FD54-4849-8C27-802DE6DAC732}">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purl.org/dc/terms/"/>
    <ds:schemaRef ds:uri="9d85dbaf-23eb-4e57-a637-93dcacc8b1a1"/>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www.w3.org/XML/1998/namespace"/>
    <ds:schemaRef ds:uri="a6cb9e4b-f1d1-4245-83ec-6cad768d538a"/>
    <ds:schemaRef ds:uri="http://schemas.microsoft.com/office/2006/metadata/properties"/>
    <ds:schemaRef ds:uri="http://purl.org/dc/dcmitype/"/>
  </ds:schemaRefs>
</ds:datastoreItem>
</file>

<file path=customXml/itemProps3.xml><?xml version="1.0" encoding="utf-8"?>
<ds:datastoreItem xmlns:ds="http://schemas.openxmlformats.org/officeDocument/2006/customXml" ds:itemID="{9FE213A7-0A7C-4B89-99E3-65AB58D2C8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4707</Words>
  <Characters>25893</Characters>
  <Application>Microsoft Office Word</Application>
  <DocSecurity>0</DocSecurity>
  <Lines>215</Lines>
  <Paragraphs>61</Paragraphs>
  <ScaleCrop>false</ScaleCrop>
  <Company/>
  <LinksUpToDate>false</LinksUpToDate>
  <CharactersWithSpaces>30539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2025-02-06T17:08:00Z</dcterms:created>
  <dcterms:modified xsi:type="dcterms:W3CDTF">2025-02-06T17:08:00Z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