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2CA00" w14:textId="77777777" w:rsidR="00841A24" w:rsidRPr="0028730A" w:rsidRDefault="00841A24" w:rsidP="00841A24">
      <w:pPr>
        <w:spacing w:after="0" w:line="240" w:lineRule="auto"/>
        <w:jc w:val="both"/>
        <w:rPr>
          <w:rFonts w:ascii="Verdana" w:eastAsia="Times New Roman" w:hAnsi="Verdana" w:cs="Arial"/>
          <w:b/>
          <w:bCs/>
          <w:lang w:eastAsia="es-ES_tradnl"/>
        </w:rPr>
      </w:pPr>
      <w:r w:rsidRPr="0028730A">
        <w:rPr>
          <w:rFonts w:ascii="Verdana" w:eastAsia="Times New Roman" w:hAnsi="Verdana" w:cs="Arial"/>
          <w:b/>
          <w:bCs/>
          <w:lang w:eastAsia="es-ES_tradnl"/>
        </w:rPr>
        <w:t xml:space="preserve">REVOCATORIA DIRECTA – Actos Administrativos </w:t>
      </w:r>
    </w:p>
    <w:p w14:paraId="6FDC3757" w14:textId="77777777" w:rsidR="00841A24" w:rsidRDefault="00841A24" w:rsidP="00841A24">
      <w:pPr>
        <w:spacing w:after="0" w:line="240" w:lineRule="auto"/>
        <w:jc w:val="both"/>
        <w:rPr>
          <w:rFonts w:ascii="Verdana" w:eastAsia="Times New Roman" w:hAnsi="Verdana" w:cs="Arial"/>
          <w:sz w:val="20"/>
          <w:szCs w:val="20"/>
          <w:lang w:eastAsia="es-ES_tradnl"/>
        </w:rPr>
      </w:pPr>
    </w:p>
    <w:p w14:paraId="6E440089" w14:textId="77777777" w:rsidR="00841A24" w:rsidRPr="0028730A" w:rsidRDefault="00841A24" w:rsidP="00841A24">
      <w:pPr>
        <w:spacing w:after="0" w:line="240" w:lineRule="auto"/>
        <w:jc w:val="both"/>
        <w:rPr>
          <w:rFonts w:ascii="Verdana" w:eastAsia="Times New Roman" w:hAnsi="Verdana" w:cs="Arial"/>
          <w:b/>
          <w:bCs/>
          <w:sz w:val="20"/>
          <w:szCs w:val="20"/>
          <w:lang w:eastAsia="es-ES_tradnl"/>
        </w:rPr>
      </w:pPr>
      <w:r w:rsidRPr="0028730A">
        <w:rPr>
          <w:rFonts w:ascii="Verdana" w:eastAsia="Times New Roman" w:hAnsi="Verdana" w:cs="Arial"/>
          <w:sz w:val="20"/>
          <w:szCs w:val="20"/>
          <w:lang w:eastAsia="es-ES_tradnl"/>
        </w:rPr>
        <w:t xml:space="preserve">[…] </w:t>
      </w:r>
      <w:r w:rsidRPr="0028730A">
        <w:rPr>
          <w:rFonts w:ascii="Verdana" w:eastAsia="Arial" w:hAnsi="Verdana" w:cs="Arial"/>
          <w:bCs/>
          <w:color w:val="000000"/>
          <w:sz w:val="20"/>
          <w:szCs w:val="20"/>
          <w:lang w:eastAsia="es-ES_tradnl"/>
        </w:rPr>
        <w:t>l</w:t>
      </w:r>
      <w:r w:rsidRPr="0028730A">
        <w:rPr>
          <w:rFonts w:ascii="Verdana" w:eastAsia="Arial" w:hAnsi="Verdana" w:cs="Arial"/>
          <w:sz w:val="20"/>
          <w:szCs w:val="20"/>
          <w:lang w:eastAsia="es-ES_tradnl"/>
        </w:rPr>
        <w:t xml:space="preserve">a revocatoria directa puede definirse como una de las especies de extinción de los actos administrativos en sede administrativa. Esta especie de extinción se diferencia de otras, pues “se trata de un mecanismo de extinción del acto administrativo y de sus efectos que opera por la voluntad de la propia administración. […] Esta figura debe distinguirse […] de la </w:t>
      </w:r>
      <w:r w:rsidRPr="0028730A">
        <w:rPr>
          <w:rFonts w:ascii="Verdana" w:eastAsia="Arial" w:hAnsi="Verdana" w:cs="Arial"/>
          <w:i/>
          <w:sz w:val="20"/>
          <w:szCs w:val="20"/>
          <w:lang w:eastAsia="es-ES_tradnl"/>
        </w:rPr>
        <w:t xml:space="preserve">anulación, </w:t>
      </w:r>
      <w:r w:rsidRPr="0028730A">
        <w:rPr>
          <w:rFonts w:ascii="Verdana" w:eastAsia="Arial" w:hAnsi="Verdana" w:cs="Arial"/>
          <w:sz w:val="20"/>
          <w:szCs w:val="20"/>
          <w:lang w:eastAsia="es-ES_tradnl"/>
        </w:rPr>
        <w:t>que es la desaparición o extinción del acto por decisión de autoridad jurisdiccional”. Adicionalmente, sobre la particular manera en que el legislador ha reglamentado la revocación directa en Colombia, debe decirse que se trata de un mecanismo unilateral de la administración, otorgado para que esta revise sus propias decisiones.</w:t>
      </w:r>
    </w:p>
    <w:p w14:paraId="41D57265" w14:textId="77777777" w:rsidR="00841A24" w:rsidRDefault="00841A24" w:rsidP="00841A24">
      <w:pPr>
        <w:spacing w:after="0" w:line="240" w:lineRule="auto"/>
        <w:jc w:val="both"/>
        <w:rPr>
          <w:rFonts w:ascii="Verdana" w:eastAsia="Times New Roman" w:hAnsi="Verdana" w:cs="Arial"/>
          <w:b/>
          <w:bCs/>
          <w:sz w:val="20"/>
          <w:szCs w:val="20"/>
          <w:lang w:eastAsia="es-ES_tradnl"/>
        </w:rPr>
      </w:pPr>
    </w:p>
    <w:p w14:paraId="34925273" w14:textId="77777777" w:rsidR="00841A24" w:rsidRPr="0028730A" w:rsidRDefault="00841A24" w:rsidP="00841A24">
      <w:pPr>
        <w:spacing w:after="0" w:line="240" w:lineRule="auto"/>
        <w:jc w:val="both"/>
        <w:rPr>
          <w:rFonts w:ascii="Verdana" w:eastAsia="Times New Roman" w:hAnsi="Verdana" w:cs="Arial"/>
          <w:b/>
          <w:bCs/>
          <w:lang w:eastAsia="es-ES_tradnl"/>
        </w:rPr>
      </w:pPr>
      <w:r w:rsidRPr="0028730A">
        <w:rPr>
          <w:rFonts w:ascii="Verdana" w:eastAsia="Times New Roman" w:hAnsi="Verdana" w:cs="Arial"/>
          <w:b/>
          <w:bCs/>
          <w:lang w:eastAsia="es-ES_tradnl"/>
        </w:rPr>
        <w:t xml:space="preserve">REVOCATORIA DIRECTA – Acto de Apertura – Tesis </w:t>
      </w:r>
    </w:p>
    <w:p w14:paraId="6C71E3BC" w14:textId="77777777" w:rsidR="00841A24" w:rsidRDefault="00841A24" w:rsidP="00841A24">
      <w:pPr>
        <w:spacing w:after="0" w:line="240" w:lineRule="auto"/>
        <w:jc w:val="both"/>
        <w:rPr>
          <w:rFonts w:ascii="Verdana" w:hAnsi="Verdana" w:cs="Arial"/>
          <w:sz w:val="20"/>
          <w:szCs w:val="20"/>
          <w:shd w:val="clear" w:color="auto" w:fill="FFFFFF"/>
        </w:rPr>
      </w:pPr>
    </w:p>
    <w:p w14:paraId="683A9AF5" w14:textId="77777777" w:rsidR="00841A24" w:rsidRPr="0028730A" w:rsidRDefault="00841A24" w:rsidP="00841A24">
      <w:pPr>
        <w:spacing w:after="0" w:line="240" w:lineRule="auto"/>
        <w:jc w:val="both"/>
        <w:rPr>
          <w:rFonts w:ascii="Verdana" w:hAnsi="Verdana" w:cs="Arial"/>
          <w:sz w:val="20"/>
          <w:szCs w:val="20"/>
          <w:shd w:val="clear" w:color="auto" w:fill="FFFFFF"/>
        </w:rPr>
      </w:pPr>
      <w:r w:rsidRPr="0028730A">
        <w:rPr>
          <w:rFonts w:ascii="Verdana" w:hAnsi="Verdana" w:cs="Arial"/>
          <w:sz w:val="20"/>
          <w:szCs w:val="20"/>
          <w:shd w:val="clear" w:color="auto" w:fill="FFFFFF"/>
        </w:rPr>
        <w:t xml:space="preserve">En criterio adoptado por esta Subdirección, en concepto </w:t>
      </w:r>
      <w:r w:rsidRPr="0028730A">
        <w:rPr>
          <w:rFonts w:ascii="Verdana" w:eastAsia="Calibri" w:hAnsi="Verdana" w:cs="Arial"/>
          <w:sz w:val="20"/>
          <w:szCs w:val="20"/>
        </w:rPr>
        <w:t>C-633 de 25 de octubre de 2022</w:t>
      </w:r>
      <w:r w:rsidRPr="0028730A">
        <w:rPr>
          <w:rFonts w:ascii="Verdana" w:hAnsi="Verdana" w:cs="Arial"/>
          <w:sz w:val="20"/>
          <w:szCs w:val="20"/>
          <w:shd w:val="clear" w:color="auto" w:fill="FFFFFF"/>
        </w:rPr>
        <w:t>, la interpretación que mejor se ajusta al cumplimiento de los fines de la contratación estatal es la tesis cuarta, en tanto que la presentación de las propuestas e incluso la publicación del informe de evaluación no muta ni transforma el carácter general que ostenta el acto de apertura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por lo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2B5785FE" w14:textId="77777777" w:rsidR="00841A24" w:rsidRDefault="00841A24" w:rsidP="00841A24">
      <w:pPr>
        <w:spacing w:after="0" w:line="240" w:lineRule="auto"/>
        <w:jc w:val="both"/>
        <w:rPr>
          <w:rFonts w:ascii="Verdana" w:hAnsi="Verdana" w:cs="Arial"/>
          <w:sz w:val="20"/>
          <w:szCs w:val="20"/>
          <w:shd w:val="clear" w:color="auto" w:fill="FFFFFF"/>
        </w:rPr>
      </w:pPr>
    </w:p>
    <w:p w14:paraId="57BC24B5" w14:textId="77777777" w:rsidR="00841A24" w:rsidRPr="0028730A" w:rsidRDefault="00841A24" w:rsidP="00841A24">
      <w:pPr>
        <w:spacing w:after="0" w:line="240" w:lineRule="auto"/>
        <w:jc w:val="both"/>
        <w:rPr>
          <w:rFonts w:ascii="Verdana" w:hAnsi="Verdana" w:cs="Arial"/>
          <w:sz w:val="20"/>
          <w:szCs w:val="20"/>
          <w:shd w:val="clear" w:color="auto" w:fill="FFFFFF"/>
        </w:rPr>
      </w:pPr>
      <w:r w:rsidRPr="0028730A">
        <w:rPr>
          <w:rFonts w:ascii="Verdana" w:hAnsi="Verdana" w:cs="Arial"/>
          <w:sz w:val="20"/>
          <w:szCs w:val="20"/>
          <w:shd w:val="clear" w:color="auto" w:fill="FFFFFF"/>
        </w:rPr>
        <w:t>En ese orden de ideas, en caso de que se hayan cometido errores en la documentación previa del Proceso de Contratación, las Entidades Estatales pueden revocar el acto administrativo de apertura. Para ello,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 de conformidad con los requisitos dispuestos en el artículo 97 del CPACA, haciendo prevalecer el imperio de la ley, el interés público y la protección de los derechos.</w:t>
      </w:r>
    </w:p>
    <w:p w14:paraId="67D91FE0" w14:textId="77777777" w:rsidR="00841A24" w:rsidRDefault="00841A24" w:rsidP="00841A24">
      <w:pPr>
        <w:spacing w:after="0" w:line="240" w:lineRule="auto"/>
        <w:jc w:val="both"/>
        <w:rPr>
          <w:rFonts w:ascii="Verdana" w:eastAsia="Calibri" w:hAnsi="Verdana" w:cs="Arial"/>
          <w:b/>
          <w:bCs/>
          <w:color w:val="000000" w:themeColor="text1"/>
          <w:sz w:val="20"/>
          <w:szCs w:val="20"/>
          <w:lang w:eastAsia="es-ES_tradnl"/>
        </w:rPr>
      </w:pPr>
    </w:p>
    <w:p w14:paraId="0FA8B257" w14:textId="77777777" w:rsidR="00841A24" w:rsidRPr="0028730A" w:rsidRDefault="00841A24" w:rsidP="00841A24">
      <w:pPr>
        <w:spacing w:after="0" w:line="240" w:lineRule="auto"/>
        <w:jc w:val="both"/>
        <w:rPr>
          <w:rFonts w:ascii="Verdana" w:eastAsia="Calibri" w:hAnsi="Verdana" w:cs="Arial"/>
          <w:b/>
          <w:bCs/>
          <w:lang w:val="es-ES_tradnl" w:eastAsia="es-ES_tradnl"/>
        </w:rPr>
      </w:pPr>
      <w:r w:rsidRPr="0028730A">
        <w:rPr>
          <w:rFonts w:ascii="Verdana" w:eastAsia="Calibri" w:hAnsi="Verdana" w:cs="Arial"/>
          <w:b/>
          <w:bCs/>
          <w:color w:val="000000" w:themeColor="text1"/>
          <w:lang w:eastAsia="es-ES_tradnl"/>
        </w:rPr>
        <w:t xml:space="preserve">CORRECCIÓN DE ERRORES FORMALES – Régimen jurídico – Aplicabilidad </w:t>
      </w:r>
    </w:p>
    <w:p w14:paraId="55CE5E8A" w14:textId="77777777" w:rsidR="00841A24" w:rsidRDefault="00841A24" w:rsidP="00841A24">
      <w:pPr>
        <w:tabs>
          <w:tab w:val="left" w:pos="426"/>
        </w:tabs>
        <w:spacing w:after="0" w:line="240" w:lineRule="auto"/>
        <w:jc w:val="both"/>
        <w:rPr>
          <w:rFonts w:ascii="Verdana" w:hAnsi="Verdana" w:cs="Arial"/>
          <w:bCs/>
          <w:sz w:val="20"/>
          <w:szCs w:val="20"/>
          <w:lang w:val="es-MX"/>
        </w:rPr>
      </w:pPr>
    </w:p>
    <w:p w14:paraId="690DB10B" w14:textId="77777777" w:rsidR="00841A24" w:rsidRDefault="00841A24" w:rsidP="00841A24">
      <w:pPr>
        <w:tabs>
          <w:tab w:val="left" w:pos="426"/>
        </w:tabs>
        <w:spacing w:after="0" w:line="240" w:lineRule="auto"/>
        <w:jc w:val="both"/>
        <w:rPr>
          <w:rFonts w:ascii="Verdana" w:eastAsia="Arial" w:hAnsi="Verdana" w:cs="Arial"/>
          <w:color w:val="000000" w:themeColor="text1"/>
          <w:sz w:val="20"/>
          <w:szCs w:val="20"/>
          <w:lang w:val="es-ES"/>
        </w:rPr>
      </w:pPr>
      <w:r>
        <w:rPr>
          <w:rFonts w:ascii="Verdana" w:hAnsi="Verdana" w:cs="Arial"/>
          <w:bCs/>
          <w:sz w:val="20"/>
          <w:szCs w:val="20"/>
          <w:lang w:val="es-MX"/>
        </w:rPr>
        <w:t xml:space="preserve">[…] </w:t>
      </w:r>
      <w:r w:rsidRPr="0028730A">
        <w:rPr>
          <w:rFonts w:ascii="Verdana" w:hAnsi="Verdana" w:cs="Arial"/>
          <w:bCs/>
          <w:sz w:val="20"/>
          <w:szCs w:val="20"/>
          <w:lang w:val="es-MX"/>
        </w:rPr>
        <w:t xml:space="preserve">las Entidades Estatales tienen facultades de saneamiento, dentro de las que se enmarca la posibilidad de corregir errores simplemente formales </w:t>
      </w:r>
      <w:r w:rsidRPr="0028730A">
        <w:rPr>
          <w:rFonts w:ascii="Verdana" w:eastAsia="Times New Roman" w:hAnsi="Verdana" w:cs="Arial"/>
          <w:color w:val="000000" w:themeColor="text1"/>
          <w:sz w:val="20"/>
          <w:szCs w:val="20"/>
          <w:lang w:val="es-ES" w:eastAsia="es-ES_tradnl"/>
        </w:rPr>
        <w:t xml:space="preserve">contenidos en los actos administrativos. Sobre el particular, debe señalarse que, </w:t>
      </w:r>
      <w:r w:rsidRPr="0028730A">
        <w:rPr>
          <w:rFonts w:ascii="Verdana" w:eastAsia="Times New Roman" w:hAnsi="Verdana" w:cs="Arial"/>
          <w:bCs/>
          <w:color w:val="000000" w:themeColor="text1"/>
          <w:sz w:val="20"/>
          <w:szCs w:val="20"/>
          <w:lang w:val="es-ES" w:eastAsia="es-ES_tradnl"/>
        </w:rPr>
        <w:t xml:space="preserve">en las actuaciones administrativas contractuales pueden presentarse errores simplemente formales, como </w:t>
      </w:r>
      <w:r w:rsidRPr="0028730A">
        <w:rPr>
          <w:rFonts w:ascii="Verdana" w:eastAsia="Times New Roman" w:hAnsi="Verdana" w:cs="Arial"/>
          <w:bCs/>
          <w:color w:val="000000" w:themeColor="text1"/>
          <w:sz w:val="20"/>
          <w:szCs w:val="20"/>
          <w:lang w:val="es-ES" w:eastAsia="es-ES_tradnl"/>
        </w:rPr>
        <w:lastRenderedPageBreak/>
        <w:t xml:space="preserve">el aritmético o de digitación. Un error simplemente formal es aquel que, pese a haberse observado las formas y requisitos del procedimiento administrativo, </w:t>
      </w:r>
      <w:r w:rsidRPr="0028730A">
        <w:rPr>
          <w:rFonts w:ascii="Verdana" w:eastAsia="Arial" w:hAnsi="Verdana" w:cs="Arial"/>
          <w:color w:val="000000" w:themeColor="text1"/>
          <w:sz w:val="20"/>
          <w:szCs w:val="20"/>
          <w:lang w:val="es-ES"/>
        </w:rPr>
        <w:t>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4D4DD5D3" w14:textId="77777777" w:rsidR="00841A24" w:rsidRPr="0028730A" w:rsidRDefault="00841A24" w:rsidP="00841A24">
      <w:pPr>
        <w:tabs>
          <w:tab w:val="left" w:pos="426"/>
        </w:tabs>
        <w:spacing w:after="0" w:line="240" w:lineRule="auto"/>
        <w:jc w:val="both"/>
        <w:rPr>
          <w:rFonts w:ascii="Verdana" w:eastAsia="Arial" w:hAnsi="Verdana" w:cs="Arial"/>
          <w:color w:val="000000" w:themeColor="text1"/>
          <w:sz w:val="20"/>
          <w:szCs w:val="20"/>
          <w:lang w:val="es-ES"/>
        </w:rPr>
      </w:pPr>
    </w:p>
    <w:p w14:paraId="3E10EFE5" w14:textId="77777777" w:rsidR="00841A24" w:rsidRPr="0028730A" w:rsidRDefault="00841A24" w:rsidP="00841A24">
      <w:pPr>
        <w:spacing w:after="0" w:line="240" w:lineRule="auto"/>
        <w:jc w:val="both"/>
        <w:rPr>
          <w:b/>
          <w:bCs/>
          <w:sz w:val="20"/>
          <w:szCs w:val="20"/>
          <w:lang w:val="es-ES_tradnl"/>
        </w:rPr>
      </w:pPr>
      <w:r w:rsidRPr="0028730A">
        <w:rPr>
          <w:rFonts w:ascii="Verdana" w:hAnsi="Verdana" w:cs="Arial"/>
          <w:color w:val="000000" w:themeColor="text1"/>
          <w:sz w:val="20"/>
          <w:szCs w:val="20"/>
          <w:lang w:val="es-ES"/>
        </w:rPr>
        <w:t xml:space="preserve">El </w:t>
      </w:r>
      <w:r w:rsidRPr="0028730A">
        <w:rPr>
          <w:rFonts w:ascii="Verdana" w:hAnsi="Verdana" w:cs="Arial"/>
          <w:color w:val="000000" w:themeColor="text1"/>
          <w:sz w:val="20"/>
          <w:szCs w:val="20"/>
          <w:lang w:val="es-MX"/>
        </w:rPr>
        <w:t>CPACA, en el artículo 45, permite la corrección de errores simplemente formales de los actos administrativos relacionados con errores aritméticos, de digitación, de transcripción o de omisión de palabras […]</w:t>
      </w:r>
    </w:p>
    <w:p w14:paraId="4D1259FB" w14:textId="77777777" w:rsidR="00841A24" w:rsidRDefault="00841A24">
      <w:pPr>
        <w:rPr>
          <w:rFonts w:ascii="Verdana" w:eastAsia="Geomanist Light" w:hAnsi="Verdana" w:cs="Arial"/>
          <w:lang w:val="es-MX"/>
        </w:rPr>
      </w:pPr>
      <w:r>
        <w:rPr>
          <w:rFonts w:ascii="Verdana" w:eastAsia="Geomanist Light" w:hAnsi="Verdana" w:cs="Arial"/>
          <w:lang w:val="es-MX"/>
        </w:rPr>
        <w:br w:type="page"/>
      </w:r>
    </w:p>
    <w:p w14:paraId="504EE621" w14:textId="2FA290DC" w:rsidR="00192A11" w:rsidRDefault="007906BE" w:rsidP="00192A11">
      <w:pPr>
        <w:spacing w:after="0" w:line="240" w:lineRule="auto"/>
        <w:rPr>
          <w:rFonts w:ascii="Verdana" w:eastAsia="Geomanist Light" w:hAnsi="Verdana" w:cs="Arial"/>
          <w:lang w:val="es-MX"/>
        </w:rPr>
      </w:pPr>
      <w:r w:rsidRPr="00653A93">
        <w:rPr>
          <w:rFonts w:ascii="Verdana" w:eastAsia="Calibri" w:hAnsi="Verdana" w:cs="Arial"/>
          <w:noProof/>
          <w:lang w:val="es-ES"/>
        </w:rPr>
        <w:lastRenderedPageBreak/>
        <w:drawing>
          <wp:anchor distT="0" distB="0" distL="114300" distR="114300" simplePos="0" relativeHeight="251658240" behindDoc="0" locked="0" layoutInCell="1" allowOverlap="1" wp14:anchorId="0D7649FE" wp14:editId="61658334">
            <wp:simplePos x="0" y="0"/>
            <wp:positionH relativeFrom="column">
              <wp:posOffset>2901315</wp:posOffset>
            </wp:positionH>
            <wp:positionV relativeFrom="paragraph">
              <wp:posOffset>11430</wp:posOffset>
            </wp:positionV>
            <wp:extent cx="2794635" cy="829343"/>
            <wp:effectExtent l="0" t="0" r="5715" b="8890"/>
            <wp:wrapNone/>
            <wp:docPr id="1106798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9876" name=""/>
                    <pic:cNvPicPr/>
                  </pic:nvPicPr>
                  <pic:blipFill>
                    <a:blip r:embed="rId11">
                      <a:extLst>
                        <a:ext uri="{28A0092B-C50C-407E-A947-70E740481C1C}">
                          <a14:useLocalDpi xmlns:a14="http://schemas.microsoft.com/office/drawing/2010/main" val="0"/>
                        </a:ext>
                      </a:extLst>
                    </a:blip>
                    <a:stretch>
                      <a:fillRect/>
                    </a:stretch>
                  </pic:blipFill>
                  <pic:spPr>
                    <a:xfrm>
                      <a:off x="0" y="0"/>
                      <a:ext cx="2794635" cy="829343"/>
                    </a:xfrm>
                    <a:prstGeom prst="rect">
                      <a:avLst/>
                    </a:prstGeom>
                  </pic:spPr>
                </pic:pic>
              </a:graphicData>
            </a:graphic>
          </wp:anchor>
        </w:drawing>
      </w:r>
      <w:r w:rsidR="00192A11" w:rsidRPr="00F91B03">
        <w:rPr>
          <w:rFonts w:ascii="Verdana" w:eastAsia="Geomanist Light" w:hAnsi="Verdana" w:cs="Arial"/>
          <w:lang w:val="es-MX"/>
        </w:rPr>
        <w:t xml:space="preserve">Bogotá D.C., </w:t>
      </w:r>
      <w:r w:rsidR="00841A24">
        <w:rPr>
          <w:rFonts w:ascii="Verdana" w:eastAsia="Geomanist Light" w:hAnsi="Verdana" w:cs="Arial"/>
          <w:lang w:val="es-MX"/>
        </w:rPr>
        <w:t>31 de enero de 2025.</w:t>
      </w:r>
    </w:p>
    <w:p w14:paraId="26D99DD3" w14:textId="6B51792D" w:rsidR="00841A24" w:rsidRPr="00F91B03" w:rsidRDefault="00841A24" w:rsidP="00653A93">
      <w:pPr>
        <w:spacing w:after="0" w:line="240" w:lineRule="auto"/>
        <w:jc w:val="right"/>
        <w:rPr>
          <w:rFonts w:ascii="Verdana" w:eastAsia="Calibri" w:hAnsi="Verdana" w:cs="Arial"/>
          <w:lang w:val="es-ES"/>
        </w:rPr>
      </w:pPr>
    </w:p>
    <w:p w14:paraId="7FBC06B2" w14:textId="30706FF0" w:rsidR="00192A11" w:rsidRPr="00F91B03" w:rsidRDefault="00192A11" w:rsidP="00192A11">
      <w:pPr>
        <w:spacing w:after="0" w:line="240" w:lineRule="auto"/>
        <w:jc w:val="both"/>
        <w:rPr>
          <w:rFonts w:ascii="Verdana" w:eastAsia="Calibri" w:hAnsi="Verdana" w:cs="Arial"/>
          <w:lang w:val="es-ES" w:eastAsia="es-ES"/>
        </w:rPr>
      </w:pPr>
      <w:r w:rsidRPr="00F91B03">
        <w:rPr>
          <w:rFonts w:ascii="Verdana" w:eastAsia="Calibri" w:hAnsi="Verdana" w:cs="Arial"/>
          <w:lang w:val="es-ES" w:eastAsia="es-ES"/>
        </w:rPr>
        <w:t>Señora</w:t>
      </w:r>
    </w:p>
    <w:p w14:paraId="6B59E50E" w14:textId="77777777" w:rsidR="00192A11" w:rsidRPr="00F91B03" w:rsidRDefault="00192A11" w:rsidP="00192A11">
      <w:pPr>
        <w:spacing w:after="0" w:line="240" w:lineRule="auto"/>
        <w:rPr>
          <w:rFonts w:ascii="Verdana" w:eastAsia="Calibri" w:hAnsi="Verdana" w:cs="Arial"/>
          <w:b/>
          <w:bCs/>
          <w:lang w:val="es-ES" w:eastAsia="es-ES"/>
        </w:rPr>
      </w:pPr>
      <w:r w:rsidRPr="00F91B03">
        <w:rPr>
          <w:rFonts w:ascii="Verdana" w:eastAsia="Calibri" w:hAnsi="Verdana" w:cs="Arial"/>
          <w:b/>
          <w:bCs/>
          <w:lang w:val="es-ES" w:eastAsia="es-ES"/>
        </w:rPr>
        <w:t>Gloria Esperanza Mendoza Florez</w:t>
      </w:r>
    </w:p>
    <w:p w14:paraId="72B536CE" w14:textId="77777777" w:rsidR="00192A11" w:rsidRPr="00F91B03" w:rsidRDefault="00192A11" w:rsidP="00192A11">
      <w:pPr>
        <w:spacing w:after="0" w:line="240" w:lineRule="auto"/>
        <w:rPr>
          <w:rFonts w:ascii="Verdana" w:eastAsia="Calibri" w:hAnsi="Verdana" w:cs="Arial"/>
          <w:b/>
          <w:bCs/>
          <w:lang w:val="es-ES" w:eastAsia="es-ES"/>
        </w:rPr>
      </w:pPr>
      <w:r w:rsidRPr="00F91B03">
        <w:rPr>
          <w:rFonts w:ascii="Verdana" w:eastAsia="Calibri" w:hAnsi="Verdana" w:cs="Arial"/>
          <w:lang w:val="es-ES" w:eastAsia="es-ES"/>
        </w:rPr>
        <w:t>Neiva, Huila</w:t>
      </w:r>
    </w:p>
    <w:p w14:paraId="2D046C41" w14:textId="77777777" w:rsidR="00192A11" w:rsidRPr="00F91B03" w:rsidRDefault="00192A11" w:rsidP="00192A11">
      <w:pPr>
        <w:spacing w:after="0" w:line="240" w:lineRule="auto"/>
        <w:rPr>
          <w:rFonts w:ascii="Verdana" w:eastAsia="Calibri" w:hAnsi="Verdana" w:cs="Arial"/>
          <w:b/>
          <w:bCs/>
          <w:lang w:val="es-ES_tradnl" w:eastAsia="es-ES_tradnl"/>
        </w:rPr>
      </w:pPr>
    </w:p>
    <w:p w14:paraId="1DB9D75A" w14:textId="77777777" w:rsidR="00192A11" w:rsidRPr="00F91B03" w:rsidRDefault="00192A11" w:rsidP="00192A1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2A11" w:rsidRPr="00F91B03" w14:paraId="0A4C3B77" w14:textId="77777777" w:rsidTr="00532C3A">
        <w:trPr>
          <w:trHeight w:val="243"/>
        </w:trPr>
        <w:tc>
          <w:tcPr>
            <w:tcW w:w="2689" w:type="dxa"/>
          </w:tcPr>
          <w:p w14:paraId="7D875416" w14:textId="77777777" w:rsidR="00192A11" w:rsidRPr="00F91B03" w:rsidRDefault="00192A11" w:rsidP="00532C3A">
            <w:pPr>
              <w:jc w:val="both"/>
              <w:rPr>
                <w:rFonts w:ascii="Verdana" w:eastAsia="Calibri" w:hAnsi="Verdana" w:cs="Arial"/>
                <w:b/>
                <w:bCs/>
                <w:lang w:val="es-ES_tradnl" w:eastAsia="es-ES_tradnl"/>
              </w:rPr>
            </w:pPr>
          </w:p>
        </w:tc>
        <w:tc>
          <w:tcPr>
            <w:tcW w:w="6100" w:type="dxa"/>
          </w:tcPr>
          <w:p w14:paraId="4BB1B944" w14:textId="7D7291AB" w:rsidR="00192A11" w:rsidRPr="00F91B03" w:rsidRDefault="00192A11" w:rsidP="00532C3A">
            <w:pPr>
              <w:jc w:val="both"/>
              <w:rPr>
                <w:rFonts w:ascii="Verdana" w:eastAsia="Calibri" w:hAnsi="Verdana" w:cs="Arial"/>
                <w:b/>
                <w:bCs/>
                <w:lang w:val="es-ES" w:eastAsia="es-ES"/>
              </w:rPr>
            </w:pPr>
            <w:r w:rsidRPr="00F91B03">
              <w:rPr>
                <w:rFonts w:ascii="Verdana" w:eastAsia="Calibri" w:hAnsi="Verdana" w:cs="Arial"/>
                <w:b/>
                <w:bCs/>
                <w:lang w:val="es-ES" w:eastAsia="es-ES"/>
              </w:rPr>
              <w:t>Concepto C- 1024 de 202</w:t>
            </w:r>
            <w:r w:rsidR="001B2071">
              <w:rPr>
                <w:rFonts w:ascii="Verdana" w:eastAsia="Calibri" w:hAnsi="Verdana" w:cs="Arial"/>
                <w:b/>
                <w:bCs/>
                <w:lang w:val="es-ES" w:eastAsia="es-ES"/>
              </w:rPr>
              <w:t>4</w:t>
            </w:r>
          </w:p>
          <w:p w14:paraId="7C1D477B" w14:textId="77777777" w:rsidR="00192A11" w:rsidRPr="00F91B03" w:rsidRDefault="00192A11" w:rsidP="00532C3A">
            <w:pPr>
              <w:jc w:val="both"/>
              <w:rPr>
                <w:rFonts w:ascii="Verdana" w:eastAsia="Calibri" w:hAnsi="Verdana" w:cs="Arial"/>
                <w:b/>
                <w:bCs/>
                <w:lang w:val="es-ES" w:eastAsia="es-ES"/>
              </w:rPr>
            </w:pPr>
          </w:p>
        </w:tc>
      </w:tr>
      <w:tr w:rsidR="00192A11" w:rsidRPr="00F91B03" w14:paraId="34EB90C6" w14:textId="77777777" w:rsidTr="00532C3A">
        <w:trPr>
          <w:trHeight w:val="884"/>
        </w:trPr>
        <w:tc>
          <w:tcPr>
            <w:tcW w:w="2689" w:type="dxa"/>
          </w:tcPr>
          <w:p w14:paraId="2991E86C" w14:textId="77777777" w:rsidR="00192A11" w:rsidRPr="00F91B03" w:rsidRDefault="00192A11" w:rsidP="00532C3A">
            <w:pPr>
              <w:jc w:val="both"/>
              <w:rPr>
                <w:rFonts w:ascii="Verdana" w:eastAsia="Calibri" w:hAnsi="Verdana" w:cs="Arial"/>
                <w:lang w:val="es-ES_tradnl" w:eastAsia="es-ES_tradnl"/>
              </w:rPr>
            </w:pPr>
            <w:r w:rsidRPr="00F91B03">
              <w:rPr>
                <w:rFonts w:ascii="Verdana" w:eastAsia="Calibri" w:hAnsi="Verdana" w:cs="Arial"/>
                <w:b/>
                <w:lang w:val="es-ES_tradnl" w:eastAsia="es-ES_tradnl"/>
              </w:rPr>
              <w:t>Temas:</w:t>
            </w:r>
            <w:r w:rsidRPr="00F91B03">
              <w:rPr>
                <w:rFonts w:ascii="Verdana" w:eastAsia="Calibri" w:hAnsi="Verdana" w:cs="Arial"/>
                <w:lang w:val="es-ES_tradnl" w:eastAsia="es-ES_tradnl"/>
              </w:rPr>
              <w:t xml:space="preserve">                   </w:t>
            </w:r>
          </w:p>
        </w:tc>
        <w:tc>
          <w:tcPr>
            <w:tcW w:w="6100" w:type="dxa"/>
          </w:tcPr>
          <w:p w14:paraId="5D8E46CF" w14:textId="77777777" w:rsidR="00192A11" w:rsidRPr="00F91B03" w:rsidRDefault="00192A11" w:rsidP="00532C3A">
            <w:pPr>
              <w:jc w:val="both"/>
              <w:rPr>
                <w:rFonts w:ascii="Verdana" w:eastAsia="Calibri" w:hAnsi="Verdana" w:cs="Arial"/>
                <w:lang w:val="es-ES_tradnl" w:eastAsia="es-ES_tradnl"/>
              </w:rPr>
            </w:pPr>
            <w:r w:rsidRPr="00F91B03">
              <w:rPr>
                <w:rFonts w:ascii="Verdana" w:eastAsia="Times New Roman" w:hAnsi="Verdana" w:cs="Arial"/>
                <w:lang w:eastAsia="es-ES_tradnl"/>
              </w:rPr>
              <w:t xml:space="preserve">REVOCATORIA DIRECTA – Actos Administrativos / REVOCATORIA DIRECTA – Acto de Apertura – Tesis / </w:t>
            </w:r>
            <w:r w:rsidRPr="00F91B03">
              <w:rPr>
                <w:rFonts w:ascii="Verdana" w:eastAsia="Calibri" w:hAnsi="Verdana" w:cs="Arial"/>
                <w:color w:val="000000" w:themeColor="text1"/>
                <w:lang w:eastAsia="es-ES_tradnl"/>
              </w:rPr>
              <w:t xml:space="preserve">CORRECCIÓN DE ERRORES FORMALES – Régimen jurídico – Aplicabilidad </w:t>
            </w:r>
          </w:p>
          <w:p w14:paraId="363F494B" w14:textId="77777777" w:rsidR="00192A11" w:rsidRPr="00F91B03" w:rsidRDefault="00192A11" w:rsidP="00532C3A">
            <w:pPr>
              <w:jc w:val="both"/>
              <w:rPr>
                <w:rFonts w:ascii="Verdana" w:eastAsia="Calibri" w:hAnsi="Verdana" w:cs="Arial"/>
                <w:lang w:val="es-ES_tradnl" w:eastAsia="es-ES"/>
              </w:rPr>
            </w:pPr>
          </w:p>
        </w:tc>
      </w:tr>
      <w:tr w:rsidR="00192A11" w:rsidRPr="00F91B03" w14:paraId="2CD7296A" w14:textId="77777777" w:rsidTr="00532C3A">
        <w:trPr>
          <w:trHeight w:val="377"/>
        </w:trPr>
        <w:tc>
          <w:tcPr>
            <w:tcW w:w="2689" w:type="dxa"/>
          </w:tcPr>
          <w:p w14:paraId="4C1DBD31" w14:textId="77777777" w:rsidR="00192A11" w:rsidRPr="00F91B03" w:rsidRDefault="00192A11" w:rsidP="00532C3A">
            <w:pPr>
              <w:jc w:val="both"/>
              <w:rPr>
                <w:rFonts w:ascii="Verdana" w:eastAsia="Calibri" w:hAnsi="Verdana" w:cs="Arial"/>
                <w:b/>
                <w:lang w:val="es-ES_tradnl" w:eastAsia="es-ES_tradnl"/>
              </w:rPr>
            </w:pPr>
            <w:r w:rsidRPr="00F91B03">
              <w:rPr>
                <w:rFonts w:ascii="Verdana" w:eastAsia="Calibri" w:hAnsi="Verdana" w:cs="Arial"/>
                <w:b/>
                <w:lang w:val="es-ES_tradnl" w:eastAsia="es-ES_tradnl"/>
              </w:rPr>
              <w:t>Radicación:</w:t>
            </w:r>
            <w:r w:rsidRPr="00F91B03">
              <w:rPr>
                <w:rFonts w:ascii="Verdana" w:eastAsia="Calibri" w:hAnsi="Verdana" w:cs="Arial"/>
                <w:lang w:val="es-ES_tradnl" w:eastAsia="es-ES_tradnl"/>
              </w:rPr>
              <w:t xml:space="preserve">               </w:t>
            </w:r>
          </w:p>
        </w:tc>
        <w:tc>
          <w:tcPr>
            <w:tcW w:w="6100" w:type="dxa"/>
          </w:tcPr>
          <w:p w14:paraId="2BEFE2A9" w14:textId="77777777" w:rsidR="00192A11" w:rsidRPr="00F91B03" w:rsidRDefault="00192A11" w:rsidP="00532C3A">
            <w:pPr>
              <w:jc w:val="both"/>
              <w:rPr>
                <w:rFonts w:ascii="Verdana" w:hAnsi="Verdana" w:cs="Calibri"/>
              </w:rPr>
            </w:pPr>
            <w:r w:rsidRPr="00F91B03">
              <w:rPr>
                <w:rFonts w:ascii="Verdana" w:eastAsia="Calibri" w:hAnsi="Verdana" w:cs="Arial"/>
                <w:lang w:val="es-ES_tradnl" w:eastAsia="es-ES_tradnl"/>
              </w:rPr>
              <w:t xml:space="preserve">Respuesta a consulta con radicado No. </w:t>
            </w:r>
            <w:r w:rsidRPr="00F91B03">
              <w:rPr>
                <w:rFonts w:ascii="Verdana" w:hAnsi="Verdana" w:cs="Calibri"/>
              </w:rPr>
              <w:t>P20241218012662</w:t>
            </w:r>
          </w:p>
        </w:tc>
      </w:tr>
    </w:tbl>
    <w:p w14:paraId="555C8DF0" w14:textId="77777777" w:rsidR="00192A11" w:rsidRPr="00F91B03" w:rsidRDefault="00192A11" w:rsidP="00192A11">
      <w:pPr>
        <w:spacing w:after="0" w:line="240" w:lineRule="auto"/>
        <w:jc w:val="both"/>
        <w:rPr>
          <w:rFonts w:ascii="Verdana" w:eastAsia="Calibri" w:hAnsi="Verdana" w:cs="Arial"/>
          <w:lang w:val="es-ES_tradnl" w:eastAsia="es-ES_tradnl"/>
        </w:rPr>
      </w:pPr>
    </w:p>
    <w:p w14:paraId="5ABE267F" w14:textId="77777777" w:rsidR="00192A11" w:rsidRPr="00F91B03" w:rsidRDefault="00192A11" w:rsidP="00192A11">
      <w:pPr>
        <w:spacing w:after="0" w:line="240" w:lineRule="auto"/>
        <w:jc w:val="both"/>
        <w:rPr>
          <w:rFonts w:ascii="Verdana" w:eastAsia="Calibri" w:hAnsi="Verdana" w:cs="Arial"/>
          <w:lang w:val="es-ES_tradnl" w:eastAsia="es-ES_tradnl"/>
        </w:rPr>
      </w:pPr>
    </w:p>
    <w:p w14:paraId="4BD7CF12" w14:textId="77777777" w:rsidR="00192A11" w:rsidRPr="00F91B03" w:rsidRDefault="00192A11" w:rsidP="00192A11">
      <w:pPr>
        <w:spacing w:after="0" w:line="276" w:lineRule="auto"/>
        <w:jc w:val="both"/>
        <w:rPr>
          <w:rFonts w:ascii="Verdana" w:eastAsia="Calibri" w:hAnsi="Verdana" w:cs="Arial"/>
          <w:lang w:val="es-ES" w:eastAsia="es-ES"/>
        </w:rPr>
      </w:pPr>
      <w:r w:rsidRPr="00F91B03">
        <w:rPr>
          <w:rFonts w:ascii="Verdana" w:eastAsia="Calibri" w:hAnsi="Verdana" w:cs="Arial"/>
          <w:lang w:val="es-ES" w:eastAsia="es-ES"/>
        </w:rPr>
        <w:t xml:space="preserve">Estimada señora </w:t>
      </w:r>
      <w:r w:rsidRPr="00F91B03">
        <w:rPr>
          <w:rFonts w:ascii="Verdana" w:eastAsia="Calibri" w:hAnsi="Verdana" w:cs="Arial"/>
          <w:lang w:val="es-ES_tradnl" w:eastAsia="es-ES_tradnl"/>
        </w:rPr>
        <w:t>Mendoza Florez</w:t>
      </w:r>
      <w:r w:rsidRPr="00F91B03">
        <w:rPr>
          <w:rFonts w:ascii="Verdana" w:eastAsia="Calibri" w:hAnsi="Verdana" w:cs="Arial"/>
          <w:lang w:val="es-ES" w:eastAsia="es-ES"/>
        </w:rPr>
        <w:t xml:space="preserve">: </w:t>
      </w:r>
    </w:p>
    <w:p w14:paraId="312FC5D3" w14:textId="77777777" w:rsidR="00192A11" w:rsidRPr="00F91B03" w:rsidRDefault="00192A11" w:rsidP="00192A11">
      <w:pPr>
        <w:tabs>
          <w:tab w:val="left" w:pos="3768"/>
        </w:tabs>
        <w:spacing w:after="0" w:line="276" w:lineRule="auto"/>
        <w:jc w:val="both"/>
        <w:rPr>
          <w:rFonts w:ascii="Verdana" w:eastAsia="Calibri" w:hAnsi="Verdana" w:cs="Arial"/>
          <w:lang w:val="es-ES" w:eastAsia="es-ES"/>
        </w:rPr>
      </w:pPr>
    </w:p>
    <w:p w14:paraId="679907DE" w14:textId="77777777" w:rsidR="00EB5460" w:rsidRDefault="00192A11" w:rsidP="00532C3A">
      <w:pPr>
        <w:tabs>
          <w:tab w:val="left" w:pos="709"/>
        </w:tabs>
        <w:spacing w:after="120" w:line="276" w:lineRule="auto"/>
        <w:jc w:val="both"/>
        <w:rPr>
          <w:rFonts w:ascii="Verdana" w:eastAsia="Calibri" w:hAnsi="Verdana" w:cs="Arial"/>
          <w:color w:val="000000" w:themeColor="text1"/>
          <w:lang w:val="es-ES" w:eastAsia="es-ES"/>
        </w:rPr>
      </w:pPr>
      <w:r w:rsidRPr="005F65BE">
        <w:rPr>
          <w:rFonts w:ascii="Verdana" w:eastAsia="Calibri" w:hAnsi="Verdana" w:cs="Arial"/>
          <w:color w:val="000000" w:themeColor="text1"/>
          <w:lang w:val="es-ES" w:eastAsia="es-ES"/>
        </w:rPr>
        <w:t>En ejercicio de la competencia otorgada por los artículos 3, numeral 5º, y 11, numeral 8º, del Decreto Ley 4170 de 2011,</w:t>
      </w:r>
      <w:r w:rsidRPr="005F65BE">
        <w:rPr>
          <w:rFonts w:ascii="Verdana" w:eastAsia="Arial MT" w:hAnsi="Verdana" w:cs="Arial MT"/>
          <w:color w:val="000000" w:themeColor="text1"/>
          <w:lang w:val="es-ES" w:eastAsia="es-ES"/>
        </w:rPr>
        <w:t xml:space="preserve"> </w:t>
      </w:r>
      <w:r w:rsidRPr="005F65BE">
        <w:rPr>
          <w:rFonts w:ascii="Verdana" w:hAnsi="Verdana" w:cs="Arial"/>
          <w:color w:val="000000" w:themeColor="text1"/>
        </w:rPr>
        <w:t xml:space="preserve">así como lo establecido en el artículo 4 de la Resolución 1707 de 2018 expedida por esta Entidad, </w:t>
      </w:r>
      <w:r w:rsidRPr="005F65BE">
        <w:rPr>
          <w:rFonts w:ascii="Verdana" w:eastAsia="Calibri" w:hAnsi="Verdana" w:cs="Arial"/>
          <w:color w:val="000000" w:themeColor="text1"/>
          <w:lang w:val="es-ES" w:eastAsia="es-ES"/>
        </w:rPr>
        <w:t>la Agencia Nacional de Contratación Pública – Colombia Compra Eficiente– responde su solicitud de consulta de fecha 18 de diciembre de 2024, en la cual manifiesta lo siguiente:</w:t>
      </w:r>
      <w:r w:rsidR="000F4754" w:rsidRPr="00D05CD7">
        <w:rPr>
          <w:rFonts w:ascii="Verdana" w:eastAsia="Calibri" w:hAnsi="Verdana" w:cs="Arial"/>
          <w:color w:val="000000" w:themeColor="text1"/>
          <w:lang w:val="es-ES" w:eastAsia="es-ES"/>
        </w:rPr>
        <w:t xml:space="preserve"> </w:t>
      </w:r>
    </w:p>
    <w:p w14:paraId="7E35B1EE" w14:textId="24D3ACCD" w:rsidR="00192A11" w:rsidRPr="00532C3A" w:rsidRDefault="00192A11" w:rsidP="00532C3A">
      <w:pPr>
        <w:tabs>
          <w:tab w:val="left" w:pos="709"/>
        </w:tabs>
        <w:spacing w:after="120" w:line="276" w:lineRule="auto"/>
        <w:jc w:val="both"/>
        <w:rPr>
          <w:rFonts w:ascii="Verdana" w:eastAsia="Calibri" w:hAnsi="Verdana" w:cs="Arial"/>
          <w:i/>
          <w:iCs/>
          <w:lang w:val="es-MX"/>
        </w:rPr>
      </w:pPr>
      <w:r w:rsidRPr="00532C3A">
        <w:rPr>
          <w:rFonts w:ascii="Verdana" w:eastAsia="Calibri" w:hAnsi="Verdana" w:cs="Arial"/>
          <w:i/>
          <w:iCs/>
          <w:lang w:val="es-MX"/>
        </w:rPr>
        <w:t>“</w:t>
      </w:r>
      <w:r w:rsidRPr="00532C3A">
        <w:rPr>
          <w:rFonts w:ascii="Verdana" w:hAnsi="Verdana"/>
          <w:i/>
          <w:iCs/>
        </w:rPr>
        <w:t xml:space="preserve">En un proceso de selección, si la entidad estatal identifica, después de la radicación de ofertas, que existen errores involuntarios en la formulación del presupuesto oficial y estos son advertidos por la misma entidad o por los oferentes, ¿puede la entidad estatal proceder a revocar el proceso de selección?”.  </w:t>
      </w:r>
    </w:p>
    <w:p w14:paraId="7E699792" w14:textId="77777777" w:rsidR="00192A11" w:rsidRPr="00F91B03" w:rsidRDefault="00192A11" w:rsidP="00532C3A">
      <w:pPr>
        <w:spacing w:after="120" w:line="276" w:lineRule="auto"/>
        <w:ind w:firstLine="708"/>
        <w:jc w:val="both"/>
        <w:rPr>
          <w:rFonts w:ascii="Verdana" w:eastAsia="Calibri" w:hAnsi="Verdana" w:cs="Arial"/>
          <w:color w:val="000000"/>
          <w:lang w:val="es-ES_tradnl" w:eastAsia="es-ES_tradnl"/>
        </w:rPr>
      </w:pPr>
      <w:r w:rsidRPr="00F91B0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w:t>
      </w:r>
      <w:r w:rsidRPr="00F91B03">
        <w:rPr>
          <w:rFonts w:ascii="Verdana" w:eastAsia="Calibri" w:hAnsi="Verdana" w:cs="Arial"/>
          <w:color w:val="000000"/>
          <w:lang w:val="es-ES" w:eastAsia="es-ES"/>
        </w:rPr>
        <w:lastRenderedPageBreak/>
        <w:t xml:space="preserve">contratación pública. Esta competencia de interpretación de normas generales, por definición, no puede extenderse a la resolución de controversias, ni a brindar asesorías sobre casos puntuales. </w:t>
      </w:r>
      <w:r w:rsidRPr="00F91B03">
        <w:rPr>
          <w:rFonts w:ascii="Verdana" w:eastAsia="Calibri" w:hAnsi="Verdana" w:cs="Arial"/>
          <w:color w:val="000000"/>
          <w:lang w:val="es-ES_tradnl" w:eastAsia="es-ES_tradnl"/>
        </w:rPr>
        <w:tab/>
      </w:r>
    </w:p>
    <w:p w14:paraId="33E8C9BB" w14:textId="77777777" w:rsidR="00192A11" w:rsidRPr="00F91B03" w:rsidRDefault="00192A11" w:rsidP="00192A11">
      <w:pPr>
        <w:spacing w:after="0" w:line="276" w:lineRule="auto"/>
        <w:ind w:firstLine="709"/>
        <w:jc w:val="both"/>
        <w:rPr>
          <w:rFonts w:ascii="Verdana" w:eastAsia="Calibri" w:hAnsi="Verdana" w:cs="Arial"/>
          <w:color w:val="000000"/>
          <w:lang w:val="es-ES" w:eastAsia="es-ES"/>
        </w:rPr>
      </w:pPr>
      <w:r w:rsidRPr="00F91B0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w:t>
      </w:r>
      <w:r w:rsidRPr="00F91B03">
        <w:rPr>
          <w:rFonts w:ascii="Verdana" w:eastAsia="Calibri" w:hAnsi="Verdana" w:cs="Arial"/>
          <w:color w:val="7030A0"/>
          <w:lang w:val="es-ES" w:eastAsia="es-ES"/>
        </w:rPr>
        <w:t xml:space="preserve">l </w:t>
      </w:r>
      <w:r w:rsidRPr="00F91B03">
        <w:rPr>
          <w:rFonts w:ascii="Verdana" w:eastAsia="Calibri" w:hAnsi="Verdana" w:cs="Arial"/>
          <w:color w:val="000000"/>
          <w:lang w:val="es-ES" w:eastAsia="es-ES"/>
        </w:rPr>
        <w:t>problema</w:t>
      </w:r>
      <w:r w:rsidRPr="00F91B03">
        <w:rPr>
          <w:rFonts w:ascii="Verdana" w:eastAsia="Calibri" w:hAnsi="Verdana" w:cs="Arial"/>
          <w:color w:val="7030A0"/>
          <w:lang w:val="es-ES" w:eastAsia="es-ES"/>
        </w:rPr>
        <w:t xml:space="preserve"> </w:t>
      </w:r>
      <w:r w:rsidRPr="00F91B03">
        <w:rPr>
          <w:rFonts w:ascii="Verdana" w:eastAsia="Calibri" w:hAnsi="Verdana" w:cs="Arial"/>
          <w:color w:val="000000"/>
          <w:lang w:val="es-ES" w:eastAsia="es-ES"/>
        </w:rPr>
        <w:t>jurídico</w:t>
      </w:r>
      <w:r w:rsidRPr="00F91B03">
        <w:rPr>
          <w:rFonts w:ascii="Verdana" w:eastAsia="Calibri" w:hAnsi="Verdana" w:cs="Arial"/>
          <w:color w:val="7030A0"/>
          <w:lang w:val="es-ES" w:eastAsia="es-ES"/>
        </w:rPr>
        <w:t xml:space="preserve"> </w:t>
      </w:r>
      <w:r w:rsidRPr="00F91B03">
        <w:rPr>
          <w:rFonts w:ascii="Verdana" w:eastAsia="Calibri" w:hAnsi="Verdana" w:cs="Arial"/>
          <w:color w:val="000000"/>
          <w:lang w:val="es-ES" w:eastAsia="es-ES"/>
        </w:rPr>
        <w:t xml:space="preserve">de su consulta. </w:t>
      </w:r>
    </w:p>
    <w:p w14:paraId="048FD0FF" w14:textId="77777777" w:rsidR="00192A11" w:rsidRPr="00F91B03" w:rsidRDefault="00192A11" w:rsidP="00192A11">
      <w:pPr>
        <w:spacing w:after="0" w:line="276" w:lineRule="auto"/>
        <w:ind w:firstLine="709"/>
        <w:jc w:val="both"/>
        <w:rPr>
          <w:rFonts w:ascii="Verdana" w:eastAsia="Calibri" w:hAnsi="Verdana" w:cs="Arial"/>
          <w:color w:val="000000"/>
          <w:lang w:val="es-ES" w:eastAsia="es-ES"/>
        </w:rPr>
      </w:pPr>
    </w:p>
    <w:p w14:paraId="1C5173BF" w14:textId="77777777" w:rsidR="00192A11" w:rsidRPr="00F91B03" w:rsidRDefault="00192A11" w:rsidP="00192A1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91B03">
        <w:rPr>
          <w:rFonts w:ascii="Verdana" w:eastAsia="Century Gothic" w:hAnsi="Verdana" w:cs="Century Gothic"/>
          <w:b/>
          <w:bCs/>
        </w:rPr>
        <w:t>Problema planteado:</w:t>
      </w:r>
    </w:p>
    <w:p w14:paraId="7BD22732" w14:textId="77777777" w:rsidR="00192A11" w:rsidRPr="00F91B03" w:rsidRDefault="00192A11" w:rsidP="00192A11">
      <w:pPr>
        <w:tabs>
          <w:tab w:val="left" w:pos="426"/>
        </w:tabs>
        <w:spacing w:after="0" w:line="276" w:lineRule="auto"/>
        <w:jc w:val="both"/>
        <w:rPr>
          <w:rFonts w:ascii="Verdana" w:eastAsia="Century Gothic" w:hAnsi="Verdana" w:cs="Century Gothic"/>
          <w:lang w:val="es-ES"/>
        </w:rPr>
      </w:pPr>
    </w:p>
    <w:p w14:paraId="4836ADF0" w14:textId="72DE6B5A" w:rsidR="00192A11" w:rsidRPr="00F91B03" w:rsidRDefault="00192A11" w:rsidP="00192A11">
      <w:pPr>
        <w:spacing w:after="0" w:line="276" w:lineRule="auto"/>
        <w:jc w:val="both"/>
        <w:rPr>
          <w:rFonts w:ascii="Verdana" w:eastAsia="Calibri" w:hAnsi="Verdana" w:cs="Arial"/>
          <w:color w:val="7030A0"/>
        </w:rPr>
      </w:pPr>
      <w:r w:rsidRPr="00F91B03">
        <w:rPr>
          <w:rFonts w:ascii="Verdana" w:eastAsia="Century Gothic" w:hAnsi="Verdana" w:cs="Century Gothic"/>
        </w:rPr>
        <w:t xml:space="preserve">De acuerdo con el contenido de su solicitud, esta Agencia resolverá el siguiente problema jurídico: </w:t>
      </w:r>
      <w:r w:rsidRPr="0097508B">
        <w:rPr>
          <w:rFonts w:ascii="Verdana" w:hAnsi="Verdana" w:cs="Arial"/>
          <w:color w:val="000000"/>
        </w:rPr>
        <w:t>¿</w:t>
      </w:r>
      <w:r w:rsidR="00D347A3">
        <w:rPr>
          <w:rFonts w:ascii="Verdana" w:hAnsi="Verdana" w:cs="Arial"/>
          <w:color w:val="000000"/>
        </w:rPr>
        <w:t xml:space="preserve">es jurídicamente viable </w:t>
      </w:r>
      <w:r w:rsidRPr="0097508B">
        <w:rPr>
          <w:rFonts w:ascii="Verdana" w:hAnsi="Verdana" w:cs="Arial"/>
          <w:color w:val="000000"/>
        </w:rPr>
        <w:t>revoca</w:t>
      </w:r>
      <w:r w:rsidR="00D347A3">
        <w:rPr>
          <w:rFonts w:ascii="Verdana" w:hAnsi="Verdana" w:cs="Arial"/>
          <w:color w:val="000000"/>
        </w:rPr>
        <w:t>r</w:t>
      </w:r>
      <w:r w:rsidRPr="0097508B">
        <w:rPr>
          <w:rFonts w:ascii="Verdana" w:hAnsi="Verdana" w:cs="Arial"/>
          <w:color w:val="000000"/>
        </w:rPr>
        <w:t xml:space="preserve"> de forma unilateral el acto administrativo de apertura cuando se han presentado propuestas en un proceso de selección</w:t>
      </w:r>
      <w:r w:rsidRPr="00F91B03">
        <w:rPr>
          <w:rFonts w:ascii="Verdana" w:hAnsi="Verdana" w:cs="Arial"/>
          <w:color w:val="000000"/>
        </w:rPr>
        <w:t xml:space="preserve">, debido a </w:t>
      </w:r>
      <w:r w:rsidRPr="00F91B03">
        <w:rPr>
          <w:rFonts w:ascii="Verdana" w:eastAsia="Century Gothic" w:hAnsi="Verdana" w:cs="Century Gothic"/>
        </w:rPr>
        <w:t>la existencia de errores involuntarios en el presupuesto oficial</w:t>
      </w:r>
      <w:r w:rsidRPr="0097508B">
        <w:rPr>
          <w:rFonts w:ascii="Verdana" w:hAnsi="Verdana" w:cs="Arial"/>
          <w:color w:val="000000"/>
        </w:rPr>
        <w:t>?</w:t>
      </w:r>
    </w:p>
    <w:p w14:paraId="74BBA4EE" w14:textId="77777777" w:rsidR="00192A11" w:rsidRPr="00F91B03" w:rsidRDefault="00192A11" w:rsidP="00192A11">
      <w:pPr>
        <w:spacing w:after="0" w:line="276" w:lineRule="auto"/>
        <w:jc w:val="both"/>
        <w:rPr>
          <w:rFonts w:ascii="Verdana" w:eastAsia="Calibri" w:hAnsi="Verdana" w:cs="Arial"/>
          <w:color w:val="7030A0"/>
        </w:rPr>
      </w:pPr>
    </w:p>
    <w:p w14:paraId="5DB32902" w14:textId="77777777" w:rsidR="00192A11" w:rsidRPr="00F91B03" w:rsidRDefault="00192A11" w:rsidP="00192A1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91B03">
        <w:rPr>
          <w:rFonts w:ascii="Verdana" w:eastAsia="Century Gothic" w:hAnsi="Verdana" w:cs="Century Gothic"/>
          <w:b/>
          <w:bCs/>
        </w:rPr>
        <w:t>Respuesta:</w:t>
      </w:r>
    </w:p>
    <w:p w14:paraId="3D3916F5" w14:textId="77777777" w:rsidR="00192A11" w:rsidRPr="00F91B03" w:rsidRDefault="00192A11" w:rsidP="00192A1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2A11" w:rsidRPr="00F91B03" w14:paraId="19EFE006" w14:textId="77777777" w:rsidTr="00532C3A">
        <w:tc>
          <w:tcPr>
            <w:tcW w:w="8828" w:type="dxa"/>
            <w:shd w:val="clear" w:color="auto" w:fill="auto"/>
          </w:tcPr>
          <w:p w14:paraId="523277B0" w14:textId="637A53FB" w:rsidR="00192A11" w:rsidRDefault="000E2ACA" w:rsidP="00532C3A">
            <w:pPr>
              <w:spacing w:after="120" w:line="276" w:lineRule="auto"/>
              <w:jc w:val="both"/>
              <w:rPr>
                <w:rFonts w:ascii="Verdana" w:hAnsi="Verdana" w:cs="Arial"/>
                <w:lang w:val="es-ES" w:eastAsia="es-CO"/>
              </w:rPr>
            </w:pPr>
            <w:r>
              <w:rPr>
                <w:rFonts w:ascii="Verdana" w:hAnsi="Verdana" w:cs="Arial"/>
                <w:lang w:val="es-ES"/>
              </w:rPr>
              <w:t>E</w:t>
            </w:r>
            <w:r w:rsidR="00192A11" w:rsidRPr="00F91B03">
              <w:rPr>
                <w:rFonts w:ascii="Verdana" w:hAnsi="Verdana" w:cs="Arial"/>
                <w:lang w:val="es-ES"/>
              </w:rPr>
              <w:t xml:space="preserve">n </w:t>
            </w:r>
            <w:r>
              <w:rPr>
                <w:rFonts w:ascii="Verdana" w:hAnsi="Verdana" w:cs="Arial"/>
                <w:lang w:val="es-ES"/>
              </w:rPr>
              <w:t xml:space="preserve">situaciones como la planteada en el problema jurídico descrito, en las se presentan errores en </w:t>
            </w:r>
            <w:r w:rsidR="00192A11" w:rsidRPr="00F91B03">
              <w:rPr>
                <w:rFonts w:ascii="Verdana" w:hAnsi="Verdana" w:cs="Arial"/>
                <w:lang w:val="es-ES"/>
              </w:rPr>
              <w:t>alguno de los aspectos contenidos en la documentación previa de un Proceso de Contratación, la Entidad Estatal, en el marco de su discrecionalidad y teniendo en cuenta su rol de directora del proceso deberá adoptar las medidas tendientes a corregir dichos errores, dentro de las cuales puede optar por revocar el acto de apertura del Proceso de Contratación o sanear el error cometido, a través de la figura de la c</w:t>
            </w:r>
            <w:r w:rsidR="00192A11" w:rsidRPr="00F91B03">
              <w:rPr>
                <w:rFonts w:ascii="Verdana" w:hAnsi="Verdana" w:cs="Arial"/>
                <w:lang w:val="es-ES" w:eastAsia="es-CO"/>
              </w:rPr>
              <w:t xml:space="preserve">orrección de errores formales, establecida en el artículo 45 del CPACA. </w:t>
            </w:r>
          </w:p>
          <w:p w14:paraId="75268E19" w14:textId="77777777" w:rsidR="00192A11" w:rsidRDefault="00192A11" w:rsidP="00532C3A">
            <w:pPr>
              <w:spacing w:after="120" w:line="276" w:lineRule="auto"/>
              <w:ind w:firstLine="708"/>
              <w:jc w:val="both"/>
              <w:rPr>
                <w:rFonts w:ascii="Verdana" w:hAnsi="Verdana" w:cs="Arial"/>
                <w:shd w:val="clear" w:color="auto" w:fill="FFFFFF"/>
              </w:rPr>
            </w:pPr>
            <w:r>
              <w:rPr>
                <w:rFonts w:ascii="Verdana" w:hAnsi="Verdana" w:cs="Arial"/>
                <w:lang w:val="es-ES" w:eastAsia="es-CO"/>
              </w:rPr>
              <w:t xml:space="preserve">En cuanto a la procedencia de la revocatoria del acto administrativo de apertura después de presentarse las ofertas, debe señalarse que, tal y como lo ha sostenido esta Agencia en reiteradas ocasiones, </w:t>
            </w:r>
            <w:r w:rsidRPr="005C40C7">
              <w:rPr>
                <w:rFonts w:ascii="Verdana" w:hAnsi="Verdana" w:cs="Arial"/>
                <w:shd w:val="clear" w:color="auto" w:fill="FFFFFF"/>
              </w:rPr>
              <w:t xml:space="preserve">la presentación de las propuestas e incluso la publicación del informe de evaluación no muta ni transforma el carácter general que ostenta el acto de apertura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w:t>
            </w:r>
            <w:r w:rsidRPr="005C40C7">
              <w:rPr>
                <w:rFonts w:ascii="Verdana" w:hAnsi="Verdana" w:cs="Arial"/>
                <w:shd w:val="clear" w:color="auto" w:fill="FFFFFF"/>
              </w:rPr>
              <w:lastRenderedPageBreak/>
              <w:t>propuesta</w:t>
            </w:r>
            <w:r>
              <w:rPr>
                <w:rFonts w:ascii="Verdana" w:hAnsi="Verdana" w:cs="Arial"/>
                <w:shd w:val="clear" w:color="auto" w:fill="FFFFFF"/>
              </w:rPr>
              <w:t>. P</w:t>
            </w:r>
            <w:r w:rsidRPr="005C40C7">
              <w:rPr>
                <w:rFonts w:ascii="Verdana" w:hAnsi="Verdana" w:cs="Arial"/>
                <w:shd w:val="clear" w:color="auto" w:fill="FFFFFF"/>
              </w:rPr>
              <w:t>or lo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63265C40" w14:textId="77777777" w:rsidR="00192A11" w:rsidRPr="005C40C7" w:rsidRDefault="00192A11" w:rsidP="00532C3A">
            <w:pPr>
              <w:spacing w:after="120" w:line="276" w:lineRule="auto"/>
              <w:ind w:firstLine="708"/>
              <w:jc w:val="both"/>
              <w:rPr>
                <w:rFonts w:ascii="Verdana" w:hAnsi="Verdana" w:cs="Arial"/>
                <w:shd w:val="clear" w:color="auto" w:fill="FFFFFF"/>
              </w:rPr>
            </w:pPr>
            <w:r>
              <w:rPr>
                <w:rFonts w:ascii="Verdana" w:hAnsi="Verdana" w:cs="Arial"/>
                <w:shd w:val="clear" w:color="auto" w:fill="FFFFFF"/>
              </w:rPr>
              <w:t xml:space="preserve">En este punto, es necesario advertir que, </w:t>
            </w:r>
            <w:r w:rsidRPr="005C40C7">
              <w:rPr>
                <w:rFonts w:ascii="Verdana" w:eastAsia="Arial" w:hAnsi="Verdana" w:cs="Arial"/>
              </w:rPr>
              <w:t>previo a la expedición del acto administrativo de adjudicación, no se consolidan derechos a favor de los proponentes, toda vez que hasta ese momento solo existen “</w:t>
            </w:r>
            <w:r w:rsidRPr="005C40C7">
              <w:rPr>
                <w:rFonts w:ascii="Verdana" w:eastAsia="Arial" w:hAnsi="Verdana" w:cs="Arial"/>
                <w:i/>
                <w:iCs/>
              </w:rPr>
              <w:t>meras expectativas”</w:t>
            </w:r>
            <w:r w:rsidRPr="005C40C7">
              <w:rPr>
                <w:rFonts w:ascii="Verdana" w:eastAsia="Arial" w:hAnsi="Verdana" w:cs="Arial"/>
              </w:rPr>
              <w:t xml:space="preserve"> y, en algunas circunstancias, </w:t>
            </w:r>
            <w:r w:rsidRPr="005C40C7">
              <w:rPr>
                <w:rFonts w:ascii="Verdana" w:eastAsia="Arial" w:hAnsi="Verdana" w:cs="Arial"/>
                <w:i/>
                <w:iCs/>
              </w:rPr>
              <w:t>expectativas legítimas</w:t>
            </w:r>
            <w:r w:rsidRPr="005C40C7">
              <w:rPr>
                <w:rFonts w:ascii="Verdana" w:eastAsia="Arial" w:hAnsi="Verdana" w:cs="Arial"/>
              </w:rPr>
              <w:t xml:space="preserve"> a favor de algún participante; conceptos jurídicos que alinderan tanto la existencia y alcance de un eventual derecho o expectativa, y el punto límite de proyección del atributo de la revocatoria del acto administrativo</w:t>
            </w:r>
            <w:r>
              <w:rPr>
                <w:rFonts w:ascii="Verdana" w:eastAsia="Arial" w:hAnsi="Verdana" w:cs="Arial"/>
              </w:rPr>
              <w:t xml:space="preserve">. </w:t>
            </w:r>
          </w:p>
          <w:p w14:paraId="51ADF72A" w14:textId="77777777" w:rsidR="00192A11" w:rsidRPr="0070699C" w:rsidRDefault="00192A11" w:rsidP="00532C3A">
            <w:pPr>
              <w:spacing w:after="120" w:line="276" w:lineRule="auto"/>
              <w:ind w:firstLine="708"/>
              <w:jc w:val="both"/>
              <w:rPr>
                <w:rFonts w:ascii="Verdana" w:hAnsi="Verdana" w:cs="Arial"/>
                <w:shd w:val="clear" w:color="auto" w:fill="FFFFFF"/>
              </w:rPr>
            </w:pPr>
            <w:r w:rsidRPr="005C40C7">
              <w:rPr>
                <w:rFonts w:ascii="Verdana" w:hAnsi="Verdana" w:cs="Arial"/>
                <w:shd w:val="clear" w:color="auto" w:fill="FFFFFF"/>
              </w:rPr>
              <w:t>En ese orden de ideas</w:t>
            </w:r>
            <w:r>
              <w:rPr>
                <w:rFonts w:ascii="Verdana" w:hAnsi="Verdana" w:cs="Arial"/>
                <w:shd w:val="clear" w:color="auto" w:fill="FFFFFF"/>
              </w:rPr>
              <w:t>,</w:t>
            </w:r>
            <w:r w:rsidRPr="005C40C7">
              <w:rPr>
                <w:rFonts w:ascii="Verdana" w:hAnsi="Verdana" w:cs="Arial"/>
                <w:shd w:val="clear" w:color="auto" w:fill="FFFFFF"/>
              </w:rPr>
              <w:t xml:space="preserve"> las Entidades Estatales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 de conformidad con los requisitos dispuestos en el artículo 97 del CPACA, haciendo prevalecer el imperio de la ley, el interés público y la protección de los derechos.</w:t>
            </w:r>
          </w:p>
        </w:tc>
      </w:tr>
    </w:tbl>
    <w:p w14:paraId="227210E3" w14:textId="77777777" w:rsidR="00192A11" w:rsidRPr="00F91B03" w:rsidRDefault="00192A11" w:rsidP="00192A11">
      <w:pPr>
        <w:tabs>
          <w:tab w:val="left" w:pos="142"/>
          <w:tab w:val="left" w:pos="284"/>
        </w:tabs>
        <w:spacing w:after="0" w:line="276" w:lineRule="auto"/>
        <w:jc w:val="both"/>
        <w:rPr>
          <w:rFonts w:ascii="Verdana" w:eastAsia="Century Gothic" w:hAnsi="Verdana" w:cs="Century Gothic"/>
          <w:b/>
          <w:bCs/>
          <w:lang w:val="es-ES"/>
        </w:rPr>
      </w:pPr>
    </w:p>
    <w:p w14:paraId="0CFE8B9E" w14:textId="77777777" w:rsidR="00192A11" w:rsidRPr="00F91B03" w:rsidRDefault="00192A11" w:rsidP="00192A1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91B03">
        <w:rPr>
          <w:rFonts w:ascii="Verdana" w:eastAsia="Century Gothic" w:hAnsi="Verdana" w:cs="Century Gothic"/>
          <w:b/>
          <w:bCs/>
        </w:rPr>
        <w:t>Razones de la respuesta:</w:t>
      </w:r>
    </w:p>
    <w:p w14:paraId="1C3ED3E3" w14:textId="77777777" w:rsidR="00192A11" w:rsidRPr="00F91B03" w:rsidRDefault="00192A11" w:rsidP="00192A11">
      <w:pPr>
        <w:spacing w:after="0" w:line="276" w:lineRule="auto"/>
        <w:jc w:val="both"/>
        <w:rPr>
          <w:rFonts w:ascii="Verdana" w:eastAsia="Calibri" w:hAnsi="Verdana" w:cs="Arial"/>
          <w:color w:val="7030A0"/>
          <w:lang w:val="es-ES"/>
        </w:rPr>
      </w:pPr>
    </w:p>
    <w:p w14:paraId="31537ABD" w14:textId="77777777" w:rsidR="00192A11" w:rsidRPr="00F91B03" w:rsidRDefault="00192A11" w:rsidP="00192A11">
      <w:pPr>
        <w:spacing w:after="0" w:line="276" w:lineRule="auto"/>
        <w:jc w:val="both"/>
        <w:rPr>
          <w:rFonts w:ascii="Verdana" w:eastAsia="Calibri" w:hAnsi="Verdana" w:cs="Arial"/>
          <w:lang w:val="es-ES"/>
        </w:rPr>
      </w:pPr>
      <w:r w:rsidRPr="00F91B03">
        <w:rPr>
          <w:rFonts w:ascii="Verdana" w:eastAsia="Calibri" w:hAnsi="Verdana" w:cs="Arial"/>
          <w:lang w:val="es-ES"/>
        </w:rPr>
        <w:t xml:space="preserve">Lo anterior se sustenta en las siguientes consideraciones: </w:t>
      </w:r>
    </w:p>
    <w:p w14:paraId="6A98853E" w14:textId="77777777" w:rsidR="00192A11" w:rsidRPr="00F91B03" w:rsidRDefault="00192A11" w:rsidP="00192A11">
      <w:pPr>
        <w:spacing w:after="0" w:line="276" w:lineRule="auto"/>
        <w:jc w:val="both"/>
        <w:rPr>
          <w:rFonts w:ascii="Verdana" w:eastAsia="Calibri" w:hAnsi="Verdana" w:cs="Arial"/>
          <w:lang w:val="es-ES" w:eastAsia="es-ES"/>
        </w:rPr>
      </w:pPr>
    </w:p>
    <w:p w14:paraId="783C7A88" w14:textId="77777777" w:rsidR="00192A11" w:rsidRPr="00F91B03" w:rsidRDefault="00192A11" w:rsidP="00192A11">
      <w:pPr>
        <w:tabs>
          <w:tab w:val="left" w:pos="426"/>
        </w:tabs>
        <w:spacing w:after="120" w:line="276" w:lineRule="auto"/>
        <w:jc w:val="both"/>
        <w:rPr>
          <w:rFonts w:ascii="Verdana" w:eastAsia="Arial" w:hAnsi="Verdana" w:cs="Arial"/>
          <w:lang w:eastAsia="es-ES_tradnl"/>
        </w:rPr>
      </w:pPr>
      <w:r w:rsidRPr="00F91B03">
        <w:rPr>
          <w:rFonts w:ascii="Verdana" w:eastAsia="Times New Roman" w:hAnsi="Verdana" w:cs="Arial"/>
          <w:color w:val="000000" w:themeColor="text1"/>
          <w:lang w:val="es-ES_tradnl" w:eastAsia="es-ES_tradnl"/>
        </w:rPr>
        <w:t>Teniendo en cuenta el objeto de su consulta, es necesario adentrarse en el estudio sobre la revocatoria del acto administrativo de apertura del Proceso de Contratación</w:t>
      </w:r>
      <w:r w:rsidRPr="00F91B03">
        <w:rPr>
          <w:rFonts w:ascii="Verdana" w:eastAsia="Arial" w:hAnsi="Verdana" w:cs="Arial"/>
          <w:bCs/>
          <w:color w:val="000000"/>
          <w:lang w:eastAsia="es-ES_tradnl"/>
        </w:rPr>
        <w:t>.</w:t>
      </w:r>
      <w:r w:rsidRPr="00F91B03">
        <w:rPr>
          <w:rFonts w:ascii="Verdana" w:eastAsia="Arial" w:hAnsi="Verdana" w:cs="Arial"/>
          <w:b/>
          <w:color w:val="000000"/>
          <w:lang w:eastAsia="es-ES_tradnl"/>
        </w:rPr>
        <w:t xml:space="preserve"> </w:t>
      </w:r>
      <w:r w:rsidRPr="00F91B03">
        <w:rPr>
          <w:rFonts w:ascii="Verdana" w:eastAsia="Arial" w:hAnsi="Verdana" w:cs="Arial"/>
          <w:bCs/>
          <w:color w:val="000000"/>
          <w:lang w:eastAsia="es-ES_tradnl"/>
        </w:rPr>
        <w:t>En primer lugar, l</w:t>
      </w:r>
      <w:r w:rsidRPr="00F91B03">
        <w:rPr>
          <w:rFonts w:ascii="Verdana" w:eastAsia="Arial" w:hAnsi="Verdana" w:cs="Arial"/>
          <w:lang w:eastAsia="es-ES_tradnl"/>
        </w:rPr>
        <w:t>a revocatoria directa puede definirse como una de las especies de extinción de los actos administrativos en sede administrativa</w:t>
      </w:r>
      <w:r w:rsidRPr="00F91B03">
        <w:rPr>
          <w:rFonts w:ascii="Verdana" w:eastAsia="Arial" w:hAnsi="Verdana" w:cs="Arial"/>
          <w:vertAlign w:val="superscript"/>
          <w:lang w:eastAsia="es-ES_tradnl"/>
        </w:rPr>
        <w:footnoteReference w:id="2"/>
      </w:r>
      <w:r w:rsidRPr="00F91B03">
        <w:rPr>
          <w:rFonts w:ascii="Verdana" w:eastAsia="Arial" w:hAnsi="Verdana" w:cs="Arial"/>
          <w:lang w:eastAsia="es-ES_tradnl"/>
        </w:rPr>
        <w:t xml:space="preserve">. Esta especie de extinción se diferencia de otras, pues “se trata de un mecanismo de extinción del acto administrativo y de sus efectos que opera por la voluntad de la propia administración. […] Esta figura debe distinguirse […] de la </w:t>
      </w:r>
      <w:r w:rsidRPr="00F91B03">
        <w:rPr>
          <w:rFonts w:ascii="Verdana" w:eastAsia="Arial" w:hAnsi="Verdana" w:cs="Arial"/>
          <w:i/>
          <w:lang w:eastAsia="es-ES_tradnl"/>
        </w:rPr>
        <w:t xml:space="preserve">anulación, </w:t>
      </w:r>
      <w:r w:rsidRPr="00F91B03">
        <w:rPr>
          <w:rFonts w:ascii="Verdana" w:eastAsia="Arial" w:hAnsi="Verdana" w:cs="Arial"/>
          <w:lang w:eastAsia="es-ES_tradnl"/>
        </w:rPr>
        <w:t xml:space="preserve">que es la desaparición o extinción del acto por decisión de autoridad </w:t>
      </w:r>
      <w:r w:rsidRPr="00F91B03">
        <w:rPr>
          <w:rFonts w:ascii="Verdana" w:eastAsia="Arial" w:hAnsi="Verdana" w:cs="Arial"/>
          <w:lang w:eastAsia="es-ES_tradnl"/>
        </w:rPr>
        <w:lastRenderedPageBreak/>
        <w:t>jurisdiccional”</w:t>
      </w:r>
      <w:r w:rsidRPr="00F91B03">
        <w:rPr>
          <w:rFonts w:ascii="Verdana" w:eastAsia="Arial" w:hAnsi="Verdana" w:cs="Arial"/>
          <w:vertAlign w:val="superscript"/>
          <w:lang w:eastAsia="es-ES_tradnl"/>
        </w:rPr>
        <w:footnoteReference w:id="3"/>
      </w:r>
      <w:r w:rsidRPr="00F91B03">
        <w:rPr>
          <w:rFonts w:ascii="Verdana" w:eastAsia="Arial" w:hAnsi="Verdana" w:cs="Arial"/>
          <w:lang w:eastAsia="es-ES_tradnl"/>
        </w:rPr>
        <w:t>. Adicionalmente, sobre la particular manera en que el legislador ha reglamentado la revocación directa en Colombia, debe decirse que se trata de un mecanismo unilateral de la administración, otorgado para que esta revise sus propias decisiones</w:t>
      </w:r>
      <w:r w:rsidRPr="00F91B03">
        <w:rPr>
          <w:rFonts w:ascii="Verdana" w:eastAsia="Arial" w:hAnsi="Verdana" w:cs="Arial"/>
          <w:vertAlign w:val="superscript"/>
          <w:lang w:eastAsia="es-ES_tradnl"/>
        </w:rPr>
        <w:footnoteReference w:id="4"/>
      </w:r>
      <w:r w:rsidRPr="00F91B03">
        <w:rPr>
          <w:rFonts w:ascii="Verdana" w:eastAsia="Arial" w:hAnsi="Verdana" w:cs="Arial"/>
          <w:lang w:eastAsia="es-ES_tradnl"/>
        </w:rPr>
        <w:t xml:space="preserve">. </w:t>
      </w:r>
    </w:p>
    <w:p w14:paraId="43359989" w14:textId="77777777" w:rsidR="00192A11" w:rsidRPr="00F91B03" w:rsidRDefault="00192A11" w:rsidP="00192A11">
      <w:pPr>
        <w:spacing w:after="120" w:line="276" w:lineRule="auto"/>
        <w:ind w:firstLine="709"/>
        <w:jc w:val="both"/>
        <w:rPr>
          <w:rFonts w:ascii="Verdana" w:eastAsia="Arial" w:hAnsi="Verdana" w:cs="Arial"/>
          <w:lang w:eastAsia="es-ES_tradnl"/>
        </w:rPr>
      </w:pPr>
      <w:r w:rsidRPr="00F91B03">
        <w:rPr>
          <w:rFonts w:ascii="Verdana" w:eastAsia="Arial" w:hAnsi="Verdana" w:cs="Arial"/>
          <w:lang w:eastAsia="es-ES_tradnl"/>
        </w:rPr>
        <w:t xml:space="preserve">De acuerdo con lo anterior puede afirmarse que, la revocación de los propios actos es una de las prerrogativas otorgadas en el ordenamiento jurídico a las Administraciones Públicas para lograr el cumplimiento de sus finalidades. En ese marco conceptual es preciso señalar que, una de las labores fundamentales del legislador cuando reconoce o crea una prerrogativa es compatibilizar su uso y ejercicio con los derechos de los administrados potencialmente involucrados o afectados. Por lo anterior, en las normas generales sobre procedimiento administrativo, o en otras normas especiales de derecho administrativo que contemplan la institución de la revocatoria directa, existe una decisión particular del legislador que da cuenta de la armonización que se ha hecho, para el caso particular, entre los derechos de los administrados y los intereses públicos en juego. </w:t>
      </w:r>
    </w:p>
    <w:p w14:paraId="7A4FE66C" w14:textId="77777777" w:rsidR="00192A11" w:rsidRPr="00F91B03" w:rsidRDefault="00192A11" w:rsidP="00192A11">
      <w:pPr>
        <w:suppressAutoHyphens/>
        <w:spacing w:after="120" w:line="276" w:lineRule="auto"/>
        <w:ind w:firstLine="709"/>
        <w:jc w:val="both"/>
        <w:textDirection w:val="btLr"/>
        <w:textAlignment w:val="top"/>
        <w:rPr>
          <w:rFonts w:ascii="Verdana" w:hAnsi="Verdana" w:cs="Arial"/>
          <w:lang w:eastAsia="es-CO"/>
        </w:rPr>
      </w:pPr>
      <w:r w:rsidRPr="00F91B03">
        <w:rPr>
          <w:rFonts w:ascii="Verdana" w:hAnsi="Verdana" w:cs="Arial"/>
          <w:lang w:eastAsia="es-CO"/>
        </w:rPr>
        <w:t>Ahora bien, en materia de contratación estatal debe decirse que, el acto administrativo de apertura del Proceso de Contratación agota sus efectos con la adjudicación o la declaratoria de desierta del proceso, según lo previsto en el Estatuto General de Contratación de la Administración Pública – en adelante EGCAP –. Sin embargo, este último cuerpo normativo guardó silencio respecto a la posibilidad de revocarlo. Teniendo en cuenta lo anterior, los Decretos Reglamentarios 066 de 2008, 2474 de 2008 y 734 de 2012 habían previsto la posibilidad de que las entidades revocaran el acto administrativo de apertura bajo la condición de que se verificara alguna de las causales contempladas en el artículo 69 del Código Contencioso Administrativo - CCA.</w:t>
      </w:r>
    </w:p>
    <w:p w14:paraId="6647AC47" w14:textId="77777777" w:rsidR="00192A11" w:rsidRPr="00F91B03" w:rsidRDefault="00192A11" w:rsidP="00192A11">
      <w:pPr>
        <w:suppressAutoHyphens/>
        <w:spacing w:after="120" w:line="276" w:lineRule="auto"/>
        <w:ind w:firstLine="709"/>
        <w:jc w:val="both"/>
        <w:textDirection w:val="btLr"/>
        <w:textAlignment w:val="top"/>
        <w:rPr>
          <w:rFonts w:ascii="Verdana" w:hAnsi="Verdana" w:cs="Arial"/>
          <w:color w:val="000000"/>
        </w:rPr>
      </w:pPr>
      <w:r w:rsidRPr="00F91B03">
        <w:rPr>
          <w:rFonts w:ascii="Verdana" w:hAnsi="Verdana" w:cs="Arial"/>
          <w:lang w:eastAsia="es-CO"/>
        </w:rPr>
        <w:t xml:space="preserve">Posteriormente, con la expedición del Decreto 1510 de 2013, que derogó el Decreto 734 de 2012, el cual, actualmente, se encuentra compilado en el Decreto 1082 de 2015, </w:t>
      </w:r>
      <w:r w:rsidRPr="00F91B03">
        <w:rPr>
          <w:rFonts w:ascii="Verdana" w:hAnsi="Verdana" w:cs="Arial"/>
          <w:color w:val="000000"/>
        </w:rPr>
        <w:t xml:space="preserve">no se reguló la revocatoria del acto de apertura, quedando el tema en estado de incertidumbre. </w:t>
      </w:r>
    </w:p>
    <w:p w14:paraId="66A9011F" w14:textId="77777777" w:rsidR="00192A11" w:rsidRPr="0097508B" w:rsidRDefault="00192A11" w:rsidP="00192A11">
      <w:pPr>
        <w:suppressAutoHyphens/>
        <w:spacing w:after="120" w:line="276" w:lineRule="auto"/>
        <w:ind w:firstLine="708"/>
        <w:jc w:val="both"/>
        <w:textDirection w:val="btLr"/>
        <w:textAlignment w:val="top"/>
        <w:outlineLvl w:val="0"/>
        <w:rPr>
          <w:rFonts w:ascii="Verdana" w:hAnsi="Verdana" w:cs="Arial"/>
          <w:color w:val="000000"/>
        </w:rPr>
      </w:pPr>
      <w:r w:rsidRPr="00F91B03">
        <w:rPr>
          <w:rFonts w:ascii="Verdana" w:hAnsi="Verdana" w:cs="Arial"/>
          <w:color w:val="000000"/>
        </w:rPr>
        <w:t xml:space="preserve">En ese contexto, la jurisprudencia de la Sección Tercera del Consejo de Estado ha distinguido dos (2) momentos para efectos de examinar la posibilidad </w:t>
      </w:r>
      <w:r w:rsidRPr="00F91B03">
        <w:rPr>
          <w:rFonts w:ascii="Verdana" w:hAnsi="Verdana" w:cs="Arial"/>
          <w:color w:val="000000"/>
        </w:rPr>
        <w:lastRenderedPageBreak/>
        <w:t xml:space="preserve">de revocar de manera unilateral el acto de apertura: (i) el primer momento es </w:t>
      </w:r>
      <w:r w:rsidRPr="00F91B03">
        <w:rPr>
          <w:rFonts w:ascii="Verdana" w:hAnsi="Verdana" w:cs="Arial"/>
          <w:i/>
          <w:iCs/>
          <w:color w:val="000000"/>
        </w:rPr>
        <w:t>antes de que se presenten ofertas</w:t>
      </w:r>
      <w:r w:rsidRPr="00F91B03">
        <w:rPr>
          <w:rFonts w:ascii="Verdana" w:hAnsi="Verdana" w:cs="Arial"/>
          <w:color w:val="000000"/>
        </w:rPr>
        <w:t xml:space="preserve">, en el cual hay unanimidad de criterio respecto a la posibilidad de revocarlo unilateralmente, </w:t>
      </w:r>
      <w:r w:rsidRPr="00F91B03">
        <w:rPr>
          <w:rFonts w:ascii="Verdana" w:hAnsi="Verdana" w:cs="Arial"/>
          <w:color w:val="000000"/>
          <w:lang w:eastAsia="es-CO"/>
        </w:rPr>
        <w:t>porque no se ha configurado ninguna situación particular</w:t>
      </w:r>
      <w:r w:rsidRPr="00F91B03">
        <w:rPr>
          <w:rFonts w:ascii="Verdana" w:hAnsi="Verdana" w:cs="Arial"/>
          <w:color w:val="000000"/>
        </w:rPr>
        <w:t xml:space="preserve"> y; ii) el segundo momento es </w:t>
      </w:r>
      <w:r w:rsidRPr="00F91B03">
        <w:rPr>
          <w:rFonts w:ascii="Verdana" w:hAnsi="Verdana" w:cs="Arial"/>
          <w:i/>
          <w:iCs/>
          <w:color w:val="000000"/>
        </w:rPr>
        <w:t>cuando se presentan las ofertas en el proceso de selección</w:t>
      </w:r>
      <w:r w:rsidRPr="00F91B03">
        <w:rPr>
          <w:rFonts w:ascii="Verdana" w:hAnsi="Verdana" w:cs="Arial"/>
          <w:color w:val="000000"/>
        </w:rPr>
        <w:t xml:space="preserve">, circunstancia a la cual se refiere en su consulta. Frente a este caso, la jurisprudencia ha planteado cuatro (4) tesis, que resuelven el problema jurídico planteado en el presente concepto: </w:t>
      </w:r>
      <w:r w:rsidRPr="0097508B">
        <w:rPr>
          <w:rFonts w:ascii="Verdana" w:hAnsi="Verdana" w:cs="Arial"/>
          <w:color w:val="000000"/>
        </w:rPr>
        <w:t>¿Es revocable de forma unilateral el acto administrativo de apertura cuando se han presentado propuestas en un proceso de selección?</w:t>
      </w:r>
    </w:p>
    <w:p w14:paraId="7C9D0096" w14:textId="77777777" w:rsidR="00192A11" w:rsidRPr="00F91B03" w:rsidRDefault="00192A11" w:rsidP="00192A11">
      <w:pPr>
        <w:suppressAutoHyphens/>
        <w:spacing w:after="120" w:line="276" w:lineRule="auto"/>
        <w:ind w:firstLine="708"/>
        <w:jc w:val="both"/>
        <w:textDirection w:val="btLr"/>
        <w:textAlignment w:val="top"/>
        <w:outlineLvl w:val="0"/>
        <w:rPr>
          <w:rFonts w:ascii="Verdana" w:hAnsi="Verdana" w:cs="Arial"/>
        </w:rPr>
      </w:pPr>
      <w:r w:rsidRPr="00F91B03">
        <w:rPr>
          <w:rFonts w:ascii="Verdana" w:hAnsi="Verdana" w:cs="Arial"/>
          <w:color w:val="000000"/>
        </w:rPr>
        <w:t xml:space="preserve">La </w:t>
      </w:r>
      <w:r w:rsidRPr="00F91B03">
        <w:rPr>
          <w:rFonts w:ascii="Verdana" w:hAnsi="Verdana" w:cs="Arial"/>
          <w:i/>
          <w:iCs/>
          <w:color w:val="000000"/>
        </w:rPr>
        <w:t>primera tesis</w:t>
      </w:r>
      <w:r w:rsidRPr="00F91B03">
        <w:rPr>
          <w:rFonts w:ascii="Verdana" w:hAnsi="Verdana" w:cs="Arial"/>
          <w:color w:val="000000"/>
        </w:rPr>
        <w:t xml:space="preserve"> dispone que, antes de adjudicar un Proceso de Contratación, es revocable de manera unilateral el acto de apertura, siempre </w:t>
      </w:r>
      <w:r w:rsidRPr="00F91B03">
        <w:rPr>
          <w:rFonts w:ascii="Verdana" w:hAnsi="Verdana" w:cs="Arial"/>
        </w:rPr>
        <w:t>que concurra alguna causal prevista en el Código de Procedimiento Administrativo y de lo Contencioso Administrativo – en adelante CPACA –</w:t>
      </w:r>
      <w:r w:rsidRPr="00F91B03">
        <w:rPr>
          <w:rFonts w:ascii="Verdana" w:hAnsi="Verdana" w:cs="Arial"/>
          <w:color w:val="000000"/>
        </w:rPr>
        <w:t xml:space="preserve">. </w:t>
      </w:r>
      <w:r w:rsidRPr="00F91B03">
        <w:rPr>
          <w:rFonts w:ascii="Verdana" w:eastAsia="Arial" w:hAnsi="Verdana" w:cs="Arial"/>
        </w:rPr>
        <w:t xml:space="preserve">Lo anterior en atención a que, ante la falta de una norma que regule aspectos como la </w:t>
      </w:r>
      <w:r w:rsidRPr="00F91B03">
        <w:rPr>
          <w:rFonts w:ascii="Verdana" w:eastAsia="Arial" w:hAnsi="Verdana" w:cs="Arial"/>
          <w:lang w:val="es-ES"/>
        </w:rPr>
        <w:t xml:space="preserve">revocabilidad de los actos administrativos expedidos durante la etapa precontractual, contractual o </w:t>
      </w:r>
      <w:proofErr w:type="spellStart"/>
      <w:r w:rsidRPr="00F91B03">
        <w:rPr>
          <w:rFonts w:ascii="Verdana" w:eastAsia="Arial" w:hAnsi="Verdana" w:cs="Arial"/>
          <w:lang w:val="es-ES"/>
        </w:rPr>
        <w:t>pos-contractual</w:t>
      </w:r>
      <w:proofErr w:type="spellEnd"/>
      <w:r w:rsidRPr="00F91B03">
        <w:rPr>
          <w:rFonts w:ascii="Verdana" w:eastAsia="Arial" w:hAnsi="Verdana" w:cs="Arial"/>
        </w:rPr>
        <w:t xml:space="preserve"> – salvo el acto administrativo de adjudicación que sí tiene una norma expresa que determina su irrevocabilidad-, resulta aplicable el régimen general previsto en el CPACA, por remisión expresa del artículo </w:t>
      </w:r>
      <w:r w:rsidRPr="00F91B03">
        <w:rPr>
          <w:rFonts w:ascii="Verdana" w:hAnsi="Verdana" w:cs="Arial"/>
          <w:lang w:eastAsia="es-CO"/>
        </w:rPr>
        <w:t xml:space="preserve">77 de la Ley 80 de 1993, el cual señala que: </w:t>
      </w:r>
      <w:r w:rsidRPr="00F91B03">
        <w:rPr>
          <w:rFonts w:ascii="Verdana" w:hAnsi="Verdana" w:cs="Arial"/>
          <w:i/>
        </w:rPr>
        <w:t>“En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r w:rsidRPr="00F91B03">
        <w:rPr>
          <w:rStyle w:val="Refdenotaalpie"/>
          <w:rFonts w:ascii="Verdana" w:hAnsi="Verdana" w:cs="Arial"/>
          <w:i/>
        </w:rPr>
        <w:footnoteReference w:id="5"/>
      </w:r>
      <w:r w:rsidRPr="00F91B03">
        <w:rPr>
          <w:rFonts w:ascii="Verdana" w:hAnsi="Verdana" w:cs="Arial"/>
          <w:i/>
        </w:rPr>
        <w:t>.</w:t>
      </w:r>
      <w:r w:rsidRPr="00F91B03">
        <w:rPr>
          <w:rFonts w:ascii="Verdana" w:hAnsi="Verdana" w:cs="Arial"/>
        </w:rPr>
        <w:t xml:space="preserve"> </w:t>
      </w:r>
    </w:p>
    <w:p w14:paraId="2E2C8423" w14:textId="77777777" w:rsidR="00192A11" w:rsidRPr="00532C3A" w:rsidRDefault="00192A11" w:rsidP="00532C3A">
      <w:pPr>
        <w:ind w:firstLine="708"/>
        <w:jc w:val="both"/>
        <w:rPr>
          <w:rFonts w:ascii="Verdana" w:hAnsi="Verdana"/>
        </w:rPr>
      </w:pPr>
      <w:r w:rsidRPr="00532C3A">
        <w:rPr>
          <w:rFonts w:ascii="Verdana" w:hAnsi="Verdana"/>
          <w:color w:val="000000"/>
        </w:rPr>
        <w:t>Sin embargo, en la medida en que esté más avanzado el proceso de selección se irán consolidando</w:t>
      </w:r>
      <w:r w:rsidRPr="00532C3A">
        <w:rPr>
          <w:rFonts w:ascii="Verdana" w:hAnsi="Verdana"/>
          <w:b/>
          <w:bCs/>
          <w:color w:val="000000"/>
        </w:rPr>
        <w:t xml:space="preserve"> </w:t>
      </w:r>
      <w:r w:rsidRPr="00532C3A">
        <w:rPr>
          <w:rFonts w:ascii="Verdana" w:hAnsi="Verdana"/>
        </w:rPr>
        <w:t>“expectativas” jurídicas y económicas de los participantes y, en ese sentido, se incrementan los riesgos de causar daños ciertos y personales, que en caso de proferirse una revocatoria, podrán ser objeto de indemnización por parte de la administración, siempre y cuando exista prueba de su configuración. No obstante, es importante precisar que esta situación no afecta la validez del acto administrativo.</w:t>
      </w:r>
    </w:p>
    <w:p w14:paraId="7CD6001D" w14:textId="77777777" w:rsidR="00192A11" w:rsidRPr="00F91B03" w:rsidRDefault="00192A11" w:rsidP="00192A11">
      <w:pPr>
        <w:suppressAutoHyphens/>
        <w:spacing w:after="120" w:line="276" w:lineRule="auto"/>
        <w:ind w:firstLine="708"/>
        <w:jc w:val="both"/>
        <w:textDirection w:val="btLr"/>
        <w:textAlignment w:val="top"/>
        <w:outlineLvl w:val="0"/>
        <w:rPr>
          <w:rFonts w:ascii="Verdana" w:hAnsi="Verdana" w:cs="Arial"/>
          <w:color w:val="000000"/>
          <w:lang w:eastAsia="es-CO"/>
        </w:rPr>
      </w:pPr>
      <w:r w:rsidRPr="00F91B03">
        <w:rPr>
          <w:rFonts w:ascii="Verdana" w:hAnsi="Verdana" w:cs="Arial"/>
          <w:color w:val="000000"/>
        </w:rPr>
        <w:t xml:space="preserve">La </w:t>
      </w:r>
      <w:r w:rsidRPr="00F91B03">
        <w:rPr>
          <w:rFonts w:ascii="Verdana" w:hAnsi="Verdana" w:cs="Arial"/>
          <w:i/>
          <w:iCs/>
          <w:color w:val="000000"/>
        </w:rPr>
        <w:t>segunda tesis</w:t>
      </w:r>
      <w:r w:rsidRPr="00F91B03">
        <w:rPr>
          <w:rFonts w:ascii="Verdana" w:hAnsi="Verdana" w:cs="Arial"/>
          <w:color w:val="000000"/>
        </w:rPr>
        <w:t xml:space="preserve"> plantea que no es posible revocar unilateralmente el acto de apertura, por cuanto la administración </w:t>
      </w:r>
      <w:r w:rsidRPr="00F91B03">
        <w:rPr>
          <w:rFonts w:ascii="Verdana" w:eastAsia="Arial" w:hAnsi="Verdana" w:cs="Arial"/>
          <w:bCs/>
        </w:rPr>
        <w:t xml:space="preserve">debe iniciar la actuación de que trata el artículo 97 del CPACA y solicitar el consentimiento de quien o quienes hayan presentado ofertas dentro del plazo previsto en los Pliegos de Condiciones. </w:t>
      </w:r>
      <w:r w:rsidRPr="00F91B03">
        <w:rPr>
          <w:rFonts w:ascii="Verdana" w:hAnsi="Verdana" w:cs="Arial"/>
          <w:color w:val="000000"/>
          <w:lang w:eastAsia="es-CO"/>
        </w:rPr>
        <w:t xml:space="preserve">Lo </w:t>
      </w:r>
      <w:r w:rsidRPr="00F91B03">
        <w:rPr>
          <w:rFonts w:ascii="Verdana" w:hAnsi="Verdana" w:cs="Arial"/>
          <w:color w:val="000000"/>
          <w:lang w:eastAsia="es-CO"/>
        </w:rPr>
        <w:lastRenderedPageBreak/>
        <w:t>anterior, por cuanto, una vez los interesados presentan sus respectivas ofertas, se genera la legítima expectativa de que su propuesta sea considerada y, en ese momento, la oferta pública de la administración, contenida en el acto de apertura del proceso de selección, se particulariza y se convierte en irrevocable.</w:t>
      </w:r>
    </w:p>
    <w:p w14:paraId="38CF4ABA" w14:textId="77777777" w:rsidR="00192A11" w:rsidRPr="00F91B03" w:rsidRDefault="00192A11" w:rsidP="00192A11">
      <w:pPr>
        <w:suppressAutoHyphens/>
        <w:spacing w:after="120" w:line="276" w:lineRule="auto"/>
        <w:ind w:firstLine="708"/>
        <w:jc w:val="both"/>
        <w:textDirection w:val="btLr"/>
        <w:textAlignment w:val="top"/>
        <w:outlineLvl w:val="0"/>
        <w:rPr>
          <w:rFonts w:ascii="Verdana" w:hAnsi="Verdana" w:cs="Arial"/>
          <w:color w:val="000000"/>
          <w:lang w:eastAsia="es-CO"/>
        </w:rPr>
      </w:pPr>
      <w:r w:rsidRPr="00F91B03">
        <w:rPr>
          <w:rFonts w:ascii="Verdana" w:hAnsi="Verdana" w:cs="Arial"/>
          <w:color w:val="000000"/>
          <w:lang w:eastAsia="es-CO"/>
        </w:rPr>
        <w:t>De no contarse con tal consentimiento y si se produce la revocatoria, el acto surge viciado de nulidad por expedición irregular, a menos que se presente el supuesto previsto en la parte final del inciso tercero del artículo 97 del CPACA (que el acto haya ocurrido “por medios ilegales”), caso en el cual la administración puede revocarlo directamente, en cualquier estado del proceso de selección (hasta antes de la adjudicación o de la declaratoria de desierto), sin que entonces requiera el consentimiento expreso de los participantes</w:t>
      </w:r>
      <w:r w:rsidRPr="00F91B03">
        <w:rPr>
          <w:rStyle w:val="Refdenotaalpie"/>
          <w:rFonts w:ascii="Verdana" w:hAnsi="Verdana" w:cs="Arial"/>
          <w:color w:val="000000"/>
          <w:lang w:eastAsia="es-CO"/>
        </w:rPr>
        <w:footnoteReference w:id="6"/>
      </w:r>
      <w:r w:rsidRPr="00F91B03">
        <w:rPr>
          <w:rFonts w:ascii="Verdana" w:hAnsi="Verdana" w:cs="Arial"/>
          <w:color w:val="000000"/>
          <w:lang w:eastAsia="es-CO"/>
        </w:rPr>
        <w:t>.</w:t>
      </w:r>
    </w:p>
    <w:p w14:paraId="03729485" w14:textId="77777777" w:rsidR="00192A11" w:rsidRPr="00F91B03" w:rsidRDefault="00192A11" w:rsidP="00192A11">
      <w:pPr>
        <w:spacing w:after="120" w:line="276" w:lineRule="auto"/>
        <w:ind w:firstLine="708"/>
        <w:jc w:val="both"/>
        <w:rPr>
          <w:rFonts w:ascii="Verdana" w:hAnsi="Verdana" w:cs="Arial"/>
          <w:bCs/>
          <w:color w:val="000000"/>
        </w:rPr>
      </w:pPr>
      <w:r w:rsidRPr="00F91B03">
        <w:rPr>
          <w:rFonts w:ascii="Verdana" w:hAnsi="Verdana" w:cs="Arial"/>
          <w:iCs/>
        </w:rPr>
        <w:t xml:space="preserve">Por su parte, la </w:t>
      </w:r>
      <w:r w:rsidRPr="00F91B03">
        <w:rPr>
          <w:rFonts w:ascii="Verdana" w:hAnsi="Verdana" w:cs="Arial"/>
          <w:i/>
        </w:rPr>
        <w:t>tercera tesis</w:t>
      </w:r>
      <w:r w:rsidRPr="00F91B03">
        <w:rPr>
          <w:rFonts w:ascii="Verdana" w:hAnsi="Verdana" w:cs="Arial"/>
          <w:iCs/>
        </w:rPr>
        <w:t xml:space="preserve"> plantea que una </w:t>
      </w:r>
      <w:r w:rsidRPr="00F91B03">
        <w:rPr>
          <w:rFonts w:ascii="Verdana" w:eastAsia="Arial" w:hAnsi="Verdana" w:cs="Arial"/>
          <w:bCs/>
          <w:iCs/>
          <w:lang w:val="es-ES"/>
        </w:rPr>
        <w:t xml:space="preserve">vez se han recibido las propuestas, el acto de apertura no puede ser objeto de revocatoria directa en forma unilateral por parte de la Administración, sin el consentimiento expreso del mejor proponente. Toda vez que, este tiene en su haber la posición jurídica que se deriva de las reglas de la propia convocatoria, que no es otra que la de la oferta mercantil aceptada, la cual se concreta en el derecho a suscribir el contrato estatal. </w:t>
      </w:r>
      <w:r w:rsidRPr="00F91B03">
        <w:rPr>
          <w:rFonts w:ascii="Verdana" w:eastAsia="Arial" w:hAnsi="Verdana" w:cs="Arial"/>
          <w:bCs/>
          <w:lang w:val="es-ES"/>
        </w:rPr>
        <w:t xml:space="preserve">Lo anterior, por cuanto </w:t>
      </w:r>
      <w:r w:rsidRPr="00F91B03">
        <w:rPr>
          <w:rFonts w:ascii="Verdana" w:hAnsi="Verdana" w:cs="Arial"/>
          <w:bCs/>
          <w:color w:val="000000"/>
        </w:rPr>
        <w:t>desde el momento en que la Administración recibe las ofertas de los proponentes y se cierra la presentación de propuestas, el Pliego de Condiciones – que en principio era un acto de carácter general – se convierte en un acto de alcance particular, del cual se genera dos derechos, uno para los proponentes de ser evaluados y otro para aquel que tenga la mejor propuesta, el cual consiste en ser seleccionado y a ejecutar el contrato estatal que le debe ser adjudicado</w:t>
      </w:r>
      <w:r w:rsidRPr="00F91B03">
        <w:rPr>
          <w:rStyle w:val="Refdenotaalpie"/>
          <w:rFonts w:ascii="Verdana" w:hAnsi="Verdana" w:cs="Arial"/>
          <w:bCs/>
          <w:color w:val="000000"/>
        </w:rPr>
        <w:footnoteReference w:id="7"/>
      </w:r>
      <w:r w:rsidRPr="00F91B03">
        <w:rPr>
          <w:rFonts w:ascii="Verdana" w:hAnsi="Verdana" w:cs="Arial"/>
          <w:bCs/>
          <w:color w:val="000000"/>
        </w:rPr>
        <w:t>.</w:t>
      </w:r>
    </w:p>
    <w:p w14:paraId="5DB868B6" w14:textId="77777777" w:rsidR="00192A11" w:rsidRPr="00F91B03" w:rsidRDefault="00192A11" w:rsidP="00192A11">
      <w:pPr>
        <w:spacing w:after="120" w:line="276" w:lineRule="auto"/>
        <w:ind w:firstLine="708"/>
        <w:jc w:val="both"/>
        <w:rPr>
          <w:rFonts w:ascii="Verdana" w:eastAsia="Arial" w:hAnsi="Verdana" w:cs="Arial"/>
        </w:rPr>
      </w:pPr>
      <w:r w:rsidRPr="00F91B03">
        <w:rPr>
          <w:rFonts w:ascii="Verdana" w:hAnsi="Verdana" w:cs="Arial"/>
          <w:bCs/>
          <w:color w:val="000000"/>
        </w:rPr>
        <w:t xml:space="preserve">Finalmente, la </w:t>
      </w:r>
      <w:r w:rsidRPr="00F91B03">
        <w:rPr>
          <w:rFonts w:ascii="Verdana" w:hAnsi="Verdana" w:cs="Arial"/>
          <w:bCs/>
          <w:i/>
          <w:iCs/>
          <w:color w:val="000000"/>
        </w:rPr>
        <w:t>cuarta tesis</w:t>
      </w:r>
      <w:r w:rsidRPr="00F91B03">
        <w:rPr>
          <w:rFonts w:ascii="Verdana" w:hAnsi="Verdana" w:cs="Arial"/>
          <w:bCs/>
          <w:color w:val="000000"/>
        </w:rPr>
        <w:t xml:space="preserve"> dispone que, s</w:t>
      </w:r>
      <w:r w:rsidRPr="00F91B03">
        <w:rPr>
          <w:rFonts w:ascii="Verdana" w:eastAsia="Arial" w:hAnsi="Verdana" w:cs="Arial"/>
        </w:rPr>
        <w:t xml:space="preserve">e puede revocar unilateralmente el acto de apertura del proceso de selección si se advierte la configuración de alguna de las causales y demás requisitos que dan paso a su procedencia, toda vez que al ser un acto administrativo de carácter general se torna evidente que la Administración no está condicionada a obtener el consentimiento previo y expreso de los proponentes o del mejor proponente para revocarlo. Además, la revocabilidad procede por cuanto es primordial y tiene preferencia la constatación del interés de la contratación, que no es otro que la garantía de las </w:t>
      </w:r>
      <w:r w:rsidRPr="00F91B03">
        <w:rPr>
          <w:rFonts w:ascii="Verdana" w:eastAsia="Arial" w:hAnsi="Verdana" w:cs="Arial"/>
        </w:rPr>
        <w:lastRenderedPageBreak/>
        <w:t>necesidades públicas frente a las expectativas negociales que nacieron respecto de los proponentes.</w:t>
      </w:r>
    </w:p>
    <w:p w14:paraId="06960961" w14:textId="77777777" w:rsidR="00192A11" w:rsidRPr="00F91B03" w:rsidRDefault="00192A11" w:rsidP="00192A11">
      <w:pPr>
        <w:spacing w:after="120" w:line="276" w:lineRule="auto"/>
        <w:ind w:firstLine="708"/>
        <w:jc w:val="both"/>
        <w:rPr>
          <w:rFonts w:ascii="Verdana" w:eastAsia="Arial" w:hAnsi="Verdana" w:cs="Arial"/>
        </w:rPr>
      </w:pPr>
      <w:r w:rsidRPr="00F91B03">
        <w:rPr>
          <w:rFonts w:ascii="Verdana" w:eastAsia="Arial" w:hAnsi="Verdana" w:cs="Arial"/>
        </w:rPr>
        <w:t>Teniendo en cuenta lo expuesto, por parte de esta Agencia se advierte que previo a la expedición del acto administrativo de adjudicación, no se consolidan derechos a favor de los proponentes, toda vez que hasta ese momento solo existen “</w:t>
      </w:r>
      <w:r w:rsidRPr="00F91B03">
        <w:rPr>
          <w:rFonts w:ascii="Verdana" w:eastAsia="Arial" w:hAnsi="Verdana" w:cs="Arial"/>
          <w:i/>
          <w:iCs/>
        </w:rPr>
        <w:t>meras expectativas”</w:t>
      </w:r>
      <w:r w:rsidRPr="00F91B03">
        <w:rPr>
          <w:rFonts w:ascii="Verdana" w:eastAsia="Arial" w:hAnsi="Verdana" w:cs="Arial"/>
        </w:rPr>
        <w:t xml:space="preserve"> y, en algunas circunstancias, </w:t>
      </w:r>
      <w:r w:rsidRPr="00F91B03">
        <w:rPr>
          <w:rFonts w:ascii="Verdana" w:eastAsia="Arial" w:hAnsi="Verdana" w:cs="Arial"/>
          <w:i/>
          <w:iCs/>
        </w:rPr>
        <w:t>expectativas legítimas</w:t>
      </w:r>
      <w:r w:rsidRPr="00F91B03">
        <w:rPr>
          <w:rFonts w:ascii="Verdana" w:eastAsia="Arial" w:hAnsi="Verdana" w:cs="Arial"/>
        </w:rPr>
        <w:t xml:space="preserve"> a favor de algún participante; conceptos jurídicos que alinderan tanto la existencia y alcance de un eventual derecho o expectativa, y el punto límite de proyección del atributo de la revocatoria del acto administrativo</w:t>
      </w:r>
      <w:r w:rsidRPr="00F91B03">
        <w:rPr>
          <w:rStyle w:val="Refdenotaalpie"/>
          <w:rFonts w:ascii="Verdana" w:eastAsia="Arial" w:hAnsi="Verdana" w:cs="Arial"/>
        </w:rPr>
        <w:footnoteReference w:id="8"/>
      </w:r>
      <w:r w:rsidRPr="00F91B03">
        <w:rPr>
          <w:rFonts w:ascii="Verdana" w:eastAsia="Arial" w:hAnsi="Verdana" w:cs="Arial"/>
        </w:rPr>
        <w:t>.</w:t>
      </w:r>
    </w:p>
    <w:p w14:paraId="44F279FF" w14:textId="77777777" w:rsidR="00192A11" w:rsidRPr="00532C3A" w:rsidRDefault="00192A11" w:rsidP="00532C3A">
      <w:pPr>
        <w:ind w:firstLine="708"/>
        <w:jc w:val="both"/>
        <w:rPr>
          <w:rFonts w:ascii="Verdana" w:hAnsi="Verdana"/>
          <w:shd w:val="clear" w:color="auto" w:fill="FFFFFF"/>
        </w:rPr>
      </w:pPr>
      <w:r w:rsidRPr="00532C3A">
        <w:rPr>
          <w:rFonts w:ascii="Verdana" w:hAnsi="Verdana"/>
          <w:shd w:val="clear" w:color="auto" w:fill="FFFFFF"/>
        </w:rPr>
        <w:t>En ese orden de ideas, para la tesis primera y cuarta la naturaleza jurídica del acto de apertura es la de un acto administrativo general por lo que resulta posible revocarlo de manera unilateral. Se diferencian en que, para la primera, una vez se han presentado las ofertas y conforme avanza el proceso de elección, se irán consolidando</w:t>
      </w:r>
      <w:r w:rsidRPr="00532C3A">
        <w:rPr>
          <w:rFonts w:ascii="Verdana" w:hAnsi="Verdana"/>
          <w:color w:val="000000"/>
        </w:rPr>
        <w:t xml:space="preserve"> </w:t>
      </w:r>
      <w:r w:rsidRPr="00532C3A">
        <w:rPr>
          <w:rFonts w:ascii="Verdana" w:hAnsi="Verdana"/>
        </w:rPr>
        <w:t xml:space="preserve">“expectativas” jurídicas y económicas de los participantes; mientras que, para la tesis cuarta, </w:t>
      </w:r>
      <w:r w:rsidRPr="00532C3A">
        <w:rPr>
          <w:rFonts w:ascii="Verdana" w:eastAsia="Arial" w:hAnsi="Verdana"/>
        </w:rPr>
        <w:t>previo a la expedición del acto administrativo de adjudicación, no se consolidan derechos a favor de los proponentes, toda vez que hasta ese momento solo existen meras expectativas que se consolidan una vez se selecciona la mejor oferta.</w:t>
      </w:r>
    </w:p>
    <w:p w14:paraId="253F087A" w14:textId="77777777" w:rsidR="00192A11" w:rsidRPr="00F91B03" w:rsidRDefault="00192A11" w:rsidP="00192A11">
      <w:pPr>
        <w:suppressAutoHyphens/>
        <w:spacing w:after="120" w:line="276" w:lineRule="auto"/>
        <w:ind w:firstLine="708"/>
        <w:jc w:val="both"/>
        <w:textDirection w:val="btLr"/>
        <w:textAlignment w:val="top"/>
        <w:outlineLvl w:val="0"/>
        <w:rPr>
          <w:rFonts w:ascii="Verdana" w:hAnsi="Verdana" w:cs="Arial"/>
          <w:shd w:val="clear" w:color="auto" w:fill="FFFFFF"/>
        </w:rPr>
      </w:pPr>
      <w:r w:rsidRPr="00F91B03">
        <w:rPr>
          <w:rFonts w:ascii="Verdana" w:hAnsi="Verdana" w:cs="Arial"/>
          <w:shd w:val="clear" w:color="auto" w:fill="FFFFFF"/>
        </w:rPr>
        <w:t>Para la tesis segunda y tercera, una vez se presentan las propuestas en los procesos de selección, el acto de apertura se transforma en un acto administrativo de carácter particular, lo cual hace que adquiera el carácter de irrevocable. La diferencia está en que, para la tesis segunda, el acto se transforma en particular para todos los oferentes que presentaron propuesta en tiempo, razón por la cual se requiere de su aquiescencia para la revocatoria del acto de apertura; mientras que para la tesis tercera el acto de apertura se convierte en particular para el proponente que tenga la mejor oferta, razón por la cual se requiere de la aceptación de este último para poder proceder a la revocatoria del acto de apertura.</w:t>
      </w:r>
    </w:p>
    <w:p w14:paraId="7E34E5D1" w14:textId="77777777" w:rsidR="00192A11" w:rsidRPr="00F91B03" w:rsidRDefault="00192A11" w:rsidP="00192A11">
      <w:pPr>
        <w:spacing w:after="120" w:line="276" w:lineRule="auto"/>
        <w:ind w:firstLine="708"/>
        <w:jc w:val="both"/>
        <w:rPr>
          <w:rFonts w:ascii="Verdana" w:hAnsi="Verdana" w:cs="Arial"/>
          <w:shd w:val="clear" w:color="auto" w:fill="FFFFFF"/>
        </w:rPr>
      </w:pPr>
      <w:r w:rsidRPr="00F91B03">
        <w:rPr>
          <w:rFonts w:ascii="Verdana" w:hAnsi="Verdana" w:cs="Arial"/>
          <w:shd w:val="clear" w:color="auto" w:fill="FFFFFF"/>
        </w:rPr>
        <w:t xml:space="preserve">En criterio adoptado por esta Subdirección, en concepto </w:t>
      </w:r>
      <w:r w:rsidRPr="00F91B03">
        <w:rPr>
          <w:rFonts w:ascii="Verdana" w:eastAsia="Calibri" w:hAnsi="Verdana" w:cs="Arial"/>
        </w:rPr>
        <w:t>C-633 de 25 de octubre de 2022</w:t>
      </w:r>
      <w:r w:rsidRPr="00F91B03">
        <w:rPr>
          <w:rFonts w:ascii="Verdana" w:hAnsi="Verdana" w:cs="Arial"/>
          <w:shd w:val="clear" w:color="auto" w:fill="FFFFFF"/>
        </w:rPr>
        <w:t xml:space="preserve">, la interpretación que mejor se ajusta al cumplimiento de los fines de la contratación estatal es la tesis cuarta, en tanto que la presentación de las propuestas e incluso la publicación del informe de evaluación no muta ni transforma el carácter general que ostenta el acto de apertura del proceso de </w:t>
      </w:r>
      <w:r w:rsidRPr="00F91B03">
        <w:rPr>
          <w:rFonts w:ascii="Verdana" w:hAnsi="Verdana" w:cs="Arial"/>
          <w:shd w:val="clear" w:color="auto" w:fill="FFFFFF"/>
        </w:rPr>
        <w:lastRenderedPageBreak/>
        <w:t>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por lo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4E61774A" w14:textId="77777777" w:rsidR="00192A11" w:rsidRPr="00F91B03" w:rsidRDefault="00192A11" w:rsidP="00192A11">
      <w:pPr>
        <w:spacing w:after="120" w:line="276" w:lineRule="auto"/>
        <w:ind w:firstLine="708"/>
        <w:jc w:val="both"/>
        <w:rPr>
          <w:rFonts w:ascii="Verdana" w:hAnsi="Verdana" w:cs="Arial"/>
          <w:shd w:val="clear" w:color="auto" w:fill="FFFFFF"/>
        </w:rPr>
      </w:pPr>
      <w:r w:rsidRPr="00F91B03">
        <w:rPr>
          <w:rFonts w:ascii="Verdana" w:hAnsi="Verdana" w:cs="Arial"/>
          <w:shd w:val="clear" w:color="auto" w:fill="FFFFFF"/>
        </w:rPr>
        <w:t>En ese orden de ideas, en caso de que se hayan cometido errores en la documentación previa del Proceso de Contratación, las Entidades Estatales pueden revocar el acto administrativo de apertura. Para ello, no están condicionadas a obtener el consentimiento previo y expreso de los proponentes o del mejor proponente para revocar el acto administrativo de apertura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 de conformidad con los requisitos dispuestos en el artículo 97 del CPACA, haciendo prevalecer el imperio de la ley, el interés público y la protección de los derechos.</w:t>
      </w:r>
    </w:p>
    <w:p w14:paraId="0C2A2F2C" w14:textId="77777777" w:rsidR="00192A11" w:rsidRPr="00F91B03" w:rsidRDefault="00192A11" w:rsidP="00192A11">
      <w:pPr>
        <w:tabs>
          <w:tab w:val="left" w:pos="426"/>
        </w:tabs>
        <w:spacing w:after="120" w:line="276" w:lineRule="auto"/>
        <w:jc w:val="both"/>
        <w:rPr>
          <w:rFonts w:ascii="Verdana" w:eastAsia="Arial" w:hAnsi="Verdana" w:cs="Arial"/>
          <w:color w:val="000000" w:themeColor="text1"/>
          <w:lang w:val="es-ES"/>
        </w:rPr>
      </w:pPr>
      <w:r w:rsidRPr="00F91B03">
        <w:rPr>
          <w:rFonts w:ascii="Verdana" w:hAnsi="Verdana" w:cs="Arial"/>
          <w:bCs/>
          <w:lang w:val="es-MX"/>
        </w:rPr>
        <w:tab/>
      </w:r>
      <w:r w:rsidRPr="00F91B03">
        <w:rPr>
          <w:rFonts w:ascii="Verdana" w:hAnsi="Verdana" w:cs="Arial"/>
          <w:bCs/>
          <w:lang w:val="es-MX"/>
        </w:rPr>
        <w:tab/>
        <w:t xml:space="preserve">Sin perjuicio de lo anterior, es importante mencionar que, las Entidades Estatales tienen facultades de saneamiento, dentro de las que se enmarca la posibilidad de corregir errores simplemente formales </w:t>
      </w:r>
      <w:r w:rsidRPr="00F91B03">
        <w:rPr>
          <w:rFonts w:ascii="Verdana" w:eastAsia="Times New Roman" w:hAnsi="Verdana" w:cs="Arial"/>
          <w:color w:val="000000" w:themeColor="text1"/>
          <w:lang w:val="es-ES" w:eastAsia="es-ES_tradnl"/>
        </w:rPr>
        <w:t xml:space="preserve">contenidos en los actos administrativos. Sobre el particular, debe señalarse que, </w:t>
      </w:r>
      <w:r w:rsidRPr="00F91B03">
        <w:rPr>
          <w:rFonts w:ascii="Verdana" w:eastAsia="Times New Roman" w:hAnsi="Verdana" w:cs="Arial"/>
          <w:bCs/>
          <w:color w:val="000000" w:themeColor="text1"/>
          <w:lang w:val="es-ES" w:eastAsia="es-ES_tradnl"/>
        </w:rPr>
        <w:t xml:space="preserve">en las actuaciones administrativas contractuales pueden presentarse errores simplemente formales, como el aritmético o de digitación. Un error simplemente formal es aquel que, pese a haberse observado las formas y requisitos del procedimiento administrativo, </w:t>
      </w:r>
      <w:r w:rsidRPr="00F91B03">
        <w:rPr>
          <w:rFonts w:ascii="Verdana" w:eastAsia="Arial" w:hAnsi="Verdana" w:cs="Arial"/>
          <w:color w:val="000000" w:themeColor="text1"/>
          <w:lang w:val="es-ES"/>
        </w:rPr>
        <w:t>presenta equivocaciones derivadas de una operación matemática, o de equivocaciones en la digitación de palabras o cifras, o la omisión de estas, que requieren la correspondiente aclaración o corrección para la correcta comprensión de sus efectos, sin que se varíe de fondo la decisión.</w:t>
      </w:r>
    </w:p>
    <w:p w14:paraId="496063EE" w14:textId="77777777" w:rsidR="00192A11" w:rsidRPr="00F91B03" w:rsidRDefault="00192A11" w:rsidP="00192A11">
      <w:pPr>
        <w:spacing w:after="0" w:line="276" w:lineRule="auto"/>
        <w:ind w:firstLine="709"/>
        <w:jc w:val="both"/>
        <w:rPr>
          <w:rFonts w:ascii="Verdana" w:hAnsi="Verdana" w:cs="Arial"/>
          <w:color w:val="000000" w:themeColor="text1"/>
          <w:lang w:val="es-MX"/>
        </w:rPr>
      </w:pPr>
      <w:r w:rsidRPr="00F91B03">
        <w:rPr>
          <w:rFonts w:ascii="Verdana" w:hAnsi="Verdana" w:cs="Arial"/>
          <w:color w:val="000000" w:themeColor="text1"/>
          <w:lang w:val="es-ES"/>
        </w:rPr>
        <w:t xml:space="preserve">El </w:t>
      </w:r>
      <w:r w:rsidRPr="00F91B03">
        <w:rPr>
          <w:rFonts w:ascii="Verdana" w:hAnsi="Verdana" w:cs="Arial"/>
          <w:color w:val="000000" w:themeColor="text1"/>
          <w:lang w:val="es-MX"/>
        </w:rPr>
        <w:t>CPACA, en el artículo 45, permite la corrección de errores simplemente formales de los actos administrativos relacionados con errores aritméticos, de digitación, de transcripción o de omisión de palabras, de la siguiente manera:</w:t>
      </w:r>
    </w:p>
    <w:p w14:paraId="11E67D1A" w14:textId="77777777" w:rsidR="00192A11" w:rsidRPr="00F91B03" w:rsidRDefault="00192A11" w:rsidP="00192A11">
      <w:pPr>
        <w:spacing w:after="0" w:line="240" w:lineRule="auto"/>
        <w:ind w:left="709" w:right="900"/>
        <w:jc w:val="both"/>
        <w:rPr>
          <w:rFonts w:ascii="Verdana" w:eastAsia="Calibri" w:hAnsi="Verdana" w:cs="Arial"/>
          <w:color w:val="000000" w:themeColor="text1"/>
          <w:lang w:val="es-ES_tradnl"/>
        </w:rPr>
      </w:pPr>
    </w:p>
    <w:p w14:paraId="525A078A" w14:textId="77777777" w:rsidR="00192A11" w:rsidRPr="00F91B03" w:rsidRDefault="00192A11" w:rsidP="00192A11">
      <w:pPr>
        <w:spacing w:after="0" w:line="240" w:lineRule="auto"/>
        <w:ind w:left="709" w:right="900"/>
        <w:jc w:val="both"/>
        <w:rPr>
          <w:rFonts w:ascii="Verdana" w:hAnsi="Verdana" w:cs="Arial"/>
          <w:sz w:val="21"/>
          <w:szCs w:val="21"/>
          <w:lang w:val="es-ES" w:eastAsia="es-CO"/>
        </w:rPr>
      </w:pPr>
      <w:r w:rsidRPr="00F91B03">
        <w:rPr>
          <w:rFonts w:ascii="Verdana" w:eastAsia="Calibri" w:hAnsi="Verdana" w:cs="Arial"/>
          <w:color w:val="000000" w:themeColor="text1"/>
          <w:lang w:val="es-ES_tradnl"/>
        </w:rPr>
        <w:lastRenderedPageBreak/>
        <w:t>“</w:t>
      </w:r>
      <w:r w:rsidRPr="00F91B03">
        <w:rPr>
          <w:rFonts w:ascii="Verdana" w:hAnsi="Verdana" w:cs="Arial"/>
          <w:sz w:val="21"/>
          <w:szCs w:val="21"/>
          <w:lang w:val="es-ES" w:eastAsia="es-CO"/>
        </w:rPr>
        <w:t>Artículo 45. Corrección de errores formales.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r w:rsidRPr="00F91B03">
        <w:rPr>
          <w:rFonts w:ascii="Verdana" w:hAnsi="Verdana" w:cs="Arial"/>
          <w:color w:val="000000" w:themeColor="text1"/>
          <w:sz w:val="21"/>
          <w:szCs w:val="21"/>
        </w:rPr>
        <w:t>»</w:t>
      </w:r>
    </w:p>
    <w:p w14:paraId="62E022B4" w14:textId="77777777" w:rsidR="00192A11" w:rsidRPr="00F91B03" w:rsidRDefault="00192A11" w:rsidP="00192A11">
      <w:pPr>
        <w:spacing w:after="0" w:line="276" w:lineRule="auto"/>
        <w:ind w:firstLine="708"/>
        <w:jc w:val="both"/>
        <w:rPr>
          <w:rFonts w:ascii="Verdana" w:hAnsi="Verdana" w:cs="Arial"/>
          <w:color w:val="000000" w:themeColor="text1"/>
          <w:lang w:val="es-MX"/>
        </w:rPr>
      </w:pPr>
    </w:p>
    <w:p w14:paraId="4BA050F8" w14:textId="77777777" w:rsidR="00192A11" w:rsidRPr="00F91B03" w:rsidRDefault="00192A11" w:rsidP="00192A11">
      <w:pPr>
        <w:spacing w:after="120" w:line="276" w:lineRule="auto"/>
        <w:ind w:firstLine="709"/>
        <w:jc w:val="both"/>
        <w:rPr>
          <w:rFonts w:ascii="Verdana" w:hAnsi="Verdana" w:cs="Arial"/>
          <w:color w:val="000000" w:themeColor="text1"/>
          <w:lang w:val="es-MX"/>
        </w:rPr>
      </w:pPr>
      <w:r w:rsidRPr="00F91B03">
        <w:rPr>
          <w:rFonts w:ascii="Verdana" w:hAnsi="Verdana" w:cs="Arial"/>
          <w:color w:val="000000" w:themeColor="text1"/>
          <w:lang w:val="es-MX"/>
        </w:rPr>
        <w:t xml:space="preserve">De esta figura se pueden destacar las siguientes características: i) procede para corregir </w:t>
      </w:r>
      <w:r w:rsidRPr="00F91B03">
        <w:rPr>
          <w:rFonts w:ascii="Verdana" w:hAnsi="Verdana" w:cs="Arial"/>
          <w:lang w:val="es-MX"/>
        </w:rPr>
        <w:t>errores simplemente formales contenidos en los actos administrativos, ya sean aritméticos, de digitación, de transcripción o de omisión de palabras, ii) no permite cambios sustanciales o materiales de la decisión, iii) puede realizarse en cualquier tiempo, iv) procede de oficio o a petición de parte, v) el acto administrativo de corrección no revive términos para demandar el acto corregido, vi) debe ser notificada o comunicada a los interesados</w:t>
      </w:r>
      <w:r w:rsidRPr="00F91B03">
        <w:rPr>
          <w:rFonts w:ascii="Verdana" w:hAnsi="Verdana" w:cs="Arial"/>
          <w:vertAlign w:val="superscript"/>
          <w:lang w:val="es-MX"/>
        </w:rPr>
        <w:footnoteReference w:id="9"/>
      </w:r>
      <w:r w:rsidRPr="00F91B03">
        <w:rPr>
          <w:rFonts w:ascii="Verdana" w:hAnsi="Verdana" w:cs="Arial"/>
          <w:lang w:val="es-MX"/>
        </w:rPr>
        <w:t xml:space="preserve">. </w:t>
      </w:r>
    </w:p>
    <w:p w14:paraId="604F246A" w14:textId="77777777" w:rsidR="00192A11" w:rsidRPr="00F91B03" w:rsidRDefault="00192A11" w:rsidP="00192A11">
      <w:pPr>
        <w:spacing w:after="120" w:line="276" w:lineRule="auto"/>
        <w:ind w:firstLine="709"/>
        <w:jc w:val="both"/>
        <w:rPr>
          <w:rFonts w:ascii="Verdana" w:eastAsia="Calibri" w:hAnsi="Verdana" w:cs="Arial"/>
          <w:b/>
          <w:bCs/>
          <w:color w:val="000000" w:themeColor="text1"/>
          <w:lang w:val="es-ES_tradnl" w:eastAsia="es-ES_tradnl"/>
        </w:rPr>
      </w:pPr>
      <w:r w:rsidRPr="00F91B03">
        <w:rPr>
          <w:rFonts w:ascii="Verdana" w:hAnsi="Verdana" w:cs="Arial"/>
          <w:color w:val="000000" w:themeColor="text1"/>
          <w:lang w:val="es-MX"/>
        </w:rPr>
        <w:t>Cabe aclarar que, aunque el EGCAP no consagra expresamente esta figura, es posible su aplicación en los actos del proceso de contratación, en virtud de lo establecido en el artículo 77 de la Ley 80 de 1993 y en el artículo 2 de la Ley 1437 de 2011, pues, la primera disposición señala que las normas que rigen los procedimientos y actuaciones en la función administrativa son aplicables en las actuaciones contractuales, siempre que sean compatibles con la finalidad y los principios de la Ley 80.  A su vez, el artículo 2 de la Ley 1437 de 2011, señala que los procedimientos allí establecidos aplican a las actuaciones de todas las autoridades y particulares que desempeñan funciones administrativas, sin perjuicio de los procedimientos regulados en leyes especiales, y agrega que, en lo no previsto en estos, se aplicarán los procedimientos establecidos en dicho código. Tal es el caso de la corrección de errores simplemente formales de los actos administrativos que no está regulada en el Estatuto General de Contratación de la Administración Pública, sino en el Código de Procedimiento Administrativo y de lo Contencioso Administrativo.</w:t>
      </w:r>
    </w:p>
    <w:p w14:paraId="5734ED0B" w14:textId="77777777" w:rsidR="00192A11" w:rsidRPr="005C40C7" w:rsidRDefault="00192A11" w:rsidP="00192A11">
      <w:pPr>
        <w:spacing w:after="0" w:line="276" w:lineRule="auto"/>
        <w:ind w:firstLine="709"/>
        <w:jc w:val="both"/>
        <w:rPr>
          <w:rFonts w:ascii="Verdana" w:hAnsi="Verdana" w:cs="Arial"/>
          <w:shd w:val="clear" w:color="auto" w:fill="FFFFFF"/>
        </w:rPr>
      </w:pPr>
      <w:r w:rsidRPr="00F91B03">
        <w:rPr>
          <w:rFonts w:ascii="Verdana" w:hAnsi="Verdana" w:cs="Arial"/>
          <w:lang w:val="es-ES"/>
        </w:rPr>
        <w:t>De lo expuesto</w:t>
      </w:r>
      <w:r>
        <w:rPr>
          <w:rFonts w:ascii="Verdana" w:hAnsi="Verdana" w:cs="Arial"/>
          <w:lang w:val="es-ES"/>
        </w:rPr>
        <w:t xml:space="preserve"> a lo largo de este concepto</w:t>
      </w:r>
      <w:r w:rsidRPr="00F91B03">
        <w:rPr>
          <w:rFonts w:ascii="Verdana" w:hAnsi="Verdana" w:cs="Arial"/>
          <w:lang w:val="es-ES"/>
        </w:rPr>
        <w:t xml:space="preserve"> se concluye que, en el caso de que se presente</w:t>
      </w:r>
      <w:r>
        <w:rPr>
          <w:rFonts w:ascii="Verdana" w:hAnsi="Verdana" w:cs="Arial"/>
          <w:lang w:val="es-ES"/>
        </w:rPr>
        <w:t>n</w:t>
      </w:r>
      <w:r w:rsidRPr="00F91B03">
        <w:rPr>
          <w:rFonts w:ascii="Verdana" w:hAnsi="Verdana" w:cs="Arial"/>
          <w:lang w:val="es-ES"/>
        </w:rPr>
        <w:t xml:space="preserve"> errores respecto de alguno de los aspectos contenidos en la </w:t>
      </w:r>
      <w:r w:rsidRPr="00F91B03">
        <w:rPr>
          <w:rFonts w:ascii="Verdana" w:hAnsi="Verdana" w:cs="Arial"/>
          <w:lang w:val="es-ES"/>
        </w:rPr>
        <w:lastRenderedPageBreak/>
        <w:t>documentación previa de un Proceso de Contratación, la Entidad Estatal, en el marco de su discrecionalidad y teniendo en cuenta su rol de directora del proceso deberá adoptar las medidas tendientes a corregir dichos errores, dentro de las cuales puede optar por revocar el acto de apertura del Proceso de Contratación o sanear el error cometido, a través de la figura de la c</w:t>
      </w:r>
      <w:r w:rsidRPr="00F91B03">
        <w:rPr>
          <w:rFonts w:ascii="Verdana" w:hAnsi="Verdana" w:cs="Arial"/>
          <w:lang w:val="es-ES" w:eastAsia="es-CO"/>
        </w:rPr>
        <w:t xml:space="preserve">orrección de errores formales, establecida en el artículo 45 del CPACA. </w:t>
      </w:r>
      <w:r>
        <w:rPr>
          <w:rFonts w:ascii="Verdana" w:hAnsi="Verdana" w:cs="Arial"/>
          <w:lang w:val="es-ES" w:eastAsia="es-CO"/>
        </w:rPr>
        <w:t xml:space="preserve">Si opta por la primera opción, es decir, revocar el acto administrativo de apertura, </w:t>
      </w:r>
      <w:r w:rsidRPr="005C40C7">
        <w:rPr>
          <w:rFonts w:ascii="Verdana" w:hAnsi="Verdana" w:cs="Arial"/>
          <w:shd w:val="clear" w:color="auto" w:fill="FFFFFF"/>
        </w:rPr>
        <w:t>no está condicionada a obtener el consentimiento previo y expreso de los proponentes o del mejor proponente,</w:t>
      </w:r>
      <w:r>
        <w:rPr>
          <w:rFonts w:ascii="Verdana" w:hAnsi="Verdana" w:cs="Arial"/>
          <w:shd w:val="clear" w:color="auto" w:fill="FFFFFF"/>
        </w:rPr>
        <w:t xml:space="preserve"> pues, procede</w:t>
      </w:r>
      <w:r w:rsidRPr="005C40C7">
        <w:rPr>
          <w:rFonts w:ascii="Verdana" w:hAnsi="Verdana" w:cs="Arial"/>
          <w:shd w:val="clear" w:color="auto" w:fill="FFFFFF"/>
        </w:rPr>
        <w:t xml:space="preserve"> en tanto se advierta que la decisión administrativa representada en el acto trasgrede el ordenamiento jurídico o va en contra del interés general de conformidad con los requisitos dispuestos en el artículo 97 del CPACA, haciendo prevalecer el imperio de la ley, el interés público y la protección de los derechos.</w:t>
      </w:r>
    </w:p>
    <w:p w14:paraId="2476A679" w14:textId="77777777" w:rsidR="00192A11" w:rsidRPr="00F91B03" w:rsidRDefault="00192A11" w:rsidP="00192A11">
      <w:pPr>
        <w:widowControl w:val="0"/>
        <w:autoSpaceDE w:val="0"/>
        <w:autoSpaceDN w:val="0"/>
        <w:spacing w:after="0" w:line="276" w:lineRule="auto"/>
        <w:jc w:val="both"/>
        <w:rPr>
          <w:rFonts w:ascii="Verdana" w:hAnsi="Verdana" w:cs="Arial"/>
          <w:lang w:val="es-ES"/>
        </w:rPr>
      </w:pPr>
    </w:p>
    <w:p w14:paraId="76DD43E0" w14:textId="77777777" w:rsidR="00192A11" w:rsidRPr="00F91B03" w:rsidRDefault="00192A11" w:rsidP="00192A1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91B03">
        <w:rPr>
          <w:rFonts w:ascii="Verdana" w:eastAsia="Century Gothic" w:hAnsi="Verdana" w:cs="Century Gothic"/>
          <w:b/>
          <w:bCs/>
        </w:rPr>
        <w:t>Referencias normativas, jurisprudenciales y otras fuentes:</w:t>
      </w:r>
    </w:p>
    <w:p w14:paraId="2181D300" w14:textId="77777777" w:rsidR="00192A11" w:rsidRPr="00F91B03" w:rsidRDefault="00192A11" w:rsidP="00192A1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2A11" w:rsidRPr="00F91B03" w14:paraId="2F9FCB09" w14:textId="77777777" w:rsidTr="00532C3A">
        <w:trPr>
          <w:trHeight w:val="870"/>
        </w:trPr>
        <w:tc>
          <w:tcPr>
            <w:tcW w:w="8647" w:type="dxa"/>
          </w:tcPr>
          <w:p w14:paraId="0C886CC3" w14:textId="77777777" w:rsidR="00192A11" w:rsidRPr="009E6FD7" w:rsidRDefault="00192A11" w:rsidP="00192A11">
            <w:pPr>
              <w:pStyle w:val="Prrafodelista"/>
              <w:numPr>
                <w:ilvl w:val="0"/>
                <w:numId w:val="19"/>
              </w:numPr>
              <w:spacing w:line="276" w:lineRule="auto"/>
              <w:ind w:left="360"/>
              <w:rPr>
                <w:rFonts w:ascii="Verdana" w:hAnsi="Verdana" w:cs="Arial"/>
                <w:color w:val="000000" w:themeColor="text1"/>
                <w:lang w:val="es-MX"/>
              </w:rPr>
            </w:pPr>
            <w:r w:rsidRPr="009E6FD7">
              <w:rPr>
                <w:rFonts w:ascii="Verdana" w:hAnsi="Verdana" w:cs="Arial"/>
                <w:color w:val="000000" w:themeColor="text1"/>
                <w:lang w:val="es-MX"/>
              </w:rPr>
              <w:t>Ley 80 de 1993: Artículo 77.</w:t>
            </w:r>
          </w:p>
          <w:p w14:paraId="68C12C6F" w14:textId="77777777" w:rsidR="00192A11" w:rsidRPr="009E6FD7" w:rsidRDefault="00192A11" w:rsidP="00532C3A">
            <w:pPr>
              <w:spacing w:line="276" w:lineRule="auto"/>
              <w:rPr>
                <w:rFonts w:ascii="Verdana" w:hAnsi="Verdana" w:cs="Arial"/>
                <w:color w:val="000000" w:themeColor="text1"/>
                <w:lang w:val="es-MX"/>
              </w:rPr>
            </w:pPr>
          </w:p>
          <w:p w14:paraId="55D295FC" w14:textId="77777777" w:rsidR="00192A11" w:rsidRPr="009E6FD7" w:rsidRDefault="00192A11" w:rsidP="00192A11">
            <w:pPr>
              <w:pStyle w:val="Prrafodelista"/>
              <w:numPr>
                <w:ilvl w:val="0"/>
                <w:numId w:val="19"/>
              </w:numPr>
              <w:spacing w:line="276" w:lineRule="auto"/>
              <w:ind w:left="360"/>
              <w:rPr>
                <w:rFonts w:ascii="Verdana" w:hAnsi="Verdana" w:cs="Arial"/>
                <w:color w:val="000000" w:themeColor="text1"/>
                <w:lang w:val="es-MX"/>
              </w:rPr>
            </w:pPr>
            <w:r w:rsidRPr="009E6FD7">
              <w:rPr>
                <w:rFonts w:ascii="Verdana" w:hAnsi="Verdana" w:cs="Arial"/>
                <w:color w:val="000000" w:themeColor="text1"/>
                <w:lang w:val="es-MX"/>
              </w:rPr>
              <w:t xml:space="preserve">Ley 1437 de 2011: Artículo 2, 41 y 45. </w:t>
            </w:r>
          </w:p>
          <w:p w14:paraId="0AD0C176" w14:textId="77777777" w:rsidR="00192A11" w:rsidRPr="009E6FD7" w:rsidRDefault="00192A11" w:rsidP="00532C3A">
            <w:pPr>
              <w:spacing w:line="276" w:lineRule="auto"/>
              <w:rPr>
                <w:rFonts w:ascii="Verdana" w:hAnsi="Verdana" w:cs="Arial"/>
                <w:color w:val="000000" w:themeColor="text1"/>
                <w:lang w:val="es-MX"/>
              </w:rPr>
            </w:pPr>
          </w:p>
          <w:p w14:paraId="059A8857" w14:textId="77777777" w:rsidR="00192A11" w:rsidRPr="009E6FD7" w:rsidRDefault="00192A11" w:rsidP="00192A11">
            <w:pPr>
              <w:pStyle w:val="Prrafodelista"/>
              <w:numPr>
                <w:ilvl w:val="0"/>
                <w:numId w:val="19"/>
              </w:numPr>
              <w:pBdr>
                <w:top w:val="nil"/>
                <w:left w:val="nil"/>
                <w:bottom w:val="nil"/>
                <w:right w:val="nil"/>
                <w:between w:val="nil"/>
              </w:pBdr>
              <w:spacing w:line="276" w:lineRule="auto"/>
              <w:ind w:left="360"/>
              <w:jc w:val="both"/>
              <w:rPr>
                <w:rFonts w:ascii="Verdana" w:eastAsia="Arial" w:hAnsi="Verdana" w:cs="Arial"/>
                <w:color w:val="000000"/>
              </w:rPr>
            </w:pPr>
            <w:r w:rsidRPr="009E6FD7">
              <w:rPr>
                <w:rFonts w:ascii="Verdana" w:eastAsia="Arial" w:hAnsi="Verdana" w:cs="Arial"/>
                <w:color w:val="000000"/>
              </w:rPr>
              <w:t>SANTOS RODRÍGUEZ</w:t>
            </w:r>
            <w:r>
              <w:rPr>
                <w:rFonts w:ascii="Verdana" w:eastAsia="Arial" w:hAnsi="Verdana" w:cs="Arial"/>
                <w:color w:val="000000"/>
              </w:rPr>
              <w:t xml:space="preserve">, </w:t>
            </w:r>
            <w:r w:rsidRPr="009E6FD7">
              <w:rPr>
                <w:rFonts w:ascii="Verdana" w:eastAsia="Arial" w:hAnsi="Verdana" w:cs="Arial"/>
                <w:color w:val="000000"/>
              </w:rPr>
              <w:t>Jorge Enrique. Construcción doctrinaria de la revocación del acto administrativo ilegal. Universidad Externado de Colombia, 2005.</w:t>
            </w:r>
          </w:p>
          <w:p w14:paraId="146D1520" w14:textId="77777777" w:rsidR="00192A11" w:rsidRPr="009E6FD7" w:rsidRDefault="00192A11" w:rsidP="00532C3A">
            <w:pPr>
              <w:pBdr>
                <w:top w:val="nil"/>
                <w:left w:val="nil"/>
                <w:bottom w:val="nil"/>
                <w:right w:val="nil"/>
                <w:between w:val="nil"/>
              </w:pBdr>
              <w:spacing w:line="276" w:lineRule="auto"/>
              <w:ind w:firstLine="709"/>
              <w:jc w:val="both"/>
              <w:rPr>
                <w:rFonts w:ascii="Verdana" w:eastAsia="Arial" w:hAnsi="Verdana" w:cs="Arial"/>
                <w:color w:val="000000"/>
              </w:rPr>
            </w:pPr>
          </w:p>
          <w:p w14:paraId="37D023D9" w14:textId="77777777" w:rsidR="00192A11" w:rsidRPr="009E6FD7" w:rsidRDefault="00192A11" w:rsidP="00192A11">
            <w:pPr>
              <w:pStyle w:val="Prrafodelista"/>
              <w:numPr>
                <w:ilvl w:val="0"/>
                <w:numId w:val="19"/>
              </w:numPr>
              <w:pBdr>
                <w:top w:val="nil"/>
                <w:left w:val="nil"/>
                <w:bottom w:val="nil"/>
                <w:right w:val="nil"/>
                <w:between w:val="nil"/>
              </w:pBdr>
              <w:spacing w:line="276" w:lineRule="auto"/>
              <w:ind w:left="360"/>
              <w:jc w:val="both"/>
              <w:rPr>
                <w:rFonts w:ascii="Verdana" w:eastAsia="Arial" w:hAnsi="Verdana" w:cs="Arial"/>
                <w:color w:val="000000"/>
              </w:rPr>
            </w:pPr>
            <w:r w:rsidRPr="009E6FD7">
              <w:rPr>
                <w:rFonts w:ascii="Verdana" w:eastAsia="Arial" w:hAnsi="Verdana" w:cs="Arial"/>
                <w:color w:val="000000"/>
              </w:rPr>
              <w:t xml:space="preserve">RODRÍGUEZ. Libardo. Derecho Administrativo General y colombiano. Vigésima Edición. Tomo II. Editorial Temis, 2017. </w:t>
            </w:r>
          </w:p>
          <w:p w14:paraId="46FC10A7" w14:textId="77777777" w:rsidR="00192A11" w:rsidRPr="009E6FD7" w:rsidRDefault="00192A11" w:rsidP="00532C3A">
            <w:pPr>
              <w:pBdr>
                <w:top w:val="nil"/>
                <w:left w:val="nil"/>
                <w:bottom w:val="nil"/>
                <w:right w:val="nil"/>
                <w:between w:val="nil"/>
              </w:pBdr>
              <w:spacing w:line="276" w:lineRule="auto"/>
              <w:jc w:val="both"/>
              <w:rPr>
                <w:rFonts w:ascii="Verdana" w:eastAsia="Arial" w:hAnsi="Verdana" w:cs="Arial"/>
                <w:color w:val="000000"/>
              </w:rPr>
            </w:pPr>
          </w:p>
          <w:p w14:paraId="4F17A1D2" w14:textId="77777777" w:rsidR="00192A11" w:rsidRPr="009E6FD7" w:rsidRDefault="00192A11" w:rsidP="00192A11">
            <w:pPr>
              <w:pStyle w:val="Textonotapie"/>
              <w:numPr>
                <w:ilvl w:val="0"/>
                <w:numId w:val="19"/>
              </w:numPr>
              <w:spacing w:line="276" w:lineRule="auto"/>
              <w:ind w:left="360"/>
              <w:jc w:val="both"/>
              <w:rPr>
                <w:rFonts w:ascii="Verdana" w:hAnsi="Verdana" w:cs="Arial"/>
                <w:iCs/>
                <w:sz w:val="22"/>
                <w:szCs w:val="22"/>
              </w:rPr>
            </w:pPr>
            <w:r w:rsidRPr="009E6FD7">
              <w:rPr>
                <w:rFonts w:ascii="Verdana" w:hAnsi="Verdana" w:cs="Arial"/>
                <w:sz w:val="22"/>
                <w:szCs w:val="22"/>
                <w:lang w:val="es-ES_tradnl"/>
              </w:rPr>
              <w:t xml:space="preserve">Consejo de Estado, Sala de lo Contencioso Administrativo, Sección Tercera, Subsección C, sentencia del 26 de marzo de 2014, radicación </w:t>
            </w:r>
            <w:r w:rsidRPr="009E6FD7">
              <w:rPr>
                <w:rFonts w:ascii="Verdana" w:hAnsi="Verdana" w:cs="Arial"/>
                <w:iCs/>
                <w:sz w:val="22"/>
                <w:szCs w:val="22"/>
              </w:rPr>
              <w:t>05001-23-31-000-1998-01503-01 (25.750).</w:t>
            </w:r>
          </w:p>
          <w:p w14:paraId="58A7D63F" w14:textId="77777777" w:rsidR="00192A11" w:rsidRPr="009E6FD7" w:rsidRDefault="00192A11" w:rsidP="00532C3A">
            <w:pPr>
              <w:pStyle w:val="Textonotapie"/>
              <w:spacing w:line="276" w:lineRule="auto"/>
              <w:ind w:firstLine="708"/>
              <w:jc w:val="both"/>
              <w:rPr>
                <w:rFonts w:ascii="Verdana" w:hAnsi="Verdana"/>
                <w:sz w:val="22"/>
                <w:szCs w:val="22"/>
              </w:rPr>
            </w:pPr>
          </w:p>
          <w:p w14:paraId="39D30A60" w14:textId="77777777" w:rsidR="00192A11" w:rsidRPr="009E6FD7" w:rsidRDefault="00192A11" w:rsidP="00192A11">
            <w:pPr>
              <w:pStyle w:val="Prrafodelista"/>
              <w:numPr>
                <w:ilvl w:val="0"/>
                <w:numId w:val="19"/>
              </w:numPr>
              <w:spacing w:line="276" w:lineRule="auto"/>
              <w:ind w:left="360"/>
              <w:jc w:val="both"/>
              <w:rPr>
                <w:rFonts w:ascii="Verdana" w:hAnsi="Verdana" w:cs="Arial"/>
                <w:bCs/>
              </w:rPr>
            </w:pPr>
            <w:r w:rsidRPr="009E6FD7">
              <w:rPr>
                <w:rFonts w:ascii="Verdana" w:hAnsi="Verdana" w:cs="Arial"/>
              </w:rPr>
              <w:t xml:space="preserve">Consejo de Estado, Sala de lo Contencioso Administrativo, Sección Tercera, Subsección A, sentencia del 26 de noviembre de 2014, radicación </w:t>
            </w:r>
            <w:r w:rsidRPr="009E6FD7">
              <w:rPr>
                <w:rFonts w:ascii="Verdana" w:hAnsi="Verdana" w:cs="Arial"/>
                <w:bCs/>
              </w:rPr>
              <w:t>760012331000199801093 01 (31.297).</w:t>
            </w:r>
          </w:p>
          <w:p w14:paraId="7041D665" w14:textId="77777777" w:rsidR="00192A11" w:rsidRPr="009E6FD7" w:rsidRDefault="00192A11" w:rsidP="00532C3A">
            <w:pPr>
              <w:spacing w:line="276" w:lineRule="auto"/>
              <w:ind w:firstLine="708"/>
              <w:jc w:val="both"/>
              <w:rPr>
                <w:rFonts w:ascii="Verdana" w:hAnsi="Verdana" w:cs="Arial"/>
                <w:iCs/>
              </w:rPr>
            </w:pPr>
          </w:p>
          <w:p w14:paraId="28CAD282" w14:textId="77777777" w:rsidR="00192A11" w:rsidRPr="009E6FD7" w:rsidRDefault="00192A11" w:rsidP="00192A11">
            <w:pPr>
              <w:pStyle w:val="Textonotapie"/>
              <w:numPr>
                <w:ilvl w:val="0"/>
                <w:numId w:val="19"/>
              </w:numPr>
              <w:spacing w:line="276" w:lineRule="auto"/>
              <w:ind w:left="360"/>
              <w:jc w:val="both"/>
              <w:rPr>
                <w:rFonts w:ascii="Verdana" w:hAnsi="Verdana" w:cs="Arial"/>
                <w:sz w:val="22"/>
                <w:szCs w:val="22"/>
              </w:rPr>
            </w:pPr>
            <w:r w:rsidRPr="009E6FD7">
              <w:rPr>
                <w:rFonts w:ascii="Verdana" w:hAnsi="Verdana" w:cs="Arial"/>
                <w:sz w:val="22"/>
                <w:szCs w:val="22"/>
                <w:lang w:val="es-ES_tradnl"/>
              </w:rPr>
              <w:t xml:space="preserve">Consejo de Estado, Sala de lo Contencioso Administrativo, Sección Tercera, Subsección A, sentencia del 27 de abril de 2016, radicación </w:t>
            </w:r>
            <w:r w:rsidRPr="009E6FD7">
              <w:rPr>
                <w:rFonts w:ascii="Verdana" w:hAnsi="Verdana" w:cs="Arial"/>
                <w:sz w:val="22"/>
                <w:szCs w:val="22"/>
              </w:rPr>
              <w:t xml:space="preserve">2500-23-26-000-2007-00664-01(46818). </w:t>
            </w:r>
          </w:p>
          <w:p w14:paraId="07FA9BC6" w14:textId="77777777" w:rsidR="00192A11" w:rsidRPr="009E6FD7" w:rsidRDefault="00192A11" w:rsidP="00532C3A">
            <w:pPr>
              <w:pStyle w:val="Textonotapie"/>
              <w:spacing w:line="276" w:lineRule="auto"/>
              <w:ind w:firstLine="708"/>
              <w:jc w:val="both"/>
              <w:rPr>
                <w:rFonts w:ascii="Verdana" w:hAnsi="Verdana"/>
                <w:sz w:val="22"/>
                <w:szCs w:val="22"/>
              </w:rPr>
            </w:pPr>
          </w:p>
          <w:p w14:paraId="3436A68A" w14:textId="77777777" w:rsidR="00192A11" w:rsidRPr="009E6FD7" w:rsidRDefault="00192A11" w:rsidP="00192A11">
            <w:pPr>
              <w:pStyle w:val="Textonotapie"/>
              <w:numPr>
                <w:ilvl w:val="0"/>
                <w:numId w:val="19"/>
              </w:numPr>
              <w:spacing w:line="276" w:lineRule="auto"/>
              <w:ind w:left="360"/>
              <w:jc w:val="both"/>
              <w:rPr>
                <w:rFonts w:ascii="Verdana" w:eastAsia="Times New Roman" w:hAnsi="Verdana" w:cs="Arial"/>
                <w:color w:val="000000"/>
                <w:sz w:val="22"/>
                <w:szCs w:val="22"/>
              </w:rPr>
            </w:pPr>
            <w:r w:rsidRPr="009E6FD7">
              <w:rPr>
                <w:rFonts w:ascii="Verdana" w:eastAsia="Times New Roman" w:hAnsi="Verdana" w:cs="Arial"/>
                <w:color w:val="000000"/>
                <w:sz w:val="22"/>
                <w:szCs w:val="22"/>
              </w:rPr>
              <w:t>Consejo de Estado, Sala de lo Contencioso Administrativo, Sección Tercera, Subsección A, en sentencia del 2 de julio de 2021 de Exp. 58372.</w:t>
            </w:r>
          </w:p>
        </w:tc>
      </w:tr>
    </w:tbl>
    <w:p w14:paraId="203CD603" w14:textId="77777777" w:rsidR="00192A11" w:rsidRPr="00F91B03" w:rsidRDefault="00192A11" w:rsidP="00192A11">
      <w:pPr>
        <w:widowControl w:val="0"/>
        <w:autoSpaceDE w:val="0"/>
        <w:autoSpaceDN w:val="0"/>
        <w:spacing w:after="0" w:line="276" w:lineRule="auto"/>
        <w:jc w:val="both"/>
        <w:rPr>
          <w:rFonts w:ascii="Verdana" w:hAnsi="Verdana" w:cs="Arial"/>
        </w:rPr>
      </w:pPr>
    </w:p>
    <w:p w14:paraId="58EAFE57" w14:textId="77777777" w:rsidR="00192A11" w:rsidRPr="00F91B03" w:rsidRDefault="00192A11" w:rsidP="00192A1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91B03">
        <w:rPr>
          <w:rFonts w:ascii="Verdana" w:eastAsia="Century Gothic" w:hAnsi="Verdana" w:cs="Century Gothic"/>
          <w:b/>
          <w:bCs/>
        </w:rPr>
        <w:t>Doctrina de la Agencia Nacional de Contratación Pública:</w:t>
      </w:r>
    </w:p>
    <w:p w14:paraId="4A2C33DC" w14:textId="77777777" w:rsidR="00192A11" w:rsidRPr="00F91B03" w:rsidRDefault="00192A11" w:rsidP="00192A11">
      <w:pPr>
        <w:widowControl w:val="0"/>
        <w:autoSpaceDE w:val="0"/>
        <w:autoSpaceDN w:val="0"/>
        <w:spacing w:after="0" w:line="276" w:lineRule="auto"/>
        <w:jc w:val="both"/>
        <w:rPr>
          <w:rFonts w:ascii="Verdana" w:hAnsi="Verdana" w:cs="Arial"/>
        </w:rPr>
      </w:pPr>
    </w:p>
    <w:p w14:paraId="1CCE5A1D" w14:textId="77777777" w:rsidR="00192A11" w:rsidRPr="00F91B03" w:rsidRDefault="00192A11" w:rsidP="00192A11">
      <w:pPr>
        <w:widowControl w:val="0"/>
        <w:autoSpaceDE w:val="0"/>
        <w:autoSpaceDN w:val="0"/>
        <w:spacing w:after="0" w:line="276" w:lineRule="auto"/>
        <w:jc w:val="both"/>
        <w:rPr>
          <w:rStyle w:val="normaltextrun"/>
          <w:rFonts w:ascii="Verdana" w:hAnsi="Verdana" w:cs="Arial"/>
          <w:shd w:val="clear" w:color="auto" w:fill="FFFFFF"/>
          <w:lang w:val="es-ES"/>
        </w:rPr>
      </w:pPr>
      <w:r w:rsidRPr="00F91B03">
        <w:rPr>
          <w:rFonts w:ascii="Verdana" w:eastAsia="Calibri" w:hAnsi="Verdana" w:cs="Arial"/>
        </w:rPr>
        <w:t xml:space="preserve">La Agencia Nacional de Contratación Pública – Colombia Compra Eficiente en los conceptos C-295 de 30 de abril de 2020, C-306 del 4 de junio de 2020, C-303 del 15 de junio de 2021, C-030 de 25 de febrero de 2022 y C-693 de 24 de octubre de 2022, se pronunció sobre el tratamiento que debe dársele a los documentos electrónicos y manuscritos cuando la información contenida en estos es diferente. De otra parte, en el concepto C – 524 de 18 de agosto de 2020, C-633 de 25 de octubre de 2022, C-896 del 17 de enero de 2024 y C-346 del 25 de agosto de 2024 se pronunció acerca de la revocatoria directa de los actos administrativos de carácter particular. </w:t>
      </w:r>
      <w:r w:rsidRPr="00F91B03">
        <w:rPr>
          <w:rStyle w:val="normaltextrun"/>
          <w:rFonts w:ascii="Verdana" w:hAnsi="Verdana" w:cs="Arial"/>
          <w:shd w:val="clear" w:color="auto" w:fill="FFFFFF"/>
          <w:lang w:val="es-ES"/>
        </w:rPr>
        <w:t>Es</w:t>
      </w:r>
      <w:r w:rsidRPr="00F91B03">
        <w:rPr>
          <w:rFonts w:ascii="Verdana" w:hAnsi="Verdana"/>
        </w:rPr>
        <w:t>tos y otros conceptos se encuentran disponibles para consulta en el Sistema de relatoría de la Agencia, al cual se puede acceder a través del siguiente enlace:</w:t>
      </w:r>
      <w:r w:rsidRPr="00F91B03">
        <w:rPr>
          <w:rStyle w:val="normaltextrun"/>
          <w:rFonts w:ascii="Verdana" w:hAnsi="Verdana" w:cs="Arial"/>
          <w:shd w:val="clear" w:color="auto" w:fill="FFFFFF"/>
          <w:lang w:val="es-ES"/>
        </w:rPr>
        <w:t xml:space="preserve"> </w:t>
      </w:r>
      <w:hyperlink r:id="rId12" w:history="1">
        <w:r w:rsidRPr="00F91B03">
          <w:rPr>
            <w:rStyle w:val="Hipervnculo"/>
            <w:rFonts w:ascii="Verdana" w:hAnsi="Verdana" w:cs="Arial"/>
            <w:shd w:val="clear" w:color="auto" w:fill="FFFFFF"/>
            <w:lang w:val="es-ES"/>
          </w:rPr>
          <w:t>https://relatoria.colombiacompra.gov.co/busqueda/conceptos</w:t>
        </w:r>
      </w:hyperlink>
      <w:r w:rsidRPr="00F91B03">
        <w:rPr>
          <w:rStyle w:val="normaltextrun"/>
          <w:rFonts w:ascii="Verdana" w:hAnsi="Verdana" w:cs="Arial"/>
          <w:shd w:val="clear" w:color="auto" w:fill="FFFFFF"/>
          <w:lang w:val="es-ES"/>
        </w:rPr>
        <w:t>.</w:t>
      </w:r>
    </w:p>
    <w:p w14:paraId="3363C02F" w14:textId="77777777" w:rsidR="00192A11" w:rsidRPr="00F91B03" w:rsidRDefault="00192A11" w:rsidP="00192A11">
      <w:pPr>
        <w:widowControl w:val="0"/>
        <w:autoSpaceDE w:val="0"/>
        <w:autoSpaceDN w:val="0"/>
        <w:spacing w:after="0" w:line="276" w:lineRule="auto"/>
        <w:jc w:val="both"/>
        <w:rPr>
          <w:rFonts w:ascii="Verdana" w:hAnsi="Verdana" w:cs="Arial"/>
        </w:rPr>
      </w:pPr>
    </w:p>
    <w:p w14:paraId="14D0A704" w14:textId="77777777" w:rsidR="00192A11" w:rsidRPr="00F91B03" w:rsidRDefault="00192A11" w:rsidP="00192A11">
      <w:pPr>
        <w:widowControl w:val="0"/>
        <w:autoSpaceDE w:val="0"/>
        <w:autoSpaceDN w:val="0"/>
        <w:spacing w:after="0" w:line="276" w:lineRule="auto"/>
        <w:jc w:val="both"/>
        <w:rPr>
          <w:rFonts w:ascii="Verdana" w:hAnsi="Verdana" w:cs="Arial"/>
          <w:lang w:val="es-ES_tradnl"/>
        </w:rPr>
      </w:pPr>
      <w:r w:rsidRPr="00F91B03">
        <w:rPr>
          <w:rFonts w:ascii="Verdana" w:hAnsi="Verdana" w:cs="Arial"/>
        </w:rPr>
        <w:t xml:space="preserve">Este concepto tiene el alcance previsto en el artículo 28 del Código de Procedimiento Administrativo y de lo Contencioso Administrativo </w:t>
      </w:r>
      <w:r w:rsidRPr="00F91B03">
        <w:rPr>
          <w:rFonts w:ascii="Verdana" w:hAnsi="Verdana" w:cs="Arial"/>
          <w:lang w:val="es-ES_tradnl"/>
        </w:rPr>
        <w:t>y las expresiones aquí utilizadas con mayúscula inicial deben ser entendidas con el significado que les otorga el artículo 2.2.1.1.1.3.1. del Decreto 1082 de 2015.</w:t>
      </w:r>
    </w:p>
    <w:p w14:paraId="23A3F310" w14:textId="77777777" w:rsidR="00192A11" w:rsidRPr="00F91B03" w:rsidRDefault="00192A11" w:rsidP="00192A11">
      <w:pPr>
        <w:widowControl w:val="0"/>
        <w:autoSpaceDE w:val="0"/>
        <w:autoSpaceDN w:val="0"/>
        <w:spacing w:after="0" w:line="276" w:lineRule="auto"/>
        <w:jc w:val="both"/>
        <w:rPr>
          <w:rFonts w:ascii="Verdana" w:hAnsi="Verdana" w:cs="Arial"/>
        </w:rPr>
      </w:pPr>
    </w:p>
    <w:p w14:paraId="63B05F89" w14:textId="77777777" w:rsidR="00192A11" w:rsidRPr="00F91B03" w:rsidRDefault="00192A11" w:rsidP="00192A11">
      <w:pPr>
        <w:spacing w:after="0" w:line="276" w:lineRule="auto"/>
        <w:rPr>
          <w:rFonts w:ascii="Verdana" w:hAnsi="Verdana" w:cs="Arial"/>
          <w:lang w:eastAsia="es-CO"/>
        </w:rPr>
      </w:pPr>
      <w:r w:rsidRPr="00F91B03">
        <w:rPr>
          <w:rFonts w:ascii="Verdana" w:eastAsia="Times New Roman" w:hAnsi="Verdana" w:cs="Arial"/>
          <w:lang w:eastAsia="es-CO"/>
        </w:rPr>
        <w:t>Atentamente,</w:t>
      </w:r>
      <w:r w:rsidRPr="00F91B03">
        <w:rPr>
          <w:rFonts w:ascii="Verdana" w:hAnsi="Verdana" w:cs="Arial"/>
          <w:lang w:eastAsia="es-CO"/>
        </w:rPr>
        <w:t xml:space="preserve"> </w:t>
      </w:r>
    </w:p>
    <w:p w14:paraId="004E09DA" w14:textId="60DA636B" w:rsidR="00192A11" w:rsidRPr="00F91B03" w:rsidRDefault="004520E3" w:rsidP="00192A11">
      <w:pPr>
        <w:spacing w:line="276" w:lineRule="auto"/>
        <w:jc w:val="center"/>
        <w:rPr>
          <w:rFonts w:ascii="Verdana" w:hAnsi="Verdana" w:cs="Arial"/>
          <w:color w:val="000000"/>
          <w:lang w:val="es-ES_tradnl" w:eastAsia="es-CO"/>
        </w:rPr>
      </w:pPr>
      <w:r>
        <w:rPr>
          <w:noProof/>
        </w:rPr>
        <w:drawing>
          <wp:inline distT="0" distB="0" distL="0" distR="0" wp14:anchorId="3524E001" wp14:editId="62B261ED">
            <wp:extent cx="2823210" cy="104775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2823210" cy="104775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92A11" w:rsidRPr="00BC45FA" w14:paraId="18D0BB9F" w14:textId="77777777" w:rsidTr="00532C3A">
        <w:trPr>
          <w:trHeight w:val="409"/>
        </w:trPr>
        <w:tc>
          <w:tcPr>
            <w:tcW w:w="817" w:type="dxa"/>
            <w:tcBorders>
              <w:top w:val="nil"/>
              <w:left w:val="nil"/>
              <w:bottom w:val="nil"/>
              <w:right w:val="nil"/>
            </w:tcBorders>
            <w:vAlign w:val="center"/>
            <w:hideMark/>
          </w:tcPr>
          <w:p w14:paraId="4CDCA611"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47DBCB05"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Diana Lucia Saavedra Castañeda</w:t>
            </w:r>
          </w:p>
          <w:p w14:paraId="560855CF"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Contratista de la Subdirección de Gestión Contractual</w:t>
            </w:r>
          </w:p>
        </w:tc>
      </w:tr>
      <w:tr w:rsidR="00192A11" w:rsidRPr="00BC45FA" w14:paraId="01EE0A01" w14:textId="77777777" w:rsidTr="00532C3A">
        <w:trPr>
          <w:trHeight w:val="409"/>
        </w:trPr>
        <w:tc>
          <w:tcPr>
            <w:tcW w:w="817" w:type="dxa"/>
            <w:tcBorders>
              <w:top w:val="nil"/>
              <w:left w:val="nil"/>
              <w:right w:val="nil"/>
            </w:tcBorders>
            <w:vAlign w:val="center"/>
          </w:tcPr>
          <w:p w14:paraId="1ABA78F0"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14:paraId="7EBE4F2C" w14:textId="77777777" w:rsidR="00192A11" w:rsidRPr="00BC45FA" w:rsidRDefault="00192A11" w:rsidP="004520E3">
            <w:pPr>
              <w:spacing w:after="0" w:line="240" w:lineRule="auto"/>
              <w:contextualSpacing/>
              <w:jc w:val="both"/>
              <w:rPr>
                <w:rStyle w:val="normaltextrun"/>
                <w:rFonts w:ascii="Verdana" w:eastAsia="Times New Roman" w:hAnsi="Verdana" w:cs="Segoe UI"/>
                <w:color w:val="000000" w:themeColor="text1"/>
                <w:sz w:val="16"/>
                <w:szCs w:val="16"/>
                <w:lang w:eastAsia="es-CO"/>
              </w:rPr>
            </w:pPr>
            <w:r w:rsidRPr="00BC45FA">
              <w:rPr>
                <w:rStyle w:val="normaltextrun"/>
                <w:rFonts w:ascii="Verdana" w:eastAsia="Times New Roman" w:hAnsi="Verdana" w:cs="Segoe UI"/>
                <w:color w:val="000000" w:themeColor="text1"/>
                <w:sz w:val="16"/>
                <w:szCs w:val="16"/>
                <w:lang w:eastAsia="es-CO"/>
              </w:rPr>
              <w:t>Juan Carlos G</w:t>
            </w:r>
            <w:r w:rsidRPr="00BC45FA">
              <w:rPr>
                <w:rStyle w:val="normaltextrun"/>
                <w:rFonts w:ascii="Verdana" w:hAnsi="Verdana" w:cs="Segoe UI"/>
                <w:color w:val="000000" w:themeColor="text1"/>
                <w:sz w:val="16"/>
                <w:szCs w:val="16"/>
                <w:lang w:eastAsia="es-CO"/>
              </w:rPr>
              <w:t xml:space="preserve">onzalez Vásquez </w:t>
            </w:r>
          </w:p>
          <w:p w14:paraId="65F04FD5" w14:textId="77777777" w:rsidR="00192A11" w:rsidRPr="00BC45FA" w:rsidRDefault="00192A11" w:rsidP="004520E3">
            <w:pPr>
              <w:spacing w:after="0" w:line="240" w:lineRule="auto"/>
              <w:contextualSpacing/>
              <w:jc w:val="both"/>
              <w:rPr>
                <w:rStyle w:val="normaltextrun"/>
                <w:rFonts w:ascii="Verdana" w:eastAsia="Times New Roman" w:hAnsi="Verdana" w:cs="Segoe UI"/>
                <w:color w:val="000000" w:themeColor="text1"/>
                <w:sz w:val="16"/>
                <w:szCs w:val="16"/>
                <w:lang w:eastAsia="es-CO"/>
              </w:rPr>
            </w:pPr>
            <w:r w:rsidRPr="00BC45FA">
              <w:rPr>
                <w:rFonts w:ascii="Verdana" w:hAnsi="Verdana" w:cs="Arial"/>
                <w:sz w:val="16"/>
                <w:szCs w:val="16"/>
              </w:rPr>
              <w:t>Contratista de la Subdirección de Gestión Contractual</w:t>
            </w:r>
          </w:p>
          <w:p w14:paraId="4F337A2A" w14:textId="77777777" w:rsidR="00192A11" w:rsidRPr="00BC45FA" w:rsidRDefault="00192A11" w:rsidP="004520E3">
            <w:pPr>
              <w:spacing w:after="0" w:line="240" w:lineRule="auto"/>
              <w:contextualSpacing/>
              <w:jc w:val="both"/>
              <w:rPr>
                <w:rStyle w:val="normaltextrun"/>
                <w:rFonts w:ascii="Verdana" w:eastAsia="Times New Roman" w:hAnsi="Verdana" w:cs="Segoe UI"/>
                <w:color w:val="000000" w:themeColor="text1"/>
                <w:sz w:val="16"/>
                <w:szCs w:val="16"/>
                <w:lang w:eastAsia="es-CO"/>
              </w:rPr>
            </w:pPr>
            <w:r w:rsidRPr="00BC45FA">
              <w:rPr>
                <w:rStyle w:val="normaltextrun"/>
                <w:rFonts w:ascii="Verdana" w:eastAsia="Times New Roman" w:hAnsi="Verdana" w:cs="Segoe UI"/>
                <w:color w:val="000000" w:themeColor="text1"/>
                <w:sz w:val="16"/>
                <w:szCs w:val="16"/>
                <w:lang w:eastAsia="es-CO"/>
              </w:rPr>
              <w:t>Alejandro Sarmiento Cantillo</w:t>
            </w:r>
          </w:p>
          <w:p w14:paraId="04E28AA8" w14:textId="77777777" w:rsidR="00192A11" w:rsidRPr="00BC45FA" w:rsidRDefault="00192A11" w:rsidP="004520E3">
            <w:pPr>
              <w:spacing w:after="0" w:line="240" w:lineRule="auto"/>
              <w:contextualSpacing/>
              <w:jc w:val="both"/>
              <w:rPr>
                <w:rFonts w:ascii="Verdana" w:hAnsi="Verdana" w:cs="Arial"/>
                <w:sz w:val="16"/>
                <w:szCs w:val="16"/>
              </w:rPr>
            </w:pPr>
            <w:r w:rsidRPr="00BC45FA">
              <w:rPr>
                <w:rStyle w:val="normaltextrun"/>
                <w:rFonts w:ascii="Verdana" w:eastAsia="Times New Roman" w:hAnsi="Verdana" w:cs="Segoe UI"/>
                <w:color w:val="000000" w:themeColor="text1"/>
                <w:sz w:val="16"/>
                <w:szCs w:val="16"/>
                <w:lang w:eastAsia="es-CO"/>
              </w:rPr>
              <w:t xml:space="preserve">Gestor T1 </w:t>
            </w:r>
            <w:r w:rsidRPr="00BC45FA">
              <w:rPr>
                <w:rStyle w:val="normaltextrun"/>
                <w:rFonts w:ascii="Verdana" w:eastAsia="Times New Roman" w:hAnsi="Verdana" w:cs="Arial"/>
                <w:color w:val="000000" w:themeColor="text1"/>
                <w:sz w:val="16"/>
                <w:szCs w:val="16"/>
                <w:lang w:eastAsia="es-CO"/>
              </w:rPr>
              <w:t>‒</w:t>
            </w:r>
            <w:r w:rsidRPr="00BC45FA">
              <w:rPr>
                <w:rStyle w:val="normaltextrun"/>
                <w:rFonts w:ascii="Verdana" w:eastAsia="Times New Roman" w:hAnsi="Verdana" w:cs="Segoe UI"/>
                <w:color w:val="000000" w:themeColor="text1"/>
                <w:sz w:val="16"/>
                <w:szCs w:val="16"/>
                <w:lang w:eastAsia="es-CO"/>
              </w:rPr>
              <w:t xml:space="preserve"> 15 de la Subdirección de Gestión Contractual</w:t>
            </w:r>
          </w:p>
        </w:tc>
      </w:tr>
      <w:tr w:rsidR="00192A11" w:rsidRPr="00BC45FA" w14:paraId="522D4207" w14:textId="77777777" w:rsidTr="00532C3A">
        <w:trPr>
          <w:trHeight w:val="389"/>
        </w:trPr>
        <w:tc>
          <w:tcPr>
            <w:tcW w:w="817" w:type="dxa"/>
            <w:tcBorders>
              <w:top w:val="nil"/>
              <w:left w:val="nil"/>
              <w:bottom w:val="nil"/>
              <w:right w:val="nil"/>
            </w:tcBorders>
            <w:vAlign w:val="center"/>
            <w:hideMark/>
          </w:tcPr>
          <w:p w14:paraId="240279F8"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E0DDC04" w14:textId="77777777" w:rsidR="00192A11" w:rsidRPr="00BC45FA" w:rsidRDefault="00192A11" w:rsidP="004520E3">
            <w:pPr>
              <w:spacing w:after="0" w:line="240" w:lineRule="auto"/>
              <w:contextualSpacing/>
              <w:rPr>
                <w:rFonts w:ascii="Verdana" w:eastAsia="Calibri" w:hAnsi="Verdana" w:cs="Arial"/>
                <w:sz w:val="16"/>
                <w:szCs w:val="16"/>
                <w:lang w:val="pt-BR" w:eastAsia="es-ES"/>
              </w:rPr>
            </w:pPr>
            <w:r w:rsidRPr="00BC45FA">
              <w:rPr>
                <w:rFonts w:ascii="Verdana" w:eastAsia="Calibri" w:hAnsi="Verdana" w:cs="Arial"/>
                <w:sz w:val="16"/>
                <w:szCs w:val="16"/>
                <w:lang w:val="pt-BR" w:eastAsia="es-ES"/>
              </w:rPr>
              <w:t>Carolina Quintero Gacharná</w:t>
            </w:r>
          </w:p>
          <w:p w14:paraId="44BE436B" w14:textId="77777777" w:rsidR="00192A11" w:rsidRPr="00BC45FA" w:rsidRDefault="00192A11" w:rsidP="004520E3">
            <w:pPr>
              <w:spacing w:after="0" w:line="240" w:lineRule="auto"/>
              <w:contextualSpacing/>
              <w:jc w:val="both"/>
              <w:rPr>
                <w:rFonts w:ascii="Verdana" w:hAnsi="Verdana" w:cs="Arial"/>
                <w:sz w:val="16"/>
                <w:szCs w:val="16"/>
              </w:rPr>
            </w:pPr>
            <w:r w:rsidRPr="00BC45FA">
              <w:rPr>
                <w:rFonts w:ascii="Verdana" w:hAnsi="Verdana" w:cs="Arial"/>
                <w:sz w:val="16"/>
                <w:szCs w:val="16"/>
              </w:rPr>
              <w:t>Subdirectora de Gestión Contractual ANCP – CCE</w:t>
            </w:r>
          </w:p>
        </w:tc>
      </w:tr>
    </w:tbl>
    <w:p w14:paraId="3900974D" w14:textId="77777777" w:rsidR="003D5B0D" w:rsidRPr="00192A11" w:rsidRDefault="003D5B0D" w:rsidP="00192A11">
      <w:pPr>
        <w:rPr>
          <w:lang w:val="es-ES"/>
        </w:rPr>
      </w:pPr>
    </w:p>
    <w:sectPr w:rsidR="003D5B0D" w:rsidRPr="00192A1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8536D" w14:textId="77777777" w:rsidR="00785095" w:rsidRDefault="00785095" w:rsidP="004A1847">
      <w:pPr>
        <w:spacing w:after="0" w:line="240" w:lineRule="auto"/>
      </w:pPr>
      <w:r>
        <w:separator/>
      </w:r>
    </w:p>
  </w:endnote>
  <w:endnote w:type="continuationSeparator" w:id="0">
    <w:p w14:paraId="370EFEA4" w14:textId="77777777" w:rsidR="00785095" w:rsidRDefault="00785095" w:rsidP="004A1847">
      <w:pPr>
        <w:spacing w:after="0" w:line="240" w:lineRule="auto"/>
      </w:pPr>
      <w:r>
        <w:continuationSeparator/>
      </w:r>
    </w:p>
  </w:endnote>
  <w:endnote w:type="continuationNotice" w:id="1">
    <w:p w14:paraId="52F2AFC5" w14:textId="77777777" w:rsidR="00785095" w:rsidRDefault="007850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282C6" w14:textId="77777777" w:rsidR="00785095" w:rsidRDefault="00785095" w:rsidP="004A1847">
      <w:pPr>
        <w:spacing w:after="0" w:line="240" w:lineRule="auto"/>
      </w:pPr>
      <w:r>
        <w:separator/>
      </w:r>
    </w:p>
  </w:footnote>
  <w:footnote w:type="continuationSeparator" w:id="0">
    <w:p w14:paraId="16498980" w14:textId="77777777" w:rsidR="00785095" w:rsidRDefault="00785095" w:rsidP="004A1847">
      <w:pPr>
        <w:spacing w:after="0" w:line="240" w:lineRule="auto"/>
      </w:pPr>
      <w:r>
        <w:continuationSeparator/>
      </w:r>
    </w:p>
  </w:footnote>
  <w:footnote w:type="continuationNotice" w:id="1">
    <w:p w14:paraId="35DFEA86" w14:textId="77777777" w:rsidR="00785095" w:rsidRDefault="00785095">
      <w:pPr>
        <w:spacing w:after="0" w:line="240" w:lineRule="auto"/>
      </w:pPr>
    </w:p>
  </w:footnote>
  <w:footnote w:id="2">
    <w:p w14:paraId="7BA70D1C" w14:textId="77777777" w:rsidR="00192A11"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F03B64">
        <w:rPr>
          <w:rFonts w:ascii="Verdana" w:hAnsi="Verdana"/>
          <w:sz w:val="16"/>
          <w:szCs w:val="16"/>
          <w:vertAlign w:val="superscript"/>
        </w:rPr>
        <w:footnoteRef/>
      </w:r>
      <w:r w:rsidRPr="00F03B64">
        <w:rPr>
          <w:rFonts w:ascii="Verdana" w:eastAsia="Arial" w:hAnsi="Verdana" w:cs="Arial"/>
          <w:color w:val="000000"/>
          <w:sz w:val="16"/>
          <w:szCs w:val="16"/>
        </w:rPr>
        <w:t xml:space="preserve"> SANTOS RODRÍGUEZ. Jorge Enrique. Construcción doctrinaria de la revocación del acto administrativo ilegal. Universidad Externado de Colombia, 2005. p. 27. </w:t>
      </w:r>
    </w:p>
    <w:p w14:paraId="52AEDC3D" w14:textId="77777777" w:rsidR="00192A11" w:rsidRPr="00F03B64"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p>
  </w:footnote>
  <w:footnote w:id="3">
    <w:p w14:paraId="1943EDC0" w14:textId="77777777" w:rsidR="00192A11"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F03B64">
        <w:rPr>
          <w:rFonts w:ascii="Verdana" w:hAnsi="Verdana"/>
          <w:sz w:val="16"/>
          <w:szCs w:val="16"/>
          <w:vertAlign w:val="superscript"/>
        </w:rPr>
        <w:footnoteRef/>
      </w:r>
      <w:r w:rsidRPr="00F03B64">
        <w:rPr>
          <w:rFonts w:ascii="Verdana" w:eastAsia="Arial" w:hAnsi="Verdana" w:cs="Arial"/>
          <w:color w:val="000000"/>
          <w:sz w:val="16"/>
          <w:szCs w:val="16"/>
        </w:rPr>
        <w:t xml:space="preserve"> RODRÍGUEZ. Libardo. Derecho Administrativo General y colombiano. Vigésima Edición. Tomo II. Editorial Temis, 2017. p. 85. </w:t>
      </w:r>
    </w:p>
    <w:p w14:paraId="5E048D34" w14:textId="77777777" w:rsidR="00192A11" w:rsidRPr="00F03B64"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p>
  </w:footnote>
  <w:footnote w:id="4">
    <w:p w14:paraId="6FA9F568" w14:textId="77777777" w:rsidR="00192A11"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r w:rsidRPr="00F03B64">
        <w:rPr>
          <w:rFonts w:ascii="Verdana" w:hAnsi="Verdana"/>
          <w:sz w:val="16"/>
          <w:szCs w:val="16"/>
          <w:vertAlign w:val="superscript"/>
        </w:rPr>
        <w:footnoteRef/>
      </w:r>
      <w:r w:rsidRPr="00F03B64">
        <w:rPr>
          <w:rFonts w:ascii="Verdana" w:eastAsia="Arial" w:hAnsi="Verdana" w:cs="Arial"/>
          <w:color w:val="000000"/>
          <w:sz w:val="16"/>
          <w:szCs w:val="16"/>
        </w:rPr>
        <w:t xml:space="preserve"> SANTOFIMIO GAMBOA, Jaime Orlando. Ob. Cit. Párrafo 1414 y siguientes. </w:t>
      </w:r>
    </w:p>
    <w:p w14:paraId="663877BD" w14:textId="77777777" w:rsidR="00192A11" w:rsidRPr="00F03B64" w:rsidRDefault="00192A11" w:rsidP="00192A11">
      <w:pPr>
        <w:pBdr>
          <w:top w:val="nil"/>
          <w:left w:val="nil"/>
          <w:bottom w:val="nil"/>
          <w:right w:val="nil"/>
          <w:between w:val="nil"/>
        </w:pBdr>
        <w:spacing w:after="0" w:line="240" w:lineRule="auto"/>
        <w:ind w:firstLine="709"/>
        <w:contextualSpacing/>
        <w:jc w:val="both"/>
        <w:rPr>
          <w:rFonts w:ascii="Verdana" w:eastAsia="Arial" w:hAnsi="Verdana" w:cs="Arial"/>
          <w:color w:val="000000"/>
          <w:sz w:val="16"/>
          <w:szCs w:val="16"/>
        </w:rPr>
      </w:pPr>
    </w:p>
  </w:footnote>
  <w:footnote w:id="5">
    <w:p w14:paraId="1F56694D" w14:textId="77777777" w:rsidR="00192A11" w:rsidRDefault="00192A11" w:rsidP="00192A11">
      <w:pPr>
        <w:pStyle w:val="Textonotapie"/>
        <w:ind w:firstLine="708"/>
        <w:contextualSpacing/>
        <w:jc w:val="both"/>
        <w:rPr>
          <w:rFonts w:ascii="Verdana" w:hAnsi="Verdana" w:cs="Arial"/>
          <w:iCs/>
          <w:sz w:val="16"/>
          <w:szCs w:val="16"/>
        </w:rPr>
      </w:pPr>
      <w:r w:rsidRPr="00F03B64">
        <w:rPr>
          <w:rStyle w:val="Refdenotaalpie"/>
          <w:rFonts w:ascii="Verdana" w:hAnsi="Verdana"/>
          <w:sz w:val="16"/>
          <w:szCs w:val="16"/>
        </w:rPr>
        <w:footnoteRef/>
      </w:r>
      <w:r w:rsidRPr="00F03B64">
        <w:rPr>
          <w:rFonts w:ascii="Verdana" w:hAnsi="Verdana"/>
          <w:sz w:val="16"/>
          <w:szCs w:val="16"/>
        </w:rPr>
        <w:t xml:space="preserve"> </w:t>
      </w:r>
      <w:r w:rsidRPr="00F03B64">
        <w:rPr>
          <w:rFonts w:ascii="Verdana" w:hAnsi="Verdana" w:cs="Arial"/>
          <w:sz w:val="16"/>
          <w:szCs w:val="16"/>
          <w:lang w:val="es-ES_tradnl"/>
        </w:rPr>
        <w:t xml:space="preserve">Consejo de Estado, Sala de lo Contencioso Administrativo, Sección Tercera, Subsección C, sentencia del 26 de marzo de 2014, radicación </w:t>
      </w:r>
      <w:r w:rsidRPr="00F03B64">
        <w:rPr>
          <w:rFonts w:ascii="Verdana" w:hAnsi="Verdana" w:cs="Arial"/>
          <w:iCs/>
          <w:sz w:val="16"/>
          <w:szCs w:val="16"/>
        </w:rPr>
        <w:t>05001-23-31-000-1998-01503-01 (25.750).</w:t>
      </w:r>
    </w:p>
    <w:p w14:paraId="51126811" w14:textId="77777777" w:rsidR="00192A11" w:rsidRPr="00F03B64" w:rsidRDefault="00192A11" w:rsidP="00192A11">
      <w:pPr>
        <w:pStyle w:val="Textonotapie"/>
        <w:ind w:firstLine="708"/>
        <w:contextualSpacing/>
        <w:jc w:val="both"/>
        <w:rPr>
          <w:rFonts w:ascii="Verdana" w:hAnsi="Verdana"/>
          <w:sz w:val="16"/>
          <w:szCs w:val="16"/>
        </w:rPr>
      </w:pPr>
    </w:p>
  </w:footnote>
  <w:footnote w:id="6">
    <w:p w14:paraId="4A2F3DC0" w14:textId="77777777" w:rsidR="00192A11" w:rsidRDefault="00192A11" w:rsidP="00192A11">
      <w:pPr>
        <w:spacing w:after="0" w:line="240" w:lineRule="auto"/>
        <w:ind w:firstLine="708"/>
        <w:contextualSpacing/>
        <w:jc w:val="both"/>
        <w:rPr>
          <w:rFonts w:ascii="Verdana" w:hAnsi="Verdana" w:cs="Arial"/>
          <w:bCs/>
          <w:sz w:val="16"/>
          <w:szCs w:val="16"/>
        </w:rPr>
      </w:pPr>
      <w:r w:rsidRPr="00F03B64">
        <w:rPr>
          <w:rStyle w:val="Refdenotaalpie"/>
          <w:rFonts w:ascii="Verdana" w:hAnsi="Verdana"/>
          <w:sz w:val="16"/>
          <w:szCs w:val="16"/>
        </w:rPr>
        <w:footnoteRef/>
      </w:r>
      <w:r w:rsidRPr="00F03B64">
        <w:rPr>
          <w:rFonts w:ascii="Verdana" w:hAnsi="Verdana"/>
          <w:sz w:val="16"/>
          <w:szCs w:val="16"/>
        </w:rPr>
        <w:t xml:space="preserve"> </w:t>
      </w:r>
      <w:r w:rsidRPr="00F03B64">
        <w:rPr>
          <w:rFonts w:ascii="Verdana" w:hAnsi="Verdana" w:cs="Arial"/>
          <w:sz w:val="16"/>
          <w:szCs w:val="16"/>
        </w:rPr>
        <w:t xml:space="preserve">Consejo de Estado, Sala de lo Contencioso Administrativo, Sección Tercera, Subsección A, sentencia del 26 de noviembre de 2014, radicación </w:t>
      </w:r>
      <w:r w:rsidRPr="00F03B64">
        <w:rPr>
          <w:rFonts w:ascii="Verdana" w:hAnsi="Verdana" w:cs="Arial"/>
          <w:bCs/>
          <w:sz w:val="16"/>
          <w:szCs w:val="16"/>
        </w:rPr>
        <w:t>760012331000199801093 01 (31.297).</w:t>
      </w:r>
    </w:p>
    <w:p w14:paraId="1160C5F8" w14:textId="77777777" w:rsidR="00192A11" w:rsidRPr="00F03B64" w:rsidRDefault="00192A11" w:rsidP="00192A11">
      <w:pPr>
        <w:spacing w:after="0" w:line="240" w:lineRule="auto"/>
        <w:ind w:firstLine="708"/>
        <w:contextualSpacing/>
        <w:jc w:val="both"/>
        <w:rPr>
          <w:rFonts w:ascii="Verdana" w:hAnsi="Verdana" w:cs="Arial"/>
          <w:iCs/>
          <w:sz w:val="16"/>
          <w:szCs w:val="16"/>
        </w:rPr>
      </w:pPr>
    </w:p>
  </w:footnote>
  <w:footnote w:id="7">
    <w:p w14:paraId="48977F0E" w14:textId="77777777" w:rsidR="00192A11" w:rsidRDefault="00192A11" w:rsidP="00192A11">
      <w:pPr>
        <w:pStyle w:val="Textonotapie"/>
        <w:ind w:firstLine="708"/>
        <w:contextualSpacing/>
        <w:jc w:val="both"/>
        <w:rPr>
          <w:rFonts w:ascii="Verdana" w:hAnsi="Verdana" w:cs="Arial"/>
          <w:sz w:val="16"/>
          <w:szCs w:val="16"/>
        </w:rPr>
      </w:pPr>
      <w:r w:rsidRPr="00F03B64">
        <w:rPr>
          <w:rStyle w:val="Refdenotaalpie"/>
          <w:rFonts w:ascii="Verdana" w:hAnsi="Verdana"/>
          <w:sz w:val="16"/>
          <w:szCs w:val="16"/>
        </w:rPr>
        <w:footnoteRef/>
      </w:r>
      <w:r w:rsidRPr="00F03B64">
        <w:rPr>
          <w:rFonts w:ascii="Verdana" w:hAnsi="Verdana"/>
          <w:sz w:val="16"/>
          <w:szCs w:val="16"/>
        </w:rPr>
        <w:t xml:space="preserve"> </w:t>
      </w:r>
      <w:r w:rsidRPr="00F03B64">
        <w:rPr>
          <w:rFonts w:ascii="Verdana" w:hAnsi="Verdana" w:cs="Arial"/>
          <w:sz w:val="16"/>
          <w:szCs w:val="16"/>
          <w:lang w:val="es-ES_tradnl"/>
        </w:rPr>
        <w:t xml:space="preserve">Consejo de Estado, Sala de lo Contencioso Administrativo, Sección Tercera, Subsección A, sentencia del 27 de abril de 2016, radicación </w:t>
      </w:r>
      <w:r w:rsidRPr="00F03B64">
        <w:rPr>
          <w:rFonts w:ascii="Verdana" w:hAnsi="Verdana" w:cs="Arial"/>
          <w:sz w:val="16"/>
          <w:szCs w:val="16"/>
        </w:rPr>
        <w:t>2500-23-26-000-2007-00664-01(46818)</w:t>
      </w:r>
      <w:r>
        <w:rPr>
          <w:rFonts w:ascii="Verdana" w:hAnsi="Verdana" w:cs="Arial"/>
          <w:sz w:val="16"/>
          <w:szCs w:val="16"/>
        </w:rPr>
        <w:t xml:space="preserve">. </w:t>
      </w:r>
    </w:p>
    <w:p w14:paraId="76F20C42" w14:textId="77777777" w:rsidR="00192A11" w:rsidRPr="00F03B64" w:rsidRDefault="00192A11" w:rsidP="00192A11">
      <w:pPr>
        <w:pStyle w:val="Textonotapie"/>
        <w:ind w:firstLine="708"/>
        <w:contextualSpacing/>
        <w:jc w:val="both"/>
        <w:rPr>
          <w:rFonts w:ascii="Verdana" w:hAnsi="Verdana"/>
          <w:sz w:val="16"/>
          <w:szCs w:val="16"/>
        </w:rPr>
      </w:pPr>
    </w:p>
  </w:footnote>
  <w:footnote w:id="8">
    <w:p w14:paraId="3ECD2774" w14:textId="77777777" w:rsidR="00192A11" w:rsidRDefault="00192A11" w:rsidP="00192A11">
      <w:pPr>
        <w:pStyle w:val="Textonotapie"/>
        <w:ind w:firstLine="708"/>
        <w:contextualSpacing/>
        <w:jc w:val="both"/>
        <w:rPr>
          <w:rFonts w:ascii="Verdana" w:eastAsia="Times New Roman" w:hAnsi="Verdana" w:cs="Arial"/>
          <w:color w:val="000000"/>
          <w:sz w:val="16"/>
          <w:szCs w:val="16"/>
        </w:rPr>
      </w:pPr>
      <w:r w:rsidRPr="00F03B64">
        <w:rPr>
          <w:rStyle w:val="Refdenotaalpie"/>
          <w:rFonts w:ascii="Verdana" w:hAnsi="Verdana" w:cs="Arial"/>
          <w:sz w:val="16"/>
          <w:szCs w:val="16"/>
        </w:rPr>
        <w:footnoteRef/>
      </w:r>
      <w:r w:rsidRPr="00F03B64">
        <w:rPr>
          <w:rFonts w:ascii="Verdana" w:hAnsi="Verdana" w:cs="Arial"/>
          <w:sz w:val="16"/>
          <w:szCs w:val="16"/>
        </w:rPr>
        <w:t xml:space="preserve"> </w:t>
      </w:r>
      <w:r w:rsidRPr="00F03B64">
        <w:rPr>
          <w:rFonts w:ascii="Verdana" w:eastAsia="Times New Roman" w:hAnsi="Verdana" w:cs="Arial"/>
          <w:color w:val="000000"/>
          <w:sz w:val="16"/>
          <w:szCs w:val="16"/>
        </w:rPr>
        <w:t>Consejo de Estado, Sala de lo Contencioso Administrativo, Sección Tercera, Subsección A, en sentencia del 2 de julio de 2021 de Exp. 58372.</w:t>
      </w:r>
    </w:p>
    <w:p w14:paraId="5F6F6122" w14:textId="77777777" w:rsidR="00192A11" w:rsidRPr="00F03B64" w:rsidRDefault="00192A11" w:rsidP="00192A11">
      <w:pPr>
        <w:pStyle w:val="Textonotapie"/>
        <w:ind w:firstLine="708"/>
        <w:contextualSpacing/>
        <w:jc w:val="both"/>
        <w:rPr>
          <w:rFonts w:ascii="Verdana" w:hAnsi="Verdana" w:cs="Arial"/>
          <w:sz w:val="16"/>
          <w:szCs w:val="16"/>
        </w:rPr>
      </w:pPr>
    </w:p>
  </w:footnote>
  <w:footnote w:id="9">
    <w:p w14:paraId="4EEE46F1" w14:textId="77777777" w:rsidR="00192A11" w:rsidRDefault="00192A11" w:rsidP="00192A11">
      <w:pPr>
        <w:pStyle w:val="Textonotapie"/>
        <w:ind w:firstLine="709"/>
        <w:contextualSpacing/>
        <w:jc w:val="both"/>
        <w:rPr>
          <w:rFonts w:ascii="Verdana" w:hAnsi="Verdana"/>
          <w:sz w:val="16"/>
          <w:szCs w:val="16"/>
        </w:rPr>
      </w:pPr>
      <w:r w:rsidRPr="00F03B64">
        <w:rPr>
          <w:rStyle w:val="Refdenotaalpie"/>
          <w:rFonts w:ascii="Verdana" w:hAnsi="Verdana"/>
          <w:sz w:val="16"/>
          <w:szCs w:val="16"/>
        </w:rPr>
        <w:footnoteRef/>
      </w:r>
      <w:r w:rsidRPr="00F03B64">
        <w:rPr>
          <w:rFonts w:ascii="Verdana" w:hAnsi="Verdana"/>
          <w:sz w:val="16"/>
          <w:szCs w:val="16"/>
        </w:rPr>
        <w:t xml:space="preserve"> Lo anterior, sin perjuicio de la posibilidad que establece el artículo 41 del CPACA frente a la posibilidad de corregir irregularidades en la actuación administrativa, previo a la expedición del acto administrativo respectivo. Dicho artículo prescribe: </w:t>
      </w:r>
      <w:r>
        <w:rPr>
          <w:rFonts w:ascii="Verdana" w:hAnsi="Verdana"/>
          <w:sz w:val="16"/>
          <w:szCs w:val="16"/>
        </w:rPr>
        <w:t>“</w:t>
      </w:r>
      <w:r w:rsidRPr="00F03B64">
        <w:rPr>
          <w:rFonts w:ascii="Verdana" w:hAnsi="Verdana"/>
          <w:sz w:val="16"/>
          <w:szCs w:val="16"/>
        </w:rPr>
        <w:t>Artículo 41. corrección de irregularidades en la actuación administrativa. La autoridad, en cualquier momento anterior a la expedición del acto, de oficio o a petición de parte, corregirá las irregularidades que se hayan presentado en la actuación administrativa para ajustarla a derecho, y adoptará las medidas necesarias para concluirla</w:t>
      </w:r>
      <w:r>
        <w:rPr>
          <w:rFonts w:ascii="Verdana" w:hAnsi="Verdana"/>
          <w:sz w:val="16"/>
          <w:szCs w:val="16"/>
        </w:rPr>
        <w:t>”</w:t>
      </w:r>
      <w:r w:rsidRPr="00F03B64">
        <w:rPr>
          <w:rFonts w:ascii="Verdana" w:hAnsi="Verdana"/>
          <w:sz w:val="16"/>
          <w:szCs w:val="16"/>
        </w:rPr>
        <w:t>.</w:t>
      </w:r>
    </w:p>
    <w:p w14:paraId="2624737A" w14:textId="77777777" w:rsidR="00192A11" w:rsidRPr="00F03B64" w:rsidRDefault="00192A11" w:rsidP="00192A11">
      <w:pPr>
        <w:pStyle w:val="Textonotapie"/>
        <w:ind w:firstLine="709"/>
        <w:contextualSpacing/>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1562CEC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43F6DF9"/>
    <w:multiLevelType w:val="multilevel"/>
    <w:tmpl w:val="5824B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C965FD4"/>
    <w:multiLevelType w:val="hybridMultilevel"/>
    <w:tmpl w:val="054ED022"/>
    <w:lvl w:ilvl="0" w:tplc="08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42761624">
    <w:abstractNumId w:val="9"/>
  </w:num>
  <w:num w:numId="17" w16cid:durableId="1939755645">
    <w:abstractNumId w:val="15"/>
  </w:num>
  <w:num w:numId="18" w16cid:durableId="1330140246">
    <w:abstractNumId w:val="0"/>
  </w:num>
  <w:num w:numId="19" w16cid:durableId="57678838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E2ACA"/>
    <w:rsid w:val="000F4754"/>
    <w:rsid w:val="000F6486"/>
    <w:rsid w:val="00125105"/>
    <w:rsid w:val="00127233"/>
    <w:rsid w:val="00136559"/>
    <w:rsid w:val="001511A0"/>
    <w:rsid w:val="00192A11"/>
    <w:rsid w:val="001B2071"/>
    <w:rsid w:val="001B7BFD"/>
    <w:rsid w:val="001E416D"/>
    <w:rsid w:val="001E4177"/>
    <w:rsid w:val="001F7DC6"/>
    <w:rsid w:val="00215570"/>
    <w:rsid w:val="002265BD"/>
    <w:rsid w:val="002421BB"/>
    <w:rsid w:val="0025796E"/>
    <w:rsid w:val="002707A2"/>
    <w:rsid w:val="002951A0"/>
    <w:rsid w:val="002962BC"/>
    <w:rsid w:val="002A093D"/>
    <w:rsid w:val="002A0DD0"/>
    <w:rsid w:val="002A49AC"/>
    <w:rsid w:val="002A64FD"/>
    <w:rsid w:val="002C7A84"/>
    <w:rsid w:val="002E4FD9"/>
    <w:rsid w:val="00322A85"/>
    <w:rsid w:val="00324168"/>
    <w:rsid w:val="003339D3"/>
    <w:rsid w:val="00342B0A"/>
    <w:rsid w:val="003448F4"/>
    <w:rsid w:val="00373DAA"/>
    <w:rsid w:val="00374F5E"/>
    <w:rsid w:val="00377E3E"/>
    <w:rsid w:val="003A2A08"/>
    <w:rsid w:val="003A779E"/>
    <w:rsid w:val="003D0F4D"/>
    <w:rsid w:val="003D5B0D"/>
    <w:rsid w:val="003E0499"/>
    <w:rsid w:val="003F3941"/>
    <w:rsid w:val="00406575"/>
    <w:rsid w:val="00414C74"/>
    <w:rsid w:val="00426AB3"/>
    <w:rsid w:val="0042722E"/>
    <w:rsid w:val="0043394A"/>
    <w:rsid w:val="0044528D"/>
    <w:rsid w:val="004520E3"/>
    <w:rsid w:val="004A1847"/>
    <w:rsid w:val="004A305D"/>
    <w:rsid w:val="004F21C4"/>
    <w:rsid w:val="004F685F"/>
    <w:rsid w:val="00531485"/>
    <w:rsid w:val="00532C3A"/>
    <w:rsid w:val="00542ACA"/>
    <w:rsid w:val="005566E8"/>
    <w:rsid w:val="00574867"/>
    <w:rsid w:val="00591460"/>
    <w:rsid w:val="005B3816"/>
    <w:rsid w:val="005C3777"/>
    <w:rsid w:val="005C5CDC"/>
    <w:rsid w:val="005D476C"/>
    <w:rsid w:val="005F5CD4"/>
    <w:rsid w:val="005F65BE"/>
    <w:rsid w:val="006219F8"/>
    <w:rsid w:val="00653A93"/>
    <w:rsid w:val="00665D70"/>
    <w:rsid w:val="006900D9"/>
    <w:rsid w:val="00696F60"/>
    <w:rsid w:val="00706C16"/>
    <w:rsid w:val="00734D00"/>
    <w:rsid w:val="00756841"/>
    <w:rsid w:val="007649AB"/>
    <w:rsid w:val="00767AF7"/>
    <w:rsid w:val="00771D0C"/>
    <w:rsid w:val="00774AEF"/>
    <w:rsid w:val="007833AC"/>
    <w:rsid w:val="00785095"/>
    <w:rsid w:val="007906BE"/>
    <w:rsid w:val="007B268C"/>
    <w:rsid w:val="007B7171"/>
    <w:rsid w:val="007C0C0F"/>
    <w:rsid w:val="007C3DC2"/>
    <w:rsid w:val="007C64FF"/>
    <w:rsid w:val="007D7FF6"/>
    <w:rsid w:val="007E226A"/>
    <w:rsid w:val="007E5497"/>
    <w:rsid w:val="007F31B2"/>
    <w:rsid w:val="00806F5F"/>
    <w:rsid w:val="00820278"/>
    <w:rsid w:val="00841A24"/>
    <w:rsid w:val="00844D2F"/>
    <w:rsid w:val="00867F95"/>
    <w:rsid w:val="008843B6"/>
    <w:rsid w:val="00891928"/>
    <w:rsid w:val="008A446D"/>
    <w:rsid w:val="008B612F"/>
    <w:rsid w:val="008C3801"/>
    <w:rsid w:val="008D180B"/>
    <w:rsid w:val="008E69F1"/>
    <w:rsid w:val="008E6CEF"/>
    <w:rsid w:val="008E7568"/>
    <w:rsid w:val="008F0EA7"/>
    <w:rsid w:val="00923EEF"/>
    <w:rsid w:val="009419F9"/>
    <w:rsid w:val="0095685E"/>
    <w:rsid w:val="00961B09"/>
    <w:rsid w:val="00965334"/>
    <w:rsid w:val="0097093E"/>
    <w:rsid w:val="00983165"/>
    <w:rsid w:val="00986AC5"/>
    <w:rsid w:val="009A0DFA"/>
    <w:rsid w:val="009B2D26"/>
    <w:rsid w:val="009B3249"/>
    <w:rsid w:val="009C4A7C"/>
    <w:rsid w:val="009C71FA"/>
    <w:rsid w:val="009C72E7"/>
    <w:rsid w:val="009D3058"/>
    <w:rsid w:val="009E495E"/>
    <w:rsid w:val="009F3A13"/>
    <w:rsid w:val="00A122D3"/>
    <w:rsid w:val="00A17F13"/>
    <w:rsid w:val="00A20739"/>
    <w:rsid w:val="00A33C78"/>
    <w:rsid w:val="00A43A36"/>
    <w:rsid w:val="00A70204"/>
    <w:rsid w:val="00A94F46"/>
    <w:rsid w:val="00AB0ADB"/>
    <w:rsid w:val="00AB62D5"/>
    <w:rsid w:val="00AD1BCB"/>
    <w:rsid w:val="00B01B1A"/>
    <w:rsid w:val="00B15C70"/>
    <w:rsid w:val="00B608FB"/>
    <w:rsid w:val="00B66319"/>
    <w:rsid w:val="00B72CD3"/>
    <w:rsid w:val="00B72FFF"/>
    <w:rsid w:val="00BC3D36"/>
    <w:rsid w:val="00BD7F72"/>
    <w:rsid w:val="00BE6328"/>
    <w:rsid w:val="00BF1939"/>
    <w:rsid w:val="00C04FB3"/>
    <w:rsid w:val="00C247A3"/>
    <w:rsid w:val="00C330EB"/>
    <w:rsid w:val="00C375B4"/>
    <w:rsid w:val="00C41061"/>
    <w:rsid w:val="00C473E9"/>
    <w:rsid w:val="00C754BE"/>
    <w:rsid w:val="00C76B1C"/>
    <w:rsid w:val="00CB6357"/>
    <w:rsid w:val="00CB7D25"/>
    <w:rsid w:val="00CC1B26"/>
    <w:rsid w:val="00D347A3"/>
    <w:rsid w:val="00D41665"/>
    <w:rsid w:val="00D423A2"/>
    <w:rsid w:val="00D520D8"/>
    <w:rsid w:val="00D63AC2"/>
    <w:rsid w:val="00D6608A"/>
    <w:rsid w:val="00D7383B"/>
    <w:rsid w:val="00D92A28"/>
    <w:rsid w:val="00DA231B"/>
    <w:rsid w:val="00DC321A"/>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B5460"/>
    <w:rsid w:val="00EC38A7"/>
    <w:rsid w:val="00ED7384"/>
    <w:rsid w:val="00EE1AA8"/>
    <w:rsid w:val="00F0286C"/>
    <w:rsid w:val="00F31EDC"/>
    <w:rsid w:val="00F462B3"/>
    <w:rsid w:val="00F56246"/>
    <w:rsid w:val="00F5664F"/>
    <w:rsid w:val="00F666C4"/>
    <w:rsid w:val="00F76AFC"/>
    <w:rsid w:val="00F907FD"/>
    <w:rsid w:val="00FA47C0"/>
    <w:rsid w:val="00FA49D4"/>
    <w:rsid w:val="00FB5DD1"/>
    <w:rsid w:val="00FC2B5D"/>
    <w:rsid w:val="00FF1449"/>
    <w:rsid w:val="149E133F"/>
    <w:rsid w:val="157CF922"/>
    <w:rsid w:val="1A17EDC7"/>
    <w:rsid w:val="264A910C"/>
    <w:rsid w:val="322F1EA5"/>
    <w:rsid w:val="370DF807"/>
    <w:rsid w:val="3952B5D6"/>
    <w:rsid w:val="5197410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D44810C-1329-4089-BF70-9A8D9C1D0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8C3801"/>
    <w:pPr>
      <w:spacing w:line="240" w:lineRule="exact"/>
    </w:pPr>
    <w:rPr>
      <w:vertAlign w:val="superscript"/>
    </w:rPr>
  </w:style>
  <w:style w:type="table" w:customStyle="1" w:styleId="Tablaconcuadrcula11">
    <w:name w:val="Tabla con cuadrícula11"/>
    <w:basedOn w:val="Tablanormal"/>
    <w:next w:val="Tablaconcuadrcula"/>
    <w:uiPriority w:val="59"/>
    <w:qFormat/>
    <w:rsid w:val="008C38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3801"/>
    <w:rPr>
      <w:rFonts w:ascii="Geomanist Light" w:hAnsi="Geomanist Light"/>
      <w:lang w:val="es-ES"/>
    </w:rPr>
  </w:style>
  <w:style w:type="character" w:customStyle="1" w:styleId="superscript">
    <w:name w:val="superscript"/>
    <w:basedOn w:val="Fuentedeprrafopredeter"/>
    <w:rsid w:val="008C3801"/>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589A469-AEED-442A-B996-66C7423B5B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9DB0F1E-0CFC-4987-99A3-236767BF7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13</Pages>
  <Words>4410</Words>
  <Characters>24259</Characters>
  <Application>Microsoft Office Word</Application>
  <DocSecurity>0</DocSecurity>
  <Lines>202</Lines>
  <Paragraphs>57</Paragraphs>
  <ScaleCrop>false</ScaleCrop>
  <Company/>
  <LinksUpToDate>false</LinksUpToDate>
  <CharactersWithSpaces>28612</CharactersWithSpaces>
  <SharedDoc>false</SharedDoc>
  <HLinks>
    <vt:vector size="6" baseType="variant">
      <vt:variant>
        <vt:i4>7471218</vt:i4>
      </vt:variant>
      <vt:variant>
        <vt:i4>0</vt:i4>
      </vt:variant>
      <vt:variant>
        <vt:i4>0</vt:i4>
      </vt:variant>
      <vt:variant>
        <vt:i4>5</vt:i4>
      </vt:variant>
      <vt:variant>
        <vt:lpwstr>https://relatoria.colombiacompra.gov.co/busqueda/conceptos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2023-01-11T00:18:00Z</cp:lastPrinted>
  <dcterms:created xsi:type="dcterms:W3CDTF">2025-02-01T21:27:00Z</dcterms:created>
  <dcterms:modified xsi:type="dcterms:W3CDTF">2025-03-04T22:25:00Z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