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D68F2" w14:textId="77777777" w:rsidR="00AB64A5" w:rsidRPr="00251CA2" w:rsidRDefault="00AB64A5" w:rsidP="00E100F3">
      <w:pPr>
        <w:jc w:val="both"/>
        <w:rPr>
          <w:rFonts w:ascii="Verdana" w:hAnsi="Verdana"/>
          <w:b/>
          <w:lang w:val="es-ES_tradnl"/>
        </w:rPr>
      </w:pPr>
      <w:bookmarkStart w:id="0" w:name="_Hlk143780582"/>
      <w:r w:rsidRPr="00251CA2">
        <w:rPr>
          <w:rFonts w:ascii="Verdana" w:hAnsi="Verdana"/>
          <w:b/>
          <w:lang w:val="es-ES_tradnl"/>
        </w:rPr>
        <w:t xml:space="preserve">PRINCIPIO DE SELECCIÓN OBJETIVA – Noción – Normativa – Requisitos habilitantes – Requisitos ponderables </w:t>
      </w:r>
    </w:p>
    <w:p w14:paraId="3AFFF08B" w14:textId="77777777" w:rsidR="00AB64A5" w:rsidRPr="00251CA2" w:rsidRDefault="00AB64A5" w:rsidP="00AB64A5">
      <w:pPr>
        <w:spacing w:before="120"/>
        <w:ind w:right="51"/>
        <w:jc w:val="both"/>
        <w:rPr>
          <w:rFonts w:ascii="Verdana" w:hAnsi="Verdana"/>
          <w:bCs/>
        </w:rPr>
      </w:pPr>
      <w:r w:rsidRPr="00251CA2">
        <w:rPr>
          <w:rFonts w:ascii="Verdana" w:hAnsi="Verdana"/>
          <w:bCs/>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r w:rsidRPr="00251CA2">
        <w:rPr>
          <w:rFonts w:ascii="Verdana" w:hAnsi="Verdana"/>
          <w:bCs/>
        </w:rPr>
        <w:t xml:space="preserve">Si bien dentro de la historia de la contratación pública en Colombia, se vislumbran antecedentes normativos que consagraban dicho principio,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bCs/>
        </w:rPr>
        <w:t>que</w:t>
      </w:r>
      <w:proofErr w:type="gramEnd"/>
      <w:r w:rsidRPr="00251CA2">
        <w:rPr>
          <w:rFonts w:ascii="Verdana" w:hAnsi="Verdana"/>
          <w:bCs/>
        </w:rPr>
        <w:t xml:space="preserve"> en consecuencia, darán lugar a la escogencia objetiva de la mejor propuesta para la entidad”. Todas estas categorías designan los “[…] factores a los cuales cabe otorgarles puntajes o que pueden ser ponderados, precisamente, pues estos son los factores que en últimas permiten una comparación de ofertas y una diferenciación entre ellas”. </w:t>
      </w:r>
    </w:p>
    <w:p w14:paraId="4CF9FEAA" w14:textId="77777777" w:rsidR="00AB64A5" w:rsidRPr="00251CA2" w:rsidRDefault="00AB64A5" w:rsidP="00AB64A5">
      <w:pPr>
        <w:jc w:val="both"/>
        <w:rPr>
          <w:rFonts w:ascii="Verdana" w:hAnsi="Verdana"/>
          <w:b/>
        </w:rPr>
      </w:pPr>
      <w:r w:rsidRPr="00251CA2">
        <w:rPr>
          <w:rFonts w:ascii="Verdana" w:hAnsi="Verdana"/>
          <w:b/>
        </w:rPr>
        <w:t xml:space="preserve">REQUISITOS PONDERABLES – Asignación de puntaje </w:t>
      </w:r>
    </w:p>
    <w:p w14:paraId="2BC8AD67" w14:textId="77777777" w:rsidR="00AB64A5" w:rsidRPr="00251CA2" w:rsidRDefault="00AB64A5" w:rsidP="00AB64A5">
      <w:pPr>
        <w:jc w:val="both"/>
        <w:rPr>
          <w:rFonts w:ascii="Verdana" w:hAnsi="Verdana"/>
          <w:bCs/>
        </w:rPr>
      </w:pPr>
      <w:r w:rsidRPr="00251CA2">
        <w:rPr>
          <w:rFonts w:ascii="Verdana" w:hAnsi="Verdana"/>
          <w:bCs/>
        </w:rPr>
        <w:t xml:space="preserve">[…]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w:t>
      </w:r>
      <w:r w:rsidRPr="00251CA2">
        <w:rPr>
          <w:rFonts w:ascii="Verdana" w:hAnsi="Verdana"/>
          <w:bCs/>
        </w:rPr>
        <w:lastRenderedPageBreak/>
        <w:t xml:space="preserve">aplicando para ello las reglas establecidas en el pliego o documento equivalente para la ponderación de las ofertas. </w:t>
      </w:r>
    </w:p>
    <w:p w14:paraId="422A206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6528CAE1"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68FC08EE"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7EF8195"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A4AF2E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1855E748"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32967AB1"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51EDA15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453FDB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453957A2"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43E3A8E2"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0FD2C77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439C54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57528B2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14B19796"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7C111A5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372CC5C3" w14:textId="77777777" w:rsidR="00AB64A5" w:rsidRPr="00542ED3" w:rsidRDefault="00AB64A5" w:rsidP="00AB64A5">
      <w:pPr>
        <w:rPr>
          <w:rFonts w:ascii="Verdana" w:eastAsia="Geomanist Light" w:hAnsi="Verdana" w:cs="Arial"/>
          <w:color w:val="000000" w:themeColor="text1"/>
          <w:lang w:val="es-MX"/>
        </w:rPr>
      </w:pPr>
      <w:r>
        <w:rPr>
          <w:rFonts w:ascii="Verdana" w:eastAsia="Geomanist Light" w:hAnsi="Verdana" w:cs="Arial"/>
          <w:color w:val="000000" w:themeColor="text1"/>
          <w:lang w:val="es-MX"/>
        </w:rPr>
        <w:br w:type="page"/>
      </w:r>
    </w:p>
    <w:p w14:paraId="4BABA66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05D75B93" w14:textId="1A4EC0E6" w:rsidR="00AB64A5" w:rsidRDefault="00AB64A5" w:rsidP="260E171D">
      <w:pPr>
        <w:spacing w:after="0"/>
        <w:rPr>
          <w:rFonts w:ascii="Verdana" w:hAnsi="Verdana"/>
        </w:rPr>
      </w:pPr>
      <w:r w:rsidRPr="260E171D">
        <w:rPr>
          <w:rFonts w:ascii="Verdana" w:hAnsi="Verdana"/>
        </w:rPr>
        <w:t xml:space="preserve">Bogotá D.C., </w:t>
      </w:r>
      <w:r w:rsidR="5FB90329" w:rsidRPr="260E171D">
        <w:rPr>
          <w:rFonts w:ascii="Verdana" w:hAnsi="Verdana"/>
        </w:rPr>
        <w:t>24 de septiembre de 2024.</w:t>
      </w:r>
    </w:p>
    <w:p w14:paraId="7E286A8D" w14:textId="77777777" w:rsidR="00AB64A5" w:rsidRDefault="00AB64A5" w:rsidP="00AB64A5">
      <w:pPr>
        <w:spacing w:after="0"/>
        <w:rPr>
          <w:rFonts w:ascii="Verdana" w:hAnsi="Verdana"/>
        </w:rPr>
      </w:pPr>
    </w:p>
    <w:p w14:paraId="3FF7202D" w14:textId="76E44A8D" w:rsidR="00276CE3" w:rsidRDefault="00276CE3" w:rsidP="00276CE3">
      <w:pPr>
        <w:spacing w:after="0"/>
        <w:jc w:val="right"/>
        <w:rPr>
          <w:rFonts w:ascii="Verdana" w:hAnsi="Verdana"/>
        </w:rPr>
      </w:pPr>
      <w:r>
        <w:rPr>
          <w:rFonts w:ascii="Verdana" w:hAnsi="Verdana"/>
          <w:noProof/>
        </w:rPr>
        <w:drawing>
          <wp:inline distT="0" distB="0" distL="0" distR="0" wp14:anchorId="1C33389A" wp14:editId="05285227">
            <wp:extent cx="2857500" cy="876300"/>
            <wp:effectExtent l="0" t="0" r="0" b="0"/>
            <wp:docPr id="81773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876300"/>
                    </a:xfrm>
                    <a:prstGeom prst="rect">
                      <a:avLst/>
                    </a:prstGeom>
                    <a:noFill/>
                    <a:ln>
                      <a:noFill/>
                    </a:ln>
                  </pic:spPr>
                </pic:pic>
              </a:graphicData>
            </a:graphic>
          </wp:inline>
        </w:drawing>
      </w:r>
    </w:p>
    <w:p w14:paraId="6F8CA54C" w14:textId="77777777" w:rsidR="00AB64A5" w:rsidRPr="00542ED3" w:rsidRDefault="00AB64A5" w:rsidP="00AB64A5">
      <w:pPr>
        <w:spacing w:after="0"/>
        <w:rPr>
          <w:rFonts w:ascii="Verdana" w:hAnsi="Verdana"/>
        </w:rPr>
      </w:pPr>
    </w:p>
    <w:p w14:paraId="01AE3B0A" w14:textId="77777777" w:rsidR="00AB64A5" w:rsidRPr="00542ED3" w:rsidRDefault="00AB64A5" w:rsidP="00AB64A5">
      <w:pPr>
        <w:spacing w:after="0" w:line="240" w:lineRule="auto"/>
        <w:jc w:val="both"/>
        <w:rPr>
          <w:rFonts w:ascii="Verdana" w:eastAsia="Calibri" w:hAnsi="Verdana" w:cs="Arial"/>
          <w:lang w:eastAsia="es-ES"/>
        </w:rPr>
      </w:pPr>
      <w:r w:rsidRPr="00542ED3">
        <w:rPr>
          <w:rFonts w:ascii="Verdana" w:eastAsia="Calibri" w:hAnsi="Verdana" w:cs="Arial"/>
          <w:lang w:eastAsia="es-ES"/>
        </w:rPr>
        <w:t>Señora</w:t>
      </w:r>
    </w:p>
    <w:p w14:paraId="141BADCD" w14:textId="77777777" w:rsidR="00AB64A5" w:rsidRPr="00542ED3" w:rsidRDefault="00AB64A5" w:rsidP="00AB64A5">
      <w:pPr>
        <w:spacing w:after="0" w:line="240" w:lineRule="auto"/>
        <w:rPr>
          <w:rFonts w:ascii="Verdana" w:eastAsia="Calibri" w:hAnsi="Verdana" w:cs="Arial"/>
          <w:b/>
          <w:bCs/>
          <w:lang w:eastAsia="es-ES_tradnl"/>
        </w:rPr>
      </w:pPr>
      <w:r w:rsidRPr="00542ED3">
        <w:rPr>
          <w:rFonts w:ascii="Verdana" w:eastAsia="Calibri" w:hAnsi="Verdana" w:cs="Arial"/>
          <w:b/>
          <w:bCs/>
          <w:lang w:eastAsia="es-ES_tradnl"/>
        </w:rPr>
        <w:t xml:space="preserve">LUISA FERNANDA CASTRO MIRANDA </w:t>
      </w:r>
    </w:p>
    <w:p w14:paraId="04E749AD" w14:textId="77777777" w:rsidR="00AB64A5" w:rsidRPr="00542ED3" w:rsidRDefault="00AB64A5" w:rsidP="00AB64A5">
      <w:pPr>
        <w:spacing w:after="0" w:line="240" w:lineRule="auto"/>
        <w:rPr>
          <w:rFonts w:ascii="Verdana" w:eastAsia="Calibri" w:hAnsi="Verdana" w:cs="Arial"/>
          <w:u w:val="single"/>
          <w:lang w:eastAsia="es-ES"/>
        </w:rPr>
      </w:pPr>
      <w:hyperlink r:id="rId11" w:history="1">
        <w:r w:rsidRPr="00542ED3">
          <w:rPr>
            <w:rStyle w:val="Hipervnculo"/>
            <w:rFonts w:ascii="Verdana" w:eastAsia="Calibri" w:hAnsi="Verdana" w:cs="Arial"/>
            <w:lang w:eastAsia="es-ES"/>
          </w:rPr>
          <w:t>lfcastro0@gmail.com</w:t>
        </w:r>
      </w:hyperlink>
    </w:p>
    <w:p w14:paraId="38021ECE" w14:textId="77777777" w:rsidR="00AB64A5" w:rsidRPr="00542ED3" w:rsidRDefault="00AB64A5" w:rsidP="00AB64A5">
      <w:pPr>
        <w:spacing w:after="0" w:line="240" w:lineRule="auto"/>
        <w:rPr>
          <w:rFonts w:ascii="Verdana" w:eastAsia="Calibri" w:hAnsi="Verdana" w:cs="Arial"/>
          <w:b/>
          <w:bCs/>
          <w:lang w:val="es-ES" w:eastAsia="es-ES"/>
        </w:rPr>
      </w:pPr>
      <w:r w:rsidRPr="00542ED3">
        <w:rPr>
          <w:rFonts w:ascii="Verdana" w:eastAsia="Calibri" w:hAnsi="Verdana" w:cs="Arial"/>
          <w:lang w:val="es-ES" w:eastAsia="es-ES"/>
        </w:rPr>
        <w:t>Bogotá D.C.</w:t>
      </w:r>
    </w:p>
    <w:p w14:paraId="44649E13" w14:textId="77777777" w:rsidR="00AB64A5" w:rsidRPr="00542ED3" w:rsidRDefault="00AB64A5" w:rsidP="00AB64A5">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AB64A5" w:rsidRPr="00542ED3" w14:paraId="124FFB5C" w14:textId="77777777" w:rsidTr="007B0B27">
        <w:trPr>
          <w:trHeight w:val="884"/>
        </w:trPr>
        <w:tc>
          <w:tcPr>
            <w:tcW w:w="2268" w:type="dxa"/>
          </w:tcPr>
          <w:p w14:paraId="6311258D" w14:textId="77777777" w:rsidR="00AB64A5" w:rsidRPr="00542ED3" w:rsidRDefault="00AB64A5" w:rsidP="007B0B27">
            <w:pPr>
              <w:jc w:val="both"/>
              <w:rPr>
                <w:rFonts w:ascii="Verdana" w:eastAsia="Calibri" w:hAnsi="Verdana" w:cs="Arial"/>
                <w:b/>
                <w:bCs/>
                <w:color w:val="7030A0"/>
                <w:lang w:val="es-ES_tradnl" w:eastAsia="es-ES_tradnl"/>
              </w:rPr>
            </w:pPr>
          </w:p>
        </w:tc>
        <w:tc>
          <w:tcPr>
            <w:tcW w:w="6946" w:type="dxa"/>
          </w:tcPr>
          <w:p w14:paraId="23DA8C95" w14:textId="77777777" w:rsidR="00AB64A5" w:rsidRPr="00542ED3" w:rsidRDefault="00AB64A5" w:rsidP="007B0B27">
            <w:pPr>
              <w:jc w:val="both"/>
              <w:rPr>
                <w:rFonts w:ascii="Verdana" w:eastAsia="Calibri" w:hAnsi="Verdana" w:cs="Arial"/>
                <w:b/>
                <w:bCs/>
                <w:color w:val="7030A0"/>
                <w:lang w:val="es-ES" w:eastAsia="es-ES"/>
              </w:rPr>
            </w:pPr>
            <w:r w:rsidRPr="00542ED3">
              <w:rPr>
                <w:rFonts w:ascii="Verdana" w:eastAsia="Calibri" w:hAnsi="Verdana" w:cs="Arial"/>
                <w:b/>
                <w:bCs/>
                <w:lang w:val="es-ES" w:eastAsia="es-ES"/>
              </w:rPr>
              <w:t>Concepto C- 457 de 2024</w:t>
            </w:r>
          </w:p>
        </w:tc>
      </w:tr>
      <w:tr w:rsidR="00AB64A5" w:rsidRPr="00542ED3" w14:paraId="317258D8" w14:textId="77777777" w:rsidTr="007B0B27">
        <w:trPr>
          <w:trHeight w:val="884"/>
        </w:trPr>
        <w:tc>
          <w:tcPr>
            <w:tcW w:w="2268" w:type="dxa"/>
          </w:tcPr>
          <w:p w14:paraId="216AB9FC" w14:textId="77777777" w:rsidR="00AB64A5" w:rsidRPr="00251CA2" w:rsidRDefault="00AB64A5" w:rsidP="007B0B27">
            <w:pPr>
              <w:jc w:val="both"/>
              <w:rPr>
                <w:rFonts w:ascii="Verdana" w:eastAsia="Calibri" w:hAnsi="Verdana" w:cs="Arial"/>
                <w:b/>
                <w:bCs/>
                <w:lang w:val="es-ES_tradnl" w:eastAsia="es-ES_tradnl"/>
              </w:rPr>
            </w:pPr>
            <w:r w:rsidRPr="00251CA2">
              <w:rPr>
                <w:rFonts w:ascii="Verdana" w:eastAsia="Calibri" w:hAnsi="Verdana" w:cs="Arial"/>
                <w:b/>
                <w:bCs/>
                <w:lang w:val="es-ES_tradnl" w:eastAsia="es-ES_tradnl"/>
              </w:rPr>
              <w:t xml:space="preserve">Temas:                   </w:t>
            </w:r>
          </w:p>
        </w:tc>
        <w:tc>
          <w:tcPr>
            <w:tcW w:w="6946" w:type="dxa"/>
          </w:tcPr>
          <w:p w14:paraId="166DCFEB" w14:textId="271B7C6F" w:rsidR="00AB64A5" w:rsidRPr="00251CA2" w:rsidRDefault="00AB64A5" w:rsidP="007B0B27">
            <w:pPr>
              <w:jc w:val="both"/>
              <w:rPr>
                <w:rFonts w:ascii="Verdana" w:eastAsia="Calibri" w:hAnsi="Verdana" w:cs="Arial"/>
                <w:lang w:val="es-ES_tradnl" w:eastAsia="es-ES_tradnl"/>
              </w:rPr>
            </w:pPr>
            <w:r w:rsidRPr="00251CA2">
              <w:rPr>
                <w:rFonts w:ascii="Verdana" w:eastAsia="Calibri" w:hAnsi="Verdana" w:cs="Arial"/>
                <w:lang w:val="es-ES_tradnl" w:eastAsia="es-ES_tradnl"/>
              </w:rPr>
              <w:t>PRINCIPIO DE SELECCIÓN OBJETIVA – Noción – Normativa – Requisitos habilitantes – Requisitos ponderables / REQUISITOS PONDERABLES – Asignación de puntaje</w:t>
            </w:r>
            <w:r w:rsidR="00C01E35">
              <w:rPr>
                <w:rFonts w:ascii="Verdana" w:eastAsia="Calibri" w:hAnsi="Verdana" w:cs="Arial"/>
                <w:lang w:val="es-ES_tradnl" w:eastAsia="es-ES_tradnl"/>
              </w:rPr>
              <w:t>.</w:t>
            </w:r>
          </w:p>
          <w:p w14:paraId="0DCE15E8" w14:textId="77777777" w:rsidR="00AB64A5" w:rsidRPr="00251CA2" w:rsidRDefault="00AB64A5" w:rsidP="007B0B27">
            <w:pPr>
              <w:rPr>
                <w:rFonts w:ascii="Verdana" w:eastAsia="Calibri" w:hAnsi="Verdana" w:cs="Arial"/>
                <w:lang w:val="es-ES_tradnl" w:eastAsia="es-ES_tradnl"/>
              </w:rPr>
            </w:pPr>
          </w:p>
          <w:p w14:paraId="362B2D37" w14:textId="77777777" w:rsidR="00AB64A5" w:rsidRPr="00251CA2" w:rsidRDefault="00AB64A5" w:rsidP="007B0B27">
            <w:pPr>
              <w:spacing w:line="276" w:lineRule="auto"/>
              <w:jc w:val="both"/>
              <w:rPr>
                <w:rFonts w:ascii="Verdana" w:eastAsia="Calibri" w:hAnsi="Verdana" w:cs="Arial"/>
                <w:lang w:val="es-ES_tradnl" w:eastAsia="es-ES_tradnl"/>
              </w:rPr>
            </w:pPr>
          </w:p>
        </w:tc>
      </w:tr>
      <w:tr w:rsidR="00AB64A5" w:rsidRPr="00542ED3" w14:paraId="6B3F3ED0" w14:textId="77777777" w:rsidTr="007B0B27">
        <w:tc>
          <w:tcPr>
            <w:tcW w:w="2268" w:type="dxa"/>
          </w:tcPr>
          <w:p w14:paraId="0AC72359" w14:textId="77777777" w:rsidR="00AB64A5" w:rsidRPr="00542ED3" w:rsidRDefault="00AB64A5" w:rsidP="007B0B27">
            <w:pPr>
              <w:jc w:val="both"/>
              <w:rPr>
                <w:rFonts w:ascii="Verdana" w:eastAsia="Calibri" w:hAnsi="Verdana" w:cs="Arial"/>
                <w:b/>
                <w:lang w:val="es-ES_tradnl" w:eastAsia="es-ES_tradnl"/>
              </w:rPr>
            </w:pPr>
            <w:r w:rsidRPr="00542ED3">
              <w:rPr>
                <w:rFonts w:ascii="Verdana" w:eastAsia="Calibri" w:hAnsi="Verdana" w:cs="Arial"/>
                <w:b/>
                <w:lang w:val="es-ES_tradnl" w:eastAsia="es-ES_tradnl"/>
              </w:rPr>
              <w:t>Radicación:</w:t>
            </w:r>
            <w:r w:rsidRPr="00542ED3">
              <w:rPr>
                <w:rFonts w:ascii="Verdana" w:eastAsia="Calibri" w:hAnsi="Verdana" w:cs="Arial"/>
                <w:lang w:val="es-ES_tradnl" w:eastAsia="es-ES_tradnl"/>
              </w:rPr>
              <w:t xml:space="preserve">               </w:t>
            </w:r>
          </w:p>
        </w:tc>
        <w:tc>
          <w:tcPr>
            <w:tcW w:w="6946" w:type="dxa"/>
          </w:tcPr>
          <w:p w14:paraId="14A3CEBF" w14:textId="77777777" w:rsidR="00AB64A5" w:rsidRPr="00542ED3" w:rsidRDefault="00AB64A5" w:rsidP="007B0B27">
            <w:pPr>
              <w:jc w:val="both"/>
              <w:rPr>
                <w:rFonts w:ascii="Verdana" w:eastAsia="Calibri" w:hAnsi="Verdana" w:cs="Arial"/>
                <w:lang w:val="es-ES_tradnl" w:eastAsia="es-ES_tradnl"/>
              </w:rPr>
            </w:pPr>
            <w:r w:rsidRPr="00542ED3">
              <w:rPr>
                <w:rFonts w:ascii="Verdana" w:eastAsia="Calibri" w:hAnsi="Verdana" w:cs="Arial"/>
                <w:lang w:val="es-ES_tradnl" w:eastAsia="es-ES_tradnl"/>
              </w:rPr>
              <w:t>Respuesta a consulta con radicado No. P20240808008101</w:t>
            </w:r>
          </w:p>
        </w:tc>
      </w:tr>
    </w:tbl>
    <w:p w14:paraId="7459B210" w14:textId="77777777" w:rsidR="00AB64A5" w:rsidRPr="00542ED3" w:rsidRDefault="00AB64A5" w:rsidP="00AB64A5">
      <w:pPr>
        <w:spacing w:after="0" w:line="240" w:lineRule="auto"/>
        <w:jc w:val="both"/>
        <w:rPr>
          <w:rFonts w:ascii="Verdana" w:eastAsia="Calibri" w:hAnsi="Verdana" w:cs="Arial"/>
          <w:color w:val="000000"/>
          <w:lang w:val="es-ES_tradnl" w:eastAsia="es-ES_tradnl"/>
        </w:rPr>
      </w:pPr>
    </w:p>
    <w:p w14:paraId="3010FD6F" w14:textId="77777777" w:rsidR="00AB64A5" w:rsidRPr="00542ED3" w:rsidRDefault="00AB64A5" w:rsidP="00AB64A5">
      <w:pPr>
        <w:spacing w:after="0" w:line="240" w:lineRule="auto"/>
        <w:jc w:val="both"/>
        <w:rPr>
          <w:rFonts w:ascii="Verdana" w:eastAsia="Calibri" w:hAnsi="Verdana" w:cs="Arial"/>
          <w:color w:val="000000"/>
          <w:lang w:val="es-ES_tradnl" w:eastAsia="es-ES_tradnl"/>
        </w:rPr>
      </w:pPr>
    </w:p>
    <w:p w14:paraId="16D75B47" w14:textId="77777777" w:rsidR="00AB64A5" w:rsidRPr="00542ED3" w:rsidRDefault="00AB64A5" w:rsidP="00AB64A5">
      <w:pPr>
        <w:spacing w:after="0" w:line="276" w:lineRule="auto"/>
        <w:jc w:val="both"/>
        <w:rPr>
          <w:rFonts w:ascii="Verdana" w:eastAsia="Calibri" w:hAnsi="Verdana" w:cs="Arial"/>
          <w:lang w:val="es-ES" w:eastAsia="es-ES"/>
        </w:rPr>
      </w:pPr>
      <w:r w:rsidRPr="00542ED3">
        <w:rPr>
          <w:rFonts w:ascii="Verdana" w:eastAsia="Calibri" w:hAnsi="Verdana" w:cs="Arial"/>
          <w:lang w:val="es-ES" w:eastAsia="es-ES"/>
        </w:rPr>
        <w:t xml:space="preserve">Estimada señora Castro; </w:t>
      </w:r>
    </w:p>
    <w:p w14:paraId="5ED55F00" w14:textId="77777777" w:rsidR="00AB64A5" w:rsidRPr="00542ED3" w:rsidRDefault="00AB64A5" w:rsidP="00AB64A5">
      <w:pPr>
        <w:tabs>
          <w:tab w:val="left" w:pos="3768"/>
        </w:tabs>
        <w:spacing w:after="0" w:line="276" w:lineRule="auto"/>
        <w:jc w:val="both"/>
        <w:rPr>
          <w:rFonts w:ascii="Verdana" w:eastAsia="Calibri" w:hAnsi="Verdana" w:cs="Arial"/>
          <w:color w:val="000000" w:themeColor="text1"/>
          <w:lang w:val="es-ES" w:eastAsia="es-ES"/>
        </w:rPr>
      </w:pPr>
      <w:r w:rsidRPr="00542ED3">
        <w:rPr>
          <w:rFonts w:ascii="Verdana" w:eastAsia="Calibri" w:hAnsi="Verdana" w:cs="Arial"/>
          <w:color w:val="000000" w:themeColor="text1"/>
          <w:lang w:val="es-ES" w:eastAsia="es-ES"/>
        </w:rPr>
        <w:tab/>
      </w:r>
    </w:p>
    <w:p w14:paraId="3AAA6349" w14:textId="77777777" w:rsidR="00AB64A5" w:rsidRPr="00542ED3" w:rsidRDefault="00AB64A5" w:rsidP="00AB64A5">
      <w:pPr>
        <w:spacing w:after="0" w:line="276" w:lineRule="auto"/>
        <w:jc w:val="both"/>
        <w:rPr>
          <w:rFonts w:ascii="Verdana" w:eastAsia="Calibri" w:hAnsi="Verdana" w:cs="Arial"/>
          <w:lang w:val="es-ES" w:eastAsia="es-ES"/>
        </w:rPr>
      </w:pPr>
      <w:r w:rsidRPr="00542ED3">
        <w:rPr>
          <w:rFonts w:ascii="Verdana" w:eastAsia="Calibri" w:hAnsi="Verdana" w:cs="Arial"/>
          <w:lang w:val="es-ES" w:eastAsia="es-ES"/>
        </w:rPr>
        <w:t xml:space="preserve">En ejercicio de la </w:t>
      </w:r>
      <w:r w:rsidRPr="00B4672A">
        <w:rPr>
          <w:rFonts w:ascii="Verdana" w:eastAsia="Calibri" w:hAnsi="Verdana" w:cs="Arial"/>
          <w:lang w:val="es-ES" w:eastAsia="es-ES"/>
        </w:rPr>
        <w:t>competencia otorgada por los artículos 3, numeral 5º, y 11, numeral 8º, del Decreto Ley 4170 de 2011,</w:t>
      </w:r>
      <w:r w:rsidRPr="00542ED3">
        <w:rPr>
          <w:rFonts w:ascii="Verdana" w:eastAsia="Arial MT" w:hAnsi="Verdana" w:cs="Arial MT"/>
          <w:lang w:val="es-ES" w:eastAsia="es-ES"/>
        </w:rPr>
        <w:t xml:space="preserve"> </w:t>
      </w:r>
      <w:r w:rsidRPr="00542ED3">
        <w:rPr>
          <w:rFonts w:ascii="Verdana" w:hAnsi="Verdana" w:cs="Arial"/>
        </w:rPr>
        <w:t xml:space="preserve">así como lo establecido en el artículo 4 de la Resolución 1707 de 2018 expedida por esta Entidad, </w:t>
      </w:r>
      <w:r w:rsidRPr="00542ED3">
        <w:rPr>
          <w:rFonts w:ascii="Verdana" w:eastAsia="Calibri" w:hAnsi="Verdana" w:cs="Arial"/>
          <w:lang w:val="es-ES" w:eastAsia="es-ES"/>
        </w:rPr>
        <w:t xml:space="preserve">la Agencia Nacional de Contratación Pública – Colombia Compra Eficiente– responde su solicitud radicada en esta entidad el 8 de agosto de 2024, en la cual manifiesta lo siguiente: </w:t>
      </w:r>
    </w:p>
    <w:p w14:paraId="35AFAAA8" w14:textId="77777777" w:rsidR="00AB64A5" w:rsidRPr="00251CA2" w:rsidRDefault="00AB64A5" w:rsidP="00AB64A5">
      <w:pPr>
        <w:spacing w:after="0" w:line="240" w:lineRule="auto"/>
        <w:ind w:left="709" w:right="709"/>
        <w:jc w:val="both"/>
        <w:rPr>
          <w:rFonts w:ascii="Verdana" w:hAnsi="Verdana" w:cs="Arial"/>
          <w:shd w:val="clear" w:color="auto" w:fill="FFFFFF"/>
        </w:rPr>
      </w:pPr>
      <w:bookmarkStart w:id="1" w:name="_Hlk95313578"/>
    </w:p>
    <w:bookmarkEnd w:id="1"/>
    <w:p w14:paraId="2F32BF48" w14:textId="77777777" w:rsidR="00AB64A5" w:rsidRPr="00542ED3" w:rsidRDefault="00AB64A5" w:rsidP="00AB64A5">
      <w:pPr>
        <w:pStyle w:val="Prrafodelista"/>
        <w:tabs>
          <w:tab w:val="left" w:pos="142"/>
          <w:tab w:val="left" w:pos="284"/>
        </w:tabs>
        <w:spacing w:after="0" w:line="240" w:lineRule="auto"/>
        <w:ind w:left="425" w:right="1185"/>
        <w:jc w:val="both"/>
        <w:rPr>
          <w:rFonts w:ascii="Verdana" w:eastAsia="Century Gothic" w:hAnsi="Verdana" w:cs="Century Gothic"/>
          <w:i/>
          <w:iCs/>
        </w:rPr>
      </w:pPr>
      <w:r w:rsidRPr="00542ED3">
        <w:rPr>
          <w:rFonts w:ascii="Verdana" w:eastAsia="Century Gothic" w:hAnsi="Verdana" w:cs="Century Gothic"/>
          <w:i/>
          <w:iCs/>
        </w:rPr>
        <w:t xml:space="preserve">    “(…)</w:t>
      </w:r>
    </w:p>
    <w:p w14:paraId="48E0F53D" w14:textId="77777777" w:rsidR="00AB64A5" w:rsidRPr="00542ED3" w:rsidRDefault="00AB64A5" w:rsidP="00AB64A5">
      <w:pPr>
        <w:spacing w:after="0" w:line="276" w:lineRule="auto"/>
        <w:ind w:firstLine="709"/>
        <w:jc w:val="both"/>
        <w:rPr>
          <w:rFonts w:ascii="Verdana" w:eastAsia="Century Gothic" w:hAnsi="Verdana" w:cs="Century Gothic"/>
          <w:i/>
          <w:iCs/>
        </w:rPr>
      </w:pPr>
    </w:p>
    <w:p w14:paraId="792CF4F5"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 xml:space="preserve"> Solicito amablemente se emita un concepto acerca de la interpretación de este aparte del artículo 5 de la ley 1150 de 2007. (...) 1. La capacidad jurídica y las </w:t>
      </w:r>
      <w:r w:rsidRPr="00B4672A">
        <w:rPr>
          <w:rFonts w:ascii="Verdana" w:eastAsia="Century Gothic" w:hAnsi="Verdana" w:cs="Century Gothic"/>
          <w:i/>
          <w:iCs/>
        </w:rPr>
        <w:t>condiciones de experiencia, capacidad financiera y de organización de los</w:t>
      </w:r>
      <w:r w:rsidRPr="00542ED3">
        <w:rPr>
          <w:rFonts w:ascii="Verdana" w:eastAsia="Century Gothic" w:hAnsi="Verdana" w:cs="Century Gothic"/>
          <w:i/>
          <w:iCs/>
        </w:rPr>
        <w:t xml:space="preserve"> proponentes serán objeto de verificación de cumplimiento como requisitos habilitantes </w:t>
      </w:r>
      <w:r w:rsidRPr="00542ED3">
        <w:rPr>
          <w:rFonts w:ascii="Verdana" w:eastAsia="Century Gothic" w:hAnsi="Verdana" w:cs="Century Gothic"/>
          <w:i/>
          <w:iCs/>
        </w:rPr>
        <w:lastRenderedPageBreak/>
        <w:t xml:space="preserve">para la participación en el proceso de selección y no otorgarán puntaje, con excepción de lo previsto en el numeral 4 del presente </w:t>
      </w:r>
      <w:proofErr w:type="gramStart"/>
      <w:r w:rsidRPr="00542ED3">
        <w:rPr>
          <w:rFonts w:ascii="Verdana" w:eastAsia="Century Gothic" w:hAnsi="Verdana" w:cs="Century Gothic"/>
          <w:i/>
          <w:iCs/>
        </w:rPr>
        <w:t>artículo.(...)</w:t>
      </w:r>
      <w:proofErr w:type="gramEnd"/>
    </w:p>
    <w:p w14:paraId="4CBE4600"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Pregunto:</w:t>
      </w:r>
    </w:p>
    <w:p w14:paraId="3A905687"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 xml:space="preserve">¿No es posible pedir experiencia adicional (calificable) en los procesos de selección en régimen público y/o especial, </w:t>
      </w:r>
      <w:proofErr w:type="spellStart"/>
      <w:r w:rsidRPr="00542ED3">
        <w:rPr>
          <w:rFonts w:ascii="Verdana" w:eastAsia="Century Gothic" w:hAnsi="Verdana" w:cs="Century Gothic"/>
          <w:i/>
          <w:iCs/>
        </w:rPr>
        <w:t>aún</w:t>
      </w:r>
      <w:proofErr w:type="spellEnd"/>
      <w:r w:rsidRPr="00542ED3">
        <w:rPr>
          <w:rFonts w:ascii="Verdana" w:eastAsia="Century Gothic" w:hAnsi="Verdana" w:cs="Century Gothic"/>
          <w:i/>
          <w:iCs/>
        </w:rPr>
        <w:t xml:space="preserve"> cuando la necesidad técnica e institucional lo requiera? ¿La experiencia adicional (calificable) solo puede ser solicitada como tal cuando la ley lo permita?:[SIC]”</w:t>
      </w:r>
    </w:p>
    <w:p w14:paraId="4E543B6E" w14:textId="77777777" w:rsidR="00AB64A5" w:rsidRPr="00542ED3" w:rsidRDefault="00AB64A5" w:rsidP="00AB64A5">
      <w:pPr>
        <w:spacing w:after="0" w:line="276" w:lineRule="auto"/>
        <w:ind w:left="709" w:right="758"/>
        <w:jc w:val="both"/>
        <w:rPr>
          <w:rFonts w:ascii="Verdana" w:eastAsia="Century Gothic" w:hAnsi="Verdana" w:cs="Century Gothic"/>
          <w:i/>
          <w:iCs/>
        </w:rPr>
      </w:pPr>
    </w:p>
    <w:p w14:paraId="1078C241" w14:textId="77777777" w:rsidR="00AB64A5" w:rsidRPr="00400D6E" w:rsidRDefault="00AB64A5" w:rsidP="00AB64A5">
      <w:pPr>
        <w:spacing w:after="120" w:line="276" w:lineRule="auto"/>
        <w:ind w:firstLine="709"/>
        <w:jc w:val="both"/>
        <w:rPr>
          <w:rFonts w:ascii="Verdana" w:eastAsia="Calibri" w:hAnsi="Verdana" w:cs="Arial"/>
          <w:color w:val="000000"/>
          <w:lang w:val="es-ES_tradnl" w:eastAsia="es-ES_tradnl"/>
        </w:rPr>
      </w:pPr>
      <w:r w:rsidRPr="00542ED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00D6E">
        <w:rPr>
          <w:rFonts w:ascii="Verdana" w:eastAsia="Calibri" w:hAnsi="Verdana" w:cs="Arial"/>
          <w:color w:val="000000"/>
          <w:lang w:val="es-ES_tradnl" w:eastAsia="es-ES_tradnl"/>
        </w:rPr>
        <w:tab/>
      </w:r>
    </w:p>
    <w:p w14:paraId="03C1028C" w14:textId="77777777" w:rsidR="00AB64A5" w:rsidRPr="00542ED3" w:rsidRDefault="00AB64A5" w:rsidP="00AB64A5">
      <w:pPr>
        <w:spacing w:after="0" w:line="276" w:lineRule="auto"/>
        <w:ind w:firstLine="709"/>
        <w:jc w:val="both"/>
        <w:rPr>
          <w:rFonts w:ascii="Verdana" w:eastAsia="Calibri" w:hAnsi="Verdana" w:cs="Arial"/>
          <w:color w:val="000000"/>
          <w:lang w:val="es-ES" w:eastAsia="es-ES"/>
        </w:rPr>
      </w:pPr>
      <w:r w:rsidRPr="00542E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jurídico</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 xml:space="preserve">de su consulta. </w:t>
      </w:r>
    </w:p>
    <w:p w14:paraId="1E8B5A8D" w14:textId="77777777" w:rsidR="00AB64A5" w:rsidRPr="00542ED3" w:rsidRDefault="00AB64A5" w:rsidP="00AB64A5">
      <w:pPr>
        <w:spacing w:after="0" w:line="276" w:lineRule="auto"/>
        <w:ind w:firstLine="709"/>
        <w:jc w:val="both"/>
        <w:rPr>
          <w:rFonts w:ascii="Verdana" w:eastAsia="Calibri" w:hAnsi="Verdana" w:cs="Arial"/>
          <w:color w:val="000000"/>
          <w:lang w:val="es-ES" w:eastAsia="es-ES"/>
        </w:rPr>
      </w:pPr>
    </w:p>
    <w:p w14:paraId="631D94B5" w14:textId="77777777" w:rsidR="00AB64A5" w:rsidRPr="00542ED3" w:rsidRDefault="00AB64A5" w:rsidP="00AB64A5">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42ED3">
        <w:rPr>
          <w:rFonts w:ascii="Verdana" w:eastAsia="Century Gothic" w:hAnsi="Verdana" w:cs="Century Gothic"/>
          <w:b/>
          <w:bCs/>
        </w:rPr>
        <w:t>Problema planteado:</w:t>
      </w:r>
    </w:p>
    <w:p w14:paraId="00DEDA85" w14:textId="77777777" w:rsidR="00AB64A5" w:rsidRPr="00542ED3" w:rsidRDefault="00AB64A5" w:rsidP="00AB64A5">
      <w:pPr>
        <w:tabs>
          <w:tab w:val="left" w:pos="426"/>
        </w:tabs>
        <w:spacing w:after="0" w:line="276" w:lineRule="auto"/>
        <w:jc w:val="both"/>
        <w:rPr>
          <w:rFonts w:ascii="Verdana" w:eastAsia="Century Gothic" w:hAnsi="Verdana" w:cs="Century Gothic"/>
          <w:lang w:val="es-ES"/>
        </w:rPr>
      </w:pPr>
    </w:p>
    <w:p w14:paraId="0071CFFA" w14:textId="77777777" w:rsidR="00AB64A5" w:rsidRPr="00542ED3" w:rsidRDefault="00AB64A5" w:rsidP="00AB64A5">
      <w:pPr>
        <w:spacing w:after="0" w:line="276" w:lineRule="auto"/>
        <w:jc w:val="both"/>
        <w:rPr>
          <w:rFonts w:ascii="Verdana" w:eastAsia="Century Gothic" w:hAnsi="Verdana" w:cs="Century Gothic"/>
        </w:rPr>
      </w:pPr>
      <w:r w:rsidRPr="00542ED3">
        <w:rPr>
          <w:rFonts w:ascii="Verdana" w:eastAsia="Century Gothic" w:hAnsi="Verdana" w:cs="Century Gothic"/>
        </w:rPr>
        <w:t xml:space="preserve">De acuerdo con el contenido de su solicitud, esta Agencia resolverá el siguiente problema jurídico: </w:t>
      </w:r>
    </w:p>
    <w:p w14:paraId="29444B04" w14:textId="77777777" w:rsidR="00AB64A5" w:rsidRPr="00542ED3" w:rsidRDefault="00AB64A5" w:rsidP="00AB64A5">
      <w:pPr>
        <w:spacing w:after="0" w:line="276" w:lineRule="auto"/>
        <w:jc w:val="both"/>
        <w:rPr>
          <w:rFonts w:ascii="Verdana" w:eastAsia="Century Gothic" w:hAnsi="Verdana" w:cs="Century Gothic"/>
        </w:rPr>
      </w:pPr>
    </w:p>
    <w:p w14:paraId="3BFEA956" w14:textId="77777777" w:rsidR="00AB64A5" w:rsidRPr="00542ED3" w:rsidRDefault="00AB64A5" w:rsidP="00AB64A5">
      <w:pPr>
        <w:pStyle w:val="Prrafodelista"/>
        <w:spacing w:after="0" w:line="276" w:lineRule="auto"/>
        <w:ind w:left="426" w:right="1041"/>
        <w:jc w:val="both"/>
        <w:rPr>
          <w:rFonts w:ascii="Verdana" w:eastAsia="Century Gothic" w:hAnsi="Verdana" w:cs="Century Gothic"/>
          <w:i/>
          <w:iCs/>
        </w:rPr>
      </w:pPr>
      <w:r w:rsidRPr="00542ED3">
        <w:rPr>
          <w:rFonts w:ascii="Verdana" w:eastAsia="Century Gothic" w:hAnsi="Verdana" w:cs="Century Gothic"/>
          <w:i/>
          <w:iCs/>
        </w:rPr>
        <w:t>¿El puntaje por experiencia adicional solo aplica para los casos previstos en los contratos descritos en el numeral 4 del artículo 5 de la Ley 1150 de 2007?</w:t>
      </w:r>
    </w:p>
    <w:p w14:paraId="33B3215F" w14:textId="77777777" w:rsidR="00AB64A5" w:rsidRPr="00542ED3" w:rsidRDefault="00AB64A5" w:rsidP="00AB64A5">
      <w:pPr>
        <w:pStyle w:val="Prrafodelista"/>
        <w:spacing w:after="0" w:line="276" w:lineRule="auto"/>
        <w:ind w:left="426" w:right="1041"/>
        <w:jc w:val="both"/>
        <w:rPr>
          <w:rFonts w:ascii="Verdana" w:eastAsia="Calibri" w:hAnsi="Verdana" w:cs="Arial"/>
          <w:color w:val="7030A0"/>
        </w:rPr>
      </w:pPr>
    </w:p>
    <w:p w14:paraId="7105E377"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Respuesta:</w:t>
      </w:r>
    </w:p>
    <w:p w14:paraId="09F450DC" w14:textId="77777777" w:rsidR="00AB64A5" w:rsidRPr="00542ED3" w:rsidRDefault="00AB64A5" w:rsidP="00AB64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64A5" w:rsidRPr="00542ED3" w14:paraId="7E3B28CD" w14:textId="77777777" w:rsidTr="007B0B27">
        <w:tc>
          <w:tcPr>
            <w:tcW w:w="8828" w:type="dxa"/>
            <w:shd w:val="clear" w:color="auto" w:fill="auto"/>
          </w:tcPr>
          <w:p w14:paraId="7CCEBF71" w14:textId="77777777" w:rsidR="00AB64A5" w:rsidRPr="00251CA2" w:rsidRDefault="00AB64A5" w:rsidP="007B0B27">
            <w:pPr>
              <w:spacing w:after="120" w:line="276" w:lineRule="auto"/>
              <w:jc w:val="both"/>
              <w:rPr>
                <w:rFonts w:ascii="Verdana" w:eastAsia="Calibri" w:hAnsi="Verdana" w:cs="Arial"/>
                <w:lang w:val="es-ES"/>
              </w:rPr>
            </w:pPr>
            <w:r>
              <w:rPr>
                <w:rFonts w:ascii="Verdana" w:eastAsia="Calibri" w:hAnsi="Verdana" w:cs="Arial"/>
                <w:lang w:val="es-ES"/>
              </w:rPr>
              <w:t>L</w:t>
            </w:r>
            <w:r w:rsidRPr="00251CA2">
              <w:rPr>
                <w:rFonts w:ascii="Verdana" w:eastAsia="Calibri" w:hAnsi="Verdana" w:cs="Arial"/>
                <w:lang w:val="es-ES"/>
              </w:rPr>
              <w:t>a asignación de puntaje es un mecanismo mediante el cual las entidades ponderan los factores de calificación técnicos, de calidad y precio, etc.</w:t>
            </w:r>
            <w:r w:rsidRPr="00251CA2">
              <w:rPr>
                <w:rFonts w:ascii="Arial" w:eastAsia="Calibri" w:hAnsi="Arial" w:cs="Arial"/>
                <w:lang w:val="es-ES"/>
              </w:rPr>
              <w:t>ꟷ</w:t>
            </w:r>
            <w:r w:rsidRPr="00251CA2">
              <w:rPr>
                <w:rFonts w:ascii="Verdana" w:eastAsia="Calibri" w:hAnsi="Verdana" w:cs="Arial"/>
                <w:lang w:val="es-ES"/>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251CA2">
              <w:rPr>
                <w:rFonts w:ascii="Verdana" w:eastAsia="Calibri" w:hAnsi="Verdana" w:cs="Arial"/>
                <w:lang w:val="es-ES"/>
              </w:rPr>
              <w:t>ii</w:t>
            </w:r>
            <w:proofErr w:type="spellEnd"/>
            <w:r w:rsidRPr="00251CA2">
              <w:rPr>
                <w:rFonts w:ascii="Verdana" w:eastAsia="Calibri" w:hAnsi="Verdana" w:cs="Arial"/>
                <w:lang w:val="es-ES"/>
              </w:rPr>
              <w:t xml:space="preserve">) las condiciones técnicas adicionales que representan ventajas de calidad o de funcionamiento; </w:t>
            </w:r>
            <w:proofErr w:type="spellStart"/>
            <w:r w:rsidRPr="00251CA2">
              <w:rPr>
                <w:rFonts w:ascii="Verdana" w:eastAsia="Calibri" w:hAnsi="Verdana" w:cs="Arial"/>
                <w:lang w:val="es-ES"/>
              </w:rPr>
              <w:t>iii</w:t>
            </w:r>
            <w:proofErr w:type="spellEnd"/>
            <w:r w:rsidRPr="00251CA2">
              <w:rPr>
                <w:rFonts w:ascii="Verdana" w:eastAsia="Calibri" w:hAnsi="Verdana" w:cs="Arial"/>
                <w:lang w:val="es-ES"/>
              </w:rPr>
              <w:t xml:space="preserve">) las condiciones económicas adicionales que representen ventajas en términos de economía, eficiencia y eficacia; y </w:t>
            </w:r>
            <w:proofErr w:type="spellStart"/>
            <w:r w:rsidRPr="00251CA2">
              <w:rPr>
                <w:rFonts w:ascii="Verdana" w:eastAsia="Calibri" w:hAnsi="Verdana" w:cs="Arial"/>
                <w:lang w:val="es-ES"/>
              </w:rPr>
              <w:t>iv</w:t>
            </w:r>
            <w:proofErr w:type="spellEnd"/>
            <w:r w:rsidRPr="00251CA2">
              <w:rPr>
                <w:rFonts w:ascii="Verdana" w:eastAsia="Calibri" w:hAnsi="Verdana" w:cs="Arial"/>
                <w:lang w:val="es-ES"/>
              </w:rPr>
              <w:t xml:space="preserve">) el valor en dinero que la entidad estatal asigna a cada ofrecimiento técnico o económico adicional. </w:t>
            </w:r>
          </w:p>
          <w:p w14:paraId="229342BF" w14:textId="08694030" w:rsidR="00AB64A5" w:rsidRPr="00C01E35" w:rsidRDefault="00AB64A5" w:rsidP="007B0B27">
            <w:pPr>
              <w:spacing w:after="120" w:line="276" w:lineRule="auto"/>
              <w:jc w:val="both"/>
              <w:rPr>
                <w:rFonts w:ascii="Verdana" w:eastAsia="Calibri" w:hAnsi="Verdana" w:cs="Arial"/>
                <w:lang w:val="es-ES"/>
              </w:rPr>
            </w:pPr>
            <w:r w:rsidRPr="00C01E35">
              <w:rPr>
                <w:rFonts w:ascii="Verdana" w:eastAsia="Calibri" w:hAnsi="Verdana" w:cs="Arial"/>
                <w:lang w:val="es-ES"/>
              </w:rPr>
              <w:t>Teniendo en cuenta estos elementos,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r w:rsidR="00C01E35">
              <w:rPr>
                <w:rFonts w:ascii="Verdana" w:eastAsia="Calibri" w:hAnsi="Verdana" w:cs="Arial"/>
                <w:lang w:val="es-ES"/>
              </w:rPr>
              <w:t>.</w:t>
            </w:r>
          </w:p>
          <w:p w14:paraId="0674540F" w14:textId="77777777" w:rsidR="00AB64A5" w:rsidRPr="00C01E35" w:rsidRDefault="00AB64A5" w:rsidP="007B0B27">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lang w:val="es-ES"/>
              </w:rPr>
              <w:t xml:space="preserve">En este sentido, y dando respuesta puntual a su inquietud, se precisa que el marco legal vigente establece la acreditación de experiencia como requisito habilitante. En cuanto a los criterios evaluables o ponderables, solo se menciona en el numeral 4 del artículo 5 de la Ley 1150 de 2007 que se podrán utilizar criterios de experiencia específica del oferente y del equipo de trabajo en el campo correspondiente para la selección de consultores. </w:t>
            </w:r>
          </w:p>
          <w:p w14:paraId="37C97F8B" w14:textId="77777777" w:rsidR="00AB64A5" w:rsidRPr="00C01E35" w:rsidRDefault="00AB64A5" w:rsidP="007B0B27">
            <w:pPr>
              <w:spacing w:before="100" w:beforeAutospacing="1" w:after="100" w:afterAutospacing="1" w:line="276" w:lineRule="auto"/>
              <w:jc w:val="both"/>
              <w:rPr>
                <w:rFonts w:ascii="Verdana" w:eastAsia="Calibri" w:hAnsi="Verdana" w:cs="Arial"/>
              </w:rPr>
            </w:pPr>
            <w:r w:rsidRPr="00C01E35">
              <w:rPr>
                <w:rFonts w:ascii="Verdana" w:eastAsia="Calibri" w:hAnsi="Verdana" w:cs="Arial"/>
              </w:rPr>
              <w:t>Ahora bien, y en consonancia con lo dicho en la respuesta el aporte de contratos relacionados con el bien o servicio a contratar puede constituirse como factor ponderable solo en aquellos procesos de contratación para la selección de consultores, bajo la modalidad de concurso de méritos regulada en el numeral 3 del artículo 2 de la Ley 1150 de 2007.   </w:t>
            </w:r>
          </w:p>
          <w:p w14:paraId="482EC4E6" w14:textId="77777777" w:rsidR="00AB64A5" w:rsidRPr="00C01E35" w:rsidRDefault="00AB64A5" w:rsidP="007B0B27">
            <w:pPr>
              <w:spacing w:before="100" w:beforeAutospacing="1" w:after="100" w:afterAutospacing="1" w:line="276" w:lineRule="auto"/>
              <w:jc w:val="both"/>
              <w:rPr>
                <w:rFonts w:ascii="Verdana" w:eastAsia="Calibri" w:hAnsi="Verdana" w:cs="Arial"/>
              </w:rPr>
            </w:pPr>
            <w:r w:rsidRPr="00C01E35">
              <w:rPr>
                <w:rFonts w:ascii="Verdana" w:eastAsia="Calibri" w:hAnsi="Verdana" w:cs="Arial"/>
              </w:rPr>
              <w:lastRenderedPageBreak/>
              <w:t>Por otro lado, en las demás modalidades de contratación reguladas por el artículo en cita, 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  </w:t>
            </w:r>
          </w:p>
          <w:p w14:paraId="45447762" w14:textId="77777777" w:rsidR="00AB64A5" w:rsidRPr="00C01E35" w:rsidRDefault="00AB64A5" w:rsidP="007B0B27">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rPr>
              <w:t>En ese orden de ideas, el factor de calidad debe calificarse a través de otros factores de conformidad con el numeral 2 del artículo 5 de la Ley 1150 de 2007, de naturaleza técnica o económica, asociados a la calidad del bien o servicio.  </w:t>
            </w:r>
          </w:p>
          <w:p w14:paraId="4108809F" w14:textId="3E5BEC71" w:rsidR="00AB64A5" w:rsidRPr="00251CA2" w:rsidRDefault="00AB64A5" w:rsidP="00C01E35">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lang w:val="es-ES"/>
              </w:rPr>
              <w:t>De igual forma, es importante aclarar que los criterios de ponderación se establecen en las modalidades donde se evalúan la calidad y el precio, es decir, en la licitación pública, la selección abreviada de menor cuantía y el concurso de méritos. Estos criterios no son aplicables a las modalidades de mínima cuantía ni al proceso de selección mediante subasta, donde se prioriza el menor valor.</w:t>
            </w:r>
          </w:p>
        </w:tc>
      </w:tr>
    </w:tbl>
    <w:p w14:paraId="3E9946E5" w14:textId="77777777" w:rsidR="00AB64A5" w:rsidRPr="00542ED3" w:rsidRDefault="00AB64A5" w:rsidP="00AB64A5">
      <w:pPr>
        <w:tabs>
          <w:tab w:val="left" w:pos="142"/>
          <w:tab w:val="left" w:pos="284"/>
        </w:tabs>
        <w:spacing w:after="0" w:line="276" w:lineRule="auto"/>
        <w:jc w:val="both"/>
        <w:rPr>
          <w:rFonts w:ascii="Verdana" w:eastAsia="Century Gothic" w:hAnsi="Verdana" w:cs="Century Gothic"/>
          <w:b/>
          <w:bCs/>
          <w:lang w:val="es-ES"/>
        </w:rPr>
      </w:pPr>
    </w:p>
    <w:p w14:paraId="194193F0"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Razones de la respuesta:</w:t>
      </w:r>
    </w:p>
    <w:p w14:paraId="03D52260" w14:textId="77777777" w:rsidR="00AB64A5" w:rsidRPr="00542ED3" w:rsidRDefault="00AB64A5" w:rsidP="00AB64A5">
      <w:pPr>
        <w:spacing w:after="0" w:line="276" w:lineRule="auto"/>
        <w:jc w:val="both"/>
        <w:rPr>
          <w:rFonts w:ascii="Verdana" w:eastAsia="Calibri" w:hAnsi="Verdana" w:cs="Arial"/>
          <w:color w:val="7030A0"/>
          <w:lang w:val="es-ES"/>
        </w:rPr>
      </w:pPr>
    </w:p>
    <w:p w14:paraId="22947B98" w14:textId="77777777" w:rsidR="00AB64A5" w:rsidRPr="00542ED3" w:rsidRDefault="00AB64A5" w:rsidP="00AB64A5">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35562AF8" w14:textId="77777777" w:rsidR="00AB64A5" w:rsidRPr="00542ED3" w:rsidRDefault="00AB64A5" w:rsidP="00AB64A5">
      <w:pPr>
        <w:spacing w:after="0" w:line="276" w:lineRule="auto"/>
        <w:jc w:val="both"/>
        <w:rPr>
          <w:rFonts w:ascii="Verdana" w:eastAsia="Calibri" w:hAnsi="Verdana" w:cs="Arial"/>
          <w:lang w:val="es-ES"/>
        </w:rPr>
      </w:pPr>
    </w:p>
    <w:p w14:paraId="45BB4123" w14:textId="77777777" w:rsidR="00AB64A5" w:rsidRPr="00251CA2" w:rsidRDefault="00AB64A5" w:rsidP="00AB64A5">
      <w:pPr>
        <w:pStyle w:val="Prrafodelista"/>
        <w:numPr>
          <w:ilvl w:val="0"/>
          <w:numId w:val="3"/>
        </w:numPr>
        <w:spacing w:line="276" w:lineRule="auto"/>
        <w:ind w:right="49"/>
        <w:jc w:val="both"/>
        <w:rPr>
          <w:rFonts w:ascii="Verdana" w:hAnsi="Verdana" w:cs="Arial"/>
          <w:bCs/>
          <w:color w:val="000000" w:themeColor="text1"/>
          <w:lang w:val="es-ES_tradnl"/>
        </w:rPr>
      </w:pPr>
      <w:r w:rsidRPr="00251CA2">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BBEBBC6" w14:textId="70CECDC2"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Si bien dentro de la historia de la contratación pública en Colombia, se vislumbran antecedentes normativos que consagraban dicho principio</w:t>
      </w:r>
      <w:r w:rsidRPr="00251CA2">
        <w:rPr>
          <w:rFonts w:ascii="Geomanist Light" w:hAnsi="Geomanist Light"/>
          <w:vertAlign w:val="superscript"/>
          <w:lang w:val="es-ES"/>
        </w:rPr>
        <w:footnoteReference w:id="1"/>
      </w:r>
      <w:r w:rsidRPr="00251CA2">
        <w:rPr>
          <w:rFonts w:ascii="Verdana" w:hAnsi="Verdana" w:cs="Arial"/>
          <w:bCs/>
          <w:color w:val="000000" w:themeColor="text1"/>
          <w:lang w:val="es-ES"/>
        </w:rPr>
        <w:t xml:space="preserve">, </w:t>
      </w:r>
      <w:r w:rsidRPr="00251CA2">
        <w:rPr>
          <w:rFonts w:ascii="Verdana" w:hAnsi="Verdana" w:cs="Arial"/>
          <w:bCs/>
          <w:color w:val="000000" w:themeColor="text1"/>
          <w:lang w:val="es-ES"/>
        </w:rPr>
        <w:lastRenderedPageBreak/>
        <w:t xml:space="preserve">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ofrecimiento más favorable a la entidad y a los fines que ella busca.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1F366F87"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bookmarkStart w:id="2" w:name="_1fob9te" w:colFirst="0" w:colLast="0"/>
      <w:bookmarkEnd w:id="2"/>
      <w:r w:rsidRPr="00251CA2">
        <w:rPr>
          <w:rFonts w:ascii="Verdana" w:hAnsi="Verdana" w:cs="Arial"/>
          <w:bCs/>
          <w:color w:val="000000" w:themeColor="text1"/>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251CA2">
        <w:rPr>
          <w:rFonts w:ascii="Geomanist Light" w:hAnsi="Geomanist Light"/>
          <w:vertAlign w:val="superscript"/>
          <w:lang w:val="es-ES"/>
        </w:rPr>
        <w:footnoteReference w:id="2"/>
      </w:r>
      <w:r w:rsidRPr="00251CA2">
        <w:rPr>
          <w:rFonts w:ascii="Verdana" w:hAnsi="Verdana" w:cs="Arial"/>
          <w:bCs/>
          <w:color w:val="000000" w:themeColor="text1"/>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251CA2">
        <w:rPr>
          <w:rFonts w:ascii="Verdana" w:hAnsi="Verdana" w:cs="Arial"/>
          <w:bCs/>
          <w:i/>
          <w:color w:val="000000" w:themeColor="text1"/>
          <w:lang w:val="es-ES"/>
        </w:rPr>
        <w:t xml:space="preserve">habilitantes </w:t>
      </w:r>
      <w:r w:rsidRPr="00251CA2">
        <w:rPr>
          <w:rFonts w:ascii="Verdana" w:hAnsi="Verdana" w:cs="Arial"/>
          <w:bCs/>
          <w:color w:val="000000" w:themeColor="text1"/>
          <w:lang w:val="es-ES"/>
        </w:rPr>
        <w:t>son aquellos que deben cumplir en igualdad de condiciones los proponentes, haciendo que estos se habiliten en el procedimiento de selección y sean susceptibles de ser seleccionados como futuros contratistas.</w:t>
      </w:r>
    </w:p>
    <w:p w14:paraId="0661444B"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2 de </w:t>
      </w:r>
      <w:r w:rsidRPr="00251CA2">
        <w:rPr>
          <w:rFonts w:ascii="Verdana" w:hAnsi="Verdana" w:cs="Arial"/>
          <w:bCs/>
          <w:color w:val="000000" w:themeColor="text1"/>
          <w:lang w:val="es-ES"/>
        </w:rPr>
        <w:lastRenderedPageBreak/>
        <w:t xml:space="preserve">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5C85B834"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Por su parte, el numeral 3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10F87D42"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cs="Arial"/>
          <w:bCs/>
          <w:color w:val="000000" w:themeColor="text1"/>
          <w:lang w:val="es-ES"/>
        </w:rPr>
        <w:t>que</w:t>
      </w:r>
      <w:proofErr w:type="gramEnd"/>
      <w:r w:rsidRPr="00251CA2">
        <w:rPr>
          <w:rFonts w:ascii="Verdana" w:hAnsi="Verdana" w:cs="Arial"/>
          <w:bCs/>
          <w:color w:val="000000" w:themeColor="text1"/>
          <w:lang w:val="es-ES"/>
        </w:rPr>
        <w:t xml:space="preserve"> en consecuencia, darán lugar a la escogencia objetiva de la mejor propuesta para la entidad”</w:t>
      </w:r>
      <w:r w:rsidRPr="00251CA2">
        <w:rPr>
          <w:rFonts w:ascii="Geomanist Light" w:hAnsi="Geomanist Light"/>
          <w:vertAlign w:val="superscript"/>
          <w:lang w:val="es-ES"/>
        </w:rPr>
        <w:footnoteReference w:id="3"/>
      </w:r>
      <w:r w:rsidRPr="00251CA2">
        <w:rPr>
          <w:rFonts w:ascii="Verdana" w:hAnsi="Verdana" w:cs="Arial"/>
          <w:bCs/>
          <w:color w:val="000000" w:themeColor="text1"/>
          <w:lang w:val="es-ES"/>
        </w:rPr>
        <w:t>. Todas estas categorías designan los “[…] factores a los cuales cabe otorgarles puntajes o que pueden ser ponderados, precisamente, pues estos son los factores que en últimas permiten una comparación de ofertas y una diferenciación entre ellas”</w:t>
      </w:r>
      <w:r w:rsidRPr="00251CA2">
        <w:rPr>
          <w:rFonts w:ascii="Geomanist Light" w:hAnsi="Geomanist Light"/>
          <w:vertAlign w:val="superscript"/>
          <w:lang w:val="es-ES"/>
        </w:rPr>
        <w:footnoteReference w:id="4"/>
      </w:r>
      <w:r w:rsidRPr="00251CA2">
        <w:rPr>
          <w:rFonts w:ascii="Verdana" w:hAnsi="Verdana" w:cs="Arial"/>
          <w:bCs/>
          <w:color w:val="000000" w:themeColor="text1"/>
          <w:lang w:val="es-ES"/>
        </w:rPr>
        <w:t xml:space="preserve">. </w:t>
      </w:r>
    </w:p>
    <w:p w14:paraId="27EA02B4"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lastRenderedPageBreak/>
        <w:t>Sobre la escogencia de la oferta más favorable a los intereses de la entidad y la evaluación de los factores exigidos en un caso concreto para el efecto, la doctrina explica que:</w:t>
      </w:r>
    </w:p>
    <w:p w14:paraId="57766FEE"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20A743F3"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4BE6969F"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A62278">
        <w:rPr>
          <w:rFonts w:ascii="Verdana" w:hAnsi="Verdana" w:cs="Arial"/>
          <w:bCs/>
          <w:color w:val="000000" w:themeColor="text1"/>
          <w:sz w:val="21"/>
          <w:szCs w:val="21"/>
          <w:vertAlign w:val="superscript"/>
        </w:rPr>
        <w:footnoteReference w:id="5"/>
      </w:r>
      <w:r w:rsidRPr="00A62278">
        <w:rPr>
          <w:rFonts w:ascii="Verdana" w:hAnsi="Verdana" w:cs="Arial"/>
          <w:bCs/>
          <w:color w:val="000000" w:themeColor="text1"/>
          <w:sz w:val="21"/>
          <w:szCs w:val="21"/>
        </w:rPr>
        <w:t>.</w:t>
      </w:r>
    </w:p>
    <w:p w14:paraId="682D2754" w14:textId="77777777" w:rsidR="00AB64A5" w:rsidRPr="00251CA2" w:rsidRDefault="00AB64A5" w:rsidP="00AB64A5">
      <w:pPr>
        <w:pStyle w:val="Prrafodelista"/>
        <w:numPr>
          <w:ilvl w:val="0"/>
          <w:numId w:val="4"/>
        </w:numPr>
        <w:spacing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w:t>
      </w:r>
      <w:r w:rsidRPr="00251CA2">
        <w:rPr>
          <w:rFonts w:ascii="Verdana" w:hAnsi="Verdana" w:cs="Arial"/>
          <w:bCs/>
          <w:color w:val="000000" w:themeColor="text1"/>
          <w:lang w:val="es-ES"/>
        </w:rPr>
        <w:lastRenderedPageBreak/>
        <w:t xml:space="preserve">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274AABFE"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ese sentido, la asignación de puntaje es un mecanismo mediante el cual las entidades ponderan los factores de calificación </w:t>
      </w:r>
      <w:r w:rsidRPr="00251CA2">
        <w:rPr>
          <w:rFonts w:ascii="Arial" w:hAnsi="Arial" w:cs="Arial"/>
          <w:bCs/>
          <w:color w:val="000000" w:themeColor="text1"/>
          <w:lang w:val="es-ES"/>
        </w:rPr>
        <w:t>ꟷ</w:t>
      </w:r>
      <w:r w:rsidRPr="00251CA2">
        <w:rPr>
          <w:rFonts w:ascii="Verdana" w:hAnsi="Verdana" w:cs="Arial"/>
          <w:bCs/>
          <w:i/>
          <w:color w:val="000000" w:themeColor="text1"/>
          <w:lang w:val="es-ES"/>
        </w:rPr>
        <w:t>v.g.</w:t>
      </w:r>
      <w:r w:rsidRPr="00251CA2">
        <w:rPr>
          <w:rFonts w:ascii="Verdana" w:hAnsi="Verdana" w:cs="Arial"/>
          <w:bCs/>
          <w:color w:val="000000" w:themeColor="text1"/>
          <w:lang w:val="es-ES"/>
        </w:rPr>
        <w:t xml:space="preserve"> técnicos, de calidad y precio, etc.</w:t>
      </w:r>
      <w:r w:rsidRPr="00251CA2">
        <w:rPr>
          <w:rFonts w:ascii="Arial" w:hAnsi="Arial" w:cs="Arial"/>
          <w:bCs/>
          <w:color w:val="000000" w:themeColor="text1"/>
          <w:lang w:val="es-ES"/>
        </w:rPr>
        <w:t>ꟷ</w:t>
      </w:r>
      <w:r w:rsidRPr="00251CA2">
        <w:rPr>
          <w:rFonts w:ascii="Verdana" w:hAnsi="Verdana" w:cs="Arial"/>
          <w:bCs/>
          <w:color w:val="000000" w:themeColor="text1"/>
          <w:lang w:val="es-ES"/>
        </w:rPr>
        <w:t xml:space="preserve"> en un determinado proceso de selecci</w:t>
      </w:r>
      <w:r w:rsidRPr="00251CA2">
        <w:rPr>
          <w:rFonts w:ascii="Verdana" w:hAnsi="Verdana" w:cs="Century Gothic"/>
          <w:bCs/>
          <w:color w:val="000000" w:themeColor="text1"/>
          <w:lang w:val="es-ES"/>
        </w:rPr>
        <w:t>ó</w:t>
      </w:r>
      <w:r w:rsidRPr="00251CA2">
        <w:rPr>
          <w:rFonts w:ascii="Verdana" w:hAnsi="Verdana" w:cs="Arial"/>
          <w:bCs/>
          <w:color w:val="000000" w:themeColor="text1"/>
          <w:lang w:val="es-ES"/>
        </w:rPr>
        <w:t>n, como se desprende del literal a) del numeral 2 del art</w:t>
      </w:r>
      <w:r w:rsidRPr="00251CA2">
        <w:rPr>
          <w:rFonts w:ascii="Verdana" w:hAnsi="Verdana" w:cs="Century Gothic"/>
          <w:bCs/>
          <w:color w:val="000000" w:themeColor="text1"/>
          <w:lang w:val="es-ES"/>
        </w:rPr>
        <w:t>í</w:t>
      </w:r>
      <w:r w:rsidRPr="00251CA2">
        <w:rPr>
          <w:rFonts w:ascii="Verdana" w:hAnsi="Verdana" w:cs="Arial"/>
          <w:bCs/>
          <w:color w:val="000000" w:themeColor="text1"/>
          <w:lang w:val="es-ES"/>
        </w:rPr>
        <w:t xml:space="preserve">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251CA2">
        <w:rPr>
          <w:rFonts w:ascii="Verdana" w:hAnsi="Verdana" w:cs="Arial"/>
          <w:bCs/>
          <w:color w:val="000000" w:themeColor="text1"/>
          <w:lang w:val="es-ES"/>
        </w:rPr>
        <w:t>ii</w:t>
      </w:r>
      <w:proofErr w:type="spellEnd"/>
      <w:r w:rsidRPr="00251CA2">
        <w:rPr>
          <w:rFonts w:ascii="Verdana" w:hAnsi="Verdana" w:cs="Arial"/>
          <w:bCs/>
          <w:color w:val="000000" w:themeColor="text1"/>
          <w:lang w:val="es-ES"/>
        </w:rPr>
        <w:t xml:space="preserve">) las condiciones técnicas adicionales que representan ventajas de calidad o de funcionamiento; </w:t>
      </w:r>
      <w:proofErr w:type="spellStart"/>
      <w:r w:rsidRPr="00251CA2">
        <w:rPr>
          <w:rFonts w:ascii="Verdana" w:hAnsi="Verdana" w:cs="Arial"/>
          <w:bCs/>
          <w:color w:val="000000" w:themeColor="text1"/>
          <w:lang w:val="es-ES"/>
        </w:rPr>
        <w:t>iii</w:t>
      </w:r>
      <w:proofErr w:type="spellEnd"/>
      <w:r w:rsidRPr="00251CA2">
        <w:rPr>
          <w:rFonts w:ascii="Verdana" w:hAnsi="Verdana" w:cs="Arial"/>
          <w:bCs/>
          <w:color w:val="000000" w:themeColor="text1"/>
          <w:lang w:val="es-ES"/>
        </w:rPr>
        <w:t xml:space="preserve">) las condiciones económicas adicionales que representen ventajas en términos de economía, eficiencia y eficacia; y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251CA2">
        <w:rPr>
          <w:rFonts w:ascii="Geomanist Light" w:hAnsi="Geomanist Light"/>
          <w:vertAlign w:val="superscript"/>
          <w:lang w:val="es-ES"/>
        </w:rPr>
        <w:footnoteReference w:id="6"/>
      </w:r>
      <w:r w:rsidRPr="00251CA2">
        <w:rPr>
          <w:rFonts w:ascii="Verdana" w:hAnsi="Verdana" w:cs="Arial"/>
          <w:bCs/>
          <w:color w:val="000000" w:themeColor="text1"/>
          <w:lang w:val="es-ES"/>
        </w:rPr>
        <w:t>.</w:t>
      </w:r>
    </w:p>
    <w:p w14:paraId="76B4E704"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lastRenderedPageBreak/>
        <w:t>En este orden de ideas,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150F8A0E"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Además del artículo 5 de la Ley 1150 de 2007, el deber de selección objetiva y su carácter vinculante encuentre fundamento en varios apartados de la Ley 80 de 1993, como: i) el primer inciso del artículo 21, que obliga a las entidades estatales a tener en cuenta la selección objetiva, al garantizar la participación de los oferentes de bienes y servicios de origen nacional, </w:t>
      </w:r>
      <w:proofErr w:type="spellStart"/>
      <w:r w:rsidRPr="00251CA2">
        <w:rPr>
          <w:rFonts w:ascii="Verdana" w:hAnsi="Verdana" w:cs="Arial"/>
          <w:bCs/>
          <w:color w:val="000000" w:themeColor="text1"/>
          <w:lang w:val="es-ES"/>
        </w:rPr>
        <w:t>ii</w:t>
      </w:r>
      <w:proofErr w:type="spellEnd"/>
      <w:r w:rsidRPr="00251CA2">
        <w:rPr>
          <w:rFonts w:ascii="Verdana" w:hAnsi="Verdana" w:cs="Arial"/>
          <w:bCs/>
          <w:color w:val="000000" w:themeColor="text1"/>
          <w:lang w:val="es-ES"/>
        </w:rPr>
        <w:t xml:space="preserve">) el artículo 24, numeral 5º, literal a), que manda que en los pliegos de condiciones se indiquen “[…] los requisitos objetivos necesarios para participar en el correspondiente proceso de selección”, </w:t>
      </w:r>
      <w:proofErr w:type="spellStart"/>
      <w:r w:rsidRPr="00251CA2">
        <w:rPr>
          <w:rFonts w:ascii="Verdana" w:hAnsi="Verdana" w:cs="Arial"/>
          <w:bCs/>
          <w:color w:val="000000" w:themeColor="text1"/>
          <w:lang w:val="es-ES"/>
        </w:rPr>
        <w:t>iii</w:t>
      </w:r>
      <w:proofErr w:type="spellEnd"/>
      <w:r w:rsidRPr="00251CA2">
        <w:rPr>
          <w:rFonts w:ascii="Verdana" w:hAnsi="Verdana" w:cs="Arial"/>
          <w:bCs/>
          <w:color w:val="000000" w:themeColor="text1"/>
          <w:lang w:val="es-ES"/>
        </w:rPr>
        <w:t xml:space="preserve">)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xml:space="preserve">)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w:t>
      </w:r>
      <w:r w:rsidRPr="00251CA2">
        <w:rPr>
          <w:rFonts w:ascii="Verdana" w:hAnsi="Verdana" w:cs="Arial"/>
          <w:bCs/>
          <w:color w:val="000000" w:themeColor="text1"/>
          <w:lang w:val="es-ES"/>
        </w:rPr>
        <w:lastRenderedPageBreak/>
        <w:t xml:space="preserve">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 </w:t>
      </w:r>
      <w:proofErr w:type="spellStart"/>
      <w:r w:rsidRPr="00251CA2">
        <w:rPr>
          <w:rFonts w:ascii="Verdana" w:hAnsi="Verdana" w:cs="Arial"/>
          <w:bCs/>
          <w:color w:val="000000" w:themeColor="text1"/>
          <w:lang w:val="es-ES"/>
        </w:rPr>
        <w:t>vii</w:t>
      </w:r>
      <w:proofErr w:type="spellEnd"/>
      <w:r w:rsidRPr="00251CA2">
        <w:rPr>
          <w:rFonts w:ascii="Verdana" w:hAnsi="Verdana" w:cs="Arial"/>
          <w:bCs/>
          <w:color w:val="000000" w:themeColor="text1"/>
          <w:lang w:val="es-ES"/>
        </w:rPr>
        <w:t xml:space="preserve">)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251CA2">
        <w:rPr>
          <w:rFonts w:ascii="Verdana" w:hAnsi="Verdana" w:cs="Arial"/>
          <w:bCs/>
          <w:color w:val="000000" w:themeColor="text1"/>
          <w:lang w:val="es-ES"/>
        </w:rPr>
        <w:t>viii</w:t>
      </w:r>
      <w:proofErr w:type="spellEnd"/>
      <w:r w:rsidRPr="00251CA2">
        <w:rPr>
          <w:rFonts w:ascii="Verdana" w:hAnsi="Verdana" w:cs="Arial"/>
          <w:bCs/>
          <w:color w:val="000000" w:themeColor="text1"/>
          <w:lang w:val="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251CA2">
        <w:rPr>
          <w:rFonts w:ascii="Verdana" w:hAnsi="Verdana" w:cs="Arial"/>
          <w:bCs/>
          <w:color w:val="000000" w:themeColor="text1"/>
          <w:lang w:val="es-ES"/>
        </w:rPr>
        <w:t>ix</w:t>
      </w:r>
      <w:proofErr w:type="spellEnd"/>
      <w:r w:rsidRPr="00251CA2">
        <w:rPr>
          <w:rFonts w:ascii="Verdana" w:hAnsi="Verdana" w:cs="Arial"/>
          <w:bCs/>
          <w:color w:val="000000" w:themeColor="text1"/>
          <w:lang w:val="es-ES"/>
        </w:rPr>
        <w:t xml:space="preserve">) el segundo inciso del artículo 76, que ordena cumplir también con dicho principio a las entidades que tengan por objeto la exploración, explotación y comercialización de recursos naturales renovables y no renovables. </w:t>
      </w:r>
    </w:p>
    <w:p w14:paraId="102FE978" w14:textId="77777777" w:rsidR="00AB64A5" w:rsidRDefault="00AB64A5" w:rsidP="00AB64A5">
      <w:pPr>
        <w:pStyle w:val="Prrafodelista"/>
        <w:numPr>
          <w:ilvl w:val="0"/>
          <w:numId w:val="4"/>
        </w:numPr>
        <w:spacing w:before="120" w:line="276" w:lineRule="auto"/>
        <w:jc w:val="both"/>
        <w:rPr>
          <w:rFonts w:ascii="Verdana" w:hAnsi="Verdana" w:cs="Arial"/>
          <w:bCs/>
          <w:color w:val="000000" w:themeColor="text1"/>
        </w:rPr>
      </w:pPr>
      <w:r w:rsidRPr="00251CA2">
        <w:rPr>
          <w:rFonts w:ascii="Verdana" w:hAnsi="Verdana" w:cs="Arial"/>
          <w:bCs/>
          <w:color w:val="000000" w:themeColor="text1"/>
        </w:rPr>
        <w:t xml:space="preserve">Por su parte, a nivel reglamentario, el Decreto 1082 de 2015 también hace referencia a la selección objetiva como postulado esencial al interior de los procedimientos de selección. Así se infiere de enunciados como: i) 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o </w:t>
      </w:r>
      <w:proofErr w:type="spellStart"/>
      <w:r w:rsidRPr="00251CA2">
        <w:rPr>
          <w:rFonts w:ascii="Verdana" w:hAnsi="Verdana" w:cs="Arial"/>
          <w:bCs/>
          <w:color w:val="000000" w:themeColor="text1"/>
        </w:rPr>
        <w:t>ii</w:t>
      </w:r>
      <w:proofErr w:type="spellEnd"/>
      <w:r w:rsidRPr="00251CA2">
        <w:rPr>
          <w:rFonts w:ascii="Verdana" w:hAnsi="Verdana" w:cs="Arial"/>
          <w:bCs/>
          <w:color w:val="000000" w:themeColor="text1"/>
        </w:rPr>
        <w:t>) el numeral 8º del artículo 2.2.1.2.1.3.13., que establece como obligación del jurado calificador en los concursos de méritos para la selección de consultores de diseño, planos, anteproyectos y proyectos arquitectónicos, “Manifestar a la Entidad Estatal promotora la declaratoria de desierto el concurso de arquitectura, en caso que se presente el impedimento de la escogencia objetiva de que trata el numeral 18 del artículo 25 de la Ley 80 de 1993”.</w:t>
      </w:r>
    </w:p>
    <w:p w14:paraId="191C64C8" w14:textId="77777777" w:rsidR="00AB64A5" w:rsidRPr="00B4672A" w:rsidRDefault="00AB64A5" w:rsidP="00AB64A5">
      <w:pPr>
        <w:pStyle w:val="Prrafodelista"/>
        <w:numPr>
          <w:ilvl w:val="0"/>
          <w:numId w:val="4"/>
        </w:numPr>
        <w:spacing w:after="120" w:line="276" w:lineRule="auto"/>
        <w:jc w:val="both"/>
        <w:rPr>
          <w:rFonts w:ascii="Verdana" w:eastAsia="Calibri" w:hAnsi="Verdana" w:cs="Arial"/>
        </w:rPr>
      </w:pPr>
      <w:r w:rsidRPr="00B4672A">
        <w:rPr>
          <w:rFonts w:ascii="Verdana" w:eastAsia="Calibri" w:hAnsi="Verdana" w:cs="Arial"/>
        </w:rPr>
        <w:t>En ese sentido, la asignación de puntaje es un mecanismo mediante el cual las entidades ponderan los factores de calificación técnicos, de calidad y precio, etc.</w:t>
      </w:r>
      <w:r w:rsidRPr="00B4672A">
        <w:rPr>
          <w:rFonts w:ascii="Arial" w:eastAsia="Calibri" w:hAnsi="Arial" w:cs="Arial"/>
        </w:rPr>
        <w:t>ꟷ</w:t>
      </w:r>
      <w:r w:rsidRPr="00B4672A">
        <w:rPr>
          <w:rFonts w:ascii="Verdana" w:eastAsia="Calibri" w:hAnsi="Verdana" w:cs="Arial"/>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w:t>
      </w:r>
      <w:r w:rsidRPr="00B4672A">
        <w:rPr>
          <w:rFonts w:ascii="Verdana" w:eastAsia="Calibri" w:hAnsi="Verdana" w:cs="Arial"/>
        </w:rPr>
        <w:lastRenderedPageBreak/>
        <w:t xml:space="preserve">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B4672A">
        <w:rPr>
          <w:rFonts w:ascii="Verdana" w:eastAsia="Calibri" w:hAnsi="Verdana" w:cs="Arial"/>
        </w:rPr>
        <w:t>ii</w:t>
      </w:r>
      <w:proofErr w:type="spellEnd"/>
      <w:r w:rsidRPr="00B4672A">
        <w:rPr>
          <w:rFonts w:ascii="Verdana" w:eastAsia="Calibri" w:hAnsi="Verdana" w:cs="Arial"/>
        </w:rPr>
        <w:t xml:space="preserve">) las condiciones técnicas adicionales que representan ventajas de calidad o de funcionamiento; </w:t>
      </w:r>
      <w:proofErr w:type="spellStart"/>
      <w:r w:rsidRPr="00B4672A">
        <w:rPr>
          <w:rFonts w:ascii="Verdana" w:eastAsia="Calibri" w:hAnsi="Verdana" w:cs="Arial"/>
        </w:rPr>
        <w:t>iii</w:t>
      </w:r>
      <w:proofErr w:type="spellEnd"/>
      <w:r w:rsidRPr="00B4672A">
        <w:rPr>
          <w:rFonts w:ascii="Verdana" w:eastAsia="Calibri" w:hAnsi="Verdana" w:cs="Arial"/>
        </w:rPr>
        <w:t xml:space="preserve">) las condiciones económicas adicionales que representen ventajas en términos de economía, eficiencia y eficacia; y </w:t>
      </w:r>
      <w:proofErr w:type="spellStart"/>
      <w:r w:rsidRPr="00B4672A">
        <w:rPr>
          <w:rFonts w:ascii="Verdana" w:eastAsia="Calibri" w:hAnsi="Verdana" w:cs="Arial"/>
        </w:rPr>
        <w:t>iv</w:t>
      </w:r>
      <w:proofErr w:type="spellEnd"/>
      <w:r w:rsidRPr="00B4672A">
        <w:rPr>
          <w:rFonts w:ascii="Verdana" w:eastAsia="Calibri" w:hAnsi="Verdana" w:cs="Arial"/>
        </w:rPr>
        <w:t xml:space="preserve">) el valor en dinero que la entidad estatal asigna a cada ofrecimiento técnico o económico adicional. </w:t>
      </w:r>
    </w:p>
    <w:p w14:paraId="71530B5E" w14:textId="77777777" w:rsidR="00AB64A5" w:rsidRPr="00251CA2" w:rsidRDefault="00AB64A5" w:rsidP="00AB64A5">
      <w:pPr>
        <w:pStyle w:val="Prrafodelista"/>
        <w:numPr>
          <w:ilvl w:val="0"/>
          <w:numId w:val="4"/>
        </w:numPr>
        <w:spacing w:after="120" w:line="276" w:lineRule="auto"/>
        <w:jc w:val="both"/>
        <w:rPr>
          <w:rFonts w:ascii="Verdana" w:eastAsia="Calibri" w:hAnsi="Verdana" w:cs="Arial"/>
        </w:rPr>
      </w:pPr>
      <w:r w:rsidRPr="00B4672A">
        <w:rPr>
          <w:rFonts w:ascii="Verdana" w:eastAsia="Calibri" w:hAnsi="Verdana" w:cs="Arial"/>
        </w:rPr>
        <w:t>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19E816A1"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En este sentido, y dando respuesta puntual a su inquietud, se precisa que el marco legal vigente solo establece la acreditación de experiencia como requisito habilitante. En cuanto a los criterios evaluables, solo se menciona en el numeral 4 del artículo 5 de la Ley 1150 de 2007 que se podrán utilizar criterios de experiencia específica del oferente y del equipo de trabajo en el campo correspondiente para la selección de consultores. Sin embargo, la norma tampoco prohíbe ni limita a las entidades para establecer en sus procesos de selección criterios de experiencia como factor ponderable en la modalidad de selección donde aplique.</w:t>
      </w:r>
    </w:p>
    <w:p w14:paraId="77B8CD2A"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Es importante destacar que los criterios de ponderación se aplican a las modalidades donde se evalúan la calidad y el precio, es decir, en la licitación pública, la selección abreviada de menor cuantía y el concurso de méritos. Estos criterios no son aplicables a las modalidades de mínima cuantía ni al proceso de selección mediante subasta, donde se prioriza el menor valor.</w:t>
      </w:r>
    </w:p>
    <w:p w14:paraId="07A3CAAF"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 xml:space="preserve">No obstante, de acuerdo con lo establecido en el artículo 2.2.1.1.1.6.1 del Decreto 1082 de 2015, las entidades deben realizar, durante la etapa de planeación, el análisis necesario para conocer el sector relativo al objeto del proceso de contratación desde las perspectivas legal, comercial, financiera, organizacional, técnica y de análisis de riesgo. La entidad </w:t>
      </w:r>
      <w:r w:rsidRPr="00B4672A">
        <w:rPr>
          <w:rFonts w:ascii="Verdana" w:eastAsia="Calibri" w:hAnsi="Verdana" w:cs="Arial"/>
        </w:rPr>
        <w:lastRenderedPageBreak/>
        <w:t>estatal debe dejar constancia de este análisis en los documentos del proceso. En este sentido, una vez que la entidad determine los criterios de ponderación para seleccionar la oferta más favorable, teniendo en cuenta la calidad y el precio, deberá soportar dicho análisis y justificación en los documentos del proceso.</w:t>
      </w:r>
    </w:p>
    <w:p w14:paraId="60590030" w14:textId="77777777" w:rsidR="00AB64A5" w:rsidRPr="00251CA2" w:rsidRDefault="00AB64A5" w:rsidP="00AB64A5">
      <w:pPr>
        <w:pStyle w:val="Prrafodelista"/>
        <w:spacing w:after="120" w:line="276" w:lineRule="auto"/>
        <w:jc w:val="both"/>
        <w:rPr>
          <w:rFonts w:ascii="Verdana" w:eastAsia="Calibri" w:hAnsi="Verdana" w:cs="Arial"/>
          <w:lang w:val="es-ES"/>
        </w:rPr>
      </w:pPr>
    </w:p>
    <w:p w14:paraId="51691684"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Referencias normativas, jurisprudenciales y otras fuentes:</w:t>
      </w:r>
    </w:p>
    <w:p w14:paraId="4791A111" w14:textId="77777777" w:rsidR="00AB64A5" w:rsidRPr="00542ED3" w:rsidRDefault="00AB64A5" w:rsidP="00AB64A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64A5" w:rsidRPr="00542ED3" w14:paraId="713E4602" w14:textId="77777777" w:rsidTr="007B0B27">
        <w:trPr>
          <w:trHeight w:val="870"/>
        </w:trPr>
        <w:tc>
          <w:tcPr>
            <w:tcW w:w="8647" w:type="dxa"/>
          </w:tcPr>
          <w:p w14:paraId="38DCDE38" w14:textId="77777777" w:rsidR="00AB64A5" w:rsidRPr="00542ED3" w:rsidRDefault="00AB64A5" w:rsidP="00AB64A5">
            <w:pPr>
              <w:pStyle w:val="Prrafodelista"/>
              <w:numPr>
                <w:ilvl w:val="0"/>
                <w:numId w:val="2"/>
              </w:numPr>
              <w:spacing w:after="120" w:line="276" w:lineRule="auto"/>
              <w:ind w:right="709"/>
              <w:jc w:val="both"/>
              <w:rPr>
                <w:rFonts w:ascii="Verdana" w:hAnsi="Verdana" w:cs="Arial"/>
                <w:noProof/>
                <w:lang w:val="es-ES_tradnl"/>
              </w:rPr>
            </w:pPr>
            <w:r w:rsidRPr="00542ED3">
              <w:rPr>
                <w:rFonts w:ascii="Verdana" w:hAnsi="Verdana" w:cs="Arial"/>
                <w:noProof/>
                <w:lang w:val="es-ES_tradnl"/>
              </w:rPr>
              <w:t xml:space="preserve">Artículo 5 de la Ley 1150 de 2007, </w:t>
            </w:r>
            <w:bookmarkStart w:id="3" w:name="_Hlk176762543"/>
            <w:r w:rsidRPr="00542ED3">
              <w:rPr>
                <w:rFonts w:ascii="Verdana" w:hAnsi="Verdana" w:cs="Arial"/>
                <w:noProof/>
                <w:lang w:val="es-ES_tradnl"/>
              </w:rPr>
              <w:t>modificado por la Ley 1882 de 2018, parágrafos 1, 3 y 4</w:t>
            </w:r>
            <w:bookmarkEnd w:id="3"/>
            <w:r w:rsidRPr="00542ED3">
              <w:rPr>
                <w:rFonts w:ascii="Verdana" w:hAnsi="Verdana" w:cs="Arial"/>
                <w:noProof/>
                <w:lang w:val="es-ES_tradnl"/>
              </w:rPr>
              <w:t xml:space="preserve">. Disponible en: </w:t>
            </w:r>
            <w:hyperlink r:id="rId12" w:history="1">
              <w:r w:rsidRPr="00542ED3">
                <w:rPr>
                  <w:rStyle w:val="Hipervnculo"/>
                  <w:rFonts w:ascii="Verdana" w:hAnsi="Verdana" w:cs="Arial"/>
                  <w:noProof/>
                  <w:lang w:val="es-ES_tradnl"/>
                </w:rPr>
                <w:t>https://relatoria.colombiacompra.gov.co/normativa/ley-1882-de-2018/</w:t>
              </w:r>
            </w:hyperlink>
            <w:r w:rsidRPr="00542ED3">
              <w:rPr>
                <w:rFonts w:ascii="Verdana" w:hAnsi="Verdana" w:cs="Arial"/>
                <w:noProof/>
                <w:lang w:val="es-ES_tradnl"/>
              </w:rPr>
              <w:t xml:space="preserve"> </w:t>
            </w:r>
          </w:p>
          <w:p w14:paraId="0C45EA68" w14:textId="77777777" w:rsidR="00AB64A5" w:rsidRPr="00251CA2" w:rsidRDefault="00AB64A5" w:rsidP="00AB64A5">
            <w:pPr>
              <w:pStyle w:val="Prrafodelista"/>
              <w:numPr>
                <w:ilvl w:val="0"/>
                <w:numId w:val="2"/>
              </w:numPr>
              <w:spacing w:after="120" w:line="276" w:lineRule="auto"/>
              <w:ind w:right="709"/>
              <w:jc w:val="both"/>
              <w:rPr>
                <w:rFonts w:ascii="Verdana" w:hAnsi="Verdana" w:cs="Arial"/>
              </w:rPr>
            </w:pPr>
            <w:r w:rsidRPr="00542ED3">
              <w:rPr>
                <w:rFonts w:ascii="Verdana" w:eastAsia="Times New Roman" w:hAnsi="Verdana" w:cs="Arial"/>
                <w:lang w:val="es-ES_tradnl" w:eastAsia="es-ES_tradnl"/>
              </w:rPr>
              <w:t xml:space="preserve">Artículo 2.2.1.2.1.5.2 y </w:t>
            </w:r>
            <w:r w:rsidRPr="00542ED3">
              <w:rPr>
                <w:rFonts w:ascii="Verdana" w:eastAsia="Calibri" w:hAnsi="Verdana" w:cs="Arial"/>
              </w:rPr>
              <w:t xml:space="preserve">2.2.1.1.1.6.2 </w:t>
            </w:r>
            <w:r w:rsidRPr="00542ED3">
              <w:rPr>
                <w:rFonts w:ascii="Verdana" w:eastAsia="Times New Roman" w:hAnsi="Verdana" w:cs="Arial"/>
                <w:lang w:val="es-ES_tradnl" w:eastAsia="es-ES_tradnl"/>
              </w:rPr>
              <w:t xml:space="preserve">del Decreto 1082 de 2015 modificado por el artículo 2 Decreto 1860 de 2021. </w:t>
            </w:r>
            <w:r w:rsidRPr="00542ED3">
              <w:rPr>
                <w:rFonts w:ascii="Verdana" w:hAnsi="Verdana" w:cs="Arial"/>
                <w:noProof/>
                <w:lang w:val="es-ES_tradnl"/>
              </w:rPr>
              <w:t xml:space="preserve">Disponible en: </w:t>
            </w:r>
            <w:r w:rsidRPr="00542ED3">
              <w:rPr>
                <w:rFonts w:ascii="Verdana" w:eastAsia="Times New Roman" w:hAnsi="Verdana" w:cs="Arial"/>
                <w:lang w:val="es-ES_tradnl" w:eastAsia="es-ES_tradnl"/>
              </w:rPr>
              <w:t xml:space="preserve"> </w:t>
            </w:r>
            <w:hyperlink r:id="rId13" w:history="1">
              <w:r w:rsidRPr="00542ED3">
                <w:rPr>
                  <w:rStyle w:val="Hipervnculo"/>
                  <w:rFonts w:ascii="Verdana" w:eastAsia="Times New Roman" w:hAnsi="Verdana" w:cs="Arial"/>
                  <w:lang w:val="es-ES_tradnl" w:eastAsia="es-ES_tradnl"/>
                </w:rPr>
                <w:t>https://relatoria.colombiacompra.gov.co/normativa/decreto-  1860-de-2021/</w:t>
              </w:r>
            </w:hyperlink>
            <w:r w:rsidRPr="00542ED3">
              <w:rPr>
                <w:rFonts w:ascii="Verdana" w:eastAsia="Times New Roman" w:hAnsi="Verdana" w:cs="Arial"/>
                <w:lang w:val="es-ES_tradnl" w:eastAsia="es-ES_tradnl"/>
              </w:rPr>
              <w:t xml:space="preserve"> </w:t>
            </w:r>
          </w:p>
        </w:tc>
      </w:tr>
    </w:tbl>
    <w:p w14:paraId="7D10BDB3" w14:textId="77777777" w:rsidR="00AB64A5" w:rsidRPr="00542ED3" w:rsidRDefault="00AB64A5" w:rsidP="00AB64A5">
      <w:pPr>
        <w:widowControl w:val="0"/>
        <w:autoSpaceDE w:val="0"/>
        <w:autoSpaceDN w:val="0"/>
        <w:spacing w:after="0" w:line="276" w:lineRule="auto"/>
        <w:jc w:val="both"/>
        <w:rPr>
          <w:rFonts w:ascii="Verdana" w:hAnsi="Verdana" w:cs="Arial"/>
        </w:rPr>
      </w:pPr>
    </w:p>
    <w:p w14:paraId="064A695A"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Doctrina de la Agencia Nacional de Contratación Pública:</w:t>
      </w:r>
    </w:p>
    <w:p w14:paraId="6FB855C5" w14:textId="77777777" w:rsidR="00AB64A5" w:rsidRPr="00542ED3" w:rsidRDefault="00AB64A5" w:rsidP="00AB64A5">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DBF49A0"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r w:rsidRPr="00542ED3">
        <w:rPr>
          <w:rStyle w:val="normaltextrun"/>
          <w:rFonts w:ascii="Verdana" w:hAnsi="Verdana" w:cs="Arial"/>
          <w:shd w:val="clear" w:color="auto" w:fill="FFFFFF"/>
          <w:lang w:val="es-ES"/>
        </w:rPr>
        <w:t>Esta Subdirección se ha pronunciado s</w:t>
      </w:r>
      <w:r w:rsidRPr="00542ED3">
        <w:rPr>
          <w:rFonts w:ascii="Verdana" w:eastAsia="Aptos" w:hAnsi="Verdana" w:cs="Arial"/>
          <w:shd w:val="clear" w:color="auto" w:fill="FFFFFF"/>
          <w:lang w:val="es-ES"/>
        </w:rPr>
        <w:t xml:space="preserve">obre los requisitos habilitantes en los procesos de contratación pública, en los Conceptos </w:t>
      </w:r>
      <w:r w:rsidRPr="00542ED3">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542ED3">
        <w:rPr>
          <w:rFonts w:ascii="Verdana" w:eastAsia="Aptos" w:hAnsi="Verdana" w:cs="Arial"/>
          <w:shd w:val="clear" w:color="auto" w:fill="FFFFFF"/>
          <w:lang w:val="es-ES"/>
        </w:rPr>
        <w:t>C-246 del 16 de julio de 2024, C-277 del 16 de julio de 2024, C-193 del 19 de julio de 2024, C-178 del 29 de julio de 2024, C-204 del 29 de julio de 2024, C-278 del 31 de julio de 2024, C-201 del 02 de agosto de 2024, C-349 del 15 de agosto de 2024, C-291 del 20 de agosto de 2024</w:t>
      </w:r>
      <w:r w:rsidRPr="00542ED3">
        <w:rPr>
          <w:rFonts w:ascii="Verdana" w:eastAsia="Calibri" w:hAnsi="Verdana" w:cs="Arial"/>
          <w:lang w:val="es-ES" w:eastAsia="es-ES"/>
        </w:rPr>
        <w:t xml:space="preserve"> y C-370 del 03 de septiembre de 2024.</w:t>
      </w:r>
      <w:r w:rsidRPr="00542ED3">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542ED3">
          <w:rPr>
            <w:rStyle w:val="Hipervnculo"/>
            <w:rFonts w:ascii="Verdana" w:hAnsi="Verdana" w:cs="Arial"/>
            <w:shd w:val="clear" w:color="auto" w:fill="FFFFFF"/>
          </w:rPr>
          <w:t>https://relatoria.colombiacompra.gov.co/</w:t>
        </w:r>
      </w:hyperlink>
      <w:r w:rsidRPr="00542ED3">
        <w:rPr>
          <w:rFonts w:ascii="Verdana" w:hAnsi="Verdana" w:cs="Arial"/>
          <w:color w:val="000000" w:themeColor="text1"/>
          <w:shd w:val="clear" w:color="auto" w:fill="FFFFFF"/>
        </w:rPr>
        <w:t xml:space="preserve"> . </w:t>
      </w:r>
    </w:p>
    <w:p w14:paraId="7E7837B1"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p>
    <w:p w14:paraId="64FD86D2"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p>
    <w:p w14:paraId="6D2A1A80"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542ED3">
        <w:rPr>
          <w:rFonts w:ascii="Verdana" w:hAnsi="Verdana" w:cs="Arial"/>
          <w:color w:val="000000" w:themeColor="text1"/>
          <w:shd w:val="clear" w:color="auto" w:fill="FFFFFF"/>
        </w:rPr>
        <w:t xml:space="preserve">Te invitamos también a revisar la tercera edición del  Boletín de Relatoría de </w:t>
      </w:r>
      <w:r w:rsidRPr="00542ED3">
        <w:rPr>
          <w:rFonts w:ascii="Verdana" w:hAnsi="Verdana" w:cs="Arial"/>
          <w:color w:val="000000" w:themeColor="text1"/>
          <w:shd w:val="clear" w:color="auto" w:fill="FFFFFF"/>
        </w:rPr>
        <w:lastRenderedPageBreak/>
        <w:t>2024 en el cual podrás consultar en detalle el marco normativo de documentos tipo: </w:t>
      </w:r>
      <w:hyperlink r:id="rId15" w:tgtFrame="_blank" w:tooltip="Dirección URL original: https://www.colombiacompra.gov.co/sites/cce_public/files/files_2020/boletin_de_realtoria_iii.pdf. Haga clic o pulse si confía en este vínculo." w:history="1">
        <w:r w:rsidRPr="00542ED3">
          <w:rPr>
            <w:rStyle w:val="Hipervnculo"/>
            <w:rFonts w:ascii="Verdana" w:hAnsi="Verdana" w:cs="Arial"/>
            <w:shd w:val="clear" w:color="auto" w:fill="FFFFFF"/>
          </w:rPr>
          <w:t>https://www.colombiacompra.gov.co/sites/cce_public/files/files_2020/boletin_de_realtoria_iii.pdf</w:t>
        </w:r>
      </w:hyperlink>
      <w:r w:rsidRPr="00542ED3">
        <w:rPr>
          <w:rFonts w:ascii="Verdana" w:hAnsi="Verdana" w:cs="Arial"/>
          <w:color w:val="000000" w:themeColor="text1"/>
          <w:shd w:val="clear" w:color="auto" w:fill="FFFFFF"/>
        </w:rPr>
        <w:t> ".</w:t>
      </w:r>
    </w:p>
    <w:p w14:paraId="03479624" w14:textId="77777777" w:rsidR="00AB64A5" w:rsidRPr="00542ED3" w:rsidRDefault="00AB64A5" w:rsidP="00AB64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8400B5C"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Por último, lo invitamos a seguirnos en las redes sociales en las cuales se difunde información institucional: </w:t>
      </w:r>
    </w:p>
    <w:p w14:paraId="4C00BD62" w14:textId="77777777" w:rsidR="00AB64A5" w:rsidRPr="00542ED3" w:rsidRDefault="00AB64A5" w:rsidP="00AB64A5">
      <w:pPr>
        <w:spacing w:after="0" w:line="240" w:lineRule="auto"/>
        <w:jc w:val="both"/>
        <w:rPr>
          <w:rFonts w:ascii="Verdana" w:hAnsi="Verdana"/>
        </w:rPr>
      </w:pPr>
    </w:p>
    <w:p w14:paraId="536E4745"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Twitter: </w:t>
      </w:r>
      <w:r w:rsidRPr="00542ED3">
        <w:rPr>
          <w:rStyle w:val="Hipervnculo"/>
          <w:rFonts w:ascii="Verdana" w:hAnsi="Verdana"/>
          <w:color w:val="156082" w:themeColor="accent1"/>
        </w:rPr>
        <w:t>@colombiacompra</w:t>
      </w:r>
      <w:r w:rsidRPr="00542ED3">
        <w:rPr>
          <w:rFonts w:ascii="Verdana" w:hAnsi="Verdana"/>
          <w:color w:val="156082" w:themeColor="accent1"/>
        </w:rPr>
        <w:t xml:space="preserve"> </w:t>
      </w:r>
    </w:p>
    <w:p w14:paraId="48B106C5"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Facebook: </w:t>
      </w:r>
      <w:proofErr w:type="spellStart"/>
      <w:r w:rsidRPr="00542ED3">
        <w:rPr>
          <w:rStyle w:val="Hipervnculo"/>
          <w:rFonts w:ascii="Verdana" w:hAnsi="Verdana"/>
          <w:color w:val="156082" w:themeColor="accent1"/>
        </w:rPr>
        <w:t>ColombiaCompraEficiente</w:t>
      </w:r>
      <w:proofErr w:type="spellEnd"/>
    </w:p>
    <w:p w14:paraId="4A5D9233"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LinkedIn: </w:t>
      </w:r>
      <w:r w:rsidRPr="00542ED3">
        <w:rPr>
          <w:rStyle w:val="Hipervnculo"/>
          <w:rFonts w:ascii="Verdana" w:hAnsi="Verdana"/>
          <w:color w:val="156082" w:themeColor="accent1"/>
        </w:rPr>
        <w:t>Agencia Nacional de Contratación Pública - Colombia Compra Eficiente</w:t>
      </w:r>
      <w:r w:rsidRPr="00542ED3">
        <w:rPr>
          <w:rFonts w:ascii="Verdana" w:hAnsi="Verdana"/>
          <w:color w:val="156082" w:themeColor="accent1"/>
        </w:rPr>
        <w:t xml:space="preserve"> </w:t>
      </w:r>
      <w:r w:rsidRPr="00542ED3">
        <w:rPr>
          <w:rFonts w:ascii="Verdana" w:hAnsi="Verdana"/>
        </w:rPr>
        <w:t xml:space="preserve">Instagram: </w:t>
      </w:r>
      <w:r w:rsidRPr="00542ED3">
        <w:rPr>
          <w:rStyle w:val="Hipervnculo"/>
          <w:rFonts w:ascii="Verdana" w:hAnsi="Verdana"/>
          <w:color w:val="156082" w:themeColor="accent1"/>
        </w:rPr>
        <w:t>@colombiacompraeficiente_cce</w:t>
      </w:r>
    </w:p>
    <w:p w14:paraId="02BE982E" w14:textId="77777777" w:rsidR="00AB64A5" w:rsidRPr="00542ED3" w:rsidRDefault="00AB64A5" w:rsidP="00AB64A5">
      <w:pPr>
        <w:widowControl w:val="0"/>
        <w:autoSpaceDE w:val="0"/>
        <w:autoSpaceDN w:val="0"/>
        <w:spacing w:after="0" w:line="276" w:lineRule="auto"/>
        <w:jc w:val="both"/>
        <w:rPr>
          <w:rFonts w:ascii="Verdana" w:hAnsi="Verdana" w:cs="Arial"/>
        </w:rPr>
      </w:pPr>
    </w:p>
    <w:p w14:paraId="64E0D488" w14:textId="77777777" w:rsidR="00AB64A5" w:rsidRPr="00542ED3" w:rsidRDefault="00AB64A5" w:rsidP="00AB64A5">
      <w:pPr>
        <w:widowControl w:val="0"/>
        <w:autoSpaceDE w:val="0"/>
        <w:autoSpaceDN w:val="0"/>
        <w:spacing w:after="0" w:line="276" w:lineRule="auto"/>
        <w:jc w:val="both"/>
        <w:rPr>
          <w:rFonts w:ascii="Verdana" w:hAnsi="Verdana" w:cs="Arial"/>
          <w:lang w:val="es-ES_tradnl"/>
        </w:rPr>
      </w:pPr>
      <w:r w:rsidRPr="00542ED3">
        <w:rPr>
          <w:rFonts w:ascii="Verdana" w:hAnsi="Verdana" w:cs="Arial"/>
        </w:rPr>
        <w:t xml:space="preserve">Este concepto tiene el alcance previsto en el artículo 28 del Código de Procedimiento Administrativo y de lo Contencioso Administrativo </w:t>
      </w:r>
      <w:r w:rsidRPr="00542ED3">
        <w:rPr>
          <w:rFonts w:ascii="Verdana" w:hAnsi="Verdana" w:cs="Arial"/>
          <w:lang w:val="es-ES_tradnl"/>
        </w:rPr>
        <w:t>y las expresiones aquí utilizadas con mayúscula inicial deben ser entendidas con el significado que les otorga el artículo 2.2.1.1.1.3.1. del Decreto 1082 de 2015.</w:t>
      </w:r>
    </w:p>
    <w:p w14:paraId="20464B9D" w14:textId="77777777" w:rsidR="00AB64A5" w:rsidRPr="00542ED3" w:rsidRDefault="00AB64A5" w:rsidP="00AB64A5">
      <w:pPr>
        <w:widowControl w:val="0"/>
        <w:autoSpaceDE w:val="0"/>
        <w:autoSpaceDN w:val="0"/>
        <w:spacing w:after="0" w:line="276" w:lineRule="auto"/>
        <w:jc w:val="both"/>
        <w:rPr>
          <w:rFonts w:ascii="Verdana" w:hAnsi="Verdana" w:cs="Arial"/>
        </w:rPr>
      </w:pPr>
    </w:p>
    <w:p w14:paraId="43CF8739" w14:textId="77777777" w:rsidR="00AB64A5" w:rsidRPr="00542ED3" w:rsidRDefault="00AB64A5" w:rsidP="00AB64A5">
      <w:pPr>
        <w:spacing w:after="0" w:line="240" w:lineRule="auto"/>
        <w:rPr>
          <w:rFonts w:ascii="Verdana" w:hAnsi="Verdana" w:cs="Arial"/>
          <w:lang w:eastAsia="es-CO"/>
        </w:rPr>
      </w:pPr>
      <w:r w:rsidRPr="00542ED3">
        <w:rPr>
          <w:rFonts w:ascii="Verdana" w:eastAsia="Times New Roman" w:hAnsi="Verdana" w:cs="Arial"/>
          <w:lang w:eastAsia="es-CO"/>
        </w:rPr>
        <w:t>Atentamente,</w:t>
      </w:r>
      <w:r w:rsidRPr="00542ED3">
        <w:rPr>
          <w:rFonts w:ascii="Verdana" w:hAnsi="Verdana" w:cs="Arial"/>
          <w:lang w:eastAsia="es-CO"/>
        </w:rPr>
        <w:t xml:space="preserve"> </w:t>
      </w:r>
    </w:p>
    <w:p w14:paraId="4B4BF774" w14:textId="3D8E387B" w:rsidR="0007620F" w:rsidRPr="0007620F" w:rsidRDefault="0007620F" w:rsidP="0007620F">
      <w:pPr>
        <w:spacing w:line="276" w:lineRule="auto"/>
        <w:jc w:val="center"/>
        <w:rPr>
          <w:rFonts w:ascii="Verdana" w:hAnsi="Verdana"/>
          <w:noProof/>
        </w:rPr>
      </w:pPr>
      <w:r w:rsidRPr="0007620F">
        <w:rPr>
          <w:rFonts w:ascii="Verdana" w:hAnsi="Verdana"/>
          <w:noProof/>
        </w:rPr>
        <w:drawing>
          <wp:inline distT="0" distB="0" distL="0" distR="0" wp14:anchorId="2669FE42" wp14:editId="5E3CC5E9">
            <wp:extent cx="2897505" cy="1243849"/>
            <wp:effectExtent l="0" t="0" r="0" b="0"/>
            <wp:docPr id="161765121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4289" cy="1246761"/>
                    </a:xfrm>
                    <a:prstGeom prst="rect">
                      <a:avLst/>
                    </a:prstGeom>
                    <a:noFill/>
                    <a:ln>
                      <a:noFill/>
                    </a:ln>
                  </pic:spPr>
                </pic:pic>
              </a:graphicData>
            </a:graphic>
          </wp:inline>
        </w:drawing>
      </w:r>
    </w:p>
    <w:p w14:paraId="0B837099" w14:textId="2F0CFFC1" w:rsidR="00AB64A5" w:rsidRDefault="00AB64A5" w:rsidP="00AB64A5">
      <w:pPr>
        <w:spacing w:line="276" w:lineRule="auto"/>
        <w:jc w:val="center"/>
        <w:rPr>
          <w:rFonts w:ascii="Verdana" w:hAnsi="Verdana"/>
          <w:noProof/>
        </w:rPr>
      </w:pPr>
    </w:p>
    <w:p w14:paraId="7672318D" w14:textId="77777777" w:rsidR="00276CE3" w:rsidRDefault="00276CE3" w:rsidP="00AB64A5">
      <w:pPr>
        <w:spacing w:line="276" w:lineRule="auto"/>
        <w:jc w:val="center"/>
        <w:rPr>
          <w:rFonts w:ascii="Verdana" w:hAnsi="Verdana" w:cs="Arial"/>
          <w:noProof/>
          <w:color w:val="000000"/>
          <w:lang w:val="es-ES_tradnl" w:eastAsia="es-CO"/>
        </w:rPr>
      </w:pPr>
    </w:p>
    <w:p w14:paraId="0105CFA2" w14:textId="77777777" w:rsidR="00276CE3" w:rsidRDefault="00276CE3" w:rsidP="00AB64A5">
      <w:pPr>
        <w:spacing w:line="276" w:lineRule="auto"/>
        <w:jc w:val="center"/>
        <w:rPr>
          <w:rFonts w:ascii="Verdana" w:hAnsi="Verdana" w:cs="Arial"/>
          <w:noProof/>
          <w:color w:val="000000"/>
          <w:lang w:val="es-ES_tradnl" w:eastAsia="es-CO"/>
        </w:rPr>
      </w:pPr>
    </w:p>
    <w:p w14:paraId="79FEA41A" w14:textId="77777777" w:rsidR="00276CE3" w:rsidRPr="00542ED3" w:rsidRDefault="00276CE3" w:rsidP="00AB64A5">
      <w:pPr>
        <w:spacing w:line="276" w:lineRule="auto"/>
        <w:jc w:val="center"/>
        <w:rPr>
          <w:rFonts w:ascii="Verdana" w:hAnsi="Verdana" w:cs="Arial"/>
          <w:color w:val="000000"/>
          <w:lang w:val="es-ES_tradnl" w:eastAsia="es-CO"/>
        </w:rPr>
      </w:pPr>
    </w:p>
    <w:tbl>
      <w:tblPr>
        <w:tblStyle w:val="Tablaconcuadrcula"/>
        <w:tblW w:w="6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1"/>
        <w:gridCol w:w="5544"/>
      </w:tblGrid>
      <w:tr w:rsidR="00AB64A5" w:rsidRPr="00542ED3" w14:paraId="1CCF7B2A" w14:textId="77777777" w:rsidTr="008354E5">
        <w:trPr>
          <w:trHeight w:val="315"/>
        </w:trPr>
        <w:tc>
          <w:tcPr>
            <w:tcW w:w="1091" w:type="dxa"/>
            <w:vAlign w:val="center"/>
            <w:hideMark/>
          </w:tcPr>
          <w:p w14:paraId="4C835DB8"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t>Elaboró:</w:t>
            </w:r>
          </w:p>
        </w:tc>
        <w:tc>
          <w:tcPr>
            <w:tcW w:w="5544" w:type="dxa"/>
            <w:vAlign w:val="center"/>
            <w:hideMark/>
          </w:tcPr>
          <w:p w14:paraId="66AF4843" w14:textId="77777777" w:rsidR="00AB64A5" w:rsidRPr="00251CA2" w:rsidRDefault="00AB64A5" w:rsidP="007B0B27">
            <w:pPr>
              <w:contextualSpacing/>
              <w:rPr>
                <w:rFonts w:ascii="Verdana" w:eastAsia="Arial" w:hAnsi="Verdana" w:cs="Arial"/>
                <w:color w:val="7030A0"/>
                <w:sz w:val="18"/>
                <w:szCs w:val="18"/>
              </w:rPr>
            </w:pPr>
            <w:r w:rsidRPr="00251CA2">
              <w:rPr>
                <w:rStyle w:val="normaltextrun"/>
                <w:rFonts w:ascii="Verdana" w:hAnsi="Verdana"/>
                <w:sz w:val="18"/>
                <w:szCs w:val="18"/>
              </w:rPr>
              <w:t>Christian Camilo Orjuela Galeano</w:t>
            </w:r>
          </w:p>
          <w:p w14:paraId="6D742C2C" w14:textId="77777777" w:rsidR="00AB64A5" w:rsidRPr="00251CA2" w:rsidRDefault="00AB64A5" w:rsidP="007B0B27">
            <w:pPr>
              <w:contextualSpacing/>
              <w:rPr>
                <w:rFonts w:ascii="Verdana" w:eastAsia="Arial" w:hAnsi="Verdana" w:cs="Arial"/>
                <w:sz w:val="18"/>
                <w:szCs w:val="18"/>
              </w:rPr>
            </w:pPr>
            <w:r w:rsidRPr="00251CA2">
              <w:rPr>
                <w:rStyle w:val="normaltextrun"/>
                <w:rFonts w:ascii="Verdana" w:eastAsia="Arial" w:hAnsi="Verdana" w:cs="Arial"/>
                <w:sz w:val="18"/>
                <w:szCs w:val="18"/>
              </w:rPr>
              <w:t>Contratista de la Subdirección de Gestión Contractual</w:t>
            </w:r>
          </w:p>
        </w:tc>
      </w:tr>
      <w:tr w:rsidR="00AB64A5" w:rsidRPr="00542ED3" w14:paraId="25DEECD8" w14:textId="77777777" w:rsidTr="008354E5">
        <w:trPr>
          <w:trHeight w:val="330"/>
        </w:trPr>
        <w:tc>
          <w:tcPr>
            <w:tcW w:w="1091" w:type="dxa"/>
            <w:vAlign w:val="center"/>
            <w:hideMark/>
          </w:tcPr>
          <w:p w14:paraId="5EB4B261"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t>Revisó:</w:t>
            </w:r>
          </w:p>
        </w:tc>
        <w:tc>
          <w:tcPr>
            <w:tcW w:w="5544" w:type="dxa"/>
            <w:vAlign w:val="center"/>
            <w:hideMark/>
          </w:tcPr>
          <w:p w14:paraId="552C0EF3" w14:textId="77777777" w:rsidR="00AB64A5" w:rsidRPr="00251CA2" w:rsidRDefault="00AB64A5" w:rsidP="007B0B27">
            <w:pPr>
              <w:pStyle w:val="paragraph"/>
              <w:spacing w:before="0" w:beforeAutospacing="0" w:after="0" w:afterAutospacing="0"/>
              <w:contextualSpacing/>
              <w:textAlignment w:val="baseline"/>
              <w:rPr>
                <w:rStyle w:val="normaltextrun"/>
                <w:rFonts w:ascii="Verdana" w:hAnsi="Verdana" w:cstheme="minorHAnsi"/>
                <w:sz w:val="18"/>
                <w:szCs w:val="18"/>
              </w:rPr>
            </w:pPr>
            <w:r w:rsidRPr="00251CA2">
              <w:rPr>
                <w:rStyle w:val="normaltextrun"/>
                <w:rFonts w:ascii="Verdana" w:hAnsi="Verdana" w:cstheme="minorHAnsi"/>
                <w:sz w:val="18"/>
                <w:szCs w:val="18"/>
              </w:rPr>
              <w:t>Ximena Ríos</w:t>
            </w:r>
          </w:p>
          <w:p w14:paraId="164666B5" w14:textId="77777777" w:rsidR="00AB64A5" w:rsidRPr="00251CA2" w:rsidRDefault="00AB64A5" w:rsidP="007B0B27">
            <w:pPr>
              <w:pStyle w:val="paragraph"/>
              <w:spacing w:before="0" w:beforeAutospacing="0" w:after="0" w:afterAutospacing="0"/>
              <w:contextualSpacing/>
              <w:textAlignment w:val="baseline"/>
              <w:rPr>
                <w:rFonts w:ascii="Verdana" w:hAnsi="Verdana" w:cs="Segoe UI"/>
                <w:sz w:val="18"/>
                <w:szCs w:val="18"/>
              </w:rPr>
            </w:pPr>
            <w:r w:rsidRPr="00251CA2">
              <w:rPr>
                <w:rStyle w:val="normaltextrun"/>
                <w:rFonts w:ascii="Verdana" w:eastAsia="Arial" w:hAnsi="Verdana" w:cs="Arial"/>
                <w:sz w:val="18"/>
                <w:szCs w:val="18"/>
              </w:rPr>
              <w:t>Gestor T1-11 de la Subdirección de Gestión Contractual</w:t>
            </w:r>
          </w:p>
        </w:tc>
      </w:tr>
      <w:tr w:rsidR="00AB64A5" w:rsidRPr="00542ED3" w14:paraId="082B5310" w14:textId="77777777" w:rsidTr="008354E5">
        <w:trPr>
          <w:trHeight w:val="50"/>
        </w:trPr>
        <w:tc>
          <w:tcPr>
            <w:tcW w:w="1091" w:type="dxa"/>
            <w:vAlign w:val="center"/>
          </w:tcPr>
          <w:p w14:paraId="7430F20F"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t>Aprobó:</w:t>
            </w:r>
          </w:p>
        </w:tc>
        <w:tc>
          <w:tcPr>
            <w:tcW w:w="5544" w:type="dxa"/>
            <w:vAlign w:val="center"/>
          </w:tcPr>
          <w:p w14:paraId="14C31041" w14:textId="77777777" w:rsidR="00AB64A5" w:rsidRPr="00251CA2" w:rsidRDefault="00AB64A5" w:rsidP="007B0B27">
            <w:pPr>
              <w:contextualSpacing/>
              <w:rPr>
                <w:rFonts w:ascii="Verdana" w:eastAsia="Calibri" w:hAnsi="Verdana" w:cs="Arial"/>
                <w:sz w:val="18"/>
                <w:szCs w:val="18"/>
                <w:lang w:val="pt-BR" w:eastAsia="es-ES"/>
              </w:rPr>
            </w:pPr>
            <w:r w:rsidRPr="00251CA2">
              <w:rPr>
                <w:rFonts w:ascii="Verdana" w:eastAsia="Calibri" w:hAnsi="Verdana" w:cs="Arial"/>
                <w:sz w:val="18"/>
                <w:szCs w:val="18"/>
                <w:lang w:val="pt-BR" w:eastAsia="es-ES"/>
              </w:rPr>
              <w:t xml:space="preserve">Carolina Quintero </w:t>
            </w:r>
            <w:proofErr w:type="spellStart"/>
            <w:r w:rsidRPr="00251CA2">
              <w:rPr>
                <w:rFonts w:ascii="Verdana" w:eastAsia="Calibri" w:hAnsi="Verdana" w:cs="Arial"/>
                <w:sz w:val="18"/>
                <w:szCs w:val="18"/>
                <w:lang w:val="pt-BR" w:eastAsia="es-ES"/>
              </w:rPr>
              <w:t>Gacharná</w:t>
            </w:r>
            <w:proofErr w:type="spellEnd"/>
          </w:p>
          <w:p w14:paraId="1A53492F" w14:textId="77777777" w:rsidR="00AB64A5" w:rsidRPr="00251CA2" w:rsidRDefault="00AB64A5" w:rsidP="007B0B27">
            <w:pPr>
              <w:contextualSpacing/>
              <w:rPr>
                <w:rFonts w:ascii="Verdana" w:eastAsia="Calibri" w:hAnsi="Verdana" w:cs="Arial"/>
                <w:sz w:val="18"/>
                <w:szCs w:val="18"/>
                <w:lang w:val="pt-BR" w:eastAsia="es-ES"/>
              </w:rPr>
            </w:pPr>
            <w:r w:rsidRPr="00251CA2">
              <w:rPr>
                <w:rFonts w:ascii="Verdana" w:eastAsia="Calibri" w:hAnsi="Verdana" w:cs="Arial"/>
                <w:sz w:val="18"/>
                <w:szCs w:val="18"/>
                <w:lang w:eastAsia="es-ES"/>
              </w:rPr>
              <w:t>Subdirectora</w:t>
            </w:r>
            <w:r w:rsidRPr="00251CA2">
              <w:rPr>
                <w:rFonts w:ascii="Verdana" w:eastAsia="Calibri" w:hAnsi="Verdana" w:cs="Arial"/>
                <w:sz w:val="18"/>
                <w:szCs w:val="18"/>
                <w:lang w:val="pt-BR" w:eastAsia="es-ES"/>
              </w:rPr>
              <w:t xml:space="preserve"> de Gestión </w:t>
            </w:r>
            <w:proofErr w:type="spellStart"/>
            <w:r w:rsidRPr="00251CA2">
              <w:rPr>
                <w:rFonts w:ascii="Verdana" w:eastAsia="Calibri" w:hAnsi="Verdana" w:cs="Arial"/>
                <w:sz w:val="18"/>
                <w:szCs w:val="18"/>
                <w:lang w:val="pt-BR" w:eastAsia="es-ES"/>
              </w:rPr>
              <w:t>Contractual</w:t>
            </w:r>
            <w:proofErr w:type="spellEnd"/>
            <w:r w:rsidRPr="00251CA2">
              <w:rPr>
                <w:rFonts w:ascii="Verdana" w:eastAsia="Calibri" w:hAnsi="Verdana" w:cs="Arial"/>
                <w:sz w:val="18"/>
                <w:szCs w:val="18"/>
                <w:lang w:val="pt-BR" w:eastAsia="es-ES"/>
              </w:rPr>
              <w:t xml:space="preserve"> ANCP – CCE</w:t>
            </w:r>
          </w:p>
        </w:tc>
      </w:tr>
    </w:tbl>
    <w:p w14:paraId="011E4F21" w14:textId="77777777" w:rsidR="00AB64A5" w:rsidRPr="00251CA2" w:rsidRDefault="00AB64A5" w:rsidP="00AB64A5">
      <w:pPr>
        <w:spacing w:after="0" w:line="240" w:lineRule="auto"/>
        <w:rPr>
          <w:rFonts w:ascii="Verdana" w:eastAsia="Times New Roman" w:hAnsi="Verdana" w:cs="Arial"/>
          <w:lang w:eastAsia="es-ES"/>
        </w:rPr>
      </w:pPr>
    </w:p>
    <w:p w14:paraId="02CE4EF4" w14:textId="77777777" w:rsidR="00AB64A5" w:rsidRPr="00251CA2" w:rsidRDefault="00AB64A5" w:rsidP="00AB64A5">
      <w:pPr>
        <w:rPr>
          <w:rFonts w:ascii="Verdana" w:hAnsi="Verdana"/>
        </w:rPr>
      </w:pPr>
    </w:p>
    <w:p w14:paraId="7644495A" w14:textId="77777777" w:rsidR="00AB64A5" w:rsidRPr="00542ED3" w:rsidRDefault="00AB64A5" w:rsidP="00AB64A5">
      <w:pPr>
        <w:spacing w:after="0"/>
        <w:rPr>
          <w:rFonts w:ascii="Verdana" w:hAnsi="Verdana"/>
        </w:rPr>
      </w:pPr>
      <w:r w:rsidRPr="00542ED3">
        <w:rPr>
          <w:rFonts w:ascii="Verdana" w:hAnsi="Verdana"/>
        </w:rPr>
        <w:tab/>
      </w:r>
    </w:p>
    <w:p w14:paraId="34BF06D8" w14:textId="77777777" w:rsidR="00AB64A5" w:rsidRPr="00542ED3" w:rsidRDefault="00AB64A5" w:rsidP="00AB64A5">
      <w:pPr>
        <w:spacing w:after="0"/>
        <w:rPr>
          <w:rFonts w:ascii="Verdana" w:hAnsi="Verdana"/>
        </w:rPr>
      </w:pPr>
    </w:p>
    <w:p w14:paraId="1F766B8E" w14:textId="77777777" w:rsidR="00AB64A5" w:rsidRPr="00542ED3" w:rsidRDefault="00AB64A5" w:rsidP="00AB64A5">
      <w:pPr>
        <w:spacing w:after="0"/>
        <w:rPr>
          <w:rFonts w:ascii="Verdana" w:hAnsi="Verdana"/>
        </w:rPr>
      </w:pPr>
    </w:p>
    <w:bookmarkEnd w:id="0"/>
    <w:p w14:paraId="1D08ED52" w14:textId="77777777" w:rsidR="00AB64A5" w:rsidRPr="00B4672A" w:rsidRDefault="00AB64A5" w:rsidP="00AB64A5">
      <w:pPr>
        <w:spacing w:after="0"/>
        <w:rPr>
          <w:rFonts w:ascii="Verdana" w:hAnsi="Verdana"/>
        </w:rPr>
      </w:pPr>
    </w:p>
    <w:p w14:paraId="5CDCF197" w14:textId="77777777" w:rsidR="009C4900" w:rsidRDefault="009C4900"/>
    <w:sectPr w:rsidR="009C4900" w:rsidSect="00AB64A5">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B1447" w14:textId="77777777" w:rsidR="003C110F" w:rsidRDefault="003C110F" w:rsidP="00AB64A5">
      <w:pPr>
        <w:spacing w:after="0" w:line="240" w:lineRule="auto"/>
      </w:pPr>
      <w:r>
        <w:separator/>
      </w:r>
    </w:p>
  </w:endnote>
  <w:endnote w:type="continuationSeparator" w:id="0">
    <w:p w14:paraId="74AC506C" w14:textId="77777777" w:rsidR="003C110F" w:rsidRDefault="003C110F"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A41B7" w14:textId="77777777" w:rsidR="003C110F" w:rsidRDefault="003C110F" w:rsidP="00AB64A5">
      <w:pPr>
        <w:spacing w:after="0" w:line="240" w:lineRule="auto"/>
      </w:pPr>
      <w:r>
        <w:separator/>
      </w:r>
    </w:p>
  </w:footnote>
  <w:footnote w:type="continuationSeparator" w:id="0">
    <w:p w14:paraId="76352BCE" w14:textId="77777777" w:rsidR="003C110F" w:rsidRDefault="003C110F" w:rsidP="00AB64A5">
      <w:pPr>
        <w:spacing w:after="0" w:line="240" w:lineRule="auto"/>
      </w:pPr>
      <w:r>
        <w:continuationSeparator/>
      </w:r>
    </w:p>
  </w:footnote>
  <w:footnote w:id="1">
    <w:p w14:paraId="1C82822D"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hAnsi="Verdana" w:cs="Arial"/>
          <w:sz w:val="14"/>
          <w:szCs w:val="14"/>
          <w:vertAlign w:val="superscript"/>
        </w:rPr>
        <w:footnoteRef/>
      </w:r>
      <w:r w:rsidRPr="00C01E35">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55C8BB55"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10C7948F" w14:textId="4229CD56"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r w:rsidR="00C01E35" w:rsidRPr="00C01E35">
        <w:rPr>
          <w:rFonts w:ascii="Verdana" w:eastAsia="Arial" w:hAnsi="Verdana" w:cs="Arial"/>
          <w:color w:val="000000"/>
          <w:sz w:val="14"/>
          <w:szCs w:val="14"/>
        </w:rPr>
        <w:t>pliegos</w:t>
      </w:r>
      <w:r w:rsidRPr="00C01E35">
        <w:rPr>
          <w:rFonts w:ascii="Verdana" w:eastAsia="Arial" w:hAnsi="Verdana" w:cs="Arial"/>
          <w:color w:val="000000"/>
          <w:sz w:val="14"/>
          <w:szCs w:val="14"/>
        </w:rPr>
        <w:t xml:space="preserve"> no será objeto de evaluación”.</w:t>
      </w:r>
    </w:p>
    <w:p w14:paraId="539ADBE8"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6E38A057" w14:textId="51DEC7B3"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En caso de comparación de propuestas nacionales y extranjeras, se incluirán los costos necesarios para la entrega del producto terminado en el lugar de su utilización”.</w:t>
      </w:r>
    </w:p>
  </w:footnote>
  <w:footnote w:id="2">
    <w:p w14:paraId="0D6C1522" w14:textId="77777777" w:rsidR="00AB64A5" w:rsidRPr="00E11F53" w:rsidRDefault="00AB64A5" w:rsidP="00C01E35">
      <w:pPr>
        <w:pBdr>
          <w:top w:val="nil"/>
          <w:left w:val="nil"/>
          <w:bottom w:val="nil"/>
          <w:right w:val="nil"/>
          <w:between w:val="nil"/>
        </w:pBdr>
        <w:jc w:val="both"/>
        <w:rPr>
          <w:rFonts w:ascii="Century Gothic" w:eastAsia="Arial" w:hAnsi="Century Gothic" w:cs="Arial"/>
          <w:color w:val="000000"/>
          <w:sz w:val="14"/>
          <w:szCs w:val="14"/>
        </w:rPr>
      </w:pPr>
      <w:r w:rsidRPr="00C01E35">
        <w:rPr>
          <w:rFonts w:ascii="Verdana" w:hAnsi="Verdana" w:cs="Arial"/>
          <w:sz w:val="14"/>
          <w:szCs w:val="14"/>
          <w:vertAlign w:val="superscript"/>
        </w:rPr>
        <w:footnoteRef/>
      </w:r>
      <w:r w:rsidRPr="00C01E35">
        <w:rPr>
          <w:rFonts w:ascii="Verdana" w:eastAsia="Arial" w:hAnsi="Verdana" w:cs="Arial"/>
          <w:color w:val="000000"/>
          <w:sz w:val="14"/>
          <w:szCs w:val="14"/>
        </w:rPr>
        <w:t xml:space="preserve"> DÁVILA VINUEZA, Luis Guillermo. Régimen jurídico de la contratación estatal. Tercera edición, Bogotá: Legis, 2016. p. 355.</w:t>
      </w:r>
    </w:p>
  </w:footnote>
  <w:footnote w:id="3">
    <w:p w14:paraId="1328E974" w14:textId="4ED3820E" w:rsidR="00AB64A5" w:rsidRPr="007E0D51" w:rsidRDefault="00AB64A5" w:rsidP="00C01E35">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footnote>
  <w:footnote w:id="4">
    <w:p w14:paraId="2390B693" w14:textId="77777777" w:rsidR="00AB64A5" w:rsidRPr="007E0D51" w:rsidRDefault="00AB64A5" w:rsidP="00C01E35">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p w14:paraId="01B8D80F" w14:textId="77777777" w:rsidR="00AB64A5" w:rsidRPr="00E11F53" w:rsidRDefault="00AB64A5" w:rsidP="00AB64A5">
      <w:pPr>
        <w:pBdr>
          <w:top w:val="nil"/>
          <w:left w:val="nil"/>
          <w:bottom w:val="nil"/>
          <w:right w:val="nil"/>
          <w:between w:val="nil"/>
        </w:pBdr>
        <w:ind w:firstLine="709"/>
        <w:jc w:val="both"/>
        <w:rPr>
          <w:rFonts w:ascii="Century Gothic" w:eastAsia="Arial" w:hAnsi="Century Gothic" w:cs="Arial"/>
          <w:color w:val="000000"/>
          <w:sz w:val="14"/>
          <w:szCs w:val="14"/>
        </w:rPr>
      </w:pPr>
    </w:p>
  </w:footnote>
  <w:footnote w:id="5">
    <w:p w14:paraId="2B4562D6" w14:textId="206B80B0" w:rsidR="00AB64A5" w:rsidRPr="007E0D51" w:rsidRDefault="00AB64A5" w:rsidP="007E0D51">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w:t>
      </w:r>
      <w:r w:rsidR="007E0D51" w:rsidRPr="007E0D51">
        <w:rPr>
          <w:rFonts w:ascii="Verdana" w:eastAsia="Arial" w:hAnsi="Verdana" w:cs="Arial"/>
          <w:color w:val="000000"/>
          <w:sz w:val="14"/>
          <w:szCs w:val="14"/>
        </w:rPr>
        <w:t>Ibidem</w:t>
      </w:r>
      <w:r w:rsidRPr="007E0D51">
        <w:rPr>
          <w:rFonts w:ascii="Verdana" w:eastAsia="Arial" w:hAnsi="Verdana" w:cs="Arial"/>
          <w:color w:val="000000"/>
          <w:sz w:val="14"/>
          <w:szCs w:val="14"/>
        </w:rPr>
        <w:t>.</w:t>
      </w:r>
    </w:p>
  </w:footnote>
  <w:footnote w:id="6">
    <w:p w14:paraId="6EADF97F" w14:textId="77777777" w:rsidR="007E0D51" w:rsidRDefault="00AB64A5" w:rsidP="007E0D51">
      <w:pPr>
        <w:spacing w:after="0" w:line="240" w:lineRule="auto"/>
        <w:jc w:val="both"/>
        <w:rPr>
          <w:rFonts w:ascii="Verdana" w:eastAsia="Arial" w:hAnsi="Verdana" w:cs="Arial"/>
          <w:sz w:val="14"/>
          <w:szCs w:val="14"/>
        </w:rPr>
      </w:pPr>
      <w:r w:rsidRPr="007E0D51">
        <w:rPr>
          <w:rFonts w:ascii="Verdana" w:hAnsi="Verdana" w:cs="Arial"/>
          <w:sz w:val="14"/>
          <w:szCs w:val="14"/>
          <w:vertAlign w:val="superscript"/>
        </w:rPr>
        <w:footnoteRef/>
      </w:r>
      <w:r w:rsidRPr="007E0D51">
        <w:rPr>
          <w:rFonts w:ascii="Verdana" w:eastAsia="Arial" w:hAnsi="Verdana" w:cs="Arial"/>
          <w:sz w:val="14"/>
          <w:szCs w:val="14"/>
        </w:rPr>
        <w:t xml:space="preserve"> Decreto 1082 de 2015 “Artículo 2.2.1.1.2.2.2. Ofrecimiento más favorable. La Entidad Estatal debe determinar la oferta más favorable teniendo en cuenta las normas aplicables a cada modalidad de selección del contratista.   ” 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46A91CA1" w14:textId="39618EBF"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”1. Las condiciones técnicas y económicas mínimas de la oferta. </w:t>
      </w:r>
    </w:p>
    <w:p w14:paraId="60BC15D7"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”2. Las condiciones técnicas adicionales que representan ventajas de calidad o de funcionamiento, tales como el uso de tecnología o materiales que generen mayor eficiencia, rendimiento o duración del bien, obra o servicio. </w:t>
      </w:r>
    </w:p>
    <w:p w14:paraId="2A9ED2A4"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 </w:t>
      </w:r>
    </w:p>
    <w:p w14:paraId="2A03A8E2" w14:textId="77777777" w:rsidR="00AB64A5" w:rsidRPr="007E0D51" w:rsidRDefault="00AB64A5" w:rsidP="007E0D51">
      <w:pPr>
        <w:jc w:val="both"/>
        <w:rPr>
          <w:rFonts w:ascii="Verdana" w:eastAsia="Arial" w:hAnsi="Verdana" w:cs="Arial"/>
          <w:sz w:val="14"/>
          <w:szCs w:val="14"/>
        </w:rPr>
      </w:pPr>
      <w:r w:rsidRPr="007E0D51">
        <w:rPr>
          <w:rFonts w:ascii="Verdana" w:eastAsia="Arial" w:hAnsi="Verdana" w:cs="Arial"/>
          <w:sz w:val="14"/>
          <w:szCs w:val="14"/>
        </w:rPr>
        <w:t>  ”4. El valor en dinero que la Entidad Estatal asigna a cada ofrecimiento técnico o económico adicional, para permitir la ponderación de las ofertas presentadas. </w:t>
      </w:r>
    </w:p>
    <w:p w14:paraId="6972AEA1"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6FA25018" w14:textId="77777777" w:rsidR="00AB64A5" w:rsidRPr="00E11F53" w:rsidRDefault="00AB64A5" w:rsidP="007E0D51">
      <w:pPr>
        <w:spacing w:after="0" w:line="240" w:lineRule="auto"/>
        <w:jc w:val="both"/>
        <w:rPr>
          <w:rFonts w:ascii="Century Gothic" w:eastAsia="Arial" w:hAnsi="Century Gothic" w:cs="Arial"/>
          <w:sz w:val="14"/>
          <w:szCs w:val="14"/>
        </w:rPr>
      </w:pPr>
      <w:r w:rsidRPr="007E0D51">
        <w:rPr>
          <w:rFonts w:ascii="Verdana" w:eastAsia="Arial" w:hAnsi="Verdana" w:cs="Arial"/>
          <w:sz w:val="14"/>
          <w:szCs w:val="14"/>
        </w:rPr>
        <w:t>  ” La Entidad Estatal debe adjudicar al oferente que presentó la oferta con la mejor relación costo-beneficio y suscribir el contrato por el precio total ofrecido”.</w:t>
      </w:r>
      <w:r w:rsidRPr="00E11F53">
        <w:rPr>
          <w:rFonts w:ascii="Century Gothic" w:eastAsia="Arial" w:hAnsi="Century Gothic" w:cs="Arial"/>
          <w:sz w:val="14"/>
          <w:szCs w:val="14"/>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3"/>
  </w:num>
  <w:num w:numId="3" w16cid:durableId="1595672007">
    <w:abstractNumId w:val="2"/>
  </w:num>
  <w:num w:numId="4" w16cid:durableId="1944533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7620F"/>
    <w:rsid w:val="00276CE3"/>
    <w:rsid w:val="00312E96"/>
    <w:rsid w:val="003C110F"/>
    <w:rsid w:val="006B734C"/>
    <w:rsid w:val="00781E7E"/>
    <w:rsid w:val="007E0D51"/>
    <w:rsid w:val="008354E5"/>
    <w:rsid w:val="00893CDE"/>
    <w:rsid w:val="00900AD7"/>
    <w:rsid w:val="0090156A"/>
    <w:rsid w:val="009C4900"/>
    <w:rsid w:val="00A33752"/>
    <w:rsid w:val="00A62278"/>
    <w:rsid w:val="00A97EC1"/>
    <w:rsid w:val="00AA1E7F"/>
    <w:rsid w:val="00AB4464"/>
    <w:rsid w:val="00AB64A5"/>
    <w:rsid w:val="00B839D9"/>
    <w:rsid w:val="00C01E35"/>
    <w:rsid w:val="00CC1D5B"/>
    <w:rsid w:val="00E100F3"/>
    <w:rsid w:val="00E51C9B"/>
    <w:rsid w:val="260E171D"/>
    <w:rsid w:val="5FB903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950874">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204401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decreto-%20%201860-de-2021/"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normativa/ley-1882-de-20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fcastro0@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513051E-CE8D-4FE6-BFC3-A9D198718038}">
  <ds:schemaRefs>
    <ds:schemaRef ds:uri="http://schemas.microsoft.com/sharepoint/v3/contenttype/forms"/>
  </ds:schemaRefs>
</ds:datastoreItem>
</file>

<file path=customXml/itemProps2.xml><?xml version="1.0" encoding="utf-8"?>
<ds:datastoreItem xmlns:ds="http://schemas.openxmlformats.org/officeDocument/2006/customXml" ds:itemID="{6324E2EF-AFD8-4102-A9CA-87B610149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DB695E-D08F-4998-BECA-1BE0287BFB0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4824</Words>
  <Characters>26533</Characters>
  <Application>Microsoft Office Word</Application>
  <DocSecurity>0</DocSecurity>
  <Lines>221</Lines>
  <Paragraphs>62</Paragraphs>
  <ScaleCrop>false</ScaleCrop>
  <Company/>
  <LinksUpToDate>false</LinksUpToDate>
  <CharactersWithSpaces>31295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Keila Margarita Reyes Cassiani</cp:lastModifiedBy>
  <cp:revision>8</cp:revision>
  <dcterms:created xsi:type="dcterms:W3CDTF">2024-09-23T22:36:00Z</dcterms:created>
  <dcterms:modified xsi:type="dcterms:W3CDTF">2025-02-28T14:30:00Z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