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251CA2" w:rsidR="00AB64A5" w:rsidP="00E100F3" w:rsidRDefault="00AB64A5" w14:paraId="3B8D68F2" w14:textId="77777777">
      <w:pPr>
        <w:jc w:val="both"/>
        <w:rPr>
          <w:rFonts w:ascii="Verdana" w:hAnsi="Verdana"/>
          <w:b/>
          <w:lang w:val="es-ES_tradnl"/>
        </w:rPr>
      </w:pPr>
      <w:bookmarkStart w:name="_Hlk143780582" w:id="0"/>
      <w:r w:rsidRPr="00251CA2">
        <w:rPr>
          <w:rFonts w:ascii="Verdana" w:hAnsi="Verdana"/>
          <w:b/>
          <w:lang w:val="es-ES_tradnl"/>
        </w:rPr>
        <w:t xml:space="preserve">PRINCIPIO DE SELECCIÓN OBJETIVA – Noción – Normativa – Requisitos habilitantes – Requisitos ponderables </w:t>
      </w:r>
    </w:p>
    <w:p w:rsidRPr="00251CA2" w:rsidR="00AB64A5" w:rsidP="00AB64A5" w:rsidRDefault="00AB64A5" w14:paraId="3AFFF08B" w14:textId="77777777">
      <w:pPr>
        <w:spacing w:before="120"/>
        <w:ind w:right="51"/>
        <w:jc w:val="both"/>
        <w:rPr>
          <w:rFonts w:ascii="Verdana" w:hAnsi="Verdana"/>
          <w:bCs/>
        </w:rPr>
      </w:pPr>
      <w:r w:rsidRPr="00251CA2">
        <w:rPr>
          <w:rFonts w:ascii="Verdana" w:hAnsi="Verdana"/>
          <w:bCs/>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r w:rsidRPr="00251CA2">
        <w:rPr>
          <w:rFonts w:ascii="Verdana" w:hAnsi="Verdana"/>
          <w:bCs/>
        </w:rPr>
        <w:t xml:space="preserve">Si bien dentro de la historia de la contratación pública en Colombia, se vislumbran antecedentes normativos que consagraban dicho principio, en la actualidad la disposición legal que lo prevé de manera más clara y contundente es el artículo 5 de la Ley 1150 de 2007, modificado por el artículo 88 de la Ley 1474 de 2011. 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w:t>
      </w:r>
      <w:proofErr w:type="gramStart"/>
      <w:r w:rsidRPr="00251CA2">
        <w:rPr>
          <w:rFonts w:ascii="Verdana" w:hAnsi="Verdana"/>
          <w:bCs/>
        </w:rPr>
        <w:t>que</w:t>
      </w:r>
      <w:proofErr w:type="gramEnd"/>
      <w:r w:rsidRPr="00251CA2">
        <w:rPr>
          <w:rFonts w:ascii="Verdana" w:hAnsi="Verdana"/>
          <w:bCs/>
        </w:rPr>
        <w:t xml:space="preserve"> en consecuencia, darán lugar a la escogencia objetiva de la mejor propuesta para la entidad”. Todas estas categorías designan los “[…] factores a los cuales cabe otorgarles puntajes o que pueden ser ponderados, precisamente, pues estos son los factores que en últimas permiten una comparación de ofertas y una diferenciación entre ellas”. </w:t>
      </w:r>
    </w:p>
    <w:p w:rsidRPr="00251CA2" w:rsidR="00AB64A5" w:rsidP="00AB64A5" w:rsidRDefault="00AB64A5" w14:paraId="4CF9FEAA" w14:textId="77777777">
      <w:pPr>
        <w:jc w:val="both"/>
        <w:rPr>
          <w:rFonts w:ascii="Verdana" w:hAnsi="Verdana"/>
          <w:b/>
        </w:rPr>
      </w:pPr>
      <w:r w:rsidRPr="00251CA2">
        <w:rPr>
          <w:rFonts w:ascii="Verdana" w:hAnsi="Verdana"/>
          <w:b/>
        </w:rPr>
        <w:t xml:space="preserve">REQUISITOS PONDERABLES – Asignación de puntaje </w:t>
      </w:r>
    </w:p>
    <w:p w:rsidRPr="00251CA2" w:rsidR="00AB64A5" w:rsidP="00AB64A5" w:rsidRDefault="00AB64A5" w14:paraId="2BC8AD67" w14:textId="77777777">
      <w:pPr>
        <w:jc w:val="both"/>
        <w:rPr>
          <w:rFonts w:ascii="Verdana" w:hAnsi="Verdana"/>
          <w:bCs/>
        </w:rPr>
      </w:pPr>
      <w:r w:rsidRPr="00251CA2">
        <w:rPr>
          <w:rFonts w:ascii="Verdana" w:hAnsi="Verdana"/>
          <w:bCs/>
        </w:rPr>
        <w:t xml:space="preserve">[…]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w:t>
      </w:r>
      <w:r w:rsidRPr="00251CA2">
        <w:rPr>
          <w:rFonts w:ascii="Verdana" w:hAnsi="Verdana"/>
          <w:bCs/>
        </w:rPr>
        <w:lastRenderedPageBreak/>
        <w:t xml:space="preserve">aplicando para ello las reglas establecidas en el pliego o documento equivalente para la ponderación de las ofertas. </w:t>
      </w:r>
    </w:p>
    <w:p w:rsidRPr="00542ED3" w:rsidR="00AB64A5" w:rsidP="00AB64A5" w:rsidRDefault="00AB64A5" w14:paraId="422A2060"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6528CAE1"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68FC08EE"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27EF8195"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2A4AF2EB"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1855E748"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32967AB1"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51EDA15B"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2453FDB9"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453957A2"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43E3A8E2"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0FD2C770"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2439C54B"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57528B29"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14B19796"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7C111A59" w14:textId="77777777">
      <w:pPr>
        <w:spacing w:after="0" w:line="240" w:lineRule="auto"/>
        <w:rPr>
          <w:rFonts w:ascii="Verdana" w:hAnsi="Verdana" w:eastAsia="Geomanist Light" w:cs="Arial"/>
          <w:color w:val="000000" w:themeColor="text1"/>
          <w:lang w:val="es-MX"/>
        </w:rPr>
      </w:pPr>
    </w:p>
    <w:p w:rsidRPr="00542ED3" w:rsidR="00AB64A5" w:rsidP="00AB64A5" w:rsidRDefault="00AB64A5" w14:paraId="372CC5C3" w14:textId="77777777">
      <w:pPr>
        <w:rPr>
          <w:rFonts w:ascii="Verdana" w:hAnsi="Verdana" w:eastAsia="Geomanist Light" w:cs="Arial"/>
          <w:color w:val="000000" w:themeColor="text1"/>
          <w:lang w:val="es-MX"/>
        </w:rPr>
      </w:pPr>
      <w:r>
        <w:rPr>
          <w:rFonts w:ascii="Verdana" w:hAnsi="Verdana" w:eastAsia="Geomanist Light" w:cs="Arial"/>
          <w:color w:val="000000" w:themeColor="text1"/>
          <w:lang w:val="es-MX"/>
        </w:rPr>
        <w:br w:type="page"/>
      </w:r>
    </w:p>
    <w:p w:rsidRPr="00542ED3" w:rsidR="00AB64A5" w:rsidP="00AB64A5" w:rsidRDefault="00AB64A5" w14:paraId="4BABA660" w14:textId="77777777">
      <w:pPr>
        <w:spacing w:after="0" w:line="240" w:lineRule="auto"/>
        <w:rPr>
          <w:rFonts w:ascii="Verdana" w:hAnsi="Verdana" w:eastAsia="Geomanist Light" w:cs="Arial"/>
          <w:color w:val="000000" w:themeColor="text1"/>
          <w:lang w:val="es-MX"/>
        </w:rPr>
      </w:pPr>
    </w:p>
    <w:p w:rsidR="00AB64A5" w:rsidP="260E171D" w:rsidRDefault="00AB64A5" w14:paraId="05D75B93" w14:textId="1A4EC0E6">
      <w:pPr>
        <w:pStyle w:val="Normal"/>
        <w:suppressLineNumbers w:val="0"/>
        <w:bidi w:val="0"/>
        <w:spacing w:before="0" w:beforeAutospacing="off" w:after="0" w:afterAutospacing="off" w:line="259" w:lineRule="auto"/>
        <w:ind w:left="0" w:right="0"/>
        <w:jc w:val="left"/>
        <w:rPr>
          <w:rFonts w:ascii="Verdana" w:hAnsi="Verdana"/>
        </w:rPr>
      </w:pPr>
      <w:r w:rsidRPr="260E171D" w:rsidR="00AB64A5">
        <w:rPr>
          <w:rFonts w:ascii="Verdana" w:hAnsi="Verdana"/>
        </w:rPr>
        <w:t xml:space="preserve">Bogotá D.C., </w:t>
      </w:r>
      <w:r w:rsidRPr="260E171D" w:rsidR="5FB90329">
        <w:rPr>
          <w:rFonts w:ascii="Verdana" w:hAnsi="Verdana"/>
        </w:rPr>
        <w:t>24 de septiembre de 2024.</w:t>
      </w:r>
    </w:p>
    <w:p w:rsidR="00AB64A5" w:rsidP="00AB64A5" w:rsidRDefault="00AB64A5" w14:paraId="7E286A8D" w14:textId="77777777">
      <w:pPr>
        <w:spacing w:after="0"/>
        <w:rPr>
          <w:rFonts w:ascii="Verdana" w:hAnsi="Verdana"/>
        </w:rPr>
      </w:pPr>
    </w:p>
    <w:p w:rsidR="00276CE3" w:rsidP="00276CE3" w:rsidRDefault="00276CE3" w14:paraId="3FF7202D" w14:textId="76E44A8D">
      <w:pPr>
        <w:spacing w:after="0"/>
        <w:jc w:val="right"/>
        <w:rPr>
          <w:rFonts w:ascii="Verdana" w:hAnsi="Verdana"/>
        </w:rPr>
      </w:pPr>
      <w:r>
        <w:rPr>
          <w:rFonts w:ascii="Verdana" w:hAnsi="Verdana"/>
          <w:noProof/>
        </w:rPr>
        <w:drawing>
          <wp:inline distT="0" distB="0" distL="0" distR="0" wp14:anchorId="1C33389A" wp14:editId="05285227">
            <wp:extent cx="2857500" cy="876300"/>
            <wp:effectExtent l="0" t="0" r="0" b="0"/>
            <wp:docPr id="817736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876300"/>
                    </a:xfrm>
                    <a:prstGeom prst="rect">
                      <a:avLst/>
                    </a:prstGeom>
                    <a:noFill/>
                    <a:ln>
                      <a:noFill/>
                    </a:ln>
                  </pic:spPr>
                </pic:pic>
              </a:graphicData>
            </a:graphic>
          </wp:inline>
        </w:drawing>
      </w:r>
    </w:p>
    <w:p w:rsidR="00276CE3" w:rsidP="00AB64A5" w:rsidRDefault="00276CE3" w14:paraId="634273F0" w14:textId="77777777">
      <w:pPr>
        <w:spacing w:after="0"/>
        <w:rPr>
          <w:rFonts w:ascii="Verdana" w:hAnsi="Verdana"/>
        </w:rPr>
      </w:pPr>
    </w:p>
    <w:p w:rsidRPr="00542ED3" w:rsidR="00276CE3" w:rsidP="00AB64A5" w:rsidRDefault="00276CE3" w14:paraId="0969AD9C" w14:textId="77777777">
      <w:pPr>
        <w:spacing w:after="0"/>
        <w:rPr>
          <w:rFonts w:ascii="Verdana" w:hAnsi="Verdana"/>
        </w:rPr>
      </w:pPr>
    </w:p>
    <w:p w:rsidRPr="00542ED3" w:rsidR="00AB64A5" w:rsidP="00AB64A5" w:rsidRDefault="00AB64A5" w14:paraId="6F8CA54C" w14:textId="77777777">
      <w:pPr>
        <w:spacing w:after="0"/>
        <w:rPr>
          <w:rFonts w:ascii="Verdana" w:hAnsi="Verdana"/>
        </w:rPr>
      </w:pPr>
    </w:p>
    <w:p w:rsidRPr="00542ED3" w:rsidR="00AB64A5" w:rsidP="00AB64A5" w:rsidRDefault="00AB64A5" w14:paraId="01AE3B0A" w14:textId="77777777">
      <w:pPr>
        <w:spacing w:after="0" w:line="240" w:lineRule="auto"/>
        <w:jc w:val="both"/>
        <w:rPr>
          <w:rFonts w:ascii="Verdana" w:hAnsi="Verdana" w:eastAsia="Calibri" w:cs="Arial"/>
          <w:lang w:eastAsia="es-ES"/>
        </w:rPr>
      </w:pPr>
      <w:r w:rsidRPr="00542ED3">
        <w:rPr>
          <w:rFonts w:ascii="Verdana" w:hAnsi="Verdana" w:eastAsia="Calibri" w:cs="Arial"/>
          <w:lang w:eastAsia="es-ES"/>
        </w:rPr>
        <w:t>Señora</w:t>
      </w:r>
    </w:p>
    <w:p w:rsidRPr="00542ED3" w:rsidR="00AB64A5" w:rsidP="00AB64A5" w:rsidRDefault="00AB64A5" w14:paraId="141BADCD" w14:textId="77777777">
      <w:pPr>
        <w:spacing w:after="0" w:line="240" w:lineRule="auto"/>
        <w:rPr>
          <w:rFonts w:ascii="Verdana" w:hAnsi="Verdana" w:eastAsia="Calibri" w:cs="Arial"/>
          <w:b/>
          <w:bCs/>
          <w:lang w:eastAsia="es-ES_tradnl"/>
        </w:rPr>
      </w:pPr>
      <w:r w:rsidRPr="00542ED3">
        <w:rPr>
          <w:rFonts w:ascii="Verdana" w:hAnsi="Verdana" w:eastAsia="Calibri" w:cs="Arial"/>
          <w:b/>
          <w:bCs/>
          <w:lang w:eastAsia="es-ES_tradnl"/>
        </w:rPr>
        <w:t xml:space="preserve">LUISA FERNANDA CASTRO MIRANDA </w:t>
      </w:r>
    </w:p>
    <w:p w:rsidRPr="00542ED3" w:rsidR="00AB64A5" w:rsidP="00AB64A5" w:rsidRDefault="00AB64A5" w14:paraId="04E749AD" w14:textId="77777777">
      <w:pPr>
        <w:spacing w:after="0" w:line="240" w:lineRule="auto"/>
        <w:rPr>
          <w:rFonts w:ascii="Verdana" w:hAnsi="Verdana" w:eastAsia="Calibri" w:cs="Arial"/>
          <w:u w:val="single"/>
          <w:lang w:eastAsia="es-ES"/>
        </w:rPr>
      </w:pPr>
      <w:hyperlink w:history="1" r:id="rId8">
        <w:r w:rsidRPr="00542ED3">
          <w:rPr>
            <w:rStyle w:val="Hipervnculo"/>
            <w:rFonts w:ascii="Verdana" w:hAnsi="Verdana" w:eastAsia="Calibri" w:cs="Arial"/>
            <w:lang w:eastAsia="es-ES"/>
          </w:rPr>
          <w:t>lfcastro0@gmail.com</w:t>
        </w:r>
      </w:hyperlink>
    </w:p>
    <w:p w:rsidRPr="00542ED3" w:rsidR="00AB64A5" w:rsidP="00AB64A5" w:rsidRDefault="00AB64A5" w14:paraId="38021ECE" w14:textId="77777777">
      <w:pPr>
        <w:spacing w:after="0" w:line="240" w:lineRule="auto"/>
        <w:rPr>
          <w:rFonts w:ascii="Verdana" w:hAnsi="Verdana" w:eastAsia="Calibri" w:cs="Arial"/>
          <w:b/>
          <w:bCs/>
          <w:lang w:val="es-ES" w:eastAsia="es-ES"/>
        </w:rPr>
      </w:pPr>
      <w:r w:rsidRPr="00542ED3">
        <w:rPr>
          <w:rFonts w:ascii="Verdana" w:hAnsi="Verdana" w:eastAsia="Calibri" w:cs="Arial"/>
          <w:lang w:val="es-ES" w:eastAsia="es-ES"/>
        </w:rPr>
        <w:t>Bogotá D.C.</w:t>
      </w:r>
    </w:p>
    <w:p w:rsidRPr="00542ED3" w:rsidR="00AB64A5" w:rsidP="00AB64A5" w:rsidRDefault="00AB64A5" w14:paraId="44649E13" w14:textId="77777777">
      <w:pPr>
        <w:spacing w:after="0" w:line="240" w:lineRule="auto"/>
        <w:rPr>
          <w:rFonts w:ascii="Verdana" w:hAnsi="Verdana" w:eastAsia="Calibri" w:cs="Arial"/>
          <w:b/>
          <w:bCs/>
          <w:color w:val="000000"/>
          <w:lang w:val="es-ES_tradnl" w:eastAsia="es-ES_tradnl"/>
        </w:rPr>
      </w:pPr>
    </w:p>
    <w:tbl>
      <w:tblPr>
        <w:tblStyle w:val="Tablaconcuadrcula"/>
        <w:tblW w:w="921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268"/>
        <w:gridCol w:w="6946"/>
      </w:tblGrid>
      <w:tr w:rsidRPr="00542ED3" w:rsidR="00AB64A5" w:rsidTr="007B0B27" w14:paraId="124FFB5C" w14:textId="77777777">
        <w:trPr>
          <w:trHeight w:val="884"/>
        </w:trPr>
        <w:tc>
          <w:tcPr>
            <w:tcW w:w="2268" w:type="dxa"/>
          </w:tcPr>
          <w:p w:rsidRPr="00542ED3" w:rsidR="00AB64A5" w:rsidP="007B0B27" w:rsidRDefault="00AB64A5" w14:paraId="6311258D" w14:textId="77777777">
            <w:pPr>
              <w:jc w:val="both"/>
              <w:rPr>
                <w:rFonts w:ascii="Verdana" w:hAnsi="Verdana" w:eastAsia="Calibri" w:cs="Arial"/>
                <w:b/>
                <w:bCs/>
                <w:color w:val="7030A0"/>
                <w:lang w:val="es-ES_tradnl" w:eastAsia="es-ES_tradnl"/>
              </w:rPr>
            </w:pPr>
          </w:p>
        </w:tc>
        <w:tc>
          <w:tcPr>
            <w:tcW w:w="6946" w:type="dxa"/>
          </w:tcPr>
          <w:p w:rsidRPr="00542ED3" w:rsidR="00AB64A5" w:rsidP="007B0B27" w:rsidRDefault="00AB64A5" w14:paraId="23DA8C95" w14:textId="77777777">
            <w:pPr>
              <w:jc w:val="both"/>
              <w:rPr>
                <w:rFonts w:ascii="Verdana" w:hAnsi="Verdana" w:eastAsia="Calibri" w:cs="Arial"/>
                <w:b/>
                <w:bCs/>
                <w:color w:val="7030A0"/>
                <w:lang w:val="es-ES" w:eastAsia="es-ES"/>
              </w:rPr>
            </w:pPr>
            <w:r w:rsidRPr="00542ED3">
              <w:rPr>
                <w:rFonts w:ascii="Verdana" w:hAnsi="Verdana" w:eastAsia="Calibri" w:cs="Arial"/>
                <w:b/>
                <w:bCs/>
                <w:lang w:val="es-ES" w:eastAsia="es-ES"/>
              </w:rPr>
              <w:t>Concepto C- 457 de 2024</w:t>
            </w:r>
          </w:p>
        </w:tc>
      </w:tr>
      <w:tr w:rsidRPr="00542ED3" w:rsidR="00AB64A5" w:rsidTr="007B0B27" w14:paraId="317258D8" w14:textId="77777777">
        <w:trPr>
          <w:trHeight w:val="884"/>
        </w:trPr>
        <w:tc>
          <w:tcPr>
            <w:tcW w:w="2268" w:type="dxa"/>
          </w:tcPr>
          <w:p w:rsidRPr="00251CA2" w:rsidR="00AB64A5" w:rsidP="007B0B27" w:rsidRDefault="00AB64A5" w14:paraId="216AB9FC" w14:textId="77777777">
            <w:pPr>
              <w:jc w:val="both"/>
              <w:rPr>
                <w:rFonts w:ascii="Verdana" w:hAnsi="Verdana" w:eastAsia="Calibri" w:cs="Arial"/>
                <w:b/>
                <w:bCs/>
                <w:lang w:val="es-ES_tradnl" w:eastAsia="es-ES_tradnl"/>
              </w:rPr>
            </w:pPr>
            <w:r w:rsidRPr="00251CA2">
              <w:rPr>
                <w:rFonts w:ascii="Verdana" w:hAnsi="Verdana" w:eastAsia="Calibri" w:cs="Arial"/>
                <w:b/>
                <w:bCs/>
                <w:lang w:val="es-ES_tradnl" w:eastAsia="es-ES_tradnl"/>
              </w:rPr>
              <w:t xml:space="preserve">Temas:                   </w:t>
            </w:r>
          </w:p>
        </w:tc>
        <w:tc>
          <w:tcPr>
            <w:tcW w:w="6946" w:type="dxa"/>
          </w:tcPr>
          <w:p w:rsidRPr="00251CA2" w:rsidR="00AB64A5" w:rsidP="007B0B27" w:rsidRDefault="00AB64A5" w14:paraId="166DCFEB" w14:textId="271B7C6F">
            <w:pPr>
              <w:jc w:val="both"/>
              <w:rPr>
                <w:rFonts w:ascii="Verdana" w:hAnsi="Verdana" w:eastAsia="Calibri" w:cs="Arial"/>
                <w:lang w:val="es-ES_tradnl" w:eastAsia="es-ES_tradnl"/>
              </w:rPr>
            </w:pPr>
            <w:r w:rsidRPr="00251CA2">
              <w:rPr>
                <w:rFonts w:ascii="Verdana" w:hAnsi="Verdana" w:eastAsia="Calibri" w:cs="Arial"/>
                <w:lang w:val="es-ES_tradnl" w:eastAsia="es-ES_tradnl"/>
              </w:rPr>
              <w:t>PRINCIPIO DE SELECCIÓN OBJETIVA – Noción – Normativa – Requisitos habilitantes – Requisitos ponderables / REQUISITOS PONDERABLES – Asignación de puntaje</w:t>
            </w:r>
            <w:r w:rsidR="00C01E35">
              <w:rPr>
                <w:rFonts w:ascii="Verdana" w:hAnsi="Verdana" w:eastAsia="Calibri" w:cs="Arial"/>
                <w:lang w:val="es-ES_tradnl" w:eastAsia="es-ES_tradnl"/>
              </w:rPr>
              <w:t>.</w:t>
            </w:r>
          </w:p>
          <w:p w:rsidRPr="00251CA2" w:rsidR="00AB64A5" w:rsidP="007B0B27" w:rsidRDefault="00AB64A5" w14:paraId="0DCE15E8" w14:textId="77777777">
            <w:pPr>
              <w:rPr>
                <w:rFonts w:ascii="Verdana" w:hAnsi="Verdana" w:eastAsia="Calibri" w:cs="Arial"/>
                <w:lang w:val="es-ES_tradnl" w:eastAsia="es-ES_tradnl"/>
              </w:rPr>
            </w:pPr>
          </w:p>
          <w:p w:rsidRPr="00251CA2" w:rsidR="00AB64A5" w:rsidP="007B0B27" w:rsidRDefault="00AB64A5" w14:paraId="362B2D37" w14:textId="77777777">
            <w:pPr>
              <w:spacing w:line="276" w:lineRule="auto"/>
              <w:jc w:val="both"/>
              <w:rPr>
                <w:rFonts w:ascii="Verdana" w:hAnsi="Verdana" w:eastAsia="Calibri" w:cs="Arial"/>
                <w:lang w:val="es-ES_tradnl" w:eastAsia="es-ES_tradnl"/>
              </w:rPr>
            </w:pPr>
          </w:p>
        </w:tc>
      </w:tr>
      <w:tr w:rsidRPr="00542ED3" w:rsidR="00AB64A5" w:rsidTr="007B0B27" w14:paraId="6B3F3ED0" w14:textId="77777777">
        <w:tc>
          <w:tcPr>
            <w:tcW w:w="2268" w:type="dxa"/>
          </w:tcPr>
          <w:p w:rsidRPr="00542ED3" w:rsidR="00AB64A5" w:rsidP="007B0B27" w:rsidRDefault="00AB64A5" w14:paraId="0AC72359" w14:textId="77777777">
            <w:pPr>
              <w:jc w:val="both"/>
              <w:rPr>
                <w:rFonts w:ascii="Verdana" w:hAnsi="Verdana" w:eastAsia="Calibri" w:cs="Arial"/>
                <w:b/>
                <w:lang w:val="es-ES_tradnl" w:eastAsia="es-ES_tradnl"/>
              </w:rPr>
            </w:pPr>
            <w:r w:rsidRPr="00542ED3">
              <w:rPr>
                <w:rFonts w:ascii="Verdana" w:hAnsi="Verdana" w:eastAsia="Calibri" w:cs="Arial"/>
                <w:b/>
                <w:lang w:val="es-ES_tradnl" w:eastAsia="es-ES_tradnl"/>
              </w:rPr>
              <w:t>Radicación:</w:t>
            </w:r>
            <w:r w:rsidRPr="00542ED3">
              <w:rPr>
                <w:rFonts w:ascii="Verdana" w:hAnsi="Verdana" w:eastAsia="Calibri" w:cs="Arial"/>
                <w:lang w:val="es-ES_tradnl" w:eastAsia="es-ES_tradnl"/>
              </w:rPr>
              <w:t xml:space="preserve">               </w:t>
            </w:r>
          </w:p>
        </w:tc>
        <w:tc>
          <w:tcPr>
            <w:tcW w:w="6946" w:type="dxa"/>
          </w:tcPr>
          <w:p w:rsidRPr="00542ED3" w:rsidR="00AB64A5" w:rsidP="007B0B27" w:rsidRDefault="00AB64A5" w14:paraId="14A3CEBF" w14:textId="77777777">
            <w:pPr>
              <w:jc w:val="both"/>
              <w:rPr>
                <w:rFonts w:ascii="Verdana" w:hAnsi="Verdana" w:eastAsia="Calibri" w:cs="Arial"/>
                <w:lang w:val="es-ES_tradnl" w:eastAsia="es-ES_tradnl"/>
              </w:rPr>
            </w:pPr>
            <w:r w:rsidRPr="00542ED3">
              <w:rPr>
                <w:rFonts w:ascii="Verdana" w:hAnsi="Verdana" w:eastAsia="Calibri" w:cs="Arial"/>
                <w:lang w:val="es-ES_tradnl" w:eastAsia="es-ES_tradnl"/>
              </w:rPr>
              <w:t>Respuesta a consulta con radicado No. P20240808008101</w:t>
            </w:r>
          </w:p>
        </w:tc>
      </w:tr>
    </w:tbl>
    <w:p w:rsidRPr="00542ED3" w:rsidR="00AB64A5" w:rsidP="00AB64A5" w:rsidRDefault="00AB64A5" w14:paraId="7459B210" w14:textId="77777777">
      <w:pPr>
        <w:spacing w:after="0" w:line="240" w:lineRule="auto"/>
        <w:jc w:val="both"/>
        <w:rPr>
          <w:rFonts w:ascii="Verdana" w:hAnsi="Verdana" w:eastAsia="Calibri" w:cs="Arial"/>
          <w:color w:val="000000"/>
          <w:lang w:val="es-ES_tradnl" w:eastAsia="es-ES_tradnl"/>
        </w:rPr>
      </w:pPr>
    </w:p>
    <w:p w:rsidRPr="00542ED3" w:rsidR="00AB64A5" w:rsidP="00AB64A5" w:rsidRDefault="00AB64A5" w14:paraId="3010FD6F" w14:textId="77777777">
      <w:pPr>
        <w:spacing w:after="0" w:line="240" w:lineRule="auto"/>
        <w:jc w:val="both"/>
        <w:rPr>
          <w:rFonts w:ascii="Verdana" w:hAnsi="Verdana" w:eastAsia="Calibri" w:cs="Arial"/>
          <w:color w:val="000000"/>
          <w:lang w:val="es-ES_tradnl" w:eastAsia="es-ES_tradnl"/>
        </w:rPr>
      </w:pPr>
    </w:p>
    <w:p w:rsidRPr="00542ED3" w:rsidR="00AB64A5" w:rsidP="00AB64A5" w:rsidRDefault="00AB64A5" w14:paraId="16D75B47" w14:textId="77777777">
      <w:pPr>
        <w:spacing w:after="0" w:line="276" w:lineRule="auto"/>
        <w:jc w:val="both"/>
        <w:rPr>
          <w:rFonts w:ascii="Verdana" w:hAnsi="Verdana" w:eastAsia="Calibri" w:cs="Arial"/>
          <w:lang w:val="es-ES" w:eastAsia="es-ES"/>
        </w:rPr>
      </w:pPr>
      <w:r w:rsidRPr="00542ED3">
        <w:rPr>
          <w:rFonts w:ascii="Verdana" w:hAnsi="Verdana" w:eastAsia="Calibri" w:cs="Arial"/>
          <w:lang w:val="es-ES" w:eastAsia="es-ES"/>
        </w:rPr>
        <w:t xml:space="preserve">Estimada señora Castro; </w:t>
      </w:r>
    </w:p>
    <w:p w:rsidRPr="00542ED3" w:rsidR="00AB64A5" w:rsidP="00AB64A5" w:rsidRDefault="00AB64A5" w14:paraId="5ED55F00" w14:textId="77777777">
      <w:pPr>
        <w:tabs>
          <w:tab w:val="left" w:pos="3768"/>
        </w:tabs>
        <w:spacing w:after="0" w:line="276" w:lineRule="auto"/>
        <w:jc w:val="both"/>
        <w:rPr>
          <w:rFonts w:ascii="Verdana" w:hAnsi="Verdana" w:eastAsia="Calibri" w:cs="Arial"/>
          <w:color w:val="000000" w:themeColor="text1"/>
          <w:lang w:val="es-ES" w:eastAsia="es-ES"/>
        </w:rPr>
      </w:pPr>
      <w:r w:rsidRPr="00542ED3">
        <w:rPr>
          <w:rFonts w:ascii="Verdana" w:hAnsi="Verdana" w:eastAsia="Calibri" w:cs="Arial"/>
          <w:color w:val="000000" w:themeColor="text1"/>
          <w:lang w:val="es-ES" w:eastAsia="es-ES"/>
        </w:rPr>
        <w:tab/>
      </w:r>
    </w:p>
    <w:p w:rsidRPr="00542ED3" w:rsidR="00AB64A5" w:rsidP="00AB64A5" w:rsidRDefault="00AB64A5" w14:paraId="3AAA6349" w14:textId="77777777">
      <w:pPr>
        <w:spacing w:after="0" w:line="276" w:lineRule="auto"/>
        <w:jc w:val="both"/>
        <w:rPr>
          <w:rFonts w:ascii="Verdana" w:hAnsi="Verdana" w:eastAsia="Calibri" w:cs="Arial"/>
          <w:lang w:val="es-ES" w:eastAsia="es-ES"/>
        </w:rPr>
      </w:pPr>
      <w:r w:rsidRPr="00542ED3">
        <w:rPr>
          <w:rFonts w:ascii="Verdana" w:hAnsi="Verdana" w:eastAsia="Calibri" w:cs="Arial"/>
          <w:lang w:val="es-ES" w:eastAsia="es-ES"/>
        </w:rPr>
        <w:t xml:space="preserve">En ejercicio de la </w:t>
      </w:r>
      <w:r w:rsidRPr="00B4672A">
        <w:rPr>
          <w:rFonts w:ascii="Verdana" w:hAnsi="Verdana" w:eastAsia="Calibri" w:cs="Arial"/>
          <w:lang w:val="es-ES" w:eastAsia="es-ES"/>
        </w:rPr>
        <w:t>competencia otorgada por los artículos 3, numeral 5º, y 11, numeral 8º, del Decreto Ley 4170 de 2011,</w:t>
      </w:r>
      <w:r w:rsidRPr="00542ED3">
        <w:rPr>
          <w:rFonts w:ascii="Verdana" w:hAnsi="Verdana" w:eastAsia="Arial MT" w:cs="Arial MT"/>
          <w:lang w:val="es-ES" w:eastAsia="es-ES"/>
        </w:rPr>
        <w:t xml:space="preserve"> </w:t>
      </w:r>
      <w:r w:rsidRPr="00542ED3">
        <w:rPr>
          <w:rFonts w:ascii="Verdana" w:hAnsi="Verdana" w:cs="Arial"/>
        </w:rPr>
        <w:t xml:space="preserve">así como lo establecido en el artículo 4 de la Resolución 1707 de 2018 expedida por esta Entidad, </w:t>
      </w:r>
      <w:r w:rsidRPr="00542ED3">
        <w:rPr>
          <w:rFonts w:ascii="Verdana" w:hAnsi="Verdana" w:eastAsia="Calibri" w:cs="Arial"/>
          <w:lang w:val="es-ES" w:eastAsia="es-ES"/>
        </w:rPr>
        <w:t xml:space="preserve">la Agencia Nacional de Contratación Pública – Colombia Compra Eficiente– responde su solicitud radicada en esta entidad el 8 de agosto de 2024, en la cual manifiesta lo siguiente: </w:t>
      </w:r>
    </w:p>
    <w:p w:rsidRPr="00251CA2" w:rsidR="00AB64A5" w:rsidP="00AB64A5" w:rsidRDefault="00AB64A5" w14:paraId="35AFAAA8" w14:textId="77777777">
      <w:pPr>
        <w:spacing w:after="0" w:line="240" w:lineRule="auto"/>
        <w:ind w:left="709" w:right="709"/>
        <w:jc w:val="both"/>
        <w:rPr>
          <w:rFonts w:ascii="Verdana" w:hAnsi="Verdana" w:cs="Arial"/>
          <w:shd w:val="clear" w:color="auto" w:fill="FFFFFF"/>
        </w:rPr>
      </w:pPr>
      <w:bookmarkStart w:name="_Hlk95313578" w:id="1"/>
    </w:p>
    <w:bookmarkEnd w:id="1"/>
    <w:p w:rsidRPr="00542ED3" w:rsidR="00AB64A5" w:rsidP="00AB64A5" w:rsidRDefault="00AB64A5" w14:paraId="2F32BF48" w14:textId="77777777">
      <w:pPr>
        <w:pStyle w:val="Prrafodelista"/>
        <w:tabs>
          <w:tab w:val="left" w:pos="142"/>
          <w:tab w:val="left" w:pos="284"/>
        </w:tabs>
        <w:spacing w:after="0" w:line="240" w:lineRule="auto"/>
        <w:ind w:left="425" w:right="1185"/>
        <w:jc w:val="both"/>
        <w:rPr>
          <w:rFonts w:ascii="Verdana" w:hAnsi="Verdana" w:eastAsia="Century Gothic" w:cs="Century Gothic"/>
          <w:i/>
          <w:iCs/>
        </w:rPr>
      </w:pPr>
      <w:r w:rsidRPr="00542ED3">
        <w:rPr>
          <w:rFonts w:ascii="Verdana" w:hAnsi="Verdana" w:eastAsia="Century Gothic" w:cs="Century Gothic"/>
          <w:i/>
          <w:iCs/>
        </w:rPr>
        <w:t xml:space="preserve">    “(…)</w:t>
      </w:r>
    </w:p>
    <w:p w:rsidRPr="00542ED3" w:rsidR="00AB64A5" w:rsidP="00AB64A5" w:rsidRDefault="00AB64A5" w14:paraId="48E0F53D" w14:textId="77777777">
      <w:pPr>
        <w:spacing w:after="0" w:line="276" w:lineRule="auto"/>
        <w:ind w:firstLine="709"/>
        <w:jc w:val="both"/>
        <w:rPr>
          <w:rFonts w:ascii="Verdana" w:hAnsi="Verdana" w:eastAsia="Century Gothic" w:cs="Century Gothic"/>
          <w:i/>
          <w:iCs/>
        </w:rPr>
      </w:pPr>
    </w:p>
    <w:p w:rsidRPr="00542ED3" w:rsidR="00AB64A5" w:rsidP="00AB64A5" w:rsidRDefault="00AB64A5" w14:paraId="792CF4F5" w14:textId="77777777">
      <w:pPr>
        <w:spacing w:after="0" w:line="276" w:lineRule="auto"/>
        <w:ind w:left="709" w:right="758"/>
        <w:jc w:val="both"/>
        <w:rPr>
          <w:rFonts w:ascii="Verdana" w:hAnsi="Verdana" w:eastAsia="Century Gothic" w:cs="Century Gothic"/>
          <w:i/>
          <w:iCs/>
        </w:rPr>
      </w:pPr>
      <w:r w:rsidRPr="00542ED3">
        <w:rPr>
          <w:rFonts w:ascii="Verdana" w:hAnsi="Verdana" w:eastAsia="Century Gothic" w:cs="Century Gothic"/>
          <w:i/>
          <w:iCs/>
        </w:rPr>
        <w:t xml:space="preserve"> Solicito amablemente se emita un concepto acerca de la interpretación de este aparte del artículo 5 de la ley 1150 de 2007. (...) 1. La capacidad jurídica y las </w:t>
      </w:r>
      <w:r w:rsidRPr="00B4672A">
        <w:rPr>
          <w:rFonts w:ascii="Verdana" w:hAnsi="Verdana" w:eastAsia="Century Gothic" w:cs="Century Gothic"/>
          <w:i/>
          <w:iCs/>
        </w:rPr>
        <w:t xml:space="preserve">condiciones de experiencia, </w:t>
      </w:r>
      <w:r w:rsidRPr="00B4672A">
        <w:rPr>
          <w:rFonts w:ascii="Verdana" w:hAnsi="Verdana" w:eastAsia="Century Gothic" w:cs="Century Gothic"/>
          <w:i/>
          <w:iCs/>
        </w:rPr>
        <w:lastRenderedPageBreak/>
        <w:t>capacidad financiera y de organización de los</w:t>
      </w:r>
      <w:r w:rsidRPr="00542ED3">
        <w:rPr>
          <w:rFonts w:ascii="Verdana" w:hAnsi="Verdana" w:eastAsia="Century Gothic" w:cs="Century Gothic"/>
          <w:i/>
          <w:iCs/>
        </w:rPr>
        <w:t xml:space="preserve"> proponentes serán objeto de verificación de cumplimiento como requisitos habilitantes para la participación en el proceso de selección y no otorgarán puntaje, con excepción de lo previsto en el numeral 4 del presente artículo.(...)</w:t>
      </w:r>
    </w:p>
    <w:p w:rsidRPr="00542ED3" w:rsidR="00AB64A5" w:rsidP="00AB64A5" w:rsidRDefault="00AB64A5" w14:paraId="4CBE4600" w14:textId="77777777">
      <w:pPr>
        <w:spacing w:after="0" w:line="276" w:lineRule="auto"/>
        <w:ind w:left="709" w:right="758"/>
        <w:jc w:val="both"/>
        <w:rPr>
          <w:rFonts w:ascii="Verdana" w:hAnsi="Verdana" w:eastAsia="Century Gothic" w:cs="Century Gothic"/>
          <w:i/>
          <w:iCs/>
        </w:rPr>
      </w:pPr>
      <w:r w:rsidRPr="00542ED3">
        <w:rPr>
          <w:rFonts w:ascii="Verdana" w:hAnsi="Verdana" w:eastAsia="Century Gothic" w:cs="Century Gothic"/>
          <w:i/>
          <w:iCs/>
        </w:rPr>
        <w:t>Pregunto:</w:t>
      </w:r>
    </w:p>
    <w:p w:rsidRPr="00542ED3" w:rsidR="00AB64A5" w:rsidP="00AB64A5" w:rsidRDefault="00AB64A5" w14:paraId="3A905687" w14:textId="77777777">
      <w:pPr>
        <w:spacing w:after="0" w:line="276" w:lineRule="auto"/>
        <w:ind w:left="709" w:right="758"/>
        <w:jc w:val="both"/>
        <w:rPr>
          <w:rFonts w:ascii="Verdana" w:hAnsi="Verdana" w:eastAsia="Century Gothic" w:cs="Century Gothic"/>
          <w:i/>
          <w:iCs/>
        </w:rPr>
      </w:pPr>
      <w:r w:rsidRPr="00542ED3">
        <w:rPr>
          <w:rFonts w:ascii="Verdana" w:hAnsi="Verdana" w:eastAsia="Century Gothic" w:cs="Century Gothic"/>
          <w:i/>
          <w:iCs/>
        </w:rPr>
        <w:t xml:space="preserve">¿No es posible pedir experiencia adicional (calificable) en los procesos de selección en régimen público y/o especial, </w:t>
      </w:r>
      <w:proofErr w:type="spellStart"/>
      <w:r w:rsidRPr="00542ED3">
        <w:rPr>
          <w:rFonts w:ascii="Verdana" w:hAnsi="Verdana" w:eastAsia="Century Gothic" w:cs="Century Gothic"/>
          <w:i/>
          <w:iCs/>
        </w:rPr>
        <w:t>aún</w:t>
      </w:r>
      <w:proofErr w:type="spellEnd"/>
      <w:r w:rsidRPr="00542ED3">
        <w:rPr>
          <w:rFonts w:ascii="Verdana" w:hAnsi="Verdana" w:eastAsia="Century Gothic" w:cs="Century Gothic"/>
          <w:i/>
          <w:iCs/>
        </w:rPr>
        <w:t xml:space="preserve"> cuando la necesidad técnica e institucional lo requiera? ¿La experiencia adicional (calificable) solo puede ser solicitada como tal cuando la ley lo permita?:[SIC]”</w:t>
      </w:r>
    </w:p>
    <w:p w:rsidRPr="00542ED3" w:rsidR="00AB64A5" w:rsidP="00AB64A5" w:rsidRDefault="00AB64A5" w14:paraId="4E543B6E" w14:textId="77777777">
      <w:pPr>
        <w:spacing w:after="0" w:line="276" w:lineRule="auto"/>
        <w:ind w:left="709" w:right="758"/>
        <w:jc w:val="both"/>
        <w:rPr>
          <w:rFonts w:ascii="Verdana" w:hAnsi="Verdana" w:eastAsia="Century Gothic" w:cs="Century Gothic"/>
          <w:i/>
          <w:iCs/>
        </w:rPr>
      </w:pPr>
    </w:p>
    <w:p w:rsidRPr="00400D6E" w:rsidR="00AB64A5" w:rsidP="00AB64A5" w:rsidRDefault="00AB64A5" w14:paraId="1078C241" w14:textId="77777777">
      <w:pPr>
        <w:spacing w:after="120" w:line="276" w:lineRule="auto"/>
        <w:ind w:firstLine="709"/>
        <w:jc w:val="both"/>
        <w:rPr>
          <w:rFonts w:ascii="Verdana" w:hAnsi="Verdana" w:eastAsia="Calibri" w:cs="Arial"/>
          <w:color w:val="000000"/>
          <w:lang w:val="es-ES_tradnl" w:eastAsia="es-ES_tradnl"/>
        </w:rPr>
      </w:pPr>
      <w:r w:rsidRPr="00542ED3">
        <w:rPr>
          <w:rFonts w:ascii="Verdana" w:hAnsi="Verdana" w:eastAsia="Calibri"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00D6E">
        <w:rPr>
          <w:rFonts w:ascii="Verdana" w:hAnsi="Verdana" w:eastAsia="Calibri" w:cs="Arial"/>
          <w:color w:val="000000"/>
          <w:lang w:val="es-ES_tradnl" w:eastAsia="es-ES_tradnl"/>
        </w:rPr>
        <w:tab/>
      </w:r>
    </w:p>
    <w:p w:rsidRPr="00542ED3" w:rsidR="00AB64A5" w:rsidP="00AB64A5" w:rsidRDefault="00AB64A5" w14:paraId="03C1028C" w14:textId="77777777">
      <w:pPr>
        <w:spacing w:after="0" w:line="276" w:lineRule="auto"/>
        <w:ind w:firstLine="709"/>
        <w:jc w:val="both"/>
        <w:rPr>
          <w:rFonts w:ascii="Verdana" w:hAnsi="Verdana" w:eastAsia="Calibri" w:cs="Arial"/>
          <w:color w:val="000000"/>
          <w:lang w:val="es-ES" w:eastAsia="es-ES"/>
        </w:rPr>
      </w:pPr>
      <w:r w:rsidRPr="00542ED3">
        <w:rPr>
          <w:rFonts w:ascii="Verdana" w:hAnsi="Verdana" w:eastAsia="Calibri"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542ED3">
        <w:rPr>
          <w:rFonts w:ascii="Verdana" w:hAnsi="Verdana" w:eastAsia="Calibri" w:cs="Arial"/>
          <w:color w:val="7030A0"/>
          <w:lang w:val="es-ES" w:eastAsia="es-ES"/>
        </w:rPr>
        <w:t xml:space="preserve"> </w:t>
      </w:r>
      <w:r w:rsidRPr="00542ED3">
        <w:rPr>
          <w:rFonts w:ascii="Verdana" w:hAnsi="Verdana" w:eastAsia="Calibri" w:cs="Arial"/>
          <w:color w:val="000000"/>
          <w:lang w:val="es-ES" w:eastAsia="es-ES"/>
        </w:rPr>
        <w:t>jurídico</w:t>
      </w:r>
      <w:r w:rsidRPr="00542ED3">
        <w:rPr>
          <w:rFonts w:ascii="Verdana" w:hAnsi="Verdana" w:eastAsia="Calibri" w:cs="Arial"/>
          <w:color w:val="7030A0"/>
          <w:lang w:val="es-ES" w:eastAsia="es-ES"/>
        </w:rPr>
        <w:t xml:space="preserve"> </w:t>
      </w:r>
      <w:r w:rsidRPr="00542ED3">
        <w:rPr>
          <w:rFonts w:ascii="Verdana" w:hAnsi="Verdana" w:eastAsia="Calibri" w:cs="Arial"/>
          <w:color w:val="000000"/>
          <w:lang w:val="es-ES" w:eastAsia="es-ES"/>
        </w:rPr>
        <w:t xml:space="preserve">de su consulta. </w:t>
      </w:r>
    </w:p>
    <w:p w:rsidRPr="00542ED3" w:rsidR="00AB64A5" w:rsidP="00AB64A5" w:rsidRDefault="00AB64A5" w14:paraId="1E8B5A8D" w14:textId="77777777">
      <w:pPr>
        <w:spacing w:after="0" w:line="276" w:lineRule="auto"/>
        <w:ind w:firstLine="709"/>
        <w:jc w:val="both"/>
        <w:rPr>
          <w:rFonts w:ascii="Verdana" w:hAnsi="Verdana" w:eastAsia="Calibri" w:cs="Arial"/>
          <w:color w:val="000000"/>
          <w:lang w:val="es-ES" w:eastAsia="es-ES"/>
        </w:rPr>
      </w:pPr>
    </w:p>
    <w:p w:rsidRPr="00542ED3" w:rsidR="00AB64A5" w:rsidP="00AB64A5" w:rsidRDefault="00AB64A5" w14:paraId="631D94B5" w14:textId="77777777">
      <w:pPr>
        <w:pStyle w:val="Prrafodelista"/>
        <w:numPr>
          <w:ilvl w:val="0"/>
          <w:numId w:val="1"/>
        </w:numPr>
        <w:tabs>
          <w:tab w:val="left" w:pos="142"/>
          <w:tab w:val="left" w:pos="284"/>
        </w:tabs>
        <w:spacing w:after="0" w:line="276" w:lineRule="auto"/>
        <w:ind w:left="0" w:firstLine="0"/>
        <w:jc w:val="both"/>
        <w:rPr>
          <w:rFonts w:ascii="Verdana" w:hAnsi="Verdana" w:eastAsia="Century Gothic" w:cs="Century Gothic"/>
          <w:b/>
          <w:bCs/>
        </w:rPr>
      </w:pPr>
      <w:r w:rsidRPr="00542ED3">
        <w:rPr>
          <w:rFonts w:ascii="Verdana" w:hAnsi="Verdana" w:eastAsia="Century Gothic" w:cs="Century Gothic"/>
          <w:b/>
          <w:bCs/>
        </w:rPr>
        <w:t>Problema planteado:</w:t>
      </w:r>
    </w:p>
    <w:p w:rsidRPr="00542ED3" w:rsidR="00AB64A5" w:rsidP="00AB64A5" w:rsidRDefault="00AB64A5" w14:paraId="00DEDA85" w14:textId="77777777">
      <w:pPr>
        <w:tabs>
          <w:tab w:val="left" w:pos="426"/>
        </w:tabs>
        <w:spacing w:after="0" w:line="276" w:lineRule="auto"/>
        <w:jc w:val="both"/>
        <w:rPr>
          <w:rFonts w:ascii="Verdana" w:hAnsi="Verdana" w:eastAsia="Century Gothic" w:cs="Century Gothic"/>
          <w:lang w:val="es-ES"/>
        </w:rPr>
      </w:pPr>
    </w:p>
    <w:p w:rsidRPr="00542ED3" w:rsidR="00AB64A5" w:rsidP="00AB64A5" w:rsidRDefault="00AB64A5" w14:paraId="0071CFFA" w14:textId="77777777">
      <w:pPr>
        <w:spacing w:after="0" w:line="276" w:lineRule="auto"/>
        <w:jc w:val="both"/>
        <w:rPr>
          <w:rFonts w:ascii="Verdana" w:hAnsi="Verdana" w:eastAsia="Century Gothic" w:cs="Century Gothic"/>
        </w:rPr>
      </w:pPr>
      <w:r w:rsidRPr="00542ED3">
        <w:rPr>
          <w:rFonts w:ascii="Verdana" w:hAnsi="Verdana" w:eastAsia="Century Gothic" w:cs="Century Gothic"/>
        </w:rPr>
        <w:t xml:space="preserve">De acuerdo con el contenido de su solicitud, esta Agencia resolverá el siguiente problema jurídico: </w:t>
      </w:r>
    </w:p>
    <w:p w:rsidRPr="00542ED3" w:rsidR="00AB64A5" w:rsidP="00AB64A5" w:rsidRDefault="00AB64A5" w14:paraId="29444B04" w14:textId="77777777">
      <w:pPr>
        <w:spacing w:after="0" w:line="276" w:lineRule="auto"/>
        <w:jc w:val="both"/>
        <w:rPr>
          <w:rFonts w:ascii="Verdana" w:hAnsi="Verdana" w:eastAsia="Century Gothic" w:cs="Century Gothic"/>
        </w:rPr>
      </w:pPr>
    </w:p>
    <w:p w:rsidRPr="00542ED3" w:rsidR="00AB64A5" w:rsidP="00AB64A5" w:rsidRDefault="00AB64A5" w14:paraId="3BFEA956" w14:textId="77777777">
      <w:pPr>
        <w:pStyle w:val="Prrafodelista"/>
        <w:spacing w:after="0" w:line="276" w:lineRule="auto"/>
        <w:ind w:left="426" w:right="1041"/>
        <w:jc w:val="both"/>
        <w:rPr>
          <w:rFonts w:ascii="Verdana" w:hAnsi="Verdana" w:eastAsia="Century Gothic" w:cs="Century Gothic"/>
          <w:i/>
          <w:iCs/>
        </w:rPr>
      </w:pPr>
      <w:r w:rsidRPr="00542ED3">
        <w:rPr>
          <w:rFonts w:ascii="Verdana" w:hAnsi="Verdana" w:eastAsia="Century Gothic" w:cs="Century Gothic"/>
          <w:i/>
          <w:iCs/>
        </w:rPr>
        <w:t>¿El puntaje por experiencia adicional solo aplica para los casos previstos en los contratos descritos en el numeral 4 del artículo 5 de la Ley 1150 de 2007?</w:t>
      </w:r>
    </w:p>
    <w:p w:rsidRPr="00542ED3" w:rsidR="00AB64A5" w:rsidP="00AB64A5" w:rsidRDefault="00AB64A5" w14:paraId="33B3215F" w14:textId="77777777">
      <w:pPr>
        <w:pStyle w:val="Prrafodelista"/>
        <w:spacing w:after="0" w:line="276" w:lineRule="auto"/>
        <w:ind w:left="426" w:right="1041"/>
        <w:jc w:val="both"/>
        <w:rPr>
          <w:rFonts w:ascii="Verdana" w:hAnsi="Verdana" w:eastAsia="Calibri" w:cs="Arial"/>
          <w:color w:val="7030A0"/>
        </w:rPr>
      </w:pPr>
    </w:p>
    <w:p w:rsidRPr="00542ED3" w:rsidR="00AB64A5" w:rsidP="00AB64A5" w:rsidRDefault="00AB64A5" w14:paraId="7105E377" w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42ED3">
        <w:rPr>
          <w:rFonts w:ascii="Verdana" w:hAnsi="Verdana" w:eastAsia="Century Gothic" w:cs="Century Gothic"/>
          <w:b/>
          <w:bCs/>
        </w:rPr>
        <w:t>Respuesta:</w:t>
      </w:r>
    </w:p>
    <w:p w:rsidRPr="00542ED3" w:rsidR="00AB64A5" w:rsidP="00AB64A5" w:rsidRDefault="00AB64A5" w14:paraId="09F450DC"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542ED3" w:rsidR="00AB64A5" w:rsidTr="007B0B27" w14:paraId="7E3B28CD" w14:textId="77777777">
        <w:tc>
          <w:tcPr>
            <w:tcW w:w="8828" w:type="dxa"/>
            <w:shd w:val="clear" w:color="auto" w:fill="auto"/>
          </w:tcPr>
          <w:p w:rsidRPr="00251CA2" w:rsidR="00AB64A5" w:rsidP="007B0B27" w:rsidRDefault="00AB64A5" w14:paraId="7CCEBF71" w14:textId="77777777">
            <w:pPr>
              <w:spacing w:after="120" w:line="276" w:lineRule="auto"/>
              <w:jc w:val="both"/>
              <w:rPr>
                <w:rFonts w:ascii="Verdana" w:hAnsi="Verdana" w:eastAsia="Calibri" w:cs="Arial"/>
                <w:lang w:val="es-ES"/>
              </w:rPr>
            </w:pPr>
            <w:r>
              <w:rPr>
                <w:rFonts w:ascii="Verdana" w:hAnsi="Verdana" w:eastAsia="Calibri" w:cs="Arial"/>
                <w:lang w:val="es-ES"/>
              </w:rPr>
              <w:t>L</w:t>
            </w:r>
            <w:r w:rsidRPr="00251CA2">
              <w:rPr>
                <w:rFonts w:ascii="Verdana" w:hAnsi="Verdana" w:eastAsia="Calibri" w:cs="Arial"/>
                <w:lang w:val="es-ES"/>
              </w:rPr>
              <w:t>a asignación de puntaje es un mecanismo mediante el cual las entidades ponderan los factores de calificación técnicos, de calidad y precio, etc.</w:t>
            </w:r>
            <w:r w:rsidRPr="00251CA2">
              <w:rPr>
                <w:rFonts w:ascii="Arial" w:hAnsi="Arial" w:eastAsia="Calibri" w:cs="Arial"/>
                <w:lang w:val="es-ES"/>
              </w:rPr>
              <w:t>ꟷ</w:t>
            </w:r>
            <w:r w:rsidRPr="00251CA2">
              <w:rPr>
                <w:rFonts w:ascii="Verdana" w:hAnsi="Verdana" w:eastAsia="Calibri" w:cs="Arial"/>
                <w:lang w:val="es-ES"/>
              </w:rPr>
              <w:t xml:space="preserve"> en un determinado proceso de selección, como se desprende del literal a) del numeral 2 del artículo 5 de la Ley 1150 de 2007, en el que, expresamente, se alude al puntaje. Es necesario destacar que las reglas para establecer la oferta más favorable conforme al artículo 5 de la Ley 1150 de 2007, se encuentran reglamentadas en el artículo 2.2.1.1.2.2.2 del Decreto 1082 de 2015.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ii) las condiciones técnicas adicionales que representan ventajas de calidad o de funcionamiento; iii) las condiciones económicas adicionales que representen ventajas en términos de economía, eficiencia y eficacia; y </w:t>
            </w:r>
            <w:proofErr w:type="spellStart"/>
            <w:r w:rsidRPr="00251CA2">
              <w:rPr>
                <w:rFonts w:ascii="Verdana" w:hAnsi="Verdana" w:eastAsia="Calibri" w:cs="Arial"/>
                <w:lang w:val="es-ES"/>
              </w:rPr>
              <w:t>iv</w:t>
            </w:r>
            <w:proofErr w:type="spellEnd"/>
            <w:r w:rsidRPr="00251CA2">
              <w:rPr>
                <w:rFonts w:ascii="Verdana" w:hAnsi="Verdana" w:eastAsia="Calibri" w:cs="Arial"/>
                <w:lang w:val="es-ES"/>
              </w:rPr>
              <w:t xml:space="preserve">) el valor en dinero que la entidad estatal asigna a cada ofrecimiento técnico o económico adicional. </w:t>
            </w:r>
          </w:p>
          <w:p w:rsidRPr="00C01E35" w:rsidR="00AB64A5" w:rsidP="007B0B27" w:rsidRDefault="00AB64A5" w14:paraId="229342BF" w14:textId="08694030">
            <w:pPr>
              <w:spacing w:after="120" w:line="276" w:lineRule="auto"/>
              <w:jc w:val="both"/>
              <w:rPr>
                <w:rFonts w:ascii="Verdana" w:hAnsi="Verdana" w:eastAsia="Calibri" w:cs="Arial"/>
                <w:lang w:val="es-ES"/>
              </w:rPr>
            </w:pPr>
            <w:r w:rsidRPr="00C01E35">
              <w:rPr>
                <w:rFonts w:ascii="Verdana" w:hAnsi="Verdana" w:eastAsia="Calibri" w:cs="Arial"/>
                <w:lang w:val="es-ES"/>
              </w:rPr>
              <w:t>Teniendo en cuenta estos elementos, 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r w:rsidR="00C01E35">
              <w:rPr>
                <w:rFonts w:ascii="Verdana" w:hAnsi="Verdana" w:eastAsia="Calibri" w:cs="Arial"/>
                <w:lang w:val="es-ES"/>
              </w:rPr>
              <w:t>.</w:t>
            </w:r>
          </w:p>
          <w:p w:rsidRPr="00C01E35" w:rsidR="00AB64A5" w:rsidP="007B0B27" w:rsidRDefault="00AB64A5" w14:paraId="0674540F" w14:textId="77777777">
            <w:pPr>
              <w:spacing w:before="100" w:beforeAutospacing="1" w:after="100" w:afterAutospacing="1" w:line="276" w:lineRule="auto"/>
              <w:jc w:val="both"/>
              <w:rPr>
                <w:rFonts w:ascii="Verdana" w:hAnsi="Verdana" w:eastAsia="Calibri" w:cs="Arial"/>
                <w:lang w:val="es-ES"/>
              </w:rPr>
            </w:pPr>
            <w:r w:rsidRPr="00C01E35">
              <w:rPr>
                <w:rFonts w:ascii="Verdana" w:hAnsi="Verdana" w:eastAsia="Calibri" w:cs="Arial"/>
                <w:lang w:val="es-ES"/>
              </w:rPr>
              <w:t xml:space="preserve">En este sentido, y dando respuesta puntual a su inquietud, se precisa que el marco legal vigente establece la acreditación de experiencia como requisito habilitante. En cuanto a los criterios evaluables o ponderables, solo se menciona en el numeral 4 del artículo 5 de la Ley 1150 de 2007 que se podrán utilizar criterios de experiencia específica del oferente y del equipo de trabajo en el campo correspondiente para la selección de consultores. </w:t>
            </w:r>
          </w:p>
          <w:p w:rsidRPr="00C01E35" w:rsidR="00AB64A5" w:rsidP="007B0B27" w:rsidRDefault="00AB64A5" w14:paraId="37C97F8B" w14:textId="77777777">
            <w:pPr>
              <w:spacing w:before="100" w:beforeAutospacing="1" w:after="100" w:afterAutospacing="1" w:line="276" w:lineRule="auto"/>
              <w:jc w:val="both"/>
              <w:rPr>
                <w:rFonts w:ascii="Verdana" w:hAnsi="Verdana" w:eastAsia="Calibri" w:cs="Arial"/>
              </w:rPr>
            </w:pPr>
            <w:r w:rsidRPr="00C01E35">
              <w:rPr>
                <w:rFonts w:ascii="Verdana" w:hAnsi="Verdana" w:eastAsia="Calibri" w:cs="Arial"/>
              </w:rPr>
              <w:t xml:space="preserve">Ahora bien, y en consonancia con lo dicho en la respuesta el aporte de contratos relacionados con el bien o servicio a contratar puede constituirse como factor ponderable solo en aquellos procesos de contratación para la </w:t>
            </w:r>
            <w:r w:rsidRPr="00C01E35">
              <w:rPr>
                <w:rFonts w:ascii="Verdana" w:hAnsi="Verdana" w:eastAsia="Calibri" w:cs="Arial"/>
              </w:rPr>
              <w:lastRenderedPageBreak/>
              <w:t>selección de consultores, bajo la modalidad de concurso de méritos regulada en el numeral 3 del artículo 2 de la Ley 1150 de 2007.   </w:t>
            </w:r>
          </w:p>
          <w:p w:rsidRPr="00C01E35" w:rsidR="00AB64A5" w:rsidP="007B0B27" w:rsidRDefault="00AB64A5" w14:paraId="482EC4E6" w14:textId="77777777">
            <w:pPr>
              <w:spacing w:before="100" w:beforeAutospacing="1" w:after="100" w:afterAutospacing="1" w:line="276" w:lineRule="auto"/>
              <w:jc w:val="both"/>
              <w:rPr>
                <w:rFonts w:ascii="Verdana" w:hAnsi="Verdana" w:eastAsia="Calibri" w:cs="Arial"/>
              </w:rPr>
            </w:pPr>
            <w:r w:rsidRPr="00C01E35">
              <w:rPr>
                <w:rFonts w:ascii="Verdana" w:hAnsi="Verdana" w:eastAsia="Calibri" w:cs="Arial"/>
              </w:rPr>
              <w:t>Por otro lado, en las demás modalidades de contratación reguladas por el artículo en cita, la experiencia no es un factor ponderable. En ese sentido, los contratos aportados por el proponente, relacionados con el objeto del contrato, deben ser evaluados como experiencia en cuanto a los requisitos habilitantes que miden la aptitud del proponente y lo avalan para presentar su oferta.  </w:t>
            </w:r>
          </w:p>
          <w:p w:rsidRPr="00C01E35" w:rsidR="00AB64A5" w:rsidP="007B0B27" w:rsidRDefault="00AB64A5" w14:paraId="45447762" w14:textId="77777777">
            <w:pPr>
              <w:spacing w:before="100" w:beforeAutospacing="1" w:after="100" w:afterAutospacing="1" w:line="276" w:lineRule="auto"/>
              <w:jc w:val="both"/>
              <w:rPr>
                <w:rFonts w:ascii="Verdana" w:hAnsi="Verdana" w:eastAsia="Calibri" w:cs="Arial"/>
                <w:lang w:val="es-ES"/>
              </w:rPr>
            </w:pPr>
            <w:r w:rsidRPr="00C01E35">
              <w:rPr>
                <w:rFonts w:ascii="Verdana" w:hAnsi="Verdana" w:eastAsia="Calibri" w:cs="Arial"/>
              </w:rPr>
              <w:t>En ese orden de ideas, el factor de calidad debe calificarse a través de otros factores de conformidad con el numeral 2 del artículo 5 de la Ley 1150 de 2007, de naturaleza técnica o económica, asociados a la calidad del bien o servicio.  </w:t>
            </w:r>
          </w:p>
          <w:p w:rsidRPr="00251CA2" w:rsidR="00AB64A5" w:rsidP="00C01E35" w:rsidRDefault="00AB64A5" w14:paraId="4108809F" w14:textId="3E5BEC71">
            <w:pPr>
              <w:spacing w:before="100" w:beforeAutospacing="1" w:after="100" w:afterAutospacing="1" w:line="276" w:lineRule="auto"/>
              <w:jc w:val="both"/>
              <w:rPr>
                <w:rFonts w:ascii="Verdana" w:hAnsi="Verdana" w:eastAsia="Calibri" w:cs="Arial"/>
                <w:lang w:val="es-ES"/>
              </w:rPr>
            </w:pPr>
            <w:r w:rsidRPr="00C01E35">
              <w:rPr>
                <w:rFonts w:ascii="Verdana" w:hAnsi="Verdana" w:eastAsia="Calibri" w:cs="Arial"/>
                <w:lang w:val="es-ES"/>
              </w:rPr>
              <w:t>De igual forma, es importante aclarar que los criterios de ponderación se establecen en las modalidades donde se evalúan la calidad y el precio, es decir, en la licitación pública, la selección abreviada de menor cuantía y el concurso de méritos. Estos criterios no son aplicables a las modalidades de mínima cuantía ni al proceso de selección mediante subasta, donde se prioriza el menor valor.</w:t>
            </w:r>
          </w:p>
        </w:tc>
      </w:tr>
    </w:tbl>
    <w:p w:rsidRPr="00542ED3" w:rsidR="00AB64A5" w:rsidP="00AB64A5" w:rsidRDefault="00AB64A5" w14:paraId="3E9946E5" w14:textId="77777777">
      <w:pPr>
        <w:tabs>
          <w:tab w:val="left" w:pos="142"/>
          <w:tab w:val="left" w:pos="284"/>
        </w:tabs>
        <w:spacing w:after="0" w:line="276" w:lineRule="auto"/>
        <w:jc w:val="both"/>
        <w:rPr>
          <w:rFonts w:ascii="Verdana" w:hAnsi="Verdana" w:eastAsia="Century Gothic" w:cs="Century Gothic"/>
          <w:b/>
          <w:bCs/>
          <w:lang w:val="es-ES"/>
        </w:rPr>
      </w:pPr>
    </w:p>
    <w:p w:rsidRPr="00542ED3" w:rsidR="00AB64A5" w:rsidP="00AB64A5" w:rsidRDefault="00AB64A5" w14:paraId="194193F0" w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42ED3">
        <w:rPr>
          <w:rFonts w:ascii="Verdana" w:hAnsi="Verdana" w:eastAsia="Century Gothic" w:cs="Century Gothic"/>
          <w:b/>
          <w:bCs/>
        </w:rPr>
        <w:t>Razones de la respuesta:</w:t>
      </w:r>
    </w:p>
    <w:p w:rsidRPr="00542ED3" w:rsidR="00AB64A5" w:rsidP="00AB64A5" w:rsidRDefault="00AB64A5" w14:paraId="03D52260" w14:textId="77777777">
      <w:pPr>
        <w:spacing w:after="0" w:line="276" w:lineRule="auto"/>
        <w:jc w:val="both"/>
        <w:rPr>
          <w:rFonts w:ascii="Verdana" w:hAnsi="Verdana" w:eastAsia="Calibri" w:cs="Arial"/>
          <w:color w:val="7030A0"/>
          <w:lang w:val="es-ES"/>
        </w:rPr>
      </w:pPr>
    </w:p>
    <w:p w:rsidRPr="00542ED3" w:rsidR="00AB64A5" w:rsidP="00AB64A5" w:rsidRDefault="00AB64A5" w14:paraId="22947B98" w14:textId="77777777">
      <w:pPr>
        <w:spacing w:after="0" w:line="276" w:lineRule="auto"/>
        <w:jc w:val="both"/>
        <w:rPr>
          <w:rFonts w:ascii="Verdana" w:hAnsi="Verdana" w:eastAsia="Calibri" w:cs="Arial"/>
          <w:lang w:val="es-ES"/>
        </w:rPr>
      </w:pPr>
      <w:r w:rsidRPr="00542ED3">
        <w:rPr>
          <w:rFonts w:ascii="Verdana" w:hAnsi="Verdana" w:eastAsia="Calibri" w:cs="Arial"/>
          <w:lang w:val="es-ES"/>
        </w:rPr>
        <w:t xml:space="preserve">Lo anterior se sustenta en las siguientes consideraciones: </w:t>
      </w:r>
    </w:p>
    <w:p w:rsidRPr="00542ED3" w:rsidR="00AB64A5" w:rsidP="00AB64A5" w:rsidRDefault="00AB64A5" w14:paraId="35562AF8" w14:textId="77777777">
      <w:pPr>
        <w:spacing w:after="0" w:line="276" w:lineRule="auto"/>
        <w:jc w:val="both"/>
        <w:rPr>
          <w:rFonts w:ascii="Verdana" w:hAnsi="Verdana" w:eastAsia="Calibri" w:cs="Arial"/>
          <w:lang w:val="es-ES"/>
        </w:rPr>
      </w:pPr>
    </w:p>
    <w:p w:rsidRPr="00251CA2" w:rsidR="00AB64A5" w:rsidP="00AB64A5" w:rsidRDefault="00AB64A5" w14:paraId="45BB4123" w14:textId="77777777">
      <w:pPr>
        <w:pStyle w:val="Prrafodelista"/>
        <w:numPr>
          <w:ilvl w:val="0"/>
          <w:numId w:val="3"/>
        </w:numPr>
        <w:spacing w:line="276" w:lineRule="auto"/>
        <w:ind w:right="49"/>
        <w:jc w:val="both"/>
        <w:rPr>
          <w:rFonts w:ascii="Verdana" w:hAnsi="Verdana" w:cs="Arial"/>
          <w:bCs/>
          <w:color w:val="000000" w:themeColor="text1"/>
          <w:lang w:val="es-ES_tradnl"/>
        </w:rPr>
      </w:pPr>
      <w:r w:rsidRPr="00251CA2">
        <w:rPr>
          <w:rFonts w:ascii="Verdana" w:hAnsi="Verdana" w:cs="Arial"/>
          <w:bCs/>
          <w:color w:val="000000" w:themeColor="text1"/>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p>
    <w:p w:rsidRPr="00251CA2" w:rsidR="00AB64A5" w:rsidP="00AB64A5" w:rsidRDefault="00AB64A5" w14:paraId="3BBEBBC6" w14:textId="70CECDC2">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Si bien dentro de la historia de la contratación pública en Colombia, se vislumbran antecedentes normativos que consagraban dicho principio</w:t>
      </w:r>
      <w:r w:rsidRPr="00251CA2">
        <w:rPr>
          <w:rFonts w:ascii="Geomanist Light" w:hAnsi="Geomanist Light"/>
          <w:vertAlign w:val="superscript"/>
          <w:lang w:val="es-ES"/>
        </w:rPr>
        <w:footnoteReference w:id="1"/>
      </w:r>
      <w:r w:rsidRPr="00251CA2">
        <w:rPr>
          <w:rFonts w:ascii="Verdana" w:hAnsi="Verdana" w:cs="Arial"/>
          <w:bCs/>
          <w:color w:val="000000" w:themeColor="text1"/>
          <w:lang w:val="es-ES"/>
        </w:rPr>
        <w:t xml:space="preserve">, </w:t>
      </w:r>
      <w:r w:rsidRPr="00251CA2">
        <w:rPr>
          <w:rFonts w:ascii="Verdana" w:hAnsi="Verdana" w:cs="Arial"/>
          <w:bCs/>
          <w:color w:val="000000" w:themeColor="text1"/>
          <w:lang w:val="es-ES"/>
        </w:rPr>
        <w:lastRenderedPageBreak/>
        <w:t xml:space="preserve">en la actualidad la disposición legal que lo prevé de manera más clara y contundente es el artículo 5 de la Ley 1150 de 2007, modificado por el artículo 88 de la Ley 1474 de 2011. De acuerdo con esta norma y conforme con lo expresado en el concepto C–166 del 23 de abril de 2021, puede decirse que el deber de selección objetiva supone que las entidades escojan en los procesos de selección el ofrecimiento más favorable a la entidad y a los fines que ella busca.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rsidRPr="00251CA2" w:rsidR="00AB64A5" w:rsidP="00AB64A5" w:rsidRDefault="00AB64A5" w14:paraId="1F366F87" w14:textId="77777777">
      <w:pPr>
        <w:pStyle w:val="Prrafodelista"/>
        <w:numPr>
          <w:ilvl w:val="0"/>
          <w:numId w:val="3"/>
        </w:numPr>
        <w:spacing w:before="120" w:line="276" w:lineRule="auto"/>
        <w:ind w:right="51"/>
        <w:jc w:val="both"/>
        <w:rPr>
          <w:rFonts w:ascii="Verdana" w:hAnsi="Verdana" w:cs="Arial"/>
          <w:bCs/>
          <w:color w:val="000000" w:themeColor="text1"/>
          <w:lang w:val="es-ES"/>
        </w:rPr>
      </w:pPr>
      <w:bookmarkStart w:name="_1fob9te" w:colFirst="0" w:colLast="0" w:id="2"/>
      <w:bookmarkEnd w:id="2"/>
      <w:r w:rsidRPr="00251CA2">
        <w:rPr>
          <w:rFonts w:ascii="Verdana" w:hAnsi="Verdana" w:cs="Arial"/>
          <w:bCs/>
          <w:color w:val="000000" w:themeColor="text1"/>
          <w:lang w:val="es-ES"/>
        </w:rPr>
        <w:t>Al respecto,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251CA2">
        <w:rPr>
          <w:rFonts w:ascii="Geomanist Light" w:hAnsi="Geomanist Light"/>
          <w:vertAlign w:val="superscript"/>
          <w:lang w:val="es-ES"/>
        </w:rPr>
        <w:footnoteReference w:id="2"/>
      </w:r>
      <w:r w:rsidRPr="00251CA2">
        <w:rPr>
          <w:rFonts w:ascii="Verdana" w:hAnsi="Verdana" w:cs="Arial"/>
          <w:bCs/>
          <w:color w:val="000000" w:themeColor="text1"/>
          <w:lang w:val="es-ES"/>
        </w:rPr>
        <w:t xml:space="preserve">.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sidRPr="00251CA2">
        <w:rPr>
          <w:rFonts w:ascii="Verdana" w:hAnsi="Verdana" w:cs="Arial"/>
          <w:bCs/>
          <w:i/>
          <w:color w:val="000000" w:themeColor="text1"/>
          <w:lang w:val="es-ES"/>
        </w:rPr>
        <w:t xml:space="preserve">habilitantes </w:t>
      </w:r>
      <w:r w:rsidRPr="00251CA2">
        <w:rPr>
          <w:rFonts w:ascii="Verdana" w:hAnsi="Verdana" w:cs="Arial"/>
          <w:bCs/>
          <w:color w:val="000000" w:themeColor="text1"/>
          <w:lang w:val="es-ES"/>
        </w:rPr>
        <w:t>son aquellos que deben cumplir en igualdad de condiciones los proponentes, haciendo que estos se habiliten en el procedimiento de selección y sean susceptibles de ser seleccionados como futuros contratistas.</w:t>
      </w:r>
    </w:p>
    <w:p w:rsidRPr="00251CA2" w:rsidR="00AB64A5" w:rsidP="00AB64A5" w:rsidRDefault="00AB64A5" w14:paraId="0661444B" w14:textId="77777777">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 xml:space="preserve">En contraposición a los requisitos habilitantes, el artículo 5 de la Ley 1150 de 2007 regula los factores dirigidos a determinar cuál es la propuesta, </w:t>
      </w:r>
      <w:r w:rsidRPr="00251CA2">
        <w:rPr>
          <w:rFonts w:ascii="Verdana" w:hAnsi="Verdana" w:cs="Arial"/>
          <w:bCs/>
          <w:color w:val="000000" w:themeColor="text1"/>
          <w:lang w:val="es-ES"/>
        </w:rPr>
        <w:lastRenderedPageBreak/>
        <w:t xml:space="preserve">comparativamente, más favorable. En ese sentido, el inciso primero dispone los factores de escogencia y calificación que deben indicarse en los pliegos de condiciones o documentos equivalentes. El numeral 2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2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costo-beneficio para la entidad. </w:t>
      </w:r>
    </w:p>
    <w:p w:rsidRPr="00251CA2" w:rsidR="00AB64A5" w:rsidP="00AB64A5" w:rsidRDefault="00AB64A5" w14:paraId="5C85B834" w14:textId="77777777">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Por su parte, el numeral 3 establece que en los procesos de selección de bienes y servicios de características técnicas uniformes y de común utilización el único factor de evaluación consiste en el menor precio. Por último, el numeral 4, referente a los procedimientos para la selección de consultores, señala que deben usarse factores de calificación, para valorar los aspectos técnicos de la oferta, permitiendo que entre ellos se pondere la experiencia.</w:t>
      </w:r>
    </w:p>
    <w:p w:rsidRPr="00251CA2" w:rsidR="00AB64A5" w:rsidP="00AB64A5" w:rsidRDefault="00AB64A5" w14:paraId="10F87D42" w14:textId="77777777">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 xml:space="preserve">De acuerdo con lo expresado, se concluye que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w:t>
      </w:r>
      <w:proofErr w:type="gramStart"/>
      <w:r w:rsidRPr="00251CA2">
        <w:rPr>
          <w:rFonts w:ascii="Verdana" w:hAnsi="Verdana" w:cs="Arial"/>
          <w:bCs/>
          <w:color w:val="000000" w:themeColor="text1"/>
          <w:lang w:val="es-ES"/>
        </w:rPr>
        <w:t>que</w:t>
      </w:r>
      <w:proofErr w:type="gramEnd"/>
      <w:r w:rsidRPr="00251CA2">
        <w:rPr>
          <w:rFonts w:ascii="Verdana" w:hAnsi="Verdana" w:cs="Arial"/>
          <w:bCs/>
          <w:color w:val="000000" w:themeColor="text1"/>
          <w:lang w:val="es-ES"/>
        </w:rPr>
        <w:t xml:space="preserve"> en consecuencia, darán lugar a la escogencia objetiva de la mejor propuesta para la entidad”</w:t>
      </w:r>
      <w:r w:rsidRPr="00251CA2">
        <w:rPr>
          <w:rFonts w:ascii="Geomanist Light" w:hAnsi="Geomanist Light"/>
          <w:vertAlign w:val="superscript"/>
          <w:lang w:val="es-ES"/>
        </w:rPr>
        <w:footnoteReference w:id="3"/>
      </w:r>
      <w:r w:rsidRPr="00251CA2">
        <w:rPr>
          <w:rFonts w:ascii="Verdana" w:hAnsi="Verdana" w:cs="Arial"/>
          <w:bCs/>
          <w:color w:val="000000" w:themeColor="text1"/>
          <w:lang w:val="es-ES"/>
        </w:rPr>
        <w:t xml:space="preserve">. Todas estas categorías designan los “[…] factores a los cuales cabe otorgarles puntajes o que pueden ser ponderados, precisamente, </w:t>
      </w:r>
      <w:r w:rsidRPr="00251CA2">
        <w:rPr>
          <w:rFonts w:ascii="Verdana" w:hAnsi="Verdana" w:cs="Arial"/>
          <w:bCs/>
          <w:color w:val="000000" w:themeColor="text1"/>
          <w:lang w:val="es-ES"/>
        </w:rPr>
        <w:lastRenderedPageBreak/>
        <w:t>pues estos son los factores que en últimas permiten una comparación de ofertas y una diferenciación entre ellas”</w:t>
      </w:r>
      <w:r w:rsidRPr="00251CA2">
        <w:rPr>
          <w:rFonts w:ascii="Geomanist Light" w:hAnsi="Geomanist Light"/>
          <w:vertAlign w:val="superscript"/>
          <w:lang w:val="es-ES"/>
        </w:rPr>
        <w:footnoteReference w:id="4"/>
      </w:r>
      <w:r w:rsidRPr="00251CA2">
        <w:rPr>
          <w:rFonts w:ascii="Verdana" w:hAnsi="Verdana" w:cs="Arial"/>
          <w:bCs/>
          <w:color w:val="000000" w:themeColor="text1"/>
          <w:lang w:val="es-ES"/>
        </w:rPr>
        <w:t xml:space="preserve">. </w:t>
      </w:r>
    </w:p>
    <w:p w:rsidRPr="00251CA2" w:rsidR="00AB64A5" w:rsidP="00AB64A5" w:rsidRDefault="00AB64A5" w14:paraId="27EA02B4" w14:textId="77777777">
      <w:pPr>
        <w:pStyle w:val="Prrafodelista"/>
        <w:numPr>
          <w:ilvl w:val="0"/>
          <w:numId w:val="3"/>
        </w:numPr>
        <w:spacing w:before="120" w:line="276" w:lineRule="auto"/>
        <w:ind w:right="51"/>
        <w:jc w:val="both"/>
        <w:rPr>
          <w:rFonts w:ascii="Verdana" w:hAnsi="Verdana" w:cs="Arial"/>
          <w:bCs/>
          <w:color w:val="000000" w:themeColor="text1"/>
          <w:lang w:val="es-ES"/>
        </w:rPr>
      </w:pPr>
      <w:r w:rsidRPr="00251CA2">
        <w:rPr>
          <w:rFonts w:ascii="Verdana" w:hAnsi="Verdana" w:cs="Arial"/>
          <w:bCs/>
          <w:color w:val="000000" w:themeColor="text1"/>
          <w:lang w:val="es-ES"/>
        </w:rPr>
        <w:t>Sobre la escogencia de la oferta más favorable a los intereses de la entidad y la evaluación de los factores exigidos en un caso concreto para el efecto, la doctrina explica que:</w:t>
      </w:r>
    </w:p>
    <w:p w:rsidRPr="00A62278" w:rsidR="00AB64A5" w:rsidP="00A62278" w:rsidRDefault="00AB64A5" w14:paraId="57766FEE" w14:textId="77777777">
      <w:pPr>
        <w:ind w:left="1276" w:right="709"/>
        <w:jc w:val="both"/>
        <w:rPr>
          <w:rFonts w:ascii="Verdana" w:hAnsi="Verdana" w:cs="Arial"/>
          <w:bCs/>
          <w:color w:val="000000" w:themeColor="text1"/>
          <w:sz w:val="21"/>
          <w:szCs w:val="21"/>
        </w:rPr>
      </w:pPr>
      <w:r w:rsidRPr="00A62278">
        <w:rPr>
          <w:rFonts w:ascii="Verdana" w:hAnsi="Verdana" w:cs="Arial"/>
          <w:bCs/>
          <w:color w:val="000000" w:themeColor="text1"/>
          <w:sz w:val="21"/>
          <w:szCs w:val="21"/>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que mejor satisface las necesidades de la Administración y no simplemente cuál de los proponentes es el más idóneo en la ejecución del contrato, pues, se insiste, todo oferente que supere los requisitos mínimos habilitantes se entiende que es suficientemente idóneo para la ejecución del objeto contractual. </w:t>
      </w:r>
    </w:p>
    <w:p w:rsidRPr="00A62278" w:rsidR="00AB64A5" w:rsidP="00A62278" w:rsidRDefault="00AB64A5" w14:paraId="20A743F3" w14:textId="77777777">
      <w:pPr>
        <w:ind w:left="1276" w:right="709"/>
        <w:jc w:val="both"/>
        <w:rPr>
          <w:rFonts w:ascii="Verdana" w:hAnsi="Verdana" w:cs="Arial"/>
          <w:bCs/>
          <w:color w:val="000000" w:themeColor="text1"/>
          <w:sz w:val="21"/>
          <w:szCs w:val="21"/>
        </w:rPr>
      </w:pPr>
      <w:r w:rsidRPr="00A62278">
        <w:rPr>
          <w:rFonts w:ascii="Verdana" w:hAnsi="Verdana" w:cs="Arial"/>
          <w:bCs/>
          <w:color w:val="000000" w:themeColor="text1"/>
          <w:sz w:val="21"/>
          <w:szCs w:val="21"/>
        </w:rPr>
        <w:t xml:space="preserve">De nuevo, aquí es preciso señalar que es el pliego de condiciones el que debe determinar cuáles son esos factores que en cada caso concreto permiten hacer una comparación entre las ofertas presentadas y, con base en ello, determinar cuál es la más favorable para la Administración Pública. </w:t>
      </w:r>
    </w:p>
    <w:p w:rsidRPr="00A62278" w:rsidR="00AB64A5" w:rsidP="00A62278" w:rsidRDefault="00AB64A5" w14:paraId="4BE6969F" w14:textId="77777777">
      <w:pPr>
        <w:ind w:left="1276" w:right="709"/>
        <w:jc w:val="both"/>
        <w:rPr>
          <w:rFonts w:ascii="Verdana" w:hAnsi="Verdana" w:cs="Arial"/>
          <w:bCs/>
          <w:color w:val="000000" w:themeColor="text1"/>
          <w:sz w:val="21"/>
          <w:szCs w:val="21"/>
        </w:rPr>
      </w:pPr>
      <w:r w:rsidRPr="00A62278">
        <w:rPr>
          <w:rFonts w:ascii="Verdana" w:hAnsi="Verdana" w:cs="Arial"/>
          <w:bCs/>
          <w:color w:val="000000" w:themeColor="text1"/>
          <w:sz w:val="21"/>
          <w:szCs w:val="21"/>
        </w:rPr>
        <w:t xml:space="preserve">[…]Una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w:t>
      </w:r>
      <w:r w:rsidRPr="00A62278">
        <w:rPr>
          <w:rFonts w:ascii="Verdana" w:hAnsi="Verdana" w:cs="Arial"/>
          <w:bCs/>
          <w:color w:val="000000" w:themeColor="text1"/>
          <w:sz w:val="21"/>
          <w:szCs w:val="21"/>
        </w:rPr>
        <w:lastRenderedPageBreak/>
        <w:t>poder hacer la comparación entre las ofertas y concluir cuál de ellas es la más ventajosa para la entidad estatal”</w:t>
      </w:r>
      <w:r w:rsidRPr="00A62278">
        <w:rPr>
          <w:rFonts w:ascii="Verdana" w:hAnsi="Verdana" w:cs="Arial"/>
          <w:bCs/>
          <w:color w:val="000000" w:themeColor="text1"/>
          <w:sz w:val="21"/>
          <w:szCs w:val="21"/>
          <w:vertAlign w:val="superscript"/>
        </w:rPr>
        <w:footnoteReference w:id="5"/>
      </w:r>
      <w:r w:rsidRPr="00A62278">
        <w:rPr>
          <w:rFonts w:ascii="Verdana" w:hAnsi="Verdana" w:cs="Arial"/>
          <w:bCs/>
          <w:color w:val="000000" w:themeColor="text1"/>
          <w:sz w:val="21"/>
          <w:szCs w:val="21"/>
        </w:rPr>
        <w:t>.</w:t>
      </w:r>
    </w:p>
    <w:p w:rsidRPr="00251CA2" w:rsidR="00AB64A5" w:rsidP="00AB64A5" w:rsidRDefault="00AB64A5" w14:paraId="682D2754" w14:textId="77777777">
      <w:pPr>
        <w:pStyle w:val="Prrafodelista"/>
        <w:numPr>
          <w:ilvl w:val="0"/>
          <w:numId w:val="4"/>
        </w:numPr>
        <w:spacing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 xml:space="preserve">De acuerdo con lo anterior, es posible asimilar las diferentes categorías a las que hace referencia el artículo 5 de la Ley 1150 de 2007, cuando alude a los factores que, a diferencia de los requisitos habilitantes, determinan la oferta más favorable para la entidad, y que, por lo tanto, hacen que una oferta sea mejor que otra, pese a tener que cumplir todas ellas los requisitos habilitantes. Es frente a aquellos factores, que determinan comparativamente que una oferta sea mejor que otra, que la entidad concibe el otorgamiento de puntajes, como mecanismos para ponderar y comparar los ofrecimientos, con el fin de determinar objetivamente la oferta más favorable, aplicando para ello las reglas establecidas en el pliego o documento equivalente para la ponderación de las ofertas. </w:t>
      </w:r>
    </w:p>
    <w:p w:rsidRPr="00251CA2" w:rsidR="00AB64A5" w:rsidP="00AB64A5" w:rsidRDefault="00AB64A5" w14:paraId="274AABFE" w14:textId="77777777">
      <w:pPr>
        <w:pStyle w:val="Prrafodelista"/>
        <w:numPr>
          <w:ilvl w:val="0"/>
          <w:numId w:val="4"/>
        </w:numPr>
        <w:spacing w:before="120"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 xml:space="preserve">En ese sentido, la asignación de puntaje es un mecanismo mediante el cual las entidades ponderan los factores de calificación </w:t>
      </w:r>
      <w:r w:rsidRPr="00251CA2">
        <w:rPr>
          <w:rFonts w:ascii="Arial" w:hAnsi="Arial" w:cs="Arial"/>
          <w:bCs/>
          <w:color w:val="000000" w:themeColor="text1"/>
          <w:lang w:val="es-ES"/>
        </w:rPr>
        <w:t>ꟷ</w:t>
      </w:r>
      <w:r w:rsidRPr="00251CA2">
        <w:rPr>
          <w:rFonts w:ascii="Verdana" w:hAnsi="Verdana" w:cs="Arial"/>
          <w:bCs/>
          <w:i/>
          <w:color w:val="000000" w:themeColor="text1"/>
          <w:lang w:val="es-ES"/>
        </w:rPr>
        <w:t>v.g.</w:t>
      </w:r>
      <w:r w:rsidRPr="00251CA2">
        <w:rPr>
          <w:rFonts w:ascii="Verdana" w:hAnsi="Verdana" w:cs="Arial"/>
          <w:bCs/>
          <w:color w:val="000000" w:themeColor="text1"/>
          <w:lang w:val="es-ES"/>
        </w:rPr>
        <w:t xml:space="preserve"> técnicos, de calidad y precio, etc.</w:t>
      </w:r>
      <w:r w:rsidRPr="00251CA2">
        <w:rPr>
          <w:rFonts w:ascii="Arial" w:hAnsi="Arial" w:cs="Arial"/>
          <w:bCs/>
          <w:color w:val="000000" w:themeColor="text1"/>
          <w:lang w:val="es-ES"/>
        </w:rPr>
        <w:t>ꟷ</w:t>
      </w:r>
      <w:r w:rsidRPr="00251CA2">
        <w:rPr>
          <w:rFonts w:ascii="Verdana" w:hAnsi="Verdana" w:cs="Arial"/>
          <w:bCs/>
          <w:color w:val="000000" w:themeColor="text1"/>
          <w:lang w:val="es-ES"/>
        </w:rPr>
        <w:t xml:space="preserve"> en un determinado proceso de selecci</w:t>
      </w:r>
      <w:r w:rsidRPr="00251CA2">
        <w:rPr>
          <w:rFonts w:ascii="Verdana" w:hAnsi="Verdana" w:cs="Century Gothic"/>
          <w:bCs/>
          <w:color w:val="000000" w:themeColor="text1"/>
          <w:lang w:val="es-ES"/>
        </w:rPr>
        <w:t>ó</w:t>
      </w:r>
      <w:r w:rsidRPr="00251CA2">
        <w:rPr>
          <w:rFonts w:ascii="Verdana" w:hAnsi="Verdana" w:cs="Arial"/>
          <w:bCs/>
          <w:color w:val="000000" w:themeColor="text1"/>
          <w:lang w:val="es-ES"/>
        </w:rPr>
        <w:t>n, como se desprende del literal a) del numeral 2 del art</w:t>
      </w:r>
      <w:r w:rsidRPr="00251CA2">
        <w:rPr>
          <w:rFonts w:ascii="Verdana" w:hAnsi="Verdana" w:cs="Century Gothic"/>
          <w:bCs/>
          <w:color w:val="000000" w:themeColor="text1"/>
          <w:lang w:val="es-ES"/>
        </w:rPr>
        <w:t>í</w:t>
      </w:r>
      <w:r w:rsidRPr="00251CA2">
        <w:rPr>
          <w:rFonts w:ascii="Verdana" w:hAnsi="Verdana" w:cs="Arial"/>
          <w:bCs/>
          <w:color w:val="000000" w:themeColor="text1"/>
          <w:lang w:val="es-ES"/>
        </w:rPr>
        <w:t xml:space="preserve">culo 5 de la Ley 1150 de 2007, en el que, expresamente, se alude al puntaje. Es necesario destacar que las reglas para establecer la oferta más favorable conforme al artículo 5 de la Ley 1150 de 2007, se encuentran reglamentadas en el artículo 2.2.1.1.2.2.2 del Decreto 1082 de 2015.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ii) las condiciones técnicas adicionales que representan ventajas de calidad o de funcionamiento; iii) las condiciones económicas adicionales que representen ventajas en términos de economía, eficiencia y eficacia; y </w:t>
      </w:r>
      <w:proofErr w:type="spellStart"/>
      <w:r w:rsidRPr="00251CA2">
        <w:rPr>
          <w:rFonts w:ascii="Verdana" w:hAnsi="Verdana" w:cs="Arial"/>
          <w:bCs/>
          <w:color w:val="000000" w:themeColor="text1"/>
          <w:lang w:val="es-ES"/>
        </w:rPr>
        <w:t>iv</w:t>
      </w:r>
      <w:proofErr w:type="spellEnd"/>
      <w:r w:rsidRPr="00251CA2">
        <w:rPr>
          <w:rFonts w:ascii="Verdana" w:hAnsi="Verdana" w:cs="Arial"/>
          <w:bCs/>
          <w:color w:val="000000" w:themeColor="text1"/>
          <w:lang w:val="es-ES"/>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w:t>
      </w:r>
      <w:r w:rsidRPr="00251CA2">
        <w:rPr>
          <w:rFonts w:ascii="Verdana" w:hAnsi="Verdana" w:cs="Arial"/>
          <w:bCs/>
          <w:color w:val="000000" w:themeColor="text1"/>
          <w:lang w:val="es-ES"/>
        </w:rPr>
        <w:lastRenderedPageBreak/>
        <w:t>beneficio para la Entidad Estatal es la de la oferta que una vez aplicada la metodología anterior tenga el resultado más bajo […]”</w:t>
      </w:r>
      <w:r w:rsidRPr="00251CA2">
        <w:rPr>
          <w:rFonts w:ascii="Geomanist Light" w:hAnsi="Geomanist Light"/>
          <w:vertAlign w:val="superscript"/>
          <w:lang w:val="es-ES"/>
        </w:rPr>
        <w:footnoteReference w:id="6"/>
      </w:r>
      <w:r w:rsidRPr="00251CA2">
        <w:rPr>
          <w:rFonts w:ascii="Verdana" w:hAnsi="Verdana" w:cs="Arial"/>
          <w:bCs/>
          <w:color w:val="000000" w:themeColor="text1"/>
          <w:lang w:val="es-ES"/>
        </w:rPr>
        <w:t>.</w:t>
      </w:r>
    </w:p>
    <w:p w:rsidRPr="00251CA2" w:rsidR="00AB64A5" w:rsidP="00AB64A5" w:rsidRDefault="00AB64A5" w14:paraId="76B4E704" w14:textId="77777777">
      <w:pPr>
        <w:pStyle w:val="Prrafodelista"/>
        <w:numPr>
          <w:ilvl w:val="0"/>
          <w:numId w:val="4"/>
        </w:numPr>
        <w:spacing w:before="120"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En este orden de ideas,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en los procesos de selección deben evaluarse, fuera de los requisitos habilitantes, los factores de calificación, valoración o evaluación. Estos pueden ponderarse mediante la asignación de puntaje, por lo que la norma se refiere a factores que no otorgan puntaje para diferenciar los requisitos habilitantes de los mencionados factores de calificación. Lo anterior, bajo el entendido que son estos últimos los que determinan la oferta más favorable para la entidad y la que, en consecuencia, debe elegirse.</w:t>
      </w:r>
    </w:p>
    <w:p w:rsidRPr="00251CA2" w:rsidR="00AB64A5" w:rsidP="00AB64A5" w:rsidRDefault="00AB64A5" w14:paraId="150F8A0E" w14:textId="77777777">
      <w:pPr>
        <w:pStyle w:val="Prrafodelista"/>
        <w:numPr>
          <w:ilvl w:val="0"/>
          <w:numId w:val="4"/>
        </w:numPr>
        <w:spacing w:before="120" w:line="276" w:lineRule="auto"/>
        <w:jc w:val="both"/>
        <w:rPr>
          <w:rFonts w:ascii="Verdana" w:hAnsi="Verdana" w:cs="Arial"/>
          <w:bCs/>
          <w:color w:val="000000" w:themeColor="text1"/>
          <w:lang w:val="es-ES"/>
        </w:rPr>
      </w:pPr>
      <w:r w:rsidRPr="00251CA2">
        <w:rPr>
          <w:rFonts w:ascii="Verdana" w:hAnsi="Verdana" w:cs="Arial"/>
          <w:bCs/>
          <w:color w:val="000000" w:themeColor="text1"/>
          <w:lang w:val="es-ES"/>
        </w:rPr>
        <w:t xml:space="preserve">Además del artículo 5 de la Ley 1150 de 2007, el deber de selección objetiva y su carácter vinculante encuentre fundamento en varios apartados de la Ley 80 de 1993, como: i) el primer inciso del artículo 21, que obliga a las entidades estatales a tener en cuenta la selección objetiva, al garantizar la participación de los oferentes de bienes y servicios de origen nacional, ii) el artículo 24, numeral 5º, literal a), que manda que en los pliegos de condiciones se indiquen “[…] los requisitos objetivos necesarios para participar en el correspondiente proceso de selección”, iii) el artículo 24, numeral 5º, literal b), que establece que en </w:t>
      </w:r>
      <w:r w:rsidRPr="00251CA2">
        <w:rPr>
          <w:rFonts w:ascii="Verdana" w:hAnsi="Verdana" w:cs="Arial"/>
          <w:bCs/>
          <w:color w:val="000000" w:themeColor="text1"/>
          <w:lang w:val="es-ES"/>
        </w:rPr>
        <w:lastRenderedPageBreak/>
        <w:t xml:space="preserve">los pliegos de condiciones se deben definir “[…] reglas objetivas, justas, claras y completas que permitan la confección de ofrecimientos de la misma índole, aseguren una escogencia objetiva y eviten la declaratoria de desierta de la licitación”, </w:t>
      </w:r>
      <w:proofErr w:type="spellStart"/>
      <w:r w:rsidRPr="00251CA2">
        <w:rPr>
          <w:rFonts w:ascii="Verdana" w:hAnsi="Verdana" w:cs="Arial"/>
          <w:bCs/>
          <w:color w:val="000000" w:themeColor="text1"/>
          <w:lang w:val="es-ES"/>
        </w:rPr>
        <w:t>iv</w:t>
      </w:r>
      <w:proofErr w:type="spellEnd"/>
      <w:r w:rsidRPr="00251CA2">
        <w:rPr>
          <w:rFonts w:ascii="Verdana" w:hAnsi="Verdana" w:cs="Arial"/>
          <w:bCs/>
          <w:color w:val="000000" w:themeColor="text1"/>
          <w:lang w:val="es-ES"/>
        </w:rPr>
        <w:t xml:space="preserve">) el artículo 24, numeral 8º, según el cual “Las autoridades no actuarán con desviación o abuso de poder y ejercerán sus competencias exclusivamente para los fines previstos en la ley. Igualmente, les será prohibido eludir los procedimientos de selección objetiva y los demás requisitos previstos en el presente estatuto”, v) el segundo inciso del parágrafo 3º del artículo 24, que exige tener en cuenta la selección objetiva de la entidad veedora para el procedimiento de venta de bienes de las entidades estatales por el sistema de martillo; vi) el numeral 18 del artículo 25, el cual señala que “La declaratoria de desierta de la licitación únicamente procederá por motivos o causas que impidan la escogencia objetiva”, </w:t>
      </w:r>
      <w:proofErr w:type="spellStart"/>
      <w:r w:rsidRPr="00251CA2">
        <w:rPr>
          <w:rFonts w:ascii="Verdana" w:hAnsi="Verdana" w:cs="Arial"/>
          <w:bCs/>
          <w:color w:val="000000" w:themeColor="text1"/>
          <w:lang w:val="es-ES"/>
        </w:rPr>
        <w:t>vii</w:t>
      </w:r>
      <w:proofErr w:type="spellEnd"/>
      <w:r w:rsidRPr="00251CA2">
        <w:rPr>
          <w:rFonts w:ascii="Verdana" w:hAnsi="Verdana" w:cs="Arial"/>
          <w:bCs/>
          <w:color w:val="000000" w:themeColor="text1"/>
          <w:lang w:val="es-ES"/>
        </w:rPr>
        <w:t xml:space="preserve">) el numeral 2 del artículo 30, que dispone que “La entidad interesada elaborará los correspondientes pliegos de condiciones, […],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 </w:t>
      </w:r>
      <w:proofErr w:type="spellStart"/>
      <w:r w:rsidRPr="00251CA2">
        <w:rPr>
          <w:rFonts w:ascii="Verdana" w:hAnsi="Verdana" w:cs="Arial"/>
          <w:bCs/>
          <w:color w:val="000000" w:themeColor="text1"/>
          <w:lang w:val="es-ES"/>
        </w:rPr>
        <w:t>viii</w:t>
      </w:r>
      <w:proofErr w:type="spellEnd"/>
      <w:r w:rsidRPr="00251CA2">
        <w:rPr>
          <w:rFonts w:ascii="Verdana" w:hAnsi="Verdana" w:cs="Arial"/>
          <w:bCs/>
          <w:color w:val="000000" w:themeColor="text1"/>
          <w:lang w:val="es-ES"/>
        </w:rPr>
        <w:t xml:space="preserve">) el inciso final del artículo 38, que obliga a las entidades estatales que tengan como objeto la prestación de servicios y actividades de telecomunicaciones a respetar el principio de selección objetiva, y </w:t>
      </w:r>
      <w:proofErr w:type="spellStart"/>
      <w:r w:rsidRPr="00251CA2">
        <w:rPr>
          <w:rFonts w:ascii="Verdana" w:hAnsi="Verdana" w:cs="Arial"/>
          <w:bCs/>
          <w:color w:val="000000" w:themeColor="text1"/>
          <w:lang w:val="es-ES"/>
        </w:rPr>
        <w:t>ix</w:t>
      </w:r>
      <w:proofErr w:type="spellEnd"/>
      <w:r w:rsidRPr="00251CA2">
        <w:rPr>
          <w:rFonts w:ascii="Verdana" w:hAnsi="Verdana" w:cs="Arial"/>
          <w:bCs/>
          <w:color w:val="000000" w:themeColor="text1"/>
          <w:lang w:val="es-ES"/>
        </w:rPr>
        <w:t xml:space="preserve">) el segundo inciso del artículo 76, que ordena cumplir también con dicho principio a las entidades que tengan por objeto la exploración, explotación y comercialización de recursos naturales renovables y no renovables. </w:t>
      </w:r>
    </w:p>
    <w:p w:rsidR="00AB64A5" w:rsidP="00AB64A5" w:rsidRDefault="00AB64A5" w14:paraId="102FE978" w14:textId="77777777">
      <w:pPr>
        <w:pStyle w:val="Prrafodelista"/>
        <w:numPr>
          <w:ilvl w:val="0"/>
          <w:numId w:val="4"/>
        </w:numPr>
        <w:spacing w:before="120" w:line="276" w:lineRule="auto"/>
        <w:jc w:val="both"/>
        <w:rPr>
          <w:rFonts w:ascii="Verdana" w:hAnsi="Verdana" w:cs="Arial"/>
          <w:bCs/>
          <w:color w:val="000000" w:themeColor="text1"/>
        </w:rPr>
      </w:pPr>
      <w:r w:rsidRPr="00251CA2">
        <w:rPr>
          <w:rFonts w:ascii="Verdana" w:hAnsi="Verdana" w:cs="Arial"/>
          <w:bCs/>
          <w:color w:val="000000" w:themeColor="text1"/>
        </w:rPr>
        <w:t xml:space="preserve">Por su parte, a nivel reglamentario, el Decreto 1082 de 2015 también hace referencia a la selección objetiva como postulado esencial al interior de los procedimientos de selección. Así se infiere de enunciados como: i) el numeral 4º del artículo 2.2.1.1.2.1.3., que indica que dentro de la información del pliego de condiciones se deben definir “Las condiciones de costo y/o calidad que la Entidad Estatal debe tener en cuenta para la selección objetiva, de acuerdo con la modalidad de selección del contratista”; o ii) el numeral 8º del artículo 2.2.1.2.1.3.13., que establece como obligación del jurado calificador en los concursos de méritos para la selección de consultores de diseño, planos, anteproyectos y proyectos arquitectónicos, “Manifestar a la Entidad Estatal promotora la declaratoria </w:t>
      </w:r>
      <w:r w:rsidRPr="00251CA2">
        <w:rPr>
          <w:rFonts w:ascii="Verdana" w:hAnsi="Verdana" w:cs="Arial"/>
          <w:bCs/>
          <w:color w:val="000000" w:themeColor="text1"/>
        </w:rPr>
        <w:lastRenderedPageBreak/>
        <w:t>de desierto el concurso de arquitectura, en caso que se presente el impedimento de la escogencia objetiva de que trata el numeral 18 del artículo 25 de la Ley 80 de 1993”.</w:t>
      </w:r>
    </w:p>
    <w:p w:rsidRPr="00B4672A" w:rsidR="00AB64A5" w:rsidP="00AB64A5" w:rsidRDefault="00AB64A5" w14:paraId="191C64C8" w14:textId="77777777">
      <w:pPr>
        <w:pStyle w:val="Prrafodelista"/>
        <w:numPr>
          <w:ilvl w:val="0"/>
          <w:numId w:val="4"/>
        </w:numPr>
        <w:spacing w:after="120" w:line="276" w:lineRule="auto"/>
        <w:jc w:val="both"/>
        <w:rPr>
          <w:rFonts w:ascii="Verdana" w:hAnsi="Verdana" w:eastAsia="Calibri" w:cs="Arial"/>
        </w:rPr>
      </w:pPr>
      <w:r w:rsidRPr="00B4672A">
        <w:rPr>
          <w:rFonts w:ascii="Verdana" w:hAnsi="Verdana" w:eastAsia="Calibri" w:cs="Arial"/>
        </w:rPr>
        <w:t>En ese sentido, la asignación de puntaje es un mecanismo mediante el cual las entidades ponderan los factores de calificación técnicos, de calidad y precio, etc.</w:t>
      </w:r>
      <w:r w:rsidRPr="00B4672A">
        <w:rPr>
          <w:rFonts w:ascii="Arial" w:hAnsi="Arial" w:eastAsia="Calibri" w:cs="Arial"/>
        </w:rPr>
        <w:t>ꟷ</w:t>
      </w:r>
      <w:r w:rsidRPr="00B4672A">
        <w:rPr>
          <w:rFonts w:ascii="Verdana" w:hAnsi="Verdana" w:eastAsia="Calibri" w:cs="Arial"/>
        </w:rPr>
        <w:t xml:space="preserve"> en un determinado proceso de selección, como se desprende del literal a) del numeral 2 del artículo 5 de la Ley 1150 de 2007, en el que, expresamente, se alude al puntaje. Es necesario destacar que las reglas para establecer la oferta más favorable conforme al artículo 5 de la Ley 1150 de 2007, se encuentran reglamentadas en el artículo 2.2.1.1.2.2.2 del Decreto 1082 de 2015.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ii) las condiciones técnicas adicionales que representan ventajas de calidad o de funcionamiento; iii) las condiciones económicas adicionales que representen ventajas en términos de economía, eficiencia y eficacia; y </w:t>
      </w:r>
      <w:proofErr w:type="spellStart"/>
      <w:r w:rsidRPr="00B4672A">
        <w:rPr>
          <w:rFonts w:ascii="Verdana" w:hAnsi="Verdana" w:eastAsia="Calibri" w:cs="Arial"/>
        </w:rPr>
        <w:t>iv</w:t>
      </w:r>
      <w:proofErr w:type="spellEnd"/>
      <w:r w:rsidRPr="00B4672A">
        <w:rPr>
          <w:rFonts w:ascii="Verdana" w:hAnsi="Verdana" w:eastAsia="Calibri" w:cs="Arial"/>
        </w:rPr>
        <w:t xml:space="preserve">) el valor en dinero que la entidad estatal asigna a cada ofrecimiento técnico o económico adicional. </w:t>
      </w:r>
    </w:p>
    <w:p w:rsidRPr="00251CA2" w:rsidR="00AB64A5" w:rsidP="00AB64A5" w:rsidRDefault="00AB64A5" w14:paraId="71530B5E" w14:textId="77777777">
      <w:pPr>
        <w:pStyle w:val="Prrafodelista"/>
        <w:numPr>
          <w:ilvl w:val="0"/>
          <w:numId w:val="4"/>
        </w:numPr>
        <w:spacing w:after="120" w:line="276" w:lineRule="auto"/>
        <w:jc w:val="both"/>
        <w:rPr>
          <w:rFonts w:ascii="Verdana" w:hAnsi="Verdana" w:eastAsia="Calibri" w:cs="Arial"/>
        </w:rPr>
      </w:pPr>
      <w:r w:rsidRPr="00B4672A">
        <w:rPr>
          <w:rFonts w:ascii="Verdana" w:hAnsi="Verdana" w:eastAsia="Calibri" w:cs="Arial"/>
        </w:rPr>
        <w:t>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rsidRPr="00B4672A" w:rsidR="00AB64A5" w:rsidP="00E100F3" w:rsidRDefault="00AB64A5" w14:paraId="19E816A1" w14:textId="77777777">
      <w:pPr>
        <w:pStyle w:val="Prrafodelista"/>
        <w:numPr>
          <w:ilvl w:val="0"/>
          <w:numId w:val="4"/>
        </w:numPr>
        <w:spacing w:before="100" w:beforeAutospacing="1" w:after="120" w:line="276" w:lineRule="auto"/>
        <w:ind w:left="714" w:hanging="357"/>
        <w:jc w:val="both"/>
        <w:rPr>
          <w:rFonts w:ascii="Verdana" w:hAnsi="Verdana" w:eastAsia="Calibri" w:cs="Arial"/>
        </w:rPr>
      </w:pPr>
      <w:r w:rsidRPr="00B4672A">
        <w:rPr>
          <w:rFonts w:ascii="Verdana" w:hAnsi="Verdana" w:eastAsia="Calibri" w:cs="Arial"/>
        </w:rPr>
        <w:t>En este sentido, y dando respuesta puntual a su inquietud, se precisa que el marco legal vigente solo establece la acreditación de experiencia como requisito habilitante. En cuanto a los criterios evaluables, solo se menciona en el numeral 4 del artículo 5 de la Ley 1150 de 2007 que se podrán utilizar criterios de experiencia específica del oferente y del equipo de trabajo en el campo correspondiente para la selección de consultores. Sin embargo, la norma tampoco prohíbe ni limita a las entidades para establecer en sus procesos de selección criterios de experiencia como factor ponderable en la modalidad de selección donde aplique.</w:t>
      </w:r>
    </w:p>
    <w:p w:rsidRPr="00B4672A" w:rsidR="00AB64A5" w:rsidP="00E100F3" w:rsidRDefault="00AB64A5" w14:paraId="77B8CD2A" w14:textId="77777777">
      <w:pPr>
        <w:pStyle w:val="Prrafodelista"/>
        <w:numPr>
          <w:ilvl w:val="0"/>
          <w:numId w:val="4"/>
        </w:numPr>
        <w:spacing w:before="100" w:beforeAutospacing="1" w:after="120" w:line="276" w:lineRule="auto"/>
        <w:ind w:left="714" w:hanging="357"/>
        <w:jc w:val="both"/>
        <w:rPr>
          <w:rFonts w:ascii="Verdana" w:hAnsi="Verdana" w:eastAsia="Calibri" w:cs="Arial"/>
        </w:rPr>
      </w:pPr>
      <w:r w:rsidRPr="00B4672A">
        <w:rPr>
          <w:rFonts w:ascii="Verdana" w:hAnsi="Verdana" w:eastAsia="Calibri" w:cs="Arial"/>
        </w:rPr>
        <w:t xml:space="preserve">Es importante destacar que los criterios de ponderación se aplican a las modalidades donde se evalúan la calidad y el precio, es decir, en la </w:t>
      </w:r>
      <w:r w:rsidRPr="00B4672A">
        <w:rPr>
          <w:rFonts w:ascii="Verdana" w:hAnsi="Verdana" w:eastAsia="Calibri" w:cs="Arial"/>
        </w:rPr>
        <w:lastRenderedPageBreak/>
        <w:t>licitación pública, la selección abreviada de menor cuantía y el concurso de méritos. Estos criterios no son aplicables a las modalidades de mínima cuantía ni al proceso de selección mediante subasta, donde se prioriza el menor valor.</w:t>
      </w:r>
    </w:p>
    <w:p w:rsidRPr="00B4672A" w:rsidR="00AB64A5" w:rsidP="00E100F3" w:rsidRDefault="00AB64A5" w14:paraId="07A3CAAF" w14:textId="77777777">
      <w:pPr>
        <w:pStyle w:val="Prrafodelista"/>
        <w:numPr>
          <w:ilvl w:val="0"/>
          <w:numId w:val="4"/>
        </w:numPr>
        <w:spacing w:before="100" w:beforeAutospacing="1" w:after="120" w:line="276" w:lineRule="auto"/>
        <w:ind w:left="714" w:hanging="357"/>
        <w:jc w:val="both"/>
        <w:rPr>
          <w:rFonts w:ascii="Verdana" w:hAnsi="Verdana" w:eastAsia="Calibri" w:cs="Arial"/>
        </w:rPr>
      </w:pPr>
      <w:r w:rsidRPr="00B4672A">
        <w:rPr>
          <w:rFonts w:ascii="Verdana" w:hAnsi="Verdana" w:eastAsia="Calibri" w:cs="Arial"/>
        </w:rPr>
        <w:t>No obstante, de acuerdo con lo establecido en el artículo 2.2.1.1.1.6.1 del Decreto 1082 de 2015, las entidades deben realizar, durante la etapa de planeación, el análisis necesario para conocer el sector relativo al objeto del proceso de contratación desde las perspectivas legal, comercial, financiera, organizacional, técnica y de análisis de riesgo. La entidad estatal debe dejar constancia de este análisis en los documentos del proceso. En este sentido, una vez que la entidad determine los criterios de ponderación para seleccionar la oferta más favorable, teniendo en cuenta la calidad y el precio, deberá soportar dicho análisis y justificación en los documentos del proceso.</w:t>
      </w:r>
    </w:p>
    <w:p w:rsidRPr="00251CA2" w:rsidR="00AB64A5" w:rsidP="00AB64A5" w:rsidRDefault="00AB64A5" w14:paraId="60590030" w14:textId="77777777">
      <w:pPr>
        <w:pStyle w:val="Prrafodelista"/>
        <w:spacing w:after="120" w:line="276" w:lineRule="auto"/>
        <w:jc w:val="both"/>
        <w:rPr>
          <w:rFonts w:ascii="Verdana" w:hAnsi="Verdana" w:eastAsia="Calibri" w:cs="Arial"/>
          <w:lang w:val="es-ES"/>
        </w:rPr>
      </w:pPr>
    </w:p>
    <w:p w:rsidRPr="00542ED3" w:rsidR="00AB64A5" w:rsidP="00AB64A5" w:rsidRDefault="00AB64A5" w14:paraId="51691684" w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42ED3">
        <w:rPr>
          <w:rFonts w:ascii="Verdana" w:hAnsi="Verdana" w:eastAsia="Century Gothic" w:cs="Century Gothic"/>
          <w:b/>
          <w:bCs/>
        </w:rPr>
        <w:t>Referencias normativas, jurisprudenciales y otras fuentes:</w:t>
      </w:r>
    </w:p>
    <w:p w:rsidRPr="00542ED3" w:rsidR="00AB64A5" w:rsidP="00AB64A5" w:rsidRDefault="00AB64A5" w14:paraId="4791A111"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542ED3" w:rsidR="00AB64A5" w:rsidTr="007B0B27" w14:paraId="713E4602" w14:textId="77777777">
        <w:trPr>
          <w:trHeight w:val="870"/>
        </w:trPr>
        <w:tc>
          <w:tcPr>
            <w:tcW w:w="8647" w:type="dxa"/>
          </w:tcPr>
          <w:p w:rsidRPr="00542ED3" w:rsidR="00AB64A5" w:rsidP="00AB64A5" w:rsidRDefault="00AB64A5" w14:paraId="38DCDE38" w14:textId="77777777">
            <w:pPr>
              <w:pStyle w:val="Prrafodelista"/>
              <w:numPr>
                <w:ilvl w:val="0"/>
                <w:numId w:val="2"/>
              </w:numPr>
              <w:spacing w:after="120" w:line="276" w:lineRule="auto"/>
              <w:ind w:right="709"/>
              <w:jc w:val="both"/>
              <w:rPr>
                <w:rFonts w:ascii="Verdana" w:hAnsi="Verdana" w:cs="Arial"/>
                <w:noProof/>
                <w:lang w:val="es-ES_tradnl"/>
              </w:rPr>
            </w:pPr>
            <w:r w:rsidRPr="00542ED3">
              <w:rPr>
                <w:rFonts w:ascii="Verdana" w:hAnsi="Verdana" w:cs="Arial"/>
                <w:noProof/>
                <w:lang w:val="es-ES_tradnl"/>
              </w:rPr>
              <w:t xml:space="preserve">Artículo 5 de la Ley 1150 de 2007, </w:t>
            </w:r>
            <w:bookmarkStart w:name="_Hlk176762543" w:id="3"/>
            <w:r w:rsidRPr="00542ED3">
              <w:rPr>
                <w:rFonts w:ascii="Verdana" w:hAnsi="Verdana" w:cs="Arial"/>
                <w:noProof/>
                <w:lang w:val="es-ES_tradnl"/>
              </w:rPr>
              <w:t>modificado por la Ley 1882 de 2018, parágrafos 1, 3 y 4</w:t>
            </w:r>
            <w:bookmarkEnd w:id="3"/>
            <w:r w:rsidRPr="00542ED3">
              <w:rPr>
                <w:rFonts w:ascii="Verdana" w:hAnsi="Verdana" w:cs="Arial"/>
                <w:noProof/>
                <w:lang w:val="es-ES_tradnl"/>
              </w:rPr>
              <w:t xml:space="preserve">. Disponible en: </w:t>
            </w:r>
            <w:hyperlink w:history="1" r:id="rId9">
              <w:r w:rsidRPr="00542ED3">
                <w:rPr>
                  <w:rStyle w:val="Hipervnculo"/>
                  <w:rFonts w:ascii="Verdana" w:hAnsi="Verdana" w:cs="Arial"/>
                  <w:noProof/>
                  <w:lang w:val="es-ES_tradnl"/>
                </w:rPr>
                <w:t>https://relatoria.colombiacompra.gov.co/normativa/ley-1882-de-2018/</w:t>
              </w:r>
            </w:hyperlink>
            <w:r w:rsidRPr="00542ED3">
              <w:rPr>
                <w:rFonts w:ascii="Verdana" w:hAnsi="Verdana" w:cs="Arial"/>
                <w:noProof/>
                <w:lang w:val="es-ES_tradnl"/>
              </w:rPr>
              <w:t xml:space="preserve"> </w:t>
            </w:r>
          </w:p>
          <w:p w:rsidRPr="00251CA2" w:rsidR="00AB64A5" w:rsidP="00AB64A5" w:rsidRDefault="00AB64A5" w14:paraId="0C45EA68" w14:textId="77777777">
            <w:pPr>
              <w:pStyle w:val="Prrafodelista"/>
              <w:numPr>
                <w:ilvl w:val="0"/>
                <w:numId w:val="2"/>
              </w:numPr>
              <w:spacing w:after="120" w:line="276" w:lineRule="auto"/>
              <w:ind w:right="709"/>
              <w:jc w:val="both"/>
              <w:rPr>
                <w:rFonts w:ascii="Verdana" w:hAnsi="Verdana" w:cs="Arial"/>
              </w:rPr>
            </w:pPr>
            <w:r w:rsidRPr="00542ED3">
              <w:rPr>
                <w:rFonts w:ascii="Verdana" w:hAnsi="Verdana" w:eastAsia="Times New Roman" w:cs="Arial"/>
                <w:lang w:val="es-ES_tradnl" w:eastAsia="es-ES_tradnl"/>
              </w:rPr>
              <w:t xml:space="preserve">Artículo 2.2.1.2.1.5.2 y </w:t>
            </w:r>
            <w:r w:rsidRPr="00542ED3">
              <w:rPr>
                <w:rFonts w:ascii="Verdana" w:hAnsi="Verdana" w:eastAsia="Calibri" w:cs="Arial"/>
              </w:rPr>
              <w:t xml:space="preserve">2.2.1.1.1.6.2 </w:t>
            </w:r>
            <w:r w:rsidRPr="00542ED3">
              <w:rPr>
                <w:rFonts w:ascii="Verdana" w:hAnsi="Verdana" w:eastAsia="Times New Roman" w:cs="Arial"/>
                <w:lang w:val="es-ES_tradnl" w:eastAsia="es-ES_tradnl"/>
              </w:rPr>
              <w:t xml:space="preserve">del Decreto 1082 de 2015 modificado por el artículo 2 Decreto 1860 de 2021. </w:t>
            </w:r>
            <w:r w:rsidRPr="00542ED3">
              <w:rPr>
                <w:rFonts w:ascii="Verdana" w:hAnsi="Verdana" w:cs="Arial"/>
                <w:noProof/>
                <w:lang w:val="es-ES_tradnl"/>
              </w:rPr>
              <w:t xml:space="preserve">Disponible en: </w:t>
            </w:r>
            <w:r w:rsidRPr="00542ED3">
              <w:rPr>
                <w:rFonts w:ascii="Verdana" w:hAnsi="Verdana" w:eastAsia="Times New Roman" w:cs="Arial"/>
                <w:lang w:val="es-ES_tradnl" w:eastAsia="es-ES_tradnl"/>
              </w:rPr>
              <w:t xml:space="preserve"> </w:t>
            </w:r>
            <w:hyperlink w:history="1" r:id="rId10">
              <w:r w:rsidRPr="00542ED3">
                <w:rPr>
                  <w:rStyle w:val="Hipervnculo"/>
                  <w:rFonts w:ascii="Verdana" w:hAnsi="Verdana" w:eastAsia="Times New Roman" w:cs="Arial"/>
                  <w:lang w:val="es-ES_tradnl" w:eastAsia="es-ES_tradnl"/>
                </w:rPr>
                <w:t>https://relatoria.colombiacompra.gov.co/normativa/decreto-  1860-de-2021/</w:t>
              </w:r>
            </w:hyperlink>
            <w:r w:rsidRPr="00542ED3">
              <w:rPr>
                <w:rFonts w:ascii="Verdana" w:hAnsi="Verdana" w:eastAsia="Times New Roman" w:cs="Arial"/>
                <w:lang w:val="es-ES_tradnl" w:eastAsia="es-ES_tradnl"/>
              </w:rPr>
              <w:t xml:space="preserve"> </w:t>
            </w:r>
          </w:p>
        </w:tc>
      </w:tr>
    </w:tbl>
    <w:p w:rsidRPr="00542ED3" w:rsidR="00AB64A5" w:rsidP="00AB64A5" w:rsidRDefault="00AB64A5" w14:paraId="7D10BDB3" w14:textId="77777777">
      <w:pPr>
        <w:widowControl w:val="0"/>
        <w:autoSpaceDE w:val="0"/>
        <w:autoSpaceDN w:val="0"/>
        <w:spacing w:after="0" w:line="276" w:lineRule="auto"/>
        <w:jc w:val="both"/>
        <w:rPr>
          <w:rFonts w:ascii="Verdana" w:hAnsi="Verdana" w:cs="Arial"/>
        </w:rPr>
      </w:pPr>
    </w:p>
    <w:p w:rsidRPr="00542ED3" w:rsidR="00AB64A5" w:rsidP="00AB64A5" w:rsidRDefault="00AB64A5" w14:paraId="064A695A" w14:textId="77777777">
      <w:pPr>
        <w:pStyle w:val="Prrafodelista"/>
        <w:numPr>
          <w:ilvl w:val="0"/>
          <w:numId w:val="1"/>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42ED3">
        <w:rPr>
          <w:rFonts w:ascii="Verdana" w:hAnsi="Verdana" w:eastAsia="Century Gothic" w:cs="Century Gothic"/>
          <w:b/>
          <w:bCs/>
        </w:rPr>
        <w:t>Doctrina de la Agencia Nacional de Contratación Pública:</w:t>
      </w:r>
    </w:p>
    <w:p w:rsidRPr="00542ED3" w:rsidR="00AB64A5" w:rsidP="00AB64A5" w:rsidRDefault="00AB64A5" w14:paraId="6FB855C5" w14:textId="77777777">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rsidRPr="00542ED3" w:rsidR="00AB64A5" w:rsidP="00AB64A5" w:rsidRDefault="00AB64A5" w14:paraId="0DBF49A0" w14:textId="77777777">
      <w:pPr>
        <w:widowControl w:val="0"/>
        <w:autoSpaceDE w:val="0"/>
        <w:autoSpaceDN w:val="0"/>
        <w:spacing w:after="0" w:line="276" w:lineRule="auto"/>
        <w:jc w:val="both"/>
        <w:rPr>
          <w:rFonts w:ascii="Verdana" w:hAnsi="Verdana" w:cs="Arial"/>
          <w:color w:val="000000" w:themeColor="text1"/>
          <w:shd w:val="clear" w:color="auto" w:fill="FFFFFF"/>
        </w:rPr>
      </w:pPr>
      <w:r w:rsidRPr="00542ED3">
        <w:rPr>
          <w:rStyle w:val="normaltextrun"/>
          <w:rFonts w:ascii="Verdana" w:hAnsi="Verdana" w:cs="Arial"/>
          <w:shd w:val="clear" w:color="auto" w:fill="FFFFFF"/>
          <w:lang w:val="es-ES"/>
        </w:rPr>
        <w:t>Esta Subdirección se ha pronunciado s</w:t>
      </w:r>
      <w:r w:rsidRPr="00542ED3">
        <w:rPr>
          <w:rFonts w:ascii="Verdana" w:hAnsi="Verdana" w:eastAsia="Aptos" w:cs="Arial"/>
          <w:shd w:val="clear" w:color="auto" w:fill="FFFFFF"/>
          <w:lang w:val="es-ES"/>
        </w:rPr>
        <w:t xml:space="preserve">obre los requisitos habilitantes en los procesos de contratación pública, en los Conceptos </w:t>
      </w:r>
      <w:r w:rsidRPr="00542ED3">
        <w:rPr>
          <w:rFonts w:ascii="Verdana" w:hAnsi="Verdana" w:eastAsia="Calibri" w:cs="Arial"/>
          <w:lang w:val="es-ES_tradnl" w:eastAsia="es-MX"/>
        </w:rPr>
        <w:t xml:space="preserve">C-120 del 3 de marzo de 2020, C-204 del 31 de marzo de 2020, C-099 del 6 de abril de 2020, C-195 del 13 de abril de 2020, C-013 del 17 de abril de 2020, C-330 del 27 de mayo de 2020, C-396 de 16 de julio de 2020, C-142 del 30 de marzo de 2022, C-337 del 18 de agosto de 2023, </w:t>
      </w:r>
      <w:r w:rsidRPr="00542ED3">
        <w:rPr>
          <w:rFonts w:ascii="Verdana" w:hAnsi="Verdana" w:eastAsia="Aptos" w:cs="Arial"/>
          <w:shd w:val="clear" w:color="auto" w:fill="FFFFFF"/>
          <w:lang w:val="es-ES"/>
        </w:rPr>
        <w:t>C-246 del 16 de julio de 2024, C-277 del 16 de julio de 2024, C-193 del 19 de julio de 2024, C-178 del 29 de julio de 2024, C-204 del 29 de julio de 2024, C-278 del 31 de julio de 2024, C-201 del 02 de agosto de 2024, C-349 del 15 de agosto de 2024, C-291 del 20 de agosto de 2024</w:t>
      </w:r>
      <w:r w:rsidRPr="00542ED3">
        <w:rPr>
          <w:rFonts w:ascii="Verdana" w:hAnsi="Verdana" w:eastAsia="Calibri" w:cs="Arial"/>
          <w:lang w:val="es-ES" w:eastAsia="es-ES"/>
        </w:rPr>
        <w:t xml:space="preserve"> y C-</w:t>
      </w:r>
      <w:r w:rsidRPr="00542ED3">
        <w:rPr>
          <w:rFonts w:ascii="Verdana" w:hAnsi="Verdana" w:eastAsia="Calibri" w:cs="Arial"/>
          <w:lang w:val="es-ES" w:eastAsia="es-ES"/>
        </w:rPr>
        <w:lastRenderedPageBreak/>
        <w:t>370 del 03 de septiembre de 2024.</w:t>
      </w:r>
      <w:r w:rsidRPr="00542ED3">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w:tgtFrame="_blank" w:tooltip="Dirección URL original: https://relatoria.colombiacompra.gov.co/. Haga clic o pulse si confía en este vínculo." w:history="1" r:id="rId11">
        <w:r w:rsidRPr="00542ED3">
          <w:rPr>
            <w:rStyle w:val="Hipervnculo"/>
            <w:rFonts w:ascii="Verdana" w:hAnsi="Verdana" w:cs="Arial"/>
            <w:shd w:val="clear" w:color="auto" w:fill="FFFFFF"/>
          </w:rPr>
          <w:t>https://relatoria.colombiacompra.gov.co/</w:t>
        </w:r>
      </w:hyperlink>
      <w:r w:rsidRPr="00542ED3">
        <w:rPr>
          <w:rFonts w:ascii="Verdana" w:hAnsi="Verdana" w:cs="Arial"/>
          <w:color w:val="000000" w:themeColor="text1"/>
          <w:shd w:val="clear" w:color="auto" w:fill="FFFFFF"/>
        </w:rPr>
        <w:t xml:space="preserve"> . </w:t>
      </w:r>
    </w:p>
    <w:p w:rsidRPr="00542ED3" w:rsidR="00AB64A5" w:rsidP="00AB64A5" w:rsidRDefault="00AB64A5" w14:paraId="7E7837B1"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Pr="00542ED3" w:rsidR="00AB64A5" w:rsidP="00AB64A5" w:rsidRDefault="00AB64A5" w14:paraId="64FD86D2"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Pr="00542ED3" w:rsidR="00AB64A5" w:rsidP="00AB64A5" w:rsidRDefault="00AB64A5" w14:paraId="6D2A1A80" w14:textId="77777777">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542ED3">
        <w:rPr>
          <w:rFonts w:ascii="Verdana" w:hAnsi="Verdana" w:cs="Arial"/>
          <w:color w:val="000000" w:themeColor="text1"/>
          <w:shd w:val="clear" w:color="auto" w:fill="FFFFFF"/>
        </w:rPr>
        <w:t>Te invitamos también a revisar la tercera edición del  Boletín de Relatoría de 2024 en el cual podrás consultar en detalle el marco normativo de documentos tipo: </w:t>
      </w:r>
      <w:hyperlink w:tgtFrame="_blank" w:tooltip="Dirección URL original: https://www.colombiacompra.gov.co/sites/cce_public/files/files_2020/boletin_de_realtoria_iii.pdf. Haga clic o pulse si confía en este vínculo." w:history="1" r:id="rId12">
        <w:r w:rsidRPr="00542ED3">
          <w:rPr>
            <w:rStyle w:val="Hipervnculo"/>
            <w:rFonts w:ascii="Verdana" w:hAnsi="Verdana" w:cs="Arial"/>
            <w:shd w:val="clear" w:color="auto" w:fill="FFFFFF"/>
          </w:rPr>
          <w:t>https://www.colombiacompra.gov.co/sites/cce_public/files/files_2020/boletin_de_realtoria_iii.pdf</w:t>
        </w:r>
      </w:hyperlink>
      <w:r w:rsidRPr="00542ED3">
        <w:rPr>
          <w:rFonts w:ascii="Verdana" w:hAnsi="Verdana" w:cs="Arial"/>
          <w:color w:val="000000" w:themeColor="text1"/>
          <w:shd w:val="clear" w:color="auto" w:fill="FFFFFF"/>
        </w:rPr>
        <w:t> ".</w:t>
      </w:r>
    </w:p>
    <w:p w:rsidRPr="00542ED3" w:rsidR="00AB64A5" w:rsidP="00AB64A5" w:rsidRDefault="00AB64A5" w14:paraId="03479624" w14:textId="77777777">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rsidRPr="00542ED3" w:rsidR="00AB64A5" w:rsidP="00AB64A5" w:rsidRDefault="00AB64A5" w14:paraId="78400B5C" w14:textId="77777777">
      <w:pPr>
        <w:spacing w:after="0" w:line="240" w:lineRule="auto"/>
        <w:jc w:val="both"/>
        <w:rPr>
          <w:rFonts w:ascii="Verdana" w:hAnsi="Verdana"/>
        </w:rPr>
      </w:pPr>
      <w:r w:rsidRPr="00542ED3">
        <w:rPr>
          <w:rFonts w:ascii="Verdana" w:hAnsi="Verdana"/>
        </w:rPr>
        <w:t xml:space="preserve">Por último, lo invitamos a seguirnos en las redes sociales en las cuales se difunde información institucional: </w:t>
      </w:r>
    </w:p>
    <w:p w:rsidRPr="00542ED3" w:rsidR="00AB64A5" w:rsidP="00AB64A5" w:rsidRDefault="00AB64A5" w14:paraId="4C00BD62" w14:textId="77777777">
      <w:pPr>
        <w:spacing w:after="0" w:line="240" w:lineRule="auto"/>
        <w:jc w:val="both"/>
        <w:rPr>
          <w:rFonts w:ascii="Verdana" w:hAnsi="Verdana"/>
        </w:rPr>
      </w:pPr>
    </w:p>
    <w:p w:rsidRPr="00542ED3" w:rsidR="00AB64A5" w:rsidP="00AB64A5" w:rsidRDefault="00AB64A5" w14:paraId="536E4745" w14:textId="77777777">
      <w:pPr>
        <w:spacing w:after="0" w:line="240" w:lineRule="auto"/>
        <w:jc w:val="both"/>
        <w:rPr>
          <w:rFonts w:ascii="Verdana" w:hAnsi="Verdana"/>
        </w:rPr>
      </w:pPr>
      <w:r w:rsidRPr="00542ED3">
        <w:rPr>
          <w:rFonts w:ascii="Verdana" w:hAnsi="Verdana"/>
        </w:rPr>
        <w:t xml:space="preserve">Twitter: </w:t>
      </w:r>
      <w:r w:rsidRPr="00542ED3">
        <w:rPr>
          <w:rStyle w:val="Hipervnculo"/>
          <w:rFonts w:ascii="Verdana" w:hAnsi="Verdana"/>
          <w:color w:val="156082" w:themeColor="accent1"/>
        </w:rPr>
        <w:t>@colombiacompra</w:t>
      </w:r>
      <w:r w:rsidRPr="00542ED3">
        <w:rPr>
          <w:rFonts w:ascii="Verdana" w:hAnsi="Verdana"/>
          <w:color w:val="156082" w:themeColor="accent1"/>
        </w:rPr>
        <w:t xml:space="preserve"> </w:t>
      </w:r>
    </w:p>
    <w:p w:rsidRPr="00542ED3" w:rsidR="00AB64A5" w:rsidP="00AB64A5" w:rsidRDefault="00AB64A5" w14:paraId="48B106C5" w14:textId="77777777">
      <w:pPr>
        <w:spacing w:after="0" w:line="240" w:lineRule="auto"/>
        <w:jc w:val="both"/>
        <w:rPr>
          <w:rFonts w:ascii="Verdana" w:hAnsi="Verdana"/>
        </w:rPr>
      </w:pPr>
      <w:r w:rsidRPr="00542ED3">
        <w:rPr>
          <w:rFonts w:ascii="Verdana" w:hAnsi="Verdana"/>
        </w:rPr>
        <w:t xml:space="preserve">Facebook: </w:t>
      </w:r>
      <w:proofErr w:type="spellStart"/>
      <w:r w:rsidRPr="00542ED3">
        <w:rPr>
          <w:rStyle w:val="Hipervnculo"/>
          <w:rFonts w:ascii="Verdana" w:hAnsi="Verdana"/>
          <w:color w:val="156082" w:themeColor="accent1"/>
        </w:rPr>
        <w:t>ColombiaCompraEficiente</w:t>
      </w:r>
      <w:proofErr w:type="spellEnd"/>
    </w:p>
    <w:p w:rsidRPr="00542ED3" w:rsidR="00AB64A5" w:rsidP="00AB64A5" w:rsidRDefault="00AB64A5" w14:paraId="4A5D9233" w14:textId="77777777">
      <w:pPr>
        <w:spacing w:after="0" w:line="240" w:lineRule="auto"/>
        <w:jc w:val="both"/>
        <w:rPr>
          <w:rFonts w:ascii="Verdana" w:hAnsi="Verdana"/>
        </w:rPr>
      </w:pPr>
      <w:r w:rsidRPr="00542ED3">
        <w:rPr>
          <w:rFonts w:ascii="Verdana" w:hAnsi="Verdana"/>
        </w:rPr>
        <w:t xml:space="preserve">LinkedIn: </w:t>
      </w:r>
      <w:r w:rsidRPr="00542ED3">
        <w:rPr>
          <w:rStyle w:val="Hipervnculo"/>
          <w:rFonts w:ascii="Verdana" w:hAnsi="Verdana"/>
          <w:color w:val="156082" w:themeColor="accent1"/>
        </w:rPr>
        <w:t>Agencia Nacional de Contratación Pública - Colombia Compra Eficiente</w:t>
      </w:r>
      <w:r w:rsidRPr="00542ED3">
        <w:rPr>
          <w:rFonts w:ascii="Verdana" w:hAnsi="Verdana"/>
          <w:color w:val="156082" w:themeColor="accent1"/>
        </w:rPr>
        <w:t xml:space="preserve"> </w:t>
      </w:r>
      <w:r w:rsidRPr="00542ED3">
        <w:rPr>
          <w:rFonts w:ascii="Verdana" w:hAnsi="Verdana"/>
        </w:rPr>
        <w:t xml:space="preserve">Instagram: </w:t>
      </w:r>
      <w:r w:rsidRPr="00542ED3">
        <w:rPr>
          <w:rStyle w:val="Hipervnculo"/>
          <w:rFonts w:ascii="Verdana" w:hAnsi="Verdana"/>
          <w:color w:val="156082" w:themeColor="accent1"/>
        </w:rPr>
        <w:t>@colombiacompraeficiente_cce</w:t>
      </w:r>
    </w:p>
    <w:p w:rsidRPr="00542ED3" w:rsidR="00AB64A5" w:rsidP="00AB64A5" w:rsidRDefault="00AB64A5" w14:paraId="02BE982E" w14:textId="77777777">
      <w:pPr>
        <w:widowControl w:val="0"/>
        <w:autoSpaceDE w:val="0"/>
        <w:autoSpaceDN w:val="0"/>
        <w:spacing w:after="0" w:line="276" w:lineRule="auto"/>
        <w:jc w:val="both"/>
        <w:rPr>
          <w:rFonts w:ascii="Verdana" w:hAnsi="Verdana" w:cs="Arial"/>
        </w:rPr>
      </w:pPr>
    </w:p>
    <w:p w:rsidRPr="00542ED3" w:rsidR="00AB64A5" w:rsidP="00AB64A5" w:rsidRDefault="00AB64A5" w14:paraId="64E0D488" w14:textId="77777777">
      <w:pPr>
        <w:widowControl w:val="0"/>
        <w:autoSpaceDE w:val="0"/>
        <w:autoSpaceDN w:val="0"/>
        <w:spacing w:after="0" w:line="276" w:lineRule="auto"/>
        <w:jc w:val="both"/>
        <w:rPr>
          <w:rFonts w:ascii="Verdana" w:hAnsi="Verdana" w:cs="Arial"/>
          <w:lang w:val="es-ES_tradnl"/>
        </w:rPr>
      </w:pPr>
      <w:r w:rsidRPr="00542ED3">
        <w:rPr>
          <w:rFonts w:ascii="Verdana" w:hAnsi="Verdana" w:cs="Arial"/>
        </w:rPr>
        <w:t xml:space="preserve">Este concepto tiene el alcance previsto en el artículo 28 del Código de Procedimiento Administrativo y de lo Contencioso Administrativo </w:t>
      </w:r>
      <w:r w:rsidRPr="00542ED3">
        <w:rPr>
          <w:rFonts w:ascii="Verdana" w:hAnsi="Verdana" w:cs="Arial"/>
          <w:lang w:val="es-ES_tradnl"/>
        </w:rPr>
        <w:t>y las expresiones aquí utilizadas con mayúscula inicial deben ser entendidas con el significado que les otorga el artículo 2.2.1.1.1.3.1. del Decreto 1082 de 2015.</w:t>
      </w:r>
    </w:p>
    <w:p w:rsidRPr="00542ED3" w:rsidR="00AB64A5" w:rsidP="00AB64A5" w:rsidRDefault="00AB64A5" w14:paraId="20464B9D" w14:textId="77777777">
      <w:pPr>
        <w:widowControl w:val="0"/>
        <w:autoSpaceDE w:val="0"/>
        <w:autoSpaceDN w:val="0"/>
        <w:spacing w:after="0" w:line="276" w:lineRule="auto"/>
        <w:jc w:val="both"/>
        <w:rPr>
          <w:rFonts w:ascii="Verdana" w:hAnsi="Verdana" w:cs="Arial"/>
        </w:rPr>
      </w:pPr>
    </w:p>
    <w:p w:rsidRPr="00542ED3" w:rsidR="00AB64A5" w:rsidP="00AB64A5" w:rsidRDefault="00AB64A5" w14:paraId="43CF8739" w14:textId="77777777">
      <w:pPr>
        <w:spacing w:after="0" w:line="240" w:lineRule="auto"/>
        <w:rPr>
          <w:rFonts w:ascii="Verdana" w:hAnsi="Verdana" w:cs="Arial"/>
          <w:lang w:eastAsia="es-CO"/>
        </w:rPr>
      </w:pPr>
      <w:r w:rsidRPr="00542ED3">
        <w:rPr>
          <w:rFonts w:ascii="Verdana" w:hAnsi="Verdana" w:eastAsia="Times New Roman" w:cs="Arial"/>
          <w:lang w:eastAsia="es-CO"/>
        </w:rPr>
        <w:t>Atentamente,</w:t>
      </w:r>
      <w:r w:rsidRPr="00542ED3">
        <w:rPr>
          <w:rFonts w:ascii="Verdana" w:hAnsi="Verdana" w:cs="Arial"/>
          <w:lang w:eastAsia="es-CO"/>
        </w:rPr>
        <w:t xml:space="preserve"> </w:t>
      </w:r>
    </w:p>
    <w:p w:rsidRPr="0007620F" w:rsidR="0007620F" w:rsidP="0007620F" w:rsidRDefault="0007620F" w14:paraId="4B4BF774" w14:textId="3D8E387B">
      <w:pPr>
        <w:spacing w:line="276" w:lineRule="auto"/>
        <w:jc w:val="center"/>
        <w:rPr>
          <w:rFonts w:ascii="Verdana" w:hAnsi="Verdana"/>
          <w:noProof/>
        </w:rPr>
      </w:pPr>
      <w:r w:rsidRPr="0007620F">
        <w:rPr>
          <w:rFonts w:ascii="Verdana" w:hAnsi="Verdana"/>
          <w:noProof/>
        </w:rPr>
        <w:drawing>
          <wp:inline distT="0" distB="0" distL="0" distR="0" wp14:anchorId="2669FE42" wp14:editId="5E3CC5E9">
            <wp:extent cx="2897505" cy="1243849"/>
            <wp:effectExtent l="0" t="0" r="0" b="0"/>
            <wp:docPr id="161765121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04289" cy="1246761"/>
                    </a:xfrm>
                    <a:prstGeom prst="rect">
                      <a:avLst/>
                    </a:prstGeom>
                    <a:noFill/>
                    <a:ln>
                      <a:noFill/>
                    </a:ln>
                  </pic:spPr>
                </pic:pic>
              </a:graphicData>
            </a:graphic>
          </wp:inline>
        </w:drawing>
      </w:r>
    </w:p>
    <w:p w:rsidR="00AB64A5" w:rsidP="00AB64A5" w:rsidRDefault="00AB64A5" w14:paraId="0B837099" w14:textId="2F0CFFC1">
      <w:pPr>
        <w:spacing w:line="276" w:lineRule="auto"/>
        <w:jc w:val="center"/>
        <w:rPr>
          <w:rFonts w:ascii="Verdana" w:hAnsi="Verdana"/>
          <w:noProof/>
        </w:rPr>
      </w:pPr>
    </w:p>
    <w:p w:rsidR="00276CE3" w:rsidP="00AB64A5" w:rsidRDefault="00276CE3" w14:paraId="7672318D" w14:textId="77777777">
      <w:pPr>
        <w:spacing w:line="276" w:lineRule="auto"/>
        <w:jc w:val="center"/>
        <w:rPr>
          <w:rFonts w:ascii="Verdana" w:hAnsi="Verdana" w:cs="Arial"/>
          <w:noProof/>
          <w:color w:val="000000"/>
          <w:lang w:val="es-ES_tradnl" w:eastAsia="es-CO"/>
        </w:rPr>
      </w:pPr>
    </w:p>
    <w:p w:rsidR="00276CE3" w:rsidP="00AB64A5" w:rsidRDefault="00276CE3" w14:paraId="0105CFA2" w14:textId="77777777">
      <w:pPr>
        <w:spacing w:line="276" w:lineRule="auto"/>
        <w:jc w:val="center"/>
        <w:rPr>
          <w:rFonts w:ascii="Verdana" w:hAnsi="Verdana" w:cs="Arial"/>
          <w:noProof/>
          <w:color w:val="000000"/>
          <w:lang w:val="es-ES_tradnl" w:eastAsia="es-CO"/>
        </w:rPr>
      </w:pPr>
    </w:p>
    <w:p w:rsidRPr="00542ED3" w:rsidR="00276CE3" w:rsidP="00AB64A5" w:rsidRDefault="00276CE3" w14:paraId="79FEA41A" w14:textId="77777777">
      <w:pPr>
        <w:spacing w:line="276" w:lineRule="auto"/>
        <w:jc w:val="center"/>
        <w:rPr>
          <w:rFonts w:ascii="Verdana" w:hAnsi="Verdana" w:cs="Arial"/>
          <w:color w:val="000000"/>
          <w:lang w:val="es-ES_tradnl" w:eastAsia="es-CO"/>
        </w:rPr>
      </w:pP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977"/>
        <w:gridCol w:w="5544"/>
      </w:tblGrid>
      <w:tr w:rsidRPr="00542ED3" w:rsidR="00AB64A5" w:rsidTr="007B0B27" w14:paraId="1CCF7B2A" w14:textId="77777777">
        <w:trPr>
          <w:trHeight w:val="315"/>
        </w:trPr>
        <w:tc>
          <w:tcPr>
            <w:tcW w:w="893" w:type="dxa"/>
            <w:vAlign w:val="center"/>
            <w:hideMark/>
          </w:tcPr>
          <w:p w:rsidRPr="00251CA2" w:rsidR="00AB64A5" w:rsidP="007B0B27" w:rsidRDefault="00AB64A5" w14:paraId="4C835DB8" w14:textId="77777777">
            <w:pPr>
              <w:contextualSpacing/>
              <w:rPr>
                <w:rFonts w:ascii="Verdana" w:hAnsi="Verdana" w:cs="Arial"/>
                <w:sz w:val="18"/>
                <w:szCs w:val="18"/>
                <w:lang w:val="es-ES" w:eastAsia="es-ES"/>
              </w:rPr>
            </w:pPr>
            <w:r w:rsidRPr="00251CA2">
              <w:rPr>
                <w:rFonts w:ascii="Verdana" w:hAnsi="Verdana" w:cs="Arial"/>
                <w:sz w:val="18"/>
                <w:szCs w:val="18"/>
                <w:lang w:val="es-ES" w:eastAsia="es-ES"/>
              </w:rPr>
              <w:lastRenderedPageBreak/>
              <w:t>Elaboró:</w:t>
            </w:r>
          </w:p>
        </w:tc>
        <w:tc>
          <w:tcPr>
            <w:tcW w:w="5628" w:type="dxa"/>
            <w:tcBorders>
              <w:top w:val="nil"/>
              <w:left w:val="nil"/>
              <w:bottom w:val="dotted" w:color="7F7F7F" w:themeColor="text1" w:themeTint="80" w:sz="4" w:space="0"/>
              <w:right w:val="nil"/>
            </w:tcBorders>
            <w:vAlign w:val="center"/>
            <w:hideMark/>
          </w:tcPr>
          <w:p w:rsidRPr="00251CA2" w:rsidR="00AB64A5" w:rsidP="007B0B27" w:rsidRDefault="00AB64A5" w14:paraId="66AF4843" w14:textId="77777777">
            <w:pPr>
              <w:contextualSpacing/>
              <w:rPr>
                <w:rFonts w:ascii="Verdana" w:hAnsi="Verdana" w:eastAsia="Arial" w:cs="Arial"/>
                <w:color w:val="7030A0"/>
                <w:sz w:val="18"/>
                <w:szCs w:val="18"/>
              </w:rPr>
            </w:pPr>
            <w:r w:rsidRPr="00251CA2">
              <w:rPr>
                <w:rStyle w:val="normaltextrun"/>
                <w:rFonts w:ascii="Verdana" w:hAnsi="Verdana"/>
                <w:sz w:val="18"/>
                <w:szCs w:val="18"/>
              </w:rPr>
              <w:t>Christian Camilo Orjuela Galeano</w:t>
            </w:r>
          </w:p>
          <w:p w:rsidRPr="00251CA2" w:rsidR="00AB64A5" w:rsidP="007B0B27" w:rsidRDefault="00AB64A5" w14:paraId="6D742C2C" w14:textId="77777777">
            <w:pPr>
              <w:contextualSpacing/>
              <w:rPr>
                <w:rFonts w:ascii="Verdana" w:hAnsi="Verdana" w:eastAsia="Arial" w:cs="Arial"/>
                <w:sz w:val="18"/>
                <w:szCs w:val="18"/>
              </w:rPr>
            </w:pPr>
            <w:r w:rsidRPr="00251CA2">
              <w:rPr>
                <w:rStyle w:val="normaltextrun"/>
                <w:rFonts w:ascii="Verdana" w:hAnsi="Verdana" w:eastAsia="Arial" w:cs="Arial"/>
                <w:sz w:val="18"/>
                <w:szCs w:val="18"/>
              </w:rPr>
              <w:t>Contratista de la Subdirección de Gestión Contractual</w:t>
            </w:r>
          </w:p>
        </w:tc>
      </w:tr>
      <w:tr w:rsidRPr="00542ED3" w:rsidR="00AB64A5" w:rsidTr="007B0B27" w14:paraId="25DEECD8" w14:textId="77777777">
        <w:trPr>
          <w:trHeight w:val="330"/>
        </w:trPr>
        <w:tc>
          <w:tcPr>
            <w:tcW w:w="893" w:type="dxa"/>
            <w:vAlign w:val="center"/>
            <w:hideMark/>
          </w:tcPr>
          <w:p w:rsidRPr="00251CA2" w:rsidR="00AB64A5" w:rsidP="007B0B27" w:rsidRDefault="00AB64A5" w14:paraId="5EB4B261" w14:textId="77777777">
            <w:pPr>
              <w:contextualSpacing/>
              <w:rPr>
                <w:rFonts w:ascii="Verdana" w:hAnsi="Verdana" w:cs="Arial"/>
                <w:sz w:val="18"/>
                <w:szCs w:val="18"/>
                <w:lang w:val="es-ES" w:eastAsia="es-ES"/>
              </w:rPr>
            </w:pPr>
            <w:r w:rsidRPr="00251CA2">
              <w:rPr>
                <w:rFonts w:ascii="Verdana" w:hAnsi="Verdana" w:cs="Arial"/>
                <w:sz w:val="18"/>
                <w:szCs w:val="18"/>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251CA2" w:rsidR="00AB64A5" w:rsidP="007B0B27" w:rsidRDefault="00AB64A5" w14:paraId="552C0EF3" w14:textId="77777777">
            <w:pPr>
              <w:pStyle w:val="paragraph"/>
              <w:spacing w:before="0" w:beforeAutospacing="0" w:after="0" w:afterAutospacing="0"/>
              <w:contextualSpacing/>
              <w:textAlignment w:val="baseline"/>
              <w:rPr>
                <w:rStyle w:val="normaltextrun"/>
                <w:rFonts w:ascii="Verdana" w:hAnsi="Verdana" w:cstheme="minorHAnsi"/>
                <w:sz w:val="18"/>
                <w:szCs w:val="18"/>
              </w:rPr>
            </w:pPr>
            <w:r w:rsidRPr="00251CA2">
              <w:rPr>
                <w:rStyle w:val="normaltextrun"/>
                <w:rFonts w:ascii="Verdana" w:hAnsi="Verdana" w:cstheme="minorHAnsi"/>
                <w:sz w:val="18"/>
                <w:szCs w:val="18"/>
              </w:rPr>
              <w:t>Ximena Ríos</w:t>
            </w:r>
          </w:p>
          <w:p w:rsidRPr="00251CA2" w:rsidR="00AB64A5" w:rsidP="007B0B27" w:rsidRDefault="00AB64A5" w14:paraId="164666B5" w14:textId="77777777">
            <w:pPr>
              <w:pStyle w:val="paragraph"/>
              <w:spacing w:before="0" w:beforeAutospacing="0" w:after="0" w:afterAutospacing="0"/>
              <w:contextualSpacing/>
              <w:textAlignment w:val="baseline"/>
              <w:rPr>
                <w:rFonts w:ascii="Verdana" w:hAnsi="Verdana" w:cs="Segoe UI"/>
                <w:sz w:val="18"/>
                <w:szCs w:val="18"/>
              </w:rPr>
            </w:pPr>
            <w:r w:rsidRPr="00251CA2">
              <w:rPr>
                <w:rStyle w:val="normaltextrun"/>
                <w:rFonts w:ascii="Verdana" w:hAnsi="Verdana" w:eastAsia="Arial" w:cs="Arial"/>
                <w:sz w:val="18"/>
                <w:szCs w:val="18"/>
              </w:rPr>
              <w:t>Gestor T1-11 de la Subdirección de Gestión Contractual</w:t>
            </w:r>
          </w:p>
        </w:tc>
      </w:tr>
      <w:tr w:rsidRPr="00542ED3" w:rsidR="00AB64A5" w:rsidTr="007B0B27" w14:paraId="082B5310"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
        </w:trPr>
        <w:tc>
          <w:tcPr>
            <w:tcW w:w="893" w:type="dxa"/>
            <w:vAlign w:val="center"/>
          </w:tcPr>
          <w:p w:rsidRPr="00251CA2" w:rsidR="00AB64A5" w:rsidP="007B0B27" w:rsidRDefault="00AB64A5" w14:paraId="7430F20F" w14:textId="77777777">
            <w:pPr>
              <w:contextualSpacing/>
              <w:rPr>
                <w:rFonts w:ascii="Verdana" w:hAnsi="Verdana" w:cs="Arial"/>
                <w:sz w:val="18"/>
                <w:szCs w:val="18"/>
                <w:lang w:val="es-ES" w:eastAsia="es-ES"/>
              </w:rPr>
            </w:pPr>
            <w:r w:rsidRPr="00251CA2">
              <w:rPr>
                <w:rFonts w:ascii="Verdana" w:hAnsi="Verdana" w:cs="Arial"/>
                <w:sz w:val="18"/>
                <w:szCs w:val="18"/>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251CA2" w:rsidR="00AB64A5" w:rsidP="007B0B27" w:rsidRDefault="00AB64A5" w14:paraId="14C31041" w14:textId="77777777">
            <w:pPr>
              <w:contextualSpacing/>
              <w:rPr>
                <w:rFonts w:ascii="Verdana" w:hAnsi="Verdana" w:eastAsia="Calibri" w:cs="Arial"/>
                <w:sz w:val="18"/>
                <w:szCs w:val="18"/>
                <w:lang w:val="pt-BR" w:eastAsia="es-ES"/>
              </w:rPr>
            </w:pPr>
            <w:r w:rsidRPr="00251CA2">
              <w:rPr>
                <w:rFonts w:ascii="Verdana" w:hAnsi="Verdana" w:eastAsia="Calibri" w:cs="Arial"/>
                <w:sz w:val="18"/>
                <w:szCs w:val="18"/>
                <w:lang w:val="pt-BR" w:eastAsia="es-ES"/>
              </w:rPr>
              <w:t>Carolina Quintero Gacharná</w:t>
            </w:r>
          </w:p>
          <w:p w:rsidRPr="00251CA2" w:rsidR="00AB64A5" w:rsidP="007B0B27" w:rsidRDefault="00AB64A5" w14:paraId="1A53492F" w14:textId="77777777">
            <w:pPr>
              <w:contextualSpacing/>
              <w:rPr>
                <w:rFonts w:ascii="Verdana" w:hAnsi="Verdana" w:eastAsia="Calibri" w:cs="Arial"/>
                <w:sz w:val="18"/>
                <w:szCs w:val="18"/>
                <w:lang w:val="pt-BR" w:eastAsia="es-ES"/>
              </w:rPr>
            </w:pPr>
            <w:r w:rsidRPr="00251CA2">
              <w:rPr>
                <w:rFonts w:ascii="Verdana" w:hAnsi="Verdana" w:eastAsia="Calibri" w:cs="Arial"/>
                <w:sz w:val="18"/>
                <w:szCs w:val="18"/>
                <w:lang w:eastAsia="es-ES"/>
              </w:rPr>
              <w:t>Subdirectora</w:t>
            </w:r>
            <w:r w:rsidRPr="00251CA2">
              <w:rPr>
                <w:rFonts w:ascii="Verdana" w:hAnsi="Verdana" w:eastAsia="Calibri" w:cs="Arial"/>
                <w:sz w:val="18"/>
                <w:szCs w:val="18"/>
                <w:lang w:val="pt-BR" w:eastAsia="es-ES"/>
              </w:rPr>
              <w:t xml:space="preserve"> de Gestión Contractual ANCP – CCE</w:t>
            </w:r>
          </w:p>
        </w:tc>
      </w:tr>
    </w:tbl>
    <w:p w:rsidRPr="00251CA2" w:rsidR="00AB64A5" w:rsidP="00AB64A5" w:rsidRDefault="00AB64A5" w14:paraId="011E4F21" w14:textId="77777777">
      <w:pPr>
        <w:spacing w:after="0" w:line="240" w:lineRule="auto"/>
        <w:rPr>
          <w:rFonts w:ascii="Verdana" w:hAnsi="Verdana" w:eastAsia="Times New Roman" w:cs="Arial"/>
          <w:lang w:eastAsia="es-ES"/>
        </w:rPr>
      </w:pPr>
    </w:p>
    <w:p w:rsidRPr="00251CA2" w:rsidR="00AB64A5" w:rsidP="00AB64A5" w:rsidRDefault="00AB64A5" w14:paraId="02CE4EF4" w14:textId="77777777">
      <w:pPr>
        <w:rPr>
          <w:rFonts w:ascii="Verdana" w:hAnsi="Verdana"/>
        </w:rPr>
      </w:pPr>
    </w:p>
    <w:p w:rsidRPr="00542ED3" w:rsidR="00AB64A5" w:rsidP="00AB64A5" w:rsidRDefault="00AB64A5" w14:paraId="7644495A" w14:textId="77777777">
      <w:pPr>
        <w:spacing w:after="0"/>
        <w:rPr>
          <w:rFonts w:ascii="Verdana" w:hAnsi="Verdana"/>
        </w:rPr>
      </w:pPr>
      <w:r w:rsidRPr="00542ED3">
        <w:rPr>
          <w:rFonts w:ascii="Verdana" w:hAnsi="Verdana"/>
        </w:rPr>
        <w:tab/>
      </w:r>
    </w:p>
    <w:p w:rsidRPr="00542ED3" w:rsidR="00AB64A5" w:rsidP="00AB64A5" w:rsidRDefault="00AB64A5" w14:paraId="34BF06D8" w14:textId="77777777">
      <w:pPr>
        <w:spacing w:after="0"/>
        <w:rPr>
          <w:rFonts w:ascii="Verdana" w:hAnsi="Verdana"/>
        </w:rPr>
      </w:pPr>
    </w:p>
    <w:p w:rsidRPr="00542ED3" w:rsidR="00AB64A5" w:rsidP="00AB64A5" w:rsidRDefault="00AB64A5" w14:paraId="1F766B8E" w14:textId="77777777">
      <w:pPr>
        <w:spacing w:after="0"/>
        <w:rPr>
          <w:rFonts w:ascii="Verdana" w:hAnsi="Verdana"/>
        </w:rPr>
      </w:pPr>
    </w:p>
    <w:bookmarkEnd w:id="0"/>
    <w:p w:rsidRPr="00B4672A" w:rsidR="00AB64A5" w:rsidP="00AB64A5" w:rsidRDefault="00AB64A5" w14:paraId="1D08ED52" w14:textId="77777777">
      <w:pPr>
        <w:spacing w:after="0"/>
        <w:rPr>
          <w:rFonts w:ascii="Verdana" w:hAnsi="Verdana"/>
        </w:rPr>
      </w:pPr>
    </w:p>
    <w:p w:rsidR="009C4900" w:rsidRDefault="009C4900" w14:paraId="5CDCF197" w14:textId="77777777"/>
    <w:sectPr w:rsidR="009C4900" w:rsidSect="00AB64A5">
      <w:headerReference w:type="default" r:id="rId14"/>
      <w:footerReference w:type="default" r:id="rId15"/>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B734C" w:rsidP="00AB64A5" w:rsidRDefault="006B734C" w14:paraId="6CB277FA" w14:textId="77777777">
      <w:pPr>
        <w:spacing w:after="0" w:line="240" w:lineRule="auto"/>
      </w:pPr>
      <w:r>
        <w:separator/>
      </w:r>
    </w:p>
  </w:endnote>
  <w:endnote w:type="continuationSeparator" w:id="0">
    <w:p w:rsidR="006B734C" w:rsidP="00AB64A5" w:rsidRDefault="006B734C" w14:paraId="5C3E2AF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900AD7" w:rsidRDefault="00900AD7" w14:paraId="7E344757" w14:textId="77777777">
    <w:pPr>
      <w:pStyle w:val="Piedepgina"/>
    </w:pPr>
  </w:p>
  <w:p w:rsidRPr="00174B77" w:rsidR="00900AD7" w:rsidP="00D520D8" w:rsidRDefault="00000000" w14:paraId="36A1BDCE"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900AD7" w:rsidP="00D520D8" w:rsidRDefault="00000000" w14:paraId="75FB6292"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900AD7" w:rsidP="00D520D8" w:rsidRDefault="00000000" w14:paraId="480179F8" w14:textId="77777777">
    <w:pPr>
      <w:spacing w:after="0"/>
      <w:jc w:val="both"/>
      <w:rPr>
        <w:rFonts w:ascii="Verdana" w:hAnsi="Verdana"/>
        <w:sz w:val="18"/>
        <w:szCs w:val="18"/>
      </w:rPr>
    </w:pPr>
    <w:r w:rsidRPr="00E41027">
      <w:rPr>
        <w:rFonts w:ascii="Verdana" w:hAnsi="Verdana"/>
        <w:sz w:val="18"/>
        <w:szCs w:val="18"/>
      </w:rPr>
      <w:t>Mesa de servicio: (+57) 601 7456788</w:t>
    </w:r>
  </w:p>
  <w:p w:rsidR="00900AD7" w:rsidP="0025796E" w:rsidRDefault="00000000" w14:paraId="7BB0ED8A" w14:textId="77777777">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hAnsi="Century Gothic" w:eastAsia="Geo" w:cs="Geo"/>
        <w:b/>
        <w:color w:val="000000"/>
        <w:sz w:val="16"/>
        <w:szCs w:val="16"/>
        <w:lang w:eastAsia="es-CO"/>
      </w:rPr>
      <w:t xml:space="preserve">Código: </w:t>
    </w:r>
    <w:r w:rsidRPr="004A305D">
      <w:rPr>
        <w:rFonts w:ascii="Century Gothic" w:hAnsi="Century Gothic" w:eastAsia="Geo" w:cs="Geo"/>
        <w:bCs/>
        <w:color w:val="000000"/>
        <w:sz w:val="16"/>
        <w:szCs w:val="16"/>
        <w:lang w:eastAsia="es-CO"/>
      </w:rPr>
      <w:t>CCE-</w:t>
    </w:r>
    <w:r>
      <w:rPr>
        <w:rFonts w:ascii="Century Gothic" w:hAnsi="Century Gothic" w:eastAsia="Geo" w:cs="Geo"/>
        <w:bCs/>
        <w:color w:val="000000"/>
        <w:sz w:val="16"/>
        <w:szCs w:val="16"/>
        <w:lang w:eastAsia="es-CO"/>
      </w:rPr>
      <w:t>REC</w:t>
    </w:r>
    <w:r w:rsidRPr="004A305D">
      <w:rPr>
        <w:rFonts w:ascii="Century Gothic" w:hAnsi="Century Gothic" w:eastAsia="Geo" w:cs="Geo"/>
        <w:bCs/>
        <w:color w:val="000000"/>
        <w:sz w:val="16"/>
        <w:szCs w:val="16"/>
        <w:lang w:eastAsia="es-CO"/>
      </w:rPr>
      <w:t>-FM-</w:t>
    </w:r>
    <w:r>
      <w:rPr>
        <w:rFonts w:ascii="Century Gothic" w:hAnsi="Century Gothic" w:eastAsia="Geo" w:cs="Geo"/>
        <w:bCs/>
        <w:color w:val="000000"/>
        <w:sz w:val="16"/>
        <w:szCs w:val="16"/>
        <w:lang w:eastAsia="es-CO"/>
      </w:rPr>
      <w:t xml:space="preserve">17 </w:t>
    </w:r>
    <w:r w:rsidRPr="004A305D">
      <w:rPr>
        <w:rFonts w:ascii="Century Gothic" w:hAnsi="Century Gothic" w:eastAsia="Geo" w:cs="Geo"/>
        <w:b/>
        <w:color w:val="000000"/>
        <w:sz w:val="16"/>
        <w:szCs w:val="16"/>
        <w:lang w:eastAsia="es-CO"/>
      </w:rPr>
      <w:t>Versión</w:t>
    </w:r>
    <w:r w:rsidRPr="004A305D">
      <w:rPr>
        <w:rFonts w:ascii="Century Gothic" w:hAnsi="Century Gothic" w:eastAsia="Arial Nova" w:cs="Arial Nova"/>
        <w:b/>
        <w:color w:val="000000"/>
        <w:sz w:val="16"/>
        <w:szCs w:val="16"/>
        <w:lang w:eastAsia="es-CO"/>
      </w:rPr>
      <w:t xml:space="preserve">: </w:t>
    </w:r>
    <w:r w:rsidRPr="004A305D">
      <w:rPr>
        <w:rFonts w:ascii="Century Gothic" w:hAnsi="Century Gothic" w:eastAsia="Geo" w:cs="Geo"/>
        <w:sz w:val="16"/>
        <w:szCs w:val="16"/>
        <w:lang w:eastAsia="es-CO"/>
      </w:rPr>
      <w:t>0</w:t>
    </w:r>
    <w:r>
      <w:rPr>
        <w:rFonts w:ascii="Century Gothic" w:hAnsi="Century Gothic" w:eastAsia="Geo" w:cs="Geo"/>
        <w:sz w:val="16"/>
        <w:szCs w:val="16"/>
        <w:lang w:eastAsia="es-CO"/>
      </w:rPr>
      <w:t>2</w:t>
    </w:r>
    <w:r w:rsidRPr="004A305D">
      <w:rPr>
        <w:rFonts w:ascii="Century Gothic" w:hAnsi="Century Gothic" w:eastAsia="Geo" w:cs="Geo"/>
        <w:sz w:val="16"/>
        <w:szCs w:val="16"/>
        <w:lang w:eastAsia="es-CO"/>
      </w:rPr>
      <w:t xml:space="preserve"> </w:t>
    </w:r>
    <w:r>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B734C" w:rsidP="00AB64A5" w:rsidRDefault="006B734C" w14:paraId="6AA7ED84" w14:textId="77777777">
      <w:pPr>
        <w:spacing w:after="0" w:line="240" w:lineRule="auto"/>
      </w:pPr>
      <w:r>
        <w:separator/>
      </w:r>
    </w:p>
  </w:footnote>
  <w:footnote w:type="continuationSeparator" w:id="0">
    <w:p w:rsidR="006B734C" w:rsidP="00AB64A5" w:rsidRDefault="006B734C" w14:paraId="5A6CFC05" w14:textId="77777777">
      <w:pPr>
        <w:spacing w:after="0" w:line="240" w:lineRule="auto"/>
      </w:pPr>
      <w:r>
        <w:continuationSeparator/>
      </w:r>
    </w:p>
  </w:footnote>
  <w:footnote w:id="1">
    <w:p w:rsidRPr="00C01E35" w:rsidR="00AB64A5" w:rsidP="00C01E35" w:rsidRDefault="00AB64A5" w14:paraId="1C82822D" w14:textId="77777777">
      <w:pPr>
        <w:pBdr>
          <w:top w:val="nil"/>
          <w:left w:val="nil"/>
          <w:bottom w:val="nil"/>
          <w:right w:val="nil"/>
          <w:between w:val="nil"/>
        </w:pBdr>
        <w:jc w:val="both"/>
        <w:rPr>
          <w:rFonts w:ascii="Verdana" w:hAnsi="Verdana" w:eastAsia="Arial" w:cs="Arial"/>
          <w:color w:val="000000"/>
          <w:sz w:val="14"/>
          <w:szCs w:val="14"/>
        </w:rPr>
      </w:pPr>
      <w:r w:rsidRPr="00C01E35">
        <w:rPr>
          <w:rFonts w:ascii="Verdana" w:hAnsi="Verdana" w:cs="Arial"/>
          <w:sz w:val="14"/>
          <w:szCs w:val="14"/>
          <w:vertAlign w:val="superscript"/>
        </w:rPr>
        <w:footnoteRef/>
      </w:r>
      <w:r w:rsidRPr="00C01E35">
        <w:rPr>
          <w:rFonts w:ascii="Verdana" w:hAnsi="Verdana" w:eastAsia="Arial" w:cs="Arial"/>
          <w:color w:val="000000"/>
          <w:sz w:val="14"/>
          <w:szCs w:val="14"/>
        </w:rPr>
        <w:t xml:space="preserve"> Al respecto, conviene recordar el artículo 29 de la Ley 80 de 1993, derogado por el artículo 32 de la Ley 1150 de 2007, que establecía: “La selección de contratistas será objetiva.</w:t>
      </w:r>
    </w:p>
    <w:p w:rsidRPr="00C01E35" w:rsidR="00AB64A5" w:rsidP="00C01E35" w:rsidRDefault="00AB64A5" w14:paraId="55C8BB55" w14:textId="77777777">
      <w:pPr>
        <w:pBdr>
          <w:top w:val="nil"/>
          <w:left w:val="nil"/>
          <w:bottom w:val="nil"/>
          <w:right w:val="nil"/>
          <w:between w:val="nil"/>
        </w:pBdr>
        <w:jc w:val="both"/>
        <w:rPr>
          <w:rFonts w:ascii="Verdana" w:hAnsi="Verdana" w:eastAsia="Arial" w:cs="Arial"/>
          <w:color w:val="000000"/>
          <w:sz w:val="14"/>
          <w:szCs w:val="14"/>
        </w:rPr>
      </w:pPr>
      <w:r w:rsidRPr="00C01E35">
        <w:rPr>
          <w:rFonts w:ascii="Verdana" w:hAnsi="Verdana" w:eastAsia="Arial" w:cs="Arial"/>
          <w:color w:val="000000"/>
          <w:sz w:val="14"/>
          <w:szCs w:val="14"/>
        </w:rPr>
        <w:t>Es objetiva la selección en la cual la escogencia se hace al ofrecimiento más favorable a la entidad y a los fines que ella busca, sin tener en consideración factores de afecto o de interés y, en general, cualquier clase de motivación subjetiva.</w:t>
      </w:r>
    </w:p>
    <w:p w:rsidRPr="00C01E35" w:rsidR="00AB64A5" w:rsidP="00C01E35" w:rsidRDefault="00AB64A5" w14:paraId="10C7948F" w14:textId="4229CD56">
      <w:pPr>
        <w:pBdr>
          <w:top w:val="nil"/>
          <w:left w:val="nil"/>
          <w:bottom w:val="nil"/>
          <w:right w:val="nil"/>
          <w:between w:val="nil"/>
        </w:pBdr>
        <w:jc w:val="both"/>
        <w:rPr>
          <w:rFonts w:ascii="Verdana" w:hAnsi="Verdana" w:eastAsia="Arial" w:cs="Arial"/>
          <w:color w:val="000000"/>
          <w:sz w:val="14"/>
          <w:szCs w:val="14"/>
        </w:rPr>
      </w:pPr>
      <w:r w:rsidRPr="00C01E35">
        <w:rPr>
          <w:rFonts w:ascii="Verdana" w:hAnsi="Verdana" w:eastAsia="Arial" w:cs="Arial"/>
          <w:color w:val="000000"/>
          <w:sz w:val="14"/>
          <w:szCs w:val="14"/>
        </w:rPr>
        <w:t xml:space="preserve">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w:t>
      </w:r>
      <w:r w:rsidRPr="00C01E35" w:rsidR="00C01E35">
        <w:rPr>
          <w:rFonts w:ascii="Verdana" w:hAnsi="Verdana" w:eastAsia="Arial" w:cs="Arial"/>
          <w:color w:val="000000"/>
          <w:sz w:val="14"/>
          <w:szCs w:val="14"/>
        </w:rPr>
        <w:t>pliegos</w:t>
      </w:r>
      <w:r w:rsidRPr="00C01E35">
        <w:rPr>
          <w:rFonts w:ascii="Verdana" w:hAnsi="Verdana" w:eastAsia="Arial" w:cs="Arial"/>
          <w:color w:val="000000"/>
          <w:sz w:val="14"/>
          <w:szCs w:val="14"/>
        </w:rPr>
        <w:t xml:space="preserve"> no será objeto de evaluación”.</w:t>
      </w:r>
    </w:p>
    <w:p w:rsidRPr="00C01E35" w:rsidR="00AB64A5" w:rsidP="00C01E35" w:rsidRDefault="00AB64A5" w14:paraId="539ADBE8" w14:textId="77777777">
      <w:pPr>
        <w:pBdr>
          <w:top w:val="nil"/>
          <w:left w:val="nil"/>
          <w:bottom w:val="nil"/>
          <w:right w:val="nil"/>
          <w:between w:val="nil"/>
        </w:pBdr>
        <w:jc w:val="both"/>
        <w:rPr>
          <w:rFonts w:ascii="Verdana" w:hAnsi="Verdana" w:eastAsia="Arial" w:cs="Arial"/>
          <w:color w:val="000000"/>
          <w:sz w:val="14"/>
          <w:szCs w:val="14"/>
        </w:rPr>
      </w:pPr>
      <w:r w:rsidRPr="00C01E35">
        <w:rPr>
          <w:rFonts w:ascii="Verdana" w:hAnsi="Verdana" w:eastAsia="Arial" w:cs="Arial"/>
          <w:color w:val="000000"/>
          <w:sz w:val="14"/>
          <w:szCs w:val="14"/>
        </w:rPr>
        <w:t>“ 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rsidRPr="00C01E35" w:rsidR="00AB64A5" w:rsidP="00C01E35" w:rsidRDefault="00AB64A5" w14:paraId="6E38A057" w14:textId="51DEC7B3">
      <w:pPr>
        <w:pBdr>
          <w:top w:val="nil"/>
          <w:left w:val="nil"/>
          <w:bottom w:val="nil"/>
          <w:right w:val="nil"/>
          <w:between w:val="nil"/>
        </w:pBdr>
        <w:jc w:val="both"/>
        <w:rPr>
          <w:rFonts w:ascii="Verdana" w:hAnsi="Verdana" w:eastAsia="Arial" w:cs="Arial"/>
          <w:color w:val="000000"/>
          <w:sz w:val="14"/>
          <w:szCs w:val="14"/>
        </w:rPr>
      </w:pPr>
      <w:r w:rsidRPr="00C01E35">
        <w:rPr>
          <w:rFonts w:ascii="Verdana" w:hAnsi="Verdana" w:eastAsia="Arial" w:cs="Arial"/>
          <w:color w:val="000000"/>
          <w:sz w:val="14"/>
          <w:szCs w:val="14"/>
        </w:rPr>
        <w:t>“ En caso de comparación de propuestas nacionales y extranjeras, se incluirán los costos necesarios para la entrega del producto terminado en el lugar de su utilización”.</w:t>
      </w:r>
    </w:p>
  </w:footnote>
  <w:footnote w:id="2">
    <w:p w:rsidRPr="00E11F53" w:rsidR="00AB64A5" w:rsidP="00C01E35" w:rsidRDefault="00AB64A5" w14:paraId="0D6C1522" w14:textId="77777777">
      <w:pPr>
        <w:pBdr>
          <w:top w:val="nil"/>
          <w:left w:val="nil"/>
          <w:bottom w:val="nil"/>
          <w:right w:val="nil"/>
          <w:between w:val="nil"/>
        </w:pBdr>
        <w:jc w:val="both"/>
        <w:rPr>
          <w:rFonts w:ascii="Century Gothic" w:hAnsi="Century Gothic" w:eastAsia="Arial" w:cs="Arial"/>
          <w:color w:val="000000"/>
          <w:sz w:val="14"/>
          <w:szCs w:val="14"/>
        </w:rPr>
      </w:pPr>
      <w:r w:rsidRPr="00C01E35">
        <w:rPr>
          <w:rFonts w:ascii="Verdana" w:hAnsi="Verdana" w:cs="Arial"/>
          <w:sz w:val="14"/>
          <w:szCs w:val="14"/>
          <w:vertAlign w:val="superscript"/>
        </w:rPr>
        <w:footnoteRef/>
      </w:r>
      <w:r w:rsidRPr="00C01E35">
        <w:rPr>
          <w:rFonts w:ascii="Verdana" w:hAnsi="Verdana" w:eastAsia="Arial" w:cs="Arial"/>
          <w:color w:val="000000"/>
          <w:sz w:val="14"/>
          <w:szCs w:val="14"/>
        </w:rPr>
        <w:t xml:space="preserve"> DÁVILA VINUEZA, Luis Guillermo. Régimen jurídico de la contratación estatal. Tercera edición, Bogotá: Legis, 2016. p. 355.</w:t>
      </w:r>
    </w:p>
  </w:footnote>
  <w:footnote w:id="3">
    <w:p w:rsidRPr="007E0D51" w:rsidR="00AB64A5" w:rsidP="00C01E35" w:rsidRDefault="00AB64A5" w14:paraId="1328E974" w14:textId="4ED3820E">
      <w:pPr>
        <w:pBdr>
          <w:top w:val="nil"/>
          <w:left w:val="nil"/>
          <w:bottom w:val="nil"/>
          <w:right w:val="nil"/>
          <w:between w:val="nil"/>
        </w:pBdr>
        <w:jc w:val="both"/>
        <w:rPr>
          <w:rFonts w:ascii="Verdana" w:hAnsi="Verdana" w:eastAsia="Arial" w:cs="Arial"/>
          <w:color w:val="000000"/>
          <w:sz w:val="14"/>
          <w:szCs w:val="14"/>
        </w:rPr>
      </w:pPr>
      <w:r w:rsidRPr="007E0D51">
        <w:rPr>
          <w:rFonts w:ascii="Verdana" w:hAnsi="Verdana" w:cs="Arial"/>
          <w:sz w:val="14"/>
          <w:szCs w:val="14"/>
          <w:vertAlign w:val="superscript"/>
        </w:rPr>
        <w:footnoteRef/>
      </w:r>
      <w:r w:rsidRPr="007E0D51">
        <w:rPr>
          <w:rFonts w:ascii="Verdana" w:hAnsi="Verdana" w:eastAsia="Arial" w:cs="Arial"/>
          <w:color w:val="000000"/>
          <w:sz w:val="14"/>
          <w:szCs w:val="14"/>
        </w:rPr>
        <w:t xml:space="preserve"> RODRÍGUEZ TAMAYO, Mauricio F. Evaluación y rechazo de ofertas en la Ley 80 de 1993. Primera edición. Medellín: Librería Jurídica Sánchez, 2016. pp. 110-111.</w:t>
      </w:r>
    </w:p>
  </w:footnote>
  <w:footnote w:id="4">
    <w:p w:rsidRPr="007E0D51" w:rsidR="00AB64A5" w:rsidP="00C01E35" w:rsidRDefault="00AB64A5" w14:paraId="2390B693" w14:textId="77777777">
      <w:pPr>
        <w:pBdr>
          <w:top w:val="nil"/>
          <w:left w:val="nil"/>
          <w:bottom w:val="nil"/>
          <w:right w:val="nil"/>
          <w:between w:val="nil"/>
        </w:pBdr>
        <w:jc w:val="both"/>
        <w:rPr>
          <w:rFonts w:ascii="Verdana" w:hAnsi="Verdana" w:eastAsia="Arial" w:cs="Arial"/>
          <w:color w:val="000000"/>
          <w:sz w:val="14"/>
          <w:szCs w:val="14"/>
        </w:rPr>
      </w:pPr>
      <w:r w:rsidRPr="007E0D51">
        <w:rPr>
          <w:rFonts w:ascii="Verdana" w:hAnsi="Verdana" w:cs="Arial"/>
          <w:sz w:val="14"/>
          <w:szCs w:val="14"/>
          <w:vertAlign w:val="superscript"/>
        </w:rPr>
        <w:footnoteRef/>
      </w:r>
      <w:r w:rsidRPr="007E0D51">
        <w:rPr>
          <w:rFonts w:ascii="Verdana" w:hAnsi="Verdana" w:eastAsia="Arial" w:cs="Arial"/>
          <w:color w:val="000000"/>
          <w:sz w:val="14"/>
          <w:szCs w:val="14"/>
        </w:rPr>
        <w:t xml:space="preserve"> EXPÓSITO VELEZ, Juan C., El deber de selección objetiva, en: Del contrato estatal a los sistemas de compras públicas, por COVILLA MARTINEZ Juan C. y LOZANO VILLEGAS Germán (Eds.). Universidad Externado de Colombia, Bogotá, 2019. págs. 118-184.</w:t>
      </w:r>
    </w:p>
    <w:p w:rsidRPr="00E11F53" w:rsidR="00AB64A5" w:rsidP="00AB64A5" w:rsidRDefault="00AB64A5" w14:paraId="01B8D80F" w14:textId="77777777">
      <w:pPr>
        <w:pBdr>
          <w:top w:val="nil"/>
          <w:left w:val="nil"/>
          <w:bottom w:val="nil"/>
          <w:right w:val="nil"/>
          <w:between w:val="nil"/>
        </w:pBdr>
        <w:ind w:firstLine="709"/>
        <w:jc w:val="both"/>
        <w:rPr>
          <w:rFonts w:ascii="Century Gothic" w:hAnsi="Century Gothic" w:eastAsia="Arial" w:cs="Arial"/>
          <w:color w:val="000000"/>
          <w:sz w:val="14"/>
          <w:szCs w:val="14"/>
        </w:rPr>
      </w:pPr>
    </w:p>
  </w:footnote>
  <w:footnote w:id="5">
    <w:p w:rsidRPr="007E0D51" w:rsidR="00AB64A5" w:rsidP="007E0D51" w:rsidRDefault="00AB64A5" w14:paraId="2B4562D6" w14:textId="206B80B0">
      <w:pPr>
        <w:pBdr>
          <w:top w:val="nil"/>
          <w:left w:val="nil"/>
          <w:bottom w:val="nil"/>
          <w:right w:val="nil"/>
          <w:between w:val="nil"/>
        </w:pBdr>
        <w:jc w:val="both"/>
        <w:rPr>
          <w:rFonts w:ascii="Verdana" w:hAnsi="Verdana" w:eastAsia="Arial" w:cs="Arial"/>
          <w:color w:val="000000"/>
          <w:sz w:val="14"/>
          <w:szCs w:val="14"/>
        </w:rPr>
      </w:pPr>
      <w:r w:rsidRPr="007E0D51">
        <w:rPr>
          <w:rFonts w:ascii="Verdana" w:hAnsi="Verdana" w:cs="Arial"/>
          <w:sz w:val="14"/>
          <w:szCs w:val="14"/>
          <w:vertAlign w:val="superscript"/>
        </w:rPr>
        <w:footnoteRef/>
      </w:r>
      <w:r w:rsidRPr="007E0D51">
        <w:rPr>
          <w:rFonts w:ascii="Verdana" w:hAnsi="Verdana" w:eastAsia="Arial" w:cs="Arial"/>
          <w:color w:val="000000"/>
          <w:sz w:val="14"/>
          <w:szCs w:val="14"/>
        </w:rPr>
        <w:t xml:space="preserve"> </w:t>
      </w:r>
      <w:r w:rsidRPr="007E0D51" w:rsidR="007E0D51">
        <w:rPr>
          <w:rFonts w:ascii="Verdana" w:hAnsi="Verdana" w:eastAsia="Arial" w:cs="Arial"/>
          <w:color w:val="000000"/>
          <w:sz w:val="14"/>
          <w:szCs w:val="14"/>
        </w:rPr>
        <w:t>Ibidem</w:t>
      </w:r>
      <w:r w:rsidRPr="007E0D51">
        <w:rPr>
          <w:rFonts w:ascii="Verdana" w:hAnsi="Verdana" w:eastAsia="Arial" w:cs="Arial"/>
          <w:color w:val="000000"/>
          <w:sz w:val="14"/>
          <w:szCs w:val="14"/>
        </w:rPr>
        <w:t>.</w:t>
      </w:r>
    </w:p>
  </w:footnote>
  <w:footnote w:id="6">
    <w:p w:rsidR="007E0D51" w:rsidP="007E0D51" w:rsidRDefault="00AB64A5" w14:paraId="6EADF97F" w14:textId="77777777">
      <w:pPr>
        <w:spacing w:after="0" w:line="240" w:lineRule="auto"/>
        <w:jc w:val="both"/>
        <w:rPr>
          <w:rFonts w:ascii="Verdana" w:hAnsi="Verdana" w:eastAsia="Arial" w:cs="Arial"/>
          <w:sz w:val="14"/>
          <w:szCs w:val="14"/>
        </w:rPr>
      </w:pPr>
      <w:r w:rsidRPr="007E0D51">
        <w:rPr>
          <w:rFonts w:ascii="Verdana" w:hAnsi="Verdana" w:cs="Arial"/>
          <w:sz w:val="14"/>
          <w:szCs w:val="14"/>
          <w:vertAlign w:val="superscript"/>
        </w:rPr>
        <w:footnoteRef/>
      </w:r>
      <w:r w:rsidRPr="007E0D51">
        <w:rPr>
          <w:rFonts w:ascii="Verdana" w:hAnsi="Verdana" w:eastAsia="Arial" w:cs="Arial"/>
          <w:sz w:val="14"/>
          <w:szCs w:val="14"/>
        </w:rPr>
        <w:t xml:space="preserve"> Decreto 1082 de 2015 “Artículo 2.2.1.1.2.2.2. Ofrecimiento más favorable. La Entidad Estatal debe determinar la oferta más favorable teniendo en cuenta las normas aplicables a cada modalidad de selección del contratista.   ” 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rsidRPr="007E0D51" w:rsidR="00AB64A5" w:rsidP="007E0D51" w:rsidRDefault="00AB64A5" w14:paraId="46A91CA1" w14:textId="39618EBF">
      <w:pPr>
        <w:spacing w:after="0" w:line="240" w:lineRule="auto"/>
        <w:jc w:val="both"/>
        <w:rPr>
          <w:rFonts w:ascii="Verdana" w:hAnsi="Verdana" w:eastAsia="Arial" w:cs="Arial"/>
          <w:sz w:val="14"/>
          <w:szCs w:val="14"/>
        </w:rPr>
      </w:pPr>
      <w:r w:rsidRPr="007E0D51">
        <w:rPr>
          <w:rFonts w:ascii="Verdana" w:hAnsi="Verdana" w:eastAsia="Arial" w:cs="Arial"/>
          <w:sz w:val="14"/>
          <w:szCs w:val="14"/>
        </w:rPr>
        <w:t>  ”1. Las condiciones técnicas y económicas mínimas de la oferta. </w:t>
      </w:r>
    </w:p>
    <w:p w:rsidRPr="007E0D51" w:rsidR="00AB64A5" w:rsidP="007E0D51" w:rsidRDefault="00AB64A5" w14:paraId="60BC15D7" w14:textId="77777777">
      <w:pPr>
        <w:spacing w:after="0" w:line="240" w:lineRule="auto"/>
        <w:jc w:val="both"/>
        <w:rPr>
          <w:rFonts w:ascii="Verdana" w:hAnsi="Verdana" w:eastAsia="Arial" w:cs="Arial"/>
          <w:sz w:val="14"/>
          <w:szCs w:val="14"/>
        </w:rPr>
      </w:pPr>
      <w:r w:rsidRPr="007E0D51">
        <w:rPr>
          <w:rFonts w:ascii="Verdana" w:hAnsi="Verdana" w:eastAsia="Arial" w:cs="Arial"/>
          <w:sz w:val="14"/>
          <w:szCs w:val="14"/>
        </w:rPr>
        <w:t>  ”2. Las condiciones técnicas adicionales que representan ventajas de calidad o de funcionamiento, tales como el uso de tecnología o materiales que generen mayor eficiencia, rendimiento o duración del bien, obra o servicio. </w:t>
      </w:r>
    </w:p>
    <w:p w:rsidRPr="007E0D51" w:rsidR="00AB64A5" w:rsidP="007E0D51" w:rsidRDefault="00AB64A5" w14:paraId="2A9ED2A4" w14:textId="77777777">
      <w:pPr>
        <w:spacing w:after="0" w:line="240" w:lineRule="auto"/>
        <w:jc w:val="both"/>
        <w:rPr>
          <w:rFonts w:ascii="Verdana" w:hAnsi="Verdana" w:eastAsia="Arial" w:cs="Arial"/>
          <w:sz w:val="14"/>
          <w:szCs w:val="14"/>
        </w:rPr>
      </w:pPr>
      <w:r w:rsidRPr="007E0D51">
        <w:rPr>
          <w:rFonts w:ascii="Verdana" w:hAnsi="Verdana" w:eastAsia="Arial" w:cs="Arial"/>
          <w:sz w:val="14"/>
          <w:szCs w:val="14"/>
        </w:rPr>
        <w:t>  ”3.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 </w:t>
      </w:r>
    </w:p>
    <w:p w:rsidRPr="007E0D51" w:rsidR="00AB64A5" w:rsidP="007E0D51" w:rsidRDefault="00AB64A5" w14:paraId="2A03A8E2" w14:textId="77777777">
      <w:pPr>
        <w:jc w:val="both"/>
        <w:rPr>
          <w:rFonts w:ascii="Verdana" w:hAnsi="Verdana" w:eastAsia="Arial" w:cs="Arial"/>
          <w:sz w:val="14"/>
          <w:szCs w:val="14"/>
        </w:rPr>
      </w:pPr>
      <w:r w:rsidRPr="007E0D51">
        <w:rPr>
          <w:rFonts w:ascii="Verdana" w:hAnsi="Verdana" w:eastAsia="Arial" w:cs="Arial"/>
          <w:sz w:val="14"/>
          <w:szCs w:val="14"/>
        </w:rPr>
        <w:t>  ”4. El valor en dinero que la Entidad Estatal asigna a cada ofrecimiento técnico o económico adicional, para permitir la ponderación de las ofertas presentadas. </w:t>
      </w:r>
    </w:p>
    <w:p w:rsidRPr="007E0D51" w:rsidR="00AB64A5" w:rsidP="007E0D51" w:rsidRDefault="00AB64A5" w14:paraId="6972AEA1" w14:textId="77777777">
      <w:pPr>
        <w:spacing w:after="0" w:line="240" w:lineRule="auto"/>
        <w:jc w:val="both"/>
        <w:rPr>
          <w:rFonts w:ascii="Verdana" w:hAnsi="Verdana" w:eastAsia="Arial" w:cs="Arial"/>
          <w:sz w:val="14"/>
          <w:szCs w:val="14"/>
        </w:rPr>
      </w:pPr>
      <w:r w:rsidRPr="007E0D51">
        <w:rPr>
          <w:rFonts w:ascii="Verdana" w:hAnsi="Verdana" w:eastAsia="Arial" w:cs="Arial"/>
          <w:sz w:val="14"/>
          <w:szCs w:val="14"/>
        </w:rPr>
        <w:t>  ” 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rsidRPr="00E11F53" w:rsidR="00AB64A5" w:rsidP="007E0D51" w:rsidRDefault="00AB64A5" w14:paraId="6FA25018" w14:textId="77777777">
      <w:pPr>
        <w:spacing w:after="0" w:line="240" w:lineRule="auto"/>
        <w:jc w:val="both"/>
        <w:rPr>
          <w:rFonts w:ascii="Century Gothic" w:hAnsi="Century Gothic" w:eastAsia="Arial" w:cs="Arial"/>
          <w:sz w:val="14"/>
          <w:szCs w:val="14"/>
        </w:rPr>
      </w:pPr>
      <w:r w:rsidRPr="007E0D51">
        <w:rPr>
          <w:rFonts w:ascii="Verdana" w:hAnsi="Verdana" w:eastAsia="Arial" w:cs="Arial"/>
          <w:sz w:val="14"/>
          <w:szCs w:val="14"/>
        </w:rPr>
        <w:t>  ” La Entidad Estatal debe adjudicar al oferente que presentó la oferta con la mejor relación costo-beneficio y suscribir el contrato por el precio total ofrecido”.</w:t>
      </w:r>
      <w:r w:rsidRPr="00E11F53">
        <w:rPr>
          <w:rFonts w:ascii="Century Gothic" w:hAnsi="Century Gothic" w:eastAsia="Arial" w:cs="Arial"/>
          <w:sz w:val="14"/>
          <w:szCs w:val="14"/>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900AD7" w:rsidRDefault="00000000" w14:paraId="40E7A15B" w14:textId="77777777">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712944D" wp14:editId="6ECFF130">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A64A683" wp14:editId="4254D4F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900AD7" w:rsidRDefault="00900AD7" w14:paraId="1125E49F" w14:textId="77777777">
    <w:pPr>
      <w:pStyle w:val="Encabezado"/>
    </w:pPr>
  </w:p>
  <w:p w:rsidR="00900AD7" w:rsidP="004A305D" w:rsidRDefault="00900AD7" w14:paraId="75C062F4" w14:textId="77777777">
    <w:pPr>
      <w:spacing w:after="0"/>
      <w:rPr>
        <w:rFonts w:ascii="Verdana" w:hAnsi="Verdana"/>
        <w:b/>
        <w:bCs/>
      </w:rPr>
    </w:pPr>
  </w:p>
  <w:p w:rsidRPr="004A305D" w:rsidR="00900AD7" w:rsidP="00B01B1A" w:rsidRDefault="00900AD7" w14:paraId="70A11782" w14:textId="77777777">
    <w:pPr>
      <w:spacing w:after="0" w:line="120" w:lineRule="auto"/>
      <w:rPr>
        <w:rFonts w:ascii="Century Gothic" w:hAnsi="Century Gothic" w:eastAsia="Geo" w:cs="Geo"/>
        <w:sz w:val="16"/>
        <w:szCs w:val="16"/>
        <w:lang w:eastAsia="es-CO"/>
      </w:rPr>
    </w:pPr>
  </w:p>
  <w:p w:rsidR="00900AD7" w:rsidP="00061B2A" w:rsidRDefault="00900AD7" w14:paraId="6F0FD394" w14:textId="77777777">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29C4F3E"/>
    <w:multiLevelType w:val="hybridMultilevel"/>
    <w:tmpl w:val="FE00E85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2" w15:restartNumberingAfterBreak="0">
    <w:nsid w:val="4A3F27CD"/>
    <w:multiLevelType w:val="hybridMultilevel"/>
    <w:tmpl w:val="0032FC8A"/>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3" w15:restartNumberingAfterBreak="0">
    <w:nsid w:val="71CC6F5F"/>
    <w:multiLevelType w:val="hybridMultilevel"/>
    <w:tmpl w:val="D2B62866"/>
    <w:lvl w:ilvl="0" w:tplc="080A0001">
      <w:start w:val="1"/>
      <w:numFmt w:val="bullet"/>
      <w:lvlText w:val=""/>
      <w:lvlJc w:val="left"/>
      <w:pPr>
        <w:ind w:left="720" w:hanging="360"/>
      </w:pPr>
      <w:rPr>
        <w:rFonts w:hint="default" w:ascii="Symbol" w:hAnsi="Symbol"/>
      </w:rPr>
    </w:lvl>
    <w:lvl w:ilvl="1" w:tplc="080A0003" w:tentative="1">
      <w:start w:val="1"/>
      <w:numFmt w:val="bullet"/>
      <w:lvlText w:val="o"/>
      <w:lvlJc w:val="left"/>
      <w:pPr>
        <w:ind w:left="1440" w:hanging="360"/>
      </w:pPr>
      <w:rPr>
        <w:rFonts w:hint="default" w:ascii="Courier New" w:hAnsi="Courier New" w:cs="Courier New"/>
      </w:rPr>
    </w:lvl>
    <w:lvl w:ilvl="2" w:tplc="080A0005" w:tentative="1">
      <w:start w:val="1"/>
      <w:numFmt w:val="bullet"/>
      <w:lvlText w:val=""/>
      <w:lvlJc w:val="left"/>
      <w:pPr>
        <w:ind w:left="2160" w:hanging="360"/>
      </w:pPr>
      <w:rPr>
        <w:rFonts w:hint="default" w:ascii="Wingdings" w:hAnsi="Wingdings"/>
      </w:rPr>
    </w:lvl>
    <w:lvl w:ilvl="3" w:tplc="080A0001" w:tentative="1">
      <w:start w:val="1"/>
      <w:numFmt w:val="bullet"/>
      <w:lvlText w:val=""/>
      <w:lvlJc w:val="left"/>
      <w:pPr>
        <w:ind w:left="2880" w:hanging="360"/>
      </w:pPr>
      <w:rPr>
        <w:rFonts w:hint="default" w:ascii="Symbol" w:hAnsi="Symbol"/>
      </w:rPr>
    </w:lvl>
    <w:lvl w:ilvl="4" w:tplc="080A0003" w:tentative="1">
      <w:start w:val="1"/>
      <w:numFmt w:val="bullet"/>
      <w:lvlText w:val="o"/>
      <w:lvlJc w:val="left"/>
      <w:pPr>
        <w:ind w:left="3600" w:hanging="360"/>
      </w:pPr>
      <w:rPr>
        <w:rFonts w:hint="default" w:ascii="Courier New" w:hAnsi="Courier New" w:cs="Courier New"/>
      </w:rPr>
    </w:lvl>
    <w:lvl w:ilvl="5" w:tplc="080A0005" w:tentative="1">
      <w:start w:val="1"/>
      <w:numFmt w:val="bullet"/>
      <w:lvlText w:val=""/>
      <w:lvlJc w:val="left"/>
      <w:pPr>
        <w:ind w:left="4320" w:hanging="360"/>
      </w:pPr>
      <w:rPr>
        <w:rFonts w:hint="default" w:ascii="Wingdings" w:hAnsi="Wingdings"/>
      </w:rPr>
    </w:lvl>
    <w:lvl w:ilvl="6" w:tplc="080A0001" w:tentative="1">
      <w:start w:val="1"/>
      <w:numFmt w:val="bullet"/>
      <w:lvlText w:val=""/>
      <w:lvlJc w:val="left"/>
      <w:pPr>
        <w:ind w:left="5040" w:hanging="360"/>
      </w:pPr>
      <w:rPr>
        <w:rFonts w:hint="default" w:ascii="Symbol" w:hAnsi="Symbol"/>
      </w:rPr>
    </w:lvl>
    <w:lvl w:ilvl="7" w:tplc="080A0003" w:tentative="1">
      <w:start w:val="1"/>
      <w:numFmt w:val="bullet"/>
      <w:lvlText w:val="o"/>
      <w:lvlJc w:val="left"/>
      <w:pPr>
        <w:ind w:left="5760" w:hanging="360"/>
      </w:pPr>
      <w:rPr>
        <w:rFonts w:hint="default" w:ascii="Courier New" w:hAnsi="Courier New" w:cs="Courier New"/>
      </w:rPr>
    </w:lvl>
    <w:lvl w:ilvl="8" w:tplc="080A0005" w:tentative="1">
      <w:start w:val="1"/>
      <w:numFmt w:val="bullet"/>
      <w:lvlText w:val=""/>
      <w:lvlJc w:val="left"/>
      <w:pPr>
        <w:ind w:left="6480" w:hanging="360"/>
      </w:pPr>
      <w:rPr>
        <w:rFonts w:hint="default" w:ascii="Wingdings" w:hAnsi="Wingdings"/>
      </w:rPr>
    </w:lvl>
  </w:abstractNum>
  <w:num w:numId="1" w16cid:durableId="197010639">
    <w:abstractNumId w:val="0"/>
  </w:num>
  <w:num w:numId="2" w16cid:durableId="271860312">
    <w:abstractNumId w:val="3"/>
  </w:num>
  <w:num w:numId="3" w16cid:durableId="1595672007">
    <w:abstractNumId w:val="2"/>
  </w:num>
  <w:num w:numId="4" w16cid:durableId="1944533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4A5"/>
    <w:rsid w:val="0007620F"/>
    <w:rsid w:val="00276CE3"/>
    <w:rsid w:val="00312E96"/>
    <w:rsid w:val="006B734C"/>
    <w:rsid w:val="007E0D51"/>
    <w:rsid w:val="00893CDE"/>
    <w:rsid w:val="00900AD7"/>
    <w:rsid w:val="0090156A"/>
    <w:rsid w:val="009C4900"/>
    <w:rsid w:val="00A33752"/>
    <w:rsid w:val="00A62278"/>
    <w:rsid w:val="00A97EC1"/>
    <w:rsid w:val="00AB4464"/>
    <w:rsid w:val="00AB64A5"/>
    <w:rsid w:val="00B839D9"/>
    <w:rsid w:val="00C01E35"/>
    <w:rsid w:val="00CC1D5B"/>
    <w:rsid w:val="00E100F3"/>
    <w:rsid w:val="00E51C9B"/>
    <w:rsid w:val="260E171D"/>
    <w:rsid w:val="5FB9032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55A03"/>
  <w15:chartTrackingRefBased/>
  <w15:docId w15:val="{D42B937D-F978-4636-9336-C4420024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B64A5"/>
    <w:rPr>
      <w:kern w:val="0"/>
      <w14:ligatures w14:val="none"/>
    </w:rPr>
  </w:style>
  <w:style w:type="paragraph" w:styleId="Ttulo1">
    <w:name w:val="heading 1"/>
    <w:basedOn w:val="Normal"/>
    <w:next w:val="Normal"/>
    <w:link w:val="Ttulo1Car"/>
    <w:uiPriority w:val="9"/>
    <w:qFormat/>
    <w:rsid w:val="00AB64A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B64A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B64A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B64A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B64A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B64A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B64A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B64A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B64A5"/>
    <w:pPr>
      <w:keepNext/>
      <w:keepLines/>
      <w:spacing w:after="0"/>
      <w:outlineLvl w:val="8"/>
    </w:pPr>
    <w:rPr>
      <w:rFonts w:eastAsiaTheme="majorEastAsia" w:cstheme="majorBidi"/>
      <w:color w:val="272727" w:themeColor="text1" w:themeTint="D8"/>
    </w:rPr>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1Car" w:customStyle="1">
    <w:name w:val="Título 1 Car"/>
    <w:basedOn w:val="Fuentedeprrafopredeter"/>
    <w:link w:val="Ttulo1"/>
    <w:uiPriority w:val="9"/>
    <w:rsid w:val="00AB64A5"/>
    <w:rPr>
      <w:rFonts w:asciiTheme="majorHAnsi" w:hAnsiTheme="majorHAnsi" w:eastAsiaTheme="majorEastAsia" w:cstheme="majorBidi"/>
      <w:color w:val="0F4761" w:themeColor="accent1" w:themeShade="BF"/>
      <w:sz w:val="40"/>
      <w:szCs w:val="40"/>
    </w:rPr>
  </w:style>
  <w:style w:type="character" w:styleId="Ttulo2Car" w:customStyle="1">
    <w:name w:val="Título 2 Car"/>
    <w:basedOn w:val="Fuentedeprrafopredeter"/>
    <w:link w:val="Ttulo2"/>
    <w:uiPriority w:val="9"/>
    <w:semiHidden/>
    <w:rsid w:val="00AB64A5"/>
    <w:rPr>
      <w:rFonts w:asciiTheme="majorHAnsi" w:hAnsiTheme="majorHAnsi" w:eastAsiaTheme="majorEastAsia" w:cstheme="majorBidi"/>
      <w:color w:val="0F4761" w:themeColor="accent1" w:themeShade="BF"/>
      <w:sz w:val="32"/>
      <w:szCs w:val="32"/>
    </w:rPr>
  </w:style>
  <w:style w:type="character" w:styleId="Ttulo3Car" w:customStyle="1">
    <w:name w:val="Título 3 Car"/>
    <w:basedOn w:val="Fuentedeprrafopredeter"/>
    <w:link w:val="Ttulo3"/>
    <w:uiPriority w:val="9"/>
    <w:semiHidden/>
    <w:rsid w:val="00AB64A5"/>
    <w:rPr>
      <w:rFonts w:eastAsiaTheme="majorEastAsia" w:cstheme="majorBidi"/>
      <w:color w:val="0F4761" w:themeColor="accent1" w:themeShade="BF"/>
      <w:sz w:val="28"/>
      <w:szCs w:val="28"/>
    </w:rPr>
  </w:style>
  <w:style w:type="character" w:styleId="Ttulo4Car" w:customStyle="1">
    <w:name w:val="Título 4 Car"/>
    <w:basedOn w:val="Fuentedeprrafopredeter"/>
    <w:link w:val="Ttulo4"/>
    <w:uiPriority w:val="9"/>
    <w:semiHidden/>
    <w:rsid w:val="00AB64A5"/>
    <w:rPr>
      <w:rFonts w:eastAsiaTheme="majorEastAsia" w:cstheme="majorBidi"/>
      <w:i/>
      <w:iCs/>
      <w:color w:val="0F4761" w:themeColor="accent1" w:themeShade="BF"/>
    </w:rPr>
  </w:style>
  <w:style w:type="character" w:styleId="Ttulo5Car" w:customStyle="1">
    <w:name w:val="Título 5 Car"/>
    <w:basedOn w:val="Fuentedeprrafopredeter"/>
    <w:link w:val="Ttulo5"/>
    <w:uiPriority w:val="9"/>
    <w:semiHidden/>
    <w:rsid w:val="00AB64A5"/>
    <w:rPr>
      <w:rFonts w:eastAsiaTheme="majorEastAsia" w:cstheme="majorBidi"/>
      <w:color w:val="0F4761" w:themeColor="accent1" w:themeShade="BF"/>
    </w:rPr>
  </w:style>
  <w:style w:type="character" w:styleId="Ttulo6Car" w:customStyle="1">
    <w:name w:val="Título 6 Car"/>
    <w:basedOn w:val="Fuentedeprrafopredeter"/>
    <w:link w:val="Ttulo6"/>
    <w:uiPriority w:val="9"/>
    <w:semiHidden/>
    <w:rsid w:val="00AB64A5"/>
    <w:rPr>
      <w:rFonts w:eastAsiaTheme="majorEastAsia" w:cstheme="majorBidi"/>
      <w:i/>
      <w:iCs/>
      <w:color w:val="595959" w:themeColor="text1" w:themeTint="A6"/>
    </w:rPr>
  </w:style>
  <w:style w:type="character" w:styleId="Ttulo7Car" w:customStyle="1">
    <w:name w:val="Título 7 Car"/>
    <w:basedOn w:val="Fuentedeprrafopredeter"/>
    <w:link w:val="Ttulo7"/>
    <w:uiPriority w:val="9"/>
    <w:semiHidden/>
    <w:rsid w:val="00AB64A5"/>
    <w:rPr>
      <w:rFonts w:eastAsiaTheme="majorEastAsia" w:cstheme="majorBidi"/>
      <w:color w:val="595959" w:themeColor="text1" w:themeTint="A6"/>
    </w:rPr>
  </w:style>
  <w:style w:type="character" w:styleId="Ttulo8Car" w:customStyle="1">
    <w:name w:val="Título 8 Car"/>
    <w:basedOn w:val="Fuentedeprrafopredeter"/>
    <w:link w:val="Ttulo8"/>
    <w:uiPriority w:val="9"/>
    <w:semiHidden/>
    <w:rsid w:val="00AB64A5"/>
    <w:rPr>
      <w:rFonts w:eastAsiaTheme="majorEastAsia" w:cstheme="majorBidi"/>
      <w:i/>
      <w:iCs/>
      <w:color w:val="272727" w:themeColor="text1" w:themeTint="D8"/>
    </w:rPr>
  </w:style>
  <w:style w:type="character" w:styleId="Ttulo9Car" w:customStyle="1">
    <w:name w:val="Título 9 Car"/>
    <w:basedOn w:val="Fuentedeprrafopredeter"/>
    <w:link w:val="Ttulo9"/>
    <w:uiPriority w:val="9"/>
    <w:semiHidden/>
    <w:rsid w:val="00AB64A5"/>
    <w:rPr>
      <w:rFonts w:eastAsiaTheme="majorEastAsia" w:cstheme="majorBidi"/>
      <w:color w:val="272727" w:themeColor="text1" w:themeTint="D8"/>
    </w:rPr>
  </w:style>
  <w:style w:type="paragraph" w:styleId="Ttulo">
    <w:name w:val="Title"/>
    <w:basedOn w:val="Normal"/>
    <w:next w:val="Normal"/>
    <w:link w:val="TtuloCar"/>
    <w:uiPriority w:val="10"/>
    <w:qFormat/>
    <w:rsid w:val="00AB64A5"/>
    <w:pPr>
      <w:spacing w:after="80" w:line="240" w:lineRule="auto"/>
      <w:contextualSpacing/>
    </w:pPr>
    <w:rPr>
      <w:rFonts w:asciiTheme="majorHAnsi" w:hAnsiTheme="majorHAnsi" w:eastAsiaTheme="majorEastAsia" w:cstheme="majorBidi"/>
      <w:spacing w:val="-10"/>
      <w:kern w:val="28"/>
      <w:sz w:val="56"/>
      <w:szCs w:val="56"/>
    </w:rPr>
  </w:style>
  <w:style w:type="character" w:styleId="TtuloCar" w:customStyle="1">
    <w:name w:val="Título Car"/>
    <w:basedOn w:val="Fuentedeprrafopredeter"/>
    <w:link w:val="Ttulo"/>
    <w:uiPriority w:val="10"/>
    <w:rsid w:val="00AB64A5"/>
    <w:rPr>
      <w:rFonts w:asciiTheme="majorHAnsi" w:hAnsiTheme="majorHAnsi" w:eastAsiaTheme="majorEastAsia" w:cstheme="majorBidi"/>
      <w:spacing w:val="-10"/>
      <w:kern w:val="28"/>
      <w:sz w:val="56"/>
      <w:szCs w:val="56"/>
    </w:rPr>
  </w:style>
  <w:style w:type="paragraph" w:styleId="Subttulo">
    <w:name w:val="Subtitle"/>
    <w:basedOn w:val="Normal"/>
    <w:next w:val="Normal"/>
    <w:link w:val="SubttuloCar"/>
    <w:uiPriority w:val="11"/>
    <w:qFormat/>
    <w:rsid w:val="00AB64A5"/>
    <w:pPr>
      <w:numPr>
        <w:ilvl w:val="1"/>
      </w:numPr>
    </w:pPr>
    <w:rPr>
      <w:rFonts w:eastAsiaTheme="majorEastAsia" w:cstheme="majorBidi"/>
      <w:color w:val="595959" w:themeColor="text1" w:themeTint="A6"/>
      <w:spacing w:val="15"/>
      <w:sz w:val="28"/>
      <w:szCs w:val="28"/>
    </w:rPr>
  </w:style>
  <w:style w:type="character" w:styleId="SubttuloCar" w:customStyle="1">
    <w:name w:val="Subtítulo Car"/>
    <w:basedOn w:val="Fuentedeprrafopredeter"/>
    <w:link w:val="Subttulo"/>
    <w:uiPriority w:val="11"/>
    <w:rsid w:val="00AB64A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64A5"/>
    <w:pPr>
      <w:spacing w:before="160"/>
      <w:jc w:val="center"/>
    </w:pPr>
    <w:rPr>
      <w:i/>
      <w:iCs/>
      <w:color w:val="404040" w:themeColor="text1" w:themeTint="BF"/>
    </w:rPr>
  </w:style>
  <w:style w:type="character" w:styleId="CitaCar" w:customStyle="1">
    <w:name w:val="Cita Car"/>
    <w:basedOn w:val="Fuentedeprrafopredeter"/>
    <w:link w:val="Cita"/>
    <w:uiPriority w:val="29"/>
    <w:rsid w:val="00AB64A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AB64A5"/>
    <w:pPr>
      <w:ind w:left="720"/>
      <w:contextualSpacing/>
    </w:pPr>
  </w:style>
  <w:style w:type="character" w:styleId="nfasisintenso">
    <w:name w:val="Intense Emphasis"/>
    <w:basedOn w:val="Fuentedeprrafopredeter"/>
    <w:uiPriority w:val="21"/>
    <w:qFormat/>
    <w:rsid w:val="00AB64A5"/>
    <w:rPr>
      <w:i/>
      <w:iCs/>
      <w:color w:val="0F4761" w:themeColor="accent1" w:themeShade="BF"/>
    </w:rPr>
  </w:style>
  <w:style w:type="paragraph" w:styleId="Citadestacada">
    <w:name w:val="Intense Quote"/>
    <w:basedOn w:val="Normal"/>
    <w:next w:val="Normal"/>
    <w:link w:val="CitadestacadaCar"/>
    <w:uiPriority w:val="30"/>
    <w:qFormat/>
    <w:rsid w:val="00AB64A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CitadestacadaCar" w:customStyle="1">
    <w:name w:val="Cita destacada Car"/>
    <w:basedOn w:val="Fuentedeprrafopredeter"/>
    <w:link w:val="Citadestacada"/>
    <w:uiPriority w:val="30"/>
    <w:rsid w:val="00AB64A5"/>
    <w:rPr>
      <w:i/>
      <w:iCs/>
      <w:color w:val="0F4761" w:themeColor="accent1" w:themeShade="BF"/>
    </w:rPr>
  </w:style>
  <w:style w:type="character" w:styleId="Referenciaintensa">
    <w:name w:val="Intense Reference"/>
    <w:basedOn w:val="Fuentedeprrafopredeter"/>
    <w:uiPriority w:val="32"/>
    <w:qFormat/>
    <w:rsid w:val="00AB64A5"/>
    <w:rPr>
      <w:b/>
      <w:bCs/>
      <w:smallCaps/>
      <w:color w:val="0F4761" w:themeColor="accent1" w:themeShade="BF"/>
      <w:spacing w:val="5"/>
    </w:rPr>
  </w:style>
  <w:style w:type="paragraph" w:styleId="Encabezado">
    <w:name w:val="header"/>
    <w:basedOn w:val="Normal"/>
    <w:link w:val="EncabezadoCar"/>
    <w:uiPriority w:val="99"/>
    <w:unhideWhenUsed/>
    <w:rsid w:val="00AB64A5"/>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AB64A5"/>
    <w:rPr>
      <w:kern w:val="0"/>
      <w14:ligatures w14:val="none"/>
    </w:rPr>
  </w:style>
  <w:style w:type="paragraph" w:styleId="Piedepgina">
    <w:name w:val="footer"/>
    <w:basedOn w:val="Normal"/>
    <w:link w:val="PiedepginaCar"/>
    <w:uiPriority w:val="99"/>
    <w:unhideWhenUsed/>
    <w:rsid w:val="00AB64A5"/>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AB64A5"/>
    <w:rPr>
      <w:kern w:val="0"/>
      <w14:ligatures w14:val="none"/>
    </w:rPr>
  </w:style>
  <w:style w:type="character" w:styleId="normaltextrun" w:customStyle="1">
    <w:name w:val="normaltextrun"/>
    <w:basedOn w:val="Fuentedeprrafopredeter"/>
    <w:rsid w:val="00AB64A5"/>
  </w:style>
  <w:style w:type="table" w:styleId="Tablaconcuadrcula">
    <w:name w:val="Table Grid"/>
    <w:basedOn w:val="Tablanormal"/>
    <w:uiPriority w:val="39"/>
    <w:qFormat/>
    <w:rsid w:val="00AB64A5"/>
    <w:pPr>
      <w:spacing w:after="0" w:line="240" w:lineRule="auto"/>
    </w:pPr>
    <w:rPr>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ipervnculo">
    <w:name w:val="Hyperlink"/>
    <w:basedOn w:val="Fuentedeprrafopredeter"/>
    <w:uiPriority w:val="99"/>
    <w:unhideWhenUsed/>
    <w:rsid w:val="00AB64A5"/>
    <w:rPr>
      <w:color w:val="0000FF"/>
      <w:u w:val="single"/>
    </w:rPr>
  </w:style>
  <w:style w:type="paragraph" w:styleId="paragraph" w:customStyle="1">
    <w:name w:val="paragraph"/>
    <w:basedOn w:val="Normal"/>
    <w:rsid w:val="00AB64A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64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4950874">
      <w:bodyDiv w:val="1"/>
      <w:marLeft w:val="0"/>
      <w:marRight w:val="0"/>
      <w:marTop w:val="0"/>
      <w:marBottom w:val="0"/>
      <w:divBdr>
        <w:top w:val="none" w:sz="0" w:space="0" w:color="auto"/>
        <w:left w:val="none" w:sz="0" w:space="0" w:color="auto"/>
        <w:bottom w:val="none" w:sz="0" w:space="0" w:color="auto"/>
        <w:right w:val="none" w:sz="0" w:space="0" w:color="auto"/>
      </w:divBdr>
    </w:div>
    <w:div w:id="1379554591">
      <w:bodyDiv w:val="1"/>
      <w:marLeft w:val="0"/>
      <w:marRight w:val="0"/>
      <w:marTop w:val="0"/>
      <w:marBottom w:val="0"/>
      <w:divBdr>
        <w:top w:val="none" w:sz="0" w:space="0" w:color="auto"/>
        <w:left w:val="none" w:sz="0" w:space="0" w:color="auto"/>
        <w:bottom w:val="none" w:sz="0" w:space="0" w:color="auto"/>
        <w:right w:val="none" w:sz="0" w:space="0" w:color="auto"/>
      </w:divBdr>
    </w:div>
    <w:div w:id="2044011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lfcastro0@gmail.com" TargetMode="External" Id="rId8" /><Relationship Type="http://schemas.openxmlformats.org/officeDocument/2006/relationships/image" Target="media/image2.jpeg" Id="rId13" /><Relationship Type="http://schemas.openxmlformats.org/officeDocument/2006/relationships/customXml" Target="../customXml/item1.xml" Id="rId1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 Id="rId12" /><Relationship Type="http://schemas.openxmlformats.org/officeDocument/2006/relationships/theme" Target="theme/theme1.xml" Id="rId17" /><Relationship Type="http://schemas.openxmlformats.org/officeDocument/2006/relationships/styles" Target="styles.xml" Id="rId2" /><Relationship Type="http://schemas.openxmlformats.org/officeDocument/2006/relationships/fontTable" Target="fontTable.xml" Id="rId16" /><Relationship Type="http://schemas.openxmlformats.org/officeDocument/2006/relationships/customXml" Target="../customXml/item3.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 Id="rId11" /><Relationship Type="http://schemas.openxmlformats.org/officeDocument/2006/relationships/footnotes" Target="footnotes.xml" Id="rId5" /><Relationship Type="http://schemas.openxmlformats.org/officeDocument/2006/relationships/footer" Target="footer1.xml" Id="rId15" /><Relationship Type="http://schemas.openxmlformats.org/officeDocument/2006/relationships/hyperlink" Target="https://relatoria.colombiacompra.gov.co/normativa/decreto-%20%201860-de-2021/" TargetMode="External" Id="rId10" /><Relationship Type="http://schemas.openxmlformats.org/officeDocument/2006/relationships/customXml" Target="../customXml/item2.xml" Id="rId19" /><Relationship Type="http://schemas.openxmlformats.org/officeDocument/2006/relationships/webSettings" Target="webSettings.xml" Id="rId4" /><Relationship Type="http://schemas.openxmlformats.org/officeDocument/2006/relationships/hyperlink" Target="https://relatoria.colombiacompra.gov.co/normativa/ley-1882-de-2018/" TargetMode="External" Id="rId9" /><Relationship Type="http://schemas.openxmlformats.org/officeDocument/2006/relationships/header" Target="header1.xml" Id="rId14" /></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324E2EF-AFD8-4102-A9CA-87B610149C86}"/>
</file>

<file path=customXml/itemProps2.xml><?xml version="1.0" encoding="utf-8"?>
<ds:datastoreItem xmlns:ds="http://schemas.openxmlformats.org/officeDocument/2006/customXml" ds:itemID="{B513051E-CE8D-4FE6-BFC3-A9D198718038}"/>
</file>

<file path=customXml/itemProps3.xml><?xml version="1.0" encoding="utf-8"?>
<ds:datastoreItem xmlns:ds="http://schemas.openxmlformats.org/officeDocument/2006/customXml" ds:itemID="{DADB695E-D08F-4998-BECA-1BE0287BFB0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Camilo Orjuela Galeano</dc:creator>
  <cp:keywords/>
  <dc:description/>
  <cp:lastModifiedBy>Christian Camilo Orjuela Galeano</cp:lastModifiedBy>
  <cp:revision>6</cp:revision>
  <dcterms:created xsi:type="dcterms:W3CDTF">2024-09-23T22:36:00Z</dcterms:created>
  <dcterms:modified xsi:type="dcterms:W3CDTF">2024-10-11T21:21:51Z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