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9D2393" w14:textId="70142009" w:rsidR="0082145A" w:rsidRPr="00D506B9" w:rsidRDefault="0082145A" w:rsidP="002D63B2">
      <w:pPr>
        <w:spacing w:before="120" w:after="120" w:line="276" w:lineRule="auto"/>
        <w:jc w:val="both"/>
        <w:rPr>
          <w:rFonts w:ascii="Verdana" w:eastAsia="Calibri" w:hAnsi="Verdana" w:cs="Arial"/>
          <w:b/>
          <w:bCs/>
          <w:lang w:val="es-ES" w:eastAsia="es-ES"/>
        </w:rPr>
      </w:pPr>
      <w:r w:rsidRPr="00D506B9">
        <w:rPr>
          <w:rFonts w:ascii="Verdana" w:eastAsia="Calibri" w:hAnsi="Verdana" w:cs="Arial"/>
          <w:b/>
          <w:bCs/>
          <w:lang w:val="es-ES" w:eastAsia="es-ES"/>
        </w:rPr>
        <w:t xml:space="preserve">LEY DE EMPRENDIMIENTO – Limitación territorial </w:t>
      </w:r>
    </w:p>
    <w:p w14:paraId="3B405EB7" w14:textId="7E3948C7" w:rsidR="00871B59" w:rsidRPr="00D506B9" w:rsidRDefault="002D63B2" w:rsidP="002D63B2">
      <w:pPr>
        <w:spacing w:after="0" w:line="240" w:lineRule="auto"/>
        <w:jc w:val="both"/>
        <w:rPr>
          <w:rFonts w:ascii="Verdana" w:eastAsia="Calibri" w:hAnsi="Verdana" w:cs="Arial"/>
          <w:sz w:val="20"/>
          <w:szCs w:val="20"/>
          <w:lang w:val="es-ES"/>
        </w:rPr>
      </w:pPr>
      <w:r w:rsidRPr="00D506B9">
        <w:rPr>
          <w:rFonts w:ascii="Verdana" w:eastAsia="Calibri" w:hAnsi="Verdana" w:cs="Arial"/>
          <w:sz w:val="20"/>
          <w:szCs w:val="20"/>
          <w:lang w:val="es-ES"/>
        </w:rPr>
        <w:t xml:space="preserve">[…] </w:t>
      </w:r>
      <w:r w:rsidRPr="00D506B9">
        <w:rPr>
          <w:rFonts w:ascii="Verdana" w:eastAsia="Calibri" w:hAnsi="Verdana" w:cs="Arial"/>
          <w:sz w:val="20"/>
          <w:szCs w:val="20"/>
          <w:lang w:val="es-ES"/>
        </w:rPr>
        <w:t>parágrafo 1 del artículo 34 de la Ley 2069 de 2020, según el cual, sí es posible limitar convocatorias a la participación de Mipymes “[…] del ámbito municipal o departamental correspondiente al de la ejecución del contrato”. En tales términos, la norma citada sólo contempla la posibilidad de limitar convocatorias a Mipymes con domicilio en esos dos tipos de entidades territoriales.</w:t>
      </w:r>
    </w:p>
    <w:p w14:paraId="70FBD777" w14:textId="77777777" w:rsidR="002D63B2" w:rsidRPr="00D506B9" w:rsidRDefault="002D63B2" w:rsidP="002D63B2">
      <w:pPr>
        <w:spacing w:after="0" w:line="240" w:lineRule="auto"/>
        <w:jc w:val="both"/>
        <w:rPr>
          <w:rFonts w:ascii="Verdana" w:eastAsia="Geomanist Light" w:hAnsi="Verdana" w:cs="Arial"/>
          <w:b/>
          <w:bCs/>
          <w:sz w:val="20"/>
          <w:szCs w:val="20"/>
          <w:lang w:val="es-ES"/>
        </w:rPr>
      </w:pPr>
    </w:p>
    <w:p w14:paraId="1F6D5EB5" w14:textId="0339F3B6" w:rsidR="00871B59" w:rsidRPr="00D506B9" w:rsidRDefault="0082145A" w:rsidP="002D63B2">
      <w:pPr>
        <w:spacing w:before="120" w:after="120" w:line="276" w:lineRule="auto"/>
        <w:jc w:val="both"/>
        <w:rPr>
          <w:rFonts w:ascii="Verdana" w:eastAsia="Calibri" w:hAnsi="Verdana" w:cs="Arial"/>
          <w:b/>
          <w:bCs/>
          <w:lang w:val="es-ES" w:eastAsia="es-ES"/>
        </w:rPr>
      </w:pPr>
      <w:r w:rsidRPr="00D506B9">
        <w:rPr>
          <w:rFonts w:ascii="Verdana" w:eastAsia="Calibri" w:hAnsi="Verdana" w:cs="Arial"/>
          <w:b/>
          <w:bCs/>
          <w:lang w:val="es-ES" w:eastAsia="es-ES"/>
        </w:rPr>
        <w:t>CONVOCATORIAS LIMITADAS A MIPYMES NACIONALES – Limitación territorial – Relevancia del domicilio de la Mipymes - Tiempo mínimo de constitución</w:t>
      </w:r>
      <w:r w:rsidRPr="00D506B9">
        <w:rPr>
          <w:rFonts w:ascii="Verdana" w:eastAsia="Calibri" w:hAnsi="Verdana" w:cs="Arial"/>
          <w:b/>
          <w:bCs/>
          <w:lang w:val="es-ES" w:eastAsia="es-ES"/>
        </w:rPr>
        <w:t xml:space="preserve"> </w:t>
      </w:r>
    </w:p>
    <w:p w14:paraId="0BA888C0" w14:textId="77777777" w:rsidR="00C97E7A" w:rsidRPr="00C97E7A" w:rsidRDefault="00C97E7A" w:rsidP="00C97E7A">
      <w:pPr>
        <w:spacing w:line="240" w:lineRule="auto"/>
        <w:jc w:val="both"/>
        <w:rPr>
          <w:rFonts w:ascii="Verdana" w:eastAsia="Calibri" w:hAnsi="Verdana" w:cs="Arial"/>
          <w:sz w:val="20"/>
          <w:szCs w:val="20"/>
        </w:rPr>
      </w:pPr>
      <w:r w:rsidRPr="00C97E7A">
        <w:rPr>
          <w:rFonts w:ascii="Verdana" w:eastAsia="Calibri" w:hAnsi="Verdana" w:cs="Arial"/>
          <w:sz w:val="20"/>
          <w:szCs w:val="20"/>
        </w:rPr>
        <w:t>El artículo 2.2.1.2.4.2.3. del Decreto 1082 de 2015, modificado por el artículo 5 del Decreto 1860 de 2021 se refiere a las “mipyme colombianas que tengan domicilio en los departamentos o municipios en donde se va a ejecutar el contrato”. Esta precisión es importante, pues el incentivo previsto en la norma únicamente aplica en el lugar de ejecución del contratado en el que la Mipyme tiene su “domicilio”.</w:t>
      </w:r>
    </w:p>
    <w:p w14:paraId="737C6C8C" w14:textId="77777777" w:rsidR="00D506B9" w:rsidRDefault="00C97E7A" w:rsidP="00D506B9">
      <w:pPr>
        <w:spacing w:line="240" w:lineRule="auto"/>
        <w:jc w:val="both"/>
        <w:rPr>
          <w:rFonts w:ascii="Verdana" w:eastAsia="Calibri" w:hAnsi="Verdana" w:cs="Arial"/>
          <w:sz w:val="20"/>
          <w:szCs w:val="20"/>
        </w:rPr>
      </w:pPr>
      <w:r w:rsidRPr="00C97E7A">
        <w:rPr>
          <w:rFonts w:ascii="Verdana" w:eastAsia="Calibri" w:hAnsi="Verdana" w:cs="Arial"/>
          <w:sz w:val="20"/>
          <w:szCs w:val="20"/>
        </w:rPr>
        <w:t>(..)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motu propio 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1EBA0B1D" w14:textId="77777777" w:rsidR="00D506B9" w:rsidRDefault="00D506B9">
      <w:pPr>
        <w:rPr>
          <w:rFonts w:ascii="Verdana" w:eastAsia="Calibri" w:hAnsi="Verdana" w:cs="Arial"/>
          <w:sz w:val="20"/>
          <w:szCs w:val="20"/>
        </w:rPr>
      </w:pPr>
      <w:r>
        <w:rPr>
          <w:rFonts w:ascii="Verdana" w:eastAsia="Calibri" w:hAnsi="Verdana" w:cs="Arial"/>
          <w:sz w:val="20"/>
          <w:szCs w:val="20"/>
        </w:rPr>
        <w:br w:type="page"/>
      </w:r>
    </w:p>
    <w:p w14:paraId="6700D6DA" w14:textId="49DC697E" w:rsidR="00871B59" w:rsidRPr="00D506B9" w:rsidRDefault="000B08F3" w:rsidP="00D506B9">
      <w:pPr>
        <w:spacing w:line="240" w:lineRule="auto"/>
        <w:jc w:val="both"/>
        <w:rPr>
          <w:rFonts w:ascii="Verdana" w:eastAsia="Calibri" w:hAnsi="Verdana" w:cs="Arial"/>
          <w:sz w:val="20"/>
          <w:szCs w:val="20"/>
        </w:rPr>
      </w:pPr>
      <w:r w:rsidRPr="000B08F3">
        <w:rPr>
          <w:rFonts w:ascii="Verdana" w:eastAsia="Geomanist Light" w:hAnsi="Verdana" w:cs="Arial"/>
          <w:color w:val="201F1E"/>
          <w:lang w:val="es-MX"/>
        </w:rPr>
        <w:lastRenderedPageBreak/>
        <w:drawing>
          <wp:anchor distT="0" distB="0" distL="114300" distR="114300" simplePos="0" relativeHeight="251658240" behindDoc="0" locked="0" layoutInCell="1" allowOverlap="1" wp14:anchorId="1B8A07D3" wp14:editId="18F6466B">
            <wp:simplePos x="0" y="0"/>
            <wp:positionH relativeFrom="margin">
              <wp:posOffset>2792730</wp:posOffset>
            </wp:positionH>
            <wp:positionV relativeFrom="paragraph">
              <wp:posOffset>12700</wp:posOffset>
            </wp:positionV>
            <wp:extent cx="3267075" cy="942975"/>
            <wp:effectExtent l="0" t="0" r="9525" b="9525"/>
            <wp:wrapNone/>
            <wp:docPr id="1269364426"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364426"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267075" cy="942975"/>
                    </a:xfrm>
                    <a:prstGeom prst="rect">
                      <a:avLst/>
                    </a:prstGeom>
                  </pic:spPr>
                </pic:pic>
              </a:graphicData>
            </a:graphic>
          </wp:anchor>
        </w:drawing>
      </w:r>
      <w:r w:rsidR="00871B59" w:rsidRPr="00593A5F">
        <w:rPr>
          <w:rFonts w:ascii="Verdana" w:eastAsia="Geomanist Light" w:hAnsi="Verdana" w:cs="Arial"/>
          <w:color w:val="000000" w:themeColor="text1"/>
          <w:lang w:val="es-MX"/>
        </w:rPr>
        <w:t>Bogotá D.C., </w:t>
      </w:r>
      <w:r>
        <w:rPr>
          <w:rFonts w:ascii="Verdana" w:eastAsia="Geomanist Light" w:hAnsi="Verdana" w:cs="Arial"/>
          <w:color w:val="201F1E"/>
          <w:lang w:val="es-MX"/>
        </w:rPr>
        <w:t>31 de diciembre de 2024</w:t>
      </w:r>
      <w:r w:rsidRPr="000B08F3">
        <w:rPr>
          <w:noProof/>
        </w:rPr>
        <w:t xml:space="preserve"> </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66EF7FED" w14:textId="77777777"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Señor(a)</w:t>
      </w:r>
    </w:p>
    <w:p w14:paraId="0D0B9D30" w14:textId="0D7A3BD3" w:rsidR="00871B59" w:rsidRPr="00B96799" w:rsidRDefault="007B37C3"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ANÓNIMO</w:t>
      </w:r>
    </w:p>
    <w:p w14:paraId="1A7DBB77" w14:textId="70758A39" w:rsidR="000622F2" w:rsidRDefault="000622F2" w:rsidP="00871B59">
      <w:pPr>
        <w:spacing w:after="0" w:line="240" w:lineRule="auto"/>
        <w:rPr>
          <w:rFonts w:ascii="Verdana" w:eastAsia="Calibri" w:hAnsi="Verdana" w:cs="Arial"/>
          <w:u w:val="single"/>
          <w:lang w:val="es-ES" w:eastAsia="es-ES"/>
        </w:rPr>
      </w:pPr>
      <w:hyperlink r:id="rId12" w:history="1">
        <w:r w:rsidRPr="008C21A0">
          <w:rPr>
            <w:rStyle w:val="Hipervnculo"/>
            <w:rFonts w:ascii="Verdana" w:eastAsia="Calibri" w:hAnsi="Verdana" w:cs="Arial"/>
            <w:lang w:val="es-ES" w:eastAsia="es-ES"/>
          </w:rPr>
          <w:t>proyectosv76@gmail.co</w:t>
        </w:r>
        <w:r w:rsidRPr="008C21A0">
          <w:rPr>
            <w:rStyle w:val="Hipervnculo"/>
            <w:rFonts w:ascii="Verdana" w:eastAsia="Calibri" w:hAnsi="Verdana" w:cs="Arial"/>
            <w:lang w:val="es-ES" w:eastAsia="es-ES"/>
          </w:rPr>
          <w:t>m</w:t>
        </w:r>
      </w:hyperlink>
    </w:p>
    <w:p w14:paraId="40764CBF" w14:textId="08D1816E" w:rsidR="00871B59" w:rsidRPr="00593A5F" w:rsidRDefault="000622F2" w:rsidP="00871B59">
      <w:pPr>
        <w:spacing w:after="0" w:line="240" w:lineRule="auto"/>
        <w:rPr>
          <w:rFonts w:ascii="Verdana" w:eastAsia="Calibri" w:hAnsi="Verdana" w:cs="Arial"/>
          <w:b/>
          <w:bCs/>
          <w:color w:val="000000"/>
          <w:lang w:val="es-ES_tradnl" w:eastAsia="es-ES_tradnl"/>
        </w:rPr>
      </w:pPr>
      <w:r>
        <w:rPr>
          <w:rFonts w:ascii="Verdana" w:eastAsia="Calibri" w:hAnsi="Verdana" w:cs="Arial"/>
          <w:u w:val="single"/>
          <w:lang w:val="es-ES" w:eastAsia="es-ES"/>
        </w:rPr>
        <w:t>Ciudad</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926E1" w:rsidRPr="009926E1" w14:paraId="6AC1791A" w14:textId="77777777" w:rsidTr="002607A7">
        <w:trPr>
          <w:trHeight w:val="884"/>
        </w:trPr>
        <w:tc>
          <w:tcPr>
            <w:tcW w:w="2689" w:type="dxa"/>
          </w:tcPr>
          <w:p w14:paraId="156B1AEC" w14:textId="77777777" w:rsidR="00871B59" w:rsidRPr="009926E1" w:rsidRDefault="00871B59" w:rsidP="002607A7">
            <w:pPr>
              <w:jc w:val="both"/>
              <w:rPr>
                <w:rFonts w:ascii="Verdana" w:eastAsia="Calibri" w:hAnsi="Verdana" w:cs="Arial"/>
                <w:b/>
                <w:bCs/>
                <w:lang w:val="es-ES_tradnl" w:eastAsia="es-ES_tradnl"/>
              </w:rPr>
            </w:pPr>
          </w:p>
        </w:tc>
        <w:tc>
          <w:tcPr>
            <w:tcW w:w="6100" w:type="dxa"/>
          </w:tcPr>
          <w:p w14:paraId="48F499EA" w14:textId="31E602EA" w:rsidR="00871B59" w:rsidRPr="009926E1" w:rsidRDefault="00871B59" w:rsidP="002607A7">
            <w:pPr>
              <w:jc w:val="both"/>
              <w:rPr>
                <w:rFonts w:ascii="Verdana" w:eastAsia="Calibri" w:hAnsi="Verdana" w:cs="Arial"/>
                <w:b/>
                <w:bCs/>
                <w:lang w:val="es-ES" w:eastAsia="es-ES"/>
              </w:rPr>
            </w:pPr>
            <w:r w:rsidRPr="009926E1">
              <w:rPr>
                <w:rFonts w:ascii="Verdana" w:eastAsia="Calibri" w:hAnsi="Verdana" w:cs="Arial"/>
                <w:b/>
                <w:bCs/>
                <w:lang w:val="es-ES" w:eastAsia="es-ES"/>
              </w:rPr>
              <w:t xml:space="preserve">Concepto C- </w:t>
            </w:r>
            <w:r w:rsidR="007B37C3" w:rsidRPr="009926E1">
              <w:rPr>
                <w:rFonts w:ascii="Verdana" w:eastAsia="Calibri" w:hAnsi="Verdana" w:cs="Arial"/>
                <w:b/>
                <w:bCs/>
                <w:lang w:val="es-ES" w:eastAsia="es-ES"/>
              </w:rPr>
              <w:t>914</w:t>
            </w:r>
            <w:r w:rsidRPr="009926E1">
              <w:rPr>
                <w:rFonts w:ascii="Verdana" w:eastAsia="Calibri" w:hAnsi="Verdana" w:cs="Arial"/>
                <w:b/>
                <w:bCs/>
                <w:lang w:val="es-ES" w:eastAsia="es-ES"/>
              </w:rPr>
              <w:t xml:space="preserve"> de 2024</w:t>
            </w:r>
          </w:p>
        </w:tc>
      </w:tr>
      <w:tr w:rsidR="009926E1" w:rsidRPr="009926E1" w14:paraId="0DD246A7" w14:textId="77777777" w:rsidTr="002607A7">
        <w:trPr>
          <w:trHeight w:val="884"/>
        </w:trPr>
        <w:tc>
          <w:tcPr>
            <w:tcW w:w="2689" w:type="dxa"/>
          </w:tcPr>
          <w:p w14:paraId="1B4FC525" w14:textId="77777777" w:rsidR="00871B59" w:rsidRPr="009926E1" w:rsidRDefault="00871B59" w:rsidP="002607A7">
            <w:pPr>
              <w:jc w:val="both"/>
              <w:rPr>
                <w:rFonts w:ascii="Verdana" w:eastAsia="Calibri" w:hAnsi="Verdana" w:cs="Arial"/>
                <w:lang w:val="es-ES_tradnl" w:eastAsia="es-ES_tradnl"/>
              </w:rPr>
            </w:pPr>
            <w:r w:rsidRPr="009926E1">
              <w:rPr>
                <w:rFonts w:ascii="Verdana" w:eastAsia="Calibri" w:hAnsi="Verdana" w:cs="Arial"/>
                <w:b/>
                <w:lang w:val="es-ES_tradnl" w:eastAsia="es-ES_tradnl"/>
              </w:rPr>
              <w:t>Temas:</w:t>
            </w:r>
            <w:r w:rsidRPr="009926E1">
              <w:rPr>
                <w:rFonts w:ascii="Verdana" w:eastAsia="Calibri" w:hAnsi="Verdana" w:cs="Arial"/>
                <w:lang w:val="es-ES_tradnl" w:eastAsia="es-ES_tradnl"/>
              </w:rPr>
              <w:t xml:space="preserve">                   </w:t>
            </w:r>
          </w:p>
        </w:tc>
        <w:tc>
          <w:tcPr>
            <w:tcW w:w="6100" w:type="dxa"/>
          </w:tcPr>
          <w:p w14:paraId="5E4AE917" w14:textId="00D3C598" w:rsidR="00871B59" w:rsidRPr="009926E1" w:rsidRDefault="00255AA5" w:rsidP="00255AA5">
            <w:pPr>
              <w:spacing w:line="276" w:lineRule="auto"/>
              <w:jc w:val="both"/>
              <w:rPr>
                <w:rFonts w:ascii="Verdana" w:eastAsia="Calibri" w:hAnsi="Verdana" w:cs="Arial"/>
                <w:lang w:val="es-ES" w:eastAsia="es-ES"/>
              </w:rPr>
            </w:pPr>
            <w:r w:rsidRPr="009926E1">
              <w:rPr>
                <w:rFonts w:ascii="Verdana" w:eastAsia="Calibri" w:hAnsi="Verdana" w:cs="Arial"/>
                <w:lang w:val="es-ES" w:eastAsia="es-ES"/>
              </w:rPr>
              <w:t>LEY DE EMPRENDIMIENTO – Limitación territorial /</w:t>
            </w:r>
            <w:r w:rsidR="00342C8E" w:rsidRPr="009926E1">
              <w:rPr>
                <w:rFonts w:ascii="Verdana" w:eastAsia="Calibri" w:hAnsi="Verdana" w:cs="Arial"/>
                <w:lang w:val="es-ES" w:eastAsia="es-ES"/>
              </w:rPr>
              <w:t xml:space="preserve"> </w:t>
            </w:r>
            <w:r w:rsidRPr="009926E1">
              <w:rPr>
                <w:rFonts w:ascii="Verdana" w:eastAsia="Calibri" w:hAnsi="Verdana" w:cs="Arial"/>
                <w:lang w:val="es-ES" w:eastAsia="es-ES"/>
              </w:rPr>
              <w:t xml:space="preserve">CONVOCATORIAS LIMITADAS A MIPYMES </w:t>
            </w:r>
            <w:r w:rsidR="009926E1" w:rsidRPr="009926E1">
              <w:rPr>
                <w:rFonts w:ascii="Verdana" w:eastAsia="Calibri" w:hAnsi="Verdana" w:cs="Arial"/>
                <w:lang w:val="es-ES" w:eastAsia="es-ES"/>
              </w:rPr>
              <w:t>NACIONALES –</w:t>
            </w:r>
            <w:r w:rsidRPr="009926E1">
              <w:rPr>
                <w:rFonts w:ascii="Verdana" w:eastAsia="Calibri" w:hAnsi="Verdana" w:cs="Arial"/>
                <w:lang w:val="es-ES" w:eastAsia="es-ES"/>
              </w:rPr>
              <w:t xml:space="preserve"> Limitación territorial – Relevancia del domicilio de la</w:t>
            </w:r>
            <w:r w:rsidR="00342C8E" w:rsidRPr="009926E1">
              <w:rPr>
                <w:rFonts w:ascii="Verdana" w:eastAsia="Calibri" w:hAnsi="Verdana" w:cs="Arial"/>
                <w:lang w:val="es-ES" w:eastAsia="es-ES"/>
              </w:rPr>
              <w:t xml:space="preserve"> </w:t>
            </w:r>
            <w:r w:rsidRPr="009926E1">
              <w:rPr>
                <w:rFonts w:ascii="Verdana" w:eastAsia="Calibri" w:hAnsi="Verdana" w:cs="Arial"/>
                <w:lang w:val="es-ES" w:eastAsia="es-ES"/>
              </w:rPr>
              <w:t>Mipymes - Tiempo mínimo de constitución</w:t>
            </w:r>
          </w:p>
          <w:p w14:paraId="7ADD1096" w14:textId="77777777" w:rsidR="00871B59" w:rsidRPr="009926E1" w:rsidRDefault="00871B59" w:rsidP="002607A7">
            <w:pPr>
              <w:spacing w:line="276" w:lineRule="auto"/>
              <w:jc w:val="both"/>
              <w:rPr>
                <w:rFonts w:ascii="Verdana" w:eastAsia="Calibri" w:hAnsi="Verdana" w:cs="Arial"/>
                <w:lang w:val="es-ES" w:eastAsia="es-ES"/>
              </w:rPr>
            </w:pPr>
          </w:p>
        </w:tc>
      </w:tr>
      <w:tr w:rsidR="00871B59" w:rsidRPr="009926E1" w14:paraId="0A874006" w14:textId="77777777" w:rsidTr="002607A7">
        <w:tc>
          <w:tcPr>
            <w:tcW w:w="2689" w:type="dxa"/>
          </w:tcPr>
          <w:p w14:paraId="56ED2765" w14:textId="77777777" w:rsidR="00871B59" w:rsidRPr="009926E1" w:rsidRDefault="00871B59" w:rsidP="002607A7">
            <w:pPr>
              <w:jc w:val="both"/>
              <w:rPr>
                <w:rFonts w:ascii="Verdana" w:eastAsia="Calibri" w:hAnsi="Verdana" w:cs="Arial"/>
                <w:b/>
                <w:lang w:val="es-ES_tradnl" w:eastAsia="es-ES_tradnl"/>
              </w:rPr>
            </w:pPr>
            <w:r w:rsidRPr="009926E1">
              <w:rPr>
                <w:rFonts w:ascii="Verdana" w:eastAsia="Calibri" w:hAnsi="Verdana" w:cs="Arial"/>
                <w:b/>
                <w:lang w:val="es-ES_tradnl" w:eastAsia="es-ES_tradnl"/>
              </w:rPr>
              <w:t>Radicación:</w:t>
            </w:r>
            <w:r w:rsidRPr="009926E1">
              <w:rPr>
                <w:rFonts w:ascii="Verdana" w:eastAsia="Calibri" w:hAnsi="Verdana" w:cs="Arial"/>
                <w:lang w:val="es-ES_tradnl" w:eastAsia="es-ES_tradnl"/>
              </w:rPr>
              <w:t xml:space="preserve">               </w:t>
            </w:r>
          </w:p>
        </w:tc>
        <w:tc>
          <w:tcPr>
            <w:tcW w:w="6100" w:type="dxa"/>
          </w:tcPr>
          <w:p w14:paraId="630D2668" w14:textId="4F87278B" w:rsidR="00871B59" w:rsidRPr="009926E1" w:rsidRDefault="00871B59" w:rsidP="002607A7">
            <w:pPr>
              <w:jc w:val="both"/>
              <w:rPr>
                <w:rFonts w:ascii="Verdana" w:eastAsia="Calibri" w:hAnsi="Verdana" w:cs="Arial"/>
                <w:lang w:val="es-ES_tradnl" w:eastAsia="es-ES_tradnl"/>
              </w:rPr>
            </w:pPr>
            <w:r w:rsidRPr="009926E1">
              <w:rPr>
                <w:rFonts w:ascii="Verdana" w:eastAsia="Calibri" w:hAnsi="Verdana" w:cs="Arial"/>
                <w:lang w:val="es-ES_tradnl" w:eastAsia="es-ES_tradnl"/>
              </w:rPr>
              <w:t xml:space="preserve">Respuesta a consulta con radicado No. </w:t>
            </w:r>
            <w:r w:rsidR="009926E1" w:rsidRPr="009926E1">
              <w:rPr>
                <w:rFonts w:ascii="Verdana" w:eastAsia="Calibri" w:hAnsi="Verdana" w:cs="Arial"/>
                <w:lang w:val="es-ES_tradnl" w:eastAsia="es-ES_tradnl"/>
              </w:rPr>
              <w:t>P20241121011768</w:t>
            </w:r>
          </w:p>
        </w:tc>
      </w:tr>
    </w:tbl>
    <w:p w14:paraId="01AFCA4D" w14:textId="77777777" w:rsidR="00871B59" w:rsidRPr="009926E1"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9926E1" w:rsidRDefault="00871B59" w:rsidP="00871B59">
      <w:pPr>
        <w:spacing w:after="0" w:line="240" w:lineRule="auto"/>
        <w:jc w:val="both"/>
        <w:rPr>
          <w:rFonts w:ascii="Verdana" w:eastAsia="Calibri" w:hAnsi="Verdana" w:cs="Arial"/>
          <w:lang w:val="es-ES_tradnl" w:eastAsia="es-ES_tradnl"/>
        </w:rPr>
      </w:pPr>
    </w:p>
    <w:p w14:paraId="5A8CAE32" w14:textId="0F04D8AA" w:rsidR="00871B59" w:rsidRPr="009926E1" w:rsidRDefault="00871B59" w:rsidP="00871B59">
      <w:pPr>
        <w:spacing w:after="0" w:line="276" w:lineRule="auto"/>
        <w:jc w:val="both"/>
        <w:rPr>
          <w:rFonts w:ascii="Verdana" w:eastAsia="Calibri" w:hAnsi="Verdana" w:cs="Arial"/>
          <w:lang w:val="es-ES" w:eastAsia="es-ES"/>
        </w:rPr>
      </w:pPr>
      <w:r w:rsidRPr="009926E1">
        <w:rPr>
          <w:rFonts w:ascii="Verdana" w:eastAsia="Calibri" w:hAnsi="Verdana" w:cs="Arial"/>
          <w:lang w:val="es-ES" w:eastAsia="es-ES"/>
        </w:rPr>
        <w:t xml:space="preserve">Estimado señor(a):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1D9A82" w14:textId="17FD53B2" w:rsidR="00871B59" w:rsidRPr="00255FF6" w:rsidRDefault="00871B59" w:rsidP="00871B59">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 xml:space="preserve">En ejercicio de la competencia otorgada por los artículos 3, numeral 5º, y 11, numeral 8º, del Decreto Ley 4170 de </w:t>
      </w:r>
      <w:r w:rsidRPr="00255FF6">
        <w:rPr>
          <w:rFonts w:ascii="Verdana" w:eastAsia="Calibri" w:hAnsi="Verdana" w:cs="Arial"/>
          <w:lang w:val="es-ES" w:eastAsia="es-ES"/>
        </w:rPr>
        <w:t>2011,</w:t>
      </w:r>
      <w:r w:rsidRPr="00255FF6">
        <w:rPr>
          <w:rFonts w:ascii="Verdana" w:eastAsia="Arial MT" w:hAnsi="Verdana" w:cs="Arial MT"/>
          <w:lang w:val="es-ES" w:eastAsia="es-ES"/>
        </w:rPr>
        <w:t xml:space="preserve"> </w:t>
      </w:r>
      <w:r w:rsidRPr="00255FF6">
        <w:rPr>
          <w:rFonts w:ascii="Verdana" w:hAnsi="Verdana" w:cs="Arial"/>
        </w:rPr>
        <w:t xml:space="preserve">así como lo establecido en el artículo 4 de la Resolución 1707 de 2018 expedida por esta Entidad, </w:t>
      </w:r>
      <w:r w:rsidRPr="00255FF6">
        <w:rPr>
          <w:rFonts w:ascii="Verdana" w:eastAsia="Calibri" w:hAnsi="Verdana" w:cs="Arial"/>
          <w:lang w:val="es-ES" w:eastAsia="es-ES"/>
        </w:rPr>
        <w:t xml:space="preserve">la Agencia Nacional de Contratación Pública – Colombia Compra Eficiente– responde su solicitud de consulta de fecha </w:t>
      </w:r>
      <w:r w:rsidR="00D815DD" w:rsidRPr="00255FF6">
        <w:rPr>
          <w:rFonts w:ascii="Verdana" w:eastAsia="Calibri" w:hAnsi="Verdana" w:cs="Arial"/>
          <w:lang w:val="es-ES" w:eastAsia="es-ES"/>
        </w:rPr>
        <w:t>21</w:t>
      </w:r>
      <w:r w:rsidRPr="00255FF6">
        <w:rPr>
          <w:rFonts w:ascii="Verdana" w:eastAsia="Calibri" w:hAnsi="Verdana" w:cs="Arial"/>
          <w:lang w:val="es-ES" w:eastAsia="es-ES"/>
        </w:rPr>
        <w:t xml:space="preserve"> de </w:t>
      </w:r>
      <w:r w:rsidR="00D815DD" w:rsidRPr="00255FF6">
        <w:rPr>
          <w:rFonts w:ascii="Verdana" w:eastAsia="Calibri" w:hAnsi="Verdana" w:cs="Arial"/>
          <w:lang w:val="es-ES" w:eastAsia="es-ES"/>
        </w:rPr>
        <w:t>noviembre</w:t>
      </w:r>
      <w:r w:rsidRPr="00255FF6">
        <w:rPr>
          <w:rFonts w:ascii="Verdana" w:eastAsia="Calibri" w:hAnsi="Verdana" w:cs="Arial"/>
          <w:lang w:val="es-ES" w:eastAsia="es-ES"/>
        </w:rPr>
        <w:t xml:space="preserve"> de 20</w:t>
      </w:r>
      <w:r w:rsidR="00D815DD" w:rsidRPr="00255FF6">
        <w:rPr>
          <w:rFonts w:ascii="Verdana" w:eastAsia="Calibri" w:hAnsi="Verdana" w:cs="Arial"/>
          <w:lang w:val="es-ES" w:eastAsia="es-ES"/>
        </w:rPr>
        <w:t>24</w:t>
      </w:r>
      <w:r w:rsidRPr="00255FF6">
        <w:rPr>
          <w:rFonts w:ascii="Verdana" w:eastAsia="Calibri" w:hAnsi="Verdana" w:cs="Arial"/>
          <w:lang w:val="es-ES" w:eastAsia="es-ES"/>
        </w:rPr>
        <w:t xml:space="preserve">, en la cual manifiesta lo siguiente: </w:t>
      </w:r>
    </w:p>
    <w:p w14:paraId="6DBD3E26" w14:textId="77777777" w:rsidR="00871B59" w:rsidRPr="006579B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034286F0" w14:textId="49C24E68" w:rsidR="00255FF6" w:rsidRPr="006579BF" w:rsidRDefault="00871B59" w:rsidP="00255FF6">
      <w:pPr>
        <w:spacing w:after="0" w:line="240" w:lineRule="auto"/>
        <w:ind w:left="709" w:right="709"/>
        <w:jc w:val="both"/>
        <w:rPr>
          <w:rStyle w:val="normaltextrun"/>
          <w:rFonts w:ascii="Verdana" w:hAnsi="Verdana" w:cs="Arial"/>
          <w:sz w:val="20"/>
          <w:szCs w:val="20"/>
          <w:shd w:val="clear" w:color="auto" w:fill="FFFFFF"/>
          <w:lang w:val="es-ES"/>
        </w:rPr>
      </w:pPr>
      <w:bookmarkStart w:id="0" w:name="_Hlk95313578"/>
      <w:r w:rsidRPr="006579BF">
        <w:rPr>
          <w:rFonts w:ascii="Verdana" w:eastAsia="Century Gothic" w:hAnsi="Verdana" w:cs="Century Gothic"/>
          <w:sz w:val="20"/>
          <w:szCs w:val="20"/>
          <w:lang w:val="es-ES"/>
        </w:rPr>
        <w:t>“</w:t>
      </w:r>
      <w:r w:rsidR="00255FF6" w:rsidRPr="006579BF">
        <w:rPr>
          <w:rStyle w:val="normaltextrun"/>
          <w:rFonts w:ascii="Verdana" w:hAnsi="Verdana" w:cs="Arial"/>
          <w:sz w:val="20"/>
          <w:szCs w:val="20"/>
          <w:shd w:val="clear" w:color="auto" w:fill="FFFFFF"/>
          <w:lang w:val="es-ES"/>
        </w:rPr>
        <w:t>Me permito solicitar aclaración sobre algunos puntos relacionados con los procesos de contratación que limitan la participación de MIPYMES del</w:t>
      </w:r>
      <w:r w:rsidR="004B05FD" w:rsidRPr="006579BF">
        <w:rPr>
          <w:rStyle w:val="normaltextrun"/>
          <w:rFonts w:ascii="Verdana" w:hAnsi="Verdana" w:cs="Arial"/>
          <w:sz w:val="20"/>
          <w:szCs w:val="20"/>
          <w:shd w:val="clear" w:color="auto" w:fill="FFFFFF"/>
          <w:lang w:val="es-ES"/>
        </w:rPr>
        <w:t xml:space="preserve"> </w:t>
      </w:r>
      <w:r w:rsidR="00255FF6" w:rsidRPr="006579BF">
        <w:rPr>
          <w:rStyle w:val="normaltextrun"/>
          <w:rFonts w:ascii="Verdana" w:hAnsi="Verdana" w:cs="Arial"/>
          <w:sz w:val="20"/>
          <w:szCs w:val="20"/>
          <w:shd w:val="clear" w:color="auto" w:fill="FFFFFF"/>
          <w:lang w:val="es-ES"/>
        </w:rPr>
        <w:t>orden municipal. Las dudas son las siguientes:</w:t>
      </w:r>
    </w:p>
    <w:p w14:paraId="208CC8FA" w14:textId="77777777" w:rsidR="008623D5" w:rsidRPr="006579BF" w:rsidRDefault="00255FF6" w:rsidP="00816366">
      <w:pPr>
        <w:pStyle w:val="Prrafodelista"/>
        <w:numPr>
          <w:ilvl w:val="0"/>
          <w:numId w:val="9"/>
        </w:numPr>
        <w:spacing w:after="0" w:line="240" w:lineRule="auto"/>
        <w:ind w:left="709" w:right="709"/>
        <w:jc w:val="both"/>
        <w:rPr>
          <w:rStyle w:val="normaltextrun"/>
          <w:rFonts w:ascii="Verdana" w:hAnsi="Verdana" w:cs="Arial"/>
          <w:sz w:val="20"/>
          <w:szCs w:val="20"/>
          <w:shd w:val="clear" w:color="auto" w:fill="FFFFFF"/>
          <w:lang w:val="es-ES"/>
        </w:rPr>
      </w:pPr>
      <w:r w:rsidRPr="006579BF">
        <w:rPr>
          <w:rStyle w:val="normaltextrun"/>
          <w:rFonts w:ascii="Verdana" w:hAnsi="Verdana" w:cs="Arial"/>
          <w:sz w:val="20"/>
          <w:szCs w:val="20"/>
          <w:shd w:val="clear" w:color="auto" w:fill="FFFFFF"/>
          <w:lang w:val="es-ES"/>
        </w:rPr>
        <w:t>Limitación por orden territorial: Si se presentan solicitudes de</w:t>
      </w:r>
      <w:r w:rsidR="004B05FD"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limitación a MIPYMES a nivel Nacional, Departamental y Municipal, ¿cuál</w:t>
      </w:r>
      <w:r w:rsidR="008623D5"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prevalece? Por ejemplo, si hay dos solicitudes municipales y tres</w:t>
      </w:r>
      <w:r w:rsidR="008623D5"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departamentales, ¿se limita a MIPYMES municipales o departamentales?</w:t>
      </w:r>
    </w:p>
    <w:p w14:paraId="518E8133" w14:textId="77777777" w:rsidR="00827E36" w:rsidRPr="006579BF" w:rsidRDefault="00255FF6" w:rsidP="00827E36">
      <w:pPr>
        <w:pStyle w:val="Prrafodelista"/>
        <w:numPr>
          <w:ilvl w:val="0"/>
          <w:numId w:val="9"/>
        </w:numPr>
        <w:spacing w:after="0" w:line="240" w:lineRule="auto"/>
        <w:ind w:left="709" w:right="709"/>
        <w:jc w:val="both"/>
        <w:rPr>
          <w:rStyle w:val="normaltextrun"/>
          <w:rFonts w:ascii="Verdana" w:hAnsi="Verdana" w:cs="Arial"/>
          <w:sz w:val="20"/>
          <w:szCs w:val="20"/>
          <w:shd w:val="clear" w:color="auto" w:fill="FFFFFF"/>
          <w:lang w:val="es-ES"/>
        </w:rPr>
      </w:pPr>
      <w:r w:rsidRPr="006579BF">
        <w:rPr>
          <w:rStyle w:val="normaltextrun"/>
          <w:rFonts w:ascii="Verdana" w:hAnsi="Verdana" w:cs="Arial"/>
          <w:sz w:val="20"/>
          <w:szCs w:val="20"/>
          <w:shd w:val="clear" w:color="auto" w:fill="FFFFFF"/>
          <w:lang w:val="es-ES"/>
        </w:rPr>
        <w:t>Antigüedad de la empresa: La ley establece que las empresas deben</w:t>
      </w:r>
      <w:r w:rsidR="008623D5"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tener al menos un año de constituidas para acceder a la limitación. Si una</w:t>
      </w:r>
      <w:r w:rsidR="008623D5"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empresa tiene más de un año de constitución, pero cambia de domicilio</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lastRenderedPageBreak/>
        <w:t>en menos de un año, ¿puede participar en procesos que limiten a</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MIPYMES municipales?</w:t>
      </w:r>
      <w:r w:rsidRPr="006579BF">
        <w:rPr>
          <w:rStyle w:val="normaltextrun"/>
          <w:rFonts w:ascii="Verdana" w:hAnsi="Verdana" w:cs="Arial"/>
          <w:sz w:val="20"/>
          <w:szCs w:val="20"/>
          <w:shd w:val="clear" w:color="auto" w:fill="FFFFFF"/>
          <w:lang w:val="es-ES"/>
        </w:rPr>
        <w:t xml:space="preserve"> </w:t>
      </w:r>
    </w:p>
    <w:p w14:paraId="1006183E" w14:textId="4404F64D" w:rsidR="00871B59" w:rsidRPr="006579BF" w:rsidRDefault="004B05FD" w:rsidP="00BC7B4A">
      <w:pPr>
        <w:pStyle w:val="Prrafodelista"/>
        <w:numPr>
          <w:ilvl w:val="0"/>
          <w:numId w:val="9"/>
        </w:numPr>
        <w:spacing w:after="0" w:line="240" w:lineRule="auto"/>
        <w:ind w:left="709" w:right="709"/>
        <w:jc w:val="both"/>
        <w:rPr>
          <w:rFonts w:ascii="Verdana" w:eastAsia="Century Gothic" w:hAnsi="Verdana" w:cs="Century Gothic"/>
          <w:sz w:val="20"/>
          <w:szCs w:val="20"/>
          <w:lang w:val="es-ES"/>
        </w:rPr>
      </w:pPr>
      <w:r w:rsidRPr="006579BF">
        <w:rPr>
          <w:rStyle w:val="normaltextrun"/>
          <w:rFonts w:ascii="Verdana" w:hAnsi="Verdana" w:cs="Arial"/>
          <w:sz w:val="20"/>
          <w:szCs w:val="20"/>
          <w:shd w:val="clear" w:color="auto" w:fill="FFFFFF"/>
          <w:lang w:val="es-ES"/>
        </w:rPr>
        <w:t>Proceso de compra fuera de la tienda virtual: En caso de que, tras</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realizar un estudio de mercado, se identifique que los productos ofertados</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en la tienda virtual del Estado son significativamente más costosos que</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las cotizaciones obtenidas, ¿es posible realizar el proceso de contratación</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a través de una subasta inversa, un proceso de selección abreviada de</w:t>
      </w:r>
      <w:r w:rsidR="00827E36" w:rsidRPr="006579BF">
        <w:rPr>
          <w:rStyle w:val="normaltextrun"/>
          <w:rFonts w:ascii="Verdana" w:hAnsi="Verdana" w:cs="Arial"/>
          <w:sz w:val="20"/>
          <w:szCs w:val="20"/>
          <w:shd w:val="clear" w:color="auto" w:fill="FFFFFF"/>
          <w:lang w:val="es-ES"/>
        </w:rPr>
        <w:t xml:space="preserve"> </w:t>
      </w:r>
      <w:r w:rsidRPr="006579BF">
        <w:rPr>
          <w:rStyle w:val="normaltextrun"/>
          <w:rFonts w:ascii="Verdana" w:hAnsi="Verdana" w:cs="Arial"/>
          <w:sz w:val="20"/>
          <w:szCs w:val="20"/>
          <w:shd w:val="clear" w:color="auto" w:fill="FFFFFF"/>
          <w:lang w:val="es-ES"/>
        </w:rPr>
        <w:t>menor cuantía, o una licitación pública?</w:t>
      </w:r>
      <w:r w:rsidR="00827E36" w:rsidRPr="006579BF">
        <w:rPr>
          <w:rStyle w:val="normaltextrun"/>
          <w:rFonts w:ascii="Verdana" w:hAnsi="Verdana" w:cs="Arial"/>
          <w:sz w:val="20"/>
          <w:szCs w:val="20"/>
          <w:shd w:val="clear" w:color="auto" w:fill="FFFFFF"/>
          <w:lang w:val="es-ES"/>
        </w:rPr>
        <w:t xml:space="preserve"> </w:t>
      </w:r>
      <w:r w:rsidR="00871B59" w:rsidRPr="006579BF">
        <w:rPr>
          <w:rStyle w:val="normaltextrun"/>
          <w:rFonts w:ascii="Verdana" w:hAnsi="Verdana" w:cs="Arial"/>
          <w:sz w:val="20"/>
          <w:szCs w:val="20"/>
          <w:shd w:val="clear" w:color="auto" w:fill="FFFFFF"/>
          <w:lang w:val="es-ES"/>
        </w:rPr>
        <w:t>[…]</w:t>
      </w:r>
      <w:r w:rsidR="00871B59" w:rsidRPr="006579BF">
        <w:rPr>
          <w:rFonts w:ascii="Verdana" w:eastAsia="Century Gothic" w:hAnsi="Verdana" w:cs="Century Gothic"/>
          <w:sz w:val="20"/>
          <w:szCs w:val="20"/>
          <w:lang w:val="es-ES"/>
        </w:rPr>
        <w:t>”</w:t>
      </w:r>
      <w:bookmarkEnd w:id="0"/>
      <w:r w:rsidR="00871B59" w:rsidRPr="006579BF">
        <w:rPr>
          <w:rFonts w:ascii="Verdana" w:eastAsia="Century Gothic" w:hAnsi="Verdana" w:cs="Century Gothic"/>
          <w:sz w:val="20"/>
          <w:szCs w:val="20"/>
          <w:lang w:val="es-ES"/>
        </w:rPr>
        <w:t>.</w:t>
      </w:r>
    </w:p>
    <w:p w14:paraId="54DCAD4E"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77777777" w:rsidR="00871B59" w:rsidRPr="00574A45" w:rsidRDefault="00871B59" w:rsidP="00871B59">
      <w:pPr>
        <w:spacing w:after="0" w:line="276" w:lineRule="auto"/>
        <w:ind w:firstLine="709"/>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w:t>
      </w:r>
      <w:r w:rsidRPr="00574A45">
        <w:rPr>
          <w:rFonts w:ascii="Verdana" w:eastAsia="Calibri" w:hAnsi="Verdana" w:cs="Arial"/>
          <w:lang w:val="es-ES" w:eastAsia="es-ES"/>
        </w:rPr>
        <w:t xml:space="preserve">mas generales relacionadas con el (los) problema(s) jurídico(s) de su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348ABE21" w14:textId="77777777" w:rsidR="000971B1"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los</w:t>
      </w:r>
      <w:r w:rsidR="000971B1">
        <w:rPr>
          <w:rFonts w:ascii="Verdana" w:eastAsia="Century Gothic" w:hAnsi="Verdana" w:cs="Century Gothic"/>
        </w:rPr>
        <w:t xml:space="preserve"> </w:t>
      </w:r>
      <w:r w:rsidRPr="00593A5F">
        <w:rPr>
          <w:rFonts w:ascii="Verdana" w:eastAsia="Century Gothic" w:hAnsi="Verdana" w:cs="Century Gothic"/>
        </w:rPr>
        <w:t xml:space="preserve">siguientes problemas jurídicos: </w:t>
      </w:r>
    </w:p>
    <w:p w14:paraId="3D96A161" w14:textId="17058D1B" w:rsidR="000971B1" w:rsidRPr="003F0F85" w:rsidRDefault="00871B59" w:rsidP="00822D3E">
      <w:pPr>
        <w:pStyle w:val="Prrafodelista"/>
        <w:numPr>
          <w:ilvl w:val="0"/>
          <w:numId w:val="10"/>
        </w:numPr>
        <w:spacing w:after="0" w:line="276" w:lineRule="auto"/>
        <w:jc w:val="both"/>
        <w:rPr>
          <w:rFonts w:ascii="Verdana" w:eastAsia="Century Gothic" w:hAnsi="Verdana" w:cs="Century Gothic"/>
        </w:rPr>
      </w:pPr>
      <w:r w:rsidRPr="003F0F85">
        <w:rPr>
          <w:rFonts w:ascii="Verdana" w:eastAsia="Century Gothic" w:hAnsi="Verdana" w:cs="Century Gothic"/>
        </w:rPr>
        <w:t>¿</w:t>
      </w:r>
      <w:r w:rsidR="000971B1" w:rsidRPr="003F0F85">
        <w:rPr>
          <w:rFonts w:ascii="Verdana" w:eastAsia="Century Gothic" w:hAnsi="Verdana" w:cs="Century Gothic"/>
        </w:rPr>
        <w:t>Si se presentan solicitudes para la limitación territorial de un proceso de</w:t>
      </w:r>
      <w:r w:rsidR="000971B1" w:rsidRPr="003F0F85">
        <w:rPr>
          <w:rFonts w:ascii="Verdana" w:eastAsia="Century Gothic" w:hAnsi="Verdana" w:cs="Century Gothic"/>
        </w:rPr>
        <w:t xml:space="preserve"> </w:t>
      </w:r>
      <w:r w:rsidR="000971B1" w:rsidRPr="003F0F85">
        <w:rPr>
          <w:rFonts w:ascii="Verdana" w:eastAsia="Century Gothic" w:hAnsi="Verdana" w:cs="Century Gothic"/>
        </w:rPr>
        <w:t>contratación a Mipymes, tanto en el orden departamental como municipal, cuál</w:t>
      </w:r>
      <w:r w:rsidR="00045991" w:rsidRPr="003F0F85">
        <w:rPr>
          <w:rFonts w:ascii="Verdana" w:eastAsia="Century Gothic" w:hAnsi="Verdana" w:cs="Century Gothic"/>
        </w:rPr>
        <w:t xml:space="preserve"> </w:t>
      </w:r>
      <w:r w:rsidR="000971B1" w:rsidRPr="003F0F85">
        <w:rPr>
          <w:rFonts w:ascii="Verdana" w:eastAsia="Century Gothic" w:hAnsi="Verdana" w:cs="Century Gothic"/>
        </w:rPr>
        <w:t>prevalece</w:t>
      </w:r>
      <w:r w:rsidRPr="003F0F85">
        <w:rPr>
          <w:rFonts w:ascii="Verdana" w:eastAsia="Century Gothic" w:hAnsi="Verdana" w:cs="Century Gothic"/>
        </w:rPr>
        <w:t xml:space="preserve">? </w:t>
      </w:r>
    </w:p>
    <w:p w14:paraId="11DC9C47" w14:textId="6416FE8C" w:rsidR="00871B59" w:rsidRPr="003F0F85" w:rsidRDefault="00871B59" w:rsidP="00F5587B">
      <w:pPr>
        <w:pStyle w:val="Prrafodelista"/>
        <w:numPr>
          <w:ilvl w:val="0"/>
          <w:numId w:val="10"/>
        </w:numPr>
        <w:spacing w:after="0" w:line="276" w:lineRule="auto"/>
        <w:jc w:val="both"/>
        <w:rPr>
          <w:rFonts w:ascii="Verdana" w:eastAsia="Century Gothic" w:hAnsi="Verdana" w:cs="Century Gothic"/>
        </w:rPr>
      </w:pPr>
      <w:r w:rsidRPr="003F0F85">
        <w:rPr>
          <w:rFonts w:ascii="Verdana" w:eastAsia="Century Gothic" w:hAnsi="Verdana" w:cs="Century Gothic"/>
        </w:rPr>
        <w:lastRenderedPageBreak/>
        <w:t>¿</w:t>
      </w:r>
      <w:r w:rsidR="008A4B0F" w:rsidRPr="003F0F85">
        <w:rPr>
          <w:rFonts w:ascii="Verdana" w:eastAsia="Century Gothic" w:hAnsi="Verdana" w:cs="Century Gothic"/>
        </w:rPr>
        <w:t>Si una empresa tiene más de un año de constitución, pero su domicilio cambió</w:t>
      </w:r>
      <w:r w:rsidR="008A4B0F" w:rsidRPr="003F0F85">
        <w:rPr>
          <w:rFonts w:ascii="Verdana" w:eastAsia="Century Gothic" w:hAnsi="Verdana" w:cs="Century Gothic"/>
        </w:rPr>
        <w:t xml:space="preserve"> </w:t>
      </w:r>
      <w:r w:rsidR="008A4B0F" w:rsidRPr="003F0F85">
        <w:rPr>
          <w:rFonts w:ascii="Verdana" w:eastAsia="Century Gothic" w:hAnsi="Verdana" w:cs="Century Gothic"/>
        </w:rPr>
        <w:t>recientemente, puede participar en la convocatoria limitada territorialmente</w:t>
      </w:r>
      <w:r w:rsidRPr="003F0F85">
        <w:rPr>
          <w:rFonts w:ascii="Verdana" w:eastAsia="Century Gothic" w:hAnsi="Verdana" w:cs="Century Gothic"/>
        </w:rPr>
        <w:t xml:space="preserve">? </w:t>
      </w:r>
    </w:p>
    <w:p w14:paraId="7DCC2EF2" w14:textId="4DF5D7DF" w:rsidR="00B46E45" w:rsidRPr="003F0F85" w:rsidRDefault="00B46E45" w:rsidP="00CC0D64">
      <w:pPr>
        <w:pStyle w:val="Prrafodelista"/>
        <w:numPr>
          <w:ilvl w:val="0"/>
          <w:numId w:val="10"/>
        </w:numPr>
        <w:spacing w:after="0" w:line="276" w:lineRule="auto"/>
        <w:jc w:val="both"/>
        <w:rPr>
          <w:rFonts w:ascii="Verdana" w:eastAsia="Century Gothic" w:hAnsi="Verdana" w:cs="Century Gothic"/>
        </w:rPr>
      </w:pPr>
      <w:r w:rsidRPr="003F0F85">
        <w:rPr>
          <w:rFonts w:ascii="Verdana" w:eastAsia="Century Gothic" w:hAnsi="Verdana" w:cs="Century Gothic"/>
        </w:rPr>
        <w:t>En caso de que, tras realizar un estudio de mercado, se identifique que los</w:t>
      </w:r>
      <w:r w:rsidRPr="003F0F85">
        <w:rPr>
          <w:rFonts w:ascii="Verdana" w:eastAsia="Century Gothic" w:hAnsi="Verdana" w:cs="Century Gothic"/>
        </w:rPr>
        <w:t xml:space="preserve"> </w:t>
      </w:r>
      <w:r w:rsidRPr="003F0F85">
        <w:rPr>
          <w:rFonts w:ascii="Verdana" w:eastAsia="Century Gothic" w:hAnsi="Verdana" w:cs="Century Gothic"/>
        </w:rPr>
        <w:t>productos ofertados en la tienda virtual del Estado son significativamente más</w:t>
      </w:r>
      <w:r w:rsidRPr="003F0F85">
        <w:rPr>
          <w:rFonts w:ascii="Verdana" w:eastAsia="Century Gothic" w:hAnsi="Verdana" w:cs="Century Gothic"/>
        </w:rPr>
        <w:t xml:space="preserve"> </w:t>
      </w:r>
      <w:r w:rsidRPr="003F0F85">
        <w:rPr>
          <w:rFonts w:ascii="Verdana" w:eastAsia="Century Gothic" w:hAnsi="Verdana" w:cs="Century Gothic"/>
        </w:rPr>
        <w:t>costosos que las cotizaciones obtenidas, ¿es posible realizar el proceso de</w:t>
      </w:r>
      <w:r w:rsidRPr="003F0F85">
        <w:rPr>
          <w:rFonts w:ascii="Verdana" w:eastAsia="Century Gothic" w:hAnsi="Verdana" w:cs="Century Gothic"/>
        </w:rPr>
        <w:t xml:space="preserve"> </w:t>
      </w:r>
      <w:r w:rsidRPr="003F0F85">
        <w:rPr>
          <w:rFonts w:ascii="Verdana" w:eastAsia="Century Gothic" w:hAnsi="Verdana" w:cs="Century Gothic"/>
        </w:rPr>
        <w:t>contratación a través de una subasta inversa, un proceso de selección abreviada</w:t>
      </w:r>
      <w:r w:rsidRPr="003F0F85">
        <w:rPr>
          <w:rFonts w:ascii="Verdana" w:eastAsia="Century Gothic" w:hAnsi="Verdana" w:cs="Century Gothic"/>
        </w:rPr>
        <w:t xml:space="preserve"> </w:t>
      </w:r>
      <w:r w:rsidRPr="003F0F85">
        <w:rPr>
          <w:rFonts w:ascii="Verdana" w:eastAsia="Century Gothic" w:hAnsi="Verdana" w:cs="Century Gothic"/>
        </w:rPr>
        <w:t>de menor cuantía, o una licitación pública?</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shd w:val="clear" w:color="auto" w:fill="auto"/>
          </w:tcPr>
          <w:p w14:paraId="65FB3766" w14:textId="77777777" w:rsidR="00A510C4" w:rsidRPr="00D560C7" w:rsidRDefault="00A510C4" w:rsidP="00D560C7">
            <w:pPr>
              <w:pStyle w:val="Prrafodelista"/>
              <w:numPr>
                <w:ilvl w:val="0"/>
                <w:numId w:val="11"/>
              </w:numPr>
              <w:spacing w:before="120" w:after="120" w:line="276" w:lineRule="auto"/>
              <w:jc w:val="both"/>
              <w:rPr>
                <w:rFonts w:ascii="Verdana" w:eastAsia="Calibri" w:hAnsi="Verdana" w:cs="Arial"/>
                <w:lang w:val="es-ES"/>
              </w:rPr>
            </w:pPr>
            <w:r w:rsidRPr="00D560C7">
              <w:rPr>
                <w:rFonts w:ascii="Verdana" w:eastAsia="Calibri" w:hAnsi="Verdana" w:cs="Arial"/>
              </w:rPr>
              <w:t xml:space="preserve">Esta Agencia ha sostenido que la decisión de limitar territorialmente una convocatoria a Mipyme es discrecional, y ha precisado que, de todos modos, la decisión debe estar justificada en los correspondientes “estudios del sector”. En ese sentido, la facultad de limitar convocatorias territorialmente en favor de las Mipymes con domicilio en un municipio o en un departamento específico debe ejercerse por las entidades estatales dentro del marco de lo regulado por el artículo 2.2.1.2.4.2.3 del Decreto 1082 de 2015, el cual establece como presupuesto el lugar en donde se va a ejecutar el contrato. Así las cosas, la decisión de limitar territorialmente en el orden municipal o departamental depende del ámbito geográfico en el cual se va a desarrollar el objeto contractual. Por ejemplo, si un contrato se va a ejecutar en un único municipio, la convocatoria debería limitarse solo al ámbito municipal. Asimismo, tratándose de un contrato cuya ejecución deberá desplegarse en varios municipios de un mismo departamento, podría limitarse al ámbito departamental. </w:t>
            </w:r>
          </w:p>
          <w:p w14:paraId="3B974C3D" w14:textId="77777777" w:rsidR="00871B59" w:rsidRPr="00D560C7" w:rsidRDefault="00A510C4" w:rsidP="00D560C7">
            <w:pPr>
              <w:pStyle w:val="Prrafodelista"/>
              <w:spacing w:before="120" w:after="120" w:line="276" w:lineRule="auto"/>
              <w:ind w:left="1080"/>
              <w:jc w:val="both"/>
              <w:rPr>
                <w:rFonts w:ascii="Verdana" w:eastAsia="Calibri" w:hAnsi="Verdana" w:cs="Arial"/>
                <w:lang w:val="es-ES"/>
              </w:rPr>
            </w:pPr>
            <w:r w:rsidRPr="00D560C7">
              <w:rPr>
                <w:rFonts w:ascii="Verdana" w:eastAsia="Calibri" w:hAnsi="Verdana" w:cs="Arial"/>
              </w:rPr>
              <w:t xml:space="preserve">Sin perjuicio de lo anterior, es importante reiterar que la decisión es facultativa de la Entidad Estatal. No obstante, esta Agencia considera que lo recomendable es que las entidades establezcan ex ante las condiciones en las que, eventualmente, harían la” limitación </w:t>
            </w:r>
            <w:r w:rsidRPr="00D560C7">
              <w:rPr>
                <w:rFonts w:ascii="Verdana" w:eastAsia="Calibri" w:hAnsi="Verdana" w:cs="Arial"/>
              </w:rPr>
              <w:lastRenderedPageBreak/>
              <w:t xml:space="preserve">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MiPymes, por ejemplo, en relación con cuál o cuáles municipios o departamentos harían la limitación territorial de que trata el artículo 2.2.1.2.4.2.3. del Decreto 1082 de 2015. </w:t>
            </w:r>
            <w:r w:rsidR="00871B59" w:rsidRPr="00D560C7">
              <w:rPr>
                <w:rFonts w:ascii="Verdana" w:eastAsia="Calibri" w:hAnsi="Verdana" w:cs="Arial"/>
                <w:lang w:val="es-ES"/>
              </w:rPr>
              <w:t xml:space="preserve"> </w:t>
            </w:r>
          </w:p>
          <w:p w14:paraId="7DB037FF" w14:textId="77777777" w:rsidR="0068353A" w:rsidRPr="00D560C7" w:rsidRDefault="0068353A" w:rsidP="00D560C7">
            <w:pPr>
              <w:pStyle w:val="Prrafodelista"/>
              <w:spacing w:before="120" w:after="120" w:line="276" w:lineRule="auto"/>
              <w:ind w:left="1080"/>
              <w:jc w:val="both"/>
              <w:rPr>
                <w:rFonts w:ascii="Verdana" w:eastAsia="Calibri" w:hAnsi="Verdana" w:cs="Arial"/>
                <w:lang w:val="es-ES"/>
              </w:rPr>
            </w:pPr>
          </w:p>
          <w:p w14:paraId="4CB99726" w14:textId="77777777" w:rsidR="006B5C43" w:rsidRPr="00D560C7" w:rsidRDefault="00081312" w:rsidP="00D560C7">
            <w:pPr>
              <w:pStyle w:val="Prrafodelista"/>
              <w:numPr>
                <w:ilvl w:val="0"/>
                <w:numId w:val="11"/>
              </w:numPr>
              <w:spacing w:before="120" w:after="120" w:line="276" w:lineRule="auto"/>
              <w:jc w:val="both"/>
              <w:rPr>
                <w:rFonts w:ascii="Verdana" w:eastAsia="Calibri" w:hAnsi="Verdana" w:cs="Arial"/>
                <w:lang w:val="es-ES"/>
              </w:rPr>
            </w:pPr>
            <w:r w:rsidRPr="00D560C7">
              <w:rPr>
                <w:rFonts w:ascii="Verdana" w:eastAsia="Calibri" w:hAnsi="Verdana" w:cs="Arial"/>
              </w:rPr>
              <w:t>El artículo 5 del Decreto 1860 de 2021, que modificó el artículo 2.2.1.2.4.2.2 del Decreto 1082 de 2015, reglamentó los requisitos para realizar</w:t>
            </w:r>
            <w:r w:rsidR="0068353A" w:rsidRPr="00D560C7">
              <w:rPr>
                <w:rFonts w:ascii="Verdana" w:eastAsia="Calibri" w:hAnsi="Verdana" w:cs="Arial"/>
              </w:rPr>
              <w:t xml:space="preserve"> </w:t>
            </w:r>
            <w:r w:rsidR="0068353A" w:rsidRPr="00D560C7">
              <w:rPr>
                <w:rFonts w:ascii="Verdana" w:eastAsia="Calibri" w:hAnsi="Verdana" w:cs="Arial"/>
              </w:rPr>
              <w:t xml:space="preserve">convocatorias limitadas a Mipyme nacionales que, por lo menos, tengan un (1) año de existencia. El primer requisito fija un tope cuantitativo de los procesos contractuales que son susceptibles de limitarse a Mipyme,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 El segundo requisito exige que al menos dos (2) Mipyme colombianas presenten a la Entidad Estatal la solicitud de limitar el proceso contractual; y, el tercer requisito establece que se haga la solicitud por lo menos un día (1) hábil antes de la expedición del acto administrativo de apertura del proceso de contratación. Además, la norma señala que, tratándose de personas jurídicas, las solicitudes solo las podrán realizar Mipymes cuyo objeto social les permita ejecutar el contrato relacionado con el Proceso Contractual. </w:t>
            </w:r>
          </w:p>
          <w:p w14:paraId="2ABCA4AE" w14:textId="77777777" w:rsidR="00D560C7" w:rsidRDefault="0068353A" w:rsidP="00D560C7">
            <w:pPr>
              <w:pStyle w:val="Prrafodelista"/>
              <w:spacing w:before="120" w:after="120" w:line="276" w:lineRule="auto"/>
              <w:ind w:left="1080"/>
              <w:jc w:val="both"/>
              <w:rPr>
                <w:rFonts w:ascii="Verdana" w:eastAsia="Calibri" w:hAnsi="Verdana" w:cs="Arial"/>
              </w:rPr>
            </w:pPr>
            <w:r w:rsidRPr="00D560C7">
              <w:rPr>
                <w:rFonts w:ascii="Verdana" w:eastAsia="Calibri" w:hAnsi="Verdana" w:cs="Arial"/>
              </w:rPr>
              <w:t xml:space="preserve">Ahora bien, de conformidad con el parágrafo 1 del artículo 34 de la Ley 2069 de 2020, es posible limitar convocatorias a la participación de Mipymes “[…] del ámbito municipal o departamental correspondiente al de la ejecución del contrato”. Por su parte, el artículo 2.2.1.2.4.2.3. del Decreto 1082 de 2015, modificado por el artículo 5 del Decreto 1860 de 2021 se refiere a las “mipyme colombianas que tengan </w:t>
            </w:r>
            <w:r w:rsidRPr="008428D6">
              <w:rPr>
                <w:rFonts w:ascii="Verdana" w:eastAsia="Calibri" w:hAnsi="Verdana" w:cs="Arial"/>
                <w:i/>
                <w:iCs/>
              </w:rPr>
              <w:t>domicilio</w:t>
            </w:r>
            <w:r w:rsidRPr="00D560C7">
              <w:rPr>
                <w:rFonts w:ascii="Verdana" w:eastAsia="Calibri" w:hAnsi="Verdana" w:cs="Arial"/>
              </w:rPr>
              <w:t xml:space="preserve"> en los departamentos o </w:t>
            </w:r>
            <w:r w:rsidRPr="00D560C7">
              <w:rPr>
                <w:rFonts w:ascii="Verdana" w:eastAsia="Calibri" w:hAnsi="Verdana" w:cs="Arial"/>
              </w:rPr>
              <w:lastRenderedPageBreak/>
              <w:t xml:space="preserve">municipios en donde se va a ejecutar el contrato”. Esta precisión es importante, pues el incentivo previsto en la norma únicamente aplica en el lugar de ejecución del contratado en el que la Mipyme tiene su “domicilio”, y no en donde tiene sucursales, agencias o establecimientos de comercio. </w:t>
            </w:r>
          </w:p>
          <w:p w14:paraId="051346AE" w14:textId="23D7D96B" w:rsidR="006B5C43" w:rsidRDefault="0068353A" w:rsidP="00D560C7">
            <w:pPr>
              <w:pStyle w:val="Prrafodelista"/>
              <w:spacing w:before="120" w:after="120" w:line="276" w:lineRule="auto"/>
              <w:ind w:left="1080"/>
              <w:jc w:val="both"/>
              <w:rPr>
                <w:rFonts w:ascii="Verdana" w:eastAsia="Calibri" w:hAnsi="Verdana" w:cs="Arial"/>
              </w:rPr>
            </w:pPr>
            <w:r w:rsidRPr="00D560C7">
              <w:rPr>
                <w:rFonts w:ascii="Verdana" w:eastAsia="Calibri" w:hAnsi="Verdana" w:cs="Arial"/>
              </w:rPr>
              <w:t>En atención a la consulta remitida, es imperioso señalar conforme lo dispuesto en el artículo 2.2.1.2.4.2.2. para que proceda la limitación, que una vez concurran todos los requisitos señalados anteriormente, se limitará el proceso y podrán participar las Mipyme que cuenten con mínimo un (1) año de existencia. Así las cosas, es claro que el término de un (1) año que exige la norma se predica respecto del tiempo mínimo de constitución que debe tener la Mipyme interesada en participar en el Proceso de Contratación, no obstante, dicho término de no se exige respecto del tiempo en que el domicilio de la Mipyme se encuentra en un determinado lugar, ya que el artículo 2.2.1.2.4.2.3. del Decreto 1082 de 2015 que trata de las limitaciones territoriales no establece un tiempo en el domicilio, solo menciona que debe</w:t>
            </w:r>
            <w:r w:rsidR="006B5C43" w:rsidRPr="00D560C7">
              <w:rPr>
                <w:rFonts w:ascii="Verdana" w:eastAsia="Calibri" w:hAnsi="Verdana" w:cs="Arial"/>
              </w:rPr>
              <w:t xml:space="preserve"> </w:t>
            </w:r>
            <w:r w:rsidR="006B5C43" w:rsidRPr="00D560C7">
              <w:rPr>
                <w:rFonts w:ascii="Verdana" w:eastAsia="Calibri" w:hAnsi="Verdana" w:cs="Arial"/>
              </w:rPr>
              <w:t xml:space="preserve">tener el domicilio en los departamentos o municipios en donde se va a ejecutar el contrato. </w:t>
            </w:r>
          </w:p>
          <w:p w14:paraId="6C8F188B" w14:textId="77777777" w:rsidR="00D560C7" w:rsidRPr="00D560C7" w:rsidRDefault="00D560C7" w:rsidP="00D560C7">
            <w:pPr>
              <w:pStyle w:val="Prrafodelista"/>
              <w:spacing w:before="120" w:after="120" w:line="276" w:lineRule="auto"/>
              <w:ind w:left="1080"/>
              <w:jc w:val="both"/>
              <w:rPr>
                <w:rFonts w:ascii="Verdana" w:eastAsia="Calibri" w:hAnsi="Verdana" w:cs="Arial"/>
              </w:rPr>
            </w:pPr>
          </w:p>
          <w:p w14:paraId="47AEB666" w14:textId="2E6498EF" w:rsidR="00081312" w:rsidRPr="00A510C4" w:rsidRDefault="006B5C43" w:rsidP="00D560C7">
            <w:pPr>
              <w:pStyle w:val="Prrafodelista"/>
              <w:numPr>
                <w:ilvl w:val="0"/>
                <w:numId w:val="11"/>
              </w:numPr>
              <w:spacing w:before="120" w:after="120" w:line="276" w:lineRule="auto"/>
              <w:jc w:val="both"/>
              <w:rPr>
                <w:rFonts w:ascii="Verdana" w:eastAsia="Calibri" w:hAnsi="Verdana" w:cs="Arial"/>
                <w:color w:val="7030A0"/>
                <w:lang w:val="es-ES"/>
              </w:rPr>
            </w:pPr>
            <w:r w:rsidRPr="00D560C7">
              <w:rPr>
                <w:rFonts w:ascii="Verdana" w:eastAsia="Calibri" w:hAnsi="Verdana" w:cs="Arial"/>
              </w:rPr>
              <w:t>La Subdirección de Negocios de la Agencia Nacional de Contratación Pública – Colombia Compra Eficiente– se pronunció sobre esta pregunta en el oficio que se anexa a esta comunicación.</w:t>
            </w: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FBD94A1" w14:textId="77777777" w:rsidR="00871B59" w:rsidRPr="00593A5F" w:rsidRDefault="00871B59" w:rsidP="00871B59">
      <w:pPr>
        <w:spacing w:after="0" w:line="276" w:lineRule="auto"/>
        <w:jc w:val="both"/>
        <w:rPr>
          <w:rFonts w:ascii="Verdana" w:eastAsia="Calibri" w:hAnsi="Verdana" w:cs="Arial"/>
          <w:color w:val="7030A0"/>
          <w:lang w:val="es-ES"/>
        </w:rPr>
      </w:pPr>
    </w:p>
    <w:p w14:paraId="2319BE5A" w14:textId="77777777" w:rsidR="00AD477C" w:rsidRDefault="00A05A4D" w:rsidP="00735AF9">
      <w:pPr>
        <w:widowControl w:val="0"/>
        <w:autoSpaceDE w:val="0"/>
        <w:autoSpaceDN w:val="0"/>
        <w:spacing w:before="120" w:after="120" w:line="276" w:lineRule="auto"/>
        <w:jc w:val="both"/>
        <w:rPr>
          <w:rFonts w:ascii="Verdana" w:hAnsi="Verdana" w:cs="Arial"/>
        </w:rPr>
      </w:pPr>
      <w:r w:rsidRPr="00A05A4D">
        <w:rPr>
          <w:rFonts w:ascii="Verdana" w:hAnsi="Verdana" w:cs="Arial"/>
        </w:rPr>
        <w:t xml:space="preserve">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w:t>
      </w:r>
      <w:r w:rsidRPr="00A05A4D">
        <w:rPr>
          <w:rFonts w:ascii="Verdana" w:hAnsi="Verdana" w:cs="Arial"/>
        </w:rPr>
        <w:lastRenderedPageBreak/>
        <w:t xml:space="preserve">reglamentaria que le confiere el artículo 189, numeral 11, de la Constitución Política, expida el decreto correspondiente que permita la cumplida ejecución de esta Ley, potestad que fue ejercida a través de la expedición del Decreto 1860 de 2021, al cual se hará referencia más adelante. </w:t>
      </w:r>
    </w:p>
    <w:p w14:paraId="4ACF4C41" w14:textId="7FEE271B" w:rsidR="00B736B8" w:rsidRDefault="00A05A4D" w:rsidP="00735AF9">
      <w:pPr>
        <w:widowControl w:val="0"/>
        <w:autoSpaceDE w:val="0"/>
        <w:autoSpaceDN w:val="0"/>
        <w:spacing w:before="120" w:after="120" w:line="276" w:lineRule="auto"/>
        <w:ind w:firstLine="708"/>
        <w:jc w:val="both"/>
        <w:rPr>
          <w:rFonts w:ascii="Verdana" w:hAnsi="Verdana" w:cs="Arial"/>
        </w:rPr>
      </w:pPr>
      <w:r w:rsidRPr="00A05A4D">
        <w:rPr>
          <w:rFonts w:ascii="Verdana" w:hAnsi="Verdana" w:cs="Arial"/>
        </w:rPr>
        <w:t>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de acuerdo a las realidades socioeconómicas de cada región”. En desarrollo de esta finalidad, se establecen medidas de apoyo para las micro, pequeñas y medianas empresas –Mipymes–, mediante la racionalización y simplificación de los trámites y tarifas</w:t>
      </w:r>
      <w:r w:rsidR="00A916B7">
        <w:rPr>
          <w:rStyle w:val="Refdenotaalpie"/>
          <w:rFonts w:ascii="Verdana" w:hAnsi="Verdana" w:cs="Arial"/>
        </w:rPr>
        <w:footnoteReference w:id="2"/>
      </w:r>
      <w:r w:rsidRPr="00A05A4D">
        <w:rPr>
          <w:rFonts w:ascii="Verdana" w:hAnsi="Verdana" w:cs="Arial"/>
        </w:rPr>
        <w:t>, así como incentivos a favor de aquellas dentro del sistema de compras y contratación pública</w:t>
      </w:r>
      <w:r w:rsidR="00735AF9">
        <w:rPr>
          <w:rStyle w:val="Refdenotaalpie"/>
          <w:rFonts w:ascii="Verdana" w:hAnsi="Verdana" w:cs="Arial"/>
        </w:rPr>
        <w:footnoteReference w:id="3"/>
      </w:r>
      <w:r w:rsidRPr="00A05A4D">
        <w:rPr>
          <w:rFonts w:ascii="Verdana" w:hAnsi="Verdana" w:cs="Arial"/>
        </w:rPr>
        <w:t>. También se consagran mecanismos de acceso al financiamiento</w:t>
      </w:r>
      <w:r w:rsidR="00BD26A3">
        <w:rPr>
          <w:rStyle w:val="Refdenotaalpie"/>
          <w:rFonts w:ascii="Verdana" w:hAnsi="Verdana" w:cs="Arial"/>
        </w:rPr>
        <w:footnoteReference w:id="4"/>
      </w:r>
      <w:r w:rsidRPr="00A05A4D">
        <w:rPr>
          <w:rFonts w:ascii="Verdana" w:hAnsi="Verdana" w:cs="Arial"/>
        </w:rPr>
        <w:t>, se unifican las fuentes de emprendimiento y de desarrollo empresarial, para</w:t>
      </w:r>
      <w:r w:rsidR="00B736B8">
        <w:rPr>
          <w:rFonts w:ascii="Verdana" w:hAnsi="Verdana" w:cs="Arial"/>
        </w:rPr>
        <w:t xml:space="preserve"> </w:t>
      </w:r>
      <w:r w:rsidR="00B736B8" w:rsidRPr="00B736B8">
        <w:rPr>
          <w:rFonts w:ascii="Verdana" w:hAnsi="Verdana" w:cs="Arial"/>
        </w:rPr>
        <w:t>fortalecer y promover los distintos sectores de la economía</w:t>
      </w:r>
      <w:r w:rsidR="00B736B8">
        <w:rPr>
          <w:rStyle w:val="Refdenotaalpie"/>
          <w:rFonts w:ascii="Verdana" w:hAnsi="Verdana" w:cs="Arial"/>
        </w:rPr>
        <w:footnoteReference w:id="5"/>
      </w:r>
      <w:r w:rsidR="00B736B8" w:rsidRPr="00B736B8">
        <w:rPr>
          <w:rFonts w:ascii="Verdana" w:hAnsi="Verdana" w:cs="Arial"/>
        </w:rPr>
        <w:t xml:space="preserve"> y se prevén medidas de educación para el emprendimiento y la innovación</w:t>
      </w:r>
      <w:r w:rsidR="00A46AD0">
        <w:rPr>
          <w:rStyle w:val="Refdenotaalpie"/>
          <w:rFonts w:ascii="Verdana" w:hAnsi="Verdana" w:cs="Arial"/>
        </w:rPr>
        <w:footnoteReference w:id="6"/>
      </w:r>
      <w:r w:rsidR="00B736B8" w:rsidRPr="00B736B8">
        <w:rPr>
          <w:rFonts w:ascii="Verdana" w:hAnsi="Verdana" w:cs="Arial"/>
        </w:rPr>
        <w:t xml:space="preserve">. </w:t>
      </w:r>
    </w:p>
    <w:p w14:paraId="2E3CEC2A" w14:textId="77777777" w:rsidR="00A46AD0" w:rsidRDefault="00B736B8" w:rsidP="00735AF9">
      <w:pPr>
        <w:widowControl w:val="0"/>
        <w:autoSpaceDE w:val="0"/>
        <w:autoSpaceDN w:val="0"/>
        <w:spacing w:before="120" w:after="120" w:line="276" w:lineRule="auto"/>
        <w:ind w:firstLine="708"/>
        <w:jc w:val="both"/>
        <w:rPr>
          <w:rFonts w:ascii="Verdana" w:hAnsi="Verdana" w:cs="Arial"/>
        </w:rPr>
      </w:pPr>
      <w:r w:rsidRPr="00B736B8">
        <w:rPr>
          <w:rFonts w:ascii="Verdana" w:hAnsi="Verdana" w:cs="Arial"/>
        </w:rPr>
        <w:t xml:space="preserve">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ii) criterios diferenciales para Mipymes en el sistema de compras públicas, iii) criterios diferenciales para emprendimientos y empresas de mujeres en el sistema de compras públicas, iv)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del artículo 34 de la referida ley, a continuación, se estudiará el contenido y alcance </w:t>
      </w:r>
      <w:r w:rsidRPr="00B736B8">
        <w:rPr>
          <w:rFonts w:ascii="Verdana" w:hAnsi="Verdana" w:cs="Arial"/>
        </w:rPr>
        <w:lastRenderedPageBreak/>
        <w:t xml:space="preserve">de dichas normas. </w:t>
      </w:r>
    </w:p>
    <w:p w14:paraId="656FDF8C" w14:textId="77777777" w:rsidR="00092C97" w:rsidRDefault="00B736B8" w:rsidP="00735AF9">
      <w:pPr>
        <w:widowControl w:val="0"/>
        <w:autoSpaceDE w:val="0"/>
        <w:autoSpaceDN w:val="0"/>
        <w:spacing w:before="120" w:after="120" w:line="276" w:lineRule="auto"/>
        <w:ind w:firstLine="708"/>
        <w:jc w:val="both"/>
        <w:rPr>
          <w:rFonts w:ascii="Verdana" w:hAnsi="Verdana" w:cs="Arial"/>
        </w:rPr>
      </w:pPr>
      <w:r w:rsidRPr="00B736B8">
        <w:rPr>
          <w:rFonts w:ascii="Verdana" w:hAnsi="Verdana" w:cs="Arial"/>
        </w:rPr>
        <w:t>El artículo 34 de la Ley 2069 de 2020 establece nuevas reglas sobre la promoción al desarrollo en la contratación estatal. Concretamente, la citada</w:t>
      </w:r>
      <w:r w:rsidR="00850E6B">
        <w:rPr>
          <w:rFonts w:ascii="Verdana" w:hAnsi="Verdana" w:cs="Arial"/>
        </w:rPr>
        <w:t xml:space="preserve"> </w:t>
      </w:r>
      <w:r w:rsidR="00850E6B" w:rsidRPr="00850E6B">
        <w:rPr>
          <w:rFonts w:ascii="Verdana" w:hAnsi="Verdana" w:cs="Arial"/>
        </w:rPr>
        <w:t>disposición modifica el contenido del artículo 12 de la Ley 1150 de 2007</w:t>
      </w:r>
      <w:r w:rsidR="00850E6B">
        <w:rPr>
          <w:rStyle w:val="Refdenotaalpie"/>
          <w:rFonts w:ascii="Verdana" w:hAnsi="Verdana" w:cs="Arial"/>
        </w:rPr>
        <w:footnoteReference w:id="7"/>
      </w:r>
      <w:r w:rsidR="00850E6B" w:rsidRPr="00850E6B">
        <w:rPr>
          <w:rFonts w:ascii="Verdana" w:hAnsi="Verdana" w:cs="Arial"/>
        </w:rPr>
        <w:t xml:space="preserve">, prescribiendo lo que se indica a continuación: </w:t>
      </w:r>
    </w:p>
    <w:p w14:paraId="1B2EAB02" w14:textId="77777777" w:rsidR="00092C97" w:rsidRDefault="00850E6B" w:rsidP="00735AF9">
      <w:pPr>
        <w:widowControl w:val="0"/>
        <w:autoSpaceDE w:val="0"/>
        <w:autoSpaceDN w:val="0"/>
        <w:spacing w:before="120" w:after="120" w:line="276" w:lineRule="auto"/>
        <w:ind w:firstLine="708"/>
        <w:jc w:val="both"/>
        <w:rPr>
          <w:rFonts w:ascii="Verdana" w:hAnsi="Verdana" w:cs="Arial"/>
        </w:rPr>
      </w:pPr>
      <w:r w:rsidRPr="00850E6B">
        <w:rPr>
          <w:rFonts w:ascii="Verdana" w:hAnsi="Verdana" w:cs="Arial"/>
        </w:rPr>
        <w:t xml:space="preserve">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Y agrega que estas convocatorias se pueden realizar también en el ámbito municipal o departamental en el que se ejecute el contrato. </w:t>
      </w:r>
    </w:p>
    <w:p w14:paraId="3A6A1234" w14:textId="77777777" w:rsidR="000F07F2" w:rsidRDefault="00850E6B" w:rsidP="00735AF9">
      <w:pPr>
        <w:widowControl w:val="0"/>
        <w:autoSpaceDE w:val="0"/>
        <w:autoSpaceDN w:val="0"/>
        <w:spacing w:before="120" w:after="120" w:line="276" w:lineRule="auto"/>
        <w:ind w:firstLine="708"/>
        <w:jc w:val="both"/>
        <w:rPr>
          <w:rFonts w:ascii="Verdana" w:hAnsi="Verdana" w:cs="Arial"/>
        </w:rPr>
      </w:pPr>
      <w:r w:rsidRPr="00850E6B">
        <w:rPr>
          <w:rFonts w:ascii="Verdana" w:hAnsi="Verdana" w:cs="Arial"/>
        </w:rPr>
        <w:t xml:space="preserve">ii) Indica que dichas convocatorias se deben efectuar siempre y cuando, antes del acto administrativo de apertura del proceso de selección, por lo menos dos (2) Mipymes hayan manifestado su interés. </w:t>
      </w:r>
    </w:p>
    <w:p w14:paraId="54FABDFD" w14:textId="77777777" w:rsidR="00E20428" w:rsidRDefault="00850E6B" w:rsidP="00735AF9">
      <w:pPr>
        <w:widowControl w:val="0"/>
        <w:autoSpaceDE w:val="0"/>
        <w:autoSpaceDN w:val="0"/>
        <w:spacing w:before="120" w:after="120" w:line="276" w:lineRule="auto"/>
        <w:ind w:firstLine="708"/>
        <w:jc w:val="both"/>
        <w:rPr>
          <w:rFonts w:ascii="Verdana" w:hAnsi="Verdana" w:cs="Arial"/>
        </w:rPr>
      </w:pPr>
      <w:r w:rsidRPr="00850E6B">
        <w:rPr>
          <w:rFonts w:ascii="Verdana" w:hAnsi="Verdana" w:cs="Arial"/>
        </w:rPr>
        <w:t xml:space="preserve">iii) Determina que uno de los parámetros que deberá tener en cuenta el Gobierno Nacional para reglamentar la materia es el cumplimiento de los compromisos internacionales vigentes. Es decir, que se deberán considerar las estipulaciones contenidas en los tratados comerciales suscritos entre Colombia y otros Estados. </w:t>
      </w:r>
    </w:p>
    <w:p w14:paraId="61D26F5B" w14:textId="77777777" w:rsidR="00E20428" w:rsidRDefault="00850E6B" w:rsidP="00735AF9">
      <w:pPr>
        <w:widowControl w:val="0"/>
        <w:autoSpaceDE w:val="0"/>
        <w:autoSpaceDN w:val="0"/>
        <w:spacing w:before="120" w:after="120" w:line="276" w:lineRule="auto"/>
        <w:ind w:firstLine="708"/>
        <w:jc w:val="both"/>
        <w:rPr>
          <w:rFonts w:ascii="Verdana" w:hAnsi="Verdana" w:cs="Arial"/>
        </w:rPr>
      </w:pPr>
      <w:r w:rsidRPr="00850E6B">
        <w:rPr>
          <w:rFonts w:ascii="Verdana" w:hAnsi="Verdana" w:cs="Arial"/>
        </w:rPr>
        <w:t xml:space="preserve">iv) Establece que, en el reglamento, el Gobierno Nacional podría </w:t>
      </w:r>
      <w:r w:rsidRPr="00850E6B">
        <w:rPr>
          <w:rFonts w:ascii="Verdana" w:hAnsi="Verdana" w:cs="Arial"/>
        </w:rPr>
        <w:lastRenderedPageBreak/>
        <w:t xml:space="preserve">establecer condiciones preferenciales para los bienes y servicios producidos por las Mipymes, sin contrariar los compromisos internacionales vigentes. </w:t>
      </w:r>
    </w:p>
    <w:p w14:paraId="524C4581" w14:textId="32FE5367" w:rsidR="00871B59" w:rsidRDefault="00850E6B" w:rsidP="00735AF9">
      <w:pPr>
        <w:widowControl w:val="0"/>
        <w:autoSpaceDE w:val="0"/>
        <w:autoSpaceDN w:val="0"/>
        <w:spacing w:before="120" w:after="120" w:line="276" w:lineRule="auto"/>
        <w:ind w:firstLine="708"/>
        <w:jc w:val="both"/>
        <w:rPr>
          <w:rFonts w:ascii="Verdana" w:hAnsi="Verdana" w:cs="Arial"/>
        </w:rPr>
      </w:pPr>
      <w:r w:rsidRPr="00850E6B">
        <w:rPr>
          <w:rFonts w:ascii="Verdana" w:hAnsi="Verdana" w:cs="Arial"/>
        </w:rPr>
        <w:t>v) Aclara que tanto las convocatorias limitadas a Mipymes, como las condiciones preferenciales a favor de los bienes y servicios producidos por estas, no es óbice para que deban cumplir las exigencias técnicas y económicas del proceso de selección.</w:t>
      </w:r>
    </w:p>
    <w:p w14:paraId="54581D65" w14:textId="77777777" w:rsidR="00872B7C" w:rsidRDefault="00872B7C" w:rsidP="00735AF9">
      <w:pPr>
        <w:widowControl w:val="0"/>
        <w:autoSpaceDE w:val="0"/>
        <w:autoSpaceDN w:val="0"/>
        <w:spacing w:before="120" w:after="120" w:line="276" w:lineRule="auto"/>
        <w:ind w:firstLine="708"/>
        <w:jc w:val="both"/>
        <w:rPr>
          <w:rFonts w:ascii="Verdana" w:hAnsi="Verdana" w:cs="Arial"/>
        </w:rPr>
      </w:pPr>
      <w:r w:rsidRPr="00872B7C">
        <w:rPr>
          <w:rFonts w:ascii="Verdana" w:hAnsi="Verdana" w:cs="Arial"/>
        </w:rPr>
        <w:t xml:space="preserve">vi) Señala que el reglamento a cargo del Gobierno Nacional, además de lo referente a las convocatorias limitadas a Mipymes, deberá contener disposiciones normativas que permitan la provisión de bienes y servicios, a través de la celebración de contratos estatales con algunas personas que gozan de especial protección constitucional. Entre tales personas se encuentran las que tengan condiciones de pobreza extrema, las desplazadas por la violencia y quienes estén en procesos de reintegración o reincorporación, entre otras que incluya el reglamento. </w:t>
      </w:r>
    </w:p>
    <w:p w14:paraId="4D522BA1" w14:textId="77777777" w:rsidR="00A72D8C" w:rsidRDefault="00872B7C" w:rsidP="00735AF9">
      <w:pPr>
        <w:widowControl w:val="0"/>
        <w:autoSpaceDE w:val="0"/>
        <w:autoSpaceDN w:val="0"/>
        <w:spacing w:before="120" w:after="120" w:line="276" w:lineRule="auto"/>
        <w:ind w:firstLine="708"/>
        <w:jc w:val="both"/>
        <w:rPr>
          <w:rFonts w:ascii="Verdana" w:hAnsi="Verdana" w:cs="Arial"/>
        </w:rPr>
      </w:pPr>
      <w:r w:rsidRPr="00872B7C">
        <w:rPr>
          <w:rFonts w:ascii="Verdana" w:hAnsi="Verdana" w:cs="Arial"/>
        </w:rPr>
        <w:t xml:space="preserve">vii) Precisa que la posibilidad de participar en convocatorias limitadas a Mipymes se encuentra condicionada a que estas acrediten como mínimo un (1) año de existencia, con el certificado expedido por la cámara de comercio respectiva o por la autoridad que sea competente para ello. </w:t>
      </w:r>
    </w:p>
    <w:p w14:paraId="68F83C69" w14:textId="77777777" w:rsidR="00A72D8C" w:rsidRDefault="00872B7C" w:rsidP="00735AF9">
      <w:pPr>
        <w:widowControl w:val="0"/>
        <w:autoSpaceDE w:val="0"/>
        <w:autoSpaceDN w:val="0"/>
        <w:spacing w:before="120" w:after="120" w:line="276" w:lineRule="auto"/>
        <w:ind w:firstLine="708"/>
        <w:jc w:val="both"/>
        <w:rPr>
          <w:rFonts w:ascii="Verdana" w:hAnsi="Verdana" w:cs="Arial"/>
        </w:rPr>
      </w:pPr>
      <w:r w:rsidRPr="00872B7C">
        <w:rPr>
          <w:rFonts w:ascii="Verdana" w:hAnsi="Verdana" w:cs="Arial"/>
        </w:rPr>
        <w:t xml:space="preserve">viii) Hace obligatorio el cumplimiento de lo dispuesto en los artículos 90 a 95 de la Ley 418 de 1997 –normas que establecen la obligación de declarar la caducidad y la liquidación unilateral cuando el contratista beneficie grupos armados organizados al margen de la ley– en la ejecución de los contratos celebrados en virtud del artículo 34 de la Ley 2069 de 2020. </w:t>
      </w:r>
    </w:p>
    <w:p w14:paraId="27DFBB76" w14:textId="77777777" w:rsidR="00A72D8C" w:rsidRDefault="00872B7C" w:rsidP="00735AF9">
      <w:pPr>
        <w:widowControl w:val="0"/>
        <w:autoSpaceDE w:val="0"/>
        <w:autoSpaceDN w:val="0"/>
        <w:spacing w:before="120" w:after="120" w:line="276" w:lineRule="auto"/>
        <w:ind w:firstLine="708"/>
        <w:jc w:val="both"/>
        <w:rPr>
          <w:rFonts w:ascii="Verdana" w:hAnsi="Verdana" w:cs="Arial"/>
        </w:rPr>
      </w:pPr>
      <w:r w:rsidRPr="00872B7C">
        <w:rPr>
          <w:rFonts w:ascii="Verdana" w:hAnsi="Verdana" w:cs="Arial"/>
        </w:rPr>
        <w:t xml:space="preserve">A partir de lo anterior, el artículo 34 de la Ley 2069 de 2020 sustituyó íntegramente el contenido del artículo 12 de la Ley 1150 de 2007. En este sentido, frente a esta última norma se produjo el fenómeno de la subrogación, el cual explica la Corte Constitucional en los siguientes términos: </w:t>
      </w:r>
    </w:p>
    <w:p w14:paraId="78E12935" w14:textId="17DED2E4" w:rsidR="00A72D8C" w:rsidRPr="002C0A8D" w:rsidRDefault="00872B7C" w:rsidP="00ED253C">
      <w:pPr>
        <w:widowControl w:val="0"/>
        <w:autoSpaceDE w:val="0"/>
        <w:autoSpaceDN w:val="0"/>
        <w:spacing w:before="120" w:after="120" w:line="240" w:lineRule="auto"/>
        <w:ind w:left="709" w:right="709"/>
        <w:jc w:val="both"/>
        <w:rPr>
          <w:rFonts w:ascii="Verdana" w:hAnsi="Verdana" w:cs="Arial"/>
          <w:sz w:val="20"/>
          <w:szCs w:val="20"/>
        </w:rPr>
      </w:pPr>
      <w:r w:rsidRPr="002C0A8D">
        <w:rPr>
          <w:rFonts w:ascii="Verdana" w:hAnsi="Verdana" w:cs="Arial"/>
          <w:sz w:val="20"/>
          <w:szCs w:val="20"/>
        </w:rPr>
        <w:t xml:space="preserve">“La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w:t>
      </w:r>
      <w:r w:rsidRPr="002C0A8D">
        <w:rPr>
          <w:rFonts w:ascii="Verdana" w:hAnsi="Verdana" w:cs="Arial"/>
          <w:sz w:val="20"/>
          <w:szCs w:val="20"/>
        </w:rPr>
        <w:lastRenderedPageBreak/>
        <w:t>otras nuevas; pero también la subrogación puede incluir la reproducción de apartes normativos provenientes del texto legal que se subroga”</w:t>
      </w:r>
      <w:r w:rsidR="002C0A8D" w:rsidRPr="002C0A8D">
        <w:rPr>
          <w:rStyle w:val="Refdenotaalpie"/>
          <w:rFonts w:ascii="Verdana" w:hAnsi="Verdana" w:cs="Arial"/>
          <w:sz w:val="20"/>
          <w:szCs w:val="20"/>
        </w:rPr>
        <w:footnoteReference w:id="8"/>
      </w:r>
      <w:r w:rsidRPr="002C0A8D">
        <w:rPr>
          <w:rFonts w:ascii="Verdana" w:hAnsi="Verdana" w:cs="Arial"/>
          <w:sz w:val="20"/>
          <w:szCs w:val="20"/>
        </w:rPr>
        <w:t xml:space="preserve">. </w:t>
      </w:r>
    </w:p>
    <w:p w14:paraId="069287DC" w14:textId="77777777" w:rsidR="00ED253C" w:rsidRDefault="00872B7C" w:rsidP="00735AF9">
      <w:pPr>
        <w:widowControl w:val="0"/>
        <w:autoSpaceDE w:val="0"/>
        <w:autoSpaceDN w:val="0"/>
        <w:spacing w:before="120" w:after="120" w:line="276" w:lineRule="auto"/>
        <w:ind w:firstLine="708"/>
        <w:jc w:val="both"/>
        <w:rPr>
          <w:rFonts w:ascii="Verdana" w:hAnsi="Verdana" w:cs="Arial"/>
        </w:rPr>
      </w:pPr>
      <w:r w:rsidRPr="00872B7C">
        <w:rPr>
          <w:rFonts w:ascii="Verdana" w:hAnsi="Verdana" w:cs="Arial"/>
        </w:rPr>
        <w:t>La subrogación es, entonces, una forma de derogación de los actos normativos, que consiste en el reemplazo de su contenido por un enunciado normativo nuevo. Se distingue de la derogación simple en que en este último</w:t>
      </w:r>
      <w:r w:rsidR="00ED253C">
        <w:rPr>
          <w:rFonts w:ascii="Verdana" w:hAnsi="Verdana" w:cs="Arial"/>
        </w:rPr>
        <w:t xml:space="preserve"> </w:t>
      </w:r>
      <w:r w:rsidR="00ED253C" w:rsidRPr="00ED253C">
        <w:rPr>
          <w:rFonts w:ascii="Verdana" w:hAnsi="Verdana" w:cs="Arial"/>
        </w:rPr>
        <w:t xml:space="preserve">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 </w:t>
      </w:r>
    </w:p>
    <w:p w14:paraId="54221DD3" w14:textId="77777777" w:rsidR="00ED253C" w:rsidRDefault="00ED253C" w:rsidP="00735AF9">
      <w:pPr>
        <w:widowControl w:val="0"/>
        <w:autoSpaceDE w:val="0"/>
        <w:autoSpaceDN w:val="0"/>
        <w:spacing w:before="120" w:after="120" w:line="276" w:lineRule="auto"/>
        <w:ind w:firstLine="708"/>
        <w:jc w:val="both"/>
        <w:rPr>
          <w:rFonts w:ascii="Verdana" w:hAnsi="Verdana" w:cs="Arial"/>
        </w:rPr>
      </w:pPr>
      <w:r w:rsidRPr="00ED253C">
        <w:rPr>
          <w:rFonts w:ascii="Verdana" w:hAnsi="Verdana" w:cs="Aria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 </w:t>
      </w:r>
    </w:p>
    <w:p w14:paraId="78FDA5C4" w14:textId="77777777" w:rsidR="00ED253C" w:rsidRDefault="00ED253C" w:rsidP="00735AF9">
      <w:pPr>
        <w:widowControl w:val="0"/>
        <w:autoSpaceDE w:val="0"/>
        <w:autoSpaceDN w:val="0"/>
        <w:spacing w:before="120" w:after="120" w:line="276" w:lineRule="auto"/>
        <w:ind w:firstLine="708"/>
        <w:jc w:val="both"/>
        <w:rPr>
          <w:rFonts w:ascii="Verdana" w:hAnsi="Verdana" w:cs="Arial"/>
        </w:rPr>
      </w:pPr>
      <w:r w:rsidRPr="00ED253C">
        <w:rPr>
          <w:rFonts w:ascii="Verdana" w:hAnsi="Verdana" w:cs="Arial"/>
        </w:rPr>
        <w:t xml:space="preserve">Lo anterior quedó reafirmado con la expedición del Decreto 1860 de 24 de diciembre de 2021, reglamento que modificó, entre otros aspectos, la Subsección 5 de la Sección 1 del Capítulo 2 del Título 1 de la Parte 2 del Libro 2 y los artículos 2.2.1.2.4.2.2. y 2.2.1.2.4.2.3. y siguientes del Decreto 1082 de 2015, Único Reglamentario del Sector Administrativo de Planeación Nacional. Estas modificaciones entraron a regir el 24 de marzo de 2022, pues el artículo 8 de la nueva norma reglamentaria sometió la vigencia de los cambios al </w:t>
      </w:r>
      <w:r w:rsidRPr="00ED253C">
        <w:rPr>
          <w:rFonts w:ascii="Verdana" w:hAnsi="Verdana" w:cs="Arial"/>
        </w:rPr>
        <w:lastRenderedPageBreak/>
        <w:t xml:space="preserve">transcurso del periodo de tres (3) meses siguientes a la expedición del decreto. </w:t>
      </w:r>
    </w:p>
    <w:p w14:paraId="31DBD95D" w14:textId="0B4B0626" w:rsidR="00872B7C" w:rsidRDefault="00ED253C" w:rsidP="00735AF9">
      <w:pPr>
        <w:widowControl w:val="0"/>
        <w:autoSpaceDE w:val="0"/>
        <w:autoSpaceDN w:val="0"/>
        <w:spacing w:before="120" w:after="120" w:line="276" w:lineRule="auto"/>
        <w:ind w:firstLine="708"/>
        <w:jc w:val="both"/>
        <w:rPr>
          <w:rFonts w:ascii="Verdana" w:hAnsi="Verdana" w:cs="Arial"/>
        </w:rPr>
      </w:pPr>
      <w:r w:rsidRPr="00ED253C">
        <w:rPr>
          <w:rFonts w:ascii="Verdana" w:hAnsi="Verdana" w:cs="Arial"/>
        </w:rPr>
        <w:t>Por otro lado, en cuanto a lo dispuesto por el antiguo artículo 2.2.1.2.4.2.3 del Decreto 1082 de 2015</w:t>
      </w:r>
      <w:r w:rsidR="008D0352">
        <w:rPr>
          <w:rStyle w:val="Refdenotaalpie"/>
          <w:rFonts w:ascii="Verdana" w:hAnsi="Verdana" w:cs="Arial"/>
        </w:rPr>
        <w:footnoteReference w:id="9"/>
      </w:r>
      <w:r w:rsidRPr="00ED253C">
        <w:rPr>
          <w:rFonts w:ascii="Verdana" w:hAnsi="Verdana" w:cs="Arial"/>
        </w:rPr>
        <w:t>, que regulaba la posibilidad de limitar convocatorias a Mipymes domiciliadas en un determinado ámbito territorial, se estima que este, al igual que el artículo 2.2.1.2.4.2.2, también se afectó por el fenómeno del decaimiento y, actualmente, quedó sustituido por lo dispuesto en el Decreto 1860 de 2021.</w:t>
      </w:r>
    </w:p>
    <w:p w14:paraId="4C83156D" w14:textId="77777777" w:rsidR="007A5802" w:rsidRDefault="007A5802" w:rsidP="00735AF9">
      <w:pPr>
        <w:widowControl w:val="0"/>
        <w:autoSpaceDE w:val="0"/>
        <w:autoSpaceDN w:val="0"/>
        <w:spacing w:before="120" w:after="120" w:line="276" w:lineRule="auto"/>
        <w:ind w:firstLine="708"/>
        <w:jc w:val="both"/>
        <w:rPr>
          <w:rFonts w:ascii="Verdana" w:hAnsi="Verdana" w:cs="Arial"/>
        </w:rPr>
      </w:pPr>
      <w:r w:rsidRPr="007A5802">
        <w:rPr>
          <w:rFonts w:ascii="Verdana" w:hAnsi="Verdana" w:cs="Arial"/>
        </w:rPr>
        <w:t xml:space="preserve">El 24 de diciembre de 2021 se expidió el Decreto 1860,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Entre los aspectos reglamentados por el decreto indicado se encuentran las convocatorias limitadas a Mipyme. De esta manera, el artículo 5 modifica los artículos 2.2.1.2.4.2.2., 2.2.1.2.4.2.3. y 2.2.1.2.4.2.4. de la Subsección 2 de la Sección 4 del Capítulo 2 del Título 1 de la Parte 2 del Libro 2 del Decreto 1082 de 2015, por lo que reglamenta este asunto con fundamento en lo establecido en el artículo 34 de la Ley 2069 de 2020. </w:t>
      </w:r>
    </w:p>
    <w:p w14:paraId="50B62C7C" w14:textId="77777777" w:rsidR="007A5802" w:rsidRDefault="007A5802" w:rsidP="00735AF9">
      <w:pPr>
        <w:widowControl w:val="0"/>
        <w:autoSpaceDE w:val="0"/>
        <w:autoSpaceDN w:val="0"/>
        <w:spacing w:before="120" w:after="120" w:line="276" w:lineRule="auto"/>
        <w:ind w:firstLine="708"/>
        <w:jc w:val="both"/>
        <w:rPr>
          <w:rFonts w:ascii="Verdana" w:hAnsi="Verdana" w:cs="Arial"/>
        </w:rPr>
      </w:pPr>
      <w:r w:rsidRPr="007A5802">
        <w:rPr>
          <w:rFonts w:ascii="Verdana" w:hAnsi="Verdana" w:cs="Arial"/>
        </w:rPr>
        <w:t xml:space="preserve">Teniendo en cuenta lo anterior, la nueva Subsección 2 a que se hizo referencia contiene los siguientes artículos: i) 2.2.1.2.4.2.2. que consagra los requisitos para limitar la convocatoria de los procesos de contratación con pluralidad de oferentes a las Mipyme colombianas con mínimo un (1) año de existencia, ii) 2.2.1.2.4.2.3. que desarrolla las convocatorias limitadas a Mipyme colombianas que tengan domicilio en los departamentos o municipios en donde se va a ejecutar el contrato, y iii) 2.2.1.2.4.2.4. que regula la acreditación de requisitos para participar en convocatorias limitadas. </w:t>
      </w:r>
    </w:p>
    <w:p w14:paraId="4F1886A4" w14:textId="77777777" w:rsidR="007A5802" w:rsidRDefault="007A5802" w:rsidP="00735AF9">
      <w:pPr>
        <w:widowControl w:val="0"/>
        <w:autoSpaceDE w:val="0"/>
        <w:autoSpaceDN w:val="0"/>
        <w:spacing w:before="120" w:after="120" w:line="276" w:lineRule="auto"/>
        <w:ind w:firstLine="708"/>
        <w:jc w:val="both"/>
        <w:rPr>
          <w:rFonts w:ascii="Verdana" w:hAnsi="Verdana" w:cs="Arial"/>
        </w:rPr>
      </w:pPr>
      <w:r w:rsidRPr="007A5802">
        <w:rPr>
          <w:rFonts w:ascii="Verdana" w:hAnsi="Verdana" w:cs="Arial"/>
        </w:rPr>
        <w:t xml:space="preserve">De esta manera, el artículo 5 del Decreto 1860 de 2021, que modifica los artículos del Decreto 1082 de 2015 expuestos en el párrafo anterior, constituye la reglamentación del artículo 34 de la Ley 2069 de 2020, al desarrollar las reglas aplicables a las convocatorias limitadas a Mipyme. En este sentido, las </w:t>
      </w:r>
      <w:r w:rsidRPr="007A5802">
        <w:rPr>
          <w:rFonts w:ascii="Verdana" w:hAnsi="Verdana" w:cs="Arial"/>
        </w:rPr>
        <w:lastRenderedPageBreak/>
        <w:t xml:space="preserve">disposiciones anteriores constituyen la nueva regulación de las convocatorias limitadas a Mipyme. </w:t>
      </w:r>
    </w:p>
    <w:p w14:paraId="36F873B0" w14:textId="77777777" w:rsidR="007A5802" w:rsidRDefault="007A5802" w:rsidP="00735AF9">
      <w:pPr>
        <w:widowControl w:val="0"/>
        <w:autoSpaceDE w:val="0"/>
        <w:autoSpaceDN w:val="0"/>
        <w:spacing w:before="120" w:after="120" w:line="276" w:lineRule="auto"/>
        <w:ind w:firstLine="708"/>
        <w:jc w:val="both"/>
        <w:rPr>
          <w:rFonts w:ascii="Verdana" w:hAnsi="Verdana" w:cs="Arial"/>
        </w:rPr>
      </w:pPr>
      <w:r w:rsidRPr="007A5802">
        <w:rPr>
          <w:rFonts w:ascii="Verdana" w:hAnsi="Verdana" w:cs="Arial"/>
        </w:rPr>
        <w:t xml:space="preserve">Precisado lo anterior, para efectos de la consulta, conviene realizar el análisis de los requisitos para limitar la convocatoria de los procesos de contratación a las Mipyme colombianas, así como la acreditación de los requisitos para participar en dichas convocatorias tratándose de persona natural y persona jurídica conforme las modificaciones introducidas por el Decreto 1860 de 2021. </w:t>
      </w:r>
    </w:p>
    <w:p w14:paraId="544D350F" w14:textId="21A50A84" w:rsidR="007A5802" w:rsidRDefault="007A5802" w:rsidP="00735AF9">
      <w:pPr>
        <w:widowControl w:val="0"/>
        <w:autoSpaceDE w:val="0"/>
        <w:autoSpaceDN w:val="0"/>
        <w:spacing w:before="120" w:after="120" w:line="276" w:lineRule="auto"/>
        <w:ind w:firstLine="708"/>
        <w:jc w:val="both"/>
        <w:rPr>
          <w:rFonts w:ascii="Verdana" w:hAnsi="Verdana" w:cs="Arial"/>
        </w:rPr>
      </w:pPr>
      <w:r w:rsidRPr="007A5802">
        <w:rPr>
          <w:rFonts w:ascii="Verdana" w:hAnsi="Verdana" w:cs="Arial"/>
        </w:rPr>
        <w:t>El artículo 2.2.1.2.4.2.2. del Decreto 1082 de 2015 –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 colombianas con mínimo un (1) año de</w:t>
      </w:r>
      <w:r w:rsidR="00DA6CD7">
        <w:rPr>
          <w:rFonts w:ascii="Verdana" w:hAnsi="Verdana" w:cs="Arial"/>
        </w:rPr>
        <w:t xml:space="preserve"> </w:t>
      </w:r>
      <w:r w:rsidR="00DA6CD7" w:rsidRPr="00DA6CD7">
        <w:rPr>
          <w:rFonts w:ascii="Verdana" w:hAnsi="Verdana" w:cs="Arial"/>
        </w:rPr>
        <w:t>existencia, siempre que se cumplan los requisitos señalados allí. Al respecto indica lo siguiente:</w:t>
      </w:r>
    </w:p>
    <w:p w14:paraId="65B05190" w14:textId="77777777" w:rsidR="00DA6CD7" w:rsidRPr="00DA6CD7" w:rsidRDefault="00DA6CD7" w:rsidP="00DA6CD7">
      <w:pPr>
        <w:widowControl w:val="0"/>
        <w:autoSpaceDE w:val="0"/>
        <w:autoSpaceDN w:val="0"/>
        <w:spacing w:before="120" w:after="120" w:line="240" w:lineRule="auto"/>
        <w:ind w:left="709" w:right="709"/>
        <w:jc w:val="both"/>
        <w:rPr>
          <w:rFonts w:ascii="Verdana" w:hAnsi="Verdana" w:cs="Arial"/>
          <w:sz w:val="20"/>
          <w:szCs w:val="20"/>
        </w:rPr>
      </w:pPr>
      <w:r w:rsidRPr="00DA6CD7">
        <w:rPr>
          <w:rFonts w:ascii="Verdana" w:hAnsi="Verdana" w:cs="Arial"/>
          <w:sz w:val="20"/>
          <w:szCs w:val="20"/>
        </w:rPr>
        <w:t xml:space="preserve">“Artículo 2.2.1.2.4.2.2. Convocatorias Imitadas a Mipyme.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09836689" w14:textId="77777777" w:rsidR="00DA6CD7" w:rsidRPr="00DA6CD7" w:rsidRDefault="00DA6CD7" w:rsidP="00DA6CD7">
      <w:pPr>
        <w:widowControl w:val="0"/>
        <w:autoSpaceDE w:val="0"/>
        <w:autoSpaceDN w:val="0"/>
        <w:spacing w:before="120" w:after="120" w:line="240" w:lineRule="auto"/>
        <w:ind w:left="709" w:right="709"/>
        <w:jc w:val="both"/>
        <w:rPr>
          <w:rFonts w:ascii="Verdana" w:hAnsi="Verdana" w:cs="Arial"/>
          <w:sz w:val="20"/>
          <w:szCs w:val="20"/>
        </w:rPr>
      </w:pPr>
      <w:r w:rsidRPr="00DA6CD7">
        <w:rPr>
          <w:rFonts w:ascii="Verdana" w:hAnsi="Verdana" w:cs="Arial"/>
          <w:sz w:val="20"/>
          <w:szCs w:val="20"/>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7A8BDA3C" w14:textId="77777777" w:rsidR="00DA6CD7" w:rsidRPr="00DA6CD7" w:rsidRDefault="00DA6CD7" w:rsidP="00DA6CD7">
      <w:pPr>
        <w:widowControl w:val="0"/>
        <w:autoSpaceDE w:val="0"/>
        <w:autoSpaceDN w:val="0"/>
        <w:spacing w:before="120" w:after="120" w:line="240" w:lineRule="auto"/>
        <w:ind w:left="709" w:right="709"/>
        <w:jc w:val="both"/>
        <w:rPr>
          <w:rFonts w:ascii="Verdana" w:hAnsi="Verdana" w:cs="Arial"/>
          <w:sz w:val="20"/>
          <w:szCs w:val="20"/>
        </w:rPr>
      </w:pPr>
      <w:r w:rsidRPr="00DA6CD7">
        <w:rPr>
          <w:rFonts w:ascii="Verdana" w:hAnsi="Verdana" w:cs="Arial"/>
          <w:sz w:val="20"/>
          <w:szCs w:val="20"/>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 cuyo objeto social les permita </w:t>
      </w:r>
      <w:r w:rsidRPr="00DA6CD7">
        <w:rPr>
          <w:rFonts w:ascii="Verdana" w:hAnsi="Verdana" w:cs="Arial"/>
          <w:sz w:val="20"/>
          <w:szCs w:val="20"/>
        </w:rPr>
        <w:lastRenderedPageBreak/>
        <w:t xml:space="preserve">ejecutar el contrato relacionado con el proceso contractual. </w:t>
      </w:r>
    </w:p>
    <w:p w14:paraId="530E26B7" w14:textId="77777777" w:rsidR="00DA6CD7" w:rsidRPr="00DA6CD7" w:rsidRDefault="00DA6CD7" w:rsidP="00DA6CD7">
      <w:pPr>
        <w:widowControl w:val="0"/>
        <w:autoSpaceDE w:val="0"/>
        <w:autoSpaceDN w:val="0"/>
        <w:spacing w:before="120" w:after="120" w:line="240" w:lineRule="auto"/>
        <w:ind w:left="709" w:right="709"/>
        <w:jc w:val="both"/>
        <w:rPr>
          <w:rFonts w:ascii="Verdana" w:hAnsi="Verdana" w:cs="Arial"/>
          <w:sz w:val="20"/>
          <w:szCs w:val="20"/>
        </w:rPr>
      </w:pPr>
      <w:r w:rsidRPr="00DA6CD7">
        <w:rPr>
          <w:rFonts w:ascii="Verdana" w:hAnsi="Verdana" w:cs="Arial"/>
          <w:sz w:val="20"/>
          <w:szCs w:val="20"/>
        </w:rPr>
        <w:t xml:space="preserve">Parágrafo. Las cooperativas y demás entidades de economía solidaria, siempre que tengan la calidad de Mipyme, podrán solicitar y participar en las convocatorias limitadas en las mismas condiciones dispuestas en el presente artículo”. </w:t>
      </w:r>
    </w:p>
    <w:p w14:paraId="678F688C" w14:textId="77777777" w:rsidR="002B7D58" w:rsidRDefault="00DA6CD7" w:rsidP="00735AF9">
      <w:pPr>
        <w:widowControl w:val="0"/>
        <w:autoSpaceDE w:val="0"/>
        <w:autoSpaceDN w:val="0"/>
        <w:spacing w:before="120" w:after="120" w:line="276" w:lineRule="auto"/>
        <w:ind w:firstLine="708"/>
        <w:jc w:val="both"/>
        <w:rPr>
          <w:rFonts w:ascii="Verdana" w:hAnsi="Verdana" w:cs="Arial"/>
        </w:rPr>
      </w:pPr>
      <w:r w:rsidRPr="00DA6CD7">
        <w:rPr>
          <w:rFonts w:ascii="Verdana" w:hAnsi="Verdana" w:cs="Arial"/>
        </w:rPr>
        <w:t>Según se evidencia, el numeral primero limita cuantitativamente los procesos contractuales en los que se puede hacer esa convocatoria limitada a Mipyme,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w:t>
      </w:r>
      <w:r w:rsidR="00137406">
        <w:rPr>
          <w:rStyle w:val="Refdenotaalpie"/>
          <w:rFonts w:ascii="Verdana" w:hAnsi="Verdana" w:cs="Arial"/>
        </w:rPr>
        <w:footnoteReference w:id="10"/>
      </w:r>
      <w:r w:rsidR="00275203">
        <w:rPr>
          <w:rFonts w:ascii="Verdana" w:hAnsi="Verdana" w:cs="Arial"/>
        </w:rPr>
        <w:t>.</w:t>
      </w:r>
      <w:r w:rsidR="00C903AB">
        <w:rPr>
          <w:rFonts w:ascii="Verdana" w:hAnsi="Verdana" w:cs="Arial"/>
        </w:rPr>
        <w:t xml:space="preserve"> </w:t>
      </w:r>
      <w:r w:rsidR="00C903AB" w:rsidRPr="00C903AB">
        <w:rPr>
          <w:rFonts w:ascii="Verdana" w:hAnsi="Verdana" w:cs="Arial"/>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del proceso de contratación. Además, la norma señala que, tratándose de personas jurídicas, las solicitudes solo las podrán realizar Mipyme,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 siempre que estas cumplan con las condiciones señaladas en el artículo. </w:t>
      </w:r>
    </w:p>
    <w:p w14:paraId="49352C8B" w14:textId="77777777" w:rsidR="002B7D58" w:rsidRDefault="00C903AB" w:rsidP="00735AF9">
      <w:pPr>
        <w:widowControl w:val="0"/>
        <w:autoSpaceDE w:val="0"/>
        <w:autoSpaceDN w:val="0"/>
        <w:spacing w:before="120" w:after="120" w:line="276" w:lineRule="auto"/>
        <w:ind w:firstLine="708"/>
        <w:jc w:val="both"/>
        <w:rPr>
          <w:rFonts w:ascii="Verdana" w:hAnsi="Verdana" w:cs="Arial"/>
        </w:rPr>
      </w:pPr>
      <w:r w:rsidRPr="00C903AB">
        <w:rPr>
          <w:rFonts w:ascii="Verdana" w:hAnsi="Verdana" w:cs="Arial"/>
        </w:rPr>
        <w:t xml:space="preserve">De esta manera, en todos los procesos de contratación, independientemente de la modalidad de selección, las Entidades Estatales, cualquiera que sea su régimen de contratación, los patrimonios autónomos constituidos por entidades estatales y los particulares que ejecuten recursos públicos, deberán limitar las convocatorias con pluralidad de oferentes a Mipymes colombianas, una vez concurran todos los requisitos señalados anteriormente y siempre que cuenten con mínimo un (1) año de existencia. </w:t>
      </w:r>
    </w:p>
    <w:p w14:paraId="08903DF5" w14:textId="77777777" w:rsidR="002B7D58" w:rsidRDefault="00C903AB" w:rsidP="00735AF9">
      <w:pPr>
        <w:widowControl w:val="0"/>
        <w:autoSpaceDE w:val="0"/>
        <w:autoSpaceDN w:val="0"/>
        <w:spacing w:before="120" w:after="120" w:line="276" w:lineRule="auto"/>
        <w:ind w:firstLine="708"/>
        <w:jc w:val="both"/>
        <w:rPr>
          <w:rFonts w:ascii="Verdana" w:hAnsi="Verdana" w:cs="Arial"/>
        </w:rPr>
      </w:pPr>
      <w:r w:rsidRPr="00C903AB">
        <w:rPr>
          <w:rFonts w:ascii="Verdana" w:hAnsi="Verdana" w:cs="Arial"/>
        </w:rPr>
        <w:t xml:space="preserve">Así las cosas, es claro que el término de un (1) año que exige la norma se predica respecto del tiempo mínimo de constitución que debe tener la Mipyme </w:t>
      </w:r>
      <w:r w:rsidRPr="00C903AB">
        <w:rPr>
          <w:rFonts w:ascii="Verdana" w:hAnsi="Verdana" w:cs="Arial"/>
        </w:rPr>
        <w:lastRenderedPageBreak/>
        <w:t xml:space="preserve">interesada en participar del proceso limitado. </w:t>
      </w:r>
    </w:p>
    <w:p w14:paraId="519AD154" w14:textId="77777777" w:rsidR="00F43813" w:rsidRDefault="00C903AB" w:rsidP="00735AF9">
      <w:pPr>
        <w:widowControl w:val="0"/>
        <w:autoSpaceDE w:val="0"/>
        <w:autoSpaceDN w:val="0"/>
        <w:spacing w:before="120" w:after="120" w:line="276" w:lineRule="auto"/>
        <w:ind w:firstLine="708"/>
        <w:jc w:val="both"/>
        <w:rPr>
          <w:rFonts w:ascii="Verdana" w:hAnsi="Verdana" w:cs="Arial"/>
        </w:rPr>
      </w:pPr>
      <w:r w:rsidRPr="00C903AB">
        <w:rPr>
          <w:rFonts w:ascii="Verdana" w:hAnsi="Verdana" w:cs="Arial"/>
        </w:rPr>
        <w:t>De otra parte, sobre las limitaciones territoriales para convocatorias de Mipymes a la luz del antiguo artículo 2.2.1.2.4.2.3 del Decreto 1082 de 2015, esta Agencia –en los conceptos del 29 de enero de 2018 −radicado No. 4201714000006924−, C – 045 del 17 de marzo de 2020, C – 162 del 16 de abril de 2020, C – 214 del 21 de abril de 2020, C – 258 del 17 de abril de 2020, C – 364 del 4 de junio de 2020, C – 413 del 30 de junio de 2020, C – 492 del 24 de julio de 2020, C – 523 del 11 de agosto de 2020, C – 610 del 14 de septiembre de 2020 y C-700 de 1 de diciembre de 2020– había sostenido que, para que se permitiera la participación de una Mipyme en uno de estos procesos, era necesario que esta demostrara estar domiciliada en el municipio o departamento</w:t>
      </w:r>
      <w:r w:rsidR="00F43813">
        <w:rPr>
          <w:rFonts w:ascii="Verdana" w:hAnsi="Verdana" w:cs="Arial"/>
        </w:rPr>
        <w:t xml:space="preserve"> </w:t>
      </w:r>
      <w:r w:rsidR="00F43813" w:rsidRPr="00F43813">
        <w:rPr>
          <w:rFonts w:ascii="Verdana" w:hAnsi="Verdana" w:cs="Arial"/>
        </w:rPr>
        <w:t xml:space="preserve">en el que se ejecutaría el contrato. La tesis se expuso en los siguientes términos: </w:t>
      </w:r>
    </w:p>
    <w:p w14:paraId="44ADD37A" w14:textId="77777777" w:rsidR="00AF3A5E" w:rsidRPr="00AF3A5E" w:rsidRDefault="00F43813" w:rsidP="00AF3A5E">
      <w:pPr>
        <w:widowControl w:val="0"/>
        <w:autoSpaceDE w:val="0"/>
        <w:autoSpaceDN w:val="0"/>
        <w:spacing w:before="120" w:after="120" w:line="240" w:lineRule="auto"/>
        <w:ind w:left="709" w:right="709"/>
        <w:jc w:val="both"/>
        <w:rPr>
          <w:rFonts w:ascii="Verdana" w:hAnsi="Verdana" w:cs="Arial"/>
          <w:sz w:val="20"/>
          <w:szCs w:val="20"/>
        </w:rPr>
      </w:pPr>
      <w:r w:rsidRPr="00AF3A5E">
        <w:rPr>
          <w:rFonts w:ascii="Verdana" w:hAnsi="Verdana" w:cs="Arial"/>
          <w:sz w:val="20"/>
          <w:szCs w:val="20"/>
        </w:rPr>
        <w:t xml:space="preserve">“Es de resaltar que </w:t>
      </w:r>
      <w:r w:rsidRPr="009277DD">
        <w:rPr>
          <w:rFonts w:ascii="Verdana" w:hAnsi="Verdana" w:cs="Arial"/>
          <w:i/>
          <w:iCs/>
          <w:sz w:val="20"/>
          <w:szCs w:val="20"/>
        </w:rPr>
        <w:t>estas normas se refieren a las Mipymes nacionales genéricamente y, particularmente, a las Mipymes nacionales «domiciliadas en los departamentos o municipios en donde se va a ejecutar el contrato».</w:t>
      </w:r>
      <w:r w:rsidRPr="00AF3A5E">
        <w:rPr>
          <w:rFonts w:ascii="Verdana" w:hAnsi="Verdana" w:cs="Arial"/>
          <w:sz w:val="20"/>
          <w:szCs w:val="20"/>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 </w:t>
      </w:r>
    </w:p>
    <w:p w14:paraId="12C1EBFF" w14:textId="46DCCCFB" w:rsidR="00AF3A5E" w:rsidRPr="00AF3A5E" w:rsidRDefault="00F43813" w:rsidP="00AF3A5E">
      <w:pPr>
        <w:widowControl w:val="0"/>
        <w:autoSpaceDE w:val="0"/>
        <w:autoSpaceDN w:val="0"/>
        <w:spacing w:before="120" w:after="120" w:line="240" w:lineRule="auto"/>
        <w:ind w:left="709" w:right="709"/>
        <w:jc w:val="both"/>
        <w:rPr>
          <w:rFonts w:ascii="Verdana" w:hAnsi="Verdana" w:cs="Arial"/>
          <w:sz w:val="20"/>
          <w:szCs w:val="20"/>
        </w:rPr>
      </w:pPr>
      <w:r w:rsidRPr="00AF3A5E">
        <w:rPr>
          <w:rFonts w:ascii="Verdana" w:hAnsi="Verdana" w:cs="Arial"/>
          <w:sz w:val="20"/>
          <w:szCs w:val="20"/>
        </w:rPr>
        <w:t xml:space="preserve">Igualmente, se debe precisar que </w:t>
      </w:r>
      <w:r w:rsidRPr="009277DD">
        <w:rPr>
          <w:rFonts w:ascii="Verdana" w:hAnsi="Verdana" w:cs="Arial"/>
          <w:i/>
          <w:iCs/>
          <w:sz w:val="20"/>
          <w:szCs w:val="20"/>
        </w:rPr>
        <w:t xml:space="preserve">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w:t>
      </w:r>
      <w:r w:rsidRPr="009277DD">
        <w:rPr>
          <w:rFonts w:ascii="Verdana" w:hAnsi="Verdana" w:cs="Arial"/>
          <w:i/>
          <w:iCs/>
          <w:sz w:val="20"/>
          <w:szCs w:val="20"/>
        </w:rPr>
        <w:lastRenderedPageBreak/>
        <w:t>sucursales”</w:t>
      </w:r>
      <w:r w:rsidR="00AF3A5E" w:rsidRPr="009277DD">
        <w:rPr>
          <w:rStyle w:val="Refdenotaalpie"/>
          <w:rFonts w:ascii="Verdana" w:hAnsi="Verdana" w:cs="Arial"/>
          <w:i/>
          <w:iCs/>
          <w:sz w:val="20"/>
          <w:szCs w:val="20"/>
        </w:rPr>
        <w:footnoteReference w:id="11"/>
      </w:r>
      <w:r w:rsidRPr="009277DD">
        <w:rPr>
          <w:rFonts w:ascii="Verdana" w:hAnsi="Verdana" w:cs="Arial"/>
          <w:i/>
          <w:iCs/>
          <w:sz w:val="20"/>
          <w:szCs w:val="20"/>
        </w:rPr>
        <w:t>.</w:t>
      </w:r>
      <w:r w:rsidRPr="00AF3A5E">
        <w:rPr>
          <w:rFonts w:ascii="Verdana" w:hAnsi="Verdana" w:cs="Arial"/>
          <w:sz w:val="20"/>
          <w:szCs w:val="20"/>
        </w:rPr>
        <w:t xml:space="preserve"> (Énfasis fuera de texto) </w:t>
      </w:r>
    </w:p>
    <w:p w14:paraId="13A88728" w14:textId="77777777" w:rsidR="000C68C9" w:rsidRDefault="00F43813" w:rsidP="00735AF9">
      <w:pPr>
        <w:widowControl w:val="0"/>
        <w:autoSpaceDE w:val="0"/>
        <w:autoSpaceDN w:val="0"/>
        <w:spacing w:before="120" w:after="120" w:line="276" w:lineRule="auto"/>
        <w:ind w:firstLine="708"/>
        <w:jc w:val="both"/>
        <w:rPr>
          <w:rFonts w:ascii="Verdana" w:hAnsi="Verdana" w:cs="Arial"/>
        </w:rPr>
      </w:pPr>
      <w:r w:rsidRPr="00F43813">
        <w:rPr>
          <w:rFonts w:ascii="Verdana" w:hAnsi="Verdana" w:cs="Arial"/>
        </w:rPr>
        <w:t>Como se aprecia, la postura sostenida por esta Agencia en vigencia del artículo 2.2.1.2.4.2.3 del Decreto 1082 de 2015 no contemplaba la posibilidad de que una Mipyme domiciliada en un departamento o municipio diferentes al lugar de ejecución del contrato, en atención al cual se realiza la limitación</w:t>
      </w:r>
      <w:r w:rsidR="000D249A">
        <w:rPr>
          <w:rFonts w:ascii="Verdana" w:hAnsi="Verdana" w:cs="Arial"/>
        </w:rPr>
        <w:t xml:space="preserve"> </w:t>
      </w:r>
      <w:r w:rsidR="000D249A" w:rsidRPr="000D249A">
        <w:rPr>
          <w:rFonts w:ascii="Verdana" w:hAnsi="Verdana" w:cs="Arial"/>
        </w:rPr>
        <w:t xml:space="preserve">territorial, participara en un proceso de selección por el hecho de tener una sucursal en este, puesto que lo relevante es el domicilio de la Mipyme. </w:t>
      </w:r>
    </w:p>
    <w:p w14:paraId="3A17FBF1" w14:textId="77777777" w:rsidR="00677FA7" w:rsidRDefault="000D249A" w:rsidP="00735AF9">
      <w:pPr>
        <w:widowControl w:val="0"/>
        <w:autoSpaceDE w:val="0"/>
        <w:autoSpaceDN w:val="0"/>
        <w:spacing w:before="120" w:after="120" w:line="276" w:lineRule="auto"/>
        <w:ind w:firstLine="708"/>
        <w:jc w:val="both"/>
        <w:rPr>
          <w:rFonts w:ascii="Verdana" w:hAnsi="Verdana" w:cs="Arial"/>
        </w:rPr>
      </w:pPr>
      <w:r w:rsidRPr="000D249A">
        <w:rPr>
          <w:rFonts w:ascii="Verdana" w:hAnsi="Verdana" w:cs="Arial"/>
        </w:rPr>
        <w:t xml:space="preserve">Ahora bien, el texto del actual artículo 2.2.1.2.4.2.3, modificado por el artículo 5 del Decreto 1860 de 2021, no cambia la tesis adoptada en conceptos citados anteriormente de la Agencia Nacional de Contratación Pública - Colombia Compra Eficiente emitidos antes de la expedición de este reglamento. Lo anterior en la medida que, respecto del domicilio de las Mipymes en el departamento o municipio donde se ejecuta el contrato, la reglamentación no tuvo cambios. Así se desprende del texto de la nueva norma que es del siguiente tenor: </w:t>
      </w:r>
    </w:p>
    <w:p w14:paraId="6FC7F311" w14:textId="77777777" w:rsidR="00063F00" w:rsidRPr="00063F00" w:rsidRDefault="000D249A" w:rsidP="00063F00">
      <w:pPr>
        <w:widowControl w:val="0"/>
        <w:autoSpaceDE w:val="0"/>
        <w:autoSpaceDN w:val="0"/>
        <w:spacing w:before="120" w:after="120" w:line="240" w:lineRule="auto"/>
        <w:ind w:left="709" w:right="709"/>
        <w:jc w:val="both"/>
        <w:rPr>
          <w:rFonts w:ascii="Verdana" w:hAnsi="Verdana" w:cs="Arial"/>
          <w:sz w:val="20"/>
          <w:szCs w:val="20"/>
        </w:rPr>
      </w:pPr>
      <w:r w:rsidRPr="00063F00">
        <w:rPr>
          <w:rFonts w:ascii="Verdana" w:hAnsi="Verdana" w:cs="Arial"/>
          <w:sz w:val="20"/>
          <w:szCs w:val="20"/>
        </w:rPr>
        <w:t xml:space="preserve">“ARTÍCULO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 </w:t>
      </w:r>
    </w:p>
    <w:p w14:paraId="69B252D0" w14:textId="77777777" w:rsidR="00063F00" w:rsidRPr="00063F00" w:rsidRDefault="000D249A" w:rsidP="00063F00">
      <w:pPr>
        <w:widowControl w:val="0"/>
        <w:autoSpaceDE w:val="0"/>
        <w:autoSpaceDN w:val="0"/>
        <w:spacing w:before="120" w:after="120" w:line="240" w:lineRule="auto"/>
        <w:ind w:left="709" w:right="709"/>
        <w:jc w:val="both"/>
        <w:rPr>
          <w:rFonts w:ascii="Verdana" w:hAnsi="Verdana" w:cs="Arial"/>
          <w:sz w:val="20"/>
          <w:szCs w:val="20"/>
        </w:rPr>
      </w:pPr>
      <w:r w:rsidRPr="00063F00">
        <w:rPr>
          <w:rFonts w:ascii="Verdana" w:hAnsi="Verdana" w:cs="Arial"/>
          <w:sz w:val="20"/>
          <w:szCs w:val="20"/>
        </w:rPr>
        <w:t xml:space="preserve">[…] </w:t>
      </w:r>
    </w:p>
    <w:p w14:paraId="5946DBD5" w14:textId="77777777" w:rsidR="00063F00" w:rsidRPr="00063F00" w:rsidRDefault="000D249A" w:rsidP="00063F00">
      <w:pPr>
        <w:widowControl w:val="0"/>
        <w:autoSpaceDE w:val="0"/>
        <w:autoSpaceDN w:val="0"/>
        <w:spacing w:before="120" w:after="120" w:line="240" w:lineRule="auto"/>
        <w:ind w:left="709" w:right="709"/>
        <w:jc w:val="both"/>
        <w:rPr>
          <w:rFonts w:ascii="Verdana" w:hAnsi="Verdana" w:cs="Arial"/>
          <w:sz w:val="20"/>
          <w:szCs w:val="20"/>
        </w:rPr>
      </w:pPr>
      <w:r w:rsidRPr="00063F00">
        <w:rPr>
          <w:rFonts w:ascii="Verdana" w:hAnsi="Verdana" w:cs="Arial"/>
          <w:sz w:val="20"/>
          <w:szCs w:val="20"/>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w:t>
      </w:r>
    </w:p>
    <w:p w14:paraId="4598FEF0" w14:textId="77777777" w:rsidR="00AE6683" w:rsidRDefault="000D249A" w:rsidP="00735AF9">
      <w:pPr>
        <w:widowControl w:val="0"/>
        <w:autoSpaceDE w:val="0"/>
        <w:autoSpaceDN w:val="0"/>
        <w:spacing w:before="120" w:after="120" w:line="276" w:lineRule="auto"/>
        <w:ind w:firstLine="708"/>
        <w:jc w:val="both"/>
        <w:rPr>
          <w:rFonts w:ascii="Verdana" w:hAnsi="Verdana" w:cs="Arial"/>
        </w:rPr>
      </w:pPr>
      <w:r w:rsidRPr="000D249A">
        <w:rPr>
          <w:rFonts w:ascii="Verdana" w:hAnsi="Verdana" w:cs="Arial"/>
        </w:rPr>
        <w:t xml:space="preserve">La norma reglamentaria coincide con la redacción del parágrafo 1 del artículo 34 de la Ley 2069 de 2020, según el cual, sí es posible limitar convocatorias a la participación de Mipymes “[…] del ámbito municipal o departamental correspondiente al de la ejecución del contrato”. En tales </w:t>
      </w:r>
      <w:r w:rsidRPr="000D249A">
        <w:rPr>
          <w:rFonts w:ascii="Verdana" w:hAnsi="Verdana" w:cs="Arial"/>
        </w:rPr>
        <w:lastRenderedPageBreak/>
        <w:t xml:space="preserve">términos, la norma citada sólo contempla la posibilidad de limitar convocatorias a Mipymes con domicilio en esos dos tipos de entidades territoriales. </w:t>
      </w:r>
    </w:p>
    <w:p w14:paraId="79311358" w14:textId="77777777" w:rsidR="00F36051" w:rsidRDefault="000D249A" w:rsidP="00735AF9">
      <w:pPr>
        <w:widowControl w:val="0"/>
        <w:autoSpaceDE w:val="0"/>
        <w:autoSpaceDN w:val="0"/>
        <w:spacing w:before="120" w:after="120" w:line="276" w:lineRule="auto"/>
        <w:ind w:firstLine="708"/>
        <w:jc w:val="both"/>
        <w:rPr>
          <w:rFonts w:ascii="Verdana" w:hAnsi="Verdana" w:cs="Arial"/>
        </w:rPr>
      </w:pPr>
      <w:r w:rsidRPr="000D249A">
        <w:rPr>
          <w:rFonts w:ascii="Verdana" w:hAnsi="Verdana" w:cs="Arial"/>
        </w:rPr>
        <w:t>En ese sentido, toda empresa constituida bajo las leyes colombianas o que tenga su domicilio principal en el territorio colombiano y, además, cumpla los criterios previstos por la Ley 590 de 2000 y el Decreto 957 de 2019, será considerada Mipyme nacional. Además, las normas de contratación permiten</w:t>
      </w:r>
      <w:r w:rsidR="00AE6683">
        <w:rPr>
          <w:rFonts w:ascii="Verdana" w:hAnsi="Verdana" w:cs="Arial"/>
        </w:rPr>
        <w:t xml:space="preserve"> </w:t>
      </w:r>
      <w:r w:rsidR="00AE6683" w:rsidRPr="00AE6683">
        <w:rPr>
          <w:rFonts w:ascii="Verdana" w:hAnsi="Verdana" w:cs="Arial"/>
        </w:rPr>
        <w:t xml:space="preserve">que las Mipymes nacionales puedan beneficiarse de la ejecución de un contrato dentro de la entidad territorial en la que tienen su “domicilio”, siempre que el proceso de contratación efectivamente se limite a Mipymes domiciliadas en determinado ámbito territorial, de conformidad con las reglas establecidas en el Decreto 1082 de 2015, modificado por el Decreto 1860 de 2021. </w:t>
      </w:r>
    </w:p>
    <w:p w14:paraId="759314FD" w14:textId="77777777" w:rsidR="00A35F3F" w:rsidRDefault="00AE6683" w:rsidP="00735AF9">
      <w:pPr>
        <w:widowControl w:val="0"/>
        <w:autoSpaceDE w:val="0"/>
        <w:autoSpaceDN w:val="0"/>
        <w:spacing w:before="120" w:after="120" w:line="276" w:lineRule="auto"/>
        <w:ind w:firstLine="708"/>
        <w:jc w:val="both"/>
        <w:rPr>
          <w:rFonts w:ascii="Verdana" w:hAnsi="Verdana" w:cs="Arial"/>
        </w:rPr>
      </w:pPr>
      <w:r w:rsidRPr="00AE6683">
        <w:rPr>
          <w:rFonts w:ascii="Verdana" w:hAnsi="Verdana" w:cs="Arial"/>
        </w:rPr>
        <w:t xml:space="preserve">Ahora bien, el artículo 2.2.1.2.4.2.3. del Decreto 1082 de 2015, modificado por el artículo 5 del Decreto 1860 de 2021 se refiere a las “mipyme colombianas que tengan </w:t>
      </w:r>
      <w:r w:rsidRPr="00912EF2">
        <w:rPr>
          <w:rFonts w:ascii="Verdana" w:hAnsi="Verdana" w:cs="Arial"/>
          <w:i/>
          <w:iCs/>
        </w:rPr>
        <w:t>domicilio</w:t>
      </w:r>
      <w:r w:rsidRPr="00AE6683">
        <w:rPr>
          <w:rFonts w:ascii="Verdana" w:hAnsi="Verdana" w:cs="Arial"/>
        </w:rPr>
        <w:t xml:space="preserve"> en los departamentos o municipios en donde se va a ejecutar el contrato”. Esta precisión es importante, pues el incentivo previsto en la norma únicamente aplica en el lugar de ejecución del contratado en el que la Mipyme tiene su “domicilio”, y no en donde tiene sucursales, agencias o establecimientos de comercio. </w:t>
      </w:r>
    </w:p>
    <w:p w14:paraId="5DC17DE6" w14:textId="6DAD3BCA" w:rsidR="00A35F3F" w:rsidRDefault="00AE6683" w:rsidP="00735AF9">
      <w:pPr>
        <w:widowControl w:val="0"/>
        <w:autoSpaceDE w:val="0"/>
        <w:autoSpaceDN w:val="0"/>
        <w:spacing w:before="120" w:after="120" w:line="276" w:lineRule="auto"/>
        <w:ind w:firstLine="708"/>
        <w:jc w:val="both"/>
        <w:rPr>
          <w:rFonts w:ascii="Verdana" w:hAnsi="Verdana" w:cs="Arial"/>
        </w:rPr>
      </w:pPr>
      <w:r w:rsidRPr="00AE6683">
        <w:rPr>
          <w:rFonts w:ascii="Verdana" w:hAnsi="Verdana" w:cs="Arial"/>
        </w:rPr>
        <w:t>Para explicar las implicaciones del artículo, en primera instancia, debe analizarse el alcance del término “domicilio” que, para el caso de las sociedades, se constituye en uno de los atributos de su personalidad que, de acuerdo con el ordenamiento jurídico colombiano, son aquellas propiedades o características de identidad propias de las personas, sean naturales o jurídicas, como titulares de derecho. En esta línea, este término es definido por el Código Civil en el artículo 76</w:t>
      </w:r>
      <w:r w:rsidR="003C0966">
        <w:rPr>
          <w:rStyle w:val="Refdenotaalpie"/>
          <w:rFonts w:ascii="Verdana" w:hAnsi="Verdana" w:cs="Arial"/>
        </w:rPr>
        <w:footnoteReference w:id="12"/>
      </w:r>
      <w:r w:rsidRPr="00AE6683">
        <w:rPr>
          <w:rFonts w:ascii="Verdana" w:hAnsi="Verdana" w:cs="Arial"/>
        </w:rPr>
        <w:t xml:space="preserve">, el cual lo concibe como la residencia acompañada real o presuntivamente del ánimo de permanecer en ella, lo cual, para el caso de las sociedades se interpreta como el sitio donde éstas tienen el asiento principal de sus negocios. </w:t>
      </w:r>
    </w:p>
    <w:p w14:paraId="003FD6EF" w14:textId="77777777" w:rsidR="003C0966" w:rsidRDefault="00AE6683" w:rsidP="00735AF9">
      <w:pPr>
        <w:widowControl w:val="0"/>
        <w:autoSpaceDE w:val="0"/>
        <w:autoSpaceDN w:val="0"/>
        <w:spacing w:before="120" w:after="120" w:line="276" w:lineRule="auto"/>
        <w:ind w:firstLine="708"/>
        <w:jc w:val="both"/>
        <w:rPr>
          <w:rFonts w:ascii="Verdana" w:hAnsi="Verdana" w:cs="Arial"/>
        </w:rPr>
      </w:pPr>
      <w:r w:rsidRPr="00AE6683">
        <w:rPr>
          <w:rFonts w:ascii="Verdana" w:hAnsi="Verdana" w:cs="Arial"/>
        </w:rPr>
        <w:t xml:space="preserve">Por otro lado, 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A </w:t>
      </w:r>
      <w:r w:rsidRPr="00AE6683">
        <w:rPr>
          <w:rFonts w:ascii="Verdana" w:hAnsi="Verdana" w:cs="Arial"/>
        </w:rPr>
        <w:lastRenderedPageBreak/>
        <w:t xml:space="preserve">renglón seguido, el artículo 264 señala que son agencias de una sociedad “sus establecimientos de comercio cuyos administradores carezcan de poder para representarla”. </w:t>
      </w:r>
    </w:p>
    <w:p w14:paraId="48479D92" w14:textId="77777777" w:rsidR="000150BD" w:rsidRDefault="00AE6683" w:rsidP="00735AF9">
      <w:pPr>
        <w:widowControl w:val="0"/>
        <w:autoSpaceDE w:val="0"/>
        <w:autoSpaceDN w:val="0"/>
        <w:spacing w:before="120" w:after="120" w:line="276" w:lineRule="auto"/>
        <w:ind w:firstLine="708"/>
        <w:jc w:val="both"/>
        <w:rPr>
          <w:rFonts w:ascii="Verdana" w:hAnsi="Verdana" w:cs="Arial"/>
        </w:rPr>
      </w:pPr>
      <w:r w:rsidRPr="00AE6683">
        <w:rPr>
          <w:rFonts w:ascii="Verdana" w:hAnsi="Verdana" w:cs="Arial"/>
        </w:rPr>
        <w:t xml:space="preserve">Nótese que la norma se refiere a los conceptos de “sucursal”, “agencia” y “domicilio” de forma diferente, de lo que se deriva que las sociedades comerciales tienen un domicilio y pueden tener una o varias sucursales que son establecimientos de comercio, esto es, bienes mercantiles pertenecientes a la sociedad. En ese mismo sentido, los artículos 110 y 111 </w:t>
      </w:r>
      <w:r w:rsidRPr="003C0966">
        <w:rPr>
          <w:rFonts w:ascii="Verdana" w:hAnsi="Verdana" w:cs="Arial"/>
          <w:i/>
          <w:iCs/>
        </w:rPr>
        <w:t>ibídem</w:t>
      </w:r>
      <w:r w:rsidRPr="00AE6683">
        <w:rPr>
          <w:rFonts w:ascii="Verdana" w:hAnsi="Verdana" w:cs="Arial"/>
        </w:rPr>
        <w:t xml:space="preserve"> se refieren a los</w:t>
      </w:r>
      <w:r w:rsidR="000150BD">
        <w:rPr>
          <w:rFonts w:ascii="Verdana" w:hAnsi="Verdana" w:cs="Arial"/>
        </w:rPr>
        <w:t xml:space="preserve"> </w:t>
      </w:r>
      <w:r w:rsidR="000150BD" w:rsidRPr="000150BD">
        <w:rPr>
          <w:rFonts w:ascii="Verdana" w:hAnsi="Verdana" w:cs="Arial"/>
        </w:rPr>
        <w:t xml:space="preserve">conceptos de “sucursal” y “domicilio” 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r w:rsidR="000150BD" w:rsidRPr="00B71B4B">
        <w:rPr>
          <w:rFonts w:ascii="Verdana" w:hAnsi="Verdana" w:cs="Arial"/>
          <w:i/>
          <w:iCs/>
        </w:rPr>
        <w:t>ibídem</w:t>
      </w:r>
      <w:r w:rsidR="000150BD" w:rsidRPr="000150BD">
        <w:rPr>
          <w:rFonts w:ascii="Verdana" w:hAnsi="Verdana" w:cs="Arial"/>
        </w:rPr>
        <w:t xml:space="preserve"> a las entidades que tienen “sucursales” y “agencias” en el municipio o departamento en donde se va a ejecutar el contrato estatal. </w:t>
      </w:r>
    </w:p>
    <w:p w14:paraId="5E7D6F14" w14:textId="77777777" w:rsidR="000150BD" w:rsidRDefault="000150BD" w:rsidP="00735AF9">
      <w:pPr>
        <w:widowControl w:val="0"/>
        <w:autoSpaceDE w:val="0"/>
        <w:autoSpaceDN w:val="0"/>
        <w:spacing w:before="120" w:after="120" w:line="276" w:lineRule="auto"/>
        <w:ind w:firstLine="708"/>
        <w:jc w:val="both"/>
        <w:rPr>
          <w:rFonts w:ascii="Verdana" w:hAnsi="Verdana" w:cs="Arial"/>
        </w:rPr>
      </w:pPr>
      <w:r w:rsidRPr="000150BD">
        <w:rPr>
          <w:rFonts w:ascii="Verdana" w:hAnsi="Verdana" w:cs="Arial"/>
        </w:rPr>
        <w:t xml:space="preserve">De conformidad con lo anterior, se evidencia que la limitación territorial regulada en el artículo 2.2.1.2.4.2.3 del Decreto 1082 de 2015 será aplicada para aquellas Mipymes que tengan su domicilio principal en el municipio o departamento respectivo. Por tanto, este artículo no aplicaría frente a la ubicación de las sucursales y agencias de las Mipymes. De este modo, la participación de los diferentes procesos de contratación cuando está limitada territorialmente está condicionada al domicilio principal de la Mipyme respectiva. </w:t>
      </w:r>
    </w:p>
    <w:p w14:paraId="4CF34468" w14:textId="01B9B36A" w:rsidR="00DA6CD7" w:rsidRPr="00593A5F" w:rsidRDefault="000150BD" w:rsidP="00735AF9">
      <w:pPr>
        <w:widowControl w:val="0"/>
        <w:autoSpaceDE w:val="0"/>
        <w:autoSpaceDN w:val="0"/>
        <w:spacing w:before="120" w:after="120" w:line="276" w:lineRule="auto"/>
        <w:ind w:firstLine="708"/>
        <w:jc w:val="both"/>
        <w:rPr>
          <w:rFonts w:ascii="Verdana" w:hAnsi="Verdana" w:cs="Arial"/>
        </w:rPr>
      </w:pPr>
      <w:r w:rsidRPr="000150BD">
        <w:rPr>
          <w:rFonts w:ascii="Verdana" w:hAnsi="Verdana" w:cs="Arial"/>
        </w:rPr>
        <w:t xml:space="preserve">Sin perjuicio de lo anterior, no puede perderse de vista que la decisión de limitar “a Mipyme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Mipymes, no puede </w:t>
      </w:r>
      <w:r w:rsidRPr="00F44155">
        <w:rPr>
          <w:rFonts w:ascii="Verdana" w:hAnsi="Verdana" w:cs="Arial"/>
          <w:i/>
          <w:iCs/>
        </w:rPr>
        <w:t>motu</w:t>
      </w:r>
      <w:r w:rsidR="0022014D">
        <w:rPr>
          <w:rFonts w:ascii="Verdana" w:hAnsi="Verdana" w:cs="Arial"/>
          <w:i/>
          <w:iCs/>
        </w:rPr>
        <w:t xml:space="preserve"> </w:t>
      </w:r>
      <w:r w:rsidRPr="00F44155">
        <w:rPr>
          <w:rFonts w:ascii="Verdana" w:hAnsi="Verdana" w:cs="Arial"/>
          <w:i/>
          <w:iCs/>
        </w:rPr>
        <w:t>propio</w:t>
      </w:r>
      <w:r w:rsidRPr="000150BD">
        <w:rPr>
          <w:rFonts w:ascii="Verdana" w:hAnsi="Verdana" w:cs="Arial"/>
        </w:rPr>
        <w:t xml:space="preserve"> proceder con la “limitación territorial” de que trata el artículo 2.2.1.2.4.2.3. del Decreto 1082 de 2015. Esto debido a que el ejercicio de esta facultad solo puede darse ante la “limitación a Mipymes colombianas”, lo cual supone verificar los </w:t>
      </w:r>
      <w:r w:rsidRPr="000150BD">
        <w:rPr>
          <w:rFonts w:ascii="Verdana" w:hAnsi="Verdana" w:cs="Arial"/>
        </w:rPr>
        <w:lastRenderedPageBreak/>
        <w:t>supuestos legales establecidos en los mencionados numerales.</w:t>
      </w: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6A7FD2DC" w14:textId="77777777" w:rsidR="00F44155" w:rsidRDefault="00F44155" w:rsidP="00F44155">
            <w:pPr>
              <w:pStyle w:val="Prrafodelista"/>
              <w:widowControl w:val="0"/>
              <w:numPr>
                <w:ilvl w:val="0"/>
                <w:numId w:val="8"/>
              </w:numPr>
              <w:autoSpaceDE w:val="0"/>
              <w:autoSpaceDN w:val="0"/>
              <w:spacing w:after="120" w:line="276" w:lineRule="auto"/>
              <w:jc w:val="both"/>
              <w:rPr>
                <w:rFonts w:ascii="Verdana" w:hAnsi="Verdana" w:cs="Arial"/>
              </w:rPr>
            </w:pPr>
            <w:r w:rsidRPr="00F44155">
              <w:rPr>
                <w:rFonts w:ascii="Verdana" w:hAnsi="Verdana" w:cs="Arial"/>
              </w:rPr>
              <w:t xml:space="preserve">Decreto 1860 de 2021. </w:t>
            </w:r>
          </w:p>
          <w:p w14:paraId="771A6162" w14:textId="77777777" w:rsidR="00F44155" w:rsidRDefault="00F44155" w:rsidP="00F44155">
            <w:pPr>
              <w:pStyle w:val="Prrafodelista"/>
              <w:widowControl w:val="0"/>
              <w:numPr>
                <w:ilvl w:val="0"/>
                <w:numId w:val="8"/>
              </w:numPr>
              <w:autoSpaceDE w:val="0"/>
              <w:autoSpaceDN w:val="0"/>
              <w:spacing w:after="120" w:line="276" w:lineRule="auto"/>
              <w:jc w:val="both"/>
              <w:rPr>
                <w:rFonts w:ascii="Verdana" w:hAnsi="Verdana" w:cs="Arial"/>
              </w:rPr>
            </w:pPr>
            <w:r w:rsidRPr="00F44155">
              <w:rPr>
                <w:rFonts w:ascii="Verdana" w:hAnsi="Verdana" w:cs="Arial"/>
              </w:rPr>
              <w:t xml:space="preserve">Ley 1150 de 2007, Artículo 5. </w:t>
            </w:r>
          </w:p>
          <w:p w14:paraId="6ACEA7FD" w14:textId="5FB822C5" w:rsidR="00871B59" w:rsidRPr="00714214" w:rsidRDefault="00F44155" w:rsidP="00714214">
            <w:pPr>
              <w:pStyle w:val="Prrafodelista"/>
              <w:widowControl w:val="0"/>
              <w:numPr>
                <w:ilvl w:val="0"/>
                <w:numId w:val="8"/>
              </w:numPr>
              <w:autoSpaceDE w:val="0"/>
              <w:autoSpaceDN w:val="0"/>
              <w:spacing w:after="120" w:line="276" w:lineRule="auto"/>
              <w:jc w:val="both"/>
              <w:rPr>
                <w:rFonts w:ascii="Verdana" w:hAnsi="Verdana" w:cs="Arial"/>
              </w:rPr>
            </w:pPr>
            <w:r w:rsidRPr="00F44155">
              <w:rPr>
                <w:rFonts w:ascii="Verdana" w:hAnsi="Verdana" w:cs="Arial"/>
              </w:rPr>
              <w:t>Ley 2069 de 2020.</w:t>
            </w:r>
            <w:r w:rsidR="00871B59">
              <w:rPr>
                <w:rFonts w:ascii="Verdana" w:hAnsi="Verdana" w:cs="Arial"/>
              </w:rPr>
              <w:t xml:space="preserve"> </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1294D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8C30E7" w14:textId="0EB8D9CC" w:rsidR="00871B59" w:rsidRDefault="001F7C63"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1F7C63">
        <w:rPr>
          <w:rFonts w:ascii="Verdana" w:hAnsi="Verdana" w:cs="Arial"/>
          <w:shd w:val="clear" w:color="auto" w:fill="FFFFFF"/>
        </w:rPr>
        <w:t>Sobre las limitaciones de procesos a las Mipymes se pronunció esta Subdirección en los conceptos C-162 del 16 de abril de 2020, C – 214 del 21 de abril de 2020, C – 258 del 17 de abril de 2020, C – 364 del 4 de junio de 2020, C – 413 del 30 de junio de 2020, C – 492 del 24 de julio de 2020, C – 523 del 11 de agosto de 2020, C – 610 del 14 de septiembre de 2020, C-159 del 20 de junio de 2023, C</w:t>
      </w:r>
      <w:r w:rsidRPr="001F7C63">
        <w:rPr>
          <w:rFonts w:ascii="Verdana" w:hAnsi="Verdana" w:cs="Arial"/>
          <w:shd w:val="clear" w:color="auto" w:fill="FFFFFF"/>
        </w:rPr>
        <w:t>253 del 15 de agosto de 2024, C-382 del 5 de septiembre de 2024, C-586 del 23 de octubre de 2024 y C- 829 del 24 de diciembre de 2024.</w:t>
      </w:r>
      <w:r w:rsidR="00871B59" w:rsidRPr="00A1554D">
        <w:rPr>
          <w:rStyle w:val="normaltextrun"/>
          <w:rFonts w:ascii="Verdana" w:hAnsi="Verdana" w:cs="Arial"/>
          <w:color w:val="7030A0"/>
          <w:shd w:val="clear" w:color="auto" w:fill="FFFFFF"/>
          <w:lang w:val="es-ES"/>
        </w:rPr>
        <w:t xml:space="preserve"> </w:t>
      </w:r>
      <w:r w:rsidR="00871B59" w:rsidRPr="00A1554D">
        <w:rPr>
          <w:rStyle w:val="normaltextrun"/>
          <w:rFonts w:ascii="Verdana" w:hAnsi="Verdana" w:cs="Arial"/>
          <w:shd w:val="clear" w:color="auto" w:fill="FFFFFF"/>
          <w:lang w:val="es-ES"/>
        </w:rPr>
        <w:t>Es</w:t>
      </w:r>
      <w:r w:rsidR="00871B59" w:rsidRPr="00A1554D">
        <w:rPr>
          <w:rFonts w:ascii="Verdana" w:hAnsi="Verdana"/>
        </w:rPr>
        <w:t xml:space="preserve">tos y otros conceptos se encuentran disponibles para consulta en el Sistema de </w:t>
      </w:r>
      <w:r w:rsidR="00871B59">
        <w:rPr>
          <w:rFonts w:ascii="Verdana" w:hAnsi="Verdana"/>
        </w:rPr>
        <w:t>r</w:t>
      </w:r>
      <w:r w:rsidR="00871B59" w:rsidRPr="00A1554D">
        <w:rPr>
          <w:rFonts w:ascii="Verdana" w:hAnsi="Verdana"/>
        </w:rPr>
        <w:t>elatoría de la Agencia, al cual se puede acceder a través del siguiente enlace:</w:t>
      </w:r>
      <w:r w:rsidR="00871B59" w:rsidRPr="00A1554D">
        <w:rPr>
          <w:rStyle w:val="normaltextrun"/>
          <w:rFonts w:ascii="Verdana" w:hAnsi="Verdana" w:cs="Arial"/>
          <w:shd w:val="clear" w:color="auto" w:fill="FFFFFF"/>
          <w:lang w:val="es-ES"/>
        </w:rPr>
        <w:t xml:space="preserve"> </w:t>
      </w:r>
      <w:hyperlink r:id="rId13" w:history="1">
        <w:r w:rsidR="00871B59" w:rsidRPr="00A1554D">
          <w:rPr>
            <w:rStyle w:val="Hipervnculo"/>
            <w:rFonts w:ascii="Verdana" w:hAnsi="Verdana" w:cs="Arial"/>
            <w:shd w:val="clear" w:color="auto" w:fill="FFFFFF"/>
            <w:lang w:val="es-ES"/>
          </w:rPr>
          <w:t>https://relatoria.colombiacompra.gov.co/busqueda/conceptos</w:t>
        </w:r>
      </w:hyperlink>
      <w:r w:rsidR="00871B59">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0F28520F" w14:textId="77777777" w:rsidR="00960984" w:rsidRDefault="00960984" w:rsidP="00871B59">
      <w:pPr>
        <w:widowControl w:val="0"/>
        <w:autoSpaceDE w:val="0"/>
        <w:autoSpaceDN w:val="0"/>
        <w:spacing w:after="0" w:line="276" w:lineRule="auto"/>
        <w:jc w:val="both"/>
        <w:rPr>
          <w:rFonts w:ascii="Verdana" w:hAnsi="Verdana" w:cs="Arial"/>
          <w:color w:val="000000" w:themeColor="text1"/>
          <w:shd w:val="clear" w:color="auto" w:fill="FFFFFF"/>
        </w:rPr>
      </w:pPr>
      <w:r w:rsidRPr="00960984">
        <w:rPr>
          <w:rFonts w:ascii="Verdana" w:hAnsi="Verdana" w:cs="Arial"/>
          <w:color w:val="000000" w:themeColor="text1"/>
          <w:shd w:val="clear" w:color="auto" w:fill="FFFFFF"/>
        </w:rPr>
        <w:t xml:space="preserve">Nos complace informarte que ya están disponibles las nuevas versiones de los Documentos Tipo para Infraestructura de Transporte, recuerda que es de obligatoria observancia por TODAS las entidades sometidas al EGCAP y entidades de régimen especial, con las excepciones de ley: </w:t>
      </w:r>
    </w:p>
    <w:p w14:paraId="20D7B836" w14:textId="4515A27B" w:rsidR="008E51CA" w:rsidRPr="008E51CA" w:rsidRDefault="00960984" w:rsidP="00960984">
      <w:pPr>
        <w:pStyle w:val="Prrafodelista"/>
        <w:widowControl w:val="0"/>
        <w:numPr>
          <w:ilvl w:val="0"/>
          <w:numId w:val="12"/>
        </w:numPr>
        <w:autoSpaceDE w:val="0"/>
        <w:autoSpaceDN w:val="0"/>
        <w:spacing w:after="0" w:line="276" w:lineRule="auto"/>
        <w:jc w:val="both"/>
        <w:rPr>
          <w:rFonts w:ascii="Verdana" w:hAnsi="Verdana" w:cs="Arial"/>
          <w:color w:val="FF0000"/>
          <w:shd w:val="clear" w:color="auto" w:fill="FFFFFF"/>
          <w:lang w:val="es-ES"/>
        </w:rPr>
      </w:pPr>
      <w:r w:rsidRPr="008E51CA">
        <w:rPr>
          <w:rFonts w:ascii="Verdana" w:hAnsi="Verdana" w:cs="Arial"/>
          <w:b/>
          <w:bCs/>
          <w:color w:val="000000" w:themeColor="text1"/>
          <w:shd w:val="clear" w:color="auto" w:fill="FFFFFF"/>
        </w:rPr>
        <w:t>Documentos tipo para los procesos de selección de interventoría de obra pública de infraestructura de transporte – versión 3:</w:t>
      </w:r>
      <w:r w:rsidRPr="00960984">
        <w:rPr>
          <w:rFonts w:ascii="Verdana" w:hAnsi="Verdana" w:cs="Arial"/>
          <w:color w:val="000000" w:themeColor="text1"/>
          <w:shd w:val="clear" w:color="auto" w:fill="FFFFFF"/>
        </w:rPr>
        <w:t xml:space="preserve"> </w:t>
      </w:r>
      <w:hyperlink r:id="rId14" w:history="1">
        <w:r w:rsidRPr="00B77926">
          <w:rPr>
            <w:rStyle w:val="Hipervnculo"/>
            <w:rFonts w:ascii="Verdana" w:hAnsi="Verdana" w:cs="Arial"/>
            <w:shd w:val="clear" w:color="auto" w:fill="FFFFFF"/>
          </w:rPr>
          <w:t xml:space="preserve">03. Documentos tipo para los procesos de selección de </w:t>
        </w:r>
        <w:r w:rsidRPr="00B77926">
          <w:rPr>
            <w:rStyle w:val="Hipervnculo"/>
            <w:rFonts w:ascii="Verdana" w:hAnsi="Verdana" w:cs="Arial"/>
            <w:shd w:val="clear" w:color="auto" w:fill="FFFFFF"/>
          </w:rPr>
          <w:t>i</w:t>
        </w:r>
        <w:r w:rsidRPr="00B77926">
          <w:rPr>
            <w:rStyle w:val="Hipervnculo"/>
            <w:rFonts w:ascii="Verdana" w:hAnsi="Verdana" w:cs="Arial"/>
            <w:shd w:val="clear" w:color="auto" w:fill="FFFFFF"/>
          </w:rPr>
          <w:t>nterventoría de obra pública de infraestructura de transporte – versión 3 | Colombia Compra Eficiente | Agencia Nacional de Contratación Pública</w:t>
        </w:r>
      </w:hyperlink>
      <w:r w:rsidRPr="00960984">
        <w:rPr>
          <w:rFonts w:ascii="Verdana" w:hAnsi="Verdana" w:cs="Arial"/>
          <w:color w:val="000000" w:themeColor="text1"/>
          <w:shd w:val="clear" w:color="auto" w:fill="FFFFFF"/>
        </w:rPr>
        <w:t xml:space="preserve"> </w:t>
      </w:r>
    </w:p>
    <w:p w14:paraId="1C3A2DA1" w14:textId="36E34254" w:rsidR="00664FAA" w:rsidRPr="00664FAA" w:rsidRDefault="00960984" w:rsidP="00960984">
      <w:pPr>
        <w:pStyle w:val="Prrafodelista"/>
        <w:widowControl w:val="0"/>
        <w:numPr>
          <w:ilvl w:val="0"/>
          <w:numId w:val="12"/>
        </w:numPr>
        <w:autoSpaceDE w:val="0"/>
        <w:autoSpaceDN w:val="0"/>
        <w:spacing w:after="0" w:line="276" w:lineRule="auto"/>
        <w:jc w:val="both"/>
        <w:rPr>
          <w:rFonts w:ascii="Verdana" w:hAnsi="Verdana" w:cs="Arial"/>
          <w:color w:val="FF0000"/>
          <w:shd w:val="clear" w:color="auto" w:fill="FFFFFF"/>
          <w:lang w:val="es-ES"/>
        </w:rPr>
      </w:pPr>
      <w:r w:rsidRPr="00B7792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960984">
        <w:rPr>
          <w:rFonts w:ascii="Verdana" w:hAnsi="Verdana" w:cs="Arial"/>
          <w:color w:val="000000" w:themeColor="text1"/>
          <w:shd w:val="clear" w:color="auto" w:fill="FFFFFF"/>
        </w:rPr>
        <w:t xml:space="preserve"> </w:t>
      </w:r>
      <w:hyperlink r:id="rId15" w:history="1">
        <w:r w:rsidRPr="00A52302">
          <w:rPr>
            <w:rStyle w:val="Hipervnculo"/>
            <w:rFonts w:ascii="Verdana" w:hAnsi="Verdana" w:cs="Arial"/>
            <w:shd w:val="clear" w:color="auto" w:fill="FFFFFF"/>
          </w:rPr>
          <w:t xml:space="preserve">02. Documentos tipo para los procesos de selección de consultoría de obra pública de infraestructura de transporte – versión 2. | Colombia Compra </w:t>
        </w:r>
        <w:r w:rsidRPr="00A52302">
          <w:rPr>
            <w:rStyle w:val="Hipervnculo"/>
            <w:rFonts w:ascii="Verdana" w:hAnsi="Verdana" w:cs="Arial"/>
            <w:shd w:val="clear" w:color="auto" w:fill="FFFFFF"/>
          </w:rPr>
          <w:lastRenderedPageBreak/>
          <w:t>Eficiente | Agencia Nacional de Contratación Pública</w:t>
        </w:r>
      </w:hyperlink>
      <w:r w:rsidRPr="00960984">
        <w:rPr>
          <w:rFonts w:ascii="Verdana" w:hAnsi="Verdana" w:cs="Arial"/>
          <w:color w:val="000000" w:themeColor="text1"/>
          <w:shd w:val="clear" w:color="auto" w:fill="FFFFFF"/>
        </w:rPr>
        <w:t xml:space="preserve"> </w:t>
      </w:r>
    </w:p>
    <w:p w14:paraId="557D751F" w14:textId="77777777" w:rsidR="00A52302" w:rsidRDefault="00A52302" w:rsidP="00664FAA">
      <w:pPr>
        <w:widowControl w:val="0"/>
        <w:autoSpaceDE w:val="0"/>
        <w:autoSpaceDN w:val="0"/>
        <w:spacing w:after="0" w:line="276" w:lineRule="auto"/>
        <w:jc w:val="both"/>
        <w:rPr>
          <w:rFonts w:ascii="Verdana" w:hAnsi="Verdana" w:cs="Arial"/>
          <w:color w:val="000000" w:themeColor="text1"/>
          <w:shd w:val="clear" w:color="auto" w:fill="FFFFFF"/>
        </w:rPr>
      </w:pPr>
    </w:p>
    <w:p w14:paraId="64160CA7" w14:textId="0937D073" w:rsidR="00960984" w:rsidRPr="00664FAA" w:rsidRDefault="00960984" w:rsidP="00664FAA">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664FAA">
        <w:rPr>
          <w:rFonts w:ascii="Verdana" w:hAnsi="Verdana" w:cs="Arial"/>
          <w:color w:val="000000" w:themeColor="text1"/>
          <w:shd w:val="clear" w:color="auto" w:fill="FFFFFF"/>
        </w:rPr>
        <w:t xml:space="preserve">También, te contamos que ya publicamos la nueva Guía de Contratación Pública Sostenible y Socialmente Responsable.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history="1">
        <w:r w:rsidRPr="00A50AC8">
          <w:rPr>
            <w:rStyle w:val="Hipervnculo"/>
            <w:rFonts w:ascii="Verdana" w:hAnsi="Verdana" w:cs="Arial"/>
            <w:shd w:val="clear" w:color="auto" w:fill="FFFFFF"/>
          </w:rPr>
          <w:t>Guía de Contratación Pública Sostenible y Socialmente Responsable | Colombia Compra Eficiente | Agencia Nacional de Contratación Pública</w:t>
        </w:r>
        <w:r w:rsidR="00871B59" w:rsidRPr="00A50AC8">
          <w:rPr>
            <w:rStyle w:val="Hipervnculo"/>
            <w:rFonts w:ascii="Verdana" w:hAnsi="Verdana" w:cs="Arial"/>
            <w:shd w:val="clear" w:color="auto" w:fill="FFFFFF"/>
            <w:lang w:val="es-ES"/>
          </w:rPr>
          <w:t xml:space="preserve"> </w:t>
        </w:r>
      </w:hyperlink>
      <w:r w:rsidR="00871B59" w:rsidRPr="00664FAA">
        <w:rPr>
          <w:rStyle w:val="normaltextrun"/>
          <w:rFonts w:ascii="Verdana" w:hAnsi="Verdana" w:cs="Arial"/>
          <w:color w:val="FF0000"/>
          <w:shd w:val="clear" w:color="auto" w:fill="FFFFFF"/>
          <w:lang w:val="es-ES"/>
        </w:rPr>
        <w:t xml:space="preserve"> </w:t>
      </w:r>
    </w:p>
    <w:p w14:paraId="6E5FBA74" w14:textId="2BAE9850"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A1554D">
        <w:rPr>
          <w:rStyle w:val="normaltextrun"/>
          <w:rFonts w:ascii="Verdana" w:hAnsi="Verdana" w:cs="Arial"/>
          <w:color w:val="FF0000"/>
          <w:shd w:val="clear" w:color="auto" w:fill="FFFFFF"/>
          <w:lang w:val="es-ES"/>
        </w:rPr>
        <w:t xml:space="preserve">  </w:t>
      </w:r>
    </w:p>
    <w:p w14:paraId="1570ED43"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1FCDE69D" w:rsidR="00871B59" w:rsidRPr="00593A5F" w:rsidRDefault="00F75D88" w:rsidP="00871B59">
      <w:pPr>
        <w:spacing w:line="276" w:lineRule="auto"/>
        <w:jc w:val="center"/>
        <w:rPr>
          <w:rFonts w:ascii="Verdana" w:hAnsi="Verdana" w:cs="Arial"/>
          <w:color w:val="000000"/>
          <w:lang w:val="es-ES_tradnl" w:eastAsia="es-CO"/>
        </w:rPr>
      </w:pPr>
      <w:r>
        <w:rPr>
          <w:noProof/>
        </w:rPr>
        <w:drawing>
          <wp:inline distT="0" distB="0" distL="0" distR="0" wp14:anchorId="4C77C682" wp14:editId="745B3DF5">
            <wp:extent cx="3771429" cy="1400000"/>
            <wp:effectExtent l="0" t="0" r="635" b="0"/>
            <wp:docPr id="109196177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1961770" name="Imagen 1" descr="Texto&#10;&#10;El contenido generado por IA puede ser incorrecto."/>
                    <pic:cNvPicPr/>
                  </pic:nvPicPr>
                  <pic:blipFill>
                    <a:blip r:embed="rId17"/>
                    <a:stretch>
                      <a:fillRect/>
                    </a:stretch>
                  </pic:blipFill>
                  <pic:spPr>
                    <a:xfrm>
                      <a:off x="0" y="0"/>
                      <a:ext cx="3771429" cy="14000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4517D" w:rsidRPr="0024517D" w14:paraId="1126B052" w14:textId="77777777" w:rsidTr="00D1380F">
        <w:trPr>
          <w:trHeight w:val="315"/>
        </w:trPr>
        <w:tc>
          <w:tcPr>
            <w:tcW w:w="893" w:type="dxa"/>
            <w:vAlign w:val="center"/>
            <w:hideMark/>
          </w:tcPr>
          <w:p w14:paraId="0AA0B156" w14:textId="77777777" w:rsidR="00BE3BF9" w:rsidRPr="00BD55E7" w:rsidRDefault="00BE3BF9" w:rsidP="00D1380F">
            <w:pPr>
              <w:contextualSpacing/>
              <w:rPr>
                <w:rFonts w:ascii="Verdana" w:hAnsi="Verdana" w:cs="Arial"/>
                <w:sz w:val="16"/>
                <w:szCs w:val="16"/>
                <w:lang w:val="es-ES" w:eastAsia="es-ES"/>
              </w:rPr>
            </w:pPr>
            <w:r w:rsidRPr="00BD55E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50114F9" w14:textId="77777777" w:rsidR="00645D5D" w:rsidRPr="00BD55E7" w:rsidRDefault="00645D5D" w:rsidP="00D1380F">
            <w:pPr>
              <w:contextualSpacing/>
              <w:rPr>
                <w:rStyle w:val="normaltextrun"/>
                <w:rFonts w:ascii="Verdana" w:hAnsi="Verdana"/>
                <w:sz w:val="16"/>
                <w:szCs w:val="16"/>
              </w:rPr>
            </w:pPr>
            <w:r w:rsidRPr="00BD55E7">
              <w:rPr>
                <w:rStyle w:val="normaltextrun"/>
                <w:rFonts w:ascii="Verdana" w:hAnsi="Verdana"/>
                <w:sz w:val="16"/>
                <w:szCs w:val="16"/>
              </w:rPr>
              <w:t>Betty Diaz Fernández</w:t>
            </w:r>
          </w:p>
          <w:p w14:paraId="4ACC0D4A" w14:textId="30215FE7" w:rsidR="00BE3BF9" w:rsidRPr="00BD55E7" w:rsidRDefault="00645D5D" w:rsidP="00D1380F">
            <w:pPr>
              <w:contextualSpacing/>
              <w:rPr>
                <w:rFonts w:ascii="Verdana" w:eastAsia="Arial" w:hAnsi="Verdana" w:cs="Arial"/>
                <w:sz w:val="16"/>
                <w:szCs w:val="16"/>
              </w:rPr>
            </w:pPr>
            <w:r w:rsidRPr="00BD55E7">
              <w:rPr>
                <w:rStyle w:val="normaltextrun"/>
                <w:rFonts w:ascii="Verdana" w:hAnsi="Verdana"/>
                <w:sz w:val="16"/>
                <w:szCs w:val="16"/>
              </w:rPr>
              <w:t>Contrat</w:t>
            </w:r>
            <w:r w:rsidR="00BE3BF9" w:rsidRPr="00BD55E7">
              <w:rPr>
                <w:rStyle w:val="normaltextrun"/>
                <w:rFonts w:ascii="Verdana" w:hAnsi="Verdana"/>
                <w:sz w:val="16"/>
                <w:szCs w:val="16"/>
              </w:rPr>
              <w:t xml:space="preserve">ista </w:t>
            </w:r>
            <w:r w:rsidR="00BE3BF9" w:rsidRPr="00BD55E7">
              <w:rPr>
                <w:rStyle w:val="normaltextrun"/>
                <w:rFonts w:ascii="Verdana" w:eastAsia="Arial" w:hAnsi="Verdana" w:cs="Arial"/>
                <w:sz w:val="16"/>
                <w:szCs w:val="16"/>
              </w:rPr>
              <w:t>de la Subdirección de Gestión Contractual</w:t>
            </w:r>
          </w:p>
        </w:tc>
      </w:tr>
      <w:tr w:rsidR="0024517D" w:rsidRPr="0024517D" w14:paraId="171AFB21" w14:textId="77777777" w:rsidTr="00D1380F">
        <w:trPr>
          <w:trHeight w:val="330"/>
        </w:trPr>
        <w:tc>
          <w:tcPr>
            <w:tcW w:w="893" w:type="dxa"/>
            <w:vAlign w:val="center"/>
            <w:hideMark/>
          </w:tcPr>
          <w:p w14:paraId="1446E480" w14:textId="77777777" w:rsidR="00BE3BF9" w:rsidRPr="00BD55E7" w:rsidRDefault="00BE3BF9" w:rsidP="00D1380F">
            <w:pPr>
              <w:contextualSpacing/>
              <w:rPr>
                <w:rFonts w:ascii="Verdana" w:hAnsi="Verdana" w:cs="Arial"/>
                <w:sz w:val="16"/>
                <w:szCs w:val="16"/>
                <w:lang w:val="es-ES" w:eastAsia="es-ES"/>
              </w:rPr>
            </w:pPr>
            <w:r w:rsidRPr="00BD55E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1C7B1C" w14:textId="77777777" w:rsidR="0024517D" w:rsidRPr="0024517D" w:rsidRDefault="0024517D" w:rsidP="0024517D">
            <w:pPr>
              <w:pStyle w:val="paragraph"/>
              <w:contextualSpacing/>
              <w:textAlignment w:val="baseline"/>
              <w:rPr>
                <w:rFonts w:ascii="Verdana" w:hAnsi="Verdana" w:cs="Arial"/>
                <w:sz w:val="16"/>
                <w:szCs w:val="16"/>
              </w:rPr>
            </w:pPr>
            <w:r w:rsidRPr="0024517D">
              <w:rPr>
                <w:rFonts w:ascii="Verdana" w:hAnsi="Verdana" w:cs="Arial"/>
                <w:sz w:val="16"/>
                <w:szCs w:val="16"/>
              </w:rPr>
              <w:t>Ximena Ríos López</w:t>
            </w:r>
          </w:p>
          <w:p w14:paraId="1D0655EC" w14:textId="4E247DC2" w:rsidR="00BE3BF9" w:rsidRPr="00BD55E7" w:rsidRDefault="0024517D" w:rsidP="0024517D">
            <w:pPr>
              <w:pStyle w:val="paragraph"/>
              <w:spacing w:after="0"/>
              <w:contextualSpacing/>
              <w:textAlignment w:val="baseline"/>
              <w:rPr>
                <w:rFonts w:ascii="Verdana" w:hAnsi="Verdana" w:cs="Arial"/>
                <w:sz w:val="16"/>
                <w:szCs w:val="16"/>
                <w:lang w:val="es-ES"/>
              </w:rPr>
            </w:pPr>
            <w:r w:rsidRPr="00BD55E7">
              <w:rPr>
                <w:rFonts w:ascii="Verdana" w:hAnsi="Verdana" w:cs="Arial"/>
                <w:sz w:val="16"/>
                <w:szCs w:val="16"/>
              </w:rPr>
              <w:t>Gestor T1-11 de la Subdirección de Gestión Contractual</w:t>
            </w:r>
            <w:r w:rsidR="00BE3BF9" w:rsidRPr="00BD55E7">
              <w:rPr>
                <w:rStyle w:val="normaltextrun"/>
                <w:rFonts w:ascii="Verdana" w:hAnsi="Verdana" w:cs="Arial"/>
                <w:sz w:val="16"/>
                <w:szCs w:val="16"/>
                <w:lang w:val="es-ES"/>
              </w:rPr>
              <w:t xml:space="preserve"> </w:t>
            </w:r>
          </w:p>
        </w:tc>
      </w:tr>
      <w:tr w:rsidR="00BD55E7" w:rsidRPr="0024517D" w14:paraId="5B4BEF28" w14:textId="77777777" w:rsidTr="00D1380F">
        <w:trPr>
          <w:trHeight w:val="300"/>
        </w:trPr>
        <w:tc>
          <w:tcPr>
            <w:tcW w:w="893" w:type="dxa"/>
            <w:vAlign w:val="center"/>
          </w:tcPr>
          <w:p w14:paraId="0120E3E7" w14:textId="77777777" w:rsidR="00BE3BF9" w:rsidRPr="00BD55E7" w:rsidRDefault="00BE3BF9" w:rsidP="00D1380F">
            <w:pPr>
              <w:contextualSpacing/>
              <w:rPr>
                <w:rFonts w:ascii="Verdana" w:hAnsi="Verdana" w:cs="Arial"/>
                <w:sz w:val="16"/>
                <w:szCs w:val="16"/>
                <w:lang w:val="es-ES" w:eastAsia="es-ES"/>
              </w:rPr>
            </w:pPr>
            <w:r w:rsidRPr="00BD55E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5D3D042" w14:textId="77777777" w:rsidR="00BE3BF9" w:rsidRPr="00BD55E7" w:rsidRDefault="00BE3BF9" w:rsidP="00D1380F">
            <w:pPr>
              <w:contextualSpacing/>
              <w:rPr>
                <w:rFonts w:ascii="Verdana" w:eastAsia="Calibri" w:hAnsi="Verdana" w:cs="Arial"/>
                <w:sz w:val="16"/>
                <w:szCs w:val="16"/>
                <w:lang w:val="pt-BR" w:eastAsia="es-ES"/>
              </w:rPr>
            </w:pPr>
            <w:r w:rsidRPr="00BD55E7">
              <w:rPr>
                <w:rFonts w:ascii="Verdana" w:eastAsia="Calibri" w:hAnsi="Verdana" w:cs="Arial"/>
                <w:sz w:val="16"/>
                <w:szCs w:val="16"/>
                <w:lang w:val="pt-BR" w:eastAsia="es-ES"/>
              </w:rPr>
              <w:t>Carolina Quintero Gacharná</w:t>
            </w:r>
          </w:p>
          <w:p w14:paraId="09E96ECA" w14:textId="77777777" w:rsidR="00BE3BF9" w:rsidRPr="00BD55E7" w:rsidRDefault="00BE3BF9" w:rsidP="00D1380F">
            <w:pPr>
              <w:contextualSpacing/>
              <w:rPr>
                <w:rFonts w:ascii="Verdana" w:eastAsia="Calibri" w:hAnsi="Verdana" w:cs="Arial"/>
                <w:sz w:val="16"/>
                <w:szCs w:val="16"/>
                <w:lang w:val="pt-BR" w:eastAsia="es-ES"/>
              </w:rPr>
            </w:pPr>
            <w:r w:rsidRPr="00BD55E7">
              <w:rPr>
                <w:rFonts w:ascii="Verdana" w:eastAsia="Calibri" w:hAnsi="Verdana" w:cs="Arial"/>
                <w:sz w:val="16"/>
                <w:szCs w:val="16"/>
                <w:lang w:eastAsia="es-ES"/>
              </w:rPr>
              <w:t>Subdirectora</w:t>
            </w:r>
            <w:r w:rsidRPr="00BD55E7">
              <w:rPr>
                <w:rFonts w:ascii="Verdana" w:eastAsia="Calibri" w:hAnsi="Verdana" w:cs="Arial"/>
                <w:sz w:val="16"/>
                <w:szCs w:val="16"/>
                <w:lang w:val="pt-BR" w:eastAsia="es-ES"/>
              </w:rPr>
              <w:t xml:space="preserve"> de Gestión Contractual ANCP – CCE</w:t>
            </w:r>
          </w:p>
        </w:tc>
      </w:tr>
      <w:tr w:rsidR="0024517D" w:rsidRPr="0024517D" w14:paraId="2A5E7EDD" w14:textId="77777777" w:rsidTr="00D1380F">
        <w:trPr>
          <w:trHeight w:val="300"/>
        </w:trPr>
        <w:tc>
          <w:tcPr>
            <w:tcW w:w="893" w:type="dxa"/>
            <w:vAlign w:val="center"/>
          </w:tcPr>
          <w:p w14:paraId="346C590C" w14:textId="49AE9F74" w:rsidR="0024517D" w:rsidRPr="00BD55E7" w:rsidRDefault="00BD55E7" w:rsidP="00D1380F">
            <w:pPr>
              <w:contextualSpacing/>
              <w:rPr>
                <w:rFonts w:ascii="Verdana" w:hAnsi="Verdana" w:cs="Arial"/>
                <w:sz w:val="16"/>
                <w:szCs w:val="16"/>
                <w:lang w:val="es-ES" w:eastAsia="es-ES"/>
              </w:rPr>
            </w:pPr>
            <w:r w:rsidRPr="00BD55E7">
              <w:rPr>
                <w:rFonts w:ascii="Verdana" w:hAnsi="Verdana" w:cs="Arial"/>
                <w:sz w:val="16"/>
                <w:szCs w:val="16"/>
                <w:lang w:val="es-ES" w:eastAsia="es-ES"/>
              </w:rPr>
              <w:t>A</w:t>
            </w:r>
            <w:r w:rsidRPr="00BD55E7">
              <w:rPr>
                <w:rFonts w:ascii="Verdana" w:hAnsi="Verdana"/>
                <w:sz w:val="16"/>
                <w:szCs w:val="16"/>
                <w:lang w:eastAsia="es-ES"/>
              </w:rPr>
              <w:t>nexos:</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A0FEDF" w14:textId="430CB3D8" w:rsidR="0024517D" w:rsidRPr="00BD55E7" w:rsidRDefault="00BD55E7" w:rsidP="00D1380F">
            <w:pPr>
              <w:contextualSpacing/>
              <w:rPr>
                <w:rFonts w:ascii="Verdana" w:eastAsia="Calibri" w:hAnsi="Verdana" w:cs="Arial"/>
                <w:sz w:val="16"/>
                <w:szCs w:val="16"/>
                <w:lang w:val="pt-BR" w:eastAsia="es-ES"/>
              </w:rPr>
            </w:pPr>
            <w:r w:rsidRPr="00BD55E7">
              <w:rPr>
                <w:rFonts w:ascii="Verdana" w:eastAsia="Calibri" w:hAnsi="Verdana" w:cs="Arial"/>
                <w:sz w:val="16"/>
                <w:szCs w:val="16"/>
                <w:lang w:eastAsia="es-ES"/>
              </w:rPr>
              <w:t>Respuesta de la Subdirección de Negocios</w:t>
            </w:r>
          </w:p>
        </w:tc>
      </w:tr>
    </w:tbl>
    <w:p w14:paraId="0B22BF14" w14:textId="77777777" w:rsidR="00BE3BF9" w:rsidRPr="0024517D" w:rsidRDefault="00BE3BF9" w:rsidP="00BE3BF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8"/>
      <w:footerReference w:type="default" r:id="rId19"/>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35301" w14:textId="77777777" w:rsidR="00256339" w:rsidRDefault="00256339" w:rsidP="00B30448">
      <w:pPr>
        <w:spacing w:after="0" w:line="240" w:lineRule="auto"/>
      </w:pPr>
      <w:r>
        <w:separator/>
      </w:r>
    </w:p>
  </w:endnote>
  <w:endnote w:type="continuationSeparator" w:id="0">
    <w:p w14:paraId="246BFC54" w14:textId="77777777" w:rsidR="00256339" w:rsidRDefault="00256339" w:rsidP="00B30448">
      <w:pPr>
        <w:spacing w:after="0" w:line="240" w:lineRule="auto"/>
      </w:pPr>
      <w:r>
        <w:continuationSeparator/>
      </w:r>
    </w:p>
  </w:endnote>
  <w:endnote w:type="continuationNotice" w:id="1">
    <w:p w14:paraId="0EC48CA2" w14:textId="77777777" w:rsidR="00256339" w:rsidRDefault="002563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4CFE45" w14:textId="77777777" w:rsidR="00256339" w:rsidRDefault="00256339" w:rsidP="00B30448">
      <w:pPr>
        <w:spacing w:after="0" w:line="240" w:lineRule="auto"/>
      </w:pPr>
      <w:r>
        <w:separator/>
      </w:r>
    </w:p>
  </w:footnote>
  <w:footnote w:type="continuationSeparator" w:id="0">
    <w:p w14:paraId="23A48BC0" w14:textId="77777777" w:rsidR="00256339" w:rsidRDefault="00256339" w:rsidP="00B30448">
      <w:pPr>
        <w:spacing w:after="0" w:line="240" w:lineRule="auto"/>
      </w:pPr>
      <w:r>
        <w:continuationSeparator/>
      </w:r>
    </w:p>
  </w:footnote>
  <w:footnote w:type="continuationNotice" w:id="1">
    <w:p w14:paraId="514228D2" w14:textId="77777777" w:rsidR="00256339" w:rsidRDefault="00256339">
      <w:pPr>
        <w:spacing w:after="0" w:line="240" w:lineRule="auto"/>
      </w:pPr>
    </w:p>
  </w:footnote>
  <w:footnote w:id="2">
    <w:p w14:paraId="7AEBC2FF" w14:textId="48CECBA9" w:rsidR="00A916B7" w:rsidRPr="000B1D4A" w:rsidRDefault="00A916B7"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lang w:val="es-CO"/>
        </w:rPr>
        <w:t>Artículos 2 al 29.</w:t>
      </w:r>
    </w:p>
  </w:footnote>
  <w:footnote w:id="3">
    <w:p w14:paraId="602610A0" w14:textId="3FB14899" w:rsidR="00735AF9" w:rsidRPr="000B1D4A" w:rsidRDefault="00735AF9"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00BD26A3" w:rsidRPr="000B1D4A">
        <w:rPr>
          <w:rFonts w:ascii="Verdana" w:hAnsi="Verdana"/>
          <w:sz w:val="12"/>
          <w:szCs w:val="12"/>
        </w:rPr>
        <w:t>Artículos 30 al 36.</w:t>
      </w:r>
    </w:p>
  </w:footnote>
  <w:footnote w:id="4">
    <w:p w14:paraId="369683CA" w14:textId="263DEE2A" w:rsidR="00BD26A3" w:rsidRPr="000B1D4A" w:rsidRDefault="00BD26A3"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rPr>
        <w:t>Artículos 37 al 45.</w:t>
      </w:r>
    </w:p>
  </w:footnote>
  <w:footnote w:id="5">
    <w:p w14:paraId="0B8DE615" w14:textId="0FDC05BD" w:rsidR="00B736B8" w:rsidRPr="000B1D4A" w:rsidRDefault="00B736B8" w:rsidP="000B1D4A">
      <w:pPr>
        <w:pStyle w:val="Textonotapie"/>
        <w:ind w:firstLine="708"/>
        <w:jc w:val="both"/>
        <w:rPr>
          <w:rFonts w:ascii="Verdana" w:hAnsi="Verdana"/>
          <w:sz w:val="12"/>
          <w:szCs w:val="12"/>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rPr>
        <w:t xml:space="preserve"> Artículos 46 al 73.</w:t>
      </w:r>
    </w:p>
  </w:footnote>
  <w:footnote w:id="6">
    <w:p w14:paraId="6E5F37C2" w14:textId="727D553F" w:rsidR="00A46AD0" w:rsidRPr="000B1D4A" w:rsidRDefault="00A46AD0"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rPr>
        <w:t>Artículos 74 al 83.</w:t>
      </w:r>
    </w:p>
  </w:footnote>
  <w:footnote w:id="7">
    <w:p w14:paraId="401BCB43" w14:textId="77777777" w:rsidR="00DC4084" w:rsidRPr="000B1D4A" w:rsidRDefault="00850E6B"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006710F5" w:rsidRPr="000B1D4A">
        <w:rPr>
          <w:rFonts w:ascii="Verdana" w:hAnsi="Verdana"/>
          <w:sz w:val="12"/>
          <w:szCs w:val="12"/>
          <w:lang w:val="es-CO"/>
        </w:rPr>
        <w:t xml:space="preserve">En efecto, el artículo 34 de la Ley 2069 de 2020 establece: “Modifíquese el artículo 12 de la Ley 1150 de 2007, el cual quedará así: </w:t>
      </w:r>
    </w:p>
    <w:p w14:paraId="332CEBB6" w14:textId="77777777" w:rsidR="00C471D1"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 xml:space="preserve">"Artículo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 </w:t>
      </w:r>
    </w:p>
    <w:p w14:paraId="027EDAF8" w14:textId="77777777" w:rsidR="00A847D1"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 xml:space="preserve">Asimismo, el reglamento podrá establecer condiciones preferenciales a favor de la oferta de bienes y servicios producidos por las Mipyme respetando los montos y las condiciones contenidas en los compromisos internacionales vigentes, cuando sean aplicables. </w:t>
      </w:r>
    </w:p>
    <w:p w14:paraId="24AA9073" w14:textId="77777777" w:rsidR="00A847D1"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 xml:space="preserve">En todo caso, se deberá garantizar la satisfacción de las condiciones técnicas y económicas requeridas en el Proceso de Contratación. </w:t>
      </w:r>
    </w:p>
    <w:p w14:paraId="1182432F" w14:textId="77777777" w:rsidR="00064896"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 xml:space="preserve">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 </w:t>
      </w:r>
    </w:p>
    <w:p w14:paraId="4603621F" w14:textId="77777777" w:rsidR="00064896"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 xml:space="preserve">Parágrafo Primero. En los Procesos de Contratación que se desarrollen con base en el primer inciso, las entidades podrán realizar las convocatorias limitadas que beneficien a las Mipyme del ámbito municipal o departamental correspondiente al de la ejecución del contrato. </w:t>
      </w:r>
    </w:p>
    <w:p w14:paraId="1E28590D" w14:textId="77777777" w:rsidR="00064896"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 xml:space="preserve">Parágrafo Segundo.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 </w:t>
      </w:r>
    </w:p>
    <w:p w14:paraId="0591E4FD" w14:textId="76462206" w:rsidR="00850E6B" w:rsidRPr="000B1D4A" w:rsidRDefault="006710F5" w:rsidP="000B1D4A">
      <w:pPr>
        <w:pStyle w:val="Textonotapie"/>
        <w:ind w:firstLine="708"/>
        <w:jc w:val="both"/>
        <w:rPr>
          <w:rFonts w:ascii="Verdana" w:hAnsi="Verdana"/>
          <w:sz w:val="12"/>
          <w:szCs w:val="12"/>
          <w:lang w:val="es-CO"/>
        </w:rPr>
      </w:pPr>
      <w:r w:rsidRPr="000B1D4A">
        <w:rPr>
          <w:rFonts w:ascii="Verdana" w:hAnsi="Verdana"/>
          <w:sz w:val="12"/>
          <w:szCs w:val="12"/>
          <w:lang w:val="es-CO"/>
        </w:rPr>
        <w:t>Parágrafo Tercero. En la ejecución de los contratos a que se refiere el presente artículo, las entidades y los contratistas, deberán observar lo dispuesto en los artículos 90 a 95 de la Ley 418 de 1997 y las normas que la modifiquen, adicionen o subroguen</w:t>
      </w:r>
      <w:r w:rsidR="00064896" w:rsidRPr="000B1D4A">
        <w:rPr>
          <w:rFonts w:ascii="Verdana" w:hAnsi="Verdana"/>
          <w:sz w:val="12"/>
          <w:szCs w:val="12"/>
          <w:lang w:val="es-CO"/>
        </w:rPr>
        <w:t>”</w:t>
      </w:r>
    </w:p>
  </w:footnote>
  <w:footnote w:id="8">
    <w:p w14:paraId="5A4D4620" w14:textId="306F8F93" w:rsidR="002C0A8D" w:rsidRPr="000B1D4A" w:rsidRDefault="002C0A8D"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lang w:val="es-CO"/>
        </w:rPr>
        <w:t>Corte Constitucional. Sentencia C-502 de 2012. Magistrada Ponente: Adriana María Guillén Arango</w:t>
      </w:r>
    </w:p>
  </w:footnote>
  <w:footnote w:id="9">
    <w:p w14:paraId="58379680" w14:textId="535F1CCA" w:rsidR="008D0352" w:rsidRPr="000B1D4A" w:rsidRDefault="008D0352"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001A2CBF" w:rsidRPr="000B1D4A">
        <w:rPr>
          <w:rFonts w:ascii="Verdana" w:hAnsi="Verdana"/>
          <w:sz w:val="12"/>
          <w:szCs w:val="12"/>
          <w:lang w:val="es-CO"/>
        </w:rPr>
        <w:t>Dicho artículo indica que “Las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w:t>
      </w:r>
    </w:p>
  </w:footnote>
  <w:footnote w:id="10">
    <w:p w14:paraId="66646453" w14:textId="20146E4B" w:rsidR="00137406" w:rsidRPr="000B1D4A" w:rsidRDefault="00137406"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lang w:val="es-CO"/>
        </w:rPr>
        <w:t>Este monto fue publicado por la Agencia Nacional de Contratación Pública – Colombia Compra Eficiente, de acuerdo con la información</w:t>
      </w:r>
      <w:r w:rsidRPr="000B1D4A">
        <w:rPr>
          <w:rFonts w:ascii="Verdana" w:hAnsi="Verdana"/>
          <w:sz w:val="12"/>
          <w:szCs w:val="12"/>
          <w:lang w:val="es-CO"/>
        </w:rPr>
        <w:t xml:space="preserve"> </w:t>
      </w:r>
      <w:r w:rsidRPr="000B1D4A">
        <w:rPr>
          <w:rFonts w:ascii="Verdana" w:hAnsi="Verdana"/>
          <w:sz w:val="12"/>
          <w:szCs w:val="12"/>
          <w:lang w:val="es-CO"/>
        </w:rPr>
        <w:t xml:space="preserve">remitida por el Ministerio de Comercio Industria y Turismo, disponible en el siguiente enlace: </w:t>
      </w:r>
      <w:hyperlink r:id="rId1" w:history="1">
        <w:r w:rsidRPr="000B1D4A">
          <w:rPr>
            <w:rStyle w:val="Hipervnculo"/>
            <w:rFonts w:ascii="Verdana" w:hAnsi="Verdana"/>
            <w:sz w:val="12"/>
            <w:szCs w:val="12"/>
            <w:lang w:val="es-CO"/>
          </w:rPr>
          <w:t>https://www.colombiacompra.gov.co/sites/cce_public/files/files_2020/vf_umbrales_actualizaciones_2022_-_2023_1.pdf</w:t>
        </w:r>
      </w:hyperlink>
      <w:r w:rsidRPr="000B1D4A">
        <w:rPr>
          <w:rFonts w:ascii="Verdana" w:hAnsi="Verdana"/>
          <w:sz w:val="12"/>
          <w:szCs w:val="12"/>
          <w:lang w:val="es-CO"/>
        </w:rPr>
        <w:t>.</w:t>
      </w:r>
      <w:r w:rsidRPr="000B1D4A">
        <w:rPr>
          <w:rFonts w:ascii="Verdana" w:hAnsi="Verdana"/>
          <w:sz w:val="12"/>
          <w:szCs w:val="12"/>
          <w:lang w:val="es-CO"/>
        </w:rPr>
        <w:t xml:space="preserve"> </w:t>
      </w:r>
      <w:r w:rsidRPr="000B1D4A">
        <w:rPr>
          <w:rFonts w:ascii="Verdana" w:hAnsi="Verdana"/>
          <w:sz w:val="12"/>
          <w:szCs w:val="12"/>
          <w:lang w:val="es-CO"/>
        </w:rPr>
        <w:t>Allí se señala que el monto corresponde a $ 457.297.264.</w:t>
      </w:r>
    </w:p>
  </w:footnote>
  <w:footnote w:id="11">
    <w:p w14:paraId="1FB09C8A" w14:textId="195264F0" w:rsidR="00AF3A5E" w:rsidRPr="000B1D4A" w:rsidRDefault="00AF3A5E"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002F7930" w:rsidRPr="000B1D4A">
        <w:rPr>
          <w:rFonts w:ascii="Verdana" w:hAnsi="Verdana"/>
          <w:sz w:val="12"/>
          <w:szCs w:val="12"/>
        </w:rPr>
        <w:t xml:space="preserve">Agencia </w:t>
      </w:r>
      <w:r w:rsidR="002F7930" w:rsidRPr="000B1D4A">
        <w:rPr>
          <w:rFonts w:ascii="Verdana" w:hAnsi="Verdana"/>
          <w:sz w:val="12"/>
          <w:szCs w:val="12"/>
          <w:lang w:val="es-CO"/>
        </w:rPr>
        <w:t>Nacional de Contratación Pública – Colombia Compra Eficiente. Concepto C-045 del 17 de marzo de 2020. Radicado de salida No. 2202013000001974.</w:t>
      </w:r>
    </w:p>
  </w:footnote>
  <w:footnote w:id="12">
    <w:p w14:paraId="29DB96C4" w14:textId="750D3A50" w:rsidR="003C0966" w:rsidRPr="000B1D4A" w:rsidRDefault="003C0966" w:rsidP="000B1D4A">
      <w:pPr>
        <w:pStyle w:val="Textonotapie"/>
        <w:ind w:firstLine="708"/>
        <w:jc w:val="both"/>
        <w:rPr>
          <w:rFonts w:ascii="Verdana" w:hAnsi="Verdana"/>
          <w:sz w:val="12"/>
          <w:szCs w:val="12"/>
          <w:lang w:val="es-CO"/>
        </w:rPr>
      </w:pPr>
      <w:r w:rsidRPr="000B1D4A">
        <w:rPr>
          <w:rStyle w:val="Refdenotaalpie"/>
          <w:rFonts w:ascii="Verdana" w:hAnsi="Verdana"/>
          <w:sz w:val="12"/>
          <w:szCs w:val="12"/>
        </w:rPr>
        <w:footnoteRef/>
      </w:r>
      <w:r w:rsidRPr="000B1D4A">
        <w:rPr>
          <w:rFonts w:ascii="Verdana" w:hAnsi="Verdana"/>
          <w:sz w:val="12"/>
          <w:szCs w:val="12"/>
        </w:rPr>
        <w:t xml:space="preserve"> </w:t>
      </w:r>
      <w:r w:rsidRPr="000B1D4A">
        <w:rPr>
          <w:rFonts w:ascii="Verdana" w:hAnsi="Verdana"/>
          <w:sz w:val="12"/>
          <w:szCs w:val="12"/>
          <w:lang w:val="es-CO"/>
        </w:rPr>
        <w:t>Artículo 76. “Domicilio. El domicilio consiste en la residencia acompañada, real o presuntivamente del ánimo de permanecer en ella”.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73A24A8"/>
    <w:multiLevelType w:val="hybridMultilevel"/>
    <w:tmpl w:val="375E72BA"/>
    <w:lvl w:ilvl="0" w:tplc="DFC07C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5" w15:restartNumberingAfterBreak="0">
    <w:nsid w:val="289C1CD0"/>
    <w:multiLevelType w:val="hybridMultilevel"/>
    <w:tmpl w:val="1FDA7440"/>
    <w:lvl w:ilvl="0" w:tplc="44A83F9E">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478446E4"/>
    <w:multiLevelType w:val="hybridMultilevel"/>
    <w:tmpl w:val="D902A5CC"/>
    <w:lvl w:ilvl="0" w:tplc="2060847E">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99635E5"/>
    <w:multiLevelType w:val="hybridMultilevel"/>
    <w:tmpl w:val="18A60796"/>
    <w:lvl w:ilvl="0" w:tplc="3BF4601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7"/>
  </w:num>
  <w:num w:numId="2" w16cid:durableId="4285022">
    <w:abstractNumId w:val="2"/>
  </w:num>
  <w:num w:numId="3" w16cid:durableId="881983949">
    <w:abstractNumId w:val="3"/>
  </w:num>
  <w:num w:numId="4" w16cid:durableId="341274352">
    <w:abstractNumId w:val="0"/>
  </w:num>
  <w:num w:numId="5" w16cid:durableId="1887524674">
    <w:abstractNumId w:val="11"/>
  </w:num>
  <w:num w:numId="6" w16cid:durableId="1082990391">
    <w:abstractNumId w:val="1"/>
  </w:num>
  <w:num w:numId="7" w16cid:durableId="1492209491">
    <w:abstractNumId w:val="6"/>
  </w:num>
  <w:num w:numId="8" w16cid:durableId="679089576">
    <w:abstractNumId w:val="8"/>
  </w:num>
  <w:num w:numId="9" w16cid:durableId="512571771">
    <w:abstractNumId w:val="4"/>
  </w:num>
  <w:num w:numId="10" w16cid:durableId="1059475288">
    <w:abstractNumId w:val="10"/>
  </w:num>
  <w:num w:numId="11" w16cid:durableId="1632250205">
    <w:abstractNumId w:val="5"/>
  </w:num>
  <w:num w:numId="12" w16cid:durableId="179039803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0BD"/>
    <w:rsid w:val="00015D2B"/>
    <w:rsid w:val="00031584"/>
    <w:rsid w:val="00032A0E"/>
    <w:rsid w:val="00037347"/>
    <w:rsid w:val="000442CC"/>
    <w:rsid w:val="00045991"/>
    <w:rsid w:val="000556D4"/>
    <w:rsid w:val="000622F2"/>
    <w:rsid w:val="00063F00"/>
    <w:rsid w:val="00064896"/>
    <w:rsid w:val="000716AB"/>
    <w:rsid w:val="00081312"/>
    <w:rsid w:val="00082E4C"/>
    <w:rsid w:val="000849D5"/>
    <w:rsid w:val="0008528F"/>
    <w:rsid w:val="00092C97"/>
    <w:rsid w:val="000971B1"/>
    <w:rsid w:val="000A6E0C"/>
    <w:rsid w:val="000A7A56"/>
    <w:rsid w:val="000B08F3"/>
    <w:rsid w:val="000B1D4A"/>
    <w:rsid w:val="000B1E6B"/>
    <w:rsid w:val="000B1FF7"/>
    <w:rsid w:val="000B2513"/>
    <w:rsid w:val="000B4024"/>
    <w:rsid w:val="000C3C51"/>
    <w:rsid w:val="000C68C9"/>
    <w:rsid w:val="000C7262"/>
    <w:rsid w:val="000D249A"/>
    <w:rsid w:val="000D2A7F"/>
    <w:rsid w:val="000D4FCE"/>
    <w:rsid w:val="000E57CA"/>
    <w:rsid w:val="000F07F2"/>
    <w:rsid w:val="0011037E"/>
    <w:rsid w:val="00111891"/>
    <w:rsid w:val="001363C7"/>
    <w:rsid w:val="00137406"/>
    <w:rsid w:val="00141AC5"/>
    <w:rsid w:val="00146B11"/>
    <w:rsid w:val="00147A04"/>
    <w:rsid w:val="0015476D"/>
    <w:rsid w:val="00161E13"/>
    <w:rsid w:val="00164AE0"/>
    <w:rsid w:val="00165E83"/>
    <w:rsid w:val="00166CD7"/>
    <w:rsid w:val="0017120C"/>
    <w:rsid w:val="00172F3A"/>
    <w:rsid w:val="0019532A"/>
    <w:rsid w:val="0019670E"/>
    <w:rsid w:val="00197205"/>
    <w:rsid w:val="001A2CBF"/>
    <w:rsid w:val="001A5DD4"/>
    <w:rsid w:val="001A67E9"/>
    <w:rsid w:val="001B143B"/>
    <w:rsid w:val="001B21CA"/>
    <w:rsid w:val="001C04FC"/>
    <w:rsid w:val="001C25A3"/>
    <w:rsid w:val="001C5D03"/>
    <w:rsid w:val="001C7771"/>
    <w:rsid w:val="001D62FF"/>
    <w:rsid w:val="001F3F48"/>
    <w:rsid w:val="001F7C63"/>
    <w:rsid w:val="002000AA"/>
    <w:rsid w:val="00204109"/>
    <w:rsid w:val="00211E6E"/>
    <w:rsid w:val="00212A46"/>
    <w:rsid w:val="00212D5E"/>
    <w:rsid w:val="0021401D"/>
    <w:rsid w:val="002146B8"/>
    <w:rsid w:val="00215516"/>
    <w:rsid w:val="0022014D"/>
    <w:rsid w:val="0024517D"/>
    <w:rsid w:val="002527C2"/>
    <w:rsid w:val="00255AA5"/>
    <w:rsid w:val="00255FF6"/>
    <w:rsid w:val="00256339"/>
    <w:rsid w:val="00270443"/>
    <w:rsid w:val="00270EE2"/>
    <w:rsid w:val="00271860"/>
    <w:rsid w:val="00272972"/>
    <w:rsid w:val="00275203"/>
    <w:rsid w:val="002768B2"/>
    <w:rsid w:val="00286491"/>
    <w:rsid w:val="002A0F8D"/>
    <w:rsid w:val="002B6E44"/>
    <w:rsid w:val="002B7D58"/>
    <w:rsid w:val="002C0A8D"/>
    <w:rsid w:val="002D63B2"/>
    <w:rsid w:val="002E1DB5"/>
    <w:rsid w:val="002F6CCB"/>
    <w:rsid w:val="002F7930"/>
    <w:rsid w:val="0030461E"/>
    <w:rsid w:val="0032756A"/>
    <w:rsid w:val="00334EF8"/>
    <w:rsid w:val="00336408"/>
    <w:rsid w:val="00340DFB"/>
    <w:rsid w:val="00342C8E"/>
    <w:rsid w:val="0034404F"/>
    <w:rsid w:val="00356980"/>
    <w:rsid w:val="00367462"/>
    <w:rsid w:val="00371ECA"/>
    <w:rsid w:val="00372748"/>
    <w:rsid w:val="0037332A"/>
    <w:rsid w:val="0038151A"/>
    <w:rsid w:val="0039082A"/>
    <w:rsid w:val="00390C21"/>
    <w:rsid w:val="003A0817"/>
    <w:rsid w:val="003A37BD"/>
    <w:rsid w:val="003B6D94"/>
    <w:rsid w:val="003C0966"/>
    <w:rsid w:val="003C4C96"/>
    <w:rsid w:val="003C55E0"/>
    <w:rsid w:val="003F0F85"/>
    <w:rsid w:val="003F24E4"/>
    <w:rsid w:val="003F519B"/>
    <w:rsid w:val="0040544F"/>
    <w:rsid w:val="00406A19"/>
    <w:rsid w:val="0041222D"/>
    <w:rsid w:val="0041483E"/>
    <w:rsid w:val="00415369"/>
    <w:rsid w:val="00430492"/>
    <w:rsid w:val="00450526"/>
    <w:rsid w:val="00450BE7"/>
    <w:rsid w:val="00455AE9"/>
    <w:rsid w:val="00456A52"/>
    <w:rsid w:val="0046741E"/>
    <w:rsid w:val="00472CC6"/>
    <w:rsid w:val="00476FFA"/>
    <w:rsid w:val="0048026E"/>
    <w:rsid w:val="004807A9"/>
    <w:rsid w:val="004813EE"/>
    <w:rsid w:val="00493278"/>
    <w:rsid w:val="004943D9"/>
    <w:rsid w:val="004A0E7B"/>
    <w:rsid w:val="004A3498"/>
    <w:rsid w:val="004B05FD"/>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0F56"/>
    <w:rsid w:val="00552503"/>
    <w:rsid w:val="00552B57"/>
    <w:rsid w:val="00557DA1"/>
    <w:rsid w:val="0056322C"/>
    <w:rsid w:val="00574A45"/>
    <w:rsid w:val="0058024D"/>
    <w:rsid w:val="0058743A"/>
    <w:rsid w:val="005A4DB0"/>
    <w:rsid w:val="005A7B8E"/>
    <w:rsid w:val="005B012B"/>
    <w:rsid w:val="005B0C87"/>
    <w:rsid w:val="005D23F6"/>
    <w:rsid w:val="005D2FA8"/>
    <w:rsid w:val="005E2281"/>
    <w:rsid w:val="005E667C"/>
    <w:rsid w:val="005F077C"/>
    <w:rsid w:val="005F63D0"/>
    <w:rsid w:val="005F7973"/>
    <w:rsid w:val="006040CA"/>
    <w:rsid w:val="0061690E"/>
    <w:rsid w:val="00627361"/>
    <w:rsid w:val="0063017E"/>
    <w:rsid w:val="00631B28"/>
    <w:rsid w:val="00645B90"/>
    <w:rsid w:val="00645D5D"/>
    <w:rsid w:val="00650991"/>
    <w:rsid w:val="006511D7"/>
    <w:rsid w:val="006579BF"/>
    <w:rsid w:val="00663D75"/>
    <w:rsid w:val="00664FAA"/>
    <w:rsid w:val="00670AEF"/>
    <w:rsid w:val="006710F5"/>
    <w:rsid w:val="00675678"/>
    <w:rsid w:val="00677012"/>
    <w:rsid w:val="00677FA7"/>
    <w:rsid w:val="006825B4"/>
    <w:rsid w:val="00682AF2"/>
    <w:rsid w:val="0068353A"/>
    <w:rsid w:val="006864DF"/>
    <w:rsid w:val="006A3C8A"/>
    <w:rsid w:val="006A7552"/>
    <w:rsid w:val="006B5953"/>
    <w:rsid w:val="006B5C43"/>
    <w:rsid w:val="006B7A81"/>
    <w:rsid w:val="006C4BAC"/>
    <w:rsid w:val="006C52F3"/>
    <w:rsid w:val="006E7F37"/>
    <w:rsid w:val="006F3B81"/>
    <w:rsid w:val="006F4F79"/>
    <w:rsid w:val="00705B37"/>
    <w:rsid w:val="00707B65"/>
    <w:rsid w:val="00711FD9"/>
    <w:rsid w:val="00714214"/>
    <w:rsid w:val="00735062"/>
    <w:rsid w:val="00735AF9"/>
    <w:rsid w:val="0073660D"/>
    <w:rsid w:val="00742944"/>
    <w:rsid w:val="00746BA5"/>
    <w:rsid w:val="007471E6"/>
    <w:rsid w:val="00751D23"/>
    <w:rsid w:val="00770577"/>
    <w:rsid w:val="00777666"/>
    <w:rsid w:val="0078159B"/>
    <w:rsid w:val="00782E10"/>
    <w:rsid w:val="0078706B"/>
    <w:rsid w:val="00790836"/>
    <w:rsid w:val="00797131"/>
    <w:rsid w:val="007A3C1D"/>
    <w:rsid w:val="007A5802"/>
    <w:rsid w:val="007B285D"/>
    <w:rsid w:val="007B37C3"/>
    <w:rsid w:val="007C6BC6"/>
    <w:rsid w:val="00801DCC"/>
    <w:rsid w:val="00807D79"/>
    <w:rsid w:val="00813634"/>
    <w:rsid w:val="0082145A"/>
    <w:rsid w:val="008217ED"/>
    <w:rsid w:val="00822821"/>
    <w:rsid w:val="00827E36"/>
    <w:rsid w:val="00831C29"/>
    <w:rsid w:val="008428D6"/>
    <w:rsid w:val="008431EF"/>
    <w:rsid w:val="008468E0"/>
    <w:rsid w:val="00850E6B"/>
    <w:rsid w:val="008623D5"/>
    <w:rsid w:val="00871B59"/>
    <w:rsid w:val="00872B7C"/>
    <w:rsid w:val="00877D03"/>
    <w:rsid w:val="00877E96"/>
    <w:rsid w:val="008806CA"/>
    <w:rsid w:val="008815E5"/>
    <w:rsid w:val="00887B37"/>
    <w:rsid w:val="008909B9"/>
    <w:rsid w:val="00891DFC"/>
    <w:rsid w:val="008A4B0F"/>
    <w:rsid w:val="008B12B4"/>
    <w:rsid w:val="008B7914"/>
    <w:rsid w:val="008C5D2A"/>
    <w:rsid w:val="008C7AF4"/>
    <w:rsid w:val="008D0352"/>
    <w:rsid w:val="008D529F"/>
    <w:rsid w:val="008E51CA"/>
    <w:rsid w:val="008F436F"/>
    <w:rsid w:val="008F5CC8"/>
    <w:rsid w:val="009061B8"/>
    <w:rsid w:val="0091008B"/>
    <w:rsid w:val="00911EA2"/>
    <w:rsid w:val="00912EF2"/>
    <w:rsid w:val="00916C7D"/>
    <w:rsid w:val="00924F2E"/>
    <w:rsid w:val="0092575D"/>
    <w:rsid w:val="009277DD"/>
    <w:rsid w:val="009341DA"/>
    <w:rsid w:val="009430F9"/>
    <w:rsid w:val="009442E8"/>
    <w:rsid w:val="00946BD0"/>
    <w:rsid w:val="0095426C"/>
    <w:rsid w:val="00960984"/>
    <w:rsid w:val="00970087"/>
    <w:rsid w:val="00971074"/>
    <w:rsid w:val="009926E1"/>
    <w:rsid w:val="00995D86"/>
    <w:rsid w:val="009A5453"/>
    <w:rsid w:val="009B4D94"/>
    <w:rsid w:val="009C2871"/>
    <w:rsid w:val="009D3C33"/>
    <w:rsid w:val="009D7F3A"/>
    <w:rsid w:val="009E4885"/>
    <w:rsid w:val="00A05A4D"/>
    <w:rsid w:val="00A07DB6"/>
    <w:rsid w:val="00A10A73"/>
    <w:rsid w:val="00A170B3"/>
    <w:rsid w:val="00A223D5"/>
    <w:rsid w:val="00A35F3F"/>
    <w:rsid w:val="00A37D1C"/>
    <w:rsid w:val="00A46AD0"/>
    <w:rsid w:val="00A50AC8"/>
    <w:rsid w:val="00A510C4"/>
    <w:rsid w:val="00A52302"/>
    <w:rsid w:val="00A5453E"/>
    <w:rsid w:val="00A56F6C"/>
    <w:rsid w:val="00A72D8C"/>
    <w:rsid w:val="00A76C8C"/>
    <w:rsid w:val="00A847D1"/>
    <w:rsid w:val="00A85F30"/>
    <w:rsid w:val="00A9099E"/>
    <w:rsid w:val="00A916B7"/>
    <w:rsid w:val="00A91FB7"/>
    <w:rsid w:val="00A9298F"/>
    <w:rsid w:val="00AA0351"/>
    <w:rsid w:val="00AA5F4A"/>
    <w:rsid w:val="00AB1984"/>
    <w:rsid w:val="00AB52B1"/>
    <w:rsid w:val="00AC4CB3"/>
    <w:rsid w:val="00AC55F0"/>
    <w:rsid w:val="00AC780D"/>
    <w:rsid w:val="00AD036B"/>
    <w:rsid w:val="00AD1996"/>
    <w:rsid w:val="00AD4099"/>
    <w:rsid w:val="00AD477C"/>
    <w:rsid w:val="00AD4901"/>
    <w:rsid w:val="00AE6683"/>
    <w:rsid w:val="00AF3A5E"/>
    <w:rsid w:val="00B02FE0"/>
    <w:rsid w:val="00B057B6"/>
    <w:rsid w:val="00B30448"/>
    <w:rsid w:val="00B34786"/>
    <w:rsid w:val="00B400EC"/>
    <w:rsid w:val="00B40162"/>
    <w:rsid w:val="00B41ACE"/>
    <w:rsid w:val="00B46E45"/>
    <w:rsid w:val="00B50156"/>
    <w:rsid w:val="00B518AD"/>
    <w:rsid w:val="00B60A96"/>
    <w:rsid w:val="00B678EC"/>
    <w:rsid w:val="00B71B4B"/>
    <w:rsid w:val="00B736B8"/>
    <w:rsid w:val="00B76C94"/>
    <w:rsid w:val="00B772D0"/>
    <w:rsid w:val="00B77926"/>
    <w:rsid w:val="00B836EA"/>
    <w:rsid w:val="00B84C05"/>
    <w:rsid w:val="00B91B81"/>
    <w:rsid w:val="00B97135"/>
    <w:rsid w:val="00BB3072"/>
    <w:rsid w:val="00BC4F89"/>
    <w:rsid w:val="00BC5AF6"/>
    <w:rsid w:val="00BC7632"/>
    <w:rsid w:val="00BD26A3"/>
    <w:rsid w:val="00BD48A9"/>
    <w:rsid w:val="00BD55E7"/>
    <w:rsid w:val="00BD630F"/>
    <w:rsid w:val="00BD7EC6"/>
    <w:rsid w:val="00BE3BF9"/>
    <w:rsid w:val="00BE73FA"/>
    <w:rsid w:val="00BF6B4B"/>
    <w:rsid w:val="00C0511C"/>
    <w:rsid w:val="00C20ACF"/>
    <w:rsid w:val="00C22307"/>
    <w:rsid w:val="00C23469"/>
    <w:rsid w:val="00C24878"/>
    <w:rsid w:val="00C30C62"/>
    <w:rsid w:val="00C371DF"/>
    <w:rsid w:val="00C42055"/>
    <w:rsid w:val="00C44B4C"/>
    <w:rsid w:val="00C46734"/>
    <w:rsid w:val="00C471D1"/>
    <w:rsid w:val="00C47A86"/>
    <w:rsid w:val="00C53220"/>
    <w:rsid w:val="00C8483A"/>
    <w:rsid w:val="00C903AB"/>
    <w:rsid w:val="00C97E7A"/>
    <w:rsid w:val="00CA3347"/>
    <w:rsid w:val="00CC299A"/>
    <w:rsid w:val="00CD03E3"/>
    <w:rsid w:val="00CE6BDA"/>
    <w:rsid w:val="00D03DBE"/>
    <w:rsid w:val="00D072C0"/>
    <w:rsid w:val="00D34C82"/>
    <w:rsid w:val="00D3757A"/>
    <w:rsid w:val="00D504A9"/>
    <w:rsid w:val="00D506B9"/>
    <w:rsid w:val="00D5206D"/>
    <w:rsid w:val="00D560C7"/>
    <w:rsid w:val="00D7177D"/>
    <w:rsid w:val="00D81311"/>
    <w:rsid w:val="00D815DD"/>
    <w:rsid w:val="00DA6CD7"/>
    <w:rsid w:val="00DB201E"/>
    <w:rsid w:val="00DC0E68"/>
    <w:rsid w:val="00DC4084"/>
    <w:rsid w:val="00DD25ED"/>
    <w:rsid w:val="00DE0D6E"/>
    <w:rsid w:val="00E1610C"/>
    <w:rsid w:val="00E16D73"/>
    <w:rsid w:val="00E20428"/>
    <w:rsid w:val="00E23E9E"/>
    <w:rsid w:val="00E25722"/>
    <w:rsid w:val="00E27F0A"/>
    <w:rsid w:val="00E4231E"/>
    <w:rsid w:val="00E4302C"/>
    <w:rsid w:val="00E44AC7"/>
    <w:rsid w:val="00E45F4B"/>
    <w:rsid w:val="00E60A16"/>
    <w:rsid w:val="00E64977"/>
    <w:rsid w:val="00E82B6E"/>
    <w:rsid w:val="00E94258"/>
    <w:rsid w:val="00E96C18"/>
    <w:rsid w:val="00EA2E61"/>
    <w:rsid w:val="00EA4E95"/>
    <w:rsid w:val="00EA7D7F"/>
    <w:rsid w:val="00EB02F4"/>
    <w:rsid w:val="00EB2FA2"/>
    <w:rsid w:val="00EB769A"/>
    <w:rsid w:val="00EC3A35"/>
    <w:rsid w:val="00ED253C"/>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36051"/>
    <w:rsid w:val="00F43813"/>
    <w:rsid w:val="00F44155"/>
    <w:rsid w:val="00F53BE2"/>
    <w:rsid w:val="00F55684"/>
    <w:rsid w:val="00F64D5A"/>
    <w:rsid w:val="00F709CD"/>
    <w:rsid w:val="00F75D88"/>
    <w:rsid w:val="00F906F4"/>
    <w:rsid w:val="00FA0716"/>
    <w:rsid w:val="00FB4629"/>
    <w:rsid w:val="00FB6FB1"/>
    <w:rsid w:val="00FB7063"/>
    <w:rsid w:val="00FC7056"/>
    <w:rsid w:val="00FE1A00"/>
    <w:rsid w:val="00FF4118"/>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419109671">
      <w:bodyDiv w:val="1"/>
      <w:marLeft w:val="0"/>
      <w:marRight w:val="0"/>
      <w:marTop w:val="0"/>
      <w:marBottom w:val="0"/>
      <w:divBdr>
        <w:top w:val="none" w:sz="0" w:space="0" w:color="auto"/>
        <w:left w:val="none" w:sz="0" w:space="0" w:color="auto"/>
        <w:bottom w:val="none" w:sz="0" w:space="0" w:color="auto"/>
        <w:right w:val="none" w:sz="0" w:space="0" w:color="auto"/>
      </w:divBdr>
    </w:div>
    <w:div w:id="554240819">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11302522">
      <w:bodyDiv w:val="1"/>
      <w:marLeft w:val="0"/>
      <w:marRight w:val="0"/>
      <w:marTop w:val="0"/>
      <w:marBottom w:val="0"/>
      <w:divBdr>
        <w:top w:val="none" w:sz="0" w:space="0" w:color="auto"/>
        <w:left w:val="none" w:sz="0" w:space="0" w:color="auto"/>
        <w:bottom w:val="none" w:sz="0" w:space="0" w:color="auto"/>
        <w:right w:val="none" w:sz="0" w:space="0" w:color="auto"/>
      </w:divBdr>
    </w:div>
    <w:div w:id="1249119676">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proyectosv76@gmail.co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ximena.rios%40colombiacompra.gov.co%7Cb18b651bca3a4eb8eab008dd269b400d%7C7b09041e245149d08cb179d5e3d8c1be%7C0%7C0%7C638709170415983506%7CUnknown%7CTWFpbGZsb3d8eyJFbXB0eU1hcGkiOnRydWUsIlYiOiIwLjAuMDAwMCIsIlAiOiJXaW4zMiIsIkFOIjoiTWFpbCIsIldUIjoyfQ%3D%3D%7C0%7C%7C%7C&amp;sdata=ZkYtrHLF1bazAWxOaabSxGDAKfkMszgd6IHkLr4Zmac%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2-documentos-tipo-para-los-procesos-de-seleccion-de-consultoria-de-obra-publica-de&amp;data=05%7C02%7Cximena.rios%40colombiacompra.gov.co%7Cb18b651bca3a4eb8eab008dd269b400d%7C7b09041e245149d08cb179d5e3d8c1be%7C0%7C0%7C638709170415968117%7CUnknown%7CTWFpbGZsb3d8eyJFbXB0eU1hcGkiOnRydWUsIlYiOiIwLjAuMDAwMCIsIlAiOiJXaW4zMiIsIkFOIjoiTWFpbCIsIldUIjoyfQ%3D%3D%7C0%7C%7C%7C&amp;sdata=Gvl%2Bp%2FTQ3k%2FE2H%2BHJic7EseWWuocXUihRhj9K%2BVHea8%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3-documentos-tipo-para-los-procesos-de-seleccion-de-interventoria-de-obra-publica-de&amp;data=05%7C02%7Cximena.rios%40colombiacompra.gov.co%7Cb18b651bca3a4eb8eab008dd269b400d%7C7b09041e245149d08cb179d5e3d8c1be%7C0%7C0%7C638709170415946237%7CUnknown%7CTWFpbGZsb3d8eyJFbXB0eU1hcGkiOnRydWUsIlYiOiIwLjAuMDAwMCIsIlAiOiJXaW4zMiIsIkFOIjoiTWFpbCIsIldUIjoyfQ%3D%3D%7C0%7C%7C%7C&amp;sdata=1GvI7Yx0JQEIwIykRXFLZSiX4GHDOPkOEMS66ET3er0%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files_2020/vf_umbrales_actualizaciones_2022_-_2023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20</Pages>
  <Words>6353</Words>
  <Characters>34945</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Santiago Alberto Herrera Morillo</cp:lastModifiedBy>
  <cp:revision>94</cp:revision>
  <dcterms:created xsi:type="dcterms:W3CDTF">2024-07-04T20:24:00Z</dcterms:created>
  <dcterms:modified xsi:type="dcterms:W3CDTF">2025-02-19T16:37:00Z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