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3C55E9" w:rsidR="005D6AC3" w:rsidP="005D6AC3" w:rsidRDefault="000A6587" w14:paraId="3F5C9F9B" w14:textId="70639072">
      <w:pPr>
        <w:jc w:val="both"/>
        <w:rPr>
          <w:rFonts w:ascii="Verdana" w:hAnsi="Verdana" w:eastAsia="Calibri" w:cs="Arial"/>
          <w:b/>
          <w:lang w:val="es-MX"/>
        </w:rPr>
      </w:pPr>
      <w:bookmarkStart w:name="_Hlk186494164" w:id="0"/>
      <w:r w:rsidRPr="003C55E9">
        <w:rPr>
          <w:rFonts w:ascii="Verdana" w:hAnsi="Verdana" w:eastAsia="Calibri" w:cs="Arial"/>
          <w:b/>
          <w:lang w:val="es-MX"/>
        </w:rPr>
        <w:t xml:space="preserve">MÍNIMA CUANTÍA – Generalidades – Ley 1150 de 2007  </w:t>
      </w:r>
    </w:p>
    <w:p w:rsidRPr="005D6AC3" w:rsidR="000A6587" w:rsidP="005D6AC3" w:rsidRDefault="00477FC1" w14:paraId="419C55B6" w14:textId="613A1639">
      <w:pPr>
        <w:spacing w:after="0" w:line="240" w:lineRule="auto"/>
        <w:jc w:val="both"/>
        <w:rPr>
          <w:rFonts w:ascii="Verdana" w:hAnsi="Verdana" w:eastAsia="Calibri" w:cs="Arial"/>
          <w:sz w:val="20"/>
          <w:szCs w:val="20"/>
          <w:lang w:val="es-ES_tradnl"/>
        </w:rPr>
      </w:pPr>
      <w:r w:rsidRPr="005D6AC3">
        <w:rPr>
          <w:rFonts w:ascii="Verdana" w:hAnsi="Verdana" w:eastAsia="Calibri" w:cs="Arial"/>
          <w:sz w:val="20"/>
          <w:szCs w:val="20"/>
          <w:lang w:val="es-ES_tradnl"/>
        </w:rPr>
        <w:t>La mínima cuantía es una modalidad de selección en virtud de la cual la entidad estatal realiza una convocatoria pública para recibir ofertas de bienes, obras o servicios cuyo valor no excede el diez por ciento –10%– de la menor cuantía. Esta modalidad de selección fue creada en el 2011 por la Ley 1450, modificada por el artículo 94 de la Ley 1474 de 2011 –que adicionó el numeral 5º al artículo 2 de la Ley 1150 de 2007– y posteriormente por la Ley 2069 de 2020, estableciendo que el factor determinante para llevar a cabo tal procedimiento es la cuantía –calculada como presupuesto oficial a partir del estudio del sector–, “independientemente de su objeto”.</w:t>
      </w:r>
    </w:p>
    <w:p w:rsidRPr="003C55E9" w:rsidR="005D6AC3" w:rsidP="005D6AC3" w:rsidRDefault="005D6AC3" w14:paraId="12D9777C" w14:textId="77777777">
      <w:pPr>
        <w:spacing w:after="0" w:line="240" w:lineRule="auto"/>
        <w:jc w:val="both"/>
        <w:rPr>
          <w:rFonts w:ascii="Verdana" w:hAnsi="Verdana" w:eastAsia="Calibri" w:cs="Arial"/>
          <w:b/>
          <w:lang w:val="es-MX"/>
        </w:rPr>
      </w:pPr>
    </w:p>
    <w:p w:rsidRPr="003C55E9" w:rsidR="005D6AC3" w:rsidP="005D6AC3" w:rsidRDefault="000A6587" w14:paraId="15DF8BDB" w14:textId="4F9A3DE8">
      <w:pPr>
        <w:jc w:val="both"/>
        <w:rPr>
          <w:rFonts w:ascii="Verdana" w:hAnsi="Verdana" w:eastAsia="Calibri" w:cs="Arial"/>
          <w:b/>
          <w:lang w:val="es-MX"/>
        </w:rPr>
      </w:pPr>
      <w:r w:rsidRPr="003C55E9">
        <w:rPr>
          <w:rFonts w:ascii="Verdana" w:hAnsi="Verdana" w:eastAsia="Calibri" w:cs="Arial"/>
          <w:b/>
          <w:lang w:val="es-MX"/>
        </w:rPr>
        <w:t xml:space="preserve">MÍNIMA CUANTÍA – Normas reglamentarias – Decreto 1082 de 2015 – Procedimiento </w:t>
      </w:r>
    </w:p>
    <w:p w:rsidRPr="005D6AC3" w:rsidR="003C55E9" w:rsidP="6F07DCA8" w:rsidRDefault="00477FC1" w14:paraId="517FE3A0" w14:textId="34187946">
      <w:pPr>
        <w:tabs>
          <w:tab w:val="left" w:pos="709"/>
        </w:tabs>
        <w:spacing w:after="0" w:line="240" w:lineRule="auto"/>
        <w:jc w:val="both"/>
        <w:rPr>
          <w:rFonts w:ascii="Verdana" w:hAnsi="Verdana" w:eastAsia="Calibri" w:cs="Arial"/>
          <w:color w:val="000000" w:themeColor="text1"/>
          <w:sz w:val="20"/>
          <w:szCs w:val="20"/>
          <w:lang w:val="es-ES"/>
        </w:rPr>
      </w:pPr>
      <w:r w:rsidRPr="6F07DCA8" w:rsidR="00477FC1">
        <w:rPr>
          <w:rFonts w:ascii="Verdana" w:hAnsi="Verdana" w:eastAsia="Calibri" w:cs="Arial"/>
          <w:color w:val="000000" w:themeColor="text1" w:themeTint="FF" w:themeShade="FF"/>
          <w:sz w:val="20"/>
          <w:szCs w:val="20"/>
          <w:lang w:val="es-ES"/>
        </w:rPr>
        <w:t>Teniendo en cuenta lo anterior, la nueva Subsección 5 a que se hizo referencia contiene los siguientes artículos: i) 2.2.1.2.1.5.1.</w:t>
      </w:r>
      <w:r w:rsidRPr="6F07DCA8" w:rsidR="00477FC1">
        <w:rPr>
          <w:rFonts w:ascii="Verdana" w:hAnsi="Verdana" w:eastAsia="Calibri" w:cs="Arial"/>
          <w:color w:val="000000" w:themeColor="text1" w:themeTint="FF" w:themeShade="FF"/>
          <w:sz w:val="20"/>
          <w:szCs w:val="20"/>
          <w:lang w:val="es-ES"/>
        </w:rPr>
        <w:t xml:space="preserve"> que se ocupa de desarrollar el contenido de los estudios previos para la contratación de mínima cuantía. </w:t>
      </w:r>
      <w:r w:rsidRPr="6F07DCA8" w:rsidR="00477FC1">
        <w:rPr>
          <w:rFonts w:ascii="Verdana" w:hAnsi="Verdana" w:eastAsia="Calibri" w:cs="Arial"/>
          <w:color w:val="000000" w:themeColor="text1" w:themeTint="FF" w:themeShade="FF"/>
          <w:sz w:val="20"/>
          <w:szCs w:val="20"/>
          <w:lang w:val="es-ES"/>
        </w:rPr>
        <w:t>ii</w:t>
      </w:r>
      <w:r w:rsidRPr="6F07DCA8" w:rsidR="00477FC1">
        <w:rPr>
          <w:rFonts w:ascii="Verdana" w:hAnsi="Verdana" w:eastAsia="Calibri" w:cs="Arial"/>
          <w:color w:val="000000" w:themeColor="text1" w:themeTint="FF" w:themeShade="FF"/>
          <w:sz w:val="20"/>
          <w:szCs w:val="20"/>
          <w:lang w:val="es-ES"/>
        </w:rPr>
        <w:t xml:space="preserve">) 2.2.1.2.1.5.2. que contiene el procedimiento general de la mínima cuantía, señalando el contenido mínimo de la “invitación” y las distintas etapas y reglas que estructuran esta modalidad de selección, incluyendo la forma en que procederán las convocatorias limitadas a </w:t>
      </w:r>
      <w:r w:rsidRPr="6F07DCA8" w:rsidR="00477FC1">
        <w:rPr>
          <w:rFonts w:ascii="Verdana" w:hAnsi="Verdana" w:eastAsia="Calibri" w:cs="Arial"/>
          <w:color w:val="000000" w:themeColor="text1" w:themeTint="FF" w:themeShade="FF"/>
          <w:sz w:val="20"/>
          <w:szCs w:val="20"/>
          <w:lang w:val="es-ES"/>
        </w:rPr>
        <w:t>mipymes</w:t>
      </w:r>
      <w:r w:rsidRPr="6F07DCA8" w:rsidR="00477FC1">
        <w:rPr>
          <w:rFonts w:ascii="Verdana" w:hAnsi="Verdana" w:eastAsia="Calibri" w:cs="Arial"/>
          <w:color w:val="000000" w:themeColor="text1" w:themeTint="FF" w:themeShade="FF"/>
          <w:sz w:val="20"/>
          <w:szCs w:val="20"/>
          <w:lang w:val="es-ES"/>
        </w:rPr>
        <w:t xml:space="preserve">, de acuerdo con el mandato del parágrafo 1 del artículo 30 de la Ley 2069 de 2020. </w:t>
      </w:r>
      <w:r w:rsidRPr="6F07DCA8" w:rsidR="00477FC1">
        <w:rPr>
          <w:rFonts w:ascii="Verdana" w:hAnsi="Verdana" w:eastAsia="Calibri" w:cs="Arial"/>
          <w:color w:val="000000" w:themeColor="text1" w:themeTint="FF" w:themeShade="FF"/>
          <w:sz w:val="20"/>
          <w:szCs w:val="20"/>
          <w:lang w:val="es-ES"/>
        </w:rPr>
        <w:t>iii</w:t>
      </w:r>
      <w:r w:rsidRPr="6F07DCA8" w:rsidR="00477FC1">
        <w:rPr>
          <w:rFonts w:ascii="Verdana" w:hAnsi="Verdana" w:eastAsia="Calibri" w:cs="Arial"/>
          <w:color w:val="000000" w:themeColor="text1" w:themeTint="FF" w:themeShade="FF"/>
          <w:sz w:val="20"/>
          <w:szCs w:val="20"/>
          <w:lang w:val="es-ES"/>
        </w:rPr>
        <w:t xml:space="preserve">) 2.2.1.2.1.5.3. que regula un procedimiento especial para las adquisiciones en grandes almacenes cuando se trate de mínima cuantía. </w:t>
      </w:r>
      <w:r w:rsidRPr="6F07DCA8" w:rsidR="00477FC1">
        <w:rPr>
          <w:rFonts w:ascii="Verdana" w:hAnsi="Verdana" w:eastAsia="Calibri" w:cs="Arial"/>
          <w:color w:val="000000" w:themeColor="text1" w:themeTint="FF" w:themeShade="FF"/>
          <w:sz w:val="20"/>
          <w:szCs w:val="20"/>
          <w:lang w:val="es-ES"/>
        </w:rPr>
        <w:t>iv</w:t>
      </w:r>
      <w:r w:rsidRPr="6F07DCA8" w:rsidR="00477FC1">
        <w:rPr>
          <w:rFonts w:ascii="Verdana" w:hAnsi="Verdana" w:eastAsia="Calibri" w:cs="Arial"/>
          <w:color w:val="000000" w:themeColor="text1" w:themeTint="FF" w:themeShade="FF"/>
          <w:sz w:val="20"/>
          <w:szCs w:val="20"/>
          <w:lang w:val="es-ES"/>
        </w:rPr>
        <w:t xml:space="preserve">) 2.2.1.2.1.5.4. el cual establece la posibilidad de que la Agencia Nacional de Contratación Pública – Colombia Compra Eficiente cree y establezca las reglas para la utilización de Instrumentos de agregación de demanda en la Tienda Virtual del Estado Colombiano para adquisiciones hasta el monto de la mínima cuantía con </w:t>
      </w:r>
      <w:r w:rsidRPr="6F07DCA8" w:rsidR="00477FC1">
        <w:rPr>
          <w:rFonts w:ascii="Verdana" w:hAnsi="Verdana" w:eastAsia="Calibri" w:cs="Arial"/>
          <w:color w:val="000000" w:themeColor="text1" w:themeTint="FF" w:themeShade="FF"/>
          <w:sz w:val="20"/>
          <w:szCs w:val="20"/>
          <w:lang w:val="es-ES"/>
        </w:rPr>
        <w:t>Mipyme</w:t>
      </w:r>
      <w:r w:rsidRPr="6F07DCA8" w:rsidR="00477FC1">
        <w:rPr>
          <w:rFonts w:ascii="Verdana" w:hAnsi="Verdana" w:eastAsia="Calibri" w:cs="Arial"/>
          <w:color w:val="000000" w:themeColor="text1" w:themeTint="FF" w:themeShade="FF"/>
          <w:sz w:val="20"/>
          <w:szCs w:val="20"/>
          <w:lang w:val="es-ES"/>
        </w:rPr>
        <w:t xml:space="preserve"> y con grandes almacenes. Y v) 2.2.1.2.1.5.5. el cual establece que la entidad estatal es libre de exigir o no garantías en el proceso de selección de mínima cuantía y en la adquisición de “grandes almacenes”.</w:t>
      </w:r>
    </w:p>
    <w:p w:rsidRPr="00477FC1" w:rsidR="005D6AC3" w:rsidP="005D6AC3" w:rsidRDefault="005D6AC3" w14:paraId="2A753C8B" w14:textId="77777777">
      <w:pPr>
        <w:tabs>
          <w:tab w:val="left" w:pos="709"/>
        </w:tabs>
        <w:spacing w:after="0" w:line="240" w:lineRule="auto"/>
        <w:jc w:val="both"/>
        <w:rPr>
          <w:rFonts w:ascii="Verdana" w:hAnsi="Verdana" w:eastAsia="Calibri" w:cs="Arial"/>
          <w:bCs/>
          <w:color w:val="000000" w:themeColor="text1"/>
          <w:lang w:val="es-ES_tradnl"/>
        </w:rPr>
      </w:pPr>
    </w:p>
    <w:p w:rsidRPr="005D6AC3" w:rsidR="005D6AC3" w:rsidP="005D6AC3" w:rsidRDefault="000A6587" w14:paraId="1A23ADB7" w14:textId="05993487">
      <w:pPr>
        <w:jc w:val="both"/>
        <w:rPr>
          <w:rFonts w:ascii="Verdana" w:hAnsi="Verdana" w:eastAsia="Calibri" w:cs="Arial"/>
          <w:b/>
          <w:lang w:val="es-MX"/>
        </w:rPr>
      </w:pPr>
      <w:r w:rsidRPr="003C55E9">
        <w:rPr>
          <w:rFonts w:ascii="Verdana" w:hAnsi="Verdana" w:eastAsia="Calibri" w:cs="Arial"/>
          <w:b/>
          <w:lang w:val="es-MX"/>
        </w:rPr>
        <w:t xml:space="preserve">ACEPTACIÓN DE LA OFERTA – Perfeccionamiento del contrato / SECOP II –Aprobación – Alcance </w:t>
      </w:r>
    </w:p>
    <w:p w:rsidRPr="005D6AC3" w:rsidR="005D6AC3" w:rsidP="005D6AC3" w:rsidRDefault="005D6AC3" w14:paraId="1E341D2E" w14:textId="77777777">
      <w:pPr>
        <w:tabs>
          <w:tab w:val="left" w:pos="709"/>
        </w:tabs>
        <w:spacing w:after="0" w:line="240" w:lineRule="auto"/>
        <w:jc w:val="both"/>
        <w:rPr>
          <w:rFonts w:ascii="Verdana" w:hAnsi="Verdana" w:eastAsia="Calibri" w:cs="Arial"/>
          <w:bCs/>
          <w:color w:val="000000" w:themeColor="text1"/>
          <w:sz w:val="20"/>
          <w:szCs w:val="20"/>
        </w:rPr>
      </w:pPr>
      <w:r w:rsidRPr="005D6AC3">
        <w:rPr>
          <w:rFonts w:ascii="Verdana" w:hAnsi="Verdana" w:eastAsia="Calibri" w:cs="Arial"/>
          <w:bCs/>
          <w:color w:val="000000" w:themeColor="text1"/>
          <w:sz w:val="20"/>
          <w:szCs w:val="20"/>
          <w:lang w:val="es-ES_tradnl"/>
        </w:rPr>
        <w:t xml:space="preserve">De conformidad con lo expuesto, </w:t>
      </w:r>
      <w:r w:rsidRPr="00CF4B98">
        <w:rPr>
          <w:rFonts w:ascii="Verdana" w:hAnsi="Verdana" w:eastAsia="Calibri" w:cs="Arial"/>
          <w:bCs/>
          <w:color w:val="000000" w:themeColor="text1"/>
          <w:sz w:val="20"/>
          <w:szCs w:val="20"/>
          <w:lang w:val="es-ES_tradnl"/>
        </w:rPr>
        <w:t xml:space="preserve">y con fundamento en lo previsto en el numeral 9 del artículo 2.2.1.2.1.5.2. del Decreto </w:t>
      </w:r>
      <w:r w:rsidRPr="005D6AC3">
        <w:rPr>
          <w:rFonts w:ascii="Verdana" w:hAnsi="Verdana" w:eastAsia="Calibri" w:cs="Arial"/>
          <w:bCs/>
          <w:color w:val="000000" w:themeColor="text1"/>
          <w:sz w:val="20"/>
          <w:szCs w:val="20"/>
          <w:lang w:val="es-ES_tradnl"/>
        </w:rPr>
        <w:t>1082</w:t>
      </w:r>
      <w:r w:rsidRPr="00CF4B98">
        <w:rPr>
          <w:rFonts w:ascii="Verdana" w:hAnsi="Verdana" w:eastAsia="Calibri" w:cs="Arial"/>
          <w:bCs/>
          <w:color w:val="000000" w:themeColor="text1"/>
          <w:sz w:val="20"/>
          <w:szCs w:val="20"/>
          <w:lang w:val="es-ES_tradnl"/>
        </w:rPr>
        <w:t xml:space="preserve"> del 2</w:t>
      </w:r>
      <w:r w:rsidRPr="005D6AC3">
        <w:rPr>
          <w:rFonts w:ascii="Verdana" w:hAnsi="Verdana" w:eastAsia="Calibri" w:cs="Arial"/>
          <w:bCs/>
          <w:color w:val="000000" w:themeColor="text1"/>
          <w:sz w:val="20"/>
          <w:szCs w:val="20"/>
          <w:lang w:val="es-ES_tradnl"/>
        </w:rPr>
        <w:t>015</w:t>
      </w:r>
      <w:r w:rsidRPr="00CF4B98">
        <w:rPr>
          <w:rFonts w:ascii="Verdana" w:hAnsi="Verdana" w:eastAsia="Calibri" w:cs="Arial"/>
          <w:bCs/>
          <w:color w:val="000000" w:themeColor="text1"/>
          <w:sz w:val="20"/>
          <w:szCs w:val="20"/>
          <w:lang w:val="es-ES_tradnl"/>
        </w:rPr>
        <w:t xml:space="preserve"> </w:t>
      </w:r>
      <w:r w:rsidRPr="005D6AC3">
        <w:rPr>
          <w:rFonts w:ascii="Verdana" w:hAnsi="Verdana" w:eastAsia="Calibri" w:cs="Arial"/>
          <w:bCs/>
          <w:color w:val="000000" w:themeColor="text1"/>
          <w:sz w:val="20"/>
          <w:szCs w:val="20"/>
          <w:lang w:val="es-ES_tradnl"/>
        </w:rPr>
        <w:t xml:space="preserve">según el cual </w:t>
      </w:r>
      <w:r w:rsidRPr="00CF4B98">
        <w:rPr>
          <w:rFonts w:ascii="Verdana" w:hAnsi="Verdana" w:eastAsia="Calibri" w:cs="Arial"/>
          <w:bCs/>
          <w:color w:val="000000" w:themeColor="text1"/>
          <w:sz w:val="20"/>
          <w:szCs w:val="20"/>
          <w:lang w:val="es-ES_tradnl"/>
        </w:rPr>
        <w:t>“la oferta y su aceptación constituyen el contrato estatal”</w:t>
      </w:r>
      <w:r w:rsidRPr="005D6AC3">
        <w:rPr>
          <w:rFonts w:ascii="Verdana" w:hAnsi="Verdana" w:eastAsia="Calibri" w:cs="Arial"/>
          <w:bCs/>
          <w:color w:val="000000" w:themeColor="text1"/>
          <w:sz w:val="20"/>
          <w:szCs w:val="20"/>
          <w:lang w:val="es-ES_tradnl"/>
        </w:rPr>
        <w:t>, es claro que la comunicación de la aceptación de la oferta por parte de la entidad al proponente perfecciona</w:t>
      </w:r>
      <w:r w:rsidRPr="00CF4B98">
        <w:rPr>
          <w:rFonts w:ascii="Verdana" w:hAnsi="Verdana" w:eastAsia="Calibri" w:cs="Arial"/>
          <w:bCs/>
          <w:color w:val="000000" w:themeColor="text1"/>
          <w:sz w:val="20"/>
          <w:szCs w:val="20"/>
          <w:lang w:val="es-ES_tradnl"/>
        </w:rPr>
        <w:t xml:space="preserve"> los requisitos de existencia del contrato. </w:t>
      </w:r>
      <w:r w:rsidRPr="005D6AC3">
        <w:rPr>
          <w:rFonts w:ascii="Verdana" w:hAnsi="Verdana" w:eastAsia="Calibri" w:cs="Arial"/>
          <w:bCs/>
          <w:color w:val="000000" w:themeColor="text1"/>
          <w:sz w:val="20"/>
          <w:szCs w:val="20"/>
        </w:rPr>
        <w:t>Esta particularidad en relación con el procedimiento de mínima cuantía se deriva de lo establecido en el literal d) del numeral 5 del artículo 2 de la Ley 1150 de 2007 que de manera expresa dispone que "la comunicación de aceptación junto con la oferta c</w:t>
      </w:r>
      <w:r w:rsidRPr="005D6AC3">
        <w:rPr>
          <w:rFonts w:ascii="Verdana" w:hAnsi="Verdana" w:eastAsia="Calibri" w:cs="Arial"/>
          <w:bCs/>
          <w:i/>
          <w:iCs/>
          <w:color w:val="000000" w:themeColor="text1"/>
          <w:sz w:val="20"/>
          <w:szCs w:val="20"/>
        </w:rPr>
        <w:t>onstituye para todos los efectos el contrato celebrado</w:t>
      </w:r>
      <w:r w:rsidRPr="005D6AC3">
        <w:rPr>
          <w:rFonts w:ascii="Verdana" w:hAnsi="Verdana" w:eastAsia="Calibri" w:cs="Arial"/>
          <w:bCs/>
          <w:color w:val="000000" w:themeColor="text1"/>
          <w:sz w:val="20"/>
          <w:szCs w:val="20"/>
        </w:rPr>
        <w:t>, con base en lo cual se efectuará el respectivo registro presupuestal". Esto implica que, en este tipo de procedimientos, el contrato se entiende perfeccionado en el momento en que se produce dicha comunicación, sin necesidad de cumplir con requisitos adicionales.</w:t>
      </w:r>
    </w:p>
    <w:p w:rsidRPr="005D6AC3" w:rsidR="005D6AC3" w:rsidP="6F07DCA8" w:rsidRDefault="005D6AC3" w14:paraId="5E5C9231" w14:textId="143F3B72" w14:noSpellErr="1">
      <w:pPr>
        <w:tabs>
          <w:tab w:val="left" w:pos="709"/>
        </w:tabs>
        <w:spacing w:after="0" w:line="240" w:lineRule="auto"/>
        <w:jc w:val="both"/>
        <w:rPr>
          <w:rFonts w:ascii="Verdana" w:hAnsi="Verdana" w:eastAsia="Calibri" w:cs="Arial"/>
          <w:color w:val="000000" w:themeColor="text1"/>
          <w:sz w:val="20"/>
          <w:szCs w:val="20"/>
          <w:lang w:val="es-CO"/>
        </w:rPr>
      </w:pPr>
      <w:r w:rsidRPr="6F07DCA8" w:rsidR="005D6AC3">
        <w:rPr>
          <w:rFonts w:ascii="Verdana" w:hAnsi="Verdana" w:eastAsia="Calibri" w:cs="Arial"/>
          <w:color w:val="000000" w:themeColor="text1" w:themeTint="FF" w:themeShade="FF"/>
          <w:sz w:val="20"/>
          <w:szCs w:val="20"/>
          <w:lang w:val="es-CO"/>
        </w:rPr>
        <w:t>(….)</w:t>
      </w:r>
    </w:p>
    <w:p w:rsidRPr="005D6AC3" w:rsidR="005D6AC3" w:rsidP="005D6AC3" w:rsidRDefault="005D6AC3" w14:paraId="79CDF888" w14:textId="77777777">
      <w:pPr>
        <w:spacing w:after="0" w:line="240" w:lineRule="auto"/>
        <w:jc w:val="both"/>
        <w:rPr>
          <w:rFonts w:ascii="Verdana" w:hAnsi="Verdana" w:eastAsia="Calibri" w:cs="Arial"/>
          <w:sz w:val="20"/>
          <w:szCs w:val="20"/>
          <w:lang w:val="es-ES"/>
        </w:rPr>
      </w:pPr>
    </w:p>
    <w:p w:rsidRPr="00747990" w:rsidR="005D6AC3" w:rsidP="005D6AC3" w:rsidRDefault="005D6AC3" w14:paraId="22916DAE" w14:textId="58D8374A">
      <w:pPr>
        <w:spacing w:after="0" w:line="240" w:lineRule="auto"/>
        <w:jc w:val="both"/>
        <w:rPr>
          <w:rFonts w:ascii="Verdana" w:hAnsi="Verdana" w:eastAsia="Calibri" w:cs="Arial"/>
          <w:sz w:val="20"/>
          <w:szCs w:val="20"/>
          <w:lang w:val="es-ES"/>
        </w:rPr>
      </w:pPr>
      <w:r w:rsidRPr="005D6AC3">
        <w:rPr>
          <w:rFonts w:ascii="Verdana" w:hAnsi="Verdana" w:eastAsia="Calibri" w:cs="Arial"/>
          <w:sz w:val="20"/>
          <w:szCs w:val="20"/>
          <w:lang w:val="es-ES"/>
        </w:rPr>
        <w:t xml:space="preserve">Sin embargo, frente al procedimiento de mínima cuantía </w:t>
      </w:r>
      <w:r w:rsidRPr="00747990">
        <w:rPr>
          <w:rFonts w:ascii="Verdana" w:hAnsi="Verdana" w:eastAsia="Calibri" w:cs="Arial"/>
          <w:sz w:val="20"/>
          <w:szCs w:val="20"/>
          <w:lang w:val="es-ES"/>
        </w:rPr>
        <w:t xml:space="preserve">el </w:t>
      </w:r>
      <w:r w:rsidRPr="005D6AC3">
        <w:rPr>
          <w:rFonts w:ascii="Verdana" w:hAnsi="Verdana" w:eastAsia="Calibri" w:cs="Arial"/>
          <w:sz w:val="20"/>
          <w:szCs w:val="20"/>
          <w:lang w:val="es-ES"/>
        </w:rPr>
        <w:t>trámite</w:t>
      </w:r>
      <w:r w:rsidRPr="00747990">
        <w:rPr>
          <w:rFonts w:ascii="Verdana" w:hAnsi="Verdana" w:eastAsia="Calibri" w:cs="Arial"/>
          <w:sz w:val="20"/>
          <w:szCs w:val="20"/>
          <w:lang w:val="es-ES"/>
        </w:rPr>
        <w:t xml:space="preserve"> mediante el cual se efectúa la firma del contrato y su consecuente aprobación o rechazo realizado a través del SECOP II</w:t>
      </w:r>
      <w:r w:rsidRPr="005D6AC3">
        <w:rPr>
          <w:rFonts w:ascii="Verdana" w:hAnsi="Verdana" w:eastAsia="Calibri" w:cs="Arial"/>
          <w:sz w:val="20"/>
          <w:szCs w:val="20"/>
          <w:lang w:val="es-ES"/>
        </w:rPr>
        <w:t xml:space="preserve">, tiene una connotación particular. Como se explicó, la comunicación de aceptación junto con la oferta constituye el contrato celebrado por lo que no es necesaria la aprobación del contratista en el SECOP II para que el contrato se perfeccione y exista. En este sentido, </w:t>
      </w:r>
      <w:r w:rsidRPr="005D6AC3">
        <w:rPr>
          <w:rFonts w:ascii="Verdana" w:hAnsi="Verdana" w:eastAsia="Calibri" w:cs="Arial"/>
          <w:sz w:val="20"/>
          <w:szCs w:val="20"/>
        </w:rPr>
        <w:t>la “aprobación del contrato por el proveedor” que se establece como trámite en la plataforma SECOP II, opera para efectos de publicidad, transparencia y oponibilidad frente a terceros y con el fin de avanzar en el módulo de gestión contractual que permite cumplir con los requisitos de ejecución del contrato.</w:t>
      </w:r>
    </w:p>
    <w:p w:rsidR="000A6587" w:rsidP="00A97EE0" w:rsidRDefault="000A6587" w14:paraId="789DB964" w14:textId="77777777">
      <w:pPr>
        <w:spacing w:after="0" w:line="240" w:lineRule="auto"/>
        <w:rPr>
          <w:rFonts w:ascii="Verdana" w:hAnsi="Verdana" w:eastAsia="Geomanist Light" w:cs="Arial"/>
          <w:color w:val="000000" w:themeColor="text1"/>
          <w:lang w:val="es-MX"/>
        </w:rPr>
      </w:pPr>
    </w:p>
    <w:p w:rsidR="000A6587" w:rsidP="00A97EE0" w:rsidRDefault="000A6587" w14:paraId="4533A1C7" w14:textId="77777777">
      <w:pPr>
        <w:spacing w:after="0" w:line="240" w:lineRule="auto"/>
        <w:rPr>
          <w:rFonts w:ascii="Verdana" w:hAnsi="Verdana" w:eastAsia="Geomanist Light" w:cs="Arial"/>
          <w:color w:val="000000" w:themeColor="text1"/>
          <w:lang w:val="es-MX"/>
        </w:rPr>
      </w:pPr>
    </w:p>
    <w:p w:rsidR="005D6AC3" w:rsidP="00A97EE0" w:rsidRDefault="005D6AC3" w14:paraId="28ED6966" w14:textId="77777777">
      <w:pPr>
        <w:spacing w:after="0" w:line="240" w:lineRule="auto"/>
        <w:rPr>
          <w:rFonts w:ascii="Verdana" w:hAnsi="Verdana" w:eastAsia="Geomanist Light" w:cs="Arial"/>
          <w:color w:val="000000" w:themeColor="text1"/>
          <w:lang w:val="es-MX"/>
        </w:rPr>
      </w:pPr>
    </w:p>
    <w:p w:rsidR="005D6AC3" w:rsidP="00A97EE0" w:rsidRDefault="005D6AC3" w14:paraId="60E7334B" w14:textId="77777777">
      <w:pPr>
        <w:spacing w:after="0" w:line="240" w:lineRule="auto"/>
        <w:rPr>
          <w:rFonts w:ascii="Verdana" w:hAnsi="Verdana" w:eastAsia="Geomanist Light" w:cs="Arial"/>
          <w:color w:val="000000" w:themeColor="text1"/>
          <w:lang w:val="es-MX"/>
        </w:rPr>
      </w:pPr>
    </w:p>
    <w:p w:rsidR="005D6AC3" w:rsidP="00A97EE0" w:rsidRDefault="005D6AC3" w14:paraId="5C48628E" w14:textId="77777777">
      <w:pPr>
        <w:spacing w:after="0" w:line="240" w:lineRule="auto"/>
        <w:rPr>
          <w:rFonts w:ascii="Verdana" w:hAnsi="Verdana" w:eastAsia="Geomanist Light" w:cs="Arial"/>
          <w:color w:val="000000" w:themeColor="text1"/>
          <w:lang w:val="es-MX"/>
        </w:rPr>
      </w:pPr>
    </w:p>
    <w:p w:rsidR="005D6AC3" w:rsidP="00A97EE0" w:rsidRDefault="005D6AC3" w14:paraId="0D66B5F1" w14:textId="77777777">
      <w:pPr>
        <w:spacing w:after="0" w:line="240" w:lineRule="auto"/>
        <w:rPr>
          <w:rFonts w:ascii="Verdana" w:hAnsi="Verdana" w:eastAsia="Geomanist Light" w:cs="Arial"/>
          <w:color w:val="000000" w:themeColor="text1"/>
          <w:lang w:val="es-MX"/>
        </w:rPr>
      </w:pPr>
    </w:p>
    <w:p w:rsidR="005D6AC3" w:rsidP="00A97EE0" w:rsidRDefault="005D6AC3" w14:paraId="1FD85F6C" w14:textId="77777777">
      <w:pPr>
        <w:spacing w:after="0" w:line="240" w:lineRule="auto"/>
        <w:rPr>
          <w:rFonts w:ascii="Verdana" w:hAnsi="Verdana" w:eastAsia="Geomanist Light" w:cs="Arial"/>
          <w:color w:val="000000" w:themeColor="text1"/>
          <w:lang w:val="es-MX"/>
        </w:rPr>
      </w:pPr>
    </w:p>
    <w:p w:rsidR="005D6AC3" w:rsidP="00A97EE0" w:rsidRDefault="005D6AC3" w14:paraId="6225DB86" w14:textId="77777777">
      <w:pPr>
        <w:spacing w:after="0" w:line="240" w:lineRule="auto"/>
        <w:rPr>
          <w:rFonts w:ascii="Verdana" w:hAnsi="Verdana" w:eastAsia="Geomanist Light" w:cs="Arial"/>
          <w:color w:val="000000" w:themeColor="text1"/>
          <w:lang w:val="es-MX"/>
        </w:rPr>
      </w:pPr>
    </w:p>
    <w:p w:rsidR="005D6AC3" w:rsidP="00A97EE0" w:rsidRDefault="005D6AC3" w14:paraId="43120F20" w14:textId="77777777">
      <w:pPr>
        <w:spacing w:after="0" w:line="240" w:lineRule="auto"/>
        <w:rPr>
          <w:rFonts w:ascii="Verdana" w:hAnsi="Verdana" w:eastAsia="Geomanist Light" w:cs="Arial"/>
          <w:color w:val="000000" w:themeColor="text1"/>
          <w:lang w:val="es-MX"/>
        </w:rPr>
      </w:pPr>
    </w:p>
    <w:p w:rsidR="005D6AC3" w:rsidP="00A97EE0" w:rsidRDefault="005D6AC3" w14:paraId="3B6C3FC0" w14:textId="77777777">
      <w:pPr>
        <w:spacing w:after="0" w:line="240" w:lineRule="auto"/>
        <w:rPr>
          <w:rFonts w:ascii="Verdana" w:hAnsi="Verdana" w:eastAsia="Geomanist Light" w:cs="Arial"/>
          <w:color w:val="000000" w:themeColor="text1"/>
          <w:lang w:val="es-MX"/>
        </w:rPr>
      </w:pPr>
    </w:p>
    <w:p w:rsidR="005D6AC3" w:rsidP="00A97EE0" w:rsidRDefault="005D6AC3" w14:paraId="3BEF1A6C" w14:textId="77777777">
      <w:pPr>
        <w:spacing w:after="0" w:line="240" w:lineRule="auto"/>
        <w:rPr>
          <w:rFonts w:ascii="Verdana" w:hAnsi="Verdana" w:eastAsia="Geomanist Light" w:cs="Arial"/>
          <w:color w:val="000000" w:themeColor="text1"/>
          <w:lang w:val="es-MX"/>
        </w:rPr>
      </w:pPr>
    </w:p>
    <w:p w:rsidR="005D6AC3" w:rsidP="00A97EE0" w:rsidRDefault="005D6AC3" w14:paraId="3E949CF0" w14:textId="77777777">
      <w:pPr>
        <w:spacing w:after="0" w:line="240" w:lineRule="auto"/>
        <w:rPr>
          <w:rFonts w:ascii="Verdana" w:hAnsi="Verdana" w:eastAsia="Geomanist Light" w:cs="Arial"/>
          <w:color w:val="000000" w:themeColor="text1"/>
          <w:lang w:val="es-MX"/>
        </w:rPr>
      </w:pPr>
    </w:p>
    <w:p w:rsidR="005D6AC3" w:rsidP="00A97EE0" w:rsidRDefault="005D6AC3" w14:paraId="776855B2" w14:textId="77777777">
      <w:pPr>
        <w:spacing w:after="0" w:line="240" w:lineRule="auto"/>
        <w:rPr>
          <w:rFonts w:ascii="Verdana" w:hAnsi="Verdana" w:eastAsia="Geomanist Light" w:cs="Arial"/>
          <w:color w:val="000000" w:themeColor="text1"/>
          <w:lang w:val="es-MX"/>
        </w:rPr>
      </w:pPr>
    </w:p>
    <w:p w:rsidR="005D6AC3" w:rsidP="00A97EE0" w:rsidRDefault="005D6AC3" w14:paraId="0EE80E1B" w14:textId="77777777">
      <w:pPr>
        <w:spacing w:after="0" w:line="240" w:lineRule="auto"/>
        <w:rPr>
          <w:rFonts w:ascii="Verdana" w:hAnsi="Verdana" w:eastAsia="Geomanist Light" w:cs="Arial"/>
          <w:color w:val="000000" w:themeColor="text1"/>
          <w:lang w:val="es-MX"/>
        </w:rPr>
      </w:pPr>
    </w:p>
    <w:p w:rsidR="005D6AC3" w:rsidP="00A97EE0" w:rsidRDefault="005D6AC3" w14:paraId="659FDCB9" w14:textId="77777777">
      <w:pPr>
        <w:spacing w:after="0" w:line="240" w:lineRule="auto"/>
        <w:rPr>
          <w:rFonts w:ascii="Verdana" w:hAnsi="Verdana" w:eastAsia="Geomanist Light" w:cs="Arial"/>
          <w:color w:val="000000" w:themeColor="text1"/>
          <w:lang w:val="es-MX"/>
        </w:rPr>
      </w:pPr>
    </w:p>
    <w:p w:rsidR="005D6AC3" w:rsidP="00A97EE0" w:rsidRDefault="005D6AC3" w14:paraId="761A1829" w14:textId="77777777">
      <w:pPr>
        <w:spacing w:after="0" w:line="240" w:lineRule="auto"/>
        <w:rPr>
          <w:rFonts w:ascii="Verdana" w:hAnsi="Verdana" w:eastAsia="Geomanist Light" w:cs="Arial"/>
          <w:color w:val="000000" w:themeColor="text1"/>
          <w:lang w:val="es-MX"/>
        </w:rPr>
      </w:pPr>
    </w:p>
    <w:p w:rsidR="005D6AC3" w:rsidP="00A97EE0" w:rsidRDefault="005D6AC3" w14:paraId="2EF716FC" w14:textId="77777777">
      <w:pPr>
        <w:spacing w:after="0" w:line="240" w:lineRule="auto"/>
        <w:rPr>
          <w:rFonts w:ascii="Verdana" w:hAnsi="Verdana" w:eastAsia="Geomanist Light" w:cs="Arial"/>
          <w:color w:val="000000" w:themeColor="text1"/>
          <w:lang w:val="es-MX"/>
        </w:rPr>
      </w:pPr>
    </w:p>
    <w:p w:rsidR="005D6AC3" w:rsidP="00A97EE0" w:rsidRDefault="005D6AC3" w14:paraId="33EE6371" w14:textId="77777777">
      <w:pPr>
        <w:spacing w:after="0" w:line="240" w:lineRule="auto"/>
        <w:rPr>
          <w:rFonts w:ascii="Verdana" w:hAnsi="Verdana" w:eastAsia="Geomanist Light" w:cs="Arial"/>
          <w:color w:val="000000" w:themeColor="text1"/>
          <w:lang w:val="es-MX"/>
        </w:rPr>
      </w:pPr>
    </w:p>
    <w:p w:rsidR="005D6AC3" w:rsidP="00A97EE0" w:rsidRDefault="005D6AC3" w14:paraId="00C89877" w14:textId="77777777">
      <w:pPr>
        <w:spacing w:after="0" w:line="240" w:lineRule="auto"/>
        <w:rPr>
          <w:rFonts w:ascii="Verdana" w:hAnsi="Verdana" w:eastAsia="Geomanist Light" w:cs="Arial"/>
          <w:color w:val="000000" w:themeColor="text1"/>
          <w:lang w:val="es-MX"/>
        </w:rPr>
      </w:pPr>
    </w:p>
    <w:p w:rsidR="005D6AC3" w:rsidP="00A97EE0" w:rsidRDefault="005D6AC3" w14:paraId="198BA3EC" w14:textId="77777777">
      <w:pPr>
        <w:spacing w:after="0" w:line="240" w:lineRule="auto"/>
        <w:rPr>
          <w:rFonts w:ascii="Verdana" w:hAnsi="Verdana" w:eastAsia="Geomanist Light" w:cs="Arial"/>
          <w:color w:val="000000" w:themeColor="text1"/>
          <w:lang w:val="es-MX"/>
        </w:rPr>
      </w:pPr>
    </w:p>
    <w:p w:rsidR="005D6AC3" w:rsidP="00A97EE0" w:rsidRDefault="005D6AC3" w14:paraId="64C6D649" w14:textId="77777777">
      <w:pPr>
        <w:spacing w:after="0" w:line="240" w:lineRule="auto"/>
        <w:rPr>
          <w:rFonts w:ascii="Verdana" w:hAnsi="Verdana" w:eastAsia="Geomanist Light" w:cs="Arial"/>
          <w:color w:val="000000" w:themeColor="text1"/>
          <w:lang w:val="es-MX"/>
        </w:rPr>
      </w:pPr>
    </w:p>
    <w:p w:rsidR="005D6AC3" w:rsidP="00A97EE0" w:rsidRDefault="005D6AC3" w14:paraId="1545000A" w14:textId="77777777">
      <w:pPr>
        <w:spacing w:after="0" w:line="240" w:lineRule="auto"/>
        <w:rPr>
          <w:rFonts w:ascii="Verdana" w:hAnsi="Verdana" w:eastAsia="Geomanist Light" w:cs="Arial"/>
          <w:color w:val="000000" w:themeColor="text1"/>
          <w:lang w:val="es-MX"/>
        </w:rPr>
      </w:pPr>
    </w:p>
    <w:p w:rsidR="005D6AC3" w:rsidP="00A97EE0" w:rsidRDefault="005D6AC3" w14:paraId="31F52872" w14:textId="77777777">
      <w:pPr>
        <w:spacing w:after="0" w:line="240" w:lineRule="auto"/>
        <w:rPr>
          <w:rFonts w:ascii="Verdana" w:hAnsi="Verdana" w:eastAsia="Geomanist Light" w:cs="Arial"/>
          <w:color w:val="000000" w:themeColor="text1"/>
          <w:lang w:val="es-MX"/>
        </w:rPr>
      </w:pPr>
    </w:p>
    <w:p w:rsidR="005D6AC3" w:rsidP="00A97EE0" w:rsidRDefault="005D6AC3" w14:paraId="73167115" w14:textId="77777777">
      <w:pPr>
        <w:spacing w:after="0" w:line="240" w:lineRule="auto"/>
        <w:rPr>
          <w:rFonts w:ascii="Verdana" w:hAnsi="Verdana" w:eastAsia="Geomanist Light" w:cs="Arial"/>
          <w:color w:val="000000" w:themeColor="text1"/>
          <w:lang w:val="es-MX"/>
        </w:rPr>
      </w:pPr>
    </w:p>
    <w:p w:rsidR="005D6AC3" w:rsidP="00A97EE0" w:rsidRDefault="005D6AC3" w14:paraId="0E105B1E" w14:textId="77777777">
      <w:pPr>
        <w:spacing w:after="0" w:line="240" w:lineRule="auto"/>
        <w:rPr>
          <w:rFonts w:ascii="Verdana" w:hAnsi="Verdana" w:eastAsia="Geomanist Light" w:cs="Arial"/>
          <w:color w:val="000000" w:themeColor="text1"/>
          <w:lang w:val="es-MX"/>
        </w:rPr>
      </w:pPr>
    </w:p>
    <w:p w:rsidR="005D6AC3" w:rsidP="00A97EE0" w:rsidRDefault="005D6AC3" w14:paraId="02D51A25" w14:textId="77777777">
      <w:pPr>
        <w:spacing w:after="0" w:line="240" w:lineRule="auto"/>
        <w:rPr>
          <w:rFonts w:ascii="Verdana" w:hAnsi="Verdana" w:eastAsia="Geomanist Light" w:cs="Arial"/>
          <w:color w:val="000000" w:themeColor="text1"/>
          <w:lang w:val="es-MX"/>
        </w:rPr>
      </w:pPr>
    </w:p>
    <w:p w:rsidR="005D6AC3" w:rsidP="00A97EE0" w:rsidRDefault="005D6AC3" w14:paraId="16EA372E" w14:textId="77777777">
      <w:pPr>
        <w:spacing w:after="0" w:line="240" w:lineRule="auto"/>
        <w:rPr>
          <w:rFonts w:ascii="Verdana" w:hAnsi="Verdana" w:eastAsia="Geomanist Light" w:cs="Arial"/>
          <w:color w:val="000000" w:themeColor="text1"/>
          <w:lang w:val="es-MX"/>
        </w:rPr>
      </w:pPr>
    </w:p>
    <w:p w:rsidR="005D6AC3" w:rsidP="00A97EE0" w:rsidRDefault="005D6AC3" w14:paraId="4ECEC13E" w14:textId="77777777">
      <w:pPr>
        <w:spacing w:after="0" w:line="240" w:lineRule="auto"/>
        <w:rPr>
          <w:rFonts w:ascii="Verdana" w:hAnsi="Verdana" w:eastAsia="Geomanist Light" w:cs="Arial"/>
          <w:color w:val="000000" w:themeColor="text1"/>
          <w:lang w:val="es-MX"/>
        </w:rPr>
      </w:pPr>
    </w:p>
    <w:p w:rsidR="005D6AC3" w:rsidP="00A97EE0" w:rsidRDefault="005D6AC3" w14:paraId="3F8F9B9D" w14:textId="77777777">
      <w:pPr>
        <w:spacing w:after="0" w:line="240" w:lineRule="auto"/>
        <w:rPr>
          <w:rFonts w:ascii="Verdana" w:hAnsi="Verdana" w:eastAsia="Geomanist Light" w:cs="Arial"/>
          <w:color w:val="000000" w:themeColor="text1"/>
          <w:lang w:val="es-MX"/>
        </w:rPr>
      </w:pPr>
    </w:p>
    <w:p w:rsidR="005D6AC3" w:rsidP="00A97EE0" w:rsidRDefault="005D6AC3" w14:paraId="6DAD0EE0" w14:textId="77777777">
      <w:pPr>
        <w:spacing w:after="0" w:line="240" w:lineRule="auto"/>
        <w:rPr>
          <w:rFonts w:ascii="Verdana" w:hAnsi="Verdana" w:eastAsia="Geomanist Light" w:cs="Arial"/>
          <w:color w:val="000000" w:themeColor="text1"/>
          <w:lang w:val="es-MX"/>
        </w:rPr>
      </w:pPr>
    </w:p>
    <w:p w:rsidR="005D6AC3" w:rsidP="00A97EE0" w:rsidRDefault="005D6AC3" w14:paraId="34909B0C" w14:textId="77777777">
      <w:pPr>
        <w:spacing w:after="0" w:line="240" w:lineRule="auto"/>
        <w:rPr>
          <w:rFonts w:ascii="Verdana" w:hAnsi="Verdana" w:eastAsia="Geomanist Light" w:cs="Arial"/>
          <w:color w:val="000000" w:themeColor="text1"/>
          <w:lang w:val="es-MX"/>
        </w:rPr>
      </w:pPr>
    </w:p>
    <w:p w:rsidR="005D6AC3" w:rsidP="00A97EE0" w:rsidRDefault="005D6AC3" w14:paraId="492315C7" w14:textId="77777777">
      <w:pPr>
        <w:spacing w:after="0" w:line="240" w:lineRule="auto"/>
        <w:rPr>
          <w:rFonts w:ascii="Verdana" w:hAnsi="Verdana" w:eastAsia="Geomanist Light" w:cs="Arial"/>
          <w:color w:val="000000" w:themeColor="text1"/>
          <w:lang w:val="es-MX"/>
        </w:rPr>
      </w:pPr>
    </w:p>
    <w:p w:rsidR="005D6AC3" w:rsidP="00A97EE0" w:rsidRDefault="005D6AC3" w14:paraId="05A61770" w14:textId="77777777">
      <w:pPr>
        <w:spacing w:after="0" w:line="240" w:lineRule="auto"/>
        <w:rPr>
          <w:rFonts w:ascii="Verdana" w:hAnsi="Verdana" w:eastAsia="Geomanist Light" w:cs="Arial"/>
          <w:color w:val="000000" w:themeColor="text1"/>
          <w:lang w:val="es-MX"/>
        </w:rPr>
      </w:pPr>
    </w:p>
    <w:p w:rsidRPr="000E46C3" w:rsidR="000E46C3" w:rsidP="000E46C3" w:rsidRDefault="000E46C3" w14:paraId="2B783388" w14:textId="1F41D131">
      <w:pPr>
        <w:spacing w:after="0" w:line="240" w:lineRule="auto"/>
        <w:rPr>
          <w:rFonts w:ascii="Verdana" w:hAnsi="Verdana" w:eastAsia="Geomanist Light" w:cs="Arial"/>
          <w:color w:val="201F1E"/>
          <w:lang w:val="es-MX"/>
        </w:rPr>
      </w:pPr>
      <w:r w:rsidRPr="000E46C3">
        <w:rPr>
          <w:rFonts w:ascii="Verdana" w:hAnsi="Verdana" w:eastAsia="Geomanist Light" w:cs="Arial"/>
          <w:color w:val="000000" w:themeColor="text1"/>
          <w:lang w:val="es-MX"/>
        </w:rPr>
        <w:t>Bogotá D.C., </w:t>
      </w:r>
      <w:r w:rsidR="00530C97">
        <w:rPr>
          <w:rFonts w:ascii="Verdana" w:hAnsi="Verdana" w:eastAsia="Geomanist Light" w:cs="Arial"/>
          <w:color w:val="000000" w:themeColor="text1"/>
          <w:lang w:val="es-MX"/>
        </w:rPr>
        <w:t>26 de febrero de 2025</w:t>
      </w:r>
    </w:p>
    <w:p w:rsidR="000E46C3" w:rsidP="000E46C3" w:rsidRDefault="000E46C3" w14:paraId="3D5DA16D" w14:textId="77777777">
      <w:pPr>
        <w:spacing w:after="0" w:line="240" w:lineRule="auto"/>
        <w:rPr>
          <w:rFonts w:ascii="Verdana" w:hAnsi="Verdana" w:eastAsia="Calibri" w:cs="Arial"/>
          <w:lang w:val="es-ES" w:eastAsia="es-ES"/>
        </w:rPr>
      </w:pPr>
    </w:p>
    <w:p w:rsidRPr="000E46C3" w:rsidR="00530C97" w:rsidP="00530C97" w:rsidRDefault="00530C97" w14:paraId="111DE5EC" w14:textId="2224F4D3">
      <w:pPr>
        <w:spacing w:after="0" w:line="240" w:lineRule="auto"/>
        <w:jc w:val="right"/>
        <w:rPr>
          <w:rFonts w:ascii="Verdana" w:hAnsi="Verdana" w:eastAsia="Calibri" w:cs="Arial"/>
          <w:lang w:val="es-ES" w:eastAsia="es-ES"/>
        </w:rPr>
      </w:pPr>
      <w:r w:rsidRPr="00530C97">
        <w:rPr>
          <w:rFonts w:ascii="Verdana" w:hAnsi="Verdana" w:eastAsia="Calibri" w:cs="Arial"/>
          <w:noProof/>
          <w:lang w:val="es-ES" w:eastAsia="es-ES"/>
        </w:rPr>
        <w:drawing>
          <wp:inline distT="0" distB="0" distL="0" distR="0" wp14:anchorId="48DBA3C6" wp14:editId="6826E536">
            <wp:extent cx="2727960" cy="1005840"/>
            <wp:effectExtent l="0" t="0" r="0" b="3810"/>
            <wp:docPr id="76075673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27960" cy="1005840"/>
                    </a:xfrm>
                    <a:prstGeom prst="rect">
                      <a:avLst/>
                    </a:prstGeom>
                    <a:noFill/>
                    <a:ln>
                      <a:noFill/>
                    </a:ln>
                  </pic:spPr>
                </pic:pic>
              </a:graphicData>
            </a:graphic>
          </wp:inline>
        </w:drawing>
      </w:r>
    </w:p>
    <w:p w:rsidRPr="000E46C3" w:rsidR="000E46C3" w:rsidP="000E46C3" w:rsidRDefault="000E46C3" w14:paraId="4C06B534" w14:textId="77777777">
      <w:pPr>
        <w:spacing w:after="0" w:line="240" w:lineRule="auto"/>
        <w:rPr>
          <w:rFonts w:ascii="Verdana" w:hAnsi="Verdana" w:eastAsia="Calibri" w:cs="Arial"/>
          <w:lang w:val="es-ES" w:eastAsia="es-ES"/>
        </w:rPr>
      </w:pPr>
    </w:p>
    <w:p w:rsidRPr="000E46C3" w:rsidR="000E46C3" w:rsidP="000E46C3" w:rsidRDefault="000E46C3" w14:paraId="3862673B" w14:textId="77777777">
      <w:pPr>
        <w:spacing w:after="0" w:line="240" w:lineRule="auto"/>
        <w:rPr>
          <w:rFonts w:ascii="Verdana" w:hAnsi="Verdana" w:eastAsia="Geomanist Light" w:cs="Arial"/>
          <w:color w:val="201F1E"/>
          <w:lang w:val="es-MX"/>
        </w:rPr>
      </w:pPr>
      <w:r w:rsidRPr="000E46C3">
        <w:rPr>
          <w:rFonts w:ascii="Verdana" w:hAnsi="Verdana" w:eastAsia="Calibri" w:cs="Arial"/>
          <w:lang w:val="es-ES" w:eastAsia="es-ES"/>
        </w:rPr>
        <w:t>Señora</w:t>
      </w:r>
    </w:p>
    <w:p w:rsidRPr="000E46C3" w:rsidR="000E46C3" w:rsidP="000E46C3" w:rsidRDefault="000E46C3" w14:paraId="321F0605" w14:textId="77777777">
      <w:pPr>
        <w:spacing w:after="0" w:line="240" w:lineRule="auto"/>
        <w:jc w:val="both"/>
        <w:rPr>
          <w:rFonts w:ascii="Verdana" w:hAnsi="Verdana" w:eastAsia="Calibri" w:cs="Arial"/>
          <w:b/>
          <w:bCs/>
          <w:lang w:val="es-ES" w:eastAsia="es-ES"/>
        </w:rPr>
      </w:pPr>
      <w:proofErr w:type="spellStart"/>
      <w:r w:rsidRPr="000E46C3">
        <w:rPr>
          <w:rFonts w:ascii="Verdana" w:hAnsi="Verdana" w:eastAsia="Calibri" w:cs="Arial"/>
          <w:b/>
          <w:bCs/>
          <w:lang w:val="es-ES" w:eastAsia="es-ES"/>
        </w:rPr>
        <w:t>Nicolle</w:t>
      </w:r>
      <w:proofErr w:type="spellEnd"/>
      <w:r w:rsidRPr="000E46C3">
        <w:rPr>
          <w:rFonts w:ascii="Verdana" w:hAnsi="Verdana" w:eastAsia="Calibri" w:cs="Arial"/>
          <w:b/>
          <w:bCs/>
          <w:lang w:val="es-ES" w:eastAsia="es-ES"/>
        </w:rPr>
        <w:t xml:space="preserve"> Daniela Rueda Fernández </w:t>
      </w:r>
    </w:p>
    <w:p w:rsidRPr="000E46C3" w:rsidR="000E46C3" w:rsidP="000E46C3" w:rsidRDefault="000E46C3" w14:paraId="6B36C182" w14:textId="77777777">
      <w:pPr>
        <w:spacing w:after="0" w:line="240" w:lineRule="auto"/>
        <w:rPr>
          <w:rFonts w:ascii="Verdana" w:hAnsi="Verdana"/>
        </w:rPr>
      </w:pPr>
      <w:hyperlink w:history="1" r:id="rId12">
        <w:r w:rsidRPr="000E46C3">
          <w:rPr>
            <w:rFonts w:ascii="Verdana" w:hAnsi="Verdana"/>
            <w:color w:val="0563C1" w:themeColor="hyperlink"/>
            <w:u w:val="single"/>
          </w:rPr>
          <w:t>rueda266@unab.edu.co</w:t>
        </w:r>
      </w:hyperlink>
      <w:r w:rsidRPr="000E46C3">
        <w:rPr>
          <w:rFonts w:ascii="Verdana" w:hAnsi="Verdana"/>
        </w:rPr>
        <w:t xml:space="preserve"> </w:t>
      </w:r>
    </w:p>
    <w:p w:rsidRPr="000E46C3" w:rsidR="000E46C3" w:rsidP="000E46C3" w:rsidRDefault="000E46C3" w14:paraId="2EAA944F" w14:textId="77777777">
      <w:pPr>
        <w:spacing w:after="0" w:line="240" w:lineRule="auto"/>
        <w:rPr>
          <w:rFonts w:ascii="Verdana" w:hAnsi="Verdana" w:eastAsia="Calibri" w:cs="Arial"/>
          <w:lang w:val="es-ES" w:eastAsia="es-ES"/>
        </w:rPr>
      </w:pPr>
      <w:r w:rsidRPr="000E46C3">
        <w:rPr>
          <w:rFonts w:ascii="Verdana" w:hAnsi="Verdana" w:eastAsia="Calibri" w:cs="Arial"/>
          <w:lang w:val="es-ES" w:eastAsia="es-ES"/>
        </w:rPr>
        <w:t xml:space="preserve">Bogotá D.C. </w:t>
      </w:r>
    </w:p>
    <w:p w:rsidRPr="000E46C3" w:rsidR="000E46C3" w:rsidP="000E46C3" w:rsidRDefault="000E46C3" w14:paraId="61086CBE" w14:textId="77777777">
      <w:pPr>
        <w:spacing w:after="0" w:line="240" w:lineRule="auto"/>
        <w:rPr>
          <w:rFonts w:ascii="Verdana" w:hAnsi="Verdana" w:eastAsia="Calibri" w:cs="Arial"/>
          <w:b/>
          <w:bCs/>
          <w:color w:val="000000"/>
          <w:lang w:val="es-ES_tradnl" w:eastAsia="es-ES_tradnl"/>
        </w:rPr>
      </w:pPr>
    </w:p>
    <w:tbl>
      <w:tblPr>
        <w:tblStyle w:val="Tablaconcuadrcula"/>
        <w:tblW w:w="878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
      <w:tblGrid>
        <w:gridCol w:w="2689"/>
        <w:gridCol w:w="6100"/>
      </w:tblGrid>
      <w:tr w:rsidRPr="000E46C3" w:rsidR="000E46C3" w:rsidTr="003C1E5D" w14:paraId="0520BD36" w14:textId="77777777">
        <w:trPr>
          <w:trHeight w:val="630"/>
        </w:trPr>
        <w:tc>
          <w:tcPr>
            <w:tcW w:w="2689" w:type="dxa"/>
          </w:tcPr>
          <w:p w:rsidRPr="000E46C3" w:rsidR="000E46C3" w:rsidP="000E46C3" w:rsidRDefault="000E46C3" w14:paraId="1B40B142" w14:textId="77777777">
            <w:pPr>
              <w:jc w:val="both"/>
              <w:rPr>
                <w:rFonts w:ascii="Verdana" w:hAnsi="Verdana" w:eastAsia="Calibri" w:cs="Arial"/>
                <w:b/>
                <w:bCs/>
                <w:color w:val="7030A0"/>
                <w:lang w:val="es-ES_tradnl" w:eastAsia="es-ES_tradnl"/>
              </w:rPr>
            </w:pPr>
          </w:p>
        </w:tc>
        <w:tc>
          <w:tcPr>
            <w:tcW w:w="6100" w:type="dxa"/>
          </w:tcPr>
          <w:p w:rsidRPr="000E46C3" w:rsidR="000E46C3" w:rsidP="000E46C3" w:rsidRDefault="000E46C3" w14:paraId="1BDCEA99" w14:textId="77777777">
            <w:pPr>
              <w:jc w:val="both"/>
              <w:rPr>
                <w:rFonts w:ascii="Verdana" w:hAnsi="Verdana" w:eastAsia="Calibri" w:cs="Arial"/>
                <w:b/>
                <w:bCs/>
                <w:lang w:val="es-ES" w:eastAsia="es-ES"/>
              </w:rPr>
            </w:pPr>
            <w:r w:rsidRPr="000E46C3">
              <w:rPr>
                <w:rFonts w:ascii="Verdana" w:hAnsi="Verdana" w:eastAsia="Calibri" w:cs="Arial"/>
                <w:b/>
                <w:bCs/>
                <w:lang w:val="es-ES" w:eastAsia="es-ES"/>
              </w:rPr>
              <w:t>Concepto C – 069 de 2025</w:t>
            </w:r>
          </w:p>
        </w:tc>
      </w:tr>
      <w:tr w:rsidRPr="000E46C3" w:rsidR="000E46C3" w:rsidTr="003C1E5D" w14:paraId="4C3A12B9" w14:textId="77777777">
        <w:trPr>
          <w:trHeight w:val="884"/>
        </w:trPr>
        <w:tc>
          <w:tcPr>
            <w:tcW w:w="2689" w:type="dxa"/>
          </w:tcPr>
          <w:p w:rsidRPr="000E46C3" w:rsidR="000E46C3" w:rsidP="000E46C3" w:rsidRDefault="000E46C3" w14:paraId="54077AFC" w14:textId="77777777">
            <w:pPr>
              <w:jc w:val="both"/>
              <w:rPr>
                <w:rFonts w:ascii="Verdana" w:hAnsi="Verdana" w:eastAsia="Calibri" w:cs="Arial"/>
                <w:color w:val="000000"/>
                <w:lang w:val="es-ES_tradnl" w:eastAsia="es-ES_tradnl"/>
              </w:rPr>
            </w:pPr>
            <w:r w:rsidRPr="000E46C3">
              <w:rPr>
                <w:rFonts w:ascii="Verdana" w:hAnsi="Verdana" w:eastAsia="Calibri" w:cs="Arial"/>
                <w:b/>
                <w:color w:val="000000"/>
                <w:lang w:val="es-ES_tradnl" w:eastAsia="es-ES_tradnl"/>
              </w:rPr>
              <w:t>Temas:</w:t>
            </w:r>
            <w:r w:rsidRPr="000E46C3">
              <w:rPr>
                <w:rFonts w:ascii="Verdana" w:hAnsi="Verdana" w:eastAsia="Calibri" w:cs="Arial"/>
                <w:color w:val="000000"/>
                <w:lang w:val="es-ES_tradnl" w:eastAsia="es-ES_tradnl"/>
              </w:rPr>
              <w:t xml:space="preserve">                   </w:t>
            </w:r>
          </w:p>
        </w:tc>
        <w:tc>
          <w:tcPr>
            <w:tcW w:w="6100" w:type="dxa"/>
          </w:tcPr>
          <w:p w:rsidRPr="000E46C3" w:rsidR="000E46C3" w:rsidP="000E46C3" w:rsidRDefault="000E46C3" w14:paraId="3E06027E" w14:textId="77777777">
            <w:pPr>
              <w:jc w:val="both"/>
              <w:rPr>
                <w:rFonts w:ascii="Verdana" w:hAnsi="Verdana" w:eastAsia="Calibri" w:cs="Arial"/>
                <w:bCs/>
                <w:lang w:val="es-MX"/>
              </w:rPr>
            </w:pPr>
            <w:r w:rsidRPr="000E46C3">
              <w:rPr>
                <w:rFonts w:ascii="Verdana" w:hAnsi="Verdana" w:eastAsia="Calibri" w:cs="Arial"/>
                <w:bCs/>
                <w:lang w:val="es-MX"/>
              </w:rPr>
              <w:t xml:space="preserve">MÍNIMA CUANTÍA – Generalidades – Ley 1150 de 2007 / MÍNIMA CUANTÍA – Normas reglamentarias – Decreto 1082 de 2015 – Procedimiento / ACEPTACIÓN DE LA OFERTA – Perfeccionamiento del contrato / SECOP II –Aprobación – Alcance </w:t>
            </w:r>
          </w:p>
          <w:p w:rsidRPr="000E46C3" w:rsidR="000E46C3" w:rsidP="000E46C3" w:rsidRDefault="000E46C3" w14:paraId="079A79AA" w14:textId="77777777">
            <w:pPr>
              <w:jc w:val="both"/>
              <w:rPr>
                <w:rFonts w:ascii="Verdana" w:hAnsi="Verdana" w:eastAsia="Calibri" w:cs="Arial"/>
                <w:lang w:val="es-ES" w:eastAsia="es-ES"/>
              </w:rPr>
            </w:pPr>
          </w:p>
        </w:tc>
      </w:tr>
      <w:tr w:rsidRPr="000E46C3" w:rsidR="000E46C3" w:rsidTr="003C1E5D" w14:paraId="1ACDECF4" w14:textId="77777777">
        <w:tc>
          <w:tcPr>
            <w:tcW w:w="2689" w:type="dxa"/>
          </w:tcPr>
          <w:p w:rsidRPr="000E46C3" w:rsidR="000E46C3" w:rsidP="000E46C3" w:rsidRDefault="000E46C3" w14:paraId="6AED243D" w14:textId="77777777">
            <w:pPr>
              <w:jc w:val="both"/>
              <w:rPr>
                <w:rFonts w:ascii="Verdana" w:hAnsi="Verdana" w:eastAsia="Calibri" w:cs="Arial"/>
                <w:b/>
                <w:lang w:val="es-ES_tradnl" w:eastAsia="es-ES_tradnl"/>
              </w:rPr>
            </w:pPr>
            <w:r w:rsidRPr="000E46C3">
              <w:rPr>
                <w:rFonts w:ascii="Verdana" w:hAnsi="Verdana" w:eastAsia="Calibri" w:cs="Arial"/>
                <w:b/>
                <w:lang w:val="es-ES_tradnl" w:eastAsia="es-ES_tradnl"/>
              </w:rPr>
              <w:t>Radicación:</w:t>
            </w:r>
            <w:r w:rsidRPr="000E46C3">
              <w:rPr>
                <w:rFonts w:ascii="Verdana" w:hAnsi="Verdana" w:eastAsia="Calibri" w:cs="Arial"/>
                <w:lang w:val="es-ES_tradnl" w:eastAsia="es-ES_tradnl"/>
              </w:rPr>
              <w:t xml:space="preserve">               </w:t>
            </w:r>
          </w:p>
        </w:tc>
        <w:tc>
          <w:tcPr>
            <w:tcW w:w="6100" w:type="dxa"/>
          </w:tcPr>
          <w:p w:rsidRPr="000E46C3" w:rsidR="000E46C3" w:rsidP="000E46C3" w:rsidRDefault="000E46C3" w14:paraId="26941A9E" w14:textId="77777777">
            <w:pPr>
              <w:jc w:val="both"/>
              <w:rPr>
                <w:rFonts w:ascii="Verdana" w:hAnsi="Verdana" w:eastAsia="Calibri" w:cs="Arial"/>
                <w:lang w:val="es-ES_tradnl" w:eastAsia="es-ES_tradnl"/>
              </w:rPr>
            </w:pPr>
            <w:r w:rsidRPr="000E46C3">
              <w:rPr>
                <w:rFonts w:ascii="Verdana" w:hAnsi="Verdana" w:eastAsia="Calibri" w:cs="Arial"/>
                <w:lang w:val="es-ES_tradnl" w:eastAsia="es-ES_tradnl"/>
              </w:rPr>
              <w:t xml:space="preserve">Respuesta a la consulta con radicado No.   P20250123000562                                 </w:t>
            </w:r>
          </w:p>
        </w:tc>
      </w:tr>
    </w:tbl>
    <w:p w:rsidRPr="000E46C3" w:rsidR="000E46C3" w:rsidP="000E46C3" w:rsidRDefault="000E46C3" w14:paraId="6908000A" w14:textId="77777777">
      <w:pPr>
        <w:spacing w:after="0" w:line="240" w:lineRule="auto"/>
        <w:jc w:val="both"/>
        <w:rPr>
          <w:rFonts w:ascii="Verdana" w:hAnsi="Verdana" w:eastAsia="Calibri" w:cs="Arial"/>
          <w:color w:val="000000"/>
          <w:lang w:val="es-ES_tradnl" w:eastAsia="es-ES_tradnl"/>
        </w:rPr>
      </w:pPr>
    </w:p>
    <w:p w:rsidRPr="000E46C3" w:rsidR="000E46C3" w:rsidP="000E46C3" w:rsidRDefault="000E46C3" w14:paraId="72F670B2" w14:textId="77777777">
      <w:pPr>
        <w:spacing w:after="0" w:line="240" w:lineRule="auto"/>
        <w:jc w:val="both"/>
        <w:rPr>
          <w:rFonts w:ascii="Verdana" w:hAnsi="Verdana" w:eastAsia="Calibri" w:cs="Arial"/>
          <w:color w:val="000000"/>
          <w:lang w:val="es-ES_tradnl" w:eastAsia="es-ES_tradnl"/>
        </w:rPr>
      </w:pPr>
    </w:p>
    <w:p w:rsidRPr="000E46C3" w:rsidR="000E46C3" w:rsidP="000E46C3" w:rsidRDefault="000E46C3" w14:paraId="734E6089" w14:textId="77777777">
      <w:pPr>
        <w:spacing w:after="0" w:line="276" w:lineRule="auto"/>
        <w:jc w:val="both"/>
        <w:rPr>
          <w:rFonts w:ascii="Verdana" w:hAnsi="Verdana" w:eastAsia="Calibri" w:cs="Arial"/>
          <w:lang w:val="es-ES" w:eastAsia="es-ES"/>
        </w:rPr>
      </w:pPr>
      <w:r w:rsidRPr="000E46C3">
        <w:rPr>
          <w:rFonts w:ascii="Verdana" w:hAnsi="Verdana" w:eastAsia="Calibri" w:cs="Arial"/>
          <w:lang w:val="es-ES" w:eastAsia="es-ES"/>
        </w:rPr>
        <w:t xml:space="preserve">Estimada señora Rueda Fernández: </w:t>
      </w:r>
    </w:p>
    <w:p w:rsidRPr="000E46C3" w:rsidR="000E46C3" w:rsidP="000E46C3" w:rsidRDefault="000E46C3" w14:paraId="20DA5BFC" w14:textId="77777777">
      <w:pPr>
        <w:tabs>
          <w:tab w:val="left" w:pos="3768"/>
        </w:tabs>
        <w:spacing w:after="0" w:line="276" w:lineRule="auto"/>
        <w:jc w:val="both"/>
        <w:rPr>
          <w:rFonts w:ascii="Verdana" w:hAnsi="Verdana" w:eastAsia="Calibri" w:cs="Arial"/>
          <w:color w:val="000000" w:themeColor="text1"/>
          <w:lang w:val="es-ES" w:eastAsia="es-ES"/>
        </w:rPr>
      </w:pPr>
      <w:r w:rsidRPr="000E46C3">
        <w:rPr>
          <w:rFonts w:ascii="Verdana" w:hAnsi="Verdana" w:eastAsia="Calibri" w:cs="Arial"/>
          <w:color w:val="000000" w:themeColor="text1"/>
          <w:lang w:val="es-ES" w:eastAsia="es-ES"/>
        </w:rPr>
        <w:tab/>
      </w:r>
    </w:p>
    <w:p w:rsidRPr="000E46C3" w:rsidR="000E46C3" w:rsidP="000E46C3" w:rsidRDefault="000E46C3" w14:paraId="7407A1E5" w14:textId="77777777">
      <w:pPr>
        <w:spacing w:after="120" w:line="276" w:lineRule="auto"/>
        <w:jc w:val="both"/>
        <w:rPr>
          <w:rFonts w:ascii="Verdana" w:hAnsi="Verdana" w:eastAsia="Calibri" w:cs="Arial"/>
          <w:lang w:val="es-ES" w:eastAsia="es-ES"/>
        </w:rPr>
      </w:pPr>
      <w:r w:rsidRPr="000E46C3">
        <w:rPr>
          <w:rFonts w:ascii="Verdana" w:hAnsi="Verdana" w:eastAsia="Calibri" w:cs="Arial"/>
          <w:color w:val="000000" w:themeColor="text1"/>
          <w:lang w:val="es-ES" w:eastAsia="es-ES"/>
        </w:rPr>
        <w:t>En ejercicio de la competencia otorgada por los artículos 3, numeral 5º, y 11, numeral 8º, del Decreto Ley 4170 de 2011,</w:t>
      </w:r>
      <w:r w:rsidRPr="000E46C3">
        <w:rPr>
          <w:rFonts w:ascii="Verdana" w:hAnsi="Verdana" w:eastAsia="Arial MT" w:cs="Arial MT"/>
          <w:lang w:val="es-ES" w:eastAsia="es-ES"/>
        </w:rPr>
        <w:t xml:space="preserve"> </w:t>
      </w:r>
      <w:r w:rsidRPr="000E46C3">
        <w:rPr>
          <w:rFonts w:ascii="Verdana" w:hAnsi="Verdana" w:cs="Arial"/>
        </w:rPr>
        <w:t xml:space="preserve">así como lo establecido en el artículo 4 de la Resolución 1707 de 2018 expedida por esta Entidad, </w:t>
      </w:r>
      <w:r w:rsidRPr="000E46C3">
        <w:rPr>
          <w:rFonts w:ascii="Verdana" w:hAnsi="Verdana" w:eastAsia="Calibri" w:cs="Arial"/>
          <w:color w:val="000000" w:themeColor="text1"/>
          <w:lang w:val="es-ES" w:eastAsia="es-ES"/>
        </w:rPr>
        <w:t>la Agencia Nacional de Contratación Pública – Colombia Compra Eficiente responde su solicitud del 13</w:t>
      </w:r>
      <w:r w:rsidRPr="000E46C3">
        <w:rPr>
          <w:rFonts w:ascii="Verdana" w:hAnsi="Verdana" w:eastAsia="Calibri" w:cs="Arial"/>
          <w:lang w:val="es-ES" w:eastAsia="es-ES"/>
        </w:rPr>
        <w:t xml:space="preserve"> de enero de 2025, en la cual consulta sobre lo siguiente: </w:t>
      </w:r>
      <w:bookmarkStart w:name="_Hlk95313578" w:id="1"/>
    </w:p>
    <w:p w:rsidRPr="000E46C3" w:rsidR="000E46C3" w:rsidP="000E46C3" w:rsidRDefault="000E46C3" w14:paraId="63DAB5BE" w14:textId="77777777">
      <w:pPr>
        <w:spacing w:after="0" w:line="276" w:lineRule="auto"/>
        <w:jc w:val="both"/>
        <w:rPr>
          <w:rFonts w:ascii="Verdana" w:hAnsi="Verdana" w:eastAsia="Calibri" w:cs="Arial"/>
          <w:lang w:val="es-ES" w:eastAsia="es-ES"/>
        </w:rPr>
      </w:pPr>
    </w:p>
    <w:p w:rsidRPr="000E46C3" w:rsidR="000E46C3" w:rsidP="000E46C3" w:rsidRDefault="000E46C3" w14:paraId="587B150F" w14:textId="77777777">
      <w:pPr>
        <w:spacing w:after="0" w:line="276" w:lineRule="auto"/>
        <w:ind w:left="709" w:right="709"/>
        <w:jc w:val="both"/>
        <w:rPr>
          <w:rFonts w:ascii="Verdana" w:hAnsi="Verdana" w:eastAsia="Arial" w:cs="Arial"/>
          <w:color w:val="000000"/>
          <w:sz w:val="20"/>
          <w:szCs w:val="20"/>
        </w:rPr>
      </w:pPr>
      <w:r w:rsidRPr="000E46C3">
        <w:rPr>
          <w:rFonts w:ascii="Verdana" w:hAnsi="Verdana" w:eastAsia="Arial" w:cs="Arial"/>
          <w:color w:val="000000"/>
          <w:sz w:val="20"/>
          <w:szCs w:val="20"/>
        </w:rPr>
        <w:t>“</w:t>
      </w:r>
      <w:bookmarkEnd w:id="1"/>
      <w:r w:rsidRPr="000E46C3">
        <w:rPr>
          <w:rFonts w:ascii="Verdana" w:hAnsi="Verdana" w:eastAsia="Arial" w:cs="Arial"/>
          <w:color w:val="000000"/>
          <w:sz w:val="20"/>
          <w:szCs w:val="20"/>
        </w:rPr>
        <w:t xml:space="preserve">1. En un proceso de mínima cuantía bajo SECOP II es necesario que la carta de aceptación esté aceptada por el proponente? O simplemente el solo hecho de publicar la carta de aceptación ya existe el contrato? </w:t>
      </w:r>
    </w:p>
    <w:p w:rsidRPr="000E46C3" w:rsidR="000E46C3" w:rsidP="000E46C3" w:rsidRDefault="000E46C3" w14:paraId="04E3D4E4" w14:textId="77777777">
      <w:pPr>
        <w:spacing w:after="0" w:line="276" w:lineRule="auto"/>
        <w:ind w:left="709" w:right="709"/>
        <w:jc w:val="both"/>
        <w:rPr>
          <w:rFonts w:ascii="Verdana" w:hAnsi="Verdana" w:eastAsia="Arial" w:cs="Arial"/>
          <w:color w:val="000000"/>
          <w:sz w:val="20"/>
          <w:szCs w:val="20"/>
        </w:rPr>
      </w:pPr>
    </w:p>
    <w:p w:rsidRPr="000E46C3" w:rsidR="000E46C3" w:rsidP="000E46C3" w:rsidRDefault="000E46C3" w14:paraId="336AECA5" w14:textId="77777777">
      <w:pPr>
        <w:spacing w:after="0" w:line="276" w:lineRule="auto"/>
        <w:ind w:left="709" w:right="709"/>
        <w:jc w:val="both"/>
        <w:rPr>
          <w:rFonts w:ascii="Verdana" w:hAnsi="Verdana" w:eastAsia="Arial" w:cs="Arial"/>
          <w:color w:val="000000"/>
          <w:sz w:val="20"/>
          <w:szCs w:val="20"/>
        </w:rPr>
      </w:pPr>
      <w:r w:rsidRPr="000E46C3">
        <w:rPr>
          <w:rFonts w:ascii="Verdana" w:hAnsi="Verdana" w:eastAsia="Arial" w:cs="Arial"/>
          <w:color w:val="000000"/>
          <w:sz w:val="20"/>
          <w:szCs w:val="20"/>
        </w:rPr>
        <w:t xml:space="preserve">2. Qué pasaría si en el SECOP II la carta de aceptación en el proceso de mínima cuantía si requiere ser aceptada por el proponente. Pero en lugar de ser aceptada, es rechazada por el proponente, no existe el contrato? </w:t>
      </w:r>
    </w:p>
    <w:p w:rsidRPr="000E46C3" w:rsidR="000E46C3" w:rsidP="000E46C3" w:rsidRDefault="000E46C3" w14:paraId="28054A2A" w14:textId="77777777">
      <w:pPr>
        <w:spacing w:after="0" w:line="276" w:lineRule="auto"/>
        <w:ind w:left="709" w:right="709"/>
        <w:jc w:val="both"/>
        <w:rPr>
          <w:rFonts w:ascii="Verdana" w:hAnsi="Verdana" w:eastAsia="Arial" w:cs="Arial"/>
          <w:color w:val="000000"/>
          <w:sz w:val="20"/>
          <w:szCs w:val="20"/>
        </w:rPr>
      </w:pPr>
    </w:p>
    <w:p w:rsidRPr="000E46C3" w:rsidR="000E46C3" w:rsidP="000E46C3" w:rsidRDefault="000E46C3" w14:paraId="6DFAE706" w14:textId="77777777">
      <w:pPr>
        <w:spacing w:after="0" w:line="276" w:lineRule="auto"/>
        <w:ind w:left="709" w:right="709"/>
        <w:jc w:val="both"/>
        <w:rPr>
          <w:rFonts w:ascii="Verdana" w:hAnsi="Verdana" w:eastAsia="Arial" w:cs="Arial"/>
          <w:color w:val="000000"/>
          <w:sz w:val="20"/>
          <w:szCs w:val="20"/>
        </w:rPr>
      </w:pPr>
      <w:r w:rsidRPr="000E46C3">
        <w:rPr>
          <w:rFonts w:ascii="Verdana" w:hAnsi="Verdana" w:eastAsia="Arial" w:cs="Arial"/>
          <w:color w:val="000000"/>
          <w:sz w:val="20"/>
          <w:szCs w:val="20"/>
        </w:rPr>
        <w:t xml:space="preserve">3. Se puede hacer efectiva la póliza de seriedad de la oferta si se rechaza la carta de aceptación?”. </w:t>
      </w:r>
    </w:p>
    <w:p w:rsidRPr="000E46C3" w:rsidR="000E46C3" w:rsidP="000E46C3" w:rsidRDefault="000E46C3" w14:paraId="4D7DD31B" w14:textId="77777777">
      <w:pPr>
        <w:spacing w:after="0" w:line="276" w:lineRule="auto"/>
        <w:ind w:left="709" w:right="709"/>
        <w:jc w:val="both"/>
        <w:rPr>
          <w:rFonts w:ascii="Verdana" w:hAnsi="Verdana" w:eastAsia="Arial" w:cs="Arial"/>
          <w:color w:val="000000"/>
          <w:sz w:val="20"/>
          <w:szCs w:val="20"/>
        </w:rPr>
      </w:pPr>
    </w:p>
    <w:p w:rsidRPr="000E46C3" w:rsidR="000E46C3" w:rsidP="000E46C3" w:rsidRDefault="000E46C3" w14:paraId="6F188B72" w14:textId="77777777">
      <w:pPr>
        <w:spacing w:after="120" w:line="276" w:lineRule="auto"/>
        <w:ind w:firstLine="709"/>
        <w:jc w:val="both"/>
        <w:rPr>
          <w:rFonts w:ascii="Verdana" w:hAnsi="Verdana" w:eastAsia="Calibri" w:cs="Arial"/>
          <w:color w:val="000000"/>
          <w:lang w:val="es-ES" w:eastAsia="es-ES"/>
        </w:rPr>
      </w:pPr>
      <w:r w:rsidRPr="000E46C3">
        <w:rPr>
          <w:rFonts w:ascii="Verdana" w:hAnsi="Verdana" w:eastAsia="Calibri"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0E46C3">
        <w:rPr>
          <w:rFonts w:ascii="Verdana" w:hAnsi="Verdana" w:eastAsia="Calibri" w:cs="Arial"/>
          <w:color w:val="000000"/>
          <w:szCs w:val="24"/>
          <w:lang w:val="es-ES_tradnl" w:eastAsia="es-ES_tradnl"/>
        </w:rPr>
        <w:tab/>
      </w:r>
    </w:p>
    <w:p w:rsidRPr="000E46C3" w:rsidR="000E46C3" w:rsidP="000E46C3" w:rsidRDefault="000E46C3" w14:paraId="1BAA900C" w14:textId="77777777">
      <w:pPr>
        <w:spacing w:after="0" w:line="276" w:lineRule="auto"/>
        <w:ind w:firstLine="709"/>
        <w:jc w:val="both"/>
        <w:rPr>
          <w:rFonts w:ascii="Verdana" w:hAnsi="Verdana" w:eastAsia="Calibri" w:cs="Arial"/>
          <w:color w:val="000000"/>
          <w:lang w:val="es-ES" w:eastAsia="es-ES"/>
        </w:rPr>
      </w:pPr>
      <w:r w:rsidRPr="000E46C3">
        <w:rPr>
          <w:rFonts w:ascii="Verdana" w:hAnsi="Verdana" w:eastAsia="Calibri"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relacionadas con el</w:t>
      </w:r>
      <w:r w:rsidRPr="000E46C3">
        <w:rPr>
          <w:rFonts w:ascii="Verdana" w:hAnsi="Verdana" w:eastAsia="Calibri" w:cs="Arial"/>
          <w:color w:val="7030A0"/>
          <w:lang w:val="es-ES" w:eastAsia="es-ES"/>
        </w:rPr>
        <w:t xml:space="preserve"> </w:t>
      </w:r>
      <w:r w:rsidRPr="000E46C3">
        <w:rPr>
          <w:rFonts w:ascii="Verdana" w:hAnsi="Verdana" w:eastAsia="Calibri" w:cs="Arial"/>
          <w:color w:val="000000"/>
          <w:lang w:val="es-ES" w:eastAsia="es-ES"/>
        </w:rPr>
        <w:t>problema</w:t>
      </w:r>
      <w:r w:rsidRPr="000E46C3">
        <w:rPr>
          <w:rFonts w:ascii="Verdana" w:hAnsi="Verdana" w:eastAsia="Calibri" w:cs="Arial"/>
          <w:color w:val="7030A0"/>
          <w:lang w:val="es-ES" w:eastAsia="es-ES"/>
        </w:rPr>
        <w:t xml:space="preserve"> </w:t>
      </w:r>
      <w:r w:rsidRPr="000E46C3">
        <w:rPr>
          <w:rFonts w:ascii="Verdana" w:hAnsi="Verdana" w:eastAsia="Calibri" w:cs="Arial"/>
          <w:color w:val="000000"/>
          <w:lang w:val="es-ES" w:eastAsia="es-ES"/>
        </w:rPr>
        <w:t>jurídico</w:t>
      </w:r>
      <w:r w:rsidRPr="000E46C3">
        <w:rPr>
          <w:rFonts w:ascii="Verdana" w:hAnsi="Verdana" w:eastAsia="Calibri" w:cs="Arial"/>
          <w:color w:val="7030A0"/>
          <w:lang w:val="es-ES" w:eastAsia="es-ES"/>
        </w:rPr>
        <w:t xml:space="preserve"> </w:t>
      </w:r>
      <w:r w:rsidRPr="000E46C3">
        <w:rPr>
          <w:rFonts w:ascii="Verdana" w:hAnsi="Verdana" w:eastAsia="Calibri" w:cs="Arial"/>
          <w:color w:val="000000"/>
          <w:lang w:val="es-ES" w:eastAsia="es-ES"/>
        </w:rPr>
        <w:t xml:space="preserve">de su consulta. </w:t>
      </w:r>
    </w:p>
    <w:p w:rsidRPr="000E46C3" w:rsidR="000E46C3" w:rsidP="000E46C3" w:rsidRDefault="000E46C3" w14:paraId="7964EB1B" w14:textId="77777777">
      <w:pPr>
        <w:spacing w:after="0" w:line="276" w:lineRule="auto"/>
        <w:ind w:firstLine="709"/>
        <w:jc w:val="both"/>
        <w:rPr>
          <w:rFonts w:ascii="Verdana" w:hAnsi="Verdana" w:eastAsia="Calibri" w:cs="Arial"/>
          <w:color w:val="000000"/>
          <w:lang w:val="es-ES" w:eastAsia="es-ES"/>
        </w:rPr>
      </w:pPr>
    </w:p>
    <w:p w:rsidRPr="000E46C3" w:rsidR="000E46C3" w:rsidP="000E46C3" w:rsidRDefault="000E46C3" w14:paraId="2F9C6757" w14:textId="77777777">
      <w:pPr>
        <w:numPr>
          <w:ilvl w:val="0"/>
          <w:numId w:val="1"/>
        </w:numPr>
        <w:tabs>
          <w:tab w:val="left" w:pos="142"/>
          <w:tab w:val="left" w:pos="284"/>
        </w:tabs>
        <w:spacing w:after="0" w:line="276" w:lineRule="auto"/>
        <w:contextualSpacing/>
        <w:jc w:val="both"/>
        <w:rPr>
          <w:rFonts w:ascii="Verdana" w:hAnsi="Verdana" w:eastAsia="Century Gothic" w:cs="Century Gothic"/>
          <w:b/>
          <w:bCs/>
          <w:lang w:val="es-ES"/>
        </w:rPr>
      </w:pPr>
      <w:r w:rsidRPr="000E46C3">
        <w:rPr>
          <w:rFonts w:ascii="Verdana" w:hAnsi="Verdana" w:eastAsia="Century Gothic" w:cs="Century Gothic"/>
          <w:b/>
          <w:bCs/>
          <w:lang w:val="es-ES"/>
        </w:rPr>
        <w:t>Problemas planteados:</w:t>
      </w:r>
    </w:p>
    <w:p w:rsidRPr="000E46C3" w:rsidR="000E46C3" w:rsidP="000E46C3" w:rsidRDefault="000E46C3" w14:paraId="1E354A40" w14:textId="77777777">
      <w:pPr>
        <w:tabs>
          <w:tab w:val="left" w:pos="426"/>
        </w:tabs>
        <w:spacing w:after="0" w:line="276" w:lineRule="auto"/>
        <w:jc w:val="both"/>
        <w:rPr>
          <w:rFonts w:ascii="Verdana" w:hAnsi="Verdana" w:eastAsia="Century Gothic" w:cs="Century Gothic"/>
          <w:lang w:val="es-ES"/>
        </w:rPr>
      </w:pPr>
    </w:p>
    <w:p w:rsidRPr="000E46C3" w:rsidR="000E46C3" w:rsidP="000E46C3" w:rsidRDefault="000E46C3" w14:paraId="7D6E4453" w14:textId="77777777">
      <w:pPr>
        <w:spacing w:after="0" w:line="276" w:lineRule="auto"/>
        <w:jc w:val="both"/>
        <w:rPr>
          <w:rFonts w:ascii="Verdana" w:hAnsi="Verdana" w:eastAsia="Century Gothic" w:cs="Arial"/>
        </w:rPr>
      </w:pPr>
      <w:r w:rsidRPr="000E46C3">
        <w:rPr>
          <w:rFonts w:ascii="Verdana" w:hAnsi="Verdana" w:eastAsia="Century Gothic" w:cs="Century Gothic"/>
        </w:rPr>
        <w:t xml:space="preserve">De acuerdo con el contenido de su solicitud, esta Agencia resolverá el siguiente problema jurídico: </w:t>
      </w:r>
      <w:r w:rsidRPr="000E46C3">
        <w:rPr>
          <w:rFonts w:ascii="Verdana" w:hAnsi="Verdana" w:eastAsia="Century Gothic" w:cs="Arial"/>
        </w:rPr>
        <w:t>¿Es necesaria la aprobación por parte del contratista de la carta de aceptación en el SECOP II para que el contrato en el proceso de mínima cuantía quede perfeccionado?</w:t>
      </w:r>
    </w:p>
    <w:p w:rsidRPr="000E46C3" w:rsidR="000E46C3" w:rsidP="000E46C3" w:rsidRDefault="000E46C3" w14:paraId="0A402482" w14:textId="77777777">
      <w:pPr>
        <w:spacing w:after="0" w:line="276" w:lineRule="auto"/>
        <w:jc w:val="both"/>
        <w:rPr>
          <w:rFonts w:ascii="Verdana" w:hAnsi="Verdana" w:eastAsia="Calibri" w:cs="Arial"/>
          <w:color w:val="7030A0"/>
        </w:rPr>
      </w:pPr>
    </w:p>
    <w:p w:rsidRPr="000E46C3" w:rsidR="000E46C3" w:rsidP="000E46C3" w:rsidRDefault="000E46C3" w14:paraId="59C5488C" w14:textId="77777777">
      <w:pPr>
        <w:numPr>
          <w:ilvl w:val="0"/>
          <w:numId w:val="1"/>
        </w:numPr>
        <w:tabs>
          <w:tab w:val="left" w:pos="142"/>
          <w:tab w:val="left" w:pos="284"/>
        </w:tabs>
        <w:spacing w:after="0" w:line="276" w:lineRule="auto"/>
        <w:jc w:val="both"/>
        <w:rPr>
          <w:rFonts w:ascii="Verdana" w:hAnsi="Verdana" w:eastAsia="Century Gothic" w:cs="Century Gothic"/>
          <w:b/>
          <w:bCs/>
          <w:lang w:val="es-ES"/>
        </w:rPr>
      </w:pPr>
      <w:r w:rsidRPr="000E46C3">
        <w:rPr>
          <w:rFonts w:ascii="Verdana" w:hAnsi="Verdana" w:eastAsia="Century Gothic" w:cs="Century Gothic"/>
          <w:b/>
          <w:bCs/>
          <w:lang w:val="es-ES"/>
        </w:rPr>
        <w:t>Respuestas:</w:t>
      </w:r>
    </w:p>
    <w:p w:rsidRPr="000E46C3" w:rsidR="000E46C3" w:rsidP="000E46C3" w:rsidRDefault="000E46C3" w14:paraId="007CFAFB" w14:textId="77777777">
      <w:pPr>
        <w:tabs>
          <w:tab w:val="left" w:pos="142"/>
          <w:tab w:val="left" w:pos="284"/>
        </w:tabs>
        <w:spacing w:after="0" w:line="276" w:lineRule="auto"/>
        <w:jc w:val="both"/>
        <w:rPr>
          <w:rFonts w:ascii="Verdana" w:hAnsi="Verdana" w:eastAsia="Century Gothic" w:cs="Century Gothic"/>
          <w:b/>
          <w:bCs/>
          <w:lang w:val="es-ES"/>
        </w:rPr>
      </w:pPr>
    </w:p>
    <w:tbl>
      <w:tblPr>
        <w:tblStyle w:val="Tablaconcuadrcula"/>
        <w:tblW w:w="0" w:type="auto"/>
        <w:jc w:val="center"/>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ook w:val="04A0" w:firstRow="1" w:lastRow="0" w:firstColumn="1" w:lastColumn="0" w:noHBand="0" w:noVBand="1"/>
      </w:tblPr>
      <w:tblGrid>
        <w:gridCol w:w="8828"/>
      </w:tblGrid>
      <w:tr w:rsidRPr="000E46C3" w:rsidR="000E46C3" w:rsidTr="003C1E5D" w14:paraId="712F148F" w14:textId="77777777">
        <w:trPr>
          <w:jc w:val="center"/>
        </w:trPr>
        <w:tc>
          <w:tcPr>
            <w:tcW w:w="8828" w:type="dxa"/>
            <w:shd w:val="clear" w:color="auto" w:fill="auto"/>
          </w:tcPr>
          <w:p w:rsidRPr="000E46C3" w:rsidR="000E46C3" w:rsidP="000E46C3" w:rsidRDefault="000E46C3" w14:paraId="55B513AC" w14:textId="77777777">
            <w:pPr>
              <w:tabs>
                <w:tab w:val="left" w:pos="709"/>
              </w:tabs>
              <w:spacing w:after="120" w:line="276" w:lineRule="auto"/>
              <w:jc w:val="both"/>
              <w:rPr>
                <w:rFonts w:ascii="Verdana" w:hAnsi="Verdana" w:eastAsia="Calibri" w:cs="Arial"/>
                <w:bCs/>
                <w:color w:val="000000" w:themeColor="text1"/>
                <w:lang w:val="es-ES"/>
              </w:rPr>
            </w:pPr>
            <w:bookmarkStart w:name="_Hlk171694685" w:id="2"/>
            <w:r w:rsidRPr="000E46C3">
              <w:rPr>
                <w:rFonts w:ascii="Verdana" w:hAnsi="Verdana" w:eastAsia="Calibri" w:cs="Arial"/>
                <w:bCs/>
                <w:color w:val="000000" w:themeColor="text1"/>
                <w:lang w:val="es-ES_tradnl"/>
              </w:rPr>
              <w:t xml:space="preserve">No. De conformidad con lo expuesto, y con fundamento en lo previsto en el numeral 9 del artículo 2.2.1.2.1.5.2. del Decreto 1082 del 2015 según el cual “la oferta y su aceptación constituyen el contrato estatal”, es claro que la comunicación de la aceptación de la oferta por parte de la entidad perfecciona los requisitos de existencia del contrato. </w:t>
            </w:r>
            <w:r w:rsidRPr="000E46C3">
              <w:rPr>
                <w:rFonts w:ascii="Verdana" w:hAnsi="Verdana" w:eastAsia="Calibri" w:cs="Arial"/>
                <w:bCs/>
                <w:color w:val="000000" w:themeColor="text1"/>
              </w:rPr>
              <w:t>Esta particularidad en relación con el procedimiento de mínima cuantía se deriva de lo establecido en el literal d) del numeral 5 del artículo 2 de la Ley 1150 de 2007 que de manera expresa dispone que "la comunicación de aceptación junto con la oferta c</w:t>
            </w:r>
            <w:r w:rsidRPr="000E46C3">
              <w:rPr>
                <w:rFonts w:ascii="Verdana" w:hAnsi="Verdana" w:eastAsia="Calibri" w:cs="Arial"/>
                <w:bCs/>
                <w:i/>
                <w:iCs/>
                <w:color w:val="000000" w:themeColor="text1"/>
              </w:rPr>
              <w:t>onstituye para todos los efectos el contrato celebrado</w:t>
            </w:r>
            <w:r w:rsidRPr="000E46C3">
              <w:rPr>
                <w:rFonts w:ascii="Verdana" w:hAnsi="Verdana" w:eastAsia="Calibri" w:cs="Arial"/>
                <w:bCs/>
                <w:color w:val="000000" w:themeColor="text1"/>
              </w:rPr>
              <w:t>, con base en lo cual se efectuará el respectivo registro presupuestal". Esto implica que, en este tipo de procedimientos, el contrato se entiende perfeccionado en el momento en que se produce dicha comunicación, sin necesidad de cumplir con requisitos adicionales.</w:t>
            </w:r>
            <w:r w:rsidRPr="000E46C3">
              <w:rPr>
                <w:rFonts w:ascii="Verdana" w:hAnsi="Verdana" w:eastAsia="Calibri" w:cs="Arial"/>
                <w:bCs/>
                <w:color w:val="000000" w:themeColor="text1"/>
                <w:lang w:val="es-ES"/>
              </w:rPr>
              <w:tab/>
            </w:r>
          </w:p>
          <w:p w:rsidRPr="000E46C3" w:rsidR="000E46C3" w:rsidP="000E46C3" w:rsidRDefault="000E46C3" w14:paraId="1EC098EF" w14:textId="77777777">
            <w:pPr>
              <w:spacing w:after="120" w:line="276" w:lineRule="auto"/>
              <w:ind w:firstLine="567"/>
              <w:jc w:val="both"/>
              <w:rPr>
                <w:rFonts w:ascii="Verdana" w:hAnsi="Verdana" w:eastAsia="Calibri" w:cs="Arial"/>
                <w:lang w:val="es-ES"/>
              </w:rPr>
            </w:pPr>
            <w:r w:rsidRPr="000E46C3">
              <w:rPr>
                <w:rFonts w:ascii="Verdana" w:hAnsi="Verdana" w:eastAsia="Calibri" w:cs="Arial"/>
                <w:bCs/>
                <w:color w:val="000000" w:themeColor="text1"/>
                <w:lang w:val="es-MX"/>
              </w:rPr>
              <w:t xml:space="preserve">Frente al trámite de “aprobación del contrato por el proveedor” que se establece en la plataforma SECOP II, es pertinente señalar que, en lo que corresponde al procedimiento de mínima cuantía, este trámite opera para efectos de publicidad, transparencia y oponibilidad frente a terceros </w:t>
            </w:r>
            <w:r w:rsidRPr="000E46C3">
              <w:rPr>
                <w:rFonts w:ascii="Verdana" w:hAnsi="Verdana" w:eastAsia="Calibri" w:cs="Arial"/>
              </w:rPr>
              <w:t>y con el fin de avanzar en el módulo de gestión contractual que permite cumplir con los requisitos de ejecución del contrato. En este sentido</w:t>
            </w:r>
            <w:r w:rsidRPr="000E46C3">
              <w:rPr>
                <w:rFonts w:ascii="Verdana" w:hAnsi="Verdana" w:eastAsia="Calibri" w:cs="Arial"/>
                <w:lang w:val="es-ES"/>
              </w:rPr>
              <w:t xml:space="preserve">, </w:t>
            </w:r>
            <w:r w:rsidRPr="000E46C3">
              <w:rPr>
                <w:rFonts w:ascii="Verdana" w:hAnsi="Verdana" w:eastAsia="Calibri" w:cs="Arial"/>
              </w:rPr>
              <w:t>el rechazo de la aprobación en el SECOP II no afecta el perfeccionamiento ni la existencia del contrato, ya que, como se explicó, para ese momento el contrato existe, independientemente de que el contratista rechace la aprobación en la plataforma. No obstante, el contratista debe aprobarlo en el SECOP II para garantizar su publicidad y poder llevar a cabo los trámites relacionados con los requisitos de ejecución contractual</w:t>
            </w:r>
            <w:r w:rsidRPr="000E46C3">
              <w:rPr>
                <w:rFonts w:ascii="Verdana" w:hAnsi="Verdana" w:eastAsia="Calibri" w:cs="Arial"/>
                <w:lang w:val="es-ES"/>
              </w:rPr>
              <w:t>.</w:t>
            </w:r>
          </w:p>
          <w:p w:rsidRPr="000E46C3" w:rsidR="000E46C3" w:rsidP="000E46C3" w:rsidRDefault="000E46C3" w14:paraId="5DB7D9E5" w14:textId="77777777">
            <w:pPr>
              <w:spacing w:after="120" w:line="276" w:lineRule="auto"/>
              <w:ind w:firstLine="567"/>
              <w:jc w:val="both"/>
              <w:rPr>
                <w:rFonts w:ascii="Verdana" w:hAnsi="Verdana" w:eastAsia="Calibri" w:cs="Arial"/>
                <w:lang w:val="es-ES"/>
              </w:rPr>
            </w:pPr>
            <w:r w:rsidRPr="000E46C3">
              <w:rPr>
                <w:rFonts w:ascii="Verdana" w:hAnsi="Verdana" w:eastAsia="Calibri" w:cs="Arial"/>
                <w:lang w:val="es-ES"/>
              </w:rPr>
              <w:t xml:space="preserve">Finalmente, es preciso indicar que cuando la entidad estatal realiza la comunicación de aceptación de la oferta, no es posible que se configure la causal No. 3 referida a la no suscripción del contrato sin justa causa por parte del adjudicatario, por cuanto para este momento de la etapa del proceso el contrato ya se encuentra perfeccionado. Sin embargo, después de comunicada la carta de aceptación de la oferta, eventualmente podría hacerse efectiva la garantía de seriedad de la oferta frente a la causal No. 4 correspondiente a “La falta de otorgamiento por parte del proponente seleccionado de la garantía de cumplimiento del contrato”, dado que este evento se ubica en la etapa contractual. </w:t>
            </w:r>
          </w:p>
        </w:tc>
      </w:tr>
    </w:tbl>
    <w:p w:rsidRPr="000E46C3" w:rsidR="000E46C3" w:rsidP="000E46C3" w:rsidRDefault="000E46C3" w14:paraId="3634A125" w14:textId="77777777">
      <w:pPr>
        <w:tabs>
          <w:tab w:val="left" w:pos="142"/>
          <w:tab w:val="left" w:pos="284"/>
        </w:tabs>
        <w:spacing w:after="0" w:line="276" w:lineRule="auto"/>
        <w:jc w:val="both"/>
        <w:rPr>
          <w:rFonts w:ascii="Verdana" w:hAnsi="Verdana" w:eastAsia="Century Gothic" w:cs="Century Gothic"/>
          <w:b/>
          <w:bCs/>
          <w:lang w:val="es-ES"/>
        </w:rPr>
      </w:pPr>
    </w:p>
    <w:bookmarkEnd w:id="2"/>
    <w:p w:rsidRPr="000E46C3" w:rsidR="000E46C3" w:rsidP="000E46C3" w:rsidRDefault="000E46C3" w14:paraId="1C16D133" w14:textId="77777777">
      <w:pPr>
        <w:numPr>
          <w:ilvl w:val="0"/>
          <w:numId w:val="1"/>
        </w:numPr>
        <w:tabs>
          <w:tab w:val="left" w:pos="142"/>
          <w:tab w:val="left" w:pos="284"/>
        </w:tabs>
        <w:spacing w:after="0" w:line="276" w:lineRule="auto"/>
        <w:jc w:val="both"/>
        <w:rPr>
          <w:rFonts w:ascii="Verdana" w:hAnsi="Verdana" w:eastAsia="Century Gothic" w:cs="Century Gothic"/>
          <w:b/>
          <w:bCs/>
          <w:lang w:val="es-ES"/>
        </w:rPr>
      </w:pPr>
      <w:r w:rsidRPr="000E46C3">
        <w:rPr>
          <w:rFonts w:ascii="Verdana" w:hAnsi="Verdana" w:eastAsia="Century Gothic" w:cs="Century Gothic"/>
          <w:b/>
          <w:bCs/>
          <w:lang w:val="es-ES"/>
        </w:rPr>
        <w:t>Razones de las respuestas:</w:t>
      </w:r>
    </w:p>
    <w:p w:rsidRPr="000E46C3" w:rsidR="000E46C3" w:rsidP="000E46C3" w:rsidRDefault="000E46C3" w14:paraId="32645351" w14:textId="77777777">
      <w:pPr>
        <w:spacing w:after="0" w:line="276" w:lineRule="auto"/>
        <w:jc w:val="both"/>
        <w:rPr>
          <w:rFonts w:ascii="Verdana" w:hAnsi="Verdana" w:eastAsia="Calibri" w:cs="Arial"/>
          <w:color w:val="7030A0"/>
          <w:lang w:val="es-ES"/>
        </w:rPr>
      </w:pPr>
    </w:p>
    <w:p w:rsidRPr="000E46C3" w:rsidR="000E46C3" w:rsidP="000E46C3" w:rsidRDefault="000E46C3" w14:paraId="4DDD1055" w14:textId="77777777">
      <w:pPr>
        <w:spacing w:after="0" w:line="276" w:lineRule="auto"/>
        <w:jc w:val="both"/>
        <w:rPr>
          <w:rFonts w:ascii="Verdana" w:hAnsi="Verdana" w:eastAsia="Calibri" w:cs="Arial"/>
          <w:lang w:val="es-ES"/>
        </w:rPr>
      </w:pPr>
      <w:r w:rsidRPr="000E46C3">
        <w:rPr>
          <w:rFonts w:ascii="Verdana" w:hAnsi="Verdana" w:eastAsia="Calibri" w:cs="Arial"/>
          <w:lang w:val="es-ES"/>
        </w:rPr>
        <w:t>Lo anterior se sustenta en las siguientes consideraciones:</w:t>
      </w:r>
    </w:p>
    <w:p w:rsidRPr="000E46C3" w:rsidR="000E46C3" w:rsidP="000E46C3" w:rsidRDefault="000E46C3" w14:paraId="34C878C7" w14:textId="77777777">
      <w:pPr>
        <w:spacing w:after="0" w:line="276" w:lineRule="auto"/>
        <w:jc w:val="both"/>
        <w:rPr>
          <w:rFonts w:ascii="Verdana" w:hAnsi="Verdana" w:eastAsia="Calibri" w:cs="Arial"/>
          <w:color w:val="000000" w:themeColor="text1"/>
        </w:rPr>
      </w:pPr>
    </w:p>
    <w:p w:rsidRPr="000E46C3" w:rsidR="000E46C3" w:rsidP="000E46C3" w:rsidRDefault="000E46C3" w14:paraId="09CE335A" w14:textId="77777777">
      <w:pPr>
        <w:spacing w:after="120" w:line="276" w:lineRule="auto"/>
        <w:jc w:val="both"/>
        <w:rPr>
          <w:rFonts w:ascii="Verdana" w:hAnsi="Verdana" w:eastAsia="Calibri" w:cs="Arial"/>
          <w:lang w:val="es-ES_tradnl"/>
        </w:rPr>
      </w:pPr>
      <w:bookmarkStart w:name="_Hlk100131579" w:id="3"/>
      <w:r w:rsidRPr="000E46C3">
        <w:rPr>
          <w:rFonts w:ascii="Verdana" w:hAnsi="Verdana" w:eastAsia="Calibri" w:cs="Arial"/>
          <w:lang w:val="es-ES_tradnl"/>
        </w:rPr>
        <w:t>i. La mínima cuantía es una modalidad de selección en virtud de la cual la entidad estatal realiza una convocatoria pública para recibir ofertas de bienes, obras o servicios cuyo valor no excede el diez por ciento –10%– de la menor cuantía. Esta modalidad de selección fue creada en el 2011 por la Ley 1450, modificada por el artículo 94 de la Ley 1474 de 2011 –que adicionó el numeral 5º al artículo 2 de la Ley 1150 de 2007– y posteriormente por la Ley 2069 de 2020, estableciendo que el factor determinante para llevar a cabo tal procedimiento es la cuantía –calculada como presupuesto oficial a partir del estudio del sector–, “independientemente de su objeto”</w:t>
      </w:r>
      <w:r w:rsidRPr="000E46C3">
        <w:rPr>
          <w:rFonts w:ascii="Verdana" w:hAnsi="Verdana" w:eastAsia="Calibri" w:cs="Arial"/>
          <w:vertAlign w:val="superscript"/>
          <w:lang w:val="es-ES_tradnl"/>
        </w:rPr>
        <w:footnoteReference w:id="2"/>
      </w:r>
      <w:r w:rsidRPr="000E46C3">
        <w:rPr>
          <w:rFonts w:ascii="Verdana" w:hAnsi="Verdana" w:eastAsia="Calibri" w:cs="Arial"/>
          <w:lang w:val="es-ES_tradnl"/>
        </w:rPr>
        <w:t>.</w:t>
      </w:r>
    </w:p>
    <w:bookmarkEnd w:id="3"/>
    <w:p w:rsidRPr="000E46C3" w:rsidR="000E46C3" w:rsidP="000E46C3" w:rsidRDefault="000E46C3" w14:paraId="4694BAFE" w14:textId="77777777">
      <w:pPr>
        <w:tabs>
          <w:tab w:val="left" w:pos="709"/>
        </w:tabs>
        <w:spacing w:after="120" w:line="276" w:lineRule="auto"/>
        <w:ind w:firstLine="709"/>
        <w:jc w:val="both"/>
        <w:rPr>
          <w:rFonts w:ascii="Verdana" w:hAnsi="Verdana" w:eastAsia="Calibri" w:cs="Arial"/>
          <w:lang w:val="es-ES_tradnl"/>
        </w:rPr>
      </w:pPr>
      <w:r w:rsidRPr="000E46C3">
        <w:rPr>
          <w:rFonts w:ascii="Verdana" w:hAnsi="Verdana" w:eastAsia="Calibri" w:cs="Arial"/>
          <w:lang w:val="es-ES_tradnl"/>
        </w:rPr>
        <w:t>Dicho de otro modo, la mínima cuantía es un procedimiento de selección “especial”</w:t>
      </w:r>
      <w:r w:rsidRPr="000E46C3">
        <w:rPr>
          <w:rFonts w:ascii="Verdana" w:hAnsi="Verdana" w:eastAsia="Calibri" w:cs="Arial"/>
          <w:vertAlign w:val="superscript"/>
          <w:lang w:val="es-ES_tradnl"/>
        </w:rPr>
        <w:footnoteReference w:id="3"/>
      </w:r>
      <w:r w:rsidRPr="000E46C3">
        <w:rPr>
          <w:rFonts w:ascii="Verdana" w:hAnsi="Verdana" w:eastAsia="Calibri" w:cs="Arial"/>
          <w:lang w:val="es-ES_tradnl"/>
        </w:rPr>
        <w:t>, porque es una excepción a la regla general constituida por la licitación pública. Aunque ambas modalidades implican un llamado general a presentar ofertas, efectuado por la entidad estatal interesada en contratar, la mínima cuantía es distinta de la licitación en otros aspectos, como su conducencia y su procedimiento: lo primero, porque solo procede por razón de una cuantía específica</w:t>
      </w:r>
      <w:r w:rsidRPr="000E46C3">
        <w:rPr>
          <w:rFonts w:ascii="Verdana" w:hAnsi="Verdana" w:eastAsia="Calibri" w:cs="Arial"/>
          <w:vertAlign w:val="superscript"/>
          <w:lang w:val="es-ES_tradnl"/>
        </w:rPr>
        <w:footnoteReference w:id="4"/>
      </w:r>
      <w:r w:rsidRPr="000E46C3">
        <w:rPr>
          <w:rFonts w:ascii="Verdana" w:hAnsi="Verdana" w:eastAsia="Calibri" w:cs="Arial"/>
          <w:lang w:val="es-ES_tradnl"/>
        </w:rPr>
        <w:t>, y lo segundo, porque sus requisitos, etapas y términos son especiales.</w:t>
      </w:r>
    </w:p>
    <w:p w:rsidRPr="000E46C3" w:rsidR="000E46C3" w:rsidP="6F07DCA8" w:rsidRDefault="000E46C3" w14:paraId="52D67E0F" w14:textId="77777777">
      <w:pPr>
        <w:tabs>
          <w:tab w:val="left" w:pos="709"/>
        </w:tabs>
        <w:spacing w:after="120" w:line="276" w:lineRule="auto"/>
        <w:ind w:firstLine="709"/>
        <w:jc w:val="both"/>
        <w:rPr>
          <w:rFonts w:ascii="Verdana" w:hAnsi="Verdana" w:eastAsia="Calibri" w:cs="Arial"/>
          <w:color w:val="000000" w:themeColor="text1"/>
          <w:lang w:val="es-ES"/>
        </w:rPr>
      </w:pPr>
      <w:r w:rsidRPr="6F07DCA8" w:rsidR="000E46C3">
        <w:rPr>
          <w:rFonts w:ascii="Verdana" w:hAnsi="Verdana" w:eastAsia="Calibri" w:cs="Arial"/>
          <w:color w:val="000000" w:themeColor="text1" w:themeTint="FF" w:themeShade="FF"/>
          <w:lang w:val="es-ES"/>
        </w:rPr>
        <w:t>Por su parte, el 31 de diciembre de 2020 fue expedida la Ley 2069 de 2020 –conocida como Ley de Emprendimiento–, cuyo artículo 30 modificó el numeral 5 del artículo 2 de la Ley 1150 de 2007, el cual regula la mínima cuantía.</w:t>
      </w:r>
      <w:r w:rsidRPr="6F07DCA8" w:rsidR="000E46C3">
        <w:rPr>
          <w:rFonts w:ascii="Verdana" w:hAnsi="Verdana" w:eastAsia="Calibri" w:cs="Arial"/>
          <w:color w:val="000000" w:themeColor="text1" w:themeTint="FF" w:themeShade="FF"/>
          <w:lang w:val="es-ES"/>
        </w:rPr>
        <w:t xml:space="preserve"> Esta norma dispuso aspectos del procedimiento como: </w:t>
      </w:r>
      <w:r w:rsidRPr="6F07DCA8" w:rsidR="000E46C3">
        <w:rPr>
          <w:rFonts w:ascii="Verdana" w:hAnsi="Verdana" w:eastAsia="Calibri" w:cs="Arial"/>
          <w:color w:val="000000" w:themeColor="text1" w:themeTint="FF" w:themeShade="FF"/>
          <w:lang w:val="es-ES"/>
        </w:rPr>
        <w:t xml:space="preserve">i) el término mínimo para publicar la invitación, </w:t>
      </w:r>
      <w:r w:rsidRPr="6F07DCA8" w:rsidR="000E46C3">
        <w:rPr>
          <w:rFonts w:ascii="Verdana" w:hAnsi="Verdana" w:eastAsia="Calibri" w:cs="Arial"/>
          <w:color w:val="000000" w:themeColor="text1" w:themeTint="FF" w:themeShade="FF"/>
          <w:lang w:val="es-ES"/>
        </w:rPr>
        <w:t>ii</w:t>
      </w:r>
      <w:r w:rsidRPr="6F07DCA8" w:rsidR="000E46C3">
        <w:rPr>
          <w:rFonts w:ascii="Verdana" w:hAnsi="Verdana" w:eastAsia="Calibri" w:cs="Arial"/>
          <w:color w:val="000000" w:themeColor="text1" w:themeTint="FF" w:themeShade="FF"/>
          <w:lang w:val="es-ES"/>
        </w:rPr>
        <w:t xml:space="preserve">) el plazo mínimo de recepción de las ofertas, </w:t>
      </w:r>
      <w:r w:rsidRPr="6F07DCA8" w:rsidR="000E46C3">
        <w:rPr>
          <w:rFonts w:ascii="Verdana" w:hAnsi="Verdana" w:eastAsia="Calibri" w:cs="Arial"/>
          <w:color w:val="000000" w:themeColor="text1" w:themeTint="FF" w:themeShade="FF"/>
          <w:lang w:val="es-ES"/>
        </w:rPr>
        <w:t>iii</w:t>
      </w:r>
      <w:r w:rsidRPr="6F07DCA8" w:rsidR="000E46C3">
        <w:rPr>
          <w:rFonts w:ascii="Verdana" w:hAnsi="Verdana" w:eastAsia="Calibri" w:cs="Arial"/>
          <w:color w:val="000000" w:themeColor="text1" w:themeTint="FF" w:themeShade="FF"/>
          <w:lang w:val="es-ES"/>
        </w:rPr>
        <w:t xml:space="preserve">) el factor de evaluación que define la selección del proponente y </w:t>
      </w:r>
      <w:r w:rsidRPr="6F07DCA8" w:rsidR="000E46C3">
        <w:rPr>
          <w:rFonts w:ascii="Verdana" w:hAnsi="Verdana" w:eastAsia="Calibri" w:cs="Arial"/>
          <w:color w:val="000000" w:themeColor="text1" w:themeTint="FF" w:themeShade="FF"/>
          <w:lang w:val="es-ES"/>
        </w:rPr>
        <w:t>iv</w:t>
      </w:r>
      <w:r w:rsidRPr="6F07DCA8" w:rsidR="000E46C3">
        <w:rPr>
          <w:rFonts w:ascii="Verdana" w:hAnsi="Verdana" w:eastAsia="Calibri" w:cs="Arial"/>
          <w:color w:val="000000" w:themeColor="text1" w:themeTint="FF" w:themeShade="FF"/>
          <w:lang w:val="es-ES"/>
        </w:rPr>
        <w:t>) el perfeccionamiento del contrato.</w:t>
      </w:r>
    </w:p>
    <w:p w:rsidRPr="000E46C3" w:rsidR="000E46C3" w:rsidP="6F07DCA8" w:rsidRDefault="000E46C3" w14:paraId="09AEF2D9" w14:textId="77777777" w14:noSpellErr="1">
      <w:pPr>
        <w:tabs>
          <w:tab w:val="left" w:pos="709"/>
        </w:tabs>
        <w:spacing w:after="120" w:line="276" w:lineRule="auto"/>
        <w:ind w:firstLine="709"/>
        <w:jc w:val="both"/>
        <w:rPr>
          <w:rFonts w:ascii="Verdana" w:hAnsi="Verdana" w:eastAsia="Calibri" w:cs="Arial"/>
          <w:color w:val="000000" w:themeColor="text1"/>
          <w:lang w:val="es-ES"/>
        </w:rPr>
      </w:pPr>
      <w:r w:rsidRPr="6F07DCA8" w:rsidR="000E46C3">
        <w:rPr>
          <w:rFonts w:ascii="Verdana" w:hAnsi="Verdana" w:eastAsia="Calibri" w:cs="Arial"/>
          <w:color w:val="000000" w:themeColor="text1" w:themeTint="FF" w:themeShade="FF"/>
          <w:lang w:val="es-ES"/>
        </w:rPr>
        <w:t xml:space="preserve">Adicionalmente, se expidió el Decreto 1860 del 24 de diciembre de 2021, </w:t>
      </w:r>
      <w:r w:rsidRPr="6F07DCA8" w:rsidR="000E46C3">
        <w:rPr>
          <w:rFonts w:ascii="Verdana" w:hAnsi="Verdana" w:eastAsia="Calibri" w:cs="Arial"/>
          <w:color w:val="000000" w:themeColor="text1" w:themeTint="FF" w:themeShade="FF"/>
          <w:lang w:val="es-ES"/>
        </w:rPr>
        <w:t xml:space="preserve">“Por el cual se modifica y adiciona el Decreto 1082 de 2015, Único Reglamentario del Sector Administrativo de Planeación Nacional, con el fin de reglamentar los artículos 30, 31, 32, 34 y 35 de la Ley 2069 de 2020, en lo relativo al sistema de compras públicas y se dictan otras disposiciones”. Entre los aspectos reglamentados por el decreto indicado se encuentra el procedimiento de mínima cuantía. </w:t>
      </w:r>
      <w:r w:rsidRPr="6F07DCA8" w:rsidR="000E46C3">
        <w:rPr>
          <w:rFonts w:ascii="Verdana" w:hAnsi="Verdana" w:eastAsia="Calibri" w:cs="Arial"/>
          <w:color w:val="000000" w:themeColor="text1" w:themeTint="FF" w:themeShade="FF"/>
          <w:lang w:val="es-ES"/>
        </w:rPr>
        <w:t>De esta manera, el artículo 2 modifica la Subsección 5 de la Sección 1 del Capítulo 2 del Título 1 de la Parte 2 del Libro 2 del Decreto 1082 de 2015, que se titula mínima cuantía, por lo que reglamenta esta modalidad de selección con fundamento en lo establecido en el artículo 30 de la Ley 2069 de 2020.</w:t>
      </w:r>
    </w:p>
    <w:p w:rsidRPr="000E46C3" w:rsidR="000E46C3" w:rsidP="6F07DCA8" w:rsidRDefault="000E46C3" w14:paraId="17A729CE" w14:textId="77777777">
      <w:pPr>
        <w:tabs>
          <w:tab w:val="left" w:pos="709"/>
        </w:tabs>
        <w:spacing w:after="120" w:line="276" w:lineRule="auto"/>
        <w:jc w:val="both"/>
        <w:rPr>
          <w:rFonts w:ascii="Verdana" w:hAnsi="Verdana" w:eastAsia="Calibri" w:cs="Arial"/>
          <w:color w:val="000000" w:themeColor="text1"/>
          <w:lang w:val="es-ES"/>
        </w:rPr>
      </w:pPr>
      <w:r w:rsidRPr="000E46C3">
        <w:rPr>
          <w:rFonts w:ascii="Verdana" w:hAnsi="Verdana" w:eastAsia="Calibri" w:cs="Arial"/>
          <w:bCs/>
          <w:color w:val="000000" w:themeColor="text1"/>
          <w:lang w:val="es-ES_tradnl"/>
        </w:rPr>
        <w:tab/>
      </w:r>
      <w:r w:rsidRPr="6F07DCA8" w:rsidR="000E46C3">
        <w:rPr>
          <w:rFonts w:ascii="Verdana" w:hAnsi="Verdana" w:eastAsia="Calibri" w:cs="Arial"/>
          <w:color w:val="000000" w:themeColor="text1"/>
          <w:lang w:val="es-ES"/>
        </w:rPr>
        <w:t>Teniendo en cuenta lo anterior, la nueva Subsección 5 a que se hizo referencia contiene los siguientes artículos: i) 2.2.1.2.1.5.1.</w:t>
      </w:r>
      <w:r w:rsidRPr="6F07DCA8" w:rsidR="000E46C3">
        <w:rPr>
          <w:rFonts w:ascii="Verdana" w:hAnsi="Verdana" w:eastAsia="Calibri" w:cs="Arial"/>
          <w:color w:val="000000" w:themeColor="text1"/>
          <w:lang w:val="es-ES"/>
        </w:rPr>
        <w:t xml:space="preserve"> que se ocupa de desarrollar el contenido de los estudios previos para la contratación de mínima cuantía</w:t>
      </w:r>
      <w:r w:rsidRPr="6F07DCA8">
        <w:rPr>
          <w:rFonts w:ascii="Verdana" w:hAnsi="Verdana" w:eastAsia="Calibri" w:cs="Arial"/>
          <w:color w:val="000000" w:themeColor="text1"/>
          <w:vertAlign w:val="superscript"/>
          <w:lang w:val="es-ES"/>
        </w:rPr>
        <w:footnoteReference w:id="5"/>
      </w:r>
      <w:r w:rsidRPr="6F07DCA8" w:rsidR="000E46C3">
        <w:rPr>
          <w:rFonts w:ascii="Verdana" w:hAnsi="Verdana" w:eastAsia="Calibri" w:cs="Arial"/>
          <w:color w:val="000000" w:themeColor="text1"/>
          <w:lang w:val="es-ES"/>
        </w:rPr>
        <w:t xml:space="preserve">. </w:t>
      </w:r>
      <w:r w:rsidRPr="6F07DCA8" w:rsidR="000E46C3">
        <w:rPr>
          <w:rFonts w:ascii="Verdana" w:hAnsi="Verdana" w:eastAsia="Calibri" w:cs="Arial"/>
          <w:color w:val="000000" w:themeColor="text1"/>
          <w:lang w:val="es-ES"/>
        </w:rPr>
        <w:t>ii</w:t>
      </w:r>
      <w:r w:rsidRPr="6F07DCA8" w:rsidR="000E46C3">
        <w:rPr>
          <w:rFonts w:ascii="Verdana" w:hAnsi="Verdana" w:eastAsia="Calibri" w:cs="Arial"/>
          <w:color w:val="000000" w:themeColor="text1"/>
          <w:lang w:val="es-ES"/>
        </w:rPr>
        <w:t xml:space="preserve">) 2.2.1.2.1.5.2. que contiene el procedimiento general de la mínima cuantía, señalando el contenido mínimo de la “invitación” y las distintas etapas y reglas que estructuran esta modalidad de selección, incluyendo la forma en </w:t>
      </w:r>
      <w:r w:rsidRPr="6F07DCA8" w:rsidR="000E46C3">
        <w:rPr>
          <w:rFonts w:ascii="Verdana" w:hAnsi="Verdana" w:eastAsia="Calibri" w:cs="Arial"/>
          <w:color w:val="000000" w:themeColor="text1"/>
          <w:lang w:val="es-ES"/>
        </w:rPr>
        <w:t xml:space="preserve">que procederán las convocatorias limitadas a </w:t>
      </w:r>
      <w:r w:rsidRPr="6F07DCA8" w:rsidR="000E46C3">
        <w:rPr>
          <w:rFonts w:ascii="Verdana" w:hAnsi="Verdana" w:eastAsia="Calibri" w:cs="Arial"/>
          <w:color w:val="000000" w:themeColor="text1"/>
          <w:lang w:val="es-ES"/>
        </w:rPr>
        <w:t>mipymes</w:t>
      </w:r>
      <w:r w:rsidRPr="6F07DCA8" w:rsidR="000E46C3">
        <w:rPr>
          <w:rFonts w:ascii="Verdana" w:hAnsi="Verdana" w:eastAsia="Calibri" w:cs="Arial"/>
          <w:color w:val="000000" w:themeColor="text1"/>
          <w:lang w:val="es-ES"/>
        </w:rPr>
        <w:t>, de acuerdo con el mandato del parágrafo 1 del artículo 30 de la Ley 2069 de 2020</w:t>
      </w:r>
      <w:r w:rsidRPr="6F07DCA8">
        <w:rPr>
          <w:rFonts w:ascii="Verdana" w:hAnsi="Verdana" w:eastAsia="Calibri" w:cs="Arial"/>
          <w:color w:val="000000" w:themeColor="text1"/>
          <w:vertAlign w:val="superscript"/>
          <w:lang w:val="es-ES"/>
        </w:rPr>
        <w:footnoteReference w:id="6"/>
      </w:r>
      <w:r w:rsidRPr="6F07DCA8" w:rsidR="000E46C3">
        <w:rPr>
          <w:rFonts w:ascii="Verdana" w:hAnsi="Verdana" w:eastAsia="Calibri" w:cs="Arial"/>
          <w:color w:val="000000" w:themeColor="text1"/>
          <w:lang w:val="es-ES"/>
        </w:rPr>
        <w:t xml:space="preserve">. </w:t>
      </w:r>
      <w:r w:rsidRPr="6F07DCA8" w:rsidR="000E46C3">
        <w:rPr>
          <w:rFonts w:ascii="Verdana" w:hAnsi="Verdana" w:eastAsia="Calibri" w:cs="Arial"/>
          <w:color w:val="000000" w:themeColor="text1"/>
          <w:lang w:val="es-ES"/>
        </w:rPr>
        <w:t>iii</w:t>
      </w:r>
      <w:r w:rsidRPr="6F07DCA8" w:rsidR="000E46C3">
        <w:rPr>
          <w:rFonts w:ascii="Verdana" w:hAnsi="Verdana" w:eastAsia="Calibri" w:cs="Arial"/>
          <w:color w:val="000000" w:themeColor="text1"/>
          <w:lang w:val="es-ES"/>
        </w:rPr>
        <w:t xml:space="preserve">) 2.2.1.2.1.5.3. que regula un procedimiento especial para las adquisiciones en grandes almacenes cuando se trate de mínima cuantía. </w:t>
      </w:r>
      <w:r w:rsidRPr="6F07DCA8" w:rsidR="000E46C3">
        <w:rPr>
          <w:rFonts w:ascii="Verdana" w:hAnsi="Verdana" w:eastAsia="Calibri" w:cs="Arial"/>
          <w:color w:val="000000" w:themeColor="text1"/>
          <w:lang w:val="es-ES"/>
        </w:rPr>
        <w:t>iv</w:t>
      </w:r>
      <w:r w:rsidRPr="6F07DCA8" w:rsidR="000E46C3">
        <w:rPr>
          <w:rFonts w:ascii="Verdana" w:hAnsi="Verdana" w:eastAsia="Calibri" w:cs="Arial"/>
          <w:color w:val="000000" w:themeColor="text1"/>
          <w:lang w:val="es-ES"/>
        </w:rPr>
        <w:t xml:space="preserve">) 2.2.1.2.1.5.4. el cual establece la posibilidad de que la Agencia Nacional de Contratación Pública – Colombia Compra Eficiente cree y establezca las reglas para la utilización de Instrumentos de agregación de demanda en la Tienda Virtual del Estado Colombiano para adquisiciones hasta el monto de la mínima cuantía con </w:t>
      </w:r>
      <w:r w:rsidRPr="6F07DCA8" w:rsidR="000E46C3">
        <w:rPr>
          <w:rFonts w:ascii="Verdana" w:hAnsi="Verdana" w:eastAsia="Calibri" w:cs="Arial"/>
          <w:color w:val="000000" w:themeColor="text1"/>
          <w:lang w:val="es-ES"/>
        </w:rPr>
        <w:t>Mipyme</w:t>
      </w:r>
      <w:r w:rsidRPr="6F07DCA8" w:rsidR="000E46C3">
        <w:rPr>
          <w:rFonts w:ascii="Verdana" w:hAnsi="Verdana" w:eastAsia="Calibri" w:cs="Arial"/>
          <w:color w:val="000000" w:themeColor="text1"/>
          <w:lang w:val="es-ES"/>
        </w:rPr>
        <w:t xml:space="preserve"> y con grandes almacenes. Y v) 2.2.1.2.1.5.5. el cual establece que la entidad estatal es libre de exigir o no garantías en el proceso de selección de mínima cuantía y en la adquisición de “grandes almacenes”.</w:t>
      </w:r>
    </w:p>
    <w:p w:rsidRPr="000E46C3" w:rsidR="000E46C3" w:rsidP="000E46C3" w:rsidRDefault="000E46C3" w14:paraId="02FB7571" w14:textId="77777777">
      <w:pPr>
        <w:tabs>
          <w:tab w:val="left" w:pos="709"/>
        </w:tabs>
        <w:spacing w:after="120" w:line="276" w:lineRule="auto"/>
        <w:jc w:val="both"/>
        <w:rPr>
          <w:rFonts w:ascii="Verdana" w:hAnsi="Verdana" w:eastAsia="Calibri" w:cs="Arial"/>
          <w:bCs/>
          <w:color w:val="000000" w:themeColor="text1"/>
          <w:lang w:val="es-ES_tradnl"/>
        </w:rPr>
      </w:pPr>
      <w:r w:rsidRPr="000E46C3">
        <w:rPr>
          <w:rFonts w:ascii="Verdana" w:hAnsi="Verdana" w:eastAsia="Calibri" w:cs="Arial"/>
          <w:bCs/>
          <w:color w:val="000000" w:themeColor="text1"/>
          <w:lang w:val="es-ES_tradnl"/>
        </w:rPr>
        <w:tab/>
      </w:r>
      <w:r w:rsidRPr="000E46C3">
        <w:rPr>
          <w:rFonts w:ascii="Verdana" w:hAnsi="Verdana" w:eastAsia="Calibri" w:cs="Arial"/>
          <w:bCs/>
          <w:color w:val="000000" w:themeColor="text1"/>
          <w:lang w:val="es-ES_tradnl"/>
        </w:rPr>
        <w:t xml:space="preserve">De esta manera, el artículo 2 del Decreto 1860 de 2021, que modifica los artículos del Decreto 1082 de 2015 expuestos en el párrafo anterior, constituye la reglamentación del artículo 30 de la Ley 2069 de 2020, al desarrollar las reglas aplicables a esta modalidad de selección. </w:t>
      </w:r>
    </w:p>
    <w:p w:rsidRPr="000E46C3" w:rsidR="000E46C3" w:rsidP="000E46C3" w:rsidRDefault="000E46C3" w14:paraId="03D52CF9" w14:textId="77777777">
      <w:pPr>
        <w:tabs>
          <w:tab w:val="left" w:pos="709"/>
        </w:tabs>
        <w:spacing w:after="120" w:line="276" w:lineRule="auto"/>
        <w:jc w:val="both"/>
        <w:rPr>
          <w:rFonts w:ascii="Verdana" w:hAnsi="Verdana" w:eastAsia="Calibri" w:cs="Arial"/>
          <w:color w:val="000000" w:themeColor="text1"/>
          <w:lang w:val="es-ES_tradnl"/>
        </w:rPr>
      </w:pPr>
      <w:r w:rsidRPr="000E46C3">
        <w:rPr>
          <w:rFonts w:ascii="Verdana" w:hAnsi="Verdana" w:eastAsia="Calibri" w:cs="Arial"/>
          <w:color w:val="000000" w:themeColor="text1"/>
          <w:lang w:val="es-ES_tradnl"/>
        </w:rPr>
        <w:tab/>
      </w:r>
      <w:r w:rsidRPr="000E46C3">
        <w:rPr>
          <w:rFonts w:ascii="Verdana" w:hAnsi="Verdana" w:eastAsia="Calibri" w:cs="Arial"/>
          <w:color w:val="000000" w:themeColor="text1"/>
          <w:lang w:val="es-ES_tradnl"/>
        </w:rPr>
        <w:t>Ahora bien, vistas las anteriores vicisitudes normativas que rodean la modalidad de selección de mínima cuantía, y con fundamento en los artículos 2.2.1.2.1.5.1. al 2.2.1.2.1.5.4 del Decreto 1082 de 2015 modificados, como se ha venido exponiendo, por el artículo 2 del Decreto 1860 de 2021, resulta imperante sintetizar los requisitos en el procedimiento de esta modalidad de selección de la siguiente forma:</w:t>
      </w:r>
    </w:p>
    <w:p w:rsidRPr="000E46C3" w:rsidR="000E46C3" w:rsidP="000E46C3" w:rsidRDefault="000E46C3" w14:paraId="242AF36D" w14:textId="77777777">
      <w:pPr>
        <w:spacing w:after="120" w:line="276" w:lineRule="auto"/>
        <w:ind w:firstLine="709"/>
        <w:jc w:val="both"/>
        <w:rPr>
          <w:rFonts w:ascii="Verdana" w:hAnsi="Verdana" w:eastAsia="Calibri" w:cs="Arial"/>
          <w:color w:val="000000"/>
          <w:lang w:val="es-ES_tradnl"/>
        </w:rPr>
      </w:pPr>
      <w:r w:rsidRPr="000E46C3">
        <w:rPr>
          <w:rFonts w:ascii="Verdana" w:hAnsi="Verdana" w:eastAsia="Calibri" w:cs="Arial"/>
          <w:color w:val="000000"/>
          <w:lang w:val="es-ES_tradnl"/>
        </w:rPr>
        <w:t>i) La entidad estatal debe hacer los estudios previos en los que señale cuál es la necesidad que pretende satisfacer, el objeto del contrato, sus condiciones técnicas, el valor estimado, el plazo de ejecución y el certificado de disponibilidad presupuestal.</w:t>
      </w:r>
    </w:p>
    <w:p w:rsidRPr="000E46C3" w:rsidR="000E46C3" w:rsidP="6F07DCA8" w:rsidRDefault="000E46C3" w14:paraId="1EC95217" w14:textId="77777777">
      <w:pPr>
        <w:spacing w:after="120" w:line="276" w:lineRule="auto"/>
        <w:ind w:firstLine="709"/>
        <w:jc w:val="both"/>
        <w:rPr>
          <w:rFonts w:ascii="Verdana" w:hAnsi="Verdana" w:eastAsia="Calibri" w:cs="Arial"/>
          <w:color w:val="000000"/>
          <w:lang w:val="es-ES"/>
        </w:rPr>
      </w:pPr>
      <w:r w:rsidRPr="6F07DCA8" w:rsidR="000E46C3">
        <w:rPr>
          <w:rFonts w:ascii="Verdana" w:hAnsi="Verdana" w:eastAsia="Calibri" w:cs="Arial"/>
          <w:color w:val="000000"/>
          <w:lang w:val="es-ES"/>
        </w:rPr>
        <w:t>ii</w:t>
      </w:r>
      <w:r w:rsidRPr="6F07DCA8" w:rsidR="000E46C3">
        <w:rPr>
          <w:rFonts w:ascii="Verdana" w:hAnsi="Verdana" w:eastAsia="Calibri" w:cs="Arial"/>
          <w:color w:val="000000"/>
          <w:lang w:val="es-ES"/>
        </w:rPr>
        <w:t xml:space="preserve">) Luego de los trámites previos, la entidad debe publicar en el SECOP una invitación, señalando el objeto, las condiciones técnicas y el valor estimado del contrato, expresando además las razones que justifican el cálculo de la cuantía. Asimismo, puede exigir o no una capacidad financiera mínima. Igualmente, esta Agencia ha recomendado “incluir en la invitación el cronograma, el plazo o condiciones de pago a cargo de la Entidad Estatal, la </w:t>
      </w:r>
      <w:r w:rsidRPr="6F07DCA8" w:rsidR="000E46C3">
        <w:rPr>
          <w:rFonts w:ascii="Verdana" w:hAnsi="Verdana" w:eastAsia="Calibri" w:cs="Arial"/>
          <w:color w:val="000000"/>
          <w:lang w:val="es-ES"/>
        </w:rPr>
        <w:t>indicación del requerimiento de garantías (cuya exigencia es discrecional de la Entidad Estatal) y los demás aspectos que considere necesarios para la satisfacción de la necesidad”</w:t>
      </w:r>
      <w:r w:rsidRPr="6F07DCA8">
        <w:rPr>
          <w:rFonts w:ascii="Verdana" w:hAnsi="Verdana" w:eastAsia="Calibri" w:cs="Arial"/>
          <w:color w:val="000000"/>
          <w:vertAlign w:val="superscript"/>
          <w:lang w:val="es-ES"/>
        </w:rPr>
        <w:footnoteReference w:id="7"/>
      </w:r>
      <w:r w:rsidRPr="6F07DCA8" w:rsidR="000E46C3">
        <w:rPr>
          <w:rFonts w:ascii="Verdana" w:hAnsi="Verdana" w:eastAsia="Calibri" w:cs="Arial"/>
          <w:color w:val="000000"/>
          <w:lang w:val="es-ES"/>
        </w:rPr>
        <w:t>.</w:t>
      </w:r>
    </w:p>
    <w:p w:rsidRPr="000E46C3" w:rsidR="000E46C3" w:rsidP="6F07DCA8" w:rsidRDefault="000E46C3" w14:paraId="2C5EFB1C" w14:textId="77777777">
      <w:pPr>
        <w:spacing w:after="120" w:line="276" w:lineRule="auto"/>
        <w:ind w:firstLine="709"/>
        <w:jc w:val="both"/>
        <w:rPr>
          <w:rFonts w:ascii="Verdana" w:hAnsi="Verdana" w:eastAsia="Calibri" w:cs="Arial"/>
          <w:color w:val="000000"/>
          <w:lang w:val="es-ES"/>
        </w:rPr>
      </w:pPr>
      <w:r w:rsidRPr="6F07DCA8" w:rsidR="000E46C3">
        <w:rPr>
          <w:rFonts w:ascii="Verdana" w:hAnsi="Verdana" w:eastAsia="Calibri" w:cs="Arial"/>
          <w:color w:val="000000" w:themeColor="text1" w:themeTint="FF" w:themeShade="FF"/>
          <w:lang w:val="es-ES"/>
        </w:rPr>
        <w:t>iii</w:t>
      </w:r>
      <w:r w:rsidRPr="6F07DCA8" w:rsidR="000E46C3">
        <w:rPr>
          <w:rFonts w:ascii="Verdana" w:hAnsi="Verdana" w:eastAsia="Calibri" w:cs="Arial"/>
          <w:color w:val="000000" w:themeColor="text1" w:themeTint="FF" w:themeShade="FF"/>
          <w:lang w:val="es-ES"/>
        </w:rPr>
        <w:t>) La invitación se debe hacer por un término no inferior a un (1) día hábil.</w:t>
      </w:r>
    </w:p>
    <w:p w:rsidRPr="000E46C3" w:rsidR="000E46C3" w:rsidP="6F07DCA8" w:rsidRDefault="000E46C3" w14:paraId="52D42C96" w14:textId="77777777">
      <w:pPr>
        <w:spacing w:after="120" w:line="276" w:lineRule="auto"/>
        <w:ind w:firstLine="709"/>
        <w:jc w:val="both"/>
        <w:rPr>
          <w:rFonts w:ascii="Verdana" w:hAnsi="Verdana" w:eastAsia="Calibri" w:cs="Arial"/>
          <w:color w:val="000000"/>
          <w:lang w:val="es-ES"/>
        </w:rPr>
      </w:pPr>
      <w:r w:rsidRPr="6F07DCA8" w:rsidR="000E46C3">
        <w:rPr>
          <w:rFonts w:ascii="Verdana" w:hAnsi="Verdana" w:eastAsia="Calibri" w:cs="Arial"/>
          <w:color w:val="000000" w:themeColor="text1" w:themeTint="FF" w:themeShade="FF"/>
          <w:lang w:val="es-ES"/>
        </w:rPr>
        <w:t>iv</w:t>
      </w:r>
      <w:r w:rsidRPr="6F07DCA8" w:rsidR="000E46C3">
        <w:rPr>
          <w:rFonts w:ascii="Verdana" w:hAnsi="Verdana" w:eastAsia="Calibri" w:cs="Arial"/>
          <w:color w:val="000000" w:themeColor="text1" w:themeTint="FF" w:themeShade="FF"/>
          <w:lang w:val="es-ES"/>
        </w:rPr>
        <w:t>) Las observaciones que presenten los interesados a la invitación deben responderse a más tardar antes del vencimiento del término para presentar las ofertas.</w:t>
      </w:r>
    </w:p>
    <w:p w:rsidRPr="000E46C3" w:rsidR="000E46C3" w:rsidP="000E46C3" w:rsidRDefault="000E46C3" w14:paraId="30BF5CA8" w14:textId="77777777">
      <w:pPr>
        <w:spacing w:after="120" w:line="276" w:lineRule="auto"/>
        <w:ind w:firstLine="709"/>
        <w:jc w:val="both"/>
        <w:rPr>
          <w:rFonts w:ascii="Verdana" w:hAnsi="Verdana" w:eastAsia="Calibri" w:cs="Arial"/>
          <w:color w:val="000000"/>
          <w:lang w:val="es-ES_tradnl"/>
        </w:rPr>
      </w:pPr>
      <w:r w:rsidRPr="000E46C3">
        <w:rPr>
          <w:rFonts w:ascii="Verdana" w:hAnsi="Verdana" w:eastAsia="Calibri" w:cs="Arial"/>
          <w:color w:val="000000"/>
          <w:lang w:val="es-ES_tradnl"/>
        </w:rPr>
        <w:t>v) Presentadas las propuestas, la entidad estatal debe revisar las ofertas económicas y verificar que la del menor precio cumpla los requisitos de participación. Si no los satisface debe revisar la oferta económica inmediatamente inferior, y así sucesivamente. Esto significa que en la mínima cuantía el precio es el único factor de calificación</w:t>
      </w:r>
      <w:r w:rsidRPr="000E46C3">
        <w:rPr>
          <w:rFonts w:ascii="Verdana" w:hAnsi="Verdana" w:eastAsia="Calibri" w:cs="Arial"/>
          <w:color w:val="000000"/>
          <w:vertAlign w:val="superscript"/>
          <w:lang w:val="es-ES_tradnl"/>
        </w:rPr>
        <w:footnoteReference w:id="8"/>
      </w:r>
      <w:r w:rsidRPr="000E46C3">
        <w:rPr>
          <w:rFonts w:ascii="Verdana" w:hAnsi="Verdana" w:eastAsia="Calibri" w:cs="Arial"/>
          <w:color w:val="000000"/>
          <w:lang w:val="es-ES_tradnl"/>
        </w:rPr>
        <w:t>.</w:t>
      </w:r>
    </w:p>
    <w:p w:rsidRPr="000E46C3" w:rsidR="000E46C3" w:rsidP="000E46C3" w:rsidRDefault="000E46C3" w14:paraId="3852793D" w14:textId="77777777">
      <w:pPr>
        <w:spacing w:after="120" w:line="276" w:lineRule="auto"/>
        <w:ind w:firstLine="709"/>
        <w:jc w:val="both"/>
        <w:rPr>
          <w:rFonts w:ascii="Verdana" w:hAnsi="Verdana" w:eastAsia="Calibri" w:cs="Arial"/>
          <w:color w:val="000000"/>
          <w:lang w:val="es-ES_tradnl"/>
        </w:rPr>
      </w:pPr>
      <w:r w:rsidRPr="000E46C3">
        <w:rPr>
          <w:rFonts w:ascii="Verdana" w:hAnsi="Verdana" w:eastAsia="Calibri" w:cs="Arial"/>
          <w:color w:val="000000"/>
          <w:lang w:val="es-ES_tradnl"/>
        </w:rPr>
        <w:t>vi) El informe de evaluación se debe publicar por lo menos un (1) día hábil.</w:t>
      </w:r>
    </w:p>
    <w:p w:rsidRPr="000E46C3" w:rsidR="000E46C3" w:rsidP="6F07DCA8" w:rsidRDefault="000E46C3" w14:paraId="4F01FBB1" w14:textId="77777777">
      <w:pPr>
        <w:spacing w:after="120" w:line="276" w:lineRule="auto"/>
        <w:ind w:firstLine="709"/>
        <w:jc w:val="both"/>
        <w:rPr>
          <w:rFonts w:ascii="Verdana" w:hAnsi="Verdana" w:eastAsia="Calibri" w:cs="Arial"/>
          <w:color w:val="000000"/>
          <w:lang w:val="es-ES"/>
        </w:rPr>
      </w:pPr>
      <w:r w:rsidRPr="6F07DCA8" w:rsidR="000E46C3">
        <w:rPr>
          <w:rFonts w:ascii="Verdana" w:hAnsi="Verdana" w:eastAsia="Calibri" w:cs="Arial"/>
          <w:color w:val="000000" w:themeColor="text1" w:themeTint="FF" w:themeShade="FF"/>
          <w:lang w:val="es-ES"/>
        </w:rPr>
        <w:t>vii</w:t>
      </w:r>
      <w:r w:rsidRPr="6F07DCA8" w:rsidR="000E46C3">
        <w:rPr>
          <w:rFonts w:ascii="Verdana" w:hAnsi="Verdana" w:eastAsia="Calibri" w:cs="Arial"/>
          <w:color w:val="000000" w:themeColor="text1" w:themeTint="FF" w:themeShade="FF"/>
          <w:lang w:val="es-ES"/>
        </w:rPr>
        <w:t xml:space="preserve">) </w:t>
      </w:r>
      <w:bookmarkStart w:name="_Hlk134700391" w:id="4"/>
      <w:r w:rsidRPr="6F07DCA8" w:rsidR="000E46C3">
        <w:rPr>
          <w:rFonts w:ascii="Verdana" w:hAnsi="Verdana" w:eastAsia="Calibri" w:cs="Arial"/>
          <w:color w:val="000000" w:themeColor="text1" w:themeTint="FF" w:themeShade="FF"/>
          <w:lang w:val="es-ES"/>
        </w:rPr>
        <w:t>El contrato se perfecciona con la comunicación de aceptación de la oferta que envía la entidad estatal al proponente que presentó la oferta económica de menor precio, no requiriéndose, entonces, la suscripción de una minuta. En la comunicación de aceptación de la oferta la entidad estatal le debe informar al proponente ganador quién será el supervisor del contrato.</w:t>
      </w:r>
    </w:p>
    <w:bookmarkEnd w:id="4"/>
    <w:p w:rsidRPr="000E46C3" w:rsidR="000E46C3" w:rsidP="6F07DCA8" w:rsidRDefault="000E46C3" w14:paraId="1A2189AC" w14:textId="77777777">
      <w:pPr>
        <w:spacing w:after="120" w:line="276" w:lineRule="auto"/>
        <w:ind w:firstLine="709"/>
        <w:jc w:val="both"/>
        <w:rPr>
          <w:rFonts w:ascii="Verdana" w:hAnsi="Verdana" w:eastAsia="Calibri" w:cs="Arial"/>
          <w:color w:val="000000"/>
          <w:lang w:val="es-ES"/>
        </w:rPr>
      </w:pPr>
      <w:r w:rsidRPr="6F07DCA8" w:rsidR="000E46C3">
        <w:rPr>
          <w:rFonts w:ascii="Verdana" w:hAnsi="Verdana" w:eastAsia="Calibri" w:cs="Arial"/>
          <w:color w:val="000000" w:themeColor="text1" w:themeTint="FF" w:themeShade="FF"/>
          <w:lang w:val="es-ES"/>
        </w:rPr>
        <w:t>viii</w:t>
      </w:r>
      <w:r w:rsidRPr="6F07DCA8" w:rsidR="000E46C3">
        <w:rPr>
          <w:rFonts w:ascii="Verdana" w:hAnsi="Verdana" w:eastAsia="Calibri" w:cs="Arial"/>
          <w:color w:val="000000" w:themeColor="text1" w:themeTint="FF" w:themeShade="FF"/>
          <w:lang w:val="es-ES"/>
        </w:rPr>
        <w:t>) De existir empate debe preferirse la oferta que se presentó primero en el tiempo.</w:t>
      </w:r>
    </w:p>
    <w:p w:rsidRPr="000E46C3" w:rsidR="000E46C3" w:rsidP="000E46C3" w:rsidRDefault="000E46C3" w14:paraId="13AB5332" w14:textId="77777777">
      <w:pPr>
        <w:tabs>
          <w:tab w:val="left" w:pos="709"/>
        </w:tabs>
        <w:spacing w:after="120" w:line="276" w:lineRule="auto"/>
        <w:jc w:val="both"/>
        <w:rPr>
          <w:rFonts w:ascii="Verdana" w:hAnsi="Verdana" w:eastAsia="Calibri" w:cs="Arial"/>
          <w:bCs/>
          <w:color w:val="000000" w:themeColor="text1"/>
          <w:lang w:val="es-ES_tradnl"/>
        </w:rPr>
      </w:pPr>
      <w:r w:rsidRPr="000E46C3">
        <w:rPr>
          <w:rFonts w:ascii="Verdana" w:hAnsi="Verdana" w:eastAsia="Calibri" w:cs="Arial"/>
          <w:bCs/>
          <w:color w:val="000000" w:themeColor="text1"/>
          <w:lang w:val="es-ES_tradnl"/>
        </w:rPr>
        <w:tab/>
      </w:r>
      <w:r w:rsidRPr="000E46C3">
        <w:rPr>
          <w:rFonts w:ascii="Verdana" w:hAnsi="Verdana" w:eastAsia="Calibri" w:cs="Arial"/>
          <w:bCs/>
          <w:color w:val="000000" w:themeColor="text1"/>
          <w:lang w:val="es-ES_tradnl"/>
        </w:rPr>
        <w:t xml:space="preserve">De conformidad con lo expuesto, y con fundamento en lo previsto en el numeral 9 del artículo 2.2.1.2.1.5.2. del Decreto 1082 del 2015 según el cual “la oferta y su aceptación constituyen el contrato estatal”, es claro que la comunicación de la aceptación de la oferta por parte de la entidad al proponente perfecciona los requisitos de existencia del contrato. </w:t>
      </w:r>
      <w:r w:rsidRPr="000E46C3">
        <w:rPr>
          <w:rFonts w:ascii="Verdana" w:hAnsi="Verdana" w:eastAsia="Calibri" w:cs="Arial"/>
          <w:bCs/>
          <w:color w:val="000000" w:themeColor="text1"/>
        </w:rPr>
        <w:t xml:space="preserve">Esta particularidad en </w:t>
      </w:r>
      <w:r w:rsidRPr="000E46C3">
        <w:rPr>
          <w:rFonts w:ascii="Verdana" w:hAnsi="Verdana" w:eastAsia="Calibri" w:cs="Arial"/>
          <w:bCs/>
          <w:color w:val="000000" w:themeColor="text1"/>
        </w:rPr>
        <w:t>relación con el procedimiento de mínima cuantía se deriva de lo establecido en el literal d) del numeral 5 del artículo 2 de la Ley 1150 de 2007 que de manera expresa dispone que "la comunicación de aceptación junto con la oferta c</w:t>
      </w:r>
      <w:r w:rsidRPr="000E46C3">
        <w:rPr>
          <w:rFonts w:ascii="Verdana" w:hAnsi="Verdana" w:eastAsia="Calibri" w:cs="Arial"/>
          <w:bCs/>
          <w:i/>
          <w:iCs/>
          <w:color w:val="000000" w:themeColor="text1"/>
        </w:rPr>
        <w:t>onstituye para todos los efectos el contrato celebrado</w:t>
      </w:r>
      <w:r w:rsidRPr="000E46C3">
        <w:rPr>
          <w:rFonts w:ascii="Verdana" w:hAnsi="Verdana" w:eastAsia="Calibri" w:cs="Arial"/>
          <w:bCs/>
          <w:color w:val="000000" w:themeColor="text1"/>
        </w:rPr>
        <w:t>, con base en lo cual se efectuará el respectivo registro presupuestal". Esto implica que, en este tipo de procedimientos, el contrato se entiende perfeccionado en el momento en que se produce dicha comunicación, sin necesidad de cumplir con requisitos adicionales.</w:t>
      </w:r>
    </w:p>
    <w:p w:rsidRPr="000E46C3" w:rsidR="000E46C3" w:rsidP="000E46C3" w:rsidRDefault="000E46C3" w14:paraId="2EA3521F" w14:textId="77777777">
      <w:pPr>
        <w:tabs>
          <w:tab w:val="left" w:pos="709"/>
        </w:tabs>
        <w:spacing w:after="120" w:line="276" w:lineRule="auto"/>
        <w:ind w:firstLine="709"/>
        <w:jc w:val="both"/>
        <w:rPr>
          <w:rFonts w:ascii="Verdana" w:hAnsi="Verdana" w:eastAsia="Calibri" w:cs="Arial"/>
          <w:bCs/>
          <w:color w:val="000000" w:themeColor="text1"/>
          <w:lang w:val="es-ES_tradnl"/>
        </w:rPr>
      </w:pPr>
      <w:r w:rsidRPr="000E46C3">
        <w:rPr>
          <w:rFonts w:ascii="Verdana" w:hAnsi="Verdana" w:eastAsia="Calibri" w:cs="Arial"/>
          <w:bCs/>
          <w:color w:val="000000"/>
          <w:lang w:val="es-ES"/>
        </w:rPr>
        <w:t xml:space="preserve">En este sentido, el legislador estableció que en los procesos de mínima cuantía no habría un </w:t>
      </w:r>
      <w:r w:rsidRPr="000E46C3">
        <w:rPr>
          <w:rFonts w:ascii="Verdana" w:hAnsi="Verdana" w:eastAsia="Calibri" w:cs="Arial"/>
          <w:bCs/>
          <w:i/>
          <w:color w:val="000000"/>
          <w:lang w:val="es-ES"/>
        </w:rPr>
        <w:t>“acto de adjudicación”</w:t>
      </w:r>
      <w:r w:rsidRPr="000E46C3">
        <w:rPr>
          <w:rFonts w:ascii="Verdana" w:hAnsi="Verdana" w:eastAsia="Calibri" w:cs="Arial"/>
          <w:bCs/>
          <w:color w:val="000000"/>
          <w:lang w:val="es-ES"/>
        </w:rPr>
        <w:t xml:space="preserve">, sino que en aras de la celeridad y economía que se busca con esta modalidad, la selección de la mejor oferta se realiza mediante una </w:t>
      </w:r>
      <w:r w:rsidRPr="000E46C3">
        <w:rPr>
          <w:rFonts w:ascii="Verdana" w:hAnsi="Verdana" w:eastAsia="Calibri" w:cs="Arial"/>
          <w:bCs/>
          <w:i/>
          <w:color w:val="000000"/>
          <w:lang w:val="es-ES"/>
        </w:rPr>
        <w:t>“comunicación de aceptación de la oferta”</w:t>
      </w:r>
      <w:r w:rsidRPr="000E46C3">
        <w:rPr>
          <w:rFonts w:ascii="Verdana" w:hAnsi="Verdana" w:eastAsia="Calibri" w:cs="Arial"/>
          <w:bCs/>
          <w:color w:val="000000"/>
          <w:lang w:val="es-ES"/>
        </w:rPr>
        <w:t>, y dicha comunicación, junto con la oferta presentada por el oferente seleccionado, constituyen el contrato. Así, la comunicación de aceptación de la oferta hace las veces del acto de adjudicación, en el entendido de que bajo dicha actuación la entidad selecciona a su contratista; solo que en estos casos mediante dicho acto además se perfecciona el contrato.</w:t>
      </w:r>
    </w:p>
    <w:p w:rsidRPr="000E46C3" w:rsidR="000E46C3" w:rsidP="000E46C3" w:rsidRDefault="000E46C3" w14:paraId="4A924880" w14:textId="77777777">
      <w:pPr>
        <w:spacing w:after="120" w:line="276" w:lineRule="auto"/>
        <w:ind w:firstLine="709"/>
        <w:jc w:val="both"/>
        <w:rPr>
          <w:rFonts w:ascii="Verdana" w:hAnsi="Verdana" w:eastAsia="Calibri" w:cs="Arial"/>
          <w:color w:val="000000"/>
        </w:rPr>
      </w:pPr>
      <w:r w:rsidRPr="000E46C3">
        <w:rPr>
          <w:rFonts w:ascii="Verdana" w:hAnsi="Verdana" w:eastAsia="Calibri" w:cs="Arial"/>
          <w:bCs/>
          <w:color w:val="000000"/>
          <w:lang w:val="es-ES_tradnl"/>
        </w:rPr>
        <w:t>Sobre este aspecto, el Manual de la Modalidad de Selección de Mínima Cuantía expedido por la Agencia Nacional de Contratación Pública – Colombia Compra Eficiente</w:t>
      </w:r>
      <w:r w:rsidRPr="000E46C3">
        <w:rPr>
          <w:rFonts w:ascii="Verdana" w:hAnsi="Verdana" w:eastAsia="Calibri" w:cs="Arial"/>
          <w:bCs/>
          <w:color w:val="000000"/>
          <w:vertAlign w:val="superscript"/>
          <w:lang w:val="es-ES_tradnl"/>
        </w:rPr>
        <w:footnoteReference w:id="9"/>
      </w:r>
      <w:r w:rsidRPr="000E46C3">
        <w:rPr>
          <w:rFonts w:ascii="Verdana" w:hAnsi="Verdana" w:eastAsia="Calibri" w:cs="Arial"/>
          <w:bCs/>
          <w:color w:val="000000"/>
          <w:lang w:val="es-ES_tradnl"/>
        </w:rPr>
        <w:t xml:space="preserve">, señaló que </w:t>
      </w:r>
      <w:r w:rsidRPr="000E46C3">
        <w:rPr>
          <w:rFonts w:ascii="Verdana" w:hAnsi="Verdana" w:eastAsia="Calibri" w:cs="Arial"/>
          <w:color w:val="000000"/>
          <w:lang w:val="es-MX"/>
        </w:rPr>
        <w:t xml:space="preserve">“la Entidad Estatal debe aceptar la oferta del oferente que haya cumplido con los requisitos establecidos en la invitación y que haya ofrecido el precio más bajo, </w:t>
      </w:r>
      <w:r w:rsidRPr="000E46C3">
        <w:rPr>
          <w:rFonts w:ascii="Verdana" w:hAnsi="Verdana" w:eastAsia="Calibri" w:cs="Arial"/>
          <w:i/>
          <w:iCs/>
          <w:color w:val="000000"/>
          <w:lang w:val="es-MX"/>
        </w:rPr>
        <w:t>mediante documento electrónico o físico</w:t>
      </w:r>
      <w:r w:rsidRPr="000E46C3">
        <w:rPr>
          <w:rFonts w:ascii="Verdana" w:hAnsi="Verdana" w:eastAsia="Calibri" w:cs="Arial"/>
          <w:color w:val="000000"/>
          <w:lang w:val="es-MX"/>
        </w:rPr>
        <w:t>. En el documento de aceptación, la Entidad Estatal debe indicar el supervisor del contrato.</w:t>
      </w:r>
      <w:r w:rsidRPr="000E46C3">
        <w:rPr>
          <w:rFonts w:ascii="Verdana" w:hAnsi="Verdana" w:eastAsia="Calibri" w:cs="Arial"/>
          <w:color w:val="000000"/>
          <w:vertAlign w:val="superscript"/>
          <w:lang w:val="es-MX"/>
        </w:rPr>
        <w:footnoteReference w:id="10"/>
      </w:r>
      <w:r w:rsidRPr="000E46C3">
        <w:rPr>
          <w:rFonts w:ascii="Verdana" w:hAnsi="Verdana" w:eastAsia="Calibri" w:cs="Arial"/>
          <w:color w:val="000000"/>
        </w:rPr>
        <w:t xml:space="preserve">” (Énfasis por fuera de texto). De esta manera, desde el momento en que se efectúa dicha comunicación, ya sea mediante documento electrónico o físico, se entiende que el contrato ha quedado perfeccionado y tiene plena existencia, sin que sea necesario cumplir con ningún otro requisito adicional. </w:t>
      </w:r>
    </w:p>
    <w:p w:rsidRPr="000E46C3" w:rsidR="000E46C3" w:rsidP="000E46C3" w:rsidRDefault="000E46C3" w14:paraId="68F43D26" w14:textId="77777777">
      <w:pPr>
        <w:spacing w:after="120" w:line="276" w:lineRule="auto"/>
        <w:jc w:val="both"/>
        <w:rPr>
          <w:rFonts w:ascii="Verdana" w:hAnsi="Verdana" w:eastAsia="Calibri" w:cs="Arial"/>
          <w:lang w:val="es-ES"/>
        </w:rPr>
      </w:pPr>
      <w:proofErr w:type="spellStart"/>
      <w:r w:rsidRPr="000E46C3">
        <w:rPr>
          <w:rFonts w:ascii="Verdana" w:hAnsi="Verdana" w:eastAsia="Calibri" w:cs="Arial"/>
          <w:bCs/>
          <w:color w:val="000000"/>
          <w:lang w:val="es-ES_tradnl"/>
        </w:rPr>
        <w:t>ii</w:t>
      </w:r>
      <w:proofErr w:type="spellEnd"/>
      <w:r w:rsidRPr="000E46C3">
        <w:rPr>
          <w:rFonts w:ascii="Verdana" w:hAnsi="Verdana" w:eastAsia="Calibri" w:cs="Arial"/>
          <w:bCs/>
          <w:color w:val="000000"/>
          <w:lang w:val="es-ES_tradnl"/>
        </w:rPr>
        <w:t xml:space="preserve">. Ahora bien, con el fin de dar respuesta al problema jurídico planteado es importante realizar algunas presiones en relación con el </w:t>
      </w:r>
      <w:r w:rsidRPr="000E46C3">
        <w:rPr>
          <w:rFonts w:ascii="Verdana" w:hAnsi="Verdana" w:eastAsia="Calibri" w:cs="Arial"/>
          <w:color w:val="000000" w:themeColor="text1"/>
        </w:rPr>
        <w:t xml:space="preserve">SECOP II. Este sistema es una plataforma transaccional, que permite gestionar en línea todos los procedimientos de contratación, </w:t>
      </w:r>
      <w:r w:rsidRPr="000E46C3">
        <w:rPr>
          <w:rFonts w:ascii="Verdana" w:hAnsi="Verdana" w:eastAsia="Calibri" w:cs="Arial"/>
          <w:lang w:val="es-ES"/>
        </w:rPr>
        <w:t xml:space="preserve">con cuentas y usuarios asociados a estas, para las entidades y los proveedores, y vista pública para cualquier interesado en hacer seguimiento a la contratación pública. Desde sus cuentas, las entidades </w:t>
      </w:r>
      <w:r w:rsidRPr="000E46C3">
        <w:rPr>
          <w:rFonts w:ascii="Verdana" w:hAnsi="Verdana" w:eastAsia="Calibri" w:cs="Arial"/>
          <w:lang w:val="es-ES"/>
        </w:rPr>
        <w:t>crean, evalúan y adjudican procedimientos de contratación, y gestionan la fase de ejecución del contrato. Los proveedores pueden hacer comentarios a los documentos del procedimiento, presentar ofertas y seguir el procedimiento de selección en línea.</w:t>
      </w:r>
    </w:p>
    <w:p w:rsidRPr="000E46C3" w:rsidR="000E46C3" w:rsidP="000E46C3" w:rsidRDefault="000E46C3" w14:paraId="7CDAD529" w14:textId="77777777">
      <w:pPr>
        <w:spacing w:after="120" w:line="276" w:lineRule="auto"/>
        <w:ind w:firstLine="567"/>
        <w:jc w:val="both"/>
        <w:rPr>
          <w:rFonts w:ascii="Verdana" w:hAnsi="Verdana" w:eastAsia="Calibri" w:cs="Arial"/>
          <w:lang w:val="es-ES"/>
        </w:rPr>
      </w:pPr>
      <w:r w:rsidRPr="000E46C3">
        <w:rPr>
          <w:rFonts w:ascii="Verdana" w:hAnsi="Verdana" w:eastAsia="Calibri" w:cs="Arial"/>
          <w:lang w:val="es-ES"/>
        </w:rPr>
        <w:t>En este sentido, en el SECOP II el procedimiento contractual se desarrolla en línea y dentro de la plataforma, conformándose un expediente electrónico, lo cual denota una diferencia con el SECOP I, donde el procedimiento es físico, esto es, con documentos escritos que se publican para cumplir las obligaciones de las entidades antes señaladas. Al existir esa diferencia entre las dos versiones del SECOP, no es posible realizar en SECOP II actuaciones por escrito que son propias del SECOP I, sino que los documentos y actuaciones son electrónicas.</w:t>
      </w:r>
    </w:p>
    <w:p w:rsidRPr="000E46C3" w:rsidR="000E46C3" w:rsidP="000E46C3" w:rsidRDefault="000E46C3" w14:paraId="7230777C" w14:textId="77777777">
      <w:pPr>
        <w:spacing w:after="120" w:line="276" w:lineRule="auto"/>
        <w:ind w:firstLine="567"/>
        <w:jc w:val="both"/>
        <w:rPr>
          <w:rFonts w:ascii="Verdana" w:hAnsi="Verdana" w:eastAsia="Calibri" w:cs="Arial"/>
          <w:lang w:val="es-ES"/>
        </w:rPr>
      </w:pPr>
      <w:r w:rsidRPr="000E46C3">
        <w:rPr>
          <w:rFonts w:ascii="Verdana" w:hAnsi="Verdana" w:eastAsia="Calibri" w:cs="Arial"/>
          <w:lang w:val="es-ES"/>
        </w:rPr>
        <w:t xml:space="preserve">Debido a que la plataforma es totalmente transaccional, el trámite se realiza en línea y la publicidad de las actuaciones es concomitante, según transcurran cada una de las etapas del procedimiento, lo que descarta la necesidad de cargar documentación alguna, salvo algunas excepciones. Además, de acuerdo con lo prescrito en el artículo 14 de la Ley 527 de 1999, en la formación del contrato, salvo acuerdo expreso entre las partes, la oferta y su aceptación podrán expresarse por medio de un mensaje de datos, lo que implica que «[n]o se negará validez o fuerza obligatoria a un contrato por la sola razón de haberse utilizado en su formación uno o más mensajes de datos». Igualmente, el artículo 22 ibidem dispone que los contratos electrónicos compuestos por mensajes de datos tienen los efectos jurídicos según las normas aplicables al negocio jurídico contenido en dichos mensajes, esto es, las normas que regulan el sistema de contratación pública. </w:t>
      </w:r>
    </w:p>
    <w:p w:rsidRPr="000E46C3" w:rsidR="000E46C3" w:rsidP="000E46C3" w:rsidRDefault="000E46C3" w14:paraId="4864B7F9" w14:textId="77777777">
      <w:pPr>
        <w:spacing w:after="120" w:line="276" w:lineRule="auto"/>
        <w:ind w:firstLine="567"/>
        <w:jc w:val="both"/>
        <w:rPr>
          <w:rFonts w:ascii="Verdana" w:hAnsi="Verdana" w:eastAsia="Calibri" w:cs="Arial"/>
          <w:lang w:val="es-ES"/>
        </w:rPr>
      </w:pPr>
      <w:r w:rsidRPr="000E46C3">
        <w:rPr>
          <w:rFonts w:ascii="Verdana" w:hAnsi="Verdana" w:eastAsia="Calibri" w:cs="Arial"/>
          <w:lang w:val="es-ES"/>
        </w:rPr>
        <w:t>En este sentido, la implementación del SECOP II como plataforma transaccional para la actividad contractual del Estado, permite que los contratos que se publiquen sean firmados electrónicamente. Así, después de que se adjudica el proceso de contratación en la plataforma se inicia el procedimiento por parte de la Entidad Estatal para que se cambie el estado del proceso a “adjudicado”, con lo cual se genera el contrato electrónico en estado “en edición”.</w:t>
      </w:r>
    </w:p>
    <w:p w:rsidRPr="000E46C3" w:rsidR="000E46C3" w:rsidP="000E46C3" w:rsidRDefault="000E46C3" w14:paraId="5AF2A2E6" w14:textId="77777777">
      <w:pPr>
        <w:spacing w:after="120" w:line="276" w:lineRule="auto"/>
        <w:ind w:firstLine="567"/>
        <w:jc w:val="both"/>
        <w:rPr>
          <w:rFonts w:ascii="Verdana" w:hAnsi="Verdana" w:eastAsia="Calibri" w:cs="Arial"/>
          <w:lang w:val="es-ES"/>
        </w:rPr>
      </w:pPr>
      <w:r w:rsidRPr="000E46C3">
        <w:rPr>
          <w:rFonts w:ascii="Verdana" w:hAnsi="Verdana" w:eastAsia="Calibri" w:cs="Arial"/>
          <w:lang w:val="es-ES"/>
        </w:rPr>
        <w:t xml:space="preserve">Sin embargo, frente al procedimiento de mínima cuantía el trámite mediante el cual se efectúa la firma del contrato y su consecuente aprobación o rechazo realizado a través del SECOP II, tiene una connotación particular. Como se explicó, la comunicación de aceptación junto con la oferta constituye el </w:t>
      </w:r>
      <w:r w:rsidRPr="000E46C3">
        <w:rPr>
          <w:rFonts w:ascii="Verdana" w:hAnsi="Verdana" w:eastAsia="Calibri" w:cs="Arial"/>
          <w:lang w:val="es-ES"/>
        </w:rPr>
        <w:t xml:space="preserve">contrato celebrado por lo que no es necesaria la aprobación del contratista en el SECOP II para que el contrato se perfeccione y exista. En este sentido, </w:t>
      </w:r>
      <w:r w:rsidRPr="000E46C3">
        <w:rPr>
          <w:rFonts w:ascii="Verdana" w:hAnsi="Verdana" w:eastAsia="Calibri" w:cs="Arial"/>
        </w:rPr>
        <w:t xml:space="preserve">la </w:t>
      </w:r>
      <w:bookmarkStart w:name="_Hlk134700548" w:id="5"/>
      <w:r w:rsidRPr="000E46C3">
        <w:rPr>
          <w:rFonts w:ascii="Verdana" w:hAnsi="Verdana" w:eastAsia="Calibri" w:cs="Arial"/>
        </w:rPr>
        <w:t>“aprobación del contrato por el proveedor” que se establece como trámite en la plataforma SECOP II, opera para efectos de publicidad, transparencia y oponibilidad frente a terceros</w:t>
      </w:r>
      <w:bookmarkEnd w:id="5"/>
      <w:r w:rsidRPr="000E46C3">
        <w:rPr>
          <w:rFonts w:ascii="Verdana" w:hAnsi="Verdana" w:eastAsia="Calibri" w:cs="Arial"/>
        </w:rPr>
        <w:t xml:space="preserve"> y con el fin de avanzar en el módulo de gestión contractual que permite cumplir con los requisitos de ejecución del contrato.</w:t>
      </w:r>
    </w:p>
    <w:p w:rsidRPr="000E46C3" w:rsidR="000E46C3" w:rsidP="000E46C3" w:rsidRDefault="000E46C3" w14:paraId="29602A6C" w14:textId="77777777">
      <w:pPr>
        <w:spacing w:after="120" w:line="276" w:lineRule="auto"/>
        <w:ind w:firstLine="567"/>
        <w:jc w:val="both"/>
        <w:rPr>
          <w:rFonts w:ascii="Verdana" w:hAnsi="Verdana" w:eastAsia="Calibri" w:cs="Arial"/>
          <w:lang w:val="es-ES"/>
        </w:rPr>
      </w:pPr>
      <w:r w:rsidRPr="000E46C3">
        <w:rPr>
          <w:rFonts w:ascii="Verdana" w:hAnsi="Verdana" w:eastAsia="Calibri" w:cs="Arial"/>
          <w:lang w:val="es-ES"/>
        </w:rPr>
        <w:t>Frente a lo anterior, el documento “Guía sobre el uso del SECOP II. Modalidades de contratación: mínima cuantía” expedido por la ANCP- CCE, señala en su parte introductoria lo siguiente:</w:t>
      </w:r>
    </w:p>
    <w:p w:rsidRPr="000E46C3" w:rsidR="000E46C3" w:rsidP="000E46C3" w:rsidRDefault="000E46C3" w14:paraId="6948350B" w14:textId="77777777">
      <w:pPr>
        <w:spacing w:after="0" w:line="276" w:lineRule="auto"/>
        <w:ind w:left="709" w:right="618"/>
        <w:jc w:val="both"/>
        <w:rPr>
          <w:rFonts w:ascii="Verdana" w:hAnsi="Verdana" w:eastAsia="Calibri" w:cs="Arial"/>
          <w:sz w:val="20"/>
          <w:szCs w:val="20"/>
          <w:lang w:val="es-ES"/>
        </w:rPr>
      </w:pPr>
      <w:r w:rsidRPr="000E46C3">
        <w:rPr>
          <w:rFonts w:ascii="Verdana" w:hAnsi="Verdana" w:eastAsia="Calibri" w:cs="Arial"/>
          <w:sz w:val="20"/>
          <w:szCs w:val="20"/>
        </w:rPr>
        <w:t xml:space="preserve">“Al gestionar un Proceso de Contratación en la modalidad de selección de Mínima Cuantía en donde el contrato se constituye con la oferta presentada por el Proveedor y su aceptación por parte de la Entidad Estatal, en el SECOP II requiere hacer un paso adicional y es la configuración y aprobación/firma del contrato por parte de la Entidad Estatal y el Proveedor. </w:t>
      </w:r>
      <w:r w:rsidRPr="000E46C3">
        <w:rPr>
          <w:rFonts w:ascii="Verdana" w:hAnsi="Verdana" w:eastAsia="Calibri" w:cs="Arial"/>
          <w:i/>
          <w:iCs/>
          <w:sz w:val="20"/>
          <w:szCs w:val="20"/>
        </w:rPr>
        <w:t xml:space="preserve">Esto le permitirá hacer uso del módulo de gestión contractual para cumplir con los requisitos de ejecución del contrato y seguimiento a la ejecución, aprobación de solicitudes de pago y modificaciones. Para esto, consulte la guía sobre uso del SECOP </w:t>
      </w:r>
      <w:proofErr w:type="spellStart"/>
      <w:r w:rsidRPr="000E46C3">
        <w:rPr>
          <w:rFonts w:ascii="Verdana" w:hAnsi="Verdana" w:eastAsia="Calibri" w:cs="Arial"/>
          <w:i/>
          <w:iCs/>
          <w:sz w:val="20"/>
          <w:szCs w:val="20"/>
        </w:rPr>
        <w:t>Il</w:t>
      </w:r>
      <w:proofErr w:type="spellEnd"/>
      <w:r w:rsidRPr="000E46C3">
        <w:rPr>
          <w:rFonts w:ascii="Verdana" w:hAnsi="Verdana" w:eastAsia="Calibri" w:cs="Arial"/>
          <w:i/>
          <w:iCs/>
          <w:sz w:val="20"/>
          <w:szCs w:val="20"/>
        </w:rPr>
        <w:t xml:space="preserve"> sobre Gestión contractual para Entidades Estatales</w:t>
      </w:r>
      <w:r w:rsidRPr="000E46C3">
        <w:rPr>
          <w:rFonts w:ascii="Verdana" w:hAnsi="Verdana" w:eastAsia="Calibri" w:cs="Arial"/>
          <w:sz w:val="20"/>
          <w:szCs w:val="20"/>
          <w:vertAlign w:val="superscript"/>
        </w:rPr>
        <w:footnoteReference w:id="11"/>
      </w:r>
      <w:r w:rsidRPr="000E46C3">
        <w:rPr>
          <w:rFonts w:ascii="Verdana" w:hAnsi="Verdana" w:eastAsia="Calibri" w:cs="Arial"/>
          <w:sz w:val="20"/>
          <w:szCs w:val="20"/>
        </w:rPr>
        <w:t>”</w:t>
      </w:r>
    </w:p>
    <w:p w:rsidRPr="000E46C3" w:rsidR="000E46C3" w:rsidP="000E46C3" w:rsidRDefault="000E46C3" w14:paraId="1227CF99" w14:textId="77777777">
      <w:pPr>
        <w:spacing w:after="0" w:line="276" w:lineRule="auto"/>
        <w:ind w:firstLine="567"/>
        <w:jc w:val="both"/>
        <w:rPr>
          <w:rFonts w:ascii="Verdana" w:hAnsi="Verdana" w:eastAsia="Calibri" w:cs="Arial"/>
          <w:lang w:val="es-ES"/>
        </w:rPr>
      </w:pPr>
    </w:p>
    <w:p w:rsidRPr="000E46C3" w:rsidR="000E46C3" w:rsidP="000E46C3" w:rsidRDefault="000E46C3" w14:paraId="1C53E9F0" w14:textId="77777777">
      <w:pPr>
        <w:spacing w:after="120" w:line="276" w:lineRule="auto"/>
        <w:ind w:firstLine="567"/>
        <w:jc w:val="both"/>
        <w:rPr>
          <w:rFonts w:ascii="Verdana" w:hAnsi="Verdana" w:eastAsia="Calibri" w:cs="Arial"/>
          <w:lang w:val="es-ES"/>
        </w:rPr>
      </w:pPr>
      <w:r w:rsidRPr="000E46C3">
        <w:rPr>
          <w:rFonts w:ascii="Verdana" w:hAnsi="Verdana" w:eastAsia="Calibri" w:cs="Arial"/>
          <w:lang w:val="es-ES"/>
        </w:rPr>
        <w:t xml:space="preserve">Así las cosas, </w:t>
      </w:r>
      <w:r w:rsidRPr="000E46C3">
        <w:rPr>
          <w:rFonts w:ascii="Verdana" w:hAnsi="Verdana" w:eastAsia="Calibri" w:cs="Arial"/>
        </w:rPr>
        <w:t>el rechazo de la aprobación en el SECOP II no afecta el perfeccionamiento ni la existencia del contrato, ya que, como se explicó, para ese momento el contrato existe, independientemente de que el contratista rechace la aprobación en la plataforma. No obstante, el contratista debe aprobarlo en el SECOP II para garantizar su publicidad y poder llevar a cabo los trámites relacionados con los requisitos de ejecución contractual</w:t>
      </w:r>
      <w:r w:rsidRPr="000E46C3">
        <w:rPr>
          <w:rFonts w:ascii="Verdana" w:hAnsi="Verdana" w:eastAsia="Calibri" w:cs="Arial"/>
          <w:lang w:val="es-ES"/>
        </w:rPr>
        <w:t>.</w:t>
      </w:r>
    </w:p>
    <w:p w:rsidRPr="000E46C3" w:rsidR="000E46C3" w:rsidP="000E46C3" w:rsidRDefault="000E46C3" w14:paraId="5A426F5B" w14:textId="77777777">
      <w:pPr>
        <w:spacing w:after="120" w:line="276" w:lineRule="auto"/>
        <w:ind w:firstLine="567"/>
        <w:jc w:val="both"/>
        <w:rPr>
          <w:rFonts w:ascii="Verdana" w:hAnsi="Verdana" w:eastAsia="Calibri" w:cs="Arial"/>
          <w:color w:val="000000" w:themeColor="text1"/>
          <w:lang w:val="es-ES"/>
        </w:rPr>
      </w:pPr>
      <w:r w:rsidRPr="000E46C3">
        <w:rPr>
          <w:rFonts w:ascii="Verdana" w:hAnsi="Verdana" w:eastAsia="Calibri" w:cs="Arial"/>
          <w:bCs/>
          <w:color w:val="000000" w:themeColor="text1"/>
          <w:lang w:val="es-ES"/>
        </w:rPr>
        <w:t xml:space="preserve">En relación con lo anterior, es importante señalar que en este caso no podría hacerse efectiva la garantía de seriedad de la oferta respecto del supuesto de “la no suscripción del contrato sin justa causa por parte del adjudicatario”. En efecto, </w:t>
      </w:r>
      <w:r w:rsidRPr="000E46C3">
        <w:rPr>
          <w:rFonts w:ascii="Verdana" w:hAnsi="Verdana" w:eastAsia="Calibri" w:cs="Arial"/>
          <w:lang w:val="es-ES"/>
        </w:rPr>
        <w:t>conforme al artículo 2.2.1.2.3.1.6 del Decreto 1082 de 2015, la garantía de seriedad de la oferta cubre la sanción derivada del incumplimiento</w:t>
      </w:r>
      <w:r w:rsidRPr="000E46C3">
        <w:rPr>
          <w:rFonts w:ascii="Verdana" w:hAnsi="Verdana" w:eastAsia="Calibri" w:cs="Arial"/>
          <w:color w:val="000000" w:themeColor="text1"/>
          <w:lang w:val="es-ES"/>
        </w:rPr>
        <w:t xml:space="preserve"> de la propuesta, en los siguientes eventos:</w:t>
      </w:r>
    </w:p>
    <w:p w:rsidRPr="000E46C3" w:rsidR="000E46C3" w:rsidP="000E46C3" w:rsidRDefault="000E46C3" w14:paraId="41B6E7BA" w14:textId="77777777">
      <w:pPr>
        <w:spacing w:after="0" w:line="276" w:lineRule="auto"/>
        <w:ind w:firstLine="567"/>
        <w:jc w:val="both"/>
        <w:rPr>
          <w:rFonts w:ascii="Verdana" w:hAnsi="Verdana" w:eastAsia="Calibri" w:cs="Arial"/>
          <w:lang w:val="es-ES"/>
        </w:rPr>
      </w:pPr>
    </w:p>
    <w:p w:rsidRPr="000E46C3" w:rsidR="000E46C3" w:rsidP="000E46C3" w:rsidRDefault="000E46C3" w14:paraId="20E4931A" w14:textId="77777777">
      <w:pPr>
        <w:spacing w:after="120" w:line="276" w:lineRule="auto"/>
        <w:ind w:left="1134" w:right="709"/>
        <w:contextualSpacing/>
        <w:jc w:val="both"/>
        <w:rPr>
          <w:rFonts w:ascii="Verdana" w:hAnsi="Verdana" w:eastAsia="Calibri" w:cs="Arial"/>
          <w:sz w:val="20"/>
          <w:szCs w:val="20"/>
          <w:lang w:val="es-ES"/>
        </w:rPr>
      </w:pPr>
      <w:r w:rsidRPr="000E46C3">
        <w:rPr>
          <w:rFonts w:ascii="Verdana" w:hAnsi="Verdana" w:eastAsia="Calibri" w:cs="Arial"/>
          <w:sz w:val="20"/>
          <w:szCs w:val="20"/>
          <w:lang w:val="es-ES"/>
        </w:rPr>
        <w:t xml:space="preserve">1. </w:t>
      </w:r>
      <w:bookmarkStart w:name="_Hlk47463074" w:id="6"/>
      <w:r w:rsidRPr="000E46C3">
        <w:rPr>
          <w:rFonts w:ascii="Verdana" w:hAnsi="Verdana" w:eastAsia="Calibri" w:cs="Arial"/>
          <w:sz w:val="20"/>
          <w:szCs w:val="20"/>
          <w:lang w:val="es-ES"/>
        </w:rPr>
        <w:t>La no ampliación de la vigencia de la garantía de seriedad de la oferta cuando el plazo para la adjudicación o para suscribir el contrato es prorrogado, siempre que tal prórroga sea inferior a tres (3) meses</w:t>
      </w:r>
      <w:bookmarkEnd w:id="6"/>
      <w:r w:rsidRPr="000E46C3">
        <w:rPr>
          <w:rFonts w:ascii="Verdana" w:hAnsi="Verdana" w:eastAsia="Calibri" w:cs="Arial"/>
          <w:sz w:val="20"/>
          <w:szCs w:val="20"/>
          <w:lang w:val="es-ES"/>
        </w:rPr>
        <w:t>.</w:t>
      </w:r>
    </w:p>
    <w:p w:rsidRPr="000E46C3" w:rsidR="000E46C3" w:rsidP="000E46C3" w:rsidRDefault="000E46C3" w14:paraId="7BEC1FB0" w14:textId="77777777">
      <w:pPr>
        <w:spacing w:after="200" w:line="276" w:lineRule="auto"/>
        <w:ind w:left="1134" w:right="709"/>
        <w:contextualSpacing/>
        <w:jc w:val="both"/>
        <w:rPr>
          <w:rFonts w:ascii="Verdana" w:hAnsi="Verdana" w:eastAsia="Calibri" w:cs="Arial"/>
          <w:sz w:val="20"/>
          <w:szCs w:val="20"/>
          <w:lang w:val="es-ES"/>
        </w:rPr>
      </w:pPr>
      <w:r w:rsidRPr="000E46C3">
        <w:rPr>
          <w:rFonts w:ascii="Verdana" w:hAnsi="Verdana" w:eastAsia="Calibri" w:cs="Arial"/>
          <w:sz w:val="20"/>
          <w:szCs w:val="20"/>
          <w:lang w:val="es-ES"/>
        </w:rPr>
        <w:t>2. El retiro de la oferta después de vencido el plazo fijado para la presentación de las ofertas.</w:t>
      </w:r>
    </w:p>
    <w:p w:rsidRPr="000E46C3" w:rsidR="000E46C3" w:rsidP="000E46C3" w:rsidRDefault="000E46C3" w14:paraId="2C889B93" w14:textId="77777777">
      <w:pPr>
        <w:spacing w:after="200" w:line="276" w:lineRule="auto"/>
        <w:ind w:left="1134" w:right="709"/>
        <w:contextualSpacing/>
        <w:jc w:val="both"/>
        <w:rPr>
          <w:rFonts w:ascii="Verdana" w:hAnsi="Verdana" w:eastAsia="Calibri" w:cs="Arial"/>
          <w:sz w:val="20"/>
          <w:szCs w:val="20"/>
          <w:lang w:val="es-ES"/>
        </w:rPr>
      </w:pPr>
      <w:r w:rsidRPr="000E46C3">
        <w:rPr>
          <w:rFonts w:ascii="Verdana" w:hAnsi="Verdana" w:eastAsia="Calibri" w:cs="Arial"/>
          <w:sz w:val="20"/>
          <w:szCs w:val="20"/>
          <w:lang w:val="es-ES"/>
        </w:rPr>
        <w:t>3. La no suscripción del contrato sin justa causa por parte del adjudicatario.</w:t>
      </w:r>
    </w:p>
    <w:p w:rsidRPr="000E46C3" w:rsidR="000E46C3" w:rsidP="000E46C3" w:rsidRDefault="000E46C3" w14:paraId="0FC51AF7" w14:textId="77777777">
      <w:pPr>
        <w:spacing w:after="200" w:line="276" w:lineRule="auto"/>
        <w:ind w:left="1134" w:right="709"/>
        <w:contextualSpacing/>
        <w:jc w:val="both"/>
        <w:rPr>
          <w:rFonts w:ascii="Verdana" w:hAnsi="Verdana" w:eastAsia="Calibri" w:cs="Arial"/>
          <w:sz w:val="20"/>
          <w:szCs w:val="20"/>
          <w:lang w:val="es-ES"/>
        </w:rPr>
      </w:pPr>
      <w:r w:rsidRPr="000E46C3">
        <w:rPr>
          <w:rFonts w:ascii="Verdana" w:hAnsi="Verdana" w:eastAsia="Calibri" w:cs="Arial"/>
          <w:sz w:val="20"/>
          <w:szCs w:val="20"/>
          <w:lang w:val="es-ES"/>
        </w:rPr>
        <w:t xml:space="preserve">4. </w:t>
      </w:r>
      <w:bookmarkStart w:name="_Hlk191291875" w:id="7"/>
      <w:r w:rsidRPr="000E46C3">
        <w:rPr>
          <w:rFonts w:ascii="Verdana" w:hAnsi="Verdana" w:eastAsia="Calibri" w:cs="Arial"/>
          <w:sz w:val="20"/>
          <w:szCs w:val="20"/>
          <w:lang w:val="es-ES"/>
        </w:rPr>
        <w:t xml:space="preserve">La </w:t>
      </w:r>
      <w:bookmarkStart w:name="_Hlk49506502" w:id="8"/>
      <w:r w:rsidRPr="000E46C3">
        <w:rPr>
          <w:rFonts w:ascii="Verdana" w:hAnsi="Verdana" w:eastAsia="Calibri" w:cs="Arial"/>
          <w:sz w:val="20"/>
          <w:szCs w:val="20"/>
          <w:lang w:val="es-ES"/>
        </w:rPr>
        <w:t>falta de otorgamiento por parte del proponente seleccionado de la garantía de cumplimiento del contrato</w:t>
      </w:r>
      <w:bookmarkEnd w:id="8"/>
      <w:r w:rsidRPr="000E46C3">
        <w:rPr>
          <w:rFonts w:ascii="Verdana" w:hAnsi="Verdana" w:eastAsia="Calibri" w:cs="Arial"/>
          <w:sz w:val="20"/>
          <w:szCs w:val="20"/>
          <w:lang w:val="es-ES"/>
        </w:rPr>
        <w:t xml:space="preserve">. </w:t>
      </w:r>
      <w:bookmarkEnd w:id="7"/>
    </w:p>
    <w:p w:rsidRPr="000E46C3" w:rsidR="000E46C3" w:rsidP="000E46C3" w:rsidRDefault="000E46C3" w14:paraId="17A830ED" w14:textId="77777777">
      <w:pPr>
        <w:spacing w:after="200" w:line="276" w:lineRule="auto"/>
        <w:ind w:left="1134" w:right="709"/>
        <w:contextualSpacing/>
        <w:jc w:val="both"/>
        <w:rPr>
          <w:rFonts w:ascii="Verdana" w:hAnsi="Verdana" w:eastAsia="Calibri" w:cs="Arial"/>
          <w:sz w:val="21"/>
          <w:szCs w:val="21"/>
          <w:lang w:val="es-ES"/>
        </w:rPr>
      </w:pPr>
    </w:p>
    <w:p w:rsidRPr="000E46C3" w:rsidR="000E46C3" w:rsidP="000E46C3" w:rsidRDefault="000E46C3" w14:paraId="2A69BA9B" w14:textId="77777777">
      <w:pPr>
        <w:spacing w:after="120" w:line="276" w:lineRule="auto"/>
        <w:ind w:firstLine="709"/>
        <w:jc w:val="both"/>
        <w:rPr>
          <w:rFonts w:ascii="Verdana" w:hAnsi="Verdana" w:eastAsia="Calibri" w:cs="Arial"/>
          <w:lang w:val="es-ES"/>
        </w:rPr>
      </w:pPr>
      <w:r w:rsidRPr="000E46C3">
        <w:rPr>
          <w:rFonts w:ascii="Verdana" w:hAnsi="Verdana" w:eastAsia="Calibri" w:cs="Arial"/>
          <w:color w:val="000000" w:themeColor="text1"/>
          <w:lang w:val="es-ES"/>
        </w:rPr>
        <w:t xml:space="preserve">Las causales 1, 3 y 4 se configuran a través de omisiones –no ampliar, no suscribir y no otorgar–, mientras que la causal 2 se configura a través de una acción –retirar la oferta–. Además, guardan relación con diferentes etapas del procedimiento: mientras las causales 1, 2 y 3 están ubicadas en la etapa precontractual, la causal 4 lo está en la contractual. Finalmente, mientras las causales 2, 3 y 4 </w:t>
      </w:r>
      <w:r w:rsidRPr="000E46C3">
        <w:rPr>
          <w:rFonts w:ascii="Verdana" w:hAnsi="Verdana" w:eastAsia="Calibri" w:cs="Arial"/>
          <w:lang w:val="es-ES"/>
        </w:rPr>
        <w:t xml:space="preserve">dependen de la conducta pura y simple del proponente, la causal 1 depende de una exigencia previa de la entidad contratante en la que, posteriormente, el oferente incumple el deber de mantener la vigencia de la garantía del ofrecimiento. </w:t>
      </w:r>
    </w:p>
    <w:p w:rsidRPr="000E46C3" w:rsidR="000E46C3" w:rsidP="000E46C3" w:rsidRDefault="000E46C3" w14:paraId="3528A33A" w14:textId="77777777">
      <w:pPr>
        <w:spacing w:after="120" w:line="276" w:lineRule="auto"/>
        <w:ind w:firstLine="567"/>
        <w:jc w:val="both"/>
        <w:rPr>
          <w:rFonts w:ascii="Verdana" w:hAnsi="Verdana" w:eastAsia="Calibri" w:cs="Arial"/>
          <w:lang w:val="es-ES"/>
        </w:rPr>
      </w:pPr>
      <w:r w:rsidRPr="000E46C3">
        <w:rPr>
          <w:rFonts w:ascii="Verdana" w:hAnsi="Verdana" w:eastAsia="Calibri" w:cs="Arial"/>
          <w:lang w:val="es-ES"/>
        </w:rPr>
        <w:t xml:space="preserve">De esta manera, cuando la entidad estatal realiza la comunicación de aceptación de la oferta, no es posible que se configure la causal No. 3 referida a la no suscripción del contrato sin justa causa por parte del adjudicatario, por cuanto para este momento de la etapa del proceso el contrato ya se encuentra perfeccionado. Sin embargo, después de comunicada la carta de aceptación de la oferta, eventualmente podría hacerse efectiva la garantía de seriedad de la oferta frente a la causal No. 4 correspondiente a “La falta de otorgamiento por parte del proponente seleccionado de la garantía de cumplimiento del contrato”, dado que este evento se ubica en la etapa contractual. </w:t>
      </w:r>
    </w:p>
    <w:p w:rsidRPr="000E46C3" w:rsidR="000E46C3" w:rsidP="000E46C3" w:rsidRDefault="000E46C3" w14:paraId="730AB684" w14:textId="77777777">
      <w:pPr>
        <w:numPr>
          <w:ilvl w:val="0"/>
          <w:numId w:val="1"/>
        </w:numPr>
        <w:tabs>
          <w:tab w:val="left" w:pos="142"/>
          <w:tab w:val="left" w:pos="284"/>
        </w:tabs>
        <w:spacing w:after="0" w:line="276" w:lineRule="auto"/>
        <w:jc w:val="both"/>
        <w:rPr>
          <w:rFonts w:ascii="Verdana" w:hAnsi="Verdana" w:eastAsia="Century Gothic" w:cs="Century Gothic"/>
          <w:b/>
          <w:bCs/>
          <w:lang w:val="es-ES"/>
        </w:rPr>
      </w:pPr>
      <w:r w:rsidRPr="000E46C3">
        <w:rPr>
          <w:rFonts w:ascii="Verdana" w:hAnsi="Verdana" w:eastAsia="Century Gothic" w:cs="Century Gothic"/>
          <w:b/>
          <w:bCs/>
          <w:lang w:val="es-ES"/>
        </w:rPr>
        <w:t>Referencias normativas y jurisprudenciales:</w:t>
      </w:r>
    </w:p>
    <w:p w:rsidRPr="000E46C3" w:rsidR="000E46C3" w:rsidP="000E46C3" w:rsidRDefault="000E46C3" w14:paraId="7D08ECF8" w14:textId="77777777">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Look w:val="04A0" w:firstRow="1" w:lastRow="0" w:firstColumn="1" w:lastColumn="0" w:noHBand="0" w:noVBand="1"/>
      </w:tblPr>
      <w:tblGrid>
        <w:gridCol w:w="8647"/>
      </w:tblGrid>
      <w:tr w:rsidRPr="000E46C3" w:rsidR="000E46C3" w:rsidTr="003C1E5D" w14:paraId="323DE63B" w14:textId="77777777">
        <w:trPr>
          <w:trHeight w:val="870"/>
          <w:jc w:val="center"/>
        </w:trPr>
        <w:tc>
          <w:tcPr>
            <w:tcW w:w="8647" w:type="dxa"/>
          </w:tcPr>
          <w:p w:rsidRPr="000E46C3" w:rsidR="000E46C3" w:rsidP="000E46C3" w:rsidRDefault="000E46C3" w14:paraId="5A77F295" w14:textId="77777777">
            <w:pPr>
              <w:widowControl w:val="0"/>
              <w:numPr>
                <w:ilvl w:val="0"/>
                <w:numId w:val="3"/>
              </w:numPr>
              <w:autoSpaceDE w:val="0"/>
              <w:autoSpaceDN w:val="0"/>
              <w:spacing w:line="276" w:lineRule="auto"/>
              <w:contextualSpacing/>
              <w:jc w:val="both"/>
              <w:rPr>
                <w:rFonts w:ascii="Verdana" w:hAnsi="Verdana" w:cs="Arial"/>
                <w:lang w:val="es-ES_tradnl"/>
              </w:rPr>
            </w:pPr>
            <w:r w:rsidRPr="000E46C3">
              <w:rPr>
                <w:rFonts w:ascii="Verdana" w:hAnsi="Verdana" w:cs="Arial"/>
                <w:lang w:val="es-ES_tradnl"/>
              </w:rPr>
              <w:t xml:space="preserve">Ley 1150 de 2007: </w:t>
            </w:r>
            <w:r w:rsidRPr="000E46C3">
              <w:rPr>
                <w:rFonts w:ascii="Verdana" w:hAnsi="Verdana" w:eastAsia="Calibri" w:cs="Arial"/>
                <w:bCs/>
                <w:color w:val="000000" w:themeColor="text1"/>
              </w:rPr>
              <w:t>artículo 2, numeral 5, literal d.</w:t>
            </w:r>
          </w:p>
          <w:p w:rsidRPr="000E46C3" w:rsidR="000E46C3" w:rsidP="000E46C3" w:rsidRDefault="000E46C3" w14:paraId="46A22E26" w14:textId="77777777">
            <w:pPr>
              <w:widowControl w:val="0"/>
              <w:numPr>
                <w:ilvl w:val="0"/>
                <w:numId w:val="3"/>
              </w:numPr>
              <w:autoSpaceDE w:val="0"/>
              <w:autoSpaceDN w:val="0"/>
              <w:spacing w:line="276" w:lineRule="auto"/>
              <w:contextualSpacing/>
              <w:jc w:val="both"/>
              <w:rPr>
                <w:rFonts w:ascii="Verdana" w:hAnsi="Verdana" w:cs="Arial"/>
                <w:lang w:val="es-ES_tradnl"/>
              </w:rPr>
            </w:pPr>
            <w:r w:rsidRPr="000E46C3">
              <w:rPr>
                <w:rFonts w:ascii="Verdana" w:hAnsi="Verdana" w:eastAsia="Calibri" w:cs="Arial"/>
                <w:bCs/>
                <w:color w:val="000000" w:themeColor="text1"/>
                <w:lang w:val="es-ES_tradnl"/>
              </w:rPr>
              <w:t>Ley 2069 de 2020: artículo 30</w:t>
            </w:r>
          </w:p>
          <w:p w:rsidRPr="000E46C3" w:rsidR="000E46C3" w:rsidP="000E46C3" w:rsidRDefault="000E46C3" w14:paraId="56D1307C" w14:textId="77777777">
            <w:pPr>
              <w:widowControl w:val="0"/>
              <w:numPr>
                <w:ilvl w:val="0"/>
                <w:numId w:val="3"/>
              </w:numPr>
              <w:autoSpaceDE w:val="0"/>
              <w:autoSpaceDN w:val="0"/>
              <w:spacing w:line="276" w:lineRule="auto"/>
              <w:contextualSpacing/>
              <w:jc w:val="both"/>
              <w:rPr>
                <w:rFonts w:ascii="Verdana" w:hAnsi="Verdana" w:cs="Arial"/>
                <w:lang w:val="es-ES_tradnl"/>
              </w:rPr>
            </w:pPr>
            <w:r w:rsidRPr="000E46C3">
              <w:rPr>
                <w:rFonts w:ascii="Verdana" w:hAnsi="Verdana" w:eastAsia="Calibri" w:cs="Arial"/>
                <w:bCs/>
                <w:color w:val="000000" w:themeColor="text1"/>
                <w:lang w:val="es-ES_tradnl"/>
              </w:rPr>
              <w:t xml:space="preserve">Decreto 1082 del 2015: </w:t>
            </w:r>
            <w:r w:rsidRPr="000E46C3">
              <w:rPr>
                <w:rFonts w:ascii="Verdana" w:hAnsi="Verdana" w:eastAsia="Calibri" w:cs="Arial"/>
                <w:color w:val="000000" w:themeColor="text1"/>
                <w:lang w:val="es-ES_tradnl"/>
              </w:rPr>
              <w:t xml:space="preserve">artículos 2.2.1.2.1.5.1. al 2.2.1.2.1.5.4 y </w:t>
            </w:r>
            <w:r w:rsidRPr="000E46C3">
              <w:rPr>
                <w:rFonts w:ascii="Verdana" w:hAnsi="Verdana" w:eastAsia="Calibri" w:cs="Arial"/>
                <w:lang w:val="es-ES"/>
              </w:rPr>
              <w:t>2.2.1.2.3.1.6</w:t>
            </w:r>
          </w:p>
        </w:tc>
      </w:tr>
    </w:tbl>
    <w:p w:rsidRPr="000E46C3" w:rsidR="000E46C3" w:rsidP="000E46C3" w:rsidRDefault="000E46C3" w14:paraId="0BB62F77" w14:textId="77777777">
      <w:pPr>
        <w:widowControl w:val="0"/>
        <w:autoSpaceDE w:val="0"/>
        <w:autoSpaceDN w:val="0"/>
        <w:spacing w:after="0" w:line="276" w:lineRule="auto"/>
        <w:jc w:val="both"/>
        <w:rPr>
          <w:rFonts w:ascii="Verdana" w:hAnsi="Verdana" w:cs="Arial"/>
        </w:rPr>
      </w:pPr>
    </w:p>
    <w:p w:rsidRPr="000E46C3" w:rsidR="000E46C3" w:rsidP="000E46C3" w:rsidRDefault="000E46C3" w14:paraId="6747AD63" w14:textId="77777777">
      <w:pPr>
        <w:numPr>
          <w:ilvl w:val="0"/>
          <w:numId w:val="1"/>
        </w:numPr>
        <w:tabs>
          <w:tab w:val="left" w:pos="142"/>
          <w:tab w:val="left" w:pos="284"/>
        </w:tabs>
        <w:spacing w:after="0" w:line="276" w:lineRule="auto"/>
        <w:jc w:val="both"/>
        <w:rPr>
          <w:rFonts w:ascii="Verdana" w:hAnsi="Verdana" w:eastAsia="Century Gothic" w:cs="Century Gothic"/>
          <w:b/>
          <w:bCs/>
          <w:lang w:val="es-ES"/>
        </w:rPr>
      </w:pPr>
      <w:r w:rsidRPr="000E46C3">
        <w:rPr>
          <w:rFonts w:ascii="Verdana" w:hAnsi="Verdana" w:eastAsia="Century Gothic" w:cs="Century Gothic"/>
          <w:b/>
          <w:bCs/>
          <w:lang w:val="es-ES"/>
        </w:rPr>
        <w:t>Doctrina de la Agencia Nacional de Contratación Pública:</w:t>
      </w:r>
    </w:p>
    <w:p w:rsidRPr="000E46C3" w:rsidR="000E46C3" w:rsidP="000E46C3" w:rsidRDefault="000E46C3" w14:paraId="43D3A1E8" w14:textId="77777777">
      <w:pPr>
        <w:widowControl w:val="0"/>
        <w:autoSpaceDE w:val="0"/>
        <w:autoSpaceDN w:val="0"/>
        <w:spacing w:after="0" w:line="276" w:lineRule="auto"/>
        <w:jc w:val="both"/>
        <w:rPr>
          <w:rFonts w:ascii="Verdana" w:hAnsi="Verdana" w:cs="Arial"/>
        </w:rPr>
      </w:pPr>
    </w:p>
    <w:p w:rsidRPr="000E46C3" w:rsidR="000E46C3" w:rsidP="000E46C3" w:rsidRDefault="000E46C3" w14:paraId="28F70D2F" w14:textId="77777777">
      <w:pPr>
        <w:widowControl w:val="0"/>
        <w:autoSpaceDE w:val="0"/>
        <w:autoSpaceDN w:val="0"/>
        <w:spacing w:after="0" w:line="276" w:lineRule="auto"/>
        <w:jc w:val="both"/>
        <w:rPr>
          <w:rFonts w:ascii="Verdana" w:hAnsi="Verdana" w:eastAsia="Arial" w:cs="Arial"/>
          <w:lang w:val="es-MX" w:eastAsia="es-ES_tradnl"/>
        </w:rPr>
      </w:pPr>
      <w:r w:rsidRPr="000E46C3">
        <w:rPr>
          <w:rFonts w:ascii="Verdana" w:hAnsi="Verdana" w:eastAsia="Calibri" w:cs="Arial"/>
          <w:color w:val="000000" w:themeColor="text1"/>
          <w:lang w:eastAsia="es-ES_tradnl"/>
        </w:rPr>
        <w:t xml:space="preserve">La Agencia Nacional de Contratación Pública – Colombia Compra Eficiente </w:t>
      </w:r>
      <w:r w:rsidRPr="000E46C3">
        <w:rPr>
          <w:rFonts w:ascii="Verdana" w:hAnsi="Verdana" w:eastAsia="Arial" w:cs="Arial"/>
          <w:lang w:val="es-MX" w:eastAsia="es-ES_tradnl"/>
        </w:rPr>
        <w:t>ha analizado</w:t>
      </w:r>
      <w:r w:rsidRPr="000E46C3">
        <w:rPr>
          <w:rFonts w:ascii="Arial" w:hAnsi="Arial" w:eastAsia="Calibri" w:cs="Arial"/>
          <w:bCs/>
          <w:color w:val="000000" w:themeColor="text1"/>
          <w:lang w:val="es-ES_tradnl"/>
        </w:rPr>
        <w:t xml:space="preserve"> </w:t>
      </w:r>
      <w:r w:rsidRPr="000E46C3">
        <w:rPr>
          <w:rFonts w:ascii="Verdana" w:hAnsi="Verdana" w:eastAsia="Arial" w:cs="Arial"/>
          <w:bCs/>
          <w:lang w:val="es-ES_tradnl" w:eastAsia="es-ES_tradnl"/>
        </w:rPr>
        <w:t>particularidades de la modalidad de selección de mínima cuantía en los conceptos con radicado No. 2201913000006236 de 26 de agosto de 2019, C–108 del 3 de marzo de 2020, C–121 del 3 de marzo de 2020, C–122 del 25 de marzo de 2020 y C–160 del 3 de abril de 2020, C-465 del 27 de julio de 2020, C-557 del 21 de agosto de 2020, C-734 del 16 de diciembre de 2020 y C-123 del 12 de mayo de 2023</w:t>
      </w:r>
      <w:r w:rsidRPr="000E46C3">
        <w:rPr>
          <w:rFonts w:ascii="Verdana" w:hAnsi="Verdana" w:cs="Arial"/>
          <w:shd w:val="clear" w:color="auto" w:fill="FFFFFF"/>
          <w:lang w:val="es-ES"/>
        </w:rPr>
        <w:t>. Es</w:t>
      </w:r>
      <w:r w:rsidRPr="000E46C3">
        <w:rPr>
          <w:rFonts w:ascii="Verdana" w:hAnsi="Verdana"/>
        </w:rPr>
        <w:t>tos y otros conceptos se encuentran disponibles para consulta en el Sistema de relatoría de la Agencia, al cual se puede acceder a través del siguiente enlace:</w:t>
      </w:r>
      <w:r w:rsidRPr="000E46C3">
        <w:rPr>
          <w:rFonts w:ascii="Verdana" w:hAnsi="Verdana" w:cs="Arial"/>
          <w:shd w:val="clear" w:color="auto" w:fill="FFFFFF"/>
          <w:lang w:val="es-ES"/>
        </w:rPr>
        <w:t xml:space="preserve"> </w:t>
      </w:r>
      <w:hyperlink w:history="1" r:id="rId13">
        <w:r w:rsidRPr="000E46C3">
          <w:rPr>
            <w:rFonts w:ascii="Verdana" w:hAnsi="Verdana" w:cs="Arial"/>
            <w:color w:val="0563C1" w:themeColor="hyperlink"/>
            <w:u w:val="single"/>
            <w:shd w:val="clear" w:color="auto" w:fill="FFFFFF"/>
            <w:lang w:val="es-ES"/>
          </w:rPr>
          <w:t>https://relatoria.colombiacompra.gov.co/busqueda/conceptos</w:t>
        </w:r>
      </w:hyperlink>
      <w:r w:rsidRPr="000E46C3">
        <w:rPr>
          <w:rFonts w:ascii="Verdana" w:hAnsi="Verdana" w:cs="Arial"/>
          <w:shd w:val="clear" w:color="auto" w:fill="FFFFFF"/>
          <w:lang w:val="es-ES"/>
        </w:rPr>
        <w:t>.</w:t>
      </w:r>
      <w:r w:rsidRPr="000E46C3">
        <w:rPr>
          <w:rFonts w:ascii="Verdana" w:hAnsi="Verdana" w:cs="Arial"/>
          <w:color w:val="FF0000"/>
          <w:shd w:val="clear" w:color="auto" w:fill="FFFFFF"/>
          <w:lang w:val="es-ES"/>
        </w:rPr>
        <w:t xml:space="preserve"> </w:t>
      </w:r>
      <w:r w:rsidRPr="000E46C3">
        <w:rPr>
          <w:rFonts w:ascii="Verdana" w:hAnsi="Verdana" w:cs="Arial"/>
          <w:color w:val="000000" w:themeColor="text1"/>
          <w:shd w:val="clear" w:color="auto" w:fill="FFFFFF"/>
        </w:rPr>
        <w:t>  </w:t>
      </w:r>
    </w:p>
    <w:p w:rsidRPr="000E46C3" w:rsidR="000E46C3" w:rsidP="000E46C3" w:rsidRDefault="000E46C3" w14:paraId="28C19DFD" w14:textId="77777777">
      <w:pPr>
        <w:widowControl w:val="0"/>
        <w:autoSpaceDE w:val="0"/>
        <w:autoSpaceDN w:val="0"/>
        <w:spacing w:after="0" w:line="276" w:lineRule="auto"/>
        <w:jc w:val="both"/>
        <w:rPr>
          <w:rFonts w:ascii="Verdana" w:hAnsi="Verdana" w:eastAsia="Arial" w:cs="Arial"/>
          <w:lang w:val="es-MX" w:eastAsia="es-ES_tradnl"/>
        </w:rPr>
      </w:pPr>
    </w:p>
    <w:p w:rsidRPr="000E46C3" w:rsidR="000E46C3" w:rsidP="000E46C3" w:rsidRDefault="000E46C3" w14:paraId="26D6CB8D" w14:textId="77777777">
      <w:pPr>
        <w:shd w:val="clear" w:color="auto" w:fill="FFFFFF"/>
        <w:spacing w:after="120" w:line="276" w:lineRule="auto"/>
        <w:ind w:firstLine="709"/>
        <w:jc w:val="both"/>
        <w:textAlignment w:val="baseline"/>
        <w:rPr>
          <w:rFonts w:ascii="Verdana" w:hAnsi="Verdana" w:eastAsia="Times New Roman" w:cs="Times New Roman"/>
          <w:lang w:eastAsia="es-CO"/>
        </w:rPr>
      </w:pPr>
      <w:r w:rsidRPr="000E46C3">
        <w:rPr>
          <w:rFonts w:ascii="Verdana" w:hAnsi="Verdana" w:eastAsia="Times New Roman" w:cs="Times New Roman"/>
          <w:color w:val="000000"/>
          <w:bdr w:val="none" w:color="auto" w:sz="0" w:space="0" w:frame="1"/>
          <w:lang w:eastAsia="es-CO"/>
        </w:rPr>
        <w:t>Te informamos que ya se encuentra disponible la </w:t>
      </w:r>
      <w:r w:rsidRPr="000E46C3">
        <w:rPr>
          <w:rFonts w:ascii="Verdana" w:hAnsi="Verdana" w:eastAsia="Times New Roman" w:cs="Times New Roman"/>
          <w:b/>
          <w:bCs/>
          <w:color w:val="000000"/>
          <w:bdr w:val="none" w:color="auto" w:sz="0" w:space="0" w:frame="1"/>
          <w:lang w:eastAsia="es-CO"/>
        </w:rPr>
        <w:t>Cartilla para incentivar y fortalecer el acceso a las compras y contratación pública de los pueblos y comunidades étnicas en Colombia.</w:t>
      </w:r>
      <w:r w:rsidRPr="000E46C3">
        <w:rPr>
          <w:rFonts w:ascii="Verdana" w:hAnsi="Verdana" w:eastAsia="Times New Roman" w:cs="Times New Roman"/>
          <w:color w:val="000000"/>
          <w:bdr w:val="none" w:color="auto" w:sz="0" w:space="0" w:frame="1"/>
          <w:lang w:eastAsia="es-CO"/>
        </w:rPr>
        <w:t> Esta cartilla es una apuesta de la Agencia Nacional de Contratación Pública – Colombia Compra Eficiente, para incentivar la participación de los pueblos y comunidades étnicas en las compras y contratación pública, mediante el desarrollo de los principios de igualdad, equidad e inclusión social. Puede consultar la versión actualizada en el siguiente enlace: </w:t>
      </w:r>
      <w:hyperlink w:tgtFrame="_blank" w:tooltip="Dirección URL original: https://www.colombiacompra.gov.co/manuales-guias-y-pliegos-tipo/manuales-y-guias/cartilla-para-incentivar-y-fortalecer-el-acceso-las. Haga clic o pulse si confía en este vínculo." w:history="1" r:id="rId14">
        <w:r w:rsidRPr="000E46C3">
          <w:rPr>
            <w:rFonts w:ascii="Verdana" w:hAnsi="Verdana" w:eastAsia="Times New Roman" w:cs="Times New Roman"/>
            <w:color w:val="467886"/>
            <w:u w:val="single"/>
            <w:bdr w:val="none" w:color="auto" w:sz="0" w:space="0" w:frame="1"/>
            <w:lang w:eastAsia="es-CO"/>
          </w:rPr>
          <w:t>Cartilla para incentivar y fortalecer el acceso a las compras y contratación pública de los pueblos y comunidades étnicas en Colombia | Colombia Compra Eficiente | Agencia Nacional de Contratación Pública</w:t>
        </w:r>
      </w:hyperlink>
    </w:p>
    <w:p w:rsidRPr="000E46C3" w:rsidR="000E46C3" w:rsidP="000E46C3" w:rsidRDefault="000E46C3" w14:paraId="194BB57E" w14:textId="77777777">
      <w:pPr>
        <w:spacing w:after="120" w:line="276" w:lineRule="auto"/>
        <w:ind w:firstLine="709"/>
        <w:jc w:val="both"/>
        <w:textAlignment w:val="baseline"/>
        <w:rPr>
          <w:rFonts w:ascii="Verdana" w:hAnsi="Verdana" w:eastAsia="Times New Roman" w:cs="Times New Roman"/>
          <w:lang w:eastAsia="es-CO"/>
        </w:rPr>
      </w:pPr>
      <w:r w:rsidRPr="000E46C3">
        <w:rPr>
          <w:rFonts w:ascii="Verdana" w:hAnsi="Verdana" w:eastAsia="Times New Roman" w:cs="Times New Roman"/>
          <w:color w:val="000000"/>
          <w:bdr w:val="none" w:color="auto" w:sz="0" w:space="0" w:frame="1"/>
          <w:lang w:eastAsia="es-CO"/>
        </w:rPr>
        <w:t>De otra parte, te informamos que, con el objetivo de garantizar un conocimiento adecuado de las </w:t>
      </w:r>
      <w:r w:rsidRPr="000E46C3">
        <w:rPr>
          <w:rFonts w:ascii="Verdana" w:hAnsi="Verdana" w:eastAsia="Times New Roman" w:cs="Times New Roman"/>
          <w:b/>
          <w:bCs/>
          <w:color w:val="000000"/>
          <w:bdr w:val="none" w:color="auto" w:sz="0" w:space="0" w:frame="1"/>
          <w:lang w:eastAsia="es-CO"/>
        </w:rPr>
        <w:t>modificaciones y/o actualizaciones realizadas a los Documentos Tipo</w:t>
      </w:r>
      <w:r w:rsidRPr="000E46C3">
        <w:rPr>
          <w:rFonts w:ascii="Verdana" w:hAnsi="Verdana" w:eastAsia="Times New Roman" w:cs="Times New Roman"/>
          <w:color w:val="000000"/>
          <w:bdr w:val="none" w:color="auto" w:sz="0" w:space="0" w:frame="1"/>
          <w:lang w:eastAsia="es-CO"/>
        </w:rPr>
        <w:t>, hemos programado una serie de </w:t>
      </w:r>
      <w:r w:rsidRPr="000E46C3">
        <w:rPr>
          <w:rFonts w:ascii="Verdana" w:hAnsi="Verdana" w:eastAsia="Times New Roman" w:cs="Times New Roman"/>
          <w:b/>
          <w:bCs/>
          <w:color w:val="000000"/>
          <w:bdr w:val="none" w:color="auto" w:sz="0" w:space="0" w:frame="1"/>
          <w:lang w:eastAsia="es-CO"/>
        </w:rPr>
        <w:t>capacitaciones </w:t>
      </w:r>
      <w:r w:rsidRPr="000E46C3">
        <w:rPr>
          <w:rFonts w:ascii="Verdana" w:hAnsi="Verdana" w:eastAsia="Times New Roman" w:cs="Times New Roman"/>
          <w:color w:val="000000"/>
          <w:bdr w:val="none" w:color="auto" w:sz="0" w:space="0" w:frame="1"/>
          <w:lang w:eastAsia="es-CO"/>
        </w:rPr>
        <w:t>dirigidas a todos los actores involucrados en los procesos de selección. Podrás conocer la programación y realizar tu inscripción a estas capacitaciones a través del siguiente enlace: </w:t>
      </w:r>
      <w:hyperlink w:tgtFrame="_blank" w:tooltip="Dirección URL original: https://www.colombiacompra.gov.co/ciudadanos/calendario. Haga clic o pulse si confía en este vínculo." w:history="1" r:id="rId15">
        <w:r w:rsidRPr="000E46C3">
          <w:rPr>
            <w:rFonts w:ascii="Verdana" w:hAnsi="Verdana" w:eastAsia="Times New Roman" w:cs="Times New Roman"/>
            <w:color w:val="467886"/>
            <w:u w:val="single"/>
            <w:bdr w:val="none" w:color="auto" w:sz="0" w:space="0" w:frame="1"/>
            <w:lang w:eastAsia="es-CO"/>
          </w:rPr>
          <w:t>Calendario | Colombia Compra Eficiente | Agencia Nacional de Contratación Pública</w:t>
        </w:r>
      </w:hyperlink>
    </w:p>
    <w:p w:rsidRPr="000E46C3" w:rsidR="000E46C3" w:rsidP="000E46C3" w:rsidRDefault="000E46C3" w14:paraId="087E7160" w14:textId="77777777">
      <w:pPr>
        <w:spacing w:after="120" w:line="276" w:lineRule="auto"/>
        <w:ind w:firstLine="709"/>
        <w:jc w:val="both"/>
        <w:textAlignment w:val="baseline"/>
        <w:rPr>
          <w:rFonts w:ascii="Verdana" w:hAnsi="Verdana" w:eastAsia="Times New Roman" w:cs="Times New Roman"/>
          <w:lang w:eastAsia="es-CO"/>
        </w:rPr>
      </w:pPr>
      <w:r w:rsidRPr="000E46C3">
        <w:rPr>
          <w:rFonts w:ascii="Verdana" w:hAnsi="Verdana" w:eastAsia="Times New Roman" w:cs="Times New Roman"/>
          <w:color w:val="000000"/>
          <w:bdr w:val="none" w:color="auto" w:sz="0" w:space="0" w:frame="1"/>
          <w:lang w:eastAsia="es-CO"/>
        </w:rPr>
        <w:t>También, te contamos que ya publicamos </w:t>
      </w:r>
      <w:r w:rsidRPr="000E46C3">
        <w:rPr>
          <w:rFonts w:ascii="Verdana" w:hAnsi="Verdana" w:eastAsia="Times New Roman" w:cs="Times New Roman"/>
          <w:b/>
          <w:bCs/>
          <w:color w:val="000000"/>
          <w:bdr w:val="none" w:color="auto" w:sz="0" w:space="0" w:frame="1"/>
          <w:lang w:eastAsia="es-CO"/>
        </w:rPr>
        <w:t>la nueva Guía de Contratación Pública Sostenible y Socialmente Responsable</w:t>
      </w:r>
      <w:r w:rsidRPr="000E46C3">
        <w:rPr>
          <w:rFonts w:ascii="Verdana" w:hAnsi="Verdana" w:eastAsia="Times New Roman" w:cs="Times New Roman"/>
          <w:color w:val="000000"/>
          <w:bdr w:val="none" w:color="auto" w:sz="0" w:space="0" w:frame="1"/>
          <w:lang w:eastAsia="es-CO"/>
        </w:rPr>
        <w:t xml:space="preserve">. Esta guía es un instrumento clave para integrar buenas prácticas en la contratación estatal, promoviendo los Objetivos de Desarrollo Sostenible (ODS) a través de criterios y obligaciones ambientales y sociales en todas las etapas del proceso. Puede </w:t>
      </w:r>
      <w:r w:rsidRPr="000E46C3">
        <w:rPr>
          <w:rFonts w:ascii="Verdana" w:hAnsi="Verdana" w:eastAsia="Times New Roman" w:cs="Times New Roman"/>
          <w:color w:val="000000"/>
          <w:bdr w:val="none" w:color="auto" w:sz="0" w:space="0" w:frame="1"/>
          <w:lang w:eastAsia="es-CO"/>
        </w:rPr>
        <w:t>consultar la guía en el siguiente enlace: </w:t>
      </w:r>
      <w:hyperlink w:tgtFrame="_blank" w:tooltip="Dirección URL original: https://www.colombiacompra.gov.co/manuales-guias-y-pliegos-tipo/manuales-y-guias/guia-de-contratacion-publica-sostenible-y-socialmente. Haga clic o pulse si confía en este vínculo." w:history="1" r:id="rId16">
        <w:r w:rsidRPr="000E46C3">
          <w:rPr>
            <w:rFonts w:ascii="Verdana" w:hAnsi="Verdana" w:eastAsia="Times New Roman" w:cs="Times New Roman"/>
            <w:color w:val="467886"/>
            <w:u w:val="single"/>
            <w:bdr w:val="none" w:color="auto" w:sz="0" w:space="0" w:frame="1"/>
            <w:lang w:eastAsia="es-CO"/>
          </w:rPr>
          <w:t>Guía de Contratación Pública Sostenible y Socialmente Responsable | Colombia Compra Eficiente | Agencia Nacional de Contratación Pública</w:t>
        </w:r>
      </w:hyperlink>
    </w:p>
    <w:p w:rsidRPr="000E46C3" w:rsidR="000E46C3" w:rsidP="000E46C3" w:rsidRDefault="000E46C3" w14:paraId="75D0381A" w14:textId="77777777">
      <w:pPr>
        <w:widowControl w:val="0"/>
        <w:autoSpaceDE w:val="0"/>
        <w:autoSpaceDN w:val="0"/>
        <w:spacing w:after="0" w:line="276" w:lineRule="auto"/>
        <w:jc w:val="both"/>
        <w:rPr>
          <w:rFonts w:ascii="Verdana" w:hAnsi="Verdana" w:eastAsia="Calibri" w:cs="Arial"/>
          <w:color w:val="000000" w:themeColor="text1"/>
        </w:rPr>
      </w:pPr>
    </w:p>
    <w:p w:rsidRPr="000E46C3" w:rsidR="000E46C3" w:rsidP="000E46C3" w:rsidRDefault="000E46C3" w14:paraId="5005418B" w14:textId="77777777">
      <w:pPr>
        <w:widowControl w:val="0"/>
        <w:autoSpaceDE w:val="0"/>
        <w:autoSpaceDN w:val="0"/>
        <w:spacing w:after="0" w:line="276" w:lineRule="auto"/>
        <w:jc w:val="both"/>
        <w:rPr>
          <w:rFonts w:ascii="Verdana" w:hAnsi="Verdana" w:cs="Arial"/>
          <w:lang w:val="es-ES_tradnl"/>
        </w:rPr>
      </w:pPr>
      <w:r w:rsidRPr="000E46C3">
        <w:rPr>
          <w:rFonts w:ascii="Verdana" w:hAnsi="Verdana" w:cs="Arial"/>
        </w:rPr>
        <w:t xml:space="preserve">Este concepto tiene el alcance previsto en el artículo 28 del Código de Procedimiento Administrativo y de lo Contencioso Administrativo </w:t>
      </w:r>
      <w:r w:rsidRPr="000E46C3">
        <w:rPr>
          <w:rFonts w:ascii="Verdana" w:hAnsi="Verdana" w:cs="Arial"/>
          <w:lang w:val="es-ES_tradnl"/>
        </w:rPr>
        <w:t>y las expresiones aquí utilizadas con mayúscula inicial deben ser entendidas con el significado que les otorga el artículo 2.2.1.1.1.3.1. del Decreto 1082 de 2015.</w:t>
      </w:r>
    </w:p>
    <w:p w:rsidRPr="000E46C3" w:rsidR="000E46C3" w:rsidP="000E46C3" w:rsidRDefault="000E46C3" w14:paraId="74B05453" w14:textId="77777777">
      <w:pPr>
        <w:widowControl w:val="0"/>
        <w:autoSpaceDE w:val="0"/>
        <w:autoSpaceDN w:val="0"/>
        <w:spacing w:after="0" w:line="276" w:lineRule="auto"/>
        <w:jc w:val="both"/>
        <w:rPr>
          <w:rFonts w:ascii="Verdana" w:hAnsi="Verdana" w:cs="Arial"/>
        </w:rPr>
      </w:pPr>
    </w:p>
    <w:p w:rsidRPr="000E46C3" w:rsidR="000E46C3" w:rsidP="000E46C3" w:rsidRDefault="000E46C3" w14:paraId="2B9FE466" w14:textId="77777777">
      <w:pPr>
        <w:spacing w:after="0" w:line="240" w:lineRule="auto"/>
        <w:rPr>
          <w:rFonts w:ascii="Verdana" w:hAnsi="Verdana" w:cs="Arial"/>
          <w:lang w:eastAsia="es-CO"/>
        </w:rPr>
      </w:pPr>
      <w:r w:rsidRPr="000E46C3">
        <w:rPr>
          <w:rFonts w:ascii="Verdana" w:hAnsi="Verdana" w:eastAsia="Times New Roman" w:cs="Arial"/>
          <w:lang w:eastAsia="es-CO"/>
        </w:rPr>
        <w:t>Atentamente,</w:t>
      </w:r>
      <w:r w:rsidRPr="000E46C3">
        <w:rPr>
          <w:rFonts w:ascii="Verdana" w:hAnsi="Verdana" w:cs="Arial"/>
          <w:lang w:eastAsia="es-CO"/>
        </w:rPr>
        <w:t xml:space="preserve"> </w:t>
      </w:r>
    </w:p>
    <w:p w:rsidRPr="000E46C3" w:rsidR="000E46C3" w:rsidP="000E46C3" w:rsidRDefault="00085DA5" w14:paraId="3009D46E" w14:textId="422BCEF2">
      <w:pPr>
        <w:spacing w:line="276" w:lineRule="auto"/>
        <w:jc w:val="center"/>
        <w:rPr>
          <w:rFonts w:ascii="Verdana" w:hAnsi="Verdana" w:cs="Arial"/>
          <w:color w:val="000000"/>
          <w:lang w:val="es-ES_tradnl" w:eastAsia="es-CO"/>
        </w:rPr>
      </w:pPr>
      <w:r>
        <w:rPr>
          <w:noProof/>
        </w:rPr>
        <w:drawing>
          <wp:inline distT="0" distB="0" distL="0" distR="0" wp14:anchorId="25AEE66B" wp14:editId="41CA5BCE">
            <wp:extent cx="3360420" cy="1135380"/>
            <wp:effectExtent l="0" t="0" r="0" b="762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7"/>
                    <a:stretch>
                      <a:fillRect/>
                    </a:stretch>
                  </pic:blipFill>
                  <pic:spPr>
                    <a:xfrm>
                      <a:off x="0" y="0"/>
                      <a:ext cx="3360420" cy="1135380"/>
                    </a:xfrm>
                    <a:prstGeom prst="rect">
                      <a:avLst/>
                    </a:prstGeom>
                  </pic:spPr>
                </pic:pic>
              </a:graphicData>
            </a:graphic>
          </wp:inline>
        </w:drawing>
      </w:r>
    </w:p>
    <w:tbl>
      <w:tblPr>
        <w:tblStyle w:val="Tablaconcuadrcula"/>
        <w:tblW w:w="652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893"/>
        <w:gridCol w:w="5628"/>
      </w:tblGrid>
      <w:tr w:rsidRPr="000E46C3" w:rsidR="000E46C3" w:rsidTr="003C1E5D" w14:paraId="38EA04EB" w14:textId="77777777">
        <w:trPr>
          <w:trHeight w:val="315"/>
        </w:trPr>
        <w:tc>
          <w:tcPr>
            <w:tcW w:w="893" w:type="dxa"/>
            <w:vAlign w:val="center"/>
            <w:hideMark/>
          </w:tcPr>
          <w:p w:rsidRPr="000E46C3" w:rsidR="000E46C3" w:rsidP="000E46C3" w:rsidRDefault="000E46C3" w14:paraId="04273C5B" w14:textId="77777777">
            <w:pPr>
              <w:contextualSpacing/>
              <w:rPr>
                <w:rFonts w:ascii="Verdana" w:hAnsi="Verdana" w:cs="Arial"/>
                <w:sz w:val="16"/>
                <w:szCs w:val="16"/>
                <w:lang w:val="es-ES" w:eastAsia="es-ES"/>
              </w:rPr>
            </w:pPr>
            <w:r w:rsidRPr="000E46C3">
              <w:rPr>
                <w:rFonts w:ascii="Verdana" w:hAnsi="Verdana" w:cs="Arial"/>
                <w:sz w:val="16"/>
                <w:szCs w:val="16"/>
                <w:lang w:val="es-ES" w:eastAsia="es-ES"/>
              </w:rPr>
              <w:t>Elaboró:</w:t>
            </w:r>
          </w:p>
        </w:tc>
        <w:tc>
          <w:tcPr>
            <w:tcW w:w="5628" w:type="dxa"/>
            <w:tcBorders>
              <w:top w:val="nil"/>
              <w:left w:val="nil"/>
              <w:bottom w:val="dotted" w:color="7F7F7F" w:themeColor="text1" w:themeTint="80" w:sz="4" w:space="0"/>
              <w:right w:val="nil"/>
            </w:tcBorders>
            <w:vAlign w:val="center"/>
            <w:hideMark/>
          </w:tcPr>
          <w:p w:rsidRPr="000E46C3" w:rsidR="000E46C3" w:rsidP="000E46C3" w:rsidRDefault="000E46C3" w14:paraId="704331F8" w14:textId="77777777">
            <w:pPr>
              <w:contextualSpacing/>
              <w:rPr>
                <w:rFonts w:ascii="Verdana" w:hAnsi="Verdana"/>
                <w:sz w:val="16"/>
                <w:szCs w:val="16"/>
              </w:rPr>
            </w:pPr>
            <w:r w:rsidRPr="000E46C3">
              <w:rPr>
                <w:rFonts w:ascii="Verdana" w:hAnsi="Verdana"/>
                <w:sz w:val="16"/>
                <w:szCs w:val="16"/>
              </w:rPr>
              <w:t>Tatiana Baquero Iguarán</w:t>
            </w:r>
          </w:p>
          <w:p w:rsidRPr="000E46C3" w:rsidR="000E46C3" w:rsidP="000E46C3" w:rsidRDefault="000E46C3" w14:paraId="5CE0D8CC" w14:textId="77777777">
            <w:pPr>
              <w:contextualSpacing/>
              <w:rPr>
                <w:rFonts w:ascii="Verdana" w:hAnsi="Verdana" w:eastAsia="Arial" w:cs="Arial"/>
                <w:sz w:val="16"/>
                <w:szCs w:val="16"/>
              </w:rPr>
            </w:pPr>
            <w:r w:rsidRPr="000E46C3">
              <w:rPr>
                <w:rFonts w:ascii="Verdana" w:hAnsi="Verdana"/>
                <w:sz w:val="16"/>
                <w:szCs w:val="16"/>
              </w:rPr>
              <w:t>Contratista de la Subdirección de Gestión Contractual</w:t>
            </w:r>
          </w:p>
        </w:tc>
      </w:tr>
      <w:tr w:rsidRPr="000E46C3" w:rsidR="000E46C3" w:rsidTr="003C1E5D" w14:paraId="56505771" w14:textId="77777777">
        <w:trPr>
          <w:trHeight w:val="330"/>
        </w:trPr>
        <w:tc>
          <w:tcPr>
            <w:tcW w:w="893" w:type="dxa"/>
            <w:vAlign w:val="center"/>
            <w:hideMark/>
          </w:tcPr>
          <w:p w:rsidRPr="000E46C3" w:rsidR="000E46C3" w:rsidP="000E46C3" w:rsidRDefault="000E46C3" w14:paraId="04CB7A0D" w14:textId="77777777">
            <w:pPr>
              <w:contextualSpacing/>
              <w:rPr>
                <w:rFonts w:ascii="Verdana" w:hAnsi="Verdana" w:cs="Arial"/>
                <w:sz w:val="16"/>
                <w:szCs w:val="16"/>
                <w:lang w:val="es-ES" w:eastAsia="es-ES"/>
              </w:rPr>
            </w:pPr>
            <w:r w:rsidRPr="000E46C3">
              <w:rPr>
                <w:rFonts w:ascii="Verdana" w:hAnsi="Verdana" w:cs="Arial"/>
                <w:sz w:val="16"/>
                <w:szCs w:val="16"/>
                <w:lang w:val="es-ES" w:eastAsia="es-ES"/>
              </w:rPr>
              <w:t>Revisó:</w:t>
            </w:r>
          </w:p>
        </w:tc>
        <w:tc>
          <w:tcPr>
            <w:tcW w:w="5628" w:type="dxa"/>
            <w:tcBorders>
              <w:top w:val="dotted" w:color="7F7F7F" w:themeColor="text1" w:themeTint="80" w:sz="4" w:space="0"/>
              <w:left w:val="nil"/>
              <w:bottom w:val="dotted" w:color="7F7F7F" w:themeColor="text1" w:themeTint="80" w:sz="4" w:space="0"/>
              <w:right w:val="nil"/>
            </w:tcBorders>
            <w:vAlign w:val="center"/>
            <w:hideMark/>
          </w:tcPr>
          <w:p w:rsidRPr="000E46C3" w:rsidR="000E46C3" w:rsidP="000E46C3" w:rsidRDefault="000E46C3" w14:paraId="0D15ED90" w14:textId="77777777">
            <w:pPr>
              <w:spacing w:before="100" w:beforeAutospacing="1" w:afterAutospacing="1"/>
              <w:contextualSpacing/>
              <w:textAlignment w:val="baseline"/>
              <w:rPr>
                <w:rFonts w:ascii="Verdana" w:hAnsi="Verdana" w:eastAsia="Times New Roman" w:cs="Arial"/>
                <w:sz w:val="16"/>
                <w:szCs w:val="16"/>
                <w:lang w:val="es-ES" w:eastAsia="es-ES_tradnl"/>
              </w:rPr>
            </w:pPr>
            <w:r w:rsidRPr="000E46C3">
              <w:rPr>
                <w:rFonts w:ascii="Verdana" w:hAnsi="Verdana" w:eastAsia="Times New Roman" w:cs="Arial"/>
                <w:sz w:val="16"/>
                <w:szCs w:val="16"/>
                <w:lang w:val="es-ES" w:eastAsia="es-ES_tradnl"/>
              </w:rPr>
              <w:t>Alejandro Sarmiento Cantillo</w:t>
            </w:r>
          </w:p>
          <w:p w:rsidRPr="000E46C3" w:rsidR="000E46C3" w:rsidP="000E46C3" w:rsidRDefault="000E46C3" w14:paraId="1D476091" w14:textId="77777777">
            <w:pPr>
              <w:contextualSpacing/>
              <w:textAlignment w:val="baseline"/>
              <w:rPr>
                <w:rFonts w:ascii="Verdana" w:hAnsi="Verdana" w:eastAsia="Times New Roman" w:cs="Segoe UI"/>
                <w:sz w:val="16"/>
                <w:szCs w:val="16"/>
                <w:lang w:eastAsia="es-ES_tradnl"/>
              </w:rPr>
            </w:pPr>
            <w:r w:rsidRPr="000E46C3">
              <w:rPr>
                <w:rFonts w:ascii="Verdana" w:hAnsi="Verdana" w:eastAsia="Times New Roman" w:cs="Arial"/>
                <w:sz w:val="16"/>
                <w:szCs w:val="16"/>
                <w:lang w:val="es-ES" w:eastAsia="es-ES_tradnl"/>
              </w:rPr>
              <w:t>Gestor T1 ‒ 15 de la Subdirección de Gestión Contractual</w:t>
            </w:r>
            <w:r w:rsidRPr="000E46C3">
              <w:rPr>
                <w:rFonts w:ascii="Verdana" w:hAnsi="Verdana" w:eastAsia="Times New Roman" w:cs="Arial"/>
                <w:sz w:val="16"/>
                <w:szCs w:val="16"/>
                <w:lang w:eastAsia="es-ES_tradnl"/>
              </w:rPr>
              <w:t> </w:t>
            </w:r>
          </w:p>
        </w:tc>
      </w:tr>
      <w:tr w:rsidRPr="000E46C3" w:rsidR="000E46C3" w:rsidTr="003C1E5D" w14:paraId="1D9E1F4C" w14:textId="77777777">
        <w:trPr>
          <w:trHeight w:val="300"/>
        </w:trPr>
        <w:tc>
          <w:tcPr>
            <w:tcW w:w="893" w:type="dxa"/>
            <w:vAlign w:val="center"/>
          </w:tcPr>
          <w:p w:rsidRPr="000E46C3" w:rsidR="000E46C3" w:rsidP="000E46C3" w:rsidRDefault="000E46C3" w14:paraId="63376FCD" w14:textId="77777777">
            <w:pPr>
              <w:contextualSpacing/>
              <w:rPr>
                <w:rFonts w:ascii="Verdana" w:hAnsi="Verdana" w:cs="Arial"/>
                <w:sz w:val="16"/>
                <w:szCs w:val="16"/>
                <w:lang w:val="es-ES" w:eastAsia="es-ES"/>
              </w:rPr>
            </w:pPr>
            <w:r w:rsidRPr="000E46C3">
              <w:rPr>
                <w:rFonts w:ascii="Verdana" w:hAnsi="Verdana" w:cs="Arial"/>
                <w:sz w:val="16"/>
                <w:szCs w:val="16"/>
                <w:lang w:val="es-ES" w:eastAsia="es-ES"/>
              </w:rPr>
              <w:t>Aprobó:</w:t>
            </w:r>
          </w:p>
        </w:tc>
        <w:tc>
          <w:tcPr>
            <w:tcW w:w="5628" w:type="dxa"/>
            <w:tcBorders>
              <w:top w:val="dotted" w:color="7F7F7F" w:themeColor="text1" w:themeTint="80" w:sz="4" w:space="0"/>
              <w:left w:val="nil"/>
              <w:bottom w:val="dotted" w:color="7F7F7F" w:themeColor="text1" w:themeTint="80" w:sz="4" w:space="0"/>
              <w:right w:val="nil"/>
            </w:tcBorders>
            <w:vAlign w:val="center"/>
          </w:tcPr>
          <w:p w:rsidRPr="000E46C3" w:rsidR="000E46C3" w:rsidP="000E46C3" w:rsidRDefault="000E46C3" w14:paraId="60C8FEEF" w14:textId="77777777">
            <w:pPr>
              <w:contextualSpacing/>
              <w:rPr>
                <w:rFonts w:ascii="Verdana" w:hAnsi="Verdana" w:eastAsia="Calibri" w:cs="Arial"/>
                <w:sz w:val="16"/>
                <w:szCs w:val="16"/>
                <w:lang w:val="pt-BR" w:eastAsia="es-ES"/>
              </w:rPr>
            </w:pPr>
            <w:r w:rsidRPr="000E46C3">
              <w:rPr>
                <w:rFonts w:ascii="Verdana" w:hAnsi="Verdana" w:eastAsia="Calibri" w:cs="Arial"/>
                <w:sz w:val="16"/>
                <w:szCs w:val="16"/>
                <w:lang w:val="pt-BR" w:eastAsia="es-ES"/>
              </w:rPr>
              <w:t xml:space="preserve">Carolina Quintero </w:t>
            </w:r>
            <w:proofErr w:type="spellStart"/>
            <w:r w:rsidRPr="000E46C3">
              <w:rPr>
                <w:rFonts w:ascii="Verdana" w:hAnsi="Verdana" w:eastAsia="Calibri" w:cs="Arial"/>
                <w:sz w:val="16"/>
                <w:szCs w:val="16"/>
                <w:lang w:val="pt-BR" w:eastAsia="es-ES"/>
              </w:rPr>
              <w:t>Gacharná</w:t>
            </w:r>
            <w:proofErr w:type="spellEnd"/>
          </w:p>
          <w:p w:rsidRPr="000E46C3" w:rsidR="000E46C3" w:rsidP="000E46C3" w:rsidRDefault="000E46C3" w14:paraId="19E91382" w14:textId="77777777">
            <w:pPr>
              <w:contextualSpacing/>
              <w:rPr>
                <w:rFonts w:ascii="Verdana" w:hAnsi="Verdana" w:eastAsia="Calibri" w:cs="Arial"/>
                <w:sz w:val="16"/>
                <w:szCs w:val="16"/>
                <w:lang w:val="pt-BR" w:eastAsia="es-ES"/>
              </w:rPr>
            </w:pPr>
            <w:r w:rsidRPr="000E46C3">
              <w:rPr>
                <w:rFonts w:ascii="Verdana" w:hAnsi="Verdana" w:eastAsia="Calibri" w:cs="Arial"/>
                <w:sz w:val="16"/>
                <w:szCs w:val="16"/>
                <w:lang w:eastAsia="es-ES"/>
              </w:rPr>
              <w:t>Subdirectora</w:t>
            </w:r>
            <w:r w:rsidRPr="000E46C3">
              <w:rPr>
                <w:rFonts w:ascii="Verdana" w:hAnsi="Verdana" w:eastAsia="Calibri" w:cs="Arial"/>
                <w:sz w:val="16"/>
                <w:szCs w:val="16"/>
                <w:lang w:val="pt-BR" w:eastAsia="es-ES"/>
              </w:rPr>
              <w:t xml:space="preserve"> de Gestión </w:t>
            </w:r>
            <w:proofErr w:type="spellStart"/>
            <w:r w:rsidRPr="000E46C3">
              <w:rPr>
                <w:rFonts w:ascii="Verdana" w:hAnsi="Verdana" w:eastAsia="Calibri" w:cs="Arial"/>
                <w:sz w:val="16"/>
                <w:szCs w:val="16"/>
                <w:lang w:val="pt-BR" w:eastAsia="es-ES"/>
              </w:rPr>
              <w:t>Contractual</w:t>
            </w:r>
            <w:proofErr w:type="spellEnd"/>
            <w:r w:rsidRPr="000E46C3">
              <w:rPr>
                <w:rFonts w:ascii="Verdana" w:hAnsi="Verdana" w:eastAsia="Calibri" w:cs="Arial"/>
                <w:sz w:val="16"/>
                <w:szCs w:val="16"/>
                <w:lang w:val="pt-BR" w:eastAsia="es-ES"/>
              </w:rPr>
              <w:t xml:space="preserve"> ANCP – CCE</w:t>
            </w:r>
          </w:p>
        </w:tc>
      </w:tr>
    </w:tbl>
    <w:p w:rsidRPr="000E46C3" w:rsidR="000E46C3" w:rsidP="000E46C3" w:rsidRDefault="000E46C3" w14:paraId="56235B82" w14:textId="77777777">
      <w:pPr>
        <w:spacing w:after="0" w:line="240" w:lineRule="auto"/>
        <w:rPr>
          <w:rFonts w:ascii="Verdana" w:hAnsi="Verdana" w:eastAsia="Times New Roman" w:cs="Arial"/>
          <w:sz w:val="24"/>
          <w:szCs w:val="24"/>
          <w:lang w:eastAsia="es-ES"/>
        </w:rPr>
      </w:pPr>
    </w:p>
    <w:p w:rsidRPr="000E46C3" w:rsidR="000E46C3" w:rsidP="000E46C3" w:rsidRDefault="000E46C3" w14:paraId="257A6D35" w14:textId="77777777"/>
    <w:p w:rsidRPr="000E46C3" w:rsidR="000E46C3" w:rsidP="000E46C3" w:rsidRDefault="000E46C3" w14:paraId="64BC6211" w14:textId="77777777"/>
    <w:p w:rsidRPr="00C13712" w:rsidR="000E46C3" w:rsidP="00A97EE0" w:rsidRDefault="000E46C3" w14:paraId="14FDF33A" w14:textId="77777777">
      <w:pPr>
        <w:spacing w:after="0" w:line="240" w:lineRule="auto"/>
        <w:rPr>
          <w:rFonts w:ascii="Verdana" w:hAnsi="Verdana" w:eastAsia="Geomanist Light" w:cs="Arial"/>
          <w:color w:val="201F1E"/>
          <w:lang w:val="es-MX"/>
        </w:rPr>
      </w:pPr>
    </w:p>
    <w:bookmarkEnd w:id="0"/>
    <w:sectPr w:rsidRPr="00C13712" w:rsidR="000E46C3" w:rsidSect="00C44B4C">
      <w:headerReference w:type="default" r:id="rId18"/>
      <w:footerReference w:type="default" r:id="rId19"/>
      <w:pgSz w:w="12240" w:h="15840" w:orient="portrait"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3766D0" w:rsidP="00B30448" w:rsidRDefault="003766D0" w14:paraId="4247448C" w14:textId="77777777">
      <w:pPr>
        <w:spacing w:after="0" w:line="240" w:lineRule="auto"/>
      </w:pPr>
      <w:r>
        <w:separator/>
      </w:r>
    </w:p>
  </w:endnote>
  <w:endnote w:type="continuationSeparator" w:id="0">
    <w:p w:rsidR="003766D0" w:rsidP="00B30448" w:rsidRDefault="003766D0" w14:paraId="6014C10F" w14:textId="77777777">
      <w:pPr>
        <w:spacing w:after="0" w:line="240" w:lineRule="auto"/>
      </w:pPr>
      <w:r>
        <w:continuationSeparator/>
      </w:r>
    </w:p>
  </w:endnote>
  <w:endnote w:type="continuationNotice" w:id="1">
    <w:p w:rsidR="003766D0" w:rsidRDefault="003766D0" w14:paraId="70E9F158"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174B77" w:rsidR="00A81E50" w:rsidP="00A81E50" w:rsidRDefault="00A81E50" w14:paraId="2FD9C0E4" w14:textId="77777777">
    <w:pPr>
      <w:pBdr>
        <w:top w:val="single" w:color="auto" w:sz="4" w:space="1"/>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hAnsi="Verdana" w:eastAsiaTheme="majorEastAsia" w:cstheme="majorBidi"/>
        <w:b/>
        <w:bCs/>
        <w:sz w:val="16"/>
        <w:szCs w:val="16"/>
        <w:lang w:val="es-ES"/>
      </w:rPr>
      <w:t xml:space="preserve">pág. </w:t>
    </w:r>
    <w:r w:rsidRPr="002E1330">
      <w:rPr>
        <w:rFonts w:ascii="Verdana" w:hAnsi="Verdana" w:eastAsiaTheme="minorEastAsia"/>
        <w:b/>
        <w:bCs/>
        <w:sz w:val="16"/>
        <w:szCs w:val="16"/>
      </w:rPr>
      <w:fldChar w:fldCharType="begin"/>
    </w:r>
    <w:r w:rsidRPr="002E1330">
      <w:rPr>
        <w:rFonts w:ascii="Verdana" w:hAnsi="Verdana"/>
        <w:b/>
        <w:bCs/>
        <w:sz w:val="16"/>
        <w:szCs w:val="16"/>
      </w:rPr>
      <w:instrText>PAGE    \* MERGEFORMAT</w:instrText>
    </w:r>
    <w:r w:rsidRPr="002E1330">
      <w:rPr>
        <w:rFonts w:ascii="Verdana" w:hAnsi="Verdana" w:eastAsiaTheme="minorEastAsia"/>
        <w:b/>
        <w:bCs/>
        <w:sz w:val="16"/>
        <w:szCs w:val="16"/>
      </w:rPr>
      <w:fldChar w:fldCharType="separate"/>
    </w:r>
    <w:r>
      <w:rPr>
        <w:rFonts w:ascii="Verdana" w:hAnsi="Verdana" w:eastAsiaTheme="minorEastAsia"/>
        <w:b/>
        <w:bCs/>
        <w:sz w:val="16"/>
        <w:szCs w:val="16"/>
      </w:rPr>
      <w:t>1</w:t>
    </w:r>
    <w:r w:rsidRPr="002E1330">
      <w:rPr>
        <w:rFonts w:ascii="Verdana" w:hAnsi="Verdana" w:eastAsiaTheme="majorEastAsi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rsidR="00A81E50" w:rsidP="00A81E50" w:rsidRDefault="00A81E50" w14:paraId="4FC9CAA9" w14:textId="77777777">
    <w:pPr>
      <w:spacing w:after="0"/>
      <w:jc w:val="both"/>
      <w:rPr>
        <w:rFonts w:ascii="Verdana" w:hAnsi="Verdana"/>
        <w:sz w:val="18"/>
        <w:szCs w:val="18"/>
      </w:rPr>
    </w:pPr>
    <w:r w:rsidRPr="00E41027">
      <w:rPr>
        <w:rFonts w:ascii="Verdana" w:hAnsi="Verdana"/>
        <w:sz w:val="18"/>
        <w:szCs w:val="18"/>
      </w:rPr>
      <w:t>Dirección: Carrera 7 # 26 – 20 - Bogotá, Colombia</w:t>
    </w:r>
  </w:p>
  <w:p w:rsidRPr="00E41027" w:rsidR="00A81E50" w:rsidP="00A81E50" w:rsidRDefault="00A81E50" w14:paraId="0B709B73" w14:textId="77777777">
    <w:pPr>
      <w:spacing w:after="0"/>
      <w:jc w:val="both"/>
      <w:rPr>
        <w:rFonts w:ascii="Verdana" w:hAnsi="Verdana"/>
        <w:sz w:val="18"/>
        <w:szCs w:val="18"/>
      </w:rPr>
    </w:pPr>
    <w:r w:rsidRPr="00E41027">
      <w:rPr>
        <w:rFonts w:ascii="Verdana" w:hAnsi="Verdana"/>
        <w:sz w:val="18"/>
        <w:szCs w:val="18"/>
      </w:rPr>
      <w:t>Mesa de servicio: (+57) 601 7456788</w:t>
    </w:r>
  </w:p>
  <w:p w:rsidR="00DD7A2C" w:rsidP="00C00976" w:rsidRDefault="00A81E50" w14:paraId="224AB27F" w14:textId="77777777">
    <w:pPr>
      <w:pBdr>
        <w:top w:val="nil"/>
        <w:left w:val="nil"/>
        <w:bottom w:val="nil"/>
        <w:right w:val="nil"/>
        <w:between w:val="nil"/>
      </w:pBdr>
      <w:tabs>
        <w:tab w:val="center" w:pos="4419"/>
        <w:tab w:val="right" w:pos="8838"/>
        <w:tab w:val="center" w:pos="5400"/>
      </w:tabs>
      <w:spacing w:after="0"/>
      <w:rPr>
        <w:rFonts w:ascii="Verdana" w:hAnsi="Verdana"/>
        <w:sz w:val="20"/>
        <w:szCs w:val="20"/>
      </w:rPr>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20"/>
        <w:szCs w:val="20"/>
      </w:rPr>
      <w:t xml:space="preserve">         </w:t>
    </w:r>
  </w:p>
  <w:p w:rsidR="00A81E50" w:rsidP="00DD7A2C" w:rsidRDefault="00A81E50" w14:paraId="2B8DBB2A" w14:textId="26AE77D2">
    <w:pPr>
      <w:pBdr>
        <w:top w:val="nil"/>
        <w:left w:val="nil"/>
        <w:bottom w:val="nil"/>
        <w:right w:val="nil"/>
        <w:between w:val="nil"/>
      </w:pBdr>
      <w:tabs>
        <w:tab w:val="center" w:pos="4419"/>
        <w:tab w:val="right" w:pos="8838"/>
        <w:tab w:val="center" w:pos="5400"/>
      </w:tabs>
      <w:spacing w:after="0"/>
      <w:jc w:val="right"/>
    </w:pPr>
    <w:r>
      <w:rPr>
        <w:rFonts w:ascii="Verdana" w:hAnsi="Verdana"/>
        <w:sz w:val="20"/>
        <w:szCs w:val="20"/>
      </w:rPr>
      <w:t xml:space="preserve"> </w:t>
    </w:r>
    <w:r w:rsidRPr="00A211EE">
      <w:rPr>
        <w:rFonts w:ascii="Verdana" w:hAnsi="Verdana" w:eastAsia="Geo" w:cs="Geo"/>
        <w:bCs/>
        <w:color w:val="000000"/>
        <w:sz w:val="16"/>
        <w:szCs w:val="16"/>
        <w:lang w:eastAsia="es-CO"/>
      </w:rPr>
      <w:t>Código: CCE-REC-FM-13 Versión</w:t>
    </w:r>
    <w:r w:rsidRPr="00A211EE">
      <w:rPr>
        <w:rFonts w:ascii="Verdana" w:hAnsi="Verdana" w:eastAsia="Arial Nova" w:cs="Arial Nova"/>
        <w:bCs/>
        <w:color w:val="000000"/>
        <w:sz w:val="16"/>
        <w:szCs w:val="16"/>
        <w:lang w:eastAsia="es-CO"/>
      </w:rPr>
      <w:t>:</w:t>
    </w:r>
    <w:r w:rsidRPr="00A211EE">
      <w:rPr>
        <w:rFonts w:ascii="Verdana" w:hAnsi="Verdana" w:eastAsia="Arial Nova" w:cs="Arial Nova"/>
        <w:b/>
        <w:color w:val="000000"/>
        <w:sz w:val="16"/>
        <w:szCs w:val="16"/>
        <w:lang w:eastAsia="es-CO"/>
      </w:rPr>
      <w:t xml:space="preserve"> </w:t>
    </w:r>
    <w:r w:rsidRPr="00A211EE">
      <w:rPr>
        <w:rFonts w:ascii="Verdana" w:hAnsi="Verdana" w:eastAsia="Geo" w:cs="Geo"/>
        <w:sz w:val="16"/>
        <w:szCs w:val="16"/>
        <w:lang w:eastAsia="es-CO"/>
      </w:rPr>
      <w:t>01 Fecha:15-06-2023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3766D0" w:rsidP="00B30448" w:rsidRDefault="003766D0" w14:paraId="126AE268" w14:textId="77777777">
      <w:pPr>
        <w:spacing w:after="0" w:line="240" w:lineRule="auto"/>
      </w:pPr>
      <w:r>
        <w:separator/>
      </w:r>
    </w:p>
  </w:footnote>
  <w:footnote w:type="continuationSeparator" w:id="0">
    <w:p w:rsidR="003766D0" w:rsidP="00B30448" w:rsidRDefault="003766D0" w14:paraId="27E0FFA5" w14:textId="77777777">
      <w:pPr>
        <w:spacing w:after="0" w:line="240" w:lineRule="auto"/>
      </w:pPr>
      <w:r>
        <w:continuationSeparator/>
      </w:r>
    </w:p>
  </w:footnote>
  <w:footnote w:type="continuationNotice" w:id="1">
    <w:p w:rsidR="003766D0" w:rsidRDefault="003766D0" w14:paraId="3649C274" w14:textId="77777777">
      <w:pPr>
        <w:spacing w:after="0" w:line="240" w:lineRule="auto"/>
      </w:pPr>
    </w:p>
  </w:footnote>
  <w:footnote w:id="2">
    <w:p w:rsidRPr="00085DA5" w:rsidR="000E46C3" w:rsidP="00085DA5" w:rsidRDefault="000E46C3" w14:paraId="42C97A98" w14:textId="77777777">
      <w:pPr>
        <w:pStyle w:val="Textonotapie"/>
        <w:ind w:firstLine="709"/>
        <w:jc w:val="both"/>
        <w:rPr>
          <w:rFonts w:ascii="Verdana" w:hAnsi="Verdana"/>
          <w:sz w:val="16"/>
          <w:szCs w:val="16"/>
          <w:lang w:val="es-ES_tradnl"/>
        </w:rPr>
      </w:pPr>
      <w:r w:rsidRPr="00085DA5">
        <w:rPr>
          <w:rStyle w:val="Refdenotaalpie"/>
          <w:rFonts w:ascii="Verdana" w:hAnsi="Verdana"/>
          <w:sz w:val="16"/>
          <w:szCs w:val="16"/>
        </w:rPr>
        <w:footnoteRef/>
      </w:r>
      <w:r w:rsidRPr="00085DA5">
        <w:rPr>
          <w:rFonts w:ascii="Verdana" w:hAnsi="Verdana"/>
          <w:sz w:val="16"/>
          <w:szCs w:val="16"/>
        </w:rPr>
        <w:t xml:space="preserve"> </w:t>
      </w:r>
      <w:r w:rsidRPr="00085DA5">
        <w:rPr>
          <w:rFonts w:ascii="Verdana" w:hAnsi="Verdana"/>
          <w:sz w:val="16"/>
          <w:szCs w:val="16"/>
          <w:lang w:val="es-ES_tradnl"/>
        </w:rPr>
        <w:t>Esto lo ratifica el artículo 2.2.1.2.1.5.2. del Decreto 1082 de 2015.</w:t>
      </w:r>
    </w:p>
    <w:p w:rsidRPr="00085DA5" w:rsidR="00085DA5" w:rsidP="00085DA5" w:rsidRDefault="00085DA5" w14:paraId="20F85B3E" w14:textId="77777777">
      <w:pPr>
        <w:pStyle w:val="Textonotapie"/>
        <w:ind w:firstLine="709"/>
        <w:jc w:val="both"/>
        <w:rPr>
          <w:rFonts w:ascii="Verdana" w:hAnsi="Verdana"/>
          <w:sz w:val="16"/>
          <w:szCs w:val="16"/>
          <w:lang w:val="es-CO"/>
        </w:rPr>
      </w:pPr>
    </w:p>
  </w:footnote>
  <w:footnote w:id="3">
    <w:p w:rsidRPr="00085DA5" w:rsidR="000E46C3" w:rsidP="00085DA5" w:rsidRDefault="000E46C3" w14:paraId="4670F754" w14:textId="77777777">
      <w:pPr>
        <w:pStyle w:val="Textonotapie"/>
        <w:ind w:firstLine="709"/>
        <w:jc w:val="both"/>
        <w:rPr>
          <w:rFonts w:ascii="Verdana" w:hAnsi="Verdana" w:cs="Arial"/>
          <w:color w:val="000000" w:themeColor="text1"/>
          <w:sz w:val="16"/>
          <w:szCs w:val="16"/>
          <w:lang w:val="es-ES_tradnl"/>
        </w:rPr>
      </w:pPr>
      <w:r w:rsidRPr="00085DA5">
        <w:rPr>
          <w:rStyle w:val="Refdenotaalpie"/>
          <w:rFonts w:ascii="Verdana" w:hAnsi="Verdana" w:cs="Arial"/>
          <w:color w:val="000000" w:themeColor="text1"/>
          <w:sz w:val="16"/>
          <w:szCs w:val="16"/>
          <w:lang w:val="es-ES_tradnl"/>
        </w:rPr>
        <w:footnoteRef/>
      </w:r>
      <w:r w:rsidRPr="00085DA5">
        <w:rPr>
          <w:rFonts w:ascii="Verdana" w:hAnsi="Verdana" w:cs="Arial"/>
          <w:color w:val="000000" w:themeColor="text1"/>
          <w:sz w:val="16"/>
          <w:szCs w:val="16"/>
          <w:lang w:val="es-ES_tradnl"/>
        </w:rPr>
        <w:t xml:space="preserve"> DÁVILA VINUEZA, Luis Guillermo. Régimen jurídico de la contratación estatal. 3ª ed. Bogotá: Legis, 2016. p. 463.</w:t>
      </w:r>
    </w:p>
    <w:p w:rsidRPr="00085DA5" w:rsidR="00085DA5" w:rsidP="00085DA5" w:rsidRDefault="00085DA5" w14:paraId="5AC11597" w14:textId="77777777">
      <w:pPr>
        <w:pStyle w:val="Textonotapie"/>
        <w:ind w:firstLine="709"/>
        <w:jc w:val="both"/>
        <w:rPr>
          <w:rFonts w:ascii="Verdana" w:hAnsi="Verdana" w:cs="Arial"/>
          <w:color w:val="000000" w:themeColor="text1"/>
          <w:sz w:val="16"/>
          <w:szCs w:val="16"/>
          <w:lang w:val="es-ES_tradnl"/>
        </w:rPr>
      </w:pPr>
    </w:p>
  </w:footnote>
  <w:footnote w:id="4">
    <w:p w:rsidRPr="00085DA5" w:rsidR="000E46C3" w:rsidP="00085DA5" w:rsidRDefault="000E46C3" w14:paraId="76CD30BF" w14:textId="77777777">
      <w:pPr>
        <w:pStyle w:val="Textonotapie"/>
        <w:ind w:firstLine="709"/>
        <w:jc w:val="both"/>
        <w:rPr>
          <w:rFonts w:ascii="Verdana" w:hAnsi="Verdana" w:cs="Arial"/>
          <w:color w:val="000000" w:themeColor="text1"/>
          <w:sz w:val="16"/>
          <w:szCs w:val="16"/>
          <w:lang w:val="es-ES_tradnl"/>
        </w:rPr>
      </w:pPr>
      <w:r w:rsidRPr="00085DA5">
        <w:rPr>
          <w:rStyle w:val="Refdenotaalpie"/>
          <w:rFonts w:ascii="Verdana" w:hAnsi="Verdana" w:cs="Arial"/>
          <w:color w:val="000000" w:themeColor="text1"/>
          <w:sz w:val="16"/>
          <w:szCs w:val="16"/>
          <w:lang w:val="es-ES_tradnl"/>
        </w:rPr>
        <w:footnoteRef/>
      </w:r>
      <w:r w:rsidRPr="00085DA5">
        <w:rPr>
          <w:rFonts w:ascii="Verdana" w:hAnsi="Verdana" w:cs="Arial"/>
          <w:color w:val="000000" w:themeColor="text1"/>
          <w:sz w:val="16"/>
          <w:szCs w:val="16"/>
          <w:lang w:val="es-ES_tradnl"/>
        </w:rPr>
        <w:t xml:space="preserve"> La contratación de mínima cuantía es aquella que no excede el 10% de la menor cuantía, o sea, que no supera el 10% de los topes definidos en el artículo 2, numeral 2, literal b) de la Ley 1150 de 2007, que dispone: “Se entenderá por menor cuantía los valores que a continuación se relacionan, determinados en función de los presupuestos anuales de las entidades públicas expresados en salarios mínimos legales mensuales.</w:t>
      </w:r>
    </w:p>
    <w:p w:rsidRPr="00085DA5" w:rsidR="000E46C3" w:rsidP="00085DA5" w:rsidRDefault="000E46C3" w14:paraId="38D40A6B" w14:textId="77777777">
      <w:pPr>
        <w:pStyle w:val="Textonotapie"/>
        <w:ind w:firstLine="709"/>
        <w:jc w:val="both"/>
        <w:rPr>
          <w:rFonts w:ascii="Verdana" w:hAnsi="Verdana" w:cs="Arial"/>
          <w:color w:val="000000" w:themeColor="text1"/>
          <w:sz w:val="16"/>
          <w:szCs w:val="16"/>
          <w:lang w:val="es-ES_tradnl"/>
        </w:rPr>
      </w:pPr>
      <w:r w:rsidRPr="00085DA5">
        <w:rPr>
          <w:rFonts w:ascii="Verdana" w:hAnsi="Verdana" w:cs="Arial"/>
          <w:color w:val="000000" w:themeColor="text1"/>
          <w:sz w:val="16"/>
          <w:szCs w:val="16"/>
          <w:lang w:val="es-ES_tradnl"/>
        </w:rPr>
        <w:t>“Para las entidades que tengan un presupuesto anual superior o igual a 1.200.000 salarios mínimos legales mensuales, la menor cuantía será hasta 1.000 salarios mínimos legales mensuales.</w:t>
      </w:r>
    </w:p>
    <w:p w:rsidRPr="00085DA5" w:rsidR="000E46C3" w:rsidP="00085DA5" w:rsidRDefault="000E46C3" w14:paraId="39A08E9A" w14:textId="77777777">
      <w:pPr>
        <w:pStyle w:val="Textonotapie"/>
        <w:ind w:firstLine="709"/>
        <w:jc w:val="both"/>
        <w:rPr>
          <w:rFonts w:ascii="Verdana" w:hAnsi="Verdana" w:cs="Arial"/>
          <w:color w:val="000000" w:themeColor="text1"/>
          <w:sz w:val="16"/>
          <w:szCs w:val="16"/>
          <w:lang w:val="es-ES_tradnl"/>
        </w:rPr>
      </w:pPr>
      <w:r w:rsidRPr="00085DA5">
        <w:rPr>
          <w:rFonts w:ascii="Verdana" w:hAnsi="Verdana" w:cs="Arial"/>
          <w:color w:val="000000" w:themeColor="text1"/>
          <w:sz w:val="16"/>
          <w:szCs w:val="16"/>
          <w:lang w:val="es-ES_tradnl"/>
        </w:rPr>
        <w:t>“Las que tengan un presupuesto anual superior o igual a 850.000 salarios mínimos legales mensuales e inferiores a 1.200.000 salarios mínimos legales mensuales, la menor cuantía será hasta 850 salarios mínimos legales mensuales.</w:t>
      </w:r>
    </w:p>
    <w:p w:rsidRPr="00085DA5" w:rsidR="000E46C3" w:rsidP="00085DA5" w:rsidRDefault="000E46C3" w14:paraId="5F8B7AB7" w14:textId="77777777">
      <w:pPr>
        <w:pStyle w:val="Textonotapie"/>
        <w:ind w:firstLine="709"/>
        <w:jc w:val="both"/>
        <w:rPr>
          <w:rFonts w:ascii="Verdana" w:hAnsi="Verdana" w:cs="Arial"/>
          <w:color w:val="000000" w:themeColor="text1"/>
          <w:sz w:val="16"/>
          <w:szCs w:val="16"/>
          <w:lang w:val="es-ES_tradnl"/>
        </w:rPr>
      </w:pPr>
      <w:r w:rsidRPr="00085DA5">
        <w:rPr>
          <w:rFonts w:ascii="Verdana" w:hAnsi="Verdana" w:cs="Arial"/>
          <w:color w:val="000000" w:themeColor="text1"/>
          <w:sz w:val="16"/>
          <w:szCs w:val="16"/>
          <w:lang w:val="es-ES_tradnl"/>
        </w:rPr>
        <w:t>“Las que tengan un presupuesto anual superior o igual a 400.000 salarios mínimos legales mensuales e inferior a 850.000 salarios mínimos legales mensuales, la menor cuantía será hasta 650 salarios mínimos legales mensuales.</w:t>
      </w:r>
    </w:p>
    <w:p w:rsidRPr="00085DA5" w:rsidR="000E46C3" w:rsidP="00085DA5" w:rsidRDefault="000E46C3" w14:paraId="04EFB758" w14:textId="77777777">
      <w:pPr>
        <w:pStyle w:val="Textonotapie"/>
        <w:ind w:firstLine="709"/>
        <w:jc w:val="both"/>
        <w:rPr>
          <w:rFonts w:ascii="Verdana" w:hAnsi="Verdana" w:cs="Arial"/>
          <w:color w:val="000000" w:themeColor="text1"/>
          <w:sz w:val="16"/>
          <w:szCs w:val="16"/>
          <w:lang w:val="es-ES_tradnl"/>
        </w:rPr>
      </w:pPr>
      <w:r w:rsidRPr="00085DA5">
        <w:rPr>
          <w:rFonts w:ascii="Verdana" w:hAnsi="Verdana" w:cs="Arial"/>
          <w:color w:val="000000" w:themeColor="text1"/>
          <w:sz w:val="16"/>
          <w:szCs w:val="16"/>
          <w:lang w:val="es-ES_tradnl"/>
        </w:rPr>
        <w:t>“Las que tengan un presupuesto anual superior o igual a 120.000 salarios mínimos legales mensuales e inferior a 400.000 salarios mínimos legales mensuales, la menor cuantía será hasta 450 salarios mínimos legales mensuales.</w:t>
      </w:r>
    </w:p>
    <w:p w:rsidRPr="00085DA5" w:rsidR="000E46C3" w:rsidP="00085DA5" w:rsidRDefault="000E46C3" w14:paraId="7B595DEB" w14:textId="77777777">
      <w:pPr>
        <w:pStyle w:val="Textonotapie"/>
        <w:ind w:firstLine="709"/>
        <w:jc w:val="both"/>
        <w:rPr>
          <w:rFonts w:ascii="Verdana" w:hAnsi="Verdana" w:cs="Arial"/>
          <w:color w:val="000000" w:themeColor="text1"/>
          <w:sz w:val="16"/>
          <w:szCs w:val="16"/>
          <w:lang w:val="es-ES_tradnl"/>
        </w:rPr>
      </w:pPr>
      <w:r w:rsidRPr="00085DA5">
        <w:rPr>
          <w:rFonts w:ascii="Verdana" w:hAnsi="Verdana" w:cs="Arial"/>
          <w:color w:val="000000" w:themeColor="text1"/>
          <w:sz w:val="16"/>
          <w:szCs w:val="16"/>
          <w:lang w:val="es-ES_tradnl"/>
        </w:rPr>
        <w:t>“Las que tengan un presupuesto anual inferior a 120.000 salarios mínimos legales mensuales, la menor cuantía será hasta 280 salarios mínimos legales mensuales”.</w:t>
      </w:r>
    </w:p>
  </w:footnote>
  <w:footnote w:id="5">
    <w:p w:rsidRPr="00085DA5" w:rsidR="000E46C3" w:rsidP="00085DA5" w:rsidRDefault="000E46C3" w14:paraId="2E74EDFE" w14:textId="77777777">
      <w:pPr>
        <w:pStyle w:val="Textonotapie"/>
        <w:ind w:firstLine="709"/>
        <w:jc w:val="both"/>
        <w:rPr>
          <w:rFonts w:ascii="Verdana" w:hAnsi="Verdana"/>
          <w:sz w:val="16"/>
          <w:szCs w:val="16"/>
        </w:rPr>
      </w:pPr>
      <w:r w:rsidRPr="00085DA5">
        <w:rPr>
          <w:rStyle w:val="Refdenotaalpie"/>
          <w:rFonts w:ascii="Verdana" w:hAnsi="Verdana"/>
          <w:sz w:val="16"/>
          <w:szCs w:val="16"/>
        </w:rPr>
        <w:footnoteRef/>
      </w:r>
      <w:r w:rsidRPr="00085DA5">
        <w:rPr>
          <w:rFonts w:ascii="Verdana" w:hAnsi="Verdana"/>
          <w:sz w:val="16"/>
          <w:szCs w:val="16"/>
        </w:rPr>
        <w:t xml:space="preserve"> </w:t>
      </w:r>
      <w:r w:rsidRPr="00085DA5">
        <w:rPr>
          <w:rFonts w:ascii="Verdana" w:hAnsi="Verdana"/>
          <w:sz w:val="16"/>
          <w:szCs w:val="16"/>
          <w:lang w:val="es-CO"/>
        </w:rPr>
        <w:t xml:space="preserve">Este artículo fue modificado por el artículo 5 del Decreto 142 de 2023 en los siguientes términos: </w:t>
      </w:r>
      <w:r w:rsidRPr="00085DA5">
        <w:rPr>
          <w:rFonts w:ascii="Verdana" w:hAnsi="Verdana"/>
          <w:b/>
          <w:bCs/>
          <w:i/>
          <w:iCs/>
          <w:sz w:val="16"/>
          <w:szCs w:val="16"/>
        </w:rPr>
        <w:t>"Artículo 2.2.1.2.1.5.1. Estudios previos para la contratación de mínima cuantía.</w:t>
      </w:r>
      <w:r w:rsidRPr="00085DA5">
        <w:rPr>
          <w:rFonts w:ascii="Verdana" w:hAnsi="Verdana"/>
          <w:i/>
          <w:iCs/>
          <w:sz w:val="16"/>
          <w:szCs w:val="16"/>
        </w:rPr>
        <w:t> La Entidad Estatal debe elaborar unos estudios previos que deben contener, como mínimo, lo siguiente: </w:t>
      </w:r>
    </w:p>
    <w:p w:rsidRPr="00085DA5" w:rsidR="000E46C3" w:rsidP="00085DA5" w:rsidRDefault="000E46C3" w14:paraId="56DAF939" w14:textId="77777777">
      <w:pPr>
        <w:pStyle w:val="Textonotapie"/>
        <w:tabs>
          <w:tab w:val="left" w:pos="142"/>
        </w:tabs>
        <w:ind w:firstLine="709"/>
        <w:jc w:val="both"/>
        <w:rPr>
          <w:rFonts w:ascii="Verdana" w:hAnsi="Verdana"/>
          <w:i/>
          <w:iCs/>
          <w:sz w:val="16"/>
          <w:szCs w:val="16"/>
        </w:rPr>
      </w:pPr>
      <w:r w:rsidRPr="00085DA5">
        <w:rPr>
          <w:rFonts w:ascii="Verdana" w:hAnsi="Verdana"/>
          <w:i/>
          <w:iCs/>
          <w:sz w:val="16"/>
          <w:szCs w:val="16"/>
        </w:rPr>
        <w:t xml:space="preserve">1. La descripción de la necesidad que pretende satisfacer con la contratación.  </w:t>
      </w:r>
    </w:p>
    <w:p w:rsidRPr="00085DA5" w:rsidR="000E46C3" w:rsidP="00085DA5" w:rsidRDefault="000E46C3" w14:paraId="2997D248" w14:textId="77777777">
      <w:pPr>
        <w:pStyle w:val="Textonotapie"/>
        <w:tabs>
          <w:tab w:val="left" w:pos="142"/>
        </w:tabs>
        <w:ind w:firstLine="709"/>
        <w:jc w:val="both"/>
        <w:rPr>
          <w:rFonts w:ascii="Verdana" w:hAnsi="Verdana"/>
          <w:sz w:val="16"/>
          <w:szCs w:val="16"/>
        </w:rPr>
      </w:pPr>
      <w:r w:rsidRPr="00085DA5">
        <w:rPr>
          <w:rFonts w:ascii="Verdana" w:hAnsi="Verdana"/>
          <w:i/>
          <w:iCs/>
          <w:sz w:val="16"/>
          <w:szCs w:val="16"/>
        </w:rPr>
        <w:t>2. La descripción del objeto a contratar identificado con el cuarto nivel del Clasificador de Bienes y Servicios, de ser posible, o de lo contrario con el tercer nivel. </w:t>
      </w:r>
    </w:p>
    <w:p w:rsidRPr="00085DA5" w:rsidR="000E46C3" w:rsidP="00085DA5" w:rsidRDefault="000E46C3" w14:paraId="406ACE13" w14:textId="77777777">
      <w:pPr>
        <w:pStyle w:val="Textonotapie"/>
        <w:tabs>
          <w:tab w:val="left" w:pos="142"/>
        </w:tabs>
        <w:ind w:firstLine="709"/>
        <w:jc w:val="both"/>
        <w:rPr>
          <w:rFonts w:ascii="Verdana" w:hAnsi="Verdana"/>
          <w:sz w:val="16"/>
          <w:szCs w:val="16"/>
        </w:rPr>
      </w:pPr>
      <w:r w:rsidRPr="00085DA5">
        <w:rPr>
          <w:rFonts w:ascii="Verdana" w:hAnsi="Verdana"/>
          <w:i/>
          <w:iCs/>
          <w:sz w:val="16"/>
          <w:szCs w:val="16"/>
        </w:rPr>
        <w:t>3. Las condiciones técnicas exigidas.</w:t>
      </w:r>
    </w:p>
    <w:p w:rsidRPr="00085DA5" w:rsidR="000E46C3" w:rsidP="00085DA5" w:rsidRDefault="000E46C3" w14:paraId="5C709866" w14:textId="77777777">
      <w:pPr>
        <w:pStyle w:val="Textonotapie"/>
        <w:tabs>
          <w:tab w:val="left" w:pos="142"/>
        </w:tabs>
        <w:ind w:firstLine="709"/>
        <w:jc w:val="both"/>
        <w:rPr>
          <w:rFonts w:ascii="Verdana" w:hAnsi="Verdana"/>
          <w:sz w:val="16"/>
          <w:szCs w:val="16"/>
        </w:rPr>
      </w:pPr>
      <w:r w:rsidRPr="00085DA5">
        <w:rPr>
          <w:rFonts w:ascii="Verdana" w:hAnsi="Verdana"/>
          <w:i/>
          <w:iCs/>
          <w:sz w:val="16"/>
          <w:szCs w:val="16"/>
        </w:rPr>
        <w:t>4. El valor estimado del contrato y su justificación.</w:t>
      </w:r>
    </w:p>
    <w:p w:rsidRPr="00085DA5" w:rsidR="000E46C3" w:rsidP="00085DA5" w:rsidRDefault="000E46C3" w14:paraId="669377AA" w14:textId="77777777">
      <w:pPr>
        <w:pStyle w:val="Textonotapie"/>
        <w:tabs>
          <w:tab w:val="left" w:pos="142"/>
        </w:tabs>
        <w:ind w:firstLine="709"/>
        <w:jc w:val="both"/>
        <w:rPr>
          <w:rFonts w:ascii="Verdana" w:hAnsi="Verdana"/>
          <w:sz w:val="16"/>
          <w:szCs w:val="16"/>
        </w:rPr>
      </w:pPr>
      <w:r w:rsidRPr="00085DA5">
        <w:rPr>
          <w:rFonts w:ascii="Verdana" w:hAnsi="Verdana"/>
          <w:i/>
          <w:iCs/>
          <w:sz w:val="16"/>
          <w:szCs w:val="16"/>
        </w:rPr>
        <w:t>5. El plazo de ejecución del contrato. </w:t>
      </w:r>
    </w:p>
    <w:p w:rsidRPr="00085DA5" w:rsidR="000E46C3" w:rsidP="00085DA5" w:rsidRDefault="000E46C3" w14:paraId="4262A334" w14:textId="77777777">
      <w:pPr>
        <w:pStyle w:val="Textonotapie"/>
        <w:tabs>
          <w:tab w:val="left" w:pos="142"/>
        </w:tabs>
        <w:ind w:firstLine="709"/>
        <w:jc w:val="both"/>
        <w:rPr>
          <w:rFonts w:ascii="Verdana" w:hAnsi="Verdana"/>
          <w:sz w:val="16"/>
          <w:szCs w:val="16"/>
        </w:rPr>
      </w:pPr>
      <w:r w:rsidRPr="00085DA5">
        <w:rPr>
          <w:rFonts w:ascii="Verdana" w:hAnsi="Verdana"/>
          <w:i/>
          <w:iCs/>
          <w:sz w:val="16"/>
          <w:szCs w:val="16"/>
        </w:rPr>
        <w:t>6. El certificado de disponibilidad presupuesta! que respalda la contratación.</w:t>
      </w:r>
    </w:p>
    <w:p w:rsidRPr="00085DA5" w:rsidR="000E46C3" w:rsidP="00085DA5" w:rsidRDefault="000E46C3" w14:paraId="5D1BD1B0" w14:textId="77777777">
      <w:pPr>
        <w:pStyle w:val="Textonotapie"/>
        <w:ind w:firstLine="709"/>
        <w:jc w:val="both"/>
        <w:rPr>
          <w:rFonts w:ascii="Verdana" w:hAnsi="Verdana"/>
          <w:sz w:val="16"/>
          <w:szCs w:val="16"/>
        </w:rPr>
      </w:pPr>
      <w:r w:rsidRPr="00085DA5">
        <w:rPr>
          <w:rFonts w:ascii="Verdana" w:hAnsi="Verdana"/>
          <w:i/>
          <w:iCs/>
          <w:sz w:val="16"/>
          <w:szCs w:val="16"/>
        </w:rPr>
        <w:t>Parágrafo. Dentro de las condiciones técnicas exigidas se podrán incluir aspectos ambientales y sociales en los términos establecidos en el parágrafo del artículo 2.2.1.1.2.2.2. del presente Decreto." </w:t>
      </w:r>
    </w:p>
    <w:p w:rsidRPr="00085DA5" w:rsidR="000E46C3" w:rsidP="00085DA5" w:rsidRDefault="000E46C3" w14:paraId="0F4837F0" w14:textId="77777777">
      <w:pPr>
        <w:pStyle w:val="Textonotapie"/>
        <w:jc w:val="both"/>
        <w:rPr>
          <w:rFonts w:ascii="Verdana" w:hAnsi="Verdana"/>
          <w:sz w:val="16"/>
          <w:szCs w:val="16"/>
          <w:lang w:val="es-CO"/>
        </w:rPr>
      </w:pPr>
    </w:p>
  </w:footnote>
  <w:footnote w:id="6">
    <w:p w:rsidRPr="00085DA5" w:rsidR="000E46C3" w:rsidP="00085DA5" w:rsidRDefault="000E46C3" w14:paraId="6096B459" w14:textId="77777777">
      <w:pPr>
        <w:pStyle w:val="Textonotapie"/>
        <w:ind w:firstLine="708"/>
        <w:jc w:val="both"/>
        <w:rPr>
          <w:rFonts w:ascii="Verdana" w:hAnsi="Verdana" w:cs="Arial"/>
          <w:sz w:val="16"/>
          <w:szCs w:val="16"/>
        </w:rPr>
      </w:pPr>
      <w:r w:rsidRPr="00085DA5">
        <w:rPr>
          <w:rStyle w:val="Refdenotaalpie"/>
          <w:rFonts w:ascii="Verdana" w:hAnsi="Verdana" w:cs="Arial"/>
          <w:sz w:val="16"/>
          <w:szCs w:val="16"/>
        </w:rPr>
        <w:footnoteRef/>
      </w:r>
      <w:r w:rsidRPr="00085DA5">
        <w:rPr>
          <w:rFonts w:ascii="Verdana" w:hAnsi="Verdana" w:cs="Arial"/>
          <w:sz w:val="16"/>
          <w:szCs w:val="16"/>
        </w:rPr>
        <w:t xml:space="preserve"> PARÁGRAFO 1o. Las particularidades del procedimiento aquí previsto, así como la posibilidad que tengan las entidades de realizar estas adquisiciones a Mipymes o establecimientos que correspondan a la definición de "gran almacén" señalada por la Superintendencia de Industria y Comercio, se determinarán en el reglamento que para el efecto expida el Gobierno Nacional.</w:t>
      </w:r>
    </w:p>
  </w:footnote>
  <w:footnote w:id="7">
    <w:p w:rsidRPr="00085DA5" w:rsidR="000E46C3" w:rsidP="00085DA5" w:rsidRDefault="000E46C3" w14:paraId="1091A316" w14:textId="77777777">
      <w:pPr>
        <w:pStyle w:val="Textonotapie"/>
        <w:ind w:firstLine="709"/>
        <w:jc w:val="both"/>
        <w:rPr>
          <w:rFonts w:ascii="Verdana" w:hAnsi="Verdana" w:cs="Arial"/>
          <w:color w:val="000000"/>
          <w:sz w:val="16"/>
          <w:szCs w:val="16"/>
          <w:lang w:val="es-ES_tradnl"/>
        </w:rPr>
      </w:pPr>
      <w:r w:rsidRPr="00085DA5">
        <w:rPr>
          <w:rStyle w:val="Refdenotaalpie"/>
          <w:rFonts w:ascii="Verdana" w:hAnsi="Verdana" w:cs="Arial"/>
          <w:color w:val="000000"/>
          <w:sz w:val="16"/>
          <w:szCs w:val="16"/>
          <w:lang w:val="es-ES_tradnl"/>
        </w:rPr>
        <w:footnoteRef/>
      </w:r>
      <w:r w:rsidRPr="00085DA5">
        <w:rPr>
          <w:rFonts w:ascii="Verdana" w:hAnsi="Verdana" w:cs="Arial"/>
          <w:color w:val="000000"/>
          <w:sz w:val="16"/>
          <w:szCs w:val="16"/>
          <w:lang w:val="es-ES_tradnl"/>
        </w:rPr>
        <w:t xml:space="preserve"> Agencia Nacional de Contratación Pública – Colombia Compra Eficiente. Manual de la Modalidad de Selección de Mínima Cuantía En:</w:t>
      </w:r>
      <w:r w:rsidRPr="00085DA5">
        <w:rPr>
          <w:rFonts w:ascii="Verdana" w:hAnsi="Verdana"/>
          <w:sz w:val="16"/>
          <w:szCs w:val="16"/>
        </w:rPr>
        <w:t xml:space="preserve"> </w:t>
      </w:r>
      <w:hyperlink w:history="1" r:id="rId1">
        <w:r w:rsidRPr="00085DA5">
          <w:rPr>
            <w:rStyle w:val="Hipervnculo"/>
            <w:rFonts w:ascii="Verdana" w:hAnsi="Verdana" w:cs="Arial"/>
            <w:sz w:val="16"/>
            <w:szCs w:val="16"/>
            <w:lang w:val="es-ES_tradnl"/>
          </w:rPr>
          <w:t>https://www.colombiacompra.gov.co/manuales-guias-y-pliegos-tipo/manuales-y-guias</w:t>
        </w:r>
      </w:hyperlink>
      <w:r w:rsidRPr="00085DA5">
        <w:rPr>
          <w:rFonts w:ascii="Verdana" w:hAnsi="Verdana" w:cs="Arial"/>
          <w:color w:val="000000"/>
          <w:sz w:val="16"/>
          <w:szCs w:val="16"/>
          <w:lang w:val="es-ES_tradnl"/>
        </w:rPr>
        <w:t xml:space="preserve"> </w:t>
      </w:r>
    </w:p>
    <w:p w:rsidRPr="00085DA5" w:rsidR="000E46C3" w:rsidP="00085DA5" w:rsidRDefault="000E46C3" w14:paraId="3E2A33EC" w14:textId="77777777">
      <w:pPr>
        <w:pStyle w:val="Textonotapie"/>
        <w:jc w:val="both"/>
        <w:rPr>
          <w:rFonts w:ascii="Verdana" w:hAnsi="Verdana" w:cs="Arial"/>
          <w:color w:val="000000"/>
          <w:sz w:val="16"/>
          <w:szCs w:val="16"/>
          <w:lang w:val="es-ES_tradnl"/>
        </w:rPr>
      </w:pPr>
    </w:p>
    <w:p w:rsidRPr="00085DA5" w:rsidR="000E46C3" w:rsidP="00085DA5" w:rsidRDefault="000E46C3" w14:paraId="7416AFA9" w14:textId="77777777">
      <w:pPr>
        <w:pStyle w:val="Textonotapie"/>
        <w:ind w:firstLine="709"/>
        <w:jc w:val="both"/>
        <w:rPr>
          <w:rFonts w:ascii="Verdana" w:hAnsi="Verdana" w:cs="Arial"/>
          <w:color w:val="000000"/>
          <w:sz w:val="16"/>
          <w:szCs w:val="16"/>
          <w:lang w:val="es-ES_tradnl"/>
        </w:rPr>
      </w:pPr>
    </w:p>
  </w:footnote>
  <w:footnote w:id="8">
    <w:p w:rsidRPr="00085DA5" w:rsidR="000E46C3" w:rsidP="00085DA5" w:rsidRDefault="000E46C3" w14:paraId="255DD8D0" w14:textId="77777777">
      <w:pPr>
        <w:pStyle w:val="Textonotapie"/>
        <w:ind w:firstLine="709"/>
        <w:jc w:val="both"/>
        <w:rPr>
          <w:rFonts w:ascii="Verdana" w:hAnsi="Verdana" w:cs="Arial"/>
          <w:color w:val="000000"/>
          <w:sz w:val="16"/>
          <w:szCs w:val="16"/>
          <w:lang w:val="es-ES_tradnl"/>
        </w:rPr>
      </w:pPr>
      <w:r w:rsidRPr="00085DA5">
        <w:rPr>
          <w:rStyle w:val="Refdenotaalpie"/>
          <w:rFonts w:ascii="Verdana" w:hAnsi="Verdana" w:cs="Arial"/>
          <w:color w:val="000000"/>
          <w:sz w:val="16"/>
          <w:szCs w:val="16"/>
          <w:lang w:val="es-ES_tradnl"/>
        </w:rPr>
        <w:footnoteRef/>
      </w:r>
      <w:r w:rsidRPr="00085DA5">
        <w:rPr>
          <w:rFonts w:ascii="Verdana" w:hAnsi="Verdana" w:cs="Arial"/>
          <w:color w:val="000000"/>
          <w:sz w:val="16"/>
          <w:szCs w:val="16"/>
          <w:lang w:val="es-ES_tradnl"/>
        </w:rPr>
        <w:t xml:space="preserve"> Como lo indica la doctrina, en la mínima cuantía “El precio es el factor de selección del proponente. Es decir, la </w:t>
      </w:r>
      <w:r w:rsidRPr="00085DA5">
        <w:rPr>
          <w:rFonts w:ascii="Verdana" w:hAnsi="Verdana" w:cs="Arial"/>
          <w:i/>
          <w:iCs/>
          <w:color w:val="000000"/>
          <w:sz w:val="16"/>
          <w:szCs w:val="16"/>
          <w:lang w:val="es-ES_tradnl"/>
        </w:rPr>
        <w:t>entidad estatal</w:t>
      </w:r>
      <w:r w:rsidRPr="00085DA5">
        <w:rPr>
          <w:rFonts w:ascii="Verdana" w:hAnsi="Verdana" w:cs="Arial"/>
          <w:color w:val="000000"/>
          <w:sz w:val="16"/>
          <w:szCs w:val="16"/>
          <w:lang w:val="es-ES_tradnl"/>
        </w:rPr>
        <w:t xml:space="preserve"> debe adjudicar el </w:t>
      </w:r>
      <w:r w:rsidRPr="00085DA5">
        <w:rPr>
          <w:rFonts w:ascii="Verdana" w:hAnsi="Verdana" w:cs="Arial"/>
          <w:i/>
          <w:iCs/>
          <w:color w:val="000000"/>
          <w:sz w:val="16"/>
          <w:szCs w:val="16"/>
          <w:lang w:val="es-ES_tradnl"/>
        </w:rPr>
        <w:t>proceso de contratación</w:t>
      </w:r>
      <w:r w:rsidRPr="00085DA5">
        <w:rPr>
          <w:rFonts w:ascii="Verdana" w:hAnsi="Verdana" w:cs="Arial"/>
          <w:color w:val="000000"/>
          <w:sz w:val="16"/>
          <w:szCs w:val="16"/>
          <w:lang w:val="es-ES_tradnl"/>
        </w:rPr>
        <w:t xml:space="preserve"> al oferente que cumpla con todas las condiciones exigidas por la </w:t>
      </w:r>
      <w:r w:rsidRPr="00085DA5">
        <w:rPr>
          <w:rFonts w:ascii="Verdana" w:hAnsi="Verdana" w:cs="Arial"/>
          <w:i/>
          <w:iCs/>
          <w:color w:val="000000"/>
          <w:sz w:val="16"/>
          <w:szCs w:val="16"/>
          <w:lang w:val="es-ES_tradnl"/>
        </w:rPr>
        <w:t>entidad estatal</w:t>
      </w:r>
      <w:r w:rsidRPr="00085DA5">
        <w:rPr>
          <w:rFonts w:ascii="Verdana" w:hAnsi="Verdana" w:cs="Arial"/>
          <w:color w:val="000000"/>
          <w:sz w:val="16"/>
          <w:szCs w:val="16"/>
          <w:lang w:val="es-ES_tradnl"/>
        </w:rPr>
        <w:t xml:space="preserve"> en los </w:t>
      </w:r>
      <w:r w:rsidRPr="00085DA5">
        <w:rPr>
          <w:rFonts w:ascii="Verdana" w:hAnsi="Verdana" w:cs="Arial"/>
          <w:i/>
          <w:iCs/>
          <w:color w:val="000000"/>
          <w:sz w:val="16"/>
          <w:szCs w:val="16"/>
          <w:lang w:val="es-ES_tradnl"/>
        </w:rPr>
        <w:t>documentos del proceso</w:t>
      </w:r>
      <w:r w:rsidRPr="00085DA5">
        <w:rPr>
          <w:rFonts w:ascii="Verdana" w:hAnsi="Verdana" w:cs="Arial"/>
          <w:color w:val="000000"/>
          <w:sz w:val="16"/>
          <w:szCs w:val="16"/>
          <w:lang w:val="es-ES_tradnl"/>
        </w:rPr>
        <w:t xml:space="preserve"> (estudios previos e invitación a participar), y que ofrezca el menor valor. No hay lugar a puntajes para evaluar las ofertas sobre las características del objeto a contratar, su calidad o condiciones” (DÁVILA, Op.cit., p. 515).</w:t>
      </w:r>
    </w:p>
    <w:p w:rsidRPr="00085DA5" w:rsidR="000E46C3" w:rsidP="00085DA5" w:rsidRDefault="000E46C3" w14:paraId="1C536521" w14:textId="77777777">
      <w:pPr>
        <w:pStyle w:val="Textonotapie"/>
        <w:ind w:firstLine="709"/>
        <w:jc w:val="both"/>
        <w:rPr>
          <w:rFonts w:ascii="Verdana" w:hAnsi="Verdana" w:cs="Arial"/>
          <w:color w:val="000000"/>
          <w:sz w:val="16"/>
          <w:szCs w:val="16"/>
          <w:lang w:val="es-ES_tradnl"/>
        </w:rPr>
      </w:pPr>
    </w:p>
  </w:footnote>
  <w:footnote w:id="9">
    <w:p w:rsidRPr="00085DA5" w:rsidR="000E46C3" w:rsidP="00085DA5" w:rsidRDefault="000E46C3" w14:paraId="465B53FE" w14:textId="77777777">
      <w:pPr>
        <w:pStyle w:val="Textonotapie"/>
        <w:ind w:firstLine="708"/>
        <w:jc w:val="both"/>
        <w:rPr>
          <w:rFonts w:ascii="Verdana" w:hAnsi="Verdana" w:cs="Arial"/>
          <w:color w:val="000000"/>
          <w:sz w:val="16"/>
          <w:szCs w:val="16"/>
          <w:lang w:val="es-CO"/>
        </w:rPr>
      </w:pPr>
      <w:r w:rsidRPr="00085DA5">
        <w:rPr>
          <w:rStyle w:val="Refdenotaalpie"/>
          <w:rFonts w:ascii="Verdana" w:hAnsi="Verdana" w:cs="Arial"/>
          <w:color w:val="000000"/>
          <w:sz w:val="16"/>
          <w:szCs w:val="16"/>
        </w:rPr>
        <w:footnoteRef/>
      </w:r>
      <w:r w:rsidRPr="00085DA5">
        <w:rPr>
          <w:rFonts w:ascii="Verdana" w:hAnsi="Verdana" w:cs="Arial"/>
          <w:color w:val="000000"/>
          <w:sz w:val="16"/>
          <w:szCs w:val="16"/>
        </w:rPr>
        <w:t xml:space="preserve"> </w:t>
      </w:r>
      <w:r w:rsidRPr="00085DA5">
        <w:rPr>
          <w:rFonts w:ascii="Verdana" w:hAnsi="Verdana" w:cs="Arial"/>
          <w:color w:val="000000"/>
          <w:sz w:val="16"/>
          <w:szCs w:val="16"/>
          <w:lang w:val="es-CO"/>
        </w:rPr>
        <w:t xml:space="preserve">Manual de la Modalidad de Selección de Mínima Cuantía de Colombia Compra Eficiente, numeral 5.  </w:t>
      </w:r>
    </w:p>
    <w:p w:rsidRPr="00085DA5" w:rsidR="000E46C3" w:rsidP="00085DA5" w:rsidRDefault="000E46C3" w14:paraId="38B2092C" w14:textId="77777777">
      <w:pPr>
        <w:pStyle w:val="Textonotapie"/>
        <w:ind w:firstLine="708"/>
        <w:jc w:val="both"/>
        <w:rPr>
          <w:rFonts w:ascii="Verdana" w:hAnsi="Verdana" w:cs="Arial"/>
          <w:color w:val="000000"/>
          <w:sz w:val="16"/>
          <w:szCs w:val="16"/>
          <w:lang w:val="es-CO"/>
        </w:rPr>
      </w:pPr>
    </w:p>
  </w:footnote>
  <w:footnote w:id="10">
    <w:p w:rsidRPr="00085DA5" w:rsidR="000E46C3" w:rsidP="00085DA5" w:rsidRDefault="000E46C3" w14:paraId="2116A4EB" w14:textId="77777777">
      <w:pPr>
        <w:pStyle w:val="Textonotapie"/>
        <w:ind w:firstLine="708"/>
        <w:jc w:val="both"/>
        <w:rPr>
          <w:rFonts w:ascii="Verdana" w:hAnsi="Verdana" w:cs="Arial"/>
          <w:color w:val="000000"/>
          <w:sz w:val="16"/>
          <w:szCs w:val="16"/>
          <w:lang w:val="es-CO"/>
        </w:rPr>
      </w:pPr>
      <w:r w:rsidRPr="00085DA5">
        <w:rPr>
          <w:rStyle w:val="Refdenotaalpie"/>
          <w:rFonts w:ascii="Verdana" w:hAnsi="Verdana" w:cs="Arial"/>
          <w:color w:val="000000"/>
          <w:sz w:val="16"/>
          <w:szCs w:val="16"/>
        </w:rPr>
        <w:footnoteRef/>
      </w:r>
      <w:r w:rsidRPr="00085DA5">
        <w:rPr>
          <w:rFonts w:ascii="Verdana" w:hAnsi="Verdana" w:cs="Arial"/>
          <w:i/>
          <w:color w:val="000000"/>
          <w:sz w:val="16"/>
          <w:szCs w:val="16"/>
        </w:rPr>
        <w:t xml:space="preserve"> Ibídem.</w:t>
      </w:r>
      <w:r w:rsidRPr="00085DA5">
        <w:rPr>
          <w:rFonts w:ascii="Verdana" w:hAnsi="Verdana" w:cs="Arial"/>
          <w:color w:val="000000"/>
          <w:sz w:val="16"/>
          <w:szCs w:val="16"/>
        </w:rPr>
        <w:t xml:space="preserve">  </w:t>
      </w:r>
    </w:p>
  </w:footnote>
  <w:footnote w:id="11">
    <w:p w:rsidRPr="00085DA5" w:rsidR="000E46C3" w:rsidP="00085DA5" w:rsidRDefault="000E46C3" w14:paraId="7CC18D3B" w14:textId="77777777">
      <w:pPr>
        <w:pStyle w:val="Textonotapie"/>
        <w:ind w:firstLine="709"/>
        <w:jc w:val="both"/>
        <w:rPr>
          <w:rFonts w:ascii="Verdana" w:hAnsi="Verdana"/>
          <w:sz w:val="16"/>
          <w:szCs w:val="16"/>
          <w:lang w:val="es-CO"/>
        </w:rPr>
      </w:pPr>
      <w:r w:rsidRPr="00085DA5">
        <w:rPr>
          <w:rStyle w:val="Refdenotaalpie"/>
          <w:rFonts w:ascii="Verdana" w:hAnsi="Verdana"/>
          <w:sz w:val="16"/>
          <w:szCs w:val="16"/>
        </w:rPr>
        <w:footnoteRef/>
      </w:r>
      <w:r w:rsidRPr="00085DA5">
        <w:rPr>
          <w:rFonts w:ascii="Verdana" w:hAnsi="Verdana"/>
          <w:sz w:val="16"/>
          <w:szCs w:val="16"/>
        </w:rPr>
        <w:t xml:space="preserve"> Disponible en: </w:t>
      </w:r>
      <w:hyperlink w:history="1" r:id="rId2">
        <w:r w:rsidRPr="00085DA5">
          <w:rPr>
            <w:rStyle w:val="Hipervnculo"/>
            <w:rFonts w:ascii="Verdana" w:hAnsi="Verdana" w:eastAsia="Calibri" w:cs="Arial"/>
            <w:sz w:val="16"/>
            <w:szCs w:val="16"/>
            <w:lang w:val="es-ES"/>
          </w:rPr>
          <w:t>https://www.colombiacompra.gov.co/node/22983</w:t>
        </w:r>
      </w:hyperlink>
      <w:r w:rsidRPr="00085DA5">
        <w:rPr>
          <w:rFonts w:ascii="Verdana" w:hAnsi="Verdana" w:eastAsia="Calibri" w:cs="Arial"/>
          <w:sz w:val="16"/>
          <w:szCs w:val="16"/>
          <w:lang w:val="es-ES"/>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006F59" w:rsidP="00006F59" w:rsidRDefault="00006F59" w14:paraId="5F149BFF" w14:textId="77777777">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4812B632" wp14:editId="2E35C64A">
          <wp:simplePos x="0" y="0"/>
          <wp:positionH relativeFrom="margin">
            <wp:align>center</wp:align>
          </wp:positionH>
          <wp:positionV relativeFrom="paragraph">
            <wp:posOffset>-250190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8240" behindDoc="0" locked="0" layoutInCell="1" allowOverlap="1" wp14:anchorId="292DC36A" wp14:editId="6004C65E">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rsidR="00006F59" w:rsidP="00006F59" w:rsidRDefault="00006F59" w14:paraId="34B171C2" w14:textId="77777777">
    <w:pPr>
      <w:pStyle w:val="Encabezado"/>
      <w:jc w:val="center"/>
    </w:pPr>
  </w:p>
  <w:p w:rsidR="00006F59" w:rsidP="00006F59" w:rsidRDefault="00006F59" w14:paraId="1665FD71" w14:textId="77777777">
    <w:pPr>
      <w:pStyle w:val="Encabezado"/>
    </w:pPr>
  </w:p>
  <w:p w:rsidR="00006F59" w:rsidP="00006F59" w:rsidRDefault="00006F59" w14:paraId="61B882FC" w14:textId="77777777">
    <w:pPr>
      <w:spacing w:after="0"/>
      <w:rPr>
        <w:rFonts w:ascii="Verdana" w:hAnsi="Verdana"/>
        <w:b/>
        <w:bCs/>
        <w:sz w:val="24"/>
        <w:szCs w:val="24"/>
      </w:rPr>
    </w:pPr>
  </w:p>
  <w:p w:rsidRPr="00A211EE" w:rsidR="00006F59" w:rsidP="001918F1" w:rsidRDefault="00006F59" w14:paraId="701A9D55" w14:textId="29EB49FC">
    <w:pPr>
      <w:tabs>
        <w:tab w:val="left" w:pos="6217"/>
      </w:tabs>
      <w:spacing w:after="0"/>
      <w:rPr>
        <w:rFonts w:ascii="Verdana" w:hAnsi="Verdana"/>
        <w:b/>
        <w:bCs/>
        <w:sz w:val="24"/>
        <w:szCs w:val="24"/>
      </w:rPr>
    </w:pPr>
    <w:r w:rsidRPr="00A211EE">
      <w:rPr>
        <w:rFonts w:ascii="Verdana" w:hAnsi="Verdana"/>
        <w:b/>
        <w:bCs/>
        <w:sz w:val="24"/>
        <w:szCs w:val="24"/>
      </w:rPr>
      <w:t>FORMATO PQRSD</w:t>
    </w:r>
  </w:p>
  <w:p w:rsidRPr="00006F59" w:rsidR="00B30448" w:rsidP="00006F59" w:rsidRDefault="00B30448" w14:paraId="68E0C024" w14:textId="62811F13">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239D63F5"/>
    <w:multiLevelType w:val="hybridMultilevel"/>
    <w:tmpl w:val="F538EEB4"/>
    <w:lvl w:ilvl="0" w:tplc="DB68C6FA">
      <w:numFmt w:val="bullet"/>
      <w:lvlText w:val="-"/>
      <w:lvlJc w:val="left"/>
      <w:pPr>
        <w:ind w:left="1069" w:hanging="360"/>
      </w:pPr>
      <w:rPr>
        <w:rFonts w:hint="default" w:ascii="Verdana" w:hAnsi="Verdana" w:eastAsia="Calibri" w:cs="Arial"/>
      </w:rPr>
    </w:lvl>
    <w:lvl w:ilvl="1" w:tplc="240A0003" w:tentative="1">
      <w:start w:val="1"/>
      <w:numFmt w:val="bullet"/>
      <w:lvlText w:val="o"/>
      <w:lvlJc w:val="left"/>
      <w:pPr>
        <w:ind w:left="1789" w:hanging="360"/>
      </w:pPr>
      <w:rPr>
        <w:rFonts w:hint="default" w:ascii="Courier New" w:hAnsi="Courier New" w:cs="Courier New"/>
      </w:rPr>
    </w:lvl>
    <w:lvl w:ilvl="2" w:tplc="240A0005" w:tentative="1">
      <w:start w:val="1"/>
      <w:numFmt w:val="bullet"/>
      <w:lvlText w:val=""/>
      <w:lvlJc w:val="left"/>
      <w:pPr>
        <w:ind w:left="2509" w:hanging="360"/>
      </w:pPr>
      <w:rPr>
        <w:rFonts w:hint="default" w:ascii="Wingdings" w:hAnsi="Wingdings"/>
      </w:rPr>
    </w:lvl>
    <w:lvl w:ilvl="3" w:tplc="240A0001" w:tentative="1">
      <w:start w:val="1"/>
      <w:numFmt w:val="bullet"/>
      <w:lvlText w:val=""/>
      <w:lvlJc w:val="left"/>
      <w:pPr>
        <w:ind w:left="3229" w:hanging="360"/>
      </w:pPr>
      <w:rPr>
        <w:rFonts w:hint="default" w:ascii="Symbol" w:hAnsi="Symbol"/>
      </w:rPr>
    </w:lvl>
    <w:lvl w:ilvl="4" w:tplc="240A0003" w:tentative="1">
      <w:start w:val="1"/>
      <w:numFmt w:val="bullet"/>
      <w:lvlText w:val="o"/>
      <w:lvlJc w:val="left"/>
      <w:pPr>
        <w:ind w:left="3949" w:hanging="360"/>
      </w:pPr>
      <w:rPr>
        <w:rFonts w:hint="default" w:ascii="Courier New" w:hAnsi="Courier New" w:cs="Courier New"/>
      </w:rPr>
    </w:lvl>
    <w:lvl w:ilvl="5" w:tplc="240A0005" w:tentative="1">
      <w:start w:val="1"/>
      <w:numFmt w:val="bullet"/>
      <w:lvlText w:val=""/>
      <w:lvlJc w:val="left"/>
      <w:pPr>
        <w:ind w:left="4669" w:hanging="360"/>
      </w:pPr>
      <w:rPr>
        <w:rFonts w:hint="default" w:ascii="Wingdings" w:hAnsi="Wingdings"/>
      </w:rPr>
    </w:lvl>
    <w:lvl w:ilvl="6" w:tplc="240A0001" w:tentative="1">
      <w:start w:val="1"/>
      <w:numFmt w:val="bullet"/>
      <w:lvlText w:val=""/>
      <w:lvlJc w:val="left"/>
      <w:pPr>
        <w:ind w:left="5389" w:hanging="360"/>
      </w:pPr>
      <w:rPr>
        <w:rFonts w:hint="default" w:ascii="Symbol" w:hAnsi="Symbol"/>
      </w:rPr>
    </w:lvl>
    <w:lvl w:ilvl="7" w:tplc="240A0003" w:tentative="1">
      <w:start w:val="1"/>
      <w:numFmt w:val="bullet"/>
      <w:lvlText w:val="o"/>
      <w:lvlJc w:val="left"/>
      <w:pPr>
        <w:ind w:left="6109" w:hanging="360"/>
      </w:pPr>
      <w:rPr>
        <w:rFonts w:hint="default" w:ascii="Courier New" w:hAnsi="Courier New" w:cs="Courier New"/>
      </w:rPr>
    </w:lvl>
    <w:lvl w:ilvl="8" w:tplc="240A0005" w:tentative="1">
      <w:start w:val="1"/>
      <w:numFmt w:val="bullet"/>
      <w:lvlText w:val=""/>
      <w:lvlJc w:val="left"/>
      <w:pPr>
        <w:ind w:left="6829" w:hanging="360"/>
      </w:pPr>
      <w:rPr>
        <w:rFonts w:hint="default" w:ascii="Wingdings" w:hAnsi="Wingdings"/>
      </w:rPr>
    </w:lvl>
  </w:abstractNum>
  <w:abstractNum w:abstractNumId="2" w15:restartNumberingAfterBreak="0">
    <w:nsid w:val="27A93AAD"/>
    <w:multiLevelType w:val="hybridMultilevel"/>
    <w:tmpl w:val="5A8E9430"/>
    <w:lvl w:ilvl="0" w:tplc="E65CE088">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318E5EF0"/>
    <w:multiLevelType w:val="hybridMultilevel"/>
    <w:tmpl w:val="BAEA2E58"/>
    <w:lvl w:ilvl="0" w:tplc="040A0001">
      <w:start w:val="1"/>
      <w:numFmt w:val="bullet"/>
      <w:lvlText w:val=""/>
      <w:lvlJc w:val="left"/>
      <w:pPr>
        <w:ind w:left="720" w:hanging="360"/>
      </w:pPr>
      <w:rPr>
        <w:rFonts w:hint="default" w:ascii="Symbol" w:hAnsi="Symbol"/>
      </w:rPr>
    </w:lvl>
    <w:lvl w:ilvl="1" w:tplc="040A0003" w:tentative="1">
      <w:start w:val="1"/>
      <w:numFmt w:val="bullet"/>
      <w:lvlText w:val="o"/>
      <w:lvlJc w:val="left"/>
      <w:pPr>
        <w:ind w:left="1440" w:hanging="360"/>
      </w:pPr>
      <w:rPr>
        <w:rFonts w:hint="default" w:ascii="Courier New" w:hAnsi="Courier New" w:cs="Courier New"/>
      </w:rPr>
    </w:lvl>
    <w:lvl w:ilvl="2" w:tplc="040A0005" w:tentative="1">
      <w:start w:val="1"/>
      <w:numFmt w:val="bullet"/>
      <w:lvlText w:val=""/>
      <w:lvlJc w:val="left"/>
      <w:pPr>
        <w:ind w:left="2160" w:hanging="360"/>
      </w:pPr>
      <w:rPr>
        <w:rFonts w:hint="default" w:ascii="Wingdings" w:hAnsi="Wingdings"/>
      </w:rPr>
    </w:lvl>
    <w:lvl w:ilvl="3" w:tplc="040A0001" w:tentative="1">
      <w:start w:val="1"/>
      <w:numFmt w:val="bullet"/>
      <w:lvlText w:val=""/>
      <w:lvlJc w:val="left"/>
      <w:pPr>
        <w:ind w:left="2880" w:hanging="360"/>
      </w:pPr>
      <w:rPr>
        <w:rFonts w:hint="default" w:ascii="Symbol" w:hAnsi="Symbol"/>
      </w:rPr>
    </w:lvl>
    <w:lvl w:ilvl="4" w:tplc="040A0003" w:tentative="1">
      <w:start w:val="1"/>
      <w:numFmt w:val="bullet"/>
      <w:lvlText w:val="o"/>
      <w:lvlJc w:val="left"/>
      <w:pPr>
        <w:ind w:left="3600" w:hanging="360"/>
      </w:pPr>
      <w:rPr>
        <w:rFonts w:hint="default" w:ascii="Courier New" w:hAnsi="Courier New" w:cs="Courier New"/>
      </w:rPr>
    </w:lvl>
    <w:lvl w:ilvl="5" w:tplc="040A0005" w:tentative="1">
      <w:start w:val="1"/>
      <w:numFmt w:val="bullet"/>
      <w:lvlText w:val=""/>
      <w:lvlJc w:val="left"/>
      <w:pPr>
        <w:ind w:left="4320" w:hanging="360"/>
      </w:pPr>
      <w:rPr>
        <w:rFonts w:hint="default" w:ascii="Wingdings" w:hAnsi="Wingdings"/>
      </w:rPr>
    </w:lvl>
    <w:lvl w:ilvl="6" w:tplc="040A0001" w:tentative="1">
      <w:start w:val="1"/>
      <w:numFmt w:val="bullet"/>
      <w:lvlText w:val=""/>
      <w:lvlJc w:val="left"/>
      <w:pPr>
        <w:ind w:left="5040" w:hanging="360"/>
      </w:pPr>
      <w:rPr>
        <w:rFonts w:hint="default" w:ascii="Symbol" w:hAnsi="Symbol"/>
      </w:rPr>
    </w:lvl>
    <w:lvl w:ilvl="7" w:tplc="040A0003" w:tentative="1">
      <w:start w:val="1"/>
      <w:numFmt w:val="bullet"/>
      <w:lvlText w:val="o"/>
      <w:lvlJc w:val="left"/>
      <w:pPr>
        <w:ind w:left="5760" w:hanging="360"/>
      </w:pPr>
      <w:rPr>
        <w:rFonts w:hint="default" w:ascii="Courier New" w:hAnsi="Courier New" w:cs="Courier New"/>
      </w:rPr>
    </w:lvl>
    <w:lvl w:ilvl="8" w:tplc="040A0005" w:tentative="1">
      <w:start w:val="1"/>
      <w:numFmt w:val="bullet"/>
      <w:lvlText w:val=""/>
      <w:lvlJc w:val="left"/>
      <w:pPr>
        <w:ind w:left="6480" w:hanging="360"/>
      </w:pPr>
      <w:rPr>
        <w:rFonts w:hint="default" w:ascii="Wingdings" w:hAnsi="Wingdings"/>
      </w:rPr>
    </w:lvl>
  </w:abstractNum>
  <w:abstractNum w:abstractNumId="4" w15:restartNumberingAfterBreak="0">
    <w:nsid w:val="39D726F5"/>
    <w:multiLevelType w:val="hybridMultilevel"/>
    <w:tmpl w:val="7BDC1A10"/>
    <w:lvl w:ilvl="0" w:tplc="040A0001">
      <w:start w:val="1"/>
      <w:numFmt w:val="bullet"/>
      <w:lvlText w:val=""/>
      <w:lvlJc w:val="left"/>
      <w:pPr>
        <w:ind w:left="720" w:hanging="360"/>
      </w:pPr>
      <w:rPr>
        <w:rFonts w:hint="default" w:ascii="Symbol" w:hAnsi="Symbol"/>
      </w:rPr>
    </w:lvl>
    <w:lvl w:ilvl="1" w:tplc="040A0003" w:tentative="1">
      <w:start w:val="1"/>
      <w:numFmt w:val="bullet"/>
      <w:lvlText w:val="o"/>
      <w:lvlJc w:val="left"/>
      <w:pPr>
        <w:ind w:left="1440" w:hanging="360"/>
      </w:pPr>
      <w:rPr>
        <w:rFonts w:hint="default" w:ascii="Courier New" w:hAnsi="Courier New" w:cs="Courier New"/>
      </w:rPr>
    </w:lvl>
    <w:lvl w:ilvl="2" w:tplc="040A0005" w:tentative="1">
      <w:start w:val="1"/>
      <w:numFmt w:val="bullet"/>
      <w:lvlText w:val=""/>
      <w:lvlJc w:val="left"/>
      <w:pPr>
        <w:ind w:left="2160" w:hanging="360"/>
      </w:pPr>
      <w:rPr>
        <w:rFonts w:hint="default" w:ascii="Wingdings" w:hAnsi="Wingdings"/>
      </w:rPr>
    </w:lvl>
    <w:lvl w:ilvl="3" w:tplc="040A0001" w:tentative="1">
      <w:start w:val="1"/>
      <w:numFmt w:val="bullet"/>
      <w:lvlText w:val=""/>
      <w:lvlJc w:val="left"/>
      <w:pPr>
        <w:ind w:left="2880" w:hanging="360"/>
      </w:pPr>
      <w:rPr>
        <w:rFonts w:hint="default" w:ascii="Symbol" w:hAnsi="Symbol"/>
      </w:rPr>
    </w:lvl>
    <w:lvl w:ilvl="4" w:tplc="040A0003" w:tentative="1">
      <w:start w:val="1"/>
      <w:numFmt w:val="bullet"/>
      <w:lvlText w:val="o"/>
      <w:lvlJc w:val="left"/>
      <w:pPr>
        <w:ind w:left="3600" w:hanging="360"/>
      </w:pPr>
      <w:rPr>
        <w:rFonts w:hint="default" w:ascii="Courier New" w:hAnsi="Courier New" w:cs="Courier New"/>
      </w:rPr>
    </w:lvl>
    <w:lvl w:ilvl="5" w:tplc="040A0005" w:tentative="1">
      <w:start w:val="1"/>
      <w:numFmt w:val="bullet"/>
      <w:lvlText w:val=""/>
      <w:lvlJc w:val="left"/>
      <w:pPr>
        <w:ind w:left="4320" w:hanging="360"/>
      </w:pPr>
      <w:rPr>
        <w:rFonts w:hint="default" w:ascii="Wingdings" w:hAnsi="Wingdings"/>
      </w:rPr>
    </w:lvl>
    <w:lvl w:ilvl="6" w:tplc="040A0001" w:tentative="1">
      <w:start w:val="1"/>
      <w:numFmt w:val="bullet"/>
      <w:lvlText w:val=""/>
      <w:lvlJc w:val="left"/>
      <w:pPr>
        <w:ind w:left="5040" w:hanging="360"/>
      </w:pPr>
      <w:rPr>
        <w:rFonts w:hint="default" w:ascii="Symbol" w:hAnsi="Symbol"/>
      </w:rPr>
    </w:lvl>
    <w:lvl w:ilvl="7" w:tplc="040A0003" w:tentative="1">
      <w:start w:val="1"/>
      <w:numFmt w:val="bullet"/>
      <w:lvlText w:val="o"/>
      <w:lvlJc w:val="left"/>
      <w:pPr>
        <w:ind w:left="5760" w:hanging="360"/>
      </w:pPr>
      <w:rPr>
        <w:rFonts w:hint="default" w:ascii="Courier New" w:hAnsi="Courier New" w:cs="Courier New"/>
      </w:rPr>
    </w:lvl>
    <w:lvl w:ilvl="8" w:tplc="040A0005" w:tentative="1">
      <w:start w:val="1"/>
      <w:numFmt w:val="bullet"/>
      <w:lvlText w:val=""/>
      <w:lvlJc w:val="left"/>
      <w:pPr>
        <w:ind w:left="6480" w:hanging="360"/>
      </w:pPr>
      <w:rPr>
        <w:rFonts w:hint="default" w:ascii="Wingdings" w:hAnsi="Wingdings"/>
      </w:rPr>
    </w:lvl>
  </w:abstractNum>
  <w:abstractNum w:abstractNumId="5" w15:restartNumberingAfterBreak="0">
    <w:nsid w:val="475C5A77"/>
    <w:multiLevelType w:val="hybridMultilevel"/>
    <w:tmpl w:val="F5321E28"/>
    <w:lvl w:ilvl="0" w:tplc="240A0001">
      <w:start w:val="1"/>
      <w:numFmt w:val="bullet"/>
      <w:lvlText w:val=""/>
      <w:lvlJc w:val="left"/>
      <w:pPr>
        <w:ind w:left="720" w:hanging="360"/>
      </w:pPr>
      <w:rPr>
        <w:rFonts w:hint="default" w:ascii="Symbol" w:hAnsi="Symbol"/>
      </w:rPr>
    </w:lvl>
    <w:lvl w:ilvl="1" w:tplc="240A0003">
      <w:start w:val="1"/>
      <w:numFmt w:val="bullet"/>
      <w:lvlText w:val="o"/>
      <w:lvlJc w:val="left"/>
      <w:pPr>
        <w:ind w:left="1440" w:hanging="360"/>
      </w:pPr>
      <w:rPr>
        <w:rFonts w:hint="default" w:ascii="Courier New" w:hAnsi="Courier New" w:cs="Courier New"/>
      </w:rPr>
    </w:lvl>
    <w:lvl w:ilvl="2" w:tplc="240A0005" w:tentative="1">
      <w:start w:val="1"/>
      <w:numFmt w:val="bullet"/>
      <w:lvlText w:val=""/>
      <w:lvlJc w:val="left"/>
      <w:pPr>
        <w:ind w:left="2160" w:hanging="360"/>
      </w:pPr>
      <w:rPr>
        <w:rFonts w:hint="default" w:ascii="Wingdings" w:hAnsi="Wingdings"/>
      </w:rPr>
    </w:lvl>
    <w:lvl w:ilvl="3" w:tplc="240A0001" w:tentative="1">
      <w:start w:val="1"/>
      <w:numFmt w:val="bullet"/>
      <w:lvlText w:val=""/>
      <w:lvlJc w:val="left"/>
      <w:pPr>
        <w:ind w:left="2880" w:hanging="360"/>
      </w:pPr>
      <w:rPr>
        <w:rFonts w:hint="default" w:ascii="Symbol" w:hAnsi="Symbol"/>
      </w:rPr>
    </w:lvl>
    <w:lvl w:ilvl="4" w:tplc="240A0003" w:tentative="1">
      <w:start w:val="1"/>
      <w:numFmt w:val="bullet"/>
      <w:lvlText w:val="o"/>
      <w:lvlJc w:val="left"/>
      <w:pPr>
        <w:ind w:left="3600" w:hanging="360"/>
      </w:pPr>
      <w:rPr>
        <w:rFonts w:hint="default" w:ascii="Courier New" w:hAnsi="Courier New" w:cs="Courier New"/>
      </w:rPr>
    </w:lvl>
    <w:lvl w:ilvl="5" w:tplc="240A0005" w:tentative="1">
      <w:start w:val="1"/>
      <w:numFmt w:val="bullet"/>
      <w:lvlText w:val=""/>
      <w:lvlJc w:val="left"/>
      <w:pPr>
        <w:ind w:left="4320" w:hanging="360"/>
      </w:pPr>
      <w:rPr>
        <w:rFonts w:hint="default" w:ascii="Wingdings" w:hAnsi="Wingdings"/>
      </w:rPr>
    </w:lvl>
    <w:lvl w:ilvl="6" w:tplc="240A0001" w:tentative="1">
      <w:start w:val="1"/>
      <w:numFmt w:val="bullet"/>
      <w:lvlText w:val=""/>
      <w:lvlJc w:val="left"/>
      <w:pPr>
        <w:ind w:left="5040" w:hanging="360"/>
      </w:pPr>
      <w:rPr>
        <w:rFonts w:hint="default" w:ascii="Symbol" w:hAnsi="Symbol"/>
      </w:rPr>
    </w:lvl>
    <w:lvl w:ilvl="7" w:tplc="240A0003" w:tentative="1">
      <w:start w:val="1"/>
      <w:numFmt w:val="bullet"/>
      <w:lvlText w:val="o"/>
      <w:lvlJc w:val="left"/>
      <w:pPr>
        <w:ind w:left="5760" w:hanging="360"/>
      </w:pPr>
      <w:rPr>
        <w:rFonts w:hint="default" w:ascii="Courier New" w:hAnsi="Courier New" w:cs="Courier New"/>
      </w:rPr>
    </w:lvl>
    <w:lvl w:ilvl="8" w:tplc="240A0005" w:tentative="1">
      <w:start w:val="1"/>
      <w:numFmt w:val="bullet"/>
      <w:lvlText w:val=""/>
      <w:lvlJc w:val="left"/>
      <w:pPr>
        <w:ind w:left="6480" w:hanging="360"/>
      </w:pPr>
      <w:rPr>
        <w:rFonts w:hint="default" w:ascii="Wingdings" w:hAnsi="Wingdings"/>
      </w:rPr>
    </w:lvl>
  </w:abstractNum>
  <w:abstractNum w:abstractNumId="6" w15:restartNumberingAfterBreak="0">
    <w:nsid w:val="77681820"/>
    <w:multiLevelType w:val="hybridMultilevel"/>
    <w:tmpl w:val="978A0422"/>
    <w:lvl w:ilvl="0" w:tplc="240A0001">
      <w:start w:val="1"/>
      <w:numFmt w:val="bullet"/>
      <w:lvlText w:val=""/>
      <w:lvlJc w:val="left"/>
      <w:pPr>
        <w:ind w:left="720" w:hanging="360"/>
      </w:pPr>
      <w:rPr>
        <w:rFonts w:hint="default" w:ascii="Symbol" w:hAnsi="Symbol"/>
      </w:rPr>
    </w:lvl>
    <w:lvl w:ilvl="1" w:tplc="240A0003" w:tentative="1">
      <w:start w:val="1"/>
      <w:numFmt w:val="bullet"/>
      <w:lvlText w:val="o"/>
      <w:lvlJc w:val="left"/>
      <w:pPr>
        <w:ind w:left="1440" w:hanging="360"/>
      </w:pPr>
      <w:rPr>
        <w:rFonts w:hint="default" w:ascii="Courier New" w:hAnsi="Courier New" w:cs="Courier New"/>
      </w:rPr>
    </w:lvl>
    <w:lvl w:ilvl="2" w:tplc="240A0005" w:tentative="1">
      <w:start w:val="1"/>
      <w:numFmt w:val="bullet"/>
      <w:lvlText w:val=""/>
      <w:lvlJc w:val="left"/>
      <w:pPr>
        <w:ind w:left="2160" w:hanging="360"/>
      </w:pPr>
      <w:rPr>
        <w:rFonts w:hint="default" w:ascii="Wingdings" w:hAnsi="Wingdings"/>
      </w:rPr>
    </w:lvl>
    <w:lvl w:ilvl="3" w:tplc="240A0001" w:tentative="1">
      <w:start w:val="1"/>
      <w:numFmt w:val="bullet"/>
      <w:lvlText w:val=""/>
      <w:lvlJc w:val="left"/>
      <w:pPr>
        <w:ind w:left="2880" w:hanging="360"/>
      </w:pPr>
      <w:rPr>
        <w:rFonts w:hint="default" w:ascii="Symbol" w:hAnsi="Symbol"/>
      </w:rPr>
    </w:lvl>
    <w:lvl w:ilvl="4" w:tplc="240A0003" w:tentative="1">
      <w:start w:val="1"/>
      <w:numFmt w:val="bullet"/>
      <w:lvlText w:val="o"/>
      <w:lvlJc w:val="left"/>
      <w:pPr>
        <w:ind w:left="3600" w:hanging="360"/>
      </w:pPr>
      <w:rPr>
        <w:rFonts w:hint="default" w:ascii="Courier New" w:hAnsi="Courier New" w:cs="Courier New"/>
      </w:rPr>
    </w:lvl>
    <w:lvl w:ilvl="5" w:tplc="240A0005" w:tentative="1">
      <w:start w:val="1"/>
      <w:numFmt w:val="bullet"/>
      <w:lvlText w:val=""/>
      <w:lvlJc w:val="left"/>
      <w:pPr>
        <w:ind w:left="4320" w:hanging="360"/>
      </w:pPr>
      <w:rPr>
        <w:rFonts w:hint="default" w:ascii="Wingdings" w:hAnsi="Wingdings"/>
      </w:rPr>
    </w:lvl>
    <w:lvl w:ilvl="6" w:tplc="240A0001" w:tentative="1">
      <w:start w:val="1"/>
      <w:numFmt w:val="bullet"/>
      <w:lvlText w:val=""/>
      <w:lvlJc w:val="left"/>
      <w:pPr>
        <w:ind w:left="5040" w:hanging="360"/>
      </w:pPr>
      <w:rPr>
        <w:rFonts w:hint="default" w:ascii="Symbol" w:hAnsi="Symbol"/>
      </w:rPr>
    </w:lvl>
    <w:lvl w:ilvl="7" w:tplc="240A0003" w:tentative="1">
      <w:start w:val="1"/>
      <w:numFmt w:val="bullet"/>
      <w:lvlText w:val="o"/>
      <w:lvlJc w:val="left"/>
      <w:pPr>
        <w:ind w:left="5760" w:hanging="360"/>
      </w:pPr>
      <w:rPr>
        <w:rFonts w:hint="default" w:ascii="Courier New" w:hAnsi="Courier New" w:cs="Courier New"/>
      </w:rPr>
    </w:lvl>
    <w:lvl w:ilvl="8" w:tplc="240A0005" w:tentative="1">
      <w:start w:val="1"/>
      <w:numFmt w:val="bullet"/>
      <w:lvlText w:val=""/>
      <w:lvlJc w:val="left"/>
      <w:pPr>
        <w:ind w:left="6480" w:hanging="360"/>
      </w:pPr>
      <w:rPr>
        <w:rFonts w:hint="default" w:ascii="Wingdings" w:hAnsi="Wingdings"/>
      </w:rPr>
    </w:lvl>
  </w:abstractNum>
  <w:abstractNum w:abstractNumId="7" w15:restartNumberingAfterBreak="0">
    <w:nsid w:val="7DD23916"/>
    <w:multiLevelType w:val="multilevel"/>
    <w:tmpl w:val="89F2ADC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num w:numId="1" w16cid:durableId="1330140246">
    <w:abstractNumId w:val="0"/>
  </w:num>
  <w:num w:numId="2" w16cid:durableId="1492209491">
    <w:abstractNumId w:val="3"/>
  </w:num>
  <w:num w:numId="3" w16cid:durableId="679089576">
    <w:abstractNumId w:val="4"/>
  </w:num>
  <w:num w:numId="4" w16cid:durableId="893472101">
    <w:abstractNumId w:val="1"/>
  </w:num>
  <w:num w:numId="5" w16cid:durableId="1982299905">
    <w:abstractNumId w:val="7"/>
  </w:num>
  <w:num w:numId="6" w16cid:durableId="130758360">
    <w:abstractNumId w:val="5"/>
  </w:num>
  <w:num w:numId="7" w16cid:durableId="262541512">
    <w:abstractNumId w:val="6"/>
  </w:num>
  <w:num w:numId="8" w16cid:durableId="1509560333">
    <w:abstractNumId w:val="2"/>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trackRevisions w:val="false"/>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01F1"/>
    <w:rsid w:val="00001B12"/>
    <w:rsid w:val="00001B99"/>
    <w:rsid w:val="00001E39"/>
    <w:rsid w:val="00002920"/>
    <w:rsid w:val="00002D55"/>
    <w:rsid w:val="0000399A"/>
    <w:rsid w:val="00003B24"/>
    <w:rsid w:val="00005225"/>
    <w:rsid w:val="000054DB"/>
    <w:rsid w:val="000059AE"/>
    <w:rsid w:val="00005BB0"/>
    <w:rsid w:val="00006F59"/>
    <w:rsid w:val="0001025F"/>
    <w:rsid w:val="0001155E"/>
    <w:rsid w:val="00011613"/>
    <w:rsid w:val="00011D3C"/>
    <w:rsid w:val="0001222D"/>
    <w:rsid w:val="00012EDA"/>
    <w:rsid w:val="00013180"/>
    <w:rsid w:val="00013B3F"/>
    <w:rsid w:val="00014981"/>
    <w:rsid w:val="00016280"/>
    <w:rsid w:val="0001672C"/>
    <w:rsid w:val="00016F04"/>
    <w:rsid w:val="00017870"/>
    <w:rsid w:val="000219D1"/>
    <w:rsid w:val="00021C3A"/>
    <w:rsid w:val="0002202D"/>
    <w:rsid w:val="000225E8"/>
    <w:rsid w:val="000267DD"/>
    <w:rsid w:val="000273EA"/>
    <w:rsid w:val="0002769D"/>
    <w:rsid w:val="00027B63"/>
    <w:rsid w:val="00030B3D"/>
    <w:rsid w:val="00030BC5"/>
    <w:rsid w:val="00030BFB"/>
    <w:rsid w:val="00031DA1"/>
    <w:rsid w:val="00031EAF"/>
    <w:rsid w:val="00033390"/>
    <w:rsid w:val="00033661"/>
    <w:rsid w:val="000361EA"/>
    <w:rsid w:val="000369C0"/>
    <w:rsid w:val="00037A8B"/>
    <w:rsid w:val="00040372"/>
    <w:rsid w:val="000408AD"/>
    <w:rsid w:val="00041469"/>
    <w:rsid w:val="00042DD7"/>
    <w:rsid w:val="0004405B"/>
    <w:rsid w:val="00044234"/>
    <w:rsid w:val="000442CC"/>
    <w:rsid w:val="00044B24"/>
    <w:rsid w:val="00046050"/>
    <w:rsid w:val="0004709D"/>
    <w:rsid w:val="000504AA"/>
    <w:rsid w:val="0005086B"/>
    <w:rsid w:val="00050C95"/>
    <w:rsid w:val="00050CAD"/>
    <w:rsid w:val="000512DF"/>
    <w:rsid w:val="0005142D"/>
    <w:rsid w:val="00051A3C"/>
    <w:rsid w:val="00051BE4"/>
    <w:rsid w:val="000526A8"/>
    <w:rsid w:val="0005420B"/>
    <w:rsid w:val="000551CB"/>
    <w:rsid w:val="0005620B"/>
    <w:rsid w:val="00056C39"/>
    <w:rsid w:val="00057392"/>
    <w:rsid w:val="000577A2"/>
    <w:rsid w:val="000577D3"/>
    <w:rsid w:val="00057963"/>
    <w:rsid w:val="000579AB"/>
    <w:rsid w:val="00060AE4"/>
    <w:rsid w:val="000622B9"/>
    <w:rsid w:val="00064721"/>
    <w:rsid w:val="00064EBD"/>
    <w:rsid w:val="00065973"/>
    <w:rsid w:val="00065C6D"/>
    <w:rsid w:val="00066646"/>
    <w:rsid w:val="00066C7A"/>
    <w:rsid w:val="000716AB"/>
    <w:rsid w:val="00071AB8"/>
    <w:rsid w:val="0007243A"/>
    <w:rsid w:val="000762C0"/>
    <w:rsid w:val="00076C2B"/>
    <w:rsid w:val="00076F81"/>
    <w:rsid w:val="000800B6"/>
    <w:rsid w:val="000847A0"/>
    <w:rsid w:val="00084BFD"/>
    <w:rsid w:val="00085DA5"/>
    <w:rsid w:val="00087073"/>
    <w:rsid w:val="000878E7"/>
    <w:rsid w:val="00087C01"/>
    <w:rsid w:val="000903E4"/>
    <w:rsid w:val="000907E9"/>
    <w:rsid w:val="00091D73"/>
    <w:rsid w:val="000933B5"/>
    <w:rsid w:val="000933BC"/>
    <w:rsid w:val="00093544"/>
    <w:rsid w:val="00094663"/>
    <w:rsid w:val="00095410"/>
    <w:rsid w:val="00095E48"/>
    <w:rsid w:val="00096637"/>
    <w:rsid w:val="00097285"/>
    <w:rsid w:val="000A021A"/>
    <w:rsid w:val="000A1828"/>
    <w:rsid w:val="000A1F38"/>
    <w:rsid w:val="000A2030"/>
    <w:rsid w:val="000A413A"/>
    <w:rsid w:val="000A5881"/>
    <w:rsid w:val="000A6587"/>
    <w:rsid w:val="000A66A1"/>
    <w:rsid w:val="000A69FB"/>
    <w:rsid w:val="000B1087"/>
    <w:rsid w:val="000B199A"/>
    <w:rsid w:val="000B1FF7"/>
    <w:rsid w:val="000B2529"/>
    <w:rsid w:val="000B2B7C"/>
    <w:rsid w:val="000B381D"/>
    <w:rsid w:val="000B4024"/>
    <w:rsid w:val="000B44BA"/>
    <w:rsid w:val="000B5313"/>
    <w:rsid w:val="000C02AD"/>
    <w:rsid w:val="000C060A"/>
    <w:rsid w:val="000C09DF"/>
    <w:rsid w:val="000C0AA8"/>
    <w:rsid w:val="000C18BD"/>
    <w:rsid w:val="000C1FC8"/>
    <w:rsid w:val="000C36E1"/>
    <w:rsid w:val="000C42A9"/>
    <w:rsid w:val="000C557B"/>
    <w:rsid w:val="000C5A85"/>
    <w:rsid w:val="000C5F29"/>
    <w:rsid w:val="000C5F48"/>
    <w:rsid w:val="000C66BF"/>
    <w:rsid w:val="000D0372"/>
    <w:rsid w:val="000D2914"/>
    <w:rsid w:val="000D2E60"/>
    <w:rsid w:val="000D3275"/>
    <w:rsid w:val="000D3A1B"/>
    <w:rsid w:val="000D5008"/>
    <w:rsid w:val="000D570C"/>
    <w:rsid w:val="000D5A0F"/>
    <w:rsid w:val="000D5B1E"/>
    <w:rsid w:val="000D5D9B"/>
    <w:rsid w:val="000D5E3F"/>
    <w:rsid w:val="000D626F"/>
    <w:rsid w:val="000D6532"/>
    <w:rsid w:val="000D6E33"/>
    <w:rsid w:val="000E0622"/>
    <w:rsid w:val="000E07AA"/>
    <w:rsid w:val="000E1D6F"/>
    <w:rsid w:val="000E3381"/>
    <w:rsid w:val="000E3744"/>
    <w:rsid w:val="000E3CD9"/>
    <w:rsid w:val="000E46C3"/>
    <w:rsid w:val="000E4DF2"/>
    <w:rsid w:val="000E511B"/>
    <w:rsid w:val="000F0144"/>
    <w:rsid w:val="000F0807"/>
    <w:rsid w:val="000F0B3C"/>
    <w:rsid w:val="000F13D5"/>
    <w:rsid w:val="000F1AD8"/>
    <w:rsid w:val="000F2F4C"/>
    <w:rsid w:val="000F3238"/>
    <w:rsid w:val="000F38D9"/>
    <w:rsid w:val="000F3CED"/>
    <w:rsid w:val="000F414C"/>
    <w:rsid w:val="000F64FC"/>
    <w:rsid w:val="000F696E"/>
    <w:rsid w:val="000F718E"/>
    <w:rsid w:val="00100207"/>
    <w:rsid w:val="001003C6"/>
    <w:rsid w:val="00100682"/>
    <w:rsid w:val="001010D3"/>
    <w:rsid w:val="001011F1"/>
    <w:rsid w:val="00101C11"/>
    <w:rsid w:val="0010254E"/>
    <w:rsid w:val="00102D61"/>
    <w:rsid w:val="00102F4F"/>
    <w:rsid w:val="001034DD"/>
    <w:rsid w:val="00104425"/>
    <w:rsid w:val="00104B4C"/>
    <w:rsid w:val="001055A2"/>
    <w:rsid w:val="00106C4C"/>
    <w:rsid w:val="0011037E"/>
    <w:rsid w:val="00110404"/>
    <w:rsid w:val="00110F73"/>
    <w:rsid w:val="00111E35"/>
    <w:rsid w:val="001128B4"/>
    <w:rsid w:val="00112EBD"/>
    <w:rsid w:val="001132C2"/>
    <w:rsid w:val="00113AF2"/>
    <w:rsid w:val="00113C17"/>
    <w:rsid w:val="00114051"/>
    <w:rsid w:val="0011650B"/>
    <w:rsid w:val="00116616"/>
    <w:rsid w:val="00116FC5"/>
    <w:rsid w:val="00117BBD"/>
    <w:rsid w:val="001213E7"/>
    <w:rsid w:val="001224BA"/>
    <w:rsid w:val="001238BC"/>
    <w:rsid w:val="001248AB"/>
    <w:rsid w:val="00124981"/>
    <w:rsid w:val="00124B2E"/>
    <w:rsid w:val="00125D81"/>
    <w:rsid w:val="00126301"/>
    <w:rsid w:val="0012661F"/>
    <w:rsid w:val="001269B0"/>
    <w:rsid w:val="00126B24"/>
    <w:rsid w:val="00127234"/>
    <w:rsid w:val="001276C4"/>
    <w:rsid w:val="00127C68"/>
    <w:rsid w:val="00127D5B"/>
    <w:rsid w:val="00131373"/>
    <w:rsid w:val="001314A0"/>
    <w:rsid w:val="00131A1F"/>
    <w:rsid w:val="00131A66"/>
    <w:rsid w:val="00131F9C"/>
    <w:rsid w:val="00132336"/>
    <w:rsid w:val="0013280A"/>
    <w:rsid w:val="0013343F"/>
    <w:rsid w:val="001344F9"/>
    <w:rsid w:val="00135F76"/>
    <w:rsid w:val="001360E9"/>
    <w:rsid w:val="001360F4"/>
    <w:rsid w:val="001363C7"/>
    <w:rsid w:val="00136E87"/>
    <w:rsid w:val="00136EF5"/>
    <w:rsid w:val="00140793"/>
    <w:rsid w:val="001422BD"/>
    <w:rsid w:val="0014286D"/>
    <w:rsid w:val="00143B8E"/>
    <w:rsid w:val="00143F21"/>
    <w:rsid w:val="0014420C"/>
    <w:rsid w:val="001446C3"/>
    <w:rsid w:val="00145C3C"/>
    <w:rsid w:val="00145DDA"/>
    <w:rsid w:val="001461A7"/>
    <w:rsid w:val="00146946"/>
    <w:rsid w:val="001513CE"/>
    <w:rsid w:val="00151465"/>
    <w:rsid w:val="00151AD8"/>
    <w:rsid w:val="00153287"/>
    <w:rsid w:val="001538BE"/>
    <w:rsid w:val="00153C33"/>
    <w:rsid w:val="00155198"/>
    <w:rsid w:val="00155EF1"/>
    <w:rsid w:val="00156192"/>
    <w:rsid w:val="00156E57"/>
    <w:rsid w:val="0015710D"/>
    <w:rsid w:val="00157338"/>
    <w:rsid w:val="00157DEB"/>
    <w:rsid w:val="001610BC"/>
    <w:rsid w:val="00161847"/>
    <w:rsid w:val="00161E13"/>
    <w:rsid w:val="001629D8"/>
    <w:rsid w:val="00162B2A"/>
    <w:rsid w:val="00162B8D"/>
    <w:rsid w:val="00162F9F"/>
    <w:rsid w:val="00164803"/>
    <w:rsid w:val="00164AE0"/>
    <w:rsid w:val="00165BF5"/>
    <w:rsid w:val="0016646A"/>
    <w:rsid w:val="00167C43"/>
    <w:rsid w:val="0017120C"/>
    <w:rsid w:val="001727D7"/>
    <w:rsid w:val="00172C96"/>
    <w:rsid w:val="00172DDC"/>
    <w:rsid w:val="00172F3A"/>
    <w:rsid w:val="00173477"/>
    <w:rsid w:val="0017414F"/>
    <w:rsid w:val="0017432C"/>
    <w:rsid w:val="00174636"/>
    <w:rsid w:val="00174735"/>
    <w:rsid w:val="0017481D"/>
    <w:rsid w:val="00174B1B"/>
    <w:rsid w:val="00174BD8"/>
    <w:rsid w:val="001750BC"/>
    <w:rsid w:val="00175AC0"/>
    <w:rsid w:val="001765BB"/>
    <w:rsid w:val="0017667E"/>
    <w:rsid w:val="00176AE8"/>
    <w:rsid w:val="00176E76"/>
    <w:rsid w:val="00177570"/>
    <w:rsid w:val="00177E95"/>
    <w:rsid w:val="0018037C"/>
    <w:rsid w:val="001811FC"/>
    <w:rsid w:val="00182338"/>
    <w:rsid w:val="00182348"/>
    <w:rsid w:val="00183F50"/>
    <w:rsid w:val="00184BD9"/>
    <w:rsid w:val="00184ED6"/>
    <w:rsid w:val="00184F13"/>
    <w:rsid w:val="00184FD9"/>
    <w:rsid w:val="00186037"/>
    <w:rsid w:val="00186D14"/>
    <w:rsid w:val="001876D8"/>
    <w:rsid w:val="00190325"/>
    <w:rsid w:val="00190391"/>
    <w:rsid w:val="00191593"/>
    <w:rsid w:val="001918F1"/>
    <w:rsid w:val="0019196E"/>
    <w:rsid w:val="00191FF5"/>
    <w:rsid w:val="001926D7"/>
    <w:rsid w:val="00192CCE"/>
    <w:rsid w:val="0019385B"/>
    <w:rsid w:val="00193F1C"/>
    <w:rsid w:val="001948F5"/>
    <w:rsid w:val="00194958"/>
    <w:rsid w:val="00197205"/>
    <w:rsid w:val="00197A9D"/>
    <w:rsid w:val="001A1FDD"/>
    <w:rsid w:val="001A2D8F"/>
    <w:rsid w:val="001A2DC7"/>
    <w:rsid w:val="001A3D89"/>
    <w:rsid w:val="001A545B"/>
    <w:rsid w:val="001A54DA"/>
    <w:rsid w:val="001A6861"/>
    <w:rsid w:val="001A6FEC"/>
    <w:rsid w:val="001B143B"/>
    <w:rsid w:val="001B1777"/>
    <w:rsid w:val="001B19C5"/>
    <w:rsid w:val="001B1B6D"/>
    <w:rsid w:val="001B1C93"/>
    <w:rsid w:val="001B21CA"/>
    <w:rsid w:val="001B28D5"/>
    <w:rsid w:val="001B35D4"/>
    <w:rsid w:val="001B4446"/>
    <w:rsid w:val="001B5A00"/>
    <w:rsid w:val="001B5F59"/>
    <w:rsid w:val="001B63A7"/>
    <w:rsid w:val="001B6E89"/>
    <w:rsid w:val="001C0125"/>
    <w:rsid w:val="001C07B7"/>
    <w:rsid w:val="001C1074"/>
    <w:rsid w:val="001C25F5"/>
    <w:rsid w:val="001C34D0"/>
    <w:rsid w:val="001C4249"/>
    <w:rsid w:val="001C4644"/>
    <w:rsid w:val="001C4F27"/>
    <w:rsid w:val="001C6573"/>
    <w:rsid w:val="001C7D03"/>
    <w:rsid w:val="001D00BE"/>
    <w:rsid w:val="001D079B"/>
    <w:rsid w:val="001D0D32"/>
    <w:rsid w:val="001D17C9"/>
    <w:rsid w:val="001D1AB9"/>
    <w:rsid w:val="001D1F20"/>
    <w:rsid w:val="001D3795"/>
    <w:rsid w:val="001D4006"/>
    <w:rsid w:val="001D54BD"/>
    <w:rsid w:val="001D5C72"/>
    <w:rsid w:val="001D626E"/>
    <w:rsid w:val="001D733B"/>
    <w:rsid w:val="001E0902"/>
    <w:rsid w:val="001E1801"/>
    <w:rsid w:val="001E1C73"/>
    <w:rsid w:val="001E1E05"/>
    <w:rsid w:val="001E22D2"/>
    <w:rsid w:val="001E2343"/>
    <w:rsid w:val="001E3A17"/>
    <w:rsid w:val="001E3FCB"/>
    <w:rsid w:val="001E52DF"/>
    <w:rsid w:val="001E6BCB"/>
    <w:rsid w:val="001E783B"/>
    <w:rsid w:val="001E7FBC"/>
    <w:rsid w:val="001F0822"/>
    <w:rsid w:val="001F08CB"/>
    <w:rsid w:val="001F15F6"/>
    <w:rsid w:val="001F179C"/>
    <w:rsid w:val="001F24B7"/>
    <w:rsid w:val="001F2649"/>
    <w:rsid w:val="001F3496"/>
    <w:rsid w:val="001F41CA"/>
    <w:rsid w:val="001F4355"/>
    <w:rsid w:val="001F61DE"/>
    <w:rsid w:val="001F7054"/>
    <w:rsid w:val="002000AA"/>
    <w:rsid w:val="00200F1B"/>
    <w:rsid w:val="0020302A"/>
    <w:rsid w:val="002032A0"/>
    <w:rsid w:val="00203532"/>
    <w:rsid w:val="00203AE0"/>
    <w:rsid w:val="00204106"/>
    <w:rsid w:val="00204109"/>
    <w:rsid w:val="0020524C"/>
    <w:rsid w:val="002059E3"/>
    <w:rsid w:val="00211DCE"/>
    <w:rsid w:val="00212390"/>
    <w:rsid w:val="00212897"/>
    <w:rsid w:val="0021386A"/>
    <w:rsid w:val="00213C44"/>
    <w:rsid w:val="002147EE"/>
    <w:rsid w:val="00215516"/>
    <w:rsid w:val="002159D5"/>
    <w:rsid w:val="00215C05"/>
    <w:rsid w:val="002161E3"/>
    <w:rsid w:val="00216DF5"/>
    <w:rsid w:val="00216EFA"/>
    <w:rsid w:val="0021798E"/>
    <w:rsid w:val="00217CA1"/>
    <w:rsid w:val="00217DEE"/>
    <w:rsid w:val="002203BF"/>
    <w:rsid w:val="00220C4C"/>
    <w:rsid w:val="002217FE"/>
    <w:rsid w:val="0022180C"/>
    <w:rsid w:val="00221C72"/>
    <w:rsid w:val="002225AB"/>
    <w:rsid w:val="002250D1"/>
    <w:rsid w:val="002267D2"/>
    <w:rsid w:val="00227040"/>
    <w:rsid w:val="00230839"/>
    <w:rsid w:val="00231ADB"/>
    <w:rsid w:val="00232178"/>
    <w:rsid w:val="00232248"/>
    <w:rsid w:val="00232D12"/>
    <w:rsid w:val="00233975"/>
    <w:rsid w:val="002353E3"/>
    <w:rsid w:val="00235F30"/>
    <w:rsid w:val="00236287"/>
    <w:rsid w:val="002363FF"/>
    <w:rsid w:val="00236D10"/>
    <w:rsid w:val="002407CE"/>
    <w:rsid w:val="00242325"/>
    <w:rsid w:val="00243298"/>
    <w:rsid w:val="00243A38"/>
    <w:rsid w:val="0024474F"/>
    <w:rsid w:val="00244761"/>
    <w:rsid w:val="002450F2"/>
    <w:rsid w:val="00245B7F"/>
    <w:rsid w:val="002469C2"/>
    <w:rsid w:val="00247BDE"/>
    <w:rsid w:val="00247DE2"/>
    <w:rsid w:val="002505DE"/>
    <w:rsid w:val="002514FA"/>
    <w:rsid w:val="00252503"/>
    <w:rsid w:val="00252ED7"/>
    <w:rsid w:val="002549E7"/>
    <w:rsid w:val="00254A7A"/>
    <w:rsid w:val="00254EA4"/>
    <w:rsid w:val="0025509C"/>
    <w:rsid w:val="0025575F"/>
    <w:rsid w:val="002571E3"/>
    <w:rsid w:val="00260496"/>
    <w:rsid w:val="00260542"/>
    <w:rsid w:val="00260BAD"/>
    <w:rsid w:val="0026224C"/>
    <w:rsid w:val="00264C7C"/>
    <w:rsid w:val="0026650F"/>
    <w:rsid w:val="00266DC3"/>
    <w:rsid w:val="00270443"/>
    <w:rsid w:val="00270EE2"/>
    <w:rsid w:val="0027138C"/>
    <w:rsid w:val="00272787"/>
    <w:rsid w:val="00272826"/>
    <w:rsid w:val="00272A7B"/>
    <w:rsid w:val="00272C44"/>
    <w:rsid w:val="00273527"/>
    <w:rsid w:val="00273F6B"/>
    <w:rsid w:val="00273F73"/>
    <w:rsid w:val="002747EF"/>
    <w:rsid w:val="00274B06"/>
    <w:rsid w:val="002754D3"/>
    <w:rsid w:val="00276944"/>
    <w:rsid w:val="002769AE"/>
    <w:rsid w:val="00276E1B"/>
    <w:rsid w:val="002817A6"/>
    <w:rsid w:val="00284203"/>
    <w:rsid w:val="00285237"/>
    <w:rsid w:val="00285E3F"/>
    <w:rsid w:val="0028610D"/>
    <w:rsid w:val="002861B9"/>
    <w:rsid w:val="002862CC"/>
    <w:rsid w:val="00286BFE"/>
    <w:rsid w:val="00286C81"/>
    <w:rsid w:val="0028709F"/>
    <w:rsid w:val="00287524"/>
    <w:rsid w:val="00290119"/>
    <w:rsid w:val="0029040D"/>
    <w:rsid w:val="002908F8"/>
    <w:rsid w:val="00292E91"/>
    <w:rsid w:val="002930AD"/>
    <w:rsid w:val="00293254"/>
    <w:rsid w:val="00295002"/>
    <w:rsid w:val="002968E8"/>
    <w:rsid w:val="002971C7"/>
    <w:rsid w:val="002971F2"/>
    <w:rsid w:val="0029729D"/>
    <w:rsid w:val="00297785"/>
    <w:rsid w:val="002A0444"/>
    <w:rsid w:val="002A0F8D"/>
    <w:rsid w:val="002A1377"/>
    <w:rsid w:val="002A264B"/>
    <w:rsid w:val="002A4A82"/>
    <w:rsid w:val="002A4B33"/>
    <w:rsid w:val="002A5311"/>
    <w:rsid w:val="002A6E9B"/>
    <w:rsid w:val="002A6F6C"/>
    <w:rsid w:val="002A6FBB"/>
    <w:rsid w:val="002B05D1"/>
    <w:rsid w:val="002B1933"/>
    <w:rsid w:val="002B20BD"/>
    <w:rsid w:val="002B2611"/>
    <w:rsid w:val="002B3A46"/>
    <w:rsid w:val="002B3F1C"/>
    <w:rsid w:val="002B4ED9"/>
    <w:rsid w:val="002B4EF4"/>
    <w:rsid w:val="002B58C5"/>
    <w:rsid w:val="002B6CA2"/>
    <w:rsid w:val="002B6E44"/>
    <w:rsid w:val="002B6E8A"/>
    <w:rsid w:val="002B726F"/>
    <w:rsid w:val="002B744E"/>
    <w:rsid w:val="002C000B"/>
    <w:rsid w:val="002C09A8"/>
    <w:rsid w:val="002C103C"/>
    <w:rsid w:val="002C12C7"/>
    <w:rsid w:val="002C17CB"/>
    <w:rsid w:val="002C18A9"/>
    <w:rsid w:val="002C30F0"/>
    <w:rsid w:val="002C3E75"/>
    <w:rsid w:val="002C401A"/>
    <w:rsid w:val="002C532B"/>
    <w:rsid w:val="002C6D15"/>
    <w:rsid w:val="002C72F4"/>
    <w:rsid w:val="002C7E5B"/>
    <w:rsid w:val="002D0907"/>
    <w:rsid w:val="002D0E9E"/>
    <w:rsid w:val="002D1381"/>
    <w:rsid w:val="002D2D68"/>
    <w:rsid w:val="002D3067"/>
    <w:rsid w:val="002D38D9"/>
    <w:rsid w:val="002D4298"/>
    <w:rsid w:val="002D47E8"/>
    <w:rsid w:val="002D4FCC"/>
    <w:rsid w:val="002D68F4"/>
    <w:rsid w:val="002D7417"/>
    <w:rsid w:val="002D782B"/>
    <w:rsid w:val="002E0D9C"/>
    <w:rsid w:val="002E1247"/>
    <w:rsid w:val="002E2455"/>
    <w:rsid w:val="002E26E8"/>
    <w:rsid w:val="002E3DD8"/>
    <w:rsid w:val="002E3ED8"/>
    <w:rsid w:val="002E5A01"/>
    <w:rsid w:val="002E5EA3"/>
    <w:rsid w:val="002E6B8B"/>
    <w:rsid w:val="002E717C"/>
    <w:rsid w:val="002E7533"/>
    <w:rsid w:val="002E7A61"/>
    <w:rsid w:val="002F00B8"/>
    <w:rsid w:val="002F0106"/>
    <w:rsid w:val="002F03C8"/>
    <w:rsid w:val="002F188D"/>
    <w:rsid w:val="002F18A5"/>
    <w:rsid w:val="002F317F"/>
    <w:rsid w:val="002F5E95"/>
    <w:rsid w:val="002F6087"/>
    <w:rsid w:val="002F63CA"/>
    <w:rsid w:val="002F67B4"/>
    <w:rsid w:val="002F6F73"/>
    <w:rsid w:val="002F7AA9"/>
    <w:rsid w:val="003004E3"/>
    <w:rsid w:val="00301BF9"/>
    <w:rsid w:val="00301C0D"/>
    <w:rsid w:val="00301D7B"/>
    <w:rsid w:val="00301E19"/>
    <w:rsid w:val="00304676"/>
    <w:rsid w:val="003054BA"/>
    <w:rsid w:val="00306BE7"/>
    <w:rsid w:val="00311B66"/>
    <w:rsid w:val="00311F29"/>
    <w:rsid w:val="00314036"/>
    <w:rsid w:val="00314347"/>
    <w:rsid w:val="00314C4F"/>
    <w:rsid w:val="00314FAF"/>
    <w:rsid w:val="003162A5"/>
    <w:rsid w:val="00316591"/>
    <w:rsid w:val="00320C6D"/>
    <w:rsid w:val="003213A8"/>
    <w:rsid w:val="00321FA8"/>
    <w:rsid w:val="00321FFD"/>
    <w:rsid w:val="00322E18"/>
    <w:rsid w:val="00323C3D"/>
    <w:rsid w:val="00323D1D"/>
    <w:rsid w:val="00323F8A"/>
    <w:rsid w:val="00324D73"/>
    <w:rsid w:val="00326011"/>
    <w:rsid w:val="0032643D"/>
    <w:rsid w:val="00326D02"/>
    <w:rsid w:val="00327069"/>
    <w:rsid w:val="00327812"/>
    <w:rsid w:val="00327AFB"/>
    <w:rsid w:val="00327BAF"/>
    <w:rsid w:val="00327C86"/>
    <w:rsid w:val="00327D10"/>
    <w:rsid w:val="00332CB8"/>
    <w:rsid w:val="0033327F"/>
    <w:rsid w:val="00333428"/>
    <w:rsid w:val="00333A38"/>
    <w:rsid w:val="00334A5C"/>
    <w:rsid w:val="00334F0B"/>
    <w:rsid w:val="00334FEE"/>
    <w:rsid w:val="003350B6"/>
    <w:rsid w:val="0033595E"/>
    <w:rsid w:val="0033601B"/>
    <w:rsid w:val="003364B6"/>
    <w:rsid w:val="0033764C"/>
    <w:rsid w:val="00340039"/>
    <w:rsid w:val="0034024F"/>
    <w:rsid w:val="00340A23"/>
    <w:rsid w:val="00340A77"/>
    <w:rsid w:val="00340DFB"/>
    <w:rsid w:val="00341941"/>
    <w:rsid w:val="0034207A"/>
    <w:rsid w:val="0034278F"/>
    <w:rsid w:val="00343B47"/>
    <w:rsid w:val="0034404F"/>
    <w:rsid w:val="00344ACC"/>
    <w:rsid w:val="00345F01"/>
    <w:rsid w:val="0034654F"/>
    <w:rsid w:val="00346B28"/>
    <w:rsid w:val="00347685"/>
    <w:rsid w:val="003509A5"/>
    <w:rsid w:val="00351E21"/>
    <w:rsid w:val="00352327"/>
    <w:rsid w:val="00354405"/>
    <w:rsid w:val="00355A76"/>
    <w:rsid w:val="0035635F"/>
    <w:rsid w:val="003607EE"/>
    <w:rsid w:val="00360BC8"/>
    <w:rsid w:val="00360E35"/>
    <w:rsid w:val="003617AE"/>
    <w:rsid w:val="0036215C"/>
    <w:rsid w:val="003630F7"/>
    <w:rsid w:val="00363589"/>
    <w:rsid w:val="00363636"/>
    <w:rsid w:val="003651AC"/>
    <w:rsid w:val="003653AA"/>
    <w:rsid w:val="00366120"/>
    <w:rsid w:val="003661FF"/>
    <w:rsid w:val="00366A0C"/>
    <w:rsid w:val="00367462"/>
    <w:rsid w:val="00370507"/>
    <w:rsid w:val="00370682"/>
    <w:rsid w:val="003718D8"/>
    <w:rsid w:val="00372A01"/>
    <w:rsid w:val="003733DF"/>
    <w:rsid w:val="00373865"/>
    <w:rsid w:val="00373CE8"/>
    <w:rsid w:val="00374DB0"/>
    <w:rsid w:val="003751C7"/>
    <w:rsid w:val="00375C84"/>
    <w:rsid w:val="00376524"/>
    <w:rsid w:val="003766D0"/>
    <w:rsid w:val="00376E3B"/>
    <w:rsid w:val="003776FE"/>
    <w:rsid w:val="00380424"/>
    <w:rsid w:val="00380B9B"/>
    <w:rsid w:val="003818B3"/>
    <w:rsid w:val="003819F5"/>
    <w:rsid w:val="00381B57"/>
    <w:rsid w:val="00381D47"/>
    <w:rsid w:val="003821CC"/>
    <w:rsid w:val="003835F0"/>
    <w:rsid w:val="003853B1"/>
    <w:rsid w:val="003853ED"/>
    <w:rsid w:val="00386421"/>
    <w:rsid w:val="00387AA1"/>
    <w:rsid w:val="0039082A"/>
    <w:rsid w:val="0039101F"/>
    <w:rsid w:val="00392EDB"/>
    <w:rsid w:val="003931AA"/>
    <w:rsid w:val="00393EEE"/>
    <w:rsid w:val="0039500C"/>
    <w:rsid w:val="00395132"/>
    <w:rsid w:val="00395D99"/>
    <w:rsid w:val="003968DF"/>
    <w:rsid w:val="003976C3"/>
    <w:rsid w:val="00397A64"/>
    <w:rsid w:val="003A099A"/>
    <w:rsid w:val="003A1372"/>
    <w:rsid w:val="003A2B82"/>
    <w:rsid w:val="003A3927"/>
    <w:rsid w:val="003A3FF7"/>
    <w:rsid w:val="003A43D1"/>
    <w:rsid w:val="003A6E29"/>
    <w:rsid w:val="003B0BDB"/>
    <w:rsid w:val="003B0E88"/>
    <w:rsid w:val="003B153F"/>
    <w:rsid w:val="003B17B0"/>
    <w:rsid w:val="003B1844"/>
    <w:rsid w:val="003B211E"/>
    <w:rsid w:val="003B24EA"/>
    <w:rsid w:val="003B2DA7"/>
    <w:rsid w:val="003B31C3"/>
    <w:rsid w:val="003B3AB7"/>
    <w:rsid w:val="003B3ABC"/>
    <w:rsid w:val="003B3D8E"/>
    <w:rsid w:val="003B3FED"/>
    <w:rsid w:val="003B3FF1"/>
    <w:rsid w:val="003B4217"/>
    <w:rsid w:val="003B7541"/>
    <w:rsid w:val="003B7F07"/>
    <w:rsid w:val="003C0F87"/>
    <w:rsid w:val="003C141E"/>
    <w:rsid w:val="003C1B83"/>
    <w:rsid w:val="003C210E"/>
    <w:rsid w:val="003C21B3"/>
    <w:rsid w:val="003C3503"/>
    <w:rsid w:val="003C40DE"/>
    <w:rsid w:val="003C4851"/>
    <w:rsid w:val="003C4C96"/>
    <w:rsid w:val="003C55E0"/>
    <w:rsid w:val="003C55E9"/>
    <w:rsid w:val="003C5E39"/>
    <w:rsid w:val="003C683A"/>
    <w:rsid w:val="003D0079"/>
    <w:rsid w:val="003D10EC"/>
    <w:rsid w:val="003D1498"/>
    <w:rsid w:val="003D29B9"/>
    <w:rsid w:val="003D3500"/>
    <w:rsid w:val="003D37B6"/>
    <w:rsid w:val="003D503A"/>
    <w:rsid w:val="003D71A6"/>
    <w:rsid w:val="003D7709"/>
    <w:rsid w:val="003E0BAF"/>
    <w:rsid w:val="003E0E25"/>
    <w:rsid w:val="003E1409"/>
    <w:rsid w:val="003E16F2"/>
    <w:rsid w:val="003E78A9"/>
    <w:rsid w:val="003E7912"/>
    <w:rsid w:val="003F04E6"/>
    <w:rsid w:val="003F2CDD"/>
    <w:rsid w:val="003F5660"/>
    <w:rsid w:val="003F5717"/>
    <w:rsid w:val="003F5A39"/>
    <w:rsid w:val="003F5B56"/>
    <w:rsid w:val="003F5B9F"/>
    <w:rsid w:val="003F6A6A"/>
    <w:rsid w:val="003F738D"/>
    <w:rsid w:val="003F7554"/>
    <w:rsid w:val="003F7FA1"/>
    <w:rsid w:val="00400B4E"/>
    <w:rsid w:val="00402E56"/>
    <w:rsid w:val="00403634"/>
    <w:rsid w:val="00404592"/>
    <w:rsid w:val="00404B58"/>
    <w:rsid w:val="0040544F"/>
    <w:rsid w:val="0040625C"/>
    <w:rsid w:val="004069D2"/>
    <w:rsid w:val="004076FF"/>
    <w:rsid w:val="00407AE1"/>
    <w:rsid w:val="00411B17"/>
    <w:rsid w:val="0041222D"/>
    <w:rsid w:val="004124F2"/>
    <w:rsid w:val="00412E6F"/>
    <w:rsid w:val="00413C5C"/>
    <w:rsid w:val="00413CD4"/>
    <w:rsid w:val="0041567A"/>
    <w:rsid w:val="00415AF4"/>
    <w:rsid w:val="00415BCF"/>
    <w:rsid w:val="00416297"/>
    <w:rsid w:val="00417083"/>
    <w:rsid w:val="0042057C"/>
    <w:rsid w:val="00420BDF"/>
    <w:rsid w:val="00421608"/>
    <w:rsid w:val="00421C23"/>
    <w:rsid w:val="0042261E"/>
    <w:rsid w:val="00422749"/>
    <w:rsid w:val="00422F6F"/>
    <w:rsid w:val="004233DC"/>
    <w:rsid w:val="004255D9"/>
    <w:rsid w:val="00425763"/>
    <w:rsid w:val="00425C3C"/>
    <w:rsid w:val="004306AB"/>
    <w:rsid w:val="004312AA"/>
    <w:rsid w:val="0043159D"/>
    <w:rsid w:val="0043171D"/>
    <w:rsid w:val="00432F78"/>
    <w:rsid w:val="004334A2"/>
    <w:rsid w:val="004335BC"/>
    <w:rsid w:val="00434723"/>
    <w:rsid w:val="00434729"/>
    <w:rsid w:val="00437D17"/>
    <w:rsid w:val="00437D2F"/>
    <w:rsid w:val="0044046D"/>
    <w:rsid w:val="004410D3"/>
    <w:rsid w:val="00441DAF"/>
    <w:rsid w:val="00442A0A"/>
    <w:rsid w:val="00443310"/>
    <w:rsid w:val="00443A34"/>
    <w:rsid w:val="00443D38"/>
    <w:rsid w:val="00444140"/>
    <w:rsid w:val="00444BF5"/>
    <w:rsid w:val="00444F43"/>
    <w:rsid w:val="00450744"/>
    <w:rsid w:val="00450BE7"/>
    <w:rsid w:val="00450FE8"/>
    <w:rsid w:val="0045213A"/>
    <w:rsid w:val="0045230E"/>
    <w:rsid w:val="004528FA"/>
    <w:rsid w:val="00452D67"/>
    <w:rsid w:val="00452E53"/>
    <w:rsid w:val="00454BD2"/>
    <w:rsid w:val="00455B00"/>
    <w:rsid w:val="00455B97"/>
    <w:rsid w:val="00456BFD"/>
    <w:rsid w:val="00457273"/>
    <w:rsid w:val="004575D5"/>
    <w:rsid w:val="004607D0"/>
    <w:rsid w:val="00460CE3"/>
    <w:rsid w:val="004612A4"/>
    <w:rsid w:val="004624D2"/>
    <w:rsid w:val="004625C8"/>
    <w:rsid w:val="00462B7B"/>
    <w:rsid w:val="0046442A"/>
    <w:rsid w:val="00464BF1"/>
    <w:rsid w:val="004676E4"/>
    <w:rsid w:val="00470183"/>
    <w:rsid w:val="004708C9"/>
    <w:rsid w:val="00470C48"/>
    <w:rsid w:val="00471429"/>
    <w:rsid w:val="00472F8C"/>
    <w:rsid w:val="00473A47"/>
    <w:rsid w:val="00473A4F"/>
    <w:rsid w:val="00473C0A"/>
    <w:rsid w:val="00474127"/>
    <w:rsid w:val="00474415"/>
    <w:rsid w:val="00474BC1"/>
    <w:rsid w:val="00477459"/>
    <w:rsid w:val="00477CC9"/>
    <w:rsid w:val="00477FC1"/>
    <w:rsid w:val="0048026E"/>
    <w:rsid w:val="00480303"/>
    <w:rsid w:val="004807A9"/>
    <w:rsid w:val="00480A8A"/>
    <w:rsid w:val="00481318"/>
    <w:rsid w:val="004813EE"/>
    <w:rsid w:val="00482CDC"/>
    <w:rsid w:val="00483B03"/>
    <w:rsid w:val="0048444C"/>
    <w:rsid w:val="00485702"/>
    <w:rsid w:val="00486704"/>
    <w:rsid w:val="004867EC"/>
    <w:rsid w:val="00487662"/>
    <w:rsid w:val="004876C6"/>
    <w:rsid w:val="00487BB3"/>
    <w:rsid w:val="00487D7B"/>
    <w:rsid w:val="00490F7A"/>
    <w:rsid w:val="00490FD5"/>
    <w:rsid w:val="00491241"/>
    <w:rsid w:val="00491813"/>
    <w:rsid w:val="00493278"/>
    <w:rsid w:val="00493855"/>
    <w:rsid w:val="00494821"/>
    <w:rsid w:val="004952C1"/>
    <w:rsid w:val="00497575"/>
    <w:rsid w:val="004A078B"/>
    <w:rsid w:val="004A12C0"/>
    <w:rsid w:val="004A169A"/>
    <w:rsid w:val="004A18C9"/>
    <w:rsid w:val="004A191A"/>
    <w:rsid w:val="004A1A70"/>
    <w:rsid w:val="004A419E"/>
    <w:rsid w:val="004A6463"/>
    <w:rsid w:val="004A6B58"/>
    <w:rsid w:val="004B06C3"/>
    <w:rsid w:val="004B0917"/>
    <w:rsid w:val="004B0B09"/>
    <w:rsid w:val="004B140F"/>
    <w:rsid w:val="004B21CF"/>
    <w:rsid w:val="004B53F1"/>
    <w:rsid w:val="004B5D6E"/>
    <w:rsid w:val="004B60BA"/>
    <w:rsid w:val="004B6946"/>
    <w:rsid w:val="004B6E81"/>
    <w:rsid w:val="004C136D"/>
    <w:rsid w:val="004C1619"/>
    <w:rsid w:val="004C177F"/>
    <w:rsid w:val="004C1B59"/>
    <w:rsid w:val="004C3C25"/>
    <w:rsid w:val="004C3EEA"/>
    <w:rsid w:val="004C4EA2"/>
    <w:rsid w:val="004C596B"/>
    <w:rsid w:val="004C60E7"/>
    <w:rsid w:val="004C7BDE"/>
    <w:rsid w:val="004D0090"/>
    <w:rsid w:val="004D020F"/>
    <w:rsid w:val="004D03D1"/>
    <w:rsid w:val="004D11AF"/>
    <w:rsid w:val="004D41A2"/>
    <w:rsid w:val="004D502C"/>
    <w:rsid w:val="004D60A3"/>
    <w:rsid w:val="004D71CA"/>
    <w:rsid w:val="004E016A"/>
    <w:rsid w:val="004E0461"/>
    <w:rsid w:val="004E29B1"/>
    <w:rsid w:val="004E3F87"/>
    <w:rsid w:val="004E461B"/>
    <w:rsid w:val="004E477D"/>
    <w:rsid w:val="004E5890"/>
    <w:rsid w:val="004E7B33"/>
    <w:rsid w:val="004F0368"/>
    <w:rsid w:val="004F0D19"/>
    <w:rsid w:val="004F11B2"/>
    <w:rsid w:val="004F121B"/>
    <w:rsid w:val="004F2811"/>
    <w:rsid w:val="004F590E"/>
    <w:rsid w:val="004F5966"/>
    <w:rsid w:val="004F60F4"/>
    <w:rsid w:val="004F62E8"/>
    <w:rsid w:val="004F6C17"/>
    <w:rsid w:val="004F7390"/>
    <w:rsid w:val="004F78F8"/>
    <w:rsid w:val="005001A5"/>
    <w:rsid w:val="00500CCD"/>
    <w:rsid w:val="005019AA"/>
    <w:rsid w:val="00503C3B"/>
    <w:rsid w:val="00503CE7"/>
    <w:rsid w:val="005042DB"/>
    <w:rsid w:val="0050458E"/>
    <w:rsid w:val="00504ED1"/>
    <w:rsid w:val="00505CD6"/>
    <w:rsid w:val="005069B2"/>
    <w:rsid w:val="00510452"/>
    <w:rsid w:val="005108EC"/>
    <w:rsid w:val="00511575"/>
    <w:rsid w:val="00511F8F"/>
    <w:rsid w:val="00513291"/>
    <w:rsid w:val="005147DA"/>
    <w:rsid w:val="005153AC"/>
    <w:rsid w:val="005153C3"/>
    <w:rsid w:val="00515745"/>
    <w:rsid w:val="00515862"/>
    <w:rsid w:val="005165FE"/>
    <w:rsid w:val="00516942"/>
    <w:rsid w:val="00516DC0"/>
    <w:rsid w:val="00516DC5"/>
    <w:rsid w:val="00520BBA"/>
    <w:rsid w:val="005212CB"/>
    <w:rsid w:val="005225AC"/>
    <w:rsid w:val="005233F3"/>
    <w:rsid w:val="0052365C"/>
    <w:rsid w:val="005245D2"/>
    <w:rsid w:val="0052488B"/>
    <w:rsid w:val="00524C98"/>
    <w:rsid w:val="00524C9C"/>
    <w:rsid w:val="00524EDD"/>
    <w:rsid w:val="00525B59"/>
    <w:rsid w:val="005269C4"/>
    <w:rsid w:val="00526A20"/>
    <w:rsid w:val="00530466"/>
    <w:rsid w:val="0053059E"/>
    <w:rsid w:val="00530C97"/>
    <w:rsid w:val="00533DBF"/>
    <w:rsid w:val="00534940"/>
    <w:rsid w:val="00535673"/>
    <w:rsid w:val="00535D6B"/>
    <w:rsid w:val="00536442"/>
    <w:rsid w:val="0054053D"/>
    <w:rsid w:val="0054126C"/>
    <w:rsid w:val="005415DD"/>
    <w:rsid w:val="005423F3"/>
    <w:rsid w:val="005426DB"/>
    <w:rsid w:val="005442F1"/>
    <w:rsid w:val="00544A24"/>
    <w:rsid w:val="00546227"/>
    <w:rsid w:val="005468E2"/>
    <w:rsid w:val="00546D83"/>
    <w:rsid w:val="00550113"/>
    <w:rsid w:val="005504BE"/>
    <w:rsid w:val="0055082B"/>
    <w:rsid w:val="0055093A"/>
    <w:rsid w:val="00550F00"/>
    <w:rsid w:val="00551ED7"/>
    <w:rsid w:val="0055211C"/>
    <w:rsid w:val="005522B1"/>
    <w:rsid w:val="0055263A"/>
    <w:rsid w:val="005526EE"/>
    <w:rsid w:val="00552B57"/>
    <w:rsid w:val="00552E53"/>
    <w:rsid w:val="00553AC6"/>
    <w:rsid w:val="00553E34"/>
    <w:rsid w:val="005547B7"/>
    <w:rsid w:val="005551E9"/>
    <w:rsid w:val="0055680D"/>
    <w:rsid w:val="00560094"/>
    <w:rsid w:val="00560C62"/>
    <w:rsid w:val="00562A61"/>
    <w:rsid w:val="00564B16"/>
    <w:rsid w:val="005652D5"/>
    <w:rsid w:val="00567227"/>
    <w:rsid w:val="00570C7B"/>
    <w:rsid w:val="00571C77"/>
    <w:rsid w:val="00574614"/>
    <w:rsid w:val="00574A70"/>
    <w:rsid w:val="00574D35"/>
    <w:rsid w:val="00575C75"/>
    <w:rsid w:val="00577922"/>
    <w:rsid w:val="00577AC3"/>
    <w:rsid w:val="00580724"/>
    <w:rsid w:val="005815A8"/>
    <w:rsid w:val="00581915"/>
    <w:rsid w:val="00583431"/>
    <w:rsid w:val="005846C0"/>
    <w:rsid w:val="00584D04"/>
    <w:rsid w:val="0058567E"/>
    <w:rsid w:val="0058659E"/>
    <w:rsid w:val="005872DD"/>
    <w:rsid w:val="00587CF2"/>
    <w:rsid w:val="00587D3A"/>
    <w:rsid w:val="00590346"/>
    <w:rsid w:val="00590BA2"/>
    <w:rsid w:val="00590CA7"/>
    <w:rsid w:val="00590E93"/>
    <w:rsid w:val="005915E1"/>
    <w:rsid w:val="00591C75"/>
    <w:rsid w:val="00592D10"/>
    <w:rsid w:val="00593A5F"/>
    <w:rsid w:val="0059404E"/>
    <w:rsid w:val="00594269"/>
    <w:rsid w:val="00595539"/>
    <w:rsid w:val="00597108"/>
    <w:rsid w:val="005A3E82"/>
    <w:rsid w:val="005A4DB0"/>
    <w:rsid w:val="005A5597"/>
    <w:rsid w:val="005A57BF"/>
    <w:rsid w:val="005A6AC2"/>
    <w:rsid w:val="005A7A65"/>
    <w:rsid w:val="005A7B26"/>
    <w:rsid w:val="005A7B8E"/>
    <w:rsid w:val="005B012B"/>
    <w:rsid w:val="005B0C87"/>
    <w:rsid w:val="005B0FE9"/>
    <w:rsid w:val="005B2195"/>
    <w:rsid w:val="005B26C7"/>
    <w:rsid w:val="005B2D65"/>
    <w:rsid w:val="005B3877"/>
    <w:rsid w:val="005B3AC8"/>
    <w:rsid w:val="005B3CC1"/>
    <w:rsid w:val="005B45AB"/>
    <w:rsid w:val="005B45D7"/>
    <w:rsid w:val="005B4D8F"/>
    <w:rsid w:val="005B6551"/>
    <w:rsid w:val="005B71A8"/>
    <w:rsid w:val="005B744B"/>
    <w:rsid w:val="005B7BC0"/>
    <w:rsid w:val="005C0A6F"/>
    <w:rsid w:val="005C0FA7"/>
    <w:rsid w:val="005C1ACE"/>
    <w:rsid w:val="005C1C0E"/>
    <w:rsid w:val="005C36E2"/>
    <w:rsid w:val="005C3E9E"/>
    <w:rsid w:val="005C400C"/>
    <w:rsid w:val="005C410C"/>
    <w:rsid w:val="005C4BF1"/>
    <w:rsid w:val="005C4BF2"/>
    <w:rsid w:val="005C5BED"/>
    <w:rsid w:val="005C5D86"/>
    <w:rsid w:val="005C6167"/>
    <w:rsid w:val="005C6ADB"/>
    <w:rsid w:val="005C6EE2"/>
    <w:rsid w:val="005C7A07"/>
    <w:rsid w:val="005C7DDC"/>
    <w:rsid w:val="005C7F7C"/>
    <w:rsid w:val="005D107D"/>
    <w:rsid w:val="005D123A"/>
    <w:rsid w:val="005D2506"/>
    <w:rsid w:val="005D3677"/>
    <w:rsid w:val="005D41F5"/>
    <w:rsid w:val="005D4E4C"/>
    <w:rsid w:val="005D5B5E"/>
    <w:rsid w:val="005D5C85"/>
    <w:rsid w:val="005D5CA0"/>
    <w:rsid w:val="005D6AC3"/>
    <w:rsid w:val="005D72FC"/>
    <w:rsid w:val="005D7DFC"/>
    <w:rsid w:val="005E035A"/>
    <w:rsid w:val="005E1218"/>
    <w:rsid w:val="005E1B6B"/>
    <w:rsid w:val="005E1B7A"/>
    <w:rsid w:val="005E2281"/>
    <w:rsid w:val="005E236C"/>
    <w:rsid w:val="005E334F"/>
    <w:rsid w:val="005E351B"/>
    <w:rsid w:val="005E38A8"/>
    <w:rsid w:val="005E39F9"/>
    <w:rsid w:val="005E4828"/>
    <w:rsid w:val="005E5231"/>
    <w:rsid w:val="005E55BB"/>
    <w:rsid w:val="005E5D11"/>
    <w:rsid w:val="005E623B"/>
    <w:rsid w:val="005E667C"/>
    <w:rsid w:val="005E6A1D"/>
    <w:rsid w:val="005E6F12"/>
    <w:rsid w:val="005F0694"/>
    <w:rsid w:val="005F06E1"/>
    <w:rsid w:val="005F077C"/>
    <w:rsid w:val="005F0B88"/>
    <w:rsid w:val="005F1735"/>
    <w:rsid w:val="005F252A"/>
    <w:rsid w:val="005F3AA5"/>
    <w:rsid w:val="005F3CE8"/>
    <w:rsid w:val="005F4F41"/>
    <w:rsid w:val="005F50CD"/>
    <w:rsid w:val="005F566D"/>
    <w:rsid w:val="005F6346"/>
    <w:rsid w:val="005F68C3"/>
    <w:rsid w:val="005F7D87"/>
    <w:rsid w:val="00601794"/>
    <w:rsid w:val="00601E94"/>
    <w:rsid w:val="006021B1"/>
    <w:rsid w:val="006037C5"/>
    <w:rsid w:val="006040CE"/>
    <w:rsid w:val="0060467D"/>
    <w:rsid w:val="00605B9D"/>
    <w:rsid w:val="00606213"/>
    <w:rsid w:val="00606B57"/>
    <w:rsid w:val="00606B85"/>
    <w:rsid w:val="00607390"/>
    <w:rsid w:val="006076D8"/>
    <w:rsid w:val="00607E6D"/>
    <w:rsid w:val="00610376"/>
    <w:rsid w:val="0061061D"/>
    <w:rsid w:val="00611A3B"/>
    <w:rsid w:val="00612389"/>
    <w:rsid w:val="00612570"/>
    <w:rsid w:val="00612871"/>
    <w:rsid w:val="00612A44"/>
    <w:rsid w:val="00612A8E"/>
    <w:rsid w:val="00613098"/>
    <w:rsid w:val="0061319E"/>
    <w:rsid w:val="006134D9"/>
    <w:rsid w:val="006135DA"/>
    <w:rsid w:val="00613BDC"/>
    <w:rsid w:val="00615564"/>
    <w:rsid w:val="006155E2"/>
    <w:rsid w:val="00615F26"/>
    <w:rsid w:val="00617A81"/>
    <w:rsid w:val="00620579"/>
    <w:rsid w:val="006208AA"/>
    <w:rsid w:val="0062258F"/>
    <w:rsid w:val="00622E6D"/>
    <w:rsid w:val="00623BC7"/>
    <w:rsid w:val="00623E70"/>
    <w:rsid w:val="006241D0"/>
    <w:rsid w:val="00624665"/>
    <w:rsid w:val="00625434"/>
    <w:rsid w:val="0062576B"/>
    <w:rsid w:val="00625C5F"/>
    <w:rsid w:val="00626032"/>
    <w:rsid w:val="00627643"/>
    <w:rsid w:val="00627788"/>
    <w:rsid w:val="006300CD"/>
    <w:rsid w:val="0063017E"/>
    <w:rsid w:val="006312D0"/>
    <w:rsid w:val="006318A4"/>
    <w:rsid w:val="00631D4F"/>
    <w:rsid w:val="00633496"/>
    <w:rsid w:val="006338D2"/>
    <w:rsid w:val="00633F92"/>
    <w:rsid w:val="0063435E"/>
    <w:rsid w:val="00635FD8"/>
    <w:rsid w:val="00636651"/>
    <w:rsid w:val="00636F7B"/>
    <w:rsid w:val="0064019C"/>
    <w:rsid w:val="00640288"/>
    <w:rsid w:val="006405AC"/>
    <w:rsid w:val="0064099D"/>
    <w:rsid w:val="006412CD"/>
    <w:rsid w:val="006413D8"/>
    <w:rsid w:val="00641B7B"/>
    <w:rsid w:val="00641C55"/>
    <w:rsid w:val="00642405"/>
    <w:rsid w:val="00642645"/>
    <w:rsid w:val="006437E8"/>
    <w:rsid w:val="006438E0"/>
    <w:rsid w:val="00644BED"/>
    <w:rsid w:val="00646FD5"/>
    <w:rsid w:val="00647743"/>
    <w:rsid w:val="00652092"/>
    <w:rsid w:val="00652472"/>
    <w:rsid w:val="0065394E"/>
    <w:rsid w:val="00653B38"/>
    <w:rsid w:val="00656385"/>
    <w:rsid w:val="00656F19"/>
    <w:rsid w:val="00657C05"/>
    <w:rsid w:val="00660552"/>
    <w:rsid w:val="00660DBE"/>
    <w:rsid w:val="00661113"/>
    <w:rsid w:val="0066127D"/>
    <w:rsid w:val="00661AB0"/>
    <w:rsid w:val="006623A4"/>
    <w:rsid w:val="0066351C"/>
    <w:rsid w:val="00664693"/>
    <w:rsid w:val="00664DC0"/>
    <w:rsid w:val="006651CC"/>
    <w:rsid w:val="0066582B"/>
    <w:rsid w:val="00665CA1"/>
    <w:rsid w:val="00667421"/>
    <w:rsid w:val="0066780E"/>
    <w:rsid w:val="00667A31"/>
    <w:rsid w:val="00670702"/>
    <w:rsid w:val="006708EB"/>
    <w:rsid w:val="0067147C"/>
    <w:rsid w:val="00672A8A"/>
    <w:rsid w:val="00673F50"/>
    <w:rsid w:val="00674EEA"/>
    <w:rsid w:val="006759B0"/>
    <w:rsid w:val="00677012"/>
    <w:rsid w:val="00680D0E"/>
    <w:rsid w:val="00680F00"/>
    <w:rsid w:val="006825B4"/>
    <w:rsid w:val="006829BA"/>
    <w:rsid w:val="00682AF2"/>
    <w:rsid w:val="00682E8A"/>
    <w:rsid w:val="006837DE"/>
    <w:rsid w:val="0068537F"/>
    <w:rsid w:val="00686104"/>
    <w:rsid w:val="00686334"/>
    <w:rsid w:val="00686C3A"/>
    <w:rsid w:val="00687628"/>
    <w:rsid w:val="00687CFE"/>
    <w:rsid w:val="00690EB8"/>
    <w:rsid w:val="006915E5"/>
    <w:rsid w:val="00692401"/>
    <w:rsid w:val="006941CC"/>
    <w:rsid w:val="006945D4"/>
    <w:rsid w:val="00694EC0"/>
    <w:rsid w:val="00695F56"/>
    <w:rsid w:val="0069758B"/>
    <w:rsid w:val="006979C4"/>
    <w:rsid w:val="006A0B6C"/>
    <w:rsid w:val="006A1692"/>
    <w:rsid w:val="006A16E1"/>
    <w:rsid w:val="006A3293"/>
    <w:rsid w:val="006A3C8A"/>
    <w:rsid w:val="006A3E61"/>
    <w:rsid w:val="006A5213"/>
    <w:rsid w:val="006A6003"/>
    <w:rsid w:val="006A6737"/>
    <w:rsid w:val="006B1E08"/>
    <w:rsid w:val="006B26B1"/>
    <w:rsid w:val="006B2E45"/>
    <w:rsid w:val="006B3875"/>
    <w:rsid w:val="006B545C"/>
    <w:rsid w:val="006B5905"/>
    <w:rsid w:val="006B5AC8"/>
    <w:rsid w:val="006B5D32"/>
    <w:rsid w:val="006B6D1F"/>
    <w:rsid w:val="006B758B"/>
    <w:rsid w:val="006B7BF8"/>
    <w:rsid w:val="006C0F11"/>
    <w:rsid w:val="006C23E1"/>
    <w:rsid w:val="006C25D5"/>
    <w:rsid w:val="006C262B"/>
    <w:rsid w:val="006C31C6"/>
    <w:rsid w:val="006C3A2D"/>
    <w:rsid w:val="006C4666"/>
    <w:rsid w:val="006C49BF"/>
    <w:rsid w:val="006C63D7"/>
    <w:rsid w:val="006C6894"/>
    <w:rsid w:val="006C69D9"/>
    <w:rsid w:val="006C7535"/>
    <w:rsid w:val="006D08DC"/>
    <w:rsid w:val="006D0CFF"/>
    <w:rsid w:val="006D2F09"/>
    <w:rsid w:val="006D2FD2"/>
    <w:rsid w:val="006D33E6"/>
    <w:rsid w:val="006D3DC0"/>
    <w:rsid w:val="006D4162"/>
    <w:rsid w:val="006D5303"/>
    <w:rsid w:val="006D5E84"/>
    <w:rsid w:val="006D7C99"/>
    <w:rsid w:val="006E0443"/>
    <w:rsid w:val="006E0C50"/>
    <w:rsid w:val="006E0D42"/>
    <w:rsid w:val="006E0DCF"/>
    <w:rsid w:val="006E14D6"/>
    <w:rsid w:val="006E1647"/>
    <w:rsid w:val="006E2298"/>
    <w:rsid w:val="006E2F3A"/>
    <w:rsid w:val="006E310A"/>
    <w:rsid w:val="006E3C3E"/>
    <w:rsid w:val="006E4164"/>
    <w:rsid w:val="006E429F"/>
    <w:rsid w:val="006E47E0"/>
    <w:rsid w:val="006E6F30"/>
    <w:rsid w:val="006E7082"/>
    <w:rsid w:val="006E709F"/>
    <w:rsid w:val="006E7F73"/>
    <w:rsid w:val="006F030F"/>
    <w:rsid w:val="006F193C"/>
    <w:rsid w:val="006F1B58"/>
    <w:rsid w:val="006F2B89"/>
    <w:rsid w:val="006F36F1"/>
    <w:rsid w:val="006F3B81"/>
    <w:rsid w:val="006F4D59"/>
    <w:rsid w:val="006F4F79"/>
    <w:rsid w:val="006F4F80"/>
    <w:rsid w:val="006F5532"/>
    <w:rsid w:val="006F62CC"/>
    <w:rsid w:val="006F644B"/>
    <w:rsid w:val="006F66C1"/>
    <w:rsid w:val="006F681D"/>
    <w:rsid w:val="006F75B0"/>
    <w:rsid w:val="006F78E9"/>
    <w:rsid w:val="0070235F"/>
    <w:rsid w:val="00702BC3"/>
    <w:rsid w:val="007032AC"/>
    <w:rsid w:val="00703496"/>
    <w:rsid w:val="007036FE"/>
    <w:rsid w:val="00704614"/>
    <w:rsid w:val="00705B37"/>
    <w:rsid w:val="007064AC"/>
    <w:rsid w:val="0070658A"/>
    <w:rsid w:val="00706B65"/>
    <w:rsid w:val="00707C1A"/>
    <w:rsid w:val="00710023"/>
    <w:rsid w:val="00710207"/>
    <w:rsid w:val="0071023D"/>
    <w:rsid w:val="00710530"/>
    <w:rsid w:val="007107BD"/>
    <w:rsid w:val="00711E77"/>
    <w:rsid w:val="00712912"/>
    <w:rsid w:val="007141DC"/>
    <w:rsid w:val="00714B04"/>
    <w:rsid w:val="00714F75"/>
    <w:rsid w:val="007168A0"/>
    <w:rsid w:val="00716C95"/>
    <w:rsid w:val="00717762"/>
    <w:rsid w:val="00721A63"/>
    <w:rsid w:val="00721DED"/>
    <w:rsid w:val="00721FF9"/>
    <w:rsid w:val="0072229E"/>
    <w:rsid w:val="0072337E"/>
    <w:rsid w:val="00723696"/>
    <w:rsid w:val="0072541E"/>
    <w:rsid w:val="00725735"/>
    <w:rsid w:val="0072630D"/>
    <w:rsid w:val="00726A2A"/>
    <w:rsid w:val="007273BC"/>
    <w:rsid w:val="00730943"/>
    <w:rsid w:val="00733E5A"/>
    <w:rsid w:val="00736395"/>
    <w:rsid w:val="00736459"/>
    <w:rsid w:val="0073685F"/>
    <w:rsid w:val="00737821"/>
    <w:rsid w:val="0074058F"/>
    <w:rsid w:val="00741175"/>
    <w:rsid w:val="007419FB"/>
    <w:rsid w:val="00742606"/>
    <w:rsid w:val="007441FF"/>
    <w:rsid w:val="00744EE8"/>
    <w:rsid w:val="007459F5"/>
    <w:rsid w:val="007467E4"/>
    <w:rsid w:val="00747569"/>
    <w:rsid w:val="00747990"/>
    <w:rsid w:val="00750238"/>
    <w:rsid w:val="0075023C"/>
    <w:rsid w:val="007518E3"/>
    <w:rsid w:val="007518E9"/>
    <w:rsid w:val="00752247"/>
    <w:rsid w:val="007523E7"/>
    <w:rsid w:val="007531CA"/>
    <w:rsid w:val="00754252"/>
    <w:rsid w:val="00756EAD"/>
    <w:rsid w:val="007577B1"/>
    <w:rsid w:val="00757CB3"/>
    <w:rsid w:val="00757D87"/>
    <w:rsid w:val="00760EED"/>
    <w:rsid w:val="0076109F"/>
    <w:rsid w:val="00761399"/>
    <w:rsid w:val="0076150C"/>
    <w:rsid w:val="00761615"/>
    <w:rsid w:val="007616DA"/>
    <w:rsid w:val="007619CE"/>
    <w:rsid w:val="00761F4F"/>
    <w:rsid w:val="007620DC"/>
    <w:rsid w:val="00762102"/>
    <w:rsid w:val="0076255D"/>
    <w:rsid w:val="007625F6"/>
    <w:rsid w:val="00762B8B"/>
    <w:rsid w:val="0076327D"/>
    <w:rsid w:val="00764AF9"/>
    <w:rsid w:val="00764DF5"/>
    <w:rsid w:val="007650AD"/>
    <w:rsid w:val="00765D18"/>
    <w:rsid w:val="0076640B"/>
    <w:rsid w:val="00770C54"/>
    <w:rsid w:val="00771344"/>
    <w:rsid w:val="00772613"/>
    <w:rsid w:val="00772B41"/>
    <w:rsid w:val="00772CED"/>
    <w:rsid w:val="00773EA1"/>
    <w:rsid w:val="00775215"/>
    <w:rsid w:val="00776ACC"/>
    <w:rsid w:val="00777C54"/>
    <w:rsid w:val="00777C71"/>
    <w:rsid w:val="00777D6B"/>
    <w:rsid w:val="00777F20"/>
    <w:rsid w:val="00781148"/>
    <w:rsid w:val="0078265B"/>
    <w:rsid w:val="00782E10"/>
    <w:rsid w:val="00784DB8"/>
    <w:rsid w:val="0078505A"/>
    <w:rsid w:val="0078508F"/>
    <w:rsid w:val="00786448"/>
    <w:rsid w:val="007875D7"/>
    <w:rsid w:val="00787EBA"/>
    <w:rsid w:val="007906B2"/>
    <w:rsid w:val="0079134E"/>
    <w:rsid w:val="007925F0"/>
    <w:rsid w:val="0079278E"/>
    <w:rsid w:val="00792DCA"/>
    <w:rsid w:val="00792E3C"/>
    <w:rsid w:val="007930C1"/>
    <w:rsid w:val="0079315D"/>
    <w:rsid w:val="00793B45"/>
    <w:rsid w:val="00793E09"/>
    <w:rsid w:val="007960E3"/>
    <w:rsid w:val="00796F7C"/>
    <w:rsid w:val="00797131"/>
    <w:rsid w:val="00797254"/>
    <w:rsid w:val="007A0F8D"/>
    <w:rsid w:val="007A1078"/>
    <w:rsid w:val="007A257D"/>
    <w:rsid w:val="007A343D"/>
    <w:rsid w:val="007A3F1C"/>
    <w:rsid w:val="007A5ACE"/>
    <w:rsid w:val="007A5C5C"/>
    <w:rsid w:val="007A6528"/>
    <w:rsid w:val="007A7B48"/>
    <w:rsid w:val="007B18C6"/>
    <w:rsid w:val="007B20C2"/>
    <w:rsid w:val="007B232D"/>
    <w:rsid w:val="007B25D5"/>
    <w:rsid w:val="007B27E4"/>
    <w:rsid w:val="007B2910"/>
    <w:rsid w:val="007B301D"/>
    <w:rsid w:val="007B35F6"/>
    <w:rsid w:val="007B3F87"/>
    <w:rsid w:val="007B404F"/>
    <w:rsid w:val="007B44A6"/>
    <w:rsid w:val="007B494E"/>
    <w:rsid w:val="007B4C5E"/>
    <w:rsid w:val="007B7462"/>
    <w:rsid w:val="007B7558"/>
    <w:rsid w:val="007B7B52"/>
    <w:rsid w:val="007C02A3"/>
    <w:rsid w:val="007C0C55"/>
    <w:rsid w:val="007C1507"/>
    <w:rsid w:val="007C2F60"/>
    <w:rsid w:val="007C4D8D"/>
    <w:rsid w:val="007C5144"/>
    <w:rsid w:val="007C5613"/>
    <w:rsid w:val="007C6138"/>
    <w:rsid w:val="007C6153"/>
    <w:rsid w:val="007C6BC6"/>
    <w:rsid w:val="007C6C12"/>
    <w:rsid w:val="007C73B2"/>
    <w:rsid w:val="007D0435"/>
    <w:rsid w:val="007D1834"/>
    <w:rsid w:val="007D400A"/>
    <w:rsid w:val="007D4B0E"/>
    <w:rsid w:val="007D4DD2"/>
    <w:rsid w:val="007D57ED"/>
    <w:rsid w:val="007D5D0F"/>
    <w:rsid w:val="007D6EA8"/>
    <w:rsid w:val="007E1247"/>
    <w:rsid w:val="007E1A44"/>
    <w:rsid w:val="007E2419"/>
    <w:rsid w:val="007E3FF5"/>
    <w:rsid w:val="007E4219"/>
    <w:rsid w:val="007E577E"/>
    <w:rsid w:val="007E635E"/>
    <w:rsid w:val="007E6A09"/>
    <w:rsid w:val="007E6C0C"/>
    <w:rsid w:val="007E7300"/>
    <w:rsid w:val="007E767B"/>
    <w:rsid w:val="007F038C"/>
    <w:rsid w:val="007F0428"/>
    <w:rsid w:val="007F0F24"/>
    <w:rsid w:val="007F1755"/>
    <w:rsid w:val="007F222B"/>
    <w:rsid w:val="007F3092"/>
    <w:rsid w:val="007F39B8"/>
    <w:rsid w:val="007F3C03"/>
    <w:rsid w:val="007F3E3F"/>
    <w:rsid w:val="007F45DF"/>
    <w:rsid w:val="007F4A6F"/>
    <w:rsid w:val="007F4FBC"/>
    <w:rsid w:val="007F5975"/>
    <w:rsid w:val="007F5AB9"/>
    <w:rsid w:val="007F6497"/>
    <w:rsid w:val="007F6836"/>
    <w:rsid w:val="007F7DF2"/>
    <w:rsid w:val="00800A35"/>
    <w:rsid w:val="00800D91"/>
    <w:rsid w:val="00801A0E"/>
    <w:rsid w:val="00804E4C"/>
    <w:rsid w:val="0080662C"/>
    <w:rsid w:val="008070B2"/>
    <w:rsid w:val="00807D79"/>
    <w:rsid w:val="00810102"/>
    <w:rsid w:val="008102BC"/>
    <w:rsid w:val="008116F3"/>
    <w:rsid w:val="008117C4"/>
    <w:rsid w:val="00812461"/>
    <w:rsid w:val="008127E0"/>
    <w:rsid w:val="00812810"/>
    <w:rsid w:val="0081356D"/>
    <w:rsid w:val="0081398E"/>
    <w:rsid w:val="008149D8"/>
    <w:rsid w:val="00815714"/>
    <w:rsid w:val="00815A2A"/>
    <w:rsid w:val="0081788A"/>
    <w:rsid w:val="00817927"/>
    <w:rsid w:val="00817CFC"/>
    <w:rsid w:val="00817E82"/>
    <w:rsid w:val="00821D81"/>
    <w:rsid w:val="00822A52"/>
    <w:rsid w:val="00823654"/>
    <w:rsid w:val="00823A90"/>
    <w:rsid w:val="00825C22"/>
    <w:rsid w:val="00825C68"/>
    <w:rsid w:val="0082757E"/>
    <w:rsid w:val="00827B6C"/>
    <w:rsid w:val="00827D77"/>
    <w:rsid w:val="00830561"/>
    <w:rsid w:val="00831115"/>
    <w:rsid w:val="0083249C"/>
    <w:rsid w:val="00832D42"/>
    <w:rsid w:val="008333A9"/>
    <w:rsid w:val="00833419"/>
    <w:rsid w:val="008342A5"/>
    <w:rsid w:val="00834BE2"/>
    <w:rsid w:val="00834EA4"/>
    <w:rsid w:val="008354B9"/>
    <w:rsid w:val="00835DCB"/>
    <w:rsid w:val="00836921"/>
    <w:rsid w:val="00837237"/>
    <w:rsid w:val="008376C0"/>
    <w:rsid w:val="0084035D"/>
    <w:rsid w:val="008405F9"/>
    <w:rsid w:val="0084060B"/>
    <w:rsid w:val="0084139B"/>
    <w:rsid w:val="0084143B"/>
    <w:rsid w:val="00842547"/>
    <w:rsid w:val="008427D3"/>
    <w:rsid w:val="008429CF"/>
    <w:rsid w:val="0084324C"/>
    <w:rsid w:val="008451F8"/>
    <w:rsid w:val="008457D2"/>
    <w:rsid w:val="00846212"/>
    <w:rsid w:val="008468E0"/>
    <w:rsid w:val="0084790F"/>
    <w:rsid w:val="00847BE7"/>
    <w:rsid w:val="008506E0"/>
    <w:rsid w:val="00850EAB"/>
    <w:rsid w:val="00851D70"/>
    <w:rsid w:val="008529B3"/>
    <w:rsid w:val="00852ADD"/>
    <w:rsid w:val="00853883"/>
    <w:rsid w:val="0085441F"/>
    <w:rsid w:val="00854CF7"/>
    <w:rsid w:val="00854DA7"/>
    <w:rsid w:val="008557A0"/>
    <w:rsid w:val="00856607"/>
    <w:rsid w:val="008616A2"/>
    <w:rsid w:val="00861C6C"/>
    <w:rsid w:val="00863862"/>
    <w:rsid w:val="00863AAD"/>
    <w:rsid w:val="00864644"/>
    <w:rsid w:val="00866296"/>
    <w:rsid w:val="008665C7"/>
    <w:rsid w:val="008707A3"/>
    <w:rsid w:val="00870A36"/>
    <w:rsid w:val="00872F21"/>
    <w:rsid w:val="00873736"/>
    <w:rsid w:val="0087378E"/>
    <w:rsid w:val="008737DF"/>
    <w:rsid w:val="008755E7"/>
    <w:rsid w:val="00875E16"/>
    <w:rsid w:val="00877D03"/>
    <w:rsid w:val="00877E96"/>
    <w:rsid w:val="0088023D"/>
    <w:rsid w:val="008803CE"/>
    <w:rsid w:val="00882077"/>
    <w:rsid w:val="00883140"/>
    <w:rsid w:val="00883613"/>
    <w:rsid w:val="0088557F"/>
    <w:rsid w:val="00886393"/>
    <w:rsid w:val="00886579"/>
    <w:rsid w:val="00886F19"/>
    <w:rsid w:val="00886F30"/>
    <w:rsid w:val="00887865"/>
    <w:rsid w:val="00887B37"/>
    <w:rsid w:val="00890598"/>
    <w:rsid w:val="0089065A"/>
    <w:rsid w:val="00890DEB"/>
    <w:rsid w:val="0089177A"/>
    <w:rsid w:val="00891D7A"/>
    <w:rsid w:val="00891DFC"/>
    <w:rsid w:val="00892B98"/>
    <w:rsid w:val="008959FC"/>
    <w:rsid w:val="00896668"/>
    <w:rsid w:val="008A1D0E"/>
    <w:rsid w:val="008A25EA"/>
    <w:rsid w:val="008A31C7"/>
    <w:rsid w:val="008A3215"/>
    <w:rsid w:val="008A3E8B"/>
    <w:rsid w:val="008A47BE"/>
    <w:rsid w:val="008A4AEC"/>
    <w:rsid w:val="008A5609"/>
    <w:rsid w:val="008A6DD5"/>
    <w:rsid w:val="008A6DF0"/>
    <w:rsid w:val="008A6FA0"/>
    <w:rsid w:val="008B15CE"/>
    <w:rsid w:val="008B1C8F"/>
    <w:rsid w:val="008B2570"/>
    <w:rsid w:val="008B2B19"/>
    <w:rsid w:val="008B2F40"/>
    <w:rsid w:val="008B2FCD"/>
    <w:rsid w:val="008B3627"/>
    <w:rsid w:val="008B56A0"/>
    <w:rsid w:val="008B5AA1"/>
    <w:rsid w:val="008B5E61"/>
    <w:rsid w:val="008B64CE"/>
    <w:rsid w:val="008B7914"/>
    <w:rsid w:val="008C127A"/>
    <w:rsid w:val="008C1932"/>
    <w:rsid w:val="008C2C7F"/>
    <w:rsid w:val="008C2F0D"/>
    <w:rsid w:val="008C500C"/>
    <w:rsid w:val="008C5D2A"/>
    <w:rsid w:val="008C6754"/>
    <w:rsid w:val="008C6C16"/>
    <w:rsid w:val="008C74FB"/>
    <w:rsid w:val="008C7AF4"/>
    <w:rsid w:val="008C7DA4"/>
    <w:rsid w:val="008D0210"/>
    <w:rsid w:val="008D0851"/>
    <w:rsid w:val="008D0DEF"/>
    <w:rsid w:val="008D0FCD"/>
    <w:rsid w:val="008D1074"/>
    <w:rsid w:val="008D1079"/>
    <w:rsid w:val="008D1E59"/>
    <w:rsid w:val="008D280F"/>
    <w:rsid w:val="008D318B"/>
    <w:rsid w:val="008D3994"/>
    <w:rsid w:val="008D3C3D"/>
    <w:rsid w:val="008D478E"/>
    <w:rsid w:val="008D534E"/>
    <w:rsid w:val="008D6E81"/>
    <w:rsid w:val="008D7739"/>
    <w:rsid w:val="008D7A64"/>
    <w:rsid w:val="008E0302"/>
    <w:rsid w:val="008E1267"/>
    <w:rsid w:val="008E19FD"/>
    <w:rsid w:val="008E22F8"/>
    <w:rsid w:val="008E39D8"/>
    <w:rsid w:val="008E5D73"/>
    <w:rsid w:val="008E606F"/>
    <w:rsid w:val="008E6AD9"/>
    <w:rsid w:val="008F022A"/>
    <w:rsid w:val="008F06FD"/>
    <w:rsid w:val="008F1172"/>
    <w:rsid w:val="008F13B7"/>
    <w:rsid w:val="008F27E3"/>
    <w:rsid w:val="008F3485"/>
    <w:rsid w:val="008F3720"/>
    <w:rsid w:val="008F3AC3"/>
    <w:rsid w:val="008F51FF"/>
    <w:rsid w:val="008F5DEF"/>
    <w:rsid w:val="008F7C0A"/>
    <w:rsid w:val="00901DBB"/>
    <w:rsid w:val="009026CB"/>
    <w:rsid w:val="00903FB2"/>
    <w:rsid w:val="00904038"/>
    <w:rsid w:val="009041AF"/>
    <w:rsid w:val="009042AA"/>
    <w:rsid w:val="009049AB"/>
    <w:rsid w:val="009050B7"/>
    <w:rsid w:val="00905130"/>
    <w:rsid w:val="009053BD"/>
    <w:rsid w:val="00905728"/>
    <w:rsid w:val="009061B8"/>
    <w:rsid w:val="009064BF"/>
    <w:rsid w:val="009069B8"/>
    <w:rsid w:val="0091070F"/>
    <w:rsid w:val="00911D2C"/>
    <w:rsid w:val="009130CC"/>
    <w:rsid w:val="00913B37"/>
    <w:rsid w:val="00914683"/>
    <w:rsid w:val="00914861"/>
    <w:rsid w:val="009148D8"/>
    <w:rsid w:val="00914B5F"/>
    <w:rsid w:val="00914E71"/>
    <w:rsid w:val="0091504C"/>
    <w:rsid w:val="00915897"/>
    <w:rsid w:val="00915B44"/>
    <w:rsid w:val="00915CD5"/>
    <w:rsid w:val="00916093"/>
    <w:rsid w:val="009160E3"/>
    <w:rsid w:val="0091639C"/>
    <w:rsid w:val="00916E99"/>
    <w:rsid w:val="0092002E"/>
    <w:rsid w:val="0092050A"/>
    <w:rsid w:val="00920EC6"/>
    <w:rsid w:val="0092101E"/>
    <w:rsid w:val="0092383B"/>
    <w:rsid w:val="00924119"/>
    <w:rsid w:val="00925120"/>
    <w:rsid w:val="009255FA"/>
    <w:rsid w:val="00925613"/>
    <w:rsid w:val="009262E4"/>
    <w:rsid w:val="00927D4E"/>
    <w:rsid w:val="00930AC2"/>
    <w:rsid w:val="00930D2A"/>
    <w:rsid w:val="009312BF"/>
    <w:rsid w:val="00931B84"/>
    <w:rsid w:val="009322B2"/>
    <w:rsid w:val="00932E7E"/>
    <w:rsid w:val="0093442D"/>
    <w:rsid w:val="00934CD2"/>
    <w:rsid w:val="00934D34"/>
    <w:rsid w:val="009375E5"/>
    <w:rsid w:val="00937D30"/>
    <w:rsid w:val="00941848"/>
    <w:rsid w:val="00942CCC"/>
    <w:rsid w:val="009437F2"/>
    <w:rsid w:val="009442E8"/>
    <w:rsid w:val="00944667"/>
    <w:rsid w:val="00944BA7"/>
    <w:rsid w:val="0094636D"/>
    <w:rsid w:val="0094759C"/>
    <w:rsid w:val="009503FE"/>
    <w:rsid w:val="00950ACD"/>
    <w:rsid w:val="00950E37"/>
    <w:rsid w:val="00951666"/>
    <w:rsid w:val="0095182F"/>
    <w:rsid w:val="00952524"/>
    <w:rsid w:val="0095278F"/>
    <w:rsid w:val="00953EAF"/>
    <w:rsid w:val="0095426C"/>
    <w:rsid w:val="00955EE9"/>
    <w:rsid w:val="00956BF5"/>
    <w:rsid w:val="009571C2"/>
    <w:rsid w:val="0095770C"/>
    <w:rsid w:val="009579AF"/>
    <w:rsid w:val="00957CC8"/>
    <w:rsid w:val="00957EE7"/>
    <w:rsid w:val="00961397"/>
    <w:rsid w:val="00961453"/>
    <w:rsid w:val="009616D4"/>
    <w:rsid w:val="00962150"/>
    <w:rsid w:val="00964166"/>
    <w:rsid w:val="009645AD"/>
    <w:rsid w:val="0096475C"/>
    <w:rsid w:val="0096546E"/>
    <w:rsid w:val="0096562A"/>
    <w:rsid w:val="00965865"/>
    <w:rsid w:val="00966A13"/>
    <w:rsid w:val="00967473"/>
    <w:rsid w:val="00967730"/>
    <w:rsid w:val="00970D56"/>
    <w:rsid w:val="00970E50"/>
    <w:rsid w:val="00971074"/>
    <w:rsid w:val="009725B2"/>
    <w:rsid w:val="009747AA"/>
    <w:rsid w:val="00974B99"/>
    <w:rsid w:val="00974BCB"/>
    <w:rsid w:val="009758CD"/>
    <w:rsid w:val="00975BF2"/>
    <w:rsid w:val="009763E4"/>
    <w:rsid w:val="0097654D"/>
    <w:rsid w:val="009766B7"/>
    <w:rsid w:val="009777A9"/>
    <w:rsid w:val="00980A22"/>
    <w:rsid w:val="00980D85"/>
    <w:rsid w:val="00983094"/>
    <w:rsid w:val="00983599"/>
    <w:rsid w:val="009843DE"/>
    <w:rsid w:val="0098544F"/>
    <w:rsid w:val="00985B04"/>
    <w:rsid w:val="00986A6D"/>
    <w:rsid w:val="00986BEF"/>
    <w:rsid w:val="00987298"/>
    <w:rsid w:val="00991DF8"/>
    <w:rsid w:val="00992499"/>
    <w:rsid w:val="00992986"/>
    <w:rsid w:val="009936E2"/>
    <w:rsid w:val="00994B55"/>
    <w:rsid w:val="00995D86"/>
    <w:rsid w:val="00995FB2"/>
    <w:rsid w:val="0099781E"/>
    <w:rsid w:val="00997A68"/>
    <w:rsid w:val="009A00EA"/>
    <w:rsid w:val="009A170E"/>
    <w:rsid w:val="009A1F6B"/>
    <w:rsid w:val="009A2C4C"/>
    <w:rsid w:val="009A2DD8"/>
    <w:rsid w:val="009A30DE"/>
    <w:rsid w:val="009A3D29"/>
    <w:rsid w:val="009A509F"/>
    <w:rsid w:val="009A5453"/>
    <w:rsid w:val="009A7532"/>
    <w:rsid w:val="009A7883"/>
    <w:rsid w:val="009B237F"/>
    <w:rsid w:val="009B2760"/>
    <w:rsid w:val="009B308D"/>
    <w:rsid w:val="009B38D5"/>
    <w:rsid w:val="009B3B62"/>
    <w:rsid w:val="009B3C8D"/>
    <w:rsid w:val="009B4FFB"/>
    <w:rsid w:val="009B53C7"/>
    <w:rsid w:val="009B7489"/>
    <w:rsid w:val="009B7B0A"/>
    <w:rsid w:val="009C07C9"/>
    <w:rsid w:val="009C08D7"/>
    <w:rsid w:val="009C1866"/>
    <w:rsid w:val="009C1FDE"/>
    <w:rsid w:val="009C375C"/>
    <w:rsid w:val="009C4E0D"/>
    <w:rsid w:val="009C4F1B"/>
    <w:rsid w:val="009C503B"/>
    <w:rsid w:val="009C5816"/>
    <w:rsid w:val="009C63EC"/>
    <w:rsid w:val="009C7DAC"/>
    <w:rsid w:val="009D08A6"/>
    <w:rsid w:val="009D1EB3"/>
    <w:rsid w:val="009D2724"/>
    <w:rsid w:val="009D3AD2"/>
    <w:rsid w:val="009D3E06"/>
    <w:rsid w:val="009D43AA"/>
    <w:rsid w:val="009D5843"/>
    <w:rsid w:val="009D638D"/>
    <w:rsid w:val="009D6393"/>
    <w:rsid w:val="009E1CC8"/>
    <w:rsid w:val="009E30D2"/>
    <w:rsid w:val="009E4885"/>
    <w:rsid w:val="009E508B"/>
    <w:rsid w:val="009F01E7"/>
    <w:rsid w:val="009F03AB"/>
    <w:rsid w:val="009F0619"/>
    <w:rsid w:val="009F068A"/>
    <w:rsid w:val="009F0A85"/>
    <w:rsid w:val="009F1260"/>
    <w:rsid w:val="009F1B71"/>
    <w:rsid w:val="009F1C67"/>
    <w:rsid w:val="009F220A"/>
    <w:rsid w:val="009F36D6"/>
    <w:rsid w:val="009F7ADC"/>
    <w:rsid w:val="00A0002A"/>
    <w:rsid w:val="00A0236D"/>
    <w:rsid w:val="00A02985"/>
    <w:rsid w:val="00A02B2B"/>
    <w:rsid w:val="00A02FA8"/>
    <w:rsid w:val="00A03F74"/>
    <w:rsid w:val="00A046BF"/>
    <w:rsid w:val="00A04E53"/>
    <w:rsid w:val="00A05283"/>
    <w:rsid w:val="00A05B25"/>
    <w:rsid w:val="00A05C04"/>
    <w:rsid w:val="00A06254"/>
    <w:rsid w:val="00A06842"/>
    <w:rsid w:val="00A07459"/>
    <w:rsid w:val="00A07DB6"/>
    <w:rsid w:val="00A10972"/>
    <w:rsid w:val="00A11406"/>
    <w:rsid w:val="00A13205"/>
    <w:rsid w:val="00A132A1"/>
    <w:rsid w:val="00A15132"/>
    <w:rsid w:val="00A1554D"/>
    <w:rsid w:val="00A15792"/>
    <w:rsid w:val="00A158E3"/>
    <w:rsid w:val="00A1591A"/>
    <w:rsid w:val="00A16FC5"/>
    <w:rsid w:val="00A172E0"/>
    <w:rsid w:val="00A221A3"/>
    <w:rsid w:val="00A223D5"/>
    <w:rsid w:val="00A23F41"/>
    <w:rsid w:val="00A25547"/>
    <w:rsid w:val="00A3003E"/>
    <w:rsid w:val="00A31E14"/>
    <w:rsid w:val="00A33160"/>
    <w:rsid w:val="00A34276"/>
    <w:rsid w:val="00A357A4"/>
    <w:rsid w:val="00A36453"/>
    <w:rsid w:val="00A37970"/>
    <w:rsid w:val="00A37A68"/>
    <w:rsid w:val="00A37B0C"/>
    <w:rsid w:val="00A37CE6"/>
    <w:rsid w:val="00A37D1C"/>
    <w:rsid w:val="00A37FFE"/>
    <w:rsid w:val="00A40ECF"/>
    <w:rsid w:val="00A41FEF"/>
    <w:rsid w:val="00A42476"/>
    <w:rsid w:val="00A433CA"/>
    <w:rsid w:val="00A43A1A"/>
    <w:rsid w:val="00A43D48"/>
    <w:rsid w:val="00A43F3C"/>
    <w:rsid w:val="00A447A5"/>
    <w:rsid w:val="00A4646E"/>
    <w:rsid w:val="00A468FD"/>
    <w:rsid w:val="00A46921"/>
    <w:rsid w:val="00A47249"/>
    <w:rsid w:val="00A475F5"/>
    <w:rsid w:val="00A47E3B"/>
    <w:rsid w:val="00A501C7"/>
    <w:rsid w:val="00A50905"/>
    <w:rsid w:val="00A513FD"/>
    <w:rsid w:val="00A5254B"/>
    <w:rsid w:val="00A52BC1"/>
    <w:rsid w:val="00A534A0"/>
    <w:rsid w:val="00A537EA"/>
    <w:rsid w:val="00A539AD"/>
    <w:rsid w:val="00A53C73"/>
    <w:rsid w:val="00A540B2"/>
    <w:rsid w:val="00A5414D"/>
    <w:rsid w:val="00A56819"/>
    <w:rsid w:val="00A568AC"/>
    <w:rsid w:val="00A60E14"/>
    <w:rsid w:val="00A60E9C"/>
    <w:rsid w:val="00A6131E"/>
    <w:rsid w:val="00A616AF"/>
    <w:rsid w:val="00A61879"/>
    <w:rsid w:val="00A628B4"/>
    <w:rsid w:val="00A63E4E"/>
    <w:rsid w:val="00A6444F"/>
    <w:rsid w:val="00A652FF"/>
    <w:rsid w:val="00A65A0D"/>
    <w:rsid w:val="00A65C27"/>
    <w:rsid w:val="00A65F3C"/>
    <w:rsid w:val="00A66FB3"/>
    <w:rsid w:val="00A714A3"/>
    <w:rsid w:val="00A71B8B"/>
    <w:rsid w:val="00A75089"/>
    <w:rsid w:val="00A75EDC"/>
    <w:rsid w:val="00A80404"/>
    <w:rsid w:val="00A8085F"/>
    <w:rsid w:val="00A80A3D"/>
    <w:rsid w:val="00A817A8"/>
    <w:rsid w:val="00A81E50"/>
    <w:rsid w:val="00A81F1C"/>
    <w:rsid w:val="00A82602"/>
    <w:rsid w:val="00A82DA0"/>
    <w:rsid w:val="00A83E49"/>
    <w:rsid w:val="00A8401C"/>
    <w:rsid w:val="00A8415A"/>
    <w:rsid w:val="00A841A6"/>
    <w:rsid w:val="00A84221"/>
    <w:rsid w:val="00A84B7A"/>
    <w:rsid w:val="00A86FBC"/>
    <w:rsid w:val="00A879C5"/>
    <w:rsid w:val="00A902AD"/>
    <w:rsid w:val="00A9099E"/>
    <w:rsid w:val="00A91FB7"/>
    <w:rsid w:val="00A9298F"/>
    <w:rsid w:val="00A9301E"/>
    <w:rsid w:val="00A93E3A"/>
    <w:rsid w:val="00A95186"/>
    <w:rsid w:val="00A951AD"/>
    <w:rsid w:val="00A95747"/>
    <w:rsid w:val="00A961BD"/>
    <w:rsid w:val="00A97EE0"/>
    <w:rsid w:val="00AA027E"/>
    <w:rsid w:val="00AA1224"/>
    <w:rsid w:val="00AA14F2"/>
    <w:rsid w:val="00AA180B"/>
    <w:rsid w:val="00AA1D43"/>
    <w:rsid w:val="00AA27B7"/>
    <w:rsid w:val="00AA2CD7"/>
    <w:rsid w:val="00AA2FA4"/>
    <w:rsid w:val="00AA3301"/>
    <w:rsid w:val="00AA3360"/>
    <w:rsid w:val="00AA6B93"/>
    <w:rsid w:val="00AA7A06"/>
    <w:rsid w:val="00AA7A7F"/>
    <w:rsid w:val="00AA7D12"/>
    <w:rsid w:val="00AB1984"/>
    <w:rsid w:val="00AB1CBB"/>
    <w:rsid w:val="00AB215B"/>
    <w:rsid w:val="00AB333E"/>
    <w:rsid w:val="00AB37DB"/>
    <w:rsid w:val="00AB3ECC"/>
    <w:rsid w:val="00AB5F48"/>
    <w:rsid w:val="00AB7092"/>
    <w:rsid w:val="00AB716D"/>
    <w:rsid w:val="00AB72BB"/>
    <w:rsid w:val="00AB7BF3"/>
    <w:rsid w:val="00AC09D5"/>
    <w:rsid w:val="00AC0D8E"/>
    <w:rsid w:val="00AC1790"/>
    <w:rsid w:val="00AC1AA3"/>
    <w:rsid w:val="00AC1F8E"/>
    <w:rsid w:val="00AC22C1"/>
    <w:rsid w:val="00AC3ED5"/>
    <w:rsid w:val="00AC4CB3"/>
    <w:rsid w:val="00AC4D7C"/>
    <w:rsid w:val="00AC53B0"/>
    <w:rsid w:val="00AC6EF2"/>
    <w:rsid w:val="00AC71A6"/>
    <w:rsid w:val="00AC742F"/>
    <w:rsid w:val="00AC774F"/>
    <w:rsid w:val="00AC780D"/>
    <w:rsid w:val="00AC787B"/>
    <w:rsid w:val="00AC7956"/>
    <w:rsid w:val="00AC7E18"/>
    <w:rsid w:val="00AD1427"/>
    <w:rsid w:val="00AD1B79"/>
    <w:rsid w:val="00AD3208"/>
    <w:rsid w:val="00AD50F8"/>
    <w:rsid w:val="00AD719F"/>
    <w:rsid w:val="00AD7447"/>
    <w:rsid w:val="00AD7D36"/>
    <w:rsid w:val="00AE0DED"/>
    <w:rsid w:val="00AE284A"/>
    <w:rsid w:val="00AE307E"/>
    <w:rsid w:val="00AE3E11"/>
    <w:rsid w:val="00AE4BDC"/>
    <w:rsid w:val="00AE4CFD"/>
    <w:rsid w:val="00AE4EA6"/>
    <w:rsid w:val="00AE5143"/>
    <w:rsid w:val="00AE55AD"/>
    <w:rsid w:val="00AE5D8F"/>
    <w:rsid w:val="00AE6316"/>
    <w:rsid w:val="00AE67D5"/>
    <w:rsid w:val="00AE78ED"/>
    <w:rsid w:val="00AE7AC2"/>
    <w:rsid w:val="00AE7EC9"/>
    <w:rsid w:val="00AF1117"/>
    <w:rsid w:val="00AF1555"/>
    <w:rsid w:val="00AF174E"/>
    <w:rsid w:val="00AF18BA"/>
    <w:rsid w:val="00AF228C"/>
    <w:rsid w:val="00AF23F0"/>
    <w:rsid w:val="00AF2DB9"/>
    <w:rsid w:val="00AF3B55"/>
    <w:rsid w:val="00AF3D62"/>
    <w:rsid w:val="00AF4146"/>
    <w:rsid w:val="00AF6AC5"/>
    <w:rsid w:val="00AF7809"/>
    <w:rsid w:val="00AF7A7E"/>
    <w:rsid w:val="00AF7F7B"/>
    <w:rsid w:val="00B0104B"/>
    <w:rsid w:val="00B021E0"/>
    <w:rsid w:val="00B023A7"/>
    <w:rsid w:val="00B03A35"/>
    <w:rsid w:val="00B04F99"/>
    <w:rsid w:val="00B057B6"/>
    <w:rsid w:val="00B05A7C"/>
    <w:rsid w:val="00B06361"/>
    <w:rsid w:val="00B0651D"/>
    <w:rsid w:val="00B06955"/>
    <w:rsid w:val="00B07028"/>
    <w:rsid w:val="00B07083"/>
    <w:rsid w:val="00B07BEA"/>
    <w:rsid w:val="00B07F41"/>
    <w:rsid w:val="00B102F9"/>
    <w:rsid w:val="00B11C80"/>
    <w:rsid w:val="00B12152"/>
    <w:rsid w:val="00B12DCA"/>
    <w:rsid w:val="00B13ECB"/>
    <w:rsid w:val="00B1524F"/>
    <w:rsid w:val="00B15521"/>
    <w:rsid w:val="00B17F60"/>
    <w:rsid w:val="00B2039A"/>
    <w:rsid w:val="00B20AC8"/>
    <w:rsid w:val="00B215D5"/>
    <w:rsid w:val="00B225CB"/>
    <w:rsid w:val="00B22870"/>
    <w:rsid w:val="00B22A22"/>
    <w:rsid w:val="00B22AA6"/>
    <w:rsid w:val="00B23F4C"/>
    <w:rsid w:val="00B246DD"/>
    <w:rsid w:val="00B24BA7"/>
    <w:rsid w:val="00B268D0"/>
    <w:rsid w:val="00B269D3"/>
    <w:rsid w:val="00B27F44"/>
    <w:rsid w:val="00B301ED"/>
    <w:rsid w:val="00B30448"/>
    <w:rsid w:val="00B30C49"/>
    <w:rsid w:val="00B30D75"/>
    <w:rsid w:val="00B30DAD"/>
    <w:rsid w:val="00B31315"/>
    <w:rsid w:val="00B3260E"/>
    <w:rsid w:val="00B32C4B"/>
    <w:rsid w:val="00B3407E"/>
    <w:rsid w:val="00B34C84"/>
    <w:rsid w:val="00B34D6A"/>
    <w:rsid w:val="00B35021"/>
    <w:rsid w:val="00B35749"/>
    <w:rsid w:val="00B35EF5"/>
    <w:rsid w:val="00B3677F"/>
    <w:rsid w:val="00B3704D"/>
    <w:rsid w:val="00B40162"/>
    <w:rsid w:val="00B4054D"/>
    <w:rsid w:val="00B40FDB"/>
    <w:rsid w:val="00B420B2"/>
    <w:rsid w:val="00B42800"/>
    <w:rsid w:val="00B42863"/>
    <w:rsid w:val="00B42E5D"/>
    <w:rsid w:val="00B430F6"/>
    <w:rsid w:val="00B43511"/>
    <w:rsid w:val="00B45528"/>
    <w:rsid w:val="00B478FA"/>
    <w:rsid w:val="00B50156"/>
    <w:rsid w:val="00B501E8"/>
    <w:rsid w:val="00B502A3"/>
    <w:rsid w:val="00B50953"/>
    <w:rsid w:val="00B509AE"/>
    <w:rsid w:val="00B50E13"/>
    <w:rsid w:val="00B51581"/>
    <w:rsid w:val="00B5187A"/>
    <w:rsid w:val="00B518AD"/>
    <w:rsid w:val="00B51BB6"/>
    <w:rsid w:val="00B52B30"/>
    <w:rsid w:val="00B52D81"/>
    <w:rsid w:val="00B5402E"/>
    <w:rsid w:val="00B540E8"/>
    <w:rsid w:val="00B560A9"/>
    <w:rsid w:val="00B56866"/>
    <w:rsid w:val="00B56CC4"/>
    <w:rsid w:val="00B604BB"/>
    <w:rsid w:val="00B6062A"/>
    <w:rsid w:val="00B60A96"/>
    <w:rsid w:val="00B60DD7"/>
    <w:rsid w:val="00B60EB6"/>
    <w:rsid w:val="00B60EE5"/>
    <w:rsid w:val="00B637FB"/>
    <w:rsid w:val="00B6386F"/>
    <w:rsid w:val="00B66E51"/>
    <w:rsid w:val="00B67346"/>
    <w:rsid w:val="00B6793A"/>
    <w:rsid w:val="00B71486"/>
    <w:rsid w:val="00B71607"/>
    <w:rsid w:val="00B71EF7"/>
    <w:rsid w:val="00B72361"/>
    <w:rsid w:val="00B74AB0"/>
    <w:rsid w:val="00B75345"/>
    <w:rsid w:val="00B76327"/>
    <w:rsid w:val="00B76400"/>
    <w:rsid w:val="00B76C94"/>
    <w:rsid w:val="00B76D4E"/>
    <w:rsid w:val="00B76D6E"/>
    <w:rsid w:val="00B771AA"/>
    <w:rsid w:val="00B772D0"/>
    <w:rsid w:val="00B80A99"/>
    <w:rsid w:val="00B80F4E"/>
    <w:rsid w:val="00B814CF"/>
    <w:rsid w:val="00B821B2"/>
    <w:rsid w:val="00B82B2D"/>
    <w:rsid w:val="00B83117"/>
    <w:rsid w:val="00B8319C"/>
    <w:rsid w:val="00B90351"/>
    <w:rsid w:val="00B906F2"/>
    <w:rsid w:val="00B90D9B"/>
    <w:rsid w:val="00B91259"/>
    <w:rsid w:val="00B91B81"/>
    <w:rsid w:val="00B91FF0"/>
    <w:rsid w:val="00B92841"/>
    <w:rsid w:val="00B92FFF"/>
    <w:rsid w:val="00B94279"/>
    <w:rsid w:val="00B943BB"/>
    <w:rsid w:val="00B9492E"/>
    <w:rsid w:val="00B949DC"/>
    <w:rsid w:val="00B96799"/>
    <w:rsid w:val="00B96DE5"/>
    <w:rsid w:val="00B97106"/>
    <w:rsid w:val="00B97A76"/>
    <w:rsid w:val="00BA0166"/>
    <w:rsid w:val="00BA0584"/>
    <w:rsid w:val="00BA249D"/>
    <w:rsid w:val="00BA4D00"/>
    <w:rsid w:val="00BA5665"/>
    <w:rsid w:val="00BA76E1"/>
    <w:rsid w:val="00BB0AB5"/>
    <w:rsid w:val="00BB195B"/>
    <w:rsid w:val="00BB33E9"/>
    <w:rsid w:val="00BB34B7"/>
    <w:rsid w:val="00BB3BE4"/>
    <w:rsid w:val="00BB3EAF"/>
    <w:rsid w:val="00BB44DB"/>
    <w:rsid w:val="00BB57D3"/>
    <w:rsid w:val="00BB58EE"/>
    <w:rsid w:val="00BB64EC"/>
    <w:rsid w:val="00BB7589"/>
    <w:rsid w:val="00BC011C"/>
    <w:rsid w:val="00BC077E"/>
    <w:rsid w:val="00BC0E57"/>
    <w:rsid w:val="00BC1F5F"/>
    <w:rsid w:val="00BC21BE"/>
    <w:rsid w:val="00BC2465"/>
    <w:rsid w:val="00BC3E36"/>
    <w:rsid w:val="00BC4CE8"/>
    <w:rsid w:val="00BC4D54"/>
    <w:rsid w:val="00BC7632"/>
    <w:rsid w:val="00BC7C9E"/>
    <w:rsid w:val="00BD1E79"/>
    <w:rsid w:val="00BD23A5"/>
    <w:rsid w:val="00BD2937"/>
    <w:rsid w:val="00BD2AFC"/>
    <w:rsid w:val="00BD2CD4"/>
    <w:rsid w:val="00BD330C"/>
    <w:rsid w:val="00BD35A9"/>
    <w:rsid w:val="00BD367F"/>
    <w:rsid w:val="00BD4871"/>
    <w:rsid w:val="00BD48A9"/>
    <w:rsid w:val="00BD5712"/>
    <w:rsid w:val="00BD581A"/>
    <w:rsid w:val="00BD5C02"/>
    <w:rsid w:val="00BD658C"/>
    <w:rsid w:val="00BD6819"/>
    <w:rsid w:val="00BD72F5"/>
    <w:rsid w:val="00BD7EC6"/>
    <w:rsid w:val="00BE0FF2"/>
    <w:rsid w:val="00BE1345"/>
    <w:rsid w:val="00BE18BC"/>
    <w:rsid w:val="00BE2147"/>
    <w:rsid w:val="00BE239E"/>
    <w:rsid w:val="00BE3B83"/>
    <w:rsid w:val="00BE3C67"/>
    <w:rsid w:val="00BE3CF7"/>
    <w:rsid w:val="00BE42FC"/>
    <w:rsid w:val="00BE6300"/>
    <w:rsid w:val="00BE73FA"/>
    <w:rsid w:val="00BF0061"/>
    <w:rsid w:val="00BF00D1"/>
    <w:rsid w:val="00BF0353"/>
    <w:rsid w:val="00BF090A"/>
    <w:rsid w:val="00BF2001"/>
    <w:rsid w:val="00BF2575"/>
    <w:rsid w:val="00BF31A0"/>
    <w:rsid w:val="00BF36C0"/>
    <w:rsid w:val="00BF3F0A"/>
    <w:rsid w:val="00BF4E35"/>
    <w:rsid w:val="00BF7B9B"/>
    <w:rsid w:val="00C0083F"/>
    <w:rsid w:val="00C00976"/>
    <w:rsid w:val="00C020CD"/>
    <w:rsid w:val="00C02DDE"/>
    <w:rsid w:val="00C0367B"/>
    <w:rsid w:val="00C03825"/>
    <w:rsid w:val="00C04E51"/>
    <w:rsid w:val="00C05AF9"/>
    <w:rsid w:val="00C060A3"/>
    <w:rsid w:val="00C060B0"/>
    <w:rsid w:val="00C072F0"/>
    <w:rsid w:val="00C07344"/>
    <w:rsid w:val="00C079A3"/>
    <w:rsid w:val="00C07C1F"/>
    <w:rsid w:val="00C11A79"/>
    <w:rsid w:val="00C127D2"/>
    <w:rsid w:val="00C13607"/>
    <w:rsid w:val="00C137B1"/>
    <w:rsid w:val="00C13B43"/>
    <w:rsid w:val="00C15E81"/>
    <w:rsid w:val="00C174C9"/>
    <w:rsid w:val="00C17B6E"/>
    <w:rsid w:val="00C20748"/>
    <w:rsid w:val="00C20754"/>
    <w:rsid w:val="00C21378"/>
    <w:rsid w:val="00C220A5"/>
    <w:rsid w:val="00C22307"/>
    <w:rsid w:val="00C22BB2"/>
    <w:rsid w:val="00C22EAF"/>
    <w:rsid w:val="00C23150"/>
    <w:rsid w:val="00C24580"/>
    <w:rsid w:val="00C24908"/>
    <w:rsid w:val="00C250E8"/>
    <w:rsid w:val="00C2515F"/>
    <w:rsid w:val="00C25BC4"/>
    <w:rsid w:val="00C26AEA"/>
    <w:rsid w:val="00C276EC"/>
    <w:rsid w:val="00C27C0A"/>
    <w:rsid w:val="00C31AD4"/>
    <w:rsid w:val="00C31C63"/>
    <w:rsid w:val="00C32481"/>
    <w:rsid w:val="00C3394C"/>
    <w:rsid w:val="00C34581"/>
    <w:rsid w:val="00C34AD7"/>
    <w:rsid w:val="00C3516D"/>
    <w:rsid w:val="00C361A6"/>
    <w:rsid w:val="00C3670F"/>
    <w:rsid w:val="00C36E1A"/>
    <w:rsid w:val="00C371DF"/>
    <w:rsid w:val="00C37818"/>
    <w:rsid w:val="00C37EFC"/>
    <w:rsid w:val="00C37FF9"/>
    <w:rsid w:val="00C40126"/>
    <w:rsid w:val="00C41099"/>
    <w:rsid w:val="00C41425"/>
    <w:rsid w:val="00C41B4A"/>
    <w:rsid w:val="00C4213A"/>
    <w:rsid w:val="00C42C11"/>
    <w:rsid w:val="00C43ADB"/>
    <w:rsid w:val="00C44949"/>
    <w:rsid w:val="00C44B4C"/>
    <w:rsid w:val="00C450E3"/>
    <w:rsid w:val="00C45A6F"/>
    <w:rsid w:val="00C45C56"/>
    <w:rsid w:val="00C45CCD"/>
    <w:rsid w:val="00C46734"/>
    <w:rsid w:val="00C5105D"/>
    <w:rsid w:val="00C511F0"/>
    <w:rsid w:val="00C51639"/>
    <w:rsid w:val="00C53220"/>
    <w:rsid w:val="00C533A0"/>
    <w:rsid w:val="00C537E7"/>
    <w:rsid w:val="00C53E9D"/>
    <w:rsid w:val="00C5426B"/>
    <w:rsid w:val="00C54C18"/>
    <w:rsid w:val="00C573DA"/>
    <w:rsid w:val="00C5772E"/>
    <w:rsid w:val="00C5781B"/>
    <w:rsid w:val="00C616B4"/>
    <w:rsid w:val="00C621A7"/>
    <w:rsid w:val="00C62BF2"/>
    <w:rsid w:val="00C62D1B"/>
    <w:rsid w:val="00C638A6"/>
    <w:rsid w:val="00C63FB9"/>
    <w:rsid w:val="00C64266"/>
    <w:rsid w:val="00C647DF"/>
    <w:rsid w:val="00C66CE8"/>
    <w:rsid w:val="00C70DF4"/>
    <w:rsid w:val="00C71252"/>
    <w:rsid w:val="00C7277F"/>
    <w:rsid w:val="00C74741"/>
    <w:rsid w:val="00C74930"/>
    <w:rsid w:val="00C74B47"/>
    <w:rsid w:val="00C74D80"/>
    <w:rsid w:val="00C754BD"/>
    <w:rsid w:val="00C75D3A"/>
    <w:rsid w:val="00C769A9"/>
    <w:rsid w:val="00C774C9"/>
    <w:rsid w:val="00C77F1B"/>
    <w:rsid w:val="00C80987"/>
    <w:rsid w:val="00C80A3F"/>
    <w:rsid w:val="00C8180E"/>
    <w:rsid w:val="00C818A9"/>
    <w:rsid w:val="00C82436"/>
    <w:rsid w:val="00C82933"/>
    <w:rsid w:val="00C82BE2"/>
    <w:rsid w:val="00C84BE9"/>
    <w:rsid w:val="00C85DEF"/>
    <w:rsid w:val="00C910F8"/>
    <w:rsid w:val="00C91106"/>
    <w:rsid w:val="00C9117B"/>
    <w:rsid w:val="00C91D19"/>
    <w:rsid w:val="00C93C2F"/>
    <w:rsid w:val="00C9437C"/>
    <w:rsid w:val="00C946FF"/>
    <w:rsid w:val="00C94A14"/>
    <w:rsid w:val="00C94CDA"/>
    <w:rsid w:val="00C95BED"/>
    <w:rsid w:val="00C96033"/>
    <w:rsid w:val="00C96725"/>
    <w:rsid w:val="00C97A66"/>
    <w:rsid w:val="00CA007B"/>
    <w:rsid w:val="00CA0AA4"/>
    <w:rsid w:val="00CA15B0"/>
    <w:rsid w:val="00CA1D4C"/>
    <w:rsid w:val="00CA1DAB"/>
    <w:rsid w:val="00CA20E0"/>
    <w:rsid w:val="00CA3347"/>
    <w:rsid w:val="00CA5D51"/>
    <w:rsid w:val="00CA6FDA"/>
    <w:rsid w:val="00CA77CF"/>
    <w:rsid w:val="00CA7B58"/>
    <w:rsid w:val="00CB1413"/>
    <w:rsid w:val="00CB2518"/>
    <w:rsid w:val="00CB3920"/>
    <w:rsid w:val="00CB6413"/>
    <w:rsid w:val="00CB696F"/>
    <w:rsid w:val="00CC0F1C"/>
    <w:rsid w:val="00CC299A"/>
    <w:rsid w:val="00CC32B7"/>
    <w:rsid w:val="00CC36DE"/>
    <w:rsid w:val="00CC4F99"/>
    <w:rsid w:val="00CC5FC3"/>
    <w:rsid w:val="00CC6369"/>
    <w:rsid w:val="00CC65D6"/>
    <w:rsid w:val="00CC73F3"/>
    <w:rsid w:val="00CD081C"/>
    <w:rsid w:val="00CD1B5A"/>
    <w:rsid w:val="00CD1E9C"/>
    <w:rsid w:val="00CD27DB"/>
    <w:rsid w:val="00CD2E70"/>
    <w:rsid w:val="00CD386B"/>
    <w:rsid w:val="00CD3D06"/>
    <w:rsid w:val="00CD4A09"/>
    <w:rsid w:val="00CD4C67"/>
    <w:rsid w:val="00CD4C7B"/>
    <w:rsid w:val="00CD5397"/>
    <w:rsid w:val="00CD5E93"/>
    <w:rsid w:val="00CD761E"/>
    <w:rsid w:val="00CE15AE"/>
    <w:rsid w:val="00CE235A"/>
    <w:rsid w:val="00CE37A3"/>
    <w:rsid w:val="00CE3814"/>
    <w:rsid w:val="00CE56B7"/>
    <w:rsid w:val="00CE6660"/>
    <w:rsid w:val="00CE6855"/>
    <w:rsid w:val="00CE6B6F"/>
    <w:rsid w:val="00CE7033"/>
    <w:rsid w:val="00CE770A"/>
    <w:rsid w:val="00CF02A6"/>
    <w:rsid w:val="00CF06CF"/>
    <w:rsid w:val="00CF101C"/>
    <w:rsid w:val="00CF2DC1"/>
    <w:rsid w:val="00CF2EE2"/>
    <w:rsid w:val="00CF3948"/>
    <w:rsid w:val="00CF3ACF"/>
    <w:rsid w:val="00CF441D"/>
    <w:rsid w:val="00CF4A1B"/>
    <w:rsid w:val="00CF4B98"/>
    <w:rsid w:val="00CF4FCF"/>
    <w:rsid w:val="00CF4FDC"/>
    <w:rsid w:val="00CF56AF"/>
    <w:rsid w:val="00CF5BE0"/>
    <w:rsid w:val="00CF61CB"/>
    <w:rsid w:val="00CF666F"/>
    <w:rsid w:val="00CF6E7D"/>
    <w:rsid w:val="00D00175"/>
    <w:rsid w:val="00D00223"/>
    <w:rsid w:val="00D00DBF"/>
    <w:rsid w:val="00D0149B"/>
    <w:rsid w:val="00D0158E"/>
    <w:rsid w:val="00D01F5D"/>
    <w:rsid w:val="00D01FA9"/>
    <w:rsid w:val="00D03DBE"/>
    <w:rsid w:val="00D03EED"/>
    <w:rsid w:val="00D048A5"/>
    <w:rsid w:val="00D0597D"/>
    <w:rsid w:val="00D06274"/>
    <w:rsid w:val="00D11949"/>
    <w:rsid w:val="00D11A69"/>
    <w:rsid w:val="00D12C98"/>
    <w:rsid w:val="00D12FFC"/>
    <w:rsid w:val="00D1484F"/>
    <w:rsid w:val="00D14BA0"/>
    <w:rsid w:val="00D14D7B"/>
    <w:rsid w:val="00D15EF2"/>
    <w:rsid w:val="00D1707A"/>
    <w:rsid w:val="00D21435"/>
    <w:rsid w:val="00D2242C"/>
    <w:rsid w:val="00D224FA"/>
    <w:rsid w:val="00D22BB2"/>
    <w:rsid w:val="00D23033"/>
    <w:rsid w:val="00D2402F"/>
    <w:rsid w:val="00D245C2"/>
    <w:rsid w:val="00D25660"/>
    <w:rsid w:val="00D258EB"/>
    <w:rsid w:val="00D271CD"/>
    <w:rsid w:val="00D315CC"/>
    <w:rsid w:val="00D327A3"/>
    <w:rsid w:val="00D34C82"/>
    <w:rsid w:val="00D36550"/>
    <w:rsid w:val="00D379EC"/>
    <w:rsid w:val="00D37E8B"/>
    <w:rsid w:val="00D41E42"/>
    <w:rsid w:val="00D41F6B"/>
    <w:rsid w:val="00D42380"/>
    <w:rsid w:val="00D4348D"/>
    <w:rsid w:val="00D436D7"/>
    <w:rsid w:val="00D44E42"/>
    <w:rsid w:val="00D44FC3"/>
    <w:rsid w:val="00D462D6"/>
    <w:rsid w:val="00D474AB"/>
    <w:rsid w:val="00D50961"/>
    <w:rsid w:val="00D50A02"/>
    <w:rsid w:val="00D512A1"/>
    <w:rsid w:val="00D52AB4"/>
    <w:rsid w:val="00D52F26"/>
    <w:rsid w:val="00D531F5"/>
    <w:rsid w:val="00D538D5"/>
    <w:rsid w:val="00D54640"/>
    <w:rsid w:val="00D559B5"/>
    <w:rsid w:val="00D56420"/>
    <w:rsid w:val="00D56A94"/>
    <w:rsid w:val="00D56C0C"/>
    <w:rsid w:val="00D5798B"/>
    <w:rsid w:val="00D57BA1"/>
    <w:rsid w:val="00D60736"/>
    <w:rsid w:val="00D61B58"/>
    <w:rsid w:val="00D6307D"/>
    <w:rsid w:val="00D63632"/>
    <w:rsid w:val="00D63732"/>
    <w:rsid w:val="00D64F12"/>
    <w:rsid w:val="00D6568E"/>
    <w:rsid w:val="00D65893"/>
    <w:rsid w:val="00D658EC"/>
    <w:rsid w:val="00D6742A"/>
    <w:rsid w:val="00D67B9B"/>
    <w:rsid w:val="00D71733"/>
    <w:rsid w:val="00D718AC"/>
    <w:rsid w:val="00D719A3"/>
    <w:rsid w:val="00D71E7A"/>
    <w:rsid w:val="00D72DE7"/>
    <w:rsid w:val="00D7302F"/>
    <w:rsid w:val="00D74D14"/>
    <w:rsid w:val="00D752E7"/>
    <w:rsid w:val="00D7574B"/>
    <w:rsid w:val="00D75E82"/>
    <w:rsid w:val="00D769C5"/>
    <w:rsid w:val="00D76E76"/>
    <w:rsid w:val="00D77A7B"/>
    <w:rsid w:val="00D80631"/>
    <w:rsid w:val="00D818EC"/>
    <w:rsid w:val="00D81A20"/>
    <w:rsid w:val="00D81F55"/>
    <w:rsid w:val="00D8321A"/>
    <w:rsid w:val="00D85152"/>
    <w:rsid w:val="00D85F2C"/>
    <w:rsid w:val="00D861BD"/>
    <w:rsid w:val="00D86D55"/>
    <w:rsid w:val="00D8789C"/>
    <w:rsid w:val="00D87B3F"/>
    <w:rsid w:val="00D9003D"/>
    <w:rsid w:val="00D9008E"/>
    <w:rsid w:val="00D90558"/>
    <w:rsid w:val="00D914EB"/>
    <w:rsid w:val="00D94085"/>
    <w:rsid w:val="00D96D4F"/>
    <w:rsid w:val="00DA1806"/>
    <w:rsid w:val="00DA1BD1"/>
    <w:rsid w:val="00DA212B"/>
    <w:rsid w:val="00DA3A76"/>
    <w:rsid w:val="00DA6D6D"/>
    <w:rsid w:val="00DA73C1"/>
    <w:rsid w:val="00DA770D"/>
    <w:rsid w:val="00DA7851"/>
    <w:rsid w:val="00DA7DC1"/>
    <w:rsid w:val="00DB00EE"/>
    <w:rsid w:val="00DB0132"/>
    <w:rsid w:val="00DB2754"/>
    <w:rsid w:val="00DB2D88"/>
    <w:rsid w:val="00DB3687"/>
    <w:rsid w:val="00DB38D1"/>
    <w:rsid w:val="00DB3AE9"/>
    <w:rsid w:val="00DB681B"/>
    <w:rsid w:val="00DB7E24"/>
    <w:rsid w:val="00DC0445"/>
    <w:rsid w:val="00DC2082"/>
    <w:rsid w:val="00DC225F"/>
    <w:rsid w:val="00DC2883"/>
    <w:rsid w:val="00DC2C48"/>
    <w:rsid w:val="00DC46B5"/>
    <w:rsid w:val="00DC4B28"/>
    <w:rsid w:val="00DC525E"/>
    <w:rsid w:val="00DC535C"/>
    <w:rsid w:val="00DC5DCB"/>
    <w:rsid w:val="00DC6C0D"/>
    <w:rsid w:val="00DD074A"/>
    <w:rsid w:val="00DD0D70"/>
    <w:rsid w:val="00DD1941"/>
    <w:rsid w:val="00DD26A5"/>
    <w:rsid w:val="00DD2812"/>
    <w:rsid w:val="00DD34F2"/>
    <w:rsid w:val="00DD3C6B"/>
    <w:rsid w:val="00DD54ED"/>
    <w:rsid w:val="00DD697F"/>
    <w:rsid w:val="00DD699C"/>
    <w:rsid w:val="00DD739F"/>
    <w:rsid w:val="00DD7631"/>
    <w:rsid w:val="00DD7762"/>
    <w:rsid w:val="00DD781E"/>
    <w:rsid w:val="00DD7A2C"/>
    <w:rsid w:val="00DD7F63"/>
    <w:rsid w:val="00DE1238"/>
    <w:rsid w:val="00DE1FFE"/>
    <w:rsid w:val="00DE32E7"/>
    <w:rsid w:val="00DE3BB8"/>
    <w:rsid w:val="00DE40EB"/>
    <w:rsid w:val="00DE5117"/>
    <w:rsid w:val="00DE5648"/>
    <w:rsid w:val="00DE568A"/>
    <w:rsid w:val="00DE595E"/>
    <w:rsid w:val="00DE5CD9"/>
    <w:rsid w:val="00DE6A70"/>
    <w:rsid w:val="00DE70B5"/>
    <w:rsid w:val="00DE7113"/>
    <w:rsid w:val="00DF00F9"/>
    <w:rsid w:val="00DF0576"/>
    <w:rsid w:val="00DF1981"/>
    <w:rsid w:val="00DF1D07"/>
    <w:rsid w:val="00DF1E89"/>
    <w:rsid w:val="00DF2144"/>
    <w:rsid w:val="00DF2EA5"/>
    <w:rsid w:val="00DF310B"/>
    <w:rsid w:val="00DF3E47"/>
    <w:rsid w:val="00DF56E8"/>
    <w:rsid w:val="00DF5EF2"/>
    <w:rsid w:val="00DF6EB6"/>
    <w:rsid w:val="00DF7133"/>
    <w:rsid w:val="00DF764C"/>
    <w:rsid w:val="00DF7FBF"/>
    <w:rsid w:val="00E00BB4"/>
    <w:rsid w:val="00E00CAA"/>
    <w:rsid w:val="00E01682"/>
    <w:rsid w:val="00E01D4A"/>
    <w:rsid w:val="00E02F4B"/>
    <w:rsid w:val="00E03D04"/>
    <w:rsid w:val="00E04332"/>
    <w:rsid w:val="00E043BB"/>
    <w:rsid w:val="00E04ECF"/>
    <w:rsid w:val="00E0502A"/>
    <w:rsid w:val="00E05902"/>
    <w:rsid w:val="00E067C4"/>
    <w:rsid w:val="00E06A36"/>
    <w:rsid w:val="00E126B2"/>
    <w:rsid w:val="00E127E3"/>
    <w:rsid w:val="00E14818"/>
    <w:rsid w:val="00E148E8"/>
    <w:rsid w:val="00E1610C"/>
    <w:rsid w:val="00E162BD"/>
    <w:rsid w:val="00E16660"/>
    <w:rsid w:val="00E16C78"/>
    <w:rsid w:val="00E16D73"/>
    <w:rsid w:val="00E17296"/>
    <w:rsid w:val="00E17833"/>
    <w:rsid w:val="00E17981"/>
    <w:rsid w:val="00E17CD2"/>
    <w:rsid w:val="00E17E36"/>
    <w:rsid w:val="00E201F2"/>
    <w:rsid w:val="00E206D8"/>
    <w:rsid w:val="00E20A87"/>
    <w:rsid w:val="00E21C65"/>
    <w:rsid w:val="00E2352B"/>
    <w:rsid w:val="00E23E84"/>
    <w:rsid w:val="00E23F9B"/>
    <w:rsid w:val="00E24D23"/>
    <w:rsid w:val="00E26649"/>
    <w:rsid w:val="00E27F0A"/>
    <w:rsid w:val="00E309B0"/>
    <w:rsid w:val="00E326E9"/>
    <w:rsid w:val="00E352C3"/>
    <w:rsid w:val="00E35476"/>
    <w:rsid w:val="00E359A5"/>
    <w:rsid w:val="00E372F7"/>
    <w:rsid w:val="00E37DC0"/>
    <w:rsid w:val="00E37EC6"/>
    <w:rsid w:val="00E40432"/>
    <w:rsid w:val="00E40850"/>
    <w:rsid w:val="00E40D52"/>
    <w:rsid w:val="00E41187"/>
    <w:rsid w:val="00E41585"/>
    <w:rsid w:val="00E41F0D"/>
    <w:rsid w:val="00E4220D"/>
    <w:rsid w:val="00E4231E"/>
    <w:rsid w:val="00E4279A"/>
    <w:rsid w:val="00E44AC7"/>
    <w:rsid w:val="00E45B2D"/>
    <w:rsid w:val="00E47A20"/>
    <w:rsid w:val="00E5084C"/>
    <w:rsid w:val="00E50871"/>
    <w:rsid w:val="00E50D25"/>
    <w:rsid w:val="00E53533"/>
    <w:rsid w:val="00E537ED"/>
    <w:rsid w:val="00E5384D"/>
    <w:rsid w:val="00E53F2E"/>
    <w:rsid w:val="00E54004"/>
    <w:rsid w:val="00E546C9"/>
    <w:rsid w:val="00E54BB9"/>
    <w:rsid w:val="00E54D3F"/>
    <w:rsid w:val="00E55F1F"/>
    <w:rsid w:val="00E56866"/>
    <w:rsid w:val="00E56904"/>
    <w:rsid w:val="00E57DFD"/>
    <w:rsid w:val="00E60423"/>
    <w:rsid w:val="00E607E5"/>
    <w:rsid w:val="00E60A16"/>
    <w:rsid w:val="00E610CB"/>
    <w:rsid w:val="00E6125B"/>
    <w:rsid w:val="00E6170A"/>
    <w:rsid w:val="00E62ADF"/>
    <w:rsid w:val="00E62FA7"/>
    <w:rsid w:val="00E637A3"/>
    <w:rsid w:val="00E638F9"/>
    <w:rsid w:val="00E659FD"/>
    <w:rsid w:val="00E65B0C"/>
    <w:rsid w:val="00E66B16"/>
    <w:rsid w:val="00E66BA2"/>
    <w:rsid w:val="00E677DB"/>
    <w:rsid w:val="00E700F8"/>
    <w:rsid w:val="00E71C2D"/>
    <w:rsid w:val="00E7266C"/>
    <w:rsid w:val="00E72BB6"/>
    <w:rsid w:val="00E730AC"/>
    <w:rsid w:val="00E734CE"/>
    <w:rsid w:val="00E778DC"/>
    <w:rsid w:val="00E80D00"/>
    <w:rsid w:val="00E815CE"/>
    <w:rsid w:val="00E81611"/>
    <w:rsid w:val="00E81800"/>
    <w:rsid w:val="00E81863"/>
    <w:rsid w:val="00E81C42"/>
    <w:rsid w:val="00E81C5C"/>
    <w:rsid w:val="00E81FDB"/>
    <w:rsid w:val="00E82064"/>
    <w:rsid w:val="00E82A26"/>
    <w:rsid w:val="00E82B6E"/>
    <w:rsid w:val="00E82DC6"/>
    <w:rsid w:val="00E8347E"/>
    <w:rsid w:val="00E835C5"/>
    <w:rsid w:val="00E83ACD"/>
    <w:rsid w:val="00E848F0"/>
    <w:rsid w:val="00E84D1C"/>
    <w:rsid w:val="00E84D9C"/>
    <w:rsid w:val="00E8628F"/>
    <w:rsid w:val="00E86888"/>
    <w:rsid w:val="00E92C96"/>
    <w:rsid w:val="00E942B8"/>
    <w:rsid w:val="00E944ED"/>
    <w:rsid w:val="00E945AF"/>
    <w:rsid w:val="00E94A0B"/>
    <w:rsid w:val="00E94A2C"/>
    <w:rsid w:val="00E95799"/>
    <w:rsid w:val="00E9683D"/>
    <w:rsid w:val="00E970B7"/>
    <w:rsid w:val="00E97812"/>
    <w:rsid w:val="00E97D95"/>
    <w:rsid w:val="00EA010D"/>
    <w:rsid w:val="00EA04C5"/>
    <w:rsid w:val="00EA0507"/>
    <w:rsid w:val="00EA0BB5"/>
    <w:rsid w:val="00EA1A8A"/>
    <w:rsid w:val="00EA25EB"/>
    <w:rsid w:val="00EA26D5"/>
    <w:rsid w:val="00EA2775"/>
    <w:rsid w:val="00EA3106"/>
    <w:rsid w:val="00EA3874"/>
    <w:rsid w:val="00EA5D1E"/>
    <w:rsid w:val="00EA612E"/>
    <w:rsid w:val="00EA761C"/>
    <w:rsid w:val="00EA7D7F"/>
    <w:rsid w:val="00EB0810"/>
    <w:rsid w:val="00EB0B5F"/>
    <w:rsid w:val="00EB1CF7"/>
    <w:rsid w:val="00EB25C2"/>
    <w:rsid w:val="00EB2B6F"/>
    <w:rsid w:val="00EB2CAD"/>
    <w:rsid w:val="00EB2FA2"/>
    <w:rsid w:val="00EB3272"/>
    <w:rsid w:val="00EB37B2"/>
    <w:rsid w:val="00EB7352"/>
    <w:rsid w:val="00EB769A"/>
    <w:rsid w:val="00EB7F37"/>
    <w:rsid w:val="00EC11E4"/>
    <w:rsid w:val="00EC14E1"/>
    <w:rsid w:val="00EC2A3F"/>
    <w:rsid w:val="00EC2E64"/>
    <w:rsid w:val="00EC3A35"/>
    <w:rsid w:val="00EC3C52"/>
    <w:rsid w:val="00EC3E69"/>
    <w:rsid w:val="00EC5554"/>
    <w:rsid w:val="00EC572B"/>
    <w:rsid w:val="00EC5B8E"/>
    <w:rsid w:val="00EC7356"/>
    <w:rsid w:val="00EC75F6"/>
    <w:rsid w:val="00ED0065"/>
    <w:rsid w:val="00ED17B5"/>
    <w:rsid w:val="00ED353D"/>
    <w:rsid w:val="00ED588C"/>
    <w:rsid w:val="00ED6EA1"/>
    <w:rsid w:val="00ED7A7F"/>
    <w:rsid w:val="00EE07AC"/>
    <w:rsid w:val="00EE0891"/>
    <w:rsid w:val="00EE1062"/>
    <w:rsid w:val="00EE17F2"/>
    <w:rsid w:val="00EE188A"/>
    <w:rsid w:val="00EE1B01"/>
    <w:rsid w:val="00EE2746"/>
    <w:rsid w:val="00EE4BE5"/>
    <w:rsid w:val="00EE4C20"/>
    <w:rsid w:val="00EE4F2D"/>
    <w:rsid w:val="00EE6755"/>
    <w:rsid w:val="00EF014B"/>
    <w:rsid w:val="00EF03DC"/>
    <w:rsid w:val="00EF0437"/>
    <w:rsid w:val="00EF0BFE"/>
    <w:rsid w:val="00EF2AC7"/>
    <w:rsid w:val="00EF3397"/>
    <w:rsid w:val="00EF40BF"/>
    <w:rsid w:val="00EF4557"/>
    <w:rsid w:val="00EF493F"/>
    <w:rsid w:val="00EF63C1"/>
    <w:rsid w:val="00EF6C2B"/>
    <w:rsid w:val="00EF7D7E"/>
    <w:rsid w:val="00F021A9"/>
    <w:rsid w:val="00F02C54"/>
    <w:rsid w:val="00F02D03"/>
    <w:rsid w:val="00F0448C"/>
    <w:rsid w:val="00F05B8F"/>
    <w:rsid w:val="00F06BA7"/>
    <w:rsid w:val="00F071BA"/>
    <w:rsid w:val="00F1026C"/>
    <w:rsid w:val="00F12DB5"/>
    <w:rsid w:val="00F136A4"/>
    <w:rsid w:val="00F1377B"/>
    <w:rsid w:val="00F13C5E"/>
    <w:rsid w:val="00F148D5"/>
    <w:rsid w:val="00F15044"/>
    <w:rsid w:val="00F1601A"/>
    <w:rsid w:val="00F1675C"/>
    <w:rsid w:val="00F16A3C"/>
    <w:rsid w:val="00F17428"/>
    <w:rsid w:val="00F20046"/>
    <w:rsid w:val="00F20D22"/>
    <w:rsid w:val="00F21A58"/>
    <w:rsid w:val="00F23048"/>
    <w:rsid w:val="00F23DCC"/>
    <w:rsid w:val="00F2477C"/>
    <w:rsid w:val="00F24EBB"/>
    <w:rsid w:val="00F27C5C"/>
    <w:rsid w:val="00F27F06"/>
    <w:rsid w:val="00F314E8"/>
    <w:rsid w:val="00F316A2"/>
    <w:rsid w:val="00F3194F"/>
    <w:rsid w:val="00F323A2"/>
    <w:rsid w:val="00F332D4"/>
    <w:rsid w:val="00F33B57"/>
    <w:rsid w:val="00F33CA8"/>
    <w:rsid w:val="00F33D5C"/>
    <w:rsid w:val="00F356D6"/>
    <w:rsid w:val="00F37D37"/>
    <w:rsid w:val="00F400E3"/>
    <w:rsid w:val="00F40876"/>
    <w:rsid w:val="00F44642"/>
    <w:rsid w:val="00F454A2"/>
    <w:rsid w:val="00F45E89"/>
    <w:rsid w:val="00F47845"/>
    <w:rsid w:val="00F47B6C"/>
    <w:rsid w:val="00F50675"/>
    <w:rsid w:val="00F5071D"/>
    <w:rsid w:val="00F50BD6"/>
    <w:rsid w:val="00F50E16"/>
    <w:rsid w:val="00F513B2"/>
    <w:rsid w:val="00F51520"/>
    <w:rsid w:val="00F52140"/>
    <w:rsid w:val="00F521E4"/>
    <w:rsid w:val="00F52CCE"/>
    <w:rsid w:val="00F53151"/>
    <w:rsid w:val="00F535A9"/>
    <w:rsid w:val="00F53F92"/>
    <w:rsid w:val="00F5480F"/>
    <w:rsid w:val="00F552F7"/>
    <w:rsid w:val="00F554EB"/>
    <w:rsid w:val="00F566EA"/>
    <w:rsid w:val="00F567A4"/>
    <w:rsid w:val="00F578EB"/>
    <w:rsid w:val="00F605BE"/>
    <w:rsid w:val="00F60DDC"/>
    <w:rsid w:val="00F610A9"/>
    <w:rsid w:val="00F617BE"/>
    <w:rsid w:val="00F6188B"/>
    <w:rsid w:val="00F61C7A"/>
    <w:rsid w:val="00F625F7"/>
    <w:rsid w:val="00F64D5A"/>
    <w:rsid w:val="00F65C22"/>
    <w:rsid w:val="00F65EC9"/>
    <w:rsid w:val="00F66CB1"/>
    <w:rsid w:val="00F672BD"/>
    <w:rsid w:val="00F67E15"/>
    <w:rsid w:val="00F67E68"/>
    <w:rsid w:val="00F67FCA"/>
    <w:rsid w:val="00F70815"/>
    <w:rsid w:val="00F709F4"/>
    <w:rsid w:val="00F71019"/>
    <w:rsid w:val="00F710A9"/>
    <w:rsid w:val="00F7284D"/>
    <w:rsid w:val="00F72CFE"/>
    <w:rsid w:val="00F72FB0"/>
    <w:rsid w:val="00F73423"/>
    <w:rsid w:val="00F7365E"/>
    <w:rsid w:val="00F737A4"/>
    <w:rsid w:val="00F75481"/>
    <w:rsid w:val="00F76A4C"/>
    <w:rsid w:val="00F76AB3"/>
    <w:rsid w:val="00F816A4"/>
    <w:rsid w:val="00F81AE9"/>
    <w:rsid w:val="00F82E2E"/>
    <w:rsid w:val="00F83186"/>
    <w:rsid w:val="00F83601"/>
    <w:rsid w:val="00F837E6"/>
    <w:rsid w:val="00F8389A"/>
    <w:rsid w:val="00F83AE9"/>
    <w:rsid w:val="00F843D4"/>
    <w:rsid w:val="00F84A40"/>
    <w:rsid w:val="00F84DBD"/>
    <w:rsid w:val="00F8516E"/>
    <w:rsid w:val="00F852E5"/>
    <w:rsid w:val="00F85C0D"/>
    <w:rsid w:val="00F86741"/>
    <w:rsid w:val="00F86796"/>
    <w:rsid w:val="00F87C5B"/>
    <w:rsid w:val="00F87FEA"/>
    <w:rsid w:val="00F90613"/>
    <w:rsid w:val="00F906F4"/>
    <w:rsid w:val="00F915F3"/>
    <w:rsid w:val="00F91800"/>
    <w:rsid w:val="00F91853"/>
    <w:rsid w:val="00F91987"/>
    <w:rsid w:val="00F9208E"/>
    <w:rsid w:val="00F92571"/>
    <w:rsid w:val="00F93CAE"/>
    <w:rsid w:val="00F95CCE"/>
    <w:rsid w:val="00F9692D"/>
    <w:rsid w:val="00F978BE"/>
    <w:rsid w:val="00F97D7B"/>
    <w:rsid w:val="00FA0288"/>
    <w:rsid w:val="00FA0F71"/>
    <w:rsid w:val="00FA3A97"/>
    <w:rsid w:val="00FA3AEA"/>
    <w:rsid w:val="00FA4219"/>
    <w:rsid w:val="00FA48C7"/>
    <w:rsid w:val="00FA54FF"/>
    <w:rsid w:val="00FA5570"/>
    <w:rsid w:val="00FA5C0B"/>
    <w:rsid w:val="00FA70F5"/>
    <w:rsid w:val="00FA7902"/>
    <w:rsid w:val="00FB005D"/>
    <w:rsid w:val="00FB183E"/>
    <w:rsid w:val="00FB1D54"/>
    <w:rsid w:val="00FB3363"/>
    <w:rsid w:val="00FB34E6"/>
    <w:rsid w:val="00FB4048"/>
    <w:rsid w:val="00FB4629"/>
    <w:rsid w:val="00FB577F"/>
    <w:rsid w:val="00FB5E5D"/>
    <w:rsid w:val="00FB5FC4"/>
    <w:rsid w:val="00FB6A07"/>
    <w:rsid w:val="00FB6FB1"/>
    <w:rsid w:val="00FB7460"/>
    <w:rsid w:val="00FB7A10"/>
    <w:rsid w:val="00FC0F81"/>
    <w:rsid w:val="00FC3798"/>
    <w:rsid w:val="00FC59AF"/>
    <w:rsid w:val="00FC5F72"/>
    <w:rsid w:val="00FC62B5"/>
    <w:rsid w:val="00FC6D4E"/>
    <w:rsid w:val="00FC7073"/>
    <w:rsid w:val="00FC736F"/>
    <w:rsid w:val="00FD0CDB"/>
    <w:rsid w:val="00FD1FA7"/>
    <w:rsid w:val="00FD2D42"/>
    <w:rsid w:val="00FD30B5"/>
    <w:rsid w:val="00FD3453"/>
    <w:rsid w:val="00FD39CF"/>
    <w:rsid w:val="00FD4D84"/>
    <w:rsid w:val="00FD58F5"/>
    <w:rsid w:val="00FD754C"/>
    <w:rsid w:val="00FE0DAE"/>
    <w:rsid w:val="00FE1370"/>
    <w:rsid w:val="00FE1510"/>
    <w:rsid w:val="00FE2121"/>
    <w:rsid w:val="00FE254A"/>
    <w:rsid w:val="00FE321B"/>
    <w:rsid w:val="00FE3D07"/>
    <w:rsid w:val="00FE4B6F"/>
    <w:rsid w:val="00FE6818"/>
    <w:rsid w:val="00FF0CF5"/>
    <w:rsid w:val="00FF0D6F"/>
    <w:rsid w:val="00FF1103"/>
    <w:rsid w:val="00FF1712"/>
    <w:rsid w:val="00FF37DC"/>
    <w:rsid w:val="00FF37F2"/>
    <w:rsid w:val="00FF5B3C"/>
    <w:rsid w:val="00FF69C8"/>
    <w:rsid w:val="00FF6D3D"/>
    <w:rsid w:val="00FF7866"/>
    <w:rsid w:val="024D7E2C"/>
    <w:rsid w:val="0D2EB883"/>
    <w:rsid w:val="0D8163B6"/>
    <w:rsid w:val="1BB32F19"/>
    <w:rsid w:val="1F2C3AF5"/>
    <w:rsid w:val="1FF4886A"/>
    <w:rsid w:val="22D2584A"/>
    <w:rsid w:val="28751A95"/>
    <w:rsid w:val="29FA8189"/>
    <w:rsid w:val="2C00A012"/>
    <w:rsid w:val="389994B3"/>
    <w:rsid w:val="3B30A011"/>
    <w:rsid w:val="3B93C128"/>
    <w:rsid w:val="3CFBE104"/>
    <w:rsid w:val="467F9A7B"/>
    <w:rsid w:val="510454D8"/>
    <w:rsid w:val="5395A1E2"/>
    <w:rsid w:val="5D8505AD"/>
    <w:rsid w:val="6F07DCA8"/>
    <w:rsid w:val="6F81B597"/>
    <w:rsid w:val="71443FBB"/>
    <w:rsid w:val="7563E76A"/>
    <w:rsid w:val="79A615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27A6B"/>
  <w15:docId w15:val="{9003D52C-EAFF-4023-919F-C462EC874BE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607E5"/>
  </w:style>
  <w:style w:type="paragraph" w:styleId="Ttulo1">
    <w:name w:val="heading 1"/>
    <w:basedOn w:val="Normal"/>
    <w:link w:val="Ttulo1Car"/>
    <w:uiPriority w:val="9"/>
    <w:qFormat/>
    <w:rsid w:val="00CD2E70"/>
    <w:pPr>
      <w:spacing w:before="100" w:beforeAutospacing="1" w:after="100" w:afterAutospacing="1" w:line="240" w:lineRule="auto"/>
      <w:outlineLvl w:val="0"/>
    </w:pPr>
    <w:rPr>
      <w:rFonts w:ascii="Times New Roman" w:hAnsi="Times New Roman" w:eastAsia="Times New Roman" w:cs="Times New Roman"/>
      <w:b/>
      <w:bCs/>
      <w:kern w:val="36"/>
      <w:sz w:val="48"/>
      <w:szCs w:val="48"/>
      <w:lang w:eastAsia="es-ES_tradnl"/>
    </w:rPr>
  </w:style>
  <w:style w:type="paragraph" w:styleId="Ttulo3">
    <w:name w:val="heading 3"/>
    <w:basedOn w:val="Normal"/>
    <w:next w:val="Normal"/>
    <w:link w:val="Ttulo3Car"/>
    <w:uiPriority w:val="9"/>
    <w:unhideWhenUsed/>
    <w:qFormat/>
    <w:rsid w:val="00EE4BE5"/>
    <w:pPr>
      <w:keepNext/>
      <w:keepLines/>
      <w:spacing w:before="40" w:after="0"/>
      <w:outlineLvl w:val="2"/>
    </w:pPr>
    <w:rPr>
      <w:rFonts w:asciiTheme="majorHAnsi" w:hAnsiTheme="majorHAnsi" w:eastAsiaTheme="majorEastAsia" w:cstheme="majorBidi"/>
      <w:color w:val="1F3763" w:themeColor="accent1" w:themeShade="7F"/>
      <w:sz w:val="24"/>
      <w:szCs w:val="24"/>
    </w:rPr>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character" w:styleId="TextonotapieCar" w:customStyle="1">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styleId="TextonotapieCar1" w:customStyle="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styleId="Appelnotedebasde" w:customStyle="1">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styleId="EncabezadoCar" w:customStyle="1">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styleId="PiedepginaCar" w:customStyle="1">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styleId="TextocomentarioCar" w:customStyle="1">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styleId="AsuntodelcomentarioCar" w:customStyle="1">
    <w:name w:val="Asunto del comentario Car"/>
    <w:basedOn w:val="TextocomentarioCar"/>
    <w:link w:val="Asuntodelcomentario"/>
    <w:uiPriority w:val="99"/>
    <w:semiHidden/>
    <w:rsid w:val="00A37D1C"/>
    <w:rPr>
      <w:b/>
      <w:bCs/>
      <w:sz w:val="20"/>
      <w:szCs w:val="20"/>
    </w:rPr>
  </w:style>
  <w:style w:type="paragraph" w:styleId="Normal11pt" w:customStyle="1">
    <w:name w:val="Normal + 11 pt"/>
    <w:aliases w:val="Negro,Justificado,Izquierda:  -0,95 cm,Derecha:  0,04 cm"/>
    <w:basedOn w:val="Normal"/>
    <w:uiPriority w:val="99"/>
    <w:rsid w:val="00B76C94"/>
    <w:pPr>
      <w:spacing w:after="0" w:line="240" w:lineRule="auto"/>
      <w:ind w:left="-540"/>
      <w:jc w:val="both"/>
    </w:pPr>
    <w:rPr>
      <w:rFonts w:ascii="Arial" w:hAnsi="Arial" w:eastAsia="Times New Roman" w:cs="Arial"/>
      <w:color w:val="000000"/>
      <w:lang w:val="es-ES_tradnl" w:eastAsia="es-ES"/>
    </w:rPr>
  </w:style>
  <w:style w:type="paragraph" w:styleId="Revisin">
    <w:name w:val="Revision"/>
    <w:hidden/>
    <w:uiPriority w:val="99"/>
    <w:semiHidden/>
    <w:rsid w:val="00F64D5A"/>
    <w:pPr>
      <w:spacing w:after="0" w:line="240" w:lineRule="auto"/>
    </w:pPr>
  </w:style>
  <w:style w:type="character" w:styleId="cf01" w:customStyle="1">
    <w:name w:val="cf01"/>
    <w:basedOn w:val="Fuentedeprrafopredeter"/>
    <w:rsid w:val="005019AA"/>
    <w:rPr>
      <w:rFonts w:hint="default" w:ascii="Segoe UI" w:hAnsi="Segoe UI" w:cs="Segoe UI"/>
      <w:i/>
      <w:iCs/>
      <w:sz w:val="18"/>
      <w:szCs w:val="18"/>
    </w:rPr>
  </w:style>
  <w:style w:type="character" w:styleId="normaltextrun" w:customStyle="1">
    <w:name w:val="normaltextrun"/>
    <w:basedOn w:val="Fuentedeprrafopredeter"/>
    <w:rsid w:val="5D8505AD"/>
  </w:style>
  <w:style w:type="character" w:styleId="eop" w:customStyle="1">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E84D1C"/>
    <w:pPr>
      <w:spacing w:after="0" w:line="240" w:lineRule="auto"/>
      <w:ind w:left="720"/>
      <w:contextualSpacing/>
    </w:pPr>
    <w:rPr>
      <w:sz w:val="24"/>
      <w:lang w:val="es-MX"/>
    </w:rPr>
  </w:style>
  <w:style w:type="character" w:styleId="PrrafodelistaCar" w:customStyle="1">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84D1C"/>
    <w:rPr>
      <w:sz w:val="24"/>
      <w:lang w:val="es-MX"/>
    </w:rPr>
  </w:style>
  <w:style w:type="character" w:styleId="Ttulo1Car" w:customStyle="1">
    <w:name w:val="Título 1 Car"/>
    <w:basedOn w:val="Fuentedeprrafopredeter"/>
    <w:link w:val="Ttulo1"/>
    <w:uiPriority w:val="9"/>
    <w:rsid w:val="00CD2E70"/>
    <w:rPr>
      <w:rFonts w:ascii="Times New Roman" w:hAnsi="Times New Roman" w:eastAsia="Times New Roman" w:cs="Times New Roman"/>
      <w:b/>
      <w:bCs/>
      <w:kern w:val="36"/>
      <w:sz w:val="48"/>
      <w:szCs w:val="48"/>
      <w:lang w:eastAsia="es-ES_tradnl"/>
    </w:rPr>
  </w:style>
  <w:style w:type="paragraph" w:styleId="paragraph" w:customStyle="1">
    <w:name w:val="paragraph"/>
    <w:basedOn w:val="Normal"/>
    <w:rsid w:val="00CD2E70"/>
    <w:pPr>
      <w:spacing w:before="100" w:beforeAutospacing="1" w:after="100" w:afterAutospacing="1" w:line="240" w:lineRule="auto"/>
    </w:pPr>
    <w:rPr>
      <w:rFonts w:ascii="Times New Roman" w:hAnsi="Times New Roman" w:eastAsia="Times New Roman" w:cs="Times New Roman"/>
      <w:sz w:val="24"/>
      <w:szCs w:val="24"/>
      <w:lang w:eastAsia="es-ES_tradnl"/>
    </w:rPr>
  </w:style>
  <w:style w:type="character" w:styleId="superscript" w:customStyle="1">
    <w:name w:val="superscript"/>
    <w:basedOn w:val="Fuentedeprrafopredeter"/>
    <w:rsid w:val="003651AC"/>
  </w:style>
  <w:style w:type="paragraph" w:styleId="NormalWeb">
    <w:name w:val="Normal (Web)"/>
    <w:basedOn w:val="Normal"/>
    <w:uiPriority w:val="99"/>
    <w:unhideWhenUsed/>
    <w:rsid w:val="00FB5FC4"/>
    <w:rPr>
      <w:rFonts w:ascii="Times New Roman" w:hAnsi="Times New Roman" w:cs="Times New Roman"/>
      <w:sz w:val="24"/>
      <w:szCs w:val="24"/>
    </w:rPr>
  </w:style>
  <w:style w:type="character" w:styleId="Hipervnculo1" w:customStyle="1">
    <w:name w:val="Hipervínculo1"/>
    <w:basedOn w:val="Fuentedeprrafopredeter"/>
    <w:uiPriority w:val="99"/>
    <w:unhideWhenUsed/>
    <w:rsid w:val="00FB5FC4"/>
    <w:rPr>
      <w:color w:val="F2F2F2"/>
      <w:u w:val="single"/>
    </w:rPr>
  </w:style>
  <w:style w:type="character" w:styleId="Textoennegrita">
    <w:name w:val="Strong"/>
    <w:basedOn w:val="Fuentedeprrafopredeter"/>
    <w:uiPriority w:val="22"/>
    <w:qFormat/>
    <w:rsid w:val="00FB5FC4"/>
    <w:rPr>
      <w:b/>
      <w:bCs/>
    </w:rPr>
  </w:style>
  <w:style w:type="character" w:styleId="nfasis">
    <w:name w:val="Emphasis"/>
    <w:basedOn w:val="Fuentedeprrafopredeter"/>
    <w:uiPriority w:val="20"/>
    <w:qFormat/>
    <w:rsid w:val="00FB5FC4"/>
    <w:rPr>
      <w:i/>
      <w:iCs/>
    </w:rPr>
  </w:style>
  <w:style w:type="paragraph" w:styleId="Textoindependiente21" w:customStyle="1">
    <w:name w:val="Texto independiente 21"/>
    <w:basedOn w:val="Normal"/>
    <w:rsid w:val="007A6528"/>
    <w:pPr>
      <w:overflowPunct w:val="0"/>
      <w:autoSpaceDE w:val="0"/>
      <w:autoSpaceDN w:val="0"/>
      <w:adjustRightInd w:val="0"/>
      <w:spacing w:after="0" w:line="360" w:lineRule="auto"/>
      <w:ind w:firstLine="710"/>
      <w:jc w:val="both"/>
      <w:textAlignment w:val="baseline"/>
    </w:pPr>
    <w:rPr>
      <w:rFonts w:ascii="Arial" w:hAnsi="Arial" w:eastAsia="Times New Roman" w:cs="Times New Roman"/>
      <w:sz w:val="24"/>
      <w:szCs w:val="20"/>
      <w:lang w:eastAsia="es-ES"/>
    </w:rPr>
  </w:style>
  <w:style w:type="paragraph" w:styleId="Textoindependiente">
    <w:name w:val="Body Text"/>
    <w:basedOn w:val="Normal"/>
    <w:link w:val="TextoindependienteCar"/>
    <w:uiPriority w:val="99"/>
    <w:semiHidden/>
    <w:unhideWhenUsed/>
    <w:rsid w:val="00002D55"/>
    <w:pPr>
      <w:spacing w:before="100" w:beforeAutospacing="1" w:after="100" w:afterAutospacing="1" w:line="240" w:lineRule="auto"/>
    </w:pPr>
    <w:rPr>
      <w:rFonts w:ascii="Times New Roman" w:hAnsi="Times New Roman" w:eastAsia="Times New Roman" w:cs="Times New Roman"/>
      <w:sz w:val="24"/>
      <w:szCs w:val="24"/>
      <w:lang w:eastAsia="es-CO"/>
    </w:rPr>
  </w:style>
  <w:style w:type="character" w:styleId="TextoindependienteCar" w:customStyle="1">
    <w:name w:val="Texto independiente Car"/>
    <w:basedOn w:val="Fuentedeprrafopredeter"/>
    <w:link w:val="Textoindependiente"/>
    <w:uiPriority w:val="99"/>
    <w:semiHidden/>
    <w:rsid w:val="00002D55"/>
    <w:rPr>
      <w:rFonts w:ascii="Times New Roman" w:hAnsi="Times New Roman" w:eastAsia="Times New Roman" w:cs="Times New Roman"/>
      <w:sz w:val="24"/>
      <w:szCs w:val="24"/>
      <w:lang w:eastAsia="es-CO"/>
    </w:rPr>
  </w:style>
  <w:style w:type="character" w:styleId="FontStyle23" w:customStyle="1">
    <w:name w:val="Font Style23"/>
    <w:basedOn w:val="Fuentedeprrafopredeter"/>
    <w:rsid w:val="0081788A"/>
    <w:rPr>
      <w:rFonts w:hint="default" w:ascii="Times New Roman" w:hAnsi="Times New Roman" w:cs="Times New Roman"/>
      <w:sz w:val="20"/>
      <w:szCs w:val="20"/>
    </w:rPr>
  </w:style>
  <w:style w:type="character" w:styleId="Ttulo3Car" w:customStyle="1">
    <w:name w:val="Título 3 Car"/>
    <w:basedOn w:val="Fuentedeprrafopredeter"/>
    <w:link w:val="Ttulo3"/>
    <w:uiPriority w:val="9"/>
    <w:rsid w:val="00EE4BE5"/>
    <w:rPr>
      <w:rFonts w:asciiTheme="majorHAnsi" w:hAnsiTheme="majorHAnsi" w:eastAsiaTheme="majorEastAsia"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134882">
      <w:bodyDiv w:val="1"/>
      <w:marLeft w:val="0"/>
      <w:marRight w:val="0"/>
      <w:marTop w:val="0"/>
      <w:marBottom w:val="0"/>
      <w:divBdr>
        <w:top w:val="none" w:sz="0" w:space="0" w:color="auto"/>
        <w:left w:val="none" w:sz="0" w:space="0" w:color="auto"/>
        <w:bottom w:val="none" w:sz="0" w:space="0" w:color="auto"/>
        <w:right w:val="none" w:sz="0" w:space="0" w:color="auto"/>
      </w:divBdr>
    </w:div>
    <w:div w:id="46149373">
      <w:bodyDiv w:val="1"/>
      <w:marLeft w:val="0"/>
      <w:marRight w:val="0"/>
      <w:marTop w:val="0"/>
      <w:marBottom w:val="0"/>
      <w:divBdr>
        <w:top w:val="none" w:sz="0" w:space="0" w:color="auto"/>
        <w:left w:val="none" w:sz="0" w:space="0" w:color="auto"/>
        <w:bottom w:val="none" w:sz="0" w:space="0" w:color="auto"/>
        <w:right w:val="none" w:sz="0" w:space="0" w:color="auto"/>
      </w:divBdr>
    </w:div>
    <w:div w:id="112671991">
      <w:bodyDiv w:val="1"/>
      <w:marLeft w:val="0"/>
      <w:marRight w:val="0"/>
      <w:marTop w:val="0"/>
      <w:marBottom w:val="0"/>
      <w:divBdr>
        <w:top w:val="none" w:sz="0" w:space="0" w:color="auto"/>
        <w:left w:val="none" w:sz="0" w:space="0" w:color="auto"/>
        <w:bottom w:val="none" w:sz="0" w:space="0" w:color="auto"/>
        <w:right w:val="none" w:sz="0" w:space="0" w:color="auto"/>
      </w:divBdr>
    </w:div>
    <w:div w:id="125584597">
      <w:bodyDiv w:val="1"/>
      <w:marLeft w:val="0"/>
      <w:marRight w:val="0"/>
      <w:marTop w:val="0"/>
      <w:marBottom w:val="0"/>
      <w:divBdr>
        <w:top w:val="none" w:sz="0" w:space="0" w:color="auto"/>
        <w:left w:val="none" w:sz="0" w:space="0" w:color="auto"/>
        <w:bottom w:val="none" w:sz="0" w:space="0" w:color="auto"/>
        <w:right w:val="none" w:sz="0" w:space="0" w:color="auto"/>
      </w:divBdr>
    </w:div>
    <w:div w:id="134104292">
      <w:bodyDiv w:val="1"/>
      <w:marLeft w:val="0"/>
      <w:marRight w:val="0"/>
      <w:marTop w:val="0"/>
      <w:marBottom w:val="0"/>
      <w:divBdr>
        <w:top w:val="none" w:sz="0" w:space="0" w:color="auto"/>
        <w:left w:val="none" w:sz="0" w:space="0" w:color="auto"/>
        <w:bottom w:val="none" w:sz="0" w:space="0" w:color="auto"/>
        <w:right w:val="none" w:sz="0" w:space="0" w:color="auto"/>
      </w:divBdr>
    </w:div>
    <w:div w:id="139424028">
      <w:bodyDiv w:val="1"/>
      <w:marLeft w:val="0"/>
      <w:marRight w:val="0"/>
      <w:marTop w:val="0"/>
      <w:marBottom w:val="0"/>
      <w:divBdr>
        <w:top w:val="none" w:sz="0" w:space="0" w:color="auto"/>
        <w:left w:val="none" w:sz="0" w:space="0" w:color="auto"/>
        <w:bottom w:val="none" w:sz="0" w:space="0" w:color="auto"/>
        <w:right w:val="none" w:sz="0" w:space="0" w:color="auto"/>
      </w:divBdr>
      <w:divsChild>
        <w:div w:id="1821341347">
          <w:marLeft w:val="0"/>
          <w:marRight w:val="0"/>
          <w:marTop w:val="0"/>
          <w:marBottom w:val="0"/>
          <w:divBdr>
            <w:top w:val="none" w:sz="0" w:space="0" w:color="auto"/>
            <w:left w:val="none" w:sz="0" w:space="0" w:color="auto"/>
            <w:bottom w:val="none" w:sz="0" w:space="0" w:color="auto"/>
            <w:right w:val="none" w:sz="0" w:space="0" w:color="auto"/>
          </w:divBdr>
          <w:divsChild>
            <w:div w:id="91904659">
              <w:marLeft w:val="0"/>
              <w:marRight w:val="0"/>
              <w:marTop w:val="0"/>
              <w:marBottom w:val="0"/>
              <w:divBdr>
                <w:top w:val="none" w:sz="0" w:space="0" w:color="auto"/>
                <w:left w:val="none" w:sz="0" w:space="0" w:color="auto"/>
                <w:bottom w:val="none" w:sz="0" w:space="0" w:color="auto"/>
                <w:right w:val="none" w:sz="0" w:space="0" w:color="auto"/>
              </w:divBdr>
              <w:divsChild>
                <w:div w:id="205610424">
                  <w:marLeft w:val="0"/>
                  <w:marRight w:val="0"/>
                  <w:marTop w:val="0"/>
                  <w:marBottom w:val="0"/>
                  <w:divBdr>
                    <w:top w:val="none" w:sz="0" w:space="0" w:color="auto"/>
                    <w:left w:val="none" w:sz="0" w:space="0" w:color="auto"/>
                    <w:bottom w:val="none" w:sz="0" w:space="0" w:color="auto"/>
                    <w:right w:val="none" w:sz="0" w:space="0" w:color="auto"/>
                  </w:divBdr>
                  <w:divsChild>
                    <w:div w:id="744687126">
                      <w:marLeft w:val="0"/>
                      <w:marRight w:val="0"/>
                      <w:marTop w:val="0"/>
                      <w:marBottom w:val="0"/>
                      <w:divBdr>
                        <w:top w:val="none" w:sz="0" w:space="0" w:color="auto"/>
                        <w:left w:val="none" w:sz="0" w:space="0" w:color="auto"/>
                        <w:bottom w:val="none" w:sz="0" w:space="0" w:color="auto"/>
                        <w:right w:val="none" w:sz="0" w:space="0" w:color="auto"/>
                      </w:divBdr>
                      <w:divsChild>
                        <w:div w:id="658389621">
                          <w:marLeft w:val="0"/>
                          <w:marRight w:val="0"/>
                          <w:marTop w:val="0"/>
                          <w:marBottom w:val="0"/>
                          <w:divBdr>
                            <w:top w:val="none" w:sz="0" w:space="0" w:color="auto"/>
                            <w:left w:val="none" w:sz="0" w:space="0" w:color="auto"/>
                            <w:bottom w:val="none" w:sz="0" w:space="0" w:color="auto"/>
                            <w:right w:val="none" w:sz="0" w:space="0" w:color="auto"/>
                          </w:divBdr>
                          <w:divsChild>
                            <w:div w:id="49117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2283863">
      <w:bodyDiv w:val="1"/>
      <w:marLeft w:val="0"/>
      <w:marRight w:val="0"/>
      <w:marTop w:val="0"/>
      <w:marBottom w:val="0"/>
      <w:divBdr>
        <w:top w:val="none" w:sz="0" w:space="0" w:color="auto"/>
        <w:left w:val="none" w:sz="0" w:space="0" w:color="auto"/>
        <w:bottom w:val="none" w:sz="0" w:space="0" w:color="auto"/>
        <w:right w:val="none" w:sz="0" w:space="0" w:color="auto"/>
      </w:divBdr>
    </w:div>
    <w:div w:id="302009774">
      <w:bodyDiv w:val="1"/>
      <w:marLeft w:val="0"/>
      <w:marRight w:val="0"/>
      <w:marTop w:val="0"/>
      <w:marBottom w:val="0"/>
      <w:divBdr>
        <w:top w:val="none" w:sz="0" w:space="0" w:color="auto"/>
        <w:left w:val="none" w:sz="0" w:space="0" w:color="auto"/>
        <w:bottom w:val="none" w:sz="0" w:space="0" w:color="auto"/>
        <w:right w:val="none" w:sz="0" w:space="0" w:color="auto"/>
      </w:divBdr>
    </w:div>
    <w:div w:id="329917147">
      <w:bodyDiv w:val="1"/>
      <w:marLeft w:val="0"/>
      <w:marRight w:val="0"/>
      <w:marTop w:val="0"/>
      <w:marBottom w:val="0"/>
      <w:divBdr>
        <w:top w:val="none" w:sz="0" w:space="0" w:color="auto"/>
        <w:left w:val="none" w:sz="0" w:space="0" w:color="auto"/>
        <w:bottom w:val="none" w:sz="0" w:space="0" w:color="auto"/>
        <w:right w:val="none" w:sz="0" w:space="0" w:color="auto"/>
      </w:divBdr>
    </w:div>
    <w:div w:id="334461891">
      <w:bodyDiv w:val="1"/>
      <w:marLeft w:val="0"/>
      <w:marRight w:val="0"/>
      <w:marTop w:val="0"/>
      <w:marBottom w:val="0"/>
      <w:divBdr>
        <w:top w:val="none" w:sz="0" w:space="0" w:color="auto"/>
        <w:left w:val="none" w:sz="0" w:space="0" w:color="auto"/>
        <w:bottom w:val="none" w:sz="0" w:space="0" w:color="auto"/>
        <w:right w:val="none" w:sz="0" w:space="0" w:color="auto"/>
      </w:divBdr>
    </w:div>
    <w:div w:id="337804836">
      <w:bodyDiv w:val="1"/>
      <w:marLeft w:val="0"/>
      <w:marRight w:val="0"/>
      <w:marTop w:val="0"/>
      <w:marBottom w:val="0"/>
      <w:divBdr>
        <w:top w:val="none" w:sz="0" w:space="0" w:color="auto"/>
        <w:left w:val="none" w:sz="0" w:space="0" w:color="auto"/>
        <w:bottom w:val="none" w:sz="0" w:space="0" w:color="auto"/>
        <w:right w:val="none" w:sz="0" w:space="0" w:color="auto"/>
      </w:divBdr>
    </w:div>
    <w:div w:id="374045247">
      <w:bodyDiv w:val="1"/>
      <w:marLeft w:val="0"/>
      <w:marRight w:val="0"/>
      <w:marTop w:val="0"/>
      <w:marBottom w:val="0"/>
      <w:divBdr>
        <w:top w:val="none" w:sz="0" w:space="0" w:color="auto"/>
        <w:left w:val="none" w:sz="0" w:space="0" w:color="auto"/>
        <w:bottom w:val="none" w:sz="0" w:space="0" w:color="auto"/>
        <w:right w:val="none" w:sz="0" w:space="0" w:color="auto"/>
      </w:divBdr>
      <w:divsChild>
        <w:div w:id="506864930">
          <w:marLeft w:val="0"/>
          <w:marRight w:val="0"/>
          <w:marTop w:val="0"/>
          <w:marBottom w:val="160"/>
          <w:divBdr>
            <w:top w:val="none" w:sz="0" w:space="0" w:color="auto"/>
            <w:left w:val="none" w:sz="0" w:space="0" w:color="auto"/>
            <w:bottom w:val="none" w:sz="0" w:space="0" w:color="auto"/>
            <w:right w:val="none" w:sz="0" w:space="0" w:color="auto"/>
          </w:divBdr>
        </w:div>
        <w:div w:id="563570546">
          <w:marLeft w:val="0"/>
          <w:marRight w:val="0"/>
          <w:marTop w:val="0"/>
          <w:marBottom w:val="160"/>
          <w:divBdr>
            <w:top w:val="none" w:sz="0" w:space="0" w:color="auto"/>
            <w:left w:val="none" w:sz="0" w:space="0" w:color="auto"/>
            <w:bottom w:val="none" w:sz="0" w:space="0" w:color="auto"/>
            <w:right w:val="none" w:sz="0" w:space="0" w:color="auto"/>
          </w:divBdr>
        </w:div>
        <w:div w:id="773287731">
          <w:marLeft w:val="0"/>
          <w:marRight w:val="0"/>
          <w:marTop w:val="0"/>
          <w:marBottom w:val="160"/>
          <w:divBdr>
            <w:top w:val="none" w:sz="0" w:space="0" w:color="auto"/>
            <w:left w:val="none" w:sz="0" w:space="0" w:color="auto"/>
            <w:bottom w:val="none" w:sz="0" w:space="0" w:color="auto"/>
            <w:right w:val="none" w:sz="0" w:space="0" w:color="auto"/>
          </w:divBdr>
        </w:div>
      </w:divsChild>
    </w:div>
    <w:div w:id="432018390">
      <w:bodyDiv w:val="1"/>
      <w:marLeft w:val="0"/>
      <w:marRight w:val="0"/>
      <w:marTop w:val="0"/>
      <w:marBottom w:val="0"/>
      <w:divBdr>
        <w:top w:val="none" w:sz="0" w:space="0" w:color="auto"/>
        <w:left w:val="none" w:sz="0" w:space="0" w:color="auto"/>
        <w:bottom w:val="none" w:sz="0" w:space="0" w:color="auto"/>
        <w:right w:val="none" w:sz="0" w:space="0" w:color="auto"/>
      </w:divBdr>
    </w:div>
    <w:div w:id="497113796">
      <w:bodyDiv w:val="1"/>
      <w:marLeft w:val="0"/>
      <w:marRight w:val="0"/>
      <w:marTop w:val="0"/>
      <w:marBottom w:val="0"/>
      <w:divBdr>
        <w:top w:val="none" w:sz="0" w:space="0" w:color="auto"/>
        <w:left w:val="none" w:sz="0" w:space="0" w:color="auto"/>
        <w:bottom w:val="none" w:sz="0" w:space="0" w:color="auto"/>
        <w:right w:val="none" w:sz="0" w:space="0" w:color="auto"/>
      </w:divBdr>
      <w:divsChild>
        <w:div w:id="932205885">
          <w:marLeft w:val="0"/>
          <w:marRight w:val="0"/>
          <w:marTop w:val="0"/>
          <w:marBottom w:val="0"/>
          <w:divBdr>
            <w:top w:val="none" w:sz="0" w:space="0" w:color="auto"/>
            <w:left w:val="none" w:sz="0" w:space="0" w:color="auto"/>
            <w:bottom w:val="none" w:sz="0" w:space="0" w:color="auto"/>
            <w:right w:val="none" w:sz="0" w:space="0" w:color="auto"/>
          </w:divBdr>
          <w:divsChild>
            <w:div w:id="396978682">
              <w:marLeft w:val="0"/>
              <w:marRight w:val="0"/>
              <w:marTop w:val="0"/>
              <w:marBottom w:val="0"/>
              <w:divBdr>
                <w:top w:val="none" w:sz="0" w:space="0" w:color="auto"/>
                <w:left w:val="none" w:sz="0" w:space="0" w:color="auto"/>
                <w:bottom w:val="none" w:sz="0" w:space="0" w:color="auto"/>
                <w:right w:val="none" w:sz="0" w:space="0" w:color="auto"/>
              </w:divBdr>
              <w:divsChild>
                <w:div w:id="1886520651">
                  <w:marLeft w:val="0"/>
                  <w:marRight w:val="0"/>
                  <w:marTop w:val="0"/>
                  <w:marBottom w:val="0"/>
                  <w:divBdr>
                    <w:top w:val="none" w:sz="0" w:space="0" w:color="auto"/>
                    <w:left w:val="none" w:sz="0" w:space="0" w:color="auto"/>
                    <w:bottom w:val="none" w:sz="0" w:space="0" w:color="auto"/>
                    <w:right w:val="none" w:sz="0" w:space="0" w:color="auto"/>
                  </w:divBdr>
                  <w:divsChild>
                    <w:div w:id="1561600205">
                      <w:marLeft w:val="0"/>
                      <w:marRight w:val="0"/>
                      <w:marTop w:val="0"/>
                      <w:marBottom w:val="0"/>
                      <w:divBdr>
                        <w:top w:val="none" w:sz="0" w:space="0" w:color="auto"/>
                        <w:left w:val="none" w:sz="0" w:space="0" w:color="auto"/>
                        <w:bottom w:val="none" w:sz="0" w:space="0" w:color="auto"/>
                        <w:right w:val="none" w:sz="0" w:space="0" w:color="auto"/>
                      </w:divBdr>
                      <w:divsChild>
                        <w:div w:id="312949149">
                          <w:marLeft w:val="0"/>
                          <w:marRight w:val="0"/>
                          <w:marTop w:val="0"/>
                          <w:marBottom w:val="0"/>
                          <w:divBdr>
                            <w:top w:val="none" w:sz="0" w:space="0" w:color="auto"/>
                            <w:left w:val="none" w:sz="0" w:space="0" w:color="auto"/>
                            <w:bottom w:val="none" w:sz="0" w:space="0" w:color="auto"/>
                            <w:right w:val="none" w:sz="0" w:space="0" w:color="auto"/>
                          </w:divBdr>
                          <w:divsChild>
                            <w:div w:id="1128743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9076646">
      <w:bodyDiv w:val="1"/>
      <w:marLeft w:val="0"/>
      <w:marRight w:val="0"/>
      <w:marTop w:val="0"/>
      <w:marBottom w:val="0"/>
      <w:divBdr>
        <w:top w:val="none" w:sz="0" w:space="0" w:color="auto"/>
        <w:left w:val="none" w:sz="0" w:space="0" w:color="auto"/>
        <w:bottom w:val="none" w:sz="0" w:space="0" w:color="auto"/>
        <w:right w:val="none" w:sz="0" w:space="0" w:color="auto"/>
      </w:divBdr>
    </w:div>
    <w:div w:id="588775434">
      <w:bodyDiv w:val="1"/>
      <w:marLeft w:val="0"/>
      <w:marRight w:val="0"/>
      <w:marTop w:val="0"/>
      <w:marBottom w:val="0"/>
      <w:divBdr>
        <w:top w:val="none" w:sz="0" w:space="0" w:color="auto"/>
        <w:left w:val="none" w:sz="0" w:space="0" w:color="auto"/>
        <w:bottom w:val="none" w:sz="0" w:space="0" w:color="auto"/>
        <w:right w:val="none" w:sz="0" w:space="0" w:color="auto"/>
      </w:divBdr>
      <w:divsChild>
        <w:div w:id="686953851">
          <w:marLeft w:val="0"/>
          <w:marRight w:val="0"/>
          <w:marTop w:val="0"/>
          <w:marBottom w:val="0"/>
          <w:divBdr>
            <w:top w:val="none" w:sz="0" w:space="0" w:color="auto"/>
            <w:left w:val="none" w:sz="0" w:space="0" w:color="auto"/>
            <w:bottom w:val="none" w:sz="0" w:space="0" w:color="auto"/>
            <w:right w:val="none" w:sz="0" w:space="0" w:color="auto"/>
          </w:divBdr>
          <w:divsChild>
            <w:div w:id="172259401">
              <w:marLeft w:val="0"/>
              <w:marRight w:val="0"/>
              <w:marTop w:val="0"/>
              <w:marBottom w:val="0"/>
              <w:divBdr>
                <w:top w:val="none" w:sz="0" w:space="0" w:color="auto"/>
                <w:left w:val="none" w:sz="0" w:space="0" w:color="auto"/>
                <w:bottom w:val="none" w:sz="0" w:space="0" w:color="auto"/>
                <w:right w:val="none" w:sz="0" w:space="0" w:color="auto"/>
              </w:divBdr>
              <w:divsChild>
                <w:div w:id="2105608189">
                  <w:marLeft w:val="0"/>
                  <w:marRight w:val="0"/>
                  <w:marTop w:val="0"/>
                  <w:marBottom w:val="0"/>
                  <w:divBdr>
                    <w:top w:val="none" w:sz="0" w:space="0" w:color="auto"/>
                    <w:left w:val="none" w:sz="0" w:space="0" w:color="auto"/>
                    <w:bottom w:val="none" w:sz="0" w:space="0" w:color="auto"/>
                    <w:right w:val="none" w:sz="0" w:space="0" w:color="auto"/>
                  </w:divBdr>
                  <w:divsChild>
                    <w:div w:id="1691952384">
                      <w:marLeft w:val="0"/>
                      <w:marRight w:val="0"/>
                      <w:marTop w:val="0"/>
                      <w:marBottom w:val="0"/>
                      <w:divBdr>
                        <w:top w:val="none" w:sz="0" w:space="0" w:color="auto"/>
                        <w:left w:val="none" w:sz="0" w:space="0" w:color="auto"/>
                        <w:bottom w:val="none" w:sz="0" w:space="0" w:color="auto"/>
                        <w:right w:val="none" w:sz="0" w:space="0" w:color="auto"/>
                      </w:divBdr>
                      <w:divsChild>
                        <w:div w:id="1490360998">
                          <w:marLeft w:val="0"/>
                          <w:marRight w:val="0"/>
                          <w:marTop w:val="0"/>
                          <w:marBottom w:val="0"/>
                          <w:divBdr>
                            <w:top w:val="none" w:sz="0" w:space="0" w:color="auto"/>
                            <w:left w:val="none" w:sz="0" w:space="0" w:color="auto"/>
                            <w:bottom w:val="none" w:sz="0" w:space="0" w:color="auto"/>
                            <w:right w:val="none" w:sz="0" w:space="0" w:color="auto"/>
                          </w:divBdr>
                          <w:divsChild>
                            <w:div w:id="626544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3080197">
      <w:bodyDiv w:val="1"/>
      <w:marLeft w:val="0"/>
      <w:marRight w:val="0"/>
      <w:marTop w:val="0"/>
      <w:marBottom w:val="0"/>
      <w:divBdr>
        <w:top w:val="none" w:sz="0" w:space="0" w:color="auto"/>
        <w:left w:val="none" w:sz="0" w:space="0" w:color="auto"/>
        <w:bottom w:val="none" w:sz="0" w:space="0" w:color="auto"/>
        <w:right w:val="none" w:sz="0" w:space="0" w:color="auto"/>
      </w:divBdr>
    </w:div>
    <w:div w:id="696200587">
      <w:bodyDiv w:val="1"/>
      <w:marLeft w:val="0"/>
      <w:marRight w:val="0"/>
      <w:marTop w:val="0"/>
      <w:marBottom w:val="0"/>
      <w:divBdr>
        <w:top w:val="none" w:sz="0" w:space="0" w:color="auto"/>
        <w:left w:val="none" w:sz="0" w:space="0" w:color="auto"/>
        <w:bottom w:val="none" w:sz="0" w:space="0" w:color="auto"/>
        <w:right w:val="none" w:sz="0" w:space="0" w:color="auto"/>
      </w:divBdr>
    </w:div>
    <w:div w:id="784926870">
      <w:bodyDiv w:val="1"/>
      <w:marLeft w:val="0"/>
      <w:marRight w:val="0"/>
      <w:marTop w:val="0"/>
      <w:marBottom w:val="0"/>
      <w:divBdr>
        <w:top w:val="none" w:sz="0" w:space="0" w:color="auto"/>
        <w:left w:val="none" w:sz="0" w:space="0" w:color="auto"/>
        <w:bottom w:val="none" w:sz="0" w:space="0" w:color="auto"/>
        <w:right w:val="none" w:sz="0" w:space="0" w:color="auto"/>
      </w:divBdr>
    </w:div>
    <w:div w:id="803502513">
      <w:bodyDiv w:val="1"/>
      <w:marLeft w:val="0"/>
      <w:marRight w:val="0"/>
      <w:marTop w:val="0"/>
      <w:marBottom w:val="0"/>
      <w:divBdr>
        <w:top w:val="none" w:sz="0" w:space="0" w:color="auto"/>
        <w:left w:val="none" w:sz="0" w:space="0" w:color="auto"/>
        <w:bottom w:val="none" w:sz="0" w:space="0" w:color="auto"/>
        <w:right w:val="none" w:sz="0" w:space="0" w:color="auto"/>
      </w:divBdr>
    </w:div>
    <w:div w:id="850341528">
      <w:bodyDiv w:val="1"/>
      <w:marLeft w:val="0"/>
      <w:marRight w:val="0"/>
      <w:marTop w:val="0"/>
      <w:marBottom w:val="0"/>
      <w:divBdr>
        <w:top w:val="none" w:sz="0" w:space="0" w:color="auto"/>
        <w:left w:val="none" w:sz="0" w:space="0" w:color="auto"/>
        <w:bottom w:val="none" w:sz="0" w:space="0" w:color="auto"/>
        <w:right w:val="none" w:sz="0" w:space="0" w:color="auto"/>
      </w:divBdr>
    </w:div>
    <w:div w:id="905454849">
      <w:bodyDiv w:val="1"/>
      <w:marLeft w:val="0"/>
      <w:marRight w:val="0"/>
      <w:marTop w:val="0"/>
      <w:marBottom w:val="0"/>
      <w:divBdr>
        <w:top w:val="none" w:sz="0" w:space="0" w:color="auto"/>
        <w:left w:val="none" w:sz="0" w:space="0" w:color="auto"/>
        <w:bottom w:val="none" w:sz="0" w:space="0" w:color="auto"/>
        <w:right w:val="none" w:sz="0" w:space="0" w:color="auto"/>
      </w:divBdr>
      <w:divsChild>
        <w:div w:id="591283175">
          <w:marLeft w:val="0"/>
          <w:marRight w:val="0"/>
          <w:marTop w:val="0"/>
          <w:marBottom w:val="160"/>
          <w:divBdr>
            <w:top w:val="none" w:sz="0" w:space="0" w:color="auto"/>
            <w:left w:val="none" w:sz="0" w:space="0" w:color="auto"/>
            <w:bottom w:val="none" w:sz="0" w:space="0" w:color="auto"/>
            <w:right w:val="none" w:sz="0" w:space="0" w:color="auto"/>
          </w:divBdr>
        </w:div>
        <w:div w:id="2145074026">
          <w:marLeft w:val="0"/>
          <w:marRight w:val="0"/>
          <w:marTop w:val="0"/>
          <w:marBottom w:val="160"/>
          <w:divBdr>
            <w:top w:val="none" w:sz="0" w:space="0" w:color="auto"/>
            <w:left w:val="none" w:sz="0" w:space="0" w:color="auto"/>
            <w:bottom w:val="none" w:sz="0" w:space="0" w:color="auto"/>
            <w:right w:val="none" w:sz="0" w:space="0" w:color="auto"/>
          </w:divBdr>
        </w:div>
        <w:div w:id="1578511561">
          <w:marLeft w:val="0"/>
          <w:marRight w:val="0"/>
          <w:marTop w:val="0"/>
          <w:marBottom w:val="160"/>
          <w:divBdr>
            <w:top w:val="none" w:sz="0" w:space="0" w:color="auto"/>
            <w:left w:val="none" w:sz="0" w:space="0" w:color="auto"/>
            <w:bottom w:val="none" w:sz="0" w:space="0" w:color="auto"/>
            <w:right w:val="none" w:sz="0" w:space="0" w:color="auto"/>
          </w:divBdr>
        </w:div>
      </w:divsChild>
    </w:div>
    <w:div w:id="935362018">
      <w:bodyDiv w:val="1"/>
      <w:marLeft w:val="0"/>
      <w:marRight w:val="0"/>
      <w:marTop w:val="0"/>
      <w:marBottom w:val="0"/>
      <w:divBdr>
        <w:top w:val="none" w:sz="0" w:space="0" w:color="auto"/>
        <w:left w:val="none" w:sz="0" w:space="0" w:color="auto"/>
        <w:bottom w:val="none" w:sz="0" w:space="0" w:color="auto"/>
        <w:right w:val="none" w:sz="0" w:space="0" w:color="auto"/>
      </w:divBdr>
    </w:div>
    <w:div w:id="951672208">
      <w:bodyDiv w:val="1"/>
      <w:marLeft w:val="0"/>
      <w:marRight w:val="0"/>
      <w:marTop w:val="0"/>
      <w:marBottom w:val="0"/>
      <w:divBdr>
        <w:top w:val="none" w:sz="0" w:space="0" w:color="auto"/>
        <w:left w:val="none" w:sz="0" w:space="0" w:color="auto"/>
        <w:bottom w:val="none" w:sz="0" w:space="0" w:color="auto"/>
        <w:right w:val="none" w:sz="0" w:space="0" w:color="auto"/>
      </w:divBdr>
    </w:div>
    <w:div w:id="968827308">
      <w:bodyDiv w:val="1"/>
      <w:marLeft w:val="0"/>
      <w:marRight w:val="0"/>
      <w:marTop w:val="0"/>
      <w:marBottom w:val="0"/>
      <w:divBdr>
        <w:top w:val="none" w:sz="0" w:space="0" w:color="auto"/>
        <w:left w:val="none" w:sz="0" w:space="0" w:color="auto"/>
        <w:bottom w:val="none" w:sz="0" w:space="0" w:color="auto"/>
        <w:right w:val="none" w:sz="0" w:space="0" w:color="auto"/>
      </w:divBdr>
    </w:div>
    <w:div w:id="1090585167">
      <w:bodyDiv w:val="1"/>
      <w:marLeft w:val="0"/>
      <w:marRight w:val="0"/>
      <w:marTop w:val="0"/>
      <w:marBottom w:val="0"/>
      <w:divBdr>
        <w:top w:val="none" w:sz="0" w:space="0" w:color="auto"/>
        <w:left w:val="none" w:sz="0" w:space="0" w:color="auto"/>
        <w:bottom w:val="none" w:sz="0" w:space="0" w:color="auto"/>
        <w:right w:val="none" w:sz="0" w:space="0" w:color="auto"/>
      </w:divBdr>
    </w:div>
    <w:div w:id="1107236897">
      <w:bodyDiv w:val="1"/>
      <w:marLeft w:val="0"/>
      <w:marRight w:val="0"/>
      <w:marTop w:val="0"/>
      <w:marBottom w:val="0"/>
      <w:divBdr>
        <w:top w:val="none" w:sz="0" w:space="0" w:color="auto"/>
        <w:left w:val="none" w:sz="0" w:space="0" w:color="auto"/>
        <w:bottom w:val="none" w:sz="0" w:space="0" w:color="auto"/>
        <w:right w:val="none" w:sz="0" w:space="0" w:color="auto"/>
      </w:divBdr>
      <w:divsChild>
        <w:div w:id="477647396">
          <w:marLeft w:val="0"/>
          <w:marRight w:val="0"/>
          <w:marTop w:val="0"/>
          <w:marBottom w:val="0"/>
          <w:divBdr>
            <w:top w:val="none" w:sz="0" w:space="0" w:color="auto"/>
            <w:left w:val="none" w:sz="0" w:space="0" w:color="auto"/>
            <w:bottom w:val="none" w:sz="0" w:space="0" w:color="auto"/>
            <w:right w:val="none" w:sz="0" w:space="0" w:color="auto"/>
          </w:divBdr>
          <w:divsChild>
            <w:div w:id="796800405">
              <w:marLeft w:val="0"/>
              <w:marRight w:val="0"/>
              <w:marTop w:val="0"/>
              <w:marBottom w:val="0"/>
              <w:divBdr>
                <w:top w:val="none" w:sz="0" w:space="0" w:color="auto"/>
                <w:left w:val="none" w:sz="0" w:space="0" w:color="auto"/>
                <w:bottom w:val="none" w:sz="0" w:space="0" w:color="auto"/>
                <w:right w:val="none" w:sz="0" w:space="0" w:color="auto"/>
              </w:divBdr>
              <w:divsChild>
                <w:div w:id="969165727">
                  <w:marLeft w:val="0"/>
                  <w:marRight w:val="0"/>
                  <w:marTop w:val="0"/>
                  <w:marBottom w:val="0"/>
                  <w:divBdr>
                    <w:top w:val="none" w:sz="0" w:space="0" w:color="auto"/>
                    <w:left w:val="none" w:sz="0" w:space="0" w:color="auto"/>
                    <w:bottom w:val="none" w:sz="0" w:space="0" w:color="auto"/>
                    <w:right w:val="none" w:sz="0" w:space="0" w:color="auto"/>
                  </w:divBdr>
                  <w:divsChild>
                    <w:div w:id="324626554">
                      <w:marLeft w:val="0"/>
                      <w:marRight w:val="0"/>
                      <w:marTop w:val="0"/>
                      <w:marBottom w:val="0"/>
                      <w:divBdr>
                        <w:top w:val="none" w:sz="0" w:space="0" w:color="auto"/>
                        <w:left w:val="none" w:sz="0" w:space="0" w:color="auto"/>
                        <w:bottom w:val="none" w:sz="0" w:space="0" w:color="auto"/>
                        <w:right w:val="none" w:sz="0" w:space="0" w:color="auto"/>
                      </w:divBdr>
                      <w:divsChild>
                        <w:div w:id="1435707499">
                          <w:marLeft w:val="0"/>
                          <w:marRight w:val="0"/>
                          <w:marTop w:val="0"/>
                          <w:marBottom w:val="0"/>
                          <w:divBdr>
                            <w:top w:val="none" w:sz="0" w:space="0" w:color="auto"/>
                            <w:left w:val="none" w:sz="0" w:space="0" w:color="auto"/>
                            <w:bottom w:val="none" w:sz="0" w:space="0" w:color="auto"/>
                            <w:right w:val="none" w:sz="0" w:space="0" w:color="auto"/>
                          </w:divBdr>
                          <w:divsChild>
                            <w:div w:id="330301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53371148">
      <w:bodyDiv w:val="1"/>
      <w:marLeft w:val="0"/>
      <w:marRight w:val="0"/>
      <w:marTop w:val="0"/>
      <w:marBottom w:val="0"/>
      <w:divBdr>
        <w:top w:val="none" w:sz="0" w:space="0" w:color="auto"/>
        <w:left w:val="none" w:sz="0" w:space="0" w:color="auto"/>
        <w:bottom w:val="none" w:sz="0" w:space="0" w:color="auto"/>
        <w:right w:val="none" w:sz="0" w:space="0" w:color="auto"/>
      </w:divBdr>
      <w:divsChild>
        <w:div w:id="578834935">
          <w:marLeft w:val="0"/>
          <w:marRight w:val="0"/>
          <w:marTop w:val="0"/>
          <w:marBottom w:val="160"/>
          <w:divBdr>
            <w:top w:val="none" w:sz="0" w:space="0" w:color="auto"/>
            <w:left w:val="none" w:sz="0" w:space="0" w:color="auto"/>
            <w:bottom w:val="none" w:sz="0" w:space="0" w:color="auto"/>
            <w:right w:val="none" w:sz="0" w:space="0" w:color="auto"/>
          </w:divBdr>
        </w:div>
        <w:div w:id="86193346">
          <w:marLeft w:val="0"/>
          <w:marRight w:val="0"/>
          <w:marTop w:val="0"/>
          <w:marBottom w:val="160"/>
          <w:divBdr>
            <w:top w:val="none" w:sz="0" w:space="0" w:color="auto"/>
            <w:left w:val="none" w:sz="0" w:space="0" w:color="auto"/>
            <w:bottom w:val="none" w:sz="0" w:space="0" w:color="auto"/>
            <w:right w:val="none" w:sz="0" w:space="0" w:color="auto"/>
          </w:divBdr>
        </w:div>
        <w:div w:id="185557124">
          <w:marLeft w:val="0"/>
          <w:marRight w:val="0"/>
          <w:marTop w:val="0"/>
          <w:marBottom w:val="160"/>
          <w:divBdr>
            <w:top w:val="none" w:sz="0" w:space="0" w:color="auto"/>
            <w:left w:val="none" w:sz="0" w:space="0" w:color="auto"/>
            <w:bottom w:val="none" w:sz="0" w:space="0" w:color="auto"/>
            <w:right w:val="none" w:sz="0" w:space="0" w:color="auto"/>
          </w:divBdr>
        </w:div>
      </w:divsChild>
    </w:div>
    <w:div w:id="1158038347">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243177627">
      <w:bodyDiv w:val="1"/>
      <w:marLeft w:val="0"/>
      <w:marRight w:val="0"/>
      <w:marTop w:val="0"/>
      <w:marBottom w:val="0"/>
      <w:divBdr>
        <w:top w:val="none" w:sz="0" w:space="0" w:color="auto"/>
        <w:left w:val="none" w:sz="0" w:space="0" w:color="auto"/>
        <w:bottom w:val="none" w:sz="0" w:space="0" w:color="auto"/>
        <w:right w:val="none" w:sz="0" w:space="0" w:color="auto"/>
      </w:divBdr>
    </w:div>
    <w:div w:id="1270360150">
      <w:bodyDiv w:val="1"/>
      <w:marLeft w:val="0"/>
      <w:marRight w:val="0"/>
      <w:marTop w:val="0"/>
      <w:marBottom w:val="0"/>
      <w:divBdr>
        <w:top w:val="none" w:sz="0" w:space="0" w:color="auto"/>
        <w:left w:val="none" w:sz="0" w:space="0" w:color="auto"/>
        <w:bottom w:val="none" w:sz="0" w:space="0" w:color="auto"/>
        <w:right w:val="none" w:sz="0" w:space="0" w:color="auto"/>
      </w:divBdr>
    </w:div>
    <w:div w:id="1298297533">
      <w:bodyDiv w:val="1"/>
      <w:marLeft w:val="0"/>
      <w:marRight w:val="0"/>
      <w:marTop w:val="0"/>
      <w:marBottom w:val="0"/>
      <w:divBdr>
        <w:top w:val="none" w:sz="0" w:space="0" w:color="auto"/>
        <w:left w:val="none" w:sz="0" w:space="0" w:color="auto"/>
        <w:bottom w:val="none" w:sz="0" w:space="0" w:color="auto"/>
        <w:right w:val="none" w:sz="0" w:space="0" w:color="auto"/>
      </w:divBdr>
    </w:div>
    <w:div w:id="1347245505">
      <w:bodyDiv w:val="1"/>
      <w:marLeft w:val="0"/>
      <w:marRight w:val="0"/>
      <w:marTop w:val="0"/>
      <w:marBottom w:val="0"/>
      <w:divBdr>
        <w:top w:val="none" w:sz="0" w:space="0" w:color="auto"/>
        <w:left w:val="none" w:sz="0" w:space="0" w:color="auto"/>
        <w:bottom w:val="none" w:sz="0" w:space="0" w:color="auto"/>
        <w:right w:val="none" w:sz="0" w:space="0" w:color="auto"/>
      </w:divBdr>
    </w:div>
    <w:div w:id="1391033297">
      <w:bodyDiv w:val="1"/>
      <w:marLeft w:val="0"/>
      <w:marRight w:val="0"/>
      <w:marTop w:val="0"/>
      <w:marBottom w:val="0"/>
      <w:divBdr>
        <w:top w:val="none" w:sz="0" w:space="0" w:color="auto"/>
        <w:left w:val="none" w:sz="0" w:space="0" w:color="auto"/>
        <w:bottom w:val="none" w:sz="0" w:space="0" w:color="auto"/>
        <w:right w:val="none" w:sz="0" w:space="0" w:color="auto"/>
      </w:divBdr>
      <w:divsChild>
        <w:div w:id="1302231751">
          <w:marLeft w:val="0"/>
          <w:marRight w:val="0"/>
          <w:marTop w:val="0"/>
          <w:marBottom w:val="0"/>
          <w:divBdr>
            <w:top w:val="none" w:sz="0" w:space="0" w:color="auto"/>
            <w:left w:val="none" w:sz="0" w:space="0" w:color="auto"/>
            <w:bottom w:val="none" w:sz="0" w:space="0" w:color="auto"/>
            <w:right w:val="none" w:sz="0" w:space="0" w:color="auto"/>
          </w:divBdr>
          <w:divsChild>
            <w:div w:id="1910311305">
              <w:marLeft w:val="0"/>
              <w:marRight w:val="0"/>
              <w:marTop w:val="0"/>
              <w:marBottom w:val="0"/>
              <w:divBdr>
                <w:top w:val="none" w:sz="0" w:space="0" w:color="auto"/>
                <w:left w:val="none" w:sz="0" w:space="0" w:color="auto"/>
                <w:bottom w:val="none" w:sz="0" w:space="0" w:color="auto"/>
                <w:right w:val="none" w:sz="0" w:space="0" w:color="auto"/>
              </w:divBdr>
              <w:divsChild>
                <w:div w:id="245462431">
                  <w:marLeft w:val="0"/>
                  <w:marRight w:val="0"/>
                  <w:marTop w:val="0"/>
                  <w:marBottom w:val="0"/>
                  <w:divBdr>
                    <w:top w:val="none" w:sz="0" w:space="0" w:color="auto"/>
                    <w:left w:val="none" w:sz="0" w:space="0" w:color="auto"/>
                    <w:bottom w:val="none" w:sz="0" w:space="0" w:color="auto"/>
                    <w:right w:val="none" w:sz="0" w:space="0" w:color="auto"/>
                  </w:divBdr>
                  <w:divsChild>
                    <w:div w:id="1029255869">
                      <w:marLeft w:val="0"/>
                      <w:marRight w:val="0"/>
                      <w:marTop w:val="0"/>
                      <w:marBottom w:val="0"/>
                      <w:divBdr>
                        <w:top w:val="none" w:sz="0" w:space="0" w:color="auto"/>
                        <w:left w:val="none" w:sz="0" w:space="0" w:color="auto"/>
                        <w:bottom w:val="none" w:sz="0" w:space="0" w:color="auto"/>
                        <w:right w:val="none" w:sz="0" w:space="0" w:color="auto"/>
                      </w:divBdr>
                      <w:divsChild>
                        <w:div w:id="613244225">
                          <w:marLeft w:val="0"/>
                          <w:marRight w:val="0"/>
                          <w:marTop w:val="0"/>
                          <w:marBottom w:val="0"/>
                          <w:divBdr>
                            <w:top w:val="none" w:sz="0" w:space="0" w:color="auto"/>
                            <w:left w:val="none" w:sz="0" w:space="0" w:color="auto"/>
                            <w:bottom w:val="none" w:sz="0" w:space="0" w:color="auto"/>
                            <w:right w:val="none" w:sz="0" w:space="0" w:color="auto"/>
                          </w:divBdr>
                          <w:divsChild>
                            <w:div w:id="58288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247560">
      <w:bodyDiv w:val="1"/>
      <w:marLeft w:val="0"/>
      <w:marRight w:val="0"/>
      <w:marTop w:val="0"/>
      <w:marBottom w:val="0"/>
      <w:divBdr>
        <w:top w:val="none" w:sz="0" w:space="0" w:color="auto"/>
        <w:left w:val="none" w:sz="0" w:space="0" w:color="auto"/>
        <w:bottom w:val="none" w:sz="0" w:space="0" w:color="auto"/>
        <w:right w:val="none" w:sz="0" w:space="0" w:color="auto"/>
      </w:divBdr>
    </w:div>
    <w:div w:id="1448115632">
      <w:bodyDiv w:val="1"/>
      <w:marLeft w:val="0"/>
      <w:marRight w:val="0"/>
      <w:marTop w:val="0"/>
      <w:marBottom w:val="0"/>
      <w:divBdr>
        <w:top w:val="none" w:sz="0" w:space="0" w:color="auto"/>
        <w:left w:val="none" w:sz="0" w:space="0" w:color="auto"/>
        <w:bottom w:val="none" w:sz="0" w:space="0" w:color="auto"/>
        <w:right w:val="none" w:sz="0" w:space="0" w:color="auto"/>
      </w:divBdr>
    </w:div>
    <w:div w:id="1498619727">
      <w:bodyDiv w:val="1"/>
      <w:marLeft w:val="0"/>
      <w:marRight w:val="0"/>
      <w:marTop w:val="0"/>
      <w:marBottom w:val="0"/>
      <w:divBdr>
        <w:top w:val="none" w:sz="0" w:space="0" w:color="auto"/>
        <w:left w:val="none" w:sz="0" w:space="0" w:color="auto"/>
        <w:bottom w:val="none" w:sz="0" w:space="0" w:color="auto"/>
        <w:right w:val="none" w:sz="0" w:space="0" w:color="auto"/>
      </w:divBdr>
      <w:divsChild>
        <w:div w:id="797839195">
          <w:marLeft w:val="0"/>
          <w:marRight w:val="0"/>
          <w:marTop w:val="0"/>
          <w:marBottom w:val="160"/>
          <w:divBdr>
            <w:top w:val="none" w:sz="0" w:space="0" w:color="auto"/>
            <w:left w:val="none" w:sz="0" w:space="0" w:color="auto"/>
            <w:bottom w:val="none" w:sz="0" w:space="0" w:color="auto"/>
            <w:right w:val="none" w:sz="0" w:space="0" w:color="auto"/>
          </w:divBdr>
        </w:div>
        <w:div w:id="560681091">
          <w:marLeft w:val="0"/>
          <w:marRight w:val="0"/>
          <w:marTop w:val="0"/>
          <w:marBottom w:val="160"/>
          <w:divBdr>
            <w:top w:val="none" w:sz="0" w:space="0" w:color="auto"/>
            <w:left w:val="none" w:sz="0" w:space="0" w:color="auto"/>
            <w:bottom w:val="none" w:sz="0" w:space="0" w:color="auto"/>
            <w:right w:val="none" w:sz="0" w:space="0" w:color="auto"/>
          </w:divBdr>
        </w:div>
        <w:div w:id="1153833297">
          <w:marLeft w:val="0"/>
          <w:marRight w:val="0"/>
          <w:marTop w:val="0"/>
          <w:marBottom w:val="160"/>
          <w:divBdr>
            <w:top w:val="none" w:sz="0" w:space="0" w:color="auto"/>
            <w:left w:val="none" w:sz="0" w:space="0" w:color="auto"/>
            <w:bottom w:val="none" w:sz="0" w:space="0" w:color="auto"/>
            <w:right w:val="none" w:sz="0" w:space="0" w:color="auto"/>
          </w:divBdr>
        </w:div>
      </w:divsChild>
    </w:div>
    <w:div w:id="1541283808">
      <w:bodyDiv w:val="1"/>
      <w:marLeft w:val="0"/>
      <w:marRight w:val="0"/>
      <w:marTop w:val="0"/>
      <w:marBottom w:val="0"/>
      <w:divBdr>
        <w:top w:val="none" w:sz="0" w:space="0" w:color="auto"/>
        <w:left w:val="none" w:sz="0" w:space="0" w:color="auto"/>
        <w:bottom w:val="none" w:sz="0" w:space="0" w:color="auto"/>
        <w:right w:val="none" w:sz="0" w:space="0" w:color="auto"/>
      </w:divBdr>
    </w:div>
    <w:div w:id="1568610026">
      <w:bodyDiv w:val="1"/>
      <w:marLeft w:val="0"/>
      <w:marRight w:val="0"/>
      <w:marTop w:val="0"/>
      <w:marBottom w:val="0"/>
      <w:divBdr>
        <w:top w:val="none" w:sz="0" w:space="0" w:color="auto"/>
        <w:left w:val="none" w:sz="0" w:space="0" w:color="auto"/>
        <w:bottom w:val="none" w:sz="0" w:space="0" w:color="auto"/>
        <w:right w:val="none" w:sz="0" w:space="0" w:color="auto"/>
      </w:divBdr>
    </w:div>
    <w:div w:id="1606376211">
      <w:bodyDiv w:val="1"/>
      <w:marLeft w:val="0"/>
      <w:marRight w:val="0"/>
      <w:marTop w:val="0"/>
      <w:marBottom w:val="0"/>
      <w:divBdr>
        <w:top w:val="none" w:sz="0" w:space="0" w:color="auto"/>
        <w:left w:val="none" w:sz="0" w:space="0" w:color="auto"/>
        <w:bottom w:val="none" w:sz="0" w:space="0" w:color="auto"/>
        <w:right w:val="none" w:sz="0" w:space="0" w:color="auto"/>
      </w:divBdr>
      <w:divsChild>
        <w:div w:id="729840230">
          <w:marLeft w:val="0"/>
          <w:marRight w:val="0"/>
          <w:marTop w:val="0"/>
          <w:marBottom w:val="160"/>
          <w:divBdr>
            <w:top w:val="none" w:sz="0" w:space="0" w:color="auto"/>
            <w:left w:val="none" w:sz="0" w:space="0" w:color="auto"/>
            <w:bottom w:val="none" w:sz="0" w:space="0" w:color="auto"/>
            <w:right w:val="none" w:sz="0" w:space="0" w:color="auto"/>
          </w:divBdr>
        </w:div>
        <w:div w:id="1459761652">
          <w:marLeft w:val="0"/>
          <w:marRight w:val="0"/>
          <w:marTop w:val="0"/>
          <w:marBottom w:val="160"/>
          <w:divBdr>
            <w:top w:val="none" w:sz="0" w:space="0" w:color="auto"/>
            <w:left w:val="none" w:sz="0" w:space="0" w:color="auto"/>
            <w:bottom w:val="none" w:sz="0" w:space="0" w:color="auto"/>
            <w:right w:val="none" w:sz="0" w:space="0" w:color="auto"/>
          </w:divBdr>
        </w:div>
        <w:div w:id="2021463511">
          <w:marLeft w:val="0"/>
          <w:marRight w:val="0"/>
          <w:marTop w:val="0"/>
          <w:marBottom w:val="160"/>
          <w:divBdr>
            <w:top w:val="none" w:sz="0" w:space="0" w:color="auto"/>
            <w:left w:val="none" w:sz="0" w:space="0" w:color="auto"/>
            <w:bottom w:val="none" w:sz="0" w:space="0" w:color="auto"/>
            <w:right w:val="none" w:sz="0" w:space="0" w:color="auto"/>
          </w:divBdr>
        </w:div>
      </w:divsChild>
    </w:div>
    <w:div w:id="1607687474">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 w:id="1641811474">
      <w:bodyDiv w:val="1"/>
      <w:marLeft w:val="0"/>
      <w:marRight w:val="0"/>
      <w:marTop w:val="0"/>
      <w:marBottom w:val="0"/>
      <w:divBdr>
        <w:top w:val="none" w:sz="0" w:space="0" w:color="auto"/>
        <w:left w:val="none" w:sz="0" w:space="0" w:color="auto"/>
        <w:bottom w:val="none" w:sz="0" w:space="0" w:color="auto"/>
        <w:right w:val="none" w:sz="0" w:space="0" w:color="auto"/>
      </w:divBdr>
    </w:div>
    <w:div w:id="1647588101">
      <w:bodyDiv w:val="1"/>
      <w:marLeft w:val="0"/>
      <w:marRight w:val="0"/>
      <w:marTop w:val="0"/>
      <w:marBottom w:val="0"/>
      <w:divBdr>
        <w:top w:val="none" w:sz="0" w:space="0" w:color="auto"/>
        <w:left w:val="none" w:sz="0" w:space="0" w:color="auto"/>
        <w:bottom w:val="none" w:sz="0" w:space="0" w:color="auto"/>
        <w:right w:val="none" w:sz="0" w:space="0" w:color="auto"/>
      </w:divBdr>
    </w:div>
    <w:div w:id="1669096844">
      <w:bodyDiv w:val="1"/>
      <w:marLeft w:val="0"/>
      <w:marRight w:val="0"/>
      <w:marTop w:val="0"/>
      <w:marBottom w:val="0"/>
      <w:divBdr>
        <w:top w:val="none" w:sz="0" w:space="0" w:color="auto"/>
        <w:left w:val="none" w:sz="0" w:space="0" w:color="auto"/>
        <w:bottom w:val="none" w:sz="0" w:space="0" w:color="auto"/>
        <w:right w:val="none" w:sz="0" w:space="0" w:color="auto"/>
      </w:divBdr>
      <w:divsChild>
        <w:div w:id="518936356">
          <w:marLeft w:val="0"/>
          <w:marRight w:val="0"/>
          <w:marTop w:val="0"/>
          <w:marBottom w:val="160"/>
          <w:divBdr>
            <w:top w:val="none" w:sz="0" w:space="0" w:color="auto"/>
            <w:left w:val="none" w:sz="0" w:space="0" w:color="auto"/>
            <w:bottom w:val="none" w:sz="0" w:space="0" w:color="auto"/>
            <w:right w:val="none" w:sz="0" w:space="0" w:color="auto"/>
          </w:divBdr>
        </w:div>
        <w:div w:id="528104072">
          <w:marLeft w:val="0"/>
          <w:marRight w:val="0"/>
          <w:marTop w:val="0"/>
          <w:marBottom w:val="160"/>
          <w:divBdr>
            <w:top w:val="none" w:sz="0" w:space="0" w:color="auto"/>
            <w:left w:val="none" w:sz="0" w:space="0" w:color="auto"/>
            <w:bottom w:val="none" w:sz="0" w:space="0" w:color="auto"/>
            <w:right w:val="none" w:sz="0" w:space="0" w:color="auto"/>
          </w:divBdr>
        </w:div>
        <w:div w:id="273513336">
          <w:marLeft w:val="0"/>
          <w:marRight w:val="0"/>
          <w:marTop w:val="0"/>
          <w:marBottom w:val="160"/>
          <w:divBdr>
            <w:top w:val="none" w:sz="0" w:space="0" w:color="auto"/>
            <w:left w:val="none" w:sz="0" w:space="0" w:color="auto"/>
            <w:bottom w:val="none" w:sz="0" w:space="0" w:color="auto"/>
            <w:right w:val="none" w:sz="0" w:space="0" w:color="auto"/>
          </w:divBdr>
        </w:div>
      </w:divsChild>
    </w:div>
    <w:div w:id="1695689083">
      <w:bodyDiv w:val="1"/>
      <w:marLeft w:val="0"/>
      <w:marRight w:val="0"/>
      <w:marTop w:val="0"/>
      <w:marBottom w:val="0"/>
      <w:divBdr>
        <w:top w:val="none" w:sz="0" w:space="0" w:color="auto"/>
        <w:left w:val="none" w:sz="0" w:space="0" w:color="auto"/>
        <w:bottom w:val="none" w:sz="0" w:space="0" w:color="auto"/>
        <w:right w:val="none" w:sz="0" w:space="0" w:color="auto"/>
      </w:divBdr>
    </w:div>
    <w:div w:id="1761637096">
      <w:bodyDiv w:val="1"/>
      <w:marLeft w:val="0"/>
      <w:marRight w:val="0"/>
      <w:marTop w:val="0"/>
      <w:marBottom w:val="0"/>
      <w:divBdr>
        <w:top w:val="none" w:sz="0" w:space="0" w:color="auto"/>
        <w:left w:val="none" w:sz="0" w:space="0" w:color="auto"/>
        <w:bottom w:val="none" w:sz="0" w:space="0" w:color="auto"/>
        <w:right w:val="none" w:sz="0" w:space="0" w:color="auto"/>
      </w:divBdr>
      <w:divsChild>
        <w:div w:id="423385161">
          <w:marLeft w:val="0"/>
          <w:marRight w:val="0"/>
          <w:marTop w:val="0"/>
          <w:marBottom w:val="160"/>
          <w:divBdr>
            <w:top w:val="none" w:sz="0" w:space="0" w:color="auto"/>
            <w:left w:val="none" w:sz="0" w:space="0" w:color="auto"/>
            <w:bottom w:val="none" w:sz="0" w:space="0" w:color="auto"/>
            <w:right w:val="none" w:sz="0" w:space="0" w:color="auto"/>
          </w:divBdr>
        </w:div>
        <w:div w:id="2126801678">
          <w:marLeft w:val="0"/>
          <w:marRight w:val="0"/>
          <w:marTop w:val="0"/>
          <w:marBottom w:val="160"/>
          <w:divBdr>
            <w:top w:val="none" w:sz="0" w:space="0" w:color="auto"/>
            <w:left w:val="none" w:sz="0" w:space="0" w:color="auto"/>
            <w:bottom w:val="none" w:sz="0" w:space="0" w:color="auto"/>
            <w:right w:val="none" w:sz="0" w:space="0" w:color="auto"/>
          </w:divBdr>
        </w:div>
        <w:div w:id="827133892">
          <w:marLeft w:val="0"/>
          <w:marRight w:val="0"/>
          <w:marTop w:val="0"/>
          <w:marBottom w:val="160"/>
          <w:divBdr>
            <w:top w:val="none" w:sz="0" w:space="0" w:color="auto"/>
            <w:left w:val="none" w:sz="0" w:space="0" w:color="auto"/>
            <w:bottom w:val="none" w:sz="0" w:space="0" w:color="auto"/>
            <w:right w:val="none" w:sz="0" w:space="0" w:color="auto"/>
          </w:divBdr>
        </w:div>
      </w:divsChild>
    </w:div>
    <w:div w:id="1799494866">
      <w:bodyDiv w:val="1"/>
      <w:marLeft w:val="0"/>
      <w:marRight w:val="0"/>
      <w:marTop w:val="0"/>
      <w:marBottom w:val="0"/>
      <w:divBdr>
        <w:top w:val="none" w:sz="0" w:space="0" w:color="auto"/>
        <w:left w:val="none" w:sz="0" w:space="0" w:color="auto"/>
        <w:bottom w:val="none" w:sz="0" w:space="0" w:color="auto"/>
        <w:right w:val="none" w:sz="0" w:space="0" w:color="auto"/>
      </w:divBdr>
    </w:div>
    <w:div w:id="1806653743">
      <w:bodyDiv w:val="1"/>
      <w:marLeft w:val="0"/>
      <w:marRight w:val="0"/>
      <w:marTop w:val="0"/>
      <w:marBottom w:val="0"/>
      <w:divBdr>
        <w:top w:val="none" w:sz="0" w:space="0" w:color="auto"/>
        <w:left w:val="none" w:sz="0" w:space="0" w:color="auto"/>
        <w:bottom w:val="none" w:sz="0" w:space="0" w:color="auto"/>
        <w:right w:val="none" w:sz="0" w:space="0" w:color="auto"/>
      </w:divBdr>
    </w:div>
    <w:div w:id="1831869620">
      <w:bodyDiv w:val="1"/>
      <w:marLeft w:val="0"/>
      <w:marRight w:val="0"/>
      <w:marTop w:val="0"/>
      <w:marBottom w:val="0"/>
      <w:divBdr>
        <w:top w:val="none" w:sz="0" w:space="0" w:color="auto"/>
        <w:left w:val="none" w:sz="0" w:space="0" w:color="auto"/>
        <w:bottom w:val="none" w:sz="0" w:space="0" w:color="auto"/>
        <w:right w:val="none" w:sz="0" w:space="0" w:color="auto"/>
      </w:divBdr>
    </w:div>
    <w:div w:id="1951625272">
      <w:bodyDiv w:val="1"/>
      <w:marLeft w:val="0"/>
      <w:marRight w:val="0"/>
      <w:marTop w:val="0"/>
      <w:marBottom w:val="0"/>
      <w:divBdr>
        <w:top w:val="none" w:sz="0" w:space="0" w:color="auto"/>
        <w:left w:val="none" w:sz="0" w:space="0" w:color="auto"/>
        <w:bottom w:val="none" w:sz="0" w:space="0" w:color="auto"/>
        <w:right w:val="none" w:sz="0" w:space="0" w:color="auto"/>
      </w:divBdr>
    </w:div>
    <w:div w:id="2021278799">
      <w:bodyDiv w:val="1"/>
      <w:marLeft w:val="0"/>
      <w:marRight w:val="0"/>
      <w:marTop w:val="0"/>
      <w:marBottom w:val="0"/>
      <w:divBdr>
        <w:top w:val="none" w:sz="0" w:space="0" w:color="auto"/>
        <w:left w:val="none" w:sz="0" w:space="0" w:color="auto"/>
        <w:bottom w:val="none" w:sz="0" w:space="0" w:color="auto"/>
        <w:right w:val="none" w:sz="0" w:space="0" w:color="auto"/>
      </w:divBdr>
    </w:div>
    <w:div w:id="2115590451">
      <w:bodyDiv w:val="1"/>
      <w:marLeft w:val="0"/>
      <w:marRight w:val="0"/>
      <w:marTop w:val="0"/>
      <w:marBottom w:val="0"/>
      <w:divBdr>
        <w:top w:val="none" w:sz="0" w:space="0" w:color="auto"/>
        <w:left w:val="none" w:sz="0" w:space="0" w:color="auto"/>
        <w:bottom w:val="none" w:sz="0" w:space="0" w:color="auto"/>
        <w:right w:val="none" w:sz="0" w:space="0" w:color="auto"/>
      </w:divBdr>
      <w:divsChild>
        <w:div w:id="428045146">
          <w:marLeft w:val="0"/>
          <w:marRight w:val="0"/>
          <w:marTop w:val="0"/>
          <w:marBottom w:val="0"/>
          <w:divBdr>
            <w:top w:val="none" w:sz="0" w:space="0" w:color="auto"/>
            <w:left w:val="none" w:sz="0" w:space="0" w:color="auto"/>
            <w:bottom w:val="none" w:sz="0" w:space="0" w:color="auto"/>
            <w:right w:val="none" w:sz="0" w:space="0" w:color="auto"/>
          </w:divBdr>
          <w:divsChild>
            <w:div w:id="1917788406">
              <w:marLeft w:val="0"/>
              <w:marRight w:val="0"/>
              <w:marTop w:val="0"/>
              <w:marBottom w:val="0"/>
              <w:divBdr>
                <w:top w:val="none" w:sz="0" w:space="0" w:color="auto"/>
                <w:left w:val="none" w:sz="0" w:space="0" w:color="auto"/>
                <w:bottom w:val="none" w:sz="0" w:space="0" w:color="auto"/>
                <w:right w:val="none" w:sz="0" w:space="0" w:color="auto"/>
              </w:divBdr>
              <w:divsChild>
                <w:div w:id="109321855">
                  <w:marLeft w:val="0"/>
                  <w:marRight w:val="0"/>
                  <w:marTop w:val="0"/>
                  <w:marBottom w:val="0"/>
                  <w:divBdr>
                    <w:top w:val="none" w:sz="0" w:space="0" w:color="auto"/>
                    <w:left w:val="none" w:sz="0" w:space="0" w:color="auto"/>
                    <w:bottom w:val="none" w:sz="0" w:space="0" w:color="auto"/>
                    <w:right w:val="none" w:sz="0" w:space="0" w:color="auto"/>
                  </w:divBdr>
                  <w:divsChild>
                    <w:div w:id="824205549">
                      <w:marLeft w:val="0"/>
                      <w:marRight w:val="0"/>
                      <w:marTop w:val="0"/>
                      <w:marBottom w:val="0"/>
                      <w:divBdr>
                        <w:top w:val="none" w:sz="0" w:space="0" w:color="auto"/>
                        <w:left w:val="none" w:sz="0" w:space="0" w:color="auto"/>
                        <w:bottom w:val="none" w:sz="0" w:space="0" w:color="auto"/>
                        <w:right w:val="none" w:sz="0" w:space="0" w:color="auto"/>
                      </w:divBdr>
                      <w:divsChild>
                        <w:div w:id="1492217882">
                          <w:marLeft w:val="0"/>
                          <w:marRight w:val="0"/>
                          <w:marTop w:val="0"/>
                          <w:marBottom w:val="0"/>
                          <w:divBdr>
                            <w:top w:val="none" w:sz="0" w:space="0" w:color="auto"/>
                            <w:left w:val="none" w:sz="0" w:space="0" w:color="auto"/>
                            <w:bottom w:val="none" w:sz="0" w:space="0" w:color="auto"/>
                            <w:right w:val="none" w:sz="0" w:space="0" w:color="auto"/>
                          </w:divBdr>
                          <w:divsChild>
                            <w:div w:id="1675567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https://relatoria.colombiacompra.gov.co/busqueda/conceptos" TargetMode="External" Id="rId13" /><Relationship Type="http://schemas.openxmlformats.org/officeDocument/2006/relationships/header" Target="header1.xml" Id="rId18" /><Relationship Type="http://schemas.openxmlformats.org/officeDocument/2006/relationships/customXml" Target="../customXml/item3.xml" Id="rId3" /><Relationship Type="http://schemas.openxmlformats.org/officeDocument/2006/relationships/theme" Target="theme/theme1.xml" Id="rId21" /><Relationship Type="http://schemas.openxmlformats.org/officeDocument/2006/relationships/settings" Target="settings.xml" Id="rId7" /><Relationship Type="http://schemas.openxmlformats.org/officeDocument/2006/relationships/hyperlink" Target="mailto:rueda266@unab.edu.co" TargetMode="External" Id="rId12" /><Relationship Type="http://schemas.openxmlformats.org/officeDocument/2006/relationships/image" Target="media/image2.png" Id="rId17" /><Relationship Type="http://schemas.openxmlformats.org/officeDocument/2006/relationships/customXml" Target="../customXml/item2.xml" Id="rId2" /><Relationship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eb0fd05604104aa4d3bc08dd4c4ad35e%7C7b09041e245149d08cb179d5e3d8c1be%7C0%7C0%7C638750606445955315%7CUnknown%7CTWFpbGZsb3d8eyJFbXB0eU1hcGkiOnRydWUsIlYiOiIwLjAuMDAwMCIsIlAiOiJXaW4zMiIsIkFOIjoiTWFpbCIsIldUIjoyfQ%3D%3D%7C0%7C%7C%7C&amp;sdata=rg5gIZMXUibmlW0fQooF%2BImy%2B2nR%2B%2FKlCtwBQuhqOtM%3D&amp;reserved=0" TargetMode="External" Id="rId16" /><Relationship Type="http://schemas.openxmlformats.org/officeDocument/2006/relationships/fontTable" Target="fontTable.xm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emf" Id="rId11" /><Relationship Type="http://schemas.openxmlformats.org/officeDocument/2006/relationships/numbering" Target="numbering.xml" Id="rId5" /><Relationship Type="http://schemas.openxmlformats.org/officeDocument/2006/relationships/hyperlink" Target="https://nam02.safelinks.protection.outlook.com/?url=https%3A%2F%2Fwww.colombiacompra.gov.co%2Fciudadanos%2Fcalendario&amp;data=05%7C02%7Ctatiana.baquero%40colombiacompra.gov.co%7Ceb0fd05604104aa4d3bc08dd4c4ad35e%7C7b09041e245149d08cb179d5e3d8c1be%7C0%7C0%7C638750606445942981%7CUnknown%7CTWFpbGZsb3d8eyJFbXB0eU1hcGkiOnRydWUsIlYiOiIwLjAuMDAwMCIsIlAiOiJXaW4zMiIsIkFOIjoiTWFpbCIsIldUIjoyfQ%3D%3D%7C0%7C%7C%7C&amp;sdata=vELObfe7WBLRkZAqY%2BUNk6oCbo4SVElKFox0kR2OcRM%3D&amp;reserved=0" TargetMode="External" Id="rId15" /><Relationship Type="http://schemas.openxmlformats.org/officeDocument/2006/relationships/endnotes" Target="endnotes.xml" Id="rId10" /><Relationship Type="http://schemas.openxmlformats.org/officeDocument/2006/relationships/footer" Target="footer1.xm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https://nam02.safelinks.protection.outlook.com/?url=https%3A%2F%2Fwww.colombiacompra.gov.co%2Fmanuales-guias-y-pliegos-tipo%2Fmanuales-y-guias%2Fcartilla-para-incentivar-y-fortalecer-el-acceso-las&amp;data=05%7C02%7Ctatiana.baquero%40colombiacompra.gov.co%7Ceb0fd05604104aa4d3bc08dd4c4ad35e%7C7b09041e245149d08cb179d5e3d8c1be%7C0%7C0%7C638750606445917849%7CUnknown%7CTWFpbGZsb3d8eyJFbXB0eU1hcGkiOnRydWUsIlYiOiIwLjAuMDAwMCIsIlAiOiJXaW4zMiIsIkFOIjoiTWFpbCIsIldUIjoyfQ%3D%3D%7C0%7C%7C%7C&amp;sdata=CIYlMJvb8%2FkyVQ4wnSJNk2cjQdOhR92iwUE8nmXIOWg%3D&amp;reserved=0" TargetMode="External" Id="rId14" /></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node/22983" TargetMode="External"/><Relationship Id="rId1" Type="http://schemas.openxmlformats.org/officeDocument/2006/relationships/hyperlink" Target="https://www.colombiacompra.gov.co/manuales-guias-y-pliegos-tipo/manuales-y-guia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SharedWithUsers xmlns="a6cb9e4b-f1d1-4245-83ec-6cad768d538a">
      <UserInfo>
        <DisplayName>Alejandro Sarmiento</DisplayName>
        <AccountId>129</AccountId>
        <AccountType/>
      </UserInfo>
    </SharedWithUsers>
  </documentManagement>
</p:properties>
</file>

<file path=customXml/itemProps1.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2.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3.xml><?xml version="1.0" encoding="utf-8"?>
<ds:datastoreItem xmlns:ds="http://schemas.openxmlformats.org/officeDocument/2006/customXml" ds:itemID="{06F8AB61-4B8C-4292-AD00-5B9AA853CC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ANCP-SGC</dc:creator>
  <keywords/>
  <dc:description/>
  <lastModifiedBy>Tatiana Baquero Iguaran</lastModifiedBy>
  <revision>6</revision>
  <dcterms:created xsi:type="dcterms:W3CDTF">2025-02-26T16:14:00.0000000Z</dcterms:created>
  <dcterms:modified xsi:type="dcterms:W3CDTF">2025-02-26T16:17:52.8046081Z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