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F3652B" w14:textId="77777777" w:rsidR="00B65B1A" w:rsidRDefault="00B65B1A" w:rsidP="00B65B1A">
      <w:pPr>
        <w:jc w:val="both"/>
        <w:rPr>
          <w:rFonts w:ascii="Verdana" w:eastAsia="Calibri" w:hAnsi="Verdana" w:cs="Arial"/>
          <w:b/>
          <w:bCs/>
          <w:lang w:val="es-ES" w:eastAsia="es-ES"/>
        </w:rPr>
      </w:pPr>
      <w:bookmarkStart w:id="0" w:name="_Hlk143780582"/>
      <w:r w:rsidRPr="00757C56">
        <w:rPr>
          <w:rFonts w:ascii="Verdana" w:eastAsia="Calibri" w:hAnsi="Verdana" w:cs="Arial"/>
          <w:b/>
          <w:bCs/>
          <w:lang w:val="es-ES" w:eastAsia="es-ES"/>
        </w:rPr>
        <w:t xml:space="preserve">OPERACIÓN LOGÍSTICA ‒ Contrato atípico mixto </w:t>
      </w:r>
    </w:p>
    <w:p w14:paraId="697D017A" w14:textId="77777777" w:rsidR="00B65B1A" w:rsidRPr="00757C56" w:rsidRDefault="00B65B1A" w:rsidP="00B65B1A">
      <w:pPr>
        <w:jc w:val="both"/>
        <w:rPr>
          <w:b/>
          <w:bCs/>
        </w:rPr>
      </w:pPr>
      <w:r w:rsidRPr="00B03EF6">
        <w:rPr>
          <w:rFonts w:ascii="Verdana" w:eastAsia="Calibri" w:hAnsi="Verdana"/>
          <w:color w:val="000000" w:themeColor="text1"/>
          <w:lang w:val="es-ES_tradnl"/>
        </w:rPr>
        <w:t>Respecto a los contratos de operación logística</w:t>
      </w:r>
      <w:r>
        <w:rPr>
          <w:rFonts w:ascii="Verdana" w:eastAsia="Calibri" w:hAnsi="Verdana"/>
          <w:color w:val="000000" w:themeColor="text1"/>
          <w:lang w:val="es-ES_tradnl"/>
        </w:rPr>
        <w:t xml:space="preserve">, estos corresponden a </w:t>
      </w:r>
      <w:r w:rsidRPr="00B03EF6">
        <w:rPr>
          <w:rFonts w:ascii="Verdana" w:eastAsia="Calibri" w:hAnsi="Verdana"/>
          <w:i/>
          <w:iCs/>
          <w:color w:val="000000" w:themeColor="text1"/>
          <w:lang w:val="es-ES_tradnl"/>
        </w:rPr>
        <w:t>contratos mixtos</w:t>
      </w:r>
      <w:r>
        <w:rPr>
          <w:rFonts w:ascii="Verdana" w:eastAsia="Calibri" w:hAnsi="Verdana"/>
          <w:color w:val="000000" w:themeColor="text1"/>
          <w:lang w:val="es-ES_tradnl"/>
        </w:rPr>
        <w:t>. De hecho, sin perjuicio de las demás obligaciones que pacten las partes, es frecuente que en la práctica tengan componentes de compraventa, suministro, arrendamiento de bienes muebles o inmuebles, transporte, etc., de donde se desprende la existencia de prestaciones de una o más tipologías contractuales</w:t>
      </w:r>
    </w:p>
    <w:p w14:paraId="7112EDDD" w14:textId="77777777" w:rsidR="00B65B1A" w:rsidRDefault="00B65B1A" w:rsidP="00E245AB">
      <w:pPr>
        <w:spacing w:after="0"/>
        <w:rPr>
          <w:rFonts w:ascii="Verdana" w:hAnsi="Verdana"/>
        </w:rPr>
      </w:pPr>
    </w:p>
    <w:p w14:paraId="27C2CDC7" w14:textId="77777777" w:rsidR="00B65B1A" w:rsidRDefault="00B65B1A" w:rsidP="00E245AB">
      <w:pPr>
        <w:spacing w:after="0"/>
        <w:rPr>
          <w:rFonts w:ascii="Verdana" w:hAnsi="Verdana"/>
        </w:rPr>
      </w:pPr>
    </w:p>
    <w:p w14:paraId="466174D5" w14:textId="77777777" w:rsidR="00B65B1A" w:rsidRDefault="00B65B1A" w:rsidP="00E245AB">
      <w:pPr>
        <w:spacing w:after="0"/>
        <w:rPr>
          <w:rFonts w:ascii="Verdana" w:hAnsi="Verdana"/>
        </w:rPr>
      </w:pPr>
    </w:p>
    <w:p w14:paraId="60CA5A7F" w14:textId="77777777" w:rsidR="00B65B1A" w:rsidRDefault="00B65B1A" w:rsidP="00E245AB">
      <w:pPr>
        <w:spacing w:after="0"/>
        <w:rPr>
          <w:rFonts w:ascii="Verdana" w:hAnsi="Verdana"/>
        </w:rPr>
      </w:pPr>
    </w:p>
    <w:p w14:paraId="3DB5CA81" w14:textId="77777777" w:rsidR="00B65B1A" w:rsidRDefault="00B65B1A" w:rsidP="00E245AB">
      <w:pPr>
        <w:spacing w:after="0"/>
        <w:rPr>
          <w:rFonts w:ascii="Verdana" w:hAnsi="Verdana"/>
        </w:rPr>
      </w:pPr>
    </w:p>
    <w:p w14:paraId="1E11097A" w14:textId="77777777" w:rsidR="00B65B1A" w:rsidRDefault="00B65B1A" w:rsidP="00E245AB">
      <w:pPr>
        <w:spacing w:after="0"/>
        <w:rPr>
          <w:rFonts w:ascii="Verdana" w:hAnsi="Verdana"/>
        </w:rPr>
      </w:pPr>
    </w:p>
    <w:p w14:paraId="76E161B1" w14:textId="77777777" w:rsidR="00B65B1A" w:rsidRDefault="00B65B1A" w:rsidP="00E245AB">
      <w:pPr>
        <w:spacing w:after="0"/>
        <w:rPr>
          <w:rFonts w:ascii="Verdana" w:hAnsi="Verdana"/>
        </w:rPr>
      </w:pPr>
    </w:p>
    <w:p w14:paraId="7070A381" w14:textId="77777777" w:rsidR="00B65B1A" w:rsidRDefault="00B65B1A" w:rsidP="00E245AB">
      <w:pPr>
        <w:spacing w:after="0"/>
        <w:rPr>
          <w:rFonts w:ascii="Verdana" w:hAnsi="Verdana"/>
        </w:rPr>
      </w:pPr>
    </w:p>
    <w:p w14:paraId="4B848FED" w14:textId="77777777" w:rsidR="00B65B1A" w:rsidRDefault="00B65B1A" w:rsidP="00E245AB">
      <w:pPr>
        <w:spacing w:after="0"/>
        <w:rPr>
          <w:rFonts w:ascii="Verdana" w:hAnsi="Verdana"/>
        </w:rPr>
      </w:pPr>
    </w:p>
    <w:p w14:paraId="040F6F2A" w14:textId="77777777" w:rsidR="00B65B1A" w:rsidRDefault="00B65B1A" w:rsidP="00E245AB">
      <w:pPr>
        <w:spacing w:after="0"/>
        <w:rPr>
          <w:rFonts w:ascii="Verdana" w:hAnsi="Verdana"/>
        </w:rPr>
      </w:pPr>
    </w:p>
    <w:p w14:paraId="286FCF7F" w14:textId="77777777" w:rsidR="00B65B1A" w:rsidRDefault="00B65B1A" w:rsidP="00E245AB">
      <w:pPr>
        <w:spacing w:after="0"/>
        <w:rPr>
          <w:rFonts w:ascii="Verdana" w:hAnsi="Verdana"/>
        </w:rPr>
      </w:pPr>
    </w:p>
    <w:p w14:paraId="6C56BD2C" w14:textId="77777777" w:rsidR="00B65B1A" w:rsidRDefault="00B65B1A" w:rsidP="00E245AB">
      <w:pPr>
        <w:spacing w:after="0"/>
        <w:rPr>
          <w:rFonts w:ascii="Verdana" w:hAnsi="Verdana"/>
        </w:rPr>
      </w:pPr>
    </w:p>
    <w:p w14:paraId="75828A53" w14:textId="77777777" w:rsidR="00B65B1A" w:rsidRDefault="00B65B1A" w:rsidP="00E245AB">
      <w:pPr>
        <w:spacing w:after="0"/>
        <w:rPr>
          <w:rFonts w:ascii="Verdana" w:hAnsi="Verdana"/>
        </w:rPr>
      </w:pPr>
    </w:p>
    <w:p w14:paraId="505341AB" w14:textId="77777777" w:rsidR="00B65B1A" w:rsidRDefault="00B65B1A" w:rsidP="00E245AB">
      <w:pPr>
        <w:spacing w:after="0"/>
        <w:rPr>
          <w:rFonts w:ascii="Verdana" w:hAnsi="Verdana"/>
        </w:rPr>
      </w:pPr>
    </w:p>
    <w:p w14:paraId="36E9BC9E" w14:textId="77777777" w:rsidR="00B65B1A" w:rsidRDefault="00B65B1A" w:rsidP="00E245AB">
      <w:pPr>
        <w:spacing w:after="0"/>
        <w:rPr>
          <w:rFonts w:ascii="Verdana" w:hAnsi="Verdana"/>
        </w:rPr>
      </w:pPr>
    </w:p>
    <w:p w14:paraId="50F2A828" w14:textId="77777777" w:rsidR="00B65B1A" w:rsidRDefault="00B65B1A" w:rsidP="00E245AB">
      <w:pPr>
        <w:spacing w:after="0"/>
        <w:rPr>
          <w:rFonts w:ascii="Verdana" w:hAnsi="Verdana"/>
        </w:rPr>
      </w:pPr>
    </w:p>
    <w:p w14:paraId="496C0FDD" w14:textId="77777777" w:rsidR="00B65B1A" w:rsidRDefault="00B65B1A" w:rsidP="00E245AB">
      <w:pPr>
        <w:spacing w:after="0"/>
        <w:rPr>
          <w:rFonts w:ascii="Verdana" w:hAnsi="Verdana"/>
        </w:rPr>
      </w:pPr>
    </w:p>
    <w:p w14:paraId="6DB5C2D1" w14:textId="77777777" w:rsidR="00B65B1A" w:rsidRDefault="00B65B1A" w:rsidP="00E245AB">
      <w:pPr>
        <w:spacing w:after="0"/>
        <w:rPr>
          <w:rFonts w:ascii="Verdana" w:hAnsi="Verdana"/>
        </w:rPr>
      </w:pPr>
    </w:p>
    <w:p w14:paraId="1F470B53" w14:textId="77777777" w:rsidR="00B65B1A" w:rsidRDefault="00B65B1A" w:rsidP="00E245AB">
      <w:pPr>
        <w:spacing w:after="0"/>
        <w:rPr>
          <w:rFonts w:ascii="Verdana" w:hAnsi="Verdana"/>
        </w:rPr>
      </w:pPr>
    </w:p>
    <w:p w14:paraId="64E0D1D9" w14:textId="77777777" w:rsidR="00B65B1A" w:rsidRDefault="00B65B1A" w:rsidP="00E245AB">
      <w:pPr>
        <w:spacing w:after="0"/>
        <w:rPr>
          <w:rFonts w:ascii="Verdana" w:hAnsi="Verdana"/>
        </w:rPr>
      </w:pPr>
    </w:p>
    <w:p w14:paraId="5882E7D2" w14:textId="77777777" w:rsidR="00B65B1A" w:rsidRDefault="00B65B1A" w:rsidP="00E245AB">
      <w:pPr>
        <w:spacing w:after="0"/>
        <w:rPr>
          <w:rFonts w:ascii="Verdana" w:hAnsi="Verdana"/>
        </w:rPr>
      </w:pPr>
    </w:p>
    <w:p w14:paraId="0E86C02D" w14:textId="77777777" w:rsidR="00B65B1A" w:rsidRDefault="00B65B1A" w:rsidP="00E245AB">
      <w:pPr>
        <w:spacing w:after="0"/>
        <w:rPr>
          <w:rFonts w:ascii="Verdana" w:hAnsi="Verdana"/>
        </w:rPr>
      </w:pPr>
    </w:p>
    <w:p w14:paraId="77C2FAFE" w14:textId="77777777" w:rsidR="00B65B1A" w:rsidRDefault="00B65B1A" w:rsidP="00E245AB">
      <w:pPr>
        <w:spacing w:after="0"/>
        <w:rPr>
          <w:rFonts w:ascii="Verdana" w:hAnsi="Verdana"/>
        </w:rPr>
      </w:pPr>
    </w:p>
    <w:p w14:paraId="1204B073" w14:textId="77777777" w:rsidR="00B65B1A" w:rsidRDefault="00B65B1A" w:rsidP="00E245AB">
      <w:pPr>
        <w:spacing w:after="0"/>
        <w:rPr>
          <w:rFonts w:ascii="Verdana" w:hAnsi="Verdana"/>
        </w:rPr>
      </w:pPr>
    </w:p>
    <w:p w14:paraId="52FD278D" w14:textId="77777777" w:rsidR="00B65B1A" w:rsidRDefault="00B65B1A" w:rsidP="00E245AB">
      <w:pPr>
        <w:spacing w:after="0"/>
        <w:rPr>
          <w:rFonts w:ascii="Verdana" w:hAnsi="Verdana"/>
        </w:rPr>
      </w:pPr>
    </w:p>
    <w:p w14:paraId="29A260B3" w14:textId="77777777" w:rsidR="00B65B1A" w:rsidRDefault="00B65B1A" w:rsidP="00E245AB">
      <w:pPr>
        <w:spacing w:after="0"/>
        <w:rPr>
          <w:rFonts w:ascii="Verdana" w:hAnsi="Verdana"/>
        </w:rPr>
      </w:pPr>
    </w:p>
    <w:p w14:paraId="0D91116B" w14:textId="77777777" w:rsidR="00B65B1A" w:rsidRDefault="00B65B1A" w:rsidP="00E245AB">
      <w:pPr>
        <w:spacing w:after="0"/>
        <w:rPr>
          <w:rFonts w:ascii="Verdana" w:hAnsi="Verdana"/>
        </w:rPr>
      </w:pPr>
    </w:p>
    <w:p w14:paraId="29419D5B" w14:textId="77777777" w:rsidR="00B65B1A" w:rsidRDefault="00B65B1A" w:rsidP="00E245AB">
      <w:pPr>
        <w:spacing w:after="0"/>
        <w:rPr>
          <w:rFonts w:ascii="Verdana" w:hAnsi="Verdana"/>
        </w:rPr>
      </w:pPr>
    </w:p>
    <w:p w14:paraId="5A953ADF" w14:textId="77777777" w:rsidR="00B65B1A" w:rsidRDefault="00B65B1A" w:rsidP="00E245AB">
      <w:pPr>
        <w:spacing w:after="0"/>
        <w:rPr>
          <w:rFonts w:ascii="Verdana" w:hAnsi="Verdana"/>
        </w:rPr>
      </w:pPr>
    </w:p>
    <w:p w14:paraId="62D6DA05" w14:textId="77777777" w:rsidR="00B65B1A" w:rsidRDefault="00B65B1A" w:rsidP="00E245AB">
      <w:pPr>
        <w:spacing w:after="0"/>
        <w:rPr>
          <w:rFonts w:ascii="Verdana" w:hAnsi="Verdana"/>
        </w:rPr>
      </w:pPr>
    </w:p>
    <w:p w14:paraId="57860EA1" w14:textId="77777777" w:rsidR="00B65B1A" w:rsidRDefault="00B65B1A" w:rsidP="00E245AB">
      <w:pPr>
        <w:spacing w:after="0"/>
        <w:rPr>
          <w:rFonts w:ascii="Verdana" w:hAnsi="Verdana"/>
        </w:rPr>
      </w:pPr>
    </w:p>
    <w:p w14:paraId="16947FB1" w14:textId="77777777" w:rsidR="00B65B1A" w:rsidRDefault="00B65B1A" w:rsidP="00E245AB">
      <w:pPr>
        <w:spacing w:after="0"/>
        <w:rPr>
          <w:rFonts w:ascii="Verdana" w:hAnsi="Verdana"/>
        </w:rPr>
      </w:pPr>
    </w:p>
    <w:p w14:paraId="3FE2184B" w14:textId="4CEC0BFB" w:rsidR="00E245AB" w:rsidRPr="0044528D" w:rsidRDefault="00E245AB" w:rsidP="00E245AB">
      <w:pPr>
        <w:spacing w:after="0"/>
        <w:rPr>
          <w:rFonts w:ascii="Verdana" w:hAnsi="Verdana"/>
        </w:rPr>
      </w:pPr>
      <w:r w:rsidRPr="0044528D">
        <w:rPr>
          <w:rFonts w:ascii="Verdana" w:hAnsi="Verdana"/>
        </w:rPr>
        <w:t xml:space="preserve">Bogotá D.C., </w:t>
      </w:r>
      <w:r w:rsidR="00891928" w:rsidRPr="0044528D">
        <w:rPr>
          <w:rFonts w:ascii="Verdana" w:hAnsi="Verdana"/>
        </w:rPr>
        <w:t xml:space="preserve">[Día] </w:t>
      </w:r>
      <w:r w:rsidR="001511A0" w:rsidRPr="001511A0">
        <w:rPr>
          <w:rFonts w:ascii="Verdana" w:hAnsi="Verdana"/>
        </w:rPr>
        <w:t>[</w:t>
      </w:r>
      <w:proofErr w:type="spellStart"/>
      <w:r w:rsidR="001511A0" w:rsidRPr="001511A0">
        <w:rPr>
          <w:rFonts w:ascii="Verdana" w:hAnsi="Verdana"/>
        </w:rPr>
        <w:t>Mes.NombreCapitalizado</w:t>
      </w:r>
      <w:proofErr w:type="spellEnd"/>
      <w:r w:rsidR="001511A0" w:rsidRPr="001511A0">
        <w:rPr>
          <w:rFonts w:ascii="Verdana" w:hAnsi="Verdana"/>
        </w:rPr>
        <w:t xml:space="preserve">] </w:t>
      </w:r>
      <w:r w:rsidR="00891928" w:rsidRPr="0044528D">
        <w:rPr>
          <w:rFonts w:ascii="Verdana" w:hAnsi="Verdana"/>
        </w:rPr>
        <w:t>[Año]</w:t>
      </w:r>
      <w:r w:rsidR="00891928" w:rsidRPr="0044528D">
        <w:rPr>
          <w:rFonts w:ascii="Verdana" w:hAnsi="Verdana"/>
        </w:rPr>
        <w:tab/>
      </w:r>
    </w:p>
    <w:p w14:paraId="0465BA6D" w14:textId="77777777" w:rsidR="00E245AB" w:rsidRDefault="00E245AB" w:rsidP="00E245AB">
      <w:pPr>
        <w:spacing w:after="0"/>
        <w:rPr>
          <w:rFonts w:ascii="Verdana" w:hAnsi="Verdana"/>
        </w:rPr>
      </w:pPr>
    </w:p>
    <w:p w14:paraId="0A8A3BE6" w14:textId="28679706" w:rsidR="005154F3" w:rsidRDefault="005154F3" w:rsidP="005154F3">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539F800B" w14:textId="221687CD" w:rsidR="00E945A9" w:rsidRPr="00B96799" w:rsidRDefault="00E945A9" w:rsidP="005154F3">
      <w:pPr>
        <w:spacing w:after="0" w:line="240" w:lineRule="auto"/>
        <w:jc w:val="both"/>
        <w:rPr>
          <w:rFonts w:ascii="Verdana" w:eastAsia="Calibri" w:hAnsi="Verdana" w:cs="Arial"/>
          <w:lang w:val="es-ES" w:eastAsia="es-ES"/>
        </w:rPr>
      </w:pPr>
      <w:r>
        <w:rPr>
          <w:rFonts w:ascii="Verdana" w:eastAsia="Calibri" w:hAnsi="Verdana" w:cs="Arial"/>
          <w:lang w:val="es-ES" w:eastAsia="es-ES"/>
        </w:rPr>
        <w:t xml:space="preserve">Iván </w:t>
      </w:r>
      <w:proofErr w:type="spellStart"/>
      <w:r>
        <w:rPr>
          <w:rFonts w:ascii="Verdana" w:eastAsia="Calibri" w:hAnsi="Verdana" w:cs="Arial"/>
          <w:lang w:val="es-ES" w:eastAsia="es-ES"/>
        </w:rPr>
        <w:t>Dario</w:t>
      </w:r>
      <w:proofErr w:type="spellEnd"/>
      <w:r>
        <w:rPr>
          <w:rFonts w:ascii="Verdana" w:eastAsia="Calibri" w:hAnsi="Verdana" w:cs="Arial"/>
          <w:lang w:val="es-ES" w:eastAsia="es-ES"/>
        </w:rPr>
        <w:t xml:space="preserve"> Zuluaga Pimienta</w:t>
      </w:r>
    </w:p>
    <w:p w14:paraId="064E50C4" w14:textId="77777777" w:rsidR="002C4C5E" w:rsidRDefault="002C4C5E" w:rsidP="005154F3">
      <w:pPr>
        <w:spacing w:after="0" w:line="240" w:lineRule="auto"/>
        <w:jc w:val="both"/>
        <w:rPr>
          <w:rFonts w:ascii="Verdana" w:eastAsia="Calibri" w:hAnsi="Verdana" w:cs="Arial"/>
          <w:b/>
          <w:lang w:val="es-ES" w:eastAsia="es-ES"/>
        </w:rPr>
      </w:pPr>
      <w:r>
        <w:rPr>
          <w:rFonts w:ascii="Verdana" w:eastAsia="Calibri" w:hAnsi="Verdana" w:cs="Arial"/>
          <w:b/>
          <w:lang w:val="es-ES" w:eastAsia="es-ES"/>
        </w:rPr>
        <w:t>Instituto de Deportes y Recreación de Medellín</w:t>
      </w:r>
    </w:p>
    <w:p w14:paraId="2F853DE8" w14:textId="671E6B47" w:rsidR="002C4C5E" w:rsidRDefault="002C4C5E" w:rsidP="005154F3">
      <w:pPr>
        <w:spacing w:after="0" w:line="240" w:lineRule="auto"/>
        <w:jc w:val="both"/>
        <w:rPr>
          <w:rFonts w:ascii="Verdana" w:eastAsia="Times New Roman" w:hAnsi="Verdana" w:cs="Calibri"/>
          <w:color w:val="0563C1"/>
          <w:u w:val="single"/>
          <w:lang w:eastAsia="es-CO"/>
        </w:rPr>
      </w:pPr>
      <w:r w:rsidRPr="002C4C5E">
        <w:rPr>
          <w:rFonts w:ascii="Verdana" w:eastAsia="Times New Roman" w:hAnsi="Verdana" w:cs="Calibri"/>
          <w:color w:val="0563C1"/>
          <w:u w:val="single"/>
          <w:lang w:eastAsia="es-CO"/>
        </w:rPr>
        <w:br/>
      </w:r>
      <w:hyperlink r:id="rId10" w:history="1">
        <w:r w:rsidRPr="00A937D5">
          <w:rPr>
            <w:rStyle w:val="Hipervnculo"/>
            <w:rFonts w:ascii="Verdana" w:eastAsia="Times New Roman" w:hAnsi="Verdana" w:cs="Calibri"/>
            <w:lang w:eastAsia="es-CO"/>
          </w:rPr>
          <w:t>notificaciones.judiciales@inder.gov.co</w:t>
        </w:r>
      </w:hyperlink>
    </w:p>
    <w:p w14:paraId="26DABFE2" w14:textId="057D35CA" w:rsidR="005154F3" w:rsidRDefault="005154F3" w:rsidP="005154F3">
      <w:pPr>
        <w:spacing w:after="0" w:line="240" w:lineRule="auto"/>
        <w:jc w:val="both"/>
        <w:rPr>
          <w:rFonts w:ascii="Verdana" w:eastAsia="Calibri" w:hAnsi="Verdana" w:cs="Arial"/>
          <w:lang w:val="es-ES" w:eastAsia="es-ES"/>
        </w:rPr>
      </w:pPr>
      <w:r>
        <w:rPr>
          <w:rFonts w:ascii="Verdana" w:eastAsia="Calibri" w:hAnsi="Verdana" w:cs="Arial"/>
          <w:lang w:val="es-ES" w:eastAsia="es-ES"/>
        </w:rPr>
        <w:t xml:space="preserve">Medellín, Antioquia </w:t>
      </w:r>
    </w:p>
    <w:p w14:paraId="30FFFDCB" w14:textId="77777777" w:rsidR="005154F3" w:rsidRPr="00593A5F" w:rsidRDefault="005154F3" w:rsidP="005154F3">
      <w:pPr>
        <w:spacing w:after="0" w:line="240" w:lineRule="auto"/>
        <w:rPr>
          <w:rFonts w:ascii="Verdana" w:eastAsia="Calibri" w:hAnsi="Verdana" w:cs="Arial"/>
          <w:b/>
          <w:bCs/>
          <w:color w:val="000000"/>
          <w:lang w:val="es-ES_tradnl" w:eastAsia="es-ES_tradnl"/>
        </w:rPr>
      </w:pPr>
    </w:p>
    <w:p w14:paraId="67B83387" w14:textId="77777777" w:rsidR="005154F3" w:rsidRPr="00593A5F" w:rsidRDefault="005154F3" w:rsidP="005154F3">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154F3" w:rsidRPr="00593A5F" w14:paraId="087A01EB" w14:textId="77777777" w:rsidTr="00360DC6">
        <w:trPr>
          <w:trHeight w:val="884"/>
        </w:trPr>
        <w:tc>
          <w:tcPr>
            <w:tcW w:w="2689" w:type="dxa"/>
          </w:tcPr>
          <w:p w14:paraId="209DB9A1" w14:textId="77777777" w:rsidR="005154F3" w:rsidRPr="00C00976" w:rsidRDefault="005154F3" w:rsidP="00360DC6">
            <w:pPr>
              <w:jc w:val="both"/>
              <w:rPr>
                <w:rFonts w:ascii="Verdana" w:eastAsia="Calibri" w:hAnsi="Verdana" w:cs="Arial"/>
                <w:b/>
                <w:bCs/>
                <w:color w:val="7030A0"/>
                <w:lang w:val="es-ES_tradnl" w:eastAsia="es-ES_tradnl"/>
              </w:rPr>
            </w:pPr>
          </w:p>
        </w:tc>
        <w:tc>
          <w:tcPr>
            <w:tcW w:w="6100" w:type="dxa"/>
          </w:tcPr>
          <w:p w14:paraId="5DE72B6E" w14:textId="77777777" w:rsidR="005154F3" w:rsidRPr="00C00976" w:rsidRDefault="005154F3" w:rsidP="00360DC6">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070</w:t>
            </w:r>
            <w:r w:rsidRPr="008E6AD9">
              <w:rPr>
                <w:rFonts w:ascii="Verdana" w:eastAsia="Calibri" w:hAnsi="Verdana" w:cs="Arial"/>
                <w:b/>
                <w:bCs/>
                <w:lang w:val="es-ES" w:eastAsia="es-ES"/>
              </w:rPr>
              <w:t xml:space="preserve"> de 202</w:t>
            </w:r>
            <w:r>
              <w:rPr>
                <w:rFonts w:ascii="Verdana" w:eastAsia="Calibri" w:hAnsi="Verdana" w:cs="Arial"/>
                <w:b/>
                <w:bCs/>
                <w:lang w:val="es-ES" w:eastAsia="es-ES"/>
              </w:rPr>
              <w:t>5</w:t>
            </w:r>
          </w:p>
        </w:tc>
      </w:tr>
      <w:tr w:rsidR="005154F3" w:rsidRPr="00593A5F" w14:paraId="5D76DEA2" w14:textId="77777777" w:rsidTr="00360DC6">
        <w:trPr>
          <w:trHeight w:val="884"/>
        </w:trPr>
        <w:tc>
          <w:tcPr>
            <w:tcW w:w="2689" w:type="dxa"/>
          </w:tcPr>
          <w:p w14:paraId="4BA83783" w14:textId="77777777" w:rsidR="005154F3" w:rsidRPr="00593A5F" w:rsidRDefault="005154F3" w:rsidP="00360DC6">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0F667DB3" w14:textId="77777777" w:rsidR="005154F3" w:rsidRPr="00A11406" w:rsidRDefault="005154F3" w:rsidP="00360DC6">
            <w:pPr>
              <w:spacing w:line="276" w:lineRule="auto"/>
              <w:jc w:val="both"/>
              <w:rPr>
                <w:rFonts w:ascii="Verdana" w:eastAsia="Calibri" w:hAnsi="Verdana" w:cs="Arial"/>
                <w:lang w:val="es-ES" w:eastAsia="es-ES"/>
              </w:rPr>
            </w:pPr>
            <w:r w:rsidRPr="00E27FE1">
              <w:rPr>
                <w:rFonts w:ascii="Verdana" w:eastAsia="Calibri" w:hAnsi="Verdana" w:cs="Arial"/>
                <w:lang w:val="es-ES" w:eastAsia="es-ES"/>
              </w:rPr>
              <w:t>OPERACIÓN LOGÍSTICA ‒ Contrato atípico mixto ‒ Actividades</w:t>
            </w:r>
            <w:r>
              <w:rPr>
                <w:rFonts w:ascii="Verdana" w:eastAsia="Calibri" w:hAnsi="Verdana" w:cs="Arial"/>
                <w:lang w:val="es-ES" w:eastAsia="es-ES"/>
              </w:rPr>
              <w:t xml:space="preserve"> / </w:t>
            </w:r>
            <w:r w:rsidRPr="00E27FE1">
              <w:rPr>
                <w:rFonts w:ascii="Verdana" w:eastAsia="Calibri" w:hAnsi="Verdana" w:cs="Arial"/>
                <w:lang w:val="es-ES" w:eastAsia="es-ES"/>
              </w:rPr>
              <w:t>CONTRATOS ESTATALES – Capacidad jurídica – Requisitos esenciales</w:t>
            </w:r>
            <w:r>
              <w:rPr>
                <w:rFonts w:ascii="Verdana" w:eastAsia="Calibri" w:hAnsi="Verdana" w:cs="Arial"/>
                <w:lang w:val="es-ES" w:eastAsia="es-ES"/>
              </w:rPr>
              <w:t xml:space="preserve"> / </w:t>
            </w:r>
            <w:r w:rsidRPr="00E27FE1">
              <w:rPr>
                <w:rFonts w:ascii="Verdana" w:eastAsia="Calibri" w:hAnsi="Verdana" w:cs="Arial"/>
                <w:lang w:val="es-ES" w:eastAsia="es-ES"/>
              </w:rPr>
              <w:t>INTERMEDIACIÓN ‒ Subcontratación – Alcance</w:t>
            </w:r>
            <w:r>
              <w:rPr>
                <w:rFonts w:ascii="Verdana" w:eastAsia="Calibri" w:hAnsi="Verdana" w:cs="Arial"/>
                <w:lang w:val="es-ES" w:eastAsia="es-ES"/>
              </w:rPr>
              <w:t xml:space="preserve"> / </w:t>
            </w:r>
            <w:r w:rsidRPr="00E27FE1">
              <w:rPr>
                <w:rFonts w:ascii="Verdana" w:eastAsia="Calibri" w:hAnsi="Verdana" w:cs="Arial"/>
                <w:lang w:val="es-ES" w:eastAsia="es-ES"/>
              </w:rPr>
              <w:t xml:space="preserve">CONTRATOS INTERADMINISTRATIVOS – Definición – Criterio orgánico </w:t>
            </w:r>
            <w:r w:rsidRPr="000307C2">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69F0FF16" w14:textId="77777777" w:rsidR="005154F3" w:rsidRPr="00593A5F" w:rsidRDefault="005154F3" w:rsidP="00360DC6">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5154F3" w:rsidRPr="008E6AD9" w14:paraId="39B3BAC4" w14:textId="77777777" w:rsidTr="00360DC6">
        <w:tc>
          <w:tcPr>
            <w:tcW w:w="2689" w:type="dxa"/>
          </w:tcPr>
          <w:p w14:paraId="3447DF6B" w14:textId="77777777" w:rsidR="005154F3" w:rsidRPr="008E6AD9" w:rsidRDefault="005154F3" w:rsidP="00360DC6">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4452DB4C" w14:textId="77777777" w:rsidR="005154F3" w:rsidRPr="001F2050" w:rsidRDefault="005154F3" w:rsidP="00360DC6">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Pr>
                <w:rFonts w:ascii="Verdana" w:hAnsi="Verdana"/>
                <w:color w:val="000000"/>
              </w:rPr>
              <w:t>P20250123000564</w:t>
            </w:r>
            <w:r w:rsidRPr="0085423D">
              <w:rPr>
                <w:rFonts w:ascii="Verdana" w:eastAsia="Calibri" w:hAnsi="Verdana" w:cs="Arial"/>
                <w:lang w:val="es-ES_tradnl" w:eastAsia="es-ES_tradnl"/>
              </w:rPr>
              <w:t xml:space="preserve"> </w:t>
            </w:r>
            <w:r>
              <w:rPr>
                <w:rFonts w:ascii="Verdana" w:eastAsia="Calibri" w:hAnsi="Verdana" w:cs="Arial"/>
                <w:lang w:val="es-ES_tradnl" w:eastAsia="es-ES_tradnl"/>
              </w:rPr>
              <w:t xml:space="preserve">acumulado con el </w:t>
            </w:r>
            <w:r w:rsidRPr="000070E8">
              <w:rPr>
                <w:rFonts w:ascii="Verdana" w:eastAsia="Calibri" w:hAnsi="Verdana" w:cs="Arial"/>
                <w:lang w:val="es-ES_tradnl" w:eastAsia="es-ES_tradnl"/>
              </w:rPr>
              <w:t>P20250130000841</w:t>
            </w:r>
            <w:r>
              <w:rPr>
                <w:rFonts w:ascii="Verdana" w:eastAsia="Calibri" w:hAnsi="Verdana" w:cs="Arial"/>
                <w:lang w:val="es-ES_tradnl" w:eastAsia="es-ES_tradnl"/>
              </w:rPr>
              <w:t xml:space="preserve">                                   </w:t>
            </w:r>
          </w:p>
        </w:tc>
      </w:tr>
    </w:tbl>
    <w:p w14:paraId="3F10C7F8" w14:textId="77777777" w:rsidR="005154F3" w:rsidRPr="00593A5F" w:rsidRDefault="005154F3" w:rsidP="005154F3">
      <w:pPr>
        <w:spacing w:after="0" w:line="240" w:lineRule="auto"/>
        <w:jc w:val="both"/>
        <w:rPr>
          <w:rFonts w:ascii="Verdana" w:eastAsia="Calibri" w:hAnsi="Verdana" w:cs="Arial"/>
          <w:color w:val="000000"/>
          <w:lang w:val="es-ES_tradnl" w:eastAsia="es-ES_tradnl"/>
        </w:rPr>
      </w:pPr>
    </w:p>
    <w:p w14:paraId="01D45BF9" w14:textId="708D2775" w:rsidR="005154F3" w:rsidRPr="008E6AD9" w:rsidRDefault="005154F3" w:rsidP="005154F3">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seño</w:t>
      </w:r>
      <w:r w:rsidR="002C4C5E">
        <w:rPr>
          <w:rFonts w:ascii="Verdana" w:eastAsia="Calibri" w:hAnsi="Verdana" w:cs="Arial"/>
          <w:lang w:val="es-ES" w:eastAsia="es-ES"/>
        </w:rPr>
        <w:t>r</w:t>
      </w:r>
      <w:r w:rsidR="00E945A9">
        <w:rPr>
          <w:rFonts w:ascii="Verdana" w:eastAsia="Calibri" w:hAnsi="Verdana" w:cs="Arial"/>
          <w:lang w:val="es-ES" w:eastAsia="es-ES"/>
        </w:rPr>
        <w:t xml:space="preserve"> Zuluaga</w:t>
      </w:r>
      <w:r w:rsidRPr="008E6AD9">
        <w:rPr>
          <w:rFonts w:ascii="Verdana" w:eastAsia="Calibri" w:hAnsi="Verdana" w:cs="Arial"/>
          <w:lang w:val="es-ES" w:eastAsia="es-ES"/>
        </w:rPr>
        <w:t xml:space="preserve">: </w:t>
      </w:r>
    </w:p>
    <w:p w14:paraId="4AD921FE" w14:textId="77777777" w:rsidR="005154F3" w:rsidRDefault="005154F3" w:rsidP="005154F3">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06F9F282" w14:textId="7A7D52C5" w:rsidR="005154F3" w:rsidRPr="00593A5F" w:rsidRDefault="005154F3" w:rsidP="005154F3">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23 de enero</w:t>
      </w:r>
      <w:r w:rsidRPr="008E6AD9">
        <w:rPr>
          <w:rFonts w:ascii="Verdana" w:eastAsia="Calibri" w:hAnsi="Verdana" w:cs="Arial"/>
          <w:lang w:val="es-ES" w:eastAsia="es-ES"/>
        </w:rPr>
        <w:t xml:space="preserve"> de 202</w:t>
      </w:r>
      <w:r>
        <w:rPr>
          <w:rFonts w:ascii="Verdana" w:eastAsia="Calibri" w:hAnsi="Verdana" w:cs="Arial"/>
          <w:lang w:val="es-ES" w:eastAsia="es-ES"/>
        </w:rPr>
        <w:t>5</w:t>
      </w:r>
      <w:r w:rsidRPr="008E6AD9">
        <w:rPr>
          <w:rFonts w:ascii="Verdana" w:eastAsia="Calibri" w:hAnsi="Verdana" w:cs="Arial"/>
          <w:lang w:val="es-ES" w:eastAsia="es-ES"/>
        </w:rPr>
        <w:t>,</w:t>
      </w:r>
      <w:r w:rsidR="002C4C5E">
        <w:rPr>
          <w:rFonts w:ascii="Verdana" w:eastAsia="Calibri" w:hAnsi="Verdana" w:cs="Arial"/>
          <w:lang w:val="es-ES" w:eastAsia="es-ES"/>
        </w:rPr>
        <w:t xml:space="preserve"> reiterada el 30 de enero de 2025</w:t>
      </w:r>
      <w:r>
        <w:rPr>
          <w:rFonts w:ascii="Verdana" w:eastAsia="Calibri" w:hAnsi="Verdana" w:cs="Arial"/>
          <w:lang w:val="es-ES" w:eastAsia="es-ES"/>
        </w:rPr>
        <w:t xml:space="preserve"> </w:t>
      </w:r>
      <w:r w:rsidRPr="008E6AD9">
        <w:rPr>
          <w:rFonts w:ascii="Verdana" w:eastAsia="Calibri" w:hAnsi="Verdana" w:cs="Arial"/>
          <w:lang w:val="es-ES" w:eastAsia="es-ES"/>
        </w:rPr>
        <w:t>en la cua</w:t>
      </w:r>
      <w:r>
        <w:rPr>
          <w:rFonts w:ascii="Verdana" w:eastAsia="Calibri" w:hAnsi="Verdana" w:cs="Arial"/>
          <w:lang w:val="es-ES" w:eastAsia="es-ES"/>
        </w:rPr>
        <w:t>l pregunta lo siguiente</w:t>
      </w:r>
      <w:r w:rsidRPr="008E6AD9">
        <w:rPr>
          <w:rFonts w:ascii="Verdana" w:eastAsia="Calibri" w:hAnsi="Verdana" w:cs="Arial"/>
          <w:lang w:val="es-ES" w:eastAsia="es-ES"/>
        </w:rPr>
        <w:t xml:space="preserve">: </w:t>
      </w:r>
    </w:p>
    <w:p w14:paraId="3DD9188E" w14:textId="77777777" w:rsidR="005154F3" w:rsidRPr="00272A7B" w:rsidRDefault="005154F3" w:rsidP="005154F3">
      <w:pPr>
        <w:pStyle w:val="Prrafodelista"/>
        <w:tabs>
          <w:tab w:val="left" w:pos="142"/>
          <w:tab w:val="left" w:pos="284"/>
        </w:tabs>
        <w:spacing w:after="0" w:line="276" w:lineRule="auto"/>
        <w:ind w:left="0"/>
        <w:jc w:val="both"/>
        <w:rPr>
          <w:rFonts w:ascii="Verdana" w:eastAsia="Century Gothic" w:hAnsi="Verdana" w:cs="Century Gothic"/>
          <w:b/>
          <w:bCs/>
        </w:rPr>
      </w:pPr>
    </w:p>
    <w:p w14:paraId="4C8FC352" w14:textId="77777777" w:rsidR="005154F3" w:rsidRPr="001F2050" w:rsidRDefault="005154F3" w:rsidP="005154F3">
      <w:pPr>
        <w:spacing w:after="120" w:line="240" w:lineRule="auto"/>
        <w:ind w:left="709" w:right="709"/>
        <w:jc w:val="both"/>
        <w:rPr>
          <w:rFonts w:ascii="Verdana" w:eastAsia="Century Gothic" w:hAnsi="Verdana" w:cs="Century Gothic"/>
          <w:i/>
          <w:iCs/>
          <w:sz w:val="21"/>
          <w:szCs w:val="21"/>
          <w:lang w:val="es-ES"/>
        </w:rPr>
      </w:pPr>
      <w:r w:rsidRPr="001F2050">
        <w:rPr>
          <w:rFonts w:ascii="Verdana" w:eastAsia="Century Gothic" w:hAnsi="Verdana" w:cs="Century Gothic"/>
          <w:i/>
          <w:iCs/>
          <w:sz w:val="21"/>
          <w:szCs w:val="21"/>
          <w:lang w:val="es-ES"/>
        </w:rPr>
        <w:t>“1. ¿El contrato de prestación de servicios de operación logística es un contrato típico o atípico y dónde se encuentra su regulación? ¿Cuál es su alcance?</w:t>
      </w:r>
    </w:p>
    <w:p w14:paraId="4245026C" w14:textId="77777777" w:rsidR="005154F3" w:rsidRPr="001F2050" w:rsidRDefault="005154F3" w:rsidP="005154F3">
      <w:pPr>
        <w:spacing w:after="120" w:line="240" w:lineRule="auto"/>
        <w:ind w:left="709" w:right="709"/>
        <w:jc w:val="both"/>
        <w:rPr>
          <w:rFonts w:ascii="Verdana" w:eastAsia="Century Gothic" w:hAnsi="Verdana" w:cs="Century Gothic"/>
          <w:i/>
          <w:iCs/>
          <w:sz w:val="21"/>
          <w:szCs w:val="21"/>
          <w:lang w:val="es-ES"/>
        </w:rPr>
      </w:pPr>
      <w:r w:rsidRPr="001F2050">
        <w:rPr>
          <w:rFonts w:ascii="Verdana" w:eastAsia="Century Gothic" w:hAnsi="Verdana" w:cs="Century Gothic"/>
          <w:i/>
          <w:iCs/>
          <w:sz w:val="21"/>
          <w:szCs w:val="21"/>
          <w:lang w:val="es-ES"/>
        </w:rPr>
        <w:t>2. ¿El contrato de prestación de servicios de operación logística que línea doctrinaria contempla?”.</w:t>
      </w:r>
      <w:r w:rsidRPr="001F2050">
        <w:rPr>
          <w:rFonts w:ascii="Verdana" w:eastAsia="Century Gothic" w:hAnsi="Verdana" w:cs="Century Gothic"/>
          <w:i/>
          <w:iCs/>
          <w:sz w:val="20"/>
          <w:szCs w:val="20"/>
          <w:lang w:val="es-ES"/>
        </w:rPr>
        <w:t xml:space="preserve"> </w:t>
      </w:r>
    </w:p>
    <w:p w14:paraId="6C7AB6B5" w14:textId="77777777" w:rsidR="005154F3" w:rsidRPr="008E6AD9" w:rsidRDefault="005154F3" w:rsidP="005154F3">
      <w:pPr>
        <w:pStyle w:val="Prrafodelista"/>
        <w:tabs>
          <w:tab w:val="left" w:pos="142"/>
          <w:tab w:val="left" w:pos="284"/>
        </w:tabs>
        <w:spacing w:after="0" w:line="276" w:lineRule="auto"/>
        <w:ind w:left="0"/>
        <w:jc w:val="both"/>
        <w:rPr>
          <w:rFonts w:ascii="Verdana" w:eastAsia="Century Gothic" w:hAnsi="Verdana" w:cs="Century Gothic"/>
          <w:b/>
          <w:bCs/>
        </w:rPr>
      </w:pPr>
    </w:p>
    <w:p w14:paraId="3AC036EA" w14:textId="77777777" w:rsidR="005154F3" w:rsidRPr="003B107F" w:rsidRDefault="005154F3" w:rsidP="005154F3">
      <w:pPr>
        <w:spacing w:after="120" w:line="276" w:lineRule="auto"/>
        <w:ind w:firstLine="709"/>
        <w:jc w:val="both"/>
        <w:rPr>
          <w:rFonts w:ascii="Verdana" w:eastAsia="Calibri" w:hAnsi="Verdana" w:cs="Arial"/>
          <w:lang w:val="es-ES" w:eastAsia="es-ES"/>
        </w:rPr>
      </w:pPr>
      <w:r w:rsidRPr="664FD3B4">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tab/>
      </w:r>
    </w:p>
    <w:p w14:paraId="7B077DE7" w14:textId="77777777" w:rsidR="005154F3" w:rsidRPr="003B107F" w:rsidRDefault="005154F3" w:rsidP="005154F3">
      <w:pPr>
        <w:snapToGrid w:val="0"/>
        <w:spacing w:after="0" w:line="276" w:lineRule="auto"/>
        <w:ind w:firstLine="709"/>
        <w:jc w:val="both"/>
        <w:rPr>
          <w:rFonts w:ascii="Verdana" w:eastAsia="Calibri" w:hAnsi="Verdana" w:cs="Arial"/>
          <w:lang w:val="es-ES_tradnl" w:eastAsia="es-ES"/>
        </w:rPr>
      </w:pPr>
      <w:r w:rsidRPr="003B107F">
        <w:rPr>
          <w:rFonts w:ascii="Verdana" w:eastAsia="Calibri" w:hAnsi="Verdana" w:cs="Arial"/>
          <w:lang w:val="es-ES_tradnl"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69761162" w14:textId="77777777" w:rsidR="005154F3" w:rsidRPr="001F2050" w:rsidRDefault="005154F3" w:rsidP="005154F3">
      <w:pPr>
        <w:tabs>
          <w:tab w:val="left" w:pos="142"/>
          <w:tab w:val="left" w:pos="284"/>
        </w:tabs>
        <w:spacing w:after="0" w:line="276" w:lineRule="auto"/>
        <w:jc w:val="both"/>
        <w:rPr>
          <w:rFonts w:ascii="Verdana" w:eastAsia="Calibri" w:hAnsi="Verdana" w:cs="Arial"/>
          <w:lang w:val="es-ES_tradnl" w:eastAsia="es-ES"/>
        </w:rPr>
      </w:pPr>
    </w:p>
    <w:p w14:paraId="7185D037" w14:textId="77777777" w:rsidR="005154F3" w:rsidRPr="00593A5F" w:rsidRDefault="005154F3" w:rsidP="005154F3">
      <w:pPr>
        <w:tabs>
          <w:tab w:val="left" w:pos="142"/>
          <w:tab w:val="left" w:pos="284"/>
        </w:tabs>
        <w:spacing w:after="0" w:line="276" w:lineRule="auto"/>
        <w:jc w:val="both"/>
        <w:rPr>
          <w:rFonts w:ascii="Verdana" w:eastAsia="Century Gothic" w:hAnsi="Verdana" w:cs="Century Gothic"/>
          <w:b/>
          <w:bCs/>
        </w:rPr>
      </w:pPr>
      <w:r w:rsidRPr="003F0878">
        <w:rPr>
          <w:rFonts w:ascii="Verdana" w:eastAsia="Calibri" w:hAnsi="Verdana" w:cs="Arial"/>
          <w:b/>
          <w:bCs/>
          <w:lang w:val="es-ES_tradnl" w:eastAsia="es-ES"/>
        </w:rPr>
        <w:t>1.</w:t>
      </w:r>
      <w:r>
        <w:rPr>
          <w:rFonts w:ascii="Verdana" w:eastAsia="Calibri" w:hAnsi="Verdana" w:cs="Arial"/>
          <w:lang w:val="es-ES_tradnl" w:eastAsia="es-ES"/>
        </w:rPr>
        <w:t xml:space="preserve"> </w:t>
      </w:r>
      <w:r w:rsidRPr="00593A5F">
        <w:rPr>
          <w:rFonts w:ascii="Verdana" w:eastAsia="Century Gothic" w:hAnsi="Verdana" w:cs="Century Gothic"/>
          <w:b/>
          <w:bCs/>
        </w:rPr>
        <w:t>Problema planteado:</w:t>
      </w:r>
    </w:p>
    <w:p w14:paraId="3591B23C" w14:textId="77777777" w:rsidR="005154F3" w:rsidRPr="00593A5F" w:rsidRDefault="005154F3" w:rsidP="005154F3">
      <w:pPr>
        <w:tabs>
          <w:tab w:val="left" w:pos="426"/>
        </w:tabs>
        <w:spacing w:after="0" w:line="276" w:lineRule="auto"/>
        <w:jc w:val="both"/>
        <w:rPr>
          <w:rFonts w:ascii="Verdana" w:eastAsia="Century Gothic" w:hAnsi="Verdana" w:cs="Century Gothic"/>
          <w:lang w:val="es-ES"/>
        </w:rPr>
      </w:pPr>
    </w:p>
    <w:p w14:paraId="316F8323" w14:textId="77777777" w:rsidR="005154F3" w:rsidRPr="00593A5F" w:rsidRDefault="005154F3" w:rsidP="005154F3">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 xml:space="preserve">su solicitud, esta Agencia resolverá </w:t>
      </w:r>
      <w:r>
        <w:rPr>
          <w:rFonts w:ascii="Verdana" w:eastAsia="Century Gothic" w:hAnsi="Verdana" w:cs="Century Gothic"/>
        </w:rPr>
        <w:t>el</w:t>
      </w:r>
      <w:r w:rsidRPr="00593A5F">
        <w:rPr>
          <w:rFonts w:ascii="Verdana" w:eastAsia="Century Gothic" w:hAnsi="Verdana" w:cs="Century Gothic"/>
        </w:rPr>
        <w:t xml:space="preserve"> siguiente problema jurídico: </w:t>
      </w:r>
      <w:r>
        <w:rPr>
          <w:rFonts w:ascii="Verdana" w:eastAsia="Century Gothic" w:hAnsi="Verdana" w:cs="Century Gothic"/>
        </w:rPr>
        <w:t xml:space="preserve">¿Cuál es el marco jurídico del </w:t>
      </w:r>
      <w:r w:rsidRPr="00410575">
        <w:rPr>
          <w:rFonts w:ascii="Verdana" w:eastAsia="Century Gothic" w:hAnsi="Verdana" w:cs="Century Gothic"/>
        </w:rPr>
        <w:t xml:space="preserve">contrato </w:t>
      </w:r>
      <w:r>
        <w:rPr>
          <w:rFonts w:ascii="Verdana" w:eastAsia="Century Gothic" w:hAnsi="Verdana" w:cs="Century Gothic"/>
        </w:rPr>
        <w:t xml:space="preserve">de </w:t>
      </w:r>
      <w:r w:rsidRPr="00410575">
        <w:rPr>
          <w:rFonts w:ascii="Verdana" w:eastAsia="Century Gothic" w:hAnsi="Verdana" w:cs="Century Gothic"/>
        </w:rPr>
        <w:t>prestación de servicios</w:t>
      </w:r>
      <w:r>
        <w:rPr>
          <w:rFonts w:ascii="Verdana" w:eastAsia="Century Gothic" w:hAnsi="Verdana" w:cs="Century Gothic"/>
        </w:rPr>
        <w:t xml:space="preserve"> de operación logística en el sistema de compras públicas?</w:t>
      </w:r>
    </w:p>
    <w:p w14:paraId="1E06994D" w14:textId="77777777" w:rsidR="005154F3" w:rsidRDefault="005154F3" w:rsidP="005154F3">
      <w:pPr>
        <w:spacing w:after="0" w:line="276" w:lineRule="auto"/>
        <w:jc w:val="both"/>
        <w:rPr>
          <w:rFonts w:ascii="Verdana" w:eastAsia="Century Gothic" w:hAnsi="Verdana" w:cs="Century Gothic"/>
        </w:rPr>
      </w:pPr>
    </w:p>
    <w:p w14:paraId="7E33F2AA" w14:textId="77777777" w:rsidR="005154F3" w:rsidRPr="00593A5F" w:rsidRDefault="005154F3" w:rsidP="005154F3">
      <w:pPr>
        <w:spacing w:after="0" w:line="276" w:lineRule="auto"/>
        <w:jc w:val="both"/>
        <w:rPr>
          <w:rFonts w:ascii="Verdana" w:eastAsia="Century Gothic" w:hAnsi="Verdana" w:cs="Century Gothic"/>
          <w:b/>
          <w:bCs/>
        </w:rPr>
      </w:pPr>
      <w:r w:rsidRPr="003F0878">
        <w:rPr>
          <w:rFonts w:ascii="Verdana" w:eastAsia="Century Gothic" w:hAnsi="Verdana" w:cs="Century Gothic"/>
          <w:b/>
          <w:bCs/>
        </w:rPr>
        <w:t xml:space="preserve">2. </w:t>
      </w:r>
      <w:r w:rsidRPr="00593A5F">
        <w:rPr>
          <w:rFonts w:ascii="Verdana" w:eastAsia="Century Gothic" w:hAnsi="Verdana" w:cs="Century Gothic"/>
          <w:b/>
          <w:bCs/>
        </w:rPr>
        <w:t>Respuesta:</w:t>
      </w:r>
    </w:p>
    <w:p w14:paraId="29F15FD7" w14:textId="77777777" w:rsidR="005154F3" w:rsidRPr="00593A5F" w:rsidRDefault="005154F3" w:rsidP="005154F3">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154F3" w:rsidRPr="00593A5F" w14:paraId="093823D2" w14:textId="77777777" w:rsidTr="00360DC6">
        <w:trPr>
          <w:jc w:val="center"/>
        </w:trPr>
        <w:tc>
          <w:tcPr>
            <w:tcW w:w="8828" w:type="dxa"/>
            <w:shd w:val="clear" w:color="auto" w:fill="auto"/>
          </w:tcPr>
          <w:p w14:paraId="2BF68D27" w14:textId="77777777" w:rsidR="005154F3" w:rsidRPr="006663E0" w:rsidRDefault="005154F3" w:rsidP="00360DC6">
            <w:pPr>
              <w:spacing w:after="120" w:line="276" w:lineRule="auto"/>
              <w:jc w:val="both"/>
              <w:rPr>
                <w:rFonts w:ascii="Verdana" w:eastAsia="Calibri" w:hAnsi="Verdana"/>
                <w:color w:val="000000" w:themeColor="text1"/>
                <w:lang w:val="es-ES_tradnl"/>
              </w:rPr>
            </w:pPr>
            <w:r w:rsidRPr="003A7525">
              <w:rPr>
                <w:rFonts w:ascii="Verdana" w:eastAsia="Calibri" w:hAnsi="Verdana" w:cs="Arial"/>
                <w:lang w:val="es-ES"/>
              </w:rPr>
              <w:t>C</w:t>
            </w:r>
            <w:r w:rsidRPr="003A7525">
              <w:rPr>
                <w:rFonts w:ascii="Verdana" w:eastAsia="Calibri" w:hAnsi="Verdana"/>
                <w:lang w:val="es-ES"/>
              </w:rPr>
              <w:t>onforme</w:t>
            </w:r>
            <w:r>
              <w:rPr>
                <w:rFonts w:ascii="Verdana" w:eastAsia="Calibri" w:hAnsi="Verdana"/>
                <w:lang w:val="es-ES"/>
              </w:rPr>
              <w:t xml:space="preserve"> a la interpretación general de las normas del sistema de compras públicas, el </w:t>
            </w:r>
            <w:r w:rsidRPr="005F70F5">
              <w:rPr>
                <w:rFonts w:ascii="Verdana" w:eastAsia="Calibri" w:hAnsi="Verdana"/>
                <w:color w:val="000000" w:themeColor="text1"/>
                <w:lang w:val="es-ES_tradnl"/>
              </w:rPr>
              <w:t xml:space="preserve">artículo 32 de la Ley 80 de 1993 define los contratos estatales como </w:t>
            </w:r>
            <w:r>
              <w:rPr>
                <w:rFonts w:ascii="Verdana" w:eastAsia="Calibri" w:hAnsi="Verdana"/>
                <w:color w:val="000000" w:themeColor="text1"/>
                <w:lang w:val="es-ES_tradnl"/>
              </w:rPr>
              <w:t>“</w:t>
            </w:r>
            <w:r w:rsidRPr="005F70F5">
              <w:rPr>
                <w:rFonts w:ascii="Verdana" w:eastAsia="Calibri" w:hAnsi="Verdana"/>
                <w:color w:val="000000" w:themeColor="text1"/>
                <w:lang w:val="es-ES_tradnl"/>
              </w:rPr>
              <w:t xml:space="preserve">[…] todos los actos jurídicos generadores de obligaciones </w:t>
            </w:r>
            <w:r>
              <w:rPr>
                <w:rFonts w:ascii="Verdana" w:eastAsia="Calibri" w:hAnsi="Verdana"/>
                <w:color w:val="000000" w:themeColor="text1"/>
                <w:lang w:val="es-ES_tradnl"/>
              </w:rPr>
              <w:t>[…]</w:t>
            </w:r>
            <w:r w:rsidRPr="005F70F5">
              <w:rPr>
                <w:rFonts w:ascii="Verdana" w:eastAsia="Calibri" w:hAnsi="Verdana"/>
                <w:color w:val="000000" w:themeColor="text1"/>
                <w:lang w:val="es-ES_tradnl"/>
              </w:rPr>
              <w:t xml:space="preserve"> derivados del ejercicio de la autonomía de la voluntad […]</w:t>
            </w:r>
            <w:r>
              <w:rPr>
                <w:rFonts w:ascii="Verdana" w:eastAsia="Calibri" w:hAnsi="Verdana"/>
                <w:color w:val="000000" w:themeColor="text1"/>
                <w:lang w:val="es-ES_tradnl"/>
              </w:rPr>
              <w:t>”</w:t>
            </w:r>
            <w:r w:rsidRPr="005F70F5">
              <w:rPr>
                <w:rFonts w:ascii="Verdana" w:eastAsia="Calibri" w:hAnsi="Verdana"/>
                <w:color w:val="000000" w:themeColor="text1"/>
                <w:lang w:val="es-ES_tradnl"/>
              </w:rPr>
              <w:t xml:space="preserve">, por lo que las partes están facultadas para suscribir </w:t>
            </w:r>
            <w:r w:rsidRPr="005F70F5">
              <w:rPr>
                <w:rFonts w:ascii="Verdana" w:eastAsia="Calibri" w:hAnsi="Verdana"/>
                <w:i/>
                <w:iCs/>
                <w:color w:val="000000" w:themeColor="text1"/>
                <w:lang w:val="es-ES_tradnl"/>
              </w:rPr>
              <w:t>contratos mixtos</w:t>
            </w:r>
            <w:r w:rsidRPr="005F70F5">
              <w:rPr>
                <w:rFonts w:ascii="Verdana" w:eastAsia="Calibri" w:hAnsi="Verdana"/>
                <w:color w:val="000000" w:themeColor="text1"/>
                <w:lang w:val="es-ES_tradnl"/>
              </w:rPr>
              <w:t>. Como una forma de contratación atípica, estos se caracterizan por acumular prestaciones de varios contratos nominados para satisfacer una necesidad común</w:t>
            </w:r>
            <w:r w:rsidRPr="00D239E3">
              <w:rPr>
                <w:rFonts w:ascii="Verdana" w:eastAsia="Calibri" w:hAnsi="Verdana"/>
                <w:color w:val="000000" w:themeColor="text1"/>
                <w:lang w:val="es-ES_tradnl"/>
              </w:rPr>
              <w:t xml:space="preserve">. </w:t>
            </w:r>
            <w:r>
              <w:rPr>
                <w:rFonts w:ascii="Verdana" w:eastAsia="Calibri" w:hAnsi="Verdana"/>
                <w:color w:val="000000" w:themeColor="text1"/>
                <w:lang w:val="es-ES_tradnl"/>
              </w:rPr>
              <w:t xml:space="preserve">Precisamente, los contratos de operación logística tienen esta naturaleza, porque –sin perjuicio de las demás obligaciones que pacten las partes– es frecuente que en la práctica tengan componentes de compraventa, suministro, arrendamiento de bienes </w:t>
            </w:r>
            <w:r>
              <w:rPr>
                <w:rFonts w:ascii="Verdana" w:eastAsia="Calibri" w:hAnsi="Verdana"/>
                <w:color w:val="000000" w:themeColor="text1"/>
                <w:lang w:val="es-ES_tradnl"/>
              </w:rPr>
              <w:lastRenderedPageBreak/>
              <w:t>muebles o inmuebles, transporte, etc., de donde se desprende la existencia de prestaciones de una o más tipologías contractuales.</w:t>
            </w:r>
          </w:p>
          <w:p w14:paraId="2C91E70A" w14:textId="77777777" w:rsidR="005154F3" w:rsidRDefault="005154F3" w:rsidP="00360DC6">
            <w:pPr>
              <w:spacing w:after="120" w:line="276" w:lineRule="auto"/>
              <w:ind w:right="79"/>
              <w:jc w:val="both"/>
              <w:rPr>
                <w:rFonts w:ascii="Verdana" w:eastAsia="Arial" w:hAnsi="Verdana" w:cs="Arial"/>
                <w:bCs/>
              </w:rPr>
            </w:pPr>
            <w:r>
              <w:rPr>
                <w:rFonts w:ascii="Verdana" w:eastAsia="Calibri" w:hAnsi="Verdana"/>
                <w:color w:val="000000" w:themeColor="text1"/>
                <w:lang w:val="es-ES"/>
              </w:rPr>
              <w:t xml:space="preserve">En este contexto, debido a su naturaleza de contratos mixtos </w:t>
            </w:r>
            <w:r>
              <w:rPr>
                <w:rFonts w:ascii="Verdana" w:eastAsia="Arial" w:hAnsi="Verdana" w:cs="Arial"/>
                <w:bCs/>
              </w:rPr>
              <w:t xml:space="preserve">y teniendo en cuenta que no hay procedimiento de selección reservado exclusivamente a este tipo contractual, no es posible establecer un criterio universal y absoluto que determine la procedencia de una modalidad de contratación específica y única para su celebración. Lo anterior, </w:t>
            </w:r>
            <w:r>
              <w:rPr>
                <w:rFonts w:ascii="Verdana" w:eastAsia="Arial" w:hAnsi="Verdana" w:cs="Arial"/>
                <w:bCs/>
                <w:lang w:val="es-MX"/>
              </w:rPr>
              <w:t>sin perjuicio de lo señalado en este concepto sobre los contratos de prestación de servicios profesionales y de apoyo a la gestión</w:t>
            </w:r>
            <w:r w:rsidRPr="00500958">
              <w:rPr>
                <w:rFonts w:ascii="Verdana" w:eastAsia="Arial" w:hAnsi="Verdana" w:cs="Arial"/>
                <w:bCs/>
                <w:lang w:val="es-MX"/>
              </w:rPr>
              <w:t xml:space="preserve"> </w:t>
            </w:r>
            <w:r>
              <w:rPr>
                <w:rFonts w:ascii="Verdana" w:eastAsia="Arial" w:hAnsi="Verdana" w:cs="Arial"/>
                <w:bCs/>
                <w:lang w:val="es-MX"/>
              </w:rPr>
              <w:t xml:space="preserve">con </w:t>
            </w:r>
            <w:r w:rsidRPr="00500958">
              <w:rPr>
                <w:rFonts w:ascii="Verdana" w:eastAsia="Arial" w:hAnsi="Verdana" w:cs="Arial"/>
                <w:bCs/>
                <w:lang w:val="es-MX"/>
              </w:rPr>
              <w:t>actividades operativas, logísticas o asistenciales</w:t>
            </w:r>
            <w:r>
              <w:rPr>
                <w:rFonts w:ascii="Verdana" w:eastAsia="Arial" w:hAnsi="Verdana" w:cs="Arial"/>
                <w:bCs/>
                <w:lang w:val="es-MX"/>
              </w:rPr>
              <w:t>.</w:t>
            </w:r>
          </w:p>
          <w:p w14:paraId="74592440" w14:textId="77777777" w:rsidR="005154F3" w:rsidRDefault="005154F3" w:rsidP="00360DC6">
            <w:pPr>
              <w:spacing w:after="120" w:line="276" w:lineRule="auto"/>
              <w:ind w:right="79"/>
              <w:jc w:val="both"/>
              <w:rPr>
                <w:rFonts w:ascii="Verdana" w:eastAsia="Arial" w:hAnsi="Verdana" w:cs="Arial"/>
                <w:bCs/>
                <w:lang w:val="es-MX"/>
              </w:rPr>
            </w:pPr>
            <w:r>
              <w:rPr>
                <w:rFonts w:ascii="Verdana" w:eastAsia="Arial" w:hAnsi="Verdana" w:cs="Arial"/>
                <w:bCs/>
                <w:lang w:val="es-MX"/>
              </w:rPr>
              <w:t xml:space="preserve">En este orden de ideas, </w:t>
            </w:r>
            <w:r>
              <w:rPr>
                <w:rFonts w:ascii="Verdana" w:eastAsia="Arial" w:hAnsi="Verdana" w:cs="Arial"/>
                <w:bCs/>
              </w:rPr>
              <w:t>l</w:t>
            </w:r>
            <w:r w:rsidRPr="005F56DB">
              <w:rPr>
                <w:rFonts w:ascii="Verdana" w:eastAsia="Arial" w:hAnsi="Verdana" w:cs="Arial"/>
                <w:bCs/>
              </w:rPr>
              <w:t>a entidad será responsable de establecer la modalidad de selección aplicable</w:t>
            </w:r>
            <w:r>
              <w:rPr>
                <w:rFonts w:ascii="Verdana" w:eastAsia="Arial" w:hAnsi="Verdana" w:cs="Arial"/>
                <w:bCs/>
              </w:rPr>
              <w:t xml:space="preserve"> a los contratos de operación logística</w:t>
            </w:r>
            <w:r w:rsidRPr="005F56DB">
              <w:rPr>
                <w:rFonts w:ascii="Verdana" w:eastAsia="Arial" w:hAnsi="Verdana" w:cs="Arial"/>
                <w:bCs/>
              </w:rPr>
              <w:t xml:space="preserve"> de acuerdo con </w:t>
            </w:r>
            <w:r>
              <w:rPr>
                <w:rFonts w:ascii="Verdana" w:eastAsia="Arial" w:hAnsi="Verdana" w:cs="Arial"/>
                <w:bCs/>
              </w:rPr>
              <w:t>el objeto, la cuantía, las obligaciones y demás</w:t>
            </w:r>
            <w:r w:rsidRPr="005F56DB">
              <w:rPr>
                <w:rFonts w:ascii="Verdana" w:eastAsia="Arial" w:hAnsi="Verdana" w:cs="Arial"/>
                <w:bCs/>
              </w:rPr>
              <w:t xml:space="preserve"> condiciones específicas del contrato a ejecutar. Esta determinación se realizará considerando el marco regulatorio vigente para cada una de las modalidades de selección </w:t>
            </w:r>
            <w:r>
              <w:rPr>
                <w:rFonts w:ascii="Verdana" w:eastAsia="Arial" w:hAnsi="Verdana" w:cs="Arial"/>
                <w:bCs/>
              </w:rPr>
              <w:t>establecidas</w:t>
            </w:r>
            <w:r w:rsidRPr="005F56DB">
              <w:rPr>
                <w:rFonts w:ascii="Verdana" w:eastAsia="Arial" w:hAnsi="Verdana" w:cs="Arial"/>
                <w:bCs/>
              </w:rPr>
              <w:t>, garantizando la transparencia, eficiencia y legalidad en el proceso de contratación</w:t>
            </w:r>
            <w:r>
              <w:rPr>
                <w:rFonts w:ascii="Verdana" w:eastAsia="Arial" w:hAnsi="Verdana" w:cs="Arial"/>
                <w:bCs/>
                <w:lang w:val="es-MX"/>
              </w:rPr>
              <w:t xml:space="preserve">. </w:t>
            </w:r>
          </w:p>
          <w:p w14:paraId="1AD09F3E" w14:textId="77777777" w:rsidR="005154F3" w:rsidRDefault="005154F3" w:rsidP="00360DC6">
            <w:pPr>
              <w:spacing w:after="120" w:line="276" w:lineRule="auto"/>
              <w:ind w:right="79"/>
              <w:jc w:val="both"/>
              <w:rPr>
                <w:rFonts w:ascii="Verdana" w:hAnsi="Verdana" w:cs="Arial"/>
              </w:rPr>
            </w:pPr>
            <w:r>
              <w:rPr>
                <w:rFonts w:ascii="Verdana" w:eastAsia="Arial" w:hAnsi="Verdana" w:cs="Arial"/>
                <w:bCs/>
                <w:lang w:val="es-MX"/>
              </w:rPr>
              <w:t>Además, conforme al principio de planeación la entidad deberá determinar la forma en la que se contratará las actividades de operación logística durante la vigencia fiscal, atendiendo a la necesidad a satisfacer,</w:t>
            </w:r>
            <w:r w:rsidRPr="00C24533">
              <w:rPr>
                <w:rFonts w:ascii="Verdana" w:hAnsi="Verdana" w:cs="Arial"/>
              </w:rPr>
              <w:t xml:space="preserve"> </w:t>
            </w:r>
            <w:r>
              <w:rPr>
                <w:rFonts w:ascii="Verdana" w:hAnsi="Verdana" w:cs="Arial"/>
              </w:rPr>
              <w:t xml:space="preserve">a la conveniencia o inconveniencia del objeto a contratar, a </w:t>
            </w:r>
            <w:r w:rsidRPr="00087B05">
              <w:rPr>
                <w:rFonts w:ascii="Verdana" w:hAnsi="Verdana" w:cs="Arial"/>
              </w:rPr>
              <w:t xml:space="preserve">los costos </w:t>
            </w:r>
            <w:r>
              <w:rPr>
                <w:rFonts w:ascii="Verdana" w:hAnsi="Verdana" w:cs="Arial"/>
              </w:rPr>
              <w:t xml:space="preserve">que </w:t>
            </w:r>
            <w:r w:rsidRPr="00087B05">
              <w:rPr>
                <w:rFonts w:ascii="Verdana" w:hAnsi="Verdana" w:cs="Arial"/>
              </w:rPr>
              <w:t>podría</w:t>
            </w:r>
            <w:r>
              <w:rPr>
                <w:rFonts w:ascii="Verdana" w:hAnsi="Verdana" w:cs="Arial"/>
              </w:rPr>
              <w:t>n</w:t>
            </w:r>
            <w:r w:rsidRPr="00087B05">
              <w:rPr>
                <w:rFonts w:ascii="Verdana" w:hAnsi="Verdana" w:cs="Arial"/>
              </w:rPr>
              <w:t xml:space="preserve"> demandar la celebración y ejecución del contrato,</w:t>
            </w:r>
            <w:r w:rsidRPr="00C24533">
              <w:rPr>
                <w:rFonts w:ascii="Verdana" w:hAnsi="Verdana" w:cs="Arial"/>
              </w:rPr>
              <w:t xml:space="preserve"> </w:t>
            </w:r>
            <w:r w:rsidRPr="00087B05">
              <w:rPr>
                <w:rFonts w:ascii="Verdana" w:hAnsi="Verdana" w:cs="Arial"/>
              </w:rPr>
              <w:t>la disponibilidad de recursos o la capacidad financiera de la entidad contratante</w:t>
            </w:r>
            <w:r>
              <w:rPr>
                <w:rFonts w:ascii="Verdana" w:hAnsi="Verdana" w:cs="Arial"/>
              </w:rPr>
              <w:t xml:space="preserve"> </w:t>
            </w:r>
            <w:r w:rsidRPr="00087B05">
              <w:rPr>
                <w:rFonts w:ascii="Verdana" w:hAnsi="Verdana" w:cs="Arial"/>
              </w:rPr>
              <w:t xml:space="preserve">para asumir las obligaciones de pago producto </w:t>
            </w:r>
            <w:r>
              <w:rPr>
                <w:rFonts w:ascii="Verdana" w:hAnsi="Verdana" w:cs="Arial"/>
              </w:rPr>
              <w:t xml:space="preserve">y demás condiciones. De este modo, se trata de una decisión discrecional de la administración.  </w:t>
            </w:r>
          </w:p>
          <w:p w14:paraId="5079C7E4" w14:textId="77777777" w:rsidR="005154F3" w:rsidRDefault="005154F3" w:rsidP="00360DC6">
            <w:pPr>
              <w:spacing w:after="120" w:line="276" w:lineRule="auto"/>
              <w:ind w:right="79"/>
              <w:jc w:val="both"/>
              <w:rPr>
                <w:rFonts w:ascii="Verdana" w:hAnsi="Verdana" w:cs="Arial"/>
              </w:rPr>
            </w:pPr>
            <w:r w:rsidRPr="00F30A39">
              <w:rPr>
                <w:rFonts w:ascii="Verdana" w:hAnsi="Verdana" w:cs="Arial"/>
              </w:rPr>
              <w:t>Así las cosas, aunque es una decisión autónoma de la entidad</w:t>
            </w:r>
            <w:r>
              <w:rPr>
                <w:rFonts w:ascii="Verdana" w:hAnsi="Verdana" w:cs="Arial"/>
              </w:rPr>
              <w:t>,</w:t>
            </w:r>
            <w:r w:rsidRPr="00F30A39">
              <w:rPr>
                <w:rFonts w:ascii="Verdana" w:hAnsi="Verdana" w:cs="Arial"/>
              </w:rPr>
              <w:t xml:space="preserve"> la </w:t>
            </w:r>
            <w:r>
              <w:rPr>
                <w:rFonts w:ascii="Verdana" w:hAnsi="Verdana" w:cs="Arial"/>
              </w:rPr>
              <w:t xml:space="preserve">entidad debe tener en cuenta el artículo 2 de la Ley 1150 de 2007, el cual establece que </w:t>
            </w:r>
            <w:r w:rsidRPr="00F536D9">
              <w:rPr>
                <w:rFonts w:ascii="Verdana" w:hAnsi="Verdana" w:cs="Arial"/>
              </w:rPr>
              <w:t>la escogencia del contratista se efectuará con arreglo a las modalidades de selección de licitación pública, selección abreviada, concurso de méritos y contratación directa</w:t>
            </w:r>
            <w:r>
              <w:rPr>
                <w:rFonts w:ascii="Verdana" w:hAnsi="Verdana" w:cs="Arial"/>
              </w:rPr>
              <w:t>, sin embargo, en atención al objeto mixto de esta tipología contractual,</w:t>
            </w:r>
            <w:r w:rsidRPr="00F536D9">
              <w:rPr>
                <w:rFonts w:ascii="Verdana" w:hAnsi="Verdana" w:cs="Arial"/>
              </w:rPr>
              <w:t xml:space="preserve"> se</w:t>
            </w:r>
            <w:r>
              <w:rPr>
                <w:rFonts w:ascii="Verdana" w:hAnsi="Verdana" w:cs="Arial"/>
              </w:rPr>
              <w:t xml:space="preserve"> sugiere que tramite la selección de contratista </w:t>
            </w:r>
            <w:r w:rsidRPr="00F536D9">
              <w:rPr>
                <w:rFonts w:ascii="Verdana" w:hAnsi="Verdana" w:cs="Arial"/>
              </w:rPr>
              <w:t xml:space="preserve"> través de</w:t>
            </w:r>
            <w:r>
              <w:rPr>
                <w:rFonts w:ascii="Verdana" w:hAnsi="Verdana" w:cs="Arial"/>
              </w:rPr>
              <w:t>l proceso de</w:t>
            </w:r>
            <w:r w:rsidRPr="00F536D9">
              <w:rPr>
                <w:rFonts w:ascii="Verdana" w:hAnsi="Verdana" w:cs="Arial"/>
              </w:rPr>
              <w:t xml:space="preserve"> licitación pública</w:t>
            </w:r>
            <w:r>
              <w:rPr>
                <w:rFonts w:ascii="Verdana" w:hAnsi="Verdana" w:cs="Arial"/>
              </w:rPr>
              <w:t xml:space="preserve"> o selección abreviada de menor cuantía, según corresponda, de conformidad con el presupuesta oficial del proceso</w:t>
            </w:r>
            <w:r w:rsidRPr="00F536D9">
              <w:rPr>
                <w:rFonts w:ascii="Verdana" w:hAnsi="Verdana" w:cs="Arial"/>
              </w:rPr>
              <w:t>.</w:t>
            </w:r>
          </w:p>
          <w:p w14:paraId="6AF662C6" w14:textId="77777777" w:rsidR="005154F3" w:rsidRPr="000E2ED2" w:rsidRDefault="005154F3" w:rsidP="00360DC6">
            <w:pPr>
              <w:spacing w:line="276" w:lineRule="auto"/>
              <w:jc w:val="both"/>
              <w:rPr>
                <w:rFonts w:ascii="Verdana" w:hAnsi="Verdana" w:cs="Arial"/>
                <w:color w:val="000000" w:themeColor="text1"/>
                <w:lang w:val="es-ES_tradnl"/>
              </w:rPr>
            </w:pPr>
            <w:r w:rsidRPr="004B3D65">
              <w:rPr>
                <w:rFonts w:ascii="Verdana" w:hAnsi="Verdana" w:cs="Arial"/>
                <w:lang w:val="es-ES"/>
              </w:rPr>
              <w:t xml:space="preserve">Al margen de la explicación precedente debe advertirse que el análisis requerido para resolver problemas específicos en torno a la gestión contractual de las entidades públicas debe ser realizado por quienes tengan interés en </w:t>
            </w:r>
            <w:r w:rsidRPr="004B3D65">
              <w:rPr>
                <w:rFonts w:ascii="Verdana" w:hAnsi="Verdana" w:cs="Arial"/>
                <w:lang w:val="es-ES"/>
              </w:rPr>
              <w:lastRenderedPageBreak/>
              <w:t>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r w:rsidRPr="004B3D65">
              <w:rPr>
                <w:rFonts w:ascii="Verdana" w:hAnsi="Verdana" w:cs="Arial"/>
              </w:rPr>
              <w:t> </w:t>
            </w:r>
          </w:p>
        </w:tc>
      </w:tr>
    </w:tbl>
    <w:p w14:paraId="49C2D354" w14:textId="77777777" w:rsidR="005154F3" w:rsidRDefault="005154F3" w:rsidP="005154F3">
      <w:pPr>
        <w:pStyle w:val="Prrafodelista"/>
        <w:tabs>
          <w:tab w:val="left" w:pos="142"/>
          <w:tab w:val="left" w:pos="284"/>
        </w:tabs>
        <w:spacing w:after="0" w:line="276" w:lineRule="auto"/>
        <w:ind w:left="0"/>
        <w:contextualSpacing w:val="0"/>
        <w:jc w:val="both"/>
        <w:rPr>
          <w:rFonts w:ascii="Verdana" w:eastAsia="Century Gothic" w:hAnsi="Verdana" w:cs="Century Gothic"/>
          <w:b/>
        </w:rPr>
      </w:pPr>
    </w:p>
    <w:p w14:paraId="52322584" w14:textId="77777777" w:rsidR="005154F3" w:rsidRPr="00593A5F" w:rsidRDefault="005154F3" w:rsidP="005154F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Pr>
          <w:rFonts w:ascii="Verdana" w:eastAsia="Century Gothic" w:hAnsi="Verdana" w:cs="Century Gothic"/>
          <w:b/>
          <w:bCs/>
        </w:rPr>
        <w:t xml:space="preserve">3. </w:t>
      </w:r>
      <w:r w:rsidRPr="00593A5F">
        <w:rPr>
          <w:rFonts w:ascii="Verdana" w:eastAsia="Century Gothic" w:hAnsi="Verdana" w:cs="Century Gothic"/>
          <w:b/>
          <w:bCs/>
        </w:rPr>
        <w:t>Razones de la respuesta:</w:t>
      </w:r>
    </w:p>
    <w:p w14:paraId="68D61749" w14:textId="77777777" w:rsidR="005154F3" w:rsidRPr="00593A5F" w:rsidRDefault="005154F3" w:rsidP="005154F3">
      <w:pPr>
        <w:spacing w:after="0" w:line="276" w:lineRule="auto"/>
        <w:jc w:val="both"/>
        <w:rPr>
          <w:rFonts w:ascii="Verdana" w:eastAsia="Calibri" w:hAnsi="Verdana" w:cs="Arial"/>
          <w:color w:val="7030A0"/>
          <w:lang w:val="es-ES"/>
        </w:rPr>
      </w:pPr>
    </w:p>
    <w:p w14:paraId="78483FA8" w14:textId="77777777" w:rsidR="005154F3" w:rsidRDefault="005154F3" w:rsidP="005154F3">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06BEFEB4" w14:textId="77777777" w:rsidR="005154F3" w:rsidRDefault="005154F3" w:rsidP="005154F3">
      <w:pPr>
        <w:spacing w:after="0" w:line="276" w:lineRule="auto"/>
        <w:jc w:val="both"/>
        <w:rPr>
          <w:rFonts w:ascii="Verdana" w:eastAsia="Calibri" w:hAnsi="Verdana" w:cs="Arial"/>
          <w:lang w:val="es-ES"/>
        </w:rPr>
      </w:pPr>
    </w:p>
    <w:p w14:paraId="683DFDCE" w14:textId="77777777" w:rsidR="005154F3" w:rsidRPr="00CB68C5" w:rsidRDefault="005154F3" w:rsidP="005154F3">
      <w:pPr>
        <w:spacing w:after="120" w:line="276" w:lineRule="auto"/>
        <w:jc w:val="both"/>
        <w:rPr>
          <w:rFonts w:ascii="Verdana" w:hAnsi="Verdana" w:cs="Arial"/>
        </w:rPr>
      </w:pPr>
      <w:r w:rsidRPr="00CB68C5">
        <w:rPr>
          <w:rFonts w:ascii="Verdana" w:eastAsia="Calibri" w:hAnsi="Verdana" w:cs="Arial"/>
          <w:lang w:val="es-ES"/>
        </w:rPr>
        <w:t xml:space="preserve">El Estatuto General de Contratación de la Administración Pública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CB68C5">
        <w:rPr>
          <w:rFonts w:ascii="Verdana" w:hAnsi="Verdana" w:cs="Arial"/>
        </w:rPr>
        <w:t xml:space="preserve">el inciso primero del artículo 13 dispone que “Los contratos que celebren las entidades a que se refiere el artículo 2o. del presente estatuto se regirán por las disposiciones comerciales y civiles pertinentes, salvo en las materias particularmente reguladas en esta ley”. </w:t>
      </w:r>
    </w:p>
    <w:p w14:paraId="2D3EAD71" w14:textId="77777777" w:rsidR="005154F3" w:rsidRPr="00CB68C5" w:rsidRDefault="005154F3" w:rsidP="005154F3">
      <w:pPr>
        <w:spacing w:after="120" w:line="276" w:lineRule="auto"/>
        <w:ind w:firstLine="709"/>
        <w:jc w:val="both"/>
        <w:rPr>
          <w:rFonts w:ascii="Verdana" w:hAnsi="Verdana" w:cs="Arial"/>
        </w:rPr>
      </w:pPr>
      <w:r w:rsidRPr="00CB68C5">
        <w:rPr>
          <w:rFonts w:ascii="Verdana" w:hAnsi="Verdana" w:cs="Arial"/>
        </w:rPr>
        <w:t xml:space="preserve">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Asimismo, dispone que “Las estipulaciones de los contratos serán las </w:t>
      </w:r>
      <w:proofErr w:type="gramStart"/>
      <w:r w:rsidRPr="00CB68C5">
        <w:rPr>
          <w:rFonts w:ascii="Verdana" w:hAnsi="Verdana" w:cs="Arial"/>
        </w:rPr>
        <w:t>que</w:t>
      </w:r>
      <w:proofErr w:type="gramEnd"/>
      <w:r w:rsidRPr="00CB68C5">
        <w:rPr>
          <w:rFonts w:ascii="Verdana" w:hAnsi="Verdana" w:cs="Arial"/>
        </w:rPr>
        <w:t xml:space="preserve"> de acuerdo con las normas civiles, comerciales y las previstas en esta ley, correspondan a su esencia y naturaleza” –art. 40, inciso primero–.</w:t>
      </w:r>
    </w:p>
    <w:p w14:paraId="58908737" w14:textId="77777777" w:rsidR="005154F3" w:rsidRPr="00CB68C5" w:rsidRDefault="005154F3" w:rsidP="005154F3">
      <w:pPr>
        <w:spacing w:after="0" w:line="276" w:lineRule="auto"/>
        <w:ind w:firstLine="708"/>
        <w:jc w:val="both"/>
        <w:rPr>
          <w:rFonts w:ascii="Verdana" w:hAnsi="Verdana" w:cs="Arial"/>
        </w:rPr>
      </w:pPr>
      <w:r w:rsidRPr="00CB68C5">
        <w:rPr>
          <w:rFonts w:ascii="Verdana" w:hAnsi="Verdana" w:cs="Arial"/>
        </w:rPr>
        <w:t>De esta manera, los contratos de las entidades sometidas al Estatuto General de Contratación se rigen generalmente por el derecho privado y excepcionalmente por el derecho público, pues las normas civiles y comerciales son el derecho común de los contratos estatales</w:t>
      </w:r>
      <w:r w:rsidRPr="00CB68C5">
        <w:rPr>
          <w:rStyle w:val="Refdenotaalpie"/>
          <w:rFonts w:ascii="Verdana" w:hAnsi="Verdana" w:cs="Arial"/>
        </w:rPr>
        <w:footnoteReference w:id="2"/>
      </w:r>
      <w:r w:rsidRPr="00CB68C5">
        <w:rPr>
          <w:rFonts w:ascii="Verdana" w:hAnsi="Verdana" w:cs="Arial"/>
        </w:rPr>
        <w:t>. Para la doctrina, la mixtura del régimen contractual:</w:t>
      </w:r>
    </w:p>
    <w:p w14:paraId="3BA0278A" w14:textId="77777777" w:rsidR="005154F3" w:rsidRPr="00CB68C5" w:rsidRDefault="005154F3" w:rsidP="005154F3">
      <w:pPr>
        <w:spacing w:after="0" w:line="276" w:lineRule="auto"/>
        <w:ind w:firstLine="709"/>
        <w:jc w:val="both"/>
        <w:rPr>
          <w:rFonts w:ascii="Verdana" w:hAnsi="Verdana" w:cs="Arial"/>
        </w:rPr>
      </w:pPr>
    </w:p>
    <w:p w14:paraId="0A19BBD1" w14:textId="77777777" w:rsidR="005154F3" w:rsidRPr="00CB68C5" w:rsidRDefault="005154F3" w:rsidP="005154F3">
      <w:pPr>
        <w:spacing w:after="0" w:line="240" w:lineRule="auto"/>
        <w:ind w:left="709" w:right="709"/>
        <w:jc w:val="both"/>
        <w:rPr>
          <w:rFonts w:ascii="Verdana" w:hAnsi="Verdana" w:cs="Arial"/>
          <w:sz w:val="21"/>
          <w:szCs w:val="21"/>
        </w:rPr>
      </w:pPr>
      <w:r w:rsidRPr="00CB68C5">
        <w:rPr>
          <w:rFonts w:ascii="Verdana" w:hAnsi="Verdana" w:cs="Arial"/>
          <w:sz w:val="21"/>
          <w:szCs w:val="21"/>
        </w:rPr>
        <w:t xml:space="preserve">“[…] no hace otra cosa que aprovechar ciertos principios rectores de la contratación general </w:t>
      </w:r>
      <w:proofErr w:type="gramStart"/>
      <w:r w:rsidRPr="00CB68C5">
        <w:rPr>
          <w:rFonts w:ascii="Verdana" w:hAnsi="Verdana" w:cs="Arial"/>
          <w:sz w:val="21"/>
          <w:szCs w:val="21"/>
        </w:rPr>
        <w:t>que</w:t>
      </w:r>
      <w:proofErr w:type="gramEnd"/>
      <w:r w:rsidRPr="00CB68C5">
        <w:rPr>
          <w:rFonts w:ascii="Verdana" w:hAnsi="Verdana" w:cs="Arial"/>
          <w:sz w:val="21"/>
          <w:szCs w:val="21"/>
        </w:rPr>
        <w:t xml:space="preserve"> aunque tengan su consagración en códigos </w:t>
      </w:r>
      <w:r w:rsidRPr="00CB68C5">
        <w:rPr>
          <w:rFonts w:ascii="Verdana" w:hAnsi="Verdana" w:cs="Arial"/>
          <w:sz w:val="21"/>
          <w:szCs w:val="21"/>
        </w:rPr>
        <w:lastRenderedPageBreak/>
        <w:t>de derecho privado como el civil o el comercial, no son propios y exclusivos de este derecho. Baste pensar en los requisitos de consentimiento válido, objeto y causa lícitos, capacidad, elementos esenciales según la naturaleza de cada contrato, responsabilidad, naturaleza de las obligaciones emanadas de los mismos, etc. etc. Extremos éstos que de derecho privado no tienen sino su presentación formal o el nombre y que la tradición, desde su origen romano, se acostumbró a calificarlos así y a no preocuparse por su cuestionamiento o definición.</w:t>
      </w:r>
    </w:p>
    <w:p w14:paraId="1846FCDF" w14:textId="77777777" w:rsidR="005154F3" w:rsidRPr="00CB68C5" w:rsidRDefault="005154F3" w:rsidP="005154F3">
      <w:pPr>
        <w:spacing w:after="0" w:line="240" w:lineRule="auto"/>
        <w:ind w:right="709"/>
        <w:jc w:val="both"/>
        <w:rPr>
          <w:rFonts w:ascii="Verdana" w:hAnsi="Verdana" w:cs="Arial"/>
          <w:sz w:val="12"/>
          <w:szCs w:val="12"/>
        </w:rPr>
      </w:pPr>
      <w:r w:rsidRPr="00CB68C5">
        <w:rPr>
          <w:rFonts w:ascii="Verdana" w:hAnsi="Verdana" w:cs="Arial"/>
          <w:sz w:val="21"/>
          <w:szCs w:val="21"/>
        </w:rPr>
        <w:tab/>
      </w:r>
    </w:p>
    <w:p w14:paraId="765FB679" w14:textId="77777777" w:rsidR="005154F3" w:rsidRPr="00CB68C5" w:rsidRDefault="005154F3" w:rsidP="005154F3">
      <w:pPr>
        <w:spacing w:after="0" w:line="240" w:lineRule="auto"/>
        <w:ind w:left="709" w:right="709"/>
        <w:jc w:val="both"/>
        <w:rPr>
          <w:rFonts w:ascii="Verdana" w:hAnsi="Verdana" w:cs="Arial"/>
          <w:sz w:val="21"/>
          <w:szCs w:val="21"/>
        </w:rPr>
      </w:pPr>
      <w:r w:rsidRPr="00CB68C5">
        <w:rPr>
          <w:rFonts w:ascii="Verdana" w:hAnsi="Verdana" w:cs="Arial"/>
          <w:sz w:val="21"/>
          <w:szCs w:val="21"/>
        </w:rPr>
        <w:t>En otras palabras, extremos como los indicados no son ni de derecho público ni de derecho privado, sino, simplemente, de derecho propio, aplicables a toda relación contractual, con prescindencia de la naturaleza de los sujetos involucrados en la misma”</w:t>
      </w:r>
      <w:r w:rsidRPr="00CB68C5">
        <w:rPr>
          <w:rStyle w:val="Refdenotaalpie"/>
          <w:rFonts w:ascii="Verdana" w:hAnsi="Verdana" w:cs="Arial"/>
          <w:sz w:val="21"/>
          <w:szCs w:val="21"/>
        </w:rPr>
        <w:footnoteReference w:id="3"/>
      </w:r>
      <w:r w:rsidRPr="00CB68C5">
        <w:rPr>
          <w:rFonts w:ascii="Verdana" w:hAnsi="Verdana" w:cs="Arial"/>
          <w:sz w:val="21"/>
          <w:szCs w:val="21"/>
        </w:rPr>
        <w:t xml:space="preserve">. </w:t>
      </w:r>
    </w:p>
    <w:p w14:paraId="50E83A64" w14:textId="77777777" w:rsidR="005154F3" w:rsidRPr="00CB68C5" w:rsidRDefault="005154F3" w:rsidP="005154F3">
      <w:pPr>
        <w:spacing w:after="0" w:line="276" w:lineRule="auto"/>
        <w:ind w:left="709" w:right="709"/>
        <w:jc w:val="both"/>
        <w:rPr>
          <w:rFonts w:ascii="Verdana" w:hAnsi="Verdana" w:cs="Arial"/>
        </w:rPr>
      </w:pPr>
      <w:r w:rsidRPr="00CB68C5">
        <w:rPr>
          <w:rFonts w:ascii="Verdana" w:hAnsi="Verdana" w:cs="Arial"/>
        </w:rPr>
        <w:t xml:space="preserve"> </w:t>
      </w:r>
    </w:p>
    <w:p w14:paraId="7814E0AC" w14:textId="77777777" w:rsidR="005154F3" w:rsidRDefault="005154F3" w:rsidP="005154F3">
      <w:pPr>
        <w:spacing w:after="0" w:line="276" w:lineRule="auto"/>
        <w:jc w:val="both"/>
        <w:rPr>
          <w:rFonts w:ascii="Verdana" w:hAnsi="Verdana" w:cs="Arial"/>
        </w:rPr>
      </w:pPr>
      <w:r w:rsidRPr="00CB68C5">
        <w:rPr>
          <w:rFonts w:ascii="Verdana" w:hAnsi="Verdana" w:cs="Arial"/>
        </w:rPr>
        <w:tab/>
        <w:t>Ello no implica 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las normas de derecho privado.</w:t>
      </w:r>
      <w:r>
        <w:rPr>
          <w:rFonts w:ascii="Verdana" w:hAnsi="Verdana" w:cs="Arial"/>
        </w:rPr>
        <w:t xml:space="preserve"> </w:t>
      </w:r>
    </w:p>
    <w:p w14:paraId="53FC183A" w14:textId="77777777" w:rsidR="005154F3" w:rsidRDefault="005154F3" w:rsidP="005154F3">
      <w:pPr>
        <w:spacing w:after="0" w:line="276" w:lineRule="auto"/>
        <w:jc w:val="both"/>
        <w:rPr>
          <w:rFonts w:ascii="Verdana" w:hAnsi="Verdana" w:cs="Arial"/>
        </w:rPr>
      </w:pPr>
    </w:p>
    <w:p w14:paraId="093A38B9" w14:textId="77777777" w:rsidR="005154F3" w:rsidRDefault="005154F3" w:rsidP="005154F3">
      <w:pPr>
        <w:spacing w:after="0" w:line="276" w:lineRule="auto"/>
        <w:ind w:firstLine="708"/>
        <w:jc w:val="both"/>
        <w:rPr>
          <w:rFonts w:ascii="Verdana" w:hAnsi="Verdana" w:cs="Arial"/>
        </w:rPr>
      </w:pPr>
      <w:r w:rsidRPr="00CB68C5">
        <w:rPr>
          <w:rFonts w:ascii="Verdana" w:hAnsi="Verdana" w:cs="Arial"/>
        </w:rPr>
        <w:t xml:space="preserve">Esta precisión es importante, porque </w:t>
      </w:r>
      <w:r>
        <w:rPr>
          <w:rFonts w:ascii="Verdana" w:hAnsi="Verdana" w:cs="Arial"/>
        </w:rPr>
        <w:t xml:space="preserve">el grueso de los </w:t>
      </w:r>
      <w:r w:rsidRPr="00082689">
        <w:rPr>
          <w:rFonts w:ascii="Verdana" w:hAnsi="Verdana" w:cs="Arial"/>
          <w:i/>
          <w:iCs/>
        </w:rPr>
        <w:t>contratos típicos</w:t>
      </w:r>
      <w:r>
        <w:rPr>
          <w:rFonts w:ascii="Verdana" w:hAnsi="Verdana" w:cs="Arial"/>
        </w:rPr>
        <w:t xml:space="preserve"> –v. gr. compraventa, arrendamiento, mutuo, comodato, depósito, suministro, transporte, etc.–</w:t>
      </w:r>
      <w:r w:rsidRPr="00CB68C5">
        <w:rPr>
          <w:rFonts w:ascii="Verdana" w:hAnsi="Verdana" w:cs="Arial"/>
        </w:rPr>
        <w:t xml:space="preserve"> se encuentra</w:t>
      </w:r>
      <w:r>
        <w:rPr>
          <w:rFonts w:ascii="Verdana" w:hAnsi="Verdana" w:cs="Arial"/>
        </w:rPr>
        <w:t>n</w:t>
      </w:r>
      <w:r w:rsidRPr="00CB68C5">
        <w:rPr>
          <w:rFonts w:ascii="Verdana" w:hAnsi="Verdana" w:cs="Arial"/>
        </w:rPr>
        <w:t xml:space="preserve"> en el Código Civil y</w:t>
      </w:r>
      <w:r>
        <w:rPr>
          <w:rFonts w:ascii="Verdana" w:hAnsi="Verdana" w:cs="Arial"/>
        </w:rPr>
        <w:t xml:space="preserve"> en el Código de Comercio, por lo que</w:t>
      </w:r>
      <w:r w:rsidRPr="00CB68C5">
        <w:rPr>
          <w:rFonts w:ascii="Verdana" w:hAnsi="Verdana" w:cs="Arial"/>
        </w:rPr>
        <w:t xml:space="preserve"> allí encuentra</w:t>
      </w:r>
      <w:r>
        <w:rPr>
          <w:rFonts w:ascii="Verdana" w:hAnsi="Verdana" w:cs="Arial"/>
        </w:rPr>
        <w:t>n</w:t>
      </w:r>
      <w:r w:rsidRPr="00CB68C5">
        <w:rPr>
          <w:rFonts w:ascii="Verdana" w:hAnsi="Verdana" w:cs="Arial"/>
        </w:rPr>
        <w:t xml:space="preserve"> gran parte de su régimen jurídico</w:t>
      </w:r>
      <w:r>
        <w:rPr>
          <w:rFonts w:ascii="Verdana" w:hAnsi="Verdana" w:cs="Arial"/>
        </w:rPr>
        <w:t xml:space="preserve">. Sin embargo, ello no obsta para la existencia de </w:t>
      </w:r>
      <w:r w:rsidRPr="009D4B09">
        <w:rPr>
          <w:rFonts w:ascii="Verdana" w:hAnsi="Verdana" w:cs="Arial"/>
          <w:i/>
          <w:iCs/>
        </w:rPr>
        <w:t>contratos atípicos</w:t>
      </w:r>
      <w:r>
        <w:rPr>
          <w:rFonts w:ascii="Verdana" w:hAnsi="Verdana" w:cs="Arial"/>
        </w:rPr>
        <w:t>, pues –aunque no corresponden a un molde legal predefinido– en ellos obra con mayor alcance la libertad contractual. Como explica la doctrina:</w:t>
      </w:r>
    </w:p>
    <w:p w14:paraId="199EC7E8" w14:textId="77777777" w:rsidR="005154F3" w:rsidRDefault="005154F3" w:rsidP="005154F3">
      <w:pPr>
        <w:spacing w:after="0" w:line="276" w:lineRule="auto"/>
        <w:jc w:val="both"/>
        <w:rPr>
          <w:rFonts w:ascii="Verdana" w:hAnsi="Verdana" w:cs="Arial"/>
        </w:rPr>
      </w:pPr>
    </w:p>
    <w:p w14:paraId="7B67D9AF" w14:textId="77777777" w:rsidR="005154F3" w:rsidRPr="005F70F5" w:rsidRDefault="005154F3" w:rsidP="005154F3">
      <w:pPr>
        <w:spacing w:after="0" w:line="240" w:lineRule="auto"/>
        <w:ind w:left="709" w:right="709"/>
        <w:jc w:val="both"/>
        <w:rPr>
          <w:rFonts w:ascii="Verdana" w:hAnsi="Verdana" w:cs="Arial"/>
          <w:sz w:val="21"/>
          <w:szCs w:val="21"/>
        </w:rPr>
      </w:pPr>
      <w:r w:rsidRPr="005F70F5">
        <w:rPr>
          <w:rFonts w:ascii="Verdana" w:hAnsi="Verdana" w:cs="Arial"/>
          <w:sz w:val="21"/>
          <w:szCs w:val="21"/>
        </w:rPr>
        <w:t xml:space="preserve">“En los actos jurídicos atípicos se refleja en su mayor alcance, el postulado de la autonomía de la voluntad privada, pues es en ellos donde los interesados, consultando su mejor conveniencia, determinan los efectos que han de producir, su alcance, sus condiciones y modalidades, aunque las respectivas estipulaciones no se amolden a </w:t>
      </w:r>
      <w:r w:rsidRPr="005F70F5">
        <w:rPr>
          <w:rFonts w:ascii="Verdana" w:hAnsi="Verdana" w:cs="Arial"/>
          <w:sz w:val="21"/>
          <w:szCs w:val="21"/>
        </w:rPr>
        <w:lastRenderedPageBreak/>
        <w:t>los actos patrones reglamentados por la ley. ‘Bajo nuestro régimen jurídico —explica la Corte Suprema de Justicia—, la ley reglamenta ciertos tipos de contratos, lo cual no impide al tráfico moverse dentro de especies de convenciones distintas que satisfagan necesidades no previstas por el legislador, debido a que él obtiene sus materiales del pasado y se halla a menudo en retardo respecto de los hechos económicos’"</w:t>
      </w:r>
      <w:r>
        <w:rPr>
          <w:rStyle w:val="Refdenotaalpie"/>
          <w:rFonts w:ascii="Verdana" w:hAnsi="Verdana" w:cs="Arial"/>
          <w:sz w:val="21"/>
          <w:szCs w:val="21"/>
        </w:rPr>
        <w:footnoteReference w:id="4"/>
      </w:r>
      <w:r w:rsidRPr="005F70F5">
        <w:rPr>
          <w:rFonts w:ascii="Verdana" w:hAnsi="Verdana" w:cs="Arial"/>
          <w:sz w:val="21"/>
          <w:szCs w:val="21"/>
        </w:rPr>
        <w:t>.</w:t>
      </w:r>
    </w:p>
    <w:p w14:paraId="5A16F693" w14:textId="77777777" w:rsidR="005154F3" w:rsidRDefault="005154F3" w:rsidP="005154F3">
      <w:pPr>
        <w:spacing w:after="0" w:line="276" w:lineRule="auto"/>
        <w:jc w:val="both"/>
        <w:rPr>
          <w:rFonts w:ascii="Verdana" w:hAnsi="Verdana" w:cs="Arial"/>
        </w:rPr>
      </w:pPr>
    </w:p>
    <w:p w14:paraId="3DFE43BD" w14:textId="77777777" w:rsidR="005154F3" w:rsidRPr="00D239E3" w:rsidRDefault="005154F3" w:rsidP="005154F3">
      <w:pPr>
        <w:spacing w:line="276" w:lineRule="auto"/>
        <w:ind w:firstLine="567"/>
        <w:jc w:val="both"/>
        <w:rPr>
          <w:rFonts w:ascii="Verdana" w:eastAsia="Calibri" w:hAnsi="Verdana"/>
          <w:color w:val="000000" w:themeColor="text1"/>
          <w:lang w:val="es-ES_tradnl"/>
        </w:rPr>
      </w:pPr>
      <w:r w:rsidRPr="005F70F5">
        <w:rPr>
          <w:rFonts w:ascii="Verdana" w:eastAsia="Calibri" w:hAnsi="Verdana"/>
          <w:color w:val="000000" w:themeColor="text1"/>
          <w:lang w:val="es-ES_tradnl"/>
        </w:rPr>
        <w:t xml:space="preserve">El inciso primero del </w:t>
      </w:r>
      <w:r>
        <w:rPr>
          <w:rFonts w:ascii="Verdana" w:eastAsia="Calibri" w:hAnsi="Verdana"/>
          <w:color w:val="000000" w:themeColor="text1"/>
          <w:lang w:val="es-ES_tradnl"/>
        </w:rPr>
        <w:t xml:space="preserve">precitado </w:t>
      </w:r>
      <w:r w:rsidRPr="005F70F5">
        <w:rPr>
          <w:rFonts w:ascii="Verdana" w:eastAsia="Calibri" w:hAnsi="Verdana"/>
          <w:color w:val="000000" w:themeColor="text1"/>
          <w:lang w:val="es-ES_tradnl"/>
        </w:rPr>
        <w:t xml:space="preserve">artículo 32 de la Ley 80 de 1993 define los contratos estatales como </w:t>
      </w:r>
      <w:r>
        <w:rPr>
          <w:rFonts w:ascii="Verdana" w:eastAsia="Calibri" w:hAnsi="Verdana"/>
          <w:color w:val="000000" w:themeColor="text1"/>
          <w:lang w:val="es-ES_tradnl"/>
        </w:rPr>
        <w:t>“</w:t>
      </w:r>
      <w:r w:rsidRPr="005F70F5">
        <w:rPr>
          <w:rFonts w:ascii="Verdana" w:eastAsia="Calibri" w:hAnsi="Verdana"/>
          <w:color w:val="000000" w:themeColor="text1"/>
          <w:lang w:val="es-ES_tradnl"/>
        </w:rPr>
        <w:t xml:space="preserve">[…] todos los actos jurídicos generadores de obligaciones </w:t>
      </w:r>
      <w:r>
        <w:rPr>
          <w:rFonts w:ascii="Verdana" w:eastAsia="Calibri" w:hAnsi="Verdana"/>
          <w:color w:val="000000" w:themeColor="text1"/>
          <w:lang w:val="es-ES_tradnl"/>
        </w:rPr>
        <w:t>[…]</w:t>
      </w:r>
      <w:r w:rsidRPr="005F70F5">
        <w:rPr>
          <w:rFonts w:ascii="Verdana" w:eastAsia="Calibri" w:hAnsi="Verdana"/>
          <w:color w:val="000000" w:themeColor="text1"/>
          <w:lang w:val="es-ES_tradnl"/>
        </w:rPr>
        <w:t xml:space="preserve"> derivados del ejercicio de la autonomía de la voluntad […]</w:t>
      </w:r>
      <w:r>
        <w:rPr>
          <w:rFonts w:ascii="Verdana" w:eastAsia="Calibri" w:hAnsi="Verdana"/>
          <w:color w:val="000000" w:themeColor="text1"/>
          <w:lang w:val="es-ES_tradnl"/>
        </w:rPr>
        <w:t>”</w:t>
      </w:r>
      <w:r w:rsidRPr="005F70F5">
        <w:rPr>
          <w:rFonts w:ascii="Verdana" w:eastAsia="Calibri" w:hAnsi="Verdana"/>
          <w:color w:val="000000" w:themeColor="text1"/>
          <w:lang w:val="es-ES_tradnl"/>
        </w:rPr>
        <w:t xml:space="preserve">, por lo que las partes están facultadas para suscribir </w:t>
      </w:r>
      <w:r w:rsidRPr="005F70F5">
        <w:rPr>
          <w:rFonts w:ascii="Verdana" w:eastAsia="Calibri" w:hAnsi="Verdana"/>
          <w:i/>
          <w:iCs/>
          <w:color w:val="000000" w:themeColor="text1"/>
          <w:lang w:val="es-ES_tradnl"/>
        </w:rPr>
        <w:t>contratos mixtos</w:t>
      </w:r>
      <w:r w:rsidRPr="005F70F5">
        <w:rPr>
          <w:rFonts w:ascii="Verdana" w:eastAsia="Calibri" w:hAnsi="Verdana"/>
          <w:color w:val="000000" w:themeColor="text1"/>
          <w:lang w:val="es-ES_tradnl"/>
        </w:rPr>
        <w:t xml:space="preserve">. Como una forma de contratación atípica, estos se caracterizan por acumular prestaciones de varios contratos nominados para satisfacer una necesidad común, es decir, </w:t>
      </w:r>
      <w:r>
        <w:rPr>
          <w:rFonts w:ascii="Verdana" w:eastAsia="Calibri" w:hAnsi="Verdana"/>
          <w:color w:val="000000" w:themeColor="text1"/>
          <w:lang w:val="es-ES_tradnl"/>
        </w:rPr>
        <w:t>“</w:t>
      </w:r>
      <w:r w:rsidRPr="005F70F5">
        <w:rPr>
          <w:rFonts w:ascii="Verdana" w:eastAsia="Calibri" w:hAnsi="Verdana"/>
          <w:color w:val="000000" w:themeColor="text1"/>
          <w:lang w:val="es-ES_tradnl"/>
        </w:rPr>
        <w:t xml:space="preserve">Su finalidad económica es única y condensa el propósito perseguido por los contratantes. Las diversas </w:t>
      </w:r>
      <w:r w:rsidRPr="00D239E3">
        <w:rPr>
          <w:rFonts w:ascii="Verdana" w:eastAsia="Calibri" w:hAnsi="Verdana"/>
          <w:color w:val="000000" w:themeColor="text1"/>
          <w:lang w:val="es-ES_tradnl"/>
        </w:rPr>
        <w:t>prestaciones, aunque corresponden a diversos contratos típicos, se subordinan a esa finalidad e intención de las partes”</w:t>
      </w:r>
      <w:r w:rsidRPr="00D239E3">
        <w:rPr>
          <w:rStyle w:val="Refdenotaalpie"/>
          <w:rFonts w:ascii="Verdana" w:eastAsia="Calibri" w:hAnsi="Verdana"/>
          <w:color w:val="000000" w:themeColor="text1"/>
          <w:lang w:val="es-ES_tradnl"/>
        </w:rPr>
        <w:footnoteReference w:id="5"/>
      </w:r>
      <w:r w:rsidRPr="00D239E3">
        <w:rPr>
          <w:rFonts w:ascii="Verdana" w:eastAsia="Calibri" w:hAnsi="Verdana"/>
          <w:color w:val="000000" w:themeColor="text1"/>
          <w:lang w:val="es-ES_tradnl"/>
        </w:rPr>
        <w:t xml:space="preserve">. </w:t>
      </w:r>
    </w:p>
    <w:p w14:paraId="5E79776F" w14:textId="77777777" w:rsidR="005154F3" w:rsidRDefault="005154F3" w:rsidP="005154F3">
      <w:pPr>
        <w:spacing w:before="120" w:line="276" w:lineRule="auto"/>
        <w:ind w:firstLine="708"/>
        <w:jc w:val="both"/>
        <w:rPr>
          <w:rFonts w:ascii="Verdana" w:eastAsia="Calibri" w:hAnsi="Verdana"/>
          <w:color w:val="000000" w:themeColor="text1"/>
          <w:lang w:val="es-ES_tradnl"/>
        </w:rPr>
      </w:pPr>
      <w:r w:rsidRPr="00D239E3">
        <w:rPr>
          <w:rFonts w:ascii="Verdana" w:eastAsia="Calibri" w:hAnsi="Verdana"/>
          <w:color w:val="000000" w:themeColor="text1"/>
        </w:rPr>
        <w:t xml:space="preserve">En este contexto, es importante diferenciar los </w:t>
      </w:r>
      <w:r>
        <w:rPr>
          <w:rFonts w:ascii="Verdana" w:eastAsia="Calibri" w:hAnsi="Verdana"/>
          <w:color w:val="000000" w:themeColor="text1"/>
          <w:sz w:val="20"/>
          <w:szCs w:val="20"/>
        </w:rPr>
        <w:t>“</w:t>
      </w:r>
      <w:r w:rsidRPr="00D239E3">
        <w:rPr>
          <w:rFonts w:ascii="Verdana" w:eastAsia="Calibri" w:hAnsi="Verdana"/>
          <w:color w:val="000000" w:themeColor="text1"/>
        </w:rPr>
        <w:t>contratos mixtos</w:t>
      </w:r>
      <w:r>
        <w:rPr>
          <w:rFonts w:ascii="Verdana" w:eastAsia="Calibri" w:hAnsi="Verdana"/>
          <w:color w:val="000000" w:themeColor="text1"/>
        </w:rPr>
        <w:t>”</w:t>
      </w:r>
      <w:r w:rsidRPr="00D239E3">
        <w:rPr>
          <w:rFonts w:ascii="Verdana" w:eastAsia="Calibri" w:hAnsi="Verdana"/>
          <w:color w:val="000000" w:themeColor="text1"/>
        </w:rPr>
        <w:t xml:space="preserve"> de las </w:t>
      </w:r>
      <w:r>
        <w:rPr>
          <w:rFonts w:ascii="Verdana" w:eastAsia="Calibri" w:hAnsi="Verdana"/>
          <w:color w:val="000000" w:themeColor="text1"/>
        </w:rPr>
        <w:t>“</w:t>
      </w:r>
      <w:r w:rsidRPr="00D239E3">
        <w:rPr>
          <w:rFonts w:ascii="Verdana" w:eastAsia="Calibri" w:hAnsi="Verdana"/>
          <w:color w:val="000000" w:themeColor="text1"/>
        </w:rPr>
        <w:t>uniones de contratos</w:t>
      </w:r>
      <w:r>
        <w:rPr>
          <w:rFonts w:ascii="Verdana" w:eastAsia="Calibri" w:hAnsi="Verdana"/>
          <w:color w:val="000000" w:themeColor="text1"/>
        </w:rPr>
        <w:t>”</w:t>
      </w:r>
      <w:r w:rsidRPr="00D239E3">
        <w:rPr>
          <w:rFonts w:ascii="Verdana" w:eastAsia="Calibri" w:hAnsi="Verdana"/>
          <w:color w:val="000000" w:themeColor="text1"/>
        </w:rPr>
        <w:t xml:space="preserve">. En el </w:t>
      </w:r>
      <w:r w:rsidRPr="00D239E3">
        <w:rPr>
          <w:rFonts w:ascii="Verdana" w:eastAsia="Calibri" w:hAnsi="Verdana"/>
          <w:i/>
          <w:iCs/>
          <w:color w:val="000000" w:themeColor="text1"/>
        </w:rPr>
        <w:t>contrato mixto</w:t>
      </w:r>
      <w:r w:rsidRPr="00D239E3">
        <w:rPr>
          <w:rFonts w:ascii="Verdana" w:eastAsia="Calibri" w:hAnsi="Verdana"/>
          <w:color w:val="000000" w:themeColor="text1"/>
        </w:rPr>
        <w:t xml:space="preserve"> existe un solo acuerdo con elementos de diversos tipos de contrato, mientras que en las </w:t>
      </w:r>
      <w:r w:rsidRPr="00D239E3">
        <w:rPr>
          <w:rFonts w:ascii="Verdana" w:eastAsia="Calibri" w:hAnsi="Verdana"/>
          <w:i/>
          <w:iCs/>
          <w:color w:val="000000" w:themeColor="text1"/>
        </w:rPr>
        <w:t>uniones de contrato</w:t>
      </w:r>
      <w:r w:rsidRPr="00D239E3">
        <w:rPr>
          <w:rFonts w:ascii="Verdana" w:eastAsia="Calibri" w:hAnsi="Verdana"/>
          <w:color w:val="000000" w:themeColor="text1"/>
        </w:rPr>
        <w:t xml:space="preserve"> cada uno de ellos mantiene su régimen y autonomía. Para esta distinción corresponde identificar la causa del contrato, es decir, el móvil para celebrarlo: si existe unidad causal corresponde a un </w:t>
      </w:r>
      <w:r>
        <w:rPr>
          <w:rFonts w:ascii="Verdana" w:eastAsia="Calibri" w:hAnsi="Verdana"/>
          <w:color w:val="000000" w:themeColor="text1"/>
          <w:sz w:val="20"/>
          <w:szCs w:val="20"/>
        </w:rPr>
        <w:t>“</w:t>
      </w:r>
      <w:r w:rsidRPr="00D239E3">
        <w:rPr>
          <w:rFonts w:ascii="Verdana" w:eastAsia="Calibri" w:hAnsi="Verdana"/>
          <w:color w:val="000000" w:themeColor="text1"/>
        </w:rPr>
        <w:t>contrato mixto</w:t>
      </w:r>
      <w:r>
        <w:rPr>
          <w:rFonts w:ascii="Verdana" w:eastAsia="Calibri" w:hAnsi="Verdana"/>
          <w:color w:val="000000" w:themeColor="text1"/>
        </w:rPr>
        <w:t>”</w:t>
      </w:r>
      <w:r w:rsidRPr="00D239E3">
        <w:rPr>
          <w:rFonts w:ascii="Verdana" w:eastAsia="Calibri" w:hAnsi="Verdana"/>
          <w:color w:val="000000" w:themeColor="text1"/>
        </w:rPr>
        <w:t xml:space="preserve">; de lo contrario, es una </w:t>
      </w:r>
      <w:r>
        <w:rPr>
          <w:rFonts w:ascii="Verdana" w:eastAsia="Calibri" w:hAnsi="Verdana"/>
          <w:color w:val="000000" w:themeColor="text1"/>
        </w:rPr>
        <w:t>“</w:t>
      </w:r>
      <w:r w:rsidRPr="00D239E3">
        <w:rPr>
          <w:rFonts w:ascii="Verdana" w:eastAsia="Calibri" w:hAnsi="Verdana"/>
          <w:color w:val="000000" w:themeColor="text1"/>
        </w:rPr>
        <w:t>unión de contratos</w:t>
      </w:r>
      <w:r>
        <w:rPr>
          <w:rFonts w:ascii="Verdana" w:eastAsia="Calibri" w:hAnsi="Verdana"/>
          <w:color w:val="000000" w:themeColor="text1"/>
        </w:rPr>
        <w:t>”</w:t>
      </w:r>
      <w:r w:rsidRPr="00D239E3">
        <w:rPr>
          <w:rStyle w:val="Refdenotaalpie"/>
          <w:rFonts w:ascii="Verdana" w:eastAsia="Calibri" w:hAnsi="Verdana"/>
          <w:color w:val="000000" w:themeColor="text1"/>
        </w:rPr>
        <w:footnoteReference w:id="6"/>
      </w:r>
      <w:r w:rsidRPr="00D239E3">
        <w:rPr>
          <w:rFonts w:ascii="Verdana" w:eastAsia="Calibri" w:hAnsi="Verdana"/>
          <w:color w:val="000000" w:themeColor="text1"/>
        </w:rPr>
        <w:t>.</w:t>
      </w:r>
      <w:r w:rsidRPr="00D239E3">
        <w:rPr>
          <w:rFonts w:ascii="Verdana" w:eastAsia="Calibri" w:hAnsi="Verdana"/>
          <w:color w:val="000000" w:themeColor="text1"/>
          <w:lang w:val="es-ES_tradnl"/>
        </w:rPr>
        <w:t xml:space="preserve"> </w:t>
      </w:r>
    </w:p>
    <w:p w14:paraId="74E7CBFE" w14:textId="77777777" w:rsidR="005154F3" w:rsidRDefault="005154F3" w:rsidP="005154F3">
      <w:pPr>
        <w:spacing w:before="120" w:line="276" w:lineRule="auto"/>
        <w:ind w:firstLine="708"/>
        <w:jc w:val="both"/>
        <w:rPr>
          <w:rFonts w:ascii="Verdana" w:eastAsia="Calibri" w:hAnsi="Verdana"/>
          <w:color w:val="000000" w:themeColor="text1"/>
          <w:lang w:val="es-ES_tradnl"/>
        </w:rPr>
      </w:pPr>
      <w:r w:rsidRPr="00B03EF6">
        <w:rPr>
          <w:rFonts w:ascii="Verdana" w:eastAsia="Calibri" w:hAnsi="Verdana"/>
          <w:color w:val="000000" w:themeColor="text1"/>
          <w:lang w:val="es-ES_tradnl"/>
        </w:rPr>
        <w:t>Respecto a los contratos de operación logística</w:t>
      </w:r>
      <w:r>
        <w:rPr>
          <w:rFonts w:ascii="Verdana" w:eastAsia="Calibri" w:hAnsi="Verdana"/>
          <w:color w:val="000000" w:themeColor="text1"/>
          <w:lang w:val="es-ES_tradnl"/>
        </w:rPr>
        <w:t xml:space="preserve">, estos corresponden a </w:t>
      </w:r>
      <w:r w:rsidRPr="00B03EF6">
        <w:rPr>
          <w:rFonts w:ascii="Verdana" w:eastAsia="Calibri" w:hAnsi="Verdana"/>
          <w:i/>
          <w:iCs/>
          <w:color w:val="000000" w:themeColor="text1"/>
          <w:lang w:val="es-ES_tradnl"/>
        </w:rPr>
        <w:t>contratos mixtos</w:t>
      </w:r>
      <w:r>
        <w:rPr>
          <w:rFonts w:ascii="Verdana" w:eastAsia="Calibri" w:hAnsi="Verdana"/>
          <w:color w:val="000000" w:themeColor="text1"/>
          <w:lang w:val="es-ES_tradnl"/>
        </w:rPr>
        <w:t xml:space="preserve">. De hecho, sin perjuicio de las demás obligaciones que pacten las partes, es frecuente que en la práctica tengan componentes de compraventa, suministro, arrendamiento de bienes muebles o inmuebles, transporte, etc., de donde se desprende la existencia de prestaciones de una o más tipologías </w:t>
      </w:r>
      <w:r>
        <w:rPr>
          <w:rFonts w:ascii="Verdana" w:eastAsia="Calibri" w:hAnsi="Verdana"/>
          <w:color w:val="000000" w:themeColor="text1"/>
          <w:lang w:val="es-ES_tradnl"/>
        </w:rPr>
        <w:lastRenderedPageBreak/>
        <w:t>contractuales</w:t>
      </w:r>
      <w:r>
        <w:rPr>
          <w:rStyle w:val="Refdenotaalpie"/>
          <w:rFonts w:ascii="Verdana" w:eastAsia="Calibri" w:hAnsi="Verdana"/>
          <w:color w:val="000000" w:themeColor="text1"/>
          <w:lang w:val="es-ES_tradnl"/>
        </w:rPr>
        <w:footnoteReference w:id="7"/>
      </w:r>
      <w:r>
        <w:rPr>
          <w:rFonts w:ascii="Verdana" w:eastAsia="Calibri" w:hAnsi="Verdana"/>
          <w:color w:val="000000" w:themeColor="text1"/>
          <w:lang w:val="es-ES_tradnl"/>
        </w:rPr>
        <w:t xml:space="preserve">. Por ello, como contrato atípico, la doctrina sugiere integrar su contenido teniendo en cuenta los siguientes criterios: “[…] </w:t>
      </w:r>
      <w:r w:rsidRPr="00DE4EF6">
        <w:rPr>
          <w:rFonts w:ascii="Verdana" w:eastAsia="Calibri" w:hAnsi="Verdana"/>
          <w:color w:val="000000" w:themeColor="text1"/>
          <w:lang w:val="es-ES_tradnl"/>
        </w:rPr>
        <w:t>1°) las leyes imperativas; 2°) las cláusulas libremente redactadas o estipuladas</w:t>
      </w:r>
      <w:r>
        <w:rPr>
          <w:rFonts w:ascii="Verdana" w:eastAsia="Calibri" w:hAnsi="Verdana"/>
          <w:color w:val="000000" w:themeColor="text1"/>
          <w:lang w:val="es-ES_tradnl"/>
        </w:rPr>
        <w:t xml:space="preserve"> </w:t>
      </w:r>
      <w:r w:rsidRPr="00DE4EF6">
        <w:rPr>
          <w:rFonts w:ascii="Verdana" w:eastAsia="Calibri" w:hAnsi="Verdana"/>
          <w:color w:val="000000" w:themeColor="text1"/>
          <w:lang w:val="es-ES_tradnl"/>
        </w:rPr>
        <w:t>por los agentes; 3°) las reglas generales de los actos jurídicos y de los contratos,</w:t>
      </w:r>
      <w:r>
        <w:rPr>
          <w:rFonts w:ascii="Verdana" w:eastAsia="Calibri" w:hAnsi="Verdana"/>
          <w:color w:val="000000" w:themeColor="text1"/>
          <w:lang w:val="es-ES_tradnl"/>
        </w:rPr>
        <w:t xml:space="preserve"> </w:t>
      </w:r>
      <w:r w:rsidRPr="00DE4EF6">
        <w:rPr>
          <w:rFonts w:ascii="Verdana" w:eastAsia="Calibri" w:hAnsi="Verdana"/>
          <w:color w:val="000000" w:themeColor="text1"/>
          <w:lang w:val="es-ES_tradnl"/>
        </w:rPr>
        <w:t>según el caso; 4°) las reglas propias del contrato típico más próximo o semejante,</w:t>
      </w:r>
      <w:r>
        <w:rPr>
          <w:rFonts w:ascii="Verdana" w:eastAsia="Calibri" w:hAnsi="Verdana"/>
          <w:color w:val="000000" w:themeColor="text1"/>
          <w:lang w:val="es-ES_tradnl"/>
        </w:rPr>
        <w:t xml:space="preserve"> </w:t>
      </w:r>
      <w:r w:rsidRPr="00DE4EF6">
        <w:rPr>
          <w:rFonts w:ascii="Verdana" w:eastAsia="Calibri" w:hAnsi="Verdana"/>
          <w:color w:val="000000" w:themeColor="text1"/>
          <w:lang w:val="es-ES_tradnl"/>
        </w:rPr>
        <w:t>y 5°) la doctrina constitucional y los principios generales de derecho</w:t>
      </w:r>
      <w:r>
        <w:rPr>
          <w:rFonts w:ascii="Verdana" w:eastAsia="Calibri" w:hAnsi="Verdana"/>
          <w:color w:val="000000" w:themeColor="text1"/>
          <w:lang w:val="es-ES_tradnl"/>
        </w:rPr>
        <w:t>”</w:t>
      </w:r>
      <w:r>
        <w:rPr>
          <w:rStyle w:val="Refdenotaalpie"/>
          <w:rFonts w:ascii="Verdana" w:eastAsia="Calibri" w:hAnsi="Verdana"/>
          <w:color w:val="000000" w:themeColor="text1"/>
          <w:lang w:val="es-ES_tradnl"/>
        </w:rPr>
        <w:footnoteReference w:id="8"/>
      </w:r>
      <w:r w:rsidRPr="00DE4EF6">
        <w:rPr>
          <w:rFonts w:ascii="Verdana" w:eastAsia="Calibri" w:hAnsi="Verdana"/>
          <w:color w:val="000000" w:themeColor="text1"/>
          <w:lang w:val="es-ES_tradnl"/>
        </w:rPr>
        <w:t>.</w:t>
      </w:r>
      <w:r>
        <w:rPr>
          <w:rFonts w:ascii="Verdana" w:eastAsia="Calibri" w:hAnsi="Verdana"/>
          <w:color w:val="000000" w:themeColor="text1"/>
          <w:lang w:val="es-ES_tradnl"/>
        </w:rPr>
        <w:t xml:space="preserve"> </w:t>
      </w:r>
    </w:p>
    <w:p w14:paraId="7B89B3F9" w14:textId="77777777" w:rsidR="005154F3" w:rsidRDefault="005154F3" w:rsidP="005154F3">
      <w:pPr>
        <w:spacing w:before="120" w:line="276" w:lineRule="auto"/>
        <w:ind w:firstLine="708"/>
        <w:jc w:val="both"/>
        <w:rPr>
          <w:rFonts w:ascii="Verdana" w:eastAsia="Calibri" w:hAnsi="Verdana"/>
          <w:color w:val="000000" w:themeColor="text1"/>
          <w:lang w:val="es-ES"/>
        </w:rPr>
      </w:pPr>
      <w:r w:rsidRPr="21328DCE">
        <w:rPr>
          <w:rFonts w:ascii="Verdana" w:eastAsia="Calibri" w:hAnsi="Verdana"/>
          <w:color w:val="000000" w:themeColor="text1"/>
          <w:lang w:val="es-ES"/>
        </w:rPr>
        <w:t>Mas allá de la tipicidad o no del negocio, es necesario tener en cuenta que la capacidad contractual para celebrar contratos estatales se encuentra regulada en el artículo 6 de la Ley 80 de 1993. De conformidad con la norma citada, “Pueden celebrar contratos con las entidades estatales las personas consideradas legalmente capaces en las disposiciones vigentes […]”. De acuerdo con la modificación de la Ley 2160 de 2021, la norma agrega lo siguiente: “[…] También podrán celebrar contratos con las entidades estatales los Cabildos Indígenas, las asociaciones de Autoridades Tradicionales Indígenas, los consejos comunitarios de las comunidades negras regulados por la Ley 70 de 1993 […] las organizaciones de base de comunidades negras, afrocolombianas, raizales y palenqueras y las demás formas y expresiones organizativas […]; y los consorcios y uniones temporales”. De esta manera, los contratos de operación logística pueden celebrarse con cualquier persona que tenga dentro de su misionalidad u objeto la ejecución de esta actividad</w:t>
      </w:r>
      <w:r w:rsidRPr="21328DCE">
        <w:rPr>
          <w:rStyle w:val="Refdenotaalpie"/>
          <w:rFonts w:ascii="Verdana" w:eastAsia="Calibri" w:hAnsi="Verdana"/>
          <w:color w:val="000000" w:themeColor="text1"/>
          <w:lang w:val="es-ES"/>
        </w:rPr>
        <w:footnoteReference w:id="9"/>
      </w:r>
      <w:r w:rsidRPr="21328DCE">
        <w:rPr>
          <w:rFonts w:ascii="Verdana" w:eastAsia="Calibri" w:hAnsi="Verdana"/>
          <w:color w:val="000000" w:themeColor="text1"/>
          <w:lang w:val="es-ES"/>
        </w:rPr>
        <w:t>.</w:t>
      </w:r>
    </w:p>
    <w:p w14:paraId="6CCA5C74" w14:textId="77777777" w:rsidR="005154F3" w:rsidRDefault="005154F3" w:rsidP="005154F3">
      <w:pPr>
        <w:spacing w:before="120" w:line="276" w:lineRule="auto"/>
        <w:ind w:firstLine="708"/>
        <w:jc w:val="both"/>
        <w:rPr>
          <w:rFonts w:ascii="Verdana" w:eastAsia="Calibri" w:hAnsi="Verdana"/>
          <w:color w:val="000000" w:themeColor="text1"/>
        </w:rPr>
      </w:pPr>
      <w:r w:rsidRPr="21328DCE">
        <w:rPr>
          <w:rFonts w:ascii="Verdana" w:eastAsia="Calibri" w:hAnsi="Verdana"/>
          <w:color w:val="000000" w:themeColor="text1"/>
        </w:rPr>
        <w:t xml:space="preserve">Asimismo, para efectos de individualizar sus requisitos esenciales, el artículo 1501 del Código Civil dispone que corresponden a “[…] aquellas cosas sin las cuales, o no produce efecto alguno, o degeneran en otro contrato diferente […]”. Sobre este último elemento de la norma citada, en la medida que el contrato de operación logística es una amalgama de prestaciones de otras tipologías, éste no pierde su calificación por la ausencia de una o varias de ellas. Es decir, “[…] no es admisible un juicio de comparación con las figuras típicas </w:t>
      </w:r>
      <w:r w:rsidRPr="21328DCE">
        <w:rPr>
          <w:rFonts w:ascii="Verdana" w:eastAsia="Calibri" w:hAnsi="Verdana"/>
          <w:color w:val="000000" w:themeColor="text1"/>
        </w:rPr>
        <w:lastRenderedPageBreak/>
        <w:t>del ordenamiento, en virtud de la indeterminación inherente antes de su perfeccionamiento, pues […] este es fruto de la mera autonomía privada de las partes, la cual da vida a una figura absolutamente extraña a los tipos contractuales establecidos por las normas jurídicas del ordenamiento jurídico y por la costumbre […]”</w:t>
      </w:r>
      <w:r w:rsidRPr="21328DCE">
        <w:rPr>
          <w:rStyle w:val="Refdenotaalpie"/>
          <w:rFonts w:ascii="Verdana" w:eastAsia="Calibri" w:hAnsi="Verdana"/>
          <w:color w:val="000000" w:themeColor="text1"/>
        </w:rPr>
        <w:footnoteReference w:id="10"/>
      </w:r>
      <w:r w:rsidRPr="21328DCE">
        <w:rPr>
          <w:rFonts w:ascii="Verdana" w:eastAsia="Calibri" w:hAnsi="Verdana"/>
          <w:color w:val="000000" w:themeColor="text1"/>
        </w:rPr>
        <w:t xml:space="preserve">. </w:t>
      </w:r>
    </w:p>
    <w:p w14:paraId="2A49B7DE" w14:textId="77777777" w:rsidR="005154F3" w:rsidRDefault="005154F3" w:rsidP="005154F3">
      <w:pPr>
        <w:spacing w:before="120" w:after="0" w:line="276" w:lineRule="auto"/>
        <w:ind w:firstLine="708"/>
        <w:jc w:val="both"/>
        <w:rPr>
          <w:rFonts w:ascii="Verdana" w:eastAsia="Calibri" w:hAnsi="Verdana"/>
          <w:color w:val="000000" w:themeColor="text1"/>
          <w:lang w:val="es-ES"/>
        </w:rPr>
      </w:pPr>
      <w:r w:rsidRPr="21328DCE">
        <w:rPr>
          <w:rFonts w:ascii="Verdana" w:eastAsia="Calibri" w:hAnsi="Verdana"/>
          <w:color w:val="000000" w:themeColor="text1"/>
          <w:lang w:val="es-ES"/>
        </w:rPr>
        <w:t xml:space="preserve">Al margen de la tipicidad o no del negocio, la existencia de los contratos estatales, es decir, la producción de efectos jurídicos en los términos del artículo 1501 </w:t>
      </w:r>
      <w:r w:rsidRPr="21328DCE">
        <w:rPr>
          <w:rFonts w:ascii="Verdana" w:eastAsia="Calibri" w:hAnsi="Verdana"/>
          <w:i/>
          <w:color w:val="000000" w:themeColor="text1"/>
          <w:lang w:val="es-ES"/>
        </w:rPr>
        <w:t>ibidem</w:t>
      </w:r>
      <w:r w:rsidRPr="21328DCE">
        <w:rPr>
          <w:rFonts w:ascii="Verdana" w:eastAsia="Calibri" w:hAnsi="Verdana"/>
          <w:color w:val="000000" w:themeColor="text1"/>
          <w:lang w:val="es-ES"/>
        </w:rPr>
        <w:t xml:space="preserve">, depende de la regulación del inciso primero de los artículos 39 y 41 del Estatuto General de Contratación de la Administración Pública.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691F7E83" w14:textId="77777777" w:rsidR="005154F3" w:rsidRDefault="005154F3" w:rsidP="005154F3">
      <w:pPr>
        <w:spacing w:after="0" w:line="276" w:lineRule="auto"/>
        <w:ind w:firstLine="708"/>
        <w:jc w:val="both"/>
        <w:rPr>
          <w:rFonts w:ascii="Verdana" w:eastAsia="Calibri" w:hAnsi="Verdana"/>
          <w:color w:val="000000" w:themeColor="text1"/>
          <w:lang w:val="es-ES_tradnl"/>
        </w:rPr>
      </w:pPr>
    </w:p>
    <w:p w14:paraId="784550A3" w14:textId="77777777" w:rsidR="005154F3" w:rsidRDefault="005154F3" w:rsidP="005154F3">
      <w:pPr>
        <w:spacing w:after="120" w:line="276" w:lineRule="auto"/>
        <w:ind w:right="79" w:firstLine="707"/>
        <w:jc w:val="both"/>
        <w:rPr>
          <w:rFonts w:ascii="Verdana" w:hAnsi="Verdana" w:cs="Arial"/>
        </w:rPr>
      </w:pPr>
      <w:r>
        <w:rPr>
          <w:rFonts w:ascii="Verdana" w:eastAsia="Arial" w:hAnsi="Verdana" w:cs="Arial"/>
          <w:bCs/>
          <w:lang w:val="es-MX"/>
        </w:rPr>
        <w:t>Además, conforme al principio de planeación la entidad deberá determinar la forma en la que se contratará las actividades de operación logística durante la vigencia fiscal, atendiendo a la necesidad a satisfacer,</w:t>
      </w:r>
      <w:r w:rsidRPr="00C24533">
        <w:rPr>
          <w:rFonts w:ascii="Verdana" w:hAnsi="Verdana" w:cs="Arial"/>
        </w:rPr>
        <w:t xml:space="preserve"> </w:t>
      </w:r>
      <w:r>
        <w:rPr>
          <w:rFonts w:ascii="Verdana" w:hAnsi="Verdana" w:cs="Arial"/>
        </w:rPr>
        <w:t xml:space="preserve">a la conveniencia o inconveniencia del objeto a contratar, a </w:t>
      </w:r>
      <w:r w:rsidRPr="00087B05">
        <w:rPr>
          <w:rFonts w:ascii="Verdana" w:hAnsi="Verdana" w:cs="Arial"/>
        </w:rPr>
        <w:t xml:space="preserve">los costos </w:t>
      </w:r>
      <w:r>
        <w:rPr>
          <w:rFonts w:ascii="Verdana" w:hAnsi="Verdana" w:cs="Arial"/>
        </w:rPr>
        <w:t xml:space="preserve">que </w:t>
      </w:r>
      <w:r w:rsidRPr="00087B05">
        <w:rPr>
          <w:rFonts w:ascii="Verdana" w:hAnsi="Verdana" w:cs="Arial"/>
        </w:rPr>
        <w:t>podría</w:t>
      </w:r>
      <w:r>
        <w:rPr>
          <w:rFonts w:ascii="Verdana" w:hAnsi="Verdana" w:cs="Arial"/>
        </w:rPr>
        <w:t>n</w:t>
      </w:r>
      <w:r w:rsidRPr="00087B05">
        <w:rPr>
          <w:rFonts w:ascii="Verdana" w:hAnsi="Verdana" w:cs="Arial"/>
        </w:rPr>
        <w:t xml:space="preserve"> demandar la celebración y ejecución del contrato,</w:t>
      </w:r>
      <w:r w:rsidRPr="00C24533">
        <w:rPr>
          <w:rFonts w:ascii="Verdana" w:hAnsi="Verdana" w:cs="Arial"/>
        </w:rPr>
        <w:t xml:space="preserve"> </w:t>
      </w:r>
      <w:r w:rsidRPr="00087B05">
        <w:rPr>
          <w:rFonts w:ascii="Verdana" w:hAnsi="Verdana" w:cs="Arial"/>
        </w:rPr>
        <w:t>la disponibilidad de recursos o la capacidad financiera de la entidad contratante</w:t>
      </w:r>
      <w:r>
        <w:rPr>
          <w:rFonts w:ascii="Verdana" w:hAnsi="Verdana" w:cs="Arial"/>
        </w:rPr>
        <w:t xml:space="preserve"> </w:t>
      </w:r>
      <w:r w:rsidRPr="00087B05">
        <w:rPr>
          <w:rFonts w:ascii="Verdana" w:hAnsi="Verdana" w:cs="Arial"/>
        </w:rPr>
        <w:t xml:space="preserve">para asumir las obligaciones de pago producto </w:t>
      </w:r>
      <w:r>
        <w:rPr>
          <w:rFonts w:ascii="Verdana" w:hAnsi="Verdana" w:cs="Arial"/>
        </w:rPr>
        <w:t xml:space="preserve">y demás condiciones. De este modo, se trata de una decisión discrecional de la administración.  </w:t>
      </w:r>
    </w:p>
    <w:p w14:paraId="16337062" w14:textId="77777777" w:rsidR="005154F3" w:rsidRDefault="005154F3" w:rsidP="005154F3">
      <w:pPr>
        <w:spacing w:after="120" w:line="276" w:lineRule="auto"/>
        <w:ind w:right="79" w:firstLine="707"/>
        <w:jc w:val="both"/>
        <w:rPr>
          <w:rFonts w:ascii="Verdana" w:hAnsi="Verdana" w:cs="Arial"/>
        </w:rPr>
      </w:pPr>
      <w:r w:rsidRPr="00F30A39">
        <w:rPr>
          <w:rFonts w:ascii="Verdana" w:hAnsi="Verdana" w:cs="Arial"/>
        </w:rPr>
        <w:t>Así las cosas, aunque es una decisión autónoma de la entidad</w:t>
      </w:r>
      <w:r>
        <w:rPr>
          <w:rFonts w:ascii="Verdana" w:hAnsi="Verdana" w:cs="Arial"/>
        </w:rPr>
        <w:t>,</w:t>
      </w:r>
      <w:r w:rsidRPr="00F30A39">
        <w:rPr>
          <w:rFonts w:ascii="Verdana" w:hAnsi="Verdana" w:cs="Arial"/>
        </w:rPr>
        <w:t xml:space="preserve"> la </w:t>
      </w:r>
      <w:r>
        <w:rPr>
          <w:rFonts w:ascii="Verdana" w:hAnsi="Verdana" w:cs="Arial"/>
        </w:rPr>
        <w:t xml:space="preserve">entidad debe tener en cuenta el artículo 2 de la Ley 1150 de 2007, el cual establece que </w:t>
      </w:r>
      <w:r w:rsidRPr="00112A00">
        <w:rPr>
          <w:rFonts w:ascii="Verdana" w:hAnsi="Verdana" w:cs="Arial"/>
          <w:i/>
          <w:iCs/>
        </w:rPr>
        <w:t>la escogencia del contratista se efectuará con arreglo a las modalidades de selección de licitación pública, selección abreviada, concurso de méritos y contratación directa</w:t>
      </w:r>
      <w:r>
        <w:rPr>
          <w:rFonts w:ascii="Verdana" w:hAnsi="Verdana" w:cs="Arial"/>
          <w:i/>
          <w:iCs/>
        </w:rPr>
        <w:t xml:space="preserve"> […]</w:t>
      </w:r>
      <w:r w:rsidRPr="00112A00">
        <w:rPr>
          <w:rFonts w:ascii="Verdana" w:hAnsi="Verdana" w:cs="Arial"/>
          <w:i/>
          <w:iCs/>
        </w:rPr>
        <w:t xml:space="preserve">La escogencia del contratista se efectuará por regla general a través de licitación pública, con las excepciones que se señalan en los numerales 2, 3 y 4 del </w:t>
      </w:r>
      <w:r>
        <w:rPr>
          <w:rFonts w:ascii="Verdana" w:hAnsi="Verdana" w:cs="Arial"/>
          <w:i/>
          <w:iCs/>
        </w:rPr>
        <w:t>citado artículo</w:t>
      </w:r>
      <w:r w:rsidRPr="00112A00">
        <w:rPr>
          <w:rFonts w:ascii="Verdana" w:hAnsi="Verdana" w:cs="Arial"/>
          <w:i/>
          <w:iCs/>
        </w:rPr>
        <w:t>.</w:t>
      </w:r>
    </w:p>
    <w:p w14:paraId="4E6B1A1F" w14:textId="77777777" w:rsidR="005154F3" w:rsidRDefault="005154F3" w:rsidP="005154F3">
      <w:pPr>
        <w:widowControl w:val="0"/>
        <w:autoSpaceDE w:val="0"/>
        <w:autoSpaceDN w:val="0"/>
        <w:spacing w:before="117" w:after="120" w:line="276" w:lineRule="auto"/>
        <w:ind w:firstLine="707"/>
        <w:jc w:val="both"/>
        <w:rPr>
          <w:rFonts w:ascii="Verdana" w:hAnsi="Verdana" w:cs="Arial"/>
        </w:rPr>
      </w:pPr>
      <w:r w:rsidRPr="00F30A39">
        <w:rPr>
          <w:rFonts w:ascii="Verdana" w:hAnsi="Verdana" w:cs="Arial"/>
        </w:rPr>
        <w:t xml:space="preserve">Por tanto, se hace un llamado a todas las entidades estatales a atender </w:t>
      </w:r>
      <w:r w:rsidRPr="00F30A39">
        <w:rPr>
          <w:rFonts w:ascii="Verdana" w:hAnsi="Verdana" w:cs="Arial"/>
        </w:rPr>
        <w:lastRenderedPageBreak/>
        <w:t xml:space="preserve">debidamente el principio de </w:t>
      </w:r>
      <w:r w:rsidRPr="00C11A68">
        <w:rPr>
          <w:rFonts w:ascii="Verdana" w:hAnsi="Verdana" w:cs="Arial"/>
        </w:rPr>
        <w:t>planeación y selección objetiva</w:t>
      </w:r>
      <w:r w:rsidRPr="00F30A39">
        <w:rPr>
          <w:rFonts w:ascii="Verdana" w:hAnsi="Verdana" w:cs="Arial"/>
        </w:rPr>
        <w:t xml:space="preserve"> asegurando que las decisiones sean oportunas, bien fundamentadas y que contribuyan a la optimización de los recursos disponibles</w:t>
      </w:r>
      <w:r>
        <w:rPr>
          <w:rFonts w:ascii="Verdana" w:hAnsi="Verdana" w:cs="Arial"/>
        </w:rPr>
        <w:t>.</w:t>
      </w:r>
    </w:p>
    <w:p w14:paraId="7DD5EBC7" w14:textId="77777777" w:rsidR="005154F3" w:rsidRDefault="005154F3" w:rsidP="005154F3">
      <w:pPr>
        <w:spacing w:after="120" w:line="276" w:lineRule="auto"/>
        <w:ind w:right="79" w:firstLine="743"/>
        <w:jc w:val="both"/>
        <w:rPr>
          <w:rFonts w:ascii="Verdana" w:eastAsia="Arial" w:hAnsi="Verdana" w:cs="Arial"/>
          <w:bCs/>
        </w:rPr>
      </w:pPr>
      <w:r>
        <w:rPr>
          <w:rFonts w:ascii="Verdana" w:eastAsia="Calibri" w:hAnsi="Verdana"/>
          <w:color w:val="000000" w:themeColor="text1"/>
          <w:lang w:val="es-ES"/>
        </w:rPr>
        <w:t xml:space="preserve">En lo que respecta a los contratos de operación logística es importante precisar que, debido a su naturaleza de contratos mixtos, esto es que </w:t>
      </w:r>
      <w:r w:rsidRPr="005F70F5">
        <w:rPr>
          <w:rFonts w:ascii="Verdana" w:eastAsia="Calibri" w:hAnsi="Verdana"/>
          <w:color w:val="000000" w:themeColor="text1"/>
          <w:lang w:val="es-ES_tradnl"/>
        </w:rPr>
        <w:t>acumula prestaciones de varios contratos nominados para satisfacer una necesidad común</w:t>
      </w:r>
      <w:r>
        <w:rPr>
          <w:rFonts w:ascii="Verdana" w:eastAsia="Arial" w:hAnsi="Verdana" w:cs="Arial"/>
          <w:bCs/>
        </w:rPr>
        <w:t xml:space="preserve">, y teniendo en cuenta que no hay procedimiento de selección reservado exclusivamente a este tipo contractual, no es posible establecer un criterio universal y absoluto que determine la procedencia de una modalidad de contratación específica y única para su celebración. </w:t>
      </w:r>
    </w:p>
    <w:p w14:paraId="12C32D4D" w14:textId="77777777" w:rsidR="005154F3" w:rsidRDefault="005154F3" w:rsidP="005154F3">
      <w:pPr>
        <w:spacing w:after="120" w:line="276" w:lineRule="auto"/>
        <w:ind w:right="79" w:firstLine="743"/>
        <w:jc w:val="both"/>
        <w:rPr>
          <w:rFonts w:ascii="Verdana" w:eastAsia="Arial" w:hAnsi="Verdana" w:cs="Arial"/>
          <w:bCs/>
        </w:rPr>
      </w:pPr>
      <w:r>
        <w:rPr>
          <w:rFonts w:ascii="Verdana" w:eastAsia="Arial" w:hAnsi="Verdana" w:cs="Arial"/>
          <w:bCs/>
        </w:rPr>
        <w:t xml:space="preserve">En esta medida, previo análisis que realice la entidad del objeto y su alcance, las obligaciones, la cuantía, la necesidad a satisfacer y demás aspectos esenciales, es posible que la escogencia del contratista para la celebración del contrato de operación logística se efectúe mediante la licitación pública, como regla general, así como también es viable su celebración a través de la selección abreviada por menor cuantía o la mínima cuantía, siempre que se cumplan con las condiciones para su desarrollo por estas modalidades. Lo anterior, dado que estos procedimientos no tienen asociado un objeto contractual en particular pues su determinación está ligada a la cuantía del proceso, por lo que nada obsta para que se puedan emplear estas modalidades en los contratos de operación logística.  </w:t>
      </w:r>
    </w:p>
    <w:p w14:paraId="64ADAE20" w14:textId="77777777" w:rsidR="005154F3" w:rsidRPr="00A940B1" w:rsidRDefault="005154F3" w:rsidP="005154F3">
      <w:pPr>
        <w:tabs>
          <w:tab w:val="left" w:pos="0"/>
        </w:tabs>
        <w:spacing w:before="120" w:line="276" w:lineRule="auto"/>
        <w:ind w:firstLine="709"/>
        <w:jc w:val="both"/>
        <w:rPr>
          <w:rFonts w:ascii="Verdana" w:hAnsi="Verdana" w:cs="Arial"/>
          <w:color w:val="000000" w:themeColor="text1"/>
        </w:rPr>
      </w:pPr>
      <w:r>
        <w:rPr>
          <w:rFonts w:ascii="Verdana" w:eastAsia="Arial" w:hAnsi="Verdana" w:cs="Arial"/>
          <w:bCs/>
        </w:rPr>
        <w:t>En relación con la modalidad de contratación directa es pertinente señalar que conforme</w:t>
      </w:r>
      <w:r w:rsidRPr="00FC6761">
        <w:rPr>
          <w:rFonts w:ascii="Verdana" w:eastAsia="Arial" w:hAnsi="Verdana" w:cs="Arial"/>
          <w:bCs/>
          <w:lang w:val="es-MX"/>
        </w:rPr>
        <w:t xml:space="preserve"> lo dispone el artículo 2, numeral 4º, literal h), de la Ley 1150 de 2007, la prestación de servicios profesionales y de apoyo a la </w:t>
      </w:r>
      <w:r w:rsidRPr="00A940B1">
        <w:rPr>
          <w:rFonts w:ascii="Verdana" w:eastAsia="Arial" w:hAnsi="Verdana" w:cs="Arial"/>
          <w:bCs/>
          <w:lang w:val="es-MX"/>
        </w:rPr>
        <w:t>gestión o la ejecución de trabajos artísticos que solo puedan encomendarse a determinadas personas naturales</w:t>
      </w:r>
      <w:r>
        <w:rPr>
          <w:rFonts w:ascii="Verdana" w:eastAsia="Arial" w:hAnsi="Verdana" w:cs="Arial"/>
          <w:bCs/>
          <w:lang w:val="es-MX"/>
        </w:rPr>
        <w:t xml:space="preserve"> se efectuar mediante esta modalidad de selección</w:t>
      </w:r>
      <w:r w:rsidRPr="00A940B1">
        <w:rPr>
          <w:rFonts w:ascii="Verdana" w:eastAsia="Arial" w:hAnsi="Verdana" w:cs="Arial"/>
          <w:bCs/>
          <w:lang w:val="es-MX"/>
        </w:rPr>
        <w:t xml:space="preserve">. El </w:t>
      </w:r>
      <w:r>
        <w:rPr>
          <w:rFonts w:ascii="Verdana" w:eastAsia="Arial" w:hAnsi="Verdana" w:cs="Arial"/>
          <w:bCs/>
          <w:lang w:val="es-MX"/>
        </w:rPr>
        <w:t xml:space="preserve">artículo </w:t>
      </w:r>
      <w:r w:rsidRPr="00A940B1">
        <w:rPr>
          <w:rFonts w:ascii="Verdana" w:eastAsia="Arial" w:hAnsi="Verdana" w:cs="Arial"/>
          <w:bCs/>
          <w:lang w:val="es-MX"/>
        </w:rPr>
        <w:t xml:space="preserve">2.2.1.2.1.4.9 del Decreto 1082 de 2015 regula esta causal y </w:t>
      </w:r>
      <w:r w:rsidRPr="00A940B1">
        <w:rPr>
          <w:rFonts w:ascii="Verdana" w:hAnsi="Verdana" w:cs="Arial"/>
          <w:color w:val="000000" w:themeColor="text1"/>
        </w:rPr>
        <w:t xml:space="preserve">desarrolla los conceptos de prestación de servicios profesionales y de apoyo a la gestión. Esta norma señala: </w:t>
      </w:r>
    </w:p>
    <w:p w14:paraId="75FDE294" w14:textId="77777777" w:rsidR="005154F3" w:rsidRPr="00A940B1" w:rsidRDefault="005154F3" w:rsidP="005154F3">
      <w:pPr>
        <w:ind w:left="708" w:right="709"/>
        <w:jc w:val="both"/>
        <w:rPr>
          <w:rFonts w:ascii="Verdana" w:hAnsi="Verdana" w:cs="Arial"/>
          <w:color w:val="000000" w:themeColor="text1"/>
          <w:sz w:val="21"/>
          <w:szCs w:val="21"/>
        </w:rPr>
      </w:pPr>
      <w:r>
        <w:rPr>
          <w:rFonts w:ascii="Verdana" w:hAnsi="Verdana" w:cs="Arial"/>
          <w:color w:val="000000" w:themeColor="text1"/>
          <w:sz w:val="21"/>
          <w:szCs w:val="21"/>
        </w:rPr>
        <w:t>“</w:t>
      </w:r>
      <w:r w:rsidRPr="00A940B1">
        <w:rPr>
          <w:rFonts w:ascii="Verdana" w:hAnsi="Verdana" w:cs="Arial"/>
          <w:color w:val="000000" w:themeColor="text1"/>
          <w:sz w:val="21"/>
          <w:szCs w:val="21"/>
        </w:rPr>
        <w:t xml:space="preserve">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w:t>
      </w:r>
      <w:r w:rsidRPr="00A940B1">
        <w:rPr>
          <w:rFonts w:ascii="Verdana" w:hAnsi="Verdana" w:cs="Arial"/>
          <w:color w:val="000000" w:themeColor="text1"/>
          <w:sz w:val="21"/>
          <w:szCs w:val="21"/>
        </w:rPr>
        <w:lastRenderedPageBreak/>
        <w:t>haya obtenido previamente varias ofertas, de lo cual el ordenador del gasto debe dejar constancia escrita.</w:t>
      </w:r>
    </w:p>
    <w:p w14:paraId="27EA499E" w14:textId="77777777" w:rsidR="005154F3" w:rsidRPr="00A940B1" w:rsidRDefault="005154F3" w:rsidP="005154F3">
      <w:pPr>
        <w:ind w:left="708" w:right="709"/>
        <w:jc w:val="both"/>
        <w:rPr>
          <w:rFonts w:ascii="Verdana" w:hAnsi="Verdana" w:cs="Arial"/>
          <w:i/>
          <w:iCs/>
          <w:color w:val="000000" w:themeColor="text1"/>
          <w:sz w:val="21"/>
          <w:szCs w:val="21"/>
        </w:rPr>
      </w:pPr>
      <w:r w:rsidRPr="00A940B1">
        <w:rPr>
          <w:rFonts w:ascii="Verdana" w:hAnsi="Verdana" w:cs="Arial"/>
          <w:color w:val="000000" w:themeColor="text1"/>
          <w:sz w:val="21"/>
          <w:szCs w:val="21"/>
        </w:rPr>
        <w:t xml:space="preserve">Los servicios profesionales y de apoyo a la gestión corresponden a aquellos de naturaleza intelectual diferentes a los de consultoría que se derivan del cumplimiento de las funciones de la Entidad Estatal, </w:t>
      </w:r>
      <w:r w:rsidRPr="00A940B1">
        <w:rPr>
          <w:rFonts w:ascii="Verdana" w:hAnsi="Verdana" w:cs="Arial"/>
          <w:i/>
          <w:iCs/>
          <w:color w:val="000000" w:themeColor="text1"/>
          <w:sz w:val="21"/>
          <w:szCs w:val="21"/>
        </w:rPr>
        <w:t>así como los relacionados con actividades operativas, logísticas, o asistenciales.</w:t>
      </w:r>
    </w:p>
    <w:p w14:paraId="621703FE" w14:textId="77777777" w:rsidR="005154F3" w:rsidRPr="00A940B1" w:rsidRDefault="005154F3" w:rsidP="005154F3">
      <w:pPr>
        <w:ind w:left="708" w:right="709"/>
        <w:jc w:val="both"/>
        <w:rPr>
          <w:rFonts w:ascii="Verdana" w:hAnsi="Verdana" w:cs="Arial"/>
          <w:color w:val="000000" w:themeColor="text1"/>
          <w:sz w:val="21"/>
          <w:szCs w:val="21"/>
        </w:rPr>
      </w:pPr>
      <w:r w:rsidRPr="00A940B1">
        <w:rPr>
          <w:rFonts w:ascii="Verdana" w:hAnsi="Verdana" w:cs="Arial"/>
          <w:color w:val="000000" w:themeColor="text1"/>
          <w:sz w:val="21"/>
          <w:szCs w:val="21"/>
        </w:rPr>
        <w:t>La Entidad Estatal, para la contratación de trabajos artísticos que solamente puedan en</w:t>
      </w:r>
      <w:r w:rsidRPr="00A940B1">
        <w:rPr>
          <w:rFonts w:ascii="Verdana" w:hAnsi="Verdana" w:cs="Arial"/>
          <w:color w:val="000000" w:themeColor="text1"/>
          <w:sz w:val="21"/>
          <w:szCs w:val="21"/>
        </w:rPr>
        <w:softHyphen/>
        <w:t>comendarse a determinadas personas naturales, debe justificar esta situación en los estudios y documentos previos</w:t>
      </w:r>
      <w:r>
        <w:rPr>
          <w:rFonts w:ascii="Verdana" w:hAnsi="Verdana" w:cs="Arial"/>
          <w:color w:val="000000" w:themeColor="text1"/>
          <w:sz w:val="21"/>
          <w:szCs w:val="21"/>
        </w:rPr>
        <w:t>”</w:t>
      </w:r>
      <w:r w:rsidRPr="00A940B1">
        <w:rPr>
          <w:rFonts w:ascii="Verdana" w:hAnsi="Verdana" w:cs="Arial"/>
          <w:color w:val="000000" w:themeColor="text1"/>
          <w:sz w:val="21"/>
          <w:szCs w:val="21"/>
        </w:rPr>
        <w:t>.</w:t>
      </w:r>
      <w:r>
        <w:rPr>
          <w:rFonts w:ascii="Verdana" w:hAnsi="Verdana" w:cs="Arial"/>
          <w:color w:val="000000" w:themeColor="text1"/>
          <w:sz w:val="21"/>
          <w:szCs w:val="21"/>
        </w:rPr>
        <w:t xml:space="preserve"> (Énfasis por fuera de texto)</w:t>
      </w:r>
    </w:p>
    <w:p w14:paraId="2801200F" w14:textId="77777777" w:rsidR="005154F3" w:rsidRDefault="005154F3" w:rsidP="005154F3">
      <w:pPr>
        <w:spacing w:after="120" w:line="276" w:lineRule="auto"/>
        <w:ind w:right="79" w:firstLine="743"/>
        <w:jc w:val="both"/>
        <w:rPr>
          <w:rFonts w:ascii="Verdana" w:eastAsia="Arial" w:hAnsi="Verdana" w:cs="Arial"/>
          <w:bCs/>
        </w:rPr>
      </w:pPr>
      <w:r>
        <w:rPr>
          <w:rFonts w:ascii="Verdana" w:eastAsia="Arial" w:hAnsi="Verdana" w:cs="Arial"/>
          <w:bCs/>
        </w:rPr>
        <w:t>En este sentido, es importante precisar que c</w:t>
      </w:r>
      <w:r w:rsidRPr="00500958">
        <w:rPr>
          <w:rFonts w:ascii="Verdana" w:eastAsia="Arial" w:hAnsi="Verdana" w:cs="Arial"/>
          <w:bCs/>
        </w:rPr>
        <w:t xml:space="preserve">omo especies del género prestación de servicios, la jurisprudencia se ha encargado de definir los contratos de prestación de servicios profesionales y los de apoyo a la gestión. El primero, denominado contrato propiamente dicho de prestación de servicios profesionales se caracteriza por desarrollar actividades identificables e intangibles que demandan competencias y habilidades profesionales y especializadas, tendientes a satisfacer las necesidades relacionadas con la gestión administrativa o funcionamiento de la entidad. Por su parte, el contrato de prestación de servicios de simple apoyo a la </w:t>
      </w:r>
      <w:proofErr w:type="gramStart"/>
      <w:r w:rsidRPr="00500958">
        <w:rPr>
          <w:rFonts w:ascii="Verdana" w:eastAsia="Arial" w:hAnsi="Verdana" w:cs="Arial"/>
          <w:bCs/>
        </w:rPr>
        <w:t>gestión,</w:t>
      </w:r>
      <w:proofErr w:type="gramEnd"/>
      <w:r w:rsidRPr="00500958">
        <w:rPr>
          <w:rFonts w:ascii="Verdana" w:eastAsia="Arial" w:hAnsi="Verdana" w:cs="Arial"/>
          <w:bCs/>
        </w:rPr>
        <w:t xml:space="preserve"> es aquel tendiente a desarrollar actividades en las cuales no se requiere personal profesional. Se involucra un saber técnico e implica el desempeño de un esfuerzo o actividad de apoyo, acompañamiento o soporte de carácter, entre otros, técnico, operacional, logístico, etc.</w:t>
      </w:r>
    </w:p>
    <w:p w14:paraId="4E37B1CB" w14:textId="77777777" w:rsidR="005154F3" w:rsidRPr="00500958" w:rsidRDefault="005154F3" w:rsidP="005154F3">
      <w:pPr>
        <w:spacing w:after="120" w:line="276" w:lineRule="auto"/>
        <w:ind w:right="79" w:firstLine="743"/>
        <w:jc w:val="both"/>
        <w:rPr>
          <w:rFonts w:ascii="Verdana" w:eastAsia="Arial" w:hAnsi="Verdana" w:cs="Arial"/>
          <w:bCs/>
          <w:lang w:val="es-MX"/>
        </w:rPr>
      </w:pPr>
      <w:r w:rsidRPr="00500958">
        <w:rPr>
          <w:rFonts w:ascii="Verdana" w:eastAsia="Arial" w:hAnsi="Verdana" w:cs="Arial"/>
          <w:bCs/>
          <w:lang w:val="es-MX"/>
        </w:rPr>
        <w:t>Dentro del objeto contractual de los contratos de prestación de servicios profesionales y de los de simple apoyo a la gestión, pueden tener lugar las actividades operativas, logísticas o asistenciales, siempre que en cada caso se cumplan los requisitos del tipo de contrato y exista correspondencia con las necesidades de la administración y el principio de planeación. De cualquier forma, si se desarrollan estas actividades en el contexto de las especies de contratos de prestación de servicios ya citadas, debe tenerse en cuenta que el objeto siempre debe estar relacionado con la necesidad de satisfacer la gestión administrativa o funcionamiento de la entidad, para suplir las falencias de esta.</w:t>
      </w:r>
    </w:p>
    <w:p w14:paraId="49ACAA7D" w14:textId="77777777" w:rsidR="005154F3" w:rsidRDefault="005154F3" w:rsidP="005154F3">
      <w:pPr>
        <w:spacing w:after="120" w:line="276" w:lineRule="auto"/>
        <w:ind w:right="79" w:firstLine="743"/>
        <w:jc w:val="both"/>
        <w:rPr>
          <w:rFonts w:ascii="Verdana" w:eastAsia="Arial" w:hAnsi="Verdana" w:cs="Arial"/>
          <w:bCs/>
          <w:lang w:val="es-MX"/>
        </w:rPr>
      </w:pPr>
      <w:r>
        <w:rPr>
          <w:rFonts w:ascii="Verdana" w:eastAsia="Arial" w:hAnsi="Verdana" w:cs="Arial"/>
          <w:bCs/>
          <w:lang w:val="es-MX"/>
        </w:rPr>
        <w:t>De esta manera,</w:t>
      </w:r>
      <w:r w:rsidRPr="00500958">
        <w:rPr>
          <w:rFonts w:ascii="Verdana" w:eastAsia="Arial" w:hAnsi="Verdana" w:cs="Arial"/>
          <w:bCs/>
          <w:lang w:val="es-MX"/>
        </w:rPr>
        <w:t xml:space="preserve"> </w:t>
      </w:r>
      <w:r>
        <w:rPr>
          <w:rFonts w:ascii="Verdana" w:eastAsia="Arial" w:hAnsi="Verdana" w:cs="Arial"/>
          <w:bCs/>
          <w:lang w:val="es-MX"/>
        </w:rPr>
        <w:t xml:space="preserve">si bien </w:t>
      </w:r>
      <w:r w:rsidRPr="00500958">
        <w:rPr>
          <w:rFonts w:ascii="Verdana" w:eastAsia="Arial" w:hAnsi="Verdana" w:cs="Arial"/>
          <w:bCs/>
          <w:lang w:val="es-MX"/>
        </w:rPr>
        <w:t>las actividades operativas, logísticas o asistenciales de las que trata el artículo 2.2.1.2.1.4.9 del Decreto 1082 de 2015</w:t>
      </w:r>
      <w:r>
        <w:rPr>
          <w:rFonts w:ascii="Verdana" w:eastAsia="Arial" w:hAnsi="Verdana" w:cs="Arial"/>
          <w:bCs/>
          <w:lang w:val="es-MX"/>
        </w:rPr>
        <w:t xml:space="preserve"> se pueden contratar por la vía de </w:t>
      </w:r>
      <w:r w:rsidRPr="00500958">
        <w:rPr>
          <w:rFonts w:ascii="Verdana" w:eastAsia="Arial" w:hAnsi="Verdana" w:cs="Arial"/>
          <w:bCs/>
          <w:lang w:val="es-MX"/>
        </w:rPr>
        <w:t xml:space="preserve">los contratos de prestación de servicios </w:t>
      </w:r>
      <w:r w:rsidRPr="00500958">
        <w:rPr>
          <w:rFonts w:ascii="Verdana" w:eastAsia="Arial" w:hAnsi="Verdana" w:cs="Arial"/>
          <w:bCs/>
          <w:lang w:val="es-MX"/>
        </w:rPr>
        <w:lastRenderedPageBreak/>
        <w:t>profesionales o de apoyo a la gestió</w:t>
      </w:r>
      <w:r>
        <w:rPr>
          <w:rFonts w:ascii="Verdana" w:eastAsia="Arial" w:hAnsi="Verdana" w:cs="Arial"/>
          <w:bCs/>
          <w:lang w:val="es-MX"/>
        </w:rPr>
        <w:t>n, esta no es una causal exclusiva para las actividades de logística. Además, s</w:t>
      </w:r>
      <w:r w:rsidRPr="00731224">
        <w:rPr>
          <w:rFonts w:ascii="Verdana" w:eastAsia="Arial" w:hAnsi="Verdana" w:cs="Arial"/>
          <w:bCs/>
          <w:lang w:val="es-MX"/>
        </w:rPr>
        <w:t>e hace énfasis en que estas actividades, en el marco de los contratos de prestación de servicios, serán destinadas al apoyo, acompañamiento y soporte relacionadas con la administración o funcionamiento de la entidad, es decir, que hagan parte de su giro ordinario o quehacer cotidiano.</w:t>
      </w:r>
      <w:r>
        <w:rPr>
          <w:rFonts w:ascii="Verdana" w:eastAsia="Arial" w:hAnsi="Verdana" w:cs="Arial"/>
          <w:bCs/>
          <w:lang w:val="es-MX"/>
        </w:rPr>
        <w:t xml:space="preserve"> De este modo, c</w:t>
      </w:r>
      <w:r w:rsidRPr="006E0B61">
        <w:rPr>
          <w:rFonts w:ascii="Verdana" w:eastAsia="Arial" w:hAnsi="Verdana" w:cs="Arial"/>
          <w:bCs/>
          <w:lang w:val="es-MX"/>
        </w:rPr>
        <w:t>orresponde a cada entidad estatal determinar</w:t>
      </w:r>
      <w:r>
        <w:rPr>
          <w:rFonts w:ascii="Verdana" w:eastAsia="Arial" w:hAnsi="Verdana" w:cs="Arial"/>
          <w:bCs/>
          <w:lang w:val="es-MX"/>
        </w:rPr>
        <w:t xml:space="preserve"> si</w:t>
      </w:r>
      <w:r w:rsidRPr="006E0B61">
        <w:rPr>
          <w:rFonts w:ascii="Verdana" w:eastAsia="Arial" w:hAnsi="Verdana" w:cs="Arial"/>
          <w:bCs/>
          <w:lang w:val="es-MX"/>
        </w:rPr>
        <w:t xml:space="preserve"> </w:t>
      </w:r>
      <w:r>
        <w:rPr>
          <w:rFonts w:ascii="Verdana" w:eastAsia="Arial" w:hAnsi="Verdana" w:cs="Arial"/>
          <w:bCs/>
          <w:lang w:val="es-MX"/>
        </w:rPr>
        <w:t xml:space="preserve">las </w:t>
      </w:r>
      <w:r w:rsidRPr="006E0B61">
        <w:rPr>
          <w:rFonts w:ascii="Verdana" w:eastAsia="Arial" w:hAnsi="Verdana" w:cs="Arial"/>
          <w:bCs/>
          <w:lang w:val="es-MX"/>
        </w:rPr>
        <w:t>actividades</w:t>
      </w:r>
      <w:r>
        <w:rPr>
          <w:rFonts w:ascii="Verdana" w:eastAsia="Arial" w:hAnsi="Verdana" w:cs="Arial"/>
          <w:bCs/>
          <w:lang w:val="es-MX"/>
        </w:rPr>
        <w:t xml:space="preserve"> a contratar se enmarcan en esta causal de contratación, </w:t>
      </w:r>
      <w:r w:rsidRPr="006E0B61">
        <w:rPr>
          <w:rFonts w:ascii="Verdana" w:eastAsia="Arial" w:hAnsi="Verdana" w:cs="Arial"/>
          <w:bCs/>
          <w:lang w:val="es-MX"/>
        </w:rPr>
        <w:t xml:space="preserve">de acuerdo con sus necesidades, el objeto contractual particular, las obligaciones a desarrollar, las normas del sistema de compras públicas y el marco jurisprudencial desarrollado en torno a los contratos de prestación de servicios. </w:t>
      </w:r>
    </w:p>
    <w:p w14:paraId="00154CEA" w14:textId="77777777" w:rsidR="005154F3" w:rsidRDefault="005154F3" w:rsidP="005154F3">
      <w:pPr>
        <w:spacing w:after="120" w:line="276" w:lineRule="auto"/>
        <w:ind w:right="79" w:firstLine="743"/>
        <w:jc w:val="both"/>
        <w:rPr>
          <w:rFonts w:ascii="Verdana" w:eastAsia="Arial" w:hAnsi="Verdana" w:cs="Arial"/>
          <w:lang w:val="es-MX"/>
        </w:rPr>
      </w:pPr>
    </w:p>
    <w:p w14:paraId="4C3455C5" w14:textId="77777777" w:rsidR="005154F3" w:rsidRPr="0092169A" w:rsidRDefault="005154F3" w:rsidP="005154F3">
      <w:pPr>
        <w:spacing w:after="120" w:line="276" w:lineRule="auto"/>
        <w:ind w:right="79"/>
        <w:jc w:val="both"/>
        <w:rPr>
          <w:rFonts w:ascii="Verdana" w:eastAsia="Arial" w:hAnsi="Verdana" w:cs="Arial"/>
          <w:lang w:val="es-MX"/>
        </w:rPr>
      </w:pPr>
      <w:r w:rsidRPr="0092169A">
        <w:rPr>
          <w:rFonts w:ascii="Verdana" w:eastAsia="Arial" w:hAnsi="Verdana" w:cs="Arial"/>
          <w:b/>
          <w:lang w:val="es-MX"/>
        </w:rPr>
        <w:t xml:space="preserve">4. </w:t>
      </w:r>
      <w:r w:rsidRPr="00593A5F">
        <w:rPr>
          <w:rFonts w:ascii="Verdana" w:eastAsia="Century Gothic" w:hAnsi="Verdana" w:cs="Century Gothic"/>
          <w:b/>
          <w:bCs/>
        </w:rPr>
        <w:t>Referencias normativas:</w:t>
      </w:r>
    </w:p>
    <w:p w14:paraId="0ECB3938" w14:textId="77777777" w:rsidR="005154F3" w:rsidRPr="00593A5F" w:rsidRDefault="005154F3" w:rsidP="005154F3">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154F3" w:rsidRPr="002407CE" w14:paraId="68F4548B" w14:textId="77777777" w:rsidTr="00360DC6">
        <w:trPr>
          <w:trHeight w:val="870"/>
          <w:jc w:val="center"/>
        </w:trPr>
        <w:tc>
          <w:tcPr>
            <w:tcW w:w="8647" w:type="dxa"/>
          </w:tcPr>
          <w:p w14:paraId="255EC182" w14:textId="77777777" w:rsidR="005154F3" w:rsidRPr="007C66D4" w:rsidRDefault="005154F3" w:rsidP="00360DC6">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sz w:val="24"/>
              </w:rPr>
            </w:pPr>
            <w:r>
              <w:rPr>
                <w:rFonts w:ascii="Verdana" w:hAnsi="Verdana" w:cs="Arial"/>
              </w:rPr>
              <w:t>Ley 80 de 1993, artículos 6, 13, 32, 39, 40 y 41.</w:t>
            </w:r>
            <w:r w:rsidRPr="002407CE">
              <w:rPr>
                <w:rFonts w:ascii="Verdana" w:hAnsi="Verdana" w:cs="Arial"/>
              </w:rPr>
              <w:t xml:space="preserve"> </w:t>
            </w:r>
          </w:p>
          <w:p w14:paraId="3F32597D" w14:textId="77777777" w:rsidR="005154F3" w:rsidRPr="007C66D4" w:rsidRDefault="005154F3" w:rsidP="00360DC6">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sz w:val="24"/>
              </w:rPr>
            </w:pPr>
            <w:r>
              <w:rPr>
                <w:rFonts w:ascii="Verdana" w:hAnsi="Verdana" w:cs="Arial"/>
              </w:rPr>
              <w:t>Ley 1150 de 2007, artículo 2.</w:t>
            </w:r>
            <w:r w:rsidRPr="002407CE">
              <w:rPr>
                <w:rFonts w:ascii="Verdana" w:hAnsi="Verdana" w:cs="Arial"/>
              </w:rPr>
              <w:t xml:space="preserve"> </w:t>
            </w:r>
          </w:p>
          <w:p w14:paraId="099FF245" w14:textId="77777777" w:rsidR="005154F3" w:rsidRPr="007C66D4" w:rsidRDefault="005154F3" w:rsidP="00360DC6">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sz w:val="24"/>
              </w:rPr>
            </w:pPr>
            <w:r>
              <w:rPr>
                <w:rFonts w:ascii="Verdana" w:hAnsi="Verdana" w:cs="Arial"/>
              </w:rPr>
              <w:t>Decreto 092 de 2017, artículo 7.</w:t>
            </w:r>
          </w:p>
          <w:p w14:paraId="581DFD15" w14:textId="77777777" w:rsidR="005154F3" w:rsidRPr="007C66D4" w:rsidRDefault="005154F3" w:rsidP="00360DC6">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sz w:val="24"/>
              </w:rPr>
            </w:pPr>
            <w:r>
              <w:rPr>
                <w:rFonts w:ascii="Verdana" w:hAnsi="Verdana" w:cs="Arial"/>
              </w:rPr>
              <w:t>Código Civil, artículo 1501.</w:t>
            </w:r>
          </w:p>
          <w:p w14:paraId="1182FB6E" w14:textId="77777777" w:rsidR="005154F3" w:rsidRPr="00C02F8B" w:rsidRDefault="005154F3" w:rsidP="00360DC6">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 xml:space="preserve">Decreto 1082 de 2015, artículos </w:t>
            </w:r>
            <w:r w:rsidRPr="007C66D4">
              <w:rPr>
                <w:rFonts w:ascii="Verdana" w:hAnsi="Verdana" w:cs="Arial"/>
              </w:rPr>
              <w:t>2.2.1.2.1.4.4</w:t>
            </w:r>
            <w:r>
              <w:rPr>
                <w:rFonts w:ascii="Verdana" w:hAnsi="Verdana" w:cs="Arial"/>
              </w:rPr>
              <w:t xml:space="preserve"> y </w:t>
            </w:r>
            <w:r w:rsidRPr="007C66D4">
              <w:rPr>
                <w:rFonts w:ascii="Verdana" w:hAnsi="Verdana" w:cs="Arial"/>
              </w:rPr>
              <w:t>2.2.1.2.3.1.5</w:t>
            </w:r>
            <w:r>
              <w:rPr>
                <w:rFonts w:ascii="Verdana" w:hAnsi="Verdana" w:cs="Arial"/>
              </w:rPr>
              <w:t xml:space="preserve">. </w:t>
            </w:r>
          </w:p>
        </w:tc>
      </w:tr>
    </w:tbl>
    <w:p w14:paraId="005C516F" w14:textId="77777777" w:rsidR="005154F3" w:rsidRPr="002407CE" w:rsidRDefault="005154F3" w:rsidP="005154F3">
      <w:pPr>
        <w:widowControl w:val="0"/>
        <w:autoSpaceDE w:val="0"/>
        <w:autoSpaceDN w:val="0"/>
        <w:spacing w:after="0" w:line="276" w:lineRule="auto"/>
        <w:jc w:val="both"/>
        <w:rPr>
          <w:rFonts w:ascii="Verdana" w:hAnsi="Verdana" w:cs="Arial"/>
        </w:rPr>
      </w:pPr>
    </w:p>
    <w:p w14:paraId="70ACC93E" w14:textId="77777777" w:rsidR="005154F3" w:rsidRPr="00593A5F" w:rsidRDefault="005154F3" w:rsidP="005154F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Pr>
          <w:rFonts w:ascii="Verdana" w:eastAsia="Century Gothic" w:hAnsi="Verdana" w:cs="Century Gothic"/>
          <w:b/>
          <w:bCs/>
        </w:rPr>
        <w:t>5. Doctrina de la Agencia Nacional de Contratación Pública</w:t>
      </w:r>
      <w:r w:rsidRPr="00593A5F">
        <w:rPr>
          <w:rFonts w:ascii="Verdana" w:eastAsia="Century Gothic" w:hAnsi="Verdana" w:cs="Century Gothic"/>
          <w:b/>
          <w:bCs/>
        </w:rPr>
        <w:t>:</w:t>
      </w:r>
    </w:p>
    <w:p w14:paraId="2FB13906" w14:textId="77777777" w:rsidR="005154F3" w:rsidRPr="00593A5F" w:rsidRDefault="005154F3" w:rsidP="005154F3">
      <w:pPr>
        <w:widowControl w:val="0"/>
        <w:autoSpaceDE w:val="0"/>
        <w:autoSpaceDN w:val="0"/>
        <w:spacing w:after="0" w:line="276" w:lineRule="auto"/>
        <w:jc w:val="both"/>
        <w:rPr>
          <w:rFonts w:ascii="Verdana" w:hAnsi="Verdana" w:cs="Arial"/>
        </w:rPr>
      </w:pPr>
    </w:p>
    <w:p w14:paraId="3CE579D1" w14:textId="77777777" w:rsidR="005154F3" w:rsidRDefault="005154F3" w:rsidP="005154F3">
      <w:pPr>
        <w:widowControl w:val="0"/>
        <w:autoSpaceDE w:val="0"/>
        <w:autoSpaceDN w:val="0"/>
        <w:spacing w:after="0" w:line="276" w:lineRule="auto"/>
        <w:jc w:val="both"/>
        <w:rPr>
          <w:rFonts w:ascii="Verdana" w:hAnsi="Verdana" w:cs="Arial"/>
          <w:color w:val="000000" w:themeColor="text1"/>
          <w:shd w:val="clear" w:color="auto" w:fill="FFFFFF"/>
        </w:rPr>
      </w:pPr>
      <w:r>
        <w:rPr>
          <w:rFonts w:ascii="Verdana" w:eastAsia="Calibri" w:hAnsi="Verdana" w:cs="Arial"/>
          <w:lang w:val="es-ES" w:eastAsia="es-ES"/>
        </w:rPr>
        <w:t>L</w:t>
      </w:r>
      <w:r w:rsidRPr="00957EE7">
        <w:rPr>
          <w:rFonts w:ascii="Verdana" w:eastAsia="Calibri" w:hAnsi="Verdana" w:cs="Arial"/>
          <w:lang w:val="es-ES" w:eastAsia="es-ES"/>
        </w:rPr>
        <w:t xml:space="preserve">a Agencia Nacional de Contratación Pública – Colombia Compra Eficiente, en </w:t>
      </w:r>
      <w:r>
        <w:rPr>
          <w:rFonts w:ascii="Verdana" w:eastAsia="Calibri" w:hAnsi="Verdana" w:cs="Arial"/>
          <w:lang w:val="es-ES" w:eastAsia="es-ES"/>
        </w:rPr>
        <w:t>el concepto C-803 del 19 de noviembre de 2024</w:t>
      </w:r>
      <w:r w:rsidRPr="00957EE7">
        <w:rPr>
          <w:rFonts w:ascii="Verdana" w:eastAsia="Calibri" w:hAnsi="Verdana" w:cs="Arial"/>
          <w:lang w:val="es-ES" w:eastAsia="es-ES"/>
        </w:rPr>
        <w:t xml:space="preserve"> </w:t>
      </w:r>
      <w:r>
        <w:rPr>
          <w:rFonts w:ascii="Verdana" w:eastAsia="Calibri" w:hAnsi="Verdana" w:cs="Arial"/>
          <w:lang w:val="es-ES" w:eastAsia="es-ES"/>
        </w:rPr>
        <w:t xml:space="preserve">y C-855 de 2024 </w:t>
      </w:r>
      <w:r w:rsidRPr="00957EE7">
        <w:rPr>
          <w:rFonts w:ascii="Verdana" w:eastAsia="Calibri" w:hAnsi="Verdana" w:cs="Arial"/>
          <w:lang w:val="es-ES" w:eastAsia="es-ES"/>
        </w:rPr>
        <w:t xml:space="preserve">analizó </w:t>
      </w:r>
      <w:r>
        <w:rPr>
          <w:rFonts w:ascii="Verdana" w:eastAsia="Calibri" w:hAnsi="Verdana" w:cs="Arial"/>
          <w:lang w:val="es-ES" w:eastAsia="es-ES"/>
        </w:rPr>
        <w:t xml:space="preserve">el contrato de operación logística. </w:t>
      </w:r>
      <w:r w:rsidRPr="00EB1CF7">
        <w:rPr>
          <w:rStyle w:val="normaltextrun"/>
          <w:rFonts w:ascii="Verdana" w:hAnsi="Verdana" w:cs="Arial"/>
          <w:shd w:val="clear" w:color="auto" w:fill="FFFFFF"/>
          <w:lang w:val="es-ES"/>
        </w:rPr>
        <w:t>Es</w:t>
      </w:r>
      <w:r w:rsidRPr="00EB1CF7">
        <w:rPr>
          <w:rFonts w:ascii="Verdana" w:hAnsi="Verdana"/>
        </w:rPr>
        <w:t>t</w:t>
      </w:r>
      <w:r>
        <w:rPr>
          <w:rFonts w:ascii="Verdana" w:hAnsi="Verdana"/>
        </w:rPr>
        <w:t>e</w:t>
      </w:r>
      <w:r w:rsidRPr="00EB1CF7">
        <w:rPr>
          <w:rFonts w:ascii="Verdana" w:hAnsi="Verdana"/>
        </w:rPr>
        <w:t xml:space="preserve"> y otros conceptos se encuentran disponibles para consulta en el Sistema de relatoría de la Agencia, al cual se puede acceder a través del siguiente enlace:</w:t>
      </w:r>
      <w:r w:rsidRPr="00EB1CF7">
        <w:rPr>
          <w:rStyle w:val="normaltextrun"/>
          <w:rFonts w:ascii="Verdana" w:hAnsi="Verdana" w:cs="Arial"/>
          <w:shd w:val="clear" w:color="auto" w:fill="FFFFFF"/>
          <w:lang w:val="es-ES"/>
        </w:rPr>
        <w:t xml:space="preserve"> </w:t>
      </w:r>
      <w:hyperlink r:id="rId11" w:history="1">
        <w:r w:rsidRPr="00EB1CF7">
          <w:rPr>
            <w:rStyle w:val="Hipervnculo"/>
            <w:rFonts w:ascii="Verdana" w:hAnsi="Verdana" w:cs="Arial"/>
            <w:shd w:val="clear" w:color="auto" w:fill="FFFFFF"/>
            <w:lang w:val="es-ES"/>
          </w:rPr>
          <w:t>https://relatoria.colombiacompra.gov.co/busqueda/conceptos</w:t>
        </w:r>
      </w:hyperlink>
      <w:r w:rsidRPr="00EB1CF7">
        <w:rPr>
          <w:rFonts w:ascii="Verdana" w:hAnsi="Verdana" w:cs="Arial"/>
          <w:color w:val="000000" w:themeColor="text1"/>
          <w:shd w:val="clear" w:color="auto" w:fill="FFFFFF"/>
        </w:rPr>
        <w:t>  </w:t>
      </w:r>
    </w:p>
    <w:p w14:paraId="4A7F0A36" w14:textId="77777777" w:rsidR="005154F3" w:rsidRPr="00096788" w:rsidRDefault="005154F3" w:rsidP="005154F3">
      <w:pPr>
        <w:widowControl w:val="0"/>
        <w:autoSpaceDE w:val="0"/>
        <w:autoSpaceDN w:val="0"/>
        <w:spacing w:after="0" w:line="276" w:lineRule="auto"/>
        <w:jc w:val="both"/>
        <w:rPr>
          <w:rFonts w:ascii="Verdana" w:hAnsi="Verdana" w:cs="Arial"/>
          <w:color w:val="000000" w:themeColor="text1"/>
          <w:shd w:val="clear" w:color="auto" w:fill="FFFFFF"/>
        </w:rPr>
      </w:pPr>
    </w:p>
    <w:p w14:paraId="06B797CE" w14:textId="77777777" w:rsidR="005154F3" w:rsidRDefault="005154F3" w:rsidP="005154F3">
      <w:pPr>
        <w:widowControl w:val="0"/>
        <w:autoSpaceDE w:val="0"/>
        <w:autoSpaceDN w:val="0"/>
        <w:spacing w:after="0" w:line="276" w:lineRule="auto"/>
        <w:jc w:val="both"/>
        <w:rPr>
          <w:rFonts w:ascii="Verdana" w:eastAsia="Calibri" w:hAnsi="Verdana" w:cs="Arial"/>
          <w:shd w:val="clear" w:color="auto" w:fill="FFFFFF"/>
          <w:lang w:val="es-ES_tradnl"/>
        </w:rPr>
      </w:pPr>
      <w:r w:rsidRPr="00A60B48">
        <w:rPr>
          <w:rFonts w:ascii="Verdana" w:eastAsia="Calibri" w:hAnsi="Verdana" w:cs="Arial"/>
          <w:shd w:val="clear" w:color="auto" w:fill="FFFFFF"/>
        </w:rPr>
        <w:t>Te informamos que ya se encuentra disponible la </w:t>
      </w:r>
      <w:r w:rsidRPr="00A60B48">
        <w:rPr>
          <w:rFonts w:ascii="Verdana" w:eastAsia="Calibri" w:hAnsi="Verdana" w:cs="Arial"/>
          <w:b/>
          <w:bCs/>
          <w:shd w:val="clear" w:color="auto" w:fill="FFFFFF"/>
        </w:rPr>
        <w:t>Cartilla para incentivar y fortalecer el acceso a las compras y contratación pública de los pueblos y comunidades étnicas en Colombia.</w:t>
      </w:r>
      <w:r w:rsidRPr="00A60B48">
        <w:rPr>
          <w:rFonts w:ascii="Verdana" w:eastAsia="Calibri" w:hAnsi="Verdana" w:cs="Arial"/>
          <w:shd w:val="clear" w:color="auto" w:fill="FFFFFF"/>
        </w:rPr>
        <w:t xml:space="preserve"> Esta cartilla es una apuesta de la Agencia Nacional de Contratación Pública – Colombia Compra Eficiente, para incentivar la participación de los pueblos y comunidades étnicas en las compras y contratación pública, mediante el desarrollo de los principios de igualdad, </w:t>
      </w:r>
      <w:r w:rsidRPr="00A60B48">
        <w:rPr>
          <w:rFonts w:ascii="Verdana" w:eastAsia="Calibri" w:hAnsi="Verdana" w:cs="Arial"/>
          <w:shd w:val="clear" w:color="auto" w:fill="FFFFFF"/>
        </w:rPr>
        <w:lastRenderedPageBreak/>
        <w:t>equidad e inclusión social. Puede consultar la versión actualizada en el siguiente enlace: </w:t>
      </w:r>
      <w:hyperlink r:id="rId12" w:tgtFrame="_blank" w:tooltip="Dirección URL original: https://www.colombiacompra.gov.co/manuales-guias-y-pliegos-tipo/manuales-y-guias/cartilla-para-incentivar-y-fortalecer-el-acceso-las. Haga clic o pulse si confía en este vínculo." w:history="1">
        <w:r w:rsidRPr="00A60B48">
          <w:rPr>
            <w:rStyle w:val="Hipervnculo"/>
            <w:rFonts w:ascii="Verdana" w:eastAsia="Calibri" w:hAnsi="Verdana" w:cs="Arial"/>
            <w:shd w:val="clear" w:color="auto" w:fill="FFFFFF"/>
          </w:rPr>
          <w:t>Cartilla para incentivar y fortalecer el acceso a las compras y contratación pública de los pueblos y comunidades étnicas en Colombia | Colombia Compra Eficiente | Agencia Nacional de Contratación Pública</w:t>
        </w:r>
      </w:hyperlink>
    </w:p>
    <w:p w14:paraId="4C4779AD" w14:textId="77777777" w:rsidR="005154F3" w:rsidRPr="00A60B48" w:rsidRDefault="005154F3" w:rsidP="005154F3">
      <w:pPr>
        <w:widowControl w:val="0"/>
        <w:autoSpaceDE w:val="0"/>
        <w:autoSpaceDN w:val="0"/>
        <w:spacing w:after="0" w:line="276" w:lineRule="auto"/>
        <w:jc w:val="both"/>
        <w:rPr>
          <w:rFonts w:ascii="Verdana" w:eastAsia="Calibri" w:hAnsi="Verdana" w:cs="Arial"/>
          <w:shd w:val="clear" w:color="auto" w:fill="FFFFFF"/>
        </w:rPr>
      </w:pPr>
    </w:p>
    <w:p w14:paraId="6D13B265" w14:textId="77777777" w:rsidR="005154F3" w:rsidRDefault="005154F3" w:rsidP="005154F3">
      <w:pPr>
        <w:widowControl w:val="0"/>
        <w:autoSpaceDE w:val="0"/>
        <w:autoSpaceDN w:val="0"/>
        <w:spacing w:after="0" w:line="276" w:lineRule="auto"/>
        <w:jc w:val="both"/>
        <w:rPr>
          <w:rFonts w:ascii="Verdana" w:eastAsia="Calibri" w:hAnsi="Verdana" w:cs="Arial"/>
          <w:shd w:val="clear" w:color="auto" w:fill="FFFFFF"/>
          <w:lang w:val="es-ES_tradnl"/>
        </w:rPr>
      </w:pPr>
      <w:r w:rsidRPr="00A60B48">
        <w:rPr>
          <w:rFonts w:ascii="Verdana" w:eastAsia="Calibri" w:hAnsi="Verdana" w:cs="Arial"/>
          <w:shd w:val="clear" w:color="auto" w:fill="FFFFFF"/>
        </w:rPr>
        <w:t>De otra parte, te informamos que, con el objetivo de garantizar un conocimiento adecuado de las </w:t>
      </w:r>
      <w:r w:rsidRPr="00A60B48">
        <w:rPr>
          <w:rFonts w:ascii="Verdana" w:eastAsia="Calibri" w:hAnsi="Verdana" w:cs="Arial"/>
          <w:b/>
          <w:bCs/>
          <w:shd w:val="clear" w:color="auto" w:fill="FFFFFF"/>
        </w:rPr>
        <w:t>modificaciones y/o actualizaciones realizadas a los Documentos Tipo</w:t>
      </w:r>
      <w:r w:rsidRPr="00A60B48">
        <w:rPr>
          <w:rFonts w:ascii="Verdana" w:eastAsia="Calibri" w:hAnsi="Verdana" w:cs="Arial"/>
          <w:shd w:val="clear" w:color="auto" w:fill="FFFFFF"/>
        </w:rPr>
        <w:t>, hemos programado una serie de </w:t>
      </w:r>
      <w:r w:rsidRPr="00A60B48">
        <w:rPr>
          <w:rFonts w:ascii="Verdana" w:eastAsia="Calibri" w:hAnsi="Verdana" w:cs="Arial"/>
          <w:b/>
          <w:bCs/>
          <w:shd w:val="clear" w:color="auto" w:fill="FFFFFF"/>
        </w:rPr>
        <w:t>capacitaciones </w:t>
      </w:r>
      <w:r w:rsidRPr="00A60B48">
        <w:rPr>
          <w:rFonts w:ascii="Verdana" w:eastAsia="Calibri" w:hAnsi="Verdana" w:cs="Arial"/>
          <w:shd w:val="clear" w:color="auto" w:fill="FFFFFF"/>
        </w:rPr>
        <w:t>dirigidas a todos los actores involucrados en los procesos de selección. Podrás conocer la programación y realizar tu inscripción a estas capacitaciones a través del siguiente enlace: </w:t>
      </w:r>
      <w:hyperlink r:id="rId13" w:tgtFrame="_blank" w:tooltip="Dirección URL original: https://www.colombiacompra.gov.co/ciudadanos/calendario. Haga clic o pulse si confía en este vínculo." w:history="1">
        <w:r w:rsidRPr="00A60B48">
          <w:rPr>
            <w:rStyle w:val="Hipervnculo"/>
            <w:rFonts w:ascii="Verdana" w:eastAsia="Calibri" w:hAnsi="Verdana" w:cs="Arial"/>
            <w:shd w:val="clear" w:color="auto" w:fill="FFFFFF"/>
          </w:rPr>
          <w:t>Calendario | Colombia Compra Eficiente | Agencia Nacional de Contratación Pública</w:t>
        </w:r>
      </w:hyperlink>
    </w:p>
    <w:p w14:paraId="27AFB0A6" w14:textId="77777777" w:rsidR="005154F3" w:rsidRPr="00A60B48" w:rsidRDefault="005154F3" w:rsidP="005154F3">
      <w:pPr>
        <w:widowControl w:val="0"/>
        <w:autoSpaceDE w:val="0"/>
        <w:autoSpaceDN w:val="0"/>
        <w:spacing w:after="0" w:line="276" w:lineRule="auto"/>
        <w:jc w:val="both"/>
        <w:rPr>
          <w:rFonts w:ascii="Verdana" w:eastAsia="Calibri" w:hAnsi="Verdana" w:cs="Arial"/>
          <w:shd w:val="clear" w:color="auto" w:fill="FFFFFF"/>
        </w:rPr>
      </w:pPr>
    </w:p>
    <w:p w14:paraId="1A188FC6" w14:textId="77777777" w:rsidR="005154F3" w:rsidRDefault="005154F3" w:rsidP="005154F3">
      <w:pPr>
        <w:widowControl w:val="0"/>
        <w:autoSpaceDE w:val="0"/>
        <w:autoSpaceDN w:val="0"/>
        <w:spacing w:after="0" w:line="276" w:lineRule="auto"/>
        <w:jc w:val="both"/>
        <w:rPr>
          <w:rFonts w:ascii="Verdana" w:eastAsia="Calibri" w:hAnsi="Verdana" w:cs="Arial"/>
          <w:shd w:val="clear" w:color="auto" w:fill="FFFFFF"/>
          <w:lang w:val="es-ES_tradnl"/>
        </w:rPr>
      </w:pPr>
      <w:r w:rsidRPr="00A60B48">
        <w:rPr>
          <w:rFonts w:ascii="Verdana" w:eastAsia="Calibri" w:hAnsi="Verdana" w:cs="Arial"/>
          <w:shd w:val="clear" w:color="auto" w:fill="FFFFFF"/>
        </w:rPr>
        <w:t>También, te contamos que ya publicamos </w:t>
      </w:r>
      <w:r w:rsidRPr="00A60B48">
        <w:rPr>
          <w:rFonts w:ascii="Verdana" w:eastAsia="Calibri" w:hAnsi="Verdana" w:cs="Arial"/>
          <w:b/>
          <w:bCs/>
          <w:shd w:val="clear" w:color="auto" w:fill="FFFFFF"/>
        </w:rPr>
        <w:t>la nueva Guía de Contratación Pública Sostenible y Socialmente Responsable</w:t>
      </w:r>
      <w:r w:rsidRPr="00A60B48">
        <w:rPr>
          <w:rFonts w:ascii="Verdana" w:eastAsia="Calibri" w:hAnsi="Verdana" w:cs="Arial"/>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4" w:tgtFrame="_blank" w:tooltip="Dirección URL original: https://www.colombiacompra.gov.co/manuales-guias-y-pliegos-tipo/manuales-y-guias/guia-de-contratacion-publica-sostenible-y-socialmente. Haga clic o pulse si confía en este vínculo." w:history="1">
        <w:r w:rsidRPr="00A60B48">
          <w:rPr>
            <w:rStyle w:val="Hipervnculo"/>
            <w:rFonts w:ascii="Verdana" w:eastAsia="Calibri" w:hAnsi="Verdana" w:cs="Arial"/>
            <w:shd w:val="clear" w:color="auto" w:fill="FFFFFF"/>
          </w:rPr>
          <w:t>Guía de Contratación Pública Sostenible y Socialmente Responsable | Colombia Compra Eficiente | Agencia Nacional de Contratación Pública</w:t>
        </w:r>
      </w:hyperlink>
    </w:p>
    <w:p w14:paraId="3B504CA3" w14:textId="77777777" w:rsidR="005154F3" w:rsidRDefault="005154F3" w:rsidP="005154F3">
      <w:pPr>
        <w:widowControl w:val="0"/>
        <w:autoSpaceDE w:val="0"/>
        <w:autoSpaceDN w:val="0"/>
        <w:spacing w:after="0" w:line="276" w:lineRule="auto"/>
        <w:jc w:val="both"/>
        <w:rPr>
          <w:rFonts w:ascii="Verdana" w:eastAsia="Calibri" w:hAnsi="Verdana" w:cs="Arial"/>
          <w:shd w:val="clear" w:color="auto" w:fill="FFFFFF"/>
          <w:lang w:val="es-ES_tradnl"/>
        </w:rPr>
      </w:pPr>
    </w:p>
    <w:p w14:paraId="1298DB6A" w14:textId="77777777" w:rsidR="005154F3" w:rsidRPr="00F263EE" w:rsidRDefault="005154F3" w:rsidP="005154F3">
      <w:pPr>
        <w:widowControl w:val="0"/>
        <w:autoSpaceDE w:val="0"/>
        <w:autoSpaceDN w:val="0"/>
        <w:spacing w:after="0" w:line="276" w:lineRule="auto"/>
        <w:jc w:val="both"/>
        <w:rPr>
          <w:rFonts w:ascii="Verdana" w:eastAsia="Calibri" w:hAnsi="Verdana" w:cs="Arial"/>
          <w:shd w:val="clear" w:color="auto" w:fill="FFFFFF"/>
        </w:rPr>
      </w:pPr>
      <w:r w:rsidRPr="00F263EE">
        <w:rPr>
          <w:rFonts w:ascii="Verdana" w:eastAsia="Calibri" w:hAnsi="Verdana" w:cs="Arial"/>
          <w:shd w:val="clear" w:color="auto" w:fill="FFFFFF"/>
        </w:rPr>
        <w:t xml:space="preserve">Por último, lo invitamos a seguirnos en las redes sociales en las cuales se difunde información institucional: </w:t>
      </w:r>
    </w:p>
    <w:p w14:paraId="0D262EF4" w14:textId="77777777" w:rsidR="005154F3" w:rsidRPr="00F263EE" w:rsidRDefault="005154F3" w:rsidP="005154F3">
      <w:pPr>
        <w:widowControl w:val="0"/>
        <w:autoSpaceDE w:val="0"/>
        <w:autoSpaceDN w:val="0"/>
        <w:spacing w:after="0" w:line="276" w:lineRule="auto"/>
        <w:jc w:val="both"/>
        <w:rPr>
          <w:rFonts w:ascii="Verdana" w:eastAsia="Calibri" w:hAnsi="Verdana" w:cs="Arial"/>
          <w:shd w:val="clear" w:color="auto" w:fill="FFFFFF"/>
        </w:rPr>
      </w:pPr>
    </w:p>
    <w:p w14:paraId="0CE3F806" w14:textId="77777777" w:rsidR="005154F3" w:rsidRPr="00F263EE" w:rsidRDefault="005154F3" w:rsidP="005154F3">
      <w:pPr>
        <w:widowControl w:val="0"/>
        <w:autoSpaceDE w:val="0"/>
        <w:autoSpaceDN w:val="0"/>
        <w:spacing w:after="0" w:line="276" w:lineRule="auto"/>
        <w:jc w:val="both"/>
        <w:rPr>
          <w:rFonts w:ascii="Verdana" w:eastAsia="Calibri" w:hAnsi="Verdana" w:cs="Arial"/>
          <w:shd w:val="clear" w:color="auto" w:fill="FFFFFF"/>
        </w:rPr>
      </w:pPr>
      <w:r w:rsidRPr="00F263EE">
        <w:rPr>
          <w:rFonts w:ascii="Verdana" w:eastAsia="Calibri" w:hAnsi="Verdana" w:cs="Arial"/>
          <w:shd w:val="clear" w:color="auto" w:fill="FFFFFF"/>
        </w:rPr>
        <w:t xml:space="preserve">Twitter: </w:t>
      </w:r>
      <w:r w:rsidRPr="00F263EE">
        <w:rPr>
          <w:rFonts w:ascii="Verdana" w:eastAsia="Calibri" w:hAnsi="Verdana" w:cs="Arial"/>
          <w:u w:val="single"/>
          <w:shd w:val="clear" w:color="auto" w:fill="FFFFFF"/>
        </w:rPr>
        <w:t>@colombiacompra</w:t>
      </w:r>
      <w:r w:rsidRPr="00F263EE">
        <w:rPr>
          <w:rFonts w:ascii="Verdana" w:eastAsia="Calibri" w:hAnsi="Verdana" w:cs="Arial"/>
          <w:shd w:val="clear" w:color="auto" w:fill="FFFFFF"/>
        </w:rPr>
        <w:t xml:space="preserve"> </w:t>
      </w:r>
    </w:p>
    <w:p w14:paraId="20AEA632" w14:textId="77777777" w:rsidR="005154F3" w:rsidRPr="00F263EE" w:rsidRDefault="005154F3" w:rsidP="005154F3">
      <w:pPr>
        <w:widowControl w:val="0"/>
        <w:autoSpaceDE w:val="0"/>
        <w:autoSpaceDN w:val="0"/>
        <w:spacing w:after="0" w:line="276" w:lineRule="auto"/>
        <w:jc w:val="both"/>
        <w:rPr>
          <w:rFonts w:ascii="Verdana" w:eastAsia="Calibri" w:hAnsi="Verdana" w:cs="Arial"/>
          <w:shd w:val="clear" w:color="auto" w:fill="FFFFFF"/>
        </w:rPr>
      </w:pPr>
      <w:r w:rsidRPr="00F263EE">
        <w:rPr>
          <w:rFonts w:ascii="Verdana" w:eastAsia="Calibri" w:hAnsi="Verdana" w:cs="Arial"/>
          <w:shd w:val="clear" w:color="auto" w:fill="FFFFFF"/>
        </w:rPr>
        <w:t xml:space="preserve">Facebook: </w:t>
      </w:r>
      <w:proofErr w:type="spellStart"/>
      <w:r w:rsidRPr="00F263EE">
        <w:rPr>
          <w:rFonts w:ascii="Verdana" w:eastAsia="Calibri" w:hAnsi="Verdana" w:cs="Arial"/>
          <w:u w:val="single"/>
          <w:shd w:val="clear" w:color="auto" w:fill="FFFFFF"/>
        </w:rPr>
        <w:t>ColombiaCompraEficiente</w:t>
      </w:r>
      <w:proofErr w:type="spellEnd"/>
    </w:p>
    <w:p w14:paraId="672A7F7D" w14:textId="77777777" w:rsidR="005154F3" w:rsidRPr="00F263EE" w:rsidRDefault="005154F3" w:rsidP="005154F3">
      <w:pPr>
        <w:widowControl w:val="0"/>
        <w:autoSpaceDE w:val="0"/>
        <w:autoSpaceDN w:val="0"/>
        <w:spacing w:after="0" w:line="276" w:lineRule="auto"/>
        <w:jc w:val="both"/>
        <w:rPr>
          <w:rFonts w:ascii="Verdana" w:eastAsia="Calibri" w:hAnsi="Verdana" w:cs="Arial"/>
          <w:shd w:val="clear" w:color="auto" w:fill="FFFFFF"/>
        </w:rPr>
      </w:pPr>
      <w:r w:rsidRPr="00F263EE">
        <w:rPr>
          <w:rFonts w:ascii="Verdana" w:eastAsia="Calibri" w:hAnsi="Verdana" w:cs="Arial"/>
          <w:shd w:val="clear" w:color="auto" w:fill="FFFFFF"/>
        </w:rPr>
        <w:t xml:space="preserve">LinkedIn: </w:t>
      </w:r>
      <w:r w:rsidRPr="00F263EE">
        <w:rPr>
          <w:rFonts w:ascii="Verdana" w:eastAsia="Calibri" w:hAnsi="Verdana" w:cs="Arial"/>
          <w:u w:val="single"/>
          <w:shd w:val="clear" w:color="auto" w:fill="FFFFFF"/>
        </w:rPr>
        <w:t>Agencia Nacional de Contratación Pública - Colombia Compra Eficiente</w:t>
      </w:r>
      <w:r w:rsidRPr="00F263EE">
        <w:rPr>
          <w:rFonts w:ascii="Verdana" w:eastAsia="Calibri" w:hAnsi="Verdana" w:cs="Arial"/>
          <w:shd w:val="clear" w:color="auto" w:fill="FFFFFF"/>
        </w:rPr>
        <w:t xml:space="preserve"> Instagram: </w:t>
      </w:r>
      <w:r w:rsidRPr="00F263EE">
        <w:rPr>
          <w:rFonts w:ascii="Verdana" w:eastAsia="Calibri" w:hAnsi="Verdana" w:cs="Arial"/>
          <w:u w:val="single"/>
          <w:shd w:val="clear" w:color="auto" w:fill="FFFFFF"/>
        </w:rPr>
        <w:t>@colombiacompraeficiente_cce</w:t>
      </w:r>
    </w:p>
    <w:p w14:paraId="6469C882" w14:textId="77777777" w:rsidR="005154F3" w:rsidRPr="00F263EE" w:rsidRDefault="005154F3" w:rsidP="005154F3">
      <w:pPr>
        <w:widowControl w:val="0"/>
        <w:autoSpaceDE w:val="0"/>
        <w:autoSpaceDN w:val="0"/>
        <w:spacing w:after="0" w:line="276" w:lineRule="auto"/>
        <w:jc w:val="both"/>
        <w:rPr>
          <w:rFonts w:ascii="Verdana" w:eastAsia="Calibri" w:hAnsi="Verdana" w:cs="Arial"/>
          <w:shd w:val="clear" w:color="auto" w:fill="FFFFFF"/>
        </w:rPr>
      </w:pPr>
    </w:p>
    <w:p w14:paraId="493E04DC" w14:textId="77777777" w:rsidR="005154F3" w:rsidRPr="00F263EE" w:rsidRDefault="005154F3" w:rsidP="005154F3">
      <w:pPr>
        <w:widowControl w:val="0"/>
        <w:autoSpaceDE w:val="0"/>
        <w:autoSpaceDN w:val="0"/>
        <w:spacing w:after="0" w:line="276" w:lineRule="auto"/>
        <w:jc w:val="both"/>
        <w:rPr>
          <w:rFonts w:ascii="Verdana" w:eastAsia="Calibri" w:hAnsi="Verdana" w:cs="Arial"/>
          <w:shd w:val="clear" w:color="auto" w:fill="FFFFFF"/>
          <w:lang w:val="es-ES_tradnl"/>
        </w:rPr>
      </w:pPr>
      <w:r w:rsidRPr="00F263EE">
        <w:rPr>
          <w:rFonts w:ascii="Verdana" w:eastAsia="Calibri" w:hAnsi="Verdana" w:cs="Arial"/>
          <w:shd w:val="clear" w:color="auto" w:fill="FFFFFF"/>
        </w:rPr>
        <w:t xml:space="preserve">Este concepto tiene el alcance previsto en el artículo 28 del Código de Procedimiento Administrativo y de lo Contencioso Administrativo </w:t>
      </w:r>
      <w:r w:rsidRPr="00F263EE">
        <w:rPr>
          <w:rFonts w:ascii="Verdana" w:eastAsia="Calibri" w:hAnsi="Verdana" w:cs="Arial"/>
          <w:shd w:val="clear" w:color="auto" w:fill="FFFFFF"/>
          <w:lang w:val="es-ES_tradnl"/>
        </w:rPr>
        <w:t>y las expresiones aquí utilizadas con mayúscula inicial deben ser entendidas con el significado que les otorga el artículo 2.2.1.1.1.3.1. del Decreto 1082 de 2015.</w:t>
      </w:r>
    </w:p>
    <w:p w14:paraId="6B4D3965" w14:textId="77777777" w:rsidR="005154F3" w:rsidRPr="00A60B48" w:rsidRDefault="005154F3" w:rsidP="005154F3">
      <w:pPr>
        <w:widowControl w:val="0"/>
        <w:autoSpaceDE w:val="0"/>
        <w:autoSpaceDN w:val="0"/>
        <w:spacing w:after="0" w:line="276" w:lineRule="auto"/>
        <w:jc w:val="both"/>
        <w:rPr>
          <w:rFonts w:ascii="Verdana" w:hAnsi="Verdana" w:cs="Arial"/>
        </w:rPr>
      </w:pPr>
    </w:p>
    <w:p w14:paraId="0C9FD0DB" w14:textId="77777777" w:rsidR="005154F3" w:rsidRPr="00593A5F" w:rsidRDefault="005154F3" w:rsidP="005154F3">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6A1C0A18" w14:textId="77777777" w:rsidR="005154F3" w:rsidRPr="00593A5F" w:rsidRDefault="005154F3" w:rsidP="005154F3">
      <w:pPr>
        <w:spacing w:line="276" w:lineRule="auto"/>
        <w:jc w:val="center"/>
        <w:rPr>
          <w:rFonts w:ascii="Verdana" w:hAnsi="Verdana" w:cs="Arial"/>
          <w:color w:val="000000"/>
          <w:lang w:val="es-ES_tradnl" w:eastAsia="es-CO"/>
        </w:rPr>
      </w:pPr>
      <w:r w:rsidRPr="00D04744">
        <w:rPr>
          <w:rFonts w:ascii="Verdana" w:hAnsi="Verdana"/>
          <w:noProof/>
        </w:rPr>
        <w:lastRenderedPageBreak/>
        <w:drawing>
          <wp:inline distT="0" distB="0" distL="0" distR="0" wp14:anchorId="114E7690" wp14:editId="0A271C0D">
            <wp:extent cx="3335579" cy="1471579"/>
            <wp:effectExtent l="0" t="0" r="0" b="0"/>
            <wp:docPr id="590512084" name="Imagen 590512084"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512084" name="Imagen 1" descr="Imagen que contiene Texto&#10;&#10;Descripción generada automáticamente"/>
                    <pic:cNvPicPr/>
                  </pic:nvPicPr>
                  <pic:blipFill>
                    <a:blip r:embed="rId15"/>
                    <a:stretch>
                      <a:fillRect/>
                    </a:stretch>
                  </pic:blipFill>
                  <pic:spPr>
                    <a:xfrm>
                      <a:off x="0" y="0"/>
                      <a:ext cx="3339134" cy="147314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154F3" w:rsidRPr="00593A5F" w14:paraId="439D462C" w14:textId="77777777" w:rsidTr="00360DC6">
        <w:trPr>
          <w:trHeight w:val="315"/>
        </w:trPr>
        <w:tc>
          <w:tcPr>
            <w:tcW w:w="893" w:type="dxa"/>
            <w:vAlign w:val="center"/>
            <w:hideMark/>
          </w:tcPr>
          <w:p w14:paraId="50BC1ED2" w14:textId="77777777" w:rsidR="005154F3" w:rsidRPr="003751C7" w:rsidRDefault="005154F3" w:rsidP="00360DC6">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BF751E7" w14:textId="77777777" w:rsidR="005154F3" w:rsidRPr="00884F76" w:rsidRDefault="005154F3" w:rsidP="00360DC6">
            <w:pPr>
              <w:contextualSpacing/>
              <w:rPr>
                <w:rStyle w:val="normaltextrun"/>
                <w:rFonts w:ascii="Verdana" w:eastAsia="Times New Roman" w:hAnsi="Verdana" w:cs="Arial"/>
                <w:sz w:val="16"/>
                <w:szCs w:val="16"/>
                <w:lang w:val="es-ES" w:eastAsia="es-CO"/>
              </w:rPr>
            </w:pPr>
            <w:r>
              <w:rPr>
                <w:rStyle w:val="normaltextrun"/>
                <w:rFonts w:ascii="Verdana" w:eastAsia="Times New Roman" w:hAnsi="Verdana" w:cs="Arial"/>
                <w:sz w:val="16"/>
                <w:szCs w:val="16"/>
                <w:lang w:val="es-ES" w:eastAsia="es-CO"/>
              </w:rPr>
              <w:t xml:space="preserve">Diana </w:t>
            </w:r>
            <w:r w:rsidRPr="00884F76">
              <w:rPr>
                <w:rStyle w:val="normaltextrun"/>
                <w:rFonts w:ascii="Verdana" w:eastAsia="Times New Roman" w:hAnsi="Verdana" w:cs="Arial"/>
                <w:sz w:val="16"/>
                <w:szCs w:val="16"/>
                <w:lang w:val="es-ES" w:eastAsia="es-CO"/>
              </w:rPr>
              <w:t xml:space="preserve">Carolina Blanco Rodriguez </w:t>
            </w:r>
          </w:p>
          <w:p w14:paraId="3A0DEF2C" w14:textId="77777777" w:rsidR="005154F3" w:rsidRPr="00884F76" w:rsidRDefault="005154F3" w:rsidP="00360DC6">
            <w:pPr>
              <w:contextualSpacing/>
              <w:rPr>
                <w:rStyle w:val="normaltextrun"/>
                <w:rFonts w:eastAsia="Times New Roman"/>
                <w:lang w:val="es-ES" w:eastAsia="es-CO"/>
              </w:rPr>
            </w:pPr>
            <w:r w:rsidRPr="00884F76">
              <w:rPr>
                <w:rStyle w:val="normaltextrun"/>
                <w:rFonts w:ascii="Verdana" w:eastAsia="Times New Roman" w:hAnsi="Verdana" w:cs="Arial"/>
                <w:sz w:val="16"/>
                <w:szCs w:val="16"/>
                <w:lang w:val="es-ES" w:eastAsia="es-CO"/>
              </w:rPr>
              <w:t>Contratista de la Subdirección de Gestión Contractual</w:t>
            </w:r>
          </w:p>
        </w:tc>
      </w:tr>
      <w:tr w:rsidR="005154F3" w:rsidRPr="00593A5F" w14:paraId="5D99889A" w14:textId="77777777" w:rsidTr="00360DC6">
        <w:trPr>
          <w:trHeight w:val="330"/>
        </w:trPr>
        <w:tc>
          <w:tcPr>
            <w:tcW w:w="893" w:type="dxa"/>
            <w:vAlign w:val="center"/>
            <w:hideMark/>
          </w:tcPr>
          <w:p w14:paraId="0399E200" w14:textId="77777777" w:rsidR="005154F3" w:rsidRPr="003751C7" w:rsidRDefault="005154F3" w:rsidP="00360DC6">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17FCF93" w14:textId="77777777" w:rsidR="005154F3" w:rsidRPr="006902C7" w:rsidRDefault="005154F3" w:rsidP="00360DC6">
            <w:pPr>
              <w:pStyle w:val="paragraph"/>
              <w:spacing w:after="0"/>
              <w:contextualSpacing/>
              <w:textAlignment w:val="baseline"/>
              <w:rPr>
                <w:rStyle w:val="normaltextrun"/>
                <w:rFonts w:ascii="Verdana" w:hAnsi="Verdana" w:cs="Arial"/>
                <w:sz w:val="16"/>
                <w:szCs w:val="16"/>
                <w:lang w:val="es-ES"/>
              </w:rPr>
            </w:pPr>
            <w:r w:rsidRPr="006902C7">
              <w:rPr>
                <w:rStyle w:val="normaltextrun"/>
                <w:rFonts w:ascii="Verdana" w:hAnsi="Verdana" w:cs="Arial"/>
                <w:sz w:val="16"/>
                <w:szCs w:val="16"/>
                <w:lang w:val="es-ES"/>
              </w:rPr>
              <w:t>D</w:t>
            </w:r>
            <w:r w:rsidRPr="006902C7">
              <w:rPr>
                <w:rStyle w:val="normaltextrun"/>
                <w:rFonts w:ascii="Verdana" w:hAnsi="Verdana"/>
                <w:sz w:val="16"/>
                <w:szCs w:val="16"/>
                <w:lang w:val="es-ES"/>
              </w:rPr>
              <w:t>iana Saavedra</w:t>
            </w:r>
          </w:p>
          <w:p w14:paraId="5F4B0F5F" w14:textId="77777777" w:rsidR="005154F3" w:rsidRPr="00884F76" w:rsidRDefault="005154F3" w:rsidP="00360DC6">
            <w:pPr>
              <w:pStyle w:val="paragraph"/>
              <w:spacing w:before="0" w:beforeAutospacing="0" w:after="0" w:afterAutospacing="0"/>
              <w:contextualSpacing/>
              <w:textAlignment w:val="baseline"/>
              <w:rPr>
                <w:rStyle w:val="normaltextrun"/>
                <w:rFonts w:cs="Arial"/>
                <w:lang w:val="es-ES"/>
              </w:rPr>
            </w:pPr>
            <w:r w:rsidRPr="006902C7">
              <w:rPr>
                <w:rStyle w:val="normaltextrun"/>
                <w:rFonts w:ascii="Verdana" w:hAnsi="Verdana" w:cs="Arial"/>
                <w:sz w:val="16"/>
                <w:szCs w:val="16"/>
                <w:lang w:val="es-ES"/>
              </w:rPr>
              <w:t>Contratista de la</w:t>
            </w:r>
            <w:r>
              <w:rPr>
                <w:rStyle w:val="normaltextrun"/>
                <w:rFonts w:ascii="Verdana" w:hAnsi="Verdana" w:cs="Arial"/>
                <w:sz w:val="16"/>
                <w:szCs w:val="16"/>
                <w:lang w:val="es-ES"/>
              </w:rPr>
              <w:t xml:space="preserve"> Subdirección de Gestión Contractual</w:t>
            </w:r>
          </w:p>
        </w:tc>
      </w:tr>
      <w:tr w:rsidR="005154F3" w:rsidRPr="00593A5F" w14:paraId="56E83D7C" w14:textId="77777777" w:rsidTr="00360DC6">
        <w:trPr>
          <w:trHeight w:val="300"/>
        </w:trPr>
        <w:tc>
          <w:tcPr>
            <w:tcW w:w="893" w:type="dxa"/>
            <w:vAlign w:val="center"/>
          </w:tcPr>
          <w:p w14:paraId="661A54A9" w14:textId="77777777" w:rsidR="005154F3" w:rsidRPr="003751C7" w:rsidRDefault="005154F3" w:rsidP="00360DC6">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B2EB3A2" w14:textId="77777777" w:rsidR="005154F3" w:rsidRPr="003751C7" w:rsidRDefault="005154F3" w:rsidP="00360DC6">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69AE1854" w14:textId="77777777" w:rsidR="005154F3" w:rsidRPr="003751C7" w:rsidRDefault="005154F3" w:rsidP="00360DC6">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268B9843" w14:textId="77777777" w:rsidR="005154F3" w:rsidRPr="00593A5F" w:rsidRDefault="005154F3" w:rsidP="005154F3">
      <w:pPr>
        <w:spacing w:after="0" w:line="240" w:lineRule="auto"/>
        <w:rPr>
          <w:rFonts w:ascii="Verdana" w:eastAsia="Times New Roman" w:hAnsi="Verdana" w:cs="Arial"/>
          <w:sz w:val="24"/>
          <w:szCs w:val="24"/>
          <w:lang w:eastAsia="es-ES"/>
        </w:rPr>
      </w:pPr>
    </w:p>
    <w:p w14:paraId="545D107D" w14:textId="77777777" w:rsidR="005154F3" w:rsidRPr="00593A5F" w:rsidRDefault="005154F3" w:rsidP="005154F3">
      <w:pPr>
        <w:spacing w:after="0" w:line="240" w:lineRule="auto"/>
        <w:rPr>
          <w:rFonts w:ascii="Verdana" w:eastAsia="Times New Roman" w:hAnsi="Verdana" w:cs="Arial"/>
          <w:sz w:val="24"/>
          <w:szCs w:val="24"/>
          <w:lang w:eastAsia="es-ES"/>
        </w:rPr>
      </w:pPr>
    </w:p>
    <w:bookmarkEnd w:id="0"/>
    <w:p w14:paraId="0EA87A1F" w14:textId="77777777" w:rsidR="005154F3" w:rsidRPr="0044528D" w:rsidRDefault="005154F3" w:rsidP="00E245AB">
      <w:pPr>
        <w:spacing w:after="0"/>
        <w:rPr>
          <w:rFonts w:ascii="Verdana" w:hAnsi="Verdana"/>
        </w:rPr>
      </w:pPr>
    </w:p>
    <w:sectPr w:rsidR="005154F3" w:rsidRPr="0044528D"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9FA9CC" w14:textId="77777777" w:rsidR="007775F1" w:rsidRDefault="007775F1" w:rsidP="004A1847">
      <w:pPr>
        <w:spacing w:after="0" w:line="240" w:lineRule="auto"/>
      </w:pPr>
      <w:r>
        <w:separator/>
      </w:r>
    </w:p>
  </w:endnote>
  <w:endnote w:type="continuationSeparator" w:id="0">
    <w:p w14:paraId="45CBF987" w14:textId="77777777" w:rsidR="007775F1" w:rsidRDefault="007775F1" w:rsidP="004A1847">
      <w:pPr>
        <w:spacing w:after="0" w:line="240" w:lineRule="auto"/>
      </w:pPr>
      <w:r>
        <w:continuationSeparator/>
      </w:r>
    </w:p>
  </w:endnote>
  <w:endnote w:type="continuationNotice" w:id="1">
    <w:p w14:paraId="0BB0430F" w14:textId="77777777" w:rsidR="007775F1" w:rsidRDefault="007775F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335D56" w14:textId="77777777" w:rsidR="007775F1" w:rsidRDefault="007775F1" w:rsidP="004A1847">
      <w:pPr>
        <w:spacing w:after="0" w:line="240" w:lineRule="auto"/>
      </w:pPr>
      <w:r>
        <w:separator/>
      </w:r>
    </w:p>
  </w:footnote>
  <w:footnote w:type="continuationSeparator" w:id="0">
    <w:p w14:paraId="57B2DD78" w14:textId="77777777" w:rsidR="007775F1" w:rsidRDefault="007775F1" w:rsidP="004A1847">
      <w:pPr>
        <w:spacing w:after="0" w:line="240" w:lineRule="auto"/>
      </w:pPr>
      <w:r>
        <w:continuationSeparator/>
      </w:r>
    </w:p>
  </w:footnote>
  <w:footnote w:type="continuationNotice" w:id="1">
    <w:p w14:paraId="5713DCA3" w14:textId="77777777" w:rsidR="007775F1" w:rsidRDefault="007775F1">
      <w:pPr>
        <w:spacing w:after="0" w:line="240" w:lineRule="auto"/>
      </w:pPr>
    </w:p>
  </w:footnote>
  <w:footnote w:id="2">
    <w:p w14:paraId="196BD8DF" w14:textId="77777777" w:rsidR="005154F3" w:rsidRPr="002A74D7" w:rsidRDefault="005154F3" w:rsidP="005154F3">
      <w:pPr>
        <w:pStyle w:val="Textonotapie"/>
        <w:ind w:firstLine="708"/>
        <w:jc w:val="both"/>
        <w:rPr>
          <w:rFonts w:ascii="Verdana" w:hAnsi="Verdana" w:cs="Arial"/>
          <w:sz w:val="14"/>
          <w:szCs w:val="14"/>
          <w:lang w:val="es-ES"/>
        </w:rPr>
      </w:pPr>
      <w:r w:rsidRPr="002A74D7">
        <w:rPr>
          <w:rStyle w:val="Refdenotaalpie"/>
          <w:rFonts w:ascii="Verdana" w:hAnsi="Verdana" w:cs="Arial"/>
          <w:sz w:val="14"/>
          <w:szCs w:val="14"/>
        </w:rPr>
        <w:footnoteRef/>
      </w:r>
      <w:r w:rsidRPr="002A74D7">
        <w:rPr>
          <w:rFonts w:ascii="Verdana" w:hAnsi="Verdana" w:cs="Arial"/>
          <w:sz w:val="14"/>
          <w:szCs w:val="14"/>
        </w:rPr>
        <w:t xml:space="preserve"> Cfr. BENAVIDES, José Luis. El contrato estatal: entre el derecho público y el derecho privado. Segunda edición. Bogotá: Universidad Externado de Colombia, 2009. pp. 78-79.      </w:t>
      </w:r>
    </w:p>
  </w:footnote>
  <w:footnote w:id="3">
    <w:p w14:paraId="596B94B0" w14:textId="77777777" w:rsidR="005154F3" w:rsidRPr="002A74D7" w:rsidRDefault="005154F3" w:rsidP="005154F3">
      <w:pPr>
        <w:pStyle w:val="Textonotapie"/>
        <w:ind w:firstLine="708"/>
        <w:jc w:val="both"/>
        <w:rPr>
          <w:rFonts w:ascii="Verdana" w:hAnsi="Verdana" w:cs="Arial"/>
          <w:sz w:val="14"/>
          <w:szCs w:val="14"/>
        </w:rPr>
      </w:pPr>
      <w:r w:rsidRPr="002A74D7">
        <w:rPr>
          <w:rStyle w:val="Refdenotaalpie"/>
          <w:rFonts w:ascii="Verdana" w:hAnsi="Verdana" w:cs="Arial"/>
          <w:sz w:val="14"/>
          <w:szCs w:val="14"/>
        </w:rPr>
        <w:footnoteRef/>
      </w:r>
      <w:r w:rsidRPr="002A74D7">
        <w:rPr>
          <w:rFonts w:ascii="Verdana" w:hAnsi="Verdana" w:cs="Arial"/>
          <w:sz w:val="14"/>
          <w:szCs w:val="14"/>
        </w:rPr>
        <w:t xml:space="preserve"> BETANCUR JARAMILLO, Carlos. Derecho procesal administrativo. Octava edición. Medellín: Señal Editora, 2013. p. 627. </w:t>
      </w:r>
    </w:p>
    <w:p w14:paraId="0F340E30" w14:textId="77777777" w:rsidR="005154F3" w:rsidRPr="005F70F5" w:rsidRDefault="005154F3" w:rsidP="005154F3">
      <w:pPr>
        <w:pStyle w:val="Textonotapie"/>
        <w:ind w:firstLine="708"/>
        <w:jc w:val="both"/>
        <w:rPr>
          <w:rFonts w:ascii="Verdana" w:hAnsi="Verdana" w:cs="Arial"/>
          <w:sz w:val="16"/>
          <w:szCs w:val="16"/>
          <w:lang w:val="es-ES"/>
        </w:rPr>
      </w:pPr>
    </w:p>
  </w:footnote>
  <w:footnote w:id="4">
    <w:p w14:paraId="5B1110A4" w14:textId="77777777" w:rsidR="005154F3" w:rsidRPr="002A74D7" w:rsidRDefault="005154F3" w:rsidP="005154F3">
      <w:pPr>
        <w:pStyle w:val="Textonotapie"/>
        <w:ind w:firstLine="708"/>
        <w:jc w:val="both"/>
        <w:rPr>
          <w:rFonts w:ascii="Verdana" w:hAnsi="Verdana"/>
          <w:sz w:val="14"/>
          <w:szCs w:val="14"/>
          <w:lang w:val="es-CO"/>
        </w:rPr>
      </w:pPr>
      <w:r w:rsidRPr="002A74D7">
        <w:rPr>
          <w:rStyle w:val="Refdenotaalpie"/>
          <w:rFonts w:ascii="Verdana" w:hAnsi="Verdana"/>
          <w:sz w:val="14"/>
          <w:szCs w:val="14"/>
        </w:rPr>
        <w:footnoteRef/>
      </w:r>
      <w:r w:rsidRPr="002A74D7">
        <w:rPr>
          <w:rFonts w:ascii="Verdana" w:hAnsi="Verdana"/>
          <w:sz w:val="14"/>
          <w:szCs w:val="14"/>
        </w:rPr>
        <w:t xml:space="preserve"> OSPINA FERNÁNDEZ, Guillermo &amp; OSPINA ACOSTA, Eduardo. Teoría General del Contrato y del Negocio Jurídico. Séptima edición. Bogotá: Temis, 2021. p. 50.</w:t>
      </w:r>
    </w:p>
  </w:footnote>
  <w:footnote w:id="5">
    <w:p w14:paraId="38B84F2D" w14:textId="77777777" w:rsidR="005154F3" w:rsidRPr="002A74D7" w:rsidRDefault="005154F3" w:rsidP="005154F3">
      <w:pPr>
        <w:pStyle w:val="Textonotapie"/>
        <w:ind w:firstLine="708"/>
        <w:jc w:val="both"/>
        <w:rPr>
          <w:rFonts w:ascii="Verdana" w:hAnsi="Verdana"/>
          <w:sz w:val="14"/>
          <w:szCs w:val="14"/>
        </w:rPr>
      </w:pPr>
      <w:r w:rsidRPr="002A74D7">
        <w:rPr>
          <w:rStyle w:val="Refdenotaalpie"/>
          <w:rFonts w:ascii="Verdana" w:hAnsi="Verdana"/>
          <w:sz w:val="14"/>
          <w:szCs w:val="14"/>
        </w:rPr>
        <w:footnoteRef/>
      </w:r>
      <w:r w:rsidRPr="002A74D7">
        <w:rPr>
          <w:rFonts w:ascii="Verdana" w:hAnsi="Verdana"/>
          <w:sz w:val="14"/>
          <w:szCs w:val="14"/>
        </w:rPr>
        <w:t xml:space="preserve"> SUÁREZ BELTRÁN, Gonzalo. Estudios de derecho público contractual: Bogotá: Legis, 2014. p. 238. Al respecto, la doctrina considera que “Esta clase de contratos está constituida por aquellas figuras cuyos elementos son conocidos (elementos legales); dispuestos, sin embargo, en combinaciones diferentes a las que se pueden apreciar en los contratos típicos y que, además, han sido tomadas de más de un tipo de contrato. Estos elementos pueden encontrarse en una relación de coordinación o de subordinación” (Cfr. ARRUBLA PAUCAR, Jaime Alberto. Contratos mercantiles: contratos atípicos. Octava edición. Bogotá: Legis, 2015. p. 36). </w:t>
      </w:r>
    </w:p>
  </w:footnote>
  <w:footnote w:id="6">
    <w:p w14:paraId="11C244E5" w14:textId="77777777" w:rsidR="005154F3" w:rsidRPr="002A74D7" w:rsidRDefault="005154F3" w:rsidP="005154F3">
      <w:pPr>
        <w:pStyle w:val="Textonotapie"/>
        <w:ind w:firstLine="708"/>
        <w:jc w:val="both"/>
        <w:rPr>
          <w:rFonts w:ascii="Verdana" w:hAnsi="Verdana"/>
          <w:sz w:val="14"/>
          <w:szCs w:val="14"/>
        </w:rPr>
      </w:pPr>
    </w:p>
    <w:p w14:paraId="64D9CCF9" w14:textId="77777777" w:rsidR="005154F3" w:rsidRPr="002A74D7" w:rsidRDefault="005154F3" w:rsidP="005154F3">
      <w:pPr>
        <w:pStyle w:val="Textonotapie"/>
        <w:ind w:firstLine="708"/>
        <w:jc w:val="both"/>
        <w:rPr>
          <w:rFonts w:ascii="Verdana" w:hAnsi="Verdana"/>
          <w:color w:val="000000" w:themeColor="text1"/>
          <w:sz w:val="14"/>
          <w:szCs w:val="14"/>
        </w:rPr>
      </w:pPr>
      <w:r w:rsidRPr="002A74D7">
        <w:rPr>
          <w:rStyle w:val="Refdenotaalpie"/>
          <w:rFonts w:ascii="Verdana" w:hAnsi="Verdana"/>
          <w:sz w:val="14"/>
          <w:szCs w:val="14"/>
        </w:rPr>
        <w:footnoteRef/>
      </w:r>
      <w:r w:rsidRPr="002A74D7">
        <w:rPr>
          <w:rFonts w:ascii="Verdana" w:hAnsi="Verdana"/>
          <w:sz w:val="14"/>
          <w:szCs w:val="14"/>
        </w:rPr>
        <w:t xml:space="preserve"> </w:t>
      </w:r>
      <w:r w:rsidRPr="002A74D7">
        <w:rPr>
          <w:rFonts w:ascii="Verdana" w:hAnsi="Verdana"/>
          <w:color w:val="000000" w:themeColor="text1"/>
          <w:sz w:val="14"/>
          <w:szCs w:val="14"/>
        </w:rPr>
        <w:t>CONSEJO DE ESTADO. Sala de Consulta y Servicio Civil. Concepto del 5 de septiembre de 2018. Rad. 2.386. C.P. Edgar González López.</w:t>
      </w:r>
    </w:p>
    <w:p w14:paraId="129946C0" w14:textId="77777777" w:rsidR="005154F3" w:rsidRPr="00D239E3" w:rsidRDefault="005154F3" w:rsidP="005154F3">
      <w:pPr>
        <w:pStyle w:val="Textonotapie"/>
        <w:ind w:firstLine="708"/>
        <w:jc w:val="both"/>
        <w:rPr>
          <w:rFonts w:ascii="Verdana" w:hAnsi="Verdana"/>
          <w:color w:val="000000" w:themeColor="text1"/>
          <w:sz w:val="16"/>
          <w:szCs w:val="16"/>
        </w:rPr>
      </w:pPr>
    </w:p>
  </w:footnote>
  <w:footnote w:id="7">
    <w:p w14:paraId="1D3BE282" w14:textId="77777777" w:rsidR="005154F3" w:rsidRPr="002A74D7" w:rsidRDefault="005154F3" w:rsidP="005154F3">
      <w:pPr>
        <w:pStyle w:val="Textonotapie"/>
        <w:ind w:firstLine="708"/>
        <w:jc w:val="both"/>
        <w:rPr>
          <w:rFonts w:ascii="Verdana" w:hAnsi="Verdana"/>
          <w:sz w:val="14"/>
          <w:szCs w:val="14"/>
        </w:rPr>
      </w:pPr>
      <w:r w:rsidRPr="002A74D7">
        <w:rPr>
          <w:rStyle w:val="Refdenotaalpie"/>
          <w:rFonts w:ascii="Verdana" w:hAnsi="Verdana"/>
          <w:sz w:val="14"/>
          <w:szCs w:val="14"/>
        </w:rPr>
        <w:footnoteRef/>
      </w:r>
      <w:r w:rsidRPr="002A74D7">
        <w:rPr>
          <w:rFonts w:ascii="Verdana" w:hAnsi="Verdana"/>
          <w:sz w:val="14"/>
          <w:szCs w:val="14"/>
        </w:rPr>
        <w:t xml:space="preserve"> REYES GARCÉS, Henry Mauricio &amp; RODRÍGUEZ BURBANO, Aura Yolima. Una apuesta por el concepto de persona razonable: análisis a partir del contrato atípico de servicios logísticos. Consultado el 11 de noviembre en la página web </w:t>
      </w:r>
      <w:hyperlink r:id="rId1" w:anchor="toc" w:history="1">
        <w:r w:rsidRPr="002A74D7">
          <w:rPr>
            <w:rStyle w:val="Hipervnculo"/>
            <w:rFonts w:ascii="Verdana" w:hAnsi="Verdana"/>
            <w:sz w:val="14"/>
            <w:szCs w:val="14"/>
          </w:rPr>
          <w:t>https://revistas.uexternado.edu.co/index.php/derpri/article/view/7201/10297#toc</w:t>
        </w:r>
      </w:hyperlink>
      <w:r w:rsidRPr="002A74D7">
        <w:rPr>
          <w:rFonts w:ascii="Verdana" w:hAnsi="Verdana"/>
          <w:sz w:val="14"/>
          <w:szCs w:val="14"/>
        </w:rPr>
        <w:t xml:space="preserve">. </w:t>
      </w:r>
    </w:p>
    <w:p w14:paraId="1D6D55E4" w14:textId="77777777" w:rsidR="005154F3" w:rsidRPr="002A74D7" w:rsidRDefault="005154F3" w:rsidP="005154F3">
      <w:pPr>
        <w:pStyle w:val="Textonotapie"/>
        <w:ind w:firstLine="708"/>
        <w:jc w:val="both"/>
        <w:rPr>
          <w:rFonts w:ascii="Verdana" w:hAnsi="Verdana"/>
          <w:sz w:val="14"/>
          <w:szCs w:val="14"/>
        </w:rPr>
      </w:pPr>
    </w:p>
  </w:footnote>
  <w:footnote w:id="8">
    <w:p w14:paraId="0684DC4E" w14:textId="77777777" w:rsidR="005154F3" w:rsidRPr="002A74D7" w:rsidRDefault="005154F3" w:rsidP="005154F3">
      <w:pPr>
        <w:pStyle w:val="Textonotapie"/>
        <w:ind w:firstLine="708"/>
        <w:jc w:val="both"/>
        <w:rPr>
          <w:rFonts w:ascii="Verdana" w:hAnsi="Verdana"/>
          <w:sz w:val="14"/>
          <w:szCs w:val="14"/>
          <w:lang w:val="pt-BR"/>
        </w:rPr>
      </w:pPr>
      <w:r w:rsidRPr="002A74D7">
        <w:rPr>
          <w:rStyle w:val="Refdenotaalpie"/>
          <w:sz w:val="14"/>
          <w:szCs w:val="14"/>
        </w:rPr>
        <w:footnoteRef/>
      </w:r>
      <w:r w:rsidRPr="002A74D7">
        <w:rPr>
          <w:sz w:val="14"/>
          <w:szCs w:val="14"/>
          <w:lang w:val="pt-BR"/>
        </w:rPr>
        <w:t xml:space="preserve"> </w:t>
      </w:r>
      <w:r w:rsidRPr="002A74D7">
        <w:rPr>
          <w:rFonts w:ascii="Verdana" w:hAnsi="Verdana"/>
          <w:sz w:val="14"/>
          <w:szCs w:val="14"/>
          <w:lang w:val="pt-BR"/>
        </w:rPr>
        <w:t>OSPINA FERNÁNDEZ &amp; OSPINA ACOSTA, Op. cit., p. 51.</w:t>
      </w:r>
    </w:p>
    <w:p w14:paraId="320452F6" w14:textId="77777777" w:rsidR="005154F3" w:rsidRPr="002A74D7" w:rsidRDefault="005154F3" w:rsidP="005154F3">
      <w:pPr>
        <w:pStyle w:val="Textonotapie"/>
        <w:ind w:firstLine="708"/>
        <w:jc w:val="both"/>
        <w:rPr>
          <w:sz w:val="14"/>
          <w:szCs w:val="14"/>
          <w:lang w:val="pt-BR"/>
        </w:rPr>
      </w:pPr>
    </w:p>
  </w:footnote>
  <w:footnote w:id="9">
    <w:p w14:paraId="6AEF6ACD" w14:textId="77777777" w:rsidR="005154F3" w:rsidRPr="00E36125" w:rsidRDefault="005154F3" w:rsidP="005154F3">
      <w:pPr>
        <w:pStyle w:val="Textonotapie"/>
        <w:ind w:firstLine="708"/>
        <w:jc w:val="both"/>
        <w:rPr>
          <w:rFonts w:ascii="Verdana" w:hAnsi="Verdana"/>
          <w:sz w:val="16"/>
          <w:szCs w:val="16"/>
          <w:lang w:val="es-CO"/>
        </w:rPr>
      </w:pPr>
      <w:r w:rsidRPr="002A74D7">
        <w:rPr>
          <w:rStyle w:val="Refdenotaalpie"/>
          <w:rFonts w:ascii="Verdana" w:hAnsi="Verdana"/>
          <w:sz w:val="14"/>
          <w:szCs w:val="14"/>
        </w:rPr>
        <w:footnoteRef/>
      </w:r>
      <w:r w:rsidRPr="002A74D7">
        <w:rPr>
          <w:rFonts w:ascii="Verdana" w:hAnsi="Verdana"/>
          <w:sz w:val="14"/>
          <w:szCs w:val="14"/>
        </w:rPr>
        <w:t xml:space="preserve"> Como señala la doctrina, “Las partes del contrato de servicios logísticos serán, de un lado, el empresario, sea este una persona natural o jurídica, que en todo caso requiere la prestación de los servicios de valor agregado ofrecidos por el operador. </w:t>
      </w:r>
      <w:r w:rsidRPr="002A74D7">
        <w:rPr>
          <w:rFonts w:ascii="Verdana" w:hAnsi="Verdana"/>
          <w:i/>
          <w:iCs/>
          <w:sz w:val="14"/>
          <w:szCs w:val="14"/>
        </w:rPr>
        <w:t>De otro, se encuentra el operador logístico, esto es, la persona natural o jurídica que dispone de infraestructura y capacidad operacional adecuadas para ofrecer en el mercado servicios que suponen dotar de ‘valor agregado’ la cadena de abastecimiento, producción o distribución del bien respectivo, mediante la prestación de servicios logísticos durante las fases que van desde la consecución de las materias primas hasta la entrega del producto elaborado al consumidor final</w:t>
      </w:r>
      <w:r w:rsidRPr="002A74D7">
        <w:rPr>
          <w:rFonts w:ascii="Verdana" w:hAnsi="Verdana"/>
          <w:sz w:val="14"/>
          <w:szCs w:val="14"/>
        </w:rPr>
        <w:t>” (Cfr. FRANCO ZÁRATE, Javier Andrés. Aspectos legales de la logística comercial y los contratos de servicios logísticos. Bogotá: Universidad Externado de Colombia, 2014. p. 159).</w:t>
      </w:r>
      <w:r>
        <w:rPr>
          <w:rFonts w:ascii="Verdana" w:hAnsi="Verdana"/>
          <w:sz w:val="16"/>
          <w:szCs w:val="16"/>
        </w:rPr>
        <w:t xml:space="preserve"> </w:t>
      </w:r>
    </w:p>
  </w:footnote>
  <w:footnote w:id="10">
    <w:p w14:paraId="7DE12697" w14:textId="77777777" w:rsidR="005154F3" w:rsidRPr="002A74D7" w:rsidRDefault="005154F3" w:rsidP="005154F3">
      <w:pPr>
        <w:pStyle w:val="Textonotapie"/>
        <w:ind w:firstLine="709"/>
        <w:jc w:val="both"/>
        <w:rPr>
          <w:rFonts w:ascii="Verdana" w:hAnsi="Verdana"/>
          <w:sz w:val="14"/>
          <w:szCs w:val="14"/>
          <w:lang w:val="es-CO"/>
        </w:rPr>
      </w:pPr>
      <w:r w:rsidRPr="002A74D7">
        <w:rPr>
          <w:rStyle w:val="Refdenotaalpie"/>
          <w:rFonts w:ascii="Verdana" w:hAnsi="Verdana"/>
          <w:sz w:val="14"/>
          <w:szCs w:val="14"/>
        </w:rPr>
        <w:footnoteRef/>
      </w:r>
      <w:r w:rsidRPr="002A74D7">
        <w:rPr>
          <w:rFonts w:ascii="Verdana" w:hAnsi="Verdana"/>
          <w:sz w:val="14"/>
          <w:szCs w:val="14"/>
        </w:rPr>
        <w:t xml:space="preserve"> SÁNCHEZ TRUJILLO, Juan Pablo. Completitud de la oferta del contrato atípico: elementos esenciales del contrato atípico como requisito de delimitación del objeto de la oferta mercantil. Consultado el 11 de noviembre de 2024 en la página web </w:t>
      </w:r>
      <w:hyperlink r:id="rId2" w:history="1">
        <w:r w:rsidRPr="002A74D7">
          <w:rPr>
            <w:rStyle w:val="Hipervnculo"/>
            <w:rFonts w:ascii="Verdana" w:hAnsi="Verdana"/>
            <w:sz w:val="14"/>
            <w:szCs w:val="14"/>
          </w:rPr>
          <w:t>https://revistas.udea.edu.co/index.php/derypol/article/view/331285/20790715</w:t>
        </w:r>
      </w:hyperlink>
      <w:r w:rsidRPr="002A74D7">
        <w:rPr>
          <w:rFonts w:ascii="Verdana" w:hAnsi="Verdana"/>
          <w:sz w:val="14"/>
          <w:szCs w:val="14"/>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4BCE5081"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453002071" o:spid="_x0000_i1025" type="#_x0000_t75" style="width:11.4pt;height:11.4pt;visibility:visible;mso-wrap-style:square">
            <v:imagedata r:id="rId1" o:title=""/>
          </v:shape>
        </w:pict>
      </mc:Choice>
      <mc:Fallback>
        <w:drawing>
          <wp:inline distT="0" distB="0" distL="0" distR="0" wp14:anchorId="42FE20CA" wp14:editId="2A3CBB67">
            <wp:extent cx="144780" cy="144780"/>
            <wp:effectExtent l="0" t="0" r="0" b="0"/>
            <wp:docPr id="453002071" name="Imagen 45300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4780" cy="144780"/>
                    </a:xfrm>
                    <a:prstGeom prst="rect">
                      <a:avLst/>
                    </a:prstGeom>
                    <a:noFill/>
                    <a:ln>
                      <a:noFill/>
                    </a:ln>
                  </pic:spPr>
                </pic:pic>
              </a:graphicData>
            </a:graphic>
          </wp:inline>
        </w:drawing>
      </mc:Fallback>
    </mc:AlternateConten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E14CE"/>
    <w:rsid w:val="000F6486"/>
    <w:rsid w:val="00116EDA"/>
    <w:rsid w:val="00125105"/>
    <w:rsid w:val="00127233"/>
    <w:rsid w:val="001511A0"/>
    <w:rsid w:val="001912DF"/>
    <w:rsid w:val="001A686B"/>
    <w:rsid w:val="001E4177"/>
    <w:rsid w:val="001F7DC6"/>
    <w:rsid w:val="002421BB"/>
    <w:rsid w:val="0025796E"/>
    <w:rsid w:val="002707A2"/>
    <w:rsid w:val="00287688"/>
    <w:rsid w:val="00292F10"/>
    <w:rsid w:val="002951A0"/>
    <w:rsid w:val="002962BC"/>
    <w:rsid w:val="002A093D"/>
    <w:rsid w:val="002A0DD0"/>
    <w:rsid w:val="002A49AC"/>
    <w:rsid w:val="002A64FD"/>
    <w:rsid w:val="002C4C5E"/>
    <w:rsid w:val="002C7A84"/>
    <w:rsid w:val="002E4FD9"/>
    <w:rsid w:val="003142E2"/>
    <w:rsid w:val="00322A85"/>
    <w:rsid w:val="00324168"/>
    <w:rsid w:val="003448F4"/>
    <w:rsid w:val="003749E2"/>
    <w:rsid w:val="00374F5E"/>
    <w:rsid w:val="00377E3E"/>
    <w:rsid w:val="00382349"/>
    <w:rsid w:val="003A779E"/>
    <w:rsid w:val="003D0F4D"/>
    <w:rsid w:val="003D5B0D"/>
    <w:rsid w:val="003E0499"/>
    <w:rsid w:val="003F3941"/>
    <w:rsid w:val="00406575"/>
    <w:rsid w:val="00410575"/>
    <w:rsid w:val="00414C74"/>
    <w:rsid w:val="0042722E"/>
    <w:rsid w:val="0044528D"/>
    <w:rsid w:val="00490451"/>
    <w:rsid w:val="004A1847"/>
    <w:rsid w:val="004A305D"/>
    <w:rsid w:val="004B200E"/>
    <w:rsid w:val="004B2AA3"/>
    <w:rsid w:val="004C15AC"/>
    <w:rsid w:val="004F21C4"/>
    <w:rsid w:val="004F685F"/>
    <w:rsid w:val="005154F3"/>
    <w:rsid w:val="005566E8"/>
    <w:rsid w:val="0056082B"/>
    <w:rsid w:val="00574867"/>
    <w:rsid w:val="00591460"/>
    <w:rsid w:val="005A04AD"/>
    <w:rsid w:val="005B3816"/>
    <w:rsid w:val="005C3777"/>
    <w:rsid w:val="005C5CDC"/>
    <w:rsid w:val="005D476C"/>
    <w:rsid w:val="006219F8"/>
    <w:rsid w:val="00635249"/>
    <w:rsid w:val="00665D70"/>
    <w:rsid w:val="006900D9"/>
    <w:rsid w:val="00706C16"/>
    <w:rsid w:val="00756841"/>
    <w:rsid w:val="007649AB"/>
    <w:rsid w:val="00771D0C"/>
    <w:rsid w:val="007775F1"/>
    <w:rsid w:val="007833AC"/>
    <w:rsid w:val="007B268C"/>
    <w:rsid w:val="007B7171"/>
    <w:rsid w:val="007C0C0F"/>
    <w:rsid w:val="007C3DC2"/>
    <w:rsid w:val="007E5497"/>
    <w:rsid w:val="00806F5F"/>
    <w:rsid w:val="00813292"/>
    <w:rsid w:val="00820278"/>
    <w:rsid w:val="0082678E"/>
    <w:rsid w:val="00867F95"/>
    <w:rsid w:val="008843B6"/>
    <w:rsid w:val="00891928"/>
    <w:rsid w:val="008A446D"/>
    <w:rsid w:val="008D180B"/>
    <w:rsid w:val="008F0EA7"/>
    <w:rsid w:val="00923EEF"/>
    <w:rsid w:val="009419F9"/>
    <w:rsid w:val="0095685E"/>
    <w:rsid w:val="00961B09"/>
    <w:rsid w:val="00965334"/>
    <w:rsid w:val="0097093E"/>
    <w:rsid w:val="00986AC5"/>
    <w:rsid w:val="009A0DFA"/>
    <w:rsid w:val="009B2D26"/>
    <w:rsid w:val="009C71FA"/>
    <w:rsid w:val="009C72E7"/>
    <w:rsid w:val="009D3058"/>
    <w:rsid w:val="009F3A13"/>
    <w:rsid w:val="00A122D3"/>
    <w:rsid w:val="00A17F13"/>
    <w:rsid w:val="00A20739"/>
    <w:rsid w:val="00A33C78"/>
    <w:rsid w:val="00A51378"/>
    <w:rsid w:val="00AB0ADB"/>
    <w:rsid w:val="00AE61E9"/>
    <w:rsid w:val="00B01B1A"/>
    <w:rsid w:val="00B65B1A"/>
    <w:rsid w:val="00B66319"/>
    <w:rsid w:val="00B72CD3"/>
    <w:rsid w:val="00B72FFF"/>
    <w:rsid w:val="00BC3D36"/>
    <w:rsid w:val="00BD7F72"/>
    <w:rsid w:val="00BF3CF2"/>
    <w:rsid w:val="00C04FB3"/>
    <w:rsid w:val="00C0633C"/>
    <w:rsid w:val="00C330EB"/>
    <w:rsid w:val="00C41061"/>
    <w:rsid w:val="00C4473F"/>
    <w:rsid w:val="00C754BE"/>
    <w:rsid w:val="00C76B1C"/>
    <w:rsid w:val="00CB6357"/>
    <w:rsid w:val="00CC1B26"/>
    <w:rsid w:val="00D423A2"/>
    <w:rsid w:val="00D520D8"/>
    <w:rsid w:val="00D63AC2"/>
    <w:rsid w:val="00D7383B"/>
    <w:rsid w:val="00D93B9A"/>
    <w:rsid w:val="00DA231B"/>
    <w:rsid w:val="00DA514F"/>
    <w:rsid w:val="00DC39FC"/>
    <w:rsid w:val="00DF5254"/>
    <w:rsid w:val="00E15E7C"/>
    <w:rsid w:val="00E16408"/>
    <w:rsid w:val="00E20894"/>
    <w:rsid w:val="00E245AB"/>
    <w:rsid w:val="00E2764C"/>
    <w:rsid w:val="00E27F2E"/>
    <w:rsid w:val="00E50AFE"/>
    <w:rsid w:val="00E75C92"/>
    <w:rsid w:val="00E771DC"/>
    <w:rsid w:val="00E8772A"/>
    <w:rsid w:val="00E90F6B"/>
    <w:rsid w:val="00E92A2F"/>
    <w:rsid w:val="00E92C27"/>
    <w:rsid w:val="00E945A9"/>
    <w:rsid w:val="00EA0E3D"/>
    <w:rsid w:val="00EA13DE"/>
    <w:rsid w:val="00EC38A7"/>
    <w:rsid w:val="00ED7384"/>
    <w:rsid w:val="00EE1AA8"/>
    <w:rsid w:val="00F06282"/>
    <w:rsid w:val="00F31EDC"/>
    <w:rsid w:val="00F462B3"/>
    <w:rsid w:val="00F5664F"/>
    <w:rsid w:val="00F57CEC"/>
    <w:rsid w:val="00F62FC1"/>
    <w:rsid w:val="00F666C4"/>
    <w:rsid w:val="00F74508"/>
    <w:rsid w:val="00F76AFC"/>
    <w:rsid w:val="00F96D4E"/>
    <w:rsid w:val="00FA47C0"/>
    <w:rsid w:val="00FB5DD1"/>
    <w:rsid w:val="00FC2B5D"/>
    <w:rsid w:val="00FD5ADB"/>
    <w:rsid w:val="00FF1449"/>
    <w:rsid w:val="664FD3B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A04A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A04AD"/>
    <w:rPr>
      <w:rFonts w:ascii="Geomanist Light" w:hAnsi="Geomanist Light"/>
      <w:lang w:val="es-ES"/>
    </w:rPr>
  </w:style>
  <w:style w:type="character" w:styleId="Refdecomentario">
    <w:name w:val="annotation reference"/>
    <w:basedOn w:val="Fuentedeprrafopredeter"/>
    <w:uiPriority w:val="99"/>
    <w:semiHidden/>
    <w:unhideWhenUsed/>
    <w:rsid w:val="00F06282"/>
    <w:rPr>
      <w:sz w:val="16"/>
      <w:szCs w:val="16"/>
    </w:rPr>
  </w:style>
  <w:style w:type="paragraph" w:styleId="Textocomentario">
    <w:name w:val="annotation text"/>
    <w:basedOn w:val="Normal"/>
    <w:link w:val="TextocomentarioCar"/>
    <w:uiPriority w:val="99"/>
    <w:unhideWhenUsed/>
    <w:rsid w:val="00F06282"/>
    <w:pPr>
      <w:spacing w:line="240" w:lineRule="auto"/>
    </w:pPr>
    <w:rPr>
      <w:sz w:val="20"/>
      <w:szCs w:val="20"/>
    </w:rPr>
  </w:style>
  <w:style w:type="character" w:customStyle="1" w:styleId="TextocomentarioCar">
    <w:name w:val="Texto comentario Car"/>
    <w:basedOn w:val="Fuentedeprrafopredeter"/>
    <w:link w:val="Textocomentario"/>
    <w:uiPriority w:val="99"/>
    <w:rsid w:val="00F06282"/>
    <w:rPr>
      <w:sz w:val="20"/>
      <w:szCs w:val="20"/>
    </w:rPr>
  </w:style>
  <w:style w:type="paragraph" w:styleId="Asuntodelcomentario">
    <w:name w:val="annotation subject"/>
    <w:basedOn w:val="Textocomentario"/>
    <w:next w:val="Textocomentario"/>
    <w:link w:val="AsuntodelcomentarioCar"/>
    <w:uiPriority w:val="99"/>
    <w:semiHidden/>
    <w:unhideWhenUsed/>
    <w:rsid w:val="00F06282"/>
    <w:rPr>
      <w:b/>
      <w:bCs/>
    </w:rPr>
  </w:style>
  <w:style w:type="character" w:customStyle="1" w:styleId="AsuntodelcomentarioCar">
    <w:name w:val="Asunto del comentario Car"/>
    <w:basedOn w:val="TextocomentarioCar"/>
    <w:link w:val="Asuntodelcomentario"/>
    <w:uiPriority w:val="99"/>
    <w:semiHidden/>
    <w:rsid w:val="00F0628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ciudadanos%2Fcalendario&amp;data=05%7C02%7Cximena.rios%40colombiacompra.gov.co%7Ceb0fd05604104aa4d3bc08dd4c4ad35e%7C7b09041e245149d08cb179d5e3d8c1be%7C0%7C0%7C638750606446844510%7CUnknown%7CTWFpbGZsb3d8eyJFbXB0eU1hcGkiOnRydWUsIlYiOiIwLjAuMDAwMCIsIlAiOiJXaW4zMiIsIkFOIjoiTWFpbCIsIldUIjoyfQ%3D%3D%7C0%7C%7C%7C&amp;sdata=LZuyZSEh%2FpbQDy0o0xmRCkZYCN0vaW%2FGkYkUsWy3v18%3D&amp;reserved=0"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manuales-guias-y-pliegos-tipo%2Fmanuales-y-guias%2Fcartilla-para-incentivar-y-fortalecer-el-acceso-las&amp;data=05%7C02%7Cximena.rios%40colombiacompra.gov.co%7Ceb0fd05604104aa4d3bc08dd4c4ad35e%7C7b09041e245149d08cb179d5e3d8c1be%7C0%7C0%7C638750606446821386%7CUnknown%7CTWFpbGZsb3d8eyJFbXB0eU1hcGkiOnRydWUsIlYiOiIwLjAuMDAwMCIsIlAiOiJXaW4zMiIsIkFOIjoiTWFpbCIsIldUIjoyfQ%3D%3D%7C0%7C%7C%7C&amp;sdata=W%2Fk14yMQuRl%2BxOXtgXkYqvRvU0sNxDeKufexVKwz2Jw%3D&amp;reserved=0"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hyperlink" Target="mailto:notificaciones.judiciales@inder.gov.co"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manuales-guias-y-pliegos-tipo%2Fmanuales-y-guias%2Fguia-de-contratacion-publica-sostenible-y-socialmente&amp;data=05%7C02%7Cximena.rios%40colombiacompra.gov.co%7Ceb0fd05604104aa4d3bc08dd4c4ad35e%7C7b09041e245149d08cb179d5e3d8c1be%7C0%7C0%7C638750606446862549%7CUnknown%7CTWFpbGZsb3d8eyJFbXB0eU1hcGkiOnRydWUsIlYiOiIwLjAuMDAwMCIsIlAiOiJXaW4zMiIsIkFOIjoiTWFpbCIsIldUIjoyfQ%3D%3D%7C0%7C%7C%7C&amp;sdata=sCdDQff%2B7cq%2Bu3mPTlvG1b%2FR1UY0wqU0fcHRpDbcUW4%3D&amp;reserved=0"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revistas.udea.edu.co/index.php/derypol/article/view/331285/20790715" TargetMode="External"/><Relationship Id="rId1" Type="http://schemas.openxmlformats.org/officeDocument/2006/relationships/hyperlink" Target="https://revistas.uexternado.edu.co/index.php/derpri/article/view/7201/10297"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b531b13d-89bf-4629-be1e-22fdf3dd34d4"/>
    <ds:schemaRef ds:uri="8ae15d26-076e-464e-81a7-6f76a0fb3917"/>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95C25C69-D948-4D26-B362-1FFC9514A4F4}"/>
</file>

<file path=docProps/app.xml><?xml version="1.0" encoding="utf-8"?>
<Properties xmlns="http://schemas.openxmlformats.org/officeDocument/2006/extended-properties" xmlns:vt="http://schemas.openxmlformats.org/officeDocument/2006/docPropsVTypes">
  <Template>Normal.dotm</Template>
  <TotalTime>18</TotalTime>
  <Pages>14</Pages>
  <Words>4447</Words>
  <Characters>24463</Characters>
  <Application>Microsoft Office Word</Application>
  <DocSecurity>0</DocSecurity>
  <Lines>203</Lines>
  <Paragraphs>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Diana Carolina Blanco Rodriguez</cp:lastModifiedBy>
  <cp:revision>6</cp:revision>
  <cp:lastPrinted>2023-01-10T21:18:00Z</cp:lastPrinted>
  <dcterms:created xsi:type="dcterms:W3CDTF">2025-02-17T22:36:00Z</dcterms:created>
  <dcterms:modified xsi:type="dcterms:W3CDTF">2025-03-11T16:57:00Z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