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C879F" w14:textId="77777777" w:rsidR="00D37EFB" w:rsidRPr="00E42B84" w:rsidRDefault="00D37EFB" w:rsidP="00D37EFB">
      <w:pPr>
        <w:spacing w:after="0"/>
        <w:rPr>
          <w:rFonts w:ascii="Verdana" w:hAnsi="Verdana"/>
          <w:b/>
          <w:bCs/>
          <w:color w:val="000000"/>
          <w:sz w:val="20"/>
          <w:szCs w:val="20"/>
        </w:rPr>
      </w:pPr>
      <w:bookmarkStart w:id="0" w:name="_Hlk143780582"/>
      <w:r w:rsidRPr="00E42B84">
        <w:rPr>
          <w:rFonts w:ascii="Verdana" w:hAnsi="Verdana"/>
          <w:b/>
          <w:bCs/>
          <w:color w:val="000000"/>
          <w:sz w:val="20"/>
          <w:szCs w:val="20"/>
        </w:rPr>
        <w:t>DOCUMENTOS TIPO – Fundamento normativo</w:t>
      </w:r>
    </w:p>
    <w:p w14:paraId="5CBBD453" w14:textId="77777777" w:rsidR="00D37EFB" w:rsidRPr="00E42B84" w:rsidRDefault="00D37EFB" w:rsidP="00D37EFB">
      <w:pPr>
        <w:spacing w:after="0"/>
        <w:rPr>
          <w:rFonts w:ascii="Verdana" w:hAnsi="Verdana"/>
          <w:sz w:val="20"/>
          <w:szCs w:val="20"/>
        </w:rPr>
      </w:pPr>
    </w:p>
    <w:p w14:paraId="2CCD4DC5" w14:textId="77777777" w:rsidR="00D37EFB" w:rsidRPr="00E42B84" w:rsidRDefault="00D37EFB" w:rsidP="5637A162">
      <w:pPr>
        <w:spacing w:after="0" w:line="240" w:lineRule="auto"/>
        <w:jc w:val="both"/>
        <w:rPr>
          <w:rFonts w:ascii="Verdana" w:eastAsia="Times New Roman" w:hAnsi="Verdana" w:cs="Times New Roman"/>
          <w:color w:val="000000"/>
          <w:sz w:val="20"/>
          <w:szCs w:val="20"/>
          <w:lang w:eastAsia="es-CO"/>
        </w:rPr>
      </w:pPr>
      <w:r w:rsidRPr="00E42B84">
        <w:rPr>
          <w:rFonts w:ascii="Verdana" w:eastAsia="Times New Roman" w:hAnsi="Verdana" w:cs="Times New Roman"/>
          <w:color w:val="000000" w:themeColor="text1"/>
          <w:sz w:val="20"/>
          <w:szCs w:val="20"/>
          <w:lang w:eastAsia="es-CO"/>
        </w:rPr>
        <w:t>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Esta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p>
    <w:p w14:paraId="5B2D3B55" w14:textId="77777777" w:rsidR="00D37EFB" w:rsidRPr="00E42B84" w:rsidRDefault="00D37EFB" w:rsidP="00D37EFB">
      <w:pPr>
        <w:spacing w:after="0" w:line="240" w:lineRule="auto"/>
        <w:jc w:val="both"/>
        <w:rPr>
          <w:rFonts w:ascii="Verdana" w:eastAsia="Times New Roman" w:hAnsi="Verdana" w:cs="Times New Roman"/>
          <w:color w:val="000000"/>
          <w:sz w:val="20"/>
          <w:szCs w:val="20"/>
          <w:lang w:eastAsia="es-CO"/>
        </w:rPr>
      </w:pPr>
    </w:p>
    <w:p w14:paraId="714A11A1" w14:textId="77777777" w:rsidR="00D37EFB" w:rsidRPr="00E42B84" w:rsidRDefault="00D37EFB" w:rsidP="00D37EFB">
      <w:pPr>
        <w:spacing w:after="0" w:line="240" w:lineRule="auto"/>
        <w:jc w:val="both"/>
        <w:rPr>
          <w:rFonts w:ascii="Verdana" w:eastAsia="Times New Roman" w:hAnsi="Verdana" w:cs="Times New Roman"/>
          <w:color w:val="000000"/>
          <w:sz w:val="20"/>
          <w:szCs w:val="20"/>
          <w:lang w:eastAsia="es-CO"/>
        </w:rPr>
      </w:pPr>
      <w:r w:rsidRPr="00E42B84">
        <w:rPr>
          <w:rFonts w:ascii="Verdana" w:eastAsia="Times New Roman" w:hAnsi="Verdana" w:cs="Times New Roman"/>
          <w:color w:val="000000"/>
          <w:sz w:val="20"/>
          <w:szCs w:val="20"/>
          <w:lang w:eastAsia="es-CO"/>
        </w:rPr>
        <w:t>Por otra parte, debe tenerse en cuenta que la Ley 2022 de 2020 fue sancionada por el presidente de la República el 22 de julio de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w:t>
      </w:r>
    </w:p>
    <w:p w14:paraId="419340F4" w14:textId="77777777" w:rsidR="00D37EFB" w:rsidRPr="00E42B84" w:rsidRDefault="00D37EFB" w:rsidP="00D37EFB">
      <w:pPr>
        <w:spacing w:after="0" w:line="240" w:lineRule="auto"/>
        <w:jc w:val="both"/>
        <w:rPr>
          <w:rFonts w:ascii="Verdana" w:eastAsia="Times New Roman" w:hAnsi="Verdana" w:cs="Times New Roman"/>
          <w:color w:val="000000"/>
          <w:sz w:val="20"/>
          <w:szCs w:val="20"/>
          <w:lang w:eastAsia="es-CO"/>
        </w:rPr>
      </w:pPr>
    </w:p>
    <w:p w14:paraId="492FA708" w14:textId="77777777" w:rsidR="00D37EFB" w:rsidRPr="00E42B84" w:rsidRDefault="00D37EFB" w:rsidP="00D37EFB">
      <w:pPr>
        <w:widowControl w:val="0"/>
        <w:autoSpaceDE w:val="0"/>
        <w:autoSpaceDN w:val="0"/>
        <w:spacing w:after="0" w:line="276" w:lineRule="auto"/>
        <w:jc w:val="both"/>
        <w:rPr>
          <w:rFonts w:ascii="Verdana" w:eastAsia="Times New Roman" w:hAnsi="Verdana" w:cs="Verdana"/>
          <w:b/>
          <w:bCs/>
          <w:sz w:val="20"/>
          <w:szCs w:val="20"/>
          <w:lang w:val="es-ES"/>
        </w:rPr>
      </w:pPr>
      <w:r w:rsidRPr="00E42B84">
        <w:rPr>
          <w:rFonts w:ascii="Verdana" w:eastAsia="Times New Roman" w:hAnsi="Verdana" w:cs="Verdana"/>
          <w:b/>
          <w:bCs/>
          <w:sz w:val="20"/>
          <w:szCs w:val="20"/>
          <w:lang w:val="es-ES"/>
        </w:rPr>
        <w:t xml:space="preserve">SUBSANABILIDAD – Aplicación – Regla general – Excepciones </w:t>
      </w:r>
    </w:p>
    <w:p w14:paraId="4427C84E" w14:textId="77777777" w:rsidR="00D37EFB" w:rsidRPr="00E42B84" w:rsidRDefault="00D37EFB" w:rsidP="00D37EFB">
      <w:pPr>
        <w:widowControl w:val="0"/>
        <w:autoSpaceDE w:val="0"/>
        <w:autoSpaceDN w:val="0"/>
        <w:spacing w:after="0" w:line="276" w:lineRule="auto"/>
        <w:jc w:val="both"/>
        <w:rPr>
          <w:rFonts w:ascii="Verdana" w:eastAsia="Times New Roman" w:hAnsi="Verdana" w:cs="Verdana"/>
          <w:sz w:val="20"/>
          <w:szCs w:val="20"/>
          <w:lang w:val="es-ES"/>
        </w:rPr>
      </w:pPr>
      <w:r w:rsidRPr="00E42B84">
        <w:rPr>
          <w:rFonts w:ascii="Verdana" w:eastAsia="Times New Roman" w:hAnsi="Verdana" w:cs="Verdana"/>
          <w:sz w:val="20"/>
          <w:szCs w:val="20"/>
          <w:lang w:val="es-ES"/>
        </w:rPr>
        <w:t>Según lo dispuesto por la Ley 1882 de 2018 en el artículo 5, lo subsanable es la prueba de todas las circunstancias ocurridas antes del vencimiento del término para presentar las ofertas, ello es lo que implica la prohibición de acreditar circunstancias ocurridas con posterioridad al “cierre del proceso”. Lo subsanable es la prueba de todas las circunstancias ocurridas antes del vencimiento</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del</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término</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para</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presentar</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las</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ofertas,</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pues</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una</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cosa</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es</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el</w:t>
      </w:r>
      <w:r w:rsidRPr="00E42B84">
        <w:rPr>
          <w:rFonts w:ascii="Verdana" w:eastAsia="Times New Roman" w:hAnsi="Verdana" w:cs="Verdana"/>
          <w:spacing w:val="-17"/>
          <w:sz w:val="20"/>
          <w:szCs w:val="20"/>
          <w:lang w:val="es-ES"/>
        </w:rPr>
        <w:t xml:space="preserve"> </w:t>
      </w:r>
      <w:r w:rsidRPr="00E42B84">
        <w:rPr>
          <w:rFonts w:ascii="Verdana" w:eastAsia="Times New Roman" w:hAnsi="Verdana" w:cs="Verdana"/>
          <w:sz w:val="20"/>
          <w:szCs w:val="20"/>
          <w:lang w:val="es-ES"/>
        </w:rPr>
        <w:t>requisito habilitante o el elemento de la propuesta y otra su prueba.</w:t>
      </w:r>
    </w:p>
    <w:p w14:paraId="453C2F7A" w14:textId="77777777" w:rsidR="00D37EFB" w:rsidRPr="00E42B84" w:rsidRDefault="00D37EFB" w:rsidP="00D37EFB">
      <w:pPr>
        <w:widowControl w:val="0"/>
        <w:autoSpaceDE w:val="0"/>
        <w:autoSpaceDN w:val="0"/>
        <w:spacing w:after="0" w:line="276" w:lineRule="auto"/>
        <w:jc w:val="both"/>
        <w:rPr>
          <w:rFonts w:ascii="Verdana" w:eastAsia="Times New Roman" w:hAnsi="Verdana" w:cs="Verdana"/>
          <w:sz w:val="20"/>
          <w:szCs w:val="20"/>
          <w:lang w:val="es-ES"/>
        </w:rPr>
      </w:pPr>
      <w:r w:rsidRPr="00E42B84">
        <w:rPr>
          <w:rFonts w:ascii="Verdana" w:eastAsia="Times New Roman" w:hAnsi="Verdana" w:cs="Verdana"/>
          <w:sz w:val="20"/>
          <w:szCs w:val="20"/>
          <w:lang w:val="es-ES"/>
        </w:rPr>
        <w:t>Así las cosas, tenemos que lo que prohíbe la norma es que se subsanen requisitos que no estaban materialmente</w:t>
      </w:r>
      <w:r w:rsidRPr="00E42B84">
        <w:rPr>
          <w:rFonts w:ascii="Verdana" w:eastAsia="Times New Roman" w:hAnsi="Verdana" w:cs="Verdana"/>
          <w:spacing w:val="-20"/>
          <w:sz w:val="20"/>
          <w:szCs w:val="20"/>
          <w:lang w:val="es-ES"/>
        </w:rPr>
        <w:t xml:space="preserve"> </w:t>
      </w:r>
      <w:r w:rsidRPr="00E42B84">
        <w:rPr>
          <w:rFonts w:ascii="Verdana" w:eastAsia="Times New Roman" w:hAnsi="Verdana" w:cs="Verdana"/>
          <w:sz w:val="20"/>
          <w:szCs w:val="20"/>
          <w:lang w:val="es-ES"/>
        </w:rPr>
        <w:t>cumplidos</w:t>
      </w:r>
      <w:r w:rsidRPr="00E42B84">
        <w:rPr>
          <w:rFonts w:ascii="Verdana" w:eastAsia="Times New Roman" w:hAnsi="Verdana" w:cs="Verdana"/>
          <w:spacing w:val="-19"/>
          <w:sz w:val="20"/>
          <w:szCs w:val="20"/>
          <w:lang w:val="es-ES"/>
        </w:rPr>
        <w:t xml:space="preserve"> </w:t>
      </w:r>
      <w:r w:rsidRPr="00E42B84">
        <w:rPr>
          <w:rFonts w:ascii="Verdana" w:eastAsia="Times New Roman" w:hAnsi="Verdana" w:cs="Verdana"/>
          <w:sz w:val="20"/>
          <w:szCs w:val="20"/>
          <w:lang w:val="es-ES"/>
        </w:rPr>
        <w:t>al</w:t>
      </w:r>
      <w:r w:rsidRPr="00E42B84">
        <w:rPr>
          <w:rFonts w:ascii="Verdana" w:eastAsia="Times New Roman" w:hAnsi="Verdana" w:cs="Verdana"/>
          <w:spacing w:val="-19"/>
          <w:sz w:val="20"/>
          <w:szCs w:val="20"/>
          <w:lang w:val="es-ES"/>
        </w:rPr>
        <w:t xml:space="preserve"> </w:t>
      </w:r>
      <w:r w:rsidRPr="00E42B84">
        <w:rPr>
          <w:rFonts w:ascii="Verdana" w:eastAsia="Times New Roman" w:hAnsi="Verdana" w:cs="Verdana"/>
          <w:sz w:val="20"/>
          <w:szCs w:val="20"/>
          <w:lang w:val="es-ES"/>
        </w:rPr>
        <w:t>momento</w:t>
      </w:r>
      <w:r w:rsidRPr="00E42B84">
        <w:rPr>
          <w:rFonts w:ascii="Verdana" w:eastAsia="Times New Roman" w:hAnsi="Verdana" w:cs="Verdana"/>
          <w:spacing w:val="-20"/>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19"/>
          <w:sz w:val="20"/>
          <w:szCs w:val="20"/>
          <w:lang w:val="es-ES"/>
        </w:rPr>
        <w:t xml:space="preserve"> </w:t>
      </w:r>
      <w:r w:rsidRPr="00E42B84">
        <w:rPr>
          <w:rFonts w:ascii="Verdana" w:eastAsia="Times New Roman" w:hAnsi="Verdana" w:cs="Verdana"/>
          <w:sz w:val="20"/>
          <w:szCs w:val="20"/>
          <w:lang w:val="es-ES"/>
        </w:rPr>
        <w:t>presentación</w:t>
      </w:r>
      <w:r w:rsidRPr="00E42B84">
        <w:rPr>
          <w:rFonts w:ascii="Verdana" w:eastAsia="Times New Roman" w:hAnsi="Verdana" w:cs="Verdana"/>
          <w:spacing w:val="-20"/>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19"/>
          <w:sz w:val="20"/>
          <w:szCs w:val="20"/>
          <w:lang w:val="es-ES"/>
        </w:rPr>
        <w:t xml:space="preserve"> </w:t>
      </w:r>
      <w:r w:rsidRPr="00E42B84">
        <w:rPr>
          <w:rFonts w:ascii="Verdana" w:eastAsia="Times New Roman" w:hAnsi="Verdana" w:cs="Verdana"/>
          <w:sz w:val="20"/>
          <w:szCs w:val="20"/>
          <w:lang w:val="es-ES"/>
        </w:rPr>
        <w:t>la</w:t>
      </w:r>
      <w:r w:rsidRPr="00E42B84">
        <w:rPr>
          <w:rFonts w:ascii="Verdana" w:eastAsia="Times New Roman" w:hAnsi="Verdana" w:cs="Verdana"/>
          <w:spacing w:val="-19"/>
          <w:sz w:val="20"/>
          <w:szCs w:val="20"/>
          <w:lang w:val="es-ES"/>
        </w:rPr>
        <w:t xml:space="preserve"> </w:t>
      </w:r>
      <w:r w:rsidRPr="00E42B84">
        <w:rPr>
          <w:rFonts w:ascii="Verdana" w:eastAsia="Times New Roman" w:hAnsi="Verdana" w:cs="Verdana"/>
          <w:sz w:val="20"/>
          <w:szCs w:val="20"/>
          <w:lang w:val="es-ES"/>
        </w:rPr>
        <w:t>oferta; en términos de la ley,</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que</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se</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acrediten</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z w:val="20"/>
          <w:szCs w:val="20"/>
          <w:lang w:val="es-ES"/>
        </w:rPr>
        <w:t>hechos</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que</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ocurrieron</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z w:val="20"/>
          <w:szCs w:val="20"/>
          <w:lang w:val="es-ES"/>
        </w:rPr>
        <w:t>después</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del</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cierre</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del</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 xml:space="preserve">proceso, </w:t>
      </w:r>
      <w:r w:rsidRPr="00E42B84">
        <w:rPr>
          <w:rFonts w:ascii="Verdana" w:eastAsia="Times New Roman" w:hAnsi="Verdana" w:cs="Verdana"/>
          <w:spacing w:val="-2"/>
          <w:sz w:val="20"/>
          <w:szCs w:val="20"/>
          <w:lang w:val="es-ES"/>
        </w:rPr>
        <w:t>por</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lo</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que</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dicha</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pacing w:val="-2"/>
          <w:sz w:val="20"/>
          <w:szCs w:val="20"/>
          <w:lang w:val="es-ES"/>
        </w:rPr>
        <w:t>limitación</w:t>
      </w:r>
      <w:r w:rsidRPr="00E42B84">
        <w:rPr>
          <w:rFonts w:ascii="Verdana" w:eastAsia="Times New Roman" w:hAnsi="Verdana" w:cs="Verdana"/>
          <w:spacing w:val="-10"/>
          <w:sz w:val="20"/>
          <w:szCs w:val="20"/>
          <w:lang w:val="es-ES"/>
        </w:rPr>
        <w:t xml:space="preserve"> </w:t>
      </w:r>
      <w:r w:rsidRPr="00E42B84">
        <w:rPr>
          <w:rFonts w:ascii="Verdana" w:eastAsia="Times New Roman" w:hAnsi="Verdana" w:cs="Verdana"/>
          <w:spacing w:val="-2"/>
          <w:sz w:val="20"/>
          <w:szCs w:val="20"/>
          <w:lang w:val="es-ES"/>
        </w:rPr>
        <w:t>a</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la</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regla</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pacing w:val="-2"/>
          <w:sz w:val="20"/>
          <w:szCs w:val="20"/>
          <w:lang w:val="es-ES"/>
        </w:rPr>
        <w:t>de</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pacing w:val="-2"/>
          <w:sz w:val="20"/>
          <w:szCs w:val="20"/>
          <w:lang w:val="es-ES"/>
        </w:rPr>
        <w:t>subsanabilidad</w:t>
      </w:r>
      <w:r w:rsidRPr="00E42B84">
        <w:rPr>
          <w:rFonts w:ascii="Verdana" w:eastAsia="Times New Roman" w:hAnsi="Verdana" w:cs="Verdana"/>
          <w:spacing w:val="-8"/>
          <w:sz w:val="20"/>
          <w:szCs w:val="20"/>
          <w:lang w:val="es-ES"/>
        </w:rPr>
        <w:t xml:space="preserve"> </w:t>
      </w:r>
      <w:r w:rsidRPr="00E42B84">
        <w:rPr>
          <w:rFonts w:ascii="Verdana" w:eastAsia="Times New Roman" w:hAnsi="Verdana" w:cs="Verdana"/>
          <w:spacing w:val="-2"/>
          <w:sz w:val="20"/>
          <w:szCs w:val="20"/>
          <w:lang w:val="es-ES"/>
        </w:rPr>
        <w:t>también</w:t>
      </w:r>
      <w:r w:rsidRPr="00E42B84">
        <w:rPr>
          <w:rFonts w:ascii="Verdana" w:eastAsia="Times New Roman" w:hAnsi="Verdana" w:cs="Verdana"/>
          <w:spacing w:val="-11"/>
          <w:sz w:val="20"/>
          <w:szCs w:val="20"/>
          <w:lang w:val="es-ES"/>
        </w:rPr>
        <w:t xml:space="preserve"> </w:t>
      </w:r>
      <w:r w:rsidRPr="00E42B84">
        <w:rPr>
          <w:rFonts w:ascii="Verdana" w:eastAsia="Times New Roman" w:hAnsi="Verdana" w:cs="Verdana"/>
          <w:spacing w:val="-2"/>
          <w:sz w:val="20"/>
          <w:szCs w:val="20"/>
          <w:lang w:val="es-ES"/>
        </w:rPr>
        <w:t>deberá</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pacing w:val="-2"/>
          <w:sz w:val="20"/>
          <w:szCs w:val="20"/>
          <w:lang w:val="es-ES"/>
        </w:rPr>
        <w:t>ser</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pacing w:val="-2"/>
          <w:sz w:val="20"/>
          <w:szCs w:val="20"/>
          <w:lang w:val="es-ES"/>
        </w:rPr>
        <w:t xml:space="preserve">tenida </w:t>
      </w:r>
      <w:r w:rsidRPr="00E42B84">
        <w:rPr>
          <w:rFonts w:ascii="Verdana" w:eastAsia="Times New Roman" w:hAnsi="Verdana" w:cs="Verdana"/>
          <w:sz w:val="20"/>
          <w:szCs w:val="20"/>
          <w:lang w:val="es-ES"/>
        </w:rPr>
        <w:t>en cuenta.</w:t>
      </w:r>
    </w:p>
    <w:p w14:paraId="30F63EAD" w14:textId="77777777" w:rsidR="00D37EFB" w:rsidRPr="00E42B84" w:rsidRDefault="00D37EFB" w:rsidP="00D37EFB">
      <w:pPr>
        <w:widowControl w:val="0"/>
        <w:autoSpaceDE w:val="0"/>
        <w:autoSpaceDN w:val="0"/>
        <w:spacing w:after="0" w:line="276" w:lineRule="auto"/>
        <w:jc w:val="both"/>
        <w:rPr>
          <w:rFonts w:ascii="Verdana" w:eastAsia="Times New Roman" w:hAnsi="Verdana" w:cs="Verdana"/>
          <w:sz w:val="20"/>
          <w:szCs w:val="20"/>
          <w:lang w:val="es-ES"/>
        </w:rPr>
      </w:pPr>
    </w:p>
    <w:p w14:paraId="042B1728" w14:textId="30A581EB" w:rsidR="00D37EFB" w:rsidRPr="00E42B84" w:rsidRDefault="00D37EFB" w:rsidP="00E42B84">
      <w:pPr>
        <w:widowControl w:val="0"/>
        <w:autoSpaceDE w:val="0"/>
        <w:autoSpaceDN w:val="0"/>
        <w:spacing w:after="0" w:line="240" w:lineRule="auto"/>
        <w:jc w:val="both"/>
        <w:rPr>
          <w:rFonts w:ascii="Verdana" w:eastAsia="Times New Roman" w:hAnsi="Verdana" w:cs="Verdana"/>
          <w:sz w:val="20"/>
          <w:szCs w:val="20"/>
          <w:lang w:val="es-ES"/>
        </w:rPr>
      </w:pPr>
      <w:r w:rsidRPr="00E42B84">
        <w:rPr>
          <w:rFonts w:ascii="Verdana" w:eastAsia="Times New Roman" w:hAnsi="Verdana" w:cs="Verdana"/>
          <w:sz w:val="20"/>
          <w:szCs w:val="20"/>
          <w:lang w:val="es-ES"/>
        </w:rPr>
        <w:t>La expresión “circunstancias ocurridas con posterioridad al cierre del proceso” implica distinguir entre la</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prueba</w:t>
      </w:r>
      <w:r w:rsidRPr="00E42B84">
        <w:rPr>
          <w:rFonts w:ascii="Verdana" w:eastAsia="Times New Roman" w:hAnsi="Verdana" w:cs="Verdana"/>
          <w:spacing w:val="-2"/>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un</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hecho</w:t>
      </w:r>
      <w:r w:rsidRPr="00E42B84">
        <w:rPr>
          <w:rFonts w:ascii="Verdana" w:eastAsia="Times New Roman" w:hAnsi="Verdana" w:cs="Verdana"/>
          <w:spacing w:val="-2"/>
          <w:sz w:val="20"/>
          <w:szCs w:val="20"/>
          <w:lang w:val="es-ES"/>
        </w:rPr>
        <w:t xml:space="preserve"> </w:t>
      </w:r>
      <w:r w:rsidRPr="00E42B84">
        <w:rPr>
          <w:rFonts w:ascii="Verdana" w:eastAsia="Times New Roman" w:hAnsi="Verdana" w:cs="Verdana"/>
          <w:sz w:val="20"/>
          <w:szCs w:val="20"/>
          <w:lang w:val="es-ES"/>
        </w:rPr>
        <w:t>y</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el</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hecho</w:t>
      </w:r>
      <w:r w:rsidRPr="00E42B84">
        <w:rPr>
          <w:rFonts w:ascii="Verdana" w:eastAsia="Times New Roman" w:hAnsi="Verdana" w:cs="Verdana"/>
          <w:spacing w:val="-2"/>
          <w:sz w:val="20"/>
          <w:szCs w:val="20"/>
          <w:lang w:val="es-ES"/>
        </w:rPr>
        <w:t xml:space="preserve"> </w:t>
      </w:r>
      <w:r w:rsidRPr="00E42B84">
        <w:rPr>
          <w:rFonts w:ascii="Verdana" w:eastAsia="Times New Roman" w:hAnsi="Verdana" w:cs="Verdana"/>
          <w:sz w:val="20"/>
          <w:szCs w:val="20"/>
          <w:lang w:val="es-ES"/>
        </w:rPr>
        <w:t>mismo.</w:t>
      </w:r>
      <w:r w:rsidRPr="00E42B84">
        <w:rPr>
          <w:rFonts w:ascii="Verdana" w:eastAsia="Times New Roman" w:hAnsi="Verdana" w:cs="Verdana"/>
          <w:spacing w:val="-2"/>
          <w:sz w:val="20"/>
          <w:szCs w:val="20"/>
          <w:lang w:val="es-ES"/>
        </w:rPr>
        <w:t xml:space="preserve"> </w:t>
      </w:r>
      <w:r w:rsidRPr="00E42B84">
        <w:rPr>
          <w:rFonts w:ascii="Verdana" w:eastAsia="Times New Roman" w:hAnsi="Verdana" w:cs="Verdana"/>
          <w:sz w:val="20"/>
          <w:szCs w:val="20"/>
          <w:lang w:val="es-ES"/>
        </w:rPr>
        <w:t>En</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el</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caso</w:t>
      </w:r>
      <w:r w:rsidRPr="00E42B84">
        <w:rPr>
          <w:rFonts w:ascii="Verdana" w:eastAsia="Times New Roman" w:hAnsi="Verdana" w:cs="Verdana"/>
          <w:spacing w:val="-2"/>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la</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subsanabilidad de las ofertas, una cosa es el requisito habilitante o el elemento de la propuesta</w:t>
      </w:r>
      <w:r w:rsidRPr="00E42B84">
        <w:rPr>
          <w:rFonts w:ascii="Verdana" w:eastAsia="Times New Roman" w:hAnsi="Verdana" w:cs="Verdana"/>
          <w:spacing w:val="-3"/>
          <w:sz w:val="20"/>
          <w:szCs w:val="20"/>
          <w:lang w:val="es-ES"/>
        </w:rPr>
        <w:t xml:space="preserve"> </w:t>
      </w:r>
      <w:r w:rsidRPr="00E42B84">
        <w:rPr>
          <w:rFonts w:ascii="Verdana" w:eastAsia="Times New Roman" w:hAnsi="Verdana" w:cs="Verdana"/>
          <w:sz w:val="20"/>
          <w:szCs w:val="20"/>
          <w:lang w:val="es-ES"/>
        </w:rPr>
        <w:t>y</w:t>
      </w:r>
      <w:r w:rsidRPr="00E42B84">
        <w:rPr>
          <w:rFonts w:ascii="Verdana" w:eastAsia="Times New Roman" w:hAnsi="Verdana" w:cs="Verdana"/>
          <w:spacing w:val="-6"/>
          <w:sz w:val="20"/>
          <w:szCs w:val="20"/>
          <w:lang w:val="es-ES"/>
        </w:rPr>
        <w:t xml:space="preserve"> </w:t>
      </w:r>
      <w:r w:rsidRPr="00E42B84">
        <w:rPr>
          <w:rFonts w:ascii="Verdana" w:eastAsia="Times New Roman" w:hAnsi="Verdana" w:cs="Verdana"/>
          <w:sz w:val="20"/>
          <w:szCs w:val="20"/>
          <w:lang w:val="es-ES"/>
        </w:rPr>
        <w:t>otra</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su</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prueba.</w:t>
      </w:r>
      <w:r w:rsidRPr="00E42B84">
        <w:rPr>
          <w:rFonts w:ascii="Verdana" w:eastAsia="Times New Roman" w:hAnsi="Verdana" w:cs="Verdana"/>
          <w:spacing w:val="-4"/>
          <w:sz w:val="20"/>
          <w:szCs w:val="20"/>
          <w:lang w:val="es-ES"/>
        </w:rPr>
        <w:t xml:space="preserve"> </w:t>
      </w:r>
      <w:r w:rsidRPr="00E42B84">
        <w:rPr>
          <w:rFonts w:ascii="Verdana" w:eastAsia="Times New Roman" w:hAnsi="Verdana" w:cs="Verdana"/>
          <w:sz w:val="20"/>
          <w:szCs w:val="20"/>
          <w:lang w:val="es-ES"/>
        </w:rPr>
        <w:t>Lo</w:t>
      </w:r>
      <w:r w:rsidRPr="00E42B84">
        <w:rPr>
          <w:rFonts w:ascii="Verdana" w:eastAsia="Times New Roman" w:hAnsi="Verdana" w:cs="Verdana"/>
          <w:spacing w:val="-6"/>
          <w:sz w:val="20"/>
          <w:szCs w:val="20"/>
          <w:lang w:val="es-ES"/>
        </w:rPr>
        <w:t xml:space="preserve"> </w:t>
      </w:r>
      <w:r w:rsidRPr="00E42B84">
        <w:rPr>
          <w:rFonts w:ascii="Verdana" w:eastAsia="Times New Roman" w:hAnsi="Verdana" w:cs="Verdana"/>
          <w:sz w:val="20"/>
          <w:szCs w:val="20"/>
          <w:lang w:val="es-ES"/>
        </w:rPr>
        <w:t>que</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prohíbe</w:t>
      </w:r>
      <w:r w:rsidRPr="00E42B84">
        <w:rPr>
          <w:rFonts w:ascii="Verdana" w:eastAsia="Times New Roman" w:hAnsi="Verdana" w:cs="Verdana"/>
          <w:spacing w:val="-4"/>
          <w:sz w:val="20"/>
          <w:szCs w:val="20"/>
          <w:lang w:val="es-ES"/>
        </w:rPr>
        <w:t xml:space="preserve"> </w:t>
      </w:r>
      <w:r w:rsidRPr="00E42B84">
        <w:rPr>
          <w:rFonts w:ascii="Verdana" w:eastAsia="Times New Roman" w:hAnsi="Verdana" w:cs="Verdana"/>
          <w:sz w:val="20"/>
          <w:szCs w:val="20"/>
          <w:lang w:val="es-ES"/>
        </w:rPr>
        <w:t>la</w:t>
      </w:r>
      <w:r w:rsidRPr="00E42B84">
        <w:rPr>
          <w:rFonts w:ascii="Verdana" w:eastAsia="Times New Roman" w:hAnsi="Verdana" w:cs="Verdana"/>
          <w:spacing w:val="-6"/>
          <w:sz w:val="20"/>
          <w:szCs w:val="20"/>
          <w:lang w:val="es-ES"/>
        </w:rPr>
        <w:t xml:space="preserve"> </w:t>
      </w:r>
      <w:r w:rsidRPr="00E42B84">
        <w:rPr>
          <w:rFonts w:ascii="Verdana" w:eastAsia="Times New Roman" w:hAnsi="Verdana" w:cs="Verdana"/>
          <w:sz w:val="20"/>
          <w:szCs w:val="20"/>
          <w:lang w:val="es-ES"/>
        </w:rPr>
        <w:t>norma</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es</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que</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se</w:t>
      </w:r>
      <w:r w:rsidRPr="00E42B84">
        <w:rPr>
          <w:rFonts w:ascii="Verdana" w:eastAsia="Times New Roman" w:hAnsi="Verdana" w:cs="Verdana"/>
          <w:spacing w:val="-5"/>
          <w:sz w:val="20"/>
          <w:szCs w:val="20"/>
          <w:lang w:val="es-ES"/>
        </w:rPr>
        <w:t xml:space="preserve"> </w:t>
      </w:r>
      <w:r w:rsidRPr="00E42B84">
        <w:rPr>
          <w:rFonts w:ascii="Verdana" w:eastAsia="Times New Roman" w:hAnsi="Verdana" w:cs="Verdana"/>
          <w:sz w:val="20"/>
          <w:szCs w:val="20"/>
          <w:lang w:val="es-ES"/>
        </w:rPr>
        <w:t>subsanen requisitos que no estaban materialmente cumplidos al momento de presentación</w:t>
      </w:r>
      <w:r w:rsidRPr="00E42B84">
        <w:rPr>
          <w:rFonts w:ascii="Verdana" w:eastAsia="Times New Roman" w:hAnsi="Verdana" w:cs="Verdana"/>
          <w:spacing w:val="-12"/>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la</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oferta,</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o</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en</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palabras</w:t>
      </w:r>
      <w:r w:rsidRPr="00E42B84">
        <w:rPr>
          <w:rFonts w:ascii="Verdana" w:eastAsia="Times New Roman" w:hAnsi="Verdana" w:cs="Verdana"/>
          <w:spacing w:val="-14"/>
          <w:sz w:val="20"/>
          <w:szCs w:val="20"/>
          <w:lang w:val="es-ES"/>
        </w:rPr>
        <w:t xml:space="preserve"> </w:t>
      </w:r>
      <w:r w:rsidRPr="00E42B84">
        <w:rPr>
          <w:rFonts w:ascii="Verdana" w:eastAsia="Times New Roman" w:hAnsi="Verdana" w:cs="Verdana"/>
          <w:sz w:val="20"/>
          <w:szCs w:val="20"/>
          <w:lang w:val="es-ES"/>
        </w:rPr>
        <w:t>de</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la</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ley,</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que</w:t>
      </w:r>
      <w:r w:rsidRPr="00E42B84">
        <w:rPr>
          <w:rFonts w:ascii="Verdana" w:eastAsia="Times New Roman" w:hAnsi="Verdana" w:cs="Verdana"/>
          <w:spacing w:val="-15"/>
          <w:sz w:val="20"/>
          <w:szCs w:val="20"/>
          <w:lang w:val="es-ES"/>
        </w:rPr>
        <w:t xml:space="preserve"> </w:t>
      </w:r>
      <w:r w:rsidRPr="00E42B84">
        <w:rPr>
          <w:rFonts w:ascii="Verdana" w:eastAsia="Times New Roman" w:hAnsi="Verdana" w:cs="Verdana"/>
          <w:sz w:val="20"/>
          <w:szCs w:val="20"/>
          <w:lang w:val="es-ES"/>
        </w:rPr>
        <w:t>se</w:t>
      </w:r>
      <w:r w:rsidRPr="00E42B84">
        <w:rPr>
          <w:rFonts w:ascii="Verdana" w:eastAsia="Times New Roman" w:hAnsi="Verdana" w:cs="Verdana"/>
          <w:spacing w:val="-16"/>
          <w:sz w:val="20"/>
          <w:szCs w:val="20"/>
          <w:lang w:val="es-ES"/>
        </w:rPr>
        <w:t xml:space="preserve"> </w:t>
      </w:r>
      <w:r w:rsidRPr="00E42B84">
        <w:rPr>
          <w:rFonts w:ascii="Verdana" w:eastAsia="Times New Roman" w:hAnsi="Verdana" w:cs="Verdana"/>
          <w:sz w:val="20"/>
          <w:szCs w:val="20"/>
          <w:lang w:val="es-ES"/>
        </w:rPr>
        <w:t>acrediten</w:t>
      </w:r>
      <w:r w:rsidRPr="00E42B84">
        <w:rPr>
          <w:rFonts w:ascii="Verdana" w:eastAsia="Times New Roman" w:hAnsi="Verdana" w:cs="Verdana"/>
          <w:spacing w:val="-13"/>
          <w:sz w:val="20"/>
          <w:szCs w:val="20"/>
          <w:lang w:val="es-ES"/>
        </w:rPr>
        <w:t xml:space="preserve"> </w:t>
      </w:r>
      <w:r w:rsidRPr="00E42B84">
        <w:rPr>
          <w:rFonts w:ascii="Verdana" w:eastAsia="Times New Roman" w:hAnsi="Verdana" w:cs="Verdana"/>
          <w:sz w:val="20"/>
          <w:szCs w:val="20"/>
          <w:lang w:val="es-ES"/>
        </w:rPr>
        <w:t>hechos que ocurrieron después del cierre del proceso</w:t>
      </w:r>
    </w:p>
    <w:p w14:paraId="04240C09" w14:textId="77777777" w:rsidR="00D37EFB" w:rsidRPr="00E42B84" w:rsidRDefault="00D37EFB" w:rsidP="00D37EFB">
      <w:pPr>
        <w:spacing w:after="0" w:line="240" w:lineRule="auto"/>
        <w:jc w:val="both"/>
        <w:rPr>
          <w:rFonts w:ascii="Verdana" w:eastAsia="Geomanist Light" w:hAnsi="Verdana" w:cs="Arial"/>
          <w:sz w:val="20"/>
          <w:szCs w:val="20"/>
          <w:lang w:val="es-ES_tradnl"/>
        </w:rPr>
      </w:pPr>
    </w:p>
    <w:p w14:paraId="75EE7914" w14:textId="77777777" w:rsidR="00D37EFB" w:rsidRPr="00E42B84" w:rsidRDefault="00D37EFB" w:rsidP="00D37EFB">
      <w:pPr>
        <w:spacing w:after="0" w:line="240" w:lineRule="auto"/>
        <w:jc w:val="both"/>
        <w:rPr>
          <w:rFonts w:ascii="Verdana" w:eastAsia="Times New Roman" w:hAnsi="Verdana" w:cs="Arial"/>
          <w:b/>
          <w:bCs/>
          <w:sz w:val="20"/>
          <w:szCs w:val="20"/>
          <w:lang w:val="es-ES" w:eastAsia="es-ES"/>
        </w:rPr>
      </w:pPr>
      <w:r w:rsidRPr="00E42B84">
        <w:rPr>
          <w:rFonts w:ascii="Verdana" w:eastAsia="Times New Roman" w:hAnsi="Verdana" w:cs="Arial"/>
          <w:b/>
          <w:bCs/>
          <w:sz w:val="20"/>
          <w:szCs w:val="20"/>
          <w:lang w:val="es-ES" w:eastAsia="es-ES"/>
        </w:rPr>
        <w:t xml:space="preserve">SUBSANABILIDAD – Circunstancias posteriores – Cierre del proceso- Ley 1882 de 2018 </w:t>
      </w:r>
    </w:p>
    <w:p w14:paraId="58A7DCDD" w14:textId="77777777" w:rsidR="00D37EFB" w:rsidRPr="00E42B84" w:rsidRDefault="00D37EFB" w:rsidP="00D37EFB">
      <w:pPr>
        <w:spacing w:after="0" w:line="240" w:lineRule="auto"/>
        <w:jc w:val="both"/>
        <w:rPr>
          <w:rFonts w:ascii="Verdana" w:eastAsia="Times New Roman" w:hAnsi="Verdana" w:cs="Arial"/>
          <w:sz w:val="20"/>
          <w:szCs w:val="20"/>
          <w:lang w:val="es-ES" w:eastAsia="es-ES"/>
        </w:rPr>
      </w:pPr>
    </w:p>
    <w:p w14:paraId="3AD0FA01" w14:textId="77777777" w:rsidR="00D37EFB" w:rsidRPr="00E42B84" w:rsidRDefault="00D37EFB" w:rsidP="00D37EFB">
      <w:pPr>
        <w:spacing w:after="0" w:line="240" w:lineRule="auto"/>
        <w:jc w:val="both"/>
        <w:rPr>
          <w:rFonts w:ascii="Verdana" w:eastAsia="Times New Roman" w:hAnsi="Verdana" w:cs="Arial"/>
          <w:sz w:val="20"/>
          <w:szCs w:val="20"/>
          <w:lang w:val="es-ES_tradnl" w:eastAsia="es-ES_tradnl"/>
        </w:rPr>
      </w:pPr>
      <w:r w:rsidRPr="00E42B84">
        <w:rPr>
          <w:rFonts w:ascii="Verdana" w:eastAsia="Times New Roman" w:hAnsi="Verdana" w:cs="Arial"/>
          <w:sz w:val="20"/>
          <w:szCs w:val="20"/>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w:t>
      </w:r>
      <w:r w:rsidRPr="00E42B84">
        <w:rPr>
          <w:rFonts w:ascii="Verdana" w:eastAsia="Times New Roman" w:hAnsi="Verdana" w:cs="Arial"/>
          <w:sz w:val="20"/>
          <w:szCs w:val="20"/>
          <w:lang w:val="es-ES_tradnl" w:eastAsia="es-ES_tradnl"/>
        </w:rPr>
        <w:lastRenderedPageBreak/>
        <w:t xml:space="preserve">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E13CB88" w14:textId="77777777" w:rsidR="00D37EFB" w:rsidRPr="00E42B84" w:rsidRDefault="00D37EFB" w:rsidP="00D37EFB">
      <w:pPr>
        <w:spacing w:after="0" w:line="240" w:lineRule="auto"/>
        <w:jc w:val="both"/>
        <w:rPr>
          <w:rFonts w:ascii="Verdana" w:eastAsia="Times New Roman" w:hAnsi="Verdana" w:cs="Arial"/>
          <w:sz w:val="20"/>
          <w:szCs w:val="20"/>
          <w:lang w:val="es-ES_tradnl" w:eastAsia="es-ES_tradnl"/>
        </w:rPr>
      </w:pPr>
    </w:p>
    <w:p w14:paraId="58741212" w14:textId="77777777" w:rsidR="00D37EFB" w:rsidRPr="00E42B84" w:rsidRDefault="00D37EFB" w:rsidP="00D37EFB">
      <w:pPr>
        <w:spacing w:after="0" w:line="240" w:lineRule="auto"/>
        <w:jc w:val="both"/>
        <w:rPr>
          <w:rFonts w:ascii="Verdana" w:eastAsia="Times New Roman" w:hAnsi="Verdana" w:cs="Arial"/>
          <w:sz w:val="20"/>
          <w:szCs w:val="20"/>
          <w:lang w:val="es-ES" w:eastAsia="es-ES"/>
        </w:rPr>
      </w:pPr>
      <w:r w:rsidRPr="00E42B84">
        <w:rPr>
          <w:rFonts w:ascii="Verdana" w:eastAsia="Times New Roman" w:hAnsi="Verdana" w:cs="Arial"/>
          <w:sz w:val="20"/>
          <w:szCs w:val="20"/>
          <w:lang w:val="es-ES" w:eastAsia="es-ES"/>
        </w:rPr>
        <w:t xml:space="preserve">Un mejor entendimiento del significado de la expresión </w:t>
      </w:r>
      <w:r w:rsidRPr="00E42B84">
        <w:rPr>
          <w:rFonts w:ascii="Verdana" w:eastAsia="Times New Roman" w:hAnsi="Verdana" w:cs="Arial"/>
          <w:i/>
          <w:sz w:val="20"/>
          <w:szCs w:val="20"/>
          <w:lang w:val="es-ES" w:eastAsia="es-ES"/>
        </w:rPr>
        <w:t>“circunstancias ocurridas con posterioridad al cierre del proceso”</w:t>
      </w:r>
      <w:r w:rsidRPr="00E42B84">
        <w:rPr>
          <w:rFonts w:ascii="Verdana" w:eastAsia="Times New Roman" w:hAnsi="Verdana" w:cs="Arial"/>
          <w:sz w:val="20"/>
          <w:szCs w:val="20"/>
          <w:lang w:val="es-ES"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 </w:t>
      </w:r>
    </w:p>
    <w:p w14:paraId="77E62B81" w14:textId="77777777" w:rsidR="00D37EFB" w:rsidRPr="00D37EFB" w:rsidRDefault="00D37EFB" w:rsidP="00D37EFB">
      <w:pPr>
        <w:rPr>
          <w:rFonts w:ascii="Verdana" w:eastAsia="Times New Roman" w:hAnsi="Verdana" w:cs="Arial"/>
          <w:color w:val="000000" w:themeColor="text1"/>
          <w:lang w:val="es-MX"/>
        </w:rPr>
      </w:pPr>
      <w:r w:rsidRPr="00D37EFB">
        <w:rPr>
          <w:rFonts w:ascii="Verdana" w:eastAsia="Times New Roman" w:hAnsi="Verdana" w:cs="Arial"/>
          <w:color w:val="000000" w:themeColor="text1"/>
          <w:lang w:val="es-MX"/>
        </w:rPr>
        <w:br w:type="page"/>
      </w:r>
    </w:p>
    <w:p w14:paraId="541FF470" w14:textId="77777777" w:rsidR="00D37EFB" w:rsidRPr="00D37EFB" w:rsidRDefault="00D37EFB" w:rsidP="00D37EFB">
      <w:pPr>
        <w:spacing w:after="0" w:line="240" w:lineRule="auto"/>
        <w:rPr>
          <w:rFonts w:ascii="Verdana" w:eastAsia="Geomanist Light" w:hAnsi="Verdana" w:cs="Arial"/>
          <w:lang w:val="es-MX"/>
        </w:rPr>
      </w:pPr>
      <w:r w:rsidRPr="00D37EFB">
        <w:rPr>
          <w:rFonts w:ascii="Verdana" w:eastAsia="Geomanist Light" w:hAnsi="Verdana" w:cs="Arial"/>
          <w:lang w:val="es-MX"/>
        </w:rPr>
        <w:lastRenderedPageBreak/>
        <w:t>Bogotá D.C., [Día] de [Mes.NombreCapitalizado] de [Año]</w:t>
      </w:r>
    </w:p>
    <w:p w14:paraId="68F16133" w14:textId="77777777" w:rsidR="00D37EFB" w:rsidRPr="00D37EFB" w:rsidRDefault="00D37EFB" w:rsidP="00D37EFB">
      <w:pPr>
        <w:spacing w:after="0" w:line="240" w:lineRule="auto"/>
        <w:rPr>
          <w:rFonts w:ascii="Verdana" w:eastAsia="Calibri" w:hAnsi="Verdana" w:cs="Arial"/>
          <w:lang w:val="es-MX" w:eastAsia="es-ES"/>
        </w:rPr>
      </w:pPr>
    </w:p>
    <w:p w14:paraId="0F2ACCAE" w14:textId="77777777" w:rsidR="00D37EFB" w:rsidRPr="00D37EFB" w:rsidRDefault="00D37EFB" w:rsidP="00D37EFB">
      <w:pPr>
        <w:spacing w:after="0" w:line="240" w:lineRule="auto"/>
        <w:rPr>
          <w:rFonts w:ascii="Verdana" w:eastAsia="Calibri" w:hAnsi="Verdana" w:cs="Arial"/>
          <w:lang w:val="es-MX" w:eastAsia="es-ES"/>
        </w:rPr>
      </w:pPr>
    </w:p>
    <w:p w14:paraId="77FAD8F1" w14:textId="2CA03704" w:rsidR="00D37EFB" w:rsidRPr="00D37EFB" w:rsidRDefault="00D37EFB" w:rsidP="00D37EFB">
      <w:pPr>
        <w:spacing w:after="0" w:line="240" w:lineRule="auto"/>
        <w:rPr>
          <w:rFonts w:ascii="Verdana" w:eastAsia="Calibri" w:hAnsi="Verdana" w:cs="Arial"/>
          <w:lang w:val="es-MX" w:eastAsia="es-ES"/>
        </w:rPr>
      </w:pPr>
    </w:p>
    <w:p w14:paraId="6D619C6B" w14:textId="6CB2381D" w:rsidR="00D37EFB" w:rsidRPr="00D37EFB" w:rsidRDefault="00E42B84" w:rsidP="00D37EFB">
      <w:pPr>
        <w:spacing w:after="0" w:line="240" w:lineRule="auto"/>
        <w:rPr>
          <w:rFonts w:ascii="Verdana" w:eastAsia="Calibri" w:hAnsi="Verdana" w:cs="Arial"/>
          <w:lang w:val="es-MX" w:eastAsia="es-ES"/>
        </w:rPr>
      </w:pPr>
      <w:r w:rsidRPr="00C31154">
        <w:rPr>
          <w:rFonts w:ascii="Verdana" w:eastAsia="Calibri" w:hAnsi="Verdana" w:cs="Arial"/>
          <w:noProof/>
          <w:lang w:val="pt-BR" w:eastAsia="es-ES"/>
        </w:rPr>
        <w:drawing>
          <wp:anchor distT="0" distB="0" distL="114300" distR="114300" simplePos="0" relativeHeight="251658240" behindDoc="0" locked="0" layoutInCell="1" allowOverlap="1" wp14:anchorId="081F5192" wp14:editId="0386E998">
            <wp:simplePos x="0" y="0"/>
            <wp:positionH relativeFrom="column">
              <wp:posOffset>3213182</wp:posOffset>
            </wp:positionH>
            <wp:positionV relativeFrom="paragraph">
              <wp:posOffset>11209</wp:posOffset>
            </wp:positionV>
            <wp:extent cx="2677160" cy="701040"/>
            <wp:effectExtent l="0" t="0" r="8890" b="3810"/>
            <wp:wrapSquare wrapText="bothSides"/>
            <wp:docPr id="1950100284"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00284" name="Imagen 1" descr="Interfaz de usuario gráfica, Texto, Aplicación, Chat o mensaje de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77160" cy="701040"/>
                    </a:xfrm>
                    <a:prstGeom prst="rect">
                      <a:avLst/>
                    </a:prstGeom>
                  </pic:spPr>
                </pic:pic>
              </a:graphicData>
            </a:graphic>
            <wp14:sizeRelH relativeFrom="margin">
              <wp14:pctWidth>0</wp14:pctWidth>
            </wp14:sizeRelH>
            <wp14:sizeRelV relativeFrom="margin">
              <wp14:pctHeight>0</wp14:pctHeight>
            </wp14:sizeRelV>
          </wp:anchor>
        </w:drawing>
      </w:r>
      <w:r w:rsidR="00D37EFB" w:rsidRPr="00D37EFB">
        <w:rPr>
          <w:rFonts w:ascii="Verdana" w:eastAsia="Calibri" w:hAnsi="Verdana" w:cs="Arial"/>
          <w:lang w:val="es-MX" w:eastAsia="es-ES"/>
        </w:rPr>
        <w:t>Señor</w:t>
      </w:r>
    </w:p>
    <w:p w14:paraId="54BAB346" w14:textId="7C914934" w:rsidR="00D37EFB" w:rsidRPr="00D37EFB" w:rsidRDefault="00D37EFB" w:rsidP="00D37EFB">
      <w:pPr>
        <w:spacing w:after="0" w:line="240" w:lineRule="auto"/>
        <w:rPr>
          <w:rFonts w:ascii="Verdana" w:eastAsia="Calibri" w:hAnsi="Verdana" w:cs="Arial"/>
          <w:b/>
          <w:bCs/>
          <w:lang w:val="es-MX" w:eastAsia="es-ES"/>
        </w:rPr>
      </w:pPr>
      <w:r w:rsidRPr="00D37EFB">
        <w:rPr>
          <w:rFonts w:ascii="Verdana" w:eastAsia="Calibri" w:hAnsi="Verdana" w:cs="Arial"/>
          <w:b/>
          <w:bCs/>
          <w:lang w:val="es-MX" w:eastAsia="es-ES"/>
        </w:rPr>
        <w:t>Fernando José Gutiérrez Ibáñez</w:t>
      </w:r>
    </w:p>
    <w:p w14:paraId="197C6EC1" w14:textId="64118101" w:rsidR="00D37EFB" w:rsidRPr="00D37EFB" w:rsidRDefault="00D37EFB" w:rsidP="00D37EFB">
      <w:pPr>
        <w:spacing w:after="0" w:line="240" w:lineRule="auto"/>
        <w:rPr>
          <w:rFonts w:ascii="Verdana" w:eastAsia="Calibri" w:hAnsi="Verdana" w:cs="Arial"/>
          <w:lang w:val="es-MX" w:eastAsia="es-ES"/>
        </w:rPr>
      </w:pPr>
      <w:hyperlink r:id="rId11" w:history="1">
        <w:r w:rsidRPr="00D37EFB">
          <w:rPr>
            <w:rFonts w:ascii="Verdana" w:eastAsia="Calibri" w:hAnsi="Verdana" w:cs="Arial"/>
            <w:color w:val="0000FF"/>
            <w:u w:val="single"/>
            <w:lang w:val="es-MX" w:eastAsia="es-ES"/>
          </w:rPr>
          <w:t>Fernandog213@hotmail.com</w:t>
        </w:r>
      </w:hyperlink>
      <w:r w:rsidRPr="00D37EFB">
        <w:rPr>
          <w:rFonts w:ascii="Verdana" w:eastAsia="Calibri" w:hAnsi="Verdana" w:cs="Arial"/>
          <w:lang w:val="es-MX" w:eastAsia="es-ES"/>
        </w:rPr>
        <w:t xml:space="preserve"> </w:t>
      </w:r>
    </w:p>
    <w:p w14:paraId="55B1B249" w14:textId="77777777" w:rsidR="00D37EFB" w:rsidRDefault="00D37EFB" w:rsidP="00D37EFB">
      <w:pPr>
        <w:spacing w:after="0" w:line="240" w:lineRule="auto"/>
        <w:rPr>
          <w:rFonts w:ascii="Verdana" w:eastAsia="Calibri" w:hAnsi="Verdana" w:cs="Arial"/>
          <w:lang w:val="es-MX" w:eastAsia="es-ES"/>
        </w:rPr>
      </w:pPr>
      <w:r w:rsidRPr="00D37EFB">
        <w:rPr>
          <w:rFonts w:ascii="Verdana" w:eastAsia="Calibri" w:hAnsi="Verdana" w:cs="Arial"/>
          <w:lang w:val="es-MX" w:eastAsia="es-ES"/>
        </w:rPr>
        <w:t>Valledupar, Cesar</w:t>
      </w:r>
    </w:p>
    <w:p w14:paraId="3D797085" w14:textId="77777777" w:rsidR="00C31154" w:rsidRDefault="00C31154" w:rsidP="00D37EFB">
      <w:pPr>
        <w:spacing w:after="0" w:line="240" w:lineRule="auto"/>
        <w:rPr>
          <w:rFonts w:ascii="Verdana" w:eastAsia="Calibri" w:hAnsi="Verdana" w:cs="Arial"/>
          <w:lang w:val="es-MX" w:eastAsia="es-ES"/>
        </w:rPr>
      </w:pPr>
    </w:p>
    <w:p w14:paraId="7459730C" w14:textId="46FFCBC2" w:rsidR="00C31154" w:rsidRDefault="00C31154" w:rsidP="00D37EFB">
      <w:pPr>
        <w:spacing w:after="0" w:line="240" w:lineRule="auto"/>
        <w:rPr>
          <w:rFonts w:ascii="Verdana" w:eastAsia="Calibri" w:hAnsi="Verdana" w:cs="Arial"/>
          <w:lang w:val="es-MX" w:eastAsia="es-ES"/>
        </w:rPr>
      </w:pPr>
    </w:p>
    <w:p w14:paraId="4EE4DB69" w14:textId="63E443AA" w:rsidR="00C31154" w:rsidRPr="00D37EFB" w:rsidRDefault="00C31154" w:rsidP="00C31154">
      <w:pPr>
        <w:spacing w:after="0" w:line="240" w:lineRule="auto"/>
        <w:jc w:val="right"/>
        <w:rPr>
          <w:rFonts w:ascii="Verdana" w:eastAsia="Calibri" w:hAnsi="Verdana" w:cs="Arial"/>
          <w:lang w:val="pt-BR" w:eastAsia="es-ES"/>
        </w:rPr>
      </w:pPr>
    </w:p>
    <w:p w14:paraId="1D1181FF" w14:textId="77777777" w:rsidR="00D37EFB" w:rsidRPr="00D37EFB" w:rsidRDefault="00D37EFB" w:rsidP="00D37EFB">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6398"/>
      </w:tblGrid>
      <w:tr w:rsidR="00D37EFB" w:rsidRPr="00D37EFB" w14:paraId="0333CF27" w14:textId="77777777" w:rsidTr="009143ED">
        <w:trPr>
          <w:trHeight w:val="999"/>
        </w:trPr>
        <w:tc>
          <w:tcPr>
            <w:tcW w:w="2835" w:type="dxa"/>
          </w:tcPr>
          <w:p w14:paraId="43B4E78E" w14:textId="77777777" w:rsidR="00D37EFB" w:rsidRPr="00D37EFB" w:rsidRDefault="00D37EFB" w:rsidP="00D37EFB">
            <w:pPr>
              <w:jc w:val="both"/>
              <w:rPr>
                <w:rFonts w:ascii="Verdana" w:hAnsi="Verdana" w:cs="Arial"/>
                <w:b/>
                <w:bCs/>
                <w:lang w:val="es-ES_tradnl" w:eastAsia="es-ES_tradnl"/>
              </w:rPr>
            </w:pPr>
          </w:p>
        </w:tc>
        <w:tc>
          <w:tcPr>
            <w:tcW w:w="6398" w:type="dxa"/>
            <w:hideMark/>
          </w:tcPr>
          <w:p w14:paraId="0E241D36" w14:textId="7F4F3559" w:rsidR="00D37EFB" w:rsidRPr="00D37EFB" w:rsidRDefault="00D37EFB" w:rsidP="00D37EFB">
            <w:pPr>
              <w:jc w:val="both"/>
              <w:rPr>
                <w:rFonts w:ascii="Verdana" w:hAnsi="Verdana" w:cs="Arial"/>
                <w:b/>
                <w:bCs/>
                <w:lang w:val="es-ES" w:eastAsia="es-ES"/>
              </w:rPr>
            </w:pPr>
            <w:r w:rsidRPr="00D37EFB">
              <w:rPr>
                <w:rFonts w:ascii="Verdana" w:hAnsi="Verdana" w:cs="Arial"/>
                <w:b/>
                <w:bCs/>
                <w:lang w:val="es-ES" w:eastAsia="es-ES"/>
              </w:rPr>
              <w:t>Concepto C- 098 de 202</w:t>
            </w:r>
            <w:r w:rsidR="00561267">
              <w:rPr>
                <w:rFonts w:ascii="Verdana" w:hAnsi="Verdana" w:cs="Arial"/>
                <w:b/>
                <w:bCs/>
                <w:lang w:val="es-ES" w:eastAsia="es-ES"/>
              </w:rPr>
              <w:t>5</w:t>
            </w:r>
          </w:p>
          <w:p w14:paraId="1A81664E" w14:textId="77777777" w:rsidR="00D37EFB" w:rsidRPr="00D37EFB" w:rsidRDefault="00D37EFB" w:rsidP="00D37EFB">
            <w:pPr>
              <w:jc w:val="both"/>
              <w:rPr>
                <w:rFonts w:ascii="Verdana" w:hAnsi="Verdana" w:cs="Arial"/>
                <w:b/>
                <w:bCs/>
                <w:lang w:val="es-ES" w:eastAsia="es-ES"/>
              </w:rPr>
            </w:pPr>
          </w:p>
          <w:p w14:paraId="713E6EF6" w14:textId="77777777" w:rsidR="00D37EFB" w:rsidRPr="00D37EFB" w:rsidRDefault="00D37EFB" w:rsidP="00D37EFB">
            <w:pPr>
              <w:jc w:val="both"/>
              <w:rPr>
                <w:rFonts w:ascii="Verdana" w:hAnsi="Verdana" w:cs="Arial"/>
                <w:b/>
                <w:bCs/>
                <w:lang w:val="es-ES" w:eastAsia="es-ES"/>
              </w:rPr>
            </w:pPr>
          </w:p>
        </w:tc>
      </w:tr>
      <w:tr w:rsidR="00D37EFB" w:rsidRPr="00D37EFB" w14:paraId="74AB86EA" w14:textId="77777777" w:rsidTr="009143ED">
        <w:trPr>
          <w:trHeight w:val="999"/>
        </w:trPr>
        <w:tc>
          <w:tcPr>
            <w:tcW w:w="2835" w:type="dxa"/>
            <w:hideMark/>
          </w:tcPr>
          <w:p w14:paraId="759EC157" w14:textId="77777777" w:rsidR="00D37EFB" w:rsidRPr="00D37EFB" w:rsidRDefault="00D37EFB" w:rsidP="00D37EFB">
            <w:pPr>
              <w:jc w:val="both"/>
              <w:rPr>
                <w:rFonts w:ascii="Verdana" w:hAnsi="Verdana" w:cs="Arial"/>
                <w:lang w:val="es-ES_tradnl" w:eastAsia="es-ES_tradnl"/>
              </w:rPr>
            </w:pPr>
            <w:r w:rsidRPr="00D37EFB">
              <w:rPr>
                <w:rFonts w:ascii="Verdana" w:hAnsi="Verdana" w:cs="Arial"/>
                <w:b/>
                <w:lang w:val="es-ES_tradnl" w:eastAsia="es-ES_tradnl"/>
              </w:rPr>
              <w:t>Temas:</w:t>
            </w:r>
            <w:r w:rsidRPr="00D37EFB">
              <w:rPr>
                <w:rFonts w:ascii="Verdana" w:hAnsi="Verdana" w:cs="Arial"/>
                <w:lang w:val="es-ES_tradnl" w:eastAsia="es-ES_tradnl"/>
              </w:rPr>
              <w:t xml:space="preserve">                   </w:t>
            </w:r>
          </w:p>
        </w:tc>
        <w:tc>
          <w:tcPr>
            <w:tcW w:w="6398" w:type="dxa"/>
          </w:tcPr>
          <w:p w14:paraId="40180603" w14:textId="0E1C4883" w:rsidR="00D37EFB" w:rsidRPr="00E42B84" w:rsidRDefault="00D37EFB" w:rsidP="00D37EFB">
            <w:pPr>
              <w:jc w:val="both"/>
              <w:rPr>
                <w:rFonts w:ascii="Verdana" w:eastAsia="Times New Roman" w:hAnsi="Verdana" w:cs="Arial"/>
                <w:lang w:val="es-ES" w:eastAsia="es-ES"/>
              </w:rPr>
            </w:pPr>
            <w:r w:rsidRPr="00D37EFB">
              <w:rPr>
                <w:rFonts w:ascii="Verdana" w:hAnsi="Verdana"/>
                <w:color w:val="000000"/>
              </w:rPr>
              <w:t>DOCUMENTOS TIPO – Fundamento normativo</w:t>
            </w:r>
            <w:r w:rsidRPr="00D37EFB">
              <w:rPr>
                <w:rFonts w:ascii="Verdana" w:eastAsia="Times New Roman" w:hAnsi="Verdana" w:cs="Verdana"/>
                <w:lang w:val="es-ES"/>
              </w:rPr>
              <w:t xml:space="preserve"> SUBSANABILIDAD – Aplicación – Regla general – Excepciones </w:t>
            </w:r>
            <w:r w:rsidRPr="00D37EFB">
              <w:rPr>
                <w:rFonts w:ascii="Verdana" w:eastAsia="Times New Roman" w:hAnsi="Verdana" w:cs="Arial"/>
                <w:lang w:val="es-ES" w:eastAsia="es-ES"/>
              </w:rPr>
              <w:t>SUBSANABILIDAD – Circunstancias posteriores – Cierre del proceso</w:t>
            </w:r>
            <w:r w:rsidR="00E42B84">
              <w:rPr>
                <w:rFonts w:ascii="Verdana" w:eastAsia="Times New Roman" w:hAnsi="Verdana" w:cs="Arial"/>
                <w:lang w:val="es-ES" w:eastAsia="es-ES"/>
              </w:rPr>
              <w:t xml:space="preserve"> </w:t>
            </w:r>
            <w:r w:rsidR="00E42B84" w:rsidRPr="00E42B84">
              <w:rPr>
                <w:rFonts w:ascii="Verdana" w:eastAsia="Times New Roman" w:hAnsi="Verdana" w:cs="Arial"/>
                <w:b/>
                <w:bCs/>
                <w:lang w:val="es-ES" w:eastAsia="es-ES"/>
              </w:rPr>
              <w:t>–</w:t>
            </w:r>
            <w:r w:rsidRPr="00D37EFB">
              <w:rPr>
                <w:rFonts w:ascii="Verdana" w:eastAsia="Times New Roman" w:hAnsi="Verdana" w:cs="Arial"/>
                <w:lang w:val="es-ES" w:eastAsia="es-ES"/>
              </w:rPr>
              <w:t xml:space="preserve"> Ley 1882 de 2018</w:t>
            </w:r>
          </w:p>
        </w:tc>
      </w:tr>
      <w:tr w:rsidR="00D37EFB" w:rsidRPr="00D37EFB" w14:paraId="1F727283" w14:textId="77777777" w:rsidTr="009143ED">
        <w:trPr>
          <w:trHeight w:val="597"/>
        </w:trPr>
        <w:tc>
          <w:tcPr>
            <w:tcW w:w="2835" w:type="dxa"/>
            <w:hideMark/>
          </w:tcPr>
          <w:p w14:paraId="7363B970" w14:textId="77777777" w:rsidR="00D37EFB" w:rsidRPr="00D37EFB" w:rsidRDefault="00D37EFB" w:rsidP="00D37EFB">
            <w:pPr>
              <w:jc w:val="both"/>
              <w:rPr>
                <w:rFonts w:ascii="Verdana" w:hAnsi="Verdana" w:cs="Arial"/>
                <w:b/>
                <w:lang w:val="es-ES_tradnl" w:eastAsia="es-ES_tradnl"/>
              </w:rPr>
            </w:pPr>
            <w:r w:rsidRPr="00D37EFB">
              <w:rPr>
                <w:rFonts w:ascii="Verdana" w:hAnsi="Verdana" w:cs="Arial"/>
                <w:b/>
                <w:lang w:val="es-ES_tradnl" w:eastAsia="es-ES_tradnl"/>
              </w:rPr>
              <w:t>Radicación:</w:t>
            </w:r>
            <w:r w:rsidRPr="00D37EFB">
              <w:rPr>
                <w:rFonts w:ascii="Verdana" w:hAnsi="Verdana" w:cs="Arial"/>
                <w:lang w:val="es-ES_tradnl" w:eastAsia="es-ES_tradnl"/>
              </w:rPr>
              <w:t xml:space="preserve">               </w:t>
            </w:r>
          </w:p>
        </w:tc>
        <w:tc>
          <w:tcPr>
            <w:tcW w:w="6398" w:type="dxa"/>
          </w:tcPr>
          <w:p w14:paraId="53CDF665" w14:textId="77777777" w:rsidR="00D37EFB" w:rsidRPr="00D37EFB" w:rsidRDefault="00D37EFB" w:rsidP="00D37EFB">
            <w:pPr>
              <w:jc w:val="both"/>
              <w:rPr>
                <w:rFonts w:ascii="Verdana" w:hAnsi="Verdana" w:cs="Arial"/>
                <w:lang w:val="es-ES_tradnl" w:eastAsia="es-ES_tradnl"/>
              </w:rPr>
            </w:pPr>
            <w:r w:rsidRPr="00D37EFB">
              <w:rPr>
                <w:rFonts w:ascii="Verdana" w:hAnsi="Verdana" w:cs="Arial"/>
                <w:lang w:val="es-ES_tradnl" w:eastAsia="es-ES_tradnl"/>
              </w:rPr>
              <w:t xml:space="preserve">Respuesta a consulta con radicado No. </w:t>
            </w:r>
            <w:r w:rsidRPr="00D37EFB">
              <w:rPr>
                <w:rFonts w:ascii="Verdana" w:hAnsi="Verdana"/>
                <w:lang w:eastAsia="es-ES_tradnl"/>
              </w:rPr>
              <w:t>P20250129000815</w:t>
            </w:r>
          </w:p>
        </w:tc>
      </w:tr>
    </w:tbl>
    <w:p w14:paraId="049FBBB3" w14:textId="77777777" w:rsidR="00D37EFB" w:rsidRPr="00D37EFB" w:rsidRDefault="00D37EFB" w:rsidP="00D37EFB">
      <w:pPr>
        <w:spacing w:after="0" w:line="240" w:lineRule="auto"/>
        <w:jc w:val="both"/>
        <w:rPr>
          <w:rFonts w:ascii="Verdana" w:eastAsia="Calibri" w:hAnsi="Verdana" w:cs="Arial"/>
          <w:lang w:val="es-ES_tradnl" w:eastAsia="es-ES_tradnl"/>
        </w:rPr>
      </w:pPr>
    </w:p>
    <w:p w14:paraId="7EF066AA" w14:textId="77777777" w:rsidR="00D37EFB" w:rsidRPr="00D37EFB" w:rsidRDefault="00D37EFB" w:rsidP="00D37EFB">
      <w:pPr>
        <w:spacing w:after="0" w:line="240" w:lineRule="auto"/>
        <w:jc w:val="both"/>
        <w:rPr>
          <w:rFonts w:ascii="Verdana" w:eastAsia="Calibri" w:hAnsi="Verdana" w:cs="Arial"/>
          <w:lang w:val="es-ES_tradnl" w:eastAsia="es-ES_tradnl"/>
        </w:rPr>
      </w:pPr>
    </w:p>
    <w:p w14:paraId="679F8124" w14:textId="77777777" w:rsidR="00D37EFB" w:rsidRPr="00D37EFB" w:rsidRDefault="00D37EFB" w:rsidP="00D37EFB">
      <w:pPr>
        <w:spacing w:after="0" w:line="276" w:lineRule="auto"/>
        <w:jc w:val="both"/>
        <w:rPr>
          <w:rFonts w:ascii="Verdana" w:eastAsia="Calibri" w:hAnsi="Verdana" w:cs="Arial"/>
          <w:lang w:val="es-ES" w:eastAsia="es-ES"/>
        </w:rPr>
      </w:pPr>
      <w:r w:rsidRPr="00D37EFB">
        <w:rPr>
          <w:rFonts w:ascii="Verdana" w:eastAsia="Calibri" w:hAnsi="Verdana" w:cs="Arial"/>
          <w:lang w:val="es-ES" w:eastAsia="es-ES"/>
        </w:rPr>
        <w:t xml:space="preserve">Estimado señor Gutiérrez:  </w:t>
      </w:r>
    </w:p>
    <w:p w14:paraId="6D2A25CE" w14:textId="77777777" w:rsidR="00D37EFB" w:rsidRPr="00D37EFB" w:rsidRDefault="00D37EFB" w:rsidP="00D37EFB">
      <w:pPr>
        <w:tabs>
          <w:tab w:val="left" w:pos="3768"/>
        </w:tabs>
        <w:spacing w:after="0" w:line="276" w:lineRule="auto"/>
        <w:jc w:val="both"/>
        <w:rPr>
          <w:rFonts w:ascii="Verdana" w:eastAsia="Calibri" w:hAnsi="Verdana" w:cs="Arial"/>
          <w:lang w:val="es-ES" w:eastAsia="es-ES"/>
        </w:rPr>
      </w:pPr>
      <w:r w:rsidRPr="00D37EFB">
        <w:rPr>
          <w:rFonts w:ascii="Verdana" w:eastAsia="Calibri" w:hAnsi="Verdana" w:cs="Arial"/>
          <w:lang w:val="es-ES" w:eastAsia="es-ES"/>
        </w:rPr>
        <w:tab/>
      </w:r>
    </w:p>
    <w:p w14:paraId="04F946FA" w14:textId="77777777" w:rsidR="00D37EFB" w:rsidRPr="00D37EFB" w:rsidRDefault="00D37EFB" w:rsidP="00D37EFB">
      <w:pPr>
        <w:spacing w:after="0" w:line="276" w:lineRule="auto"/>
        <w:jc w:val="both"/>
        <w:rPr>
          <w:rFonts w:ascii="Verdana" w:eastAsia="Calibri" w:hAnsi="Verdana" w:cs="Arial"/>
          <w:lang w:val="es-ES" w:eastAsia="es-ES"/>
        </w:rPr>
      </w:pPr>
      <w:r w:rsidRPr="00D37EFB">
        <w:rPr>
          <w:rFonts w:ascii="Verdana" w:eastAsia="Calibri" w:hAnsi="Verdana" w:cs="Arial"/>
          <w:lang w:val="es-ES" w:eastAsia="es-ES"/>
        </w:rPr>
        <w:t>En ejercicio de la competencia otorgada por los artículos 3, numeral 5º, y 11, numeral 8º, del Decreto Ley 4170 de 2011,</w:t>
      </w:r>
      <w:r w:rsidRPr="00D37EFB">
        <w:rPr>
          <w:rFonts w:ascii="Verdana" w:eastAsia="Arial MT" w:hAnsi="Verdana" w:cs="Arial MT"/>
          <w:lang w:val="es-ES" w:eastAsia="es-ES"/>
        </w:rPr>
        <w:t xml:space="preserve"> </w:t>
      </w:r>
      <w:r w:rsidRPr="00D37EFB">
        <w:rPr>
          <w:rFonts w:ascii="Verdana" w:eastAsia="Calibri" w:hAnsi="Verdana" w:cs="Arial"/>
        </w:rPr>
        <w:t xml:space="preserve">así como lo establecido en el artículo 4 de la Resolución 1707 de 2018 expedida por esta Entidad, </w:t>
      </w:r>
      <w:r w:rsidRPr="00D37EFB">
        <w:rPr>
          <w:rFonts w:ascii="Verdana" w:eastAsia="Calibri" w:hAnsi="Verdana" w:cs="Arial"/>
          <w:lang w:val="es-ES" w:eastAsia="es-ES"/>
        </w:rPr>
        <w:t xml:space="preserve">la Agencia Nacional de Contratación Pública – Colombia Compra Eficiente– responde su solicitud de consulta de fecha de 29 de enero de 2025, en la cual manifiesta lo siguiente: </w:t>
      </w:r>
    </w:p>
    <w:p w14:paraId="6A24911A" w14:textId="77777777" w:rsidR="00D37EFB" w:rsidRPr="00D37EFB" w:rsidRDefault="00D37EFB" w:rsidP="00D37EFB">
      <w:pPr>
        <w:spacing w:after="0" w:line="240" w:lineRule="auto"/>
        <w:ind w:left="709" w:right="709"/>
        <w:jc w:val="both"/>
        <w:rPr>
          <w:rFonts w:ascii="Verdana" w:eastAsia="Century Gothic" w:hAnsi="Verdana" w:cs="Century Gothic"/>
          <w:sz w:val="20"/>
          <w:szCs w:val="20"/>
          <w:lang w:val="es-ES"/>
        </w:rPr>
      </w:pPr>
      <w:bookmarkStart w:id="1" w:name="_Hlk95313578"/>
    </w:p>
    <w:bookmarkEnd w:id="1"/>
    <w:p w14:paraId="17DF79B3" w14:textId="77777777" w:rsidR="00D37EFB" w:rsidRPr="00D37EFB" w:rsidRDefault="00D37EFB" w:rsidP="00D37EFB">
      <w:pPr>
        <w:spacing w:after="120" w:line="240" w:lineRule="auto"/>
        <w:ind w:left="709" w:right="709"/>
        <w:jc w:val="both"/>
        <w:rPr>
          <w:rFonts w:ascii="Verdana" w:eastAsia="Century Gothic" w:hAnsi="Verdana" w:cs="Century Gothic"/>
          <w:b/>
          <w:bCs/>
          <w:sz w:val="20"/>
          <w:szCs w:val="20"/>
          <w:lang w:val="es-ES"/>
        </w:rPr>
      </w:pPr>
      <w:r w:rsidRPr="00D37EFB">
        <w:rPr>
          <w:rFonts w:ascii="Verdana" w:eastAsia="Century Gothic" w:hAnsi="Verdana" w:cs="Century Gothic"/>
          <w:sz w:val="20"/>
          <w:szCs w:val="20"/>
          <w:lang w:val="es-ES"/>
        </w:rPr>
        <w:t xml:space="preserve">“Un proponente puede después de presentar su propuesta en un proceso de licitación publica tipo verificados los requisitos por la entidad en el informe evaluador publicado, esta no cumple con los contratos aportados a lo cual no quedaría habilitada, puede presentar otros contratos cambiando los formatos y presentarlos nuevamente para cumplir, esto sería mejoramiento o modificación de la propuesta, lo cual está prohibido en el ordenamiento jurídico, siendo que serian circunstancias nuevas que no  estarían contempladas en la propuesta presentada inicialmente y no podría confundir con los documentos subsanables debido que estos  no estaban dentro de la información presentada inicialmente” </w:t>
      </w:r>
    </w:p>
    <w:p w14:paraId="734C870A" w14:textId="77777777" w:rsidR="00D37EFB" w:rsidRPr="00D37EFB" w:rsidRDefault="00D37EFB" w:rsidP="00D37EFB">
      <w:pPr>
        <w:spacing w:after="120" w:line="276" w:lineRule="auto"/>
        <w:ind w:firstLine="709"/>
        <w:jc w:val="both"/>
        <w:rPr>
          <w:rFonts w:ascii="Verdana" w:eastAsia="Calibri" w:hAnsi="Verdana" w:cs="Arial"/>
          <w:szCs w:val="24"/>
          <w:lang w:val="es-ES_tradnl" w:eastAsia="es-ES_tradnl"/>
        </w:rPr>
      </w:pPr>
      <w:r w:rsidRPr="00D37EFB">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D37EFB">
        <w:rPr>
          <w:rFonts w:ascii="Verdana" w:eastAsia="Calibri" w:hAnsi="Verdana" w:cs="Arial"/>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37EFB">
        <w:rPr>
          <w:rFonts w:ascii="Verdana" w:eastAsia="Calibri" w:hAnsi="Verdana" w:cs="Arial"/>
          <w:szCs w:val="24"/>
          <w:lang w:val="es-ES_tradnl" w:eastAsia="es-ES_tradnl"/>
        </w:rPr>
        <w:tab/>
      </w:r>
    </w:p>
    <w:p w14:paraId="59E5819E" w14:textId="77777777" w:rsidR="00D37EFB" w:rsidRPr="00D37EFB" w:rsidRDefault="00D37EFB" w:rsidP="00D37EFB">
      <w:pPr>
        <w:spacing w:after="0" w:line="276" w:lineRule="auto"/>
        <w:jc w:val="both"/>
        <w:rPr>
          <w:rFonts w:ascii="Verdana" w:eastAsia="Calibri" w:hAnsi="Verdana" w:cs="Arial"/>
          <w:lang w:val="es-ES" w:eastAsia="es-ES"/>
        </w:rPr>
      </w:pPr>
      <w:r w:rsidRPr="00D37EF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4AA7552" w14:textId="77777777" w:rsidR="00D37EFB" w:rsidRPr="00D37EFB" w:rsidRDefault="00D37EFB" w:rsidP="00D37EFB">
      <w:pPr>
        <w:spacing w:after="0" w:line="276" w:lineRule="auto"/>
        <w:ind w:firstLine="709"/>
        <w:jc w:val="both"/>
        <w:rPr>
          <w:rFonts w:ascii="Verdana" w:eastAsia="Calibri" w:hAnsi="Verdana" w:cs="Arial"/>
          <w:lang w:val="es-ES" w:eastAsia="es-ES"/>
        </w:rPr>
      </w:pPr>
    </w:p>
    <w:p w14:paraId="2A63AC59" w14:textId="65AF8DC1" w:rsidR="00D37EFB" w:rsidRPr="0049039F" w:rsidRDefault="00D37EFB" w:rsidP="0049039F">
      <w:pPr>
        <w:pStyle w:val="Prrafodelista"/>
        <w:numPr>
          <w:ilvl w:val="0"/>
          <w:numId w:val="18"/>
        </w:numPr>
        <w:tabs>
          <w:tab w:val="left" w:pos="142"/>
          <w:tab w:val="left" w:pos="284"/>
        </w:tabs>
        <w:spacing w:after="0" w:line="276" w:lineRule="auto"/>
        <w:rPr>
          <w:rFonts w:ascii="Verdana" w:eastAsia="Century Gothic" w:hAnsi="Verdana" w:cs="Century Gothic"/>
          <w:b/>
          <w:bCs/>
        </w:rPr>
      </w:pPr>
      <w:r w:rsidRPr="0049039F">
        <w:rPr>
          <w:rFonts w:ascii="Verdana" w:eastAsia="Century Gothic" w:hAnsi="Verdana" w:cs="Century Gothic"/>
          <w:b/>
          <w:bCs/>
        </w:rPr>
        <w:t>Problema planteado:</w:t>
      </w:r>
    </w:p>
    <w:p w14:paraId="4CD798D7" w14:textId="77777777" w:rsidR="00D37EFB" w:rsidRPr="00D37EFB" w:rsidRDefault="00D37EFB" w:rsidP="0049039F">
      <w:pPr>
        <w:tabs>
          <w:tab w:val="left" w:pos="426"/>
        </w:tabs>
        <w:spacing w:after="0" w:line="276" w:lineRule="auto"/>
        <w:rPr>
          <w:rFonts w:ascii="Verdana" w:eastAsia="Century Gothic" w:hAnsi="Verdana" w:cs="Century Gothic"/>
          <w:lang w:val="es-ES"/>
        </w:rPr>
      </w:pPr>
    </w:p>
    <w:p w14:paraId="060F4707" w14:textId="77777777" w:rsidR="00D37EFB" w:rsidRPr="00D37EFB" w:rsidRDefault="00D37EFB" w:rsidP="00D37EFB">
      <w:pPr>
        <w:spacing w:line="240" w:lineRule="auto"/>
        <w:jc w:val="both"/>
        <w:rPr>
          <w:rFonts w:ascii="Verdana" w:eastAsia="Century Gothic" w:hAnsi="Verdana" w:cs="Century Gothic"/>
        </w:rPr>
      </w:pPr>
      <w:r w:rsidRPr="00D37EFB">
        <w:rPr>
          <w:rFonts w:ascii="Verdana" w:eastAsia="Century Gothic" w:hAnsi="Verdana" w:cs="Century Gothic"/>
        </w:rPr>
        <w:t>De acuerdo con el contenido de su solicitud, esta Agencia resolverá los siguientes problemas jurídicos: ¿Después del informe de evaluación, el proponente puede anexar a manera de subsanación otros contratos diferentes a los presentados en un principio para acreditar la experiencia?</w:t>
      </w:r>
    </w:p>
    <w:p w14:paraId="13247FA2" w14:textId="77777777" w:rsidR="00D37EFB" w:rsidRPr="00D37EFB" w:rsidRDefault="00D37EFB" w:rsidP="00D37EFB">
      <w:pPr>
        <w:spacing w:line="240" w:lineRule="auto"/>
        <w:ind w:right="49"/>
        <w:jc w:val="both"/>
        <w:rPr>
          <w:rFonts w:ascii="Verdana" w:eastAsia="Century Gothic" w:hAnsi="Verdana" w:cs="Century Gothic"/>
          <w:b/>
          <w:bCs/>
          <w:lang w:val="es-ES"/>
        </w:rPr>
      </w:pPr>
      <w:r w:rsidRPr="00D37EFB">
        <w:rPr>
          <w:rFonts w:ascii="Verdana" w:eastAsia="Century Gothic" w:hAnsi="Verdana" w:cs="Century Gothic"/>
          <w:b/>
          <w:bCs/>
          <w:lang w:val="es-ES"/>
        </w:rPr>
        <w:t>Respuesta:</w:t>
      </w:r>
    </w:p>
    <w:p w14:paraId="7A412424" w14:textId="77777777" w:rsidR="00D37EFB" w:rsidRPr="00D37EFB" w:rsidRDefault="00D37EFB" w:rsidP="00D37EFB">
      <w:pPr>
        <w:tabs>
          <w:tab w:val="left" w:pos="142"/>
          <w:tab w:val="left" w:pos="284"/>
        </w:tabs>
        <w:spacing w:after="0" w:line="276" w:lineRule="auto"/>
        <w:jc w:val="both"/>
        <w:rPr>
          <w:rFonts w:ascii="Verdana" w:eastAsia="Century Gothic" w:hAnsi="Verdana" w:cs="Century Gothic"/>
          <w:b/>
          <w:bCs/>
          <w:lang w:val="es-ES"/>
        </w:rPr>
      </w:pPr>
    </w:p>
    <w:p w14:paraId="60BBD090" w14:textId="77777777" w:rsidR="00D37EFB" w:rsidRPr="00D37EFB" w:rsidRDefault="00D37EFB" w:rsidP="00D37EFB">
      <w:pPr>
        <w:widowControl w:val="0"/>
        <w:autoSpaceDE w:val="0"/>
        <w:autoSpaceDN w:val="0"/>
        <w:spacing w:after="0" w:line="276" w:lineRule="auto"/>
        <w:jc w:val="both"/>
        <w:rPr>
          <w:rFonts w:ascii="Verdana" w:eastAsia="Verdana" w:hAnsi="Verdana" w:cs="Verdana"/>
          <w:lang w:val="es-ES"/>
        </w:rPr>
        <w:sectPr w:rsidR="00D37EFB" w:rsidRPr="00D37EFB" w:rsidSect="00D37EFB">
          <w:pgSz w:w="12240" w:h="15840" w:code="1"/>
          <w:pgMar w:top="1417" w:right="1701" w:bottom="1417" w:left="1701" w:header="165" w:footer="1702" w:gutter="0"/>
          <w:cols w:space="720"/>
          <w:docGrid w:linePitch="299"/>
        </w:sectPr>
      </w:pPr>
      <w:r w:rsidRPr="00D37EFB">
        <w:rPr>
          <w:rFonts w:ascii="Verdana" w:eastAsia="Verdana" w:hAnsi="Verdana" w:cs="Verdana"/>
          <w:lang w:val="es-ES"/>
        </w:rPr>
        <w:t>La</w:t>
      </w:r>
      <w:r w:rsidRPr="00D37EFB">
        <w:rPr>
          <w:rFonts w:ascii="Verdana" w:eastAsia="Verdana" w:hAnsi="Verdana" w:cs="Verdana"/>
          <w:spacing w:val="-2"/>
          <w:lang w:val="es-ES"/>
        </w:rPr>
        <w:t xml:space="preserve"> </w:t>
      </w:r>
      <w:r w:rsidRPr="00D37EFB">
        <w:rPr>
          <w:rFonts w:ascii="Verdana" w:eastAsia="Verdana" w:hAnsi="Verdana" w:cs="Verdana"/>
          <w:lang w:val="es-ES"/>
        </w:rPr>
        <w:t>regla</w:t>
      </w:r>
      <w:r w:rsidRPr="00D37EFB">
        <w:rPr>
          <w:rFonts w:ascii="Verdana" w:eastAsia="Verdana" w:hAnsi="Verdana" w:cs="Verdana"/>
          <w:spacing w:val="-2"/>
          <w:lang w:val="es-ES"/>
        </w:rPr>
        <w:t xml:space="preserve"> </w:t>
      </w:r>
      <w:r w:rsidRPr="00D37EFB">
        <w:rPr>
          <w:rFonts w:ascii="Verdana" w:eastAsia="Verdana" w:hAnsi="Verdana" w:cs="Verdana"/>
          <w:lang w:val="es-ES"/>
        </w:rPr>
        <w:t>de</w:t>
      </w:r>
      <w:r w:rsidRPr="00D37EFB">
        <w:rPr>
          <w:rFonts w:ascii="Verdana" w:eastAsia="Verdana" w:hAnsi="Verdana" w:cs="Verdana"/>
          <w:spacing w:val="-3"/>
          <w:lang w:val="es-ES"/>
        </w:rPr>
        <w:t xml:space="preserve"> </w:t>
      </w:r>
      <w:r w:rsidRPr="00D37EFB">
        <w:rPr>
          <w:rFonts w:ascii="Verdana" w:eastAsia="Verdana" w:hAnsi="Verdana" w:cs="Verdana"/>
          <w:lang w:val="es-ES"/>
        </w:rPr>
        <w:t>subsanabilidad, prevista</w:t>
      </w:r>
      <w:r w:rsidRPr="00D37EFB">
        <w:rPr>
          <w:rFonts w:ascii="Verdana" w:eastAsia="Verdana" w:hAnsi="Verdana" w:cs="Verdana"/>
          <w:spacing w:val="-1"/>
          <w:lang w:val="es-ES"/>
        </w:rPr>
        <w:t xml:space="preserve"> </w:t>
      </w:r>
      <w:r w:rsidRPr="00D37EFB">
        <w:rPr>
          <w:rFonts w:ascii="Verdana" w:eastAsia="Verdana" w:hAnsi="Verdana" w:cs="Verdana"/>
          <w:lang w:val="es-ES"/>
        </w:rPr>
        <w:t>en</w:t>
      </w:r>
      <w:r w:rsidRPr="00D37EFB">
        <w:rPr>
          <w:rFonts w:ascii="Verdana" w:eastAsia="Verdana" w:hAnsi="Verdana" w:cs="Verdana"/>
          <w:spacing w:val="-2"/>
          <w:lang w:val="es-ES"/>
        </w:rPr>
        <w:t xml:space="preserve"> </w:t>
      </w:r>
      <w:r w:rsidRPr="00D37EFB">
        <w:rPr>
          <w:rFonts w:ascii="Verdana" w:eastAsia="Verdana" w:hAnsi="Verdana" w:cs="Verdana"/>
          <w:lang w:val="es-ES"/>
        </w:rPr>
        <w:t>el</w:t>
      </w:r>
      <w:r w:rsidRPr="00D37EFB">
        <w:rPr>
          <w:rFonts w:ascii="Verdana" w:eastAsia="Verdana" w:hAnsi="Verdana" w:cs="Verdana"/>
          <w:spacing w:val="-3"/>
          <w:lang w:val="es-ES"/>
        </w:rPr>
        <w:t xml:space="preserve"> </w:t>
      </w:r>
      <w:r w:rsidRPr="00D37EFB">
        <w:rPr>
          <w:rFonts w:ascii="Verdana" w:eastAsia="Verdana" w:hAnsi="Verdana" w:cs="Verdana"/>
          <w:lang w:val="es-ES"/>
        </w:rPr>
        <w:t>artículo 5</w:t>
      </w:r>
      <w:r w:rsidRPr="00D37EFB">
        <w:rPr>
          <w:rFonts w:ascii="Verdana" w:eastAsia="Verdana" w:hAnsi="Verdana" w:cs="Verdana"/>
          <w:spacing w:val="-3"/>
          <w:lang w:val="es-ES"/>
        </w:rPr>
        <w:t xml:space="preserve"> </w:t>
      </w:r>
      <w:r w:rsidRPr="00D37EFB">
        <w:rPr>
          <w:rFonts w:ascii="Verdana" w:eastAsia="Verdana" w:hAnsi="Verdana" w:cs="Verdana"/>
          <w:lang w:val="es-ES"/>
        </w:rPr>
        <w:t>de</w:t>
      </w:r>
      <w:r w:rsidRPr="00D37EFB">
        <w:rPr>
          <w:rFonts w:ascii="Verdana" w:eastAsia="Verdana" w:hAnsi="Verdana" w:cs="Verdana"/>
          <w:spacing w:val="-3"/>
          <w:lang w:val="es-ES"/>
        </w:rPr>
        <w:t xml:space="preserve"> </w:t>
      </w:r>
      <w:r w:rsidRPr="00D37EFB">
        <w:rPr>
          <w:rFonts w:ascii="Verdana" w:eastAsia="Verdana" w:hAnsi="Verdana" w:cs="Verdana"/>
          <w:lang w:val="es-ES"/>
        </w:rPr>
        <w:t>la</w:t>
      </w:r>
      <w:r w:rsidRPr="00D37EFB">
        <w:rPr>
          <w:rFonts w:ascii="Verdana" w:eastAsia="Verdana" w:hAnsi="Verdana" w:cs="Verdana"/>
          <w:spacing w:val="-3"/>
          <w:lang w:val="es-ES"/>
        </w:rPr>
        <w:t xml:space="preserve"> </w:t>
      </w:r>
      <w:r w:rsidRPr="00D37EFB">
        <w:rPr>
          <w:rFonts w:ascii="Verdana" w:eastAsia="Verdana" w:hAnsi="Verdana" w:cs="Verdana"/>
          <w:lang w:val="es-ES"/>
        </w:rPr>
        <w:t>Ley</w:t>
      </w:r>
      <w:r w:rsidRPr="00D37EFB">
        <w:rPr>
          <w:rFonts w:ascii="Verdana" w:eastAsia="Verdana" w:hAnsi="Verdana" w:cs="Verdana"/>
          <w:spacing w:val="-2"/>
          <w:lang w:val="es-ES"/>
        </w:rPr>
        <w:t xml:space="preserve"> </w:t>
      </w:r>
      <w:r w:rsidRPr="00D37EFB">
        <w:rPr>
          <w:rFonts w:ascii="Verdana" w:eastAsia="Verdana" w:hAnsi="Verdana" w:cs="Verdana"/>
          <w:lang w:val="es-ES"/>
        </w:rPr>
        <w:t>1150</w:t>
      </w:r>
      <w:r w:rsidRPr="00D37EFB">
        <w:rPr>
          <w:rFonts w:ascii="Verdana" w:eastAsia="Verdana" w:hAnsi="Verdana" w:cs="Verdana"/>
          <w:spacing w:val="-2"/>
          <w:lang w:val="es-ES"/>
        </w:rPr>
        <w:t xml:space="preserve"> </w:t>
      </w:r>
      <w:r w:rsidRPr="00D37EFB">
        <w:rPr>
          <w:rFonts w:ascii="Verdana" w:eastAsia="Verdana" w:hAnsi="Verdana" w:cs="Verdana"/>
          <w:lang w:val="es-ES"/>
        </w:rPr>
        <w:t>de</w:t>
      </w:r>
      <w:r w:rsidRPr="00D37EFB">
        <w:rPr>
          <w:rFonts w:ascii="Verdana" w:eastAsia="Verdana" w:hAnsi="Verdana" w:cs="Verdana"/>
          <w:spacing w:val="-3"/>
          <w:lang w:val="es-ES"/>
        </w:rPr>
        <w:t xml:space="preserve"> </w:t>
      </w:r>
      <w:r w:rsidRPr="00D37EFB">
        <w:rPr>
          <w:rFonts w:ascii="Verdana" w:eastAsia="Verdana" w:hAnsi="Verdana" w:cs="Verdana"/>
          <w:lang w:val="es-ES"/>
        </w:rPr>
        <w:t>2007,</w:t>
      </w:r>
      <w:r w:rsidRPr="00D37EFB">
        <w:rPr>
          <w:rFonts w:ascii="Verdana" w:eastAsia="Verdana" w:hAnsi="Verdana" w:cs="Verdana"/>
          <w:spacing w:val="-1"/>
          <w:lang w:val="es-ES"/>
        </w:rPr>
        <w:t xml:space="preserve"> </w:t>
      </w:r>
      <w:r w:rsidRPr="00D37EFB">
        <w:rPr>
          <w:rFonts w:ascii="Verdana" w:eastAsia="Verdana" w:hAnsi="Verdana" w:cs="Verdana"/>
          <w:lang w:val="es-ES"/>
        </w:rPr>
        <w:t xml:space="preserve">es un mecanismo previsto en los Procesos de Contratación estatal que se regulan por el EGCAP, según el cual, los proponentes pueden enmendar, corregir o modificar los errores en los que se incurre en los documentos contentivos de la </w:t>
      </w:r>
      <w:r w:rsidRPr="00D37EFB">
        <w:rPr>
          <w:rFonts w:ascii="Verdana" w:eastAsia="Verdana" w:hAnsi="Verdana" w:cs="Verdana"/>
          <w:spacing w:val="-2"/>
          <w:lang w:val="es-ES"/>
        </w:rPr>
        <w:t>oferta.</w:t>
      </w:r>
    </w:p>
    <w:p w14:paraId="203D04BF" w14:textId="77777777" w:rsidR="00D37EFB" w:rsidRPr="00D37EFB" w:rsidRDefault="00D37EFB" w:rsidP="00D37EFB">
      <w:pPr>
        <w:widowControl w:val="0"/>
        <w:autoSpaceDE w:val="0"/>
        <w:autoSpaceDN w:val="0"/>
        <w:spacing w:before="158" w:after="0" w:line="276" w:lineRule="auto"/>
        <w:ind w:right="49"/>
        <w:jc w:val="both"/>
        <w:rPr>
          <w:rFonts w:ascii="Verdana" w:eastAsia="Verdana" w:hAnsi="Verdana" w:cs="Verdana"/>
          <w:lang w:val="es-ES"/>
        </w:rPr>
      </w:pPr>
      <w:r w:rsidRPr="00D37EFB">
        <w:rPr>
          <w:rFonts w:ascii="Verdana" w:eastAsia="Verdana" w:hAnsi="Verdana" w:cs="Verdana"/>
          <w:lang w:val="es-ES"/>
        </w:rPr>
        <w:lastRenderedPageBreak/>
        <w:t>Conforme</w:t>
      </w:r>
      <w:r w:rsidRPr="00D37EFB">
        <w:rPr>
          <w:rFonts w:ascii="Verdana" w:eastAsia="Verdana" w:hAnsi="Verdana" w:cs="Verdana"/>
          <w:spacing w:val="-12"/>
          <w:lang w:val="es-ES"/>
        </w:rPr>
        <w:t xml:space="preserve"> </w:t>
      </w:r>
      <w:r w:rsidRPr="00D37EFB">
        <w:rPr>
          <w:rFonts w:ascii="Verdana" w:eastAsia="Verdana" w:hAnsi="Verdana" w:cs="Verdana"/>
          <w:lang w:val="es-ES"/>
        </w:rPr>
        <w:t>a</w:t>
      </w:r>
      <w:r w:rsidRPr="00D37EFB">
        <w:rPr>
          <w:rFonts w:ascii="Verdana" w:eastAsia="Verdana" w:hAnsi="Verdana" w:cs="Verdana"/>
          <w:spacing w:val="-13"/>
          <w:lang w:val="es-ES"/>
        </w:rPr>
        <w:t xml:space="preserve"> </w:t>
      </w:r>
      <w:r w:rsidRPr="00D37EFB">
        <w:rPr>
          <w:rFonts w:ascii="Verdana" w:eastAsia="Verdana" w:hAnsi="Verdana" w:cs="Verdana"/>
          <w:lang w:val="es-ES"/>
        </w:rPr>
        <w:t>las</w:t>
      </w:r>
      <w:r w:rsidRPr="00D37EFB">
        <w:rPr>
          <w:rFonts w:ascii="Verdana" w:eastAsia="Verdana" w:hAnsi="Verdana" w:cs="Verdana"/>
          <w:spacing w:val="-12"/>
          <w:lang w:val="es-ES"/>
        </w:rPr>
        <w:t xml:space="preserve"> </w:t>
      </w:r>
      <w:r w:rsidRPr="00D37EFB">
        <w:rPr>
          <w:rFonts w:ascii="Verdana" w:eastAsia="Verdana" w:hAnsi="Verdana" w:cs="Verdana"/>
          <w:lang w:val="es-ES"/>
        </w:rPr>
        <w:t>reglas</w:t>
      </w:r>
      <w:r w:rsidRPr="00D37EFB">
        <w:rPr>
          <w:rFonts w:ascii="Verdana" w:eastAsia="Verdana" w:hAnsi="Verdana" w:cs="Verdana"/>
          <w:spacing w:val="-12"/>
          <w:lang w:val="es-ES"/>
        </w:rPr>
        <w:t xml:space="preserve"> </w:t>
      </w:r>
      <w:r w:rsidRPr="00D37EFB">
        <w:rPr>
          <w:rFonts w:ascii="Verdana" w:eastAsia="Verdana" w:hAnsi="Verdana" w:cs="Verdana"/>
          <w:lang w:val="es-ES"/>
        </w:rPr>
        <w:t>de</w:t>
      </w:r>
      <w:r w:rsidRPr="00D37EFB">
        <w:rPr>
          <w:rFonts w:ascii="Verdana" w:eastAsia="Verdana" w:hAnsi="Verdana" w:cs="Verdana"/>
          <w:spacing w:val="-12"/>
          <w:lang w:val="es-ES"/>
        </w:rPr>
        <w:t xml:space="preserve"> </w:t>
      </w:r>
      <w:r w:rsidRPr="00D37EFB">
        <w:rPr>
          <w:rFonts w:ascii="Verdana" w:eastAsia="Verdana" w:hAnsi="Verdana" w:cs="Verdana"/>
          <w:lang w:val="es-ES"/>
        </w:rPr>
        <w:t>subsanabilidad,</w:t>
      </w:r>
      <w:r w:rsidRPr="00D37EFB">
        <w:rPr>
          <w:rFonts w:ascii="Verdana" w:eastAsia="Verdana" w:hAnsi="Verdana" w:cs="Verdana"/>
          <w:spacing w:val="-9"/>
          <w:lang w:val="es-ES"/>
        </w:rPr>
        <w:t xml:space="preserve"> </w:t>
      </w:r>
      <w:r w:rsidRPr="00D37EFB">
        <w:rPr>
          <w:rFonts w:ascii="Verdana" w:eastAsia="Verdana" w:hAnsi="Verdana" w:cs="Verdana"/>
          <w:lang w:val="es-ES"/>
        </w:rPr>
        <w:t>los</w:t>
      </w:r>
      <w:r w:rsidRPr="00D37EFB">
        <w:rPr>
          <w:rFonts w:ascii="Verdana" w:eastAsia="Verdana" w:hAnsi="Verdana" w:cs="Verdana"/>
          <w:spacing w:val="-12"/>
          <w:lang w:val="es-ES"/>
        </w:rPr>
        <w:t xml:space="preserve"> </w:t>
      </w:r>
      <w:r w:rsidRPr="00D37EFB">
        <w:rPr>
          <w:rFonts w:ascii="Verdana" w:eastAsia="Verdana" w:hAnsi="Verdana" w:cs="Verdana"/>
          <w:lang w:val="es-ES"/>
        </w:rPr>
        <w:t>requisitos</w:t>
      </w:r>
      <w:r w:rsidRPr="00D37EFB">
        <w:rPr>
          <w:rFonts w:ascii="Verdana" w:eastAsia="Verdana" w:hAnsi="Verdana" w:cs="Verdana"/>
          <w:spacing w:val="-11"/>
          <w:lang w:val="es-ES"/>
        </w:rPr>
        <w:t xml:space="preserve"> </w:t>
      </w:r>
      <w:r w:rsidRPr="00D37EFB">
        <w:rPr>
          <w:rFonts w:ascii="Verdana" w:eastAsia="Verdana" w:hAnsi="Verdana" w:cs="Verdana"/>
          <w:lang w:val="es-ES"/>
        </w:rPr>
        <w:t>o</w:t>
      </w:r>
      <w:r w:rsidRPr="00D37EFB">
        <w:rPr>
          <w:rFonts w:ascii="Verdana" w:eastAsia="Verdana" w:hAnsi="Verdana" w:cs="Verdana"/>
          <w:spacing w:val="-13"/>
          <w:lang w:val="es-ES"/>
        </w:rPr>
        <w:t xml:space="preserve"> </w:t>
      </w:r>
      <w:r w:rsidRPr="00D37EFB">
        <w:rPr>
          <w:rFonts w:ascii="Verdana" w:eastAsia="Verdana" w:hAnsi="Verdana" w:cs="Verdana"/>
          <w:lang w:val="es-ES"/>
        </w:rPr>
        <w:t>documentos</w:t>
      </w:r>
      <w:r w:rsidRPr="00D37EFB">
        <w:rPr>
          <w:rFonts w:ascii="Verdana" w:eastAsia="Verdana" w:hAnsi="Verdana" w:cs="Verdana"/>
          <w:spacing w:val="-11"/>
          <w:lang w:val="es-ES"/>
        </w:rPr>
        <w:t xml:space="preserve"> </w:t>
      </w:r>
      <w:r w:rsidRPr="00D37EFB">
        <w:rPr>
          <w:rFonts w:ascii="Verdana" w:eastAsia="Verdana" w:hAnsi="Verdana" w:cs="Verdana"/>
          <w:lang w:val="es-ES"/>
        </w:rPr>
        <w:t>que no</w:t>
      </w:r>
      <w:r w:rsidRPr="00D37EFB">
        <w:rPr>
          <w:rFonts w:ascii="Verdana" w:eastAsia="Verdana" w:hAnsi="Verdana" w:cs="Verdana"/>
          <w:spacing w:val="-19"/>
          <w:lang w:val="es-ES"/>
        </w:rPr>
        <w:t xml:space="preserve"> </w:t>
      </w:r>
      <w:r w:rsidRPr="00D37EFB">
        <w:rPr>
          <w:rFonts w:ascii="Verdana" w:eastAsia="Verdana" w:hAnsi="Verdana" w:cs="Verdana"/>
          <w:lang w:val="es-ES"/>
        </w:rPr>
        <w:t>sean</w:t>
      </w:r>
      <w:r w:rsidRPr="00D37EFB">
        <w:rPr>
          <w:rFonts w:ascii="Verdana" w:eastAsia="Verdana" w:hAnsi="Verdana" w:cs="Verdana"/>
          <w:spacing w:val="-18"/>
          <w:lang w:val="es-ES"/>
        </w:rPr>
        <w:t xml:space="preserve"> </w:t>
      </w:r>
      <w:r w:rsidRPr="00D37EFB">
        <w:rPr>
          <w:rFonts w:ascii="Verdana" w:eastAsia="Verdana" w:hAnsi="Verdana" w:cs="Verdana"/>
          <w:lang w:val="es-ES"/>
        </w:rPr>
        <w:t>necesarios</w:t>
      </w:r>
      <w:r w:rsidRPr="00D37EFB">
        <w:rPr>
          <w:rFonts w:ascii="Verdana" w:eastAsia="Verdana" w:hAnsi="Verdana" w:cs="Verdana"/>
          <w:spacing w:val="-16"/>
          <w:lang w:val="es-ES"/>
        </w:rPr>
        <w:t xml:space="preserve"> </w:t>
      </w:r>
      <w:r w:rsidRPr="00D37EFB">
        <w:rPr>
          <w:rFonts w:ascii="Verdana" w:eastAsia="Verdana" w:hAnsi="Verdana" w:cs="Verdana"/>
          <w:lang w:val="es-ES"/>
        </w:rPr>
        <w:t>para</w:t>
      </w:r>
      <w:r w:rsidRPr="00D37EFB">
        <w:rPr>
          <w:rFonts w:ascii="Verdana" w:eastAsia="Verdana" w:hAnsi="Verdana" w:cs="Verdana"/>
          <w:spacing w:val="-18"/>
          <w:lang w:val="es-ES"/>
        </w:rPr>
        <w:t xml:space="preserve"> </w:t>
      </w:r>
      <w:r w:rsidRPr="00D37EFB">
        <w:rPr>
          <w:rFonts w:ascii="Verdana" w:eastAsia="Verdana" w:hAnsi="Verdana" w:cs="Verdana"/>
          <w:lang w:val="es-ES"/>
        </w:rPr>
        <w:t>la</w:t>
      </w:r>
      <w:r w:rsidRPr="00D37EFB">
        <w:rPr>
          <w:rFonts w:ascii="Verdana" w:eastAsia="Verdana" w:hAnsi="Verdana" w:cs="Verdana"/>
          <w:spacing w:val="-19"/>
          <w:lang w:val="es-ES"/>
        </w:rPr>
        <w:t xml:space="preserve"> </w:t>
      </w:r>
      <w:r w:rsidRPr="00D37EFB">
        <w:rPr>
          <w:rFonts w:ascii="Verdana" w:eastAsia="Verdana" w:hAnsi="Verdana" w:cs="Verdana"/>
          <w:lang w:val="es-ES"/>
        </w:rPr>
        <w:t>comparación</w:t>
      </w:r>
      <w:r w:rsidRPr="00D37EFB">
        <w:rPr>
          <w:rFonts w:ascii="Verdana" w:eastAsia="Verdana" w:hAnsi="Verdana" w:cs="Verdana"/>
          <w:spacing w:val="-15"/>
          <w:lang w:val="es-ES"/>
        </w:rPr>
        <w:t xml:space="preserve"> </w:t>
      </w:r>
      <w:r w:rsidRPr="00D37EFB">
        <w:rPr>
          <w:rFonts w:ascii="Verdana" w:eastAsia="Verdana" w:hAnsi="Verdana" w:cs="Verdana"/>
          <w:lang w:val="es-ES"/>
        </w:rPr>
        <w:t>de</w:t>
      </w:r>
      <w:r w:rsidRPr="00D37EFB">
        <w:rPr>
          <w:rFonts w:ascii="Verdana" w:eastAsia="Verdana" w:hAnsi="Verdana" w:cs="Verdana"/>
          <w:spacing w:val="-19"/>
          <w:lang w:val="es-ES"/>
        </w:rPr>
        <w:t xml:space="preserve"> </w:t>
      </w:r>
      <w:r w:rsidRPr="00D37EFB">
        <w:rPr>
          <w:rFonts w:ascii="Verdana" w:eastAsia="Verdana" w:hAnsi="Verdana" w:cs="Verdana"/>
          <w:lang w:val="es-ES"/>
        </w:rPr>
        <w:t>las</w:t>
      </w:r>
      <w:r w:rsidRPr="00D37EFB">
        <w:rPr>
          <w:rFonts w:ascii="Verdana" w:eastAsia="Verdana" w:hAnsi="Verdana" w:cs="Verdana"/>
          <w:spacing w:val="-18"/>
          <w:lang w:val="es-ES"/>
        </w:rPr>
        <w:t xml:space="preserve"> </w:t>
      </w:r>
      <w:r w:rsidRPr="00D37EFB">
        <w:rPr>
          <w:rFonts w:ascii="Verdana" w:eastAsia="Verdana" w:hAnsi="Verdana" w:cs="Verdana"/>
          <w:lang w:val="es-ES"/>
        </w:rPr>
        <w:t>ofertas</w:t>
      </w:r>
      <w:r w:rsidRPr="00D37EFB">
        <w:rPr>
          <w:rFonts w:ascii="Verdana" w:eastAsia="Verdana" w:hAnsi="Verdana" w:cs="Verdana"/>
          <w:spacing w:val="-17"/>
          <w:lang w:val="es-ES"/>
        </w:rPr>
        <w:t xml:space="preserve"> </w:t>
      </w:r>
      <w:r w:rsidRPr="00D37EFB">
        <w:rPr>
          <w:rFonts w:ascii="Verdana" w:eastAsia="Verdana" w:hAnsi="Verdana" w:cs="Verdana"/>
          <w:lang w:val="es-ES"/>
        </w:rPr>
        <w:t>pueden</w:t>
      </w:r>
      <w:r w:rsidRPr="00D37EFB">
        <w:rPr>
          <w:rFonts w:ascii="Verdana" w:eastAsia="Verdana" w:hAnsi="Verdana" w:cs="Verdana"/>
          <w:spacing w:val="-17"/>
          <w:lang w:val="es-ES"/>
        </w:rPr>
        <w:t xml:space="preserve"> </w:t>
      </w:r>
      <w:r w:rsidRPr="00D37EFB">
        <w:rPr>
          <w:rFonts w:ascii="Verdana" w:eastAsia="Verdana" w:hAnsi="Verdana" w:cs="Verdana"/>
          <w:lang w:val="es-ES"/>
        </w:rPr>
        <w:t>subsanarse</w:t>
      </w:r>
      <w:r w:rsidRPr="00D37EFB">
        <w:rPr>
          <w:rFonts w:ascii="Verdana" w:eastAsia="Verdana" w:hAnsi="Verdana" w:cs="Verdana"/>
          <w:spacing w:val="-16"/>
          <w:lang w:val="es-ES"/>
        </w:rPr>
        <w:t xml:space="preserve"> </w:t>
      </w:r>
      <w:r w:rsidRPr="00D37EFB">
        <w:rPr>
          <w:rFonts w:ascii="Verdana" w:eastAsia="Verdana" w:hAnsi="Verdana" w:cs="Verdana"/>
          <w:lang w:val="es-ES"/>
        </w:rPr>
        <w:t>y</w:t>
      </w:r>
      <w:r w:rsidRPr="00D37EFB">
        <w:rPr>
          <w:rFonts w:ascii="Verdana" w:eastAsia="Verdana" w:hAnsi="Verdana" w:cs="Verdana"/>
          <w:spacing w:val="-19"/>
          <w:lang w:val="es-ES"/>
        </w:rPr>
        <w:t xml:space="preserve"> </w:t>
      </w:r>
      <w:r w:rsidRPr="00D37EFB">
        <w:rPr>
          <w:rFonts w:ascii="Verdana" w:eastAsia="Verdana" w:hAnsi="Verdana" w:cs="Verdana"/>
          <w:lang w:val="es-ES"/>
        </w:rPr>
        <w:t>todo lo</w:t>
      </w:r>
      <w:r w:rsidRPr="00D37EFB">
        <w:rPr>
          <w:rFonts w:ascii="Verdana" w:eastAsia="Verdana" w:hAnsi="Verdana" w:cs="Verdana"/>
          <w:spacing w:val="-19"/>
          <w:lang w:val="es-ES"/>
        </w:rPr>
        <w:t xml:space="preserve"> </w:t>
      </w:r>
      <w:r w:rsidRPr="00D37EFB">
        <w:rPr>
          <w:rFonts w:ascii="Verdana" w:eastAsia="Verdana" w:hAnsi="Verdana" w:cs="Verdana"/>
          <w:lang w:val="es-ES"/>
        </w:rPr>
        <w:t>que</w:t>
      </w:r>
      <w:r w:rsidRPr="00D37EFB">
        <w:rPr>
          <w:rFonts w:ascii="Verdana" w:eastAsia="Verdana" w:hAnsi="Verdana" w:cs="Verdana"/>
          <w:spacing w:val="-18"/>
          <w:lang w:val="es-ES"/>
        </w:rPr>
        <w:t xml:space="preserve"> </w:t>
      </w:r>
      <w:r w:rsidRPr="00D37EFB">
        <w:rPr>
          <w:rFonts w:ascii="Verdana" w:eastAsia="Verdana" w:hAnsi="Verdana" w:cs="Verdana"/>
          <w:lang w:val="es-ES"/>
        </w:rPr>
        <w:t>no</w:t>
      </w:r>
      <w:r w:rsidRPr="00D37EFB">
        <w:rPr>
          <w:rFonts w:ascii="Verdana" w:eastAsia="Verdana" w:hAnsi="Verdana" w:cs="Verdana"/>
          <w:spacing w:val="-19"/>
          <w:lang w:val="es-ES"/>
        </w:rPr>
        <w:t xml:space="preserve"> </w:t>
      </w:r>
      <w:r w:rsidRPr="00D37EFB">
        <w:rPr>
          <w:rFonts w:ascii="Verdana" w:eastAsia="Verdana" w:hAnsi="Verdana" w:cs="Verdana"/>
          <w:lang w:val="es-ES"/>
        </w:rPr>
        <w:t>sea</w:t>
      </w:r>
      <w:r w:rsidRPr="00D37EFB">
        <w:rPr>
          <w:rFonts w:ascii="Verdana" w:eastAsia="Verdana" w:hAnsi="Verdana" w:cs="Verdana"/>
          <w:spacing w:val="-18"/>
          <w:lang w:val="es-ES"/>
        </w:rPr>
        <w:t xml:space="preserve"> </w:t>
      </w:r>
      <w:r w:rsidRPr="00D37EFB">
        <w:rPr>
          <w:rFonts w:ascii="Verdana" w:eastAsia="Verdana" w:hAnsi="Verdana" w:cs="Verdana"/>
          <w:lang w:val="es-ES"/>
        </w:rPr>
        <w:t>necesario</w:t>
      </w:r>
      <w:r w:rsidRPr="00D37EFB">
        <w:rPr>
          <w:rFonts w:ascii="Verdana" w:eastAsia="Verdana" w:hAnsi="Verdana" w:cs="Verdana"/>
          <w:spacing w:val="-16"/>
          <w:lang w:val="es-ES"/>
        </w:rPr>
        <w:t xml:space="preserve"> </w:t>
      </w:r>
      <w:r w:rsidRPr="00D37EFB">
        <w:rPr>
          <w:rFonts w:ascii="Verdana" w:eastAsia="Verdana" w:hAnsi="Verdana" w:cs="Verdana"/>
          <w:lang w:val="es-ES"/>
        </w:rPr>
        <w:t>para</w:t>
      </w:r>
      <w:r w:rsidRPr="00D37EFB">
        <w:rPr>
          <w:rFonts w:ascii="Verdana" w:eastAsia="Verdana" w:hAnsi="Verdana" w:cs="Verdana"/>
          <w:spacing w:val="-18"/>
          <w:lang w:val="es-ES"/>
        </w:rPr>
        <w:t xml:space="preserve"> </w:t>
      </w:r>
      <w:r w:rsidRPr="00D37EFB">
        <w:rPr>
          <w:rFonts w:ascii="Verdana" w:eastAsia="Verdana" w:hAnsi="Verdana" w:cs="Verdana"/>
          <w:lang w:val="es-ES"/>
        </w:rPr>
        <w:t>la</w:t>
      </w:r>
      <w:r w:rsidRPr="00D37EFB">
        <w:rPr>
          <w:rFonts w:ascii="Verdana" w:eastAsia="Verdana" w:hAnsi="Verdana" w:cs="Verdana"/>
          <w:spacing w:val="-19"/>
          <w:lang w:val="es-ES"/>
        </w:rPr>
        <w:t xml:space="preserve"> </w:t>
      </w:r>
      <w:r w:rsidRPr="00D37EFB">
        <w:rPr>
          <w:rFonts w:ascii="Verdana" w:eastAsia="Verdana" w:hAnsi="Verdana" w:cs="Verdana"/>
          <w:lang w:val="es-ES"/>
        </w:rPr>
        <w:t>comparación</w:t>
      </w:r>
      <w:r w:rsidRPr="00D37EFB">
        <w:rPr>
          <w:rFonts w:ascii="Verdana" w:eastAsia="Verdana" w:hAnsi="Verdana" w:cs="Verdana"/>
          <w:spacing w:val="-15"/>
          <w:lang w:val="es-ES"/>
        </w:rPr>
        <w:t xml:space="preserve"> </w:t>
      </w:r>
      <w:r w:rsidRPr="00D37EFB">
        <w:rPr>
          <w:rFonts w:ascii="Verdana" w:eastAsia="Verdana" w:hAnsi="Verdana" w:cs="Verdana"/>
          <w:lang w:val="es-ES"/>
        </w:rPr>
        <w:t>de</w:t>
      </w:r>
      <w:r w:rsidRPr="00D37EFB">
        <w:rPr>
          <w:rFonts w:ascii="Verdana" w:eastAsia="Verdana" w:hAnsi="Verdana" w:cs="Verdana"/>
          <w:spacing w:val="-19"/>
          <w:lang w:val="es-ES"/>
        </w:rPr>
        <w:t xml:space="preserve"> </w:t>
      </w:r>
      <w:r w:rsidRPr="00D37EFB">
        <w:rPr>
          <w:rFonts w:ascii="Verdana" w:eastAsia="Verdana" w:hAnsi="Verdana" w:cs="Verdana"/>
          <w:lang w:val="es-ES"/>
        </w:rPr>
        <w:t>propuestas</w:t>
      </w:r>
      <w:r w:rsidRPr="00D37EFB">
        <w:rPr>
          <w:rFonts w:ascii="Verdana" w:eastAsia="Verdana" w:hAnsi="Verdana" w:cs="Verdana"/>
          <w:spacing w:val="-16"/>
          <w:lang w:val="es-ES"/>
        </w:rPr>
        <w:t xml:space="preserve"> </w:t>
      </w:r>
      <w:r w:rsidRPr="00D37EFB">
        <w:rPr>
          <w:rFonts w:ascii="Verdana" w:eastAsia="Verdana" w:hAnsi="Verdana" w:cs="Verdana"/>
          <w:lang w:val="es-ES"/>
        </w:rPr>
        <w:t>no</w:t>
      </w:r>
      <w:r w:rsidRPr="00D37EFB">
        <w:rPr>
          <w:rFonts w:ascii="Verdana" w:eastAsia="Verdana" w:hAnsi="Verdana" w:cs="Verdana"/>
          <w:spacing w:val="-19"/>
          <w:lang w:val="es-ES"/>
        </w:rPr>
        <w:t xml:space="preserve"> </w:t>
      </w:r>
      <w:r w:rsidRPr="00D37EFB">
        <w:rPr>
          <w:rFonts w:ascii="Verdana" w:eastAsia="Verdana" w:hAnsi="Verdana" w:cs="Verdana"/>
          <w:lang w:val="es-ES"/>
        </w:rPr>
        <w:t>es</w:t>
      </w:r>
      <w:r w:rsidRPr="00D37EFB">
        <w:rPr>
          <w:rFonts w:ascii="Verdana" w:eastAsia="Verdana" w:hAnsi="Verdana" w:cs="Verdana"/>
          <w:spacing w:val="-18"/>
          <w:lang w:val="es-ES"/>
        </w:rPr>
        <w:t xml:space="preserve"> </w:t>
      </w:r>
      <w:r w:rsidRPr="00D37EFB">
        <w:rPr>
          <w:rFonts w:ascii="Verdana" w:eastAsia="Verdana" w:hAnsi="Verdana" w:cs="Verdana"/>
          <w:lang w:val="es-ES"/>
        </w:rPr>
        <w:t>título</w:t>
      </w:r>
      <w:r w:rsidRPr="00D37EFB">
        <w:rPr>
          <w:rFonts w:ascii="Verdana" w:eastAsia="Verdana" w:hAnsi="Verdana" w:cs="Verdana"/>
          <w:spacing w:val="-17"/>
          <w:lang w:val="es-ES"/>
        </w:rPr>
        <w:t xml:space="preserve"> </w:t>
      </w:r>
      <w:r w:rsidRPr="00D37EFB">
        <w:rPr>
          <w:rFonts w:ascii="Verdana" w:eastAsia="Verdana" w:hAnsi="Verdana" w:cs="Verdana"/>
          <w:lang w:val="es-ES"/>
        </w:rPr>
        <w:t>suficiente para su rechazo.</w:t>
      </w:r>
    </w:p>
    <w:p w14:paraId="5FEBE475" w14:textId="77777777" w:rsidR="00D37EFB" w:rsidRPr="00D37EFB" w:rsidRDefault="00D37EFB" w:rsidP="00D37EFB">
      <w:pPr>
        <w:widowControl w:val="0"/>
        <w:autoSpaceDE w:val="0"/>
        <w:autoSpaceDN w:val="0"/>
        <w:spacing w:before="120" w:after="0" w:line="276" w:lineRule="auto"/>
        <w:ind w:right="49"/>
        <w:jc w:val="both"/>
        <w:rPr>
          <w:rFonts w:ascii="Verdana" w:eastAsia="Verdana" w:hAnsi="Verdana" w:cs="Verdana"/>
          <w:lang w:val="es-ES"/>
        </w:rPr>
      </w:pPr>
      <w:r w:rsidRPr="00D37EFB">
        <w:rPr>
          <w:rFonts w:ascii="Verdana" w:eastAsia="Verdana" w:hAnsi="Verdana" w:cs="Verdana"/>
          <w:lang w:val="es-ES"/>
        </w:rPr>
        <w:t>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w:t>
      </w:r>
      <w:r w:rsidRPr="00D37EFB">
        <w:rPr>
          <w:rFonts w:ascii="Verdana" w:eastAsia="Verdana" w:hAnsi="Verdana" w:cs="Verdana"/>
          <w:spacing w:val="-9"/>
          <w:lang w:val="es-ES"/>
        </w:rPr>
        <w:t xml:space="preserve"> </w:t>
      </w:r>
      <w:r w:rsidRPr="00D37EFB">
        <w:rPr>
          <w:rFonts w:ascii="Verdana" w:eastAsia="Verdana" w:hAnsi="Verdana" w:cs="Verdana"/>
          <w:lang w:val="es-ES"/>
        </w:rPr>
        <w:t>evita,</w:t>
      </w:r>
      <w:r w:rsidRPr="00D37EFB">
        <w:rPr>
          <w:rFonts w:ascii="Verdana" w:eastAsia="Verdana" w:hAnsi="Verdana" w:cs="Verdana"/>
          <w:spacing w:val="-10"/>
          <w:lang w:val="es-ES"/>
        </w:rPr>
        <w:t xml:space="preserve"> </w:t>
      </w:r>
      <w:r w:rsidRPr="00D37EFB">
        <w:rPr>
          <w:rFonts w:ascii="Verdana" w:eastAsia="Verdana" w:hAnsi="Verdana" w:cs="Verdana"/>
          <w:lang w:val="es-ES"/>
        </w:rPr>
        <w:t>por</w:t>
      </w:r>
      <w:r w:rsidRPr="00D37EFB">
        <w:rPr>
          <w:rFonts w:ascii="Verdana" w:eastAsia="Verdana" w:hAnsi="Verdana" w:cs="Verdana"/>
          <w:spacing w:val="-11"/>
          <w:lang w:val="es-ES"/>
        </w:rPr>
        <w:t xml:space="preserve"> </w:t>
      </w:r>
      <w:r w:rsidRPr="00D37EFB">
        <w:rPr>
          <w:rFonts w:ascii="Verdana" w:eastAsia="Verdana" w:hAnsi="Verdana" w:cs="Verdana"/>
          <w:lang w:val="es-ES"/>
        </w:rPr>
        <w:t>ejemplo,</w:t>
      </w:r>
      <w:r w:rsidRPr="00D37EFB">
        <w:rPr>
          <w:rFonts w:ascii="Verdana" w:eastAsia="Verdana" w:hAnsi="Verdana" w:cs="Verdana"/>
          <w:spacing w:val="-9"/>
          <w:lang w:val="es-ES"/>
        </w:rPr>
        <w:t xml:space="preserve"> </w:t>
      </w:r>
      <w:r w:rsidRPr="00D37EFB">
        <w:rPr>
          <w:rFonts w:ascii="Verdana" w:eastAsia="Verdana" w:hAnsi="Verdana" w:cs="Verdana"/>
          <w:lang w:val="es-ES"/>
        </w:rPr>
        <w:t>que</w:t>
      </w:r>
      <w:r w:rsidRPr="00D37EFB">
        <w:rPr>
          <w:rFonts w:ascii="Verdana" w:eastAsia="Verdana" w:hAnsi="Verdana" w:cs="Verdana"/>
          <w:spacing w:val="-11"/>
          <w:lang w:val="es-ES"/>
        </w:rPr>
        <w:t xml:space="preserve"> </w:t>
      </w:r>
      <w:r w:rsidRPr="00D37EFB">
        <w:rPr>
          <w:rFonts w:ascii="Verdana" w:eastAsia="Verdana" w:hAnsi="Verdana" w:cs="Verdana"/>
          <w:lang w:val="es-ES"/>
        </w:rPr>
        <w:t>se</w:t>
      </w:r>
      <w:r w:rsidRPr="00D37EFB">
        <w:rPr>
          <w:rFonts w:ascii="Verdana" w:eastAsia="Verdana" w:hAnsi="Verdana" w:cs="Verdana"/>
          <w:spacing w:val="-11"/>
          <w:lang w:val="es-ES"/>
        </w:rPr>
        <w:t xml:space="preserve"> </w:t>
      </w:r>
      <w:r w:rsidRPr="00D37EFB">
        <w:rPr>
          <w:rFonts w:ascii="Verdana" w:eastAsia="Verdana" w:hAnsi="Verdana" w:cs="Verdana"/>
          <w:lang w:val="es-ES"/>
        </w:rPr>
        <w:t>presenten</w:t>
      </w:r>
      <w:r w:rsidRPr="00D37EFB">
        <w:rPr>
          <w:rFonts w:ascii="Verdana" w:eastAsia="Verdana" w:hAnsi="Verdana" w:cs="Verdana"/>
          <w:spacing w:val="-9"/>
          <w:lang w:val="es-ES"/>
        </w:rPr>
        <w:t xml:space="preserve"> </w:t>
      </w:r>
      <w:r w:rsidRPr="00D37EFB">
        <w:rPr>
          <w:rFonts w:ascii="Verdana" w:eastAsia="Verdana" w:hAnsi="Verdana" w:cs="Verdana"/>
          <w:lang w:val="es-ES"/>
        </w:rPr>
        <w:t>oferentes</w:t>
      </w:r>
      <w:r w:rsidRPr="00D37EFB">
        <w:rPr>
          <w:rFonts w:ascii="Verdana" w:eastAsia="Verdana" w:hAnsi="Verdana" w:cs="Verdana"/>
          <w:spacing w:val="-9"/>
          <w:lang w:val="es-ES"/>
        </w:rPr>
        <w:t xml:space="preserve"> </w:t>
      </w:r>
      <w:r w:rsidRPr="00D37EFB">
        <w:rPr>
          <w:rFonts w:ascii="Verdana" w:eastAsia="Verdana" w:hAnsi="Verdana" w:cs="Verdana"/>
          <w:lang w:val="es-ES"/>
        </w:rPr>
        <w:t>que</w:t>
      </w:r>
      <w:r w:rsidRPr="00D37EFB">
        <w:rPr>
          <w:rFonts w:ascii="Verdana" w:eastAsia="Verdana" w:hAnsi="Verdana" w:cs="Verdana"/>
          <w:spacing w:val="-11"/>
          <w:lang w:val="es-ES"/>
        </w:rPr>
        <w:t xml:space="preserve"> </w:t>
      </w:r>
      <w:r w:rsidRPr="00D37EFB">
        <w:rPr>
          <w:rFonts w:ascii="Verdana" w:eastAsia="Verdana" w:hAnsi="Verdana" w:cs="Verdana"/>
          <w:lang w:val="es-ES"/>
        </w:rPr>
        <w:t>no</w:t>
      </w:r>
      <w:r w:rsidRPr="00D37EFB">
        <w:rPr>
          <w:rFonts w:ascii="Verdana" w:eastAsia="Verdana" w:hAnsi="Verdana" w:cs="Verdana"/>
          <w:spacing w:val="-11"/>
          <w:lang w:val="es-ES"/>
        </w:rPr>
        <w:t xml:space="preserve"> </w:t>
      </w:r>
      <w:r w:rsidRPr="00D37EFB">
        <w:rPr>
          <w:rFonts w:ascii="Verdana" w:eastAsia="Verdana" w:hAnsi="Verdana" w:cs="Verdana"/>
          <w:lang w:val="es-ES"/>
        </w:rPr>
        <w:t>cumplían</w:t>
      </w:r>
      <w:r w:rsidRPr="00D37EFB">
        <w:rPr>
          <w:rFonts w:ascii="Verdana" w:eastAsia="Verdana" w:hAnsi="Verdana" w:cs="Verdana"/>
          <w:spacing w:val="-9"/>
          <w:lang w:val="es-ES"/>
        </w:rPr>
        <w:t xml:space="preserve"> </w:t>
      </w:r>
      <w:r w:rsidRPr="00D37EFB">
        <w:rPr>
          <w:rFonts w:ascii="Verdana" w:eastAsia="Verdana" w:hAnsi="Verdana" w:cs="Verdana"/>
          <w:lang w:val="es-ES"/>
        </w:rPr>
        <w:t>con</w:t>
      </w:r>
      <w:r w:rsidRPr="00D37EFB">
        <w:rPr>
          <w:rFonts w:ascii="Verdana" w:eastAsia="Verdana" w:hAnsi="Verdana" w:cs="Verdana"/>
          <w:spacing w:val="-11"/>
          <w:lang w:val="es-ES"/>
        </w:rPr>
        <w:t xml:space="preserve"> </w:t>
      </w:r>
      <w:r w:rsidRPr="00D37EFB">
        <w:rPr>
          <w:rFonts w:ascii="Verdana" w:eastAsia="Verdana" w:hAnsi="Verdana" w:cs="Verdana"/>
          <w:lang w:val="es-ES"/>
        </w:rPr>
        <w:t>los requisitos para participar al momento de presentar las ofertas, y pretendan cumplirlos durante el proceso de selección o, inclusive, que se puedan variar condiciones de la oferta una vez presentada.</w:t>
      </w:r>
    </w:p>
    <w:p w14:paraId="77A84ADF" w14:textId="77777777" w:rsidR="00D37EFB" w:rsidRPr="00D37EFB" w:rsidRDefault="00D37EFB" w:rsidP="00D37EFB">
      <w:pPr>
        <w:tabs>
          <w:tab w:val="left" w:pos="142"/>
          <w:tab w:val="left" w:pos="284"/>
        </w:tabs>
        <w:spacing w:after="0" w:line="276" w:lineRule="auto"/>
        <w:jc w:val="both"/>
        <w:rPr>
          <w:rFonts w:ascii="Verdana" w:eastAsia="Century Gothic" w:hAnsi="Verdana" w:cs="Century Gothic"/>
        </w:rPr>
      </w:pPr>
    </w:p>
    <w:p w14:paraId="0E4D3C35" w14:textId="77777777" w:rsidR="00D37EFB" w:rsidRPr="00D37EFB" w:rsidRDefault="00D37EFB" w:rsidP="00D37EFB">
      <w:pPr>
        <w:tabs>
          <w:tab w:val="left" w:pos="142"/>
          <w:tab w:val="left" w:pos="284"/>
        </w:tabs>
        <w:spacing w:after="0" w:line="276" w:lineRule="auto"/>
        <w:jc w:val="both"/>
        <w:rPr>
          <w:rFonts w:ascii="Verdana" w:eastAsia="Century Gothic" w:hAnsi="Verdana" w:cs="Century Gothic"/>
          <w:b/>
          <w:bCs/>
          <w:lang w:val="es-ES"/>
        </w:rPr>
      </w:pPr>
    </w:p>
    <w:p w14:paraId="440B8602" w14:textId="77777777" w:rsidR="00D37EFB" w:rsidRPr="0049039F" w:rsidRDefault="00D37EFB" w:rsidP="0049039F">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49039F">
        <w:rPr>
          <w:rFonts w:ascii="Verdana" w:eastAsia="Century Gothic" w:hAnsi="Verdana" w:cs="Century Gothic"/>
          <w:b/>
          <w:bCs/>
        </w:rPr>
        <w:t>Razones de la respuesta:</w:t>
      </w:r>
    </w:p>
    <w:p w14:paraId="0920E2E1" w14:textId="77777777" w:rsidR="00D37EFB" w:rsidRPr="00D37EFB" w:rsidRDefault="00D37EFB" w:rsidP="0049039F">
      <w:pPr>
        <w:spacing w:after="0" w:line="276" w:lineRule="auto"/>
        <w:jc w:val="both"/>
        <w:rPr>
          <w:rFonts w:ascii="Verdana" w:eastAsia="Calibri" w:hAnsi="Verdana" w:cs="Arial"/>
          <w:lang w:val="es-ES"/>
        </w:rPr>
      </w:pPr>
    </w:p>
    <w:p w14:paraId="4DAC97A5" w14:textId="77777777" w:rsidR="00D37EFB" w:rsidRPr="00D37EFB" w:rsidRDefault="00D37EFB" w:rsidP="00D37EFB">
      <w:pPr>
        <w:spacing w:after="0" w:line="276" w:lineRule="auto"/>
        <w:jc w:val="both"/>
        <w:rPr>
          <w:rFonts w:ascii="Verdana" w:eastAsia="Calibri" w:hAnsi="Verdana" w:cs="Arial"/>
          <w:lang w:val="es-ES"/>
        </w:rPr>
      </w:pPr>
      <w:r w:rsidRPr="00D37EFB">
        <w:rPr>
          <w:rFonts w:ascii="Verdana" w:eastAsia="Calibri" w:hAnsi="Verdana" w:cs="Arial"/>
          <w:lang w:val="es-ES"/>
        </w:rPr>
        <w:t xml:space="preserve">Lo anterior se sustenta en las siguientes consideraciones: </w:t>
      </w:r>
    </w:p>
    <w:p w14:paraId="714280D6" w14:textId="77777777" w:rsidR="00D37EFB" w:rsidRPr="00D37EFB" w:rsidRDefault="00D37EFB" w:rsidP="00D37EFB">
      <w:pPr>
        <w:spacing w:after="0" w:line="276" w:lineRule="auto"/>
        <w:jc w:val="both"/>
        <w:rPr>
          <w:rFonts w:ascii="Verdana" w:eastAsia="Calibri" w:hAnsi="Verdana" w:cs="Arial"/>
          <w:lang w:val="es-ES"/>
        </w:rPr>
      </w:pPr>
    </w:p>
    <w:p w14:paraId="1F55812A" w14:textId="77777777" w:rsidR="00D37EFB" w:rsidRPr="00D37EFB" w:rsidRDefault="00D37EFB" w:rsidP="00D37EFB">
      <w:pPr>
        <w:spacing w:after="0" w:line="276" w:lineRule="auto"/>
        <w:jc w:val="both"/>
        <w:rPr>
          <w:rFonts w:ascii="Verdana" w:eastAsia="Calibri" w:hAnsi="Verdana" w:cs="Arial"/>
          <w:lang w:val="es-ES"/>
        </w:rPr>
      </w:pPr>
      <w:r w:rsidRPr="00D37EFB">
        <w:rPr>
          <w:rFonts w:ascii="Verdana" w:eastAsia="Calibri" w:hAnsi="Verdana" w:cs="Arial"/>
        </w:rPr>
        <w:t>El numeral 8 de la ley 80 de 1993, señala lo siguiente “los informes de evaluación de las propuestas permanecerán en la secretaría de la entidad por un termino de cinco (5) días hábiles para que los oferentes presenten las observaciones que estimen pertinentes. En ejercicio de esta facultad, los oferentes no podrán completar, adicionar, modificar o mejorar sus propuestas.”</w:t>
      </w:r>
    </w:p>
    <w:p w14:paraId="2E48DFA2" w14:textId="77777777" w:rsidR="00D37EFB" w:rsidRPr="00D37EFB" w:rsidRDefault="00D37EFB" w:rsidP="00D37EFB">
      <w:pPr>
        <w:widowControl w:val="0"/>
        <w:tabs>
          <w:tab w:val="left" w:pos="981"/>
        </w:tabs>
        <w:autoSpaceDE w:val="0"/>
        <w:autoSpaceDN w:val="0"/>
        <w:spacing w:before="200" w:after="0" w:line="276" w:lineRule="auto"/>
        <w:jc w:val="both"/>
        <w:rPr>
          <w:rFonts w:ascii="Verdana" w:eastAsia="Verdana" w:hAnsi="Verdana" w:cs="Verdana"/>
        </w:rPr>
      </w:pPr>
      <w:r w:rsidRPr="00D37EFB">
        <w:rPr>
          <w:rFonts w:ascii="Verdana" w:eastAsia="Verdana" w:hAnsi="Verdana" w:cs="Verdana"/>
        </w:rPr>
        <w:t>La regla de la subsanabilidad de las ofertas en los procedimientos de selección indica que, por regla general, la falta de entrega y los defectos en la acreditación de los requisitos habilitantes son aspectos subsanables. La excepción a esta regla se encuentra en la prohibición de permitir la entrega de la garantía de seriedad de la oferta que no fue aportada con la propuesta y de valer la acreditación de circunstancias ocurridas con posterioridad al cierre del proceso.</w:t>
      </w:r>
    </w:p>
    <w:p w14:paraId="3CB8063F" w14:textId="77777777" w:rsidR="00D37EFB" w:rsidRPr="00D37EFB" w:rsidRDefault="00D37EFB" w:rsidP="00D37EFB">
      <w:pPr>
        <w:widowControl w:val="0"/>
        <w:tabs>
          <w:tab w:val="left" w:pos="981"/>
        </w:tabs>
        <w:autoSpaceDE w:val="0"/>
        <w:autoSpaceDN w:val="0"/>
        <w:spacing w:before="200" w:after="0" w:line="276" w:lineRule="auto"/>
        <w:jc w:val="both"/>
        <w:rPr>
          <w:rFonts w:ascii="Verdana" w:eastAsia="Verdana" w:hAnsi="Verdana" w:cs="Verdana"/>
          <w:lang w:val="es-ES"/>
        </w:rPr>
      </w:pPr>
      <w:r w:rsidRPr="00D37EFB">
        <w:rPr>
          <w:rFonts w:ascii="Verdana" w:eastAsia="Verdana" w:hAnsi="Verdana" w:cs="Verdana"/>
          <w:lang w:val="es-ES"/>
        </w:rPr>
        <w:t>La posibilidad de enmendar, corregir o subsanar los errores en los que se incurre en los documentos contentivos de la oferta es un tema que ha tenido diferentes momentos o etapas en el ordenamiento jurídico colombiano. En atención a lo anterior, a continuación, se hará referencia en forma general a los antecedentes de las diferentes posturas en torno a la subsanabilidad.</w:t>
      </w:r>
    </w:p>
    <w:p w14:paraId="7AD461CB"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r w:rsidRPr="00D37EFB">
        <w:rPr>
          <w:rFonts w:ascii="Verdana" w:eastAsia="Verdana" w:hAnsi="Verdana" w:cs="Verdana"/>
          <w:lang w:val="es-ES"/>
        </w:rPr>
        <w:t xml:space="preserve">En un primer momento, antes de la entrada en vigor de la Constitución Política </w:t>
      </w:r>
      <w:r w:rsidRPr="00D37EFB">
        <w:rPr>
          <w:rFonts w:ascii="Verdana" w:eastAsia="Verdana" w:hAnsi="Verdana" w:cs="Verdana"/>
          <w:lang w:val="es-ES"/>
        </w:rPr>
        <w:lastRenderedPageBreak/>
        <w:t>de 1991, el régimen jurídico de la subsanabilidad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w:t>
      </w:r>
    </w:p>
    <w:p w14:paraId="40B8B0D1"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p>
    <w:p w14:paraId="08641660"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r w:rsidRPr="00D37EFB">
        <w:rPr>
          <w:rFonts w:ascii="Verdana" w:eastAsia="Verdana" w:hAnsi="Verdana" w:cs="Verdana"/>
          <w:lang w:val="es-ES"/>
        </w:rPr>
        <w:t>En un segundo momento se expidió la Ley 80 de 1993, bajo el nuevo paradigma que supuso la Constitución de 1991, particularmente en la forma como se relaciona lo formal y lo sustancial en las actuaciones judiciales y administrativas. Este cambio quedó consignado en el artículo 228, que introdujo un principio de supremacía o prevalencia del derecho sustancial sobre lo procedimental. En este nuevo escenario constitucional, el numeral 15 del artículo 25 de la Ley 80 de 1993 dispuso lo siguiente:</w:t>
      </w:r>
    </w:p>
    <w:p w14:paraId="02BB0931"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rPr>
      </w:pPr>
    </w:p>
    <w:p w14:paraId="5C5C45A3"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rPr>
      </w:pPr>
    </w:p>
    <w:p w14:paraId="5AE857D5" w14:textId="77777777" w:rsidR="00D37EFB" w:rsidRPr="00D37EFB" w:rsidRDefault="00D37EFB" w:rsidP="00D37EFB">
      <w:pPr>
        <w:spacing w:after="0" w:line="240" w:lineRule="auto"/>
        <w:ind w:left="709" w:right="709"/>
        <w:jc w:val="both"/>
        <w:rPr>
          <w:rFonts w:ascii="Verdana" w:eastAsia="Times New Roman" w:hAnsi="Verdana" w:cs="Arial"/>
          <w:sz w:val="20"/>
          <w:szCs w:val="20"/>
          <w:lang w:val="es-ES_tradnl" w:eastAsia="es-ES_tradnl"/>
        </w:rPr>
      </w:pPr>
      <w:r w:rsidRPr="00D37EFB">
        <w:rPr>
          <w:rFonts w:ascii="Verdana" w:eastAsia="Times New Roman" w:hAnsi="Verdana" w:cs="Arial"/>
          <w:sz w:val="20"/>
          <w:szCs w:val="20"/>
          <w:lang w:val="es-ES_tradnl" w:eastAsia="es-ES_tradnl"/>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1E7E5A27" w14:textId="77777777" w:rsidR="00D37EFB" w:rsidRPr="00D37EFB" w:rsidRDefault="00D37EFB" w:rsidP="00D37EFB">
      <w:pPr>
        <w:spacing w:after="0" w:line="240" w:lineRule="auto"/>
        <w:ind w:left="709" w:right="709"/>
        <w:jc w:val="both"/>
        <w:rPr>
          <w:rFonts w:ascii="Verdana" w:eastAsia="Times New Roman" w:hAnsi="Verdana" w:cs="Arial"/>
          <w:sz w:val="20"/>
          <w:szCs w:val="20"/>
          <w:lang w:val="es-ES_tradnl" w:eastAsia="es-ES_tradnl"/>
        </w:rPr>
      </w:pPr>
    </w:p>
    <w:p w14:paraId="7055407D" w14:textId="77777777" w:rsidR="00D37EFB" w:rsidRPr="00D37EFB" w:rsidRDefault="00D37EFB" w:rsidP="00D37EFB">
      <w:pPr>
        <w:spacing w:after="0" w:line="240" w:lineRule="auto"/>
        <w:ind w:left="709" w:right="709"/>
        <w:jc w:val="both"/>
        <w:rPr>
          <w:rFonts w:ascii="Verdana" w:eastAsia="Times New Roman" w:hAnsi="Verdana" w:cs="Arial"/>
          <w:sz w:val="20"/>
          <w:szCs w:val="20"/>
          <w:lang w:val="es-ES_tradnl" w:eastAsia="es-ES_tradnl"/>
        </w:rPr>
      </w:pPr>
      <w:r w:rsidRPr="00D37EFB">
        <w:rPr>
          <w:rFonts w:ascii="Verdana" w:eastAsia="Times New Roman" w:hAnsi="Verdana" w:cs="Arial"/>
          <w:sz w:val="20"/>
          <w:szCs w:val="20"/>
          <w:lang w:val="es-ES_tradnl" w:eastAsia="es-ES_tradnl"/>
        </w:rPr>
        <w:t xml:space="preserve">La ausencia de requisitos o la falta de documentos referentes a la futura contratación o al proponente, no necesarios para la comparación de propuestas, no servirá de título suficiente para el rechazo de los ofrecimientos hechos. </w:t>
      </w:r>
    </w:p>
    <w:p w14:paraId="1197EFB4" w14:textId="77777777" w:rsidR="00D37EFB" w:rsidRPr="00D37EFB" w:rsidRDefault="00D37EFB" w:rsidP="00D37EFB">
      <w:pPr>
        <w:widowControl w:val="0"/>
        <w:tabs>
          <w:tab w:val="left" w:pos="981"/>
        </w:tabs>
        <w:autoSpaceDE w:val="0"/>
        <w:autoSpaceDN w:val="0"/>
        <w:spacing w:after="0" w:line="276" w:lineRule="auto"/>
        <w:ind w:left="709" w:right="709"/>
        <w:jc w:val="both"/>
        <w:rPr>
          <w:rFonts w:ascii="Verdana" w:eastAsia="Verdana" w:hAnsi="Verdana" w:cs="Verdana"/>
          <w:lang w:val="es-ES_tradnl"/>
        </w:rPr>
      </w:pPr>
    </w:p>
    <w:p w14:paraId="0CD37C46"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rPr>
      </w:pPr>
    </w:p>
    <w:p w14:paraId="28533F88"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Bajo el amparo de esta norma, el régimen jurídico de subsanabilidad de las ofertas sufre un cambio fundamental, pues ya no era posible rechazar las ofertas por falta de requisitos o documentos que no fueran “</w:t>
      </w:r>
      <w:r w:rsidRPr="00D37EFB">
        <w:rPr>
          <w:rFonts w:ascii="Verdana" w:eastAsia="Times New Roman" w:hAnsi="Verdana" w:cs="Arial"/>
          <w:i/>
          <w:lang w:eastAsia="es-ES"/>
        </w:rPr>
        <w:t>necesarios para la comparación de propuestas”.</w:t>
      </w:r>
      <w:r w:rsidRPr="00D37EFB">
        <w:rPr>
          <w:rFonts w:ascii="Verdana" w:eastAsia="Times New Roman" w:hAnsi="Verdana" w:cs="Arial"/>
          <w:lang w:eastAsia="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1CB8FD6E"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hAnsi="Verdana" w:cs="Arial"/>
          <w:lang w:val="es-ES_tradnl" w:eastAsia="es-ES_tradnl"/>
        </w:rPr>
        <w:lastRenderedPageBreak/>
        <w:t>Esta norma debía leerse en conjunto con otras de la Ley 80 de 1993, particularmente con el artículo 30.7</w:t>
      </w:r>
      <w:r w:rsidRPr="00D37EFB">
        <w:rPr>
          <w:rFonts w:ascii="Verdana" w:hAnsi="Verdana" w:cs="Arial"/>
          <w:vertAlign w:val="superscript"/>
          <w:lang w:val="es-ES_tradnl" w:eastAsia="es-ES_tradnl"/>
        </w:rPr>
        <w:footnoteReference w:id="2"/>
      </w:r>
      <w:r w:rsidRPr="00D37EFB">
        <w:rPr>
          <w:rFonts w:ascii="Verdana" w:hAnsi="Verdana" w:cs="Arial"/>
          <w:lang w:val="es-ES_tradnl" w:eastAsia="es-ES_tradnl"/>
        </w:rPr>
        <w:t>, que ordena a la entidad señalar un plazo razonable para evaluar las propuestas y para pedir a los proponentes, de ser necesario, que aclaren o expliquen aspectos que ofrezcan dudas y resulten indispensables para llevar a cabo la evaluación. Así mismo, con el artículo 30.8</w:t>
      </w:r>
      <w:r w:rsidRPr="00D37EFB">
        <w:rPr>
          <w:rFonts w:ascii="Verdana" w:hAnsi="Verdana" w:cs="Arial"/>
          <w:vertAlign w:val="superscript"/>
          <w:lang w:val="es-ES_tradnl" w:eastAsia="es-ES_tradnl"/>
        </w:rPr>
        <w:footnoteReference w:id="3"/>
      </w:r>
      <w:r w:rsidRPr="00D37EFB">
        <w:rPr>
          <w:rFonts w:ascii="Verdana" w:hAnsi="Verdana" w:cs="Arial"/>
          <w:lang w:val="es-ES_tradnl" w:eastAsia="es-ES_tradnl"/>
        </w:rPr>
        <w:t xml:space="preserve">, que consagró el término de cinco (5) días hábiles para que los oferentes presenten observaciones al informe de evaluación de las propuestas, sin que sea posible completar, adicionar, modificar o mejorar su oferta.  </w:t>
      </w:r>
    </w:p>
    <w:p w14:paraId="7FDF2133"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2E09A33B" w14:textId="77777777" w:rsidR="00D37EFB" w:rsidRPr="00D37EFB" w:rsidRDefault="00D37EFB" w:rsidP="00D37EFB">
      <w:pPr>
        <w:spacing w:after="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 xml:space="preserve">En un </w:t>
      </w:r>
      <w:r w:rsidRPr="00D37EFB">
        <w:rPr>
          <w:rFonts w:ascii="Verdana" w:eastAsia="Times New Roman" w:hAnsi="Verdana" w:cs="Arial"/>
          <w:i/>
          <w:lang w:val="es-ES_tradnl" w:eastAsia="es-ES_tradnl"/>
        </w:rPr>
        <w:t>tercer momento</w:t>
      </w:r>
      <w:r w:rsidRPr="00D37EFB">
        <w:rPr>
          <w:rFonts w:ascii="Verdana" w:eastAsia="Times New Roman" w:hAnsi="Verdana" w:cs="Arial"/>
          <w:lang w:val="es-ES_tradnl" w:eastAsia="es-ES_tradnl"/>
        </w:rPr>
        <w:t xml:space="preserve">, siguiendo la línea trazada por la Ley 80 de 1993, el legislador expidió la Ley 1150 de 2007, que, en el parágrafo 1º del artículo 5, determinó lo siguiente: </w:t>
      </w:r>
    </w:p>
    <w:p w14:paraId="42C7D218" w14:textId="77777777" w:rsidR="00D37EFB" w:rsidRPr="00D37EFB" w:rsidRDefault="00D37EFB" w:rsidP="00D37EFB">
      <w:pPr>
        <w:spacing w:after="120" w:line="276" w:lineRule="auto"/>
        <w:contextualSpacing/>
        <w:jc w:val="both"/>
        <w:rPr>
          <w:rFonts w:ascii="Verdana" w:eastAsia="Times New Roman" w:hAnsi="Verdana" w:cs="Arial"/>
          <w:lang w:val="es-ES" w:eastAsia="es-ES"/>
        </w:rPr>
      </w:pPr>
    </w:p>
    <w:p w14:paraId="06D3BD63"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
        </w:rPr>
      </w:pPr>
    </w:p>
    <w:p w14:paraId="04152A34" w14:textId="77777777" w:rsidR="00D37EFB" w:rsidRPr="00D37EFB" w:rsidRDefault="00D37EFB" w:rsidP="00D37EFB">
      <w:pPr>
        <w:spacing w:after="0" w:line="240" w:lineRule="auto"/>
        <w:ind w:left="709" w:right="709"/>
        <w:jc w:val="both"/>
        <w:rPr>
          <w:rFonts w:ascii="Verdana" w:eastAsia="Times New Roman" w:hAnsi="Verdana" w:cs="Arial"/>
          <w:sz w:val="20"/>
          <w:szCs w:val="20"/>
          <w:lang w:val="es-ES" w:eastAsia="es-ES"/>
        </w:rPr>
      </w:pPr>
      <w:r w:rsidRPr="00D37EFB">
        <w:rPr>
          <w:rFonts w:ascii="Verdana" w:eastAsia="Times New Roman" w:hAnsi="Verdana" w:cs="Arial"/>
          <w:sz w:val="20"/>
          <w:szCs w:val="20"/>
          <w:lang w:val="es-ES" w:eastAsia="es-ES"/>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3B00B8F3"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
        </w:rPr>
      </w:pPr>
    </w:p>
    <w:p w14:paraId="25C414A0"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6E580980"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4271695D"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p>
    <w:p w14:paraId="13E3E3FD"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lastRenderedPageBreak/>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28AE142A"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p>
    <w:p w14:paraId="39484C07" w14:textId="77777777" w:rsidR="00D37EFB" w:rsidRPr="00D37EFB" w:rsidRDefault="00D37EFB" w:rsidP="00D37EFB">
      <w:pPr>
        <w:spacing w:after="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 xml:space="preserve">El artículo 5 de la Ley 1150 de 2007, además de consagrar un criterio más claro, y, de paso, reducir la discrecionalidad de la Administración, fijó un ámbito temporal para que las entidades requirieran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259967EF"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_tradnl"/>
        </w:rPr>
      </w:pPr>
    </w:p>
    <w:p w14:paraId="093508EE"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52A4426A" w14:textId="77777777" w:rsidR="00D37EFB" w:rsidRPr="00D37EFB" w:rsidRDefault="00D37EFB" w:rsidP="00D37EFB">
      <w:pPr>
        <w:widowControl w:val="0"/>
        <w:tabs>
          <w:tab w:val="left" w:pos="981"/>
        </w:tabs>
        <w:autoSpaceDE w:val="0"/>
        <w:autoSpaceDN w:val="0"/>
        <w:spacing w:after="0" w:line="276" w:lineRule="auto"/>
        <w:ind w:left="709" w:right="680"/>
        <w:jc w:val="both"/>
        <w:rPr>
          <w:rFonts w:ascii="Verdana" w:eastAsia="Verdana" w:hAnsi="Verdana" w:cs="Verdana"/>
          <w:sz w:val="20"/>
          <w:szCs w:val="20"/>
        </w:rPr>
      </w:pPr>
      <w:r w:rsidRPr="00D37EFB">
        <w:rPr>
          <w:rFonts w:ascii="Verdana" w:hAnsi="Verdana" w:cs="Arial"/>
          <w:sz w:val="20"/>
          <w:szCs w:val="20"/>
          <w:lang w:val="es-ES" w:eastAsia="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o no a problemas de capacidad o a requisitos cumplidos antes o después de presentadas las ofertas, con la condición de que cuando le pidan la acreditación la satisfaga suficientemente</w:t>
      </w:r>
      <w:r w:rsidRPr="00D37EFB">
        <w:rPr>
          <w:rFonts w:ascii="Verdana" w:hAnsi="Verdana" w:cs="Arial"/>
          <w:sz w:val="20"/>
          <w:szCs w:val="20"/>
          <w:vertAlign w:val="superscript"/>
          <w:lang w:val="es-ES" w:eastAsia="es-ES"/>
        </w:rPr>
        <w:footnoteReference w:id="4"/>
      </w:r>
    </w:p>
    <w:p w14:paraId="0294BFF1"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1F943574"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13D35FC3" w14:textId="77777777" w:rsidR="00D37EFB" w:rsidRPr="00D37EFB" w:rsidRDefault="00D37EFB" w:rsidP="00D37EFB">
      <w:pPr>
        <w:tabs>
          <w:tab w:val="left" w:pos="284"/>
        </w:tabs>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Esa interpretación fue compartida por la </w:t>
      </w:r>
      <w:r w:rsidRPr="00D37EFB">
        <w:rPr>
          <w:rFonts w:ascii="Verdana" w:eastAsia="Times New Roman" w:hAnsi="Verdana" w:cs="Arial"/>
          <w:lang w:eastAsia="es-CO"/>
        </w:rPr>
        <w:t>Agencia Nacional de Contratación Pública – Colombia Compra Eficiente</w:t>
      </w:r>
      <w:r w:rsidRPr="00D37EFB">
        <w:rPr>
          <w:rFonts w:ascii="Verdana" w:eastAsia="Times New Roman" w:hAnsi="Verdana" w:cs="Arial"/>
          <w:lang w:eastAsia="es-ES"/>
        </w:rPr>
        <w:t xml:space="preserve">, pues en la Circular Externa Única se </w:t>
      </w:r>
      <w:r w:rsidRPr="00D37EFB">
        <w:rPr>
          <w:rFonts w:ascii="Verdana" w:eastAsia="Times New Roman" w:hAnsi="Verdana" w:cs="Arial"/>
          <w:lang w:eastAsia="es-ES"/>
        </w:rPr>
        <w:lastRenderedPageBreak/>
        <w:t>precisó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puede ser subsanada.</w:t>
      </w:r>
    </w:p>
    <w:p w14:paraId="2F0D844C"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
        </w:rPr>
      </w:pPr>
    </w:p>
    <w:p w14:paraId="349923E3" w14:textId="77777777" w:rsidR="00D37EFB" w:rsidRPr="00D37EFB" w:rsidRDefault="00D37EFB" w:rsidP="00D37EFB">
      <w:pPr>
        <w:tabs>
          <w:tab w:val="left" w:pos="284"/>
        </w:tabs>
        <w:spacing w:after="0" w:line="276" w:lineRule="auto"/>
        <w:jc w:val="both"/>
        <w:rPr>
          <w:rFonts w:ascii="Verdana" w:eastAsia="Times New Roman" w:hAnsi="Verdana" w:cs="Arial"/>
          <w:lang w:val="es-ES_tradnl" w:eastAsia="es-CO"/>
        </w:rPr>
      </w:pPr>
      <w:r w:rsidRPr="00D37EFB">
        <w:rPr>
          <w:rFonts w:ascii="Verdana" w:eastAsia="Times New Roman" w:hAnsi="Verdana" w:cs="Arial"/>
          <w:lang w:val="es-ES_tradnl" w:eastAsia="es-CO"/>
        </w:rPr>
        <w:t xml:space="preserve">Finalmente, en un </w:t>
      </w:r>
      <w:r w:rsidRPr="00D37EFB">
        <w:rPr>
          <w:rFonts w:ascii="Verdana" w:eastAsia="Times New Roman" w:hAnsi="Verdana" w:cs="Arial"/>
          <w:i/>
          <w:lang w:val="es-ES_tradnl" w:eastAsia="es-CO"/>
        </w:rPr>
        <w:t>cuarto momento</w:t>
      </w:r>
      <w:r w:rsidRPr="00D37EFB">
        <w:rPr>
          <w:rFonts w:ascii="Verdana" w:eastAsia="Times New Roman" w:hAnsi="Verdana" w:cs="Arial"/>
          <w:lang w:val="es-ES_tradnl" w:eastAsia="es-CO"/>
        </w:rPr>
        <w:t xml:space="preserve">, el legislador expidió la Ley 1882 de 2018, con la finalidad de introducir cambios y ajustes para fortalecer la contratación pública. El artículo 5 modificó el parágrafo 1º y adicionó algunos otros, entre ellos el 3° y 4° del artículo 5 de la Ley 1150 de 2007: </w:t>
      </w:r>
    </w:p>
    <w:p w14:paraId="720291DB"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_tradnl"/>
        </w:rPr>
      </w:pPr>
    </w:p>
    <w:p w14:paraId="67A268F4"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5CA15625" w14:textId="77777777" w:rsidR="00D37EFB" w:rsidRPr="00D37EFB" w:rsidRDefault="00D37EFB" w:rsidP="00D37EFB">
      <w:pPr>
        <w:spacing w:after="0" w:line="240" w:lineRule="auto"/>
        <w:ind w:left="709" w:right="680"/>
        <w:jc w:val="both"/>
        <w:rPr>
          <w:rFonts w:ascii="Verdana" w:eastAsia="Times New Roman" w:hAnsi="Verdana" w:cs="Arial"/>
          <w:sz w:val="20"/>
          <w:szCs w:val="20"/>
          <w:lang w:val="es-ES_tradnl" w:eastAsia="es-CO"/>
        </w:rPr>
      </w:pPr>
      <w:r w:rsidRPr="00D37EFB">
        <w:rPr>
          <w:rFonts w:ascii="Verdana" w:eastAsia="Times New Roman" w:hAnsi="Verdana" w:cs="Arial"/>
          <w:sz w:val="20"/>
          <w:szCs w:val="20"/>
          <w:lang w:val="es-ES_tradnl" w:eastAsia="es-CO"/>
        </w:rPr>
        <w:t xml:space="preserve">Artículo 5°. De la selección objetiva. </w:t>
      </w:r>
    </w:p>
    <w:p w14:paraId="3472ACCC" w14:textId="77777777" w:rsidR="00D37EFB" w:rsidRPr="00D37EFB" w:rsidRDefault="00D37EFB" w:rsidP="00D37EFB">
      <w:pPr>
        <w:spacing w:after="0" w:line="240" w:lineRule="auto"/>
        <w:ind w:left="709" w:right="680"/>
        <w:jc w:val="both"/>
        <w:textAlignment w:val="baseline"/>
        <w:rPr>
          <w:rFonts w:ascii="Verdana" w:eastAsia="Times New Roman" w:hAnsi="Verdana" w:cs="Arial"/>
          <w:color w:val="000000"/>
          <w:sz w:val="20"/>
          <w:szCs w:val="20"/>
          <w:lang w:val="es-ES" w:eastAsia="es-CO"/>
        </w:rPr>
      </w:pPr>
    </w:p>
    <w:p w14:paraId="2E5BE268"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r w:rsidRPr="00D37EFB">
        <w:rPr>
          <w:rFonts w:ascii="Verdana" w:eastAsia="Times New Roman" w:hAnsi="Verdana" w:cs="Arial"/>
          <w:color w:val="000000"/>
          <w:sz w:val="20"/>
          <w:szCs w:val="20"/>
          <w:lang w:eastAsia="es-CO"/>
        </w:rPr>
        <w:t> </w:t>
      </w:r>
    </w:p>
    <w:p w14:paraId="16097086"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032E75C3"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D37EFB">
        <w:rPr>
          <w:rFonts w:ascii="Verdana" w:eastAsia="Times New Roman" w:hAnsi="Verdana" w:cs="Arial"/>
          <w:color w:val="000000"/>
          <w:sz w:val="20"/>
          <w:szCs w:val="20"/>
          <w:lang w:eastAsia="es-CO"/>
        </w:rPr>
        <w:t> </w:t>
      </w:r>
    </w:p>
    <w:p w14:paraId="28686C58"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49112FC8"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2. “Numeral modificado por el artículo 88 de la Ley 1474 de 2011. El nuevo texto es el siguiente:”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D37EFB">
        <w:rPr>
          <w:rFonts w:ascii="Verdana" w:eastAsia="Times New Roman" w:hAnsi="Verdana" w:cs="Arial"/>
          <w:color w:val="000000"/>
          <w:sz w:val="20"/>
          <w:szCs w:val="20"/>
          <w:lang w:eastAsia="es-CO"/>
        </w:rPr>
        <w:t> </w:t>
      </w:r>
    </w:p>
    <w:p w14:paraId="3362E4E6"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p>
    <w:p w14:paraId="73F40BD7"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lastRenderedPageBreak/>
        <w:t>En los procesos de selección en los que se tenga en cuenta los factores técnicos y económicos, la oferta más ventajosa será la que resulte de aplicar alguna de las siguientes alternativas:</w:t>
      </w:r>
      <w:r w:rsidRPr="00D37EFB">
        <w:rPr>
          <w:rFonts w:ascii="Verdana" w:eastAsia="Times New Roman" w:hAnsi="Verdana" w:cs="Arial"/>
          <w:color w:val="000000"/>
          <w:sz w:val="20"/>
          <w:szCs w:val="20"/>
          <w:lang w:eastAsia="es-CO"/>
        </w:rPr>
        <w:t> </w:t>
      </w:r>
    </w:p>
    <w:p w14:paraId="74773176"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p>
    <w:p w14:paraId="1BB16D89"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a) La ponderación de los elementos de calidad y precio soportados en puntajes o fórmulas señaladas en el pliego de condiciones; o</w:t>
      </w:r>
    </w:p>
    <w:p w14:paraId="00C3E961"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p>
    <w:p w14:paraId="76DCE216"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b) La ponderación de los elementos de calidad y precio que representen la mejor relación de costo-beneficio para la entidad.</w:t>
      </w:r>
      <w:r w:rsidRPr="00D37EFB">
        <w:rPr>
          <w:rFonts w:ascii="Verdana" w:eastAsia="Times New Roman" w:hAnsi="Verdana" w:cs="Arial"/>
          <w:color w:val="000000"/>
          <w:sz w:val="20"/>
          <w:szCs w:val="20"/>
          <w:lang w:eastAsia="es-CO"/>
        </w:rPr>
        <w:t> </w:t>
      </w:r>
    </w:p>
    <w:p w14:paraId="12DA5A83"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p>
    <w:p w14:paraId="5DCEFDA0"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D37EFB">
        <w:rPr>
          <w:rFonts w:ascii="Verdana" w:eastAsia="Times New Roman" w:hAnsi="Verdana" w:cs="Arial"/>
          <w:color w:val="000000"/>
          <w:sz w:val="20"/>
          <w:szCs w:val="20"/>
          <w:lang w:eastAsia="es-CO"/>
        </w:rPr>
        <w:t> </w:t>
      </w:r>
    </w:p>
    <w:p w14:paraId="68E4B924"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299F8800"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D37EFB">
        <w:rPr>
          <w:rFonts w:ascii="Verdana" w:eastAsia="Times New Roman" w:hAnsi="Verdana" w:cs="Arial"/>
          <w:color w:val="000000"/>
          <w:sz w:val="20"/>
          <w:szCs w:val="20"/>
          <w:lang w:eastAsia="es-CO"/>
        </w:rPr>
        <w:t> </w:t>
      </w:r>
    </w:p>
    <w:p w14:paraId="68312D62"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41A6EA15"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En ningún caso se podrá incluir el precio, como factor de escogencia para la selección de consultores.</w:t>
      </w:r>
      <w:r w:rsidRPr="00D37EFB">
        <w:rPr>
          <w:rFonts w:ascii="Verdana" w:eastAsia="Times New Roman" w:hAnsi="Verdana" w:cs="Arial"/>
          <w:color w:val="000000"/>
          <w:sz w:val="20"/>
          <w:szCs w:val="20"/>
          <w:lang w:eastAsia="es-CO"/>
        </w:rPr>
        <w:t> </w:t>
      </w:r>
    </w:p>
    <w:p w14:paraId="3B6F0D88"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2E66F572"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PARÁGRAFO 1o. “Parágrafo modificado por el artículo 5 de la Ley 1882 de 2018. El nuevo texto es el siguiente:”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r w:rsidRPr="00D37EFB">
        <w:rPr>
          <w:rFonts w:ascii="Verdana" w:eastAsia="Times New Roman" w:hAnsi="Verdana" w:cs="Arial"/>
          <w:color w:val="000000"/>
          <w:sz w:val="20"/>
          <w:szCs w:val="20"/>
          <w:lang w:eastAsia="es-CO"/>
        </w:rPr>
        <w:t> </w:t>
      </w:r>
    </w:p>
    <w:p w14:paraId="3EE2E47D"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21647397"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Durante el término otorgado para subsanar las ofertas, los proponentes no podrán acreditar circunstancias ocurridas con posterioridad al cierre del proceso.</w:t>
      </w:r>
      <w:r w:rsidRPr="00D37EFB">
        <w:rPr>
          <w:rFonts w:ascii="Verdana" w:eastAsia="Times New Roman" w:hAnsi="Verdana" w:cs="Arial"/>
          <w:color w:val="000000"/>
          <w:sz w:val="20"/>
          <w:szCs w:val="20"/>
          <w:lang w:eastAsia="es-CO"/>
        </w:rPr>
        <w:t> </w:t>
      </w:r>
    </w:p>
    <w:p w14:paraId="25B33C14"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68148509"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PARÁGRAFO 2o. Las certificaciones de sistemas de gestión de calidad no serán objeto de calificación, ni podrán establecerse como documento habilitante para participar en licitaciones o concursos.</w:t>
      </w:r>
      <w:r w:rsidRPr="00D37EFB">
        <w:rPr>
          <w:rFonts w:ascii="Verdana" w:eastAsia="Times New Roman" w:hAnsi="Verdana" w:cs="Arial"/>
          <w:color w:val="000000"/>
          <w:sz w:val="20"/>
          <w:szCs w:val="20"/>
          <w:lang w:eastAsia="es-CO"/>
        </w:rPr>
        <w:t> </w:t>
      </w:r>
    </w:p>
    <w:p w14:paraId="764085D4"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245B14DF"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lastRenderedPageBreak/>
        <w:t>PARÁGRAFO 3o. “Parágrafo adicionado por el artículo 5 de la Ley 1882 de 2018. El nuevo texto es el siguiente:” La no entrega de la garantía de seriedad junto con la propuesta no será subsanable y será causal de rechazo de la misma.</w:t>
      </w:r>
      <w:r w:rsidRPr="00D37EFB">
        <w:rPr>
          <w:rFonts w:ascii="Verdana" w:eastAsia="Times New Roman" w:hAnsi="Verdana" w:cs="Arial"/>
          <w:color w:val="000000"/>
          <w:sz w:val="20"/>
          <w:szCs w:val="20"/>
          <w:lang w:eastAsia="es-CO"/>
        </w:rPr>
        <w:t> </w:t>
      </w:r>
    </w:p>
    <w:p w14:paraId="553C766B"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0B97C4AF"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PARÁGRAFO 4o. “Parágrafo adicionado por el artículo 5 de la Ley 1882 de 2018. El nuevo texto es el siguiente:”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D37EFB">
        <w:rPr>
          <w:rFonts w:ascii="Verdana" w:eastAsia="Times New Roman" w:hAnsi="Verdana" w:cs="Arial"/>
          <w:color w:val="000000"/>
          <w:sz w:val="20"/>
          <w:szCs w:val="20"/>
          <w:lang w:eastAsia="es-CO"/>
        </w:rPr>
        <w:t> </w:t>
      </w:r>
    </w:p>
    <w:p w14:paraId="586130EF"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eastAsia="es-CO"/>
        </w:rPr>
        <w:t> </w:t>
      </w:r>
    </w:p>
    <w:p w14:paraId="239F25FB" w14:textId="77777777" w:rsidR="00D37EFB" w:rsidRPr="00D37EFB" w:rsidRDefault="00D37EFB" w:rsidP="00D37EFB">
      <w:pPr>
        <w:spacing w:after="0" w:line="240" w:lineRule="auto"/>
        <w:ind w:left="709" w:right="680"/>
        <w:jc w:val="both"/>
        <w:textAlignment w:val="baseline"/>
        <w:rPr>
          <w:rFonts w:ascii="Verdana" w:eastAsia="Times New Roman" w:hAnsi="Verdana" w:cs="Segoe UI"/>
          <w:sz w:val="20"/>
          <w:szCs w:val="20"/>
          <w:lang w:eastAsia="es-CO"/>
        </w:rPr>
      </w:pPr>
      <w:r w:rsidRPr="00D37EFB">
        <w:rPr>
          <w:rFonts w:ascii="Verdana" w:eastAsia="Times New Roman" w:hAnsi="Verdana" w:cs="Arial"/>
          <w:color w:val="000000"/>
          <w:sz w:val="20"/>
          <w:szCs w:val="20"/>
          <w:lang w:val="es-ES" w:eastAsia="es-CO"/>
        </w:rPr>
        <w:t>PARÁGRAFO 5o. “Parágrafo adicionado por el artículo 5 de la Ley 1882 de 2018. El nuevo texto es el siguiente:” En los procesos de contratación, las entidades estatales deberán aceptar la experiencia adquirida por los proponentes a través de la ejecución de contratos con particulares. </w:t>
      </w:r>
      <w:r w:rsidRPr="00D37EFB">
        <w:rPr>
          <w:rFonts w:ascii="Verdana" w:eastAsia="Times New Roman" w:hAnsi="Verdana" w:cs="Arial"/>
          <w:color w:val="000000"/>
          <w:sz w:val="20"/>
          <w:szCs w:val="20"/>
          <w:lang w:eastAsia="es-CO"/>
        </w:rPr>
        <w:t> </w:t>
      </w:r>
    </w:p>
    <w:p w14:paraId="2B80C9E7" w14:textId="77777777" w:rsidR="00D37EFB" w:rsidRPr="00D37EFB" w:rsidRDefault="00D37EFB" w:rsidP="00D37EFB">
      <w:pPr>
        <w:widowControl w:val="0"/>
        <w:tabs>
          <w:tab w:val="left" w:pos="981"/>
        </w:tabs>
        <w:autoSpaceDE w:val="0"/>
        <w:autoSpaceDN w:val="0"/>
        <w:spacing w:after="0" w:line="276" w:lineRule="auto"/>
        <w:ind w:left="709" w:right="680"/>
        <w:jc w:val="both"/>
        <w:rPr>
          <w:rFonts w:ascii="Verdana" w:eastAsia="Verdana" w:hAnsi="Verdana" w:cs="Verdana"/>
        </w:rPr>
      </w:pPr>
    </w:p>
    <w:p w14:paraId="06CE73D8"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Como puede observarse, la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algunos aspectos que se analizarán a continuación. </w:t>
      </w:r>
    </w:p>
    <w:p w14:paraId="393EDF8A" w14:textId="77777777" w:rsidR="00D37EFB" w:rsidRPr="00D37EFB" w:rsidRDefault="00D37EFB" w:rsidP="00D37EFB">
      <w:pPr>
        <w:widowControl w:val="0"/>
        <w:tabs>
          <w:tab w:val="left" w:pos="981"/>
        </w:tabs>
        <w:autoSpaceDE w:val="0"/>
        <w:autoSpaceDN w:val="0"/>
        <w:spacing w:after="0" w:line="276" w:lineRule="auto"/>
        <w:ind w:left="709" w:right="680"/>
        <w:jc w:val="both"/>
        <w:rPr>
          <w:rFonts w:ascii="Verdana" w:eastAsia="Verdana" w:hAnsi="Verdana" w:cs="Verdana"/>
          <w:lang w:val="es-ES"/>
        </w:rPr>
      </w:pPr>
    </w:p>
    <w:p w14:paraId="3C128235"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rPr>
      </w:pPr>
      <w:r w:rsidRPr="00D37EFB">
        <w:rPr>
          <w:rFonts w:ascii="Verdana" w:hAnsi="Verdana" w:cs="Arial"/>
          <w:i/>
          <w:iCs/>
          <w:lang w:val="es-ES_tradnl" w:eastAsia="es-ES_tradnl"/>
        </w:rPr>
        <w:t xml:space="preserve">La primera modificación </w:t>
      </w:r>
      <w:r w:rsidRPr="00D37EFB">
        <w:rPr>
          <w:rFonts w:ascii="Verdana" w:hAnsi="Verdana" w:cs="Arial"/>
          <w:lang w:val="es-ES_tradnl" w:eastAsia="es-ES_tradnl"/>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37EFB">
        <w:rPr>
          <w:rFonts w:ascii="Verdana" w:hAnsi="Verdana" w:cs="Arial"/>
          <w:vertAlign w:val="superscript"/>
          <w:lang w:val="es-ES_tradnl" w:eastAsia="es-ES_tradnl"/>
        </w:rPr>
        <w:footnoteReference w:id="5"/>
      </w:r>
    </w:p>
    <w:p w14:paraId="2D19F343"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57961A2B"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Frente a la regla general aplicable a los demás procesos de selección, la norma fijó un límite final para que la Administración y los oferentes subsanen los requisitos o documentos que puedan y deban ser subsanados. No obstante lo anterior, nada impide, y la norma no lo hace, que la Administración requiera al </w:t>
      </w:r>
      <w:r w:rsidRPr="00D37EFB">
        <w:rPr>
          <w:rFonts w:ascii="Verdana" w:eastAsia="Times New Roman" w:hAnsi="Verdana" w:cs="Arial"/>
          <w:lang w:eastAsia="es-ES"/>
        </w:rPr>
        <w:lastRenderedPageBreak/>
        <w:t>proponente antes de publicar el informe de evaluación. En efecto, la redacción de la norma permite que la Administración solicite a los oferentes subsanar y que estos lo hagan hasta antes del término del traslado del informe de evaluación: “</w:t>
      </w:r>
      <w:r w:rsidRPr="00D37EFB">
        <w:rPr>
          <w:rFonts w:ascii="Verdana" w:eastAsia="Times New Roman" w:hAnsi="Verdana" w:cs="Arial"/>
          <w:i/>
          <w:iCs/>
          <w:lang w:eastAsia="es-ES"/>
        </w:rPr>
        <w:t>deberán ser solicitados por las entidades estatales y deberán ser entregados por los proponentes hasta el término de traslado del informe de evaluación que corresponda a cada modalidad de selección”.</w:t>
      </w:r>
      <w:r w:rsidRPr="00D37EFB">
        <w:rPr>
          <w:rFonts w:ascii="Verdana" w:eastAsia="Times New Roman" w:hAnsi="Verdana" w:cs="Arial"/>
          <w:lang w:eastAsia="es-ES"/>
        </w:rPr>
        <w:t xml:space="preserve"> </w:t>
      </w:r>
    </w:p>
    <w:p w14:paraId="3476D2BE"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Sin perjuicio de lo expuesto, de la lectura de este aparte podrían, en la práctica, darse dos interpretaciones que dan lugar a dos formas de proceder en los procesos de selección, en lo que a la subsanabilidad de las ofertas se refiere. Primera, que la posibilidad para subsanar de los oferentes es el término del traslado del informe de evaluación, ya que es en este documento donde la Administración consigna los requisitos o documentos omitidos que los oferentes deben subsanar, so pena de rechazo. Segunda, que el término del traslado del informe de evaluación es el </w:t>
      </w:r>
      <w:r w:rsidRPr="00D37EFB">
        <w:rPr>
          <w:rFonts w:ascii="Verdana" w:eastAsia="Times New Roman" w:hAnsi="Verdana" w:cs="Arial"/>
          <w:i/>
          <w:lang w:eastAsia="es-ES"/>
        </w:rPr>
        <w:t>límite</w:t>
      </w:r>
      <w:r w:rsidRPr="00D37EFB">
        <w:rPr>
          <w:rFonts w:ascii="Verdana" w:eastAsia="Times New Roman" w:hAnsi="Verdana" w:cs="Arial"/>
          <w:lang w:eastAsia="es-ES"/>
        </w:rPr>
        <w:t xml:space="preserve"> para la subsanación de ofertas, pero no el único momento para hacerlo. </w:t>
      </w:r>
    </w:p>
    <w:p w14:paraId="4D7F84CF"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
        </w:rPr>
      </w:pPr>
    </w:p>
    <w:p w14:paraId="3016E579" w14:textId="77777777" w:rsidR="00D37EFB" w:rsidRPr="00D37EFB" w:rsidRDefault="00D37EFB" w:rsidP="00D37EFB">
      <w:pPr>
        <w:spacing w:after="12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  </w:t>
      </w:r>
    </w:p>
    <w:p w14:paraId="796E187D" w14:textId="77777777" w:rsidR="00D37EFB" w:rsidRPr="00D37EFB" w:rsidRDefault="00D37EFB" w:rsidP="00D37EFB">
      <w:pPr>
        <w:spacing w:after="12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0FAE62D5" w14:textId="77777777" w:rsidR="00D37EFB" w:rsidRPr="00D37EFB" w:rsidRDefault="00D37EFB" w:rsidP="00D37EFB">
      <w:pPr>
        <w:spacing w:after="120" w:line="276" w:lineRule="auto"/>
        <w:jc w:val="both"/>
        <w:rPr>
          <w:rFonts w:ascii="Verdana" w:eastAsia="Times New Roman" w:hAnsi="Verdana" w:cs="Arial"/>
          <w:lang w:eastAsia="es-ES"/>
        </w:rPr>
      </w:pPr>
      <w:r w:rsidRPr="00D37EFB">
        <w:rPr>
          <w:rFonts w:ascii="Verdana" w:eastAsia="Times New Roman" w:hAnsi="Verdana" w:cs="Arial"/>
          <w:lang w:eastAsia="es-ES"/>
        </w:rPr>
        <w:t xml:space="preserve">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w:t>
      </w:r>
      <w:r w:rsidRPr="00D37EFB">
        <w:rPr>
          <w:rFonts w:ascii="Verdana" w:eastAsia="Times New Roman" w:hAnsi="Verdana" w:cs="Arial"/>
          <w:lang w:eastAsia="es-ES"/>
        </w:rPr>
        <w:lastRenderedPageBreak/>
        <w:t>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30123CC1"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lang w:val="es-ES"/>
        </w:rPr>
      </w:pPr>
    </w:p>
    <w:p w14:paraId="46B17481" w14:textId="77777777" w:rsidR="00D37EFB" w:rsidRPr="00D37EFB" w:rsidRDefault="00D37EFB" w:rsidP="00D37EFB">
      <w:pPr>
        <w:spacing w:after="12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 xml:space="preserve">El </w:t>
      </w:r>
      <w:r w:rsidRPr="00D37EFB">
        <w:rPr>
          <w:rFonts w:ascii="Verdana" w:eastAsia="Times New Roman" w:hAnsi="Verdana" w:cs="Arial"/>
          <w:i/>
          <w:iCs/>
          <w:lang w:val="es-ES_tradnl" w:eastAsia="es-ES_tradnl"/>
        </w:rPr>
        <w:t>segundo cambio</w:t>
      </w:r>
      <w:r w:rsidRPr="00D37EFB">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37EFB">
        <w:rPr>
          <w:rFonts w:ascii="Verdana" w:eastAsia="Times New Roman" w:hAnsi="Verdana" w:cs="Arial"/>
          <w:i/>
          <w:iCs/>
          <w:lang w:val="es-ES_tradnl" w:eastAsia="es-ES_tradnl"/>
        </w:rPr>
        <w:t>“los proponentes no podrán acreditar circunstancias ocurridas con posterioridad al cierre del proceso”.</w:t>
      </w:r>
      <w:r w:rsidRPr="00D37EFB">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20CF6224"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lang w:val="es-ES_tradnl"/>
        </w:rPr>
      </w:pPr>
    </w:p>
    <w:p w14:paraId="4EF4BA6C" w14:textId="77777777" w:rsidR="00D37EFB" w:rsidRPr="00D37EFB" w:rsidRDefault="00D37EFB" w:rsidP="00D37EFB">
      <w:pPr>
        <w:widowControl w:val="0"/>
        <w:tabs>
          <w:tab w:val="left" w:pos="981"/>
        </w:tabs>
        <w:autoSpaceDE w:val="0"/>
        <w:autoSpaceDN w:val="0"/>
        <w:spacing w:after="0" w:line="276" w:lineRule="auto"/>
        <w:jc w:val="both"/>
        <w:rPr>
          <w:rFonts w:ascii="Verdana" w:eastAsia="Verdana" w:hAnsi="Verdana" w:cs="Verdana"/>
        </w:rPr>
      </w:pPr>
      <w:r w:rsidRPr="00D37EFB">
        <w:rPr>
          <w:rFonts w:ascii="Verdana" w:hAnsi="Verdana" w:cs="Arial"/>
          <w:lang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sidRPr="00D37EFB">
        <w:rPr>
          <w:rFonts w:ascii="Verdana" w:hAnsi="Verdana" w:cs="Arial"/>
          <w:vertAlign w:val="superscript"/>
          <w:lang w:eastAsia="es-ES"/>
        </w:rPr>
        <w:footnoteReference w:id="6"/>
      </w:r>
    </w:p>
    <w:p w14:paraId="1DA095AE" w14:textId="77777777" w:rsidR="00D37EFB" w:rsidRPr="00D37EFB" w:rsidRDefault="00D37EFB" w:rsidP="00D37EFB">
      <w:pPr>
        <w:contextualSpacing/>
        <w:rPr>
          <w:rFonts w:ascii="Verdana" w:eastAsia="Times New Roman" w:hAnsi="Verdana" w:cs="Arial"/>
          <w:lang w:val="es-ES_tradnl" w:eastAsia="es-ES_tradnl"/>
        </w:rPr>
      </w:pPr>
    </w:p>
    <w:p w14:paraId="349B02E3" w14:textId="77777777" w:rsidR="00D37EFB" w:rsidRPr="00D37EFB" w:rsidRDefault="00D37EFB" w:rsidP="00D37EFB">
      <w:pPr>
        <w:spacing w:after="120" w:line="276" w:lineRule="auto"/>
        <w:jc w:val="both"/>
        <w:rPr>
          <w:rFonts w:ascii="Verdana" w:eastAsia="Times New Roman" w:hAnsi="Verdana" w:cs="Arial"/>
          <w:lang w:val="es-ES_tradnl" w:eastAsia="es-ES_tradnl"/>
        </w:rPr>
      </w:pPr>
      <w:r w:rsidRPr="00D37EFB">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w:t>
      </w:r>
      <w:r w:rsidRPr="00D37EFB">
        <w:rPr>
          <w:rFonts w:ascii="Verdana" w:eastAsia="Times New Roman" w:hAnsi="Verdana" w:cs="Arial"/>
          <w:lang w:val="es-ES_tradnl" w:eastAsia="es-ES_tradnl"/>
        </w:rPr>
        <w:lastRenderedPageBreak/>
        <w:t xml:space="preserve">cumplirlos durante el proceso de selección o, inclusive, que se puedan variar condiciones de la oferta una vez presentada. </w:t>
      </w:r>
    </w:p>
    <w:p w14:paraId="39CA8DAA" w14:textId="77777777" w:rsidR="00D37EFB" w:rsidRPr="00D37EFB" w:rsidRDefault="00D37EFB" w:rsidP="5637A162">
      <w:pPr>
        <w:widowControl w:val="0"/>
        <w:tabs>
          <w:tab w:val="left" w:pos="981"/>
        </w:tabs>
        <w:autoSpaceDE w:val="0"/>
        <w:autoSpaceDN w:val="0"/>
        <w:spacing w:after="0" w:line="276" w:lineRule="auto"/>
        <w:jc w:val="both"/>
        <w:rPr>
          <w:rFonts w:ascii="Verdana" w:eastAsia="Verdana" w:hAnsi="Verdana" w:cs="Verdana"/>
        </w:rPr>
      </w:pPr>
      <w:r w:rsidRPr="5637A162">
        <w:rPr>
          <w:rFonts w:ascii="Verdana" w:hAnsi="Verdana" w:cs="Arial"/>
          <w:lang w:eastAsia="es-ES"/>
        </w:rPr>
        <w:t xml:space="preserve">Un mejor entendimiento del significado de la expresión </w:t>
      </w:r>
      <w:r w:rsidRPr="5637A162">
        <w:rPr>
          <w:rFonts w:ascii="Verdana" w:hAnsi="Verdana" w:cs="Arial"/>
          <w:i/>
          <w:iCs/>
          <w:lang w:eastAsia="es-ES"/>
        </w:rPr>
        <w:t>“circunstancias ocurridas con posterioridad al cierre del proceso”</w:t>
      </w:r>
      <w:r w:rsidRPr="5637A162">
        <w:rPr>
          <w:rFonts w:ascii="Verdana" w:hAnsi="Verdana" w:cs="Arial"/>
          <w:lang w:eastAsia="es-ES"/>
        </w:rPr>
        <w:t xml:space="preserve"> implica distinguir entre la prueba de un hecho y el hecho mismo. En el caso de la subsanabilidad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sidRPr="5637A162">
        <w:rPr>
          <w:rFonts w:ascii="Verdana" w:hAnsi="Verdana" w:cs="Arial"/>
          <w:vertAlign w:val="superscript"/>
          <w:lang w:eastAsia="es-ES"/>
        </w:rPr>
        <w:footnoteReference w:id="7"/>
      </w:r>
    </w:p>
    <w:p w14:paraId="2AA98C60"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457AFBA4" w14:textId="77777777" w:rsidR="00D37EFB" w:rsidRPr="00D37EFB" w:rsidRDefault="00D37EFB" w:rsidP="5637A162">
      <w:pPr>
        <w:spacing w:after="120" w:line="276" w:lineRule="auto"/>
        <w:jc w:val="both"/>
        <w:rPr>
          <w:rFonts w:ascii="Verdana" w:eastAsia="Times New Roman" w:hAnsi="Verdana" w:cs="Arial"/>
          <w:lang w:eastAsia="es-ES"/>
        </w:rPr>
      </w:pPr>
      <w:r w:rsidRPr="5637A162">
        <w:rPr>
          <w:rFonts w:ascii="Verdana" w:eastAsia="Times New Roman" w:hAnsi="Verdana" w:cs="Arial"/>
          <w:lang w:eastAsia="es-ES"/>
        </w:rPr>
        <w:t>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5637A162">
        <w:rPr>
          <w:vertAlign w:val="superscript"/>
          <w:lang w:eastAsia="es-ES"/>
        </w:rPr>
        <w:footnoteReference w:id="8"/>
      </w:r>
      <w:r w:rsidRPr="5637A162">
        <w:rPr>
          <w:rFonts w:ascii="Verdana" w:eastAsia="Times New Roman" w:hAnsi="Verdana" w:cs="Arial"/>
          <w:lang w:eastAsia="es-ES"/>
        </w:rPr>
        <w:t>; iii) si un oferente no anexó el Certificado de existencia y representación legal, el documento aportado con posterioridad debe dar cuenta de que la sociedad existía antes del cierre del proceso</w:t>
      </w:r>
      <w:r w:rsidRPr="5637A162">
        <w:rPr>
          <w:vertAlign w:val="superscript"/>
          <w:lang w:eastAsia="es-ES"/>
        </w:rPr>
        <w:footnoteReference w:id="9"/>
      </w:r>
      <w:r w:rsidRPr="5637A162">
        <w:rPr>
          <w:rFonts w:ascii="Verdana" w:eastAsia="Times New Roman" w:hAnsi="Verdana" w:cs="Arial"/>
          <w:lang w:eastAsia="es-ES"/>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–sin importar que tenga </w:t>
      </w:r>
      <w:r w:rsidRPr="5637A162">
        <w:rPr>
          <w:rFonts w:ascii="Verdana" w:eastAsia="Times New Roman" w:hAnsi="Verdana" w:cs="Arial"/>
          <w:lang w:eastAsia="es-ES"/>
        </w:rPr>
        <w:lastRenderedPageBreak/>
        <w:t xml:space="preserve">fecha posterior–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1A14A855" w14:textId="77777777" w:rsidR="00D37EFB" w:rsidRPr="00D37EFB" w:rsidRDefault="00D37EFB" w:rsidP="5637A162">
      <w:pPr>
        <w:spacing w:after="120" w:line="276" w:lineRule="auto"/>
        <w:jc w:val="both"/>
        <w:rPr>
          <w:rFonts w:ascii="Verdana" w:eastAsia="Times New Roman" w:hAnsi="Verdana" w:cs="Arial"/>
          <w:i/>
          <w:iCs/>
          <w:lang w:eastAsia="es-ES"/>
        </w:rPr>
      </w:pPr>
      <w:r w:rsidRPr="5637A162">
        <w:rPr>
          <w:rFonts w:ascii="Verdana" w:eastAsia="Times New Roman" w:hAnsi="Verdana" w:cs="Arial"/>
          <w:lang w:eastAsia="es-ES"/>
        </w:rPr>
        <w:t>Lo anterior quiere decir que no es la prueba –usualmente un documento–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5637A162">
        <w:rPr>
          <w:vertAlign w:val="superscript"/>
          <w:lang w:eastAsia="es-ES"/>
        </w:rPr>
        <w:footnoteReference w:id="10"/>
      </w:r>
      <w:r w:rsidRPr="5637A162">
        <w:rPr>
          <w:rFonts w:ascii="Verdana" w:eastAsia="Times New Roman" w:hAnsi="Verdana" w:cs="Arial"/>
          <w:lang w:eastAsia="es-ES"/>
        </w:rPr>
        <w:t>.</w:t>
      </w:r>
    </w:p>
    <w:p w14:paraId="258A91FB" w14:textId="77777777" w:rsidR="00D37EFB" w:rsidRPr="00D37EFB" w:rsidRDefault="00D37EFB" w:rsidP="5637A162">
      <w:pPr>
        <w:spacing w:after="120" w:line="276" w:lineRule="auto"/>
        <w:jc w:val="both"/>
        <w:rPr>
          <w:rFonts w:ascii="Verdana" w:eastAsia="Times New Roman" w:hAnsi="Verdana" w:cs="Arial"/>
          <w:color w:val="000000"/>
        </w:rPr>
      </w:pPr>
      <w:r w:rsidRPr="5637A162">
        <w:rPr>
          <w:rFonts w:ascii="Verdana" w:eastAsia="Times New Roman" w:hAnsi="Verdana" w:cs="Arial"/>
          <w:lang w:eastAsia="es-ES"/>
        </w:rPr>
        <w:t>Ahora bien,</w:t>
      </w:r>
      <w:r w:rsidRPr="5637A162">
        <w:rPr>
          <w:rFonts w:ascii="Verdana" w:eastAsia="Times New Roman" w:hAnsi="Verdana" w:cs="Arial"/>
          <w:i/>
          <w:iCs/>
          <w:lang w:eastAsia="es-ES"/>
        </w:rPr>
        <w:t xml:space="preserve"> e</w:t>
      </w:r>
      <w:r w:rsidRPr="5637A162">
        <w:rPr>
          <w:rFonts w:ascii="Verdana" w:eastAsia="Times New Roman" w:hAnsi="Verdana" w:cs="Arial"/>
          <w:color w:val="000000" w:themeColor="text1"/>
        </w:rPr>
        <w:t>l parágrafo 3 del artículo 5 de la Ley 1882 de 2018 determinó, 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 </w:t>
      </w:r>
    </w:p>
    <w:p w14:paraId="500F2080" w14:textId="77777777" w:rsidR="00D37EFB" w:rsidRPr="00D37EFB" w:rsidRDefault="00D37EFB" w:rsidP="5637A162">
      <w:pPr>
        <w:spacing w:after="120" w:line="276" w:lineRule="auto"/>
        <w:jc w:val="both"/>
        <w:rPr>
          <w:rFonts w:ascii="Verdana" w:eastAsia="Times New Roman" w:hAnsi="Verdana" w:cs="Arial"/>
          <w:lang w:eastAsia="es-ES"/>
        </w:rPr>
      </w:pPr>
      <w:r w:rsidRPr="5637A162">
        <w:rPr>
          <w:rFonts w:ascii="Verdana" w:eastAsia="Times New Roman" w:hAnsi="Verdana" w:cs="Arial"/>
          <w:lang w:eastAsia="es-ES"/>
        </w:rPr>
        <w:t>Visto lo anterior, con miras a dar respuesta al problema jurídico planteado, debe decirse que,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6F5EB1ED" w14:textId="77777777" w:rsidR="00D37EFB" w:rsidRPr="00D37EFB" w:rsidRDefault="00D37EFB" w:rsidP="00D37EFB">
      <w:pPr>
        <w:widowControl w:val="0"/>
        <w:tabs>
          <w:tab w:val="left" w:pos="981"/>
        </w:tabs>
        <w:autoSpaceDE w:val="0"/>
        <w:autoSpaceDN w:val="0"/>
        <w:spacing w:after="0" w:line="276" w:lineRule="auto"/>
        <w:ind w:right="979"/>
        <w:jc w:val="both"/>
        <w:rPr>
          <w:rFonts w:ascii="Verdana" w:eastAsia="Verdana" w:hAnsi="Verdana" w:cs="Verdana"/>
        </w:rPr>
      </w:pPr>
    </w:p>
    <w:p w14:paraId="1EDCD2BA" w14:textId="77777777" w:rsidR="00D37EFB" w:rsidRPr="00D37EFB" w:rsidRDefault="00D37EFB" w:rsidP="00D37EFB">
      <w:pPr>
        <w:ind w:left="720"/>
        <w:contextualSpacing/>
        <w:rPr>
          <w:rFonts w:ascii="Verdana" w:eastAsia="Calibri" w:hAnsi="Verdana" w:cs="Arial"/>
          <w:lang w:val="es-ES"/>
        </w:rPr>
      </w:pPr>
    </w:p>
    <w:p w14:paraId="188CE657" w14:textId="77777777" w:rsidR="00D37EFB" w:rsidRPr="00D37EFB" w:rsidRDefault="00D37EFB" w:rsidP="00D37EFB">
      <w:pPr>
        <w:jc w:val="both"/>
        <w:rPr>
          <w:rFonts w:ascii="Verdana" w:eastAsia="Calibri" w:hAnsi="Verdana" w:cs="Arial"/>
          <w:b/>
          <w:bCs/>
        </w:rPr>
      </w:pPr>
      <w:r w:rsidRPr="00D37EFB">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37EFB" w:rsidRPr="00D37EFB" w14:paraId="29ED9D3A" w14:textId="77777777" w:rsidTr="009143ED">
        <w:trPr>
          <w:trHeight w:val="870"/>
        </w:trPr>
        <w:tc>
          <w:tcPr>
            <w:tcW w:w="8647" w:type="dxa"/>
            <w:tcBorders>
              <w:top w:val="dotted" w:sz="4" w:space="0" w:color="auto"/>
              <w:left w:val="dotted" w:sz="4" w:space="0" w:color="auto"/>
              <w:bottom w:val="dotted" w:sz="4" w:space="0" w:color="auto"/>
              <w:right w:val="dotted" w:sz="4" w:space="0" w:color="auto"/>
            </w:tcBorders>
          </w:tcPr>
          <w:p w14:paraId="706D56FE" w14:textId="77777777" w:rsidR="00D37EFB" w:rsidRPr="00D37EFB" w:rsidRDefault="00D37EFB" w:rsidP="00D37EFB">
            <w:pPr>
              <w:numPr>
                <w:ilvl w:val="0"/>
                <w:numId w:val="17"/>
              </w:numPr>
              <w:spacing w:after="120" w:line="276" w:lineRule="auto"/>
              <w:contextualSpacing/>
              <w:jc w:val="both"/>
              <w:rPr>
                <w:rFonts w:ascii="Verdana" w:hAnsi="Verdana" w:cs="Arial"/>
                <w:noProof/>
                <w:lang w:val="es-ES_tradnl"/>
              </w:rPr>
            </w:pPr>
            <w:r w:rsidRPr="00D37EFB">
              <w:rPr>
                <w:rFonts w:ascii="Verdana" w:hAnsi="Verdana" w:cs="Arial"/>
                <w:noProof/>
                <w:lang w:val="es-ES_tradnl"/>
              </w:rPr>
              <w:t xml:space="preserve">Ley 80 de 1993, articulo 30, numeral 8 </w:t>
            </w:r>
          </w:p>
          <w:p w14:paraId="2DAF41BD" w14:textId="77777777" w:rsidR="00D37EFB" w:rsidRPr="00D37EFB" w:rsidRDefault="00D37EFB" w:rsidP="00D37EFB">
            <w:pPr>
              <w:numPr>
                <w:ilvl w:val="0"/>
                <w:numId w:val="17"/>
              </w:numPr>
              <w:spacing w:after="120" w:line="276" w:lineRule="auto"/>
              <w:contextualSpacing/>
              <w:jc w:val="both"/>
              <w:rPr>
                <w:rFonts w:ascii="Verdana" w:hAnsi="Verdana" w:cs="Arial"/>
                <w:noProof/>
                <w:lang w:val="es-ES_tradnl"/>
              </w:rPr>
            </w:pPr>
            <w:r w:rsidRPr="00D37EFB">
              <w:rPr>
                <w:rFonts w:ascii="Verdana" w:hAnsi="Verdana" w:cs="Arial"/>
                <w:noProof/>
                <w:lang w:val="es-ES_tradnl"/>
              </w:rPr>
              <w:t xml:space="preserve">Artículo 5 de la Ley 1150 de 2007, modificado por la Ley 1882 de 2018, artículo 5 parágrafos 1, 3 y 4. </w:t>
            </w:r>
          </w:p>
          <w:p w14:paraId="3779C60E" w14:textId="77777777" w:rsidR="00D37EFB" w:rsidRPr="00D37EFB" w:rsidRDefault="00D37EFB" w:rsidP="00D37EFB">
            <w:pPr>
              <w:numPr>
                <w:ilvl w:val="0"/>
                <w:numId w:val="17"/>
              </w:numPr>
              <w:spacing w:after="120" w:line="276" w:lineRule="auto"/>
              <w:contextualSpacing/>
              <w:jc w:val="both"/>
              <w:rPr>
                <w:rFonts w:ascii="Verdana" w:hAnsi="Verdana" w:cs="Arial"/>
                <w:noProof/>
                <w:lang w:val="es-ES_tradnl"/>
              </w:rPr>
            </w:pPr>
            <w:r w:rsidRPr="00D37EFB">
              <w:rPr>
                <w:rFonts w:ascii="Verdana" w:hAnsi="Verdana" w:cs="Arial"/>
                <w:noProof/>
                <w:lang w:val="es-ES_tradnl"/>
              </w:rPr>
              <w:t>Consejo de Estado. Sala de Consulta y Servicio Civil. Concepto del 20 de mayo de 2010. Exp. 1.992. C.P. Enrique José Arboleda Perdomo.</w:t>
            </w:r>
          </w:p>
          <w:p w14:paraId="55AFCB1F" w14:textId="77777777" w:rsidR="00D37EFB" w:rsidRPr="00D37EFB" w:rsidRDefault="00D37EFB" w:rsidP="00D37EFB">
            <w:pPr>
              <w:widowControl w:val="0"/>
              <w:numPr>
                <w:ilvl w:val="0"/>
                <w:numId w:val="17"/>
              </w:numPr>
              <w:autoSpaceDE w:val="0"/>
              <w:autoSpaceDN w:val="0"/>
              <w:spacing w:after="120" w:line="276" w:lineRule="auto"/>
              <w:contextualSpacing/>
              <w:jc w:val="both"/>
              <w:rPr>
                <w:rFonts w:ascii="Verdana" w:hAnsi="Verdana" w:cs="Arial"/>
                <w:color w:val="7030A0"/>
                <w:lang w:val="es-ES"/>
              </w:rPr>
            </w:pPr>
            <w:r w:rsidRPr="00D37EFB">
              <w:rPr>
                <w:rFonts w:ascii="Verdana" w:hAnsi="Verdana" w:cs="Arial"/>
                <w:noProof/>
                <w:lang w:val="es-ES_tradnl"/>
              </w:rPr>
              <w:t>Consejo De Estado, Sección Tercera, Subsección C. Sentencia del 26 de febrero de 2011. C.P. Jaime Orlando Santofimio. Rad. 36.408.</w:t>
            </w:r>
          </w:p>
          <w:p w14:paraId="54103B67" w14:textId="77777777" w:rsidR="00D37EFB" w:rsidRPr="00D37EFB" w:rsidRDefault="00D37EFB" w:rsidP="00D37EFB">
            <w:pPr>
              <w:numPr>
                <w:ilvl w:val="0"/>
                <w:numId w:val="17"/>
              </w:numPr>
              <w:spacing w:after="120" w:line="276" w:lineRule="auto"/>
              <w:contextualSpacing/>
              <w:jc w:val="both"/>
              <w:rPr>
                <w:rFonts w:ascii="Verdana" w:hAnsi="Verdana" w:cs="Arial"/>
                <w:lang w:val="es-ES"/>
              </w:rPr>
            </w:pPr>
            <w:r w:rsidRPr="00D37EFB">
              <w:rPr>
                <w:rFonts w:ascii="Verdana" w:hAnsi="Verdana" w:cs="Arial"/>
                <w:noProof/>
                <w:lang w:val="es-ES_tradnl"/>
              </w:rPr>
              <w:t>Consejo De Estado. Sección Tercera. Subsección C. Sentencia del 26 de febrero de 2014. Expediente: 25.804. Consejero Ponente: Enrique Gil Botero.</w:t>
            </w:r>
          </w:p>
          <w:p w14:paraId="0DC3C1C7" w14:textId="77777777" w:rsidR="00D37EFB" w:rsidRPr="00D37EFB" w:rsidRDefault="00D37EFB" w:rsidP="00D37EFB">
            <w:pPr>
              <w:ind w:left="720"/>
              <w:contextualSpacing/>
              <w:jc w:val="both"/>
              <w:rPr>
                <w:rFonts w:ascii="Verdana" w:hAnsi="Verdana" w:cs="Arial"/>
                <w:lang w:val="es-ES"/>
              </w:rPr>
            </w:pPr>
          </w:p>
        </w:tc>
      </w:tr>
    </w:tbl>
    <w:p w14:paraId="1BB57AD0" w14:textId="77777777" w:rsidR="00D37EFB" w:rsidRPr="00D37EFB" w:rsidRDefault="00D37EFB" w:rsidP="00D37EFB">
      <w:pPr>
        <w:tabs>
          <w:tab w:val="left" w:pos="142"/>
          <w:tab w:val="left" w:pos="284"/>
        </w:tabs>
        <w:spacing w:after="0" w:line="276" w:lineRule="auto"/>
        <w:jc w:val="both"/>
        <w:rPr>
          <w:rFonts w:ascii="Verdana" w:eastAsia="Calibri" w:hAnsi="Verdana" w:cs="Arial"/>
        </w:rPr>
      </w:pPr>
    </w:p>
    <w:p w14:paraId="1C352EA5" w14:textId="77777777" w:rsidR="00D37EFB" w:rsidRPr="00D37EFB" w:rsidRDefault="00D37EFB" w:rsidP="00D37EFB">
      <w:pPr>
        <w:tabs>
          <w:tab w:val="left" w:pos="142"/>
          <w:tab w:val="left" w:pos="284"/>
        </w:tabs>
        <w:spacing w:after="0" w:line="276" w:lineRule="auto"/>
        <w:jc w:val="both"/>
        <w:rPr>
          <w:rFonts w:ascii="Verdana" w:eastAsia="Century Gothic" w:hAnsi="Verdana" w:cs="Century Gothic"/>
          <w:b/>
          <w:bCs/>
          <w:lang w:val="es-ES"/>
        </w:rPr>
      </w:pPr>
      <w:r w:rsidRPr="00D37EFB">
        <w:rPr>
          <w:rFonts w:ascii="Verdana" w:eastAsia="Calibri" w:hAnsi="Verdana" w:cs="Arial"/>
        </w:rPr>
        <w:t>5.</w:t>
      </w:r>
      <w:r w:rsidRPr="00D37EFB">
        <w:rPr>
          <w:rFonts w:ascii="Verdana" w:eastAsia="Century Gothic" w:hAnsi="Verdana" w:cs="Century Gothic"/>
          <w:b/>
          <w:bCs/>
          <w:lang w:val="es-ES"/>
        </w:rPr>
        <w:t>Doctrina de la Agencia Nacional de Contratación Pública:</w:t>
      </w:r>
    </w:p>
    <w:p w14:paraId="3F4B2272" w14:textId="77777777" w:rsidR="00D37EFB" w:rsidRPr="00D37EFB" w:rsidRDefault="00D37EFB" w:rsidP="00D37EFB">
      <w:pPr>
        <w:widowControl w:val="0"/>
        <w:autoSpaceDE w:val="0"/>
        <w:autoSpaceDN w:val="0"/>
        <w:spacing w:after="0" w:line="276" w:lineRule="auto"/>
        <w:jc w:val="both"/>
        <w:rPr>
          <w:rFonts w:ascii="Verdana" w:eastAsia="Calibri" w:hAnsi="Verdana" w:cs="Arial"/>
        </w:rPr>
      </w:pPr>
    </w:p>
    <w:p w14:paraId="40753339" w14:textId="77777777" w:rsidR="00D37EFB" w:rsidRPr="00D37EFB" w:rsidRDefault="00D37EFB" w:rsidP="00D37EFB">
      <w:pPr>
        <w:widowControl w:val="0"/>
        <w:autoSpaceDE w:val="0"/>
        <w:autoSpaceDN w:val="0"/>
        <w:spacing w:after="0" w:line="276" w:lineRule="auto"/>
        <w:jc w:val="both"/>
        <w:rPr>
          <w:rFonts w:ascii="Verdana" w:eastAsia="Times New Roman" w:hAnsi="Verdana" w:cs="Arial"/>
          <w:color w:val="FF0000"/>
          <w:shd w:val="clear" w:color="auto" w:fill="FFFFFF"/>
          <w:lang w:val="es-ES"/>
        </w:rPr>
      </w:pPr>
      <w:r w:rsidRPr="00D37EFB">
        <w:rPr>
          <w:rFonts w:ascii="Verdana" w:eastAsia="Times New Roman" w:hAnsi="Verdana" w:cs="Arial"/>
          <w:shd w:val="clear" w:color="auto" w:fill="FFFFFF"/>
          <w:lang w:val="es-ES"/>
        </w:rPr>
        <w:t>Sobre la regla de subsanabilidad en los procesos de selección, se pronunció esta Subdirección en los conceptos 4201913000007643 del 26 de diciembre de 2019, C-343 del 17 de junio de 2020, C-518 del 9 de septiembre de 2020, C-614 del 5 de octubre de 2022, C-882 del 21 de diciembre de 2022, C-172 del 6 de junio de 2023, C-748 del 29 de noviembre de 2024 y C- 959 del 15 de enero de 2025 entre otros. Es</w:t>
      </w:r>
      <w:r w:rsidRPr="00D37EFB">
        <w:rPr>
          <w:rFonts w:ascii="Verdana" w:eastAsia="Times New Roman" w:hAnsi="Verdana" w:cs="Times New Roman"/>
        </w:rPr>
        <w:t>tos y otros conceptos se encuentran disponibles para consulta en el Sistema de relatoría de la Agencia, al cual se puede acceder a través del siguiente enlace:</w:t>
      </w:r>
      <w:r w:rsidRPr="00D37EFB">
        <w:rPr>
          <w:rFonts w:ascii="Verdana" w:eastAsia="Times New Roman" w:hAnsi="Verdana" w:cs="Arial"/>
          <w:shd w:val="clear" w:color="auto" w:fill="FFFFFF"/>
          <w:lang w:val="es-ES"/>
        </w:rPr>
        <w:t xml:space="preserve"> </w:t>
      </w:r>
      <w:hyperlink r:id="rId12" w:history="1">
        <w:r w:rsidRPr="00D37EFB">
          <w:rPr>
            <w:rFonts w:ascii="Verdana" w:eastAsia="Times New Roman" w:hAnsi="Verdana" w:cs="Arial"/>
            <w:color w:val="4472C4" w:themeColor="accent1"/>
            <w:u w:val="single"/>
            <w:shd w:val="clear" w:color="auto" w:fill="FFFFFF"/>
            <w:lang w:val="es-ES"/>
          </w:rPr>
          <w:t>https://relatoria.colombiacompra.gov.co/busqueda/conceptos</w:t>
        </w:r>
      </w:hyperlink>
      <w:r w:rsidRPr="00D37EFB">
        <w:rPr>
          <w:rFonts w:ascii="Verdana" w:eastAsia="Times New Roman" w:hAnsi="Verdana" w:cs="Arial"/>
          <w:color w:val="4472C4" w:themeColor="accent1"/>
          <w:shd w:val="clear" w:color="auto" w:fill="FFFFFF"/>
          <w:lang w:val="es-ES"/>
        </w:rPr>
        <w:t xml:space="preserve"> </w:t>
      </w:r>
    </w:p>
    <w:p w14:paraId="6B3AFA4E" w14:textId="77777777" w:rsidR="00D37EFB" w:rsidRPr="00D37EFB" w:rsidRDefault="00D37EFB" w:rsidP="00D37EFB">
      <w:pPr>
        <w:widowControl w:val="0"/>
        <w:autoSpaceDE w:val="0"/>
        <w:autoSpaceDN w:val="0"/>
        <w:spacing w:after="0" w:line="276" w:lineRule="auto"/>
        <w:jc w:val="both"/>
        <w:rPr>
          <w:rFonts w:ascii="Verdana" w:eastAsia="Times New Roman" w:hAnsi="Verdana" w:cs="Arial"/>
          <w:color w:val="FF0000"/>
          <w:shd w:val="clear" w:color="auto" w:fill="FFFFFF"/>
          <w:lang w:val="es-ES"/>
        </w:rPr>
      </w:pPr>
    </w:p>
    <w:p w14:paraId="50A1720E" w14:textId="77777777" w:rsidR="00D37EFB" w:rsidRPr="00D37EFB" w:rsidRDefault="00D37EFB" w:rsidP="00D37EFB">
      <w:pPr>
        <w:spacing w:after="0" w:line="240" w:lineRule="auto"/>
        <w:jc w:val="both"/>
        <w:rPr>
          <w:rFonts w:ascii="Verdana" w:eastAsia="Calibri" w:hAnsi="Verdana" w:cs="Arial"/>
          <w:color w:val="000000" w:themeColor="text1"/>
          <w:shd w:val="clear" w:color="auto" w:fill="FFFFFF"/>
          <w:lang w:val="es-ES"/>
        </w:rPr>
      </w:pPr>
    </w:p>
    <w:p w14:paraId="5CA15654" w14:textId="77777777" w:rsidR="00D37EFB" w:rsidRPr="00D37EFB" w:rsidRDefault="00D37EFB" w:rsidP="00D37EFB">
      <w:pPr>
        <w:spacing w:before="100" w:beforeAutospacing="1" w:after="100" w:afterAutospacing="1" w:line="240" w:lineRule="auto"/>
        <w:jc w:val="both"/>
        <w:rPr>
          <w:rFonts w:ascii="Verdana" w:hAnsi="Verdana"/>
        </w:rPr>
      </w:pPr>
      <w:r w:rsidRPr="00D37EFB">
        <w:rPr>
          <w:rFonts w:ascii="Verdana" w:hAnsi="Verdana"/>
        </w:rPr>
        <w:t xml:space="preserve">Te informamos que ya se encuentra disponible la </w:t>
      </w:r>
      <w:r w:rsidRPr="00D37EFB">
        <w:rPr>
          <w:rFonts w:ascii="Verdana" w:hAnsi="Verdana"/>
          <w:b/>
          <w:bCs/>
        </w:rPr>
        <w:t>Cartilla para incentivar y fortalecer el acceso a las compras y contratación pública de los pueblos y comunidades étnicas en Colombia.</w:t>
      </w:r>
      <w:r w:rsidRPr="00D37EFB">
        <w:rPr>
          <w:rFonts w:ascii="Verdana" w:hAnsi="Verdana"/>
        </w:rPr>
        <w:t xml:space="preserve">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https://nam02.safelinks.protection.outlook.com/?url=https%3a%2f%2fwww.colombiacompra.gov.co%2fmanuales-guias-y-pliegos-tipo%2fmanuales-y-guias%2fcartilla-para-incentivar-y-fortalecer-el-acceso-las&amp;data=05%7c02%7cmartha.romero%40colombiacompra.gov.co%7ce7601921" w:history="1">
        <w:r w:rsidRPr="00D37EFB">
          <w:rPr>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3479CD27" w14:textId="77777777" w:rsidR="00D37EFB" w:rsidRPr="00D37EFB" w:rsidRDefault="00D37EFB" w:rsidP="00D37EFB">
      <w:pPr>
        <w:spacing w:before="100" w:beforeAutospacing="1" w:after="100" w:afterAutospacing="1" w:line="240" w:lineRule="auto"/>
        <w:jc w:val="both"/>
        <w:rPr>
          <w:rFonts w:ascii="Verdana" w:hAnsi="Verdana"/>
        </w:rPr>
      </w:pPr>
      <w:r w:rsidRPr="00D37EFB">
        <w:rPr>
          <w:rFonts w:ascii="Verdana" w:hAnsi="Verdana"/>
        </w:rPr>
        <w:lastRenderedPageBreak/>
        <w:t xml:space="preserve">También, te informamos que, con el objetivo de garantizar un conocimiento adecuado de las </w:t>
      </w:r>
      <w:r w:rsidRPr="00D37EFB">
        <w:rPr>
          <w:rFonts w:ascii="Verdana" w:hAnsi="Verdana"/>
          <w:b/>
          <w:bCs/>
        </w:rPr>
        <w:t>modificaciones realizadas a los Documentos Tipo en el Sector de Transporte,</w:t>
      </w:r>
      <w:r w:rsidRPr="00D37EFB">
        <w:rPr>
          <w:rFonts w:ascii="Verdana" w:hAnsi="Verdana"/>
        </w:rPr>
        <w:t xml:space="preserve"> hemos programado una serie de </w:t>
      </w:r>
      <w:r w:rsidRPr="00D37EFB">
        <w:rPr>
          <w:rFonts w:ascii="Verdana" w:hAnsi="Verdana"/>
          <w:b/>
          <w:bCs/>
        </w:rPr>
        <w:t xml:space="preserve">capacitaciones </w:t>
      </w:r>
      <w:r w:rsidRPr="00D37EFB">
        <w:rPr>
          <w:rFonts w:ascii="Verdana" w:hAnsi="Verdana"/>
        </w:rPr>
        <w:t xml:space="preserve">dirigidas a todos los actores involucrados en los procesos de selección. La programación correspondiente al primer semestre está disponible en el siguiente enlace: </w:t>
      </w:r>
      <w:hyperlink r:id="rId14" w:tgtFrame="_blank" w:tooltip="https://nam02.safelinks.protection.outlook.com/?url=https%3a%2f%2fwww.colombiacompra.gov.co%2fsites%2fcce_public%2ffiles%2fcce_documentos%2fcircular_002_de_2025_capacitaciones_-_documentos_tipo_-_1_semestre_.pdf&amp;data=05%7c02%7cmartha.romero%40colombiacompra.go" w:history="1">
        <w:r w:rsidRPr="00D37EFB">
          <w:rPr>
            <w:rFonts w:ascii="Verdana" w:hAnsi="Verdana"/>
          </w:rPr>
          <w:t>circular_002_de_2025_capacitaciones_-_documentos_tipo_-_1_semestre_.pdf</w:t>
        </w:r>
      </w:hyperlink>
      <w:r w:rsidRPr="00D37EFB">
        <w:rPr>
          <w:rFonts w:ascii="Verdana" w:hAnsi="Verdana"/>
        </w:rPr>
        <w:t xml:space="preserve">. Asimismo, podrás realizar tu inscripción a estas capacitaciones a través del siguiente enlace: </w:t>
      </w:r>
      <w:hyperlink r:id="rId15" w:tgtFrame="_blank" w:tooltip="https://nam02.safelinks.protection.outlook.com/?url=https%3a%2f%2fwww.colombiacompra.gov.co%2fciudadanos%2fcalendario&amp;data=05%7c02%7cmartha.romero%40colombiacompra.gov.co%7ce7601921a258494a2b6c08dd3635db42%7c7b09041e245149d08cb179d5e3d8c1be%7c0%7c0%7c638726327" w:history="1">
        <w:r w:rsidRPr="00D37EFB">
          <w:rPr>
            <w:rFonts w:ascii="Verdana" w:hAnsi="Verdana"/>
          </w:rPr>
          <w:t>Calendario | Colombia Compra Eficiente | Agencia Nacional de Contratación Pública</w:t>
        </w:r>
      </w:hyperlink>
      <w:r w:rsidRPr="00D37EFB">
        <w:rPr>
          <w:rFonts w:ascii="Verdana" w:hAnsi="Verdana"/>
        </w:rPr>
        <w:t>.</w:t>
      </w:r>
    </w:p>
    <w:p w14:paraId="3FC01594" w14:textId="77777777" w:rsidR="00D37EFB" w:rsidRPr="00D37EFB" w:rsidRDefault="00D37EFB" w:rsidP="00D37EFB">
      <w:pPr>
        <w:spacing w:after="0" w:line="240" w:lineRule="auto"/>
        <w:jc w:val="both"/>
        <w:rPr>
          <w:rFonts w:ascii="Verdana" w:eastAsia="Calibri" w:hAnsi="Verdana" w:cs="Arial"/>
          <w:color w:val="000000" w:themeColor="text1"/>
          <w:shd w:val="clear" w:color="auto" w:fill="FFFFFF"/>
          <w:lang w:val="es-ES"/>
        </w:rPr>
      </w:pPr>
    </w:p>
    <w:p w14:paraId="4708A263" w14:textId="77777777" w:rsidR="00D37EFB" w:rsidRPr="00D37EFB" w:rsidRDefault="00D37EFB" w:rsidP="00D37EFB">
      <w:pPr>
        <w:spacing w:after="0" w:line="240" w:lineRule="auto"/>
        <w:jc w:val="both"/>
        <w:rPr>
          <w:rFonts w:ascii="Calibri" w:eastAsia="Calibri" w:hAnsi="Calibri" w:cs="Times New Roman"/>
        </w:rPr>
      </w:pPr>
      <w:r w:rsidRPr="00D37EFB">
        <w:rPr>
          <w:rFonts w:ascii="Verdana" w:hAnsi="Verdana"/>
        </w:rPr>
        <w:t xml:space="preserve">Por último, lo invitamos a seguirnos en las redes sociales en las cuales se difunde información institucional: </w:t>
      </w:r>
    </w:p>
    <w:p w14:paraId="314A7EB7" w14:textId="77777777" w:rsidR="00D37EFB" w:rsidRPr="00D37EFB" w:rsidRDefault="00D37EFB" w:rsidP="00D37EFB">
      <w:pPr>
        <w:spacing w:after="0" w:line="240" w:lineRule="auto"/>
        <w:jc w:val="both"/>
        <w:rPr>
          <w:rFonts w:ascii="Verdana" w:hAnsi="Verdana"/>
        </w:rPr>
      </w:pPr>
    </w:p>
    <w:p w14:paraId="11EC08A7" w14:textId="77777777" w:rsidR="00D37EFB" w:rsidRPr="00D37EFB" w:rsidRDefault="00D37EFB" w:rsidP="00D37EFB">
      <w:pPr>
        <w:spacing w:after="0" w:line="240" w:lineRule="auto"/>
        <w:jc w:val="both"/>
        <w:rPr>
          <w:rFonts w:ascii="Verdana" w:hAnsi="Verdana"/>
        </w:rPr>
      </w:pPr>
      <w:r w:rsidRPr="00D37EFB">
        <w:rPr>
          <w:rFonts w:ascii="Verdana" w:hAnsi="Verdana"/>
        </w:rPr>
        <w:t xml:space="preserve">Twitter: </w:t>
      </w:r>
      <w:r w:rsidRPr="00D37EFB">
        <w:rPr>
          <w:rFonts w:ascii="Verdana" w:eastAsia="Calibri" w:hAnsi="Verdana" w:cs="Times New Roman"/>
          <w:color w:val="4472C4" w:themeColor="accent1"/>
          <w:u w:val="single"/>
        </w:rPr>
        <w:t>@colombiacompra</w:t>
      </w:r>
      <w:r w:rsidRPr="00D37EFB">
        <w:rPr>
          <w:rFonts w:ascii="Verdana" w:eastAsia="Calibri" w:hAnsi="Verdana" w:cs="Times New Roman"/>
          <w:color w:val="4472C4" w:themeColor="accent1"/>
        </w:rPr>
        <w:t xml:space="preserve"> </w:t>
      </w:r>
    </w:p>
    <w:p w14:paraId="27149DCD" w14:textId="77777777" w:rsidR="00D37EFB" w:rsidRPr="00D37EFB" w:rsidRDefault="00D37EFB" w:rsidP="00D37EFB">
      <w:pPr>
        <w:spacing w:after="0" w:line="240" w:lineRule="auto"/>
        <w:jc w:val="both"/>
        <w:rPr>
          <w:rFonts w:ascii="Verdana" w:hAnsi="Verdana"/>
        </w:rPr>
      </w:pPr>
      <w:r w:rsidRPr="00D37EFB">
        <w:rPr>
          <w:rFonts w:ascii="Verdana" w:hAnsi="Verdana"/>
        </w:rPr>
        <w:t xml:space="preserve">Facebook: </w:t>
      </w:r>
      <w:r w:rsidRPr="00D37EFB">
        <w:rPr>
          <w:rFonts w:ascii="Verdana" w:eastAsia="Calibri" w:hAnsi="Verdana" w:cs="Times New Roman"/>
          <w:color w:val="4472C4" w:themeColor="accent1"/>
          <w:u w:val="single"/>
        </w:rPr>
        <w:t>ColombiaCompraEficiente</w:t>
      </w:r>
    </w:p>
    <w:p w14:paraId="5CF67E9D" w14:textId="77777777" w:rsidR="00D37EFB" w:rsidRPr="00D37EFB" w:rsidRDefault="00D37EFB" w:rsidP="00D37EFB">
      <w:pPr>
        <w:spacing w:after="0" w:line="240" w:lineRule="auto"/>
        <w:jc w:val="both"/>
        <w:rPr>
          <w:rFonts w:ascii="Verdana" w:hAnsi="Verdana"/>
        </w:rPr>
      </w:pPr>
      <w:r w:rsidRPr="00D37EFB">
        <w:rPr>
          <w:rFonts w:ascii="Verdana" w:hAnsi="Verdana"/>
        </w:rPr>
        <w:t xml:space="preserve">LinkedIn: </w:t>
      </w:r>
      <w:r w:rsidRPr="00D37EFB">
        <w:rPr>
          <w:rFonts w:ascii="Verdana" w:eastAsia="Calibri" w:hAnsi="Verdana" w:cs="Times New Roman"/>
          <w:color w:val="4472C4" w:themeColor="accent1"/>
          <w:u w:val="single"/>
        </w:rPr>
        <w:t>Agencia Nacional de Contratación Pública - Colombia Compra Eficiente</w:t>
      </w:r>
      <w:r w:rsidRPr="00D37EFB">
        <w:rPr>
          <w:rFonts w:ascii="Verdana" w:eastAsia="Calibri" w:hAnsi="Verdana" w:cs="Times New Roman"/>
          <w:color w:val="4472C4" w:themeColor="accent1"/>
        </w:rPr>
        <w:t xml:space="preserve"> </w:t>
      </w:r>
      <w:r w:rsidRPr="00D37EFB">
        <w:rPr>
          <w:rFonts w:ascii="Verdana" w:hAnsi="Verdana"/>
        </w:rPr>
        <w:t xml:space="preserve">Instagram: </w:t>
      </w:r>
      <w:r w:rsidRPr="00D37EFB">
        <w:rPr>
          <w:rFonts w:ascii="Verdana" w:eastAsia="Calibri" w:hAnsi="Verdana" w:cs="Times New Roman"/>
          <w:color w:val="4472C4" w:themeColor="accent1"/>
          <w:u w:val="single"/>
        </w:rPr>
        <w:t>@colombiacompraeficiente_cce</w:t>
      </w:r>
    </w:p>
    <w:p w14:paraId="77642F43" w14:textId="77777777" w:rsidR="00D37EFB" w:rsidRPr="00D37EFB" w:rsidRDefault="00D37EFB" w:rsidP="00D37EFB">
      <w:pPr>
        <w:widowControl w:val="0"/>
        <w:autoSpaceDE w:val="0"/>
        <w:autoSpaceDN w:val="0"/>
        <w:spacing w:after="0" w:line="276" w:lineRule="auto"/>
        <w:jc w:val="both"/>
        <w:rPr>
          <w:rFonts w:ascii="Verdana" w:hAnsi="Verdana"/>
        </w:rPr>
      </w:pPr>
    </w:p>
    <w:p w14:paraId="59762290" w14:textId="77777777" w:rsidR="00D37EFB" w:rsidRPr="00D37EFB" w:rsidRDefault="00D37EFB" w:rsidP="00D37EFB">
      <w:pPr>
        <w:widowControl w:val="0"/>
        <w:autoSpaceDE w:val="0"/>
        <w:autoSpaceDN w:val="0"/>
        <w:spacing w:after="0" w:line="276" w:lineRule="auto"/>
        <w:jc w:val="both"/>
        <w:rPr>
          <w:rFonts w:ascii="Verdana" w:eastAsia="Calibri" w:hAnsi="Verdana" w:cs="Arial"/>
          <w:lang w:val="es-ES_tradnl"/>
        </w:rPr>
      </w:pPr>
      <w:r w:rsidRPr="00D37EFB">
        <w:rPr>
          <w:rFonts w:ascii="Verdana" w:eastAsia="Calibri" w:hAnsi="Verdana" w:cs="Arial"/>
        </w:rPr>
        <w:t>Este concepto tiene el alcance previsto en el artículo 28 del Código de Procedimiento Administrativo y de lo Contencioso Administrativo.</w:t>
      </w:r>
    </w:p>
    <w:p w14:paraId="2418C6A8" w14:textId="77777777" w:rsidR="00D37EFB" w:rsidRPr="00D37EFB" w:rsidRDefault="00D37EFB" w:rsidP="00D37EFB">
      <w:pPr>
        <w:widowControl w:val="0"/>
        <w:autoSpaceDE w:val="0"/>
        <w:autoSpaceDN w:val="0"/>
        <w:spacing w:after="0" w:line="276" w:lineRule="auto"/>
        <w:jc w:val="both"/>
        <w:rPr>
          <w:rFonts w:ascii="Verdana" w:eastAsia="Calibri" w:hAnsi="Verdana" w:cs="Arial"/>
        </w:rPr>
      </w:pPr>
    </w:p>
    <w:p w14:paraId="6589D46D" w14:textId="77777777" w:rsidR="00D37EFB" w:rsidRPr="00D37EFB" w:rsidRDefault="00D37EFB" w:rsidP="00D37EFB">
      <w:pPr>
        <w:spacing w:after="0" w:line="240" w:lineRule="auto"/>
        <w:rPr>
          <w:rFonts w:ascii="Verdana" w:eastAsia="Calibri" w:hAnsi="Verdana" w:cs="Arial"/>
          <w:lang w:eastAsia="es-CO"/>
        </w:rPr>
      </w:pPr>
      <w:r w:rsidRPr="00D37EFB">
        <w:rPr>
          <w:rFonts w:ascii="Verdana" w:eastAsia="Times New Roman" w:hAnsi="Verdana" w:cs="Arial"/>
          <w:lang w:eastAsia="es-CO"/>
        </w:rPr>
        <w:t>Atentamente,</w:t>
      </w:r>
      <w:r w:rsidRPr="00D37EFB">
        <w:rPr>
          <w:rFonts w:ascii="Verdana" w:eastAsia="Calibri" w:hAnsi="Verdana" w:cs="Arial"/>
          <w:lang w:eastAsia="es-CO"/>
        </w:rPr>
        <w:t xml:space="preserve"> </w:t>
      </w:r>
    </w:p>
    <w:p w14:paraId="73A738AE" w14:textId="77777777" w:rsidR="00D37EFB" w:rsidRPr="00D37EFB" w:rsidRDefault="00D37EFB" w:rsidP="00D37EFB">
      <w:pPr>
        <w:spacing w:line="276" w:lineRule="auto"/>
        <w:rPr>
          <w:rFonts w:ascii="Century Gothic" w:hAnsi="Century Gothic"/>
          <w:noProof/>
          <w:color w:val="000000"/>
        </w:rPr>
      </w:pPr>
    </w:p>
    <w:p w14:paraId="7136584E" w14:textId="7D3A6D1E" w:rsidR="00D37EFB" w:rsidRPr="00D37EFB" w:rsidRDefault="00E02EC9" w:rsidP="00D37EFB">
      <w:pPr>
        <w:spacing w:line="276" w:lineRule="auto"/>
        <w:jc w:val="center"/>
        <w:rPr>
          <w:rFonts w:ascii="Century Gothic" w:hAnsi="Century Gothic"/>
          <w:noProof/>
          <w:color w:val="000000"/>
        </w:rPr>
      </w:pPr>
      <w:r w:rsidRPr="00E02EC9">
        <w:rPr>
          <w:rFonts w:ascii="Century Gothic" w:eastAsia="Aptos" w:hAnsi="Century Gothic" w:cs="Arial"/>
          <w:noProof/>
          <w:kern w:val="2"/>
          <w14:ligatures w14:val="standardContextual"/>
        </w:rPr>
        <w:drawing>
          <wp:inline distT="0" distB="0" distL="0" distR="0" wp14:anchorId="4579194D" wp14:editId="51CC6D1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4CE69428" w14:textId="77777777" w:rsidR="00D37EFB" w:rsidRPr="00D37EFB" w:rsidRDefault="00D37EFB" w:rsidP="00D37EFB">
      <w:pPr>
        <w:spacing w:line="276" w:lineRule="auto"/>
        <w:jc w:val="center"/>
        <w:rPr>
          <w:rFonts w:ascii="Verdana" w:eastAsia="Calibri" w:hAnsi="Verdana" w:cs="Arial"/>
          <w:color w:val="000000"/>
          <w:lang w:val="es-ES_tradnl" w:eastAsia="es-CO"/>
        </w:rPr>
      </w:pP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37EFB" w:rsidRPr="00D37EFB" w14:paraId="751AE932" w14:textId="77777777" w:rsidTr="009143ED">
        <w:trPr>
          <w:trHeight w:val="315"/>
        </w:trPr>
        <w:tc>
          <w:tcPr>
            <w:tcW w:w="893" w:type="dxa"/>
            <w:vAlign w:val="center"/>
            <w:hideMark/>
          </w:tcPr>
          <w:p w14:paraId="44CEAB0E" w14:textId="77777777" w:rsidR="00D37EFB" w:rsidRPr="00D37EFB" w:rsidRDefault="00D37EFB" w:rsidP="00D37EFB">
            <w:pPr>
              <w:spacing w:after="255"/>
              <w:contextualSpacing/>
              <w:rPr>
                <w:rFonts w:ascii="Verdana" w:hAnsi="Verdana" w:cs="Arial"/>
                <w:sz w:val="16"/>
                <w:szCs w:val="16"/>
                <w:lang w:val="es-ES" w:eastAsia="es-ES"/>
              </w:rPr>
            </w:pPr>
            <w:r w:rsidRPr="00D37EF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8520D6" w14:textId="77777777" w:rsidR="00D37EFB" w:rsidRPr="00D37EFB" w:rsidRDefault="00D37EFB" w:rsidP="00D37EFB">
            <w:pPr>
              <w:spacing w:after="255"/>
              <w:contextualSpacing/>
              <w:rPr>
                <w:rFonts w:ascii="Verdana" w:eastAsia="Arial" w:hAnsi="Verdana" w:cs="Arial"/>
                <w:sz w:val="16"/>
                <w:szCs w:val="16"/>
              </w:rPr>
            </w:pPr>
            <w:r w:rsidRPr="00D37EFB">
              <w:rPr>
                <w:rFonts w:ascii="Verdana" w:eastAsia="Arial" w:hAnsi="Verdana" w:cs="Arial"/>
                <w:sz w:val="16"/>
                <w:szCs w:val="16"/>
              </w:rPr>
              <w:t>Héctor Luis Quiñones Quiñones</w:t>
            </w:r>
          </w:p>
          <w:p w14:paraId="59498908" w14:textId="77777777" w:rsidR="00D37EFB" w:rsidRPr="00D37EFB" w:rsidRDefault="00D37EFB" w:rsidP="00D37EFB">
            <w:pPr>
              <w:spacing w:after="255"/>
              <w:contextualSpacing/>
              <w:rPr>
                <w:rFonts w:ascii="Verdana" w:eastAsia="Arial" w:hAnsi="Verdana" w:cs="Arial"/>
                <w:sz w:val="16"/>
                <w:szCs w:val="16"/>
              </w:rPr>
            </w:pPr>
            <w:r w:rsidRPr="00D37EFB">
              <w:rPr>
                <w:rFonts w:ascii="Verdana" w:eastAsia="Arial" w:hAnsi="Verdana" w:cs="Arial"/>
                <w:sz w:val="16"/>
                <w:szCs w:val="16"/>
              </w:rPr>
              <w:t>Analista T2 – 02 de la Subdirección de Gestión Contractual</w:t>
            </w:r>
          </w:p>
        </w:tc>
      </w:tr>
      <w:tr w:rsidR="00D37EFB" w:rsidRPr="00D37EFB" w14:paraId="0DEB2105" w14:textId="77777777" w:rsidTr="009143ED">
        <w:trPr>
          <w:trHeight w:val="330"/>
        </w:trPr>
        <w:tc>
          <w:tcPr>
            <w:tcW w:w="893" w:type="dxa"/>
            <w:vAlign w:val="center"/>
            <w:hideMark/>
          </w:tcPr>
          <w:p w14:paraId="24711595" w14:textId="77777777" w:rsidR="00D37EFB" w:rsidRPr="00D37EFB" w:rsidRDefault="00D37EFB" w:rsidP="00D37EFB">
            <w:pPr>
              <w:spacing w:after="255"/>
              <w:contextualSpacing/>
              <w:rPr>
                <w:rFonts w:ascii="Verdana" w:hAnsi="Verdana" w:cs="Arial"/>
                <w:sz w:val="16"/>
                <w:szCs w:val="16"/>
                <w:lang w:val="es-ES" w:eastAsia="es-ES"/>
              </w:rPr>
            </w:pPr>
            <w:r w:rsidRPr="00D37EF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55B6B2" w14:textId="77777777" w:rsidR="00D37EFB" w:rsidRPr="00D37EFB" w:rsidRDefault="00D37EFB" w:rsidP="00D37EFB">
            <w:pPr>
              <w:spacing w:after="255"/>
              <w:contextualSpacing/>
              <w:textAlignment w:val="baseline"/>
              <w:rPr>
                <w:rFonts w:ascii="Verdana" w:eastAsia="Times New Roman" w:hAnsi="Verdana" w:cs="Arial"/>
                <w:sz w:val="16"/>
                <w:szCs w:val="16"/>
                <w:lang w:eastAsia="es-ES"/>
              </w:rPr>
            </w:pPr>
            <w:r w:rsidRPr="00D37EFB">
              <w:rPr>
                <w:rFonts w:ascii="Verdana" w:eastAsia="Times New Roman" w:hAnsi="Verdana" w:cs="Arial"/>
                <w:sz w:val="16"/>
                <w:szCs w:val="16"/>
                <w:lang w:eastAsia="es-ES"/>
              </w:rPr>
              <w:t>Adriana Katerine López</w:t>
            </w:r>
          </w:p>
          <w:p w14:paraId="704E7BAA" w14:textId="77777777" w:rsidR="00D37EFB" w:rsidRPr="00D37EFB" w:rsidRDefault="00D37EFB" w:rsidP="00D37EFB">
            <w:pPr>
              <w:contextualSpacing/>
              <w:textAlignment w:val="baseline"/>
              <w:rPr>
                <w:rFonts w:ascii="Verdana" w:eastAsia="Times New Roman" w:hAnsi="Verdana" w:cs="Segoe UI"/>
                <w:sz w:val="16"/>
                <w:szCs w:val="16"/>
                <w:lang w:eastAsia="es-ES_tradnl"/>
              </w:rPr>
            </w:pPr>
            <w:r w:rsidRPr="00D37EFB">
              <w:rPr>
                <w:rFonts w:ascii="Verdana" w:eastAsia="Times New Roman" w:hAnsi="Verdana" w:cs="Arial"/>
                <w:sz w:val="16"/>
                <w:szCs w:val="16"/>
                <w:lang w:eastAsia="es-ES_tradnl"/>
              </w:rPr>
              <w:t>Contratista de la Subdirección de Gestión Contractual</w:t>
            </w:r>
          </w:p>
        </w:tc>
      </w:tr>
      <w:tr w:rsidR="00D37EFB" w:rsidRPr="00D37EFB" w14:paraId="093EDCA0" w14:textId="77777777" w:rsidTr="009143ED">
        <w:trPr>
          <w:trHeight w:val="300"/>
        </w:trPr>
        <w:tc>
          <w:tcPr>
            <w:tcW w:w="893" w:type="dxa"/>
            <w:vAlign w:val="center"/>
            <w:hideMark/>
          </w:tcPr>
          <w:p w14:paraId="105E84D3" w14:textId="77777777" w:rsidR="00D37EFB" w:rsidRPr="00D37EFB" w:rsidRDefault="00D37EFB" w:rsidP="00D37EFB">
            <w:pPr>
              <w:spacing w:after="255"/>
              <w:contextualSpacing/>
              <w:rPr>
                <w:rFonts w:ascii="Verdana" w:hAnsi="Verdana" w:cs="Arial"/>
                <w:sz w:val="16"/>
                <w:szCs w:val="16"/>
                <w:lang w:val="es-ES" w:eastAsia="es-ES"/>
              </w:rPr>
            </w:pPr>
            <w:r w:rsidRPr="00D37EF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1A5B7C" w14:textId="77777777" w:rsidR="00D37EFB" w:rsidRPr="00D37EFB" w:rsidRDefault="00D37EFB" w:rsidP="00D37EFB">
            <w:pPr>
              <w:spacing w:after="255"/>
              <w:contextualSpacing/>
              <w:rPr>
                <w:rFonts w:ascii="Verdana" w:hAnsi="Verdana" w:cs="Arial"/>
                <w:sz w:val="16"/>
                <w:szCs w:val="16"/>
                <w:lang w:val="pt-BR" w:eastAsia="es-ES"/>
              </w:rPr>
            </w:pPr>
            <w:r w:rsidRPr="00D37EFB">
              <w:rPr>
                <w:rFonts w:ascii="Verdana" w:hAnsi="Verdana" w:cs="Arial"/>
                <w:sz w:val="16"/>
                <w:szCs w:val="16"/>
                <w:lang w:val="pt-BR" w:eastAsia="es-ES"/>
              </w:rPr>
              <w:t>Carolina Quintero Gacharná</w:t>
            </w:r>
          </w:p>
          <w:p w14:paraId="2F346CCE" w14:textId="77777777" w:rsidR="00D37EFB" w:rsidRPr="00D37EFB" w:rsidRDefault="00D37EFB" w:rsidP="00D37EFB">
            <w:pPr>
              <w:spacing w:after="255"/>
              <w:contextualSpacing/>
              <w:rPr>
                <w:rFonts w:ascii="Verdana" w:hAnsi="Verdana" w:cs="Arial"/>
                <w:sz w:val="16"/>
                <w:szCs w:val="16"/>
                <w:lang w:val="pt-BR" w:eastAsia="es-ES"/>
              </w:rPr>
            </w:pPr>
            <w:r w:rsidRPr="00D37EFB">
              <w:rPr>
                <w:rFonts w:ascii="Verdana" w:hAnsi="Verdana" w:cs="Arial"/>
                <w:sz w:val="16"/>
                <w:szCs w:val="16"/>
                <w:lang w:eastAsia="es-ES"/>
              </w:rPr>
              <w:t>Subdirectora</w:t>
            </w:r>
            <w:r w:rsidRPr="00D37EFB">
              <w:rPr>
                <w:rFonts w:ascii="Verdana" w:hAnsi="Verdana" w:cs="Arial"/>
                <w:sz w:val="16"/>
                <w:szCs w:val="16"/>
                <w:lang w:val="pt-BR" w:eastAsia="es-ES"/>
              </w:rPr>
              <w:t xml:space="preserve"> de Gestión Contractual ANCP – CCE</w:t>
            </w:r>
          </w:p>
        </w:tc>
      </w:tr>
      <w:bookmarkEnd w:id="0"/>
    </w:tbl>
    <w:p w14:paraId="4BA2AC08" w14:textId="77777777" w:rsidR="00D37EFB" w:rsidRPr="00D37EFB" w:rsidRDefault="00D37EFB" w:rsidP="00D37EFB"/>
    <w:sectPr w:rsidR="00D37EFB" w:rsidRPr="00D37EF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0C920" w14:textId="77777777" w:rsidR="00731929" w:rsidRDefault="00731929" w:rsidP="004A1847">
      <w:pPr>
        <w:spacing w:after="0" w:line="240" w:lineRule="auto"/>
      </w:pPr>
      <w:r>
        <w:separator/>
      </w:r>
    </w:p>
  </w:endnote>
  <w:endnote w:type="continuationSeparator" w:id="0">
    <w:p w14:paraId="121A098D" w14:textId="77777777" w:rsidR="00731929" w:rsidRDefault="00731929" w:rsidP="004A1847">
      <w:pPr>
        <w:spacing w:after="0" w:line="240" w:lineRule="auto"/>
      </w:pPr>
      <w:r>
        <w:continuationSeparator/>
      </w:r>
    </w:p>
  </w:endnote>
  <w:endnote w:type="continuationNotice" w:id="1">
    <w:p w14:paraId="2504F6EA" w14:textId="77777777" w:rsidR="00731929" w:rsidRDefault="007319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9EE619" w14:textId="77777777" w:rsidR="00731929" w:rsidRDefault="00731929" w:rsidP="004A1847">
      <w:pPr>
        <w:spacing w:after="0" w:line="240" w:lineRule="auto"/>
      </w:pPr>
      <w:r>
        <w:separator/>
      </w:r>
    </w:p>
  </w:footnote>
  <w:footnote w:type="continuationSeparator" w:id="0">
    <w:p w14:paraId="1D821669" w14:textId="77777777" w:rsidR="00731929" w:rsidRDefault="00731929" w:rsidP="004A1847">
      <w:pPr>
        <w:spacing w:after="0" w:line="240" w:lineRule="auto"/>
      </w:pPr>
      <w:r>
        <w:continuationSeparator/>
      </w:r>
    </w:p>
  </w:footnote>
  <w:footnote w:type="continuationNotice" w:id="1">
    <w:p w14:paraId="4C685D87" w14:textId="77777777" w:rsidR="00731929" w:rsidRDefault="00731929">
      <w:pPr>
        <w:spacing w:after="0" w:line="240" w:lineRule="auto"/>
      </w:pPr>
    </w:p>
  </w:footnote>
  <w:footnote w:id="2">
    <w:p w14:paraId="1AAFA033" w14:textId="77777777" w:rsidR="00D37EFB" w:rsidRPr="00035F03" w:rsidRDefault="00D37EFB" w:rsidP="00D37EFB">
      <w:pPr>
        <w:pStyle w:val="Textonotapie"/>
        <w:rPr>
          <w:lang w:val="es-CO"/>
        </w:rPr>
      </w:pPr>
      <w:r>
        <w:rPr>
          <w:rStyle w:val="Refdenotaalpie"/>
        </w:rPr>
        <w:footnoteRef/>
      </w:r>
      <w:r>
        <w:t xml:space="preserve"> </w:t>
      </w:r>
      <w:r w:rsidRPr="00E57C35">
        <w:rPr>
          <w:rFonts w:ascii="Verdana" w:hAnsi="Verdana" w:cs="Arial"/>
          <w:color w:val="000000"/>
          <w:sz w:val="12"/>
          <w:szCs w:val="12"/>
        </w:rPr>
        <w:t>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w:t>
      </w:r>
    </w:p>
  </w:footnote>
  <w:footnote w:id="3">
    <w:p w14:paraId="5EA18B8F" w14:textId="77777777" w:rsidR="00D37EFB" w:rsidRPr="00347A2A" w:rsidRDefault="00D37EFB" w:rsidP="00D37EFB">
      <w:pPr>
        <w:pStyle w:val="Textonotapie"/>
        <w:rPr>
          <w:lang w:val="es-CO"/>
        </w:rPr>
      </w:pPr>
      <w:r>
        <w:rPr>
          <w:rStyle w:val="Refdenotaalpie"/>
        </w:rPr>
        <w:footnoteRef/>
      </w:r>
      <w:r>
        <w:t xml:space="preserve"> </w:t>
      </w:r>
      <w:r w:rsidRPr="00E57C35">
        <w:rPr>
          <w:rFonts w:ascii="Verdana" w:hAnsi="Verdana" w:cs="Arial"/>
          <w:color w:val="000000"/>
          <w:sz w:val="12"/>
          <w:szCs w:val="12"/>
        </w:rPr>
        <w:t>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4">
    <w:p w14:paraId="7673CE47" w14:textId="77777777" w:rsidR="00D37EFB" w:rsidRPr="003975CD" w:rsidRDefault="00D37EFB" w:rsidP="00D37EFB">
      <w:pPr>
        <w:pStyle w:val="Textonotapie"/>
        <w:rPr>
          <w:lang w:val="es-CO"/>
        </w:rPr>
      </w:pPr>
      <w:r>
        <w:rPr>
          <w:rStyle w:val="Refdenotaalpie"/>
        </w:rPr>
        <w:footnoteRef/>
      </w:r>
      <w:r>
        <w:t xml:space="preserve"> </w:t>
      </w:r>
      <w:r w:rsidRPr="00922EE0">
        <w:rPr>
          <w:lang w:val="es-CO"/>
        </w:rPr>
        <w:t xml:space="preserve">CONSEJO DE ESTADO. Sección Tercera. Subsección C. Sentencia del 26 de febrero de 2014. Expediente: 25.804. Consejero Ponente: Enrique Gil Botero. </w:t>
      </w:r>
      <w:hyperlink r:id="rId1" w:history="1">
        <w:r w:rsidRPr="00922EE0">
          <w:rPr>
            <w:rStyle w:val="Hipervnculo"/>
            <w:lang w:val="es-CO"/>
          </w:rPr>
          <w:t>https://relatoria.colombiacompra.gov.co/providencias-consejo-de-estado/</w:t>
        </w:r>
      </w:hyperlink>
    </w:p>
  </w:footnote>
  <w:footnote w:id="5">
    <w:p w14:paraId="53BD781F" w14:textId="77777777" w:rsidR="00D37EFB" w:rsidRPr="00A63917" w:rsidRDefault="00D37EFB" w:rsidP="00D37EFB">
      <w:pPr>
        <w:pStyle w:val="Textonotapie"/>
        <w:ind w:firstLine="709"/>
        <w:jc w:val="both"/>
        <w:rPr>
          <w:rFonts w:ascii="Verdana" w:eastAsia="Times New Roman" w:hAnsi="Verdana" w:cs="Arial"/>
          <w:color w:val="000000"/>
          <w:sz w:val="16"/>
          <w:szCs w:val="16"/>
        </w:rPr>
      </w:pPr>
      <w:r>
        <w:rPr>
          <w:rStyle w:val="Refdenotaalpie"/>
        </w:rPr>
        <w:footnoteRef/>
      </w:r>
      <w:r>
        <w:t xml:space="preserve"> </w:t>
      </w:r>
      <w:r w:rsidRPr="00A63917">
        <w:rPr>
          <w:rFonts w:ascii="Verdana" w:eastAsia="Times New Roman" w:hAnsi="Verdana" w:cs="Arial"/>
          <w:color w:val="000000"/>
          <w:sz w:val="16"/>
          <w:szCs w:val="16"/>
        </w:rPr>
        <w:t xml:space="preserve">Ley 1150 de 2007, artículo 5, parágrafo 4°: </w:t>
      </w:r>
      <w:r>
        <w:rPr>
          <w:rFonts w:ascii="Verdana" w:eastAsia="Times New Roman" w:hAnsi="Verdana" w:cs="Arial"/>
          <w:color w:val="000000"/>
          <w:sz w:val="16"/>
          <w:szCs w:val="16"/>
        </w:rPr>
        <w:t>“</w:t>
      </w:r>
      <w:r w:rsidRPr="00A63917">
        <w:rPr>
          <w:rFonts w:ascii="Verdana" w:eastAsia="Times New Roman" w:hAnsi="Verdana" w:cs="Arial"/>
          <w:color w:val="000000"/>
          <w:sz w:val="16"/>
          <w:szCs w:val="16"/>
        </w:rPr>
        <w:t>En aquellos procesos de selección en los que se utilice el mecanismo de subasta, los documentos referentes a la futura contratación o a proponente, no necesarios para la comparación de las propuestas, deberán ser solicitados hasta el momento previo a su realización</w:t>
      </w:r>
      <w:r>
        <w:rPr>
          <w:rFonts w:ascii="Verdana" w:eastAsia="Times New Roman" w:hAnsi="Verdana" w:cs="Arial"/>
          <w:color w:val="000000"/>
          <w:sz w:val="16"/>
          <w:szCs w:val="16"/>
        </w:rPr>
        <w:t>”</w:t>
      </w:r>
      <w:r w:rsidRPr="00A63917">
        <w:rPr>
          <w:rFonts w:ascii="Verdana" w:eastAsia="Times New Roman" w:hAnsi="Verdana" w:cs="Arial"/>
          <w:color w:val="000000"/>
          <w:sz w:val="16"/>
          <w:szCs w:val="16"/>
        </w:rPr>
        <w:t>.</w:t>
      </w:r>
    </w:p>
    <w:p w14:paraId="26B620B2" w14:textId="77777777" w:rsidR="00D37EFB" w:rsidRPr="00A63917" w:rsidRDefault="00D37EFB" w:rsidP="00D37EFB">
      <w:pPr>
        <w:pStyle w:val="Textonotapie"/>
        <w:rPr>
          <w:sz w:val="16"/>
          <w:szCs w:val="16"/>
        </w:rPr>
      </w:pPr>
    </w:p>
  </w:footnote>
  <w:footnote w:id="6">
    <w:p w14:paraId="34110191" w14:textId="77777777" w:rsidR="00D37EFB" w:rsidRPr="00B96B20" w:rsidRDefault="00D37EFB" w:rsidP="00D37EFB">
      <w:pPr>
        <w:pStyle w:val="Textonotapie"/>
        <w:ind w:firstLine="709"/>
        <w:jc w:val="both"/>
        <w:rPr>
          <w:rFonts w:ascii="Verdana" w:eastAsia="Times New Roman" w:hAnsi="Verdana" w:cs="Arial"/>
          <w:color w:val="000000"/>
          <w:sz w:val="12"/>
          <w:szCs w:val="12"/>
        </w:rPr>
      </w:pPr>
      <w:r>
        <w:rPr>
          <w:rStyle w:val="Refdenotaalpie"/>
        </w:rPr>
        <w:footnoteRef/>
      </w:r>
      <w:r>
        <w:t xml:space="preserve"> </w:t>
      </w:r>
      <w:r w:rsidRPr="00B96B20">
        <w:rPr>
          <w:rFonts w:ascii="Verdana" w:eastAsia="Times New Roman" w:hAnsi="Verdana" w:cs="Arial"/>
          <w:color w:val="000000"/>
          <w:sz w:val="12"/>
          <w:szCs w:val="12"/>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0B75D44C" w14:textId="77777777" w:rsidR="00D37EFB" w:rsidRPr="00B96B20" w:rsidRDefault="00D37EFB" w:rsidP="00D37EFB">
      <w:pPr>
        <w:spacing w:after="0" w:line="240" w:lineRule="auto"/>
        <w:ind w:firstLine="709"/>
        <w:jc w:val="both"/>
        <w:rPr>
          <w:rFonts w:ascii="Verdana" w:eastAsia="Times New Roman" w:hAnsi="Verdana" w:cs="Arial"/>
          <w:color w:val="000000"/>
          <w:sz w:val="12"/>
          <w:szCs w:val="12"/>
          <w:lang w:val="es-MX"/>
        </w:rPr>
      </w:pPr>
    </w:p>
    <w:p w14:paraId="425E1910" w14:textId="77777777" w:rsidR="00D37EFB" w:rsidRPr="00B96B20" w:rsidRDefault="00D37EFB" w:rsidP="00D37EFB">
      <w:pPr>
        <w:spacing w:after="0" w:line="240" w:lineRule="auto"/>
        <w:ind w:firstLine="709"/>
        <w:jc w:val="both"/>
        <w:rPr>
          <w:rFonts w:ascii="Verdana" w:eastAsia="Times New Roman" w:hAnsi="Verdana" w:cs="Arial"/>
          <w:color w:val="000000"/>
          <w:sz w:val="12"/>
          <w:szCs w:val="12"/>
          <w:lang w:val="es-MX"/>
        </w:rPr>
      </w:pPr>
      <w:r w:rsidRPr="00B96B20">
        <w:rPr>
          <w:rFonts w:ascii="Verdana" w:eastAsia="Times New Roman" w:hAnsi="Verdana" w:cs="Arial"/>
          <w:color w:val="000000"/>
          <w:sz w:val="12"/>
          <w:szCs w:val="12"/>
          <w:lang w:val="es-MX"/>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2EF45028" w14:textId="77777777" w:rsidR="00D37EFB" w:rsidRPr="00735504" w:rsidRDefault="00D37EFB" w:rsidP="00D37EFB">
      <w:pPr>
        <w:pStyle w:val="Textonotapie"/>
        <w:rPr>
          <w:lang w:val="es-CO"/>
        </w:rPr>
      </w:pPr>
    </w:p>
  </w:footnote>
  <w:footnote w:id="7">
    <w:p w14:paraId="6DB3E419" w14:textId="77777777" w:rsidR="00D37EFB" w:rsidRPr="00532F1C" w:rsidRDefault="00D37EFB" w:rsidP="00D37EFB">
      <w:pPr>
        <w:pStyle w:val="Textonotapie"/>
        <w:ind w:firstLine="709"/>
        <w:jc w:val="both"/>
        <w:rPr>
          <w:rFonts w:ascii="Verdana" w:eastAsia="Times New Roman" w:hAnsi="Verdana" w:cs="Arial"/>
          <w:color w:val="000000"/>
          <w:sz w:val="12"/>
          <w:szCs w:val="12"/>
        </w:rPr>
      </w:pPr>
      <w:r>
        <w:rPr>
          <w:rStyle w:val="Refdenotaalpie"/>
        </w:rPr>
        <w:footnoteRef/>
      </w:r>
      <w:r>
        <w:t xml:space="preserve"> </w:t>
      </w:r>
      <w:r w:rsidRPr="00532F1C">
        <w:rPr>
          <w:rFonts w:ascii="Verdana" w:eastAsia="Times New Roman" w:hAnsi="Verdana" w:cs="Arial"/>
          <w:color w:val="000000"/>
          <w:sz w:val="12"/>
          <w:szCs w:val="12"/>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29427D8F" w14:textId="77777777" w:rsidR="00D37EFB" w:rsidRPr="00532F1C" w:rsidRDefault="00D37EFB" w:rsidP="00D37EFB">
      <w:pPr>
        <w:spacing w:after="0" w:line="240" w:lineRule="auto"/>
        <w:ind w:firstLine="709"/>
        <w:jc w:val="both"/>
        <w:rPr>
          <w:rFonts w:ascii="Verdana" w:eastAsia="Times New Roman" w:hAnsi="Verdana" w:cs="Arial"/>
          <w:color w:val="000000"/>
          <w:sz w:val="12"/>
          <w:szCs w:val="12"/>
          <w:lang w:val="es-MX"/>
        </w:rPr>
      </w:pPr>
    </w:p>
    <w:p w14:paraId="76D78EC5" w14:textId="77777777" w:rsidR="00D37EFB" w:rsidRPr="00532F1C" w:rsidRDefault="00D37EFB" w:rsidP="00D37EFB">
      <w:pPr>
        <w:spacing w:after="0" w:line="240" w:lineRule="auto"/>
        <w:ind w:firstLine="709"/>
        <w:jc w:val="both"/>
        <w:rPr>
          <w:rFonts w:ascii="Verdana" w:eastAsia="Times New Roman" w:hAnsi="Verdana" w:cs="Arial"/>
          <w:color w:val="000000"/>
          <w:sz w:val="12"/>
          <w:szCs w:val="12"/>
          <w:lang w:val="es-MX"/>
        </w:rPr>
      </w:pPr>
      <w:r w:rsidRPr="00532F1C">
        <w:rPr>
          <w:rFonts w:ascii="Verdana" w:eastAsia="Times New Roman" w:hAnsi="Verdana" w:cs="Arial"/>
          <w:color w:val="000000"/>
          <w:sz w:val="12"/>
          <w:szCs w:val="12"/>
          <w:lang w:val="es-MX"/>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532F1C">
          <w:rPr>
            <w:rFonts w:ascii="Verdana" w:eastAsia="Times New Roman" w:hAnsi="Verdana" w:cs="Arial"/>
            <w:color w:val="0000FF"/>
            <w:sz w:val="12"/>
            <w:szCs w:val="12"/>
            <w:u w:val="single"/>
            <w:lang w:val="es-MX"/>
          </w:rPr>
          <w:t>https://www.colombiacompra.gov.co/circulares?page=2</w:t>
        </w:r>
      </w:hyperlink>
      <w:r w:rsidRPr="00532F1C">
        <w:rPr>
          <w:rFonts w:ascii="Verdana" w:eastAsia="Times New Roman" w:hAnsi="Verdana" w:cs="Arial"/>
          <w:color w:val="000000"/>
          <w:sz w:val="12"/>
          <w:szCs w:val="12"/>
          <w:u w:val="single"/>
          <w:lang w:val="es-MX"/>
        </w:rPr>
        <w:t xml:space="preserve"> </w:t>
      </w:r>
    </w:p>
    <w:p w14:paraId="468D01C5" w14:textId="77777777" w:rsidR="00D37EFB" w:rsidRPr="00532F1C" w:rsidRDefault="00D37EFB" w:rsidP="00D37EFB">
      <w:pPr>
        <w:spacing w:after="0" w:line="240" w:lineRule="auto"/>
        <w:ind w:firstLine="709"/>
        <w:jc w:val="both"/>
        <w:rPr>
          <w:rFonts w:ascii="Verdana" w:eastAsia="Times New Roman" w:hAnsi="Verdana" w:cs="Arial"/>
          <w:color w:val="000000"/>
          <w:sz w:val="12"/>
          <w:szCs w:val="12"/>
          <w:lang w:val="es-MX"/>
        </w:rPr>
      </w:pPr>
    </w:p>
    <w:p w14:paraId="2A89B31E" w14:textId="77777777" w:rsidR="00D37EFB" w:rsidRPr="00532F1C" w:rsidRDefault="00D37EFB" w:rsidP="00D37EFB">
      <w:pPr>
        <w:pStyle w:val="Textonotapie"/>
        <w:rPr>
          <w:lang w:val="es-CO"/>
        </w:rPr>
      </w:pPr>
    </w:p>
  </w:footnote>
  <w:footnote w:id="8">
    <w:p w14:paraId="7FA9437C" w14:textId="77777777" w:rsidR="00D37EFB" w:rsidRDefault="00D37EFB" w:rsidP="00D37EFB">
      <w:pPr>
        <w:pStyle w:val="Textonotapie"/>
        <w:ind w:firstLine="709"/>
        <w:jc w:val="both"/>
      </w:pPr>
      <w:r w:rsidRPr="00E57C35">
        <w:rPr>
          <w:rFonts w:ascii="Verdana" w:hAnsi="Verdana" w:cs="Arial"/>
          <w:color w:val="000000"/>
          <w:sz w:val="12"/>
          <w:szCs w:val="12"/>
          <w:vertAlign w:val="superscript"/>
        </w:rPr>
        <w:footnoteRef/>
      </w:r>
      <w:r w:rsidRPr="00E57C35">
        <w:rPr>
          <w:rFonts w:ascii="Verdana" w:hAnsi="Verdana" w:cs="Arial"/>
          <w:color w:val="000000"/>
          <w:sz w:val="12"/>
          <w:szCs w:val="12"/>
        </w:rPr>
        <w:t xml:space="preserve"> Ver CONSEJO DE ESTADO, Sección Tercera, Subsección C. Sentencia del 26 de febrero de 2011. C.P. Jaime Orlando Santofimio. Rad. 36.408. </w:t>
      </w:r>
    </w:p>
  </w:footnote>
  <w:footnote w:id="9">
    <w:p w14:paraId="1B8EF817" w14:textId="77777777" w:rsidR="00D37EFB" w:rsidRPr="00E57C35" w:rsidRDefault="00D37EFB" w:rsidP="00D37EFB">
      <w:pPr>
        <w:pStyle w:val="Textonotapie"/>
        <w:ind w:firstLine="709"/>
        <w:jc w:val="both"/>
        <w:rPr>
          <w:rFonts w:ascii="Verdana" w:hAnsi="Verdana" w:cs="Arial"/>
          <w:color w:val="000000"/>
          <w:sz w:val="12"/>
          <w:szCs w:val="12"/>
        </w:rPr>
      </w:pPr>
    </w:p>
    <w:p w14:paraId="56D05090" w14:textId="77777777" w:rsidR="00D37EFB" w:rsidRPr="00E57C35" w:rsidRDefault="00D37EFB" w:rsidP="00D37EFB">
      <w:pPr>
        <w:pStyle w:val="Textonotapie"/>
        <w:ind w:firstLine="709"/>
        <w:jc w:val="both"/>
        <w:rPr>
          <w:rFonts w:ascii="Verdana" w:hAnsi="Verdana" w:cs="Arial"/>
          <w:color w:val="000000"/>
          <w:sz w:val="12"/>
          <w:szCs w:val="12"/>
        </w:rPr>
      </w:pPr>
      <w:r w:rsidRPr="00E57C35">
        <w:rPr>
          <w:rFonts w:ascii="Verdana" w:hAnsi="Verdana" w:cs="Arial"/>
          <w:color w:val="000000"/>
          <w:sz w:val="12"/>
          <w:szCs w:val="12"/>
          <w:vertAlign w:val="superscript"/>
        </w:rPr>
        <w:footnoteRef/>
      </w:r>
      <w:r w:rsidRPr="00E57C35">
        <w:rPr>
          <w:rFonts w:ascii="Verdana" w:hAnsi="Verdana" w:cs="Arial"/>
          <w:color w:val="000000"/>
          <w:sz w:val="12"/>
          <w:szCs w:val="12"/>
        </w:rPr>
        <w:t xml:space="preserve"> Ver CONSEJO DE ESTADO, Sección Tercera, Subsección C. Sentencia del 26 de febrero de 2014. C.P. Enrique Gil Botero. Rad. 25.804. </w:t>
      </w:r>
    </w:p>
    <w:p w14:paraId="10AF85B9" w14:textId="77777777" w:rsidR="00D37EFB" w:rsidRDefault="00D37EFB" w:rsidP="00D37EFB">
      <w:pPr>
        <w:pStyle w:val="Textonotapie"/>
        <w:ind w:firstLine="709"/>
        <w:jc w:val="both"/>
      </w:pPr>
    </w:p>
  </w:footnote>
  <w:footnote w:id="10">
    <w:p w14:paraId="38A9C2C7" w14:textId="77777777" w:rsidR="00D37EFB" w:rsidRDefault="00D37EFB" w:rsidP="00D37EFB">
      <w:pPr>
        <w:pStyle w:val="Textonotapie"/>
        <w:ind w:firstLine="708"/>
        <w:jc w:val="both"/>
      </w:pPr>
      <w:r w:rsidRPr="00E57C35">
        <w:rPr>
          <w:rFonts w:ascii="Verdana" w:hAnsi="Verdana" w:cs="Arial"/>
          <w:color w:val="000000"/>
          <w:sz w:val="12"/>
          <w:szCs w:val="12"/>
          <w:vertAlign w:val="superscript"/>
        </w:rPr>
        <w:footnoteRef/>
      </w:r>
      <w:r w:rsidRPr="00E57C35">
        <w:rPr>
          <w:rFonts w:ascii="Verdana" w:hAnsi="Verdana" w:cs="Arial"/>
          <w:color w:val="000000"/>
          <w:sz w:val="12"/>
          <w:szCs w:val="12"/>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524AFB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053576189" o:spid="_x0000_i1025" type="#_x0000_t75" style="width:11.25pt;height:11.25pt;visibility:visible;mso-wrap-style:square">
            <v:imagedata r:id="rId1" o:title=""/>
          </v:shape>
        </w:pict>
      </mc:Choice>
      <mc:Fallback>
        <w:drawing>
          <wp:inline distT="0" distB="0" distL="0" distR="0" wp14:anchorId="13A4282A" wp14:editId="1BA581A4">
            <wp:extent cx="142875" cy="142875"/>
            <wp:effectExtent l="0" t="0" r="0" b="0"/>
            <wp:docPr id="1053576189" name="Imagen 1053576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07318C"/>
    <w:multiLevelType w:val="hybridMultilevel"/>
    <w:tmpl w:val="E27ADEC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110EAFB2">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36756093">
    <w:abstractNumId w:val="10"/>
  </w:num>
  <w:num w:numId="18" w16cid:durableId="15029678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6199"/>
    <w:rsid w:val="000F6486"/>
    <w:rsid w:val="00125105"/>
    <w:rsid w:val="00127233"/>
    <w:rsid w:val="00127843"/>
    <w:rsid w:val="001343E9"/>
    <w:rsid w:val="001507C9"/>
    <w:rsid w:val="001511A0"/>
    <w:rsid w:val="00165D11"/>
    <w:rsid w:val="001E4177"/>
    <w:rsid w:val="001F7DC6"/>
    <w:rsid w:val="002421BB"/>
    <w:rsid w:val="0025796E"/>
    <w:rsid w:val="002707A2"/>
    <w:rsid w:val="002951A0"/>
    <w:rsid w:val="002962BC"/>
    <w:rsid w:val="002A093D"/>
    <w:rsid w:val="002A0DD0"/>
    <w:rsid w:val="002A49AC"/>
    <w:rsid w:val="002A64FD"/>
    <w:rsid w:val="002C7A84"/>
    <w:rsid w:val="002E14B7"/>
    <w:rsid w:val="002E4FD9"/>
    <w:rsid w:val="003136DF"/>
    <w:rsid w:val="00322A85"/>
    <w:rsid w:val="00324168"/>
    <w:rsid w:val="003448F4"/>
    <w:rsid w:val="00374F5E"/>
    <w:rsid w:val="00377E3E"/>
    <w:rsid w:val="003A779E"/>
    <w:rsid w:val="003D0F4D"/>
    <w:rsid w:val="003D5B0D"/>
    <w:rsid w:val="003E0499"/>
    <w:rsid w:val="003F0AE7"/>
    <w:rsid w:val="003F3941"/>
    <w:rsid w:val="004061B4"/>
    <w:rsid w:val="00406575"/>
    <w:rsid w:val="00414C74"/>
    <w:rsid w:val="0042722E"/>
    <w:rsid w:val="0044528D"/>
    <w:rsid w:val="0049039F"/>
    <w:rsid w:val="004A1847"/>
    <w:rsid w:val="004A305D"/>
    <w:rsid w:val="004F21C4"/>
    <w:rsid w:val="004F685F"/>
    <w:rsid w:val="005566E8"/>
    <w:rsid w:val="00561267"/>
    <w:rsid w:val="00571292"/>
    <w:rsid w:val="00574867"/>
    <w:rsid w:val="00584748"/>
    <w:rsid w:val="00591460"/>
    <w:rsid w:val="005B3816"/>
    <w:rsid w:val="005C3777"/>
    <w:rsid w:val="005C5CDC"/>
    <w:rsid w:val="005D476C"/>
    <w:rsid w:val="006219F8"/>
    <w:rsid w:val="00665D70"/>
    <w:rsid w:val="006900D9"/>
    <w:rsid w:val="00706C16"/>
    <w:rsid w:val="00713E69"/>
    <w:rsid w:val="00731929"/>
    <w:rsid w:val="00756841"/>
    <w:rsid w:val="007649AB"/>
    <w:rsid w:val="00771D0C"/>
    <w:rsid w:val="007833AC"/>
    <w:rsid w:val="007B268C"/>
    <w:rsid w:val="007B27AA"/>
    <w:rsid w:val="007B5E57"/>
    <w:rsid w:val="007B7171"/>
    <w:rsid w:val="007C0C0F"/>
    <w:rsid w:val="007C3DC2"/>
    <w:rsid w:val="007E5497"/>
    <w:rsid w:val="00806F5F"/>
    <w:rsid w:val="00820278"/>
    <w:rsid w:val="00867F95"/>
    <w:rsid w:val="00870CCB"/>
    <w:rsid w:val="008843B6"/>
    <w:rsid w:val="00890350"/>
    <w:rsid w:val="00891928"/>
    <w:rsid w:val="008A0AA5"/>
    <w:rsid w:val="008A446D"/>
    <w:rsid w:val="008D180B"/>
    <w:rsid w:val="008F0EA7"/>
    <w:rsid w:val="00923EEF"/>
    <w:rsid w:val="0092639B"/>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AE347F"/>
    <w:rsid w:val="00B01B1A"/>
    <w:rsid w:val="00B63CAF"/>
    <w:rsid w:val="00B66319"/>
    <w:rsid w:val="00B72CD3"/>
    <w:rsid w:val="00B72FFF"/>
    <w:rsid w:val="00BC3D36"/>
    <w:rsid w:val="00BD7F72"/>
    <w:rsid w:val="00C01474"/>
    <w:rsid w:val="00C04FB3"/>
    <w:rsid w:val="00C31154"/>
    <w:rsid w:val="00C330EB"/>
    <w:rsid w:val="00C41061"/>
    <w:rsid w:val="00C754BE"/>
    <w:rsid w:val="00C76B1C"/>
    <w:rsid w:val="00CB6357"/>
    <w:rsid w:val="00CC1B26"/>
    <w:rsid w:val="00CE0B50"/>
    <w:rsid w:val="00CF036F"/>
    <w:rsid w:val="00D14324"/>
    <w:rsid w:val="00D37EFB"/>
    <w:rsid w:val="00D423A2"/>
    <w:rsid w:val="00D520D8"/>
    <w:rsid w:val="00D63AC2"/>
    <w:rsid w:val="00D7383B"/>
    <w:rsid w:val="00D81F18"/>
    <w:rsid w:val="00DA231B"/>
    <w:rsid w:val="00DC39FC"/>
    <w:rsid w:val="00DC5C5F"/>
    <w:rsid w:val="00DF5254"/>
    <w:rsid w:val="00E02EC9"/>
    <w:rsid w:val="00E16408"/>
    <w:rsid w:val="00E20894"/>
    <w:rsid w:val="00E245AB"/>
    <w:rsid w:val="00E2764C"/>
    <w:rsid w:val="00E27F2E"/>
    <w:rsid w:val="00E42B84"/>
    <w:rsid w:val="00E47F03"/>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269F"/>
    <w:rsid w:val="00FB5DD1"/>
    <w:rsid w:val="00FC2B5D"/>
    <w:rsid w:val="00FF1449"/>
    <w:rsid w:val="5637A16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37EFB"/>
    <w:pPr>
      <w:spacing w:line="240" w:lineRule="exact"/>
    </w:pPr>
    <w:rPr>
      <w:vertAlign w:val="superscript"/>
    </w:rPr>
  </w:style>
  <w:style w:type="table" w:customStyle="1" w:styleId="Tablaconcuadrcula1">
    <w:name w:val="Tabla con cuadrícula1"/>
    <w:basedOn w:val="Tablanormal"/>
    <w:next w:val="Tablaconcuadrcula"/>
    <w:uiPriority w:val="39"/>
    <w:qFormat/>
    <w:rsid w:val="00D37E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tha.romero%40colombiacompra.gov.co%7Ce7601921a258494a2b6c08dd3635db42%7C7b09041e245149d08cb179d5e3d8c1be%7C0%7C0%7C638726327126727728%7CUnknown%7CTWFpbGZsb3d8eyJFbXB0eU1hcGkiOnRydWUsIlYiOiIwLjAuMDAwMCIsIlAiOiJXaW4zMiIsIkFOIjoiTWFpbCIsIldUIjoyfQ%3D%3D%7C0%7C%7C%7C&amp;sdata=xIjYVgx2O6U13U00jVOWKlUBiUsIgQY1mt3NS00uRCA%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ciudadanos%2Fcalendario&amp;data=05%7C02%7Cmartha.romero%40colombiacompra.gov.co%7Ce7601921a258494a2b6c08dd3635db42%7C7b09041e245149d08cb179d5e3d8c1be%7C0%7C0%7C638726327126766412%7CUnknown%7CTWFpbGZsb3d8eyJFbXB0eU1hcGkiOnRydWUsIlYiOiIwLjAuMDAwMCIsIlAiOiJXaW4zMiIsIkFOIjoiTWFpbCIsIldUIjoyfQ%3D%3D%7C0%7C%7C%7C&amp;sdata=rZSTYM8JB88U%2FiysqRZkUy9YPYcvC2YXEYlmFtCKdug%3D&amp;reserved=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ites%2Fcce_public%2Ffiles%2Fcce_documentos%2Fcircular_002_de_2025_capacitaciones_-_documentos_tipo_-_1_semestre_.pdf&amp;data=05%7C02%7Cmartha.romero%40colombiacompra.gov.co%7Ce7601921a258494a2b6c08dd3635db42%7C7b09041e245149d08cb179d5e3d8c1be%7C0%7C0%7C638726327126749845%7CUnknown%7CTWFpbGZsb3d8eyJFbXB0eU1hcGkiOnRydWUsIlYiOiIwLjAuMDAwMCIsIlAiOiJXaW4zMiIsIkFOIjoiTWFpbCIsIldUIjoyfQ%3D%3D%7C0%7C%7C%7C&amp;sdata=ROLbHoaISTGPGnC4gsdz2%2FTVBHV34KERO4g3Dmk2U9Y%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83A708F-8B0B-435D-8E1B-5238340213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5924</Words>
  <Characters>32586</Characters>
  <Application>Microsoft Office Word</Application>
  <DocSecurity>0</DocSecurity>
  <Lines>271</Lines>
  <Paragraphs>76</Paragraphs>
  <ScaleCrop>false</ScaleCrop>
  <Company/>
  <LinksUpToDate>false</LinksUpToDate>
  <CharactersWithSpaces>38434</CharactersWithSpaces>
  <SharedDoc>false</SharedDoc>
  <HLinks>
    <vt:vector size="42" baseType="variant">
      <vt:variant>
        <vt:i4>3080225</vt:i4>
      </vt:variant>
      <vt:variant>
        <vt:i4>12</vt:i4>
      </vt:variant>
      <vt:variant>
        <vt:i4>0</vt:i4>
      </vt:variant>
      <vt:variant>
        <vt:i4>5</vt:i4>
      </vt:variant>
      <vt:variant>
        <vt:lpwstr>https://nam02.safelinks.protection.outlook.com/?url=https%3A%2F%2Fwww.colombiacompra.gov.co%2Fciudadanos%2Fcalendario&amp;data=05%7C02%7Cmartha.romero%40colombiacompra.gov.co%7Ce7601921a258494a2b6c08dd3635db42%7C7b09041e245149d08cb179d5e3d8c1be%7C0%7C0%7C638726327126766412%7CUnknown%7CTWFpbGZsb3d8eyJFbXB0eU1hcGkiOnRydWUsIlYiOiIwLjAuMDAwMCIsIlAiOiJXaW4zMiIsIkFOIjoiTWFpbCIsIldUIjoyfQ%3D%3D%7C0%7C%7C%7C&amp;sdata=rZSTYM8JB88U%2FiysqRZkUy9YPYcvC2YXEYlmFtCKdug%3D&amp;reserved=0</vt:lpwstr>
      </vt:variant>
      <vt:variant>
        <vt:lpwstr/>
      </vt:variant>
      <vt:variant>
        <vt:i4>5898349</vt:i4>
      </vt:variant>
      <vt:variant>
        <vt:i4>9</vt:i4>
      </vt:variant>
      <vt:variant>
        <vt:i4>0</vt:i4>
      </vt:variant>
      <vt:variant>
        <vt:i4>5</vt:i4>
      </vt:variant>
      <vt:variant>
        <vt:lpwstr>https://nam02.safelinks.protection.outlook.com/?url=https%3A%2F%2Fwww.colombiacompra.gov.co%2Fsites%2Fcce_public%2Ffiles%2Fcce_documentos%2Fcircular_002_de_2025_capacitaciones_-_documentos_tipo_-_1_semestre_.pdf&amp;data=05%7C02%7Cmartha.romero%40colombiacompra.gov.co%7Ce7601921a258494a2b6c08dd3635db42%7C7b09041e245149d08cb179d5e3d8c1be%7C0%7C0%7C638726327126749845%7CUnknown%7CTWFpbGZsb3d8eyJFbXB0eU1hcGkiOnRydWUsIlYiOiIwLjAuMDAwMCIsIlAiOiJXaW4zMiIsIkFOIjoiTWFpbCIsIldUIjoyfQ%3D%3D%7C0%7C%7C%7C&amp;sdata=ROLbHoaISTGPGnC4gsdz2%2FTVBHV34KERO4g3Dmk2U9Y%3D&amp;reserved=0</vt:lpwstr>
      </vt:variant>
      <vt:variant>
        <vt:lpwstr/>
      </vt:variant>
      <vt:variant>
        <vt:i4>4128870</vt:i4>
      </vt:variant>
      <vt:variant>
        <vt:i4>6</vt:i4>
      </vt:variant>
      <vt:variant>
        <vt:i4>0</vt:i4>
      </vt:variant>
      <vt:variant>
        <vt:i4>5</vt:i4>
      </vt:variant>
      <vt:variant>
        <vt:lpwstr>https://nam02.safelinks.protection.outlook.com/?url=https%3A%2F%2Fwww.colombiacompra.gov.co%2Fmanuales-guias-y-pliegos-tipo%2Fmanuales-y-guias%2Fcartilla-para-incentivar-y-fortalecer-el-acceso-las&amp;data=05%7C02%7Cmartha.romero%40colombiacompra.gov.co%7Ce7601921a258494a2b6c08dd3635db42%7C7b09041e245149d08cb179d5e3d8c1be%7C0%7C0%7C638726327126727728%7CUnknown%7CTWFpbGZsb3d8eyJFbXB0eU1hcGkiOnRydWUsIlYiOiIwLjAuMDAwMCIsIlAiOiJXaW4zMiIsIkFOIjoiTWFpbCIsIldUIjoyfQ%3D%3D%7C0%7C%7C%7C&amp;sdata=xIjYVgx2O6U13U00jVOWKlUBiUsIgQY1mt3NS00uRCA%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5177395</vt:i4>
      </vt:variant>
      <vt:variant>
        <vt:i4>0</vt:i4>
      </vt:variant>
      <vt:variant>
        <vt:i4>0</vt:i4>
      </vt:variant>
      <vt:variant>
        <vt:i4>5</vt:i4>
      </vt:variant>
      <vt:variant>
        <vt:lpwstr>mailto:Fernandog213@hotmail.com</vt:lpwstr>
      </vt:variant>
      <vt:variant>
        <vt:lpwstr/>
      </vt:variant>
      <vt:variant>
        <vt:i4>2424940</vt:i4>
      </vt:variant>
      <vt:variant>
        <vt:i4>3</vt:i4>
      </vt:variant>
      <vt:variant>
        <vt:i4>0</vt:i4>
      </vt:variant>
      <vt:variant>
        <vt:i4>5</vt:i4>
      </vt:variant>
      <vt:variant>
        <vt:lpwstr>https://www.colombiacompra.gov.co/circulares?page=2</vt:lpwstr>
      </vt:variant>
      <vt:variant>
        <vt:lpwstr/>
      </vt:variant>
      <vt:variant>
        <vt:i4>3801145</vt:i4>
      </vt:variant>
      <vt:variant>
        <vt:i4>0</vt:i4>
      </vt:variant>
      <vt:variant>
        <vt:i4>0</vt:i4>
      </vt:variant>
      <vt:variant>
        <vt:i4>5</vt:i4>
      </vt:variant>
      <vt:variant>
        <vt:lpwstr>https://relatoria.colombiacompra.gov.co/providencias-consejo-de-estado/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2025-03-05T14:51:00Z</dcterms:created>
  <dcterms:modified xsi:type="dcterms:W3CDTF">2025-03-20T13:08:00Z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