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D644D5" w14:textId="22A618BF" w:rsidR="001555A8" w:rsidRPr="001555A8" w:rsidRDefault="001555A8" w:rsidP="001555A8">
      <w:pPr>
        <w:spacing w:after="0" w:line="240" w:lineRule="auto"/>
        <w:jc w:val="both"/>
        <w:rPr>
          <w:rFonts w:ascii="Verdana" w:eastAsia="Calibri" w:hAnsi="Verdana" w:cs="Arial"/>
          <w:b/>
          <w:bCs/>
          <w:sz w:val="20"/>
          <w:szCs w:val="20"/>
        </w:rPr>
      </w:pPr>
      <w:r w:rsidRPr="001555A8">
        <w:rPr>
          <w:rFonts w:ascii="Verdana" w:eastAsia="Calibri" w:hAnsi="Verdana" w:cs="Arial"/>
          <w:b/>
          <w:bCs/>
          <w:sz w:val="20"/>
          <w:szCs w:val="20"/>
        </w:rPr>
        <w:t>CÓMPUTO EXPERIENCIA PROFESIONAL – Régimen jurídico aplicable</w:t>
      </w:r>
    </w:p>
    <w:p w14:paraId="5CB355F3" w14:textId="77777777" w:rsidR="001555A8" w:rsidRPr="001555A8" w:rsidRDefault="001555A8" w:rsidP="001555A8">
      <w:pPr>
        <w:spacing w:after="0" w:line="240" w:lineRule="auto"/>
        <w:jc w:val="both"/>
        <w:rPr>
          <w:rFonts w:ascii="Verdana" w:eastAsia="Calibri" w:hAnsi="Verdana" w:cs="Arial"/>
          <w:sz w:val="20"/>
          <w:szCs w:val="20"/>
        </w:rPr>
      </w:pPr>
    </w:p>
    <w:p w14:paraId="06758952" w14:textId="364F3CBF" w:rsidR="001555A8" w:rsidRPr="001555A8" w:rsidRDefault="001555A8" w:rsidP="001555A8">
      <w:pPr>
        <w:spacing w:after="0" w:line="240" w:lineRule="auto"/>
        <w:ind w:right="51"/>
        <w:jc w:val="both"/>
        <w:rPr>
          <w:rFonts w:ascii="Verdana" w:eastAsia="Calibri" w:hAnsi="Verdana" w:cs="Arial"/>
          <w:sz w:val="20"/>
          <w:szCs w:val="20"/>
          <w:lang w:val="es-MX"/>
        </w:rPr>
      </w:pPr>
      <w:r w:rsidRPr="001555A8">
        <w:rPr>
          <w:rFonts w:ascii="Verdana" w:eastAsia="Calibri" w:hAnsi="Verdana" w:cs="Arial"/>
          <w:sz w:val="20"/>
          <w:szCs w:val="20"/>
          <w:lang w:val="es-MX"/>
        </w:rPr>
        <w:t>La experiencia profesional se debe verificar, de acuerdo con lo regulado en el artículo 229 del Decreto 019 de 2012. En virtud de esta norma, el ejercicio de las diferentes profesiones acreditadas por el Ministerio de Educación Nacional se contabiliza a partir de la terminación y aprobación del pénsum académico de educación superior, salvo las excepciones contempladas en la ley.</w:t>
      </w:r>
    </w:p>
    <w:p w14:paraId="6621C8A2" w14:textId="77777777" w:rsidR="001555A8" w:rsidRPr="001555A8" w:rsidRDefault="001555A8" w:rsidP="001555A8">
      <w:pPr>
        <w:spacing w:before="120" w:after="120" w:line="240" w:lineRule="auto"/>
        <w:ind w:right="51"/>
        <w:jc w:val="both"/>
        <w:rPr>
          <w:rFonts w:ascii="Verdana" w:eastAsia="Calibri" w:hAnsi="Verdana" w:cs="Arial"/>
          <w:sz w:val="20"/>
          <w:szCs w:val="20"/>
          <w:lang w:val="es-MX"/>
        </w:rPr>
      </w:pPr>
      <w:r w:rsidRPr="001555A8">
        <w:rPr>
          <w:rFonts w:ascii="Verdana" w:eastAsia="Calibri" w:hAnsi="Verdana" w:cs="Arial"/>
          <w:sz w:val="20"/>
          <w:szCs w:val="20"/>
          <w:lang w:val="es-MX"/>
        </w:rPr>
        <w:t xml:space="preserve">Conforme con lo anterior, el cómputo de la experiencia profesional, por regla general, comienza con la terminación y aprobación del pénsum académico de educación superior, y siempre que el profesional acredite que trabajó. </w:t>
      </w:r>
      <w:proofErr w:type="gramStart"/>
      <w:r w:rsidRPr="001555A8">
        <w:rPr>
          <w:rFonts w:ascii="Verdana" w:eastAsia="Calibri" w:hAnsi="Verdana" w:cs="Arial"/>
          <w:sz w:val="20"/>
          <w:szCs w:val="20"/>
          <w:lang w:val="es-MX"/>
        </w:rPr>
        <w:t>Frente  a</w:t>
      </w:r>
      <w:proofErr w:type="gramEnd"/>
      <w:r w:rsidRPr="001555A8">
        <w:rPr>
          <w:rFonts w:ascii="Verdana" w:eastAsia="Calibri" w:hAnsi="Verdana" w:cs="Arial"/>
          <w:sz w:val="20"/>
          <w:szCs w:val="20"/>
          <w:lang w:val="es-MX"/>
        </w:rPr>
        <w:t xml:space="preserve"> las profesiones relacionadas con temas de salud, la experiencia profesional se cuenta desde la inscripción o registro, es decir, a partir de la expedición de la tarjeta profesional. En este sentido, las entidades no tienen la facultad de solicitar la tarjeta profesional para contar la experiencia profesional, salvo para las profesiones relacionadas con temas de salud. </w:t>
      </w:r>
    </w:p>
    <w:p w14:paraId="3EDC0C0D" w14:textId="77777777" w:rsidR="001555A8" w:rsidRPr="001555A8" w:rsidRDefault="001555A8" w:rsidP="001555A8">
      <w:pPr>
        <w:spacing w:before="120" w:after="120" w:line="240" w:lineRule="auto"/>
        <w:ind w:right="51"/>
        <w:jc w:val="both"/>
        <w:rPr>
          <w:rFonts w:ascii="Verdana" w:eastAsia="Calibri" w:hAnsi="Verdana" w:cs="Arial"/>
          <w:sz w:val="20"/>
          <w:szCs w:val="20"/>
          <w:lang w:val="es-MX"/>
        </w:rPr>
      </w:pPr>
      <w:r w:rsidRPr="001555A8">
        <w:rPr>
          <w:rFonts w:ascii="Verdana" w:eastAsia="Calibri" w:hAnsi="Verdana" w:cs="Arial"/>
          <w:sz w:val="20"/>
          <w:szCs w:val="20"/>
          <w:lang w:val="es-MX"/>
        </w:rPr>
        <w:t>Por otro lado, es importante señalar que a partir de la Ley 1955 de 2019 se permite contar como experiencia profesional las prácticas laborales realizadas por estudiantes para obtener el título de grado. De acuerdo con el artículo 15 de la Ley 1780 de 2016, la práctica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w:t>
      </w:r>
      <w:r w:rsidRPr="001555A8">
        <w:rPr>
          <w:rFonts w:ascii="Verdana" w:eastAsia="Calibri" w:hAnsi="Verdana" w:cs="Arial"/>
          <w:sz w:val="20"/>
          <w:szCs w:val="20"/>
          <w:lang w:val="es-MX"/>
        </w:rPr>
        <w:t xml:space="preserve"> </w:t>
      </w:r>
    </w:p>
    <w:p w14:paraId="391AD162" w14:textId="07BB7DF6" w:rsidR="001555A8" w:rsidRPr="001555A8" w:rsidRDefault="001555A8" w:rsidP="001555A8">
      <w:pPr>
        <w:spacing w:before="120" w:after="120" w:line="240" w:lineRule="auto"/>
        <w:ind w:right="51"/>
        <w:jc w:val="both"/>
        <w:rPr>
          <w:rFonts w:ascii="Verdana" w:eastAsia="Calibri" w:hAnsi="Verdana" w:cs="Arial"/>
          <w:sz w:val="20"/>
          <w:szCs w:val="20"/>
          <w:lang w:val="es-MX"/>
        </w:rPr>
      </w:pPr>
      <w:r w:rsidRPr="001555A8">
        <w:rPr>
          <w:rFonts w:ascii="Verdana" w:eastAsia="Calibri" w:hAnsi="Verdana" w:cs="Arial"/>
          <w:sz w:val="20"/>
          <w:szCs w:val="20"/>
          <w:lang w:val="es-MX"/>
        </w:rPr>
        <w:t>[…]</w:t>
      </w:r>
    </w:p>
    <w:p w14:paraId="66727800" w14:textId="77777777" w:rsidR="001555A8" w:rsidRPr="001555A8" w:rsidRDefault="001555A8" w:rsidP="001555A8">
      <w:pPr>
        <w:spacing w:after="0" w:line="240" w:lineRule="auto"/>
        <w:jc w:val="both"/>
        <w:rPr>
          <w:rFonts w:ascii="Verdana" w:eastAsia="Calibri" w:hAnsi="Verdana" w:cs="Arial"/>
          <w:sz w:val="20"/>
          <w:szCs w:val="20"/>
          <w:lang w:val="es-MX"/>
        </w:rPr>
      </w:pPr>
    </w:p>
    <w:p w14:paraId="00FE1ECC" w14:textId="77777777" w:rsidR="001555A8" w:rsidRPr="001555A8" w:rsidRDefault="001555A8" w:rsidP="001555A8">
      <w:pPr>
        <w:jc w:val="both"/>
        <w:rPr>
          <w:rFonts w:ascii="Verdana" w:eastAsia="Calibri" w:hAnsi="Verdana" w:cs="Arial"/>
          <w:b/>
          <w:bCs/>
          <w:sz w:val="20"/>
          <w:szCs w:val="20"/>
          <w:lang w:val="es-MX"/>
        </w:rPr>
      </w:pPr>
      <w:r w:rsidRPr="001555A8">
        <w:rPr>
          <w:rFonts w:ascii="Verdana" w:eastAsia="Calibri" w:hAnsi="Verdana" w:cs="Arial"/>
          <w:b/>
          <w:bCs/>
          <w:sz w:val="20"/>
          <w:szCs w:val="20"/>
        </w:rPr>
        <w:t xml:space="preserve">NORMAS EXPERIENCIA PROFESIONAL – Vigencia - </w:t>
      </w:r>
      <w:r w:rsidRPr="001555A8">
        <w:rPr>
          <w:rFonts w:ascii="Verdana" w:eastAsia="Calibri" w:hAnsi="Verdana" w:cs="Arial"/>
          <w:b/>
          <w:bCs/>
          <w:sz w:val="20"/>
          <w:szCs w:val="20"/>
          <w:lang w:val="es-MX"/>
        </w:rPr>
        <w:t>Ley 842 de 2003 – Profesión de Ingeniería</w:t>
      </w:r>
    </w:p>
    <w:p w14:paraId="0F45908A" w14:textId="77777777" w:rsidR="001555A8" w:rsidRPr="001555A8" w:rsidRDefault="001555A8" w:rsidP="001555A8">
      <w:pPr>
        <w:spacing w:before="120" w:after="120" w:line="276" w:lineRule="auto"/>
        <w:ind w:right="51"/>
        <w:jc w:val="both"/>
        <w:rPr>
          <w:rFonts w:ascii="Verdana" w:eastAsia="Calibri" w:hAnsi="Verdana" w:cs="Arial"/>
          <w:sz w:val="20"/>
          <w:szCs w:val="20"/>
        </w:rPr>
      </w:pPr>
      <w:r w:rsidRPr="001555A8">
        <w:rPr>
          <w:rFonts w:ascii="Verdana" w:eastAsia="Calibri" w:hAnsi="Verdana" w:cs="Arial"/>
          <w:sz w:val="20"/>
          <w:szCs w:val="20"/>
        </w:rPr>
        <w:t>Ahora bien, para el caso particular de la profesión de ingeniería, esta tiene como componente que, con la expedición de la Ley 842 de 2003, se cuenta con una norma de carácter especial que regula lo atinente al ejercicio legal de la profesión de ingeniería. profesiones afines y auxiliares. Dicha norma agregó un elemento que no se contemplaba en la regla general, mediante su artículo 12, el cual establece que, para el ejercicio de profesiones como la ingeniería o alguna de sus profesiones afines o auxiliares, quien las ejerza debe contar con la tarjeta o matrícula profesional correspondiente. En este orden de ideas, la experiencia profesional se debe computar, por regla especial, a partir de la fecha de expedición de la matrícula profesional o del certificado de inscripción profesional.</w:t>
      </w:r>
    </w:p>
    <w:p w14:paraId="7AC6B74D" w14:textId="77777777" w:rsidR="001555A8" w:rsidRPr="001555A8" w:rsidRDefault="001555A8" w:rsidP="001555A8">
      <w:pPr>
        <w:spacing w:before="120" w:after="120" w:line="276" w:lineRule="auto"/>
        <w:ind w:right="51"/>
        <w:jc w:val="both"/>
        <w:rPr>
          <w:rFonts w:ascii="Verdana" w:eastAsia="Calibri" w:hAnsi="Verdana" w:cs="Arial"/>
          <w:sz w:val="20"/>
          <w:szCs w:val="20"/>
        </w:rPr>
      </w:pPr>
      <w:r w:rsidRPr="001555A8">
        <w:rPr>
          <w:rFonts w:ascii="Verdana" w:eastAsia="Calibri" w:hAnsi="Verdana" w:cs="Arial"/>
          <w:sz w:val="20"/>
          <w:szCs w:val="20"/>
        </w:rPr>
        <w:t xml:space="preserve">El mismo compendio normativo establece en el artículo 6 que, para ejercer la ingeniería y sus profesiones afines o auxiliares en el territorio nacional, es necesario estar matriculado o inscrito en el registro profesional correspondiente, el cual es expedido por el Consejo Profesional Nacional de Ingeniería (COPNIA). Este trámite requiere la </w:t>
      </w:r>
      <w:r w:rsidRPr="001555A8">
        <w:rPr>
          <w:rFonts w:ascii="Verdana" w:eastAsia="Calibri" w:hAnsi="Verdana" w:cs="Arial"/>
          <w:sz w:val="20"/>
          <w:szCs w:val="20"/>
        </w:rPr>
        <w:lastRenderedPageBreak/>
        <w:t>presentación de la tarjeta profesional, que es el documento que acredita dicha inscripción.</w:t>
      </w:r>
    </w:p>
    <w:p w14:paraId="3472F584" w14:textId="77777777" w:rsidR="001555A8" w:rsidRPr="001555A8" w:rsidRDefault="001555A8" w:rsidP="001555A8">
      <w:pPr>
        <w:spacing w:before="120" w:after="120" w:line="276" w:lineRule="auto"/>
        <w:ind w:right="51"/>
        <w:jc w:val="both"/>
        <w:rPr>
          <w:rFonts w:ascii="Verdana" w:eastAsia="Calibri" w:hAnsi="Verdana" w:cs="Arial"/>
          <w:sz w:val="20"/>
          <w:szCs w:val="20"/>
        </w:rPr>
      </w:pPr>
      <w:r w:rsidRPr="001555A8">
        <w:rPr>
          <w:rFonts w:ascii="Verdana" w:eastAsia="Calibri" w:hAnsi="Verdana" w:cs="Arial"/>
          <w:sz w:val="20"/>
          <w:szCs w:val="20"/>
        </w:rPr>
        <w:t>En este sentido, esta Subdirección, haciendo un juicio valorativo de la normatividad que comprende la materia y analizando los diferentes pronunciamientos expedidos, considera que, para la celebración de contratos de prestación de servicios profesionales que tengan como objeto el ejercicio de profesiones sujetas a regulación especial, como es el caso de las profesiones relacionadas con la ingeniería, estos deberán suscribirse conforme al mandato legal, razón por la cual no son aplicables los lineamientos generales del Decreto Ley 19 de 2012.</w:t>
      </w:r>
    </w:p>
    <w:p w14:paraId="39419C33" w14:textId="77777777" w:rsidR="001555A8" w:rsidRPr="001555A8" w:rsidRDefault="001555A8" w:rsidP="001555A8">
      <w:pPr>
        <w:spacing w:before="120" w:after="120" w:line="276" w:lineRule="auto"/>
        <w:ind w:right="51"/>
        <w:jc w:val="both"/>
        <w:rPr>
          <w:rFonts w:ascii="Verdana" w:eastAsia="Calibri" w:hAnsi="Verdana" w:cs="Arial"/>
          <w:sz w:val="20"/>
          <w:szCs w:val="20"/>
        </w:rPr>
      </w:pPr>
      <w:r w:rsidRPr="001555A8">
        <w:rPr>
          <w:rFonts w:ascii="Verdana" w:eastAsia="Calibri" w:hAnsi="Verdana" w:cs="Arial"/>
          <w:sz w:val="20"/>
          <w:szCs w:val="20"/>
        </w:rPr>
        <w:t>Sin perjuicio de lo anterior, en los casos en los que el objeto del contrato requiera el ejercicio de profesiones sujetas a regulación especial, en razón de la alta responsabilidad y el riesgo social que implica su ejercicio para la sociedad (Sentencia C-296 del 18 de abril de 2012, Magistrado Ponente: Juan Carlos Henao Pérez), como es el caso de las profesiones relacionadas con la ingeniería o alguna de sus profesiones afines o auxiliares, la Entidad Estatal debe remitirse a lo establecido en la regulación específica acerca del cómputo de la experiencia (artículo 12 de la Ley 842 de 2003).</w:t>
      </w:r>
    </w:p>
    <w:p w14:paraId="61BF9F0D" w14:textId="251222CD" w:rsidR="001555A8" w:rsidRPr="001555A8" w:rsidRDefault="001555A8" w:rsidP="001555A8">
      <w:pPr>
        <w:jc w:val="both"/>
        <w:rPr>
          <w:rFonts w:ascii="Verdana" w:eastAsia="Calibri" w:hAnsi="Verdana" w:cs="Arial"/>
          <w:b/>
          <w:bCs/>
          <w:sz w:val="20"/>
          <w:szCs w:val="20"/>
        </w:rPr>
      </w:pPr>
      <w:r w:rsidRPr="001555A8">
        <w:rPr>
          <w:rFonts w:ascii="Verdana" w:eastAsia="Calibri" w:hAnsi="Verdana" w:cs="Arial"/>
          <w:sz w:val="20"/>
          <w:szCs w:val="20"/>
          <w:lang w:val="es-MX"/>
        </w:rPr>
        <w:t>En todo caso,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w:t>
      </w:r>
    </w:p>
    <w:p w14:paraId="51BF9431" w14:textId="77777777" w:rsidR="001555A8" w:rsidRDefault="001555A8" w:rsidP="00E26F22">
      <w:pPr>
        <w:spacing w:after="0" w:line="240" w:lineRule="auto"/>
        <w:rPr>
          <w:rFonts w:ascii="Verdana" w:eastAsia="Calibri" w:hAnsi="Verdana" w:cs="Arial"/>
        </w:rPr>
      </w:pPr>
    </w:p>
    <w:p w14:paraId="7B84B0DA" w14:textId="77777777" w:rsidR="001555A8" w:rsidRDefault="001555A8" w:rsidP="00E26F22">
      <w:pPr>
        <w:spacing w:after="0" w:line="240" w:lineRule="auto"/>
        <w:rPr>
          <w:rFonts w:ascii="Verdana" w:eastAsia="Calibri" w:hAnsi="Verdana" w:cs="Arial"/>
        </w:rPr>
      </w:pPr>
    </w:p>
    <w:p w14:paraId="02087741" w14:textId="77777777" w:rsidR="001555A8" w:rsidRDefault="001555A8" w:rsidP="00E26F22">
      <w:pPr>
        <w:spacing w:after="0" w:line="240" w:lineRule="auto"/>
        <w:rPr>
          <w:rFonts w:ascii="Verdana" w:eastAsia="Calibri" w:hAnsi="Verdana" w:cs="Arial"/>
        </w:rPr>
      </w:pPr>
    </w:p>
    <w:p w14:paraId="6A74C965" w14:textId="77777777" w:rsidR="001555A8" w:rsidRDefault="001555A8" w:rsidP="00E26F22">
      <w:pPr>
        <w:spacing w:after="0" w:line="240" w:lineRule="auto"/>
        <w:rPr>
          <w:rFonts w:ascii="Verdana" w:eastAsia="Calibri" w:hAnsi="Verdana" w:cs="Arial"/>
        </w:rPr>
      </w:pPr>
    </w:p>
    <w:p w14:paraId="6553DBD4" w14:textId="77777777" w:rsidR="001555A8" w:rsidRDefault="001555A8" w:rsidP="00E26F22">
      <w:pPr>
        <w:spacing w:after="0" w:line="240" w:lineRule="auto"/>
        <w:rPr>
          <w:rFonts w:ascii="Verdana" w:eastAsia="Calibri" w:hAnsi="Verdana" w:cs="Arial"/>
        </w:rPr>
      </w:pPr>
    </w:p>
    <w:p w14:paraId="79C1152C" w14:textId="77777777" w:rsidR="001555A8" w:rsidRDefault="001555A8" w:rsidP="00E26F22">
      <w:pPr>
        <w:spacing w:after="0" w:line="240" w:lineRule="auto"/>
        <w:rPr>
          <w:rFonts w:ascii="Verdana" w:eastAsia="Calibri" w:hAnsi="Verdana" w:cs="Arial"/>
        </w:rPr>
      </w:pPr>
    </w:p>
    <w:p w14:paraId="2741D631" w14:textId="77777777" w:rsidR="001555A8" w:rsidRDefault="001555A8" w:rsidP="00E26F22">
      <w:pPr>
        <w:spacing w:after="0" w:line="240" w:lineRule="auto"/>
        <w:rPr>
          <w:rFonts w:ascii="Verdana" w:eastAsia="Calibri" w:hAnsi="Verdana" w:cs="Arial"/>
        </w:rPr>
      </w:pPr>
    </w:p>
    <w:p w14:paraId="033A7443" w14:textId="77777777" w:rsidR="001555A8" w:rsidRDefault="001555A8" w:rsidP="00E26F22">
      <w:pPr>
        <w:spacing w:after="0" w:line="240" w:lineRule="auto"/>
        <w:rPr>
          <w:rFonts w:ascii="Verdana" w:eastAsia="Calibri" w:hAnsi="Verdana" w:cs="Arial"/>
        </w:rPr>
      </w:pPr>
    </w:p>
    <w:p w14:paraId="0E0EABBA" w14:textId="77777777" w:rsidR="001555A8" w:rsidRDefault="001555A8" w:rsidP="00E26F22">
      <w:pPr>
        <w:spacing w:after="0" w:line="240" w:lineRule="auto"/>
        <w:rPr>
          <w:rFonts w:ascii="Verdana" w:eastAsia="Calibri" w:hAnsi="Verdana" w:cs="Arial"/>
        </w:rPr>
      </w:pPr>
    </w:p>
    <w:p w14:paraId="70645369" w14:textId="77777777" w:rsidR="001555A8" w:rsidRDefault="001555A8" w:rsidP="00E26F22">
      <w:pPr>
        <w:spacing w:after="0" w:line="240" w:lineRule="auto"/>
        <w:rPr>
          <w:rFonts w:ascii="Verdana" w:eastAsia="Calibri" w:hAnsi="Verdana" w:cs="Arial"/>
        </w:rPr>
      </w:pPr>
    </w:p>
    <w:p w14:paraId="72488410" w14:textId="77777777" w:rsidR="001555A8" w:rsidRDefault="001555A8" w:rsidP="00E26F22">
      <w:pPr>
        <w:spacing w:after="0" w:line="240" w:lineRule="auto"/>
        <w:rPr>
          <w:rFonts w:ascii="Verdana" w:eastAsia="Calibri" w:hAnsi="Verdana" w:cs="Arial"/>
        </w:rPr>
      </w:pPr>
    </w:p>
    <w:p w14:paraId="788F043C" w14:textId="77777777" w:rsidR="001555A8" w:rsidRDefault="001555A8" w:rsidP="00E26F22">
      <w:pPr>
        <w:spacing w:after="0" w:line="240" w:lineRule="auto"/>
        <w:rPr>
          <w:rFonts w:ascii="Verdana" w:eastAsia="Calibri" w:hAnsi="Verdana" w:cs="Arial"/>
        </w:rPr>
      </w:pPr>
    </w:p>
    <w:p w14:paraId="6F63E2AC" w14:textId="77777777" w:rsidR="001555A8" w:rsidRDefault="001555A8" w:rsidP="00E26F22">
      <w:pPr>
        <w:spacing w:after="0" w:line="240" w:lineRule="auto"/>
        <w:rPr>
          <w:rFonts w:ascii="Verdana" w:eastAsia="Calibri" w:hAnsi="Verdana" w:cs="Arial"/>
        </w:rPr>
      </w:pPr>
    </w:p>
    <w:p w14:paraId="0B29AECA" w14:textId="77777777" w:rsidR="001555A8" w:rsidRDefault="001555A8" w:rsidP="00E26F22">
      <w:pPr>
        <w:spacing w:after="0" w:line="240" w:lineRule="auto"/>
        <w:rPr>
          <w:rFonts w:ascii="Verdana" w:eastAsia="Calibri" w:hAnsi="Verdana" w:cs="Arial"/>
        </w:rPr>
      </w:pPr>
    </w:p>
    <w:p w14:paraId="351A277C" w14:textId="77777777" w:rsidR="001555A8" w:rsidRDefault="001555A8" w:rsidP="00E26F22">
      <w:pPr>
        <w:spacing w:after="0" w:line="240" w:lineRule="auto"/>
        <w:rPr>
          <w:rFonts w:ascii="Verdana" w:eastAsia="Calibri" w:hAnsi="Verdana" w:cs="Arial"/>
        </w:rPr>
      </w:pPr>
    </w:p>
    <w:p w14:paraId="369DE987" w14:textId="77777777" w:rsidR="001555A8" w:rsidRDefault="001555A8" w:rsidP="00E26F22">
      <w:pPr>
        <w:spacing w:after="0" w:line="240" w:lineRule="auto"/>
        <w:rPr>
          <w:rFonts w:ascii="Verdana" w:eastAsia="Calibri" w:hAnsi="Verdana" w:cs="Arial"/>
        </w:rPr>
      </w:pPr>
    </w:p>
    <w:p w14:paraId="4AB96FB9" w14:textId="77777777" w:rsidR="001555A8" w:rsidRDefault="001555A8" w:rsidP="00E26F22">
      <w:pPr>
        <w:spacing w:after="0" w:line="240" w:lineRule="auto"/>
        <w:rPr>
          <w:rFonts w:ascii="Verdana" w:eastAsia="Calibri" w:hAnsi="Verdana" w:cs="Arial"/>
        </w:rPr>
      </w:pPr>
    </w:p>
    <w:p w14:paraId="3C41E43A" w14:textId="65939B55" w:rsidR="00E26F22" w:rsidRPr="00CF64C0" w:rsidRDefault="00E26F22" w:rsidP="00E26F22">
      <w:pPr>
        <w:spacing w:after="0" w:line="240" w:lineRule="auto"/>
        <w:rPr>
          <w:rFonts w:ascii="Verdana" w:eastAsia="Geomanist Light" w:hAnsi="Verdana" w:cs="Arial"/>
          <w:color w:val="201F1E"/>
          <w:lang w:val="es-MX"/>
        </w:rPr>
      </w:pPr>
      <w:r w:rsidRPr="00CF64C0">
        <w:rPr>
          <w:rFonts w:ascii="Verdana" w:eastAsia="Geomanist Light" w:hAnsi="Verdana" w:cs="Arial"/>
          <w:color w:val="000000" w:themeColor="text1"/>
          <w:lang w:val="es-MX"/>
        </w:rPr>
        <w:lastRenderedPageBreak/>
        <w:t>Bogotá D.C., </w:t>
      </w:r>
      <w:r w:rsidR="00301677">
        <w:rPr>
          <w:rFonts w:ascii="Verdana" w:eastAsia="Geomanist Light" w:hAnsi="Verdana" w:cs="Arial"/>
          <w:color w:val="201F1E"/>
          <w:lang w:val="es-MX"/>
        </w:rPr>
        <w:t xml:space="preserve">10 </w:t>
      </w:r>
      <w:r w:rsidRPr="00CF64C0">
        <w:rPr>
          <w:rFonts w:ascii="Verdana" w:eastAsia="Geomanist Light" w:hAnsi="Verdana" w:cs="Arial"/>
          <w:color w:val="201F1E"/>
          <w:lang w:val="es-MX"/>
        </w:rPr>
        <w:t xml:space="preserve">de </w:t>
      </w:r>
      <w:r w:rsidR="00301677">
        <w:rPr>
          <w:rFonts w:ascii="Verdana" w:eastAsia="Geomanist Light" w:hAnsi="Verdana" w:cs="Arial"/>
          <w:color w:val="201F1E"/>
          <w:lang w:val="es-MX"/>
        </w:rPr>
        <w:t>marzo</w:t>
      </w:r>
      <w:r w:rsidRPr="00CF64C0">
        <w:rPr>
          <w:rFonts w:ascii="Verdana" w:eastAsia="Geomanist Light" w:hAnsi="Verdana" w:cs="Arial"/>
          <w:color w:val="201F1E"/>
          <w:lang w:val="es-MX"/>
        </w:rPr>
        <w:t xml:space="preserve"> de </w:t>
      </w:r>
      <w:r w:rsidR="00301677">
        <w:rPr>
          <w:rFonts w:ascii="Verdana" w:eastAsia="Geomanist Light" w:hAnsi="Verdana" w:cs="Arial"/>
          <w:color w:val="201F1E"/>
          <w:lang w:val="es-MX"/>
        </w:rPr>
        <w:t>2025</w:t>
      </w:r>
    </w:p>
    <w:p w14:paraId="46DD5312" w14:textId="77777777" w:rsidR="00E26F22" w:rsidRDefault="00E26F22" w:rsidP="00E26F22">
      <w:pPr>
        <w:spacing w:after="0" w:line="240" w:lineRule="auto"/>
        <w:jc w:val="both"/>
        <w:rPr>
          <w:rFonts w:ascii="Verdana" w:eastAsia="Calibri" w:hAnsi="Verdana" w:cs="Arial"/>
          <w:color w:val="000000" w:themeColor="text1"/>
          <w:lang w:val="es-ES" w:eastAsia="es-ES"/>
        </w:rPr>
      </w:pPr>
    </w:p>
    <w:p w14:paraId="3617BC17" w14:textId="77777777" w:rsidR="00E26F22" w:rsidRPr="00E26F22" w:rsidRDefault="00E26F22" w:rsidP="00E26F22">
      <w:pPr>
        <w:spacing w:after="0" w:line="240" w:lineRule="auto"/>
        <w:jc w:val="both"/>
        <w:rPr>
          <w:rFonts w:ascii="Verdana" w:eastAsia="Calibri" w:hAnsi="Verdana" w:cs="Arial"/>
          <w:color w:val="000000" w:themeColor="text1"/>
          <w:lang w:eastAsia="es-ES"/>
        </w:rPr>
      </w:pPr>
      <w:r w:rsidRPr="00E26F22">
        <w:rPr>
          <w:rFonts w:ascii="Verdana" w:eastAsia="Calibri" w:hAnsi="Verdana" w:cs="Arial"/>
          <w:color w:val="000000" w:themeColor="text1"/>
          <w:lang w:eastAsia="es-ES"/>
        </w:rPr>
        <w:t>Señora</w:t>
      </w:r>
    </w:p>
    <w:p w14:paraId="47979E1D" w14:textId="77777777" w:rsidR="00E26F22" w:rsidRPr="00E26F22" w:rsidRDefault="00E26F22" w:rsidP="00E26F22">
      <w:pPr>
        <w:spacing w:after="0" w:line="240" w:lineRule="auto"/>
        <w:rPr>
          <w:rFonts w:ascii="Verdana" w:eastAsia="Calibri" w:hAnsi="Verdana" w:cs="Arial"/>
          <w:b/>
          <w:color w:val="000000" w:themeColor="text1"/>
          <w:lang w:eastAsia="es-ES_tradnl"/>
        </w:rPr>
      </w:pPr>
      <w:r w:rsidRPr="00E26F22">
        <w:rPr>
          <w:rFonts w:ascii="Verdana" w:eastAsia="Calibri" w:hAnsi="Verdana" w:cs="Arial"/>
          <w:b/>
          <w:color w:val="000000" w:themeColor="text1"/>
          <w:lang w:eastAsia="es-ES_tradnl"/>
        </w:rPr>
        <w:t>DIANA SOFIA CHÁVEZ GUTIÉRREZ</w:t>
      </w:r>
    </w:p>
    <w:p w14:paraId="1E999D9F" w14:textId="77777777" w:rsidR="00E26F22" w:rsidRPr="00E26F22" w:rsidRDefault="00E26F22" w:rsidP="00E26F22">
      <w:pPr>
        <w:spacing w:after="0" w:line="240" w:lineRule="auto"/>
        <w:rPr>
          <w:rFonts w:ascii="Verdana" w:eastAsia="Calibri" w:hAnsi="Verdana" w:cs="Arial"/>
          <w:color w:val="000000" w:themeColor="text1"/>
          <w:u w:val="single"/>
          <w:lang w:eastAsia="es-ES"/>
        </w:rPr>
      </w:pPr>
      <w:hyperlink r:id="rId11" w:history="1">
        <w:r w:rsidRPr="00E26F22">
          <w:rPr>
            <w:rStyle w:val="Hipervnculo"/>
            <w:rFonts w:ascii="Verdana" w:hAnsi="Verdana"/>
          </w:rPr>
          <w:t>diana881221@gmail.com</w:t>
        </w:r>
      </w:hyperlink>
      <w:r w:rsidRPr="00E26F22">
        <w:rPr>
          <w:rFonts w:ascii="Verdana" w:hAnsi="Verdana"/>
        </w:rPr>
        <w:t xml:space="preserve">; </w:t>
      </w:r>
    </w:p>
    <w:p w14:paraId="0640A37F" w14:textId="77777777" w:rsidR="00E26F22" w:rsidRPr="00E26F22" w:rsidRDefault="00E26F22" w:rsidP="00E26F22">
      <w:pPr>
        <w:spacing w:after="0" w:line="240" w:lineRule="auto"/>
        <w:rPr>
          <w:rFonts w:ascii="Verdana" w:eastAsia="Calibri" w:hAnsi="Verdana" w:cs="Arial"/>
          <w:b/>
          <w:bCs/>
          <w:color w:val="000000" w:themeColor="text1"/>
          <w:lang w:eastAsia="es-ES"/>
        </w:rPr>
      </w:pPr>
      <w:r w:rsidRPr="00E26F22">
        <w:rPr>
          <w:rFonts w:ascii="Verdana" w:eastAsia="Calibri" w:hAnsi="Verdana" w:cs="Arial"/>
          <w:color w:val="000000" w:themeColor="text1"/>
          <w:lang w:eastAsia="es-ES"/>
        </w:rPr>
        <w:t>Ciudad</w:t>
      </w:r>
    </w:p>
    <w:p w14:paraId="6C3623AB" w14:textId="77777777" w:rsidR="00E26F22" w:rsidRPr="00E26F22" w:rsidRDefault="00E26F22" w:rsidP="00E26F22">
      <w:pPr>
        <w:spacing w:after="0" w:line="240" w:lineRule="auto"/>
        <w:rPr>
          <w:rFonts w:ascii="Verdana" w:eastAsia="Calibri" w:hAnsi="Verdana" w:cs="Arial"/>
          <w:b/>
          <w:bCs/>
          <w:color w:val="000000" w:themeColor="text1"/>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40"/>
        <w:gridCol w:w="6149"/>
      </w:tblGrid>
      <w:tr w:rsidR="00E26F22" w:rsidRPr="00115E3D" w14:paraId="22BD2829" w14:textId="77777777" w:rsidTr="4FEDD702">
        <w:trPr>
          <w:trHeight w:val="884"/>
        </w:trPr>
        <w:tc>
          <w:tcPr>
            <w:tcW w:w="2640" w:type="dxa"/>
          </w:tcPr>
          <w:p w14:paraId="7403390D" w14:textId="77777777" w:rsidR="00E26F22" w:rsidRPr="00E26F22" w:rsidRDefault="00E26F22" w:rsidP="009C6B83">
            <w:pPr>
              <w:jc w:val="both"/>
              <w:rPr>
                <w:rFonts w:ascii="Verdana" w:eastAsia="Calibri" w:hAnsi="Verdana" w:cs="Arial"/>
                <w:b/>
                <w:bCs/>
                <w:color w:val="000000" w:themeColor="text1"/>
                <w:lang w:eastAsia="es-ES_tradnl"/>
              </w:rPr>
            </w:pPr>
          </w:p>
        </w:tc>
        <w:tc>
          <w:tcPr>
            <w:tcW w:w="6149" w:type="dxa"/>
          </w:tcPr>
          <w:p w14:paraId="3AB09126" w14:textId="77777777" w:rsidR="00E26F22" w:rsidRPr="00115E3D" w:rsidRDefault="00E26F22" w:rsidP="009C6B83">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112</w:t>
            </w:r>
            <w:r w:rsidRPr="00115E3D">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5</w:t>
            </w:r>
          </w:p>
        </w:tc>
      </w:tr>
      <w:tr w:rsidR="00E26F22" w:rsidRPr="00115E3D" w14:paraId="2967126B" w14:textId="77777777" w:rsidTr="4FEDD702">
        <w:trPr>
          <w:trHeight w:val="884"/>
        </w:trPr>
        <w:tc>
          <w:tcPr>
            <w:tcW w:w="2640" w:type="dxa"/>
          </w:tcPr>
          <w:p w14:paraId="4DBA8010" w14:textId="77777777" w:rsidR="00E26F22" w:rsidRPr="00E838CE" w:rsidRDefault="00E26F22" w:rsidP="009C6B83">
            <w:pPr>
              <w:jc w:val="both"/>
              <w:rPr>
                <w:rFonts w:ascii="Verdana" w:eastAsia="Calibri" w:hAnsi="Verdana" w:cs="Arial"/>
                <w:color w:val="000000" w:themeColor="text1"/>
                <w:lang w:val="es-ES_tradnl" w:eastAsia="es-ES_tradnl"/>
              </w:rPr>
            </w:pPr>
            <w:r w:rsidRPr="00E838CE">
              <w:rPr>
                <w:rFonts w:ascii="Verdana" w:eastAsia="Calibri" w:hAnsi="Verdana" w:cs="Arial"/>
                <w:b/>
                <w:color w:val="000000" w:themeColor="text1"/>
                <w:lang w:val="es-ES_tradnl" w:eastAsia="es-ES_tradnl"/>
              </w:rPr>
              <w:t>Temas:</w:t>
            </w:r>
            <w:r w:rsidRPr="00E838CE">
              <w:rPr>
                <w:rFonts w:ascii="Verdana" w:eastAsia="Calibri" w:hAnsi="Verdana" w:cs="Arial"/>
                <w:color w:val="000000" w:themeColor="text1"/>
                <w:lang w:val="es-ES_tradnl" w:eastAsia="es-ES_tradnl"/>
              </w:rPr>
              <w:t xml:space="preserve">                   </w:t>
            </w:r>
          </w:p>
        </w:tc>
        <w:tc>
          <w:tcPr>
            <w:tcW w:w="6149" w:type="dxa"/>
          </w:tcPr>
          <w:p w14:paraId="06CFD77C" w14:textId="77777777" w:rsidR="00E26F22" w:rsidRPr="00E838CE" w:rsidRDefault="00E26F22" w:rsidP="009C6B83">
            <w:pPr>
              <w:ind w:left="284"/>
              <w:jc w:val="both"/>
              <w:rPr>
                <w:rFonts w:ascii="Verdana" w:eastAsia="Calibri" w:hAnsi="Verdana" w:cs="Arial"/>
              </w:rPr>
            </w:pPr>
            <w:r w:rsidRPr="00E838CE">
              <w:rPr>
                <w:rFonts w:ascii="Verdana" w:eastAsia="Calibri" w:hAnsi="Verdana" w:cs="Arial"/>
              </w:rPr>
              <w:t xml:space="preserve">CÓMPUTO EXPERIENCIA PROFESIONAL – Régimen jurídico aplicable / NORMAS EXPERIENCIA PROFESIONAL – Vigencia - </w:t>
            </w:r>
            <w:r w:rsidRPr="00E838CE">
              <w:rPr>
                <w:rFonts w:ascii="Verdana" w:eastAsia="Calibri" w:hAnsi="Verdana" w:cs="Arial"/>
                <w:lang w:val="es-MX"/>
              </w:rPr>
              <w:t>Ley 842 de 2003 – Profesión de Ingeniería</w:t>
            </w:r>
          </w:p>
          <w:p w14:paraId="6E8A5236" w14:textId="77777777" w:rsidR="00E26F22" w:rsidRPr="00E838CE" w:rsidRDefault="00E26F22" w:rsidP="009C6B83">
            <w:pPr>
              <w:spacing w:line="276" w:lineRule="auto"/>
              <w:jc w:val="both"/>
              <w:rPr>
                <w:rFonts w:ascii="Verdana" w:eastAsia="Calibri" w:hAnsi="Verdana" w:cs="Arial"/>
                <w:color w:val="000000" w:themeColor="text1"/>
                <w:lang w:eastAsia="es-ES"/>
              </w:rPr>
            </w:pPr>
          </w:p>
          <w:p w14:paraId="4B80DB3A" w14:textId="77777777" w:rsidR="00E26F22" w:rsidRPr="00E838CE" w:rsidRDefault="00E26F22" w:rsidP="009C6B83">
            <w:pPr>
              <w:spacing w:line="276" w:lineRule="auto"/>
              <w:jc w:val="both"/>
              <w:rPr>
                <w:rFonts w:ascii="Verdana" w:eastAsia="Calibri" w:hAnsi="Verdana" w:cs="Arial"/>
                <w:color w:val="000000" w:themeColor="text1"/>
                <w:lang w:eastAsia="es-ES"/>
              </w:rPr>
            </w:pPr>
          </w:p>
        </w:tc>
      </w:tr>
      <w:tr w:rsidR="00E26F22" w:rsidRPr="00115E3D" w14:paraId="2EAA70F3" w14:textId="77777777" w:rsidTr="4FEDD702">
        <w:tc>
          <w:tcPr>
            <w:tcW w:w="2640" w:type="dxa"/>
          </w:tcPr>
          <w:p w14:paraId="723A5E3F" w14:textId="77777777" w:rsidR="00E26F22" w:rsidRPr="00115E3D" w:rsidRDefault="00E26F22" w:rsidP="009C6B83">
            <w:pPr>
              <w:jc w:val="both"/>
              <w:rPr>
                <w:rFonts w:ascii="Verdana" w:eastAsia="Calibri" w:hAnsi="Verdana" w:cs="Arial"/>
                <w:b/>
                <w:color w:val="000000" w:themeColor="text1"/>
                <w:lang w:val="es-ES_tradnl" w:eastAsia="es-ES_tradnl"/>
              </w:rPr>
            </w:pPr>
            <w:r w:rsidRPr="00115E3D">
              <w:rPr>
                <w:rFonts w:ascii="Verdana" w:eastAsia="Calibri" w:hAnsi="Verdana" w:cs="Arial"/>
                <w:b/>
                <w:color w:val="000000" w:themeColor="text1"/>
                <w:lang w:val="es-ES_tradnl" w:eastAsia="es-ES_tradnl"/>
              </w:rPr>
              <w:t>Radicación:</w:t>
            </w:r>
            <w:r w:rsidRPr="00115E3D">
              <w:rPr>
                <w:rFonts w:ascii="Verdana" w:eastAsia="Calibri" w:hAnsi="Verdana" w:cs="Arial"/>
                <w:color w:val="000000" w:themeColor="text1"/>
                <w:lang w:val="es-ES_tradnl" w:eastAsia="es-ES_tradnl"/>
              </w:rPr>
              <w:t xml:space="preserve">               </w:t>
            </w:r>
          </w:p>
        </w:tc>
        <w:tc>
          <w:tcPr>
            <w:tcW w:w="6149" w:type="dxa"/>
          </w:tcPr>
          <w:p w14:paraId="443E8CC0" w14:textId="77777777" w:rsidR="00E26F22" w:rsidRPr="00115E3D" w:rsidRDefault="00E26F22" w:rsidP="009C6B83">
            <w:pPr>
              <w:jc w:val="both"/>
              <w:rPr>
                <w:rFonts w:ascii="Verdana" w:eastAsia="Calibri" w:hAnsi="Verdana" w:cs="Arial"/>
                <w:color w:val="000000" w:themeColor="text1"/>
                <w:lang w:val="es-ES_tradnl" w:eastAsia="es-ES_tradnl"/>
              </w:rPr>
            </w:pPr>
            <w:r w:rsidRPr="00115E3D">
              <w:rPr>
                <w:rFonts w:ascii="Verdana" w:eastAsia="Calibri" w:hAnsi="Verdana" w:cs="Arial"/>
                <w:color w:val="000000" w:themeColor="text1"/>
                <w:lang w:val="es-ES_tradnl" w:eastAsia="es-ES_tradnl"/>
              </w:rPr>
              <w:t xml:space="preserve">Respuesta a consulta con radicado No. </w:t>
            </w:r>
            <w:r w:rsidRPr="00AA7746">
              <w:rPr>
                <w:rFonts w:ascii="Verdana" w:eastAsia="Calibri" w:hAnsi="Verdana" w:cs="Arial"/>
                <w:color w:val="000000" w:themeColor="text1"/>
                <w:lang w:val="es-ES_tradnl" w:eastAsia="es-ES_tradnl"/>
              </w:rPr>
              <w:t>P20250130000827</w:t>
            </w:r>
          </w:p>
        </w:tc>
      </w:tr>
    </w:tbl>
    <w:p w14:paraId="5BBBF3E4" w14:textId="77777777" w:rsidR="00E26F22" w:rsidRPr="00115E3D" w:rsidRDefault="00E26F22" w:rsidP="00E26F22">
      <w:pPr>
        <w:spacing w:after="0" w:line="240" w:lineRule="auto"/>
        <w:jc w:val="both"/>
        <w:rPr>
          <w:rFonts w:ascii="Verdana" w:eastAsia="Calibri" w:hAnsi="Verdana" w:cs="Arial"/>
          <w:color w:val="000000" w:themeColor="text1"/>
          <w:lang w:val="es-ES_tradnl" w:eastAsia="es-ES_tradnl"/>
        </w:rPr>
      </w:pPr>
    </w:p>
    <w:p w14:paraId="548854F5" w14:textId="77777777" w:rsidR="00E26F22" w:rsidRPr="00115E3D" w:rsidRDefault="00E26F22" w:rsidP="00E26F22">
      <w:pPr>
        <w:spacing w:after="0" w:line="240" w:lineRule="auto"/>
        <w:jc w:val="both"/>
        <w:rPr>
          <w:rFonts w:ascii="Verdana" w:eastAsia="Calibri" w:hAnsi="Verdana" w:cs="Arial"/>
          <w:color w:val="000000" w:themeColor="text1"/>
          <w:lang w:val="es-ES_tradnl" w:eastAsia="es-ES_tradnl"/>
        </w:rPr>
      </w:pPr>
    </w:p>
    <w:p w14:paraId="0D3020C3" w14:textId="77777777" w:rsidR="00E26F22" w:rsidRPr="00115E3D" w:rsidRDefault="00E26F22" w:rsidP="00E26F22">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 señora Chávez Gutiérrez</w:t>
      </w:r>
      <w:r w:rsidRPr="00115E3D">
        <w:rPr>
          <w:rFonts w:ascii="Verdana" w:eastAsia="Calibri" w:hAnsi="Verdana" w:cs="Arial"/>
          <w:color w:val="000000" w:themeColor="text1"/>
          <w:lang w:val="es-ES" w:eastAsia="es-ES"/>
        </w:rPr>
        <w:t xml:space="preserve">: </w:t>
      </w:r>
    </w:p>
    <w:p w14:paraId="0A657F95" w14:textId="77777777" w:rsidR="00E26F22" w:rsidRPr="00115E3D" w:rsidRDefault="00E26F22" w:rsidP="00E26F22">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02D43410" w14:textId="2BBA46B8" w:rsidR="00E26F22" w:rsidRDefault="00E26F22" w:rsidP="00177DC8">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30</w:t>
      </w:r>
      <w:r w:rsidRPr="00115E3D">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enero</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25</w:t>
      </w:r>
      <w:r w:rsidRPr="00115E3D">
        <w:rPr>
          <w:rFonts w:ascii="Verdana" w:eastAsia="Calibri" w:hAnsi="Verdana" w:cs="Arial"/>
          <w:color w:val="000000" w:themeColor="text1"/>
          <w:lang w:val="es-ES" w:eastAsia="es-ES"/>
        </w:rPr>
        <w:t xml:space="preserve">, en la cual manifiesta lo siguiente: </w:t>
      </w:r>
    </w:p>
    <w:p w14:paraId="0C492EB5" w14:textId="77777777" w:rsidR="00177DC8" w:rsidRPr="00177DC8" w:rsidRDefault="00177DC8" w:rsidP="00177DC8">
      <w:pPr>
        <w:spacing w:after="0" w:line="276" w:lineRule="auto"/>
        <w:jc w:val="both"/>
        <w:rPr>
          <w:rFonts w:ascii="Verdana" w:eastAsia="Calibri" w:hAnsi="Verdana" w:cs="Arial"/>
          <w:color w:val="000000" w:themeColor="text1"/>
          <w:lang w:val="es-ES" w:eastAsia="es-ES"/>
        </w:rPr>
      </w:pPr>
    </w:p>
    <w:p w14:paraId="21DDFECA" w14:textId="77777777" w:rsidR="00E26F22" w:rsidRPr="00177DC8" w:rsidRDefault="00E26F22" w:rsidP="00E26F22">
      <w:pPr>
        <w:spacing w:after="0" w:line="240" w:lineRule="auto"/>
        <w:ind w:left="709" w:right="709"/>
        <w:jc w:val="both"/>
        <w:rPr>
          <w:rFonts w:ascii="Verdana" w:eastAsia="Century Gothic" w:hAnsi="Verdana" w:cs="Century Gothic"/>
          <w:i/>
          <w:iCs/>
          <w:color w:val="000000" w:themeColor="text1"/>
          <w:sz w:val="20"/>
          <w:szCs w:val="20"/>
        </w:rPr>
      </w:pPr>
      <w:bookmarkStart w:id="0" w:name="_Hlk95313578"/>
      <w:r w:rsidRPr="00177DC8">
        <w:rPr>
          <w:rFonts w:ascii="Verdana" w:eastAsia="Century Gothic" w:hAnsi="Verdana" w:cs="Century Gothic"/>
          <w:i/>
          <w:iCs/>
          <w:color w:val="000000" w:themeColor="text1"/>
          <w:sz w:val="20"/>
          <w:szCs w:val="20"/>
          <w:lang w:val="es-ES"/>
        </w:rPr>
        <w:t>“</w:t>
      </w:r>
      <w:bookmarkEnd w:id="0"/>
      <w:r w:rsidRPr="00177DC8">
        <w:rPr>
          <w:rFonts w:ascii="Verdana" w:eastAsia="Century Gothic" w:hAnsi="Verdana" w:cs="Century Gothic"/>
          <w:i/>
          <w:iCs/>
          <w:color w:val="000000" w:themeColor="text1"/>
          <w:sz w:val="20"/>
          <w:szCs w:val="20"/>
          <w:lang w:val="es-ES"/>
        </w:rPr>
        <w:t xml:space="preserve"> […] </w:t>
      </w:r>
      <w:r w:rsidRPr="00177DC8">
        <w:rPr>
          <w:rFonts w:ascii="Verdana" w:eastAsia="Century Gothic" w:hAnsi="Verdana" w:cs="Century Gothic"/>
          <w:i/>
          <w:iCs/>
          <w:color w:val="000000" w:themeColor="text1"/>
          <w:sz w:val="20"/>
          <w:szCs w:val="20"/>
        </w:rPr>
        <w:t xml:space="preserve">De la forma más respetuosa y entendiendo que ustedes no realizan consultas a </w:t>
      </w:r>
      <w:r w:rsidRPr="00940864">
        <w:rPr>
          <w:rFonts w:ascii="Verdana" w:eastAsia="Century Gothic" w:hAnsi="Verdana" w:cs="Century Gothic"/>
          <w:i/>
          <w:iCs/>
          <w:color w:val="000000" w:themeColor="text1"/>
          <w:sz w:val="20"/>
          <w:szCs w:val="20"/>
        </w:rPr>
        <w:t>casos puntuales, agradezco su valiosa ayuda permitiéndome aclarar la siguiente</w:t>
      </w:r>
      <w:r w:rsidRPr="00177DC8">
        <w:rPr>
          <w:rFonts w:ascii="Verdana" w:eastAsia="Century Gothic" w:hAnsi="Verdana" w:cs="Century Gothic"/>
          <w:i/>
          <w:iCs/>
          <w:color w:val="000000" w:themeColor="text1"/>
          <w:sz w:val="20"/>
          <w:szCs w:val="20"/>
        </w:rPr>
        <w:t xml:space="preserve"> </w:t>
      </w:r>
      <w:r w:rsidRPr="00940864">
        <w:rPr>
          <w:rFonts w:ascii="Verdana" w:eastAsia="Century Gothic" w:hAnsi="Verdana" w:cs="Century Gothic"/>
          <w:i/>
          <w:iCs/>
          <w:color w:val="000000" w:themeColor="text1"/>
          <w:sz w:val="20"/>
          <w:szCs w:val="20"/>
        </w:rPr>
        <w:t>situación, soy ingeniera industrial titulada desde el mes de julio del año 2012 y</w:t>
      </w:r>
      <w:r w:rsidRPr="00177DC8">
        <w:rPr>
          <w:rFonts w:ascii="Verdana" w:eastAsia="Century Gothic" w:hAnsi="Verdana" w:cs="Century Gothic"/>
          <w:i/>
          <w:iCs/>
          <w:color w:val="000000" w:themeColor="text1"/>
          <w:sz w:val="20"/>
          <w:szCs w:val="20"/>
        </w:rPr>
        <w:t xml:space="preserve"> </w:t>
      </w:r>
      <w:r w:rsidRPr="00940864">
        <w:rPr>
          <w:rFonts w:ascii="Verdana" w:eastAsia="Century Gothic" w:hAnsi="Verdana" w:cs="Century Gothic"/>
          <w:i/>
          <w:iCs/>
          <w:color w:val="000000" w:themeColor="text1"/>
          <w:sz w:val="20"/>
          <w:szCs w:val="20"/>
        </w:rPr>
        <w:t>expedí mi tarjeta profesional en el 2022, sin embargo desde el año 2012 inicié a</w:t>
      </w:r>
      <w:r w:rsidRPr="00177DC8">
        <w:rPr>
          <w:rFonts w:ascii="Verdana" w:eastAsia="Century Gothic" w:hAnsi="Verdana" w:cs="Century Gothic"/>
          <w:i/>
          <w:iCs/>
          <w:color w:val="000000" w:themeColor="text1"/>
          <w:sz w:val="20"/>
          <w:szCs w:val="20"/>
        </w:rPr>
        <w:t xml:space="preserve"> </w:t>
      </w:r>
      <w:r w:rsidRPr="00940864">
        <w:rPr>
          <w:rFonts w:ascii="Verdana" w:eastAsia="Century Gothic" w:hAnsi="Verdana" w:cs="Century Gothic"/>
          <w:i/>
          <w:iCs/>
          <w:color w:val="000000" w:themeColor="text1"/>
          <w:sz w:val="20"/>
          <w:szCs w:val="20"/>
        </w:rPr>
        <w:t>laboral con funciones profesionales y directivas en el sector privado hasta el mes de</w:t>
      </w:r>
      <w:r w:rsidRPr="00177DC8">
        <w:rPr>
          <w:rFonts w:ascii="Verdana" w:eastAsia="Century Gothic" w:hAnsi="Verdana" w:cs="Century Gothic"/>
          <w:i/>
          <w:iCs/>
          <w:color w:val="000000" w:themeColor="text1"/>
          <w:sz w:val="20"/>
          <w:szCs w:val="20"/>
        </w:rPr>
        <w:t xml:space="preserve"> </w:t>
      </w:r>
      <w:r w:rsidRPr="00940864">
        <w:rPr>
          <w:rFonts w:ascii="Verdana" w:eastAsia="Century Gothic" w:hAnsi="Verdana" w:cs="Century Gothic"/>
          <w:i/>
          <w:iCs/>
          <w:color w:val="000000" w:themeColor="text1"/>
          <w:sz w:val="20"/>
          <w:szCs w:val="20"/>
        </w:rPr>
        <w:t>septiembre de 2022 , en el mes de octubre del año 2022 fui contratada como Jefe</w:t>
      </w:r>
      <w:r w:rsidRPr="00177DC8">
        <w:rPr>
          <w:rFonts w:ascii="Verdana" w:eastAsia="Century Gothic" w:hAnsi="Verdana" w:cs="Century Gothic"/>
          <w:i/>
          <w:iCs/>
          <w:color w:val="000000" w:themeColor="text1"/>
          <w:sz w:val="20"/>
          <w:szCs w:val="20"/>
        </w:rPr>
        <w:t xml:space="preserve"> </w:t>
      </w:r>
      <w:r w:rsidRPr="00940864">
        <w:rPr>
          <w:rFonts w:ascii="Verdana" w:eastAsia="Century Gothic" w:hAnsi="Verdana" w:cs="Century Gothic"/>
          <w:i/>
          <w:iCs/>
          <w:color w:val="000000" w:themeColor="text1"/>
          <w:sz w:val="20"/>
          <w:szCs w:val="20"/>
        </w:rPr>
        <w:t>de Planeación para una entidad del sector público y del orden nacional,</w:t>
      </w:r>
      <w:r w:rsidRPr="00177DC8">
        <w:rPr>
          <w:rFonts w:ascii="Verdana" w:eastAsia="Century Gothic" w:hAnsi="Verdana" w:cs="Century Gothic"/>
          <w:i/>
          <w:iCs/>
          <w:color w:val="000000" w:themeColor="text1"/>
          <w:sz w:val="20"/>
          <w:szCs w:val="20"/>
        </w:rPr>
        <w:t xml:space="preserve"> </w:t>
      </w:r>
      <w:r w:rsidRPr="00940864">
        <w:rPr>
          <w:rFonts w:ascii="Verdana" w:eastAsia="Century Gothic" w:hAnsi="Verdana" w:cs="Century Gothic"/>
          <w:i/>
          <w:iCs/>
          <w:color w:val="000000" w:themeColor="text1"/>
          <w:sz w:val="20"/>
          <w:szCs w:val="20"/>
        </w:rPr>
        <w:t>posteriormente tuve contratos de prestación de servicios en los que me tomaron en</w:t>
      </w:r>
      <w:r w:rsidRPr="00177DC8">
        <w:rPr>
          <w:rFonts w:ascii="Verdana" w:eastAsia="Century Gothic" w:hAnsi="Verdana" w:cs="Century Gothic"/>
          <w:i/>
          <w:iCs/>
          <w:color w:val="000000" w:themeColor="text1"/>
          <w:sz w:val="20"/>
          <w:szCs w:val="20"/>
        </w:rPr>
        <w:t xml:space="preserve"> </w:t>
      </w:r>
      <w:r w:rsidRPr="00940864">
        <w:rPr>
          <w:rFonts w:ascii="Verdana" w:eastAsia="Century Gothic" w:hAnsi="Verdana" w:cs="Century Gothic"/>
          <w:i/>
          <w:iCs/>
          <w:color w:val="000000" w:themeColor="text1"/>
          <w:sz w:val="20"/>
          <w:szCs w:val="20"/>
        </w:rPr>
        <w:t>cuenta mi experiencia desde la emisión de mi título profesional, en el presente año,</w:t>
      </w:r>
      <w:r w:rsidRPr="00177DC8">
        <w:rPr>
          <w:rFonts w:ascii="Verdana" w:eastAsia="Century Gothic" w:hAnsi="Verdana" w:cs="Century Gothic"/>
          <w:i/>
          <w:iCs/>
          <w:color w:val="000000" w:themeColor="text1"/>
          <w:sz w:val="20"/>
          <w:szCs w:val="20"/>
        </w:rPr>
        <w:t xml:space="preserve"> </w:t>
      </w:r>
      <w:r w:rsidRPr="00940864">
        <w:rPr>
          <w:rFonts w:ascii="Verdana" w:eastAsia="Century Gothic" w:hAnsi="Verdana" w:cs="Century Gothic"/>
          <w:i/>
          <w:iCs/>
          <w:color w:val="000000" w:themeColor="text1"/>
          <w:sz w:val="20"/>
          <w:szCs w:val="20"/>
        </w:rPr>
        <w:t>para la realización de un contrato de prestación de servicios de una entidad pública</w:t>
      </w:r>
      <w:r w:rsidRPr="00177DC8">
        <w:rPr>
          <w:rFonts w:ascii="Verdana" w:eastAsia="Century Gothic" w:hAnsi="Verdana" w:cs="Century Gothic"/>
          <w:i/>
          <w:iCs/>
          <w:color w:val="000000" w:themeColor="text1"/>
          <w:sz w:val="20"/>
          <w:szCs w:val="20"/>
        </w:rPr>
        <w:t xml:space="preserve"> </w:t>
      </w:r>
      <w:r w:rsidRPr="00940864">
        <w:rPr>
          <w:rFonts w:ascii="Verdana" w:eastAsia="Century Gothic" w:hAnsi="Verdana" w:cs="Century Gothic"/>
          <w:i/>
          <w:iCs/>
          <w:color w:val="000000" w:themeColor="text1"/>
          <w:sz w:val="20"/>
          <w:szCs w:val="20"/>
        </w:rPr>
        <w:t>me indican que no me pueden tomar en cuenta la experiencia adquirida desde la</w:t>
      </w:r>
      <w:r w:rsidRPr="00177DC8">
        <w:rPr>
          <w:rFonts w:ascii="Verdana" w:eastAsia="Century Gothic" w:hAnsi="Verdana" w:cs="Century Gothic"/>
          <w:i/>
          <w:iCs/>
          <w:color w:val="000000" w:themeColor="text1"/>
          <w:sz w:val="20"/>
          <w:szCs w:val="20"/>
        </w:rPr>
        <w:t xml:space="preserve"> </w:t>
      </w:r>
      <w:proofErr w:type="spellStart"/>
      <w:r w:rsidRPr="00177DC8">
        <w:rPr>
          <w:rFonts w:ascii="Verdana" w:eastAsia="Century Gothic" w:hAnsi="Verdana" w:cs="Century Gothic"/>
          <w:i/>
          <w:iCs/>
          <w:color w:val="000000" w:themeColor="text1"/>
          <w:sz w:val="20"/>
          <w:szCs w:val="20"/>
        </w:rPr>
        <w:t>expe</w:t>
      </w:r>
      <w:proofErr w:type="spellEnd"/>
      <w:r w:rsidRPr="00177DC8">
        <w:rPr>
          <w:rFonts w:ascii="Verdana" w:eastAsia="Century Gothic" w:hAnsi="Verdana" w:cs="Century Gothic"/>
          <w:i/>
          <w:iCs/>
          <w:color w:val="000000" w:themeColor="text1"/>
          <w:sz w:val="20"/>
          <w:szCs w:val="20"/>
        </w:rPr>
        <w:t>?[…]”</w:t>
      </w:r>
    </w:p>
    <w:p w14:paraId="5C844EF8" w14:textId="77777777" w:rsidR="00E26F22" w:rsidRPr="00115E3D" w:rsidRDefault="00E26F22" w:rsidP="00E26F22">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5AD66ACA" w14:textId="77777777" w:rsidR="00E26F22" w:rsidRPr="00115E3D" w:rsidRDefault="00E26F22" w:rsidP="00E26F22">
      <w:pPr>
        <w:spacing w:after="120" w:line="276" w:lineRule="auto"/>
        <w:ind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6ECBBA65" w14:textId="77777777" w:rsidR="00E26F22" w:rsidRPr="00115E3D" w:rsidRDefault="00E26F22" w:rsidP="00E26F22">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18BAADEE" w14:textId="77777777" w:rsidR="00E26F22" w:rsidRPr="00115E3D" w:rsidRDefault="00E26F22" w:rsidP="00E26F22">
      <w:pPr>
        <w:spacing w:after="0" w:line="276" w:lineRule="auto"/>
        <w:ind w:firstLine="709"/>
        <w:jc w:val="both"/>
        <w:rPr>
          <w:rFonts w:ascii="Verdana" w:eastAsia="Calibri" w:hAnsi="Verdana" w:cs="Arial"/>
          <w:color w:val="000000" w:themeColor="text1"/>
          <w:lang w:val="es-ES" w:eastAsia="es-ES"/>
        </w:rPr>
      </w:pPr>
    </w:p>
    <w:p w14:paraId="4CAF330A" w14:textId="77777777" w:rsidR="00E26F22" w:rsidRPr="00115E3D" w:rsidRDefault="00E26F22" w:rsidP="00E26F2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7845ED95" w14:textId="77777777" w:rsidR="00E26F22" w:rsidRPr="00115E3D" w:rsidRDefault="00E26F22" w:rsidP="00E26F22">
      <w:pPr>
        <w:tabs>
          <w:tab w:val="left" w:pos="426"/>
        </w:tabs>
        <w:spacing w:after="0" w:line="276" w:lineRule="auto"/>
        <w:jc w:val="both"/>
        <w:rPr>
          <w:rFonts w:ascii="Verdana" w:eastAsia="Century Gothic" w:hAnsi="Verdana" w:cs="Century Gothic"/>
          <w:color w:val="000000" w:themeColor="text1"/>
          <w:lang w:val="es-ES"/>
        </w:rPr>
      </w:pPr>
    </w:p>
    <w:p w14:paraId="2DB85D00" w14:textId="58707E05" w:rsidR="00E26F22" w:rsidRPr="00115E3D" w:rsidRDefault="00E26F22" w:rsidP="00E26F22">
      <w:pPr>
        <w:spacing w:after="0" w:line="276" w:lineRule="auto"/>
        <w:jc w:val="both"/>
        <w:rPr>
          <w:rFonts w:ascii="Verdana" w:eastAsia="Century Gothic" w:hAnsi="Verdana" w:cs="Century Gothic"/>
          <w:color w:val="000000" w:themeColor="text1"/>
        </w:rPr>
      </w:pPr>
      <w:r w:rsidRPr="4EF9F4AA">
        <w:rPr>
          <w:rFonts w:ascii="Verdana" w:eastAsia="Century Gothic" w:hAnsi="Verdana" w:cs="Century Gothic"/>
          <w:color w:val="000000" w:themeColor="text1"/>
        </w:rPr>
        <w:t xml:space="preserve">De acuerdo con el contenido de su solicitud, esta Agencia resolverá el siguiente problema jurídico: ¿Cómo </w:t>
      </w:r>
      <w:r w:rsidR="229E779F" w:rsidRPr="4EF9F4AA">
        <w:rPr>
          <w:rFonts w:ascii="Verdana" w:eastAsia="Century Gothic" w:hAnsi="Verdana" w:cs="Century Gothic"/>
          <w:color w:val="000000" w:themeColor="text1"/>
        </w:rPr>
        <w:t xml:space="preserve">y desde que momento </w:t>
      </w:r>
      <w:r w:rsidRPr="4EF9F4AA">
        <w:rPr>
          <w:rFonts w:ascii="Verdana" w:eastAsia="Century Gothic" w:hAnsi="Verdana" w:cs="Century Gothic"/>
          <w:color w:val="000000" w:themeColor="text1"/>
        </w:rPr>
        <w:t xml:space="preserve">debe computarse la experiencia adquirida por parte de los profesionales de la ingeniería para la celebración de Contratos de Prestación de Servicios con el Estado? </w:t>
      </w:r>
    </w:p>
    <w:p w14:paraId="14D483D2" w14:textId="77777777" w:rsidR="00E26F22" w:rsidRPr="00115E3D" w:rsidRDefault="00E26F22" w:rsidP="00E26F22">
      <w:pPr>
        <w:spacing w:after="0" w:line="276" w:lineRule="auto"/>
        <w:jc w:val="both"/>
        <w:rPr>
          <w:rFonts w:ascii="Verdana" w:eastAsia="Calibri" w:hAnsi="Verdana" w:cs="Arial"/>
          <w:color w:val="000000" w:themeColor="text1"/>
          <w:lang w:val="es-ES"/>
        </w:rPr>
      </w:pPr>
    </w:p>
    <w:p w14:paraId="37D1D952" w14:textId="77777777" w:rsidR="00E26F22" w:rsidRPr="00115E3D" w:rsidRDefault="00E26F22" w:rsidP="00E26F2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088AE3F4" w14:textId="77777777" w:rsidR="00E26F22" w:rsidRPr="00115E3D" w:rsidRDefault="00E26F22" w:rsidP="00E26F22">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26F22" w:rsidRPr="00115E3D" w14:paraId="0AF03CBB" w14:textId="77777777" w:rsidTr="0712134E">
        <w:tc>
          <w:tcPr>
            <w:tcW w:w="8828" w:type="dxa"/>
            <w:shd w:val="clear" w:color="auto" w:fill="auto"/>
          </w:tcPr>
          <w:p w14:paraId="65B2142B" w14:textId="77777777" w:rsidR="005D621F" w:rsidRPr="005D621F" w:rsidRDefault="005D621F" w:rsidP="005D621F">
            <w:pPr>
              <w:spacing w:before="120" w:after="120" w:line="276" w:lineRule="auto"/>
              <w:ind w:right="51"/>
              <w:jc w:val="both"/>
              <w:rPr>
                <w:rFonts w:ascii="Verdana" w:eastAsia="Calibri" w:hAnsi="Verdana" w:cs="Arial"/>
              </w:rPr>
            </w:pPr>
            <w:r w:rsidRPr="005D621F">
              <w:rPr>
                <w:rFonts w:ascii="Verdana" w:eastAsia="Calibri" w:hAnsi="Verdana" w:cs="Arial"/>
              </w:rPr>
              <w:t>La experiencia profesional para suscribir un contrato con el Estado se contabiliza, por regla general, desde la terminación y aprobación del pénsum académico de educación superior, salvo para los programas académicos allí exceptuados según lo dispuesto en el artículo 229 del Decreto 019 de 2012. Dicha excepción aplica a las profesiones del sector salud, donde la experiencia solo se cuenta desde la inscripción o registro profesional, es decir, a partir de la expedición de la matrícula profesional, dado que la ley exige este requisito para garantizar la idoneidad en el ejercicio de dichas profesiones.</w:t>
            </w:r>
          </w:p>
          <w:p w14:paraId="5DC44607" w14:textId="77777777" w:rsidR="00157D8F" w:rsidRDefault="00157D8F" w:rsidP="005D621F">
            <w:pPr>
              <w:spacing w:before="120" w:after="120" w:line="276" w:lineRule="auto"/>
              <w:ind w:right="51"/>
              <w:jc w:val="both"/>
              <w:rPr>
                <w:rFonts w:ascii="Verdana" w:eastAsia="Calibri" w:hAnsi="Verdana" w:cs="Arial"/>
              </w:rPr>
            </w:pPr>
          </w:p>
          <w:p w14:paraId="7BBCA689" w14:textId="7569252E" w:rsidR="005D621F" w:rsidRPr="005D621F" w:rsidRDefault="005D621F" w:rsidP="005D621F">
            <w:pPr>
              <w:spacing w:before="120" w:after="120" w:line="276" w:lineRule="auto"/>
              <w:ind w:right="51"/>
              <w:jc w:val="both"/>
              <w:rPr>
                <w:rFonts w:ascii="Verdana" w:eastAsia="Calibri" w:hAnsi="Verdana" w:cs="Arial"/>
              </w:rPr>
            </w:pPr>
            <w:r w:rsidRPr="005D621F">
              <w:rPr>
                <w:rFonts w:ascii="Verdana" w:eastAsia="Calibri" w:hAnsi="Verdana" w:cs="Arial"/>
              </w:rPr>
              <w:t>En este contexto, las entidades estatales tienen autonomía para verificar la experiencia profesional de los aspirantes de acuerdo con la naturaleza del contrato a celebrar, siempre que sus exigencias se ajusten a los parámetros legales y no impongan requisitos adicionales no previstos en la normativa vigente.</w:t>
            </w:r>
          </w:p>
          <w:p w14:paraId="0F4DCBB6" w14:textId="18D02BB5" w:rsidR="005D621F" w:rsidRPr="005D621F" w:rsidRDefault="07718B11" w:rsidP="005D621F">
            <w:pPr>
              <w:spacing w:before="120" w:after="120" w:line="276" w:lineRule="auto"/>
              <w:ind w:right="51"/>
              <w:jc w:val="both"/>
              <w:rPr>
                <w:rFonts w:ascii="Verdana" w:eastAsia="Calibri" w:hAnsi="Verdana" w:cs="Arial"/>
              </w:rPr>
            </w:pPr>
            <w:r w:rsidRPr="4FEDD702">
              <w:rPr>
                <w:rFonts w:ascii="Verdana" w:eastAsia="Calibri" w:hAnsi="Verdana" w:cs="Arial"/>
              </w:rPr>
              <w:t>E</w:t>
            </w:r>
            <w:r w:rsidR="24089B73" w:rsidRPr="4FEDD702">
              <w:rPr>
                <w:rFonts w:ascii="Verdana" w:eastAsia="Calibri" w:hAnsi="Verdana" w:cs="Arial"/>
              </w:rPr>
              <w:t>l</w:t>
            </w:r>
            <w:r w:rsidR="005D621F" w:rsidRPr="005D621F">
              <w:rPr>
                <w:rFonts w:ascii="Verdana" w:eastAsia="Calibri" w:hAnsi="Verdana" w:cs="Arial"/>
              </w:rPr>
              <w:t xml:space="preserve"> artículo 192 de la Ley 1955 de 2019 amplió el concepto de experiencia profesional al establecer que las prácticas laborales realizadas por los estudiantes como requisito para obtener su título también pueden ser computadas como experiencia laboral, siempre que hayan sido efectuadas dentro de los 24 meses anteriores a la </w:t>
            </w:r>
            <w:proofErr w:type="gramStart"/>
            <w:r w:rsidR="005D621F" w:rsidRPr="005D621F">
              <w:rPr>
                <w:rFonts w:ascii="Verdana" w:eastAsia="Calibri" w:hAnsi="Verdana" w:cs="Arial"/>
              </w:rPr>
              <w:t>entrada en vigencia</w:t>
            </w:r>
            <w:proofErr w:type="gramEnd"/>
            <w:r w:rsidR="005D621F" w:rsidRPr="005D621F">
              <w:rPr>
                <w:rFonts w:ascii="Verdana" w:eastAsia="Calibri" w:hAnsi="Verdana" w:cs="Arial"/>
              </w:rPr>
              <w:t xml:space="preserve"> de la ley o después de ella. Esto implica que una persona puede acumular experiencia profesional incluso antes de terminar sus estudios, siempre que se trate de una práctica laboral debidamente certificada y relacionada con su campo de formación, aunque esta disposición no aplica a los estudiantes del sector salud.</w:t>
            </w:r>
          </w:p>
          <w:p w14:paraId="368CB4FF" w14:textId="5C6FBD4C" w:rsidR="005D621F" w:rsidRPr="005D621F" w:rsidRDefault="005D621F" w:rsidP="005D621F">
            <w:pPr>
              <w:spacing w:before="120" w:after="120" w:line="276" w:lineRule="auto"/>
              <w:ind w:right="51"/>
              <w:jc w:val="both"/>
              <w:rPr>
                <w:rFonts w:ascii="Verdana" w:eastAsia="Calibri" w:hAnsi="Verdana" w:cs="Arial"/>
              </w:rPr>
            </w:pPr>
            <w:r w:rsidRPr="005D621F">
              <w:rPr>
                <w:rFonts w:ascii="Verdana" w:eastAsia="Calibri" w:hAnsi="Verdana" w:cs="Arial"/>
              </w:rPr>
              <w:t xml:space="preserve">Ahora bien, para el caso particular de la profesión de ingeniería, esta tiene como componente que, con la expedición de la Ley 842 de 2003, se </w:t>
            </w:r>
            <w:r w:rsidR="00960A77">
              <w:rPr>
                <w:rFonts w:ascii="Verdana" w:eastAsia="Calibri" w:hAnsi="Verdana" w:cs="Arial"/>
              </w:rPr>
              <w:t>cuenta con</w:t>
            </w:r>
            <w:r w:rsidRPr="005D621F">
              <w:rPr>
                <w:rFonts w:ascii="Verdana" w:eastAsia="Calibri" w:hAnsi="Verdana" w:cs="Arial"/>
              </w:rPr>
              <w:t xml:space="preserve"> una norma de carácter especial que regula lo atinente </w:t>
            </w:r>
            <w:r w:rsidR="24089B73" w:rsidRPr="4FEDD702">
              <w:rPr>
                <w:rFonts w:ascii="Verdana" w:eastAsia="Calibri" w:hAnsi="Verdana" w:cs="Arial"/>
              </w:rPr>
              <w:t>a</w:t>
            </w:r>
            <w:r w:rsidR="007E0E21">
              <w:rPr>
                <w:rFonts w:ascii="Verdana" w:eastAsia="Calibri" w:hAnsi="Verdana" w:cs="Arial"/>
              </w:rPr>
              <w:t xml:space="preserve">l </w:t>
            </w:r>
            <w:r w:rsidRPr="005D621F">
              <w:rPr>
                <w:rFonts w:ascii="Verdana" w:eastAsia="Calibri" w:hAnsi="Verdana" w:cs="Arial"/>
              </w:rPr>
              <w:t>ejercicio</w:t>
            </w:r>
            <w:r w:rsidR="007E0E21">
              <w:rPr>
                <w:rFonts w:ascii="Verdana" w:eastAsia="Calibri" w:hAnsi="Verdana" w:cs="Arial"/>
              </w:rPr>
              <w:t xml:space="preserve"> legal de la profesión de ingeniería.</w:t>
            </w:r>
            <w:r w:rsidRPr="005D621F">
              <w:rPr>
                <w:rFonts w:ascii="Verdana" w:eastAsia="Calibri" w:hAnsi="Verdana" w:cs="Arial"/>
              </w:rPr>
              <w:t xml:space="preserve"> profesiones afines y auxiliares. Dicha norma agregó un elemento que no se contemplaba en la regla general, mediante su artículo 12, el cual establece que, para el ejercicio de profesiones como la ingeniería o alguna de sus profesiones afines o auxiliares, quien las ejerza debe contar con la tarjeta o matrícula profesional correspondiente. En este orden de ideas, la experiencia profesional se debe computar, por regla especial, a partir de la fecha de expedición de la matrícula profesional o del certificado de inscripción profesional.</w:t>
            </w:r>
          </w:p>
          <w:p w14:paraId="4F087719" w14:textId="77777777" w:rsidR="005D621F" w:rsidRPr="005D621F" w:rsidRDefault="005D621F" w:rsidP="005D621F">
            <w:pPr>
              <w:spacing w:before="120" w:after="120" w:line="276" w:lineRule="auto"/>
              <w:ind w:right="51"/>
              <w:jc w:val="both"/>
              <w:rPr>
                <w:rFonts w:ascii="Verdana" w:eastAsia="Calibri" w:hAnsi="Verdana" w:cs="Arial"/>
              </w:rPr>
            </w:pPr>
            <w:r w:rsidRPr="005D621F">
              <w:rPr>
                <w:rFonts w:ascii="Verdana" w:eastAsia="Calibri" w:hAnsi="Verdana" w:cs="Arial"/>
              </w:rPr>
              <w:t>El mismo compendio normativo establece en el artículo 6 que, para ejercer la ingeniería y sus profesiones afines o auxiliares en el territorio nacional, es necesario estar matriculado o inscrito en el registro profesional correspondiente, el cual es expedido por el Consejo Profesional Nacional de Ingeniería (COPNIA). Este trámite requiere la presentación de la tarjeta profesional, que es el documento que acredita dicha inscripción.</w:t>
            </w:r>
          </w:p>
          <w:p w14:paraId="12CDD978" w14:textId="77777777" w:rsidR="005D621F" w:rsidRPr="005D621F" w:rsidRDefault="005D621F" w:rsidP="005D621F">
            <w:pPr>
              <w:spacing w:before="120" w:after="120" w:line="276" w:lineRule="auto"/>
              <w:ind w:right="51"/>
              <w:jc w:val="both"/>
              <w:rPr>
                <w:rFonts w:ascii="Verdana" w:eastAsia="Calibri" w:hAnsi="Verdana" w:cs="Arial"/>
              </w:rPr>
            </w:pPr>
            <w:r w:rsidRPr="005D621F">
              <w:rPr>
                <w:rFonts w:ascii="Verdana" w:eastAsia="Calibri" w:hAnsi="Verdana" w:cs="Arial"/>
              </w:rPr>
              <w:t xml:space="preserve">En este sentido, esta Subdirección, haciendo un juicio valorativo de la normatividad que comprende la materia y analizando los diferentes pronunciamientos expedidos, considera que, para la celebración de contratos </w:t>
            </w:r>
            <w:r w:rsidRPr="005D621F">
              <w:rPr>
                <w:rFonts w:ascii="Verdana" w:eastAsia="Calibri" w:hAnsi="Verdana" w:cs="Arial"/>
              </w:rPr>
              <w:lastRenderedPageBreak/>
              <w:t>de prestación de servicios profesionales que tengan como objeto el ejercicio de profesiones sujetas a regulación especial, como es el caso de las profesiones relacionadas con la ingeniería, estos deberán suscribirse conforme al mandato legal, razón por la cual no son aplicables los lineamientos generales del Decreto Ley 19 de 2012.</w:t>
            </w:r>
          </w:p>
          <w:p w14:paraId="7E1C8CD5" w14:textId="77777777" w:rsidR="005D621F" w:rsidRPr="005D621F" w:rsidRDefault="005D621F" w:rsidP="005D621F">
            <w:pPr>
              <w:spacing w:before="120" w:after="120" w:line="276" w:lineRule="auto"/>
              <w:ind w:right="51"/>
              <w:jc w:val="both"/>
              <w:rPr>
                <w:rFonts w:ascii="Verdana" w:eastAsia="Calibri" w:hAnsi="Verdana" w:cs="Arial"/>
              </w:rPr>
            </w:pPr>
            <w:r w:rsidRPr="005D621F">
              <w:rPr>
                <w:rFonts w:ascii="Verdana" w:eastAsia="Calibri" w:hAnsi="Verdana" w:cs="Arial"/>
              </w:rPr>
              <w:t>Sin perjuicio de lo anterior, en los casos en los que el objeto del contrato requiera el ejercicio de profesiones sujetas a regulación especial, en razón de la alta responsabilidad y el riesgo social que implica su ejercicio para la sociedad (Sentencia C-296 del 18 de abril de 2012, Magistrado Ponente: Juan Carlos Henao Pérez), como es el caso de las profesiones relacionadas con la ingeniería o alguna de sus profesiones afines o auxiliares, la Entidad Estatal debe remitirse a lo establecido en la regulación específica acerca del cómputo de la experiencia (artículo 12 de la Ley 842 de 2003).</w:t>
            </w:r>
          </w:p>
          <w:p w14:paraId="30B0D536" w14:textId="0C974FFE" w:rsidR="00E26F22" w:rsidRPr="00B75564" w:rsidRDefault="00B75564" w:rsidP="00A353DC">
            <w:pPr>
              <w:spacing w:before="120" w:after="120" w:line="276" w:lineRule="auto"/>
              <w:ind w:right="51" w:firstLine="708"/>
              <w:jc w:val="both"/>
            </w:pPr>
            <w:r w:rsidRPr="00A353DC">
              <w:rPr>
                <w:rFonts w:ascii="Verdana" w:eastAsia="Calibri" w:hAnsi="Verdana" w:cs="Arial"/>
                <w:lang w:val="es-MX"/>
              </w:rPr>
              <w:t>En todo caso,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w:t>
            </w:r>
          </w:p>
        </w:tc>
      </w:tr>
    </w:tbl>
    <w:p w14:paraId="3D5689AE" w14:textId="77777777" w:rsidR="00E26F22" w:rsidRPr="00115E3D" w:rsidRDefault="00E26F22" w:rsidP="00E26F22">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BECB772" w14:textId="77777777" w:rsidR="00E26F22" w:rsidRPr="00115E3D" w:rsidRDefault="00E26F22" w:rsidP="00E26F2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03466516" w14:textId="77777777" w:rsidR="00E26F22" w:rsidRPr="00115E3D" w:rsidRDefault="00E26F22" w:rsidP="00E26F22">
      <w:pPr>
        <w:spacing w:after="0" w:line="276" w:lineRule="auto"/>
        <w:jc w:val="both"/>
        <w:rPr>
          <w:rFonts w:ascii="Verdana" w:eastAsia="Calibri" w:hAnsi="Verdana" w:cs="Arial"/>
          <w:color w:val="000000" w:themeColor="text1"/>
          <w:lang w:val="es-ES"/>
        </w:rPr>
      </w:pPr>
    </w:p>
    <w:p w14:paraId="3EA0BA36" w14:textId="77777777" w:rsidR="00E26F22" w:rsidRPr="00115E3D" w:rsidRDefault="00E26F22" w:rsidP="00E26F22">
      <w:pPr>
        <w:spacing w:after="0" w:line="276" w:lineRule="auto"/>
        <w:jc w:val="both"/>
        <w:rPr>
          <w:rFonts w:ascii="Verdana" w:eastAsia="Calibri" w:hAnsi="Verdana" w:cs="Arial"/>
          <w:color w:val="000000" w:themeColor="text1"/>
          <w:lang w:val="es-ES"/>
        </w:rPr>
      </w:pPr>
      <w:r w:rsidRPr="00115E3D">
        <w:rPr>
          <w:rFonts w:ascii="Verdana" w:eastAsia="Calibri" w:hAnsi="Verdana" w:cs="Arial"/>
          <w:color w:val="000000" w:themeColor="text1"/>
          <w:lang w:val="es-ES"/>
        </w:rPr>
        <w:t xml:space="preserve">Lo anterior se sustenta en las siguientes consideraciones: </w:t>
      </w:r>
    </w:p>
    <w:p w14:paraId="37146C75" w14:textId="77777777" w:rsidR="00E26F22" w:rsidRDefault="00E26F22" w:rsidP="00E26F22">
      <w:pPr>
        <w:spacing w:after="0" w:line="276" w:lineRule="auto"/>
        <w:jc w:val="both"/>
        <w:rPr>
          <w:rFonts w:ascii="Verdana" w:eastAsia="Calibri" w:hAnsi="Verdana" w:cs="Arial"/>
          <w:color w:val="000000" w:themeColor="text1"/>
          <w:lang w:val="es-ES"/>
        </w:rPr>
      </w:pPr>
    </w:p>
    <w:p w14:paraId="25918FE2" w14:textId="4FED0CF3" w:rsidR="00E26F22" w:rsidRPr="003C068C" w:rsidRDefault="00E26F22" w:rsidP="00E26F22">
      <w:pPr>
        <w:spacing w:after="0" w:line="276" w:lineRule="auto"/>
        <w:ind w:right="51"/>
        <w:jc w:val="both"/>
        <w:rPr>
          <w:rFonts w:ascii="Verdana" w:eastAsia="Calibri" w:hAnsi="Verdana" w:cs="Arial"/>
          <w:lang w:val="es-MX"/>
        </w:rPr>
      </w:pPr>
      <w:r w:rsidRPr="003C068C">
        <w:rPr>
          <w:rFonts w:ascii="Verdana" w:eastAsia="Calibri" w:hAnsi="Verdana" w:cs="Arial"/>
          <w:lang w:val="es-MX"/>
        </w:rPr>
        <w:t>La experiencia profesional se debe verificar</w:t>
      </w:r>
      <w:r w:rsidR="0090503B">
        <w:rPr>
          <w:rFonts w:ascii="Verdana" w:eastAsia="Calibri" w:hAnsi="Verdana" w:cs="Arial"/>
          <w:lang w:val="es-MX"/>
        </w:rPr>
        <w:t xml:space="preserve">, </w:t>
      </w:r>
      <w:r w:rsidRPr="003C068C">
        <w:rPr>
          <w:rFonts w:ascii="Verdana" w:eastAsia="Calibri" w:hAnsi="Verdana" w:cs="Arial"/>
          <w:lang w:val="es-MX"/>
        </w:rPr>
        <w:t xml:space="preserve">de acuerdo con lo regulado en el artículo 229 del Decreto 019 de 2012. En virtud de esta norma, el ejercicio de las diferentes profesiones acreditadas por el Ministerio de Educación Nacional se contabiliza a partir de la terminación y aprobación del pénsum académico de educación superior, salvo </w:t>
      </w:r>
      <w:r w:rsidR="003C2C34">
        <w:rPr>
          <w:rFonts w:ascii="Verdana" w:eastAsia="Calibri" w:hAnsi="Verdana" w:cs="Arial"/>
          <w:lang w:val="es-MX"/>
        </w:rPr>
        <w:t xml:space="preserve">las excepciones </w:t>
      </w:r>
      <w:r w:rsidR="00D40CD3">
        <w:rPr>
          <w:rFonts w:ascii="Verdana" w:eastAsia="Calibri" w:hAnsi="Verdana" w:cs="Arial"/>
          <w:lang w:val="es-MX"/>
        </w:rPr>
        <w:t>contempladas en la ley</w:t>
      </w:r>
      <w:r w:rsidRPr="003C068C">
        <w:rPr>
          <w:rFonts w:ascii="Verdana" w:eastAsia="Calibri" w:hAnsi="Verdana" w:cs="Arial"/>
          <w:vertAlign w:val="superscript"/>
          <w:lang w:val="es-MX"/>
        </w:rPr>
        <w:footnoteReference w:id="2"/>
      </w:r>
      <w:r w:rsidRPr="003C068C">
        <w:rPr>
          <w:rFonts w:ascii="Verdana" w:eastAsia="Calibri" w:hAnsi="Verdana" w:cs="Arial"/>
          <w:lang w:val="es-MX"/>
        </w:rPr>
        <w:t>.</w:t>
      </w:r>
    </w:p>
    <w:p w14:paraId="5C49A099" w14:textId="65985EE7" w:rsidR="00E26F22" w:rsidRPr="003C068C" w:rsidRDefault="00E26F22" w:rsidP="00E26F22">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lastRenderedPageBreak/>
        <w:t xml:space="preserve">Conforme con lo anterior, el cómputo de la experiencia profesional, por regla general, comienza con la terminación y aprobación del pénsum académico de educación superior, y siempre que el profesional acredite que trabajó. </w:t>
      </w:r>
      <w:proofErr w:type="gramStart"/>
      <w:r w:rsidRPr="003C068C">
        <w:rPr>
          <w:rFonts w:ascii="Verdana" w:eastAsia="Calibri" w:hAnsi="Verdana" w:cs="Arial"/>
          <w:lang w:val="es-MX"/>
        </w:rPr>
        <w:t>Frente</w:t>
      </w:r>
      <w:r w:rsidR="00FF3FF4">
        <w:rPr>
          <w:rFonts w:ascii="Verdana" w:eastAsia="Calibri" w:hAnsi="Verdana" w:cs="Arial"/>
          <w:lang w:val="es-MX"/>
        </w:rPr>
        <w:t xml:space="preserve"> </w:t>
      </w:r>
      <w:r w:rsidRPr="003C068C">
        <w:rPr>
          <w:rFonts w:ascii="Verdana" w:eastAsia="Calibri" w:hAnsi="Verdana" w:cs="Arial"/>
          <w:lang w:val="es-MX"/>
        </w:rPr>
        <w:t xml:space="preserve"> a</w:t>
      </w:r>
      <w:proofErr w:type="gramEnd"/>
      <w:r w:rsidRPr="003C068C">
        <w:rPr>
          <w:rFonts w:ascii="Verdana" w:eastAsia="Calibri" w:hAnsi="Verdana" w:cs="Arial"/>
          <w:lang w:val="es-MX"/>
        </w:rPr>
        <w:t xml:space="preserve"> las profesiones relacionadas con temas de salud, la experiencia profesional se cuenta desde la inscripción o registro, es decir, a partir de la expedición de la tarjeta profesional. En este sentido, las entidades no tienen la facultad de solicitar la tarjeta profesional para contar la experiencia profesional, salvo para las profesiones relacionadas con temas de salud. </w:t>
      </w:r>
    </w:p>
    <w:p w14:paraId="0FA30313" w14:textId="77777777" w:rsidR="00E26F22" w:rsidRPr="003C068C" w:rsidRDefault="00E26F22" w:rsidP="00E26F22">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Por otro lado, es importante señalar que a partir de la Ley 1955 de 2019 se permite contar como experiencia profesional las prácticas laborales realizadas por estudiantes para obtener el título de grado. De acuerdo con el artículo 15 de la Ley 1780 de 2016</w:t>
      </w:r>
      <w:r w:rsidRPr="003C068C">
        <w:rPr>
          <w:rFonts w:ascii="Verdana" w:eastAsia="Calibri" w:hAnsi="Verdana" w:cs="Arial"/>
          <w:vertAlign w:val="superscript"/>
          <w:lang w:val="es-MX"/>
        </w:rPr>
        <w:footnoteReference w:id="3"/>
      </w:r>
      <w:r w:rsidRPr="003C068C">
        <w:rPr>
          <w:rFonts w:ascii="Verdana" w:eastAsia="Calibri" w:hAnsi="Verdana" w:cs="Arial"/>
          <w:lang w:val="es-MX"/>
        </w:rPr>
        <w:t>, la práctica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w:t>
      </w:r>
    </w:p>
    <w:p w14:paraId="7BB99C2F" w14:textId="77777777" w:rsidR="00E26F22" w:rsidRPr="003C068C" w:rsidRDefault="00E26F22" w:rsidP="00E26F22">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El artículo 192 de la Ley 1955 de 2019</w:t>
      </w:r>
      <w:r w:rsidRPr="003C068C">
        <w:rPr>
          <w:rFonts w:ascii="Verdana" w:eastAsia="Calibri" w:hAnsi="Verdana" w:cs="Arial"/>
          <w:vertAlign w:val="superscript"/>
          <w:lang w:val="es-MX"/>
        </w:rPr>
        <w:footnoteReference w:id="4"/>
      </w:r>
      <w:r w:rsidRPr="003C068C">
        <w:rPr>
          <w:rFonts w:ascii="Verdana" w:eastAsia="Calibri" w:hAnsi="Verdana" w:cs="Arial"/>
          <w:lang w:val="es-MX"/>
        </w:rPr>
        <w:t xml:space="preserve"> establece que el tiempo de la práctica laboral que el estudiante realice para optar por su título profesional, </w:t>
      </w:r>
      <w:r w:rsidRPr="003C068C">
        <w:rPr>
          <w:rFonts w:ascii="Verdana" w:eastAsia="Calibri" w:hAnsi="Verdana" w:cs="Arial"/>
          <w:lang w:val="es-MX"/>
        </w:rPr>
        <w:lastRenderedPageBreak/>
        <w:t xml:space="preserve">tecnológico o técnico cuenta como experiencia laboral. Sin embargo, solo se computan como experiencia las prácticas laborales realizadas durante los veinticuatro (24) meses anteriores a la </w:t>
      </w:r>
      <w:proofErr w:type="gramStart"/>
      <w:r w:rsidRPr="003C068C">
        <w:rPr>
          <w:rFonts w:ascii="Verdana" w:eastAsia="Calibri" w:hAnsi="Verdana" w:cs="Arial"/>
          <w:lang w:val="es-MX"/>
        </w:rPr>
        <w:t>entrada en vigencia</w:t>
      </w:r>
      <w:proofErr w:type="gramEnd"/>
      <w:r w:rsidRPr="003C068C">
        <w:rPr>
          <w:rFonts w:ascii="Verdana" w:eastAsia="Calibri" w:hAnsi="Verdana" w:cs="Arial"/>
          <w:lang w:val="es-MX"/>
        </w:rPr>
        <w:t xml:space="preserve"> de dicha ley y las que se realicen con posterioridad; y, por último, exceptúa de lo dispuesto en este artículo a los estudiantes de posgrado del sector salud.</w:t>
      </w:r>
    </w:p>
    <w:p w14:paraId="1AA99E54" w14:textId="77777777" w:rsidR="00E26F22" w:rsidRPr="003C068C" w:rsidRDefault="00E26F22" w:rsidP="00E26F22">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 xml:space="preserve">De conformidad con esta norma, las entidades estatales deben tener en cuenta las prácticas laborales como experiencia profesional aun cuando estas se hayan realizado antes de la terminación de materias. No obstante, solo se tendrán en cuenta i) las prácticas laborales que fueron realizadas durante los veinticuatro meses anteriores a la </w:t>
      </w:r>
      <w:proofErr w:type="gramStart"/>
      <w:r w:rsidRPr="003C068C">
        <w:rPr>
          <w:rFonts w:ascii="Verdana" w:eastAsia="Calibri" w:hAnsi="Verdana" w:cs="Arial"/>
          <w:lang w:val="es-MX"/>
        </w:rPr>
        <w:t>entrada en vigencia</w:t>
      </w:r>
      <w:proofErr w:type="gramEnd"/>
      <w:r w:rsidRPr="003C068C">
        <w:rPr>
          <w:rFonts w:ascii="Verdana" w:eastAsia="Calibri" w:hAnsi="Verdana" w:cs="Arial"/>
          <w:lang w:val="es-MX"/>
        </w:rPr>
        <w:t xml:space="preserve"> de dicha ley y las que se realicen con posterioridad, y </w:t>
      </w:r>
      <w:proofErr w:type="spellStart"/>
      <w:r w:rsidRPr="003C068C">
        <w:rPr>
          <w:rFonts w:ascii="Verdana" w:eastAsia="Calibri" w:hAnsi="Verdana" w:cs="Arial"/>
          <w:lang w:val="es-MX"/>
        </w:rPr>
        <w:t>ii</w:t>
      </w:r>
      <w:proofErr w:type="spellEnd"/>
      <w:r w:rsidRPr="003C068C">
        <w:rPr>
          <w:rFonts w:ascii="Verdana" w:eastAsia="Calibri" w:hAnsi="Verdana" w:cs="Arial"/>
          <w:lang w:val="es-MX"/>
        </w:rPr>
        <w:t>) las que realice cualquier estudiante que no sea de posgrado del sector salud.</w:t>
      </w:r>
    </w:p>
    <w:p w14:paraId="782BBBAD" w14:textId="77777777" w:rsidR="00E26F22" w:rsidRPr="003C068C" w:rsidRDefault="00E26F22" w:rsidP="00E26F22">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En virtud de esta norma, surge la siguiente pregunta: ¿al ser la Ley 1955 de 2019 posterior al Decreto Ley 019 de 2012 se deroga lo previsto en el Decreto, o se aplican las dos normas, dependiendo de cada caso en concreto?</w:t>
      </w:r>
    </w:p>
    <w:p w14:paraId="687AC865" w14:textId="4D4460CE" w:rsidR="00E26F22" w:rsidRPr="00177DC8" w:rsidRDefault="00E26F22" w:rsidP="00177DC8">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La Corte Constitucional explica que en estos eventos procede la derogatoria de las normas y la distinción entre derogatoria expresa y tácita, en los siguientes términos:</w:t>
      </w:r>
    </w:p>
    <w:p w14:paraId="051E406A" w14:textId="45A1A490" w:rsidR="00E26F22" w:rsidRPr="00177DC8" w:rsidRDefault="00E26F22" w:rsidP="00177DC8">
      <w:pPr>
        <w:spacing w:after="0" w:line="240" w:lineRule="auto"/>
        <w:ind w:left="709" w:right="709"/>
        <w:jc w:val="both"/>
        <w:rPr>
          <w:rFonts w:ascii="Verdana" w:eastAsia="Calibri" w:hAnsi="Verdana" w:cs="Arial"/>
          <w:sz w:val="20"/>
          <w:szCs w:val="20"/>
          <w:lang w:val="es-MX"/>
        </w:rPr>
      </w:pPr>
      <w:r w:rsidRPr="008B19FD">
        <w:rPr>
          <w:rFonts w:ascii="Verdana" w:eastAsia="Calibri" w:hAnsi="Verdana" w:cs="Arial"/>
          <w:sz w:val="20"/>
          <w:szCs w:val="20"/>
          <w:lang w:val="es-MX"/>
        </w:rPr>
        <w:t>La derogatoria es aquel efecto de una ley, determinante de la pérdida de vigencia de otra ley anterior, la cual puede ser expresa o tácita. Este último evento tiene lugar al menos en dos hipótesis: (i) cuando una norma jurídica posterior resulta incompatible con una anterior, o (</w:t>
      </w:r>
      <w:proofErr w:type="spellStart"/>
      <w:r w:rsidRPr="008B19FD">
        <w:rPr>
          <w:rFonts w:ascii="Verdana" w:eastAsia="Calibri" w:hAnsi="Verdana" w:cs="Arial"/>
          <w:sz w:val="20"/>
          <w:szCs w:val="20"/>
          <w:lang w:val="es-MX"/>
        </w:rPr>
        <w:t>ii</w:t>
      </w:r>
      <w:proofErr w:type="spellEnd"/>
      <w:r w:rsidRPr="008B19FD">
        <w:rPr>
          <w:rFonts w:ascii="Verdana" w:eastAsia="Calibri" w:hAnsi="Verdana" w:cs="Arial"/>
          <w:sz w:val="20"/>
          <w:szCs w:val="20"/>
          <w:lang w:val="es-MX"/>
        </w:rPr>
        <w:t>) cuando se produce una nueva regulación integral de la materia. Así lo ha entendido la jurisprudencia de esta Corporación al señalar que la derogatoria de una ley puede ser expresa, tácita o por reglamentación integral (orgánica) de la materia, sucediendo la primera cuando la nueva ley suprime formal y específicamente la anterior; la segunda cuando la nueva ley contiene disposiciones incompatibles o contrarias a la de la antigua, y la tercera cuando una ley reglamenta toda la materia regulada por una o varias normas precedentes, aunque no haya incompatibilidad entre las disposiciones de éstas y las de la nueva ley</w:t>
      </w:r>
      <w:r w:rsidRPr="008B19FD">
        <w:rPr>
          <w:rFonts w:ascii="Verdana" w:eastAsia="Calibri" w:hAnsi="Verdana" w:cs="Arial"/>
          <w:sz w:val="20"/>
          <w:szCs w:val="20"/>
          <w:vertAlign w:val="superscript"/>
          <w:lang w:val="es-MX"/>
        </w:rPr>
        <w:footnoteReference w:id="5"/>
      </w:r>
      <w:r w:rsidRPr="008B19FD">
        <w:rPr>
          <w:rFonts w:ascii="Verdana" w:eastAsia="Calibri" w:hAnsi="Verdana" w:cs="Arial"/>
          <w:sz w:val="20"/>
          <w:szCs w:val="20"/>
          <w:lang w:val="es-MX"/>
        </w:rPr>
        <w:t>.</w:t>
      </w:r>
    </w:p>
    <w:p w14:paraId="7499D0F6" w14:textId="77777777" w:rsidR="00E26F22" w:rsidRPr="003C068C" w:rsidRDefault="00E26F22" w:rsidP="00E26F22">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 xml:space="preserve">De conformidad con lo anterior, la derogatoria de una norma procede cuando esta pierde vigencia en el ordenamiento jurídico, ya sea, por medio de una derogatoria expresa o una derogatoria tácita. En este caso, la Ley 1955 de 2019, en el artículo 336, no derogó de forma expresa el artículo 229 del Decreto </w:t>
      </w:r>
      <w:r w:rsidRPr="003C068C">
        <w:rPr>
          <w:rFonts w:ascii="Verdana" w:eastAsia="Calibri" w:hAnsi="Verdana" w:cs="Arial"/>
          <w:lang w:val="es-MX"/>
        </w:rPr>
        <w:lastRenderedPageBreak/>
        <w:t>019 de 2012, por lo que se debe analizar si el artículo 192 de la Ley 1955 de 2019 derogó tácitamente el artículo 299 del Decreto Ley 019 de 2012.</w:t>
      </w:r>
    </w:p>
    <w:p w14:paraId="4BF25EE2" w14:textId="77777777" w:rsidR="00E26F22" w:rsidRPr="003C068C" w:rsidRDefault="00E26F22" w:rsidP="00E26F22">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La Corte Constitucional señala que la derogatoria tácita supone la existencia de una norma posterior que contiene disposiciones incompatibles o contrarias a la ley anterior. En este caso, en principio, se evidencia una incompatibilidad entre el artículo 192 de la Ley 1955 de 2019 y el artículo 299 del Decreto 019 de 2012, ya que la nueva ley señala que se cuenta como experiencia profesional la que realice el estudiante como práctica laboral sin importar si es antes o después de terminadas las materias, y el Decreto prevé que la experiencia profesional se cuenta a partir de la terminación de materias o el pénsum académico.</w:t>
      </w:r>
    </w:p>
    <w:p w14:paraId="2C2EE523" w14:textId="77777777" w:rsidR="00E26F22" w:rsidRPr="003C068C" w:rsidRDefault="00E26F22" w:rsidP="00E26F22">
      <w:pPr>
        <w:spacing w:before="120" w:after="120" w:line="276" w:lineRule="auto"/>
        <w:ind w:right="51" w:firstLine="708"/>
        <w:jc w:val="both"/>
        <w:rPr>
          <w:rFonts w:ascii="Verdana" w:eastAsia="Calibri" w:hAnsi="Verdana" w:cs="Arial"/>
          <w:lang w:val="es-MX"/>
        </w:rPr>
      </w:pPr>
      <w:r w:rsidRPr="003C068C">
        <w:rPr>
          <w:rFonts w:ascii="Verdana" w:eastAsia="Calibri" w:hAnsi="Verdana" w:cs="Arial"/>
          <w:lang w:val="es-MX"/>
        </w:rPr>
        <w:t>No obstante, se debe entender que el artículo 299 del Decreto 019 de 2012 es la regla general para contar el término de la experiencia profesional y, por lo tanto, el cómputo, en principio, se efectúa después de terminadas las materias; pero el caso previsto en el artículo 192 de la Ley 1955 de 2019 es la excepción a esta regla general. En efecto, si el estudiante que opta por un título realiza la práctica laboral antes de terminadas las materias, se debe contar esta experiencia como profesional a pesar de que sea una experiencia que no fue adquirida con posterioridad a la terminación de materias. En los demás casos, es decir, cuando no se realiza ninguna práctica laboral antes de finalizar el pénsum, el conteo de la experiencia inicia después de terminadas las materias.</w:t>
      </w:r>
    </w:p>
    <w:p w14:paraId="1E192BCF" w14:textId="77777777" w:rsidR="00E26F22" w:rsidRPr="003C068C" w:rsidRDefault="00E26F22" w:rsidP="00E26F22">
      <w:pPr>
        <w:spacing w:before="120" w:after="120" w:line="276" w:lineRule="auto"/>
        <w:ind w:right="51" w:firstLine="709"/>
        <w:jc w:val="both"/>
        <w:rPr>
          <w:rFonts w:ascii="Verdana" w:eastAsia="Calibri" w:hAnsi="Verdana" w:cs="Arial"/>
          <w:lang w:val="es-MX"/>
        </w:rPr>
      </w:pPr>
      <w:r w:rsidRPr="003C068C">
        <w:rPr>
          <w:rFonts w:ascii="Verdana" w:eastAsia="Calibri" w:hAnsi="Verdana" w:cs="Arial"/>
          <w:lang w:val="es-MX"/>
        </w:rPr>
        <w:t>Para mayor claridad, el artículo 192 de la Ley 1955 de 2019 únicamente aplica en los casos en los que el estudiante realiza prácticas laborales. Por lo tanto, en estos eventos rige esta Ley y se tiene por válida la experiencia profesional realizada antes o después de terminadas las materias. Ahora, si el estudiante no realiza ninguna práctica laboral para obtener un título, en los términos del artículo 15 de la Ley 1780 de 2016, se debe aplicar el Decreto Ley 019 de 2012, y, por tanto, se contabiliza la experiencia profesional a partir de la terminación de las materias.</w:t>
      </w:r>
    </w:p>
    <w:p w14:paraId="46B2719A" w14:textId="77777777" w:rsidR="00E26F22" w:rsidRPr="003C068C" w:rsidRDefault="00E26F22" w:rsidP="00E26F22">
      <w:pPr>
        <w:spacing w:before="120" w:after="120" w:line="276" w:lineRule="auto"/>
        <w:ind w:right="51" w:firstLine="709"/>
        <w:jc w:val="both"/>
        <w:rPr>
          <w:rFonts w:ascii="Verdana" w:eastAsia="Calibri" w:hAnsi="Verdana" w:cs="Arial"/>
          <w:lang w:val="es-MX"/>
        </w:rPr>
      </w:pPr>
      <w:r w:rsidRPr="003C068C">
        <w:rPr>
          <w:rFonts w:ascii="Verdana" w:eastAsia="Calibri" w:hAnsi="Verdana" w:cs="Arial"/>
          <w:lang w:val="es-MX"/>
        </w:rPr>
        <w:t>Ahora bien, es importante señalar que el Decreto 1082 de 2015, en el artículo 2.2.1.2.1.4.9</w:t>
      </w:r>
      <w:r w:rsidRPr="003C068C">
        <w:rPr>
          <w:rFonts w:ascii="Verdana" w:eastAsia="Calibri" w:hAnsi="Verdana" w:cs="Arial"/>
          <w:vertAlign w:val="superscript"/>
          <w:lang w:val="es-MX"/>
        </w:rPr>
        <w:footnoteReference w:id="6"/>
      </w:r>
      <w:r w:rsidRPr="003C068C">
        <w:rPr>
          <w:rFonts w:ascii="Verdana" w:eastAsia="Calibri" w:hAnsi="Verdana" w:cs="Arial"/>
          <w:lang w:val="es-MX"/>
        </w:rPr>
        <w:t xml:space="preserve">, establece que </w:t>
      </w:r>
      <w:r>
        <w:rPr>
          <w:rFonts w:ascii="Verdana" w:eastAsia="Calibri" w:hAnsi="Verdana" w:cs="Arial"/>
          <w:lang w:val="es-MX"/>
        </w:rPr>
        <w:t>“</w:t>
      </w:r>
      <w:r w:rsidRPr="003C068C">
        <w:rPr>
          <w:rFonts w:ascii="Verdana" w:eastAsia="Calibri" w:hAnsi="Verdana" w:cs="Arial"/>
          <w:lang w:val="es-MX"/>
        </w:rPr>
        <w:t xml:space="preserve">las Entidades Estatales pueden contratar </w:t>
      </w:r>
      <w:r w:rsidRPr="003C068C">
        <w:rPr>
          <w:rFonts w:ascii="Verdana" w:eastAsia="Calibri" w:hAnsi="Verdana" w:cs="Arial"/>
          <w:lang w:val="es-MX"/>
        </w:rPr>
        <w:lastRenderedPageBreak/>
        <w:t>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w:t>
      </w:r>
      <w:r>
        <w:rPr>
          <w:rFonts w:ascii="Verdana" w:eastAsia="Calibri" w:hAnsi="Verdana" w:cs="Arial"/>
          <w:lang w:val="es-MX"/>
        </w:rPr>
        <w:t>”</w:t>
      </w:r>
      <w:r w:rsidRPr="003C068C">
        <w:rPr>
          <w:rFonts w:ascii="Verdana" w:eastAsia="Calibri" w:hAnsi="Verdana" w:cs="Arial"/>
          <w:lang w:val="es-MX"/>
        </w:rPr>
        <w:t>. Por lo tanto, la entidad estatal debe verificar la idoneidad y la experiencia requerida para ejecutar el objeto del contrato de prestación de servicios.</w:t>
      </w:r>
    </w:p>
    <w:p w14:paraId="46BCECC6" w14:textId="77777777" w:rsidR="00E26F22" w:rsidRPr="003C068C" w:rsidRDefault="00E26F22" w:rsidP="00E26F22">
      <w:pPr>
        <w:spacing w:before="120" w:after="120" w:line="276" w:lineRule="auto"/>
        <w:ind w:right="51" w:firstLine="709"/>
        <w:jc w:val="both"/>
        <w:rPr>
          <w:rFonts w:ascii="Verdana" w:eastAsia="Calibri" w:hAnsi="Verdana" w:cs="Arial"/>
          <w:lang w:val="es-MX"/>
        </w:rPr>
      </w:pPr>
      <w:r w:rsidRPr="003C068C">
        <w:rPr>
          <w:rFonts w:ascii="Verdana" w:eastAsia="Calibri" w:hAnsi="Verdana" w:cs="Arial"/>
          <w:lang w:val="es-MX"/>
        </w:rPr>
        <w:t>La Ley 190 de 1995, en el artículo 1</w:t>
      </w:r>
      <w:r w:rsidRPr="003C068C">
        <w:rPr>
          <w:rFonts w:ascii="Verdana" w:eastAsia="Calibri" w:hAnsi="Verdana" w:cs="Arial"/>
          <w:vertAlign w:val="superscript"/>
          <w:lang w:val="es-MX"/>
        </w:rPr>
        <w:footnoteReference w:id="7"/>
      </w:r>
      <w:r w:rsidRPr="003C068C">
        <w:rPr>
          <w:rFonts w:ascii="Verdana" w:eastAsia="Calibri" w:hAnsi="Verdana" w:cs="Arial"/>
          <w:lang w:val="es-MX"/>
        </w:rPr>
        <w:t>, establece que todo aspirante a celebrar un contrato de prestación de servicios debe presentar el formato único de hoja de vida, donde consigne la información completa que se solicita, como la formación académica, experiencia laboral, declarar la inexistencia de cualquier hecho o circunstancia que implique una inhabilidad o incompatibilidad.</w:t>
      </w:r>
    </w:p>
    <w:p w14:paraId="58D43AE0" w14:textId="77777777" w:rsidR="00E26F22" w:rsidRPr="003C068C" w:rsidRDefault="00E26F22" w:rsidP="00E26F22">
      <w:pPr>
        <w:spacing w:before="120" w:after="120" w:line="276" w:lineRule="auto"/>
        <w:ind w:right="51" w:firstLine="709"/>
        <w:jc w:val="both"/>
        <w:rPr>
          <w:rFonts w:ascii="Verdana" w:eastAsia="Calibri" w:hAnsi="Verdana" w:cs="Arial"/>
          <w:lang w:val="es-MX"/>
        </w:rPr>
      </w:pPr>
      <w:r w:rsidRPr="003C068C">
        <w:rPr>
          <w:rFonts w:ascii="Verdana" w:eastAsia="Calibri" w:hAnsi="Verdana" w:cs="Arial"/>
          <w:lang w:val="es-MX"/>
        </w:rPr>
        <w:t xml:space="preserve">En relación con la exigencia de la tarjeta profesional para celebrar el contrato de prestación de servicios, el artículo 26 de la Constitución Política indica que: </w:t>
      </w:r>
      <w:r>
        <w:rPr>
          <w:rFonts w:ascii="Verdana" w:eastAsia="Calibri" w:hAnsi="Verdana" w:cs="Arial"/>
          <w:lang w:val="es-MX"/>
        </w:rPr>
        <w:t>“</w:t>
      </w:r>
      <w:r w:rsidRPr="003C068C">
        <w:rPr>
          <w:rFonts w:ascii="Verdana" w:eastAsia="Calibri" w:hAnsi="Verdana" w:cs="Arial"/>
          <w:lang w:val="es-MX"/>
        </w:rPr>
        <w:t>La Ley podrá exigir títulos de idoneidad</w:t>
      </w:r>
      <w:r>
        <w:rPr>
          <w:rFonts w:ascii="Verdana" w:eastAsia="Calibri" w:hAnsi="Verdana" w:cs="Arial"/>
          <w:lang w:val="es-MX"/>
        </w:rPr>
        <w:t>”</w:t>
      </w:r>
      <w:r w:rsidRPr="003C068C">
        <w:rPr>
          <w:rFonts w:ascii="Verdana" w:eastAsia="Calibri" w:hAnsi="Verdana" w:cs="Arial"/>
          <w:lang w:val="es-MX"/>
        </w:rPr>
        <w:t>. La Corte Constitucional explicó que la Constitución Política autorizó al legislador para exigir determinados títulos de idoneidad a quienes quieren desempeñar actividades que impliquen riesgo social, con el objetivo de demostrar la adecuada aptitud del aspirante</w:t>
      </w:r>
      <w:r w:rsidRPr="003C068C">
        <w:rPr>
          <w:rFonts w:ascii="Verdana" w:eastAsia="Calibri" w:hAnsi="Verdana" w:cs="Arial"/>
          <w:vertAlign w:val="superscript"/>
          <w:lang w:val="es-MX"/>
        </w:rPr>
        <w:footnoteReference w:id="8"/>
      </w:r>
      <w:r w:rsidRPr="003C068C">
        <w:rPr>
          <w:rFonts w:ascii="Verdana" w:eastAsia="Calibri" w:hAnsi="Verdana" w:cs="Arial"/>
          <w:lang w:val="es-MX"/>
        </w:rPr>
        <w:t xml:space="preserve">. En este sentido, la ley, frente a personal de la correspondiente </w:t>
      </w:r>
      <w:r w:rsidRPr="003C068C">
        <w:rPr>
          <w:rFonts w:ascii="Verdana" w:eastAsia="Calibri" w:hAnsi="Verdana" w:cs="Arial"/>
          <w:lang w:val="es-MX"/>
        </w:rPr>
        <w:lastRenderedPageBreak/>
        <w:t>entidad, o ante determinadas profesiones que impliquen riesgo social, puede exigir el requisito de tarjeta profesional para garantizar la aptitud del aspirante.</w:t>
      </w:r>
    </w:p>
    <w:p w14:paraId="60E38022" w14:textId="77777777" w:rsidR="00E26F22" w:rsidRDefault="00E26F22" w:rsidP="00E26F22">
      <w:pPr>
        <w:spacing w:before="120" w:after="120" w:line="276" w:lineRule="auto"/>
        <w:ind w:right="51" w:firstLine="708"/>
        <w:jc w:val="both"/>
        <w:rPr>
          <w:rFonts w:ascii="Verdana" w:eastAsia="Calibri" w:hAnsi="Verdana" w:cs="Arial"/>
          <w:lang w:val="es-MX"/>
        </w:rPr>
      </w:pPr>
      <w:bookmarkStart w:id="2" w:name="_Hlk190871650"/>
      <w:r w:rsidRPr="003C068C">
        <w:rPr>
          <w:rFonts w:ascii="Verdana" w:eastAsia="Calibri" w:hAnsi="Verdana" w:cs="Arial"/>
          <w:lang w:val="es-MX"/>
        </w:rPr>
        <w:t>A una similar conclusión se llega respecto de la Ley 842 de 2003 –normativa que regula el ejercicio de la ingeniería–, la cual establece en el artículo 6</w:t>
      </w:r>
      <w:r w:rsidRPr="003C068C">
        <w:rPr>
          <w:rFonts w:ascii="Verdana" w:eastAsia="Calibri" w:hAnsi="Verdana" w:cs="Arial"/>
          <w:vertAlign w:val="superscript"/>
          <w:lang w:val="es-MX"/>
        </w:rPr>
        <w:footnoteReference w:id="9"/>
      </w:r>
      <w:r w:rsidRPr="003C068C">
        <w:rPr>
          <w:rFonts w:ascii="Verdana" w:eastAsia="Calibri" w:hAnsi="Verdana" w:cs="Arial"/>
          <w:lang w:val="es-MX"/>
        </w:rPr>
        <w:t xml:space="preserve"> que, para ejercer la ingeniería, sus profesiones afines o sus profesiones auxiliares en el territorio nacional, se requiere estar matriculado o inscrito en el registro profesional respectivo, que seguirá llevando el </w:t>
      </w:r>
      <w:proofErr w:type="spellStart"/>
      <w:r w:rsidRPr="003C068C">
        <w:rPr>
          <w:rFonts w:ascii="Verdana" w:eastAsia="Calibri" w:hAnsi="Verdana" w:cs="Arial"/>
          <w:lang w:val="es-MX"/>
        </w:rPr>
        <w:t>Copnia</w:t>
      </w:r>
      <w:proofErr w:type="spellEnd"/>
      <w:r w:rsidRPr="003C068C">
        <w:rPr>
          <w:rFonts w:ascii="Verdana" w:eastAsia="Calibri" w:hAnsi="Verdana" w:cs="Arial"/>
          <w:lang w:val="es-MX"/>
        </w:rPr>
        <w:t>, lo cual se acredita con la presentación de la tarjeta o documento adoptado por este para tal fin. En este caso, para el ejercicio de la profesión de ingeniería se requiere estar matriculado en el registro profesional, lo cual se acredita con la presentación de la tarjeta profesional. Por lo tanto, la entidad estatal debe verificar que se aporte la tarjeta profesional para la celebración del contrato estatal.</w:t>
      </w:r>
    </w:p>
    <w:p w14:paraId="2CD4864B" w14:textId="77777777" w:rsidR="00B6649D" w:rsidRDefault="00B6649D" w:rsidP="00E26F22">
      <w:pPr>
        <w:spacing w:before="120" w:after="120" w:line="276" w:lineRule="auto"/>
        <w:ind w:right="51" w:firstLine="708"/>
        <w:jc w:val="both"/>
        <w:rPr>
          <w:rFonts w:ascii="Verdana" w:eastAsia="Calibri" w:hAnsi="Verdana" w:cs="Arial"/>
          <w:lang w:val="es-MX"/>
        </w:rPr>
      </w:pPr>
    </w:p>
    <w:p w14:paraId="4D92365F" w14:textId="1D8940FB" w:rsidR="00E04F12" w:rsidRDefault="00B6649D" w:rsidP="00B6649D">
      <w:pPr>
        <w:spacing w:before="120" w:after="120" w:line="276" w:lineRule="auto"/>
        <w:ind w:right="51"/>
        <w:jc w:val="both"/>
        <w:rPr>
          <w:rFonts w:ascii="Verdana" w:eastAsia="Calibri" w:hAnsi="Verdana" w:cs="Arial"/>
          <w:lang w:val="es-MX"/>
        </w:rPr>
      </w:pPr>
      <w:r>
        <w:rPr>
          <w:rFonts w:ascii="Verdana" w:eastAsia="Calibri" w:hAnsi="Verdana" w:cs="Arial"/>
          <w:lang w:val="es-MX"/>
        </w:rPr>
        <w:t xml:space="preserve">Ahora bien, respecto al </w:t>
      </w:r>
      <w:proofErr w:type="spellStart"/>
      <w:r>
        <w:rPr>
          <w:rFonts w:ascii="Verdana" w:eastAsia="Calibri" w:hAnsi="Verdana" w:cs="Arial"/>
          <w:lang w:val="es-MX"/>
        </w:rPr>
        <w:t>computo</w:t>
      </w:r>
      <w:proofErr w:type="spellEnd"/>
      <w:r>
        <w:rPr>
          <w:rFonts w:ascii="Verdana" w:eastAsia="Calibri" w:hAnsi="Verdana" w:cs="Arial"/>
          <w:lang w:val="es-MX"/>
        </w:rPr>
        <w:t xml:space="preserve"> de la </w:t>
      </w:r>
      <w:r w:rsidR="0008291C">
        <w:rPr>
          <w:rFonts w:ascii="Verdana" w:eastAsia="Calibri" w:hAnsi="Verdana" w:cs="Arial"/>
          <w:lang w:val="es-MX"/>
        </w:rPr>
        <w:t>experiencia para la profesión de ingeniería</w:t>
      </w:r>
      <w:r w:rsidR="00C60078">
        <w:rPr>
          <w:rFonts w:ascii="Verdana" w:eastAsia="Calibri" w:hAnsi="Verdana" w:cs="Arial"/>
          <w:lang w:val="es-MX"/>
        </w:rPr>
        <w:t>, sus profesiones afines y/o auxiliares</w:t>
      </w:r>
      <w:r w:rsidR="00B0317A">
        <w:rPr>
          <w:rFonts w:ascii="Verdana" w:eastAsia="Calibri" w:hAnsi="Verdana" w:cs="Arial"/>
          <w:lang w:val="es-MX"/>
        </w:rPr>
        <w:t xml:space="preserve">, </w:t>
      </w:r>
      <w:r w:rsidR="00C60078">
        <w:rPr>
          <w:rFonts w:ascii="Verdana" w:eastAsia="Calibri" w:hAnsi="Verdana" w:cs="Arial"/>
          <w:lang w:val="es-MX"/>
        </w:rPr>
        <w:t>esta subdirección se ha pronunciado en</w:t>
      </w:r>
      <w:r w:rsidR="00CC1651">
        <w:rPr>
          <w:rFonts w:ascii="Verdana" w:eastAsia="Calibri" w:hAnsi="Verdana" w:cs="Arial"/>
          <w:lang w:val="es-MX"/>
        </w:rPr>
        <w:t xml:space="preserve"> diferentes</w:t>
      </w:r>
      <w:r w:rsidR="00C60078">
        <w:rPr>
          <w:rFonts w:ascii="Verdana" w:eastAsia="Calibri" w:hAnsi="Verdana" w:cs="Arial"/>
          <w:lang w:val="es-MX"/>
        </w:rPr>
        <w:t xml:space="preserve"> concept</w:t>
      </w:r>
      <w:r w:rsidR="00E04F12">
        <w:rPr>
          <w:rFonts w:ascii="Verdana" w:eastAsia="Calibri" w:hAnsi="Verdana" w:cs="Arial"/>
          <w:lang w:val="es-MX"/>
        </w:rPr>
        <w:t>os</w:t>
      </w:r>
      <w:r w:rsidR="005B03F3">
        <w:rPr>
          <w:rStyle w:val="Refdenotaalpie"/>
          <w:rFonts w:ascii="Verdana" w:eastAsia="Calibri" w:hAnsi="Verdana" w:cs="Arial"/>
          <w:lang w:val="es-MX"/>
        </w:rPr>
        <w:footnoteReference w:id="10"/>
      </w:r>
      <w:r w:rsidR="00E04F12">
        <w:rPr>
          <w:rFonts w:ascii="Verdana" w:eastAsia="Calibri" w:hAnsi="Verdana" w:cs="Arial"/>
          <w:lang w:val="es-MX"/>
        </w:rPr>
        <w:t xml:space="preserve"> al respecto bajo los siguientes argumentos: </w:t>
      </w:r>
    </w:p>
    <w:p w14:paraId="05A606E4" w14:textId="2C19CC47" w:rsidR="00E04F12" w:rsidRPr="002F4125" w:rsidRDefault="00C67A7F" w:rsidP="00150126">
      <w:pPr>
        <w:pStyle w:val="Textoindependiente"/>
        <w:ind w:left="709" w:right="709"/>
        <w:jc w:val="both"/>
        <w:rPr>
          <w:i/>
          <w:iCs/>
          <w:sz w:val="21"/>
          <w:szCs w:val="21"/>
        </w:rPr>
      </w:pPr>
      <w:r w:rsidRPr="002F4125">
        <w:rPr>
          <w:i/>
          <w:iCs/>
          <w:sz w:val="21"/>
          <w:szCs w:val="21"/>
        </w:rPr>
        <w:t xml:space="preserve">“[…] </w:t>
      </w:r>
      <w:r w:rsidR="00E04F12" w:rsidRPr="002F4125">
        <w:rPr>
          <w:i/>
          <w:iCs/>
          <w:sz w:val="21"/>
          <w:szCs w:val="21"/>
        </w:rPr>
        <w:t xml:space="preserve">Al respecto, se precisa que, </w:t>
      </w:r>
      <w:r w:rsidR="00E04F12" w:rsidRPr="002F4125">
        <w:rPr>
          <w:b/>
          <w:bCs/>
          <w:i/>
          <w:iCs/>
          <w:sz w:val="21"/>
          <w:szCs w:val="21"/>
          <w:u w:val="single"/>
        </w:rPr>
        <w:t>la experiencia profesional en la rama de la ingeniería</w:t>
      </w:r>
      <w:r w:rsidR="00E04F12" w:rsidRPr="002F4125">
        <w:rPr>
          <w:b/>
          <w:bCs/>
          <w:i/>
          <w:iCs/>
          <w:spacing w:val="-7"/>
          <w:sz w:val="21"/>
          <w:szCs w:val="21"/>
          <w:u w:val="single"/>
        </w:rPr>
        <w:t xml:space="preserve"> </w:t>
      </w:r>
      <w:r w:rsidR="00E04F12" w:rsidRPr="002F4125">
        <w:rPr>
          <w:b/>
          <w:bCs/>
          <w:i/>
          <w:iCs/>
          <w:sz w:val="21"/>
          <w:szCs w:val="21"/>
          <w:u w:val="single"/>
        </w:rPr>
        <w:t>se</w:t>
      </w:r>
      <w:r w:rsidR="00E04F12" w:rsidRPr="002F4125">
        <w:rPr>
          <w:b/>
          <w:bCs/>
          <w:i/>
          <w:iCs/>
          <w:spacing w:val="-9"/>
          <w:sz w:val="21"/>
          <w:szCs w:val="21"/>
          <w:u w:val="single"/>
        </w:rPr>
        <w:t xml:space="preserve"> </w:t>
      </w:r>
      <w:r w:rsidR="00E04F12" w:rsidRPr="002F4125">
        <w:rPr>
          <w:b/>
          <w:bCs/>
          <w:i/>
          <w:iCs/>
          <w:sz w:val="21"/>
          <w:szCs w:val="21"/>
          <w:u w:val="single"/>
        </w:rPr>
        <w:t>contará</w:t>
      </w:r>
      <w:r w:rsidR="00E04F12" w:rsidRPr="002F4125">
        <w:rPr>
          <w:b/>
          <w:bCs/>
          <w:i/>
          <w:iCs/>
          <w:spacing w:val="-8"/>
          <w:sz w:val="21"/>
          <w:szCs w:val="21"/>
          <w:u w:val="single"/>
        </w:rPr>
        <w:t xml:space="preserve"> </w:t>
      </w:r>
      <w:r w:rsidR="00E04F12" w:rsidRPr="002F4125">
        <w:rPr>
          <w:b/>
          <w:bCs/>
          <w:i/>
          <w:iCs/>
          <w:sz w:val="21"/>
          <w:szCs w:val="21"/>
          <w:u w:val="single"/>
        </w:rPr>
        <w:t>a</w:t>
      </w:r>
      <w:r w:rsidR="00E04F12" w:rsidRPr="002F4125">
        <w:rPr>
          <w:b/>
          <w:bCs/>
          <w:i/>
          <w:iCs/>
          <w:spacing w:val="-10"/>
          <w:sz w:val="21"/>
          <w:szCs w:val="21"/>
          <w:u w:val="single"/>
        </w:rPr>
        <w:t xml:space="preserve"> </w:t>
      </w:r>
      <w:r w:rsidR="00E04F12" w:rsidRPr="002F4125">
        <w:rPr>
          <w:b/>
          <w:bCs/>
          <w:i/>
          <w:iCs/>
          <w:sz w:val="21"/>
          <w:szCs w:val="21"/>
          <w:u w:val="single"/>
        </w:rPr>
        <w:t>partir</w:t>
      </w:r>
      <w:r w:rsidR="00E04F12" w:rsidRPr="002F4125">
        <w:rPr>
          <w:b/>
          <w:bCs/>
          <w:i/>
          <w:iCs/>
          <w:spacing w:val="-8"/>
          <w:sz w:val="21"/>
          <w:szCs w:val="21"/>
          <w:u w:val="single"/>
        </w:rPr>
        <w:t xml:space="preserve"> </w:t>
      </w:r>
      <w:r w:rsidR="00E04F12" w:rsidRPr="002F4125">
        <w:rPr>
          <w:b/>
          <w:bCs/>
          <w:i/>
          <w:iCs/>
          <w:sz w:val="21"/>
          <w:szCs w:val="21"/>
          <w:u w:val="single"/>
        </w:rPr>
        <w:t>de</w:t>
      </w:r>
      <w:r w:rsidR="00E04F12" w:rsidRPr="002F4125">
        <w:rPr>
          <w:b/>
          <w:bCs/>
          <w:i/>
          <w:iCs/>
          <w:spacing w:val="-9"/>
          <w:sz w:val="21"/>
          <w:szCs w:val="21"/>
          <w:u w:val="single"/>
        </w:rPr>
        <w:t xml:space="preserve"> </w:t>
      </w:r>
      <w:r w:rsidR="00E04F12" w:rsidRPr="002F4125">
        <w:rPr>
          <w:b/>
          <w:bCs/>
          <w:i/>
          <w:iCs/>
          <w:sz w:val="21"/>
          <w:szCs w:val="21"/>
          <w:u w:val="single"/>
        </w:rPr>
        <w:t>la</w:t>
      </w:r>
      <w:r w:rsidR="00E04F12" w:rsidRPr="002F4125">
        <w:rPr>
          <w:b/>
          <w:bCs/>
          <w:i/>
          <w:iCs/>
          <w:spacing w:val="-9"/>
          <w:sz w:val="21"/>
          <w:szCs w:val="21"/>
          <w:u w:val="single"/>
        </w:rPr>
        <w:t xml:space="preserve"> </w:t>
      </w:r>
      <w:r w:rsidR="00E04F12" w:rsidRPr="002F4125">
        <w:rPr>
          <w:b/>
          <w:bCs/>
          <w:i/>
          <w:iCs/>
          <w:sz w:val="21"/>
          <w:szCs w:val="21"/>
          <w:u w:val="single"/>
        </w:rPr>
        <w:t>terminación</w:t>
      </w:r>
      <w:r w:rsidR="00E04F12" w:rsidRPr="002F4125">
        <w:rPr>
          <w:b/>
          <w:bCs/>
          <w:i/>
          <w:iCs/>
          <w:spacing w:val="-6"/>
          <w:sz w:val="21"/>
          <w:szCs w:val="21"/>
          <w:u w:val="single"/>
        </w:rPr>
        <w:t xml:space="preserve"> </w:t>
      </w:r>
      <w:r w:rsidR="00E04F12" w:rsidRPr="002F4125">
        <w:rPr>
          <w:b/>
          <w:bCs/>
          <w:i/>
          <w:iCs/>
          <w:sz w:val="21"/>
          <w:szCs w:val="21"/>
          <w:u w:val="single"/>
        </w:rPr>
        <w:t>del</w:t>
      </w:r>
      <w:r w:rsidR="00E04F12" w:rsidRPr="002F4125">
        <w:rPr>
          <w:b/>
          <w:bCs/>
          <w:i/>
          <w:iCs/>
          <w:spacing w:val="-9"/>
          <w:sz w:val="21"/>
          <w:szCs w:val="21"/>
          <w:u w:val="single"/>
        </w:rPr>
        <w:t xml:space="preserve"> </w:t>
      </w:r>
      <w:r w:rsidR="00E04F12" w:rsidRPr="002F4125">
        <w:rPr>
          <w:b/>
          <w:bCs/>
          <w:i/>
          <w:iCs/>
          <w:sz w:val="21"/>
          <w:szCs w:val="21"/>
          <w:u w:val="single"/>
        </w:rPr>
        <w:t>pénsum,</w:t>
      </w:r>
      <w:r w:rsidR="00E04F12" w:rsidRPr="002F4125">
        <w:rPr>
          <w:b/>
          <w:bCs/>
          <w:i/>
          <w:iCs/>
          <w:spacing w:val="-7"/>
          <w:sz w:val="21"/>
          <w:szCs w:val="21"/>
          <w:u w:val="single"/>
        </w:rPr>
        <w:t xml:space="preserve"> </w:t>
      </w:r>
      <w:r w:rsidR="00E04F12" w:rsidRPr="002F4125">
        <w:rPr>
          <w:b/>
          <w:bCs/>
          <w:i/>
          <w:iCs/>
          <w:sz w:val="21"/>
          <w:szCs w:val="21"/>
          <w:u w:val="single"/>
        </w:rPr>
        <w:t>es</w:t>
      </w:r>
      <w:r w:rsidR="00E04F12" w:rsidRPr="002F4125">
        <w:rPr>
          <w:b/>
          <w:bCs/>
          <w:i/>
          <w:iCs/>
          <w:spacing w:val="-9"/>
          <w:sz w:val="21"/>
          <w:szCs w:val="21"/>
          <w:u w:val="single"/>
        </w:rPr>
        <w:t xml:space="preserve"> </w:t>
      </w:r>
      <w:r w:rsidR="00E04F12" w:rsidRPr="002F4125">
        <w:rPr>
          <w:b/>
          <w:bCs/>
          <w:i/>
          <w:iCs/>
          <w:sz w:val="21"/>
          <w:szCs w:val="21"/>
          <w:u w:val="single"/>
        </w:rPr>
        <w:t>decir,</w:t>
      </w:r>
      <w:r w:rsidR="00E04F12" w:rsidRPr="002F4125">
        <w:rPr>
          <w:b/>
          <w:bCs/>
          <w:i/>
          <w:iCs/>
          <w:spacing w:val="-8"/>
          <w:sz w:val="21"/>
          <w:szCs w:val="21"/>
          <w:u w:val="single"/>
        </w:rPr>
        <w:t xml:space="preserve"> </w:t>
      </w:r>
      <w:r w:rsidR="00E04F12" w:rsidRPr="002F4125">
        <w:rPr>
          <w:b/>
          <w:bCs/>
          <w:i/>
          <w:iCs/>
          <w:sz w:val="21"/>
          <w:szCs w:val="21"/>
          <w:u w:val="single"/>
        </w:rPr>
        <w:t>según</w:t>
      </w:r>
      <w:r w:rsidR="00E04F12" w:rsidRPr="002F4125">
        <w:rPr>
          <w:b/>
          <w:bCs/>
          <w:i/>
          <w:iCs/>
          <w:spacing w:val="-8"/>
          <w:sz w:val="21"/>
          <w:szCs w:val="21"/>
          <w:u w:val="single"/>
        </w:rPr>
        <w:t xml:space="preserve"> </w:t>
      </w:r>
      <w:r w:rsidR="00E04F12" w:rsidRPr="002F4125">
        <w:rPr>
          <w:b/>
          <w:bCs/>
          <w:i/>
          <w:iCs/>
          <w:sz w:val="21"/>
          <w:szCs w:val="21"/>
          <w:u w:val="single"/>
        </w:rPr>
        <w:t>la regla dispuesta en el artículo 229 del Decreto Ley 019 de 2012, sin dejar de lado</w:t>
      </w:r>
      <w:r w:rsidR="00E04F12" w:rsidRPr="002F4125">
        <w:rPr>
          <w:b/>
          <w:bCs/>
          <w:i/>
          <w:iCs/>
          <w:spacing w:val="-20"/>
          <w:sz w:val="21"/>
          <w:szCs w:val="21"/>
          <w:u w:val="single"/>
        </w:rPr>
        <w:t xml:space="preserve"> </w:t>
      </w:r>
      <w:r w:rsidR="00E04F12" w:rsidRPr="002F4125">
        <w:rPr>
          <w:b/>
          <w:bCs/>
          <w:i/>
          <w:iCs/>
          <w:sz w:val="21"/>
          <w:szCs w:val="21"/>
          <w:u w:val="single"/>
        </w:rPr>
        <w:t>lo</w:t>
      </w:r>
      <w:r w:rsidR="00E04F12" w:rsidRPr="002F4125">
        <w:rPr>
          <w:b/>
          <w:bCs/>
          <w:i/>
          <w:iCs/>
          <w:spacing w:val="-19"/>
          <w:sz w:val="21"/>
          <w:szCs w:val="21"/>
          <w:u w:val="single"/>
        </w:rPr>
        <w:t xml:space="preserve"> </w:t>
      </w:r>
      <w:r w:rsidR="00E04F12" w:rsidRPr="002F4125">
        <w:rPr>
          <w:b/>
          <w:bCs/>
          <w:i/>
          <w:iCs/>
          <w:sz w:val="21"/>
          <w:szCs w:val="21"/>
          <w:u w:val="single"/>
        </w:rPr>
        <w:t>regulado</w:t>
      </w:r>
      <w:r w:rsidR="00E04F12" w:rsidRPr="002F4125">
        <w:rPr>
          <w:b/>
          <w:bCs/>
          <w:i/>
          <w:iCs/>
          <w:spacing w:val="-19"/>
          <w:sz w:val="21"/>
          <w:szCs w:val="21"/>
          <w:u w:val="single"/>
        </w:rPr>
        <w:t xml:space="preserve"> </w:t>
      </w:r>
      <w:r w:rsidR="00E04F12" w:rsidRPr="002F4125">
        <w:rPr>
          <w:b/>
          <w:bCs/>
          <w:i/>
          <w:iCs/>
          <w:sz w:val="21"/>
          <w:szCs w:val="21"/>
          <w:u w:val="single"/>
        </w:rPr>
        <w:t>en</w:t>
      </w:r>
      <w:r w:rsidR="00E04F12" w:rsidRPr="002F4125">
        <w:rPr>
          <w:b/>
          <w:bCs/>
          <w:i/>
          <w:iCs/>
          <w:spacing w:val="-20"/>
          <w:sz w:val="21"/>
          <w:szCs w:val="21"/>
          <w:u w:val="single"/>
        </w:rPr>
        <w:t xml:space="preserve"> </w:t>
      </w:r>
      <w:r w:rsidR="00E04F12" w:rsidRPr="002F4125">
        <w:rPr>
          <w:b/>
          <w:bCs/>
          <w:i/>
          <w:iCs/>
          <w:sz w:val="21"/>
          <w:szCs w:val="21"/>
          <w:u w:val="single"/>
        </w:rPr>
        <w:t>las</w:t>
      </w:r>
      <w:r w:rsidR="00E04F12" w:rsidRPr="002F4125">
        <w:rPr>
          <w:b/>
          <w:bCs/>
          <w:i/>
          <w:iCs/>
          <w:spacing w:val="-19"/>
          <w:sz w:val="21"/>
          <w:szCs w:val="21"/>
          <w:u w:val="single"/>
        </w:rPr>
        <w:t xml:space="preserve"> </w:t>
      </w:r>
      <w:r w:rsidR="00E04F12" w:rsidRPr="002F4125">
        <w:rPr>
          <w:b/>
          <w:bCs/>
          <w:i/>
          <w:iCs/>
          <w:sz w:val="21"/>
          <w:szCs w:val="21"/>
          <w:u w:val="single"/>
        </w:rPr>
        <w:t>Leyes</w:t>
      </w:r>
      <w:r w:rsidR="00E04F12" w:rsidRPr="002F4125">
        <w:rPr>
          <w:b/>
          <w:bCs/>
          <w:i/>
          <w:iCs/>
          <w:spacing w:val="-20"/>
          <w:sz w:val="21"/>
          <w:szCs w:val="21"/>
          <w:u w:val="single"/>
        </w:rPr>
        <w:t xml:space="preserve"> </w:t>
      </w:r>
      <w:r w:rsidR="00E04F12" w:rsidRPr="002F4125">
        <w:rPr>
          <w:b/>
          <w:bCs/>
          <w:i/>
          <w:iCs/>
          <w:sz w:val="21"/>
          <w:szCs w:val="21"/>
          <w:u w:val="single"/>
        </w:rPr>
        <w:t>1955</w:t>
      </w:r>
      <w:r w:rsidR="00E04F12" w:rsidRPr="002F4125">
        <w:rPr>
          <w:b/>
          <w:bCs/>
          <w:i/>
          <w:iCs/>
          <w:spacing w:val="-19"/>
          <w:sz w:val="21"/>
          <w:szCs w:val="21"/>
          <w:u w:val="single"/>
        </w:rPr>
        <w:t xml:space="preserve"> </w:t>
      </w:r>
      <w:r w:rsidR="00E04F12" w:rsidRPr="002F4125">
        <w:rPr>
          <w:b/>
          <w:bCs/>
          <w:i/>
          <w:iCs/>
          <w:sz w:val="21"/>
          <w:szCs w:val="21"/>
          <w:u w:val="single"/>
        </w:rPr>
        <w:t>de</w:t>
      </w:r>
      <w:r w:rsidR="00E04F12" w:rsidRPr="002F4125">
        <w:rPr>
          <w:b/>
          <w:bCs/>
          <w:i/>
          <w:iCs/>
          <w:spacing w:val="-19"/>
          <w:sz w:val="21"/>
          <w:szCs w:val="21"/>
          <w:u w:val="single"/>
        </w:rPr>
        <w:t xml:space="preserve"> </w:t>
      </w:r>
      <w:r w:rsidR="00E04F12" w:rsidRPr="002F4125">
        <w:rPr>
          <w:b/>
          <w:bCs/>
          <w:i/>
          <w:iCs/>
          <w:sz w:val="21"/>
          <w:szCs w:val="21"/>
          <w:u w:val="single"/>
        </w:rPr>
        <w:t>2019</w:t>
      </w:r>
      <w:r w:rsidR="00E04F12" w:rsidRPr="002F4125">
        <w:rPr>
          <w:b/>
          <w:bCs/>
          <w:i/>
          <w:iCs/>
          <w:spacing w:val="-20"/>
          <w:sz w:val="21"/>
          <w:szCs w:val="21"/>
          <w:u w:val="single"/>
        </w:rPr>
        <w:t xml:space="preserve"> </w:t>
      </w:r>
      <w:r w:rsidR="00E04F12" w:rsidRPr="002F4125">
        <w:rPr>
          <w:b/>
          <w:bCs/>
          <w:i/>
          <w:iCs/>
          <w:sz w:val="21"/>
          <w:szCs w:val="21"/>
          <w:u w:val="single"/>
        </w:rPr>
        <w:t>y</w:t>
      </w:r>
      <w:r w:rsidR="00E04F12" w:rsidRPr="002F4125">
        <w:rPr>
          <w:b/>
          <w:bCs/>
          <w:i/>
          <w:iCs/>
          <w:spacing w:val="-19"/>
          <w:sz w:val="21"/>
          <w:szCs w:val="21"/>
          <w:u w:val="single"/>
        </w:rPr>
        <w:t xml:space="preserve"> </w:t>
      </w:r>
      <w:r w:rsidR="00E04F12" w:rsidRPr="002F4125">
        <w:rPr>
          <w:b/>
          <w:bCs/>
          <w:i/>
          <w:iCs/>
          <w:sz w:val="21"/>
          <w:szCs w:val="21"/>
          <w:u w:val="single"/>
        </w:rPr>
        <w:t>2043</w:t>
      </w:r>
      <w:r w:rsidR="00E04F12" w:rsidRPr="002F4125">
        <w:rPr>
          <w:b/>
          <w:bCs/>
          <w:i/>
          <w:iCs/>
          <w:spacing w:val="-19"/>
          <w:sz w:val="21"/>
          <w:szCs w:val="21"/>
          <w:u w:val="single"/>
        </w:rPr>
        <w:t xml:space="preserve"> </w:t>
      </w:r>
      <w:r w:rsidR="00E04F12" w:rsidRPr="002F4125">
        <w:rPr>
          <w:b/>
          <w:bCs/>
          <w:i/>
          <w:iCs/>
          <w:sz w:val="21"/>
          <w:szCs w:val="21"/>
          <w:u w:val="single"/>
        </w:rPr>
        <w:t>de</w:t>
      </w:r>
      <w:r w:rsidR="00E04F12" w:rsidRPr="002F4125">
        <w:rPr>
          <w:b/>
          <w:bCs/>
          <w:i/>
          <w:iCs/>
          <w:spacing w:val="-20"/>
          <w:sz w:val="21"/>
          <w:szCs w:val="21"/>
          <w:u w:val="single"/>
        </w:rPr>
        <w:t xml:space="preserve"> </w:t>
      </w:r>
      <w:r w:rsidR="00E04F12" w:rsidRPr="002F4125">
        <w:rPr>
          <w:b/>
          <w:bCs/>
          <w:i/>
          <w:iCs/>
          <w:sz w:val="21"/>
          <w:szCs w:val="21"/>
          <w:u w:val="single"/>
        </w:rPr>
        <w:t>2020.</w:t>
      </w:r>
      <w:r w:rsidR="00E04F12" w:rsidRPr="002F4125">
        <w:rPr>
          <w:b/>
          <w:bCs/>
          <w:i/>
          <w:iCs/>
          <w:spacing w:val="-19"/>
          <w:sz w:val="21"/>
          <w:szCs w:val="21"/>
          <w:u w:val="single"/>
        </w:rPr>
        <w:t xml:space="preserve"> </w:t>
      </w:r>
      <w:r w:rsidR="00E04F12" w:rsidRPr="002F4125">
        <w:rPr>
          <w:b/>
          <w:bCs/>
          <w:i/>
          <w:iCs/>
          <w:sz w:val="21"/>
          <w:szCs w:val="21"/>
          <w:u w:val="single"/>
        </w:rPr>
        <w:t>En</w:t>
      </w:r>
      <w:r w:rsidR="00E04F12" w:rsidRPr="002F4125">
        <w:rPr>
          <w:b/>
          <w:bCs/>
          <w:i/>
          <w:iCs/>
          <w:spacing w:val="-19"/>
          <w:sz w:val="21"/>
          <w:szCs w:val="21"/>
          <w:u w:val="single"/>
        </w:rPr>
        <w:t xml:space="preserve"> </w:t>
      </w:r>
      <w:r w:rsidR="00E04F12" w:rsidRPr="002F4125">
        <w:rPr>
          <w:b/>
          <w:bCs/>
          <w:i/>
          <w:iCs/>
          <w:sz w:val="21"/>
          <w:szCs w:val="21"/>
          <w:u w:val="single"/>
        </w:rPr>
        <w:t>estos</w:t>
      </w:r>
      <w:r w:rsidR="00E04F12" w:rsidRPr="002F4125">
        <w:rPr>
          <w:b/>
          <w:bCs/>
          <w:i/>
          <w:iCs/>
          <w:spacing w:val="-20"/>
          <w:sz w:val="21"/>
          <w:szCs w:val="21"/>
          <w:u w:val="single"/>
        </w:rPr>
        <w:t xml:space="preserve"> </w:t>
      </w:r>
      <w:r w:rsidR="00E04F12" w:rsidRPr="002F4125">
        <w:rPr>
          <w:b/>
          <w:bCs/>
          <w:i/>
          <w:iCs/>
          <w:sz w:val="21"/>
          <w:szCs w:val="21"/>
          <w:u w:val="single"/>
        </w:rPr>
        <w:t xml:space="preserve">términos, no puede computarse la experiencia profesional de ingeniería desde la expedición de la tarjeta o licencia profesional, sino desde la </w:t>
      </w:r>
      <w:r w:rsidR="00E04F12" w:rsidRPr="002F4125">
        <w:rPr>
          <w:b/>
          <w:bCs/>
          <w:i/>
          <w:iCs/>
          <w:sz w:val="21"/>
          <w:szCs w:val="21"/>
          <w:u w:val="single"/>
        </w:rPr>
        <w:lastRenderedPageBreak/>
        <w:t>terminación de materias del pénsum académico, teniendo en cuenta también que es posible determinar las practicas académicas como experiencia profesional</w:t>
      </w:r>
      <w:r w:rsidR="00E04F12" w:rsidRPr="002F4125">
        <w:rPr>
          <w:i/>
          <w:iCs/>
          <w:sz w:val="21"/>
          <w:szCs w:val="21"/>
        </w:rPr>
        <w:t>.</w:t>
      </w:r>
    </w:p>
    <w:p w14:paraId="2ABB6DA6" w14:textId="164ED6A0" w:rsidR="00C67A7F" w:rsidRPr="002F4125" w:rsidRDefault="00E04F12" w:rsidP="00150126">
      <w:pPr>
        <w:pStyle w:val="Textoindependiente"/>
        <w:spacing w:before="120"/>
        <w:ind w:left="709" w:right="709" w:firstLine="709"/>
        <w:jc w:val="both"/>
        <w:rPr>
          <w:i/>
          <w:iCs/>
          <w:sz w:val="21"/>
          <w:szCs w:val="21"/>
        </w:rPr>
      </w:pPr>
      <w:r w:rsidRPr="002F4125">
        <w:rPr>
          <w:i/>
          <w:iCs/>
          <w:sz w:val="21"/>
          <w:szCs w:val="21"/>
        </w:rPr>
        <w:t>Este cómputo de la experiencia está sujeta a los certificados o documentos que se expidan por las diferentes entidades o empresas, donde haya</w:t>
      </w:r>
      <w:r w:rsidRPr="002F4125">
        <w:rPr>
          <w:i/>
          <w:iCs/>
          <w:spacing w:val="-2"/>
          <w:sz w:val="21"/>
          <w:szCs w:val="21"/>
        </w:rPr>
        <w:t xml:space="preserve"> </w:t>
      </w:r>
      <w:r w:rsidRPr="002F4125">
        <w:rPr>
          <w:i/>
          <w:iCs/>
          <w:sz w:val="21"/>
          <w:szCs w:val="21"/>
        </w:rPr>
        <w:t>laborado</w:t>
      </w:r>
      <w:r w:rsidRPr="002F4125">
        <w:rPr>
          <w:i/>
          <w:iCs/>
          <w:spacing w:val="-1"/>
          <w:sz w:val="21"/>
          <w:szCs w:val="21"/>
        </w:rPr>
        <w:t xml:space="preserve"> </w:t>
      </w:r>
      <w:r w:rsidRPr="002F4125">
        <w:rPr>
          <w:i/>
          <w:iCs/>
          <w:sz w:val="21"/>
          <w:szCs w:val="21"/>
        </w:rPr>
        <w:t>el</w:t>
      </w:r>
      <w:r w:rsidRPr="002F4125">
        <w:rPr>
          <w:i/>
          <w:iCs/>
          <w:spacing w:val="-3"/>
          <w:sz w:val="21"/>
          <w:szCs w:val="21"/>
        </w:rPr>
        <w:t xml:space="preserve"> </w:t>
      </w:r>
      <w:r w:rsidRPr="002F4125">
        <w:rPr>
          <w:i/>
          <w:iCs/>
          <w:sz w:val="21"/>
          <w:szCs w:val="21"/>
        </w:rPr>
        <w:t>ingeniero,</w:t>
      </w:r>
      <w:r w:rsidRPr="002F4125">
        <w:rPr>
          <w:i/>
          <w:iCs/>
          <w:spacing w:val="-1"/>
          <w:sz w:val="21"/>
          <w:szCs w:val="21"/>
        </w:rPr>
        <w:t xml:space="preserve"> </w:t>
      </w:r>
      <w:r w:rsidRPr="002F4125">
        <w:rPr>
          <w:i/>
          <w:iCs/>
          <w:sz w:val="21"/>
          <w:szCs w:val="21"/>
        </w:rPr>
        <w:t>pues</w:t>
      </w:r>
      <w:r w:rsidRPr="002F4125">
        <w:rPr>
          <w:i/>
          <w:iCs/>
          <w:spacing w:val="-3"/>
          <w:sz w:val="21"/>
          <w:szCs w:val="21"/>
        </w:rPr>
        <w:t xml:space="preserve"> </w:t>
      </w:r>
      <w:r w:rsidRPr="002F4125">
        <w:rPr>
          <w:i/>
          <w:iCs/>
          <w:sz w:val="21"/>
          <w:szCs w:val="21"/>
        </w:rPr>
        <w:t>lo</w:t>
      </w:r>
      <w:r w:rsidRPr="002F4125">
        <w:rPr>
          <w:i/>
          <w:iCs/>
          <w:spacing w:val="-3"/>
          <w:sz w:val="21"/>
          <w:szCs w:val="21"/>
        </w:rPr>
        <w:t xml:space="preserve"> </w:t>
      </w:r>
      <w:r w:rsidRPr="002F4125">
        <w:rPr>
          <w:i/>
          <w:iCs/>
          <w:sz w:val="21"/>
          <w:szCs w:val="21"/>
        </w:rPr>
        <w:t>dispuesto</w:t>
      </w:r>
      <w:r w:rsidRPr="002F4125">
        <w:rPr>
          <w:i/>
          <w:iCs/>
          <w:spacing w:val="-1"/>
          <w:sz w:val="21"/>
          <w:szCs w:val="21"/>
        </w:rPr>
        <w:t xml:space="preserve"> </w:t>
      </w:r>
      <w:r w:rsidRPr="002F4125">
        <w:rPr>
          <w:i/>
          <w:iCs/>
          <w:sz w:val="21"/>
          <w:szCs w:val="21"/>
        </w:rPr>
        <w:t>en</w:t>
      </w:r>
      <w:r w:rsidRPr="002F4125">
        <w:rPr>
          <w:i/>
          <w:iCs/>
          <w:spacing w:val="-3"/>
          <w:sz w:val="21"/>
          <w:szCs w:val="21"/>
        </w:rPr>
        <w:t xml:space="preserve"> </w:t>
      </w:r>
      <w:r w:rsidRPr="002F4125">
        <w:rPr>
          <w:i/>
          <w:iCs/>
          <w:sz w:val="21"/>
          <w:szCs w:val="21"/>
        </w:rPr>
        <w:t>las</w:t>
      </w:r>
      <w:r w:rsidRPr="002F4125">
        <w:rPr>
          <w:i/>
          <w:iCs/>
          <w:spacing w:val="-3"/>
          <w:sz w:val="21"/>
          <w:szCs w:val="21"/>
        </w:rPr>
        <w:t xml:space="preserve"> </w:t>
      </w:r>
      <w:r w:rsidRPr="002F4125">
        <w:rPr>
          <w:i/>
          <w:iCs/>
          <w:sz w:val="21"/>
          <w:szCs w:val="21"/>
        </w:rPr>
        <w:t>normas</w:t>
      </w:r>
      <w:r w:rsidRPr="002F4125">
        <w:rPr>
          <w:i/>
          <w:iCs/>
          <w:spacing w:val="-2"/>
          <w:sz w:val="21"/>
          <w:szCs w:val="21"/>
        </w:rPr>
        <w:t xml:space="preserve"> </w:t>
      </w:r>
      <w:r w:rsidRPr="002F4125">
        <w:rPr>
          <w:i/>
          <w:iCs/>
          <w:sz w:val="21"/>
          <w:szCs w:val="21"/>
        </w:rPr>
        <w:t>precitadas</w:t>
      </w:r>
      <w:r w:rsidRPr="002F4125">
        <w:rPr>
          <w:i/>
          <w:iCs/>
          <w:spacing w:val="-1"/>
          <w:sz w:val="21"/>
          <w:szCs w:val="21"/>
        </w:rPr>
        <w:t xml:space="preserve"> </w:t>
      </w:r>
      <w:r w:rsidRPr="002F4125">
        <w:rPr>
          <w:i/>
          <w:iCs/>
          <w:sz w:val="21"/>
          <w:szCs w:val="21"/>
        </w:rPr>
        <w:t>aplica en</w:t>
      </w:r>
      <w:r w:rsidRPr="002F4125">
        <w:rPr>
          <w:i/>
          <w:iCs/>
          <w:spacing w:val="38"/>
          <w:sz w:val="21"/>
          <w:szCs w:val="21"/>
        </w:rPr>
        <w:t xml:space="preserve"> </w:t>
      </w:r>
      <w:r w:rsidRPr="002F4125">
        <w:rPr>
          <w:i/>
          <w:iCs/>
          <w:sz w:val="21"/>
          <w:szCs w:val="21"/>
        </w:rPr>
        <w:t>cuanto</w:t>
      </w:r>
      <w:r w:rsidRPr="002F4125">
        <w:rPr>
          <w:i/>
          <w:iCs/>
          <w:spacing w:val="40"/>
          <w:sz w:val="21"/>
          <w:szCs w:val="21"/>
        </w:rPr>
        <w:t xml:space="preserve"> </w:t>
      </w:r>
      <w:r w:rsidRPr="002F4125">
        <w:rPr>
          <w:i/>
          <w:iCs/>
          <w:sz w:val="21"/>
          <w:szCs w:val="21"/>
        </w:rPr>
        <w:t>al</w:t>
      </w:r>
      <w:r w:rsidRPr="002F4125">
        <w:rPr>
          <w:i/>
          <w:iCs/>
          <w:spacing w:val="38"/>
          <w:sz w:val="21"/>
          <w:szCs w:val="21"/>
        </w:rPr>
        <w:t xml:space="preserve"> </w:t>
      </w:r>
      <w:r w:rsidRPr="002F4125">
        <w:rPr>
          <w:i/>
          <w:iCs/>
          <w:sz w:val="21"/>
          <w:szCs w:val="21"/>
        </w:rPr>
        <w:t>inicio</w:t>
      </w:r>
      <w:r w:rsidRPr="002F4125">
        <w:rPr>
          <w:i/>
          <w:iCs/>
          <w:spacing w:val="40"/>
          <w:sz w:val="21"/>
          <w:szCs w:val="21"/>
        </w:rPr>
        <w:t xml:space="preserve"> </w:t>
      </w:r>
      <w:r w:rsidRPr="002F4125">
        <w:rPr>
          <w:i/>
          <w:iCs/>
          <w:sz w:val="21"/>
          <w:szCs w:val="21"/>
        </w:rPr>
        <w:t>del</w:t>
      </w:r>
      <w:r w:rsidRPr="002F4125">
        <w:rPr>
          <w:i/>
          <w:iCs/>
          <w:spacing w:val="39"/>
          <w:sz w:val="21"/>
          <w:szCs w:val="21"/>
        </w:rPr>
        <w:t xml:space="preserve"> </w:t>
      </w:r>
      <w:r w:rsidRPr="002F4125">
        <w:rPr>
          <w:i/>
          <w:iCs/>
          <w:sz w:val="21"/>
          <w:szCs w:val="21"/>
        </w:rPr>
        <w:t>cómputo.</w:t>
      </w:r>
      <w:r w:rsidRPr="002F4125">
        <w:rPr>
          <w:i/>
          <w:iCs/>
          <w:spacing w:val="40"/>
          <w:sz w:val="21"/>
          <w:szCs w:val="21"/>
        </w:rPr>
        <w:t xml:space="preserve"> </w:t>
      </w:r>
      <w:r w:rsidRPr="002F4125">
        <w:rPr>
          <w:i/>
          <w:iCs/>
          <w:sz w:val="21"/>
          <w:szCs w:val="21"/>
        </w:rPr>
        <w:t>Es</w:t>
      </w:r>
      <w:r w:rsidRPr="002F4125">
        <w:rPr>
          <w:i/>
          <w:iCs/>
          <w:spacing w:val="38"/>
          <w:sz w:val="21"/>
          <w:szCs w:val="21"/>
        </w:rPr>
        <w:t xml:space="preserve"> </w:t>
      </w:r>
      <w:r w:rsidRPr="002F4125">
        <w:rPr>
          <w:i/>
          <w:iCs/>
          <w:sz w:val="21"/>
          <w:szCs w:val="21"/>
        </w:rPr>
        <w:t>decir,</w:t>
      </w:r>
      <w:r w:rsidRPr="002F4125">
        <w:rPr>
          <w:i/>
          <w:iCs/>
          <w:spacing w:val="40"/>
          <w:sz w:val="21"/>
          <w:szCs w:val="21"/>
        </w:rPr>
        <w:t xml:space="preserve"> </w:t>
      </w:r>
      <w:r w:rsidRPr="002F4125">
        <w:rPr>
          <w:i/>
          <w:iCs/>
          <w:sz w:val="21"/>
          <w:szCs w:val="21"/>
        </w:rPr>
        <w:t>esta</w:t>
      </w:r>
      <w:r w:rsidRPr="002F4125">
        <w:rPr>
          <w:i/>
          <w:iCs/>
          <w:spacing w:val="39"/>
          <w:sz w:val="21"/>
          <w:szCs w:val="21"/>
        </w:rPr>
        <w:t xml:space="preserve"> </w:t>
      </w:r>
      <w:r w:rsidRPr="002F4125">
        <w:rPr>
          <w:i/>
          <w:iCs/>
          <w:sz w:val="21"/>
          <w:szCs w:val="21"/>
        </w:rPr>
        <w:t>regla</w:t>
      </w:r>
      <w:r w:rsidRPr="002F4125">
        <w:rPr>
          <w:i/>
          <w:iCs/>
          <w:spacing w:val="39"/>
          <w:sz w:val="21"/>
          <w:szCs w:val="21"/>
        </w:rPr>
        <w:t xml:space="preserve"> </w:t>
      </w:r>
      <w:r w:rsidRPr="002F4125">
        <w:rPr>
          <w:i/>
          <w:iCs/>
          <w:sz w:val="21"/>
          <w:szCs w:val="21"/>
        </w:rPr>
        <w:t>permite</w:t>
      </w:r>
      <w:r w:rsidRPr="002F4125">
        <w:rPr>
          <w:i/>
          <w:iCs/>
          <w:spacing w:val="40"/>
          <w:sz w:val="21"/>
          <w:szCs w:val="21"/>
        </w:rPr>
        <w:t xml:space="preserve"> </w:t>
      </w:r>
      <w:r w:rsidRPr="002F4125">
        <w:rPr>
          <w:i/>
          <w:iCs/>
          <w:sz w:val="21"/>
          <w:szCs w:val="21"/>
        </w:rPr>
        <w:t>identificar</w:t>
      </w:r>
      <w:r w:rsidRPr="002F4125">
        <w:rPr>
          <w:i/>
          <w:iCs/>
          <w:spacing w:val="40"/>
          <w:sz w:val="21"/>
          <w:szCs w:val="21"/>
        </w:rPr>
        <w:t xml:space="preserve"> </w:t>
      </w:r>
      <w:r w:rsidRPr="002F4125">
        <w:rPr>
          <w:i/>
          <w:iCs/>
          <w:sz w:val="21"/>
          <w:szCs w:val="21"/>
        </w:rPr>
        <w:t>la</w:t>
      </w:r>
      <w:r w:rsidR="00C67A7F" w:rsidRPr="002F4125">
        <w:rPr>
          <w:i/>
          <w:iCs/>
          <w:sz w:val="21"/>
          <w:szCs w:val="21"/>
        </w:rPr>
        <w:t xml:space="preserve"> entidad pública a partir de cuándo puede contar el término de experiencia, teniendo en cuenta los certificados que se alleguen para determinar su idoneidad en el Proceso de Contratación. Ahora bien, la exigencia de experiencia profesional está sujeta a lo dispuesto por cada entidad, en el momento de establecer la experiencia general o específica dentro de los diversos Procesos de Contratación. Bajo este criterio, la entidad pública es la encargada de establecer dentro de los pliegos de condiciones la experiencia que</w:t>
      </w:r>
      <w:r w:rsidR="00C67A7F" w:rsidRPr="002F4125">
        <w:rPr>
          <w:i/>
          <w:iCs/>
          <w:spacing w:val="-4"/>
          <w:sz w:val="21"/>
          <w:szCs w:val="21"/>
        </w:rPr>
        <w:t xml:space="preserve"> </w:t>
      </w:r>
      <w:r w:rsidR="00C67A7F" w:rsidRPr="002F4125">
        <w:rPr>
          <w:i/>
          <w:iCs/>
          <w:sz w:val="21"/>
          <w:szCs w:val="21"/>
        </w:rPr>
        <w:t>debe</w:t>
      </w:r>
      <w:r w:rsidR="00C67A7F" w:rsidRPr="002F4125">
        <w:rPr>
          <w:i/>
          <w:iCs/>
          <w:spacing w:val="-4"/>
          <w:sz w:val="21"/>
          <w:szCs w:val="21"/>
        </w:rPr>
        <w:t xml:space="preserve"> </w:t>
      </w:r>
      <w:r w:rsidR="00C67A7F" w:rsidRPr="002F4125">
        <w:rPr>
          <w:i/>
          <w:iCs/>
          <w:sz w:val="21"/>
          <w:szCs w:val="21"/>
        </w:rPr>
        <w:t>exigirse</w:t>
      </w:r>
      <w:r w:rsidR="00C67A7F" w:rsidRPr="002F4125">
        <w:rPr>
          <w:i/>
          <w:iCs/>
          <w:spacing w:val="-2"/>
          <w:sz w:val="21"/>
          <w:szCs w:val="21"/>
        </w:rPr>
        <w:t xml:space="preserve"> </w:t>
      </w:r>
      <w:r w:rsidR="00C67A7F" w:rsidRPr="002F4125">
        <w:rPr>
          <w:i/>
          <w:iCs/>
          <w:sz w:val="21"/>
          <w:szCs w:val="21"/>
        </w:rPr>
        <w:t>dentro</w:t>
      </w:r>
      <w:r w:rsidR="00C67A7F" w:rsidRPr="002F4125">
        <w:rPr>
          <w:i/>
          <w:iCs/>
          <w:spacing w:val="-3"/>
          <w:sz w:val="21"/>
          <w:szCs w:val="21"/>
        </w:rPr>
        <w:t xml:space="preserve"> </w:t>
      </w:r>
      <w:r w:rsidR="00C67A7F" w:rsidRPr="002F4125">
        <w:rPr>
          <w:i/>
          <w:iCs/>
          <w:sz w:val="21"/>
          <w:szCs w:val="21"/>
        </w:rPr>
        <w:t>del</w:t>
      </w:r>
      <w:r w:rsidR="00C67A7F" w:rsidRPr="002F4125">
        <w:rPr>
          <w:i/>
          <w:iCs/>
          <w:spacing w:val="-4"/>
          <w:sz w:val="21"/>
          <w:szCs w:val="21"/>
        </w:rPr>
        <w:t xml:space="preserve"> </w:t>
      </w:r>
      <w:r w:rsidR="00C67A7F" w:rsidRPr="002F4125">
        <w:rPr>
          <w:i/>
          <w:iCs/>
          <w:sz w:val="21"/>
          <w:szCs w:val="21"/>
        </w:rPr>
        <w:t>proceso.</w:t>
      </w:r>
      <w:r w:rsidR="00C67A7F" w:rsidRPr="002F4125">
        <w:rPr>
          <w:i/>
          <w:iCs/>
          <w:spacing w:val="-2"/>
          <w:sz w:val="21"/>
          <w:szCs w:val="21"/>
        </w:rPr>
        <w:t xml:space="preserve"> </w:t>
      </w:r>
      <w:r w:rsidR="00C67A7F" w:rsidRPr="002F4125">
        <w:rPr>
          <w:i/>
          <w:iCs/>
          <w:sz w:val="21"/>
          <w:szCs w:val="21"/>
        </w:rPr>
        <w:t>En</w:t>
      </w:r>
      <w:r w:rsidR="00C67A7F" w:rsidRPr="002F4125">
        <w:rPr>
          <w:i/>
          <w:iCs/>
          <w:spacing w:val="-4"/>
          <w:sz w:val="21"/>
          <w:szCs w:val="21"/>
        </w:rPr>
        <w:t xml:space="preserve"> </w:t>
      </w:r>
      <w:r w:rsidR="00C67A7F" w:rsidRPr="002F4125">
        <w:rPr>
          <w:i/>
          <w:iCs/>
          <w:sz w:val="21"/>
          <w:szCs w:val="21"/>
        </w:rPr>
        <w:t>tal</w:t>
      </w:r>
      <w:r w:rsidR="00C67A7F" w:rsidRPr="002F4125">
        <w:rPr>
          <w:i/>
          <w:iCs/>
          <w:spacing w:val="-4"/>
          <w:sz w:val="21"/>
          <w:szCs w:val="21"/>
        </w:rPr>
        <w:t xml:space="preserve"> </w:t>
      </w:r>
      <w:r w:rsidR="00C67A7F" w:rsidRPr="002F4125">
        <w:rPr>
          <w:i/>
          <w:iCs/>
          <w:sz w:val="21"/>
          <w:szCs w:val="21"/>
        </w:rPr>
        <w:t>sentido,</w:t>
      </w:r>
      <w:r w:rsidR="00C67A7F" w:rsidRPr="002F4125">
        <w:rPr>
          <w:i/>
          <w:iCs/>
          <w:spacing w:val="-2"/>
          <w:sz w:val="21"/>
          <w:szCs w:val="21"/>
        </w:rPr>
        <w:t xml:space="preserve"> </w:t>
      </w:r>
      <w:r w:rsidR="00C67A7F" w:rsidRPr="002F4125">
        <w:rPr>
          <w:i/>
          <w:iCs/>
          <w:sz w:val="21"/>
          <w:szCs w:val="21"/>
        </w:rPr>
        <w:t>la</w:t>
      </w:r>
      <w:r w:rsidR="00C67A7F" w:rsidRPr="002F4125">
        <w:rPr>
          <w:i/>
          <w:iCs/>
          <w:spacing w:val="-5"/>
          <w:sz w:val="21"/>
          <w:szCs w:val="21"/>
        </w:rPr>
        <w:t xml:space="preserve"> </w:t>
      </w:r>
      <w:r w:rsidR="00C67A7F" w:rsidRPr="002F4125">
        <w:rPr>
          <w:i/>
          <w:iCs/>
          <w:sz w:val="21"/>
          <w:szCs w:val="21"/>
        </w:rPr>
        <w:t>forma</w:t>
      </w:r>
      <w:r w:rsidR="00C67A7F" w:rsidRPr="002F4125">
        <w:rPr>
          <w:i/>
          <w:iCs/>
          <w:spacing w:val="-4"/>
          <w:sz w:val="21"/>
          <w:szCs w:val="21"/>
        </w:rPr>
        <w:t xml:space="preserve"> </w:t>
      </w:r>
      <w:r w:rsidR="00C67A7F" w:rsidRPr="002F4125">
        <w:rPr>
          <w:i/>
          <w:iCs/>
          <w:sz w:val="21"/>
          <w:szCs w:val="21"/>
        </w:rPr>
        <w:t>de</w:t>
      </w:r>
      <w:r w:rsidR="00C67A7F" w:rsidRPr="002F4125">
        <w:rPr>
          <w:i/>
          <w:iCs/>
          <w:spacing w:val="-4"/>
          <w:sz w:val="21"/>
          <w:szCs w:val="21"/>
        </w:rPr>
        <w:t xml:space="preserve"> </w:t>
      </w:r>
      <w:r w:rsidR="00C67A7F" w:rsidRPr="002F4125">
        <w:rPr>
          <w:i/>
          <w:iCs/>
          <w:sz w:val="21"/>
          <w:szCs w:val="21"/>
        </w:rPr>
        <w:t>acreditación de</w:t>
      </w:r>
      <w:r w:rsidR="00C67A7F" w:rsidRPr="002F4125">
        <w:rPr>
          <w:i/>
          <w:iCs/>
          <w:spacing w:val="-3"/>
          <w:sz w:val="21"/>
          <w:szCs w:val="21"/>
        </w:rPr>
        <w:t xml:space="preserve"> </w:t>
      </w:r>
      <w:r w:rsidR="00C67A7F" w:rsidRPr="002F4125">
        <w:rPr>
          <w:i/>
          <w:iCs/>
          <w:sz w:val="21"/>
          <w:szCs w:val="21"/>
        </w:rPr>
        <w:t>la</w:t>
      </w:r>
      <w:r w:rsidR="00C67A7F" w:rsidRPr="002F4125">
        <w:rPr>
          <w:i/>
          <w:iCs/>
          <w:spacing w:val="-3"/>
          <w:sz w:val="21"/>
          <w:szCs w:val="21"/>
        </w:rPr>
        <w:t xml:space="preserve"> </w:t>
      </w:r>
      <w:r w:rsidR="00C67A7F" w:rsidRPr="002F4125">
        <w:rPr>
          <w:i/>
          <w:iCs/>
          <w:sz w:val="21"/>
          <w:szCs w:val="21"/>
        </w:rPr>
        <w:t>experiencia</w:t>
      </w:r>
      <w:r w:rsidR="00C67A7F" w:rsidRPr="002F4125">
        <w:rPr>
          <w:i/>
          <w:iCs/>
          <w:spacing w:val="-1"/>
          <w:sz w:val="21"/>
          <w:szCs w:val="21"/>
        </w:rPr>
        <w:t xml:space="preserve"> </w:t>
      </w:r>
      <w:r w:rsidR="00C67A7F" w:rsidRPr="002F4125">
        <w:rPr>
          <w:i/>
          <w:iCs/>
          <w:sz w:val="21"/>
          <w:szCs w:val="21"/>
        </w:rPr>
        <w:t>por</w:t>
      </w:r>
      <w:r w:rsidR="00C67A7F" w:rsidRPr="002F4125">
        <w:rPr>
          <w:i/>
          <w:iCs/>
          <w:spacing w:val="-3"/>
          <w:sz w:val="21"/>
          <w:szCs w:val="21"/>
        </w:rPr>
        <w:t xml:space="preserve"> </w:t>
      </w:r>
      <w:r w:rsidR="00C67A7F" w:rsidRPr="002F4125">
        <w:rPr>
          <w:i/>
          <w:iCs/>
          <w:sz w:val="21"/>
          <w:szCs w:val="21"/>
        </w:rPr>
        <w:t>parte</w:t>
      </w:r>
      <w:r w:rsidR="00C67A7F" w:rsidRPr="002F4125">
        <w:rPr>
          <w:i/>
          <w:iCs/>
          <w:spacing w:val="-2"/>
          <w:sz w:val="21"/>
          <w:szCs w:val="21"/>
        </w:rPr>
        <w:t xml:space="preserve"> </w:t>
      </w:r>
      <w:r w:rsidR="00C67A7F" w:rsidRPr="002F4125">
        <w:rPr>
          <w:i/>
          <w:iCs/>
          <w:sz w:val="21"/>
          <w:szCs w:val="21"/>
        </w:rPr>
        <w:t>de</w:t>
      </w:r>
      <w:r w:rsidR="00C67A7F" w:rsidRPr="002F4125">
        <w:rPr>
          <w:i/>
          <w:iCs/>
          <w:spacing w:val="-3"/>
          <w:sz w:val="21"/>
          <w:szCs w:val="21"/>
        </w:rPr>
        <w:t xml:space="preserve"> </w:t>
      </w:r>
      <w:r w:rsidR="00C67A7F" w:rsidRPr="002F4125">
        <w:rPr>
          <w:i/>
          <w:iCs/>
          <w:sz w:val="21"/>
          <w:szCs w:val="21"/>
        </w:rPr>
        <w:t>los</w:t>
      </w:r>
      <w:r w:rsidR="00C67A7F" w:rsidRPr="002F4125">
        <w:rPr>
          <w:i/>
          <w:iCs/>
          <w:spacing w:val="-3"/>
          <w:sz w:val="21"/>
          <w:szCs w:val="21"/>
        </w:rPr>
        <w:t xml:space="preserve"> </w:t>
      </w:r>
      <w:r w:rsidR="00C67A7F" w:rsidRPr="002F4125">
        <w:rPr>
          <w:i/>
          <w:iCs/>
          <w:sz w:val="21"/>
          <w:szCs w:val="21"/>
        </w:rPr>
        <w:t>proponentes</w:t>
      </w:r>
      <w:r w:rsidR="00C67A7F" w:rsidRPr="002F4125">
        <w:rPr>
          <w:i/>
          <w:iCs/>
          <w:spacing w:val="-2"/>
          <w:sz w:val="21"/>
          <w:szCs w:val="21"/>
        </w:rPr>
        <w:t xml:space="preserve"> </w:t>
      </w:r>
      <w:r w:rsidR="00C67A7F" w:rsidRPr="002F4125">
        <w:rPr>
          <w:i/>
          <w:iCs/>
          <w:sz w:val="21"/>
          <w:szCs w:val="21"/>
        </w:rPr>
        <w:t>se</w:t>
      </w:r>
      <w:r w:rsidR="00C67A7F" w:rsidRPr="002F4125">
        <w:rPr>
          <w:i/>
          <w:iCs/>
          <w:spacing w:val="-3"/>
          <w:sz w:val="21"/>
          <w:szCs w:val="21"/>
        </w:rPr>
        <w:t xml:space="preserve"> </w:t>
      </w:r>
      <w:r w:rsidR="00C67A7F" w:rsidRPr="002F4125">
        <w:rPr>
          <w:i/>
          <w:iCs/>
          <w:sz w:val="21"/>
          <w:szCs w:val="21"/>
        </w:rPr>
        <w:t>realizará</w:t>
      </w:r>
      <w:r w:rsidR="00C67A7F" w:rsidRPr="002F4125">
        <w:rPr>
          <w:i/>
          <w:iCs/>
          <w:spacing w:val="-2"/>
          <w:sz w:val="21"/>
          <w:szCs w:val="21"/>
        </w:rPr>
        <w:t xml:space="preserve"> </w:t>
      </w:r>
      <w:r w:rsidR="00C67A7F" w:rsidRPr="002F4125">
        <w:rPr>
          <w:i/>
          <w:iCs/>
          <w:sz w:val="21"/>
          <w:szCs w:val="21"/>
        </w:rPr>
        <w:t>en</w:t>
      </w:r>
      <w:r w:rsidR="00C67A7F" w:rsidRPr="002F4125">
        <w:rPr>
          <w:i/>
          <w:iCs/>
          <w:spacing w:val="-3"/>
          <w:sz w:val="21"/>
          <w:szCs w:val="21"/>
        </w:rPr>
        <w:t xml:space="preserve"> </w:t>
      </w:r>
      <w:r w:rsidR="00C67A7F" w:rsidRPr="002F4125">
        <w:rPr>
          <w:i/>
          <w:iCs/>
          <w:sz w:val="21"/>
          <w:szCs w:val="21"/>
        </w:rPr>
        <w:t>las</w:t>
      </w:r>
      <w:r w:rsidR="00C67A7F" w:rsidRPr="002F4125">
        <w:rPr>
          <w:i/>
          <w:iCs/>
          <w:spacing w:val="-3"/>
          <w:sz w:val="21"/>
          <w:szCs w:val="21"/>
        </w:rPr>
        <w:t xml:space="preserve"> </w:t>
      </w:r>
      <w:r w:rsidR="00C67A7F" w:rsidRPr="002F4125">
        <w:rPr>
          <w:i/>
          <w:iCs/>
          <w:sz w:val="21"/>
          <w:szCs w:val="21"/>
        </w:rPr>
        <w:t>condiciones establecidas en el respectivo pliego de condiciones, pues no hay una noción general de experiencia general y específica, sino que ello corresponderá a lo establecido en los Documentos del Proceso.</w:t>
      </w:r>
      <w:r w:rsidR="00150126" w:rsidRPr="002F4125">
        <w:rPr>
          <w:i/>
          <w:iCs/>
          <w:sz w:val="21"/>
          <w:szCs w:val="21"/>
        </w:rPr>
        <w:t xml:space="preserve"> […]”</w:t>
      </w:r>
    </w:p>
    <w:p w14:paraId="1E60E10A" w14:textId="47BFAA49" w:rsidR="00E04F12" w:rsidRDefault="00476DBF" w:rsidP="00AA7BE1">
      <w:pPr>
        <w:spacing w:before="120" w:after="120" w:line="276" w:lineRule="auto"/>
        <w:ind w:right="51" w:firstLine="708"/>
        <w:jc w:val="both"/>
        <w:rPr>
          <w:rFonts w:ascii="Verdana" w:hAnsi="Verdana" w:cs="Arial"/>
          <w:lang w:eastAsia="es-ES_tradnl"/>
        </w:rPr>
      </w:pPr>
      <w:r w:rsidRPr="00476DBF">
        <w:rPr>
          <w:rFonts w:ascii="Verdana" w:hAnsi="Verdana" w:cs="Arial"/>
          <w:lang w:eastAsia="es-ES_tradnl"/>
        </w:rPr>
        <w:t xml:space="preserve">La postura expuesta previamente por la Subdirección de Gestión Contractual, en torno al </w:t>
      </w:r>
      <w:r>
        <w:rPr>
          <w:rFonts w:ascii="Verdana" w:hAnsi="Verdana" w:cs="Arial"/>
          <w:lang w:eastAsia="es-ES_tradnl"/>
        </w:rPr>
        <w:t xml:space="preserve">desde </w:t>
      </w:r>
      <w:r w:rsidR="003E4D04">
        <w:rPr>
          <w:rFonts w:ascii="Verdana" w:hAnsi="Verdana" w:cs="Arial"/>
          <w:lang w:eastAsia="es-ES_tradnl"/>
        </w:rPr>
        <w:t>cuándo</w:t>
      </w:r>
      <w:r>
        <w:rPr>
          <w:rFonts w:ascii="Verdana" w:hAnsi="Verdana" w:cs="Arial"/>
          <w:lang w:eastAsia="es-ES_tradnl"/>
        </w:rPr>
        <w:t xml:space="preserve"> se debe realizar el </w:t>
      </w:r>
      <w:r w:rsidR="002F4125">
        <w:rPr>
          <w:rFonts w:ascii="Verdana" w:hAnsi="Verdana" w:cs="Arial"/>
          <w:lang w:eastAsia="es-ES_tradnl"/>
        </w:rPr>
        <w:t>cómputo</w:t>
      </w:r>
      <w:r>
        <w:rPr>
          <w:rFonts w:ascii="Verdana" w:hAnsi="Verdana" w:cs="Arial"/>
          <w:lang w:eastAsia="es-ES_tradnl"/>
        </w:rPr>
        <w:t xml:space="preserve"> de la experiencia profesional para la profesión de los Ingenieros y afines</w:t>
      </w:r>
      <w:r w:rsidRPr="00476DBF">
        <w:rPr>
          <w:rFonts w:ascii="Verdana" w:hAnsi="Verdana" w:cs="Arial"/>
          <w:lang w:eastAsia="es-ES_tradnl"/>
        </w:rPr>
        <w:t xml:space="preserve">, no ha sido </w:t>
      </w:r>
      <w:r w:rsidR="002F4125" w:rsidRPr="00476DBF">
        <w:rPr>
          <w:rFonts w:ascii="Verdana" w:hAnsi="Verdana" w:cs="Arial"/>
          <w:lang w:eastAsia="es-ES_tradnl"/>
        </w:rPr>
        <w:t>pacífica</w:t>
      </w:r>
      <w:r w:rsidRPr="00476DBF">
        <w:rPr>
          <w:rFonts w:ascii="Verdana" w:hAnsi="Verdana" w:cs="Arial"/>
          <w:lang w:eastAsia="es-ES_tradnl"/>
        </w:rPr>
        <w:t xml:space="preserve">. En razón a ello, resulta relevante, a efectos de atender la consulta planteada exponer </w:t>
      </w:r>
      <w:r w:rsidR="00A877A3">
        <w:rPr>
          <w:rFonts w:ascii="Verdana" w:hAnsi="Verdana" w:cs="Arial"/>
          <w:lang w:eastAsia="es-ES_tradnl"/>
        </w:rPr>
        <w:t xml:space="preserve">el análisis realizado a la Sentencia </w:t>
      </w:r>
      <w:r w:rsidR="00A877A3" w:rsidRPr="002F4125">
        <w:rPr>
          <w:rFonts w:ascii="Verdana" w:hAnsi="Verdana" w:cs="Arial"/>
          <w:lang w:eastAsia="es-ES_tradnl"/>
        </w:rPr>
        <w:t xml:space="preserve">de Constitucionalidad </w:t>
      </w:r>
      <w:r w:rsidR="00A877A3" w:rsidRPr="005D621F">
        <w:rPr>
          <w:rFonts w:ascii="Verdana" w:eastAsia="Calibri" w:hAnsi="Verdana" w:cs="Arial"/>
        </w:rPr>
        <w:t>C-296 del 18 de abril de 2012, Magistrado Ponente: Juan Carlos Henao Pérez</w:t>
      </w:r>
      <w:r w:rsidR="00A877A3">
        <w:rPr>
          <w:rFonts w:ascii="Verdana" w:eastAsia="Calibri" w:hAnsi="Verdana" w:cs="Arial"/>
        </w:rPr>
        <w:t xml:space="preserve"> en donde se estudió artículo </w:t>
      </w:r>
      <w:r w:rsidR="00A877A3" w:rsidRPr="002F4125">
        <w:rPr>
          <w:rFonts w:ascii="Verdana" w:eastAsia="Calibri" w:hAnsi="Verdana" w:cs="Arial"/>
        </w:rPr>
        <w:t>12 de la ley</w:t>
      </w:r>
      <w:r w:rsidR="00D73934" w:rsidRPr="002F4125">
        <w:rPr>
          <w:rFonts w:ascii="Verdana" w:eastAsia="Calibri" w:hAnsi="Verdana" w:cs="Arial"/>
        </w:rPr>
        <w:t xml:space="preserve"> </w:t>
      </w:r>
      <w:r w:rsidR="00D73934" w:rsidRPr="002F4125">
        <w:rPr>
          <w:rFonts w:ascii="Verdana" w:hAnsi="Verdana"/>
          <w:lang w:val="es-ES"/>
        </w:rPr>
        <w:t xml:space="preserve">842 de </w:t>
      </w:r>
      <w:r w:rsidR="002F4125" w:rsidRPr="002F4125">
        <w:rPr>
          <w:rFonts w:ascii="Verdana" w:hAnsi="Verdana"/>
          <w:lang w:val="es-ES"/>
        </w:rPr>
        <w:t>2003</w:t>
      </w:r>
      <w:r w:rsidR="002F4125" w:rsidRPr="002F4125">
        <w:rPr>
          <w:lang w:val="es-ES"/>
        </w:rPr>
        <w:t>.</w:t>
      </w:r>
      <w:r w:rsidRPr="00476DBF">
        <w:rPr>
          <w:rFonts w:ascii="Verdana" w:hAnsi="Verdana" w:cs="Arial"/>
          <w:lang w:eastAsia="es-ES_tradnl"/>
        </w:rPr>
        <w:t xml:space="preserve"> Dicha exposición se realiza con el fin de explicar las razones por las cuales esta Agencia considera necesario hacer </w:t>
      </w:r>
      <w:r w:rsidRPr="00C97A63">
        <w:rPr>
          <w:rFonts w:ascii="Verdana" w:hAnsi="Verdana" w:cs="Arial"/>
          <w:lang w:eastAsia="es-ES_tradnl"/>
        </w:rPr>
        <w:t>un cambio en su línea doctrinal sobre el tema analizado</w:t>
      </w:r>
      <w:r w:rsidR="00D73934" w:rsidRPr="00C97A63">
        <w:rPr>
          <w:rFonts w:ascii="Verdana" w:hAnsi="Verdana" w:cs="Arial"/>
          <w:lang w:eastAsia="es-ES_tradnl"/>
        </w:rPr>
        <w:t>.</w:t>
      </w:r>
    </w:p>
    <w:p w14:paraId="0800E709" w14:textId="039A74BD" w:rsidR="00FC6340" w:rsidRDefault="001F0F62" w:rsidP="00AA7BE1">
      <w:pPr>
        <w:spacing w:before="120" w:after="120" w:line="276" w:lineRule="auto"/>
        <w:ind w:right="51" w:firstLine="708"/>
        <w:jc w:val="both"/>
        <w:rPr>
          <w:rFonts w:ascii="Verdana" w:eastAsia="Calibri" w:hAnsi="Verdana" w:cs="Arial"/>
        </w:rPr>
      </w:pPr>
      <w:r>
        <w:rPr>
          <w:rFonts w:ascii="Verdana" w:eastAsia="Calibri" w:hAnsi="Verdana" w:cs="Arial"/>
          <w:lang w:val="es-MX"/>
        </w:rPr>
        <w:t xml:space="preserve">Como primera medida se logra establecer que </w:t>
      </w:r>
      <w:r w:rsidRPr="001F0F62">
        <w:rPr>
          <w:rFonts w:ascii="Verdana" w:eastAsia="Calibri" w:hAnsi="Verdana" w:cs="Arial"/>
        </w:rPr>
        <w:t>La principal justificación para que el cómputo de la experiencia profesional</w:t>
      </w:r>
      <w:r w:rsidR="0093365A">
        <w:rPr>
          <w:rFonts w:ascii="Verdana" w:eastAsia="Calibri" w:hAnsi="Verdana" w:cs="Arial"/>
        </w:rPr>
        <w:t xml:space="preserve"> de los ingenieros</w:t>
      </w:r>
      <w:r w:rsidRPr="001F0F62">
        <w:rPr>
          <w:rFonts w:ascii="Verdana" w:eastAsia="Calibri" w:hAnsi="Verdana" w:cs="Arial"/>
        </w:rPr>
        <w:t xml:space="preserve"> se realice desde la expedición de la matrícula profesional radica en el </w:t>
      </w:r>
      <w:r w:rsidRPr="00BB013F">
        <w:rPr>
          <w:rFonts w:ascii="Verdana" w:eastAsia="Calibri" w:hAnsi="Verdana" w:cs="Arial"/>
        </w:rPr>
        <w:t>riesgo social</w:t>
      </w:r>
      <w:r w:rsidRPr="001F0F62">
        <w:rPr>
          <w:rFonts w:ascii="Verdana" w:eastAsia="Calibri" w:hAnsi="Verdana" w:cs="Arial"/>
        </w:rPr>
        <w:t xml:space="preserve"> que implican las profesiones de ingeniería. El ejercicio de estas profesiones no solo tiene impacto en la calidad de los proyectos o servicios, sino que también afecta directamente </w:t>
      </w:r>
      <w:r w:rsidRPr="00BB013F">
        <w:rPr>
          <w:rFonts w:ascii="Verdana" w:eastAsia="Calibri" w:hAnsi="Verdana" w:cs="Arial"/>
        </w:rPr>
        <w:t>la seguridad, la salud y la vida</w:t>
      </w:r>
      <w:r w:rsidRPr="001F0F62">
        <w:rPr>
          <w:rFonts w:ascii="Verdana" w:eastAsia="Calibri" w:hAnsi="Verdana" w:cs="Arial"/>
        </w:rPr>
        <w:t xml:space="preserve"> de la comunidad. Las decisiones tomadas por los ingenieros (como cálculos estructurales, diseño de infraestructuras o gestión de proyectos de construcción) pueden tener consecuencias graves si no se realizan correctamente. Por tanto, se considera que </w:t>
      </w:r>
      <w:r w:rsidRPr="007B17A3">
        <w:rPr>
          <w:rFonts w:ascii="Verdana" w:eastAsia="Calibri" w:hAnsi="Verdana" w:cs="Arial"/>
        </w:rPr>
        <w:t xml:space="preserve">una mayor exigencia de idoneidad es necesaria para minimizar estos </w:t>
      </w:r>
      <w:r w:rsidRPr="007B17A3">
        <w:rPr>
          <w:rFonts w:ascii="Verdana" w:eastAsia="Calibri" w:hAnsi="Verdana" w:cs="Arial"/>
        </w:rPr>
        <w:lastRenderedPageBreak/>
        <w:t>riesgos</w:t>
      </w:r>
      <w:r w:rsidR="00BB013F">
        <w:rPr>
          <w:rFonts w:ascii="Verdana" w:eastAsia="Calibri" w:hAnsi="Verdana" w:cs="Arial"/>
        </w:rPr>
        <w:t>, e</w:t>
      </w:r>
      <w:r w:rsidR="00FC6340" w:rsidRPr="00FC6340">
        <w:rPr>
          <w:rFonts w:ascii="Verdana" w:eastAsia="Calibri" w:hAnsi="Verdana" w:cs="Arial"/>
        </w:rPr>
        <w:t>n este sentido, la Corte señala que la diferenciación en la exigencia de experiencia entre</w:t>
      </w:r>
      <w:r w:rsidR="00FC6340">
        <w:rPr>
          <w:rFonts w:ascii="Verdana" w:eastAsia="Calibri" w:hAnsi="Verdana" w:cs="Arial"/>
        </w:rPr>
        <w:t xml:space="preserve"> la profesión de </w:t>
      </w:r>
      <w:r w:rsidR="00FC6340" w:rsidRPr="00FC6340">
        <w:rPr>
          <w:rFonts w:ascii="Verdana" w:eastAsia="Calibri" w:hAnsi="Verdana" w:cs="Arial"/>
        </w:rPr>
        <w:t xml:space="preserve">los ingenieros y otros </w:t>
      </w:r>
      <w:r w:rsidR="00BB013F" w:rsidRPr="00FC6340">
        <w:rPr>
          <w:rFonts w:ascii="Verdana" w:eastAsia="Calibri" w:hAnsi="Verdana" w:cs="Arial"/>
        </w:rPr>
        <w:t>profesionales se</w:t>
      </w:r>
      <w:r w:rsidR="00FC6340" w:rsidRPr="00FC6340">
        <w:rPr>
          <w:rFonts w:ascii="Verdana" w:eastAsia="Calibri" w:hAnsi="Verdana" w:cs="Arial"/>
        </w:rPr>
        <w:t xml:space="preserve"> justifica porque las actividades de ingeniería están vinculadas a un mayor riesgo social y, por tanto, requieren una regulación más estricta.</w:t>
      </w:r>
    </w:p>
    <w:p w14:paraId="4C95C10A" w14:textId="0DD26E2C" w:rsidR="00F926E3" w:rsidRPr="00BB013F" w:rsidRDefault="00F926E3" w:rsidP="00BB013F">
      <w:pPr>
        <w:spacing w:before="120" w:after="120" w:line="276" w:lineRule="auto"/>
        <w:ind w:right="51" w:firstLine="708"/>
        <w:jc w:val="both"/>
        <w:rPr>
          <w:rFonts w:ascii="Verdana" w:eastAsia="Calibri" w:hAnsi="Verdana" w:cs="Arial"/>
        </w:rPr>
      </w:pPr>
      <w:r>
        <w:rPr>
          <w:rFonts w:ascii="Verdana" w:eastAsia="Calibri" w:hAnsi="Verdana" w:cs="Arial"/>
        </w:rPr>
        <w:t>Por lo anterior, del</w:t>
      </w:r>
      <w:r w:rsidRPr="00F926E3">
        <w:rPr>
          <w:rFonts w:ascii="Verdana" w:eastAsia="Calibri" w:hAnsi="Verdana" w:cs="Arial"/>
        </w:rPr>
        <w:t xml:space="preserve"> análisis de la Corte </w:t>
      </w:r>
      <w:r>
        <w:rPr>
          <w:rFonts w:ascii="Verdana" w:eastAsia="Calibri" w:hAnsi="Verdana" w:cs="Arial"/>
        </w:rPr>
        <w:t xml:space="preserve">se </w:t>
      </w:r>
      <w:r w:rsidRPr="00F926E3">
        <w:rPr>
          <w:rFonts w:ascii="Verdana" w:eastAsia="Calibri" w:hAnsi="Verdana" w:cs="Arial"/>
        </w:rPr>
        <w:t xml:space="preserve">establece que la medida </w:t>
      </w:r>
      <w:r w:rsidR="005F661F">
        <w:rPr>
          <w:rFonts w:ascii="Verdana" w:eastAsia="Calibri" w:hAnsi="Verdana" w:cs="Arial"/>
        </w:rPr>
        <w:t xml:space="preserve">contemplada por el legislador dentro del artículo 12 de la ley 842 de 2003 </w:t>
      </w:r>
      <w:r w:rsidRPr="00F926E3">
        <w:rPr>
          <w:rFonts w:ascii="Verdana" w:eastAsia="Calibri" w:hAnsi="Verdana" w:cs="Arial"/>
        </w:rPr>
        <w:t xml:space="preserve">es </w:t>
      </w:r>
      <w:r w:rsidRPr="005F661F">
        <w:rPr>
          <w:rFonts w:ascii="Verdana" w:eastAsia="Calibri" w:hAnsi="Verdana" w:cs="Arial"/>
        </w:rPr>
        <w:t>necesaria y proporcional</w:t>
      </w:r>
      <w:r w:rsidR="005F661F">
        <w:rPr>
          <w:rFonts w:ascii="Verdana" w:eastAsia="Calibri" w:hAnsi="Verdana" w:cs="Arial"/>
        </w:rPr>
        <w:t xml:space="preserve">, ya que, </w:t>
      </w:r>
      <w:r w:rsidRPr="00F926E3">
        <w:rPr>
          <w:rFonts w:ascii="Verdana" w:eastAsia="Calibri" w:hAnsi="Verdana" w:cs="Arial"/>
        </w:rPr>
        <w:t xml:space="preserve">La necesidad se justifica en la alta responsabilidad y riesgo que conlleva el ejercicio de la ingeniería, y la proporcionalidad radica en que la medida no es desproporcionada, ya que no restringe el acceso al trabajo, sino que establece un </w:t>
      </w:r>
      <w:r w:rsidRPr="005F661F">
        <w:rPr>
          <w:rFonts w:ascii="Verdana" w:eastAsia="Calibri" w:hAnsi="Verdana" w:cs="Arial"/>
        </w:rPr>
        <w:t>criterio adicional de idoneidad para proteger a la sociedad.</w:t>
      </w:r>
    </w:p>
    <w:p w14:paraId="12B7939D" w14:textId="69D4AE5F" w:rsidR="00E26F22" w:rsidRDefault="00DF4CE0" w:rsidP="00E26F22">
      <w:pPr>
        <w:spacing w:after="120" w:line="276" w:lineRule="auto"/>
        <w:ind w:right="51" w:firstLine="709"/>
        <w:jc w:val="both"/>
        <w:rPr>
          <w:rFonts w:ascii="Verdana" w:eastAsia="Calibri" w:hAnsi="Verdana" w:cs="Arial"/>
          <w:lang w:val="es-MX"/>
        </w:rPr>
      </w:pPr>
      <w:r>
        <w:rPr>
          <w:rFonts w:ascii="Verdana" w:eastAsia="Calibri" w:hAnsi="Verdana" w:cs="Arial"/>
          <w:lang w:val="es-MX"/>
        </w:rPr>
        <w:t>Por todo lo anterior, para esta</w:t>
      </w:r>
      <w:r w:rsidR="00E26F22" w:rsidRPr="003C068C">
        <w:rPr>
          <w:rFonts w:ascii="Verdana" w:eastAsia="Calibri" w:hAnsi="Verdana" w:cs="Arial"/>
          <w:lang w:val="es-MX"/>
        </w:rPr>
        <w:t>, para el cómputo de la experiencia de estos profesionales se requiere</w:t>
      </w:r>
      <w:r>
        <w:rPr>
          <w:rFonts w:ascii="Verdana" w:eastAsia="Calibri" w:hAnsi="Verdana" w:cs="Arial"/>
          <w:lang w:val="es-MX"/>
        </w:rPr>
        <w:t xml:space="preserve"> que dicho computo se contabilice desde la expedición de</w:t>
      </w:r>
      <w:r w:rsidR="00E26F22" w:rsidRPr="003C068C">
        <w:rPr>
          <w:rFonts w:ascii="Verdana" w:eastAsia="Calibri" w:hAnsi="Verdana" w:cs="Arial"/>
          <w:lang w:val="es-MX"/>
        </w:rPr>
        <w:t xml:space="preserve"> la presentación de la tarjeta profesional, </w:t>
      </w:r>
      <w:r>
        <w:rPr>
          <w:rFonts w:ascii="Verdana" w:eastAsia="Calibri" w:hAnsi="Verdana" w:cs="Arial"/>
          <w:lang w:val="es-MX"/>
        </w:rPr>
        <w:t>siguiendo con lo establecido en la norma especial mencionada up supra.</w:t>
      </w:r>
    </w:p>
    <w:p w14:paraId="04C5B84F" w14:textId="2129B54D" w:rsidR="001B205B" w:rsidRPr="001B205B" w:rsidRDefault="001B205B" w:rsidP="00E70F33">
      <w:pPr>
        <w:spacing w:after="120" w:line="276" w:lineRule="auto"/>
        <w:ind w:right="51" w:firstLine="708"/>
        <w:jc w:val="both"/>
        <w:rPr>
          <w:rFonts w:ascii="Verdana" w:eastAsia="Calibri" w:hAnsi="Verdana" w:cs="Arial"/>
        </w:rPr>
      </w:pPr>
      <w:r w:rsidRPr="001B205B">
        <w:rPr>
          <w:rFonts w:ascii="Verdana" w:eastAsia="Calibri" w:hAnsi="Verdana" w:cs="Arial"/>
        </w:rPr>
        <w:t xml:space="preserve">En este contexto, esta </w:t>
      </w:r>
      <w:proofErr w:type="gramStart"/>
      <w:r w:rsidRPr="001B205B">
        <w:rPr>
          <w:rFonts w:ascii="Verdana" w:eastAsia="Calibri" w:hAnsi="Verdana" w:cs="Arial"/>
        </w:rPr>
        <w:t>Subdirección,  concluye</w:t>
      </w:r>
      <w:proofErr w:type="gramEnd"/>
      <w:r w:rsidRPr="001B205B">
        <w:rPr>
          <w:rFonts w:ascii="Verdana" w:eastAsia="Calibri" w:hAnsi="Verdana" w:cs="Arial"/>
        </w:rPr>
        <w:t xml:space="preserve"> que, para la celebración de contratos de prestación de servicios profesionales cuyo objeto sea el ejercicio de profesiones reguladas de manera especial, como ocurre con las vinculadas a la ingeniería, estos deben celebrarse conforme a lo establecido por la ley. Por lo tanto, no son aplicables los lineamientos generales del Decreto Ley 19 de 2012.</w:t>
      </w:r>
    </w:p>
    <w:p w14:paraId="51EF7C52" w14:textId="69384190" w:rsidR="00B63DB5" w:rsidRPr="00B63DB5" w:rsidRDefault="001B205B" w:rsidP="00C04558">
      <w:pPr>
        <w:spacing w:after="120" w:line="276" w:lineRule="auto"/>
        <w:ind w:right="51" w:firstLine="709"/>
        <w:jc w:val="both"/>
        <w:rPr>
          <w:rFonts w:ascii="Verdana" w:eastAsia="Calibri" w:hAnsi="Verdana" w:cs="Arial"/>
        </w:rPr>
      </w:pPr>
      <w:r w:rsidRPr="001B205B">
        <w:rPr>
          <w:rFonts w:ascii="Verdana" w:eastAsia="Calibri" w:hAnsi="Verdana" w:cs="Arial"/>
        </w:rPr>
        <w:t>Sin embargo, en aquellos casos en los que el objeto del contrato implique el ejercicio de profesiones sujetas a regulación especial debido a la alta responsabilidad y el riesgo social asociado con su ejercicio (como se establece en la Sentencia C-296 del 18 de abril de 2012, Magistrado Ponente: Juan Carlos Henao Pérez), como es el caso de las profesiones relacionadas con la ingeniería o sus profesiones afines o auxiliares, la Entidad Estatal debe ajustarse a lo dispuesto en la normativa específica respecto al cómputo de la experiencia</w:t>
      </w:r>
      <w:r w:rsidR="00E70F33">
        <w:rPr>
          <w:rFonts w:ascii="Verdana" w:eastAsia="Calibri" w:hAnsi="Verdana" w:cs="Arial"/>
        </w:rPr>
        <w:t xml:space="preserve"> establecido en el </w:t>
      </w:r>
      <w:r w:rsidRPr="001B205B">
        <w:rPr>
          <w:rFonts w:ascii="Verdana" w:eastAsia="Calibri" w:hAnsi="Verdana" w:cs="Arial"/>
        </w:rPr>
        <w:t>artículo 12 de la Ley 842 de 2003).</w:t>
      </w:r>
      <w:bookmarkEnd w:id="2"/>
    </w:p>
    <w:p w14:paraId="56D2E1B8" w14:textId="77777777" w:rsidR="00E26F22" w:rsidRPr="00115E3D" w:rsidRDefault="00E26F22" w:rsidP="00E26F2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732A40C2" w14:textId="77777777" w:rsidR="00E26F22" w:rsidRPr="00115E3D" w:rsidRDefault="00E26F22" w:rsidP="00E26F22">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26F22" w:rsidRPr="00115E3D" w14:paraId="6AF328A5" w14:textId="77777777" w:rsidTr="009C6B83">
        <w:trPr>
          <w:trHeight w:val="345"/>
        </w:trPr>
        <w:tc>
          <w:tcPr>
            <w:tcW w:w="8647" w:type="dxa"/>
          </w:tcPr>
          <w:p w14:paraId="2B88AF6E" w14:textId="42B6A37A" w:rsidR="00477840" w:rsidRPr="00477840" w:rsidRDefault="00477840" w:rsidP="004120EE">
            <w:pPr>
              <w:pStyle w:val="Prrafodelista"/>
              <w:widowControl w:val="0"/>
              <w:numPr>
                <w:ilvl w:val="0"/>
                <w:numId w:val="17"/>
              </w:numPr>
              <w:autoSpaceDE w:val="0"/>
              <w:autoSpaceDN w:val="0"/>
              <w:contextualSpacing w:val="0"/>
              <w:jc w:val="both"/>
              <w:rPr>
                <w:rFonts w:ascii="Verdana" w:hAnsi="Verdana" w:cs="Arial"/>
                <w:color w:val="000000" w:themeColor="text1"/>
              </w:rPr>
            </w:pPr>
            <w:r>
              <w:rPr>
                <w:rFonts w:ascii="Verdana" w:hAnsi="Verdana" w:cs="Arial"/>
                <w:color w:val="000000" w:themeColor="text1"/>
              </w:rPr>
              <w:t>Ley 842 de 2003, Articulo 12.</w:t>
            </w:r>
          </w:p>
          <w:p w14:paraId="382E45AF" w14:textId="75ED4BFA" w:rsidR="00934499" w:rsidRPr="00934499" w:rsidRDefault="00E26F22" w:rsidP="004120EE">
            <w:pPr>
              <w:pStyle w:val="Prrafodelista"/>
              <w:widowControl w:val="0"/>
              <w:numPr>
                <w:ilvl w:val="0"/>
                <w:numId w:val="17"/>
              </w:numPr>
              <w:autoSpaceDE w:val="0"/>
              <w:autoSpaceDN w:val="0"/>
              <w:contextualSpacing w:val="0"/>
              <w:jc w:val="both"/>
              <w:rPr>
                <w:rFonts w:ascii="Verdana" w:hAnsi="Verdana" w:cs="Arial"/>
                <w:color w:val="000000" w:themeColor="text1"/>
              </w:rPr>
            </w:pPr>
            <w:r w:rsidRPr="003C068C">
              <w:rPr>
                <w:rFonts w:ascii="Verdana" w:eastAsia="Calibri" w:hAnsi="Verdana" w:cs="Arial"/>
                <w:lang w:val="es-MX"/>
              </w:rPr>
              <w:t>Decreto 019 de 2012</w:t>
            </w:r>
            <w:r>
              <w:rPr>
                <w:rFonts w:ascii="Verdana" w:eastAsia="Calibri" w:hAnsi="Verdana" w:cs="Arial"/>
                <w:lang w:val="es-MX"/>
              </w:rPr>
              <w:t xml:space="preserve">, </w:t>
            </w:r>
            <w:r w:rsidRPr="003C068C">
              <w:rPr>
                <w:rFonts w:ascii="Verdana" w:eastAsia="Calibri" w:hAnsi="Verdana" w:cs="Arial"/>
                <w:lang w:val="es-MX"/>
              </w:rPr>
              <w:t>artículo 229</w:t>
            </w:r>
            <w:r>
              <w:rPr>
                <w:rFonts w:ascii="Verdana" w:eastAsia="Calibri" w:hAnsi="Verdana" w:cs="Arial"/>
                <w:lang w:val="es-MX"/>
              </w:rPr>
              <w:t>.</w:t>
            </w:r>
          </w:p>
          <w:p w14:paraId="3703486A" w14:textId="6234094A" w:rsidR="00E26F22" w:rsidRPr="00934499" w:rsidRDefault="00934499" w:rsidP="004120EE">
            <w:pPr>
              <w:pStyle w:val="Prrafodelista"/>
              <w:widowControl w:val="0"/>
              <w:numPr>
                <w:ilvl w:val="0"/>
                <w:numId w:val="17"/>
              </w:numPr>
              <w:autoSpaceDE w:val="0"/>
              <w:autoSpaceDN w:val="0"/>
              <w:contextualSpacing w:val="0"/>
              <w:jc w:val="both"/>
              <w:rPr>
                <w:rFonts w:ascii="Verdana" w:hAnsi="Verdana" w:cs="Arial"/>
                <w:color w:val="000000" w:themeColor="text1"/>
              </w:rPr>
            </w:pPr>
            <w:r w:rsidRPr="00934499">
              <w:rPr>
                <w:rFonts w:ascii="Verdana" w:hAnsi="Verdana"/>
              </w:rPr>
              <w:t>Ley</w:t>
            </w:r>
            <w:r w:rsidRPr="00934499">
              <w:rPr>
                <w:rFonts w:ascii="Verdana" w:hAnsi="Verdana"/>
                <w:spacing w:val="-9"/>
              </w:rPr>
              <w:t xml:space="preserve"> </w:t>
            </w:r>
            <w:r w:rsidRPr="00934499">
              <w:rPr>
                <w:rFonts w:ascii="Verdana" w:hAnsi="Verdana"/>
              </w:rPr>
              <w:t>57</w:t>
            </w:r>
            <w:r w:rsidRPr="00934499">
              <w:rPr>
                <w:rFonts w:ascii="Verdana" w:hAnsi="Verdana"/>
                <w:spacing w:val="-9"/>
              </w:rPr>
              <w:t xml:space="preserve"> </w:t>
            </w:r>
            <w:r w:rsidRPr="00934499">
              <w:rPr>
                <w:rFonts w:ascii="Verdana" w:hAnsi="Verdana"/>
              </w:rPr>
              <w:t>de</w:t>
            </w:r>
            <w:r w:rsidRPr="00934499">
              <w:rPr>
                <w:rFonts w:ascii="Verdana" w:hAnsi="Verdana"/>
                <w:spacing w:val="-9"/>
              </w:rPr>
              <w:t xml:space="preserve"> </w:t>
            </w:r>
            <w:r w:rsidRPr="00934499">
              <w:rPr>
                <w:rFonts w:ascii="Verdana" w:hAnsi="Verdana"/>
              </w:rPr>
              <w:t>1887,</w:t>
            </w:r>
            <w:r w:rsidRPr="00934499">
              <w:rPr>
                <w:rFonts w:ascii="Verdana" w:hAnsi="Verdana"/>
                <w:spacing w:val="-9"/>
              </w:rPr>
              <w:t xml:space="preserve"> </w:t>
            </w:r>
            <w:r w:rsidRPr="00934499">
              <w:rPr>
                <w:rFonts w:ascii="Verdana" w:hAnsi="Verdana"/>
              </w:rPr>
              <w:t>artículo</w:t>
            </w:r>
            <w:r w:rsidRPr="00934499">
              <w:rPr>
                <w:rFonts w:ascii="Verdana" w:hAnsi="Verdana"/>
                <w:spacing w:val="-8"/>
              </w:rPr>
              <w:t xml:space="preserve"> </w:t>
            </w:r>
            <w:r w:rsidRPr="00934499">
              <w:rPr>
                <w:rFonts w:ascii="Verdana" w:hAnsi="Verdana"/>
                <w:spacing w:val="-4"/>
              </w:rPr>
              <w:t>5.1</w:t>
            </w:r>
            <w:r w:rsidR="00E26F22" w:rsidRPr="00934499">
              <w:rPr>
                <w:rFonts w:ascii="Verdana" w:eastAsia="Calibri" w:hAnsi="Verdana" w:cs="Arial"/>
                <w:lang w:val="es-MX"/>
              </w:rPr>
              <w:t xml:space="preserve"> </w:t>
            </w:r>
          </w:p>
          <w:p w14:paraId="13FDE0C1" w14:textId="77777777" w:rsidR="00E26F22" w:rsidRPr="007F6431" w:rsidRDefault="00E26F22" w:rsidP="004120EE">
            <w:pPr>
              <w:pStyle w:val="Prrafodelista"/>
              <w:widowControl w:val="0"/>
              <w:numPr>
                <w:ilvl w:val="0"/>
                <w:numId w:val="17"/>
              </w:numPr>
              <w:autoSpaceDE w:val="0"/>
              <w:autoSpaceDN w:val="0"/>
              <w:contextualSpacing w:val="0"/>
              <w:jc w:val="both"/>
              <w:rPr>
                <w:rFonts w:ascii="Verdana" w:hAnsi="Verdana" w:cs="Arial"/>
                <w:color w:val="000000" w:themeColor="text1"/>
              </w:rPr>
            </w:pPr>
            <w:r w:rsidRPr="003C068C">
              <w:rPr>
                <w:rFonts w:ascii="Verdana" w:eastAsia="Calibri" w:hAnsi="Verdana" w:cs="Arial"/>
                <w:lang w:val="es-MX"/>
              </w:rPr>
              <w:t>Ley 1955 de 2019</w:t>
            </w:r>
            <w:r>
              <w:rPr>
                <w:rFonts w:ascii="Verdana" w:eastAsia="Calibri" w:hAnsi="Verdana" w:cs="Arial"/>
                <w:lang w:val="es-MX"/>
              </w:rPr>
              <w:t xml:space="preserve">, </w:t>
            </w:r>
            <w:r w:rsidRPr="003C068C">
              <w:rPr>
                <w:rFonts w:ascii="Verdana" w:eastAsia="Calibri" w:hAnsi="Verdana" w:cs="Arial"/>
                <w:lang w:val="es-MX"/>
              </w:rPr>
              <w:t>artículo 192</w:t>
            </w:r>
            <w:r>
              <w:rPr>
                <w:rFonts w:ascii="Verdana" w:eastAsia="Calibri" w:hAnsi="Verdana" w:cs="Arial"/>
                <w:lang w:val="es-MX"/>
              </w:rPr>
              <w:t>.</w:t>
            </w:r>
          </w:p>
          <w:p w14:paraId="0DA40237" w14:textId="77777777" w:rsidR="00E26F22" w:rsidRPr="00E35B28" w:rsidRDefault="00E26F22" w:rsidP="004120EE">
            <w:pPr>
              <w:pStyle w:val="Prrafodelista"/>
              <w:widowControl w:val="0"/>
              <w:numPr>
                <w:ilvl w:val="0"/>
                <w:numId w:val="17"/>
              </w:numPr>
              <w:autoSpaceDE w:val="0"/>
              <w:autoSpaceDN w:val="0"/>
              <w:contextualSpacing w:val="0"/>
              <w:jc w:val="both"/>
              <w:rPr>
                <w:rFonts w:ascii="Verdana" w:hAnsi="Verdana" w:cs="Arial"/>
                <w:color w:val="000000" w:themeColor="text1"/>
              </w:rPr>
            </w:pPr>
            <w:r w:rsidRPr="003C068C">
              <w:rPr>
                <w:rFonts w:ascii="Verdana" w:eastAsia="Calibri" w:hAnsi="Verdana" w:cs="Arial"/>
                <w:lang w:val="es-MX"/>
              </w:rPr>
              <w:t>Ley 1780 de 2016</w:t>
            </w:r>
            <w:r>
              <w:rPr>
                <w:rFonts w:ascii="Verdana" w:eastAsia="Calibri" w:hAnsi="Verdana" w:cs="Arial"/>
                <w:lang w:val="es-MX"/>
              </w:rPr>
              <w:t xml:space="preserve">, </w:t>
            </w:r>
            <w:r w:rsidRPr="003C068C">
              <w:rPr>
                <w:rFonts w:ascii="Verdana" w:eastAsia="Calibri" w:hAnsi="Verdana" w:cs="Arial"/>
                <w:lang w:val="es-MX"/>
              </w:rPr>
              <w:t>artículo 15</w:t>
            </w:r>
            <w:r>
              <w:rPr>
                <w:rFonts w:ascii="Verdana" w:eastAsia="Calibri" w:hAnsi="Verdana" w:cs="Arial"/>
                <w:lang w:val="es-MX"/>
              </w:rPr>
              <w:t xml:space="preserve"> </w:t>
            </w:r>
          </w:p>
          <w:p w14:paraId="67F5B100" w14:textId="77777777" w:rsidR="00E26F22" w:rsidRPr="00A14884" w:rsidRDefault="00E26F22" w:rsidP="004120EE">
            <w:pPr>
              <w:pStyle w:val="Prrafodelista"/>
              <w:widowControl w:val="0"/>
              <w:numPr>
                <w:ilvl w:val="0"/>
                <w:numId w:val="17"/>
              </w:numPr>
              <w:autoSpaceDE w:val="0"/>
              <w:autoSpaceDN w:val="0"/>
              <w:contextualSpacing w:val="0"/>
              <w:jc w:val="both"/>
              <w:rPr>
                <w:rFonts w:ascii="Verdana" w:hAnsi="Verdana" w:cs="Arial"/>
                <w:color w:val="000000" w:themeColor="text1"/>
              </w:rPr>
            </w:pPr>
            <w:r w:rsidRPr="003C068C">
              <w:rPr>
                <w:rFonts w:ascii="Verdana" w:eastAsia="Calibri" w:hAnsi="Verdana" w:cs="Arial"/>
                <w:lang w:val="es-MX"/>
              </w:rPr>
              <w:t>Decreto 2106 de 2019</w:t>
            </w:r>
            <w:r>
              <w:rPr>
                <w:rFonts w:ascii="Verdana" w:eastAsia="Calibri" w:hAnsi="Verdana" w:cs="Arial"/>
                <w:lang w:val="es-MX"/>
              </w:rPr>
              <w:t xml:space="preserve">, </w:t>
            </w:r>
            <w:r w:rsidRPr="003C068C">
              <w:rPr>
                <w:rFonts w:ascii="Verdana" w:eastAsia="Calibri" w:hAnsi="Verdana" w:cs="Arial"/>
                <w:lang w:val="es-MX"/>
              </w:rPr>
              <w:t>artículo 18</w:t>
            </w:r>
            <w:r>
              <w:rPr>
                <w:rFonts w:ascii="Verdana" w:eastAsia="Calibri" w:hAnsi="Verdana" w:cs="Arial"/>
                <w:lang w:val="es-MX"/>
              </w:rPr>
              <w:t xml:space="preserve">.  </w:t>
            </w:r>
          </w:p>
          <w:p w14:paraId="5AF69480" w14:textId="77777777" w:rsidR="00475CE0" w:rsidRPr="00475CE0" w:rsidRDefault="00E26F22" w:rsidP="004120EE">
            <w:pPr>
              <w:pStyle w:val="Prrafodelista"/>
              <w:widowControl w:val="0"/>
              <w:numPr>
                <w:ilvl w:val="0"/>
                <w:numId w:val="17"/>
              </w:numPr>
              <w:autoSpaceDE w:val="0"/>
              <w:autoSpaceDN w:val="0"/>
              <w:contextualSpacing w:val="0"/>
              <w:jc w:val="both"/>
              <w:rPr>
                <w:rFonts w:ascii="Verdana" w:hAnsi="Verdana" w:cs="Arial"/>
                <w:color w:val="000000" w:themeColor="text1"/>
              </w:rPr>
            </w:pPr>
            <w:r w:rsidRPr="00392F8B">
              <w:rPr>
                <w:rFonts w:ascii="Verdana" w:hAnsi="Verdana" w:cs="Arial"/>
                <w:iCs/>
                <w:color w:val="000000" w:themeColor="text1"/>
              </w:rPr>
              <w:lastRenderedPageBreak/>
              <w:t>Código Civil Colombiano</w:t>
            </w:r>
            <w:r>
              <w:rPr>
                <w:rFonts w:ascii="Verdana" w:hAnsi="Verdana" w:cs="Arial"/>
                <w:iCs/>
                <w:color w:val="000000" w:themeColor="text1"/>
              </w:rPr>
              <w:t xml:space="preserve">, </w:t>
            </w:r>
            <w:r w:rsidRPr="00392F8B">
              <w:rPr>
                <w:rFonts w:ascii="Verdana" w:hAnsi="Verdana" w:cs="Arial"/>
                <w:iCs/>
                <w:color w:val="000000" w:themeColor="text1"/>
              </w:rPr>
              <w:t>artículo 11</w:t>
            </w:r>
            <w:r>
              <w:rPr>
                <w:rFonts w:ascii="Verdana" w:hAnsi="Verdana" w:cs="Arial"/>
                <w:iCs/>
                <w:color w:val="000000" w:themeColor="text1"/>
              </w:rPr>
              <w:t>.</w:t>
            </w:r>
          </w:p>
          <w:p w14:paraId="79BBA627" w14:textId="77777777" w:rsidR="00E70F33" w:rsidRPr="00E70F33" w:rsidRDefault="00E70F33" w:rsidP="00AA3D4A">
            <w:pPr>
              <w:pStyle w:val="Prrafodelista"/>
              <w:widowControl w:val="0"/>
              <w:numPr>
                <w:ilvl w:val="0"/>
                <w:numId w:val="17"/>
              </w:numPr>
              <w:autoSpaceDE w:val="0"/>
              <w:autoSpaceDN w:val="0"/>
              <w:contextualSpacing w:val="0"/>
              <w:jc w:val="both"/>
              <w:rPr>
                <w:rFonts w:ascii="Verdana" w:hAnsi="Verdana" w:cs="Arial"/>
                <w:color w:val="000000" w:themeColor="text1"/>
              </w:rPr>
            </w:pPr>
            <w:r w:rsidRPr="001B205B">
              <w:rPr>
                <w:rFonts w:ascii="Verdana" w:eastAsia="Calibri" w:hAnsi="Verdana" w:cs="Arial"/>
                <w:lang w:val="es-CO"/>
              </w:rPr>
              <w:t>Sentencia C-296 del 18 de abril de 2012, Magistrado Ponente: Juan Carlos Henao Pérez</w:t>
            </w:r>
            <w:r w:rsidRPr="00AA3D4A">
              <w:rPr>
                <w:rFonts w:ascii="Verdana" w:hAnsi="Verdana"/>
              </w:rPr>
              <w:t xml:space="preserve"> </w:t>
            </w:r>
          </w:p>
          <w:p w14:paraId="566A458A" w14:textId="4C086947" w:rsidR="004120EE" w:rsidRPr="00AA3D4A" w:rsidRDefault="004120EE" w:rsidP="00AA3D4A">
            <w:pPr>
              <w:pStyle w:val="Prrafodelista"/>
              <w:widowControl w:val="0"/>
              <w:numPr>
                <w:ilvl w:val="0"/>
                <w:numId w:val="17"/>
              </w:numPr>
              <w:autoSpaceDE w:val="0"/>
              <w:autoSpaceDN w:val="0"/>
              <w:contextualSpacing w:val="0"/>
              <w:jc w:val="both"/>
              <w:rPr>
                <w:rFonts w:ascii="Verdana" w:hAnsi="Verdana" w:cs="Arial"/>
                <w:color w:val="000000" w:themeColor="text1"/>
              </w:rPr>
            </w:pPr>
            <w:r w:rsidRPr="00AA3D4A">
              <w:rPr>
                <w:rFonts w:ascii="Verdana" w:hAnsi="Verdana"/>
              </w:rPr>
              <w:t>Corte</w:t>
            </w:r>
            <w:r w:rsidRPr="00AA3D4A">
              <w:rPr>
                <w:rFonts w:ascii="Verdana" w:hAnsi="Verdana"/>
                <w:spacing w:val="-11"/>
              </w:rPr>
              <w:t xml:space="preserve"> </w:t>
            </w:r>
            <w:r w:rsidRPr="00AA3D4A">
              <w:rPr>
                <w:rFonts w:ascii="Verdana" w:hAnsi="Verdana"/>
              </w:rPr>
              <w:t>Constitucional.</w:t>
            </w:r>
            <w:r w:rsidRPr="00AA3D4A">
              <w:rPr>
                <w:rFonts w:ascii="Verdana" w:hAnsi="Verdana"/>
                <w:spacing w:val="-8"/>
              </w:rPr>
              <w:t xml:space="preserve"> </w:t>
            </w:r>
            <w:r w:rsidRPr="00AA3D4A">
              <w:rPr>
                <w:rFonts w:ascii="Verdana" w:hAnsi="Verdana"/>
              </w:rPr>
              <w:t>Sentencia</w:t>
            </w:r>
            <w:r w:rsidRPr="00AA3D4A">
              <w:rPr>
                <w:rFonts w:ascii="Verdana" w:hAnsi="Verdana"/>
                <w:spacing w:val="-9"/>
              </w:rPr>
              <w:t xml:space="preserve"> </w:t>
            </w:r>
            <w:r w:rsidRPr="00AA3D4A">
              <w:rPr>
                <w:rFonts w:ascii="Verdana" w:hAnsi="Verdana"/>
              </w:rPr>
              <w:t>C-688</w:t>
            </w:r>
            <w:r w:rsidRPr="00AA3D4A">
              <w:rPr>
                <w:rFonts w:ascii="Verdana" w:hAnsi="Verdana"/>
                <w:spacing w:val="-11"/>
              </w:rPr>
              <w:t xml:space="preserve"> </w:t>
            </w:r>
            <w:r w:rsidRPr="00AA3D4A">
              <w:rPr>
                <w:rFonts w:ascii="Verdana" w:hAnsi="Verdana"/>
              </w:rPr>
              <w:t>del</w:t>
            </w:r>
            <w:r w:rsidRPr="00AA3D4A">
              <w:rPr>
                <w:rFonts w:ascii="Verdana" w:hAnsi="Verdana"/>
                <w:spacing w:val="-11"/>
              </w:rPr>
              <w:t xml:space="preserve"> </w:t>
            </w:r>
            <w:r w:rsidRPr="00AA3D4A">
              <w:rPr>
                <w:rFonts w:ascii="Verdana" w:hAnsi="Verdana"/>
              </w:rPr>
              <w:t>10</w:t>
            </w:r>
            <w:r w:rsidRPr="00AA3D4A">
              <w:rPr>
                <w:rFonts w:ascii="Verdana" w:hAnsi="Verdana"/>
                <w:spacing w:val="-12"/>
              </w:rPr>
              <w:t xml:space="preserve"> </w:t>
            </w:r>
            <w:r w:rsidRPr="00AA3D4A">
              <w:rPr>
                <w:rFonts w:ascii="Verdana" w:hAnsi="Verdana"/>
              </w:rPr>
              <w:t>de</w:t>
            </w:r>
            <w:r w:rsidRPr="00AA3D4A">
              <w:rPr>
                <w:rFonts w:ascii="Verdana" w:hAnsi="Verdana"/>
                <w:spacing w:val="-11"/>
              </w:rPr>
              <w:t xml:space="preserve"> </w:t>
            </w:r>
            <w:r w:rsidRPr="00AA3D4A">
              <w:rPr>
                <w:rFonts w:ascii="Verdana" w:hAnsi="Verdana"/>
              </w:rPr>
              <w:t>septiembre</w:t>
            </w:r>
            <w:r w:rsidRPr="00AA3D4A">
              <w:rPr>
                <w:rFonts w:ascii="Verdana" w:hAnsi="Verdana"/>
                <w:spacing w:val="-9"/>
              </w:rPr>
              <w:t xml:space="preserve"> </w:t>
            </w:r>
            <w:r w:rsidRPr="00AA3D4A">
              <w:rPr>
                <w:rFonts w:ascii="Verdana" w:hAnsi="Verdana"/>
              </w:rPr>
              <w:t>de</w:t>
            </w:r>
            <w:r w:rsidRPr="00AA3D4A">
              <w:rPr>
                <w:rFonts w:ascii="Verdana" w:hAnsi="Verdana"/>
                <w:spacing w:val="-12"/>
              </w:rPr>
              <w:t xml:space="preserve"> </w:t>
            </w:r>
            <w:r w:rsidRPr="00AA3D4A">
              <w:rPr>
                <w:rFonts w:ascii="Verdana" w:hAnsi="Verdana"/>
                <w:spacing w:val="-2"/>
              </w:rPr>
              <w:t>2014.</w:t>
            </w:r>
            <w:r w:rsidR="00AA3D4A" w:rsidRPr="00AA3D4A">
              <w:rPr>
                <w:rFonts w:ascii="Verdana" w:hAnsi="Verdana"/>
                <w:spacing w:val="-2"/>
              </w:rPr>
              <w:t xml:space="preserve"> </w:t>
            </w:r>
            <w:r w:rsidRPr="00AA3D4A">
              <w:rPr>
                <w:rFonts w:ascii="Verdana" w:hAnsi="Verdana"/>
              </w:rPr>
              <w:t>M.P.</w:t>
            </w:r>
            <w:r w:rsidRPr="00AA3D4A">
              <w:rPr>
                <w:rFonts w:ascii="Verdana" w:hAnsi="Verdana"/>
                <w:spacing w:val="-14"/>
              </w:rPr>
              <w:t xml:space="preserve"> </w:t>
            </w:r>
            <w:r w:rsidRPr="00AA3D4A">
              <w:rPr>
                <w:rFonts w:ascii="Verdana" w:hAnsi="Verdana"/>
              </w:rPr>
              <w:t>Luis</w:t>
            </w:r>
            <w:r w:rsidRPr="00AA3D4A">
              <w:rPr>
                <w:rFonts w:ascii="Verdana" w:hAnsi="Verdana"/>
                <w:spacing w:val="-14"/>
              </w:rPr>
              <w:t xml:space="preserve"> </w:t>
            </w:r>
            <w:r w:rsidRPr="00AA3D4A">
              <w:rPr>
                <w:rFonts w:ascii="Verdana" w:hAnsi="Verdana"/>
              </w:rPr>
              <w:t>Guillermo</w:t>
            </w:r>
            <w:r w:rsidRPr="00AA3D4A">
              <w:rPr>
                <w:rFonts w:ascii="Verdana" w:hAnsi="Verdana"/>
                <w:spacing w:val="-13"/>
              </w:rPr>
              <w:t xml:space="preserve"> </w:t>
            </w:r>
            <w:r w:rsidRPr="00AA3D4A">
              <w:rPr>
                <w:rFonts w:ascii="Verdana" w:hAnsi="Verdana"/>
              </w:rPr>
              <w:t>Guerrero</w:t>
            </w:r>
            <w:r w:rsidRPr="00AA3D4A">
              <w:rPr>
                <w:rFonts w:ascii="Verdana" w:hAnsi="Verdana"/>
                <w:spacing w:val="-14"/>
              </w:rPr>
              <w:t xml:space="preserve"> </w:t>
            </w:r>
            <w:r w:rsidRPr="00AA3D4A">
              <w:rPr>
                <w:rFonts w:ascii="Verdana" w:hAnsi="Verdana"/>
                <w:spacing w:val="-2"/>
              </w:rPr>
              <w:t>Pérez.</w:t>
            </w:r>
          </w:p>
          <w:p w14:paraId="57942F9B" w14:textId="2EE20C72" w:rsidR="00475CE0" w:rsidRPr="006A051C" w:rsidRDefault="00475CE0" w:rsidP="00E70F33">
            <w:pPr>
              <w:pStyle w:val="Prrafodelista"/>
              <w:widowControl w:val="0"/>
              <w:autoSpaceDE w:val="0"/>
              <w:autoSpaceDN w:val="0"/>
              <w:contextualSpacing w:val="0"/>
              <w:jc w:val="both"/>
              <w:rPr>
                <w:rFonts w:ascii="Verdana" w:hAnsi="Verdana" w:cs="Arial"/>
                <w:color w:val="000000" w:themeColor="text1"/>
              </w:rPr>
            </w:pPr>
          </w:p>
        </w:tc>
      </w:tr>
    </w:tbl>
    <w:p w14:paraId="0D6B2BE5" w14:textId="77777777" w:rsidR="00E26F22" w:rsidRPr="00115E3D" w:rsidRDefault="00E26F22" w:rsidP="00E26F22">
      <w:pPr>
        <w:widowControl w:val="0"/>
        <w:autoSpaceDE w:val="0"/>
        <w:autoSpaceDN w:val="0"/>
        <w:spacing w:after="0" w:line="276" w:lineRule="auto"/>
        <w:jc w:val="both"/>
        <w:rPr>
          <w:rFonts w:ascii="Verdana" w:hAnsi="Verdana" w:cs="Arial"/>
          <w:color w:val="000000" w:themeColor="text1"/>
        </w:rPr>
      </w:pPr>
    </w:p>
    <w:p w14:paraId="637F9DAC" w14:textId="77777777" w:rsidR="00E26F22" w:rsidRPr="00115E3D" w:rsidRDefault="00E26F22" w:rsidP="00E26F2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31D0B324" w14:textId="77777777" w:rsidR="00E26F22" w:rsidRPr="00115E3D" w:rsidRDefault="00E26F22" w:rsidP="00E26F22">
      <w:pPr>
        <w:widowControl w:val="0"/>
        <w:autoSpaceDE w:val="0"/>
        <w:autoSpaceDN w:val="0"/>
        <w:spacing w:after="0" w:line="276" w:lineRule="auto"/>
        <w:jc w:val="both"/>
        <w:rPr>
          <w:rFonts w:ascii="Verdana" w:hAnsi="Verdana" w:cs="Arial"/>
          <w:color w:val="000000" w:themeColor="text1"/>
        </w:rPr>
      </w:pPr>
    </w:p>
    <w:p w14:paraId="2E7535E2" w14:textId="77777777" w:rsidR="00E26F22" w:rsidRPr="00874A62" w:rsidRDefault="00E26F22" w:rsidP="00E26F22">
      <w:pPr>
        <w:widowControl w:val="0"/>
        <w:autoSpaceDE w:val="0"/>
        <w:autoSpaceDN w:val="0"/>
        <w:spacing w:after="0" w:line="276" w:lineRule="auto"/>
        <w:jc w:val="both"/>
        <w:rPr>
          <w:rStyle w:val="normaltextrun"/>
          <w:rFonts w:ascii="Verdana" w:hAnsi="Verdana"/>
        </w:rPr>
      </w:pPr>
      <w:r w:rsidRPr="007D460E">
        <w:rPr>
          <w:rFonts w:ascii="Verdana" w:eastAsia="Calibri" w:hAnsi="Verdana" w:cs="Arial"/>
          <w:lang w:val="es-ES" w:eastAsia="es-ES"/>
        </w:rPr>
        <w:t xml:space="preserve">La Subdirección de Gestión Contractual se ha pronunciado </w:t>
      </w:r>
      <w:r>
        <w:rPr>
          <w:rFonts w:ascii="Verdana" w:hAnsi="Verdana" w:cs="Arial"/>
        </w:rPr>
        <w:t xml:space="preserve">frente a la experiencia profesional y la forma de verificarse, en los conceptos </w:t>
      </w:r>
      <w:r w:rsidRPr="00F345AB">
        <w:rPr>
          <w:rFonts w:ascii="Verdana" w:hAnsi="Verdana" w:cs="Arial"/>
        </w:rPr>
        <w:t>C-231 del 13 de abril de 2020, C-212 del 14 de abril de 2020, C-317 de 10 de junio de 2020, C-337 del 26 de junio de 2020, C-355 del 4 de junio de 2020, C-353 del 30 de junio de 2020</w:t>
      </w:r>
      <w:r>
        <w:rPr>
          <w:rFonts w:ascii="Verdana" w:hAnsi="Verdana" w:cs="Arial"/>
        </w:rPr>
        <w:t>,</w:t>
      </w:r>
      <w:r w:rsidRPr="00F345AB">
        <w:rPr>
          <w:rFonts w:ascii="Verdana" w:hAnsi="Verdana" w:cs="Arial"/>
        </w:rPr>
        <w:t xml:space="preserve"> C-457 del 7 de julio de 2020</w:t>
      </w:r>
      <w:r>
        <w:rPr>
          <w:rFonts w:ascii="Verdana" w:hAnsi="Verdana" w:cs="Arial"/>
        </w:rPr>
        <w:t>, C- 357 de agosto de 2024, C-279 de agosto 09 de 2024, C-409 del 6 de septiembre de 2024, C-510 del 03 de octubre de 2024 y C-938 de 27 de diciembre de 2024.</w:t>
      </w:r>
      <w:r w:rsidRPr="002C2AF5">
        <w:rPr>
          <w:rFonts w:ascii="Verdana" w:hAnsi="Verdana" w:cs="Arial"/>
          <w:shd w:val="clear" w:color="auto" w:fill="FFFFFF"/>
        </w:rPr>
        <w:t xml:space="preserve"> </w:t>
      </w:r>
      <w:r w:rsidRPr="00874A62">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Pr="00874A62">
        <w:rPr>
          <w:rFonts w:ascii="Verdana" w:hAnsi="Verdana"/>
        </w:rPr>
        <w:t>, accede a través del siguiente enlace:</w:t>
      </w:r>
      <w:r>
        <w:rPr>
          <w:rFonts w:ascii="Verdana" w:hAnsi="Verdana"/>
        </w:rPr>
        <w:t xml:space="preserve"> </w:t>
      </w:r>
      <w:hyperlink r:id="rId12" w:history="1">
        <w:r w:rsidRPr="00F1315B">
          <w:rPr>
            <w:rStyle w:val="Hipervnculo"/>
            <w:rFonts w:ascii="Verdana" w:hAnsi="Verdana" w:cs="Arial"/>
            <w:shd w:val="clear" w:color="auto" w:fill="FFFFFF"/>
            <w:lang w:val="es-ES"/>
          </w:rPr>
          <w:t>https://relatoria.colombiacompra.gov.co/busqueda/conceptos</w:t>
        </w:r>
      </w:hyperlink>
      <w:r w:rsidRPr="00874A62">
        <w:rPr>
          <w:rStyle w:val="normaltextrun"/>
          <w:rFonts w:ascii="Verdana" w:hAnsi="Verdana" w:cs="Arial"/>
          <w:shd w:val="clear" w:color="auto" w:fill="FFFFFF"/>
        </w:rPr>
        <w:t xml:space="preserve"> </w:t>
      </w:r>
    </w:p>
    <w:p w14:paraId="61A0F5B8" w14:textId="77777777" w:rsidR="00E26F22" w:rsidRPr="009B2285" w:rsidRDefault="00E26F22" w:rsidP="00E26F22">
      <w:pPr>
        <w:widowControl w:val="0"/>
        <w:autoSpaceDE w:val="0"/>
        <w:autoSpaceDN w:val="0"/>
        <w:spacing w:after="0" w:line="276" w:lineRule="auto"/>
        <w:jc w:val="both"/>
        <w:rPr>
          <w:rFonts w:ascii="Verdana" w:hAnsi="Verdana" w:cs="Arial"/>
          <w:shd w:val="clear" w:color="auto" w:fill="FFFFFF"/>
        </w:rPr>
      </w:pPr>
      <w:r>
        <w:rPr>
          <w:rFonts w:ascii="Verdana" w:hAnsi="Verdana" w:cs="Arial"/>
        </w:rPr>
        <w:t xml:space="preserve"> </w:t>
      </w:r>
    </w:p>
    <w:p w14:paraId="76FF6CC8" w14:textId="77777777" w:rsidR="00E26F22" w:rsidRDefault="00E26F22" w:rsidP="00E26F22">
      <w:pPr>
        <w:spacing w:after="0" w:line="276" w:lineRule="auto"/>
        <w:jc w:val="both"/>
        <w:rPr>
          <w:rFonts w:ascii="Verdana" w:eastAsia="Calibri" w:hAnsi="Verdana" w:cs="Times New Roman"/>
        </w:rPr>
      </w:pPr>
      <w:r w:rsidRPr="00E838CE">
        <w:rPr>
          <w:rFonts w:ascii="Verdana" w:eastAsia="Calibri" w:hAnsi="Verdana" w:cs="Times New Roman"/>
        </w:rPr>
        <w:t>Te informamos que ya se encuentra disponible la </w:t>
      </w:r>
      <w:r w:rsidRPr="00E838CE">
        <w:rPr>
          <w:rFonts w:ascii="Verdana" w:eastAsia="Calibri" w:hAnsi="Verdana" w:cs="Times New Roman"/>
          <w:b/>
          <w:bCs/>
        </w:rPr>
        <w:t>Cartilla para incentivar y fortalecer el acceso a las compras y contratación pública de los pueblos y comunidades étnicas en Colombia.</w:t>
      </w:r>
      <w:r w:rsidRPr="00E838CE">
        <w:rPr>
          <w:rFonts w:ascii="Verdana" w:eastAsia="Calibri" w:hAnsi="Verdana" w:cs="Times New Roman"/>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3" w:tgtFrame="_blank" w:tooltip="Dirección URL original: https://www.colombiacompra.gov.co/manuales-guias-y-pliegos-tipo/manuales-y-guias/cartilla-para-incentivar-y-fortalecer-el-acceso-las. Haga clic o pulse si confía en este vínculo." w:history="1">
        <w:r w:rsidRPr="00E838CE">
          <w:rPr>
            <w:rStyle w:val="Hipervnculo"/>
            <w:rFonts w:ascii="Verdana" w:eastAsia="Calibri" w:hAnsi="Verdana" w:cs="Times New Roman"/>
          </w:rPr>
          <w:t>Cartilla para incentivar y fortalecer el acceso a las compras y contratación pública de los pueblos y comunidades étnicas en Colombia | Colombia Compra Eficiente | Agencia Nacional de Contratación Pública</w:t>
        </w:r>
      </w:hyperlink>
    </w:p>
    <w:p w14:paraId="3FFD25CC" w14:textId="77777777" w:rsidR="00E26F22" w:rsidRPr="00E838CE" w:rsidRDefault="00E26F22" w:rsidP="00E26F22">
      <w:pPr>
        <w:spacing w:after="0" w:line="276" w:lineRule="auto"/>
        <w:jc w:val="both"/>
        <w:rPr>
          <w:rFonts w:ascii="Verdana" w:eastAsia="Calibri" w:hAnsi="Verdana" w:cs="Times New Roman"/>
        </w:rPr>
      </w:pPr>
    </w:p>
    <w:p w14:paraId="6D9FE7BC" w14:textId="77777777" w:rsidR="00E26F22" w:rsidRDefault="00E26F22" w:rsidP="0712134E">
      <w:pPr>
        <w:spacing w:after="0" w:line="276" w:lineRule="auto"/>
        <w:jc w:val="both"/>
        <w:rPr>
          <w:rFonts w:ascii="Verdana" w:eastAsia="Calibri" w:hAnsi="Verdana" w:cs="Times New Roman"/>
        </w:rPr>
      </w:pPr>
      <w:r w:rsidRPr="0712134E">
        <w:rPr>
          <w:rFonts w:ascii="Verdana" w:eastAsia="Calibri" w:hAnsi="Verdana" w:cs="Times New Roman"/>
        </w:rPr>
        <w:t>De otra parte, te informamos que, con el objetivo de garantizar un conocimiento adecuado de las </w:t>
      </w:r>
      <w:r w:rsidRPr="0712134E">
        <w:rPr>
          <w:rFonts w:ascii="Verdana" w:eastAsia="Calibri" w:hAnsi="Verdana" w:cs="Times New Roman"/>
          <w:b/>
          <w:bCs/>
        </w:rPr>
        <w:t>modificaciones y/o actualizaciones realizadas a los Documentos Tipo</w:t>
      </w:r>
      <w:r w:rsidRPr="0712134E">
        <w:rPr>
          <w:rFonts w:ascii="Verdana" w:eastAsia="Calibri" w:hAnsi="Verdana" w:cs="Times New Roman"/>
        </w:rPr>
        <w:t>, hemos programado una serie de </w:t>
      </w:r>
      <w:r w:rsidRPr="0712134E">
        <w:rPr>
          <w:rFonts w:ascii="Verdana" w:eastAsia="Calibri" w:hAnsi="Verdana" w:cs="Times New Roman"/>
          <w:b/>
          <w:bCs/>
        </w:rPr>
        <w:t>capacitaciones </w:t>
      </w:r>
      <w:r w:rsidRPr="0712134E">
        <w:rPr>
          <w:rFonts w:ascii="Verdana" w:eastAsia="Calibri" w:hAnsi="Verdana" w:cs="Times New Roman"/>
        </w:rPr>
        <w:t xml:space="preserve">dirigidas a todos los actores involucrados en los procesos de selección. Podrás conocer la programación y realizar tu inscripción a estas capacitaciones a través del </w:t>
      </w:r>
      <w:r w:rsidRPr="0712134E">
        <w:rPr>
          <w:rFonts w:ascii="Verdana" w:eastAsia="Calibri" w:hAnsi="Verdana" w:cs="Times New Roman"/>
        </w:rPr>
        <w:lastRenderedPageBreak/>
        <w:t>siguiente enlace: </w:t>
      </w:r>
      <w:hyperlink r:id="rId14">
        <w:r w:rsidRPr="0712134E">
          <w:rPr>
            <w:rStyle w:val="Hipervnculo"/>
            <w:rFonts w:ascii="Verdana" w:eastAsia="Calibri" w:hAnsi="Verdana" w:cs="Times New Roman"/>
          </w:rPr>
          <w:t>Calendario | Colombia Compra Eficiente | Agencia Nacional de Contratación Pública</w:t>
        </w:r>
      </w:hyperlink>
    </w:p>
    <w:p w14:paraId="2A8A1554" w14:textId="77777777" w:rsidR="00E26F22" w:rsidRPr="00E838CE" w:rsidRDefault="00E26F22" w:rsidP="00E26F22">
      <w:pPr>
        <w:spacing w:after="0" w:line="276" w:lineRule="auto"/>
        <w:jc w:val="both"/>
        <w:rPr>
          <w:rFonts w:ascii="Verdana" w:eastAsia="Calibri" w:hAnsi="Verdana" w:cs="Times New Roman"/>
        </w:rPr>
      </w:pPr>
    </w:p>
    <w:p w14:paraId="0E60FF13" w14:textId="77777777" w:rsidR="00E26F22" w:rsidRPr="00E838CE" w:rsidRDefault="00E26F22" w:rsidP="00E26F22">
      <w:pPr>
        <w:spacing w:after="0" w:line="276" w:lineRule="auto"/>
        <w:jc w:val="both"/>
        <w:rPr>
          <w:rFonts w:ascii="Verdana" w:eastAsia="Calibri" w:hAnsi="Verdana" w:cs="Times New Roman"/>
        </w:rPr>
      </w:pPr>
      <w:r w:rsidRPr="00E838CE">
        <w:rPr>
          <w:rFonts w:ascii="Verdana" w:eastAsia="Calibri" w:hAnsi="Verdana" w:cs="Times New Roman"/>
        </w:rPr>
        <w:t>También, te contamos que ya publicamos </w:t>
      </w:r>
      <w:r w:rsidRPr="00E838CE">
        <w:rPr>
          <w:rFonts w:ascii="Verdana" w:eastAsia="Calibri" w:hAnsi="Verdana" w:cs="Times New Roman"/>
          <w:b/>
          <w:bCs/>
        </w:rPr>
        <w:t>la nueva Guía de Contratación Pública Sostenible y Socialmente Responsable</w:t>
      </w:r>
      <w:r w:rsidRPr="00E838CE">
        <w:rPr>
          <w:rFonts w:ascii="Verdana" w:eastAsia="Calibri" w:hAnsi="Verdana" w:cs="Times New Roman"/>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E838CE">
          <w:rPr>
            <w:rStyle w:val="Hipervnculo"/>
            <w:rFonts w:ascii="Verdana" w:eastAsia="Calibri" w:hAnsi="Verdana" w:cs="Times New Roman"/>
          </w:rPr>
          <w:t>Guía de Contratación Pública Sostenible y Socialmente Responsable | Colombia Compra Eficiente | Agencia Nacional de Contratación Pública</w:t>
        </w:r>
      </w:hyperlink>
    </w:p>
    <w:p w14:paraId="3A264149" w14:textId="77777777" w:rsidR="00E26F22" w:rsidRDefault="00E26F22" w:rsidP="00E26F22">
      <w:pPr>
        <w:spacing w:after="0" w:line="254" w:lineRule="auto"/>
        <w:jc w:val="both"/>
        <w:rPr>
          <w:rFonts w:ascii="Verdana" w:eastAsia="Calibri" w:hAnsi="Verdana" w:cs="Times New Roman"/>
        </w:rPr>
      </w:pPr>
    </w:p>
    <w:p w14:paraId="68A36F00" w14:textId="77777777" w:rsidR="00E26F22" w:rsidRDefault="00E26F22" w:rsidP="00E26F22">
      <w:pPr>
        <w:spacing w:after="0" w:line="254" w:lineRule="auto"/>
        <w:rPr>
          <w:rFonts w:ascii="Verdana" w:eastAsia="Calibri" w:hAnsi="Verdana" w:cs="Times New Roman"/>
        </w:rPr>
      </w:pPr>
      <w:r w:rsidRPr="00186A86">
        <w:rPr>
          <w:rFonts w:ascii="Verdana" w:eastAsia="Calibri" w:hAnsi="Verdana" w:cs="Times New Roman"/>
        </w:rPr>
        <w:t xml:space="preserve">Por último, lo invitamos a seguirnos en las redes sociales en las cuales se difunde información institucional: </w:t>
      </w:r>
    </w:p>
    <w:p w14:paraId="60E638E7" w14:textId="77777777" w:rsidR="00E26F22" w:rsidRPr="004555F6" w:rsidRDefault="00E26F22" w:rsidP="00E26F22">
      <w:pPr>
        <w:spacing w:after="0" w:line="254" w:lineRule="auto"/>
        <w:rPr>
          <w:rFonts w:ascii="Verdana" w:eastAsia="Calibri" w:hAnsi="Verdana" w:cs="Times New Roman"/>
          <w:sz w:val="20"/>
          <w:szCs w:val="20"/>
        </w:rPr>
      </w:pPr>
    </w:p>
    <w:p w14:paraId="7B21D0F4" w14:textId="77777777" w:rsidR="00E26F22" w:rsidRPr="004555F6" w:rsidRDefault="00E26F22" w:rsidP="00E26F22">
      <w:pPr>
        <w:spacing w:after="0" w:line="254" w:lineRule="auto"/>
        <w:rPr>
          <w:rFonts w:ascii="Verdana" w:eastAsia="Calibri" w:hAnsi="Verdana" w:cs="Times New Roman"/>
          <w:sz w:val="20"/>
          <w:szCs w:val="20"/>
        </w:rPr>
      </w:pPr>
      <w:r w:rsidRPr="004555F6">
        <w:rPr>
          <w:rFonts w:ascii="Verdana" w:eastAsia="Calibri" w:hAnsi="Verdana" w:cs="Times New Roman"/>
          <w:sz w:val="20"/>
          <w:szCs w:val="20"/>
        </w:rPr>
        <w:t xml:space="preserve">Twitter: </w:t>
      </w:r>
      <w:r w:rsidRPr="004555F6">
        <w:rPr>
          <w:rFonts w:ascii="Verdana" w:eastAsia="Calibri" w:hAnsi="Verdana" w:cs="Times New Roman"/>
          <w:sz w:val="20"/>
          <w:szCs w:val="20"/>
          <w:u w:val="single"/>
        </w:rPr>
        <w:t>@colombiacompra</w:t>
      </w:r>
      <w:r w:rsidRPr="004555F6">
        <w:rPr>
          <w:rFonts w:ascii="Verdana" w:eastAsia="Calibri" w:hAnsi="Verdana" w:cs="Times New Roman"/>
          <w:sz w:val="20"/>
          <w:szCs w:val="20"/>
        </w:rPr>
        <w:t xml:space="preserve"> </w:t>
      </w:r>
    </w:p>
    <w:p w14:paraId="5B5A1514" w14:textId="77777777" w:rsidR="00E26F22" w:rsidRPr="004555F6" w:rsidRDefault="00E26F22" w:rsidP="0712134E">
      <w:pPr>
        <w:spacing w:after="0" w:line="254" w:lineRule="auto"/>
        <w:rPr>
          <w:rFonts w:ascii="Verdana" w:eastAsia="Calibri" w:hAnsi="Verdana" w:cs="Times New Roman"/>
          <w:sz w:val="20"/>
          <w:szCs w:val="20"/>
        </w:rPr>
      </w:pPr>
      <w:r w:rsidRPr="004555F6">
        <w:rPr>
          <w:rFonts w:ascii="Verdana" w:eastAsia="Calibri" w:hAnsi="Verdana" w:cs="Times New Roman"/>
          <w:sz w:val="20"/>
          <w:szCs w:val="20"/>
        </w:rPr>
        <w:t xml:space="preserve">Facebook: </w:t>
      </w:r>
      <w:proofErr w:type="spellStart"/>
      <w:r w:rsidRPr="004555F6">
        <w:rPr>
          <w:rFonts w:ascii="Verdana" w:eastAsia="Calibri" w:hAnsi="Verdana" w:cs="Times New Roman"/>
          <w:sz w:val="20"/>
          <w:szCs w:val="20"/>
          <w:u w:val="single"/>
        </w:rPr>
        <w:t>ColombiaCompraEficiente</w:t>
      </w:r>
      <w:proofErr w:type="spellEnd"/>
    </w:p>
    <w:p w14:paraId="29E78499" w14:textId="77777777" w:rsidR="00E26F22" w:rsidRPr="004555F6" w:rsidRDefault="00E26F22" w:rsidP="00E26F22">
      <w:pPr>
        <w:spacing w:after="0" w:line="254" w:lineRule="auto"/>
        <w:rPr>
          <w:rFonts w:ascii="Verdana" w:eastAsia="Calibri" w:hAnsi="Verdana" w:cs="Times New Roman"/>
          <w:sz w:val="20"/>
          <w:szCs w:val="20"/>
          <w:u w:val="single"/>
        </w:rPr>
      </w:pPr>
      <w:r w:rsidRPr="004555F6">
        <w:rPr>
          <w:rFonts w:ascii="Verdana" w:eastAsia="Calibri" w:hAnsi="Verdana" w:cs="Times New Roman"/>
          <w:sz w:val="20"/>
          <w:szCs w:val="20"/>
        </w:rPr>
        <w:t xml:space="preserve">LinkedIn: </w:t>
      </w:r>
      <w:r w:rsidRPr="004555F6">
        <w:rPr>
          <w:rFonts w:ascii="Verdana" w:eastAsia="Calibri" w:hAnsi="Verdana" w:cs="Times New Roman"/>
          <w:sz w:val="20"/>
          <w:szCs w:val="20"/>
          <w:u w:val="single"/>
        </w:rPr>
        <w:t>Agencia Nacional de Contratación Pública - Colombia Compra Eficiente</w:t>
      </w:r>
      <w:r w:rsidRPr="004555F6">
        <w:rPr>
          <w:rFonts w:ascii="Verdana" w:eastAsia="Calibri" w:hAnsi="Verdana" w:cs="Times New Roman"/>
          <w:sz w:val="20"/>
          <w:szCs w:val="20"/>
        </w:rPr>
        <w:t xml:space="preserve"> Instagram: </w:t>
      </w:r>
      <w:r w:rsidRPr="004555F6">
        <w:rPr>
          <w:rFonts w:ascii="Verdana" w:eastAsia="Calibri" w:hAnsi="Verdana" w:cs="Times New Roman"/>
          <w:sz w:val="20"/>
          <w:szCs w:val="20"/>
          <w:u w:val="single"/>
        </w:rPr>
        <w:t>@colombiacompraeficiente_cce</w:t>
      </w:r>
    </w:p>
    <w:p w14:paraId="31D69D60" w14:textId="77777777" w:rsidR="00E26F22" w:rsidRPr="00186A86" w:rsidRDefault="00E26F22" w:rsidP="00E26F22">
      <w:pPr>
        <w:spacing w:after="0" w:line="254" w:lineRule="auto"/>
        <w:rPr>
          <w:rFonts w:ascii="Verdana" w:eastAsia="Calibri" w:hAnsi="Verdana" w:cs="Times New Roman"/>
          <w:b/>
          <w:bCs/>
        </w:rPr>
      </w:pPr>
    </w:p>
    <w:p w14:paraId="35149284" w14:textId="77777777" w:rsidR="00E26F22" w:rsidRPr="00115E3D" w:rsidRDefault="00E26F22" w:rsidP="00E26F22">
      <w:pPr>
        <w:widowControl w:val="0"/>
        <w:autoSpaceDE w:val="0"/>
        <w:autoSpaceDN w:val="0"/>
        <w:spacing w:after="0" w:line="276" w:lineRule="auto"/>
        <w:jc w:val="both"/>
        <w:rPr>
          <w:rFonts w:ascii="Verdana" w:hAnsi="Verdana" w:cs="Arial"/>
          <w:color w:val="000000" w:themeColor="text1"/>
        </w:rPr>
      </w:pPr>
      <w:r w:rsidRPr="00186A8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w:t>
      </w:r>
    </w:p>
    <w:p w14:paraId="7145A366" w14:textId="77777777" w:rsidR="00E26F22" w:rsidRDefault="00E26F22" w:rsidP="00E26F22">
      <w:pPr>
        <w:spacing w:after="0" w:line="240" w:lineRule="auto"/>
        <w:rPr>
          <w:rFonts w:ascii="Verdana" w:eastAsia="Times New Roman" w:hAnsi="Verdana" w:cs="Arial"/>
          <w:color w:val="000000" w:themeColor="text1"/>
          <w:lang w:eastAsia="es-CO"/>
        </w:rPr>
      </w:pPr>
    </w:p>
    <w:p w14:paraId="25B3D799" w14:textId="3FB4FDF7" w:rsidR="00E26F22" w:rsidRPr="00115E3D" w:rsidRDefault="00E26F22" w:rsidP="00E26F22">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0DDA6ED3" w14:textId="60125740" w:rsidR="00E26F22" w:rsidRPr="00EB1CF7" w:rsidRDefault="00301677" w:rsidP="00177DC8">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3AAA0CD7" wp14:editId="28BB5EB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26F22" w:rsidRPr="000F417A" w14:paraId="2E12A366" w14:textId="77777777" w:rsidTr="009C6B83">
        <w:trPr>
          <w:trHeight w:val="315"/>
        </w:trPr>
        <w:tc>
          <w:tcPr>
            <w:tcW w:w="893" w:type="dxa"/>
            <w:vAlign w:val="center"/>
            <w:hideMark/>
          </w:tcPr>
          <w:p w14:paraId="0FDA5C83" w14:textId="77777777" w:rsidR="00E26F22" w:rsidRPr="000F417A" w:rsidRDefault="00E26F22" w:rsidP="009C6B83">
            <w:pPr>
              <w:contextualSpacing/>
              <w:rPr>
                <w:rFonts w:ascii="Verdana" w:hAnsi="Verdana" w:cs="Arial"/>
                <w:sz w:val="16"/>
                <w:szCs w:val="16"/>
                <w:lang w:val="es-ES" w:eastAsia="es-ES"/>
              </w:rPr>
            </w:pPr>
            <w:r w:rsidRPr="000F417A">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71BC87C" w14:textId="77777777" w:rsidR="00E26F22" w:rsidRPr="000F417A" w:rsidRDefault="00E26F22" w:rsidP="009C6B83">
            <w:pPr>
              <w:contextualSpacing/>
              <w:rPr>
                <w:rStyle w:val="normaltextrun"/>
                <w:rFonts w:ascii="Verdana" w:hAnsi="Verdana"/>
                <w:sz w:val="16"/>
                <w:szCs w:val="16"/>
              </w:rPr>
            </w:pPr>
            <w:r w:rsidRPr="000F417A">
              <w:rPr>
                <w:rStyle w:val="normaltextrun"/>
                <w:rFonts w:ascii="Verdana" w:hAnsi="Verdana"/>
                <w:sz w:val="16"/>
                <w:szCs w:val="16"/>
              </w:rPr>
              <w:t>Richard Andrés Montenegro Siefken</w:t>
            </w:r>
          </w:p>
          <w:p w14:paraId="0FE70E0C" w14:textId="77777777" w:rsidR="00E26F22" w:rsidRPr="000F417A" w:rsidRDefault="00E26F22" w:rsidP="009C6B83">
            <w:pPr>
              <w:contextualSpacing/>
              <w:rPr>
                <w:rFonts w:ascii="Verdana" w:eastAsia="Arial" w:hAnsi="Verdana" w:cs="Arial"/>
                <w:sz w:val="16"/>
                <w:szCs w:val="16"/>
              </w:rPr>
            </w:pPr>
            <w:r w:rsidRPr="000F417A">
              <w:rPr>
                <w:rStyle w:val="normaltextrun"/>
                <w:rFonts w:ascii="Verdana" w:hAnsi="Verdana"/>
                <w:sz w:val="16"/>
                <w:szCs w:val="16"/>
              </w:rPr>
              <w:t>Contratista de la Subdirección de Gestión Contractual</w:t>
            </w:r>
          </w:p>
        </w:tc>
      </w:tr>
      <w:tr w:rsidR="00E26F22" w:rsidRPr="000F417A" w14:paraId="1D420233" w14:textId="77777777" w:rsidTr="009C6B83">
        <w:trPr>
          <w:trHeight w:val="330"/>
        </w:trPr>
        <w:tc>
          <w:tcPr>
            <w:tcW w:w="893" w:type="dxa"/>
            <w:vAlign w:val="center"/>
            <w:hideMark/>
          </w:tcPr>
          <w:p w14:paraId="1C134D02" w14:textId="77777777" w:rsidR="00E26F22" w:rsidRPr="000F417A" w:rsidRDefault="00E26F22" w:rsidP="009C6B83">
            <w:pPr>
              <w:contextualSpacing/>
              <w:rPr>
                <w:rFonts w:ascii="Verdana" w:hAnsi="Verdana" w:cs="Arial"/>
                <w:sz w:val="16"/>
                <w:szCs w:val="16"/>
                <w:lang w:val="es-ES" w:eastAsia="es-ES"/>
              </w:rPr>
            </w:pPr>
            <w:r w:rsidRPr="000F417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B7E0E1C" w14:textId="2BEABAE5" w:rsidR="00E26F22" w:rsidRPr="000F417A" w:rsidRDefault="00E26F22" w:rsidP="009C6B83">
            <w:pPr>
              <w:pStyle w:val="paragraph"/>
              <w:spacing w:after="0"/>
              <w:contextualSpacing/>
              <w:textAlignment w:val="baseline"/>
              <w:rPr>
                <w:rStyle w:val="normaltextrun"/>
                <w:rFonts w:ascii="Verdana" w:hAnsi="Verdana" w:cs="Arial"/>
                <w:sz w:val="16"/>
                <w:szCs w:val="16"/>
                <w:lang w:val="es-ES"/>
              </w:rPr>
            </w:pPr>
            <w:r w:rsidRPr="000F417A">
              <w:rPr>
                <w:rStyle w:val="normaltextrun"/>
                <w:rFonts w:ascii="Verdana" w:hAnsi="Verdana" w:cs="Arial"/>
                <w:sz w:val="16"/>
                <w:szCs w:val="16"/>
                <w:lang w:val="es-ES"/>
              </w:rPr>
              <w:t xml:space="preserve">Juan Carlos González </w:t>
            </w:r>
            <w:r w:rsidR="397E8A14" w:rsidRPr="4FEDD702">
              <w:rPr>
                <w:rStyle w:val="normaltextrun"/>
                <w:rFonts w:ascii="Verdana" w:hAnsi="Verdana" w:cs="Arial"/>
                <w:sz w:val="16"/>
                <w:szCs w:val="16"/>
                <w:lang w:val="es-ES"/>
              </w:rPr>
              <w:t>Vá</w:t>
            </w:r>
            <w:r w:rsidR="67AE5D80" w:rsidRPr="4FEDD702">
              <w:rPr>
                <w:rStyle w:val="normaltextrun"/>
                <w:rFonts w:ascii="Verdana" w:hAnsi="Verdana" w:cs="Arial"/>
                <w:sz w:val="16"/>
                <w:szCs w:val="16"/>
                <w:lang w:val="es-ES"/>
              </w:rPr>
              <w:t>s</w:t>
            </w:r>
            <w:r w:rsidR="397E8A14" w:rsidRPr="4FEDD702">
              <w:rPr>
                <w:rStyle w:val="normaltextrun"/>
                <w:rFonts w:ascii="Verdana" w:hAnsi="Verdana" w:cs="Arial"/>
                <w:sz w:val="16"/>
                <w:szCs w:val="16"/>
                <w:lang w:val="es-ES"/>
              </w:rPr>
              <w:t>quez</w:t>
            </w:r>
          </w:p>
          <w:p w14:paraId="1DF00D7C" w14:textId="77777777" w:rsidR="00E26F22" w:rsidRPr="000F417A" w:rsidRDefault="00E26F22" w:rsidP="009C6B83">
            <w:pPr>
              <w:pStyle w:val="paragraph"/>
              <w:spacing w:before="0" w:beforeAutospacing="0" w:after="0" w:afterAutospacing="0"/>
              <w:contextualSpacing/>
              <w:textAlignment w:val="baseline"/>
              <w:rPr>
                <w:rFonts w:ascii="Verdana" w:hAnsi="Verdana" w:cs="Segoe UI"/>
                <w:sz w:val="16"/>
                <w:szCs w:val="16"/>
              </w:rPr>
            </w:pPr>
            <w:r w:rsidRPr="000F417A">
              <w:rPr>
                <w:rStyle w:val="normaltextrun"/>
                <w:rFonts w:ascii="Verdana" w:hAnsi="Verdana" w:cs="Arial"/>
                <w:sz w:val="16"/>
                <w:szCs w:val="16"/>
                <w:lang w:val="es-ES"/>
              </w:rPr>
              <w:t>Gestor T1 ‒ 15 de la Subdirección de Gestión Contractual</w:t>
            </w:r>
            <w:r w:rsidRPr="000F417A">
              <w:rPr>
                <w:rStyle w:val="eop"/>
                <w:rFonts w:ascii="Verdana" w:hAnsi="Verdana" w:cs="Arial"/>
                <w:sz w:val="16"/>
                <w:szCs w:val="16"/>
              </w:rPr>
              <w:t> </w:t>
            </w:r>
          </w:p>
        </w:tc>
      </w:tr>
      <w:tr w:rsidR="00E26F22" w:rsidRPr="000F417A" w14:paraId="513C096B" w14:textId="77777777" w:rsidTr="009C6B83">
        <w:trPr>
          <w:trHeight w:val="300"/>
        </w:trPr>
        <w:tc>
          <w:tcPr>
            <w:tcW w:w="893" w:type="dxa"/>
            <w:vAlign w:val="center"/>
          </w:tcPr>
          <w:p w14:paraId="085B2231" w14:textId="77777777" w:rsidR="00E26F22" w:rsidRPr="000F417A" w:rsidRDefault="00E26F22" w:rsidP="009C6B83">
            <w:pPr>
              <w:contextualSpacing/>
              <w:rPr>
                <w:rFonts w:ascii="Verdana" w:hAnsi="Verdana" w:cs="Arial"/>
                <w:sz w:val="16"/>
                <w:szCs w:val="16"/>
                <w:lang w:val="es-ES" w:eastAsia="es-ES"/>
              </w:rPr>
            </w:pPr>
            <w:r w:rsidRPr="000F417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B3B661A" w14:textId="77777777" w:rsidR="00E26F22" w:rsidRPr="000F417A" w:rsidRDefault="00E26F22" w:rsidP="009C6B83">
            <w:pPr>
              <w:contextualSpacing/>
              <w:rPr>
                <w:rFonts w:ascii="Verdana" w:eastAsia="Calibri" w:hAnsi="Verdana" w:cs="Arial"/>
                <w:sz w:val="16"/>
                <w:szCs w:val="16"/>
                <w:lang w:val="pt-BR" w:eastAsia="es-ES"/>
              </w:rPr>
            </w:pPr>
            <w:r w:rsidRPr="000F417A">
              <w:rPr>
                <w:rFonts w:ascii="Verdana" w:eastAsia="Calibri" w:hAnsi="Verdana" w:cs="Arial"/>
                <w:sz w:val="16"/>
                <w:szCs w:val="16"/>
                <w:lang w:val="pt-BR" w:eastAsia="es-ES"/>
              </w:rPr>
              <w:t xml:space="preserve">Carolina Quintero </w:t>
            </w:r>
            <w:proofErr w:type="spellStart"/>
            <w:r w:rsidRPr="000F417A">
              <w:rPr>
                <w:rFonts w:ascii="Verdana" w:eastAsia="Calibri" w:hAnsi="Verdana" w:cs="Arial"/>
                <w:sz w:val="16"/>
                <w:szCs w:val="16"/>
                <w:lang w:val="pt-BR" w:eastAsia="es-ES"/>
              </w:rPr>
              <w:t>Gacharná</w:t>
            </w:r>
            <w:proofErr w:type="spellEnd"/>
          </w:p>
          <w:p w14:paraId="20C8C50B" w14:textId="77777777" w:rsidR="00E26F22" w:rsidRPr="000F417A" w:rsidRDefault="00E26F22" w:rsidP="009C6B83">
            <w:pPr>
              <w:contextualSpacing/>
              <w:rPr>
                <w:rFonts w:ascii="Verdana" w:eastAsia="Calibri" w:hAnsi="Verdana" w:cs="Arial"/>
                <w:sz w:val="16"/>
                <w:szCs w:val="16"/>
                <w:lang w:val="pt-BR" w:eastAsia="es-ES"/>
              </w:rPr>
            </w:pPr>
            <w:r w:rsidRPr="000F417A">
              <w:rPr>
                <w:rFonts w:ascii="Verdana" w:eastAsia="Calibri" w:hAnsi="Verdana" w:cs="Arial"/>
                <w:sz w:val="16"/>
                <w:szCs w:val="16"/>
                <w:lang w:eastAsia="es-ES"/>
              </w:rPr>
              <w:t>Subdirectora</w:t>
            </w:r>
            <w:r w:rsidRPr="000F417A">
              <w:rPr>
                <w:rFonts w:ascii="Verdana" w:eastAsia="Calibri" w:hAnsi="Verdana" w:cs="Arial"/>
                <w:sz w:val="16"/>
                <w:szCs w:val="16"/>
                <w:lang w:val="pt-BR" w:eastAsia="es-ES"/>
              </w:rPr>
              <w:t xml:space="preserve"> de Gestión </w:t>
            </w:r>
            <w:proofErr w:type="spellStart"/>
            <w:r w:rsidRPr="000F417A">
              <w:rPr>
                <w:rFonts w:ascii="Verdana" w:eastAsia="Calibri" w:hAnsi="Verdana" w:cs="Arial"/>
                <w:sz w:val="16"/>
                <w:szCs w:val="16"/>
                <w:lang w:val="pt-BR" w:eastAsia="es-ES"/>
              </w:rPr>
              <w:t>Contractual</w:t>
            </w:r>
            <w:proofErr w:type="spellEnd"/>
            <w:r w:rsidRPr="000F417A">
              <w:rPr>
                <w:rFonts w:ascii="Verdana" w:eastAsia="Calibri" w:hAnsi="Verdana" w:cs="Arial"/>
                <w:sz w:val="16"/>
                <w:szCs w:val="16"/>
                <w:lang w:val="pt-BR" w:eastAsia="es-ES"/>
              </w:rPr>
              <w:t xml:space="preserve"> ANCP – CCE</w:t>
            </w:r>
          </w:p>
        </w:tc>
      </w:tr>
    </w:tbl>
    <w:p w14:paraId="3900974D" w14:textId="77777777" w:rsidR="003D5B0D" w:rsidRPr="00D62CAD" w:rsidRDefault="003D5B0D" w:rsidP="004555F6"/>
    <w:sectPr w:rsidR="003D5B0D" w:rsidRPr="00D62CA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24C18" w14:textId="77777777" w:rsidR="00517A5B" w:rsidRDefault="00517A5B" w:rsidP="004A1847">
      <w:pPr>
        <w:spacing w:after="0" w:line="240" w:lineRule="auto"/>
      </w:pPr>
      <w:r>
        <w:separator/>
      </w:r>
    </w:p>
  </w:endnote>
  <w:endnote w:type="continuationSeparator" w:id="0">
    <w:p w14:paraId="08253468" w14:textId="77777777" w:rsidR="00517A5B" w:rsidRDefault="00517A5B" w:rsidP="004A1847">
      <w:pPr>
        <w:spacing w:after="0" w:line="240" w:lineRule="auto"/>
      </w:pPr>
      <w:r>
        <w:continuationSeparator/>
      </w:r>
    </w:p>
  </w:endnote>
  <w:endnote w:type="continuationNotice" w:id="1">
    <w:p w14:paraId="4D3DAC22" w14:textId="77777777" w:rsidR="00517A5B" w:rsidRDefault="00517A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F33E0A" w14:textId="77777777" w:rsidR="00517A5B" w:rsidRDefault="00517A5B" w:rsidP="004A1847">
      <w:pPr>
        <w:spacing w:after="0" w:line="240" w:lineRule="auto"/>
      </w:pPr>
      <w:r>
        <w:separator/>
      </w:r>
    </w:p>
  </w:footnote>
  <w:footnote w:type="continuationSeparator" w:id="0">
    <w:p w14:paraId="50EE9D6D" w14:textId="77777777" w:rsidR="00517A5B" w:rsidRDefault="00517A5B" w:rsidP="004A1847">
      <w:pPr>
        <w:spacing w:after="0" w:line="240" w:lineRule="auto"/>
      </w:pPr>
      <w:r>
        <w:continuationSeparator/>
      </w:r>
    </w:p>
  </w:footnote>
  <w:footnote w:type="continuationNotice" w:id="1">
    <w:p w14:paraId="23302423" w14:textId="77777777" w:rsidR="00517A5B" w:rsidRDefault="00517A5B">
      <w:pPr>
        <w:spacing w:after="0" w:line="240" w:lineRule="auto"/>
      </w:pPr>
    </w:p>
  </w:footnote>
  <w:footnote w:id="2">
    <w:p w14:paraId="763CD362" w14:textId="77777777" w:rsidR="00E26F22" w:rsidRPr="00285AC2" w:rsidRDefault="00E26F22" w:rsidP="00E26F22">
      <w:pPr>
        <w:ind w:right="51" w:firstLine="708"/>
        <w:jc w:val="both"/>
        <w:rPr>
          <w:rFonts w:ascii="Verdana" w:eastAsia="Calibri" w:hAnsi="Verdana" w:cs="Arial"/>
          <w:color w:val="000000"/>
          <w:sz w:val="14"/>
          <w:szCs w:val="14"/>
        </w:rPr>
      </w:pPr>
      <w:r w:rsidRPr="00285AC2">
        <w:rPr>
          <w:rStyle w:val="Refdenotaalpie"/>
          <w:rFonts w:ascii="Verdana" w:hAnsi="Verdana" w:cs="Arial"/>
          <w:color w:val="000000"/>
          <w:sz w:val="14"/>
          <w:szCs w:val="14"/>
        </w:rPr>
        <w:footnoteRef/>
      </w:r>
      <w:r w:rsidRPr="00285AC2">
        <w:rPr>
          <w:rFonts w:ascii="Verdana" w:hAnsi="Verdana" w:cs="Arial"/>
          <w:color w:val="000000"/>
          <w:sz w:val="14"/>
          <w:szCs w:val="14"/>
        </w:rPr>
        <w:t xml:space="preserve"> </w:t>
      </w:r>
      <w:r w:rsidRPr="00285AC2">
        <w:rPr>
          <w:rFonts w:ascii="Verdana" w:eastAsia="Calibri" w:hAnsi="Verdana" w:cs="Arial"/>
          <w:color w:val="000000"/>
          <w:sz w:val="14"/>
          <w:szCs w:val="14"/>
        </w:rPr>
        <w:t>Decreto 019 de 2012: “Artículo 229. Experiencia profesional. Para el ejercicio de las diferentes profesiones acreditadas por el Ministerio de Educación Nacional, la experiencia profesional se computará a partir de la terminación y aprobación del pensum académico de educación superior.</w:t>
      </w:r>
    </w:p>
    <w:p w14:paraId="16863DDB" w14:textId="77777777" w:rsidR="00E26F22" w:rsidRPr="00285AC2" w:rsidRDefault="00E26F22" w:rsidP="00E26F22">
      <w:pPr>
        <w:ind w:right="51" w:firstLine="708"/>
        <w:jc w:val="both"/>
        <w:rPr>
          <w:rFonts w:ascii="Verdana" w:eastAsia="Calibri" w:hAnsi="Verdana" w:cs="Arial"/>
          <w:color w:val="000000"/>
          <w:sz w:val="14"/>
          <w:szCs w:val="14"/>
        </w:rPr>
      </w:pPr>
      <w:r w:rsidRPr="00285AC2">
        <w:rPr>
          <w:rFonts w:ascii="Verdana" w:eastAsia="Calibri" w:hAnsi="Verdana" w:cs="Arial"/>
          <w:color w:val="000000"/>
          <w:sz w:val="14"/>
          <w:szCs w:val="14"/>
        </w:rPr>
        <w:t>“Se exceptúan de esta condición las profesiones relacionadas con el sistema de seguridad social en salud en las cuales la experiencia profesional se computará a partir de la inscripción o registro profesional”.</w:t>
      </w:r>
    </w:p>
    <w:p w14:paraId="36FFB9B9" w14:textId="77777777" w:rsidR="00E26F22" w:rsidRPr="00285AC2" w:rsidRDefault="00E26F22" w:rsidP="00E26F22">
      <w:pPr>
        <w:pStyle w:val="Textonotapie"/>
        <w:ind w:firstLine="708"/>
        <w:jc w:val="both"/>
        <w:rPr>
          <w:rFonts w:ascii="Arial" w:hAnsi="Arial" w:cs="Arial"/>
          <w:color w:val="000000"/>
          <w:sz w:val="14"/>
          <w:szCs w:val="14"/>
          <w:lang w:val="es-CO"/>
        </w:rPr>
      </w:pPr>
    </w:p>
  </w:footnote>
  <w:footnote w:id="3">
    <w:p w14:paraId="0B84CCC5" w14:textId="77777777" w:rsidR="00E26F22" w:rsidRPr="00285AC2" w:rsidRDefault="00E26F22" w:rsidP="008B19FD">
      <w:pPr>
        <w:spacing w:after="0"/>
        <w:ind w:firstLine="709"/>
        <w:jc w:val="both"/>
        <w:rPr>
          <w:rFonts w:ascii="Verdana" w:eastAsia="Calibri" w:hAnsi="Verdana" w:cs="Arial"/>
          <w:color w:val="000000"/>
          <w:sz w:val="14"/>
          <w:szCs w:val="14"/>
        </w:rPr>
      </w:pPr>
      <w:r w:rsidRPr="00285AC2">
        <w:rPr>
          <w:rStyle w:val="Refdenotaalpie"/>
          <w:rFonts w:ascii="Verdana" w:hAnsi="Verdana" w:cs="Arial"/>
          <w:color w:val="000000"/>
          <w:sz w:val="14"/>
          <w:szCs w:val="14"/>
        </w:rPr>
        <w:footnoteRef/>
      </w:r>
      <w:r w:rsidRPr="00285AC2">
        <w:rPr>
          <w:rFonts w:ascii="Verdana" w:hAnsi="Verdana" w:cs="Arial"/>
          <w:color w:val="000000"/>
          <w:sz w:val="14"/>
          <w:szCs w:val="14"/>
        </w:rPr>
        <w:t xml:space="preserve"> </w:t>
      </w:r>
      <w:r w:rsidRPr="00285AC2">
        <w:rPr>
          <w:rFonts w:ascii="Verdana" w:eastAsia="Calibri" w:hAnsi="Verdana" w:cs="Arial"/>
          <w:color w:val="000000"/>
          <w:sz w:val="14"/>
          <w:szCs w:val="14"/>
        </w:rPr>
        <w:t>Ley 1780 de 2016: “Artículo 15. Naturaleza, definición y reglamentación de la práctica laboral. la práctica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 y su tipo de formación; para el cumplimiento de un requisito para culminar sus estudios u obtener un título que lo acreditará para el desempeño laboral.</w:t>
      </w:r>
    </w:p>
    <w:p w14:paraId="090E8969" w14:textId="127111F8" w:rsidR="00E26F22" w:rsidRPr="00E268CA" w:rsidRDefault="00E26F22" w:rsidP="008B19FD">
      <w:pPr>
        <w:spacing w:after="0"/>
        <w:ind w:firstLine="709"/>
        <w:jc w:val="both"/>
        <w:rPr>
          <w:rFonts w:ascii="Verdana" w:hAnsi="Verdana" w:cs="Arial"/>
          <w:color w:val="000000"/>
          <w:sz w:val="14"/>
          <w:szCs w:val="14"/>
        </w:rPr>
      </w:pPr>
      <w:r w:rsidRPr="00285AC2">
        <w:rPr>
          <w:rFonts w:ascii="Verdana" w:eastAsia="Calibri" w:hAnsi="Verdana" w:cs="Arial"/>
          <w:color w:val="000000"/>
          <w:sz w:val="14"/>
          <w:szCs w:val="14"/>
        </w:rPr>
        <w:t>“Por tratarse de una actividad formativa, la práctica laboral no constituye relación de trabajo”.</w:t>
      </w:r>
    </w:p>
  </w:footnote>
  <w:footnote w:id="4">
    <w:p w14:paraId="0DBA409D" w14:textId="77777777" w:rsidR="00E26F22" w:rsidRPr="00E268CA" w:rsidRDefault="00E26F22" w:rsidP="008B19FD">
      <w:pPr>
        <w:pStyle w:val="NormalWeb"/>
        <w:spacing w:after="0" w:afterAutospacing="0"/>
        <w:ind w:firstLine="709"/>
        <w:jc w:val="both"/>
        <w:rPr>
          <w:rFonts w:ascii="Verdana" w:hAnsi="Verdana" w:cs="Arial"/>
          <w:color w:val="000000"/>
          <w:sz w:val="14"/>
          <w:szCs w:val="14"/>
        </w:rPr>
      </w:pPr>
      <w:r w:rsidRPr="00E268CA">
        <w:rPr>
          <w:rStyle w:val="Refdenotaalpie"/>
          <w:rFonts w:ascii="Verdana" w:hAnsi="Verdana" w:cs="Arial"/>
          <w:color w:val="000000"/>
          <w:sz w:val="14"/>
          <w:szCs w:val="14"/>
        </w:rPr>
        <w:footnoteRef/>
      </w:r>
      <w:bookmarkStart w:id="1" w:name="192"/>
      <w:r w:rsidRPr="00E268CA">
        <w:rPr>
          <w:rFonts w:ascii="Verdana" w:hAnsi="Verdana" w:cs="Arial"/>
          <w:bCs/>
          <w:color w:val="000000"/>
          <w:sz w:val="14"/>
          <w:szCs w:val="14"/>
        </w:rPr>
        <w:t xml:space="preserve"> “Artículo 192. Prácticas Laborales.</w:t>
      </w:r>
      <w:bookmarkEnd w:id="1"/>
      <w:r w:rsidRPr="00E268CA">
        <w:rPr>
          <w:rFonts w:ascii="Verdana" w:hAnsi="Verdana" w:cs="Arial"/>
          <w:color w:val="000000"/>
          <w:sz w:val="14"/>
          <w:szCs w:val="14"/>
        </w:rPr>
        <w:t> Además de lo previsto en el artículo </w:t>
      </w:r>
      <w:hyperlink r:id="rId1" w:anchor="15" w:history="1">
        <w:r w:rsidRPr="00E268CA">
          <w:rPr>
            <w:rStyle w:val="Hipervnculo"/>
            <w:rFonts w:ascii="Verdana" w:eastAsiaTheme="majorEastAsia" w:hAnsi="Verdana" w:cs="Arial"/>
            <w:color w:val="000000"/>
            <w:sz w:val="14"/>
            <w:szCs w:val="14"/>
          </w:rPr>
          <w:t>15</w:t>
        </w:r>
      </w:hyperlink>
      <w:r w:rsidRPr="00E268CA">
        <w:rPr>
          <w:rFonts w:ascii="Verdana" w:hAnsi="Verdana" w:cs="Arial"/>
          <w:color w:val="000000"/>
          <w:sz w:val="14"/>
          <w:szCs w:val="14"/>
        </w:rPr>
        <w:t xml:space="preserve"> de la Ley 1780 de 2016, las prácticas laborales podrán desarrollarse por estudiantes de educación superior de posgrado, de educación para el trabajo y desarrollo humano, de formación profesional integral del SENA, así como de toda la oferta de formación por competencias. </w:t>
      </w:r>
    </w:p>
    <w:p w14:paraId="3D4D803E" w14:textId="77777777" w:rsidR="00E26F22" w:rsidRPr="00E268CA" w:rsidRDefault="00E26F22" w:rsidP="008B19FD">
      <w:pPr>
        <w:pStyle w:val="NormalWeb"/>
        <w:spacing w:after="0" w:afterAutospacing="0"/>
        <w:ind w:firstLine="709"/>
        <w:jc w:val="both"/>
        <w:rPr>
          <w:rFonts w:ascii="Verdana" w:hAnsi="Verdana" w:cs="Arial"/>
          <w:color w:val="000000"/>
          <w:sz w:val="14"/>
          <w:szCs w:val="14"/>
        </w:rPr>
      </w:pPr>
      <w:r w:rsidRPr="00E268CA">
        <w:rPr>
          <w:rStyle w:val="baj"/>
          <w:rFonts w:ascii="Verdana" w:hAnsi="Verdana" w:cs="Arial"/>
          <w:bCs/>
          <w:color w:val="000000"/>
          <w:sz w:val="14"/>
          <w:szCs w:val="14"/>
        </w:rPr>
        <w:t>“PARÁGRAFO 1o.</w:t>
      </w:r>
      <w:r w:rsidRPr="00E268CA">
        <w:rPr>
          <w:rFonts w:ascii="Verdana" w:hAnsi="Verdana" w:cs="Arial"/>
          <w:color w:val="000000"/>
          <w:sz w:val="14"/>
          <w:szCs w:val="14"/>
        </w:rPr>
        <w:t> El tiempo de la práctica laboral que el estudiante realice para optar a su título de profesional, tecnológico o técnico cuenta como experiencia laboral, sin perjuicio de las disposiciones vigentes en la materia.</w:t>
      </w:r>
    </w:p>
    <w:p w14:paraId="613DAB5E" w14:textId="77777777" w:rsidR="00E26F22" w:rsidRPr="00E268CA" w:rsidRDefault="00E26F22" w:rsidP="008B19FD">
      <w:pPr>
        <w:pStyle w:val="NormalWeb"/>
        <w:spacing w:after="0" w:afterAutospacing="0"/>
        <w:ind w:firstLine="709"/>
        <w:jc w:val="both"/>
        <w:rPr>
          <w:rFonts w:ascii="Verdana" w:hAnsi="Verdana" w:cs="Arial"/>
          <w:color w:val="000000"/>
          <w:sz w:val="14"/>
          <w:szCs w:val="14"/>
        </w:rPr>
      </w:pPr>
      <w:r w:rsidRPr="00E268CA">
        <w:rPr>
          <w:rFonts w:ascii="Verdana" w:hAnsi="Verdana" w:cs="Arial"/>
          <w:color w:val="000000"/>
          <w:sz w:val="14"/>
          <w:szCs w:val="14"/>
        </w:rPr>
        <w:t>“</w:t>
      </w:r>
      <w:r w:rsidRPr="00E268CA">
        <w:rPr>
          <w:rStyle w:val="baj"/>
          <w:rFonts w:ascii="Verdana" w:hAnsi="Verdana" w:cs="Arial"/>
          <w:bCs/>
          <w:color w:val="000000"/>
          <w:sz w:val="14"/>
          <w:szCs w:val="14"/>
        </w:rPr>
        <w:t>PARÁGRAFO 2o.</w:t>
      </w:r>
      <w:r w:rsidRPr="00E268CA">
        <w:rPr>
          <w:rFonts w:ascii="Verdana" w:hAnsi="Verdana" w:cs="Arial"/>
          <w:color w:val="000000"/>
          <w:sz w:val="14"/>
          <w:szCs w:val="14"/>
        </w:rPr>
        <w:t xml:space="preserve"> Las prácticas laborales realizadas durante los veinticuatro (24) meses anteriores a la </w:t>
      </w:r>
      <w:proofErr w:type="gramStart"/>
      <w:r w:rsidRPr="00E268CA">
        <w:rPr>
          <w:rFonts w:ascii="Verdana" w:hAnsi="Verdana" w:cs="Arial"/>
          <w:color w:val="000000"/>
          <w:sz w:val="14"/>
          <w:szCs w:val="14"/>
        </w:rPr>
        <w:t>entrada en vigencia</w:t>
      </w:r>
      <w:proofErr w:type="gramEnd"/>
      <w:r w:rsidRPr="00E268CA">
        <w:rPr>
          <w:rFonts w:ascii="Verdana" w:hAnsi="Verdana" w:cs="Arial"/>
          <w:color w:val="000000"/>
          <w:sz w:val="14"/>
          <w:szCs w:val="14"/>
        </w:rPr>
        <w:t xml:space="preserve"> de la presente Ley, serán tenidas en cuenta al momento de contabilizar el tiempo de experiencia laboral. </w:t>
      </w:r>
    </w:p>
    <w:p w14:paraId="15E41968" w14:textId="77777777" w:rsidR="00E26F22" w:rsidRPr="00E268CA" w:rsidRDefault="00E26F22" w:rsidP="008B19FD">
      <w:pPr>
        <w:pStyle w:val="NormalWeb"/>
        <w:spacing w:after="0" w:afterAutospacing="0"/>
        <w:ind w:firstLine="709"/>
        <w:jc w:val="both"/>
        <w:rPr>
          <w:rFonts w:ascii="Verdana" w:hAnsi="Verdana" w:cs="Arial"/>
          <w:color w:val="000000"/>
          <w:sz w:val="14"/>
          <w:szCs w:val="14"/>
        </w:rPr>
      </w:pPr>
      <w:r w:rsidRPr="00E268CA">
        <w:rPr>
          <w:rStyle w:val="baj"/>
          <w:rFonts w:ascii="Verdana" w:hAnsi="Verdana" w:cs="Arial"/>
          <w:bCs/>
          <w:color w:val="000000"/>
          <w:sz w:val="14"/>
          <w:szCs w:val="14"/>
        </w:rPr>
        <w:t>“PARÁGRAFO 3o.</w:t>
      </w:r>
      <w:r w:rsidRPr="00E268CA">
        <w:rPr>
          <w:rFonts w:ascii="Verdana" w:hAnsi="Verdana" w:cs="Arial"/>
          <w:color w:val="000000"/>
          <w:sz w:val="14"/>
          <w:szCs w:val="14"/>
        </w:rPr>
        <w:t> Se exceptúan de lo dispuesto en el presente artículo, los estudiantes de posgrado del sector salud.</w:t>
      </w:r>
    </w:p>
    <w:p w14:paraId="6AAF5F9A" w14:textId="77777777" w:rsidR="00E26F22" w:rsidRPr="00E268CA" w:rsidRDefault="00E26F22" w:rsidP="008B19FD">
      <w:pPr>
        <w:pStyle w:val="NormalWeb"/>
        <w:spacing w:after="0" w:afterAutospacing="0"/>
        <w:ind w:firstLine="709"/>
        <w:jc w:val="both"/>
        <w:rPr>
          <w:rFonts w:ascii="Verdana" w:hAnsi="Verdana" w:cs="Arial"/>
          <w:color w:val="000000"/>
          <w:sz w:val="14"/>
          <w:szCs w:val="14"/>
        </w:rPr>
      </w:pPr>
      <w:r w:rsidRPr="00E268CA">
        <w:rPr>
          <w:rFonts w:ascii="Verdana" w:hAnsi="Verdana" w:cs="Arial"/>
          <w:color w:val="000000"/>
          <w:sz w:val="14"/>
          <w:szCs w:val="14"/>
        </w:rPr>
        <w:t>“</w:t>
      </w:r>
      <w:r w:rsidRPr="00E268CA">
        <w:rPr>
          <w:rStyle w:val="baj"/>
          <w:rFonts w:ascii="Verdana" w:hAnsi="Verdana" w:cs="Arial"/>
          <w:bCs/>
          <w:color w:val="000000"/>
          <w:sz w:val="14"/>
          <w:szCs w:val="14"/>
        </w:rPr>
        <w:t>PARÁGRAFO 4o</w:t>
      </w:r>
      <w:r w:rsidRPr="00E268CA">
        <w:rPr>
          <w:rStyle w:val="baj"/>
          <w:rFonts w:ascii="Verdana" w:hAnsi="Verdana" w:cs="Arial"/>
          <w:b/>
          <w:bCs/>
          <w:color w:val="000000"/>
          <w:sz w:val="14"/>
          <w:szCs w:val="14"/>
        </w:rPr>
        <w:t>.</w:t>
      </w:r>
      <w:r w:rsidRPr="00E268CA">
        <w:rPr>
          <w:rFonts w:ascii="Verdana" w:hAnsi="Verdana" w:cs="Arial"/>
          <w:color w:val="000000"/>
          <w:sz w:val="14"/>
          <w:szCs w:val="14"/>
        </w:rPr>
        <w:t> En el sector público se generarán oportunidades de prácticas laborales para estudiantes de administración pública”.</w:t>
      </w:r>
    </w:p>
    <w:p w14:paraId="64F39952" w14:textId="77777777" w:rsidR="00E26F22" w:rsidRPr="003C068C" w:rsidRDefault="00E26F22" w:rsidP="00E26F22">
      <w:pPr>
        <w:pStyle w:val="Textonotapie"/>
        <w:ind w:firstLine="709"/>
        <w:jc w:val="both"/>
        <w:rPr>
          <w:rFonts w:ascii="Arial" w:hAnsi="Arial" w:cs="Arial"/>
          <w:color w:val="000000"/>
          <w:sz w:val="19"/>
          <w:szCs w:val="19"/>
          <w:lang w:val="es-CO"/>
        </w:rPr>
      </w:pPr>
      <w:r w:rsidRPr="003C068C">
        <w:rPr>
          <w:rFonts w:ascii="Arial" w:hAnsi="Arial" w:cs="Arial"/>
          <w:color w:val="000000"/>
          <w:sz w:val="19"/>
          <w:szCs w:val="19"/>
        </w:rPr>
        <w:t xml:space="preserve"> </w:t>
      </w:r>
    </w:p>
  </w:footnote>
  <w:footnote w:id="5">
    <w:p w14:paraId="704DBAB9" w14:textId="77777777" w:rsidR="00E26F22" w:rsidRPr="00E268CA" w:rsidRDefault="00E26F22" w:rsidP="00E26F22">
      <w:pPr>
        <w:pStyle w:val="Textonotapie"/>
        <w:ind w:firstLine="709"/>
        <w:jc w:val="both"/>
        <w:rPr>
          <w:rFonts w:ascii="Verdana" w:hAnsi="Verdana" w:cs="Arial"/>
          <w:color w:val="000000"/>
          <w:sz w:val="14"/>
          <w:szCs w:val="14"/>
          <w:lang w:val="es-CO"/>
        </w:rPr>
      </w:pPr>
      <w:r w:rsidRPr="00E268CA">
        <w:rPr>
          <w:rStyle w:val="Refdenotaalpie"/>
          <w:rFonts w:ascii="Verdana" w:hAnsi="Verdana" w:cs="Arial"/>
          <w:color w:val="000000"/>
          <w:sz w:val="14"/>
          <w:szCs w:val="14"/>
        </w:rPr>
        <w:footnoteRef/>
      </w:r>
      <w:r w:rsidRPr="00E268CA">
        <w:rPr>
          <w:rFonts w:ascii="Verdana" w:eastAsia="Calibri" w:hAnsi="Verdana" w:cs="Arial"/>
          <w:color w:val="000000"/>
          <w:sz w:val="14"/>
          <w:szCs w:val="14"/>
        </w:rPr>
        <w:t xml:space="preserve"> Corte Constitucional. Sentencia C-688 del 10 de septiembre de 2014. M.P. Luis Guillermo Guerrero Pérez</w:t>
      </w:r>
      <w:r w:rsidRPr="00E268CA">
        <w:rPr>
          <w:rFonts w:ascii="Verdana" w:hAnsi="Verdana" w:cs="Arial"/>
          <w:color w:val="000000"/>
          <w:sz w:val="14"/>
          <w:szCs w:val="14"/>
        </w:rPr>
        <w:t xml:space="preserve"> </w:t>
      </w:r>
    </w:p>
  </w:footnote>
  <w:footnote w:id="6">
    <w:p w14:paraId="71014689" w14:textId="77777777" w:rsidR="00E26F22" w:rsidRPr="00E268CA" w:rsidRDefault="00E26F22" w:rsidP="00E26F22">
      <w:pPr>
        <w:pStyle w:val="NormalWeb"/>
        <w:shd w:val="clear" w:color="auto" w:fill="FFFFFF"/>
        <w:spacing w:after="0"/>
        <w:ind w:firstLine="708"/>
        <w:jc w:val="both"/>
        <w:rPr>
          <w:rFonts w:ascii="Verdana" w:hAnsi="Verdana" w:cs="Arial"/>
          <w:color w:val="000000"/>
          <w:sz w:val="14"/>
          <w:szCs w:val="14"/>
        </w:rPr>
      </w:pPr>
      <w:r w:rsidRPr="00E268CA">
        <w:rPr>
          <w:rStyle w:val="Refdenotaalpie"/>
          <w:rFonts w:ascii="Verdana" w:hAnsi="Verdana" w:cs="Arial"/>
          <w:color w:val="000000"/>
          <w:sz w:val="14"/>
          <w:szCs w:val="14"/>
        </w:rPr>
        <w:footnoteRef/>
      </w:r>
      <w:r w:rsidRPr="00E268CA">
        <w:rPr>
          <w:rStyle w:val="Textoennegrita"/>
          <w:rFonts w:ascii="Verdana" w:hAnsi="Verdana" w:cs="Arial"/>
          <w:color w:val="000000"/>
          <w:sz w:val="14"/>
          <w:szCs w:val="14"/>
        </w:rPr>
        <w:t xml:space="preserve"> </w:t>
      </w:r>
      <w:r>
        <w:rPr>
          <w:rStyle w:val="Textoennegrita"/>
          <w:rFonts w:ascii="Verdana" w:hAnsi="Verdana" w:cs="Arial"/>
          <w:color w:val="000000"/>
          <w:sz w:val="14"/>
          <w:szCs w:val="14"/>
        </w:rPr>
        <w:t>“</w:t>
      </w:r>
      <w:r w:rsidRPr="00E268CA">
        <w:rPr>
          <w:rStyle w:val="Textoennegrita"/>
          <w:rFonts w:ascii="Verdana" w:hAnsi="Verdana" w:cs="Arial"/>
          <w:color w:val="000000"/>
          <w:sz w:val="14"/>
          <w:szCs w:val="14"/>
        </w:rPr>
        <w:t>Artículo 2.2.1.2.1.4.9. </w:t>
      </w:r>
      <w:r w:rsidRPr="00E268CA">
        <w:rPr>
          <w:rStyle w:val="nfasis"/>
          <w:rFonts w:ascii="Verdana" w:hAnsi="Verdana" w:cs="Arial"/>
          <w:bCs/>
          <w:color w:val="000000"/>
          <w:sz w:val="14"/>
          <w:szCs w:val="14"/>
        </w:rPr>
        <w:t>Contratos de prestación de servicios profesionales y de apoyo a la gestión, o para la ejecución de trabajos artísticos que solo pueden encomendarse a determinadas personas naturales.</w:t>
      </w:r>
      <w:r w:rsidRPr="00E268CA">
        <w:rPr>
          <w:rStyle w:val="nfasis"/>
          <w:rFonts w:ascii="Verdana" w:hAnsi="Verdana" w:cs="Arial"/>
          <w:color w:val="000000"/>
          <w:sz w:val="14"/>
          <w:szCs w:val="14"/>
        </w:rPr>
        <w:t> </w:t>
      </w:r>
      <w:r w:rsidRPr="00E268CA">
        <w:rPr>
          <w:rFonts w:ascii="Verdana" w:hAnsi="Verdana" w:cs="Arial"/>
          <w:color w:val="000000"/>
          <w:sz w:val="14"/>
          <w:szCs w:val="14"/>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8FBF55F" w14:textId="77777777" w:rsidR="00E26F22" w:rsidRPr="00E268CA" w:rsidRDefault="00E26F22" w:rsidP="00E26F22">
      <w:pPr>
        <w:pStyle w:val="NormalWeb"/>
        <w:shd w:val="clear" w:color="auto" w:fill="FFFFFF"/>
        <w:spacing w:after="0"/>
        <w:ind w:firstLine="708"/>
        <w:jc w:val="both"/>
        <w:rPr>
          <w:rFonts w:ascii="Verdana" w:hAnsi="Verdana" w:cs="Arial"/>
          <w:color w:val="000000"/>
          <w:sz w:val="14"/>
          <w:szCs w:val="14"/>
        </w:rPr>
      </w:pPr>
      <w:r w:rsidRPr="00E268CA">
        <w:rPr>
          <w:rFonts w:ascii="Verdana" w:hAnsi="Verdana" w:cs="Arial"/>
          <w:color w:val="000000"/>
          <w:sz w:val="14"/>
          <w:szCs w:val="14"/>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5501243D" w14:textId="77777777" w:rsidR="00E26F22" w:rsidRPr="00E268CA" w:rsidRDefault="00E26F22" w:rsidP="00E26F22">
      <w:pPr>
        <w:pStyle w:val="NormalWeb"/>
        <w:shd w:val="clear" w:color="auto" w:fill="FFFFFF"/>
        <w:spacing w:after="0"/>
        <w:ind w:firstLine="708"/>
        <w:jc w:val="both"/>
        <w:rPr>
          <w:rFonts w:ascii="Verdana" w:hAnsi="Verdana" w:cs="Arial"/>
          <w:color w:val="000000"/>
          <w:sz w:val="14"/>
          <w:szCs w:val="14"/>
        </w:rPr>
      </w:pPr>
      <w:r w:rsidRPr="00E268CA">
        <w:rPr>
          <w:rFonts w:ascii="Verdana" w:hAnsi="Verdana" w:cs="Arial"/>
          <w:color w:val="000000"/>
          <w:sz w:val="14"/>
          <w:szCs w:val="14"/>
        </w:rPr>
        <w:t>“La Entidad Estatal, para la contratación de trabajos artísticos que solamente puedan encomendarse a determinadas personas naturales, debe justificar esta situación en los estudios y documentos previos”.</w:t>
      </w:r>
    </w:p>
    <w:p w14:paraId="27D81320" w14:textId="77777777" w:rsidR="00E26F22" w:rsidRPr="00E268CA" w:rsidRDefault="00E26F22" w:rsidP="00E26F22">
      <w:pPr>
        <w:pStyle w:val="Textonotapie"/>
        <w:ind w:firstLine="708"/>
        <w:jc w:val="both"/>
        <w:rPr>
          <w:rFonts w:ascii="Verdana" w:hAnsi="Verdana" w:cs="Arial"/>
          <w:color w:val="000000"/>
          <w:sz w:val="14"/>
          <w:szCs w:val="14"/>
          <w:lang w:val="es-CO"/>
        </w:rPr>
      </w:pPr>
      <w:r w:rsidRPr="00E268CA">
        <w:rPr>
          <w:rFonts w:ascii="Verdana" w:hAnsi="Verdana" w:cs="Arial"/>
          <w:color w:val="000000"/>
          <w:sz w:val="14"/>
          <w:szCs w:val="14"/>
        </w:rPr>
        <w:t xml:space="preserve"> </w:t>
      </w:r>
    </w:p>
  </w:footnote>
  <w:footnote w:id="7">
    <w:p w14:paraId="276279BC" w14:textId="77777777" w:rsidR="00E26F22" w:rsidRPr="00E268CA" w:rsidRDefault="00E26F22" w:rsidP="00E26F22">
      <w:pPr>
        <w:pStyle w:val="Textonotapie"/>
        <w:ind w:firstLine="708"/>
        <w:jc w:val="both"/>
        <w:rPr>
          <w:rFonts w:ascii="Verdana" w:hAnsi="Verdana" w:cs="Arial"/>
          <w:color w:val="000000"/>
          <w:sz w:val="14"/>
          <w:szCs w:val="14"/>
        </w:rPr>
      </w:pPr>
      <w:r w:rsidRPr="00E268CA">
        <w:rPr>
          <w:rStyle w:val="Refdenotaalpie"/>
          <w:rFonts w:ascii="Verdana" w:hAnsi="Verdana" w:cs="Arial"/>
          <w:color w:val="000000"/>
          <w:sz w:val="14"/>
          <w:szCs w:val="14"/>
        </w:rPr>
        <w:footnoteRef/>
      </w:r>
      <w:r w:rsidRPr="00E268CA">
        <w:rPr>
          <w:rFonts w:ascii="Verdana" w:hAnsi="Verdana" w:cs="Arial"/>
          <w:color w:val="000000"/>
          <w:sz w:val="14"/>
          <w:szCs w:val="14"/>
        </w:rPr>
        <w:t xml:space="preserve"> “Artículo 1o. Todo aspirante a ocupar un cargo o empleo público, o a celebrar un contrato de prestación de servicios con la administración deberá presentar ante la unidad de personal de la correspondiente entidad, o ante la dependencia que haga sus veces, el formato único de hoja de vida debidamente diligenciado en el cual consignará la información completa que en ella se solicita:</w:t>
      </w:r>
    </w:p>
    <w:p w14:paraId="07E4E33D" w14:textId="77777777" w:rsidR="00E26F22" w:rsidRPr="00E268CA" w:rsidRDefault="00E26F22" w:rsidP="00E26F22">
      <w:pPr>
        <w:pStyle w:val="Textonotapie"/>
        <w:ind w:firstLine="708"/>
        <w:jc w:val="both"/>
        <w:rPr>
          <w:rFonts w:ascii="Verdana" w:hAnsi="Verdana" w:cs="Arial"/>
          <w:color w:val="000000"/>
          <w:sz w:val="14"/>
          <w:szCs w:val="14"/>
        </w:rPr>
      </w:pPr>
      <w:r w:rsidRPr="00E268CA">
        <w:rPr>
          <w:rFonts w:ascii="Verdana" w:hAnsi="Verdana" w:cs="Arial"/>
          <w:color w:val="000000"/>
          <w:sz w:val="14"/>
          <w:szCs w:val="14"/>
        </w:rPr>
        <w:t>“1. Su formación académica, indicando los años de estudio cursados en los distintos niveles de educación y los títulos y certificados obtenidos.</w:t>
      </w:r>
    </w:p>
    <w:p w14:paraId="72EE48A4" w14:textId="77777777" w:rsidR="00E26F22" w:rsidRPr="00E268CA" w:rsidRDefault="00E26F22" w:rsidP="00E26F22">
      <w:pPr>
        <w:pStyle w:val="Textonotapie"/>
        <w:ind w:firstLine="708"/>
        <w:jc w:val="both"/>
        <w:rPr>
          <w:rFonts w:ascii="Verdana" w:hAnsi="Verdana" w:cs="Arial"/>
          <w:color w:val="000000"/>
          <w:sz w:val="14"/>
          <w:szCs w:val="14"/>
        </w:rPr>
      </w:pPr>
      <w:r w:rsidRPr="00E268CA">
        <w:rPr>
          <w:rFonts w:ascii="Verdana" w:hAnsi="Verdana" w:cs="Arial"/>
          <w:color w:val="000000"/>
          <w:sz w:val="14"/>
          <w:szCs w:val="14"/>
        </w:rPr>
        <w:t>“2. Su experiencia laboral, relacionando todos y cada uno de los empleos o cargos desempeñados, tanto en el sector público como en el privado, así como la dirección, el número del teléfono o el apartado postal en los que sea posible verificar la información.</w:t>
      </w:r>
    </w:p>
    <w:p w14:paraId="3A659F3C" w14:textId="77777777" w:rsidR="00E26F22" w:rsidRPr="00E268CA" w:rsidRDefault="00E26F22" w:rsidP="00E26F22">
      <w:pPr>
        <w:pStyle w:val="Textonotapie"/>
        <w:ind w:firstLine="708"/>
        <w:jc w:val="both"/>
        <w:rPr>
          <w:rFonts w:ascii="Verdana" w:hAnsi="Verdana" w:cs="Arial"/>
          <w:color w:val="000000"/>
          <w:sz w:val="14"/>
          <w:szCs w:val="14"/>
        </w:rPr>
      </w:pPr>
      <w:r w:rsidRPr="00E268CA">
        <w:rPr>
          <w:rFonts w:ascii="Verdana" w:hAnsi="Verdana" w:cs="Arial"/>
          <w:color w:val="000000"/>
          <w:sz w:val="14"/>
          <w:szCs w:val="14"/>
        </w:rPr>
        <w:t>“3. Inexistencia de cualquier hecho o circunstancia que implique una inhabilidad o incompatibilidad del orden constitucional o legal para ocupar el empleo o cargo al que se aspira o para celebrar contrato de prestación de servicios con la administración.</w:t>
      </w:r>
    </w:p>
    <w:p w14:paraId="679A8AC0" w14:textId="77777777" w:rsidR="00E26F22" w:rsidRPr="00D30502" w:rsidRDefault="00E26F22" w:rsidP="00E26F22">
      <w:pPr>
        <w:pStyle w:val="Textonotapie"/>
        <w:ind w:firstLine="708"/>
        <w:jc w:val="both"/>
        <w:rPr>
          <w:rFonts w:ascii="Verdana" w:hAnsi="Verdana" w:cs="Arial"/>
          <w:color w:val="000000"/>
          <w:sz w:val="19"/>
          <w:szCs w:val="19"/>
        </w:rPr>
      </w:pPr>
      <w:r w:rsidRPr="00E268CA">
        <w:rPr>
          <w:rFonts w:ascii="Verdana" w:hAnsi="Verdana" w:cs="Arial"/>
          <w:color w:val="000000"/>
          <w:sz w:val="14"/>
          <w:szCs w:val="14"/>
        </w:rPr>
        <w:t>“4. En caso de personas jurídicas, el correspondiente certificado que acredite la representación legal”.</w:t>
      </w:r>
    </w:p>
  </w:footnote>
  <w:footnote w:id="8">
    <w:p w14:paraId="2EC9CC4E" w14:textId="77777777" w:rsidR="00E26F22" w:rsidRPr="003C068C" w:rsidRDefault="00E26F22" w:rsidP="00E26F22">
      <w:pPr>
        <w:pStyle w:val="Textonotapie"/>
        <w:ind w:firstLine="708"/>
        <w:jc w:val="both"/>
        <w:rPr>
          <w:rFonts w:ascii="Arial" w:hAnsi="Arial" w:cs="Arial"/>
          <w:color w:val="000000"/>
          <w:sz w:val="19"/>
          <w:szCs w:val="19"/>
        </w:rPr>
      </w:pPr>
    </w:p>
    <w:p w14:paraId="0EAF9D09" w14:textId="77777777" w:rsidR="00E26F22" w:rsidRPr="00B23861" w:rsidRDefault="00E26F22" w:rsidP="00E26F22">
      <w:pPr>
        <w:pStyle w:val="Textonotapie"/>
        <w:ind w:firstLine="708"/>
        <w:jc w:val="both"/>
        <w:rPr>
          <w:rFonts w:ascii="Verdana" w:eastAsia="Calibri" w:hAnsi="Verdana" w:cs="Arial"/>
          <w:color w:val="000000"/>
          <w:sz w:val="14"/>
          <w:szCs w:val="14"/>
        </w:rPr>
      </w:pPr>
      <w:r w:rsidRPr="00B23861">
        <w:rPr>
          <w:rStyle w:val="Refdenotaalpie"/>
          <w:rFonts w:ascii="Verdana" w:hAnsi="Verdana" w:cs="Arial"/>
          <w:color w:val="000000"/>
          <w:sz w:val="14"/>
          <w:szCs w:val="14"/>
        </w:rPr>
        <w:footnoteRef/>
      </w:r>
      <w:r w:rsidRPr="00AA7746">
        <w:rPr>
          <w:rFonts w:ascii="Verdana" w:hAnsi="Verdana" w:cs="Arial"/>
          <w:color w:val="000000"/>
          <w:sz w:val="14"/>
          <w:szCs w:val="14"/>
          <w:lang w:val="pt-PT"/>
        </w:rPr>
        <w:t xml:space="preserve"> Corte Constitucional. Sentencia </w:t>
      </w:r>
      <w:r w:rsidRPr="00AA7746">
        <w:rPr>
          <w:rFonts w:ascii="Verdana" w:eastAsia="Calibri" w:hAnsi="Verdana" w:cs="Arial"/>
          <w:color w:val="000000"/>
          <w:sz w:val="14"/>
          <w:szCs w:val="14"/>
          <w:lang w:val="pt-PT"/>
        </w:rPr>
        <w:t xml:space="preserve">C-697 de 2000. </w:t>
      </w:r>
      <w:r w:rsidRPr="00B23861">
        <w:rPr>
          <w:rFonts w:ascii="Verdana" w:eastAsia="Calibri" w:hAnsi="Verdana" w:cs="Arial"/>
          <w:color w:val="000000"/>
          <w:sz w:val="14"/>
          <w:szCs w:val="14"/>
        </w:rPr>
        <w:t>M.P. Eduardo Cifuentes Muñoz</w:t>
      </w:r>
      <w:proofErr w:type="gramStart"/>
      <w:r w:rsidRPr="00B23861">
        <w:rPr>
          <w:rFonts w:ascii="Verdana" w:eastAsia="Calibri" w:hAnsi="Verdana" w:cs="Arial"/>
          <w:color w:val="000000"/>
          <w:sz w:val="14"/>
          <w:szCs w:val="14"/>
        </w:rPr>
        <w:t xml:space="preserve">:  </w:t>
      </w:r>
      <w:r>
        <w:rPr>
          <w:rFonts w:ascii="Verdana" w:eastAsia="Calibri" w:hAnsi="Verdana" w:cs="Arial"/>
          <w:color w:val="000000"/>
          <w:sz w:val="14"/>
          <w:szCs w:val="14"/>
        </w:rPr>
        <w:t>“</w:t>
      </w:r>
      <w:proofErr w:type="gramEnd"/>
      <w:r w:rsidRPr="00B23861">
        <w:rPr>
          <w:rFonts w:ascii="Verdana" w:eastAsia="Calibri" w:hAnsi="Verdana" w:cs="Arial"/>
          <w:color w:val="000000"/>
          <w:sz w:val="14"/>
          <w:szCs w:val="14"/>
        </w:rPr>
        <w:t>El artículo 26 de la Carta autoriza al legislador para exigir determinados títulos de idoneidad a quienes quieran desempeñar actividades que impliquen riesgo social y también, para establecer mecanismos de inspección y vigilancia con el fin de evitar que resulten lesionados derechos de terceras personas. Impone al legislador la tarea de garantizarle a todas las personas la libertad plena de escoger, en condiciones de igualdad, la profesión u oficio que pueda servir para realizar su modelo de vida o para garantizarles un ingreso que les permita satisfacer sus necesidades.</w:t>
      </w:r>
    </w:p>
    <w:p w14:paraId="02282DCD" w14:textId="77777777" w:rsidR="00E26F22" w:rsidRPr="00B23861" w:rsidRDefault="00E26F22" w:rsidP="00E26F22">
      <w:pPr>
        <w:pStyle w:val="Textonotapie"/>
        <w:ind w:firstLine="708"/>
        <w:jc w:val="both"/>
        <w:rPr>
          <w:rFonts w:ascii="Verdana" w:eastAsia="Calibri" w:hAnsi="Verdana" w:cs="Arial"/>
          <w:color w:val="000000"/>
          <w:sz w:val="14"/>
          <w:szCs w:val="14"/>
        </w:rPr>
      </w:pPr>
      <w:r w:rsidRPr="00B23861">
        <w:rPr>
          <w:rFonts w:ascii="Verdana" w:eastAsia="Calibri" w:hAnsi="Verdana" w:cs="Arial"/>
          <w:color w:val="000000"/>
          <w:sz w:val="14"/>
          <w:szCs w:val="14"/>
        </w:rPr>
        <w:t>[…]</w:t>
      </w:r>
    </w:p>
    <w:p w14:paraId="5A71C88B" w14:textId="77777777" w:rsidR="00E26F22" w:rsidRPr="00B23861" w:rsidRDefault="00E26F22" w:rsidP="00E26F22">
      <w:pPr>
        <w:pStyle w:val="Textonotapie"/>
        <w:ind w:firstLine="708"/>
        <w:jc w:val="both"/>
        <w:rPr>
          <w:rFonts w:ascii="Verdana" w:hAnsi="Verdana" w:cs="Arial"/>
          <w:color w:val="000000"/>
          <w:sz w:val="14"/>
          <w:szCs w:val="14"/>
        </w:rPr>
      </w:pPr>
      <w:r>
        <w:rPr>
          <w:rFonts w:ascii="Verdana" w:eastAsia="Calibri" w:hAnsi="Verdana" w:cs="Arial"/>
          <w:color w:val="000000"/>
          <w:sz w:val="14"/>
          <w:szCs w:val="14"/>
        </w:rPr>
        <w:t>“</w:t>
      </w:r>
      <w:r w:rsidRPr="00B23861">
        <w:rPr>
          <w:rFonts w:ascii="Verdana" w:eastAsia="Calibri" w:hAnsi="Verdana" w:cs="Arial"/>
          <w:color w:val="000000"/>
          <w:sz w:val="14"/>
          <w:szCs w:val="14"/>
        </w:rPr>
        <w:t>La exigencia de títulos de idoneidad y tarjetas profesionales, constituye una excepción al principio de libertad e igualdad en materia laboral y, por lo tanto, es necesario demostrar que la formación intelectual y técnica requerida es un medio idóneo y proporción».</w:t>
      </w:r>
    </w:p>
    <w:p w14:paraId="5A2769BE" w14:textId="77777777" w:rsidR="00E26F22" w:rsidRPr="00B23861" w:rsidRDefault="00E26F22" w:rsidP="00E26F22">
      <w:pPr>
        <w:pStyle w:val="Textonotapie"/>
        <w:ind w:firstLine="708"/>
        <w:jc w:val="both"/>
        <w:rPr>
          <w:rFonts w:ascii="Verdana" w:hAnsi="Verdana" w:cs="Arial"/>
          <w:color w:val="000000"/>
          <w:sz w:val="14"/>
          <w:szCs w:val="14"/>
          <w:lang w:val="es-CO"/>
        </w:rPr>
      </w:pPr>
    </w:p>
  </w:footnote>
  <w:footnote w:id="9">
    <w:p w14:paraId="3510886C" w14:textId="77777777" w:rsidR="00E26F22" w:rsidRPr="00B23861" w:rsidRDefault="00E26F22" w:rsidP="00E26F22">
      <w:pPr>
        <w:pStyle w:val="Textonotapie"/>
        <w:ind w:firstLine="709"/>
        <w:jc w:val="both"/>
        <w:rPr>
          <w:rFonts w:ascii="Verdana" w:hAnsi="Verdana" w:cs="Arial"/>
          <w:color w:val="000000"/>
          <w:sz w:val="14"/>
          <w:szCs w:val="14"/>
        </w:rPr>
      </w:pPr>
      <w:r w:rsidRPr="00B23861">
        <w:rPr>
          <w:rStyle w:val="Refdenotaalpie"/>
          <w:rFonts w:ascii="Verdana" w:hAnsi="Verdana" w:cs="Arial"/>
          <w:color w:val="000000"/>
          <w:sz w:val="14"/>
          <w:szCs w:val="14"/>
        </w:rPr>
        <w:footnoteRef/>
      </w:r>
      <w:r w:rsidRPr="00B23861">
        <w:rPr>
          <w:rFonts w:ascii="Verdana" w:hAnsi="Verdana" w:cs="Arial"/>
          <w:color w:val="000000"/>
          <w:sz w:val="14"/>
          <w:szCs w:val="14"/>
        </w:rPr>
        <w:t xml:space="preserve"> Ley 842 de 2003. </w:t>
      </w:r>
      <w:r>
        <w:rPr>
          <w:rFonts w:ascii="Verdana" w:hAnsi="Verdana" w:cs="Arial"/>
          <w:color w:val="000000"/>
          <w:sz w:val="14"/>
          <w:szCs w:val="14"/>
        </w:rPr>
        <w:t>“</w:t>
      </w:r>
      <w:r w:rsidRPr="00B23861">
        <w:rPr>
          <w:rFonts w:ascii="Verdana" w:hAnsi="Verdana" w:cs="Arial"/>
          <w:color w:val="000000"/>
          <w:sz w:val="14"/>
          <w:szCs w:val="14"/>
        </w:rPr>
        <w:t>Artículo 6. Requisitos para ejercer la profesión. Para poder ejercer legalmente la Ingeniería, sus profesiones afines o sus profesiones auxiliares en el territorio nacional, en las ramas o especialidades regidas por la presente ley, se requiere estar matriculado o inscrito en el Registro Profesional respectivo, que seguirá llevando el Copnia, lo cual se acreditará con la presentación de la tarjeta o documento adoptado por este para tal fin.</w:t>
      </w:r>
    </w:p>
    <w:p w14:paraId="564E6E60" w14:textId="77777777" w:rsidR="00E26F22" w:rsidRPr="00B23861" w:rsidRDefault="00E26F22" w:rsidP="00E26F22">
      <w:pPr>
        <w:pStyle w:val="Textonotapie"/>
        <w:ind w:firstLine="709"/>
        <w:jc w:val="both"/>
        <w:rPr>
          <w:rFonts w:ascii="Verdana" w:hAnsi="Verdana" w:cs="Arial"/>
          <w:color w:val="000000"/>
          <w:sz w:val="14"/>
          <w:szCs w:val="14"/>
          <w:lang w:val="es-CO"/>
        </w:rPr>
      </w:pPr>
      <w:r>
        <w:rPr>
          <w:rFonts w:ascii="Verdana" w:hAnsi="Verdana" w:cs="Arial"/>
          <w:color w:val="000000"/>
          <w:sz w:val="14"/>
          <w:szCs w:val="14"/>
        </w:rPr>
        <w:t>“</w:t>
      </w:r>
      <w:r w:rsidRPr="00B23861">
        <w:rPr>
          <w:rFonts w:ascii="Verdana" w:hAnsi="Verdana" w:cs="Arial"/>
          <w:color w:val="000000"/>
          <w:sz w:val="14"/>
          <w:szCs w:val="14"/>
        </w:rPr>
        <w:t>Parágrafo. En los casos en que los contratantes del sector público o privado, o cualquier usuario de los servicios de ingeniería, pretendan establecer si un profesional se encuentra legalmente habilitado o no, para ejercer la profesión, podrán sin perjuicio de los requisitos establecidos en el presente artículo, requerir al Copnia la expedición del respectivo certificado de vigencia</w:t>
      </w:r>
      <w:r>
        <w:rPr>
          <w:rFonts w:ascii="Verdana" w:hAnsi="Verdana" w:cs="Arial"/>
          <w:color w:val="000000"/>
          <w:sz w:val="14"/>
          <w:szCs w:val="14"/>
        </w:rPr>
        <w:t>”</w:t>
      </w:r>
      <w:r w:rsidRPr="00B23861">
        <w:rPr>
          <w:rFonts w:ascii="Verdana" w:hAnsi="Verdana" w:cs="Arial"/>
          <w:color w:val="000000"/>
          <w:sz w:val="14"/>
          <w:szCs w:val="14"/>
        </w:rPr>
        <w:t>.</w:t>
      </w:r>
    </w:p>
  </w:footnote>
  <w:footnote w:id="10">
    <w:p w14:paraId="358E97A1" w14:textId="5EE532CB" w:rsidR="005B03F3" w:rsidRPr="00B0362C" w:rsidRDefault="005B03F3">
      <w:pPr>
        <w:pStyle w:val="Textonotapie"/>
        <w:rPr>
          <w:rFonts w:ascii="Verdana" w:hAnsi="Verdana"/>
          <w:sz w:val="14"/>
          <w:szCs w:val="14"/>
          <w:lang w:val="es-CO"/>
        </w:rPr>
      </w:pPr>
      <w:r w:rsidRPr="00B0362C">
        <w:rPr>
          <w:rStyle w:val="Refdenotaalpie"/>
          <w:rFonts w:ascii="Verdana" w:hAnsi="Verdana"/>
          <w:sz w:val="14"/>
          <w:szCs w:val="14"/>
        </w:rPr>
        <w:footnoteRef/>
      </w:r>
      <w:r w:rsidRPr="00B0362C">
        <w:rPr>
          <w:rFonts w:ascii="Verdana" w:hAnsi="Verdana"/>
          <w:sz w:val="14"/>
          <w:szCs w:val="14"/>
        </w:rPr>
        <w:t xml:space="preserve"> </w:t>
      </w:r>
      <w:r w:rsidRPr="00B0362C">
        <w:rPr>
          <w:rFonts w:ascii="Verdana" w:hAnsi="Verdana"/>
          <w:sz w:val="14"/>
          <w:szCs w:val="14"/>
          <w:lang w:val="es-CO"/>
        </w:rPr>
        <w:t>Concepto C-</w:t>
      </w:r>
      <w:r w:rsidR="00B0362C" w:rsidRPr="00B0362C">
        <w:rPr>
          <w:rFonts w:ascii="Verdana" w:hAnsi="Verdana"/>
          <w:sz w:val="14"/>
          <w:szCs w:val="14"/>
          <w:lang w:val="es-CO"/>
        </w:rPr>
        <w:t xml:space="preserve"> 372 DE 2024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50E19A0"/>
    <w:multiLevelType w:val="hybridMultilevel"/>
    <w:tmpl w:val="ABECFF36"/>
    <w:lvl w:ilvl="0" w:tplc="4DCAB2EC">
      <w:start w:val="1"/>
      <w:numFmt w:val="decimal"/>
      <w:lvlText w:val="%1."/>
      <w:lvlJc w:val="left"/>
      <w:pPr>
        <w:ind w:left="451" w:hanging="310"/>
        <w:jc w:val="left"/>
      </w:pPr>
      <w:rPr>
        <w:rFonts w:ascii="Verdana" w:eastAsia="Verdana" w:hAnsi="Verdana" w:cs="Verdana" w:hint="default"/>
        <w:b/>
        <w:bCs/>
        <w:i w:val="0"/>
        <w:iCs w:val="0"/>
        <w:spacing w:val="-1"/>
        <w:w w:val="99"/>
        <w:sz w:val="22"/>
        <w:szCs w:val="22"/>
        <w:lang w:val="es-ES" w:eastAsia="en-US" w:bidi="ar-SA"/>
      </w:rPr>
    </w:lvl>
    <w:lvl w:ilvl="1" w:tplc="9814A164">
      <w:numFmt w:val="bullet"/>
      <w:lvlText w:val=""/>
      <w:lvlJc w:val="left"/>
      <w:pPr>
        <w:ind w:left="1106" w:hanging="360"/>
      </w:pPr>
      <w:rPr>
        <w:rFonts w:ascii="Symbol" w:eastAsia="Symbol" w:hAnsi="Symbol" w:cs="Symbol" w:hint="default"/>
        <w:spacing w:val="0"/>
        <w:w w:val="99"/>
        <w:lang w:val="es-ES" w:eastAsia="en-US" w:bidi="ar-SA"/>
      </w:rPr>
    </w:lvl>
    <w:lvl w:ilvl="2" w:tplc="16A8A53E">
      <w:numFmt w:val="bullet"/>
      <w:lvlText w:val="•"/>
      <w:lvlJc w:val="left"/>
      <w:pPr>
        <w:ind w:left="1100" w:hanging="360"/>
      </w:pPr>
      <w:rPr>
        <w:rFonts w:hint="default"/>
        <w:lang w:val="es-ES" w:eastAsia="en-US" w:bidi="ar-SA"/>
      </w:rPr>
    </w:lvl>
    <w:lvl w:ilvl="3" w:tplc="C846B68C">
      <w:numFmt w:val="bullet"/>
      <w:lvlText w:val="•"/>
      <w:lvlJc w:val="left"/>
      <w:pPr>
        <w:ind w:left="2197" w:hanging="360"/>
      </w:pPr>
      <w:rPr>
        <w:rFonts w:hint="default"/>
        <w:lang w:val="es-ES" w:eastAsia="en-US" w:bidi="ar-SA"/>
      </w:rPr>
    </w:lvl>
    <w:lvl w:ilvl="4" w:tplc="9606CD96">
      <w:numFmt w:val="bullet"/>
      <w:lvlText w:val="•"/>
      <w:lvlJc w:val="left"/>
      <w:pPr>
        <w:ind w:left="3295" w:hanging="360"/>
      </w:pPr>
      <w:rPr>
        <w:rFonts w:hint="default"/>
        <w:lang w:val="es-ES" w:eastAsia="en-US" w:bidi="ar-SA"/>
      </w:rPr>
    </w:lvl>
    <w:lvl w:ilvl="5" w:tplc="70F6F508">
      <w:numFmt w:val="bullet"/>
      <w:lvlText w:val="•"/>
      <w:lvlJc w:val="left"/>
      <w:pPr>
        <w:ind w:left="4392" w:hanging="360"/>
      </w:pPr>
      <w:rPr>
        <w:rFonts w:hint="default"/>
        <w:lang w:val="es-ES" w:eastAsia="en-US" w:bidi="ar-SA"/>
      </w:rPr>
    </w:lvl>
    <w:lvl w:ilvl="6" w:tplc="D5D619D6">
      <w:numFmt w:val="bullet"/>
      <w:lvlText w:val="•"/>
      <w:lvlJc w:val="left"/>
      <w:pPr>
        <w:ind w:left="5490" w:hanging="360"/>
      </w:pPr>
      <w:rPr>
        <w:rFonts w:hint="default"/>
        <w:lang w:val="es-ES" w:eastAsia="en-US" w:bidi="ar-SA"/>
      </w:rPr>
    </w:lvl>
    <w:lvl w:ilvl="7" w:tplc="83E8EAAE">
      <w:numFmt w:val="bullet"/>
      <w:lvlText w:val="•"/>
      <w:lvlJc w:val="left"/>
      <w:pPr>
        <w:ind w:left="6587" w:hanging="360"/>
      </w:pPr>
      <w:rPr>
        <w:rFonts w:hint="default"/>
        <w:lang w:val="es-ES" w:eastAsia="en-US" w:bidi="ar-SA"/>
      </w:rPr>
    </w:lvl>
    <w:lvl w:ilvl="8" w:tplc="C8284096">
      <w:numFmt w:val="bullet"/>
      <w:lvlText w:val="•"/>
      <w:lvlJc w:val="left"/>
      <w:pPr>
        <w:ind w:left="7685" w:hanging="360"/>
      </w:pPr>
      <w:rPr>
        <w:rFonts w:hint="default"/>
        <w:lang w:val="es-ES" w:eastAsia="en-US" w:bidi="ar-SA"/>
      </w:r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8946646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62D"/>
    <w:rsid w:val="00012794"/>
    <w:rsid w:val="00016F78"/>
    <w:rsid w:val="00046945"/>
    <w:rsid w:val="00060AB0"/>
    <w:rsid w:val="00061B2A"/>
    <w:rsid w:val="00063198"/>
    <w:rsid w:val="00082362"/>
    <w:rsid w:val="0008291C"/>
    <w:rsid w:val="000A683E"/>
    <w:rsid w:val="000B19B9"/>
    <w:rsid w:val="000D0334"/>
    <w:rsid w:val="000D0A3F"/>
    <w:rsid w:val="000F417A"/>
    <w:rsid w:val="000F6486"/>
    <w:rsid w:val="0010734C"/>
    <w:rsid w:val="00121A4C"/>
    <w:rsid w:val="00125105"/>
    <w:rsid w:val="00127233"/>
    <w:rsid w:val="0013115F"/>
    <w:rsid w:val="00150126"/>
    <w:rsid w:val="001511A0"/>
    <w:rsid w:val="001555A8"/>
    <w:rsid w:val="00157D8F"/>
    <w:rsid w:val="001632D2"/>
    <w:rsid w:val="00165996"/>
    <w:rsid w:val="001722AB"/>
    <w:rsid w:val="00177DC8"/>
    <w:rsid w:val="001B205B"/>
    <w:rsid w:val="001C5C32"/>
    <w:rsid w:val="001E4177"/>
    <w:rsid w:val="001F0F62"/>
    <w:rsid w:val="001F7DC6"/>
    <w:rsid w:val="00224EB8"/>
    <w:rsid w:val="002421BB"/>
    <w:rsid w:val="0025796E"/>
    <w:rsid w:val="002707A2"/>
    <w:rsid w:val="00271B00"/>
    <w:rsid w:val="0028110F"/>
    <w:rsid w:val="002951A0"/>
    <w:rsid w:val="002962BC"/>
    <w:rsid w:val="002A093D"/>
    <w:rsid w:val="002A0DD0"/>
    <w:rsid w:val="002A49AC"/>
    <w:rsid w:val="002A64FD"/>
    <w:rsid w:val="002B362B"/>
    <w:rsid w:val="002C7A84"/>
    <w:rsid w:val="002E4FD9"/>
    <w:rsid w:val="002F4125"/>
    <w:rsid w:val="002F5DAB"/>
    <w:rsid w:val="00301677"/>
    <w:rsid w:val="00322A85"/>
    <w:rsid w:val="00324168"/>
    <w:rsid w:val="003271B1"/>
    <w:rsid w:val="00335291"/>
    <w:rsid w:val="003448F4"/>
    <w:rsid w:val="00367DBD"/>
    <w:rsid w:val="00374F5E"/>
    <w:rsid w:val="00377E3E"/>
    <w:rsid w:val="00390E00"/>
    <w:rsid w:val="003A779E"/>
    <w:rsid w:val="003C2C34"/>
    <w:rsid w:val="003D0F4D"/>
    <w:rsid w:val="003D1584"/>
    <w:rsid w:val="003D5B0D"/>
    <w:rsid w:val="003E0499"/>
    <w:rsid w:val="003E4D04"/>
    <w:rsid w:val="003F3941"/>
    <w:rsid w:val="00400C26"/>
    <w:rsid w:val="00406575"/>
    <w:rsid w:val="004120EE"/>
    <w:rsid w:val="00414C74"/>
    <w:rsid w:val="00415C1D"/>
    <w:rsid w:val="00424E97"/>
    <w:rsid w:val="0042722E"/>
    <w:rsid w:val="0044528D"/>
    <w:rsid w:val="00450693"/>
    <w:rsid w:val="004555F6"/>
    <w:rsid w:val="00475CE0"/>
    <w:rsid w:val="00476DBF"/>
    <w:rsid w:val="00477840"/>
    <w:rsid w:val="004A1847"/>
    <w:rsid w:val="004A305D"/>
    <w:rsid w:val="004F21C4"/>
    <w:rsid w:val="004F685F"/>
    <w:rsid w:val="00517A5B"/>
    <w:rsid w:val="00544EBC"/>
    <w:rsid w:val="005566E8"/>
    <w:rsid w:val="00574867"/>
    <w:rsid w:val="005819DB"/>
    <w:rsid w:val="00591460"/>
    <w:rsid w:val="005B03F3"/>
    <w:rsid w:val="005B3816"/>
    <w:rsid w:val="005C3777"/>
    <w:rsid w:val="005C5CDC"/>
    <w:rsid w:val="005D476C"/>
    <w:rsid w:val="005D55BF"/>
    <w:rsid w:val="005D621F"/>
    <w:rsid w:val="005F661F"/>
    <w:rsid w:val="006219F8"/>
    <w:rsid w:val="00665D70"/>
    <w:rsid w:val="00675D90"/>
    <w:rsid w:val="006900D9"/>
    <w:rsid w:val="006A051C"/>
    <w:rsid w:val="006D14EF"/>
    <w:rsid w:val="00706756"/>
    <w:rsid w:val="00706C16"/>
    <w:rsid w:val="007562D7"/>
    <w:rsid w:val="00756841"/>
    <w:rsid w:val="007644B2"/>
    <w:rsid w:val="007649AB"/>
    <w:rsid w:val="00771D0C"/>
    <w:rsid w:val="007833AC"/>
    <w:rsid w:val="007B17A3"/>
    <w:rsid w:val="007B268C"/>
    <w:rsid w:val="007B7171"/>
    <w:rsid w:val="007C0C0F"/>
    <w:rsid w:val="007C3DC2"/>
    <w:rsid w:val="007E0E21"/>
    <w:rsid w:val="007E5497"/>
    <w:rsid w:val="00806F5F"/>
    <w:rsid w:val="008125E9"/>
    <w:rsid w:val="00820278"/>
    <w:rsid w:val="00867F95"/>
    <w:rsid w:val="008843B6"/>
    <w:rsid w:val="00891928"/>
    <w:rsid w:val="008A446D"/>
    <w:rsid w:val="008B19FD"/>
    <w:rsid w:val="008C2237"/>
    <w:rsid w:val="008D057B"/>
    <w:rsid w:val="008D180B"/>
    <w:rsid w:val="008F0EA7"/>
    <w:rsid w:val="0090503B"/>
    <w:rsid w:val="009051BF"/>
    <w:rsid w:val="00923EEF"/>
    <w:rsid w:val="0092774F"/>
    <w:rsid w:val="0093365A"/>
    <w:rsid w:val="00934499"/>
    <w:rsid w:val="009353E8"/>
    <w:rsid w:val="009419F9"/>
    <w:rsid w:val="0095685E"/>
    <w:rsid w:val="00960A77"/>
    <w:rsid w:val="00961B09"/>
    <w:rsid w:val="00965334"/>
    <w:rsid w:val="0097093E"/>
    <w:rsid w:val="009710E1"/>
    <w:rsid w:val="00986AC5"/>
    <w:rsid w:val="009A0DFA"/>
    <w:rsid w:val="009A6002"/>
    <w:rsid w:val="009B2D26"/>
    <w:rsid w:val="009C1C92"/>
    <w:rsid w:val="009C6B83"/>
    <w:rsid w:val="009C71FA"/>
    <w:rsid w:val="009C72E7"/>
    <w:rsid w:val="009D3058"/>
    <w:rsid w:val="009E67D6"/>
    <w:rsid w:val="009F3A13"/>
    <w:rsid w:val="009F4773"/>
    <w:rsid w:val="00A076B6"/>
    <w:rsid w:val="00A122D3"/>
    <w:rsid w:val="00A13ECD"/>
    <w:rsid w:val="00A17F13"/>
    <w:rsid w:val="00A20739"/>
    <w:rsid w:val="00A33C78"/>
    <w:rsid w:val="00A353DC"/>
    <w:rsid w:val="00A55802"/>
    <w:rsid w:val="00A559F7"/>
    <w:rsid w:val="00A877A3"/>
    <w:rsid w:val="00AA3D4A"/>
    <w:rsid w:val="00AA7BE1"/>
    <w:rsid w:val="00AB0ADB"/>
    <w:rsid w:val="00AC4FBC"/>
    <w:rsid w:val="00B01B1A"/>
    <w:rsid w:val="00B0317A"/>
    <w:rsid w:val="00B0362C"/>
    <w:rsid w:val="00B53B5D"/>
    <w:rsid w:val="00B63DB5"/>
    <w:rsid w:val="00B66319"/>
    <w:rsid w:val="00B6649D"/>
    <w:rsid w:val="00B72CD3"/>
    <w:rsid w:val="00B72FFF"/>
    <w:rsid w:val="00B75564"/>
    <w:rsid w:val="00BB013F"/>
    <w:rsid w:val="00BB251E"/>
    <w:rsid w:val="00BC3D36"/>
    <w:rsid w:val="00BD7F72"/>
    <w:rsid w:val="00C04558"/>
    <w:rsid w:val="00C04FB3"/>
    <w:rsid w:val="00C330EB"/>
    <w:rsid w:val="00C33C81"/>
    <w:rsid w:val="00C41061"/>
    <w:rsid w:val="00C60078"/>
    <w:rsid w:val="00C67A7F"/>
    <w:rsid w:val="00C754BE"/>
    <w:rsid w:val="00C76B1C"/>
    <w:rsid w:val="00C97A63"/>
    <w:rsid w:val="00CB45A8"/>
    <w:rsid w:val="00CB6357"/>
    <w:rsid w:val="00CC1651"/>
    <w:rsid w:val="00CC1B26"/>
    <w:rsid w:val="00CD4118"/>
    <w:rsid w:val="00D05967"/>
    <w:rsid w:val="00D322A2"/>
    <w:rsid w:val="00D36109"/>
    <w:rsid w:val="00D40CD3"/>
    <w:rsid w:val="00D423A2"/>
    <w:rsid w:val="00D520D8"/>
    <w:rsid w:val="00D6144C"/>
    <w:rsid w:val="00D62CAD"/>
    <w:rsid w:val="00D63AC2"/>
    <w:rsid w:val="00D7383B"/>
    <w:rsid w:val="00D73934"/>
    <w:rsid w:val="00D76310"/>
    <w:rsid w:val="00DA231B"/>
    <w:rsid w:val="00DA3F91"/>
    <w:rsid w:val="00DB10A9"/>
    <w:rsid w:val="00DC39FC"/>
    <w:rsid w:val="00DF4CE0"/>
    <w:rsid w:val="00DF5254"/>
    <w:rsid w:val="00E04F12"/>
    <w:rsid w:val="00E16408"/>
    <w:rsid w:val="00E20894"/>
    <w:rsid w:val="00E245AB"/>
    <w:rsid w:val="00E26F22"/>
    <w:rsid w:val="00E2764C"/>
    <w:rsid w:val="00E27F2E"/>
    <w:rsid w:val="00E50AFE"/>
    <w:rsid w:val="00E70F33"/>
    <w:rsid w:val="00E75C92"/>
    <w:rsid w:val="00E75D3B"/>
    <w:rsid w:val="00E771DC"/>
    <w:rsid w:val="00E8772A"/>
    <w:rsid w:val="00E90F6B"/>
    <w:rsid w:val="00E92C27"/>
    <w:rsid w:val="00EA0E3D"/>
    <w:rsid w:val="00EA1600"/>
    <w:rsid w:val="00EC38A7"/>
    <w:rsid w:val="00ED7384"/>
    <w:rsid w:val="00EE1AA8"/>
    <w:rsid w:val="00EF558B"/>
    <w:rsid w:val="00F1481C"/>
    <w:rsid w:val="00F266C2"/>
    <w:rsid w:val="00F31EDC"/>
    <w:rsid w:val="00F462B3"/>
    <w:rsid w:val="00F5664F"/>
    <w:rsid w:val="00F666C4"/>
    <w:rsid w:val="00F66B14"/>
    <w:rsid w:val="00F75AAE"/>
    <w:rsid w:val="00F76AFC"/>
    <w:rsid w:val="00F926E3"/>
    <w:rsid w:val="00FA47C0"/>
    <w:rsid w:val="00FB5DD1"/>
    <w:rsid w:val="00FC2B5D"/>
    <w:rsid w:val="00FC6340"/>
    <w:rsid w:val="00FF1449"/>
    <w:rsid w:val="00FF3FF4"/>
    <w:rsid w:val="0712134E"/>
    <w:rsid w:val="0732E2B9"/>
    <w:rsid w:val="07718B11"/>
    <w:rsid w:val="09047071"/>
    <w:rsid w:val="11ADEA1C"/>
    <w:rsid w:val="1962B269"/>
    <w:rsid w:val="1B482B2C"/>
    <w:rsid w:val="203BAFE3"/>
    <w:rsid w:val="21C500C3"/>
    <w:rsid w:val="229E779F"/>
    <w:rsid w:val="22CC5A9A"/>
    <w:rsid w:val="24089B73"/>
    <w:rsid w:val="27E9EA3E"/>
    <w:rsid w:val="2DB68157"/>
    <w:rsid w:val="383389BF"/>
    <w:rsid w:val="397E8A14"/>
    <w:rsid w:val="3A11F88D"/>
    <w:rsid w:val="3CA23B58"/>
    <w:rsid w:val="43053707"/>
    <w:rsid w:val="4C2A2C13"/>
    <w:rsid w:val="4EF9F4AA"/>
    <w:rsid w:val="4FEDD702"/>
    <w:rsid w:val="51BBB2FD"/>
    <w:rsid w:val="56053F68"/>
    <w:rsid w:val="597DFC02"/>
    <w:rsid w:val="63E9CDDA"/>
    <w:rsid w:val="667F5FE6"/>
    <w:rsid w:val="67AE5D80"/>
    <w:rsid w:val="6BF1C625"/>
    <w:rsid w:val="6C9969E7"/>
    <w:rsid w:val="714D9352"/>
    <w:rsid w:val="75876694"/>
    <w:rsid w:val="780DFA64"/>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DA8F59E-E8ED-4858-8B22-A780B6768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26F2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26F22"/>
    <w:rPr>
      <w:rFonts w:ascii="Geomanist Light" w:hAnsi="Geomanist Light"/>
      <w:lang w:val="es-ES"/>
    </w:rPr>
  </w:style>
  <w:style w:type="character" w:customStyle="1" w:styleId="baj">
    <w:name w:val="b_aj"/>
    <w:basedOn w:val="Fuentedeprrafopredeter"/>
    <w:rsid w:val="00E26F22"/>
  </w:style>
  <w:style w:type="character" w:styleId="Textoennegrita">
    <w:name w:val="Strong"/>
    <w:basedOn w:val="Fuentedeprrafopredeter"/>
    <w:uiPriority w:val="22"/>
    <w:qFormat/>
    <w:rsid w:val="00E26F22"/>
    <w:rPr>
      <w:b/>
      <w:bCs/>
    </w:rPr>
  </w:style>
  <w:style w:type="character" w:styleId="nfasis">
    <w:name w:val="Emphasis"/>
    <w:basedOn w:val="Fuentedeprrafopredeter"/>
    <w:uiPriority w:val="20"/>
    <w:qFormat/>
    <w:rsid w:val="00E26F22"/>
    <w:rPr>
      <w:i/>
      <w:iCs/>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Textoindependiente">
    <w:name w:val="Body Text"/>
    <w:basedOn w:val="Normal"/>
    <w:link w:val="TextoindependienteCar"/>
    <w:uiPriority w:val="1"/>
    <w:qFormat/>
    <w:rsid w:val="00063198"/>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063198"/>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09330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6803363">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56063587">
      <w:bodyDiv w:val="1"/>
      <w:marLeft w:val="0"/>
      <w:marRight w:val="0"/>
      <w:marTop w:val="0"/>
      <w:marBottom w:val="0"/>
      <w:divBdr>
        <w:top w:val="none" w:sz="0" w:space="0" w:color="auto"/>
        <w:left w:val="none" w:sz="0" w:space="0" w:color="auto"/>
        <w:bottom w:val="none" w:sz="0" w:space="0" w:color="auto"/>
        <w:right w:val="none" w:sz="0" w:space="0" w:color="auto"/>
      </w:divBdr>
    </w:div>
    <w:div w:id="1074862435">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manuales-guias-y-pliegos-tipo%2Fmanuales-y-guias%2Fcartilla-para-incentivar-y-fortalecer-el-acceso-las&amp;data=05%7C02%7Crichard.montenegro%40colombiacompra.gov.co%7Ceb0fd05604104aa4d3bc08dd4c4ad35e%7C7b09041e245149d08cb179d5e3d8c1be%7C0%7C0%7C638750606448503420%7CUnknown%7CTWFpbGZsb3d8eyJFbXB0eU1hcGkiOnRydWUsIlYiOiIwLjAuMDAwMCIsIlAiOiJXaW4zMiIsIkFOIjoiTWFpbCIsIldUIjoyfQ%3D%3D%7C0%7C%7C%7C&amp;sdata=34g3U1uoHQc2YRtc44RFZc7XortMF%2BCuQXOZLtJZ4FQ%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iana881221@gmail.com" TargetMode="External"/><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richard.montenegro%40colombiacompra.gov.co%7Ceb0fd05604104aa4d3bc08dd4c4ad35e%7C7b09041e245149d08cb179d5e3d8c1be%7C0%7C0%7C638750606448542560%7CUnknown%7CTWFpbGZsb3d8eyJFbXB0eU1hcGkiOnRydWUsIlYiOiIwLjAuMDAwMCIsIlAiOiJXaW4zMiIsIkFOIjoiTWFpbCIsIldUIjoyfQ%3D%3D%7C0%7C%7C%7C&amp;sdata=PupjwwYMGQiHFUc19Hr6f9C9toNM85JR5cSVS9gAT2w%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ciudadanos%2Fcalendario&amp;data=05%7C02%7Crichard.montenegro%40colombiacompra.gov.co%7Ceb0fd05604104aa4d3bc08dd4c4ad35e%7C7b09041e245149d08cb179d5e3d8c1be%7C0%7C0%7C638750606448526086%7CUnknown%7CTWFpbGZsb3d8eyJFbXB0eU1hcGkiOnRydWUsIlYiOiIwLjAuMDAwMCIsIlAiOiJXaW4zMiIsIkFOIjoiTWFpbCIsIldUIjoyfQ%3D%3D%7C0%7C%7C%7C&amp;sdata=6yCFshe0TnsKlUdjdffn9qQEosMwoebHUQfu7V3xn%2Fs%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1780_2016.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7699425-2DC3-4537-941E-F2BC27956A59}"/>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b531b13d-89bf-4629-be1e-22fdf3dd34d4"/>
    <ds:schemaRef ds:uri="8ae15d26-076e-464e-81a7-6f76a0fb3917"/>
  </ds:schemaRefs>
</ds:datastoreItem>
</file>

<file path=customXml/itemProps3.xml><?xml version="1.0" encoding="utf-8"?>
<ds:datastoreItem xmlns:ds="http://schemas.openxmlformats.org/officeDocument/2006/customXml" ds:itemID="{DB303F80-A88E-48C9-AA55-649D21718D05}">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5118</Words>
  <Characters>28151</Characters>
  <Application>Microsoft Office Word</Application>
  <DocSecurity>0</DocSecurity>
  <Lines>234</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33203</CharactersWithSpaces>
  <SharedDoc>false</SharedDoc>
  <HLinks>
    <vt:vector size="36" baseType="variant">
      <vt:variant>
        <vt:i4>7012395</vt:i4>
      </vt:variant>
      <vt:variant>
        <vt:i4>12</vt:i4>
      </vt:variant>
      <vt:variant>
        <vt:i4>0</vt:i4>
      </vt:variant>
      <vt:variant>
        <vt:i4>5</vt:i4>
      </vt:variant>
      <vt:variant>
        <vt:lpwstr>https://nam02.safelinks.protection.outlook.com/?url=https%3A%2F%2Fwww.colombiacompra.gov.co%2Fmanuales-guias-y-pliegos-tipo%2Fmanuales-y-guias%2Fguia-de-contratacion-publica-sostenible-y-socialmente&amp;data=05%7C02%7Crichard.montenegro%40colombiacompra.gov.co%7Ceb0fd05604104aa4d3bc08dd4c4ad35e%7C7b09041e245149d08cb179d5e3d8c1be%7C0%7C0%7C638750606448542560%7CUnknown%7CTWFpbGZsb3d8eyJFbXB0eU1hcGkiOnRydWUsIlYiOiIwLjAuMDAwMCIsIlAiOiJXaW4zMiIsIkFOIjoiTWFpbCIsIldUIjoyfQ%3D%3D%7C0%7C%7C%7C&amp;sdata=PupjwwYMGQiHFUc19Hr6f9C9toNM85JR5cSVS9gAT2w%3D&amp;reserved=0</vt:lpwstr>
      </vt:variant>
      <vt:variant>
        <vt:lpwstr/>
      </vt:variant>
      <vt:variant>
        <vt:i4>6488171</vt:i4>
      </vt:variant>
      <vt:variant>
        <vt:i4>9</vt:i4>
      </vt:variant>
      <vt:variant>
        <vt:i4>0</vt:i4>
      </vt:variant>
      <vt:variant>
        <vt:i4>5</vt:i4>
      </vt:variant>
      <vt:variant>
        <vt:lpwstr>https://nam02.safelinks.protection.outlook.com/?url=https%3A%2F%2Fwww.colombiacompra.gov.co%2Fciudadanos%2Fcalendario&amp;data=05%7C02%7Crichard.montenegro%40colombiacompra.gov.co%7Ceb0fd05604104aa4d3bc08dd4c4ad35e%7C7b09041e245149d08cb179d5e3d8c1be%7C0%7C0%7C638750606448526086%7CUnknown%7CTWFpbGZsb3d8eyJFbXB0eU1hcGkiOnRydWUsIlYiOiIwLjAuMDAwMCIsIlAiOiJXaW4zMiIsIkFOIjoiTWFpbCIsIldUIjoyfQ%3D%3D%7C0%7C%7C%7C&amp;sdata=6yCFshe0TnsKlUdjdffn9qQEosMwoebHUQfu7V3xn%2Fs%3D&amp;reserved=0</vt:lpwstr>
      </vt:variant>
      <vt:variant>
        <vt:lpwstr/>
      </vt:variant>
      <vt:variant>
        <vt:i4>3014708</vt:i4>
      </vt:variant>
      <vt:variant>
        <vt:i4>6</vt:i4>
      </vt:variant>
      <vt:variant>
        <vt:i4>0</vt:i4>
      </vt:variant>
      <vt:variant>
        <vt:i4>5</vt:i4>
      </vt:variant>
      <vt:variant>
        <vt:lpwstr>https://nam02.safelinks.protection.outlook.com/?url=https%3A%2F%2Fwww.colombiacompra.gov.co%2Fmanuales-guias-y-pliegos-tipo%2Fmanuales-y-guias%2Fcartilla-para-incentivar-y-fortalecer-el-acceso-las&amp;data=05%7C02%7Crichard.montenegro%40colombiacompra.gov.co%7Ceb0fd05604104aa4d3bc08dd4c4ad35e%7C7b09041e245149d08cb179d5e3d8c1be%7C0%7C0%7C638750606448503420%7CUnknown%7CTWFpbGZsb3d8eyJFbXB0eU1hcGkiOnRydWUsIlYiOiIwLjAuMDAwMCIsIlAiOiJXaW4zMiIsIkFOIjoiTWFpbCIsIldUIjoyfQ%3D%3D%7C0%7C%7C%7C&amp;sdata=34g3U1uoHQc2YRtc44RFZc7XortMF%2BCuQXOZLtJZ4FQ%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5832819</vt:i4>
      </vt:variant>
      <vt:variant>
        <vt:i4>0</vt:i4>
      </vt:variant>
      <vt:variant>
        <vt:i4>0</vt:i4>
      </vt:variant>
      <vt:variant>
        <vt:i4>5</vt:i4>
      </vt:variant>
      <vt:variant>
        <vt:lpwstr>mailto:diana881221@gmail.com</vt:lpwstr>
      </vt:variant>
      <vt:variant>
        <vt:lpwstr/>
      </vt:variant>
      <vt:variant>
        <vt:i4>26</vt:i4>
      </vt:variant>
      <vt:variant>
        <vt:i4>0</vt:i4>
      </vt:variant>
      <vt:variant>
        <vt:i4>0</vt:i4>
      </vt:variant>
      <vt:variant>
        <vt:i4>5</vt:i4>
      </vt:variant>
      <vt:variant>
        <vt:lpwstr>http://www.secretariasenado.gov.co/senado/basedoc/ley_1780_2016.html</vt:lpwstr>
      </vt:variant>
      <vt:variant>
        <vt:lpwstr>15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2</cp:revision>
  <cp:lastPrinted>2023-01-10T18:18:00Z</cp:lastPrinted>
  <dcterms:created xsi:type="dcterms:W3CDTF">2025-03-17T02:27:00Z</dcterms:created>
  <dcterms:modified xsi:type="dcterms:W3CDTF">2025-03-17T02:27:00Z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