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568161B" w14:textId="01AAB1C9" w:rsidR="00206232" w:rsidRPr="00C51BB1" w:rsidRDefault="00206232" w:rsidP="00206232">
      <w:pPr>
        <w:contextualSpacing/>
        <w:jc w:val="both"/>
        <w:rPr>
          <w:rFonts w:ascii="Verdana" w:eastAsia="Calibri" w:hAnsi="Verdana" w:cs="Arial"/>
          <w:b/>
          <w:sz w:val="20"/>
          <w:szCs w:val="20"/>
          <w:lang w:val="es-ES_tradnl" w:eastAsia="es-ES_tradnl"/>
        </w:rPr>
      </w:pPr>
      <w:bookmarkStart w:id="0" w:name="_Hlk143780582"/>
      <w:r w:rsidRPr="00C51BB1">
        <w:rPr>
          <w:rFonts w:ascii="Verdana" w:eastAsia="Calibri" w:hAnsi="Verdana" w:cs="Arial"/>
          <w:b/>
          <w:sz w:val="20"/>
          <w:szCs w:val="20"/>
          <w:lang w:val="es-ES_tradnl" w:eastAsia="es-ES_tradnl"/>
        </w:rPr>
        <w:t xml:space="preserve">EMPRESAS – Contrato de sociedad – Características </w:t>
      </w:r>
    </w:p>
    <w:p w14:paraId="3F236F91" w14:textId="77777777" w:rsidR="00206232" w:rsidRPr="00C51BB1" w:rsidRDefault="00206232" w:rsidP="00206232">
      <w:pPr>
        <w:contextualSpacing/>
        <w:jc w:val="both"/>
        <w:rPr>
          <w:rFonts w:ascii="Verdana" w:eastAsia="Calibri" w:hAnsi="Verdana" w:cs="Arial"/>
          <w:b/>
          <w:sz w:val="20"/>
          <w:szCs w:val="20"/>
          <w:lang w:val="es-ES_tradnl" w:eastAsia="es-ES_tradnl"/>
        </w:rPr>
      </w:pPr>
    </w:p>
    <w:p w14:paraId="35A092ED" w14:textId="78E12FA7" w:rsidR="00206232" w:rsidRPr="00C51BB1" w:rsidRDefault="00206232" w:rsidP="00206232">
      <w:pPr>
        <w:contextualSpacing/>
        <w:jc w:val="both"/>
        <w:rPr>
          <w:rFonts w:ascii="Verdana" w:eastAsia="Calibri" w:hAnsi="Verdana" w:cs="Arial"/>
          <w:i/>
          <w:iCs/>
          <w:sz w:val="20"/>
          <w:szCs w:val="20"/>
          <w:lang w:val="es-ES_tradnl" w:eastAsia="es-ES_tradnl"/>
        </w:rPr>
      </w:pPr>
      <w:r w:rsidRPr="00C51BB1">
        <w:rPr>
          <w:rFonts w:ascii="Verdana" w:eastAsia="Calibri" w:hAnsi="Verdana" w:cs="Arial"/>
          <w:sz w:val="20"/>
          <w:szCs w:val="20"/>
          <w:lang w:val="es-ES_tradnl" w:eastAsia="es-ES_tradnl"/>
        </w:rPr>
        <w:t xml:space="preserve">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del Código de Comercio. En ese sentido, puede decirse que serán sociedades comerciales aquellas que ejecuten actos o empresas mercantiles, en los términos señalados en el artículo 100 </w:t>
      </w:r>
      <w:r w:rsidRPr="00C51BB1">
        <w:rPr>
          <w:rFonts w:ascii="Verdana" w:eastAsia="Calibri" w:hAnsi="Verdana" w:cs="Arial"/>
          <w:i/>
          <w:iCs/>
          <w:sz w:val="20"/>
          <w:szCs w:val="20"/>
          <w:lang w:val="es-ES_tradnl" w:eastAsia="es-ES_tradnl"/>
        </w:rPr>
        <w:t>ibidem</w:t>
      </w:r>
      <w:r w:rsidRPr="00C51BB1">
        <w:rPr>
          <w:rFonts w:ascii="Verdana" w:eastAsia="Calibri" w:hAnsi="Verdana" w:cs="Arial"/>
          <w:i/>
          <w:iCs/>
          <w:sz w:val="20"/>
          <w:szCs w:val="20"/>
          <w:lang w:val="es-ES_tradnl" w:eastAsia="es-ES_tradnl"/>
        </w:rPr>
        <w:t>.</w:t>
      </w:r>
    </w:p>
    <w:p w14:paraId="570FD589" w14:textId="77777777" w:rsidR="00206232" w:rsidRPr="00C51BB1" w:rsidRDefault="00206232" w:rsidP="00206232">
      <w:pPr>
        <w:contextualSpacing/>
        <w:jc w:val="both"/>
        <w:rPr>
          <w:rFonts w:ascii="Verdana" w:eastAsia="Calibri" w:hAnsi="Verdana" w:cs="Arial"/>
          <w:i/>
          <w:iCs/>
          <w:sz w:val="20"/>
          <w:szCs w:val="20"/>
          <w:lang w:val="es-ES_tradnl" w:eastAsia="es-ES_tradnl"/>
        </w:rPr>
      </w:pPr>
    </w:p>
    <w:p w14:paraId="3E8107AD" w14:textId="50D6AD45" w:rsidR="00206232" w:rsidRPr="00C51BB1" w:rsidRDefault="00206232" w:rsidP="00206232">
      <w:pPr>
        <w:contextualSpacing/>
        <w:jc w:val="both"/>
        <w:rPr>
          <w:rFonts w:ascii="Verdana" w:eastAsia="Calibri" w:hAnsi="Verdana" w:cs="Arial"/>
          <w:b/>
          <w:sz w:val="20"/>
          <w:szCs w:val="20"/>
          <w:lang w:val="es-ES_tradnl" w:eastAsia="es-ES_tradnl"/>
        </w:rPr>
      </w:pPr>
      <w:r w:rsidRPr="00C51BB1">
        <w:rPr>
          <w:rFonts w:ascii="Verdana" w:eastAsia="Calibri" w:hAnsi="Verdana" w:cs="Arial"/>
          <w:b/>
          <w:sz w:val="20"/>
          <w:szCs w:val="20"/>
          <w:lang w:val="es-ES_tradnl" w:eastAsia="es-ES_tradnl"/>
        </w:rPr>
        <w:t xml:space="preserve">ENTIDADES SIN ÁNIMO DE LUCRO – </w:t>
      </w:r>
      <w:r w:rsidRPr="00C51BB1">
        <w:rPr>
          <w:rFonts w:ascii="Verdana" w:eastAsia="Calibri" w:hAnsi="Verdana" w:cs="Arial"/>
          <w:b/>
          <w:sz w:val="20"/>
          <w:szCs w:val="20"/>
          <w:lang w:val="es-ES_tradnl" w:eastAsia="es-ES_tradnl"/>
        </w:rPr>
        <w:t>Exclusión de naturaleza de sociedades comerciales</w:t>
      </w:r>
    </w:p>
    <w:p w14:paraId="700AF808" w14:textId="77777777" w:rsidR="00206232" w:rsidRPr="00C51BB1" w:rsidRDefault="00206232" w:rsidP="00206232">
      <w:pPr>
        <w:contextualSpacing/>
        <w:jc w:val="both"/>
        <w:rPr>
          <w:rFonts w:ascii="Verdana" w:eastAsia="Calibri" w:hAnsi="Verdana" w:cs="Arial"/>
          <w:b/>
          <w:sz w:val="20"/>
          <w:szCs w:val="20"/>
          <w:lang w:val="es-ES_tradnl" w:eastAsia="es-ES_tradnl"/>
        </w:rPr>
      </w:pPr>
    </w:p>
    <w:p w14:paraId="13CFE3DA" w14:textId="77777777" w:rsidR="00206232" w:rsidRPr="00C51BB1" w:rsidRDefault="00206232" w:rsidP="00206232">
      <w:pPr>
        <w:spacing w:before="120" w:after="0" w:line="276" w:lineRule="auto"/>
        <w:jc w:val="both"/>
        <w:rPr>
          <w:rFonts w:ascii="Verdana" w:eastAsia="Calibri" w:hAnsi="Verdana" w:cs="Arial"/>
          <w:sz w:val="20"/>
          <w:szCs w:val="20"/>
          <w:lang w:val="es-ES_tradnl" w:eastAsia="es-ES_tradnl"/>
        </w:rPr>
      </w:pPr>
      <w:r w:rsidRPr="00C51BB1">
        <w:rPr>
          <w:rFonts w:ascii="Verdana" w:eastAsia="Calibri" w:hAnsi="Verdana" w:cs="Arial"/>
          <w:sz w:val="20"/>
          <w:szCs w:val="20"/>
          <w:lang w:val="es-ES_tradnl" w:eastAsia="es-ES_tradnl"/>
        </w:rPr>
        <w:t xml:space="preserve">El Libro Segundo del Código de Comercio no incluye a las ESAL - como las corporaciones, asociaciones o fundaciones – en la enumeración de las sociedades comerciales. La razón de la exclusión, a juicio de esta Agencia radica en que estas organizaciones no tienen fines comerciales, es decir, carecen de ánimo de lucro, por eso no forman un tipo o clase de sociedad comercial. </w:t>
      </w:r>
    </w:p>
    <w:p w14:paraId="1C195B4A" w14:textId="77777777" w:rsidR="00206232" w:rsidRPr="00C51BB1" w:rsidRDefault="00206232" w:rsidP="00206232">
      <w:pPr>
        <w:contextualSpacing/>
        <w:jc w:val="both"/>
        <w:rPr>
          <w:rFonts w:ascii="Verdana" w:eastAsia="Calibri" w:hAnsi="Verdana" w:cs="Arial"/>
          <w:b/>
          <w:sz w:val="20"/>
          <w:szCs w:val="20"/>
          <w:lang w:val="es-ES_tradnl" w:eastAsia="es-ES_tradnl"/>
        </w:rPr>
      </w:pPr>
    </w:p>
    <w:p w14:paraId="3BBE7382" w14:textId="5CDEBE33" w:rsidR="00206232" w:rsidRPr="00C51BB1" w:rsidRDefault="00206232" w:rsidP="00206232">
      <w:pPr>
        <w:contextualSpacing/>
        <w:jc w:val="both"/>
        <w:rPr>
          <w:rFonts w:ascii="Verdana" w:eastAsia="Calibri" w:hAnsi="Verdana" w:cs="Arial"/>
          <w:b/>
          <w:sz w:val="20"/>
          <w:szCs w:val="20"/>
          <w:lang w:val="es-ES_tradnl" w:eastAsia="es-ES_tradnl"/>
        </w:rPr>
      </w:pPr>
      <w:r w:rsidRPr="00C51BB1">
        <w:rPr>
          <w:rFonts w:ascii="Verdana" w:eastAsia="Calibri" w:hAnsi="Verdana" w:cs="Arial"/>
          <w:b/>
          <w:sz w:val="20"/>
          <w:szCs w:val="20"/>
          <w:lang w:val="es-ES_tradnl" w:eastAsia="es-ES_tradnl"/>
        </w:rPr>
        <w:t>ENTIDADES SIN ÁNIMO DE LUCRO</w:t>
      </w:r>
      <w:r w:rsidRPr="00C51BB1">
        <w:rPr>
          <w:rFonts w:ascii="Verdana" w:eastAsia="Calibri" w:hAnsi="Verdana" w:cs="Arial"/>
          <w:b/>
          <w:sz w:val="20"/>
          <w:szCs w:val="20"/>
          <w:lang w:val="es-ES_tradnl" w:eastAsia="es-ES_tradnl"/>
        </w:rPr>
        <w:t xml:space="preserve"> – Naturaleza</w:t>
      </w:r>
      <w:r w:rsidR="00166D4F" w:rsidRPr="00C51BB1">
        <w:rPr>
          <w:rFonts w:ascii="Verdana" w:eastAsia="Calibri" w:hAnsi="Verdana" w:cs="Arial"/>
          <w:b/>
          <w:sz w:val="20"/>
          <w:szCs w:val="20"/>
          <w:lang w:val="es-ES_tradnl" w:eastAsia="es-ES_tradnl"/>
        </w:rPr>
        <w:t xml:space="preserve"> </w:t>
      </w:r>
    </w:p>
    <w:p w14:paraId="5D0A82BB" w14:textId="77777777" w:rsidR="00206232" w:rsidRPr="00C51BB1" w:rsidRDefault="00206232" w:rsidP="00206232">
      <w:pPr>
        <w:contextualSpacing/>
        <w:jc w:val="both"/>
        <w:rPr>
          <w:rFonts w:ascii="Verdana" w:eastAsia="Calibri" w:hAnsi="Verdana" w:cs="Arial"/>
          <w:b/>
          <w:sz w:val="20"/>
          <w:szCs w:val="20"/>
          <w:lang w:val="es-ES_tradnl" w:eastAsia="es-ES_tradnl"/>
        </w:rPr>
      </w:pPr>
    </w:p>
    <w:p w14:paraId="58ECE05E" w14:textId="4D4F9600" w:rsidR="00206232" w:rsidRPr="00C51BB1" w:rsidRDefault="00206232" w:rsidP="00206232">
      <w:pPr>
        <w:contextualSpacing/>
        <w:jc w:val="both"/>
        <w:rPr>
          <w:rFonts w:ascii="Verdana" w:eastAsia="Calibri" w:hAnsi="Verdana" w:cs="Arial"/>
          <w:sz w:val="20"/>
          <w:szCs w:val="20"/>
          <w:lang w:val="es-ES_tradnl" w:eastAsia="es-ES_tradnl"/>
        </w:rPr>
      </w:pPr>
      <w:r w:rsidRPr="00C51BB1">
        <w:rPr>
          <w:rFonts w:ascii="Verdana" w:eastAsia="Calibri" w:hAnsi="Verdana" w:cs="Arial"/>
          <w:sz w:val="20"/>
          <w:szCs w:val="20"/>
          <w:lang w:val="es-ES_tradnl" w:eastAsia="es-ES_tradnl"/>
        </w:rPr>
        <w:t>La norma que regula este tipo de corporaciones o asociaciones es el Código Civil –entre otras normas que se armonizan con él–, de lo que se sigue que no constituyen formas de sociedad comercial sino formas de organización civil, con fines esencialmente altruistas o de interés general, que se conforman entre personas que tienen como finalidad contribuir con su esfuerzo, y hasta con sus bienes, a ayudar a la comunidad</w:t>
      </w:r>
      <w:r w:rsidRPr="00C51BB1">
        <w:rPr>
          <w:rFonts w:ascii="Verdana" w:eastAsia="Calibri" w:hAnsi="Verdana" w:cs="Arial"/>
          <w:sz w:val="20"/>
          <w:szCs w:val="20"/>
          <w:lang w:val="es-ES_tradnl" w:eastAsia="es-ES_tradnl"/>
        </w:rPr>
        <w:t>.</w:t>
      </w:r>
      <w:r w:rsidR="002455C2" w:rsidRPr="00C51BB1">
        <w:rPr>
          <w:rFonts w:ascii="Verdana" w:eastAsia="Calibri" w:hAnsi="Verdana" w:cs="Arial"/>
          <w:sz w:val="20"/>
          <w:szCs w:val="20"/>
          <w:lang w:val="es-ES_tradnl" w:eastAsia="es-ES_tradnl"/>
        </w:rPr>
        <w:t xml:space="preserve"> </w:t>
      </w:r>
    </w:p>
    <w:p w14:paraId="48ACD496" w14:textId="77777777" w:rsidR="00C51BB1" w:rsidRPr="00C51BB1" w:rsidRDefault="00C51BB1" w:rsidP="00C51BB1">
      <w:pPr>
        <w:spacing w:after="0" w:line="240" w:lineRule="auto"/>
        <w:jc w:val="both"/>
        <w:rPr>
          <w:rFonts w:ascii="Verdana" w:eastAsia="Calibri" w:hAnsi="Verdana" w:cs="Arial"/>
          <w:sz w:val="20"/>
          <w:szCs w:val="20"/>
          <w:lang w:val="es-ES_tradnl" w:eastAsia="es-ES_tradnl"/>
        </w:rPr>
      </w:pPr>
    </w:p>
    <w:p w14:paraId="33932770" w14:textId="69DC6F75" w:rsidR="002455C2" w:rsidRPr="00C51BB1" w:rsidRDefault="002455C2" w:rsidP="002455C2">
      <w:pPr>
        <w:spacing w:before="120" w:after="0" w:line="276" w:lineRule="auto"/>
        <w:jc w:val="both"/>
        <w:rPr>
          <w:rFonts w:ascii="Verdana" w:eastAsia="Calibri" w:hAnsi="Verdana" w:cs="Arial"/>
          <w:sz w:val="20"/>
          <w:szCs w:val="20"/>
          <w:lang w:val="es-ES" w:eastAsia="es-ES"/>
        </w:rPr>
      </w:pPr>
      <w:r w:rsidRPr="00C51BB1">
        <w:rPr>
          <w:rFonts w:ascii="Verdana" w:eastAsia="Calibri" w:hAnsi="Verdana" w:cs="Arial"/>
          <w:sz w:val="20"/>
          <w:szCs w:val="20"/>
          <w:lang w:val="es-ES_tradnl" w:eastAsia="es-ES_tradnl"/>
        </w:rPr>
        <w:t xml:space="preserve">[…] </w:t>
      </w:r>
      <w:r w:rsidRPr="00C51BB1">
        <w:rPr>
          <w:rFonts w:ascii="Verdana" w:eastAsia="Calibri" w:hAnsi="Verdana" w:cs="Arial"/>
          <w:sz w:val="20"/>
          <w:szCs w:val="20"/>
          <w:lang w:val="es-ES" w:eastAsia="es-ES"/>
        </w:rPr>
        <w:t>De conformidad con lo anterior, una “fundación” o una “asociación o corporación”, constituidas en los términos del Código Civil, no pueden asimilarse o identificarse con una “sociedad comercial”, como uniformemente lo considera la doctrina y la jurisprudencia civil y comercial. Lo anterior, en la medida en que esta última se crea con la finalidad de que sus socios repartan las utilidades obtenidas en desarrollo de la empresa o actividad social. Por el contrario, las fundaciones o asociaciones destinan su patrimonio a la consecución de un interés general y, como tal, no se percibe lucro, debiéndose reinvertir los excedentes monetarios que se presenten en la ESAL, al no ser viable su reparto entre los asociados.</w:t>
      </w:r>
    </w:p>
    <w:p w14:paraId="157813CA" w14:textId="2F5CC1D7" w:rsidR="002025A9" w:rsidRPr="00C51BB1" w:rsidRDefault="002025A9" w:rsidP="00206232">
      <w:pPr>
        <w:contextualSpacing/>
        <w:jc w:val="both"/>
        <w:rPr>
          <w:rFonts w:ascii="Verdana" w:eastAsia="Calibri" w:hAnsi="Verdana" w:cs="Arial"/>
          <w:sz w:val="20"/>
          <w:szCs w:val="20"/>
          <w:lang w:val="es-ES" w:eastAsia="es-ES_tradnl"/>
        </w:rPr>
      </w:pPr>
    </w:p>
    <w:p w14:paraId="41DAA817" w14:textId="6DD039BE" w:rsidR="00206232" w:rsidRPr="00C51BB1" w:rsidRDefault="002455C2" w:rsidP="00206232">
      <w:pPr>
        <w:contextualSpacing/>
        <w:jc w:val="both"/>
        <w:rPr>
          <w:rFonts w:ascii="Verdana" w:eastAsia="Calibri" w:hAnsi="Verdana" w:cs="Arial"/>
          <w:b/>
          <w:sz w:val="20"/>
          <w:szCs w:val="20"/>
          <w:lang w:val="es-ES_tradnl" w:eastAsia="es-ES_tradnl"/>
        </w:rPr>
      </w:pPr>
      <w:r w:rsidRPr="00C51BB1">
        <w:rPr>
          <w:rFonts w:ascii="Verdana" w:eastAsia="Calibri" w:hAnsi="Verdana" w:cs="Arial"/>
          <w:b/>
          <w:sz w:val="20"/>
          <w:szCs w:val="20"/>
          <w:lang w:val="es-ES_tradnl" w:eastAsia="es-ES_tradnl"/>
        </w:rPr>
        <w:t>ENTIDADES SIN ÁNIMO DE LUCRO</w:t>
      </w:r>
      <w:r w:rsidRPr="00C51BB1">
        <w:rPr>
          <w:rFonts w:ascii="Verdana" w:eastAsia="Calibri" w:hAnsi="Verdana" w:cs="Arial"/>
          <w:b/>
          <w:sz w:val="20"/>
          <w:szCs w:val="20"/>
          <w:lang w:val="es-ES_tradnl" w:eastAsia="es-ES_tradnl"/>
        </w:rPr>
        <w:t xml:space="preserve"> – Aplicación de criterios diferenciales - Ley 2069 de 2020 – </w:t>
      </w:r>
      <w:proofErr w:type="spellStart"/>
      <w:r w:rsidRPr="00C51BB1">
        <w:rPr>
          <w:rFonts w:ascii="Verdana" w:eastAsia="Calibri" w:hAnsi="Verdana" w:cs="Arial"/>
          <w:b/>
          <w:sz w:val="20"/>
          <w:szCs w:val="20"/>
          <w:lang w:val="es-ES_tradnl" w:eastAsia="es-ES_tradnl"/>
        </w:rPr>
        <w:t>Mipymes</w:t>
      </w:r>
      <w:proofErr w:type="spellEnd"/>
      <w:r w:rsidRPr="00C51BB1">
        <w:rPr>
          <w:rFonts w:ascii="Verdana" w:eastAsia="Calibri" w:hAnsi="Verdana" w:cs="Arial"/>
          <w:b/>
          <w:sz w:val="20"/>
          <w:szCs w:val="20"/>
          <w:lang w:val="es-ES_tradnl" w:eastAsia="es-ES_tradnl"/>
        </w:rPr>
        <w:t xml:space="preserve"> </w:t>
      </w:r>
    </w:p>
    <w:p w14:paraId="11C81F30" w14:textId="77777777" w:rsidR="002455C2" w:rsidRPr="00C51BB1" w:rsidRDefault="002455C2" w:rsidP="00206232">
      <w:pPr>
        <w:contextualSpacing/>
        <w:jc w:val="both"/>
        <w:rPr>
          <w:rFonts w:ascii="Verdana" w:eastAsia="Calibri" w:hAnsi="Verdana" w:cs="Arial"/>
          <w:b/>
          <w:sz w:val="20"/>
          <w:szCs w:val="20"/>
          <w:lang w:val="es-ES_tradnl" w:eastAsia="es-ES_tradnl"/>
        </w:rPr>
      </w:pPr>
    </w:p>
    <w:p w14:paraId="3A003C4B" w14:textId="4327481C" w:rsidR="002455C2" w:rsidRPr="00C51BB1" w:rsidRDefault="002455C2" w:rsidP="00206232">
      <w:pPr>
        <w:contextualSpacing/>
        <w:jc w:val="both"/>
        <w:rPr>
          <w:rFonts w:ascii="Verdana" w:eastAsia="Arial" w:hAnsi="Verdana" w:cs="Arial"/>
          <w:sz w:val="20"/>
          <w:szCs w:val="20"/>
          <w:lang w:val="es-ES" w:eastAsia="es-CO"/>
        </w:rPr>
      </w:pPr>
      <w:r w:rsidRPr="00C51BB1">
        <w:rPr>
          <w:rFonts w:ascii="Verdana" w:eastAsia="Calibri" w:hAnsi="Verdana" w:cs="Arial"/>
          <w:sz w:val="20"/>
          <w:szCs w:val="20"/>
          <w:lang w:val="es-ES"/>
        </w:rPr>
        <w:t>L</w:t>
      </w:r>
      <w:r w:rsidRPr="00C51BB1">
        <w:rPr>
          <w:rFonts w:ascii="Verdana" w:eastAsia="Arial" w:hAnsi="Verdana" w:cs="Arial"/>
          <w:sz w:val="20"/>
          <w:szCs w:val="20"/>
          <w:lang w:val="es-ES" w:eastAsia="es-CO"/>
        </w:rPr>
        <w:t>a Ley 2069 d</w:t>
      </w:r>
      <w:r w:rsidRPr="00C51BB1">
        <w:rPr>
          <w:rFonts w:ascii="Verdana" w:eastAsia="Arial" w:hAnsi="Verdana" w:cs="Arial"/>
          <w:sz w:val="20"/>
          <w:szCs w:val="20"/>
          <w:lang w:eastAsia="es-CO"/>
        </w:rPr>
        <w:t>el 31 de diciembre de 2020,</w:t>
      </w:r>
      <w:r w:rsidRPr="00C51BB1">
        <w:rPr>
          <w:rFonts w:ascii="Verdana" w:eastAsia="Arial" w:hAnsi="Verdana" w:cs="Arial"/>
          <w:sz w:val="20"/>
          <w:szCs w:val="20"/>
          <w:lang w:val="es-ES" w:eastAsia="es-CO"/>
        </w:rPr>
        <w:t xml:space="preserve"> “Por medio de la cual se impulsa el emprendimiento en Colombia”, establece un marco regulatorio que propicia el </w:t>
      </w:r>
      <w:r w:rsidRPr="00C51BB1">
        <w:rPr>
          <w:rFonts w:ascii="Verdana" w:eastAsia="Arial" w:hAnsi="Verdana" w:cs="Arial"/>
          <w:sz w:val="20"/>
          <w:szCs w:val="20"/>
          <w:lang w:val="es-ES" w:eastAsia="es-CO"/>
        </w:rPr>
        <w:lastRenderedPageBreak/>
        <w:t>emprendimiento, el crecimiento, la consolidación y la sostenibilidad de las empresas, con el fin de aumentar el bienestar social y generar equidad.</w:t>
      </w:r>
    </w:p>
    <w:p w14:paraId="4764CE68" w14:textId="77777777" w:rsidR="002455C2" w:rsidRPr="00C51BB1" w:rsidRDefault="002455C2" w:rsidP="00206232">
      <w:pPr>
        <w:contextualSpacing/>
        <w:jc w:val="both"/>
        <w:rPr>
          <w:rFonts w:ascii="Verdana" w:eastAsia="Arial" w:hAnsi="Verdana" w:cs="Arial"/>
          <w:sz w:val="20"/>
          <w:szCs w:val="20"/>
          <w:lang w:val="es-ES" w:eastAsia="es-CO"/>
        </w:rPr>
      </w:pPr>
    </w:p>
    <w:p w14:paraId="54991ECE" w14:textId="77777777" w:rsidR="002455C2" w:rsidRPr="00C51BB1" w:rsidRDefault="002455C2" w:rsidP="002455C2">
      <w:pPr>
        <w:spacing w:after="120" w:line="276" w:lineRule="auto"/>
        <w:jc w:val="both"/>
        <w:rPr>
          <w:rFonts w:ascii="Verdana" w:eastAsia="Arial" w:hAnsi="Verdana" w:cs="Arial"/>
          <w:bCs/>
          <w:sz w:val="20"/>
          <w:szCs w:val="20"/>
          <w:lang w:eastAsia="es-CO"/>
        </w:rPr>
      </w:pPr>
      <w:r w:rsidRPr="00C51BB1">
        <w:rPr>
          <w:rFonts w:ascii="Verdana" w:eastAsia="Calibri" w:hAnsi="Verdana" w:cs="Arial"/>
          <w:sz w:val="20"/>
          <w:szCs w:val="20"/>
          <w:lang w:val="es-ES_tradnl" w:eastAsia="es-ES_tradnl"/>
        </w:rPr>
        <w:t xml:space="preserve">[…] </w:t>
      </w:r>
      <w:r w:rsidRPr="00C51BB1">
        <w:rPr>
          <w:rFonts w:ascii="Verdana" w:eastAsia="Arial" w:hAnsi="Verdana" w:cs="Arial"/>
          <w:sz w:val="20"/>
          <w:szCs w:val="20"/>
          <w:lang w:val="es-ES" w:eastAsia="es-CO"/>
        </w:rPr>
        <w:t xml:space="preserve">Por un lado, el artículo 31 </w:t>
      </w:r>
      <w:r w:rsidRPr="00C51BB1">
        <w:rPr>
          <w:rFonts w:ascii="Verdana" w:eastAsia="Arial" w:hAnsi="Verdana" w:cs="Arial"/>
          <w:i/>
          <w:iCs/>
          <w:sz w:val="20"/>
          <w:szCs w:val="20"/>
          <w:lang w:val="es-ES" w:eastAsia="es-CO"/>
        </w:rPr>
        <w:t>ibidem</w:t>
      </w:r>
      <w:r w:rsidRPr="00C51BB1">
        <w:rPr>
          <w:rFonts w:ascii="Verdana" w:eastAsia="Arial" w:hAnsi="Verdana" w:cs="Arial"/>
          <w:sz w:val="20"/>
          <w:szCs w:val="20"/>
          <w:lang w:eastAsia="es-CO"/>
        </w:rPr>
        <w:t xml:space="preserve"> </w:t>
      </w:r>
      <w:r w:rsidRPr="00C51BB1">
        <w:rPr>
          <w:rFonts w:ascii="Verdana" w:eastAsia="Arial" w:hAnsi="Verdana" w:cs="Arial"/>
          <w:bCs/>
          <w:sz w:val="20"/>
          <w:szCs w:val="20"/>
          <w:lang w:eastAsia="es-CO"/>
        </w:rPr>
        <w:t xml:space="preserve">introduce criterios diferenciales para el acceso de las </w:t>
      </w:r>
      <w:proofErr w:type="spellStart"/>
      <w:r w:rsidRPr="00C51BB1">
        <w:rPr>
          <w:rFonts w:ascii="Verdana" w:eastAsia="Arial" w:hAnsi="Verdana" w:cs="Arial"/>
          <w:bCs/>
          <w:sz w:val="20"/>
          <w:szCs w:val="20"/>
          <w:lang w:eastAsia="es-CO"/>
        </w:rPr>
        <w:t>Mipyme</w:t>
      </w:r>
      <w:proofErr w:type="spellEnd"/>
      <w:r w:rsidRPr="00C51BB1">
        <w:rPr>
          <w:rFonts w:ascii="Verdana" w:eastAsia="Arial" w:hAnsi="Verdana" w:cs="Arial"/>
          <w:bCs/>
          <w:sz w:val="20"/>
          <w:szCs w:val="20"/>
          <w:lang w:eastAsia="es-CO"/>
        </w:rPr>
        <w:t xml:space="preserve"> al Sistema de Compras y Contratación Pública</w:t>
      </w:r>
      <w:r w:rsidRPr="00C51BB1">
        <w:rPr>
          <w:rFonts w:ascii="Verdana" w:eastAsia="Arial" w:hAnsi="Verdana" w:cs="Arial"/>
          <w:bCs/>
          <w:sz w:val="20"/>
          <w:szCs w:val="20"/>
          <w:lang w:eastAsia="es-CO"/>
        </w:rPr>
        <w:t xml:space="preserve">. </w:t>
      </w:r>
      <w:r w:rsidRPr="00C51BB1">
        <w:rPr>
          <w:rFonts w:ascii="Verdana" w:eastAsia="Arial" w:hAnsi="Verdana" w:cs="Arial"/>
          <w:bCs/>
          <w:sz w:val="20"/>
          <w:szCs w:val="20"/>
          <w:lang w:eastAsia="es-CO"/>
        </w:rPr>
        <w:t xml:space="preserve">Para estos efectos, el inciso primero dispone que “Las Entidades Estatales de acuerdo con el análisis de sector podrán incluir, en los Documentos del Proceso, requisitos diferenciales y puntajes adicionales, en función del tamaño empresarial para la promoción del acceso de las MIPYMES al mercado de Compras Públicas”. Esto significa que, la aplicación de los criterios diferenciales, los cuales incluyen tanto los requisitos diferenciales como los puntajes adicionales, depende de las conclusiones del estudio del sector. </w:t>
      </w:r>
    </w:p>
    <w:p w14:paraId="30078F33" w14:textId="5FABB8DA" w:rsidR="002455C2" w:rsidRPr="00C51BB1" w:rsidRDefault="002455C2" w:rsidP="002455C2">
      <w:pPr>
        <w:contextualSpacing/>
        <w:jc w:val="both"/>
        <w:rPr>
          <w:rFonts w:ascii="Verdana" w:eastAsia="Calibri" w:hAnsi="Verdana" w:cs="Arial"/>
          <w:b/>
          <w:sz w:val="20"/>
          <w:szCs w:val="20"/>
          <w:lang w:val="es-ES_tradnl" w:eastAsia="es-ES_tradnl"/>
        </w:rPr>
      </w:pPr>
      <w:r w:rsidRPr="00C51BB1">
        <w:rPr>
          <w:rFonts w:ascii="Verdana" w:eastAsia="Calibri" w:hAnsi="Verdana" w:cs="Arial"/>
          <w:b/>
          <w:sz w:val="20"/>
          <w:szCs w:val="20"/>
          <w:lang w:val="es-ES_tradnl" w:eastAsia="es-ES_tradnl"/>
        </w:rPr>
        <w:t xml:space="preserve">ENTIDADES SIN ÁNIMO DE LUCRO – Aplicación de criterios diferenciales - Ley 2069 de 2020 – Emprendimientos y empresas de mujeres </w:t>
      </w:r>
    </w:p>
    <w:p w14:paraId="68C496A8" w14:textId="77777777" w:rsidR="002455C2" w:rsidRPr="00C51BB1" w:rsidRDefault="002455C2" w:rsidP="002455C2">
      <w:pPr>
        <w:contextualSpacing/>
        <w:jc w:val="both"/>
        <w:rPr>
          <w:rFonts w:ascii="Verdana" w:eastAsia="Calibri" w:hAnsi="Verdana" w:cs="Arial"/>
          <w:b/>
          <w:sz w:val="20"/>
          <w:szCs w:val="20"/>
          <w:lang w:val="es-ES_tradnl" w:eastAsia="es-ES_tradnl"/>
        </w:rPr>
      </w:pPr>
    </w:p>
    <w:p w14:paraId="798B07A4" w14:textId="77777777" w:rsidR="00C51BB1" w:rsidRPr="00C51BB1" w:rsidRDefault="00C51BB1" w:rsidP="00C51BB1">
      <w:pPr>
        <w:tabs>
          <w:tab w:val="left" w:pos="709"/>
        </w:tabs>
        <w:spacing w:after="120" w:line="276" w:lineRule="auto"/>
        <w:jc w:val="both"/>
        <w:rPr>
          <w:rFonts w:ascii="Verdana" w:eastAsia="Calibri" w:hAnsi="Verdana" w:cs="Arial"/>
          <w:bCs/>
          <w:sz w:val="20"/>
          <w:szCs w:val="20"/>
          <w:lang w:eastAsia="es-ES_tradnl"/>
        </w:rPr>
      </w:pPr>
      <w:r w:rsidRPr="00C51BB1">
        <w:rPr>
          <w:rFonts w:ascii="Verdana" w:eastAsia="Calibri" w:hAnsi="Verdana" w:cs="Arial"/>
          <w:bCs/>
          <w:sz w:val="20"/>
          <w:szCs w:val="20"/>
          <w:lang w:eastAsia="es-ES_tradnl"/>
        </w:rPr>
        <w:t>Por otra parte, el artículo 32 de la Ley 2069 de 2020 regula criterios diferenciales para los “emprendimientos y empresas de mujeres”</w:t>
      </w:r>
      <w:r w:rsidRPr="00C51BB1">
        <w:rPr>
          <w:rFonts w:ascii="Verdana" w:eastAsia="Calibri" w:hAnsi="Verdana" w:cs="Arial"/>
          <w:bCs/>
          <w:sz w:val="20"/>
          <w:szCs w:val="20"/>
          <w:lang w:eastAsia="es-ES_tradnl"/>
        </w:rPr>
        <w:t xml:space="preserve">. </w:t>
      </w:r>
      <w:r w:rsidRPr="00C51BB1">
        <w:rPr>
          <w:rFonts w:ascii="Verdana" w:eastAsia="Calibri" w:hAnsi="Verdana" w:cs="Arial"/>
          <w:bCs/>
          <w:sz w:val="20"/>
          <w:szCs w:val="20"/>
          <w:lang w:eastAsia="es-ES_tradnl"/>
        </w:rPr>
        <w:t xml:space="preserve">De esta manera, los “criterios diferenciales” del artículo 32 </w:t>
      </w:r>
      <w:r w:rsidRPr="00C51BB1">
        <w:rPr>
          <w:rFonts w:ascii="Verdana" w:eastAsia="Calibri" w:hAnsi="Verdana" w:cs="Arial"/>
          <w:bCs/>
          <w:i/>
          <w:iCs/>
          <w:sz w:val="20"/>
          <w:szCs w:val="20"/>
          <w:lang w:eastAsia="es-ES_tradnl"/>
        </w:rPr>
        <w:t>ibidem</w:t>
      </w:r>
      <w:r w:rsidRPr="00C51BB1">
        <w:rPr>
          <w:rFonts w:ascii="Verdana" w:eastAsia="Calibri" w:hAnsi="Verdana" w:cs="Arial"/>
          <w:bCs/>
          <w:sz w:val="20"/>
          <w:szCs w:val="20"/>
          <w:lang w:eastAsia="es-ES_tradnl"/>
        </w:rPr>
        <w:t xml:space="preserve"> –que también incluyen tanto los “requisitos diferenciales” como los “puntajes adicionales”– aplican a “[…] los procesos de licitación pública, selección abreviada de menor cuantía y concurso de méritos […]”, excluyendo las demás modalidades de selección del artículo 2 de la Ley 1150 de 2007. Asimismo, sin distinciones posteriores, la norma en comento también se extiende a todos los procedimientos que realicen las Entidades Estatales excluidas de la Ley 80 de 1993.     </w:t>
      </w:r>
    </w:p>
    <w:p w14:paraId="198FC3A1" w14:textId="77777777" w:rsidR="00C51BB1" w:rsidRPr="00C51BB1" w:rsidRDefault="00C51BB1" w:rsidP="00C51BB1">
      <w:pPr>
        <w:spacing w:after="0" w:line="240" w:lineRule="auto"/>
        <w:contextualSpacing/>
        <w:jc w:val="both"/>
        <w:rPr>
          <w:rFonts w:ascii="Verdana" w:eastAsia="Calibri" w:hAnsi="Verdana" w:cs="Arial"/>
          <w:b/>
          <w:sz w:val="20"/>
          <w:szCs w:val="20"/>
          <w:lang w:val="es-ES_tradnl" w:eastAsia="es-ES_tradnl"/>
        </w:rPr>
      </w:pPr>
    </w:p>
    <w:p w14:paraId="3BD8411C" w14:textId="36191F92" w:rsidR="00C51BB1" w:rsidRPr="00C51BB1" w:rsidRDefault="00F81743" w:rsidP="00C51BB1">
      <w:pPr>
        <w:contextualSpacing/>
        <w:jc w:val="both"/>
        <w:rPr>
          <w:rFonts w:ascii="Verdana" w:eastAsia="Calibri" w:hAnsi="Verdana" w:cs="Arial"/>
          <w:b/>
          <w:sz w:val="20"/>
          <w:szCs w:val="20"/>
          <w:lang w:eastAsia="es-ES_tradnl"/>
        </w:rPr>
      </w:pPr>
      <w:r w:rsidRPr="00C51BB1">
        <w:rPr>
          <w:rFonts w:ascii="Verdana" w:eastAsia="Calibri" w:hAnsi="Verdana" w:cs="Arial"/>
          <w:b/>
          <w:sz w:val="20"/>
          <w:szCs w:val="20"/>
          <w:lang w:val="es-ES_tradnl" w:eastAsia="es-ES_tradnl"/>
        </w:rPr>
        <w:t>EMPRESA</w:t>
      </w:r>
      <w:r w:rsidR="00C51BB1" w:rsidRPr="00C51BB1">
        <w:rPr>
          <w:rFonts w:ascii="Verdana" w:eastAsia="Calibri" w:hAnsi="Verdana" w:cs="Arial"/>
          <w:b/>
          <w:sz w:val="20"/>
          <w:szCs w:val="20"/>
          <w:lang w:val="es-ES_tradnl" w:eastAsia="es-ES_tradnl"/>
        </w:rPr>
        <w:t xml:space="preserve"> - </w:t>
      </w:r>
      <w:r w:rsidR="008C7242">
        <w:rPr>
          <w:rFonts w:ascii="Verdana" w:eastAsia="Calibri" w:hAnsi="Verdana" w:cs="Arial"/>
          <w:b/>
          <w:sz w:val="20"/>
          <w:szCs w:val="20"/>
          <w:lang w:val="es-ES_tradnl" w:eastAsia="es-ES_tradnl"/>
        </w:rPr>
        <w:t>Artículo</w:t>
      </w:r>
      <w:r w:rsidR="00C51BB1" w:rsidRPr="00C51BB1">
        <w:rPr>
          <w:rFonts w:ascii="Verdana" w:hAnsi="Verdana" w:cs="Arial"/>
          <w:b/>
          <w:sz w:val="20"/>
          <w:szCs w:val="20"/>
          <w:lang w:val="es-ES"/>
        </w:rPr>
        <w:t xml:space="preserve"> 2 de la Ley 590 de 2000</w:t>
      </w:r>
      <w:r w:rsidR="00C51BB1">
        <w:rPr>
          <w:rFonts w:ascii="Verdana" w:hAnsi="Verdana" w:cs="Arial"/>
          <w:b/>
          <w:sz w:val="20"/>
          <w:szCs w:val="20"/>
          <w:lang w:val="es-ES"/>
        </w:rPr>
        <w:t xml:space="preserve"> - M</w:t>
      </w:r>
      <w:r w:rsidR="00C51BB1" w:rsidRPr="00C51BB1">
        <w:rPr>
          <w:rFonts w:ascii="Verdana" w:hAnsi="Verdana" w:cs="Arial"/>
          <w:b/>
          <w:sz w:val="20"/>
          <w:szCs w:val="20"/>
          <w:lang w:val="es-ES"/>
        </w:rPr>
        <w:t>odificado por el artículo 43 de la Ley 1450 de 2011</w:t>
      </w:r>
      <w:r w:rsidR="00C51BB1" w:rsidRPr="00C51BB1">
        <w:rPr>
          <w:rFonts w:ascii="Verdana" w:eastAsia="Calibri" w:hAnsi="Verdana" w:cs="Arial"/>
          <w:b/>
          <w:sz w:val="20"/>
          <w:szCs w:val="20"/>
          <w:lang w:val="es-ES_tradnl" w:eastAsia="es-ES_tradnl"/>
        </w:rPr>
        <w:t xml:space="preserve"> </w:t>
      </w:r>
    </w:p>
    <w:p w14:paraId="428E1022" w14:textId="77777777" w:rsidR="00C51BB1" w:rsidRDefault="00C51BB1" w:rsidP="002455C2">
      <w:pPr>
        <w:contextualSpacing/>
        <w:jc w:val="both"/>
        <w:rPr>
          <w:rFonts w:ascii="Verdana" w:eastAsia="Calibri" w:hAnsi="Verdana" w:cs="Arial"/>
          <w:bCs/>
          <w:sz w:val="20"/>
          <w:szCs w:val="20"/>
          <w:lang w:eastAsia="es-ES_tradnl"/>
        </w:rPr>
      </w:pPr>
    </w:p>
    <w:p w14:paraId="587F208D" w14:textId="73721CF2" w:rsidR="00C51BB1" w:rsidRDefault="004D3779" w:rsidP="002455C2">
      <w:pPr>
        <w:contextualSpacing/>
        <w:jc w:val="both"/>
        <w:rPr>
          <w:rFonts w:ascii="Verdana" w:hAnsi="Verdana" w:cs="Arial"/>
          <w:lang w:val="es-ES"/>
        </w:rPr>
      </w:pPr>
      <w:r>
        <w:rPr>
          <w:rFonts w:ascii="Verdana" w:hAnsi="Verdana" w:cs="Arial"/>
          <w:lang w:val="es-ES"/>
        </w:rPr>
        <w:t xml:space="preserve">[…] </w:t>
      </w:r>
      <w:r w:rsidRPr="60F29CF2">
        <w:rPr>
          <w:rFonts w:ascii="Verdana" w:hAnsi="Verdana" w:cs="Arial"/>
          <w:lang w:val="es-ES"/>
        </w:rPr>
        <w:t xml:space="preserve">el artículo 2 de la Ley 590 de 2000, modificado por el artículo 43 de la Ley 1450 de 2011, define la </w:t>
      </w:r>
      <w:r w:rsidRPr="60F29CF2">
        <w:rPr>
          <w:rFonts w:ascii="Verdana" w:hAnsi="Verdana" w:cs="Arial"/>
          <w:i/>
          <w:iCs/>
          <w:lang w:val="es-ES"/>
        </w:rPr>
        <w:t>empresa</w:t>
      </w:r>
      <w:r w:rsidRPr="60F29CF2">
        <w:rPr>
          <w:rFonts w:ascii="Verdana" w:hAnsi="Verdana" w:cs="Arial"/>
          <w:lang w:val="es-ES"/>
        </w:rPr>
        <w:t xml:space="preserve"> como toda unidad de explotación económica que realiza una persona natural o jurídica en actividades agropecuarias, industriales, comerciales o de servicios. Además, establece que estas se clasifican en micro, pequeña, mediana y gran empresa, de acuerdo con los criterios del número de trabajadores totales, el valor de ventas brutales anuales y el valor de activos totales.</w:t>
      </w:r>
    </w:p>
    <w:p w14:paraId="135E8022" w14:textId="77777777" w:rsidR="004D3779" w:rsidRDefault="004D3779" w:rsidP="002455C2">
      <w:pPr>
        <w:contextualSpacing/>
        <w:jc w:val="both"/>
        <w:rPr>
          <w:rFonts w:ascii="Verdana" w:hAnsi="Verdana" w:cs="Arial"/>
          <w:lang w:val="es-ES"/>
        </w:rPr>
      </w:pPr>
    </w:p>
    <w:p w14:paraId="56CCFBF9" w14:textId="31F4A3EB" w:rsidR="004D3779" w:rsidRPr="00F81743" w:rsidRDefault="004D3779" w:rsidP="002455C2">
      <w:pPr>
        <w:contextualSpacing/>
        <w:jc w:val="both"/>
        <w:rPr>
          <w:rFonts w:ascii="Verdana" w:eastAsia="Arial" w:hAnsi="Verdana" w:cs="Arial"/>
          <w:b/>
          <w:bCs/>
          <w:sz w:val="20"/>
          <w:szCs w:val="20"/>
          <w:lang w:val="es-ES"/>
        </w:rPr>
      </w:pPr>
      <w:r w:rsidRPr="00F81743">
        <w:rPr>
          <w:rFonts w:ascii="Verdana" w:hAnsi="Verdana" w:cs="Arial"/>
          <w:b/>
          <w:bCs/>
          <w:sz w:val="20"/>
          <w:szCs w:val="20"/>
          <w:lang w:val="es-ES"/>
        </w:rPr>
        <w:t xml:space="preserve">MIPYMES - </w:t>
      </w:r>
      <w:r w:rsidRPr="00F81743">
        <w:rPr>
          <w:rFonts w:ascii="Verdana" w:eastAsia="Arial" w:hAnsi="Verdana" w:cs="Arial"/>
          <w:b/>
          <w:bCs/>
          <w:sz w:val="20"/>
          <w:szCs w:val="20"/>
          <w:lang w:val="es-ES"/>
        </w:rPr>
        <w:t>Decreto 1074 de 2015,</w:t>
      </w:r>
      <w:r w:rsidRPr="00F81743">
        <w:rPr>
          <w:rFonts w:ascii="Verdana" w:eastAsia="Arial" w:hAnsi="Verdana" w:cs="Arial"/>
          <w:b/>
          <w:bCs/>
          <w:sz w:val="20"/>
          <w:szCs w:val="20"/>
          <w:lang w:val="es-ES"/>
        </w:rPr>
        <w:t xml:space="preserve"> artículo </w:t>
      </w:r>
      <w:r w:rsidRPr="00F81743">
        <w:rPr>
          <w:rFonts w:ascii="Verdana" w:eastAsia="Arial" w:hAnsi="Verdana" w:cs="Arial"/>
          <w:b/>
          <w:bCs/>
          <w:sz w:val="20"/>
          <w:szCs w:val="20"/>
          <w:lang w:val="es-ES"/>
        </w:rPr>
        <w:t>2.2.1.13.2.2</w:t>
      </w:r>
      <w:r w:rsidRPr="00F81743">
        <w:rPr>
          <w:rFonts w:ascii="Verdana" w:eastAsia="Arial" w:hAnsi="Verdana" w:cs="Arial"/>
          <w:b/>
          <w:bCs/>
          <w:sz w:val="20"/>
          <w:szCs w:val="20"/>
          <w:lang w:val="es-ES"/>
        </w:rPr>
        <w:t xml:space="preserve"> - </w:t>
      </w:r>
      <w:r w:rsidRPr="00F81743">
        <w:rPr>
          <w:rFonts w:ascii="Verdana" w:eastAsia="Arial" w:hAnsi="Verdana" w:cs="Arial"/>
          <w:b/>
          <w:bCs/>
          <w:sz w:val="20"/>
          <w:szCs w:val="20"/>
          <w:lang w:val="es-ES"/>
        </w:rPr>
        <w:t>Decreto 957 de 2019</w:t>
      </w:r>
      <w:r w:rsidRPr="00F81743">
        <w:rPr>
          <w:rFonts w:ascii="Verdana" w:eastAsia="Arial" w:hAnsi="Verdana" w:cs="Arial"/>
          <w:b/>
          <w:bCs/>
          <w:sz w:val="20"/>
          <w:szCs w:val="20"/>
          <w:lang w:val="es-ES"/>
        </w:rPr>
        <w:t xml:space="preserve"> – Clasificación – ENTIDADES SIN ÁNIMO DE LUCRO – </w:t>
      </w:r>
      <w:proofErr w:type="spellStart"/>
      <w:r w:rsidRPr="00F81743">
        <w:rPr>
          <w:rFonts w:ascii="Verdana" w:eastAsia="Arial" w:hAnsi="Verdana" w:cs="Arial"/>
          <w:b/>
          <w:bCs/>
          <w:sz w:val="20"/>
          <w:szCs w:val="20"/>
          <w:lang w:val="es-ES"/>
        </w:rPr>
        <w:t>Mipymes</w:t>
      </w:r>
      <w:proofErr w:type="spellEnd"/>
      <w:r w:rsidRPr="00F81743">
        <w:rPr>
          <w:rFonts w:ascii="Verdana" w:eastAsia="Arial" w:hAnsi="Verdana" w:cs="Arial"/>
          <w:b/>
          <w:bCs/>
          <w:sz w:val="20"/>
          <w:szCs w:val="20"/>
          <w:lang w:val="es-ES"/>
        </w:rPr>
        <w:t xml:space="preserve"> </w:t>
      </w:r>
    </w:p>
    <w:p w14:paraId="1E217677" w14:textId="77777777" w:rsidR="004D3779" w:rsidRDefault="004D3779" w:rsidP="002455C2">
      <w:pPr>
        <w:contextualSpacing/>
        <w:jc w:val="both"/>
        <w:rPr>
          <w:rFonts w:ascii="Verdana" w:eastAsia="Arial" w:hAnsi="Verdana" w:cs="Arial"/>
          <w:b/>
          <w:bCs/>
          <w:lang w:val="es-ES"/>
        </w:rPr>
      </w:pPr>
    </w:p>
    <w:p w14:paraId="3A7854F4" w14:textId="0353020D" w:rsidR="004D3779" w:rsidRPr="00F81743" w:rsidRDefault="004D3779" w:rsidP="004D3779">
      <w:pPr>
        <w:spacing w:after="120" w:line="276" w:lineRule="auto"/>
        <w:jc w:val="both"/>
        <w:rPr>
          <w:rFonts w:ascii="Verdana" w:hAnsi="Verdana" w:cs="Arial"/>
          <w:sz w:val="20"/>
          <w:szCs w:val="20"/>
          <w:lang w:val="es-ES"/>
        </w:rPr>
      </w:pPr>
      <w:r w:rsidRPr="00F81743">
        <w:rPr>
          <w:rFonts w:ascii="Verdana" w:hAnsi="Verdana" w:cs="Arial"/>
          <w:sz w:val="20"/>
          <w:szCs w:val="20"/>
          <w:lang w:val="es-ES"/>
        </w:rPr>
        <w:t xml:space="preserve">[…] </w:t>
      </w:r>
      <w:r w:rsidRPr="00F81743">
        <w:rPr>
          <w:rFonts w:ascii="Verdana" w:hAnsi="Verdana" w:cs="Arial"/>
          <w:sz w:val="20"/>
          <w:szCs w:val="20"/>
          <w:lang w:val="es-ES"/>
        </w:rPr>
        <w:t>en virtud del artículo 43 de la Ley 1450 de 2011, que modificó el artículo 2 de la Ley 590 de 2000</w:t>
      </w:r>
      <w:r w:rsidRPr="00F81743">
        <w:rPr>
          <w:rFonts w:ascii="Verdana" w:hAnsi="Verdana" w:cs="Arial"/>
          <w:sz w:val="20"/>
          <w:szCs w:val="20"/>
          <w:lang w:val="es-ES"/>
        </w:rPr>
        <w:t xml:space="preserve"> […] </w:t>
      </w:r>
      <w:r w:rsidRPr="00F81743">
        <w:rPr>
          <w:rFonts w:ascii="Verdana" w:hAnsi="Verdana" w:cs="Arial"/>
          <w:sz w:val="20"/>
          <w:szCs w:val="20"/>
          <w:lang w:val="es-ES"/>
        </w:rPr>
        <w:t xml:space="preserve">puede decirse que solo podrán ser </w:t>
      </w:r>
      <w:proofErr w:type="spellStart"/>
      <w:r w:rsidRPr="00F81743">
        <w:rPr>
          <w:rFonts w:ascii="Verdana" w:hAnsi="Verdana" w:cs="Arial"/>
          <w:sz w:val="20"/>
          <w:szCs w:val="20"/>
          <w:lang w:val="es-ES"/>
        </w:rPr>
        <w:t>Mipymes</w:t>
      </w:r>
      <w:proofErr w:type="spellEnd"/>
      <w:r w:rsidRPr="00F81743">
        <w:rPr>
          <w:rFonts w:ascii="Verdana" w:hAnsi="Verdana" w:cs="Arial"/>
          <w:sz w:val="20"/>
          <w:szCs w:val="20"/>
          <w:lang w:val="es-ES"/>
        </w:rPr>
        <w:t xml:space="preserve"> las empresas, entendidas estas como las unidades de explotación económica que buscan el reparto de utilidades </w:t>
      </w:r>
      <w:r w:rsidRPr="00F81743">
        <w:rPr>
          <w:rFonts w:ascii="Verdana" w:hAnsi="Verdana" w:cs="Arial"/>
          <w:sz w:val="20"/>
          <w:szCs w:val="20"/>
          <w:lang w:val="es-ES"/>
        </w:rPr>
        <w:lastRenderedPageBreak/>
        <w:t xml:space="preserve">entre los miembros de la empresa, sin perjuicio de las precisiones que se realizarán más adelante en relación con el artículo 23 de la Ley 2069 de 2020. </w:t>
      </w:r>
    </w:p>
    <w:p w14:paraId="04AEAB25" w14:textId="77777777" w:rsidR="00F81743" w:rsidRPr="00F81743" w:rsidRDefault="00F81743" w:rsidP="00F81743">
      <w:pPr>
        <w:spacing w:after="120" w:line="276" w:lineRule="auto"/>
        <w:jc w:val="both"/>
        <w:rPr>
          <w:rFonts w:ascii="Verdana" w:hAnsi="Verdana" w:cs="Arial"/>
          <w:sz w:val="20"/>
          <w:szCs w:val="20"/>
          <w:lang w:val="es-ES"/>
        </w:rPr>
      </w:pPr>
      <w:r w:rsidRPr="00F81743">
        <w:rPr>
          <w:rFonts w:ascii="Verdana" w:hAnsi="Verdana" w:cs="Arial"/>
          <w:sz w:val="20"/>
          <w:szCs w:val="20"/>
          <w:lang w:val="es-ES"/>
        </w:rPr>
        <w:t xml:space="preserve">De esta forma, en razón a que las ESAL no persiguen el reparto de utilidades entre sus miembros, sino que su objeto está destinado a realizar una actividad de interés general sin esperar a cambio un reparto de ganancia en proporción a sus utilidades, lo cierto es que estas, por regla general, no podrán acceder a los criterios diferenciales a favor de las </w:t>
      </w:r>
      <w:proofErr w:type="spellStart"/>
      <w:r w:rsidRPr="00F81743">
        <w:rPr>
          <w:rFonts w:ascii="Verdana" w:hAnsi="Verdana" w:cs="Arial"/>
          <w:sz w:val="20"/>
          <w:szCs w:val="20"/>
          <w:lang w:val="es-ES"/>
        </w:rPr>
        <w:t>Mipymes</w:t>
      </w:r>
      <w:proofErr w:type="spellEnd"/>
      <w:r w:rsidRPr="00F81743">
        <w:rPr>
          <w:rFonts w:ascii="Verdana" w:hAnsi="Verdana" w:cs="Arial"/>
          <w:sz w:val="20"/>
          <w:szCs w:val="20"/>
          <w:lang w:val="es-ES"/>
        </w:rPr>
        <w:t xml:space="preserve"> en el Sistema de Compras Públicas, ni podrán participar en los procesos de contratación limitados a </w:t>
      </w:r>
      <w:proofErr w:type="spellStart"/>
      <w:r w:rsidRPr="00F81743">
        <w:rPr>
          <w:rFonts w:ascii="Verdana" w:hAnsi="Verdana" w:cs="Arial"/>
          <w:sz w:val="20"/>
          <w:szCs w:val="20"/>
          <w:lang w:val="es-ES"/>
        </w:rPr>
        <w:t>Mipymes</w:t>
      </w:r>
      <w:proofErr w:type="spellEnd"/>
      <w:r w:rsidRPr="00F81743">
        <w:rPr>
          <w:rFonts w:ascii="Verdana" w:hAnsi="Verdana" w:cs="Arial"/>
          <w:sz w:val="20"/>
          <w:szCs w:val="20"/>
          <w:lang w:val="es-ES"/>
        </w:rPr>
        <w:t xml:space="preserve">. Lo anterior, teniendo en cuenta que no responden al concepto de empresa por no ejercer una actividad con ánimo de lucro, por lo que no resulta jurídicamente válido aplicar a las ESAL las normas dirigidas a las </w:t>
      </w:r>
      <w:proofErr w:type="spellStart"/>
      <w:r w:rsidRPr="00F81743">
        <w:rPr>
          <w:rFonts w:ascii="Verdana" w:hAnsi="Verdana" w:cs="Arial"/>
          <w:sz w:val="20"/>
          <w:szCs w:val="20"/>
          <w:lang w:val="es-ES"/>
        </w:rPr>
        <w:t>Mipymes</w:t>
      </w:r>
      <w:proofErr w:type="spellEnd"/>
      <w:r w:rsidRPr="00F81743">
        <w:rPr>
          <w:rFonts w:ascii="Verdana" w:hAnsi="Verdana" w:cs="Arial"/>
          <w:sz w:val="20"/>
          <w:szCs w:val="20"/>
          <w:lang w:val="es-ES"/>
        </w:rPr>
        <w:t xml:space="preserve">. </w:t>
      </w:r>
    </w:p>
    <w:p w14:paraId="5E0D2362" w14:textId="19001B5A" w:rsidR="00F81743" w:rsidRDefault="00F81743" w:rsidP="00F81743">
      <w:pPr>
        <w:jc w:val="both"/>
        <w:rPr>
          <w:rFonts w:ascii="Verdana" w:hAnsi="Verdana" w:cs="Arial"/>
          <w:b/>
          <w:bCs/>
          <w:sz w:val="20"/>
          <w:szCs w:val="20"/>
          <w:lang w:val="es-ES"/>
        </w:rPr>
      </w:pPr>
      <w:r>
        <w:rPr>
          <w:rFonts w:ascii="Verdana" w:hAnsi="Verdana" w:cs="Arial"/>
          <w:b/>
          <w:bCs/>
          <w:sz w:val="20"/>
          <w:szCs w:val="20"/>
          <w:lang w:val="es-ES"/>
        </w:rPr>
        <w:t xml:space="preserve">ENTIDADES SIN ÁNIMO DE LUCRO - </w:t>
      </w:r>
      <w:r w:rsidRPr="00F81743">
        <w:rPr>
          <w:rFonts w:ascii="Verdana" w:hAnsi="Verdana" w:cs="Arial"/>
          <w:b/>
          <w:bCs/>
          <w:sz w:val="20"/>
          <w:szCs w:val="20"/>
          <w:lang w:val="es-ES"/>
        </w:rPr>
        <w:t xml:space="preserve">Asimilación a </w:t>
      </w:r>
      <w:proofErr w:type="spellStart"/>
      <w:r w:rsidRPr="00F81743">
        <w:rPr>
          <w:rFonts w:ascii="Verdana" w:hAnsi="Verdana" w:cs="Arial"/>
          <w:b/>
          <w:bCs/>
          <w:sz w:val="20"/>
          <w:szCs w:val="20"/>
          <w:lang w:val="es-ES"/>
        </w:rPr>
        <w:t>Mipymes</w:t>
      </w:r>
      <w:proofErr w:type="spellEnd"/>
      <w:r w:rsidRPr="00F81743">
        <w:rPr>
          <w:rFonts w:ascii="Verdana" w:hAnsi="Verdana" w:cs="Arial"/>
          <w:b/>
          <w:bCs/>
          <w:sz w:val="20"/>
          <w:szCs w:val="20"/>
          <w:lang w:val="es-ES"/>
        </w:rPr>
        <w:t xml:space="preserve"> – Cooperativas – </w:t>
      </w:r>
      <w:r>
        <w:rPr>
          <w:rFonts w:ascii="Verdana" w:hAnsi="Verdana" w:cs="Arial"/>
          <w:b/>
          <w:bCs/>
          <w:sz w:val="20"/>
          <w:szCs w:val="20"/>
          <w:lang w:val="es-ES"/>
        </w:rPr>
        <w:t xml:space="preserve">Entidades de economía solidaria </w:t>
      </w:r>
      <w:r w:rsidRPr="00F81743">
        <w:rPr>
          <w:rFonts w:ascii="Verdana" w:hAnsi="Verdana" w:cs="Arial"/>
          <w:b/>
          <w:bCs/>
          <w:sz w:val="20"/>
          <w:szCs w:val="20"/>
          <w:lang w:val="es-ES"/>
        </w:rPr>
        <w:t>– Ley 2069</w:t>
      </w:r>
      <w:r>
        <w:rPr>
          <w:rFonts w:ascii="Verdana" w:hAnsi="Verdana" w:cs="Arial"/>
          <w:b/>
          <w:bCs/>
          <w:sz w:val="20"/>
          <w:szCs w:val="20"/>
          <w:lang w:val="es-ES"/>
        </w:rPr>
        <w:t xml:space="preserve"> de 2020</w:t>
      </w:r>
      <w:r w:rsidRPr="00F81743">
        <w:rPr>
          <w:rFonts w:ascii="Verdana" w:hAnsi="Verdana" w:cs="Arial"/>
          <w:b/>
          <w:bCs/>
          <w:sz w:val="20"/>
          <w:szCs w:val="20"/>
          <w:lang w:val="es-ES"/>
        </w:rPr>
        <w:t xml:space="preserve"> – Criterios diferenciales</w:t>
      </w:r>
    </w:p>
    <w:p w14:paraId="304DE893" w14:textId="49CD32C4" w:rsidR="00F81743" w:rsidRPr="00F81743" w:rsidRDefault="00F81743" w:rsidP="00F81743">
      <w:pPr>
        <w:jc w:val="both"/>
        <w:rPr>
          <w:rFonts w:ascii="Verdana" w:eastAsia="Calibri" w:hAnsi="Verdana" w:cs="Arial"/>
          <w:color w:val="000000" w:themeColor="text1"/>
          <w:sz w:val="20"/>
          <w:szCs w:val="20"/>
          <w:lang w:val="es-ES"/>
        </w:rPr>
      </w:pPr>
      <w:r w:rsidRPr="00F81743">
        <w:rPr>
          <w:rFonts w:ascii="Verdana" w:eastAsia="Calibri" w:hAnsi="Verdana" w:cs="Arial"/>
          <w:color w:val="000000" w:themeColor="text1"/>
          <w:sz w:val="20"/>
          <w:szCs w:val="20"/>
          <w:lang w:val="es-ES"/>
        </w:rPr>
        <w:t xml:space="preserve">El artículo 23 de la Ley 2069 de 2020, para efectos de la aplicación de su contenido, asimila las cooperativas y las </w:t>
      </w:r>
      <w:r w:rsidRPr="00F81743">
        <w:rPr>
          <w:rFonts w:ascii="Verdana" w:eastAsia="Calibri" w:hAnsi="Verdana" w:cs="Arial"/>
          <w:i/>
          <w:iCs/>
          <w:color w:val="000000" w:themeColor="text1"/>
          <w:sz w:val="20"/>
          <w:szCs w:val="20"/>
          <w:lang w:val="es-ES"/>
        </w:rPr>
        <w:t>demás entidades de economía solidaria</w:t>
      </w:r>
      <w:r w:rsidRPr="00F81743">
        <w:rPr>
          <w:rFonts w:ascii="Verdana" w:eastAsia="Calibri" w:hAnsi="Verdana" w:cs="Arial"/>
          <w:color w:val="000000" w:themeColor="text1"/>
          <w:sz w:val="20"/>
          <w:szCs w:val="20"/>
          <w:lang w:val="es-ES"/>
        </w:rPr>
        <w:t xml:space="preserve"> a empresas –dentro de las cuales se encuentran las asociaciones mutualistas–, disponiendo, además, que estas deberán ser clasificadas como </w:t>
      </w:r>
      <w:proofErr w:type="spellStart"/>
      <w:r w:rsidRPr="00F81743">
        <w:rPr>
          <w:rFonts w:ascii="Verdana" w:eastAsia="Calibri" w:hAnsi="Verdana" w:cs="Arial"/>
          <w:color w:val="000000" w:themeColor="text1"/>
          <w:sz w:val="20"/>
          <w:szCs w:val="20"/>
          <w:lang w:val="es-ES"/>
        </w:rPr>
        <w:t>Mipymes</w:t>
      </w:r>
      <w:proofErr w:type="spellEnd"/>
      <w:r w:rsidRPr="00F81743">
        <w:rPr>
          <w:rFonts w:ascii="Verdana" w:eastAsia="Calibri" w:hAnsi="Verdana" w:cs="Arial"/>
          <w:color w:val="000000" w:themeColor="text1"/>
          <w:sz w:val="20"/>
          <w:szCs w:val="20"/>
          <w:lang w:val="es-ES"/>
        </w:rPr>
        <w:t>, de conformidad con el artículo 2 de la Ley 590 de 2000 y el Decreto 957 de 2019</w:t>
      </w:r>
      <w:r w:rsidRPr="00F81743">
        <w:rPr>
          <w:rFonts w:ascii="Verdana" w:eastAsia="Calibri" w:hAnsi="Verdana" w:cs="Arial"/>
          <w:color w:val="000000" w:themeColor="text1"/>
          <w:sz w:val="20"/>
          <w:szCs w:val="20"/>
          <w:lang w:val="es-ES"/>
        </w:rPr>
        <w:t xml:space="preserve">. </w:t>
      </w:r>
    </w:p>
    <w:p w14:paraId="7E6271D3" w14:textId="4E46D749" w:rsidR="00F81743" w:rsidRPr="00F81743" w:rsidRDefault="00F81743" w:rsidP="00F81743">
      <w:pPr>
        <w:jc w:val="both"/>
        <w:rPr>
          <w:rFonts w:ascii="Verdana" w:hAnsi="Verdana" w:cs="Arial"/>
          <w:b/>
          <w:bCs/>
          <w:sz w:val="20"/>
          <w:szCs w:val="20"/>
          <w:lang w:val="es-ES"/>
        </w:rPr>
      </w:pPr>
      <w:r w:rsidRPr="00F81743">
        <w:rPr>
          <w:rFonts w:ascii="Verdana" w:eastAsia="Calibri" w:hAnsi="Verdana" w:cs="Arial"/>
          <w:color w:val="000000" w:themeColor="text1"/>
          <w:sz w:val="20"/>
          <w:szCs w:val="20"/>
          <w:lang w:val="es-ES"/>
        </w:rPr>
        <w:t>[…</w:t>
      </w:r>
      <w:r>
        <w:rPr>
          <w:rFonts w:ascii="Verdana" w:eastAsia="Calibri" w:hAnsi="Verdana" w:cs="Arial"/>
          <w:color w:val="000000" w:themeColor="text1"/>
          <w:sz w:val="20"/>
          <w:szCs w:val="20"/>
          <w:lang w:val="es-ES"/>
        </w:rPr>
        <w:t>]</w:t>
      </w:r>
      <w:r w:rsidRPr="00F81743">
        <w:rPr>
          <w:rFonts w:ascii="Verdana" w:eastAsia="Calibri" w:hAnsi="Verdana" w:cs="Arial"/>
          <w:color w:val="000000" w:themeColor="text1"/>
          <w:sz w:val="20"/>
          <w:szCs w:val="20"/>
          <w:lang w:val="es-ES"/>
        </w:rPr>
        <w:t xml:space="preserve"> </w:t>
      </w:r>
      <w:r w:rsidRPr="00F81743">
        <w:rPr>
          <w:rFonts w:ascii="Verdana" w:eastAsia="Calibri" w:hAnsi="Verdana" w:cs="Arial"/>
          <w:color w:val="000000" w:themeColor="text1"/>
          <w:sz w:val="20"/>
          <w:szCs w:val="20"/>
          <w:lang w:val="es-ES"/>
        </w:rPr>
        <w:t xml:space="preserve">Es necesario mencionar que la asimilación dispuesta por el artículo 23 </w:t>
      </w:r>
      <w:r w:rsidRPr="00F81743">
        <w:rPr>
          <w:rFonts w:ascii="Verdana" w:eastAsia="Calibri" w:hAnsi="Verdana" w:cs="Arial"/>
          <w:i/>
          <w:iCs/>
          <w:color w:val="000000" w:themeColor="text1"/>
          <w:sz w:val="20"/>
          <w:szCs w:val="20"/>
          <w:lang w:val="es-ES"/>
        </w:rPr>
        <w:t xml:space="preserve">ibidem </w:t>
      </w:r>
      <w:r w:rsidRPr="00F81743">
        <w:rPr>
          <w:rFonts w:ascii="Verdana" w:eastAsia="Calibri" w:hAnsi="Verdana" w:cs="Arial"/>
          <w:color w:val="000000" w:themeColor="text1"/>
          <w:sz w:val="20"/>
          <w:szCs w:val="20"/>
          <w:lang w:val="es-ES"/>
        </w:rPr>
        <w:t>no implica una alteración sustantiva de la naturaleza jurídica de las asociaciones mutualistas, las cooperativas y las empresas de economía solidaria, concebidas por la ley como entidades sin ánimo de lucro, toda vez que tal asimilación está circunscrita a la aplicación de las materias reguladas por la Ley 2069 de 2020.</w:t>
      </w:r>
    </w:p>
    <w:p w14:paraId="3D8A7B72" w14:textId="00175230" w:rsidR="00F81743" w:rsidRPr="00F81743" w:rsidRDefault="00F81743" w:rsidP="004D3779">
      <w:pPr>
        <w:spacing w:after="120" w:line="276" w:lineRule="auto"/>
        <w:jc w:val="both"/>
        <w:rPr>
          <w:rFonts w:ascii="Verdana" w:hAnsi="Verdana" w:cs="Arial"/>
          <w:lang w:val="es-ES"/>
        </w:rPr>
      </w:pPr>
      <w:r>
        <w:rPr>
          <w:rFonts w:ascii="Verdana" w:hAnsi="Verdana" w:cs="Arial"/>
          <w:b/>
          <w:bCs/>
          <w:sz w:val="20"/>
          <w:szCs w:val="20"/>
          <w:lang w:val="es-ES"/>
        </w:rPr>
        <w:t>ENTIDADES SIN ÁNIMO DE LUCRO</w:t>
      </w:r>
      <w:r>
        <w:rPr>
          <w:rFonts w:ascii="Verdana" w:hAnsi="Verdana" w:cs="Arial"/>
          <w:b/>
          <w:bCs/>
          <w:sz w:val="20"/>
          <w:szCs w:val="20"/>
          <w:lang w:val="es-ES"/>
        </w:rPr>
        <w:t xml:space="preserve"> – Emprendimiento y empresas de mujeres – Criterios diferenciales - </w:t>
      </w:r>
    </w:p>
    <w:p w14:paraId="78A95A94" w14:textId="5FDDF5FF" w:rsidR="00F81743" w:rsidRPr="00F81743" w:rsidRDefault="00F81743" w:rsidP="00F81743">
      <w:pPr>
        <w:spacing w:after="120" w:line="276" w:lineRule="auto"/>
        <w:jc w:val="both"/>
        <w:rPr>
          <w:rFonts w:ascii="Verdana" w:eastAsia="Calibri" w:hAnsi="Verdana" w:cs="Arial"/>
          <w:sz w:val="20"/>
          <w:szCs w:val="20"/>
          <w:lang w:val="es-ES_tradnl"/>
        </w:rPr>
      </w:pPr>
      <w:r w:rsidRPr="00F81743">
        <w:rPr>
          <w:rFonts w:ascii="Verdana" w:eastAsia="Calibri" w:hAnsi="Verdana" w:cs="Arial"/>
          <w:sz w:val="20"/>
          <w:szCs w:val="20"/>
          <w:lang w:val="es-ES_tradnl"/>
        </w:rPr>
        <w:t xml:space="preserve">[…] </w:t>
      </w:r>
      <w:r w:rsidRPr="00F81743">
        <w:rPr>
          <w:rFonts w:ascii="Verdana" w:eastAsia="Calibri" w:hAnsi="Verdana" w:cs="Arial"/>
          <w:sz w:val="20"/>
          <w:szCs w:val="20"/>
          <w:lang w:val="es-ES_tradnl"/>
        </w:rPr>
        <w:t xml:space="preserve">para efectos de la aplicación de los criterios diferenciales en el Sistema de Compras Públicas en los términos del artículo 32 de la Ley 2069 de 2020, se considerarán emprendimientos o empresas de mujeres las personas jurídicas o naturales que cumplan alguno de los cuatro (4) supuestos de hecho previstos en el artículo </w:t>
      </w:r>
      <w:r w:rsidRPr="00F81743">
        <w:rPr>
          <w:rStyle w:val="normaltextrun"/>
          <w:rFonts w:ascii="Verdana" w:hAnsi="Verdana" w:cs="Arial"/>
          <w:color w:val="000000"/>
          <w:sz w:val="20"/>
          <w:szCs w:val="20"/>
          <w:shd w:val="clear" w:color="auto" w:fill="FFFFFF"/>
        </w:rPr>
        <w:t xml:space="preserve">2.2.1.2.4.2.14 del Decreto 1082 de 2015 </w:t>
      </w:r>
      <w:r w:rsidRPr="00F81743">
        <w:rPr>
          <w:rFonts w:ascii="Verdana" w:eastAsia="Calibri" w:hAnsi="Verdana" w:cs="Arial"/>
          <w:sz w:val="20"/>
          <w:szCs w:val="20"/>
          <w:lang w:val="es-ES_tradnl"/>
        </w:rPr>
        <w:t>y los acrediten con los documentos previstos para ello.</w:t>
      </w:r>
    </w:p>
    <w:p w14:paraId="7D68D9CC" w14:textId="1404DD46" w:rsidR="004D3779" w:rsidRPr="00F81743" w:rsidRDefault="00F81743" w:rsidP="00F81743">
      <w:pPr>
        <w:contextualSpacing/>
        <w:jc w:val="both"/>
        <w:rPr>
          <w:rFonts w:ascii="Verdana" w:eastAsia="Arial" w:hAnsi="Verdana" w:cs="Arial"/>
          <w:b/>
          <w:bCs/>
          <w:sz w:val="20"/>
          <w:szCs w:val="20"/>
          <w:lang w:val="es-ES"/>
        </w:rPr>
      </w:pPr>
      <w:r w:rsidRPr="00F81743">
        <w:rPr>
          <w:rFonts w:ascii="Verdana" w:hAnsi="Verdana" w:cs="Arial"/>
          <w:kern w:val="2"/>
          <w:sz w:val="20"/>
          <w:szCs w:val="20"/>
          <w14:ligatures w14:val="standardContextual"/>
        </w:rPr>
        <w:t>Como se observa los numerales 1 y 2 se refieren a empresas y, tal y como se expuesto ampliamente en el presente concepto, las ESAL no pueden considerarse en la categoría de empresas.</w:t>
      </w:r>
    </w:p>
    <w:p w14:paraId="41B47890" w14:textId="77777777" w:rsidR="008C7242" w:rsidRDefault="008C7242" w:rsidP="008C7242">
      <w:pPr>
        <w:spacing w:after="0" w:line="240" w:lineRule="auto"/>
        <w:jc w:val="both"/>
        <w:rPr>
          <w:rFonts w:ascii="Verdana" w:eastAsia="Arial" w:hAnsi="Verdana" w:cs="Arial"/>
          <w:b/>
          <w:bCs/>
          <w:sz w:val="20"/>
          <w:szCs w:val="20"/>
          <w:lang w:val="es-ES"/>
        </w:rPr>
      </w:pPr>
    </w:p>
    <w:p w14:paraId="39E96480" w14:textId="7CDCE7C5" w:rsidR="00F81743" w:rsidRPr="00F81743" w:rsidRDefault="00F81743" w:rsidP="00F81743">
      <w:pPr>
        <w:spacing w:after="120" w:line="276" w:lineRule="auto"/>
        <w:jc w:val="both"/>
        <w:rPr>
          <w:rFonts w:ascii="Verdana" w:hAnsi="Verdana" w:cs="Arial"/>
          <w:kern w:val="2"/>
          <w:sz w:val="20"/>
          <w:szCs w:val="20"/>
          <w14:ligatures w14:val="standardContextual"/>
        </w:rPr>
      </w:pPr>
      <w:r w:rsidRPr="00F81743">
        <w:rPr>
          <w:rFonts w:ascii="Verdana" w:hAnsi="Verdana" w:cs="Arial"/>
          <w:kern w:val="2"/>
          <w:sz w:val="20"/>
          <w:szCs w:val="20"/>
          <w14:ligatures w14:val="standardContextual"/>
        </w:rPr>
        <w:t>El numeral 3 tampoco aplica al caso de las ESAL, en la medida que este numeral aplica para personas naturales y las ESAL son personas jurídicas</w:t>
      </w:r>
      <w:r w:rsidRPr="00F81743">
        <w:rPr>
          <w:rFonts w:ascii="Verdana" w:eastAsia="Calibri" w:hAnsi="Verdana" w:cs="Arial"/>
          <w:sz w:val="20"/>
          <w:szCs w:val="20"/>
          <w:lang w:val="es-ES_tradnl" w:eastAsia="es-ES_tradnl"/>
        </w:rPr>
        <w:t xml:space="preserve"> que se constituyen por la voluntad de asociación o creación de otras personas (naturales o jurídicas) para realizar actividades en beneficio de los asociados o de terceras personas o de la comunidad en general y no persiguen el reparto de utilidades entre sus miembros. </w:t>
      </w:r>
    </w:p>
    <w:p w14:paraId="43F46421" w14:textId="77777777" w:rsidR="00F81743" w:rsidRPr="00F81743" w:rsidRDefault="00F81743" w:rsidP="00F81743">
      <w:pPr>
        <w:spacing w:after="120" w:line="276" w:lineRule="auto"/>
        <w:jc w:val="both"/>
        <w:rPr>
          <w:rFonts w:ascii="Verdana" w:eastAsia="Calibri" w:hAnsi="Verdana" w:cs="Arial"/>
          <w:bCs/>
          <w:color w:val="000000"/>
          <w:kern w:val="2"/>
          <w:sz w:val="20"/>
          <w:szCs w:val="20"/>
          <w:lang w:val="es-ES" w:eastAsia="es-ES_tradnl" w:bidi="es-ES"/>
          <w14:ligatures w14:val="standardContextual"/>
        </w:rPr>
      </w:pPr>
      <w:r w:rsidRPr="00F81743">
        <w:rPr>
          <w:rFonts w:ascii="Verdana" w:hAnsi="Verdana" w:cs="Arial"/>
          <w:kern w:val="2"/>
          <w:sz w:val="20"/>
          <w:szCs w:val="20"/>
          <w14:ligatures w14:val="standardContextual"/>
        </w:rPr>
        <w:lastRenderedPageBreak/>
        <w:t xml:space="preserve">En ese orden, teniendo en cuenta la explicación dada sobre la incorporación de criterios diferenciales en los Procesos de Contratación, según la noción introducida por el Decreto 1860 de 2021 al Decreto 1082 de 2015, cuando las ESAL participen en un proceso de selección pública y pretendan los beneficios conferidos a los emprendimientos y empresas de mujeres, deberán acreditar la condición dispuesta en el numeral 4 del artículo </w:t>
      </w:r>
      <w:r w:rsidRPr="00F81743">
        <w:rPr>
          <w:rFonts w:ascii="Verdana" w:eastAsia="Calibri" w:hAnsi="Verdana" w:cs="Arial"/>
          <w:bCs/>
          <w:color w:val="000000"/>
          <w:kern w:val="2"/>
          <w:sz w:val="20"/>
          <w:szCs w:val="20"/>
          <w:lang w:val="es-ES" w:eastAsia="es-ES_tradnl" w:bidi="es-ES"/>
          <w14:ligatures w14:val="standardContextual"/>
        </w:rPr>
        <w:t xml:space="preserve">2.2.1.2.4.2.14 del Decreto 1082 de 2015. Esto es, acreditar su condición de cooperativa o asociación – tal y como ocurre en el caso de las </w:t>
      </w:r>
      <w:proofErr w:type="spellStart"/>
      <w:r w:rsidRPr="00F81743">
        <w:rPr>
          <w:rFonts w:ascii="Verdana" w:eastAsia="Calibri" w:hAnsi="Verdana" w:cs="Arial"/>
          <w:bCs/>
          <w:color w:val="000000"/>
          <w:kern w:val="2"/>
          <w:sz w:val="20"/>
          <w:szCs w:val="20"/>
          <w:lang w:val="es-ES" w:eastAsia="es-ES_tradnl" w:bidi="es-ES"/>
          <w14:ligatures w14:val="standardContextual"/>
        </w:rPr>
        <w:t>Mipymes</w:t>
      </w:r>
      <w:proofErr w:type="spellEnd"/>
      <w:r w:rsidRPr="00F81743">
        <w:rPr>
          <w:rFonts w:ascii="Verdana" w:eastAsia="Calibri" w:hAnsi="Verdana" w:cs="Arial"/>
          <w:bCs/>
          <w:color w:val="000000"/>
          <w:kern w:val="2"/>
          <w:sz w:val="20"/>
          <w:szCs w:val="20"/>
          <w:lang w:val="es-ES" w:eastAsia="es-ES_tradnl" w:bidi="es-ES"/>
          <w14:ligatures w14:val="standardContextual"/>
        </w:rPr>
        <w:t xml:space="preserve"> –. Es decir, que no todas las ESAL podrán beneficiarse de los criterios diferenciales a favor de las empresas y emprendimientos de mujeres, sino solo aquellas que tengan esta naturaleza. </w:t>
      </w:r>
    </w:p>
    <w:p w14:paraId="2B8C2162" w14:textId="77777777" w:rsidR="00F81743" w:rsidRPr="00F81743" w:rsidRDefault="00F81743" w:rsidP="002455C2">
      <w:pPr>
        <w:contextualSpacing/>
        <w:jc w:val="both"/>
        <w:rPr>
          <w:rFonts w:ascii="Verdana" w:eastAsia="Arial" w:hAnsi="Verdana" w:cs="Arial"/>
          <w:b/>
          <w:bCs/>
          <w:lang w:val="es-ES"/>
        </w:rPr>
      </w:pPr>
    </w:p>
    <w:p w14:paraId="05C81A55" w14:textId="77777777" w:rsidR="004D3779" w:rsidRPr="004D3779" w:rsidRDefault="004D3779" w:rsidP="002455C2">
      <w:pPr>
        <w:contextualSpacing/>
        <w:jc w:val="both"/>
        <w:rPr>
          <w:rFonts w:ascii="Verdana" w:hAnsi="Verdana" w:cs="Arial"/>
          <w:b/>
          <w:bCs/>
          <w:lang w:val="es-ES"/>
        </w:rPr>
      </w:pPr>
    </w:p>
    <w:p w14:paraId="0CFC66C3" w14:textId="77777777" w:rsidR="004D3779" w:rsidRDefault="004D3779" w:rsidP="002455C2">
      <w:pPr>
        <w:contextualSpacing/>
        <w:jc w:val="both"/>
        <w:rPr>
          <w:rFonts w:ascii="Verdana" w:eastAsia="Arial" w:hAnsi="Verdana" w:cs="Arial"/>
          <w:lang w:eastAsia="es-CO"/>
        </w:rPr>
      </w:pPr>
    </w:p>
    <w:p w14:paraId="334E8E37" w14:textId="77777777" w:rsidR="00C51BB1" w:rsidRDefault="00C51BB1" w:rsidP="002455C2">
      <w:pPr>
        <w:contextualSpacing/>
        <w:jc w:val="both"/>
        <w:rPr>
          <w:rFonts w:ascii="Verdana" w:eastAsia="Arial" w:hAnsi="Verdana" w:cs="Arial"/>
          <w:lang w:eastAsia="es-CO"/>
        </w:rPr>
      </w:pPr>
    </w:p>
    <w:p w14:paraId="48483690" w14:textId="77777777" w:rsidR="00C51BB1" w:rsidRDefault="00C51BB1" w:rsidP="002455C2">
      <w:pPr>
        <w:contextualSpacing/>
        <w:jc w:val="both"/>
        <w:rPr>
          <w:rFonts w:ascii="Verdana" w:eastAsia="Arial" w:hAnsi="Verdana" w:cs="Arial"/>
          <w:lang w:eastAsia="es-CO"/>
        </w:rPr>
      </w:pPr>
    </w:p>
    <w:p w14:paraId="046A5702" w14:textId="77777777" w:rsidR="00C51BB1" w:rsidRDefault="00C51BB1" w:rsidP="002455C2">
      <w:pPr>
        <w:contextualSpacing/>
        <w:jc w:val="both"/>
        <w:rPr>
          <w:rFonts w:ascii="Verdana" w:eastAsia="Arial" w:hAnsi="Verdana" w:cs="Arial"/>
          <w:lang w:eastAsia="es-CO"/>
        </w:rPr>
      </w:pPr>
    </w:p>
    <w:p w14:paraId="59D56EEE" w14:textId="113F9683" w:rsidR="002455C2" w:rsidRPr="002455C2" w:rsidRDefault="002455C2" w:rsidP="00206232">
      <w:pPr>
        <w:contextualSpacing/>
        <w:jc w:val="both"/>
        <w:rPr>
          <w:rFonts w:ascii="Verdana" w:eastAsia="Calibri" w:hAnsi="Verdana" w:cs="Arial"/>
          <w:lang w:val="es-ES_tradnl" w:eastAsia="es-ES_tradnl"/>
        </w:rPr>
      </w:pPr>
    </w:p>
    <w:p w14:paraId="547125AF" w14:textId="77777777" w:rsidR="00206232" w:rsidRPr="00206232" w:rsidRDefault="00206232" w:rsidP="00206232">
      <w:pPr>
        <w:contextualSpacing/>
        <w:jc w:val="both"/>
        <w:rPr>
          <w:rFonts w:ascii="Arial" w:eastAsia="Calibri" w:hAnsi="Arial" w:cs="Arial"/>
          <w:b/>
          <w:lang w:val="es-ES_tradnl" w:eastAsia="es-ES_tradnl"/>
        </w:rPr>
      </w:pPr>
    </w:p>
    <w:p w14:paraId="5E1B26EE" w14:textId="77777777" w:rsidR="00206232" w:rsidRDefault="00206232" w:rsidP="00E245AB">
      <w:pPr>
        <w:spacing w:after="0"/>
        <w:rPr>
          <w:rFonts w:ascii="Arial" w:eastAsia="Calibri" w:hAnsi="Arial" w:cs="Arial"/>
          <w:bCs/>
          <w:lang w:val="es-ES_tradnl" w:eastAsia="es-ES_tradnl"/>
        </w:rPr>
      </w:pPr>
    </w:p>
    <w:p w14:paraId="14CDF1EB" w14:textId="77777777" w:rsidR="008C7242" w:rsidRDefault="008C7242" w:rsidP="00E245AB">
      <w:pPr>
        <w:spacing w:after="0"/>
        <w:rPr>
          <w:rFonts w:ascii="Arial" w:eastAsia="Calibri" w:hAnsi="Arial" w:cs="Arial"/>
          <w:bCs/>
          <w:lang w:val="es-ES_tradnl" w:eastAsia="es-ES_tradnl"/>
        </w:rPr>
      </w:pPr>
    </w:p>
    <w:p w14:paraId="4AE76F5D" w14:textId="77777777" w:rsidR="008C7242" w:rsidRDefault="008C7242" w:rsidP="00E245AB">
      <w:pPr>
        <w:spacing w:after="0"/>
        <w:rPr>
          <w:rFonts w:ascii="Arial" w:eastAsia="Calibri" w:hAnsi="Arial" w:cs="Arial"/>
          <w:bCs/>
          <w:lang w:val="es-ES_tradnl" w:eastAsia="es-ES_tradnl"/>
        </w:rPr>
      </w:pPr>
    </w:p>
    <w:p w14:paraId="693CD05E" w14:textId="77777777" w:rsidR="008C7242" w:rsidRDefault="008C7242" w:rsidP="00E245AB">
      <w:pPr>
        <w:spacing w:after="0"/>
        <w:rPr>
          <w:rFonts w:ascii="Arial" w:eastAsia="Calibri" w:hAnsi="Arial" w:cs="Arial"/>
          <w:bCs/>
          <w:lang w:val="es-ES_tradnl" w:eastAsia="es-ES_tradnl"/>
        </w:rPr>
      </w:pPr>
    </w:p>
    <w:p w14:paraId="2C0F4433" w14:textId="77777777" w:rsidR="008C7242" w:rsidRDefault="008C7242" w:rsidP="00E245AB">
      <w:pPr>
        <w:spacing w:after="0"/>
        <w:rPr>
          <w:rFonts w:ascii="Arial" w:eastAsia="Calibri" w:hAnsi="Arial" w:cs="Arial"/>
          <w:bCs/>
          <w:lang w:val="es-ES_tradnl" w:eastAsia="es-ES_tradnl"/>
        </w:rPr>
      </w:pPr>
    </w:p>
    <w:p w14:paraId="15DE4CE9" w14:textId="77777777" w:rsidR="008C7242" w:rsidRDefault="008C7242" w:rsidP="00E245AB">
      <w:pPr>
        <w:spacing w:after="0"/>
        <w:rPr>
          <w:rFonts w:ascii="Arial" w:eastAsia="Calibri" w:hAnsi="Arial" w:cs="Arial"/>
          <w:bCs/>
          <w:lang w:val="es-ES_tradnl" w:eastAsia="es-ES_tradnl"/>
        </w:rPr>
      </w:pPr>
    </w:p>
    <w:p w14:paraId="09ED8F25" w14:textId="77777777" w:rsidR="008C7242" w:rsidRDefault="008C7242" w:rsidP="00E245AB">
      <w:pPr>
        <w:spacing w:after="0"/>
        <w:rPr>
          <w:rFonts w:ascii="Arial" w:eastAsia="Calibri" w:hAnsi="Arial" w:cs="Arial"/>
          <w:bCs/>
          <w:lang w:val="es-ES_tradnl" w:eastAsia="es-ES_tradnl"/>
        </w:rPr>
      </w:pPr>
    </w:p>
    <w:p w14:paraId="05F18C7A" w14:textId="77777777" w:rsidR="008C7242" w:rsidRDefault="008C7242" w:rsidP="00E245AB">
      <w:pPr>
        <w:spacing w:after="0"/>
        <w:rPr>
          <w:rFonts w:ascii="Arial" w:eastAsia="Calibri" w:hAnsi="Arial" w:cs="Arial"/>
          <w:bCs/>
          <w:lang w:val="es-ES_tradnl" w:eastAsia="es-ES_tradnl"/>
        </w:rPr>
      </w:pPr>
    </w:p>
    <w:p w14:paraId="01EAFC33" w14:textId="77777777" w:rsidR="008C7242" w:rsidRDefault="008C7242" w:rsidP="00E245AB">
      <w:pPr>
        <w:spacing w:after="0"/>
        <w:rPr>
          <w:rFonts w:ascii="Arial" w:eastAsia="Calibri" w:hAnsi="Arial" w:cs="Arial"/>
          <w:bCs/>
          <w:lang w:val="es-ES_tradnl" w:eastAsia="es-ES_tradnl"/>
        </w:rPr>
      </w:pPr>
    </w:p>
    <w:p w14:paraId="772116A4" w14:textId="77777777" w:rsidR="008C7242" w:rsidRDefault="008C7242" w:rsidP="00E245AB">
      <w:pPr>
        <w:spacing w:after="0"/>
        <w:rPr>
          <w:rFonts w:ascii="Arial" w:eastAsia="Calibri" w:hAnsi="Arial" w:cs="Arial"/>
          <w:bCs/>
          <w:lang w:val="es-ES_tradnl" w:eastAsia="es-ES_tradnl"/>
        </w:rPr>
      </w:pPr>
    </w:p>
    <w:p w14:paraId="68633F70" w14:textId="77777777" w:rsidR="008C7242" w:rsidRDefault="008C7242" w:rsidP="00E245AB">
      <w:pPr>
        <w:spacing w:after="0"/>
        <w:rPr>
          <w:rFonts w:ascii="Arial" w:eastAsia="Calibri" w:hAnsi="Arial" w:cs="Arial"/>
          <w:bCs/>
          <w:lang w:val="es-ES_tradnl" w:eastAsia="es-ES_tradnl"/>
        </w:rPr>
      </w:pPr>
    </w:p>
    <w:p w14:paraId="1A8259A3" w14:textId="77777777" w:rsidR="008C7242" w:rsidRDefault="008C7242" w:rsidP="00E245AB">
      <w:pPr>
        <w:spacing w:after="0"/>
        <w:rPr>
          <w:rFonts w:ascii="Arial" w:eastAsia="Calibri" w:hAnsi="Arial" w:cs="Arial"/>
          <w:bCs/>
          <w:lang w:val="es-ES_tradnl" w:eastAsia="es-ES_tradnl"/>
        </w:rPr>
      </w:pPr>
    </w:p>
    <w:p w14:paraId="6D8AB7CE" w14:textId="77777777" w:rsidR="008C7242" w:rsidRDefault="008C7242" w:rsidP="00E245AB">
      <w:pPr>
        <w:spacing w:after="0"/>
        <w:rPr>
          <w:rFonts w:ascii="Arial" w:eastAsia="Calibri" w:hAnsi="Arial" w:cs="Arial"/>
          <w:bCs/>
          <w:lang w:val="es-ES_tradnl" w:eastAsia="es-ES_tradnl"/>
        </w:rPr>
      </w:pPr>
    </w:p>
    <w:p w14:paraId="713CA207" w14:textId="77777777" w:rsidR="008C7242" w:rsidRDefault="008C7242" w:rsidP="00E245AB">
      <w:pPr>
        <w:spacing w:after="0"/>
        <w:rPr>
          <w:rFonts w:ascii="Verdana" w:hAnsi="Verdana"/>
        </w:rPr>
      </w:pPr>
    </w:p>
    <w:p w14:paraId="79BA4E1B" w14:textId="77777777" w:rsidR="00206232" w:rsidRDefault="00206232" w:rsidP="00E245AB">
      <w:pPr>
        <w:spacing w:after="0"/>
        <w:rPr>
          <w:rFonts w:ascii="Verdana" w:hAnsi="Verdana"/>
        </w:rPr>
      </w:pPr>
    </w:p>
    <w:p w14:paraId="45A80415" w14:textId="77777777" w:rsidR="00206232" w:rsidRDefault="00206232" w:rsidP="00E245AB">
      <w:pPr>
        <w:spacing w:after="0"/>
        <w:rPr>
          <w:rFonts w:ascii="Verdana" w:hAnsi="Verdana"/>
        </w:rPr>
      </w:pPr>
    </w:p>
    <w:p w14:paraId="08488D07" w14:textId="77777777" w:rsidR="00206232" w:rsidRDefault="00206232" w:rsidP="00E245AB">
      <w:pPr>
        <w:spacing w:after="0"/>
        <w:rPr>
          <w:rFonts w:ascii="Verdana" w:hAnsi="Verdana"/>
        </w:rPr>
      </w:pPr>
    </w:p>
    <w:p w14:paraId="3D73C84D" w14:textId="77777777" w:rsidR="00206232" w:rsidRDefault="00206232" w:rsidP="00E245AB">
      <w:pPr>
        <w:spacing w:after="0"/>
        <w:rPr>
          <w:rFonts w:ascii="Verdana" w:hAnsi="Verdana"/>
        </w:rPr>
      </w:pPr>
    </w:p>
    <w:p w14:paraId="015E9DDD" w14:textId="77777777" w:rsidR="00206232" w:rsidRDefault="00206232" w:rsidP="00E245AB">
      <w:pPr>
        <w:spacing w:after="0"/>
        <w:rPr>
          <w:rFonts w:ascii="Verdana" w:hAnsi="Verdana"/>
        </w:rPr>
      </w:pPr>
    </w:p>
    <w:p w14:paraId="578E81F2" w14:textId="77777777" w:rsidR="00206232" w:rsidRDefault="00206232" w:rsidP="00E245AB">
      <w:pPr>
        <w:spacing w:after="0"/>
        <w:rPr>
          <w:rFonts w:ascii="Verdana" w:hAnsi="Verdana"/>
        </w:rPr>
      </w:pPr>
    </w:p>
    <w:p w14:paraId="7848ED13" w14:textId="77777777" w:rsidR="00206232" w:rsidRDefault="00206232" w:rsidP="00E245AB">
      <w:pPr>
        <w:spacing w:after="0"/>
        <w:rPr>
          <w:rFonts w:ascii="Verdana" w:hAnsi="Verdana"/>
        </w:rPr>
      </w:pPr>
    </w:p>
    <w:p w14:paraId="65C8019B" w14:textId="77777777" w:rsidR="00206232" w:rsidRDefault="00206232" w:rsidP="00E245AB">
      <w:pPr>
        <w:spacing w:after="0"/>
        <w:rPr>
          <w:rFonts w:ascii="Verdana" w:hAnsi="Verdana"/>
        </w:rPr>
      </w:pPr>
    </w:p>
    <w:p w14:paraId="253BE159" w14:textId="77777777" w:rsidR="00206232" w:rsidRDefault="00206232" w:rsidP="00E245AB">
      <w:pPr>
        <w:spacing w:after="0"/>
        <w:rPr>
          <w:rFonts w:ascii="Verdana" w:hAnsi="Verdana"/>
        </w:rPr>
      </w:pPr>
    </w:p>
    <w:p w14:paraId="26514898" w14:textId="44F279EA" w:rsidR="00E245AB" w:rsidRPr="00995CAD" w:rsidRDefault="00E245AB" w:rsidP="00E245AB">
      <w:pPr>
        <w:spacing w:after="0"/>
        <w:rPr>
          <w:rFonts w:ascii="Verdana" w:hAnsi="Verdana"/>
        </w:rPr>
      </w:pPr>
      <w:r w:rsidRPr="00995CAD">
        <w:rPr>
          <w:rFonts w:ascii="Verdana" w:hAnsi="Verdana"/>
        </w:rPr>
        <w:lastRenderedPageBreak/>
        <w:t xml:space="preserve">Bogotá D.C., </w:t>
      </w:r>
      <w:r w:rsidR="00206232">
        <w:rPr>
          <w:rFonts w:ascii="Verdana" w:hAnsi="Verdana"/>
        </w:rPr>
        <w:t xml:space="preserve">11 de marzo de 2025 </w:t>
      </w:r>
    </w:p>
    <w:p w14:paraId="21DCF144" w14:textId="77777777" w:rsidR="00206232" w:rsidRDefault="00206232" w:rsidP="00A406A2">
      <w:pPr>
        <w:spacing w:after="0" w:line="240" w:lineRule="auto"/>
        <w:jc w:val="both"/>
        <w:rPr>
          <w:rFonts w:ascii="Verdana" w:eastAsia="Calibri" w:hAnsi="Verdana" w:cs="Arial"/>
          <w:lang w:val="es-ES" w:eastAsia="es-ES"/>
        </w:rPr>
      </w:pPr>
    </w:p>
    <w:p w14:paraId="175ABBF3" w14:textId="7431497B" w:rsidR="00A406A2" w:rsidRPr="00995CAD" w:rsidRDefault="00A406A2" w:rsidP="00A406A2">
      <w:pPr>
        <w:spacing w:after="0" w:line="240" w:lineRule="auto"/>
        <w:jc w:val="both"/>
        <w:rPr>
          <w:rFonts w:ascii="Verdana" w:eastAsia="Calibri" w:hAnsi="Verdana" w:cs="Arial"/>
          <w:lang w:val="es-ES" w:eastAsia="es-ES"/>
        </w:rPr>
      </w:pPr>
      <w:r w:rsidRPr="00995CAD">
        <w:rPr>
          <w:rFonts w:ascii="Verdana" w:eastAsia="Calibri" w:hAnsi="Verdana" w:cs="Arial"/>
          <w:lang w:val="es-ES" w:eastAsia="es-ES"/>
        </w:rPr>
        <w:t>Señor</w:t>
      </w:r>
    </w:p>
    <w:p w14:paraId="0EE90CC2" w14:textId="77777777" w:rsidR="00A406A2" w:rsidRPr="00995CAD" w:rsidRDefault="00F67885" w:rsidP="00A406A2">
      <w:pPr>
        <w:spacing w:after="0" w:line="240" w:lineRule="auto"/>
        <w:rPr>
          <w:rFonts w:ascii="Verdana" w:eastAsia="Calibri" w:hAnsi="Verdana" w:cs="Arial"/>
          <w:b/>
          <w:lang w:val="es-ES_tradnl" w:eastAsia="es-ES_tradnl"/>
        </w:rPr>
      </w:pPr>
      <w:r w:rsidRPr="00995CAD">
        <w:rPr>
          <w:rFonts w:ascii="Verdana" w:eastAsia="Calibri" w:hAnsi="Verdana" w:cs="Arial"/>
          <w:b/>
          <w:lang w:val="es-ES_tradnl" w:eastAsia="es-ES_tradnl"/>
        </w:rPr>
        <w:t xml:space="preserve">Rubén Gómez Durán </w:t>
      </w:r>
    </w:p>
    <w:p w14:paraId="1D9B19CA" w14:textId="77777777" w:rsidR="00A406A2" w:rsidRPr="00995CAD" w:rsidRDefault="00A406A2" w:rsidP="00A406A2">
      <w:pPr>
        <w:spacing w:after="0" w:line="240" w:lineRule="auto"/>
        <w:rPr>
          <w:rFonts w:ascii="Verdana" w:hAnsi="Verdana"/>
        </w:rPr>
      </w:pPr>
      <w:hyperlink r:id="rId11" w:history="1">
        <w:r w:rsidRPr="00995CAD">
          <w:rPr>
            <w:rStyle w:val="Hipervnculo"/>
            <w:rFonts w:ascii="Verdana" w:hAnsi="Verdana"/>
          </w:rPr>
          <w:t>rubendgomezd@gmail.com</w:t>
        </w:r>
      </w:hyperlink>
    </w:p>
    <w:p w14:paraId="62390D68" w14:textId="7C1FFC7D" w:rsidR="00A406A2" w:rsidRPr="00995CAD" w:rsidRDefault="007F2BD7" w:rsidP="00A406A2">
      <w:pPr>
        <w:spacing w:after="0" w:line="240" w:lineRule="auto"/>
        <w:rPr>
          <w:rFonts w:ascii="Verdana" w:eastAsia="Calibri" w:hAnsi="Verdana" w:cs="Arial"/>
          <w:b/>
          <w:bCs/>
          <w:lang w:val="es-ES" w:eastAsia="es-ES"/>
        </w:rPr>
      </w:pPr>
      <w:r w:rsidRPr="00995CAD">
        <w:rPr>
          <w:rFonts w:ascii="Verdana" w:eastAsia="Calibri" w:hAnsi="Verdana" w:cs="Arial"/>
          <w:lang w:val="es-ES" w:eastAsia="es-ES"/>
        </w:rPr>
        <w:t>Ciudad</w:t>
      </w:r>
    </w:p>
    <w:p w14:paraId="41C4435F" w14:textId="77777777" w:rsidR="00A406A2" w:rsidRPr="00995CAD" w:rsidRDefault="00A406A2" w:rsidP="00A406A2">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A406A2" w:rsidRPr="00995CAD" w14:paraId="179D9A95" w14:textId="77777777" w:rsidTr="00274D6F">
        <w:trPr>
          <w:trHeight w:val="488"/>
        </w:trPr>
        <w:tc>
          <w:tcPr>
            <w:tcW w:w="2689" w:type="dxa"/>
          </w:tcPr>
          <w:p w14:paraId="68705180" w14:textId="77777777" w:rsidR="00A406A2" w:rsidRPr="00995CAD" w:rsidRDefault="00A406A2" w:rsidP="00274D6F">
            <w:pPr>
              <w:jc w:val="both"/>
              <w:rPr>
                <w:rFonts w:ascii="Verdana" w:eastAsia="Calibri" w:hAnsi="Verdana" w:cs="Arial"/>
                <w:b/>
                <w:bCs/>
                <w:color w:val="7030A0"/>
                <w:lang w:val="es-ES_tradnl" w:eastAsia="es-ES_tradnl"/>
              </w:rPr>
            </w:pPr>
          </w:p>
        </w:tc>
        <w:tc>
          <w:tcPr>
            <w:tcW w:w="6100" w:type="dxa"/>
            <w:shd w:val="clear" w:color="auto" w:fill="auto"/>
          </w:tcPr>
          <w:p w14:paraId="37F39B67" w14:textId="77777777" w:rsidR="00A406A2" w:rsidRPr="00995CAD" w:rsidRDefault="00A406A2" w:rsidP="00274D6F">
            <w:pPr>
              <w:jc w:val="both"/>
              <w:rPr>
                <w:rFonts w:ascii="Verdana" w:eastAsia="Calibri" w:hAnsi="Verdana" w:cs="Arial"/>
                <w:b/>
                <w:bCs/>
                <w:color w:val="7030A0"/>
                <w:lang w:val="es-ES" w:eastAsia="es-ES"/>
              </w:rPr>
            </w:pPr>
            <w:r w:rsidRPr="00995CAD">
              <w:rPr>
                <w:rFonts w:ascii="Verdana" w:eastAsia="Calibri" w:hAnsi="Verdana" w:cs="Arial"/>
                <w:b/>
                <w:bCs/>
                <w:lang w:val="es-ES" w:eastAsia="es-ES"/>
              </w:rPr>
              <w:t>Concepto C-115 de 2025</w:t>
            </w:r>
          </w:p>
        </w:tc>
      </w:tr>
      <w:tr w:rsidR="00A406A2" w:rsidRPr="00995CAD" w14:paraId="67D87B2C" w14:textId="77777777" w:rsidTr="00274D6F">
        <w:trPr>
          <w:trHeight w:val="884"/>
        </w:trPr>
        <w:tc>
          <w:tcPr>
            <w:tcW w:w="2689" w:type="dxa"/>
          </w:tcPr>
          <w:p w14:paraId="144009A4" w14:textId="77777777" w:rsidR="00A406A2" w:rsidRPr="00995CAD" w:rsidRDefault="00A406A2" w:rsidP="00274D6F">
            <w:pPr>
              <w:jc w:val="both"/>
              <w:rPr>
                <w:rFonts w:ascii="Verdana" w:eastAsia="Calibri" w:hAnsi="Verdana" w:cs="Arial"/>
                <w:color w:val="000000"/>
                <w:lang w:val="es-ES_tradnl" w:eastAsia="es-ES_tradnl"/>
              </w:rPr>
            </w:pPr>
            <w:r w:rsidRPr="00995CAD">
              <w:rPr>
                <w:rFonts w:ascii="Verdana" w:eastAsia="Calibri" w:hAnsi="Verdana" w:cs="Arial"/>
                <w:b/>
                <w:color w:val="000000"/>
                <w:lang w:val="es-ES_tradnl" w:eastAsia="es-ES_tradnl"/>
              </w:rPr>
              <w:t>Temas:</w:t>
            </w:r>
            <w:r w:rsidRPr="00995CAD">
              <w:rPr>
                <w:rFonts w:ascii="Verdana" w:eastAsia="Calibri" w:hAnsi="Verdana" w:cs="Arial"/>
                <w:color w:val="000000"/>
                <w:lang w:val="es-ES_tradnl" w:eastAsia="es-ES_tradnl"/>
              </w:rPr>
              <w:t xml:space="preserve">                   </w:t>
            </w:r>
          </w:p>
        </w:tc>
        <w:tc>
          <w:tcPr>
            <w:tcW w:w="6100" w:type="dxa"/>
            <w:shd w:val="clear" w:color="auto" w:fill="auto"/>
          </w:tcPr>
          <w:p w14:paraId="72CDD234" w14:textId="19EA1A9D" w:rsidR="00A406A2" w:rsidRPr="00995CAD" w:rsidRDefault="00F43A7A" w:rsidP="00274D6F">
            <w:pPr>
              <w:contextualSpacing/>
              <w:jc w:val="both"/>
              <w:rPr>
                <w:rFonts w:ascii="Verdana" w:hAnsi="Verdana"/>
              </w:rPr>
            </w:pPr>
            <w:r w:rsidRPr="00372D70">
              <w:rPr>
                <w:rFonts w:ascii="Arial" w:eastAsia="Calibri" w:hAnsi="Arial" w:cs="Arial"/>
                <w:bCs/>
                <w:lang w:val="es-ES_tradnl" w:eastAsia="es-ES_tradnl"/>
              </w:rPr>
              <w:t xml:space="preserve">ENTIDADES SIN ÁNIMO DE LUCRO – Naturaleza jurídica -Capacidad para contratar / </w:t>
            </w:r>
            <w:r w:rsidR="009B7331" w:rsidRPr="00372D70">
              <w:rPr>
                <w:rFonts w:ascii="Arial" w:eastAsia="Calibri" w:hAnsi="Arial" w:cs="Arial"/>
                <w:bCs/>
                <w:lang w:val="es-ES_tradnl" w:eastAsia="es-ES_tradnl"/>
              </w:rPr>
              <w:t xml:space="preserve">LEY 2069 DE 2021 – Criterios diferenciales – </w:t>
            </w:r>
            <w:proofErr w:type="spellStart"/>
            <w:r w:rsidR="009B7331" w:rsidRPr="00372D70">
              <w:rPr>
                <w:rFonts w:ascii="Arial" w:eastAsia="Calibri" w:hAnsi="Arial" w:cs="Arial"/>
                <w:bCs/>
                <w:lang w:val="es-ES_tradnl" w:eastAsia="es-ES_tradnl"/>
              </w:rPr>
              <w:t>Mipymes</w:t>
            </w:r>
            <w:proofErr w:type="spellEnd"/>
            <w:r w:rsidR="009B7331" w:rsidRPr="00372D70">
              <w:rPr>
                <w:rFonts w:ascii="Arial" w:eastAsia="Calibri" w:hAnsi="Arial" w:cs="Arial"/>
                <w:bCs/>
                <w:lang w:val="es-ES_tradnl" w:eastAsia="es-ES_tradnl"/>
              </w:rPr>
              <w:t xml:space="preserve"> </w:t>
            </w:r>
            <w:r w:rsidR="00B416B0" w:rsidRPr="00372D70">
              <w:rPr>
                <w:rFonts w:ascii="Arial" w:eastAsia="Calibri" w:hAnsi="Arial" w:cs="Arial"/>
                <w:bCs/>
                <w:lang w:val="es-ES_tradnl" w:eastAsia="es-ES_tradnl"/>
              </w:rPr>
              <w:t xml:space="preserve">/ LEY 2069 DE 2021 – Criterios diferenciales – Empresas y emprendimientos de mujeres </w:t>
            </w:r>
            <w:r w:rsidR="00A406A2" w:rsidRPr="00372D70">
              <w:rPr>
                <w:rFonts w:ascii="Verdana" w:hAnsi="Verdana"/>
              </w:rPr>
              <w:t>MIPYMES</w:t>
            </w:r>
            <w:r w:rsidR="00A406A2" w:rsidRPr="00372D70">
              <w:rPr>
                <w:rFonts w:ascii="Verdana" w:hAnsi="Verdana"/>
                <w:spacing w:val="-13"/>
              </w:rPr>
              <w:t xml:space="preserve"> </w:t>
            </w:r>
            <w:r w:rsidR="00A406A2" w:rsidRPr="00372D70">
              <w:rPr>
                <w:rFonts w:ascii="Verdana" w:hAnsi="Verdana"/>
              </w:rPr>
              <w:t>–</w:t>
            </w:r>
            <w:r w:rsidR="00A406A2" w:rsidRPr="00372D70">
              <w:rPr>
                <w:rFonts w:ascii="Verdana" w:hAnsi="Verdana"/>
                <w:spacing w:val="-13"/>
              </w:rPr>
              <w:t xml:space="preserve"> </w:t>
            </w:r>
            <w:r w:rsidR="00A406A2" w:rsidRPr="00372D70">
              <w:rPr>
                <w:rFonts w:ascii="Verdana" w:hAnsi="Verdana"/>
              </w:rPr>
              <w:t>Definición</w:t>
            </w:r>
            <w:r w:rsidR="00A406A2" w:rsidRPr="00372D70">
              <w:rPr>
                <w:rFonts w:ascii="Verdana" w:hAnsi="Verdana"/>
                <w:spacing w:val="-13"/>
              </w:rPr>
              <w:t xml:space="preserve"> </w:t>
            </w:r>
            <w:r w:rsidR="00B416B0" w:rsidRPr="00827EB9">
              <w:rPr>
                <w:rFonts w:ascii="Verdana" w:hAnsi="Verdana"/>
              </w:rPr>
              <w:t xml:space="preserve">– </w:t>
            </w:r>
            <w:r w:rsidR="00A406A2" w:rsidRPr="00372D70">
              <w:rPr>
                <w:rFonts w:ascii="Verdana" w:hAnsi="Verdana"/>
              </w:rPr>
              <w:t>ESAL</w:t>
            </w:r>
            <w:r w:rsidR="00B416B0" w:rsidRPr="00827EB9">
              <w:rPr>
                <w:rFonts w:ascii="Verdana" w:hAnsi="Verdana"/>
              </w:rPr>
              <w:t xml:space="preserve"> </w:t>
            </w:r>
            <w:r w:rsidR="00A406A2" w:rsidRPr="00372D70">
              <w:rPr>
                <w:rFonts w:ascii="Verdana" w:hAnsi="Verdana"/>
              </w:rPr>
              <w:t>–</w:t>
            </w:r>
            <w:r w:rsidR="00A406A2" w:rsidRPr="00372D70">
              <w:rPr>
                <w:rFonts w:ascii="Verdana" w:hAnsi="Verdana"/>
                <w:spacing w:val="37"/>
              </w:rPr>
              <w:t xml:space="preserve"> </w:t>
            </w:r>
            <w:r w:rsidR="00A406A2" w:rsidRPr="00372D70">
              <w:rPr>
                <w:rFonts w:ascii="Verdana" w:hAnsi="Verdana"/>
              </w:rPr>
              <w:t>Reparto</w:t>
            </w:r>
            <w:r w:rsidR="00A406A2" w:rsidRPr="00372D70">
              <w:rPr>
                <w:rFonts w:ascii="Verdana" w:hAnsi="Verdana"/>
                <w:spacing w:val="37"/>
              </w:rPr>
              <w:t xml:space="preserve"> </w:t>
            </w:r>
            <w:r w:rsidR="00A406A2" w:rsidRPr="00372D70">
              <w:rPr>
                <w:rFonts w:ascii="Verdana" w:hAnsi="Verdana"/>
              </w:rPr>
              <w:t>de</w:t>
            </w:r>
            <w:r w:rsidR="00A406A2" w:rsidRPr="00372D70">
              <w:rPr>
                <w:rFonts w:ascii="Verdana" w:hAnsi="Verdana"/>
                <w:spacing w:val="37"/>
              </w:rPr>
              <w:t xml:space="preserve"> </w:t>
            </w:r>
            <w:r w:rsidR="00A406A2" w:rsidRPr="00372D70">
              <w:rPr>
                <w:rFonts w:ascii="Verdana" w:hAnsi="Verdana"/>
              </w:rPr>
              <w:t>utilidades</w:t>
            </w:r>
            <w:r w:rsidR="00A406A2" w:rsidRPr="00372D70">
              <w:rPr>
                <w:rFonts w:ascii="Verdana" w:hAnsi="Verdana"/>
                <w:spacing w:val="37"/>
              </w:rPr>
              <w:t xml:space="preserve"> </w:t>
            </w:r>
            <w:r w:rsidR="00A406A2" w:rsidRPr="00372D70">
              <w:rPr>
                <w:rFonts w:ascii="Verdana" w:hAnsi="Verdana"/>
              </w:rPr>
              <w:t>–</w:t>
            </w:r>
            <w:r w:rsidR="00A406A2" w:rsidRPr="00372D70">
              <w:rPr>
                <w:rFonts w:ascii="Verdana" w:hAnsi="Verdana"/>
                <w:spacing w:val="37"/>
              </w:rPr>
              <w:t xml:space="preserve"> </w:t>
            </w:r>
            <w:r w:rsidR="00A406A2" w:rsidRPr="00372D70">
              <w:rPr>
                <w:rFonts w:ascii="Verdana" w:hAnsi="Verdana"/>
              </w:rPr>
              <w:t>Distinción</w:t>
            </w:r>
            <w:r w:rsidR="00A406A2" w:rsidRPr="00372D70">
              <w:rPr>
                <w:rFonts w:ascii="Verdana" w:hAnsi="Verdana"/>
                <w:spacing w:val="37"/>
              </w:rPr>
              <w:t xml:space="preserve"> </w:t>
            </w:r>
            <w:r w:rsidR="00A406A2" w:rsidRPr="00372D70">
              <w:rPr>
                <w:rFonts w:ascii="Verdana" w:hAnsi="Verdana"/>
              </w:rPr>
              <w:t>/</w:t>
            </w:r>
            <w:r w:rsidR="00A406A2" w:rsidRPr="00372D70">
              <w:rPr>
                <w:rFonts w:ascii="Verdana" w:hAnsi="Verdana"/>
                <w:spacing w:val="-59"/>
              </w:rPr>
              <w:t xml:space="preserve">   </w:t>
            </w:r>
            <w:r w:rsidR="00372D70" w:rsidRPr="00372D70">
              <w:rPr>
                <w:rFonts w:ascii="Verdana" w:hAnsi="Verdana"/>
              </w:rPr>
              <w:t>EMPRESAS Y EMPRENDIMIENTOS DE MUJERES – ESAL – Numeral 4</w:t>
            </w:r>
          </w:p>
          <w:p w14:paraId="77BEA54D" w14:textId="77777777" w:rsidR="00213974" w:rsidRPr="00995CAD" w:rsidRDefault="00213974" w:rsidP="00274D6F">
            <w:pPr>
              <w:contextualSpacing/>
              <w:jc w:val="both"/>
              <w:rPr>
                <w:rFonts w:ascii="Verdana" w:hAnsi="Verdana"/>
              </w:rPr>
            </w:pPr>
          </w:p>
        </w:tc>
      </w:tr>
      <w:tr w:rsidR="00A406A2" w:rsidRPr="00995CAD" w14:paraId="0E003586" w14:textId="77777777" w:rsidTr="00274D6F">
        <w:tc>
          <w:tcPr>
            <w:tcW w:w="2689" w:type="dxa"/>
          </w:tcPr>
          <w:p w14:paraId="76FA3F17" w14:textId="77777777" w:rsidR="00A406A2" w:rsidRPr="00995CAD" w:rsidRDefault="00A406A2" w:rsidP="00274D6F">
            <w:pPr>
              <w:jc w:val="both"/>
              <w:rPr>
                <w:rFonts w:ascii="Verdana" w:eastAsia="Calibri" w:hAnsi="Verdana" w:cs="Arial"/>
                <w:b/>
                <w:lang w:val="es-ES_tradnl" w:eastAsia="es-ES_tradnl"/>
              </w:rPr>
            </w:pPr>
            <w:r w:rsidRPr="00995CAD">
              <w:rPr>
                <w:rFonts w:ascii="Verdana" w:eastAsia="Calibri" w:hAnsi="Verdana" w:cs="Arial"/>
                <w:b/>
                <w:lang w:val="es-ES_tradnl" w:eastAsia="es-ES_tradnl"/>
              </w:rPr>
              <w:t>Radicación:</w:t>
            </w:r>
            <w:r w:rsidRPr="00995CAD">
              <w:rPr>
                <w:rFonts w:ascii="Verdana" w:eastAsia="Calibri" w:hAnsi="Verdana" w:cs="Arial"/>
                <w:lang w:val="es-ES_tradnl" w:eastAsia="es-ES_tradnl"/>
              </w:rPr>
              <w:t xml:space="preserve">               </w:t>
            </w:r>
          </w:p>
        </w:tc>
        <w:tc>
          <w:tcPr>
            <w:tcW w:w="6100" w:type="dxa"/>
          </w:tcPr>
          <w:p w14:paraId="79535C13" w14:textId="77777777" w:rsidR="00A406A2" w:rsidRPr="00995CAD" w:rsidRDefault="00A406A2" w:rsidP="00274D6F">
            <w:pPr>
              <w:jc w:val="both"/>
              <w:rPr>
                <w:rFonts w:ascii="Verdana" w:eastAsia="Calibri" w:hAnsi="Verdana" w:cs="Arial"/>
                <w:lang w:val="es-ES_tradnl" w:eastAsia="es-ES_tradnl"/>
              </w:rPr>
            </w:pPr>
            <w:r w:rsidRPr="00995CAD">
              <w:rPr>
                <w:rFonts w:ascii="Verdana" w:eastAsia="Calibri" w:hAnsi="Verdana" w:cs="Arial"/>
                <w:lang w:val="es-ES_tradnl" w:eastAsia="es-ES_tradnl"/>
              </w:rPr>
              <w:t xml:space="preserve">Respuesta a consulta con radicado No. </w:t>
            </w:r>
            <w:r w:rsidRPr="00995CAD">
              <w:rPr>
                <w:rFonts w:ascii="Verdana" w:eastAsia="Calibri" w:hAnsi="Verdana" w:cs="Arial"/>
                <w:lang w:eastAsia="es-ES_tradnl"/>
              </w:rPr>
              <w:t>P20250204000993</w:t>
            </w:r>
          </w:p>
        </w:tc>
      </w:tr>
    </w:tbl>
    <w:p w14:paraId="31E7E285" w14:textId="77777777" w:rsidR="00A406A2" w:rsidRPr="00995CAD" w:rsidRDefault="00A406A2" w:rsidP="00827EB9">
      <w:pPr>
        <w:spacing w:after="0" w:line="276" w:lineRule="auto"/>
        <w:jc w:val="both"/>
        <w:rPr>
          <w:rFonts w:ascii="Verdana" w:eastAsia="Calibri" w:hAnsi="Verdana" w:cs="Arial"/>
          <w:lang w:val="es-ES_tradnl" w:eastAsia="es-ES_tradnl"/>
        </w:rPr>
      </w:pPr>
    </w:p>
    <w:p w14:paraId="27E9DDA9" w14:textId="77777777" w:rsidR="00A406A2" w:rsidRPr="00995CAD" w:rsidRDefault="00A406A2" w:rsidP="00827EB9">
      <w:pPr>
        <w:spacing w:after="0" w:line="276" w:lineRule="auto"/>
        <w:jc w:val="both"/>
        <w:rPr>
          <w:rFonts w:ascii="Verdana" w:eastAsia="Calibri" w:hAnsi="Verdana" w:cs="Arial"/>
          <w:lang w:val="es-ES_tradnl" w:eastAsia="es-ES_tradnl"/>
        </w:rPr>
      </w:pPr>
    </w:p>
    <w:p w14:paraId="51E971F6" w14:textId="77777777" w:rsidR="00A406A2" w:rsidRPr="00995CAD" w:rsidRDefault="00A406A2" w:rsidP="00FC51D8">
      <w:pPr>
        <w:spacing w:after="0" w:line="276" w:lineRule="auto"/>
        <w:jc w:val="both"/>
        <w:rPr>
          <w:rFonts w:ascii="Verdana" w:eastAsia="Calibri" w:hAnsi="Verdana" w:cs="Arial"/>
          <w:lang w:val="es-ES" w:eastAsia="es-ES"/>
        </w:rPr>
      </w:pPr>
      <w:r w:rsidRPr="00995CAD">
        <w:rPr>
          <w:rFonts w:ascii="Verdana" w:eastAsia="Calibri" w:hAnsi="Verdana" w:cs="Arial"/>
          <w:lang w:val="es-ES" w:eastAsia="es-ES"/>
        </w:rPr>
        <w:t xml:space="preserve">Estimado señor Gómez: </w:t>
      </w:r>
    </w:p>
    <w:p w14:paraId="03C5D4D8" w14:textId="77777777" w:rsidR="00A406A2" w:rsidRPr="00995CAD" w:rsidRDefault="00A406A2" w:rsidP="00FC51D8">
      <w:pPr>
        <w:tabs>
          <w:tab w:val="left" w:pos="3768"/>
        </w:tabs>
        <w:spacing w:after="0" w:line="276" w:lineRule="auto"/>
        <w:jc w:val="both"/>
        <w:rPr>
          <w:rFonts w:ascii="Verdana" w:eastAsia="Calibri" w:hAnsi="Verdana" w:cs="Arial"/>
          <w:lang w:val="es-ES" w:eastAsia="es-ES"/>
        </w:rPr>
      </w:pPr>
      <w:r w:rsidRPr="00995CAD">
        <w:rPr>
          <w:rFonts w:ascii="Verdana" w:eastAsia="Calibri" w:hAnsi="Verdana" w:cs="Arial"/>
          <w:lang w:val="es-ES" w:eastAsia="es-ES"/>
        </w:rPr>
        <w:tab/>
      </w:r>
    </w:p>
    <w:p w14:paraId="57831A37" w14:textId="77777777" w:rsidR="00A406A2" w:rsidRPr="00995CAD" w:rsidRDefault="00A406A2" w:rsidP="00FC51D8">
      <w:pPr>
        <w:spacing w:after="0" w:line="276" w:lineRule="auto"/>
        <w:jc w:val="both"/>
        <w:rPr>
          <w:rFonts w:ascii="Verdana" w:eastAsia="Calibri" w:hAnsi="Verdana" w:cs="Arial"/>
          <w:lang w:val="es-ES" w:eastAsia="es-ES"/>
        </w:rPr>
      </w:pPr>
      <w:r w:rsidRPr="00995CAD">
        <w:rPr>
          <w:rFonts w:ascii="Verdana" w:eastAsia="Calibri" w:hAnsi="Verdana" w:cs="Arial"/>
          <w:color w:val="000000" w:themeColor="text1"/>
          <w:lang w:val="es-ES" w:eastAsia="es-ES"/>
        </w:rPr>
        <w:t>En ejercicio de la competencia otorgada por los artículos 3, numeral 5º, y 11, numeral 8º, del Decreto Ley 4170 de 2011,</w:t>
      </w:r>
      <w:r w:rsidRPr="00995CAD">
        <w:rPr>
          <w:rFonts w:ascii="Verdana" w:eastAsia="Arial MT" w:hAnsi="Verdana" w:cs="Arial MT"/>
          <w:lang w:val="es-ES" w:eastAsia="es-ES"/>
        </w:rPr>
        <w:t xml:space="preserve"> </w:t>
      </w:r>
      <w:r w:rsidRPr="00995CAD">
        <w:rPr>
          <w:rFonts w:ascii="Verdana" w:hAnsi="Verdana" w:cs="Arial"/>
        </w:rPr>
        <w:t xml:space="preserve">así como lo establecido en el artículo 4 de la Resolución 1707 de 2018 expedida por esta Entidad, </w:t>
      </w:r>
      <w:r w:rsidRPr="00995CAD">
        <w:rPr>
          <w:rFonts w:ascii="Verdana" w:eastAsia="Calibri" w:hAnsi="Verdana" w:cs="Arial"/>
          <w:color w:val="000000" w:themeColor="text1"/>
          <w:lang w:val="es-ES" w:eastAsia="es-ES"/>
        </w:rPr>
        <w:t xml:space="preserve">la Agencia Nacional de Contratación </w:t>
      </w:r>
      <w:r w:rsidRPr="00995CAD">
        <w:rPr>
          <w:rFonts w:ascii="Verdana" w:eastAsia="Calibri" w:hAnsi="Verdana" w:cs="Arial"/>
          <w:lang w:val="es-ES" w:eastAsia="es-ES"/>
        </w:rPr>
        <w:t xml:space="preserve">Pública – Colombia Compra Eficiente– responde su solicitud de consulta de fecha 4 de febrero de 2025, en la cual manifiesta lo siguiente: </w:t>
      </w:r>
    </w:p>
    <w:p w14:paraId="5B918F37" w14:textId="77777777" w:rsidR="00A406A2" w:rsidRPr="00995CAD" w:rsidRDefault="00A406A2" w:rsidP="00827EB9">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A3005A5" w14:textId="77777777" w:rsidR="00A406A2" w:rsidRPr="00827EB9" w:rsidRDefault="00A406A2" w:rsidP="00827EB9">
      <w:pPr>
        <w:pStyle w:val="Prrafodelista"/>
        <w:tabs>
          <w:tab w:val="left" w:pos="142"/>
          <w:tab w:val="left" w:pos="284"/>
        </w:tabs>
        <w:spacing w:after="0" w:line="240" w:lineRule="auto"/>
        <w:ind w:left="709" w:right="709"/>
        <w:contextualSpacing w:val="0"/>
        <w:jc w:val="both"/>
        <w:rPr>
          <w:rFonts w:ascii="Verdana" w:eastAsia="Century Gothic" w:hAnsi="Verdana" w:cs="Century Gothic"/>
          <w:sz w:val="20"/>
          <w:szCs w:val="20"/>
          <w:lang w:val="es-CO"/>
        </w:rPr>
      </w:pPr>
      <w:r w:rsidRPr="00827EB9">
        <w:rPr>
          <w:rFonts w:ascii="Verdana" w:eastAsia="Century Gothic" w:hAnsi="Verdana" w:cs="Century Gothic"/>
          <w:sz w:val="20"/>
          <w:szCs w:val="20"/>
        </w:rPr>
        <w:t xml:space="preserve">“(…) </w:t>
      </w:r>
      <w:r w:rsidRPr="00827EB9">
        <w:rPr>
          <w:rFonts w:ascii="Verdana" w:eastAsia="Century Gothic" w:hAnsi="Verdana" w:cs="Century Gothic"/>
          <w:sz w:val="20"/>
          <w:szCs w:val="20"/>
          <w:lang w:val="es-CO"/>
        </w:rPr>
        <w:t xml:space="preserve">Considerando que el decreto 957 de 2019 establece una nueva clasificación de las empresas por su tamaño, en el artículo 2 establece, Definiciones: Para todos los efectos, se entiende por micro, pequeña y mediana empresa, toda unidad de explotación económica, realizada por persona natural o jurídica, en actividades empresariales, agropecuarias, industriales, comerciales o de servicios, rural o urbana… </w:t>
      </w:r>
    </w:p>
    <w:p w14:paraId="1F5594E3" w14:textId="77777777" w:rsidR="00A406A2" w:rsidRPr="00827EB9" w:rsidRDefault="00A406A2" w:rsidP="00827EB9">
      <w:pPr>
        <w:pStyle w:val="Prrafodelista"/>
        <w:tabs>
          <w:tab w:val="left" w:pos="142"/>
          <w:tab w:val="left" w:pos="284"/>
        </w:tabs>
        <w:spacing w:after="0" w:line="240" w:lineRule="auto"/>
        <w:ind w:left="709" w:right="709"/>
        <w:contextualSpacing w:val="0"/>
        <w:jc w:val="both"/>
        <w:rPr>
          <w:rFonts w:ascii="Verdana" w:eastAsia="Century Gothic" w:hAnsi="Verdana" w:cs="Century Gothic"/>
          <w:sz w:val="20"/>
          <w:szCs w:val="20"/>
          <w:lang w:val="es-CO"/>
        </w:rPr>
      </w:pPr>
    </w:p>
    <w:p w14:paraId="313D8B61" w14:textId="77777777" w:rsidR="00A406A2" w:rsidRPr="00827EB9" w:rsidRDefault="00A406A2" w:rsidP="00827EB9">
      <w:pPr>
        <w:pStyle w:val="Prrafodelista"/>
        <w:tabs>
          <w:tab w:val="left" w:pos="142"/>
          <w:tab w:val="left" w:pos="284"/>
        </w:tabs>
        <w:spacing w:after="0" w:line="240" w:lineRule="auto"/>
        <w:ind w:left="709" w:right="709"/>
        <w:contextualSpacing w:val="0"/>
        <w:jc w:val="both"/>
        <w:rPr>
          <w:rFonts w:ascii="Verdana" w:eastAsia="Century Gothic" w:hAnsi="Verdana" w:cs="Century Gothic"/>
          <w:sz w:val="20"/>
          <w:szCs w:val="20"/>
          <w:lang w:val="es-CO"/>
        </w:rPr>
      </w:pPr>
      <w:r w:rsidRPr="00827EB9">
        <w:rPr>
          <w:rFonts w:ascii="Verdana" w:eastAsia="Century Gothic" w:hAnsi="Verdana" w:cs="Century Gothic"/>
          <w:sz w:val="20"/>
          <w:szCs w:val="20"/>
          <w:lang w:val="es-CO"/>
        </w:rPr>
        <w:t>Considerando que la legislación colombiana define las ENTIDADES SIN ÁNIMO DE LUCRO (ESAL) como organizaciones o personas jurídicas que se crean para realizar actividades en beneficio de la comunidad, sin buscar obtener un beneficio económico y por lo tanto no se les puede clasificar como EMPRESAS porque NO son unidades de explotación económica sino organizaciones sin ánimo de lucro.</w:t>
      </w:r>
    </w:p>
    <w:p w14:paraId="2118C395" w14:textId="77777777" w:rsidR="00A406A2" w:rsidRPr="00827EB9" w:rsidRDefault="00A406A2" w:rsidP="00827EB9">
      <w:pPr>
        <w:pStyle w:val="Prrafodelista"/>
        <w:tabs>
          <w:tab w:val="left" w:pos="142"/>
          <w:tab w:val="left" w:pos="284"/>
        </w:tabs>
        <w:spacing w:after="0" w:line="240" w:lineRule="auto"/>
        <w:ind w:left="709" w:right="709"/>
        <w:contextualSpacing w:val="0"/>
        <w:jc w:val="both"/>
        <w:rPr>
          <w:rFonts w:ascii="Verdana" w:eastAsia="Century Gothic" w:hAnsi="Verdana" w:cs="Century Gothic"/>
          <w:sz w:val="20"/>
          <w:szCs w:val="20"/>
          <w:lang w:val="es-CO"/>
        </w:rPr>
      </w:pPr>
    </w:p>
    <w:p w14:paraId="4E13FF93" w14:textId="77777777" w:rsidR="00A406A2" w:rsidRPr="00827EB9" w:rsidRDefault="00A406A2" w:rsidP="00827EB9">
      <w:pPr>
        <w:pStyle w:val="Prrafodelista"/>
        <w:tabs>
          <w:tab w:val="left" w:pos="142"/>
          <w:tab w:val="left" w:pos="284"/>
        </w:tabs>
        <w:spacing w:after="0" w:line="240" w:lineRule="auto"/>
        <w:ind w:left="709" w:right="709"/>
        <w:contextualSpacing w:val="0"/>
        <w:jc w:val="both"/>
        <w:rPr>
          <w:rFonts w:ascii="Verdana" w:eastAsia="Century Gothic" w:hAnsi="Verdana" w:cs="Century Gothic"/>
          <w:sz w:val="20"/>
          <w:szCs w:val="20"/>
          <w:lang w:val="es-CO"/>
        </w:rPr>
      </w:pPr>
      <w:r w:rsidRPr="00827EB9">
        <w:rPr>
          <w:rFonts w:ascii="Verdana" w:eastAsia="Century Gothic" w:hAnsi="Verdana" w:cs="Century Gothic"/>
          <w:sz w:val="20"/>
          <w:szCs w:val="20"/>
          <w:lang w:val="es-CO"/>
        </w:rPr>
        <w:lastRenderedPageBreak/>
        <w:t xml:space="preserve">teniendo en cuenta que la legislación ha creado unos incentivos de asignación de puntaje adicional para Las micro y pequeñas empresas (MIPYMES) en los procesos de contratación pública en Colombia entre estos… PARA LOS EMPRENDIMIENTOS Y EMPRESAS DE MUJERES en los cuales se establece que se asigna un porcentaje adicional por acreditar ser empresa y emprendimiento de mujeres, en este caso de un máximo del (0.25%) cero punto veinticinco por ciento del total de los puntos establecidos en el pliego de condiciones del proceso </w:t>
      </w:r>
    </w:p>
    <w:p w14:paraId="70407913" w14:textId="77777777" w:rsidR="00A406A2" w:rsidRPr="00827EB9" w:rsidRDefault="00A406A2" w:rsidP="00827EB9">
      <w:pPr>
        <w:pStyle w:val="Prrafodelista"/>
        <w:tabs>
          <w:tab w:val="left" w:pos="142"/>
          <w:tab w:val="left" w:pos="284"/>
        </w:tabs>
        <w:spacing w:after="0" w:line="240" w:lineRule="auto"/>
        <w:ind w:left="709" w:right="709"/>
        <w:contextualSpacing w:val="0"/>
        <w:jc w:val="both"/>
        <w:rPr>
          <w:rFonts w:ascii="Verdana" w:eastAsia="Century Gothic" w:hAnsi="Verdana" w:cs="Century Gothic"/>
          <w:sz w:val="20"/>
          <w:szCs w:val="20"/>
          <w:lang w:val="es-CO"/>
        </w:rPr>
      </w:pPr>
    </w:p>
    <w:p w14:paraId="7471C376" w14:textId="77777777" w:rsidR="00A406A2" w:rsidRPr="00827EB9" w:rsidRDefault="00A406A2" w:rsidP="00827EB9">
      <w:pPr>
        <w:pStyle w:val="Prrafodelista"/>
        <w:tabs>
          <w:tab w:val="left" w:pos="142"/>
          <w:tab w:val="left" w:pos="284"/>
        </w:tabs>
        <w:spacing w:after="0" w:line="240" w:lineRule="auto"/>
        <w:ind w:left="709" w:right="709"/>
        <w:contextualSpacing w:val="0"/>
        <w:jc w:val="both"/>
        <w:rPr>
          <w:rFonts w:ascii="Verdana" w:eastAsia="Century Gothic" w:hAnsi="Verdana" w:cs="Century Gothic"/>
          <w:sz w:val="20"/>
          <w:szCs w:val="20"/>
        </w:rPr>
      </w:pPr>
      <w:r w:rsidRPr="00827EB9">
        <w:rPr>
          <w:rFonts w:ascii="Verdana" w:eastAsia="Century Gothic" w:hAnsi="Verdana" w:cs="Century Gothic"/>
          <w:sz w:val="20"/>
          <w:szCs w:val="20"/>
          <w:lang w:val="es-CO"/>
        </w:rPr>
        <w:t>Acogiéndome a lo que establece la normatividad, considerando que las entidades sin ánimo de lucro ESAL no son unidades de explotación económica y por lo tanto no se pueden catalogar como MiPymes, en un proceso de contratación pública por la modalidad de licitación pública, concurso de méritos o menor cuantía ¿una oferta presentada por una ESAL puede aspirar a la asignación de un puntaje adicional en su evaluación, por acreditación, emprendimiento y empresa de mujeres? (…)”.</w:t>
      </w:r>
    </w:p>
    <w:p w14:paraId="4B6485EB" w14:textId="77777777" w:rsidR="00A406A2" w:rsidRPr="00995CAD" w:rsidRDefault="00A406A2" w:rsidP="00827EB9">
      <w:pPr>
        <w:pStyle w:val="Prrafodelista"/>
        <w:tabs>
          <w:tab w:val="left" w:pos="142"/>
          <w:tab w:val="left" w:pos="284"/>
        </w:tabs>
        <w:spacing w:after="0" w:line="276" w:lineRule="auto"/>
        <w:ind w:left="0"/>
        <w:jc w:val="both"/>
        <w:rPr>
          <w:rFonts w:ascii="Verdana" w:eastAsia="Century Gothic" w:hAnsi="Verdana" w:cs="Century Gothic"/>
          <w:b/>
          <w:bCs/>
        </w:rPr>
      </w:pPr>
    </w:p>
    <w:p w14:paraId="6A72728B" w14:textId="77777777" w:rsidR="00A406A2" w:rsidRPr="00995CAD" w:rsidRDefault="00A406A2" w:rsidP="00A406A2">
      <w:pPr>
        <w:spacing w:after="120" w:line="276" w:lineRule="auto"/>
        <w:ind w:firstLine="709"/>
        <w:jc w:val="both"/>
        <w:rPr>
          <w:rFonts w:ascii="Verdana" w:eastAsia="Calibri" w:hAnsi="Verdana" w:cs="Arial"/>
          <w:color w:val="000000"/>
          <w:szCs w:val="24"/>
          <w:lang w:val="es-ES_tradnl" w:eastAsia="es-ES_tradnl"/>
        </w:rPr>
      </w:pPr>
      <w:bookmarkStart w:id="1" w:name="_Hlk192693157"/>
      <w:r w:rsidRPr="00995CAD">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5CAD">
        <w:rPr>
          <w:rFonts w:ascii="Verdana" w:eastAsia="Calibri" w:hAnsi="Verdana" w:cs="Arial"/>
          <w:color w:val="000000"/>
          <w:szCs w:val="24"/>
          <w:lang w:val="es-ES_tradnl" w:eastAsia="es-ES_tradnl"/>
        </w:rPr>
        <w:tab/>
      </w:r>
    </w:p>
    <w:p w14:paraId="43A12719" w14:textId="72E0978D" w:rsidR="00A406A2" w:rsidRPr="00995CAD" w:rsidRDefault="00A406A2" w:rsidP="00A406A2">
      <w:pPr>
        <w:spacing w:after="0" w:line="276" w:lineRule="auto"/>
        <w:ind w:firstLine="709"/>
        <w:jc w:val="both"/>
        <w:rPr>
          <w:rFonts w:ascii="Verdana" w:eastAsia="Calibri" w:hAnsi="Verdana" w:cs="Arial"/>
          <w:color w:val="000000"/>
          <w:lang w:val="es-ES" w:eastAsia="es-ES"/>
        </w:rPr>
      </w:pPr>
      <w:r w:rsidRPr="00995CAD">
        <w:rPr>
          <w:rFonts w:ascii="Verdana" w:eastAsia="Calibri" w:hAnsi="Verdana" w:cs="Arial"/>
          <w:color w:val="000000"/>
          <w:lang w:val="es-ES" w:eastAsia="es-ES"/>
        </w:rPr>
        <w:t>Conforme lo expuesto, en aras de garantizar el derecho fundamental de petición, se resolverá su petición dentro de los límites de la referida competencia consultiva, esto es, haciendo unas consideraciones sobre las normas generales relacionadas con el</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problema</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jurídico</w:t>
      </w:r>
      <w:r w:rsidRPr="00995CAD">
        <w:rPr>
          <w:rFonts w:ascii="Verdana" w:eastAsia="Calibri" w:hAnsi="Verdana" w:cs="Arial"/>
          <w:color w:val="7030A0"/>
          <w:lang w:val="es-ES" w:eastAsia="es-ES"/>
        </w:rPr>
        <w:t xml:space="preserve"> </w:t>
      </w:r>
      <w:r w:rsidRPr="00995CAD">
        <w:rPr>
          <w:rFonts w:ascii="Verdana" w:eastAsia="Calibri" w:hAnsi="Verdana" w:cs="Arial"/>
          <w:color w:val="000000"/>
          <w:lang w:val="es-ES" w:eastAsia="es-ES"/>
        </w:rPr>
        <w:t xml:space="preserve">de su consulta. </w:t>
      </w:r>
    </w:p>
    <w:bookmarkEnd w:id="1"/>
    <w:p w14:paraId="1865B371" w14:textId="77777777" w:rsidR="00A406A2" w:rsidRPr="00995CAD" w:rsidRDefault="00A406A2" w:rsidP="00A406A2">
      <w:pPr>
        <w:spacing w:after="0" w:line="276" w:lineRule="auto"/>
        <w:jc w:val="both"/>
        <w:rPr>
          <w:rFonts w:ascii="Verdana" w:eastAsia="Calibri" w:hAnsi="Verdana" w:cs="Arial"/>
          <w:color w:val="000000"/>
          <w:lang w:val="es-ES" w:eastAsia="es-ES"/>
        </w:rPr>
      </w:pPr>
    </w:p>
    <w:p w14:paraId="10A1A2DC" w14:textId="77777777" w:rsidR="00A406A2" w:rsidRPr="00995CAD" w:rsidRDefault="00A406A2" w:rsidP="00A406A2">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995CAD">
        <w:rPr>
          <w:rFonts w:ascii="Verdana" w:eastAsia="Century Gothic" w:hAnsi="Verdana" w:cs="Century Gothic"/>
          <w:b/>
          <w:bCs/>
        </w:rPr>
        <w:t>Problema planteado:</w:t>
      </w:r>
    </w:p>
    <w:p w14:paraId="23F19D3A" w14:textId="77777777" w:rsidR="00A406A2" w:rsidRPr="00995CAD" w:rsidRDefault="00A406A2" w:rsidP="00A406A2">
      <w:pPr>
        <w:tabs>
          <w:tab w:val="left" w:pos="426"/>
        </w:tabs>
        <w:spacing w:after="0" w:line="276" w:lineRule="auto"/>
        <w:jc w:val="both"/>
        <w:rPr>
          <w:rFonts w:ascii="Verdana" w:eastAsia="Century Gothic" w:hAnsi="Verdana" w:cs="Century Gothic"/>
          <w:lang w:val="es-ES"/>
        </w:rPr>
      </w:pPr>
    </w:p>
    <w:p w14:paraId="0729829B" w14:textId="77777777" w:rsidR="00A406A2" w:rsidRPr="00995CAD" w:rsidRDefault="00A406A2" w:rsidP="003442FC">
      <w:pPr>
        <w:spacing w:after="0" w:line="276" w:lineRule="auto"/>
        <w:jc w:val="both"/>
        <w:rPr>
          <w:rFonts w:ascii="Verdana" w:eastAsia="Century Gothic" w:hAnsi="Verdana" w:cs="Century Gothic"/>
          <w:color w:val="000000" w:themeColor="text1"/>
        </w:rPr>
      </w:pPr>
      <w:r w:rsidRPr="00995CAD">
        <w:rPr>
          <w:rFonts w:ascii="Verdana" w:eastAsia="Century Gothic" w:hAnsi="Verdana" w:cs="Century Gothic"/>
        </w:rPr>
        <w:t xml:space="preserve">De acuerdo con el contenido de su solicitud, esta Agencia resolverá el siguiente problema jurídico: ¿En un proceso de contratación pública </w:t>
      </w:r>
      <w:r w:rsidRPr="00995CAD">
        <w:rPr>
          <w:rFonts w:ascii="Verdana" w:eastAsia="Century Gothic" w:hAnsi="Verdana" w:cs="Century Gothic"/>
          <w:color w:val="000000" w:themeColor="text1"/>
        </w:rPr>
        <w:t xml:space="preserve">es procedente que una entidad estatal otorgue el puntaje adicional de </w:t>
      </w:r>
      <w:proofErr w:type="gramStart"/>
      <w:r w:rsidR="001576BD" w:rsidRPr="00995CAD">
        <w:rPr>
          <w:rFonts w:ascii="Verdana" w:eastAsia="Century Gothic" w:hAnsi="Verdana" w:cs="Century Gothic"/>
          <w:color w:val="000000" w:themeColor="text1"/>
        </w:rPr>
        <w:t>cero coma</w:t>
      </w:r>
      <w:proofErr w:type="gramEnd"/>
      <w:r w:rsidR="001576BD" w:rsidRPr="00995CAD">
        <w:rPr>
          <w:rFonts w:ascii="Verdana" w:eastAsia="Century Gothic" w:hAnsi="Verdana" w:cs="Century Gothic"/>
          <w:color w:val="000000" w:themeColor="text1"/>
        </w:rPr>
        <w:t xml:space="preserve"> veinticinco (</w:t>
      </w:r>
      <w:r w:rsidRPr="00995CAD">
        <w:rPr>
          <w:rFonts w:ascii="Verdana" w:eastAsia="Century Gothic" w:hAnsi="Verdana" w:cs="Century Gothic"/>
          <w:color w:val="000000" w:themeColor="text1"/>
        </w:rPr>
        <w:t>0,25</w:t>
      </w:r>
      <w:r w:rsidR="001576BD" w:rsidRPr="00995CAD">
        <w:rPr>
          <w:rFonts w:ascii="Verdana" w:eastAsia="Century Gothic" w:hAnsi="Verdana" w:cs="Century Gothic"/>
          <w:color w:val="000000" w:themeColor="text1"/>
        </w:rPr>
        <w:t>)</w:t>
      </w:r>
      <w:r w:rsidRPr="00995CAD">
        <w:rPr>
          <w:rFonts w:ascii="Verdana" w:eastAsia="Century Gothic" w:hAnsi="Verdana" w:cs="Century Gothic"/>
          <w:color w:val="000000" w:themeColor="text1"/>
        </w:rPr>
        <w:t xml:space="preserve"> a una ESAL que ha acreditado su condición de emprendimiento y empresa de </w:t>
      </w:r>
      <w:r w:rsidRPr="00995CAD">
        <w:rPr>
          <w:rFonts w:ascii="Verdana" w:eastAsia="Century Gothic" w:hAnsi="Verdana" w:cs="Century Gothic"/>
          <w:color w:val="000000" w:themeColor="text1"/>
        </w:rPr>
        <w:lastRenderedPageBreak/>
        <w:t>mujeres o, en virtud de su naturaleza jurídica sin ánimo de lucro, debe excluirse dicho puntaje en los procesos de contratación pública conforme a la normativa vigente?</w:t>
      </w:r>
    </w:p>
    <w:p w14:paraId="5E842130" w14:textId="77777777" w:rsidR="003442FC" w:rsidRPr="00995CAD" w:rsidRDefault="003442FC" w:rsidP="00827EB9">
      <w:pPr>
        <w:spacing w:after="0" w:line="276" w:lineRule="auto"/>
        <w:jc w:val="both"/>
        <w:rPr>
          <w:rFonts w:ascii="Verdana" w:hAnsi="Verdana"/>
          <w:b/>
          <w:bCs/>
        </w:rPr>
      </w:pPr>
    </w:p>
    <w:p w14:paraId="0DFA2713" w14:textId="77777777" w:rsidR="00A406A2" w:rsidRPr="00995CAD" w:rsidRDefault="00A406A2" w:rsidP="00A406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95CAD">
        <w:rPr>
          <w:rFonts w:ascii="Verdana" w:eastAsia="Century Gothic" w:hAnsi="Verdana" w:cs="Century Gothic"/>
          <w:b/>
          <w:bCs/>
        </w:rPr>
        <w:t>Respuesta:</w:t>
      </w:r>
    </w:p>
    <w:p w14:paraId="50B9C850" w14:textId="77777777" w:rsidR="00A406A2" w:rsidRPr="00995CAD" w:rsidRDefault="00A406A2" w:rsidP="00A406A2">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A406A2" w:rsidRPr="00995CAD" w14:paraId="3A9DFE3C" w14:textId="77777777" w:rsidTr="00274D6F">
        <w:tc>
          <w:tcPr>
            <w:tcW w:w="8828" w:type="dxa"/>
            <w:tcBorders>
              <w:top w:val="single" w:sz="4" w:space="0" w:color="auto"/>
              <w:left w:val="single" w:sz="4" w:space="0" w:color="auto"/>
              <w:bottom w:val="single" w:sz="4" w:space="0" w:color="auto"/>
              <w:right w:val="single" w:sz="4" w:space="0" w:color="auto"/>
            </w:tcBorders>
            <w:shd w:val="clear" w:color="auto" w:fill="auto"/>
          </w:tcPr>
          <w:p w14:paraId="024678B0" w14:textId="77777777" w:rsidR="00DC08B7" w:rsidRDefault="00DC08B7" w:rsidP="00BE137A">
            <w:pPr>
              <w:spacing w:after="120" w:line="276" w:lineRule="auto"/>
              <w:jc w:val="both"/>
              <w:rPr>
                <w:rFonts w:ascii="Verdana" w:eastAsia="Times New Roman" w:hAnsi="Verdana" w:cs="Arial"/>
                <w:lang w:eastAsia="es-MX"/>
              </w:rPr>
            </w:pPr>
            <w:bookmarkStart w:id="2" w:name="_Hlk188022505"/>
            <w:r>
              <w:rPr>
                <w:rFonts w:ascii="Verdana" w:eastAsia="Times New Roman" w:hAnsi="Verdana" w:cs="Arial"/>
                <w:lang w:eastAsia="es-MX"/>
              </w:rPr>
              <w:t xml:space="preserve">La Ley 2069 de 2020 </w:t>
            </w:r>
            <w:r w:rsidRPr="00362CA6">
              <w:rPr>
                <w:rFonts w:ascii="Verdana" w:eastAsia="Times New Roman" w:hAnsi="Verdana" w:cs="Arial"/>
                <w:lang w:eastAsia="es-MX"/>
              </w:rPr>
              <w:t xml:space="preserve">regula de forma separada </w:t>
            </w:r>
            <w:r>
              <w:rPr>
                <w:rFonts w:ascii="Verdana" w:eastAsia="Times New Roman" w:hAnsi="Verdana" w:cs="Arial"/>
                <w:lang w:eastAsia="es-MX"/>
              </w:rPr>
              <w:t xml:space="preserve">los criterios diferenciales en favor de </w:t>
            </w:r>
            <w:r w:rsidRPr="00362CA6">
              <w:rPr>
                <w:rFonts w:ascii="Verdana" w:eastAsia="Times New Roman" w:hAnsi="Verdana" w:cs="Arial"/>
                <w:lang w:eastAsia="es-MX"/>
              </w:rPr>
              <w:t xml:space="preserve">las </w:t>
            </w:r>
            <w:proofErr w:type="spellStart"/>
            <w:r w:rsidRPr="00362CA6">
              <w:rPr>
                <w:rFonts w:ascii="Verdana" w:eastAsia="Times New Roman" w:hAnsi="Verdana" w:cs="Arial"/>
                <w:lang w:eastAsia="es-MX"/>
              </w:rPr>
              <w:t>Mi</w:t>
            </w:r>
            <w:r>
              <w:rPr>
                <w:rFonts w:ascii="Verdana" w:eastAsia="Times New Roman" w:hAnsi="Verdana" w:cs="Arial"/>
                <w:lang w:eastAsia="es-MX"/>
              </w:rPr>
              <w:t>p</w:t>
            </w:r>
            <w:r w:rsidRPr="00362CA6">
              <w:rPr>
                <w:rFonts w:ascii="Verdana" w:eastAsia="Times New Roman" w:hAnsi="Verdana" w:cs="Arial"/>
                <w:lang w:eastAsia="es-MX"/>
              </w:rPr>
              <w:t>ymes</w:t>
            </w:r>
            <w:proofErr w:type="spellEnd"/>
            <w:r w:rsidRPr="00362CA6">
              <w:rPr>
                <w:rFonts w:ascii="Verdana" w:eastAsia="Times New Roman" w:hAnsi="Verdana" w:cs="Arial"/>
                <w:lang w:eastAsia="es-MX"/>
              </w:rPr>
              <w:t xml:space="preserve"> y</w:t>
            </w:r>
            <w:r>
              <w:rPr>
                <w:rFonts w:ascii="Verdana" w:eastAsia="Times New Roman" w:hAnsi="Verdana" w:cs="Arial"/>
                <w:lang w:eastAsia="es-MX"/>
              </w:rPr>
              <w:t xml:space="preserve"> de</w:t>
            </w:r>
            <w:r w:rsidRPr="00362CA6">
              <w:rPr>
                <w:rFonts w:ascii="Verdana" w:eastAsia="Times New Roman" w:hAnsi="Verdana" w:cs="Arial"/>
                <w:lang w:eastAsia="es-MX"/>
              </w:rPr>
              <w:t xml:space="preserve"> los emprendimientos y empresas de mujeres. </w:t>
            </w:r>
            <w:r>
              <w:rPr>
                <w:rFonts w:ascii="Verdana" w:eastAsia="Times New Roman" w:hAnsi="Verdana" w:cs="Arial"/>
                <w:lang w:eastAsia="es-MX"/>
              </w:rPr>
              <w:t xml:space="preserve">En consecuencia, para dar respuesta al problema jurídico </w:t>
            </w:r>
            <w:proofErr w:type="spellStart"/>
            <w:r>
              <w:rPr>
                <w:rFonts w:ascii="Verdana" w:eastAsia="Times New Roman" w:hAnsi="Verdana" w:cs="Arial"/>
                <w:lang w:eastAsia="es-MX"/>
              </w:rPr>
              <w:t>planeteado</w:t>
            </w:r>
            <w:proofErr w:type="spellEnd"/>
            <w:r>
              <w:rPr>
                <w:rFonts w:ascii="Verdana" w:eastAsia="Times New Roman" w:hAnsi="Verdana" w:cs="Arial"/>
                <w:lang w:eastAsia="es-MX"/>
              </w:rPr>
              <w:t xml:space="preserve"> es necesario estudiar por aparte si las ESAL se pueden beneficiar de los criterios diferenciales en favor de </w:t>
            </w:r>
            <w:proofErr w:type="spellStart"/>
            <w:r>
              <w:rPr>
                <w:rFonts w:ascii="Verdana" w:eastAsia="Times New Roman" w:hAnsi="Verdana" w:cs="Arial"/>
                <w:lang w:eastAsia="es-MX"/>
              </w:rPr>
              <w:t>Mipymes</w:t>
            </w:r>
            <w:proofErr w:type="spellEnd"/>
            <w:r>
              <w:rPr>
                <w:rFonts w:ascii="Verdana" w:eastAsia="Times New Roman" w:hAnsi="Verdana" w:cs="Arial"/>
                <w:lang w:eastAsia="es-MX"/>
              </w:rPr>
              <w:t xml:space="preserve"> y en favor de los emprendimientos y empresas de mujeres. </w:t>
            </w:r>
          </w:p>
          <w:p w14:paraId="6490A052" w14:textId="3FEFCD78" w:rsidR="00A406A2" w:rsidRPr="00F42737" w:rsidRDefault="00A406A2" w:rsidP="00F42737">
            <w:pPr>
              <w:spacing w:after="120" w:line="276" w:lineRule="auto"/>
              <w:ind w:firstLine="709"/>
              <w:jc w:val="both"/>
              <w:rPr>
                <w:rFonts w:ascii="Verdana" w:eastAsia="Times New Roman" w:hAnsi="Verdana" w:cs="Arial"/>
                <w:lang w:eastAsia="es-MX"/>
              </w:rPr>
            </w:pPr>
            <w:r w:rsidRPr="00995CAD">
              <w:rPr>
                <w:rFonts w:ascii="Verdana" w:hAnsi="Verdana"/>
                <w:lang w:val="es-ES"/>
              </w:rPr>
              <w:t>En</w:t>
            </w:r>
            <w:r w:rsidRPr="00995CAD">
              <w:rPr>
                <w:rFonts w:ascii="Verdana" w:hAnsi="Verdana"/>
              </w:rPr>
              <w:t xml:space="preserve"> </w:t>
            </w:r>
            <w:r w:rsidR="007B25E4">
              <w:rPr>
                <w:rFonts w:ascii="Verdana" w:hAnsi="Verdana"/>
              </w:rPr>
              <w:t>primer lugar</w:t>
            </w:r>
            <w:r w:rsidRPr="00995CAD">
              <w:rPr>
                <w:rFonts w:ascii="Verdana" w:hAnsi="Verdana"/>
              </w:rPr>
              <w:t xml:space="preserve">, es importante señalar que esta Agencia ha mantenido de manera reiterada la postura de que las Entidades Sin Ánimo de Lucro </w:t>
            </w:r>
            <w:r w:rsidR="007B25E4">
              <w:rPr>
                <w:rFonts w:ascii="Verdana" w:hAnsi="Verdana"/>
              </w:rPr>
              <w:t xml:space="preserve">– en adelante </w:t>
            </w:r>
            <w:r w:rsidRPr="00995CAD">
              <w:rPr>
                <w:rFonts w:ascii="Verdana" w:hAnsi="Verdana"/>
              </w:rPr>
              <w:t>ESAL</w:t>
            </w:r>
            <w:r w:rsidR="007B25E4">
              <w:rPr>
                <w:rFonts w:ascii="Verdana" w:hAnsi="Verdana"/>
              </w:rPr>
              <w:t xml:space="preserve"> –</w:t>
            </w:r>
            <w:r w:rsidRPr="00995CAD">
              <w:rPr>
                <w:rFonts w:ascii="Verdana" w:hAnsi="Verdana"/>
              </w:rPr>
              <w:t xml:space="preserve"> no</w:t>
            </w:r>
            <w:r w:rsidR="007B25E4">
              <w:rPr>
                <w:rFonts w:ascii="Verdana" w:hAnsi="Verdana"/>
              </w:rPr>
              <w:t xml:space="preserve"> </w:t>
            </w:r>
            <w:r w:rsidRPr="00995CAD">
              <w:rPr>
                <w:rFonts w:ascii="Verdana" w:hAnsi="Verdana"/>
              </w:rPr>
              <w:t>pueden acceder a los beneficios establecidos para las Micro, Pequeñas y Medianas Empresas (</w:t>
            </w:r>
            <w:proofErr w:type="spellStart"/>
            <w:r w:rsidRPr="00995CAD">
              <w:rPr>
                <w:rFonts w:ascii="Verdana" w:hAnsi="Verdana"/>
              </w:rPr>
              <w:t>Mipymes</w:t>
            </w:r>
            <w:proofErr w:type="spellEnd"/>
            <w:r w:rsidRPr="00995CAD">
              <w:rPr>
                <w:rFonts w:ascii="Verdana" w:hAnsi="Verdana"/>
              </w:rPr>
              <w:t xml:space="preserve">), ni participar en los procesos contractuales restringidos a estas últimas. De acuerdo con el artículo 43 de la Ley 1450 de 2011, que modificó el artículo 2 de la Ley 590 de 2000, se establece que solo podrán ser consideradas </w:t>
            </w:r>
            <w:proofErr w:type="spellStart"/>
            <w:r w:rsidRPr="00995CAD">
              <w:rPr>
                <w:rFonts w:ascii="Verdana" w:hAnsi="Verdana"/>
              </w:rPr>
              <w:t>Mipymes</w:t>
            </w:r>
            <w:proofErr w:type="spellEnd"/>
            <w:r w:rsidRPr="00995CAD">
              <w:rPr>
                <w:rFonts w:ascii="Verdana" w:hAnsi="Verdana"/>
              </w:rPr>
              <w:t xml:space="preserve"> aquellas entidades que, como unidades de explotación económica, busquen el reparto de utilidades entre sus miembros. En contraste, las ESAL no persiguen la distribución de utilidades entre sus miembros, ya que su objeto social está orientado a realizar actividades de interés general, sin esperar un beneficio económico directo o reparto de ganancias. Por lo tanto, las ESAL no cumplen con los requisitos para participar en los procesos de contratación limitados a las </w:t>
            </w:r>
            <w:proofErr w:type="spellStart"/>
            <w:r w:rsidRPr="00995CAD">
              <w:rPr>
                <w:rFonts w:ascii="Verdana" w:hAnsi="Verdana"/>
              </w:rPr>
              <w:t>Mipymes</w:t>
            </w:r>
            <w:proofErr w:type="spellEnd"/>
            <w:r w:rsidRPr="00995CAD">
              <w:rPr>
                <w:rFonts w:ascii="Verdana" w:hAnsi="Verdana"/>
              </w:rPr>
              <w:t>.</w:t>
            </w:r>
          </w:p>
          <w:p w14:paraId="1B636653" w14:textId="77777777" w:rsidR="00A406A2" w:rsidRPr="00995CAD" w:rsidRDefault="00A406A2" w:rsidP="00F42737">
            <w:pPr>
              <w:spacing w:after="120" w:line="276" w:lineRule="auto"/>
              <w:ind w:firstLine="709"/>
              <w:jc w:val="both"/>
              <w:rPr>
                <w:rFonts w:ascii="Verdana" w:hAnsi="Verdana"/>
              </w:rPr>
            </w:pPr>
            <w:r w:rsidRPr="00995CAD">
              <w:rPr>
                <w:rFonts w:ascii="Verdana" w:hAnsi="Verdana"/>
              </w:rPr>
              <w:t xml:space="preserve">Sin embargo, el artículo 23 de la Ley 2069 de 2020 y los artículos 4 de la Ley 79 de 1988 y 6 de la Ley 454 de 1998, las cooperativas y las entidades de economía solidaria son consideradas empresas. Este tratamiento permite que sean clasificadas como </w:t>
            </w:r>
            <w:proofErr w:type="spellStart"/>
            <w:r w:rsidRPr="00995CAD">
              <w:rPr>
                <w:rFonts w:ascii="Verdana" w:hAnsi="Verdana"/>
              </w:rPr>
              <w:t>Mipymes</w:t>
            </w:r>
            <w:proofErr w:type="spellEnd"/>
            <w:r w:rsidRPr="00995CAD">
              <w:rPr>
                <w:rFonts w:ascii="Verdana" w:hAnsi="Verdana"/>
              </w:rPr>
              <w:t>, según lo dispuesto en el artículo 2 de la Ley 590 de 2000 y el Decreto 957 de 2019. A pesar de su naturaleza jurídica como entidades sin ánimo de lucro, estas entidades gozan de un ámbito de explotación económica permitido por la ley, lo que les permite participar en los mercados de compra pública y aprovechar los beneficios diferenciados para MiPymes, como el puntaje adicional en los procesos de contratación pública.</w:t>
            </w:r>
          </w:p>
          <w:p w14:paraId="4F594449" w14:textId="0B780CB7" w:rsidR="00A406A2" w:rsidRPr="00BE137A" w:rsidRDefault="00A406A2" w:rsidP="00F42737">
            <w:pPr>
              <w:spacing w:after="120" w:line="276" w:lineRule="auto"/>
              <w:jc w:val="both"/>
              <w:rPr>
                <w:rFonts w:ascii="Verdana" w:hAnsi="Verdana"/>
              </w:rPr>
            </w:pPr>
            <w:r w:rsidRPr="00BE137A">
              <w:rPr>
                <w:rFonts w:ascii="Verdana" w:hAnsi="Verdana"/>
              </w:rPr>
              <w:t xml:space="preserve">En ese sentido, el artículo 23 de la Ley 2069 de 2020 permite que las cooperativas, asociaciones mutuales y otras entidades de economía solidaria, </w:t>
            </w:r>
            <w:r w:rsidRPr="00BE137A">
              <w:rPr>
                <w:rFonts w:ascii="Verdana" w:hAnsi="Verdana"/>
              </w:rPr>
              <w:lastRenderedPageBreak/>
              <w:t xml:space="preserve">clasificadas como </w:t>
            </w:r>
            <w:proofErr w:type="spellStart"/>
            <w:r w:rsidRPr="00BE137A">
              <w:rPr>
                <w:rFonts w:ascii="Verdana" w:hAnsi="Verdana"/>
              </w:rPr>
              <w:t>Mipymes</w:t>
            </w:r>
            <w:proofErr w:type="spellEnd"/>
            <w:r w:rsidRPr="00BE137A">
              <w:rPr>
                <w:rFonts w:ascii="Verdana" w:hAnsi="Verdana"/>
              </w:rPr>
              <w:t xml:space="preserve"> según la Ley 454 de 1998, puedan beneficiarse de criterios diferenciados, como los puntajes adicionales establecidos en el artículo 3</w:t>
            </w:r>
            <w:r w:rsidR="004C59F7" w:rsidRPr="00BE137A">
              <w:rPr>
                <w:rFonts w:ascii="Verdana" w:hAnsi="Verdana"/>
              </w:rPr>
              <w:t>1</w:t>
            </w:r>
            <w:r w:rsidRPr="00BE137A">
              <w:rPr>
                <w:rFonts w:ascii="Verdana" w:hAnsi="Verdana"/>
              </w:rPr>
              <w:t xml:space="preserve"> de la misma ley y regulados en el Decreto 1860 de 2021.</w:t>
            </w:r>
            <w:bookmarkEnd w:id="2"/>
          </w:p>
          <w:p w14:paraId="2E9D7EF6" w14:textId="77777777" w:rsidR="00BE137A" w:rsidRPr="00E67771" w:rsidRDefault="00BE137A" w:rsidP="00BE137A">
            <w:pPr>
              <w:spacing w:after="120" w:line="276" w:lineRule="auto"/>
              <w:ind w:firstLine="708"/>
              <w:jc w:val="both"/>
              <w:rPr>
                <w:rFonts w:ascii="Verdana" w:eastAsia="Calibri" w:hAnsi="Verdana" w:cs="Arial"/>
                <w:bCs/>
                <w:kern w:val="2"/>
                <w:szCs w:val="24"/>
                <w:lang w:val="es-ES" w:eastAsia="es-ES_tradnl" w:bidi="es-ES"/>
                <w14:ligatures w14:val="standardContextual"/>
              </w:rPr>
            </w:pPr>
            <w:r w:rsidRPr="00E67771">
              <w:rPr>
                <w:rFonts w:ascii="Verdana" w:eastAsia="Calibri" w:hAnsi="Verdana" w:cs="Arial"/>
                <w:lang w:val="es-ES"/>
              </w:rPr>
              <w:t xml:space="preserve">Ahora bien, </w:t>
            </w:r>
            <w:r w:rsidRPr="00BE137A">
              <w:rPr>
                <w:rFonts w:ascii="Verdana" w:hAnsi="Verdana" w:cs="Arial"/>
                <w:kern w:val="2"/>
                <w14:ligatures w14:val="standardContextual"/>
              </w:rPr>
              <w:t xml:space="preserve">cuando las ESAL participen en un proceso de selección pública y pretendan los beneficios conferidos a los emprendimientos y empresas de mujeres, deberán acreditar la condición dispuesta en el numeral 4 del artículo </w:t>
            </w:r>
            <w:r w:rsidRPr="00E67771">
              <w:rPr>
                <w:rFonts w:ascii="Verdana" w:eastAsia="Calibri" w:hAnsi="Verdana" w:cs="Arial"/>
                <w:bCs/>
                <w:kern w:val="2"/>
                <w:szCs w:val="24"/>
                <w:lang w:val="es-ES" w:eastAsia="es-ES_tradnl" w:bidi="es-ES"/>
                <w14:ligatures w14:val="standardContextual"/>
              </w:rPr>
              <w:t xml:space="preserve">2.2.1.2.4.2.14 del Decreto 1082 de 2015. Esto es, acreditar su condición de cooperativa o asociación – tal y como ocurre en el caso de las </w:t>
            </w:r>
            <w:proofErr w:type="spellStart"/>
            <w:r w:rsidRPr="00E67771">
              <w:rPr>
                <w:rFonts w:ascii="Verdana" w:eastAsia="Calibri" w:hAnsi="Verdana" w:cs="Arial"/>
                <w:bCs/>
                <w:kern w:val="2"/>
                <w:szCs w:val="24"/>
                <w:lang w:val="es-ES" w:eastAsia="es-ES_tradnl" w:bidi="es-ES"/>
                <w14:ligatures w14:val="standardContextual"/>
              </w:rPr>
              <w:t>Mipymes</w:t>
            </w:r>
            <w:proofErr w:type="spellEnd"/>
            <w:r w:rsidRPr="00E67771">
              <w:rPr>
                <w:rFonts w:ascii="Verdana" w:eastAsia="Calibri" w:hAnsi="Verdana" w:cs="Arial"/>
                <w:bCs/>
                <w:kern w:val="2"/>
                <w:szCs w:val="24"/>
                <w:lang w:val="es-ES" w:eastAsia="es-ES_tradnl" w:bidi="es-ES"/>
                <w14:ligatures w14:val="standardContextual"/>
              </w:rPr>
              <w:t xml:space="preserve"> –. Es decir, que no todas las ESAL podrán beneficiarse de los criterios diferenciales a favor de las empresas y emprendimientos de mujeres, sino solo aquellas que tengan esta naturaleza. </w:t>
            </w:r>
          </w:p>
          <w:p w14:paraId="6B1C600F" w14:textId="77777777" w:rsidR="00BC4E28" w:rsidRPr="00E67771" w:rsidRDefault="00BE137A" w:rsidP="00E67771">
            <w:pPr>
              <w:spacing w:after="120" w:line="276" w:lineRule="auto"/>
              <w:ind w:firstLine="709"/>
              <w:jc w:val="both"/>
              <w:rPr>
                <w:lang w:val="es-ES_tradnl"/>
              </w:rPr>
            </w:pPr>
            <w:r w:rsidRPr="00E67771">
              <w:rPr>
                <w:rFonts w:ascii="Verdana" w:eastAsia="Calibri" w:hAnsi="Verdana" w:cs="Arial"/>
                <w:bCs/>
                <w:kern w:val="2"/>
                <w:szCs w:val="24"/>
                <w:lang w:val="es-ES" w:eastAsia="es-ES_tradnl" w:bidi="es-ES"/>
                <w14:ligatures w14:val="standardContextual"/>
              </w:rPr>
              <w:t xml:space="preserve"> Además, deberán probar que más del cincuenta por ciento (50%) de los asociados son mujeres y la participación haya correspondido a estas durante al menos el último año anterior a la fecha de cierre del Proceso de Contratación, mediante certificación expedida por el representante legal con sus respectivos soportes.</w:t>
            </w:r>
          </w:p>
        </w:tc>
      </w:tr>
    </w:tbl>
    <w:p w14:paraId="5A2F1518" w14:textId="77777777" w:rsidR="00A406A2" w:rsidRPr="00995CAD" w:rsidRDefault="00A406A2" w:rsidP="00A406A2">
      <w:pPr>
        <w:tabs>
          <w:tab w:val="left" w:pos="142"/>
          <w:tab w:val="left" w:pos="284"/>
        </w:tabs>
        <w:spacing w:after="0" w:line="276" w:lineRule="auto"/>
        <w:jc w:val="both"/>
        <w:rPr>
          <w:rFonts w:ascii="Verdana" w:eastAsia="Century Gothic" w:hAnsi="Verdana" w:cs="Century Gothic"/>
          <w:b/>
          <w:bCs/>
          <w:lang w:val="es-ES"/>
        </w:rPr>
      </w:pPr>
    </w:p>
    <w:p w14:paraId="5B4916A1" w14:textId="77777777" w:rsidR="00A406A2" w:rsidRPr="00995CAD" w:rsidRDefault="00A406A2" w:rsidP="00A406A2">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95CAD">
        <w:rPr>
          <w:rFonts w:ascii="Verdana" w:eastAsia="Century Gothic" w:hAnsi="Verdana" w:cs="Century Gothic"/>
          <w:b/>
          <w:bCs/>
        </w:rPr>
        <w:t>Razones de la respuesta:</w:t>
      </w:r>
    </w:p>
    <w:p w14:paraId="1DF60152" w14:textId="77777777" w:rsidR="00A406A2" w:rsidRPr="00995CAD" w:rsidRDefault="00A406A2" w:rsidP="00A406A2">
      <w:pPr>
        <w:spacing w:after="0" w:line="276" w:lineRule="auto"/>
        <w:jc w:val="both"/>
        <w:rPr>
          <w:rFonts w:ascii="Verdana" w:eastAsia="Calibri" w:hAnsi="Verdana" w:cs="Arial"/>
          <w:color w:val="7030A0"/>
          <w:lang w:val="es-ES"/>
        </w:rPr>
      </w:pPr>
    </w:p>
    <w:p w14:paraId="019D70AC" w14:textId="77777777" w:rsidR="00A406A2" w:rsidRPr="00410002" w:rsidRDefault="00A406A2" w:rsidP="00A406A2">
      <w:pPr>
        <w:spacing w:after="0" w:line="276" w:lineRule="auto"/>
        <w:jc w:val="both"/>
        <w:rPr>
          <w:rFonts w:ascii="Verdana" w:eastAsia="Calibri" w:hAnsi="Verdana" w:cs="Arial"/>
          <w:lang w:val="es-ES"/>
        </w:rPr>
      </w:pPr>
      <w:r w:rsidRPr="00410002">
        <w:rPr>
          <w:rFonts w:ascii="Verdana" w:eastAsia="Calibri" w:hAnsi="Verdana" w:cs="Arial"/>
          <w:lang w:val="es-ES"/>
        </w:rPr>
        <w:t xml:space="preserve">Lo anterior se sustenta en las siguientes consideraciones: </w:t>
      </w:r>
    </w:p>
    <w:p w14:paraId="0FF82DB6" w14:textId="77777777" w:rsidR="00A406A2" w:rsidRPr="00410002" w:rsidRDefault="00A406A2" w:rsidP="00A406A2">
      <w:pPr>
        <w:spacing w:after="0" w:line="276" w:lineRule="auto"/>
        <w:jc w:val="both"/>
        <w:rPr>
          <w:rFonts w:ascii="Verdana" w:eastAsia="Calibri" w:hAnsi="Verdana" w:cs="Arial"/>
          <w:lang w:val="es-ES"/>
        </w:rPr>
      </w:pPr>
    </w:p>
    <w:p w14:paraId="3EFE4D93" w14:textId="62C6F5CB" w:rsidR="0029396D" w:rsidRPr="00E67771" w:rsidRDefault="00A65F8B" w:rsidP="0029396D">
      <w:pPr>
        <w:spacing w:before="120" w:after="0" w:line="276" w:lineRule="auto"/>
        <w:contextualSpacing/>
        <w:jc w:val="both"/>
        <w:rPr>
          <w:rFonts w:ascii="Verdana" w:eastAsia="Calibri" w:hAnsi="Verdana" w:cs="Arial"/>
          <w:lang w:val="es-ES_tradnl" w:eastAsia="es-ES_tradnl"/>
        </w:rPr>
      </w:pPr>
      <w:r>
        <w:rPr>
          <w:rFonts w:ascii="Verdana" w:eastAsia="Calibri" w:hAnsi="Verdana" w:cs="Arial"/>
          <w:lang w:val="es-ES_tradnl" w:eastAsia="es-ES_tradnl"/>
        </w:rPr>
        <w:t xml:space="preserve">i) En aras de responder el problema jurídico planteado, es necesario iniciar por </w:t>
      </w:r>
      <w:r w:rsidR="00293EC4">
        <w:rPr>
          <w:rFonts w:ascii="Verdana" w:eastAsia="Calibri" w:hAnsi="Verdana" w:cs="Arial"/>
          <w:lang w:val="es-ES_tradnl" w:eastAsia="es-ES_tradnl"/>
        </w:rPr>
        <w:t xml:space="preserve">el análisis </w:t>
      </w:r>
      <w:r w:rsidR="00807569">
        <w:rPr>
          <w:rFonts w:ascii="Verdana" w:eastAsia="Calibri" w:hAnsi="Verdana" w:cs="Arial"/>
          <w:lang w:val="es-ES_tradnl" w:eastAsia="es-ES_tradnl"/>
        </w:rPr>
        <w:t>sobre</w:t>
      </w:r>
      <w:r w:rsidR="00357B70">
        <w:rPr>
          <w:rFonts w:ascii="Verdana" w:eastAsia="Calibri" w:hAnsi="Verdana" w:cs="Arial"/>
          <w:lang w:val="es-ES_tradnl" w:eastAsia="es-ES_tradnl"/>
        </w:rPr>
        <w:t xml:space="preserve"> </w:t>
      </w:r>
      <w:r w:rsidR="00890249">
        <w:rPr>
          <w:rFonts w:ascii="Verdana" w:eastAsia="Calibri" w:hAnsi="Verdana" w:cs="Arial"/>
          <w:lang w:val="es-ES_tradnl" w:eastAsia="es-ES_tradnl"/>
        </w:rPr>
        <w:t xml:space="preserve">la naturaleza </w:t>
      </w:r>
      <w:r w:rsidR="00F42737">
        <w:rPr>
          <w:rFonts w:ascii="Verdana" w:eastAsia="Calibri" w:hAnsi="Verdana" w:cs="Arial"/>
          <w:lang w:val="es-ES_tradnl" w:eastAsia="es-ES_tradnl"/>
        </w:rPr>
        <w:t>jurídica</w:t>
      </w:r>
      <w:r w:rsidR="00890249">
        <w:rPr>
          <w:rFonts w:ascii="Verdana" w:eastAsia="Calibri" w:hAnsi="Verdana" w:cs="Arial"/>
          <w:lang w:val="es-ES_tradnl" w:eastAsia="es-ES_tradnl"/>
        </w:rPr>
        <w:t xml:space="preserve"> de las ESAL. </w:t>
      </w:r>
      <w:r w:rsidR="0029396D" w:rsidRPr="00E67771">
        <w:rPr>
          <w:rFonts w:ascii="Verdana" w:eastAsia="Calibri" w:hAnsi="Verdana" w:cs="Arial"/>
          <w:lang w:val="es-ES_tradnl" w:eastAsia="es-ES_tradnl"/>
        </w:rPr>
        <w:t xml:space="preserve">En Colombia, la empresa se forma a través de un contrato de sociedad por medio del cual dos o más personas se obligan a hacer un aporte en dinero, en trabajo o en otros bienes apreciables en dinero con el fin de repartirse entre sí las utilidades obtenidas en la empresa, según el artículo 98 </w:t>
      </w:r>
      <w:r>
        <w:rPr>
          <w:rFonts w:ascii="Verdana" w:eastAsia="Calibri" w:hAnsi="Verdana" w:cs="Arial"/>
          <w:lang w:val="es-ES_tradnl" w:eastAsia="es-ES_tradnl"/>
        </w:rPr>
        <w:t>del Código de Comercio</w:t>
      </w:r>
      <w:r w:rsidR="0029396D" w:rsidRPr="00E67771">
        <w:rPr>
          <w:rFonts w:ascii="Verdana" w:eastAsia="Calibri" w:hAnsi="Verdana" w:cs="Arial"/>
          <w:lang w:val="es-ES_tradnl" w:eastAsia="es-ES_tradnl"/>
        </w:rPr>
        <w:t xml:space="preserve">. En ese sentido, puede decirse que serán sociedades comerciales aquellas que ejecuten actos o empresas mercantiles, en los términos señalados en el artículo 100 </w:t>
      </w:r>
      <w:r w:rsidRPr="00E67771">
        <w:rPr>
          <w:rFonts w:ascii="Verdana" w:eastAsia="Calibri" w:hAnsi="Verdana" w:cs="Arial"/>
          <w:i/>
          <w:iCs/>
          <w:lang w:val="es-ES_tradnl" w:eastAsia="es-ES_tradnl"/>
        </w:rPr>
        <w:t>ibidem</w:t>
      </w:r>
      <w:r w:rsidR="0029396D" w:rsidRPr="00E67771">
        <w:rPr>
          <w:rFonts w:ascii="Verdana" w:hAnsi="Verdana" w:cs="Arial"/>
          <w:vertAlign w:val="superscript"/>
        </w:rPr>
        <w:footnoteReference w:id="2"/>
      </w:r>
      <w:r w:rsidR="0029396D" w:rsidRPr="00E67771">
        <w:rPr>
          <w:rFonts w:ascii="Verdana" w:eastAsia="Calibri" w:hAnsi="Verdana" w:cs="Arial"/>
          <w:lang w:val="es-ES_tradnl" w:eastAsia="es-ES_tradnl"/>
        </w:rPr>
        <w:t>.</w:t>
      </w:r>
    </w:p>
    <w:p w14:paraId="3CF2D70F" w14:textId="77777777" w:rsidR="008563E4" w:rsidRDefault="0029396D" w:rsidP="0029396D">
      <w:pPr>
        <w:spacing w:before="120" w:after="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lastRenderedPageBreak/>
        <w:t>El Libro Segundo del Código de Comercio no incluye a las ESAL</w:t>
      </w:r>
      <w:r w:rsidR="009E1835">
        <w:rPr>
          <w:rFonts w:ascii="Verdana" w:eastAsia="Calibri" w:hAnsi="Verdana" w:cs="Arial"/>
          <w:lang w:val="es-ES_tradnl" w:eastAsia="es-ES_tradnl"/>
        </w:rPr>
        <w:t xml:space="preserve"> - como</w:t>
      </w:r>
      <w:r w:rsidR="009E1835" w:rsidRPr="00E62936">
        <w:rPr>
          <w:rFonts w:ascii="Verdana" w:eastAsia="Calibri" w:hAnsi="Verdana" w:cs="Arial"/>
          <w:lang w:val="es-ES_tradnl" w:eastAsia="es-ES_tradnl"/>
        </w:rPr>
        <w:t xml:space="preserve"> las corporaciones</w:t>
      </w:r>
      <w:r w:rsidR="009E1835">
        <w:rPr>
          <w:rFonts w:ascii="Verdana" w:eastAsia="Calibri" w:hAnsi="Verdana" w:cs="Arial"/>
          <w:lang w:val="es-ES_tradnl" w:eastAsia="es-ES_tradnl"/>
        </w:rPr>
        <w:t xml:space="preserve">, </w:t>
      </w:r>
      <w:r w:rsidR="009E1835" w:rsidRPr="00E62936">
        <w:rPr>
          <w:rFonts w:ascii="Verdana" w:eastAsia="Calibri" w:hAnsi="Verdana" w:cs="Arial"/>
          <w:lang w:val="es-ES_tradnl" w:eastAsia="es-ES_tradnl"/>
        </w:rPr>
        <w:t xml:space="preserve">asociaciones </w:t>
      </w:r>
      <w:r w:rsidR="009E1835">
        <w:rPr>
          <w:rFonts w:ascii="Verdana" w:eastAsia="Calibri" w:hAnsi="Verdana" w:cs="Arial"/>
          <w:lang w:val="es-ES_tradnl" w:eastAsia="es-ES_tradnl"/>
        </w:rPr>
        <w:t>o</w:t>
      </w:r>
      <w:r w:rsidR="009E1835" w:rsidRPr="00E62936">
        <w:rPr>
          <w:rFonts w:ascii="Verdana" w:eastAsia="Calibri" w:hAnsi="Verdana" w:cs="Arial"/>
          <w:lang w:val="es-ES_tradnl" w:eastAsia="es-ES_tradnl"/>
        </w:rPr>
        <w:t xml:space="preserve"> fundaciones</w:t>
      </w:r>
      <w:r w:rsidR="009E1835">
        <w:rPr>
          <w:rFonts w:ascii="Verdana" w:eastAsia="Calibri" w:hAnsi="Verdana" w:cs="Arial"/>
          <w:lang w:val="es-ES_tradnl" w:eastAsia="es-ES_tradnl"/>
        </w:rPr>
        <w:t xml:space="preserve"> –</w:t>
      </w:r>
      <w:r w:rsidRPr="00E67771">
        <w:rPr>
          <w:rFonts w:ascii="Verdana" w:eastAsia="Calibri" w:hAnsi="Verdana" w:cs="Arial"/>
          <w:lang w:val="es-ES_tradnl" w:eastAsia="es-ES_tradnl"/>
        </w:rPr>
        <w:t xml:space="preserve"> en</w:t>
      </w:r>
      <w:r w:rsidR="009E1835">
        <w:rPr>
          <w:rFonts w:ascii="Verdana" w:eastAsia="Calibri" w:hAnsi="Verdana" w:cs="Arial"/>
          <w:lang w:val="es-ES_tradnl" w:eastAsia="es-ES_tradnl"/>
        </w:rPr>
        <w:t xml:space="preserve"> </w:t>
      </w:r>
      <w:r w:rsidRPr="00E67771">
        <w:rPr>
          <w:rFonts w:ascii="Verdana" w:eastAsia="Calibri" w:hAnsi="Verdana" w:cs="Arial"/>
          <w:lang w:val="es-ES_tradnl" w:eastAsia="es-ES_tradnl"/>
        </w:rPr>
        <w:t>la enumeración de las sociedades comerciales. La razón de la exclusión, a juicio</w:t>
      </w:r>
      <w:r w:rsidR="00357FE4">
        <w:rPr>
          <w:rFonts w:ascii="Verdana" w:eastAsia="Calibri" w:hAnsi="Verdana" w:cs="Arial"/>
          <w:lang w:val="es-ES_tradnl" w:eastAsia="es-ES_tradnl"/>
        </w:rPr>
        <w:t xml:space="preserve"> de esta Agencia radica en que </w:t>
      </w:r>
      <w:r w:rsidRPr="00E67771">
        <w:rPr>
          <w:rFonts w:ascii="Verdana" w:eastAsia="Calibri" w:hAnsi="Verdana" w:cs="Arial"/>
          <w:lang w:val="es-ES_tradnl" w:eastAsia="es-ES_tradnl"/>
        </w:rPr>
        <w:t xml:space="preserve">estas organizaciones no tienen fines comerciales, es decir, carecen de ánimo de lucro, por eso no forman un tipo o clase de sociedad comercial. </w:t>
      </w:r>
    </w:p>
    <w:p w14:paraId="4B3123BB" w14:textId="77777777" w:rsidR="0029396D" w:rsidRPr="00E67771" w:rsidRDefault="0029396D" w:rsidP="0029396D">
      <w:pPr>
        <w:spacing w:before="120" w:after="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La norma que regula este tipo de corporaciones o asociaciones es el Código Civil –entre otras normas que se armonizan con él–, de lo que se sigue que no constituyen formas de sociedad comercial sino formas de organización civil, con fines esencialmente altruistas o de interés general, que se conforman entre personas que tienen como finalidad contribuir con su esfuerzo, y hasta con sus bienes, a ayudar a la comunidad</w:t>
      </w:r>
      <w:r w:rsidRPr="00E67771">
        <w:rPr>
          <w:rStyle w:val="Refdenotaalpie"/>
          <w:rFonts w:ascii="Verdana" w:eastAsia="Calibri" w:hAnsi="Verdana" w:cs="Arial"/>
          <w:lang w:val="es-ES_tradnl" w:eastAsia="es-ES_tradnl"/>
        </w:rPr>
        <w:footnoteReference w:id="3"/>
      </w:r>
      <w:r w:rsidRPr="00E67771">
        <w:rPr>
          <w:rFonts w:ascii="Verdana" w:eastAsia="Calibri" w:hAnsi="Verdana" w:cs="Arial"/>
          <w:lang w:val="es-ES_tradnl" w:eastAsia="es-ES_tradnl"/>
        </w:rPr>
        <w:t>. La ausencia de ánimo de lucro es, entonces, la característica determinante de estas corporaciones u organizaciones, lo que explica su nombre, y la diferencia fundamental con las sociedades comerciales.</w:t>
      </w:r>
    </w:p>
    <w:p w14:paraId="37348923" w14:textId="77777777" w:rsidR="00C700D8" w:rsidRDefault="0029396D" w:rsidP="60F29CF2">
      <w:pPr>
        <w:spacing w:before="120" w:after="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t>Que una ESAL no sea una forma de sociedad comercial se infiere igualmente de los requisitos que exige el artículo 98 del Código de Comercio, concretamente del previsto al final del inciso primero relacionado con su finalidad. En efecto, la norma en comento dispone: “[p]</w:t>
      </w:r>
      <w:proofErr w:type="spellStart"/>
      <w:r w:rsidRPr="00E67771">
        <w:rPr>
          <w:rFonts w:ascii="Verdana" w:eastAsia="Calibri" w:hAnsi="Verdana" w:cs="Arial"/>
          <w:lang w:val="es-ES" w:eastAsia="es-ES"/>
        </w:rPr>
        <w:t>or</w:t>
      </w:r>
      <w:proofErr w:type="spellEnd"/>
      <w:r w:rsidRPr="00E67771">
        <w:rPr>
          <w:rFonts w:ascii="Verdana" w:eastAsia="Calibri" w:hAnsi="Verdana" w:cs="Arial"/>
          <w:lang w:val="es-ES" w:eastAsia="es-ES"/>
        </w:rPr>
        <w:t xml:space="preserve"> el contrato de sociedad dos o más personas se obligan a hacer un aporte en dinero, en trabajo o en otros bienes apreciables en dinero, </w:t>
      </w:r>
      <w:r w:rsidRPr="00E67771">
        <w:rPr>
          <w:rFonts w:ascii="Verdana" w:eastAsia="Calibri" w:hAnsi="Verdana" w:cs="Arial"/>
          <w:i/>
          <w:iCs/>
          <w:lang w:val="es-ES" w:eastAsia="es-ES"/>
        </w:rPr>
        <w:t>con el fin de repartirse entre sí las utilidades obtenidas en la empresa o actividad socia</w:t>
      </w:r>
      <w:r w:rsidRPr="00E67771">
        <w:rPr>
          <w:rFonts w:ascii="Verdana" w:eastAsia="Calibri" w:hAnsi="Verdana" w:cs="Arial"/>
          <w:lang w:val="es-ES" w:eastAsia="es-ES"/>
        </w:rPr>
        <w:t xml:space="preserve">l” [Énfasis fuera de texto]. </w:t>
      </w:r>
    </w:p>
    <w:p w14:paraId="757DD323" w14:textId="77777777" w:rsidR="0029396D" w:rsidRPr="00E67771" w:rsidRDefault="0029396D" w:rsidP="0029396D">
      <w:pPr>
        <w:spacing w:before="120" w:after="0" w:line="276" w:lineRule="auto"/>
        <w:ind w:firstLine="709"/>
        <w:jc w:val="both"/>
        <w:rPr>
          <w:rFonts w:ascii="Verdana" w:eastAsia="Calibri" w:hAnsi="Verdana" w:cs="Arial"/>
          <w:lang w:val="es-ES_tradnl" w:eastAsia="es-ES_tradnl"/>
        </w:rPr>
      </w:pPr>
      <w:r w:rsidRPr="00E67771">
        <w:rPr>
          <w:rFonts w:ascii="Verdana" w:eastAsia="Calibri" w:hAnsi="Verdana" w:cs="Arial"/>
          <w:lang w:val="es-ES_tradnl" w:eastAsia="es-ES_tradnl"/>
        </w:rPr>
        <w:t>Así pues, se precisa que en el caso de las ESAL no se admite el reparto de utilidades, ni durante la existencia de la organización ni cuando se extinga</w:t>
      </w:r>
      <w:r w:rsidR="003505EE">
        <w:rPr>
          <w:rFonts w:ascii="Verdana" w:eastAsia="Calibri" w:hAnsi="Verdana" w:cs="Arial"/>
          <w:lang w:val="es-ES_tradnl" w:eastAsia="es-ES_tradnl"/>
        </w:rPr>
        <w:t xml:space="preserve">. </w:t>
      </w:r>
      <w:r w:rsidR="003505EE" w:rsidRPr="003505EE">
        <w:rPr>
          <w:rFonts w:ascii="Verdana" w:eastAsia="Calibri" w:hAnsi="Verdana" w:cs="Arial"/>
          <w:lang w:val="es-ES_tradnl" w:eastAsia="es-ES_tradnl"/>
        </w:rPr>
        <w:t>E</w:t>
      </w:r>
      <w:r w:rsidR="00A837BD">
        <w:rPr>
          <w:rFonts w:ascii="Verdana" w:eastAsia="Calibri" w:hAnsi="Verdana" w:cs="Arial"/>
          <w:lang w:val="es-ES_tradnl" w:eastAsia="es-ES_tradnl"/>
        </w:rPr>
        <w:t>n e</w:t>
      </w:r>
      <w:r w:rsidR="003505EE" w:rsidRPr="003505EE">
        <w:rPr>
          <w:rFonts w:ascii="Verdana" w:eastAsia="Calibri" w:hAnsi="Verdana" w:cs="Arial"/>
          <w:lang w:val="es-ES_tradnl" w:eastAsia="es-ES_tradnl"/>
        </w:rPr>
        <w:t xml:space="preserve">ste </w:t>
      </w:r>
      <w:r w:rsidRPr="00E67771">
        <w:rPr>
          <w:rFonts w:ascii="Verdana" w:eastAsia="Calibri" w:hAnsi="Verdana" w:cs="Arial"/>
          <w:lang w:val="es-ES_tradnl" w:eastAsia="es-ES_tradnl"/>
        </w:rPr>
        <w:t>aspecto, se insiste, radica la diferencia más apreciable entre unas y otras organizaciones, pese a que ambas se crean con libertad y al amparo del derecho fundamental de asociación, previsto en el artículo 38 de la Constitución Política y otras normas contenidas en tratados internacionales suscritos por Colombia.</w:t>
      </w:r>
    </w:p>
    <w:p w14:paraId="7719D43B" w14:textId="77777777" w:rsidR="0029396D" w:rsidRPr="00A303E8" w:rsidRDefault="0029396D" w:rsidP="60F29CF2">
      <w:pPr>
        <w:spacing w:before="120" w:after="0" w:line="276" w:lineRule="auto"/>
        <w:ind w:firstLine="709"/>
        <w:jc w:val="both"/>
        <w:rPr>
          <w:rFonts w:ascii="Verdana" w:eastAsia="Calibri" w:hAnsi="Verdana" w:cs="Arial"/>
          <w:lang w:val="es-ES" w:eastAsia="es-ES"/>
        </w:rPr>
      </w:pPr>
      <w:r w:rsidRPr="00E67771">
        <w:rPr>
          <w:rFonts w:ascii="Verdana" w:eastAsia="Calibri" w:hAnsi="Verdana" w:cs="Arial"/>
          <w:lang w:val="es-ES" w:eastAsia="es-ES"/>
        </w:rPr>
        <w:lastRenderedPageBreak/>
        <w:t>De conformidad con lo anterior, una “fundación” o una “asociación o corporación”, constituidas en los términos del Código Civil, no pueden asimilarse o identificarse con una “sociedad comercial”, como uniformemente lo considera la doctrina y la jurisprudencia civil y comercial</w:t>
      </w:r>
      <w:r w:rsidR="00236E8E" w:rsidRPr="60F29CF2">
        <w:rPr>
          <w:rFonts w:ascii="Verdana" w:eastAsia="Calibri" w:hAnsi="Verdana" w:cs="Arial"/>
          <w:lang w:val="es-ES" w:eastAsia="es-ES"/>
        </w:rPr>
        <w:t xml:space="preserve">. Lo anterior, </w:t>
      </w:r>
      <w:r w:rsidRPr="00A303E8">
        <w:rPr>
          <w:rFonts w:ascii="Verdana" w:eastAsia="Calibri" w:hAnsi="Verdana" w:cs="Arial"/>
          <w:lang w:val="es-ES" w:eastAsia="es-ES"/>
        </w:rPr>
        <w:t>en la medida en que esta última se crea con la finalidad de que sus socios repartan las utilidades obtenidas en desarrollo de la empresa o actividad social. Por el contrario, las fundaciones o asociaciones destinan su patrimonio a la consecución de un interés general y, como tal, no se percibe lucro, debiéndose reinvertir los excedentes monetarios que se presenten en la ESAL, al no ser viable su reparto entre los asociados.</w:t>
      </w:r>
    </w:p>
    <w:p w14:paraId="34EFD8A4" w14:textId="77777777" w:rsidR="0029396D" w:rsidRPr="00A303E8" w:rsidRDefault="0029396D" w:rsidP="0029396D">
      <w:pPr>
        <w:spacing w:before="120" w:after="0" w:line="276" w:lineRule="auto"/>
        <w:ind w:firstLine="709"/>
        <w:jc w:val="both"/>
        <w:rPr>
          <w:rFonts w:ascii="Verdana" w:eastAsia="Calibri" w:hAnsi="Verdana" w:cs="Arial"/>
          <w:lang w:val="es-ES_tradnl" w:eastAsia="es-ES_tradnl"/>
        </w:rPr>
      </w:pPr>
      <w:r w:rsidRPr="00A303E8">
        <w:rPr>
          <w:rFonts w:ascii="Verdana" w:eastAsia="Calibri" w:hAnsi="Verdana" w:cs="Arial"/>
          <w:lang w:val="es-ES_tradnl" w:eastAsia="es-ES_tradnl"/>
        </w:rPr>
        <w:t xml:space="preserve">Por su parte, la Corte Constitucional, en la sentencia C-287 de 2012, reiteró que la diferencia existente entre las sociedades comerciales y las </w:t>
      </w:r>
      <w:r w:rsidR="00BD034F">
        <w:rPr>
          <w:rFonts w:ascii="Verdana" w:eastAsia="Calibri" w:hAnsi="Verdana" w:cs="Arial"/>
          <w:lang w:val="es-ES_tradnl" w:eastAsia="es-ES_tradnl"/>
        </w:rPr>
        <w:t>ESAL</w:t>
      </w:r>
      <w:r w:rsidR="00FC02DF">
        <w:rPr>
          <w:rFonts w:ascii="Verdana" w:eastAsia="Calibri" w:hAnsi="Verdana" w:cs="Arial"/>
          <w:lang w:val="es-ES_tradnl" w:eastAsia="es-ES_tradnl"/>
        </w:rPr>
        <w:t xml:space="preserve"> </w:t>
      </w:r>
      <w:r w:rsidRPr="00A303E8">
        <w:rPr>
          <w:rFonts w:ascii="Verdana" w:eastAsia="Calibri" w:hAnsi="Verdana" w:cs="Arial"/>
          <w:lang w:val="es-ES_tradnl" w:eastAsia="es-ES_tradnl"/>
        </w:rPr>
        <w:t>es que estas últimas no reparten sus utilidades entre los socios</w:t>
      </w:r>
      <w:r w:rsidRPr="00A303E8">
        <w:rPr>
          <w:rStyle w:val="Refdenotaalpie"/>
          <w:rFonts w:ascii="Verdana" w:eastAsia="Calibri" w:hAnsi="Verdana" w:cs="Arial"/>
          <w:lang w:val="es-ES_tradnl" w:eastAsia="es-ES_tradnl"/>
        </w:rPr>
        <w:footnoteReference w:id="4"/>
      </w:r>
      <w:r w:rsidRPr="00A303E8">
        <w:rPr>
          <w:rFonts w:ascii="Verdana" w:eastAsia="Calibri" w:hAnsi="Verdana" w:cs="Arial"/>
          <w:lang w:val="es-ES_tradnl" w:eastAsia="es-ES_tradnl"/>
        </w:rPr>
        <w:t>. Así lo explicó en los siguientes términos:</w:t>
      </w:r>
    </w:p>
    <w:p w14:paraId="7056D322" w14:textId="77777777" w:rsidR="0029396D" w:rsidRPr="00A303E8" w:rsidRDefault="0029396D" w:rsidP="0029396D">
      <w:pPr>
        <w:spacing w:after="0" w:line="276" w:lineRule="auto"/>
        <w:ind w:firstLine="709"/>
        <w:jc w:val="both"/>
        <w:rPr>
          <w:rFonts w:ascii="Verdana" w:eastAsia="Calibri" w:hAnsi="Verdana" w:cs="Arial"/>
          <w:lang w:val="es-ES_tradnl" w:eastAsia="es-ES_tradnl"/>
        </w:rPr>
      </w:pPr>
    </w:p>
    <w:p w14:paraId="4DEEAB19" w14:textId="77777777" w:rsidR="0029396D" w:rsidRPr="00A303E8" w:rsidRDefault="0029396D" w:rsidP="60F29CF2">
      <w:pPr>
        <w:spacing w:after="0" w:line="240" w:lineRule="auto"/>
        <w:ind w:left="709" w:right="709"/>
        <w:jc w:val="both"/>
        <w:rPr>
          <w:rFonts w:ascii="Verdana" w:eastAsia="Calibri" w:hAnsi="Verdana" w:cs="Arial"/>
          <w:sz w:val="20"/>
          <w:szCs w:val="20"/>
          <w:lang w:val="es-ES" w:eastAsia="es-ES"/>
        </w:rPr>
      </w:pPr>
      <w:r w:rsidRPr="00A303E8">
        <w:rPr>
          <w:rFonts w:ascii="Verdana" w:eastAsia="Calibri" w:hAnsi="Verdana" w:cs="Arial"/>
          <w:sz w:val="20"/>
          <w:szCs w:val="20"/>
          <w:lang w:val="es-ES" w:eastAsia="es-ES"/>
        </w:rPr>
        <w:t xml:space="preserve">“Sin embargo, el hecho que no persigan una finalidad lucrativa no significa que no desarrollen actividades que generen utilidades, lo que pasa es que, a diferencia de las sociedades, el lucro o ganancia obtenida no se reparte entre sus </w:t>
      </w:r>
      <w:proofErr w:type="gramStart"/>
      <w:r w:rsidRPr="00A303E8">
        <w:rPr>
          <w:rFonts w:ascii="Verdana" w:eastAsia="Calibri" w:hAnsi="Verdana" w:cs="Arial"/>
          <w:sz w:val="20"/>
          <w:szCs w:val="20"/>
          <w:lang w:val="es-ES" w:eastAsia="es-ES"/>
        </w:rPr>
        <w:t>miembros</w:t>
      </w:r>
      <w:proofErr w:type="gramEnd"/>
      <w:r w:rsidRPr="00A303E8">
        <w:rPr>
          <w:rFonts w:ascii="Verdana" w:eastAsia="Calibri" w:hAnsi="Verdana" w:cs="Arial"/>
          <w:sz w:val="20"/>
          <w:szCs w:val="20"/>
          <w:lang w:val="es-ES" w:eastAsia="es-ES"/>
        </w:rPr>
        <w:t xml:space="preserve"> sino que se integra al patrimonio de la asociación para la obtención del fin deseado.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w:t>
      </w:r>
      <w:proofErr w:type="gramStart"/>
      <w:r w:rsidRPr="00A303E8">
        <w:rPr>
          <w:rFonts w:ascii="Verdana" w:eastAsia="Calibri" w:hAnsi="Verdana" w:cs="Arial"/>
          <w:sz w:val="20"/>
          <w:szCs w:val="20"/>
          <w:lang w:val="es-ES" w:eastAsia="es-ES"/>
        </w:rPr>
        <w:t>del mismo</w:t>
      </w:r>
      <w:proofErr w:type="gramEnd"/>
      <w:r w:rsidRPr="00A303E8">
        <w:rPr>
          <w:rFonts w:ascii="Verdana" w:eastAsia="Calibri" w:hAnsi="Verdana" w:cs="Arial"/>
          <w:sz w:val="20"/>
          <w:szCs w:val="20"/>
          <w:lang w:val="es-ES" w:eastAsia="es-ES"/>
        </w:rPr>
        <w:t xml:space="preserve"> en el momento de su disolución o liquidación”.</w:t>
      </w:r>
    </w:p>
    <w:p w14:paraId="5826BFB6" w14:textId="77777777" w:rsidR="0029396D" w:rsidRPr="00A303E8" w:rsidRDefault="0029396D" w:rsidP="0029396D">
      <w:pPr>
        <w:spacing w:after="0" w:line="276" w:lineRule="auto"/>
        <w:ind w:firstLine="709"/>
        <w:jc w:val="both"/>
        <w:rPr>
          <w:rFonts w:ascii="Verdana" w:eastAsia="Calibri" w:hAnsi="Verdana" w:cs="Arial"/>
          <w:lang w:val="es-ES_tradnl" w:eastAsia="es-ES_tradnl"/>
        </w:rPr>
      </w:pPr>
    </w:p>
    <w:p w14:paraId="61959CF4" w14:textId="77777777" w:rsidR="0000165C" w:rsidRDefault="0029396D" w:rsidP="0097206B">
      <w:pPr>
        <w:widowControl w:val="0"/>
        <w:autoSpaceDE w:val="0"/>
        <w:autoSpaceDN w:val="0"/>
        <w:spacing w:after="120" w:line="276" w:lineRule="auto"/>
        <w:ind w:firstLine="708"/>
        <w:jc w:val="both"/>
        <w:rPr>
          <w:rFonts w:ascii="Verdana" w:eastAsia="Calibri" w:hAnsi="Verdana" w:cs="Arial"/>
          <w:lang w:val="es-ES_tradnl" w:eastAsia="es-ES_tradnl"/>
        </w:rPr>
      </w:pPr>
      <w:r w:rsidRPr="00A303E8">
        <w:rPr>
          <w:rFonts w:ascii="Verdana" w:eastAsia="Calibri" w:hAnsi="Verdana" w:cs="Arial"/>
          <w:lang w:val="es-ES_tradnl" w:eastAsia="es-ES_tradnl"/>
        </w:rPr>
        <w:t xml:space="preserve">Igualmente, el Consejo de Estado expresó que la naturaleza jurídica de las ESAL es diferente a las sociedades mercantiles, toda vez que su objeto no está destinado a perseguir un lucro que pueda ser repartido entre sus asociados, sino que las ganancias se reinvierten en la </w:t>
      </w:r>
      <w:r w:rsidR="0000165C">
        <w:rPr>
          <w:rFonts w:ascii="Verdana" w:eastAsia="Calibri" w:hAnsi="Verdana" w:cs="Arial"/>
          <w:lang w:val="es-ES_tradnl" w:eastAsia="es-ES_tradnl"/>
        </w:rPr>
        <w:t>ESAL</w:t>
      </w:r>
      <w:r w:rsidRPr="00A303E8">
        <w:rPr>
          <w:rFonts w:ascii="Verdana" w:eastAsia="Calibri" w:hAnsi="Verdana" w:cs="Arial"/>
          <w:lang w:val="es-ES_tradnl" w:eastAsia="es-ES_tradnl"/>
        </w:rPr>
        <w:t xml:space="preserve"> para el desarrollo de su objeto social</w:t>
      </w:r>
      <w:r w:rsidRPr="00A303E8">
        <w:rPr>
          <w:rStyle w:val="Refdenotaalpie"/>
          <w:rFonts w:ascii="Verdana" w:eastAsia="Calibri" w:hAnsi="Verdana" w:cs="Arial"/>
          <w:lang w:val="es-ES_tradnl" w:eastAsia="es-ES_tradnl"/>
        </w:rPr>
        <w:footnoteReference w:id="5"/>
      </w:r>
      <w:r w:rsidRPr="00A303E8">
        <w:rPr>
          <w:rFonts w:ascii="Verdana" w:eastAsia="Calibri" w:hAnsi="Verdana" w:cs="Arial"/>
          <w:lang w:val="es-ES_tradnl" w:eastAsia="es-ES_tradnl"/>
        </w:rPr>
        <w:t xml:space="preserve">. </w:t>
      </w:r>
    </w:p>
    <w:p w14:paraId="43B335CD" w14:textId="77777777" w:rsidR="0029396D" w:rsidRDefault="0029396D" w:rsidP="0097206B">
      <w:pPr>
        <w:widowControl w:val="0"/>
        <w:autoSpaceDE w:val="0"/>
        <w:autoSpaceDN w:val="0"/>
        <w:spacing w:after="120" w:line="276" w:lineRule="auto"/>
        <w:ind w:firstLine="708"/>
        <w:jc w:val="both"/>
        <w:rPr>
          <w:rFonts w:ascii="Verdana" w:eastAsia="Calibri" w:hAnsi="Verdana" w:cs="Arial"/>
          <w:lang w:val="es-ES_tradnl" w:eastAsia="es-ES_tradnl"/>
        </w:rPr>
      </w:pPr>
      <w:r w:rsidRPr="00A303E8">
        <w:rPr>
          <w:rFonts w:ascii="Verdana" w:eastAsia="Calibri" w:hAnsi="Verdana" w:cs="Arial"/>
          <w:lang w:val="es-ES_tradnl" w:eastAsia="es-ES_tradnl"/>
        </w:rPr>
        <w:t xml:space="preserve">En ese mismo sentido, la Cámara de Comercio de Bogotá, en el “Documento ABC Entidades sin Ánimo de Lucro”, ha definido las ESAL como “las personas jurídicas que se constituyen por la voluntad de asociación o creación de otras personas (naturales o jurídicas) para realizar actividades en beneficio de los asociados o de terceras personas o de la comunidad en general y no </w:t>
      </w:r>
      <w:r w:rsidRPr="00A303E8">
        <w:rPr>
          <w:rFonts w:ascii="Verdana" w:eastAsia="Calibri" w:hAnsi="Verdana" w:cs="Arial"/>
          <w:lang w:val="es-ES_tradnl" w:eastAsia="es-ES_tradnl"/>
        </w:rPr>
        <w:lastRenderedPageBreak/>
        <w:t>persiguen el reparto de utilidades entre sus miembros</w:t>
      </w:r>
      <w:r w:rsidRPr="00A303E8">
        <w:rPr>
          <w:rStyle w:val="Refdenotaalpie"/>
          <w:rFonts w:ascii="Verdana" w:eastAsia="Calibri" w:hAnsi="Verdana" w:cs="Arial"/>
          <w:lang w:val="es-ES_tradnl" w:eastAsia="es-ES_tradnl"/>
        </w:rPr>
        <w:footnoteReference w:id="6"/>
      </w:r>
      <w:r w:rsidRPr="00A303E8">
        <w:rPr>
          <w:rFonts w:ascii="Verdana" w:eastAsia="Calibri" w:hAnsi="Verdana" w:cs="Arial"/>
          <w:lang w:val="es-ES_tradnl" w:eastAsia="es-ES_tradnl"/>
        </w:rPr>
        <w:t>”. Las ESAL, no tienen la naturaleza jurídica de empresa sino, de asociaciones que buscan la realización de un fin común y objetivos carentes de un contenido esencialmente patrimonial –fin de lucro y reparto de las utilidades–.</w:t>
      </w:r>
    </w:p>
    <w:p w14:paraId="4D23C84C" w14:textId="6A36F301" w:rsidR="009E03AF" w:rsidRPr="00410002" w:rsidRDefault="009E03AF" w:rsidP="00A303E8">
      <w:pPr>
        <w:widowControl w:val="0"/>
        <w:autoSpaceDE w:val="0"/>
        <w:autoSpaceDN w:val="0"/>
        <w:spacing w:after="120" w:line="276" w:lineRule="auto"/>
        <w:ind w:firstLine="708"/>
        <w:jc w:val="both"/>
        <w:rPr>
          <w:rFonts w:ascii="Verdana" w:eastAsia="Calibri" w:hAnsi="Verdana" w:cs="Arial"/>
          <w:lang w:val="es-ES"/>
        </w:rPr>
      </w:pPr>
      <w:r>
        <w:rPr>
          <w:rFonts w:ascii="Verdana" w:eastAsia="Calibri" w:hAnsi="Verdana" w:cs="Arial"/>
          <w:lang w:val="es-ES_tradnl" w:eastAsia="es-ES_tradnl"/>
        </w:rPr>
        <w:t xml:space="preserve">Habiéndose agotado el estudio de la naturaleza </w:t>
      </w:r>
      <w:r w:rsidR="00A303E8">
        <w:rPr>
          <w:rFonts w:ascii="Verdana" w:eastAsia="Calibri" w:hAnsi="Verdana" w:cs="Arial"/>
          <w:lang w:val="es-ES_tradnl" w:eastAsia="es-ES_tradnl"/>
        </w:rPr>
        <w:t>jurídica</w:t>
      </w:r>
      <w:r>
        <w:rPr>
          <w:rFonts w:ascii="Verdana" w:eastAsia="Calibri" w:hAnsi="Verdana" w:cs="Arial"/>
          <w:lang w:val="es-ES_tradnl" w:eastAsia="es-ES_tradnl"/>
        </w:rPr>
        <w:t xml:space="preserve"> de las ESAL y su principal diferencia con las sociedades comerciales, se procede a establecer si a aquellas les </w:t>
      </w:r>
      <w:r w:rsidR="000E4121">
        <w:rPr>
          <w:rFonts w:ascii="Verdana" w:eastAsia="Calibri" w:hAnsi="Verdana" w:cs="Arial"/>
          <w:lang w:val="es-ES_tradnl" w:eastAsia="es-ES_tradnl"/>
        </w:rPr>
        <w:t xml:space="preserve">son </w:t>
      </w:r>
      <w:r>
        <w:rPr>
          <w:rFonts w:ascii="Verdana" w:eastAsia="Calibri" w:hAnsi="Verdana" w:cs="Arial"/>
          <w:lang w:val="es-ES_tradnl" w:eastAsia="es-ES_tradnl"/>
        </w:rPr>
        <w:t>aplicable</w:t>
      </w:r>
      <w:r w:rsidR="000E4121">
        <w:rPr>
          <w:rFonts w:ascii="Verdana" w:eastAsia="Calibri" w:hAnsi="Verdana" w:cs="Arial"/>
          <w:lang w:val="es-ES_tradnl" w:eastAsia="es-ES_tradnl"/>
        </w:rPr>
        <w:t>s</w:t>
      </w:r>
      <w:r>
        <w:rPr>
          <w:rFonts w:ascii="Verdana" w:eastAsia="Calibri" w:hAnsi="Verdana" w:cs="Arial"/>
          <w:lang w:val="es-ES_tradnl" w:eastAsia="es-ES_tradnl"/>
        </w:rPr>
        <w:t xml:space="preserve"> los criterios diferenciales</w:t>
      </w:r>
      <w:r w:rsidR="00F056C9">
        <w:rPr>
          <w:rFonts w:ascii="Verdana" w:eastAsia="Calibri" w:hAnsi="Verdana" w:cs="Arial"/>
          <w:lang w:val="es-ES_tradnl" w:eastAsia="es-ES_tradnl"/>
        </w:rPr>
        <w:t xml:space="preserve"> establecidos en la Ley 2069 de 2020 a favor de las </w:t>
      </w:r>
      <w:proofErr w:type="spellStart"/>
      <w:r w:rsidR="00F056C9">
        <w:rPr>
          <w:rFonts w:ascii="Verdana" w:eastAsia="Calibri" w:hAnsi="Verdana" w:cs="Arial"/>
          <w:lang w:val="es-ES_tradnl" w:eastAsia="es-ES_tradnl"/>
        </w:rPr>
        <w:t>Mipymes</w:t>
      </w:r>
      <w:proofErr w:type="spellEnd"/>
      <w:r w:rsidR="00F056C9">
        <w:rPr>
          <w:rFonts w:ascii="Verdana" w:eastAsia="Calibri" w:hAnsi="Verdana" w:cs="Arial"/>
          <w:lang w:val="es-ES_tradnl" w:eastAsia="es-ES_tradnl"/>
        </w:rPr>
        <w:t xml:space="preserve"> y los emprendimientos y empresas de </w:t>
      </w:r>
      <w:r w:rsidR="00A303E8">
        <w:rPr>
          <w:rFonts w:ascii="Verdana" w:eastAsia="Calibri" w:hAnsi="Verdana" w:cs="Arial"/>
          <w:lang w:val="es-ES_tradnl" w:eastAsia="es-ES_tradnl"/>
        </w:rPr>
        <w:t>mujeres en</w:t>
      </w:r>
      <w:r w:rsidR="0039710A">
        <w:rPr>
          <w:rFonts w:ascii="Verdana" w:eastAsia="Calibri" w:hAnsi="Verdana" w:cs="Arial"/>
          <w:lang w:val="es-ES_tradnl" w:eastAsia="es-ES_tradnl"/>
        </w:rPr>
        <w:t xml:space="preserve"> el Sistema de Compras y Contratación Pública. </w:t>
      </w:r>
    </w:p>
    <w:p w14:paraId="4038B8C2" w14:textId="32194BBE" w:rsidR="00B019B7" w:rsidRDefault="00171AD9" w:rsidP="00A303E8">
      <w:pPr>
        <w:widowControl w:val="0"/>
        <w:autoSpaceDE w:val="0"/>
        <w:autoSpaceDN w:val="0"/>
        <w:spacing w:after="120" w:line="276" w:lineRule="auto"/>
        <w:jc w:val="both"/>
        <w:rPr>
          <w:rFonts w:ascii="Verdana" w:eastAsia="Calibri" w:hAnsi="Verdana" w:cs="Arial"/>
          <w:bCs/>
          <w:lang w:eastAsia="es-ES_tradnl"/>
        </w:rPr>
      </w:pPr>
      <w:proofErr w:type="spellStart"/>
      <w:r>
        <w:rPr>
          <w:rFonts w:ascii="Verdana" w:eastAsia="Calibri" w:hAnsi="Verdana" w:cs="Arial"/>
          <w:lang w:val="es-ES"/>
        </w:rPr>
        <w:t>ii</w:t>
      </w:r>
      <w:proofErr w:type="spellEnd"/>
      <w:r>
        <w:rPr>
          <w:rFonts w:ascii="Verdana" w:eastAsia="Calibri" w:hAnsi="Verdana" w:cs="Arial"/>
          <w:lang w:val="es-ES"/>
        </w:rPr>
        <w:t xml:space="preserve">) </w:t>
      </w:r>
      <w:r w:rsidR="00A406A2" w:rsidRPr="00995CAD">
        <w:rPr>
          <w:rFonts w:ascii="Verdana" w:eastAsia="Calibri" w:hAnsi="Verdana" w:cs="Arial"/>
          <w:lang w:val="es-ES"/>
        </w:rPr>
        <w:t>L</w:t>
      </w:r>
      <w:r w:rsidR="00A406A2" w:rsidRPr="00995CAD">
        <w:rPr>
          <w:rFonts w:ascii="Verdana" w:eastAsia="Arial" w:hAnsi="Verdana" w:cs="Arial"/>
          <w:lang w:val="es-ES" w:eastAsia="es-CO"/>
        </w:rPr>
        <w:t>a Ley 2069 d</w:t>
      </w:r>
      <w:r w:rsidR="00A406A2" w:rsidRPr="00995CAD">
        <w:rPr>
          <w:rFonts w:ascii="Verdana" w:eastAsia="Arial" w:hAnsi="Verdana" w:cs="Arial"/>
          <w:lang w:eastAsia="es-CO"/>
        </w:rPr>
        <w:t>el 31 de diciembre de 2020,</w:t>
      </w:r>
      <w:r w:rsidR="00A406A2" w:rsidRPr="00995CAD">
        <w:rPr>
          <w:rFonts w:ascii="Verdana" w:eastAsia="Arial" w:hAnsi="Verdana" w:cs="Arial"/>
          <w:lang w:val="es-ES" w:eastAsia="es-CO"/>
        </w:rPr>
        <w:t xml:space="preserve"> “Por medio de la cual se impulsa el emprendimiento en Colombia”, establece un marco regulatorio que propicia el emprendimiento, el crecimiento, la consolidación y la sostenibilidad de las empresas, con el fin de aumentar el bienestar social y generar equidad. E</w:t>
      </w:r>
      <w:r w:rsidR="00A406A2" w:rsidRPr="00995CAD">
        <w:rPr>
          <w:rFonts w:ascii="Verdana" w:eastAsia="Arial" w:hAnsi="Verdana" w:cs="Arial"/>
          <w:bCs/>
          <w:lang w:val="es-ES" w:eastAsia="es-CO"/>
        </w:rPr>
        <w:t xml:space="preserve">l “Capítulo III – Compras públicas” de la mencionada Ley </w:t>
      </w:r>
      <w:r w:rsidR="00A406A2" w:rsidRPr="00995CAD">
        <w:rPr>
          <w:rFonts w:ascii="Verdana" w:eastAsia="Times New Roman" w:hAnsi="Verdana" w:cs="Arial"/>
          <w:lang w:eastAsia="es-MX"/>
        </w:rPr>
        <w:t>contiene normas que modifican</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algunos</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aspectos</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de</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la</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contratación</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estatal</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para</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promover</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el</w:t>
      </w:r>
      <w:r w:rsidR="00A406A2" w:rsidRPr="00995CAD">
        <w:rPr>
          <w:rFonts w:ascii="Verdana" w:eastAsia="Times New Roman" w:hAnsi="Verdana" w:cs="Arial"/>
          <w:spacing w:val="1"/>
          <w:lang w:eastAsia="es-MX"/>
        </w:rPr>
        <w:t xml:space="preserve"> </w:t>
      </w:r>
      <w:r w:rsidR="00A406A2" w:rsidRPr="00995CAD">
        <w:rPr>
          <w:rFonts w:ascii="Verdana" w:eastAsia="Times New Roman" w:hAnsi="Verdana" w:cs="Arial"/>
          <w:lang w:eastAsia="es-MX"/>
        </w:rPr>
        <w:t xml:space="preserve">emprendimiento. </w:t>
      </w:r>
      <w:r w:rsidR="00BC2A99" w:rsidRPr="00A303E8">
        <w:rPr>
          <w:rFonts w:ascii="Verdana" w:eastAsia="Calibri" w:hAnsi="Verdana" w:cs="Arial"/>
          <w:bCs/>
          <w:lang w:eastAsia="es-ES_tradnl"/>
        </w:rPr>
        <w:t xml:space="preserve">Dentro del referido capítulo se encuentran </w:t>
      </w:r>
      <w:bookmarkStart w:id="3" w:name="_Hlk63848566"/>
      <w:r w:rsidR="00BC2A99" w:rsidRPr="00A303E8">
        <w:rPr>
          <w:rFonts w:ascii="Verdana" w:eastAsia="Calibri" w:hAnsi="Verdana" w:cs="Arial"/>
          <w:bCs/>
          <w:lang w:eastAsia="es-ES_tradnl"/>
        </w:rPr>
        <w:t>los artículos 31 y 32</w:t>
      </w:r>
      <w:bookmarkEnd w:id="3"/>
      <w:r w:rsidR="00BC2A99" w:rsidRPr="00A303E8">
        <w:rPr>
          <w:rFonts w:ascii="Verdana" w:eastAsia="Calibri" w:hAnsi="Verdana" w:cs="Arial"/>
          <w:bCs/>
          <w:lang w:eastAsia="es-ES_tradnl"/>
        </w:rPr>
        <w:t xml:space="preserve">, a través de los cuales se crean una serie de incentivos para las personas interesadas en celebrar contratos con el Estado. </w:t>
      </w:r>
    </w:p>
    <w:p w14:paraId="5B14CE81" w14:textId="12DB1410" w:rsidR="001B0734" w:rsidRPr="00995CAD" w:rsidRDefault="004E3308" w:rsidP="007624E4">
      <w:pPr>
        <w:spacing w:after="120" w:line="276" w:lineRule="auto"/>
        <w:ind w:firstLine="708"/>
        <w:jc w:val="both"/>
        <w:rPr>
          <w:rFonts w:ascii="Verdana" w:eastAsia="Arial" w:hAnsi="Verdana" w:cs="Arial"/>
          <w:bCs/>
          <w:lang w:eastAsia="es-CO"/>
        </w:rPr>
      </w:pPr>
      <w:r w:rsidRPr="00995CAD">
        <w:rPr>
          <w:rFonts w:ascii="Verdana" w:eastAsia="Arial" w:hAnsi="Verdana" w:cs="Arial"/>
          <w:lang w:val="es-ES" w:eastAsia="es-CO"/>
        </w:rPr>
        <w:t>Por un lado</w:t>
      </w:r>
      <w:r w:rsidR="00A406A2" w:rsidRPr="00995CAD">
        <w:rPr>
          <w:rFonts w:ascii="Verdana" w:eastAsia="Arial" w:hAnsi="Verdana" w:cs="Arial"/>
          <w:lang w:val="es-ES" w:eastAsia="es-CO"/>
        </w:rPr>
        <w:t xml:space="preserve">, el artículo 31 </w:t>
      </w:r>
      <w:r w:rsidR="00A406A2" w:rsidRPr="00995CAD">
        <w:rPr>
          <w:rFonts w:ascii="Verdana" w:eastAsia="Arial" w:hAnsi="Verdana" w:cs="Arial"/>
          <w:i/>
          <w:iCs/>
          <w:lang w:val="es-ES" w:eastAsia="es-CO"/>
        </w:rPr>
        <w:t>ibidem</w:t>
      </w:r>
      <w:r w:rsidR="00A406A2" w:rsidRPr="00995CAD">
        <w:rPr>
          <w:rFonts w:ascii="Verdana" w:eastAsia="Arial" w:hAnsi="Verdana" w:cs="Arial"/>
          <w:lang w:eastAsia="es-CO"/>
        </w:rPr>
        <w:t xml:space="preserve"> </w:t>
      </w:r>
      <w:r w:rsidR="00A406A2" w:rsidRPr="00995CAD">
        <w:rPr>
          <w:rFonts w:ascii="Verdana" w:eastAsia="Arial" w:hAnsi="Verdana" w:cs="Arial"/>
          <w:bCs/>
          <w:lang w:eastAsia="es-CO"/>
        </w:rPr>
        <w:t xml:space="preserve">introduce criterios diferenciales para el acceso de las </w:t>
      </w:r>
      <w:proofErr w:type="spellStart"/>
      <w:r w:rsidR="00A406A2" w:rsidRPr="00995CAD">
        <w:rPr>
          <w:rFonts w:ascii="Verdana" w:eastAsia="Arial" w:hAnsi="Verdana" w:cs="Arial"/>
          <w:bCs/>
          <w:lang w:eastAsia="es-CO"/>
        </w:rPr>
        <w:t>Mipyme</w:t>
      </w:r>
      <w:proofErr w:type="spellEnd"/>
      <w:r w:rsidR="00A406A2" w:rsidRPr="00995CAD">
        <w:rPr>
          <w:rFonts w:ascii="Verdana" w:eastAsia="Arial" w:hAnsi="Verdana" w:cs="Arial"/>
          <w:bCs/>
          <w:lang w:eastAsia="es-CO"/>
        </w:rPr>
        <w:t xml:space="preserve"> al </w:t>
      </w:r>
      <w:r w:rsidR="008C3B8B" w:rsidRPr="00995CAD">
        <w:rPr>
          <w:rFonts w:ascii="Verdana" w:eastAsia="Arial" w:hAnsi="Verdana" w:cs="Arial"/>
          <w:bCs/>
          <w:lang w:eastAsia="es-CO"/>
        </w:rPr>
        <w:t xml:space="preserve">Sistema </w:t>
      </w:r>
      <w:r w:rsidR="00A406A2" w:rsidRPr="00995CAD">
        <w:rPr>
          <w:rFonts w:ascii="Verdana" w:eastAsia="Arial" w:hAnsi="Verdana" w:cs="Arial"/>
          <w:bCs/>
          <w:lang w:eastAsia="es-CO"/>
        </w:rPr>
        <w:t xml:space="preserve">de </w:t>
      </w:r>
      <w:r w:rsidR="008C3B8B" w:rsidRPr="00995CAD">
        <w:rPr>
          <w:rFonts w:ascii="Verdana" w:eastAsia="Arial" w:hAnsi="Verdana" w:cs="Arial"/>
          <w:bCs/>
          <w:lang w:eastAsia="es-CO"/>
        </w:rPr>
        <w:t xml:space="preserve">Compras </w:t>
      </w:r>
      <w:r w:rsidR="00A406A2" w:rsidRPr="00995CAD">
        <w:rPr>
          <w:rFonts w:ascii="Verdana" w:eastAsia="Arial" w:hAnsi="Verdana" w:cs="Arial"/>
          <w:bCs/>
          <w:lang w:eastAsia="es-CO"/>
        </w:rPr>
        <w:t xml:space="preserve">y </w:t>
      </w:r>
      <w:r w:rsidR="008C3B8B" w:rsidRPr="00995CAD">
        <w:rPr>
          <w:rFonts w:ascii="Verdana" w:eastAsia="Arial" w:hAnsi="Verdana" w:cs="Arial"/>
          <w:bCs/>
          <w:lang w:eastAsia="es-CO"/>
        </w:rPr>
        <w:t>Contratación Pública</w:t>
      </w:r>
      <w:r w:rsidR="00A406A2" w:rsidRPr="00995CAD">
        <w:rPr>
          <w:rFonts w:ascii="Verdana" w:eastAsia="Arial" w:hAnsi="Verdana" w:cs="Arial"/>
          <w:bCs/>
          <w:lang w:eastAsia="es-CO"/>
        </w:rPr>
        <w:t xml:space="preserve">. Para estos efectos, el inciso primero dispone que “Las Entidades Estatales de acuerdo con el análisis de sector </w:t>
      </w:r>
      <w:bookmarkStart w:id="4" w:name="_Hlk63767562"/>
      <w:r w:rsidR="00A406A2" w:rsidRPr="00995CAD">
        <w:rPr>
          <w:rFonts w:ascii="Verdana" w:eastAsia="Arial" w:hAnsi="Verdana" w:cs="Arial"/>
          <w:bCs/>
          <w:lang w:eastAsia="es-CO"/>
        </w:rPr>
        <w:t>podrán incluir, en los Documentos del Proceso, requisitos diferenciales y puntajes adicionales</w:t>
      </w:r>
      <w:bookmarkEnd w:id="4"/>
      <w:r w:rsidR="00A406A2" w:rsidRPr="00995CAD">
        <w:rPr>
          <w:rFonts w:ascii="Verdana" w:eastAsia="Arial" w:hAnsi="Verdana" w:cs="Arial"/>
          <w:bCs/>
          <w:lang w:eastAsia="es-CO"/>
        </w:rPr>
        <w:t xml:space="preserve">, en función del tamaño empresarial para la promoción del acceso de las MIPYMES al mercado de Compras Públicas”. Esto significa que, la aplicación de los criterios diferenciales, los cuales incluyen tanto los requisitos diferenciales como los puntajes adicionales, depende de las conclusiones del estudio del sector. </w:t>
      </w:r>
    </w:p>
    <w:p w14:paraId="48431782" w14:textId="77777777" w:rsidR="001B0734" w:rsidRPr="000C3249" w:rsidRDefault="00A406A2" w:rsidP="007624E4">
      <w:pPr>
        <w:spacing w:after="120" w:line="276" w:lineRule="auto"/>
        <w:ind w:firstLine="708"/>
        <w:jc w:val="both"/>
        <w:rPr>
          <w:rFonts w:ascii="Verdana" w:eastAsia="Calibri" w:hAnsi="Verdana" w:cs="Arial"/>
          <w:bCs/>
          <w:lang w:eastAsia="es-ES_tradnl"/>
        </w:rPr>
      </w:pPr>
      <w:r w:rsidRPr="00995CAD">
        <w:rPr>
          <w:rFonts w:ascii="Verdana" w:eastAsia="Arial" w:hAnsi="Verdana" w:cs="Arial"/>
          <w:bCs/>
          <w:lang w:eastAsia="es-CO"/>
        </w:rPr>
        <w:t xml:space="preserve">Así mismo, esta norma </w:t>
      </w:r>
      <w:r w:rsidRPr="00995CAD">
        <w:rPr>
          <w:rFonts w:ascii="Verdana" w:eastAsia="Arial" w:hAnsi="Verdana" w:cs="Arial"/>
          <w:lang w:eastAsia="es-CO"/>
        </w:rPr>
        <w:t>dispuso que el Gobierno Nacional reglamentaría la definición de los criterios diferenciales</w:t>
      </w:r>
      <w:r w:rsidRPr="00995CAD">
        <w:rPr>
          <w:rFonts w:ascii="Verdana" w:eastAsia="Arial" w:hAnsi="Verdana" w:cs="Arial"/>
          <w:lang w:val="es-ES" w:eastAsia="es-CO"/>
        </w:rPr>
        <w:t xml:space="preserve"> para promover y facilitar el acceso de las </w:t>
      </w:r>
      <w:proofErr w:type="spellStart"/>
      <w:r w:rsidRPr="00995CAD">
        <w:rPr>
          <w:rFonts w:ascii="Verdana" w:eastAsia="Arial" w:hAnsi="Verdana" w:cs="Arial"/>
          <w:lang w:val="es-ES" w:eastAsia="es-CO"/>
        </w:rPr>
        <w:t>Mipyme</w:t>
      </w:r>
      <w:proofErr w:type="spellEnd"/>
      <w:r w:rsidRPr="00995CAD">
        <w:rPr>
          <w:rFonts w:ascii="Verdana" w:eastAsia="Arial" w:hAnsi="Verdana" w:cs="Arial"/>
          <w:lang w:val="es-ES" w:eastAsia="es-CO"/>
        </w:rPr>
        <w:t xml:space="preserve"> al mercado de compras públicas</w:t>
      </w:r>
      <w:r w:rsidRPr="00995CAD">
        <w:rPr>
          <w:rFonts w:ascii="Verdana" w:eastAsia="Arial" w:hAnsi="Verdana" w:cs="Arial"/>
          <w:lang w:eastAsia="es-CO"/>
        </w:rPr>
        <w:t xml:space="preserve">, estableciendo reglas objetivas para su implementación, las cuales priorizarían la contratación de producción nacional, sin perjuicio de los compromisos comerciales adquiridos con otros Estados. </w:t>
      </w:r>
      <w:r w:rsidR="00B22F76" w:rsidRPr="000C3249">
        <w:rPr>
          <w:rFonts w:ascii="Verdana" w:eastAsia="Calibri" w:hAnsi="Verdana" w:cs="Arial"/>
          <w:bCs/>
          <w:lang w:eastAsia="es-ES_tradnl"/>
        </w:rPr>
        <w:t xml:space="preserve">Es </w:t>
      </w:r>
      <w:r w:rsidR="00B22F76" w:rsidRPr="000C3249">
        <w:rPr>
          <w:rFonts w:ascii="Verdana" w:eastAsia="Calibri" w:hAnsi="Verdana" w:cs="Arial"/>
          <w:bCs/>
          <w:lang w:eastAsia="es-ES_tradnl"/>
        </w:rPr>
        <w:lastRenderedPageBreak/>
        <w:t xml:space="preserve">decir, esta </w:t>
      </w:r>
      <w:r w:rsidR="001B0734" w:rsidRPr="000C3249">
        <w:rPr>
          <w:rFonts w:ascii="Verdana" w:eastAsia="Calibri" w:hAnsi="Verdana" w:cs="Arial"/>
          <w:bCs/>
          <w:lang w:eastAsia="es-ES_tradnl"/>
        </w:rPr>
        <w:t>disposición requería</w:t>
      </w:r>
      <w:r w:rsidR="00B22F76" w:rsidRPr="000C3249">
        <w:rPr>
          <w:rFonts w:ascii="Verdana" w:eastAsia="Calibri" w:hAnsi="Verdana" w:cs="Arial"/>
          <w:bCs/>
          <w:lang w:eastAsia="es-ES_tradnl"/>
        </w:rPr>
        <w:t xml:space="preserve"> el desarrollo reglamentario como una condición previa para su aplicación</w:t>
      </w:r>
      <w:r w:rsidR="001B0734" w:rsidRPr="000C3249">
        <w:rPr>
          <w:rFonts w:ascii="Verdana" w:eastAsia="Calibri" w:hAnsi="Verdana" w:cs="Arial"/>
          <w:bCs/>
          <w:lang w:eastAsia="es-ES_tradnl"/>
        </w:rPr>
        <w:t xml:space="preserve">. </w:t>
      </w:r>
    </w:p>
    <w:p w14:paraId="50E9BE9A" w14:textId="77777777" w:rsidR="00EE372F" w:rsidRPr="000C3249" w:rsidRDefault="00EE372F" w:rsidP="000C3249">
      <w:pPr>
        <w:spacing w:after="0" w:line="276" w:lineRule="auto"/>
        <w:ind w:firstLine="709"/>
        <w:jc w:val="both"/>
        <w:rPr>
          <w:rFonts w:ascii="Verdana" w:eastAsia="Arial" w:hAnsi="Verdana" w:cs="Arial"/>
          <w:bCs/>
          <w:lang w:eastAsia="es-CO"/>
        </w:rPr>
      </w:pPr>
      <w:r w:rsidRPr="000C3249">
        <w:rPr>
          <w:rFonts w:ascii="Verdana" w:eastAsia="Calibri" w:hAnsi="Verdana" w:cs="Arial"/>
          <w:bCs/>
          <w:lang w:eastAsia="es-ES_tradnl"/>
        </w:rPr>
        <w:t>Por otra parte, el artículo 32 de la Ley 2069 de 2020</w:t>
      </w:r>
      <w:r w:rsidRPr="000C3249">
        <w:rPr>
          <w:rFonts w:ascii="Verdana" w:eastAsia="Calibri" w:hAnsi="Verdana" w:cs="Arial"/>
          <w:bCs/>
          <w:vertAlign w:val="superscript"/>
          <w:lang w:eastAsia="es-ES_tradnl"/>
        </w:rPr>
        <w:footnoteReference w:id="7"/>
      </w:r>
      <w:r w:rsidRPr="000C3249">
        <w:rPr>
          <w:rFonts w:ascii="Verdana" w:eastAsia="Calibri" w:hAnsi="Verdana" w:cs="Arial"/>
          <w:bCs/>
          <w:lang w:eastAsia="es-ES_tradnl"/>
        </w:rPr>
        <w:t xml:space="preserve"> regula criterios diferenciales para los “emprendimientos y empresas de mujeres” en el sistema de compras y contratación pública. En relación con este aspecto, el inciso primero de la norma citada prescribe lo siguiente: </w:t>
      </w:r>
    </w:p>
    <w:p w14:paraId="3241F4C2" w14:textId="77777777" w:rsidR="00EE372F" w:rsidRPr="000C3249" w:rsidRDefault="00EE372F" w:rsidP="000C3249">
      <w:pPr>
        <w:tabs>
          <w:tab w:val="left" w:pos="709"/>
        </w:tabs>
        <w:spacing w:after="0" w:line="276" w:lineRule="auto"/>
        <w:jc w:val="both"/>
        <w:rPr>
          <w:rFonts w:ascii="Verdana" w:eastAsia="Calibri" w:hAnsi="Verdana" w:cs="Arial"/>
          <w:bCs/>
          <w:lang w:eastAsia="es-ES_tradnl"/>
        </w:rPr>
      </w:pPr>
    </w:p>
    <w:p w14:paraId="27579603" w14:textId="77777777" w:rsidR="00EE372F" w:rsidRPr="000C3249" w:rsidRDefault="00EE372F" w:rsidP="000C3249">
      <w:pPr>
        <w:tabs>
          <w:tab w:val="left" w:pos="709"/>
        </w:tabs>
        <w:spacing w:after="0" w:line="240" w:lineRule="auto"/>
        <w:ind w:left="709" w:right="709"/>
        <w:jc w:val="both"/>
        <w:rPr>
          <w:rFonts w:ascii="Verdana" w:eastAsia="Calibri" w:hAnsi="Verdana" w:cs="Arial"/>
          <w:bCs/>
          <w:sz w:val="20"/>
          <w:szCs w:val="20"/>
          <w:lang w:eastAsia="es-ES_tradnl"/>
        </w:rPr>
      </w:pPr>
      <w:r w:rsidRPr="000C3249">
        <w:rPr>
          <w:rFonts w:ascii="Verdana" w:hAnsi="Verdana" w:cs="Arial"/>
          <w:sz w:val="20"/>
          <w:szCs w:val="20"/>
        </w:rPr>
        <w:t>“</w:t>
      </w:r>
      <w:r w:rsidRPr="000C3249">
        <w:rPr>
          <w:rFonts w:ascii="Verdana" w:eastAsia="Calibri" w:hAnsi="Verdana" w:cs="Arial"/>
          <w:bCs/>
          <w:sz w:val="20"/>
          <w:szCs w:val="20"/>
          <w:lang w:eastAsia="es-ES_tradnl"/>
        </w:rPr>
        <w:t xml:space="preserve">De acuerdo con el resultado del análisis del sector, las entidades estatales incluirán requisitos diferenciales y puntajes adicionales en los procesos de </w:t>
      </w:r>
      <w:bookmarkStart w:id="5" w:name="_Hlk63770487"/>
      <w:r w:rsidRPr="000C3249">
        <w:rPr>
          <w:rFonts w:ascii="Verdana" w:eastAsia="Calibri" w:hAnsi="Verdana" w:cs="Arial"/>
          <w:bCs/>
          <w:sz w:val="20"/>
          <w:szCs w:val="20"/>
          <w:lang w:eastAsia="es-ES_tradnl"/>
        </w:rPr>
        <w:t>licitación pública, selección abreviada de menor cuantía y concurso de méritos</w:t>
      </w:r>
      <w:bookmarkEnd w:id="5"/>
      <w:r w:rsidRPr="000C3249">
        <w:rPr>
          <w:rFonts w:ascii="Verdana" w:eastAsia="Calibri" w:hAnsi="Verdana" w:cs="Arial"/>
          <w:bCs/>
          <w:sz w:val="20"/>
          <w:szCs w:val="20"/>
          <w:lang w:eastAsia="es-ES_tradnl"/>
        </w:rPr>
        <w:t>,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w:t>
      </w:r>
      <w:r w:rsidRPr="000C3249">
        <w:rPr>
          <w:rFonts w:ascii="Verdana" w:hAnsi="Verdana" w:cs="Arial"/>
          <w:sz w:val="20"/>
          <w:szCs w:val="20"/>
        </w:rPr>
        <w:t>”</w:t>
      </w:r>
      <w:r w:rsidRPr="000C3249">
        <w:rPr>
          <w:rFonts w:ascii="Verdana" w:eastAsia="Calibri" w:hAnsi="Verdana" w:cs="Arial"/>
          <w:bCs/>
          <w:sz w:val="20"/>
          <w:szCs w:val="20"/>
          <w:lang w:eastAsia="es-ES_tradnl"/>
        </w:rPr>
        <w:t>.</w:t>
      </w:r>
    </w:p>
    <w:p w14:paraId="6622BB44" w14:textId="77777777" w:rsidR="00EE372F" w:rsidRPr="000C3249" w:rsidRDefault="00EE372F" w:rsidP="000C3249">
      <w:pPr>
        <w:tabs>
          <w:tab w:val="left" w:pos="709"/>
        </w:tabs>
        <w:spacing w:after="0" w:line="276" w:lineRule="auto"/>
        <w:ind w:left="709" w:right="709"/>
        <w:jc w:val="both"/>
        <w:rPr>
          <w:rFonts w:ascii="Verdana" w:eastAsia="Calibri" w:hAnsi="Verdana" w:cs="Arial"/>
          <w:bCs/>
          <w:szCs w:val="24"/>
          <w:lang w:eastAsia="es-ES_tradnl"/>
        </w:rPr>
      </w:pPr>
    </w:p>
    <w:p w14:paraId="5D771929" w14:textId="77777777" w:rsidR="00EE372F" w:rsidRPr="000C3249" w:rsidRDefault="00EE372F" w:rsidP="00362CA6">
      <w:pPr>
        <w:tabs>
          <w:tab w:val="left" w:pos="709"/>
        </w:tabs>
        <w:spacing w:after="120" w:line="276" w:lineRule="auto"/>
        <w:jc w:val="both"/>
        <w:rPr>
          <w:rFonts w:ascii="Verdana" w:eastAsia="Calibri" w:hAnsi="Verdana" w:cs="Arial"/>
          <w:bCs/>
          <w:lang w:eastAsia="es-ES_tradnl"/>
        </w:rPr>
      </w:pPr>
      <w:r w:rsidRPr="000C3249">
        <w:rPr>
          <w:rFonts w:ascii="Verdana" w:eastAsia="Calibri" w:hAnsi="Verdana" w:cs="Arial"/>
          <w:bCs/>
          <w:lang w:eastAsia="es-ES_tradnl"/>
        </w:rPr>
        <w:tab/>
        <w:t xml:space="preserve">De esta manera, los “criterios diferenciales” del artículo 32 </w:t>
      </w:r>
      <w:r w:rsidRPr="000C3249">
        <w:rPr>
          <w:rFonts w:ascii="Verdana" w:eastAsia="Calibri" w:hAnsi="Verdana" w:cs="Arial"/>
          <w:bCs/>
          <w:i/>
          <w:iCs/>
          <w:lang w:eastAsia="es-ES_tradnl"/>
        </w:rPr>
        <w:t>ibidem</w:t>
      </w:r>
      <w:r w:rsidRPr="000C3249">
        <w:rPr>
          <w:rFonts w:ascii="Verdana" w:eastAsia="Calibri" w:hAnsi="Verdana" w:cs="Arial"/>
          <w:bCs/>
          <w:lang w:eastAsia="es-ES_tradnl"/>
        </w:rPr>
        <w:t xml:space="preserve"> –que </w:t>
      </w:r>
      <w:r w:rsidR="005862A0">
        <w:rPr>
          <w:rFonts w:ascii="Verdana" w:eastAsia="Calibri" w:hAnsi="Verdana" w:cs="Arial"/>
          <w:bCs/>
          <w:lang w:eastAsia="es-ES_tradnl"/>
        </w:rPr>
        <w:t xml:space="preserve">también </w:t>
      </w:r>
      <w:r w:rsidRPr="000C3249">
        <w:rPr>
          <w:rFonts w:ascii="Verdana" w:eastAsia="Calibri" w:hAnsi="Verdana" w:cs="Arial"/>
          <w:bCs/>
          <w:lang w:eastAsia="es-ES_tradnl"/>
        </w:rPr>
        <w:t xml:space="preserve">incluyen tanto los “requisitos diferenciales” como los “puntajes adicionales”– aplican a “[…] los procesos de licitación pública, selección abreviada de menor cuantía y concurso de méritos […]”, excluyendo las demás modalidades de selección del artículo 2 de la Ley 1150 de 2007. Asimismo, sin distinciones posteriores, la norma en comento también se extiende a todos los procedimientos que realicen las Entidades Estatales excluidas de la Ley 80 de 1993.     </w:t>
      </w:r>
    </w:p>
    <w:p w14:paraId="3D0D2498" w14:textId="77777777" w:rsidR="00EE372F" w:rsidRPr="000C3249" w:rsidRDefault="00EE372F" w:rsidP="000C3249">
      <w:pPr>
        <w:spacing w:after="120" w:line="276" w:lineRule="auto"/>
        <w:ind w:firstLine="709"/>
        <w:jc w:val="both"/>
        <w:rPr>
          <w:rFonts w:ascii="Verdana" w:eastAsia="Calibri" w:hAnsi="Verdana" w:cs="Arial"/>
          <w:lang w:val="es-ES_tradnl" w:eastAsia="es-ES_tradnl"/>
        </w:rPr>
      </w:pPr>
      <w:r w:rsidRPr="000C3249">
        <w:rPr>
          <w:rFonts w:ascii="Verdana" w:eastAsia="Calibri" w:hAnsi="Verdana" w:cs="Arial"/>
          <w:bCs/>
          <w:lang w:eastAsia="es-ES_tradnl"/>
        </w:rPr>
        <w:t>No obstante, el artículo 32 de la Ley 2069 de 2020 –</w:t>
      </w:r>
      <w:r w:rsidR="005862A0">
        <w:rPr>
          <w:rFonts w:ascii="Verdana" w:eastAsia="Calibri" w:hAnsi="Verdana" w:cs="Arial"/>
          <w:bCs/>
          <w:lang w:eastAsia="es-ES_tradnl"/>
        </w:rPr>
        <w:t xml:space="preserve"> </w:t>
      </w:r>
      <w:r w:rsidRPr="000C3249">
        <w:rPr>
          <w:rFonts w:ascii="Verdana" w:eastAsia="Calibri" w:hAnsi="Verdana" w:cs="Arial"/>
          <w:bCs/>
          <w:lang w:eastAsia="es-ES_tradnl"/>
        </w:rPr>
        <w:t>al</w:t>
      </w:r>
      <w:r w:rsidR="005862A0">
        <w:rPr>
          <w:rFonts w:ascii="Verdana" w:eastAsia="Calibri" w:hAnsi="Verdana" w:cs="Arial"/>
          <w:bCs/>
          <w:lang w:eastAsia="es-ES_tradnl"/>
        </w:rPr>
        <w:t xml:space="preserve"> </w:t>
      </w:r>
      <w:r w:rsidRPr="000C3249">
        <w:rPr>
          <w:rFonts w:ascii="Verdana" w:eastAsia="Calibri" w:hAnsi="Verdana" w:cs="Arial"/>
          <w:bCs/>
          <w:lang w:eastAsia="es-ES_tradnl"/>
        </w:rPr>
        <w:t>igual que el artículo 31</w:t>
      </w:r>
      <w:r w:rsidR="005862A0">
        <w:rPr>
          <w:rFonts w:ascii="Verdana" w:eastAsia="Calibri" w:hAnsi="Verdana" w:cs="Arial"/>
          <w:bCs/>
          <w:lang w:eastAsia="es-ES_tradnl"/>
        </w:rPr>
        <w:t xml:space="preserve"> </w:t>
      </w:r>
      <w:r w:rsidRPr="000C3249">
        <w:rPr>
          <w:rFonts w:ascii="Verdana" w:eastAsia="Calibri" w:hAnsi="Verdana" w:cs="Arial"/>
          <w:bCs/>
          <w:lang w:eastAsia="es-ES_tradnl"/>
        </w:rPr>
        <w:t>– también</w:t>
      </w:r>
      <w:r w:rsidR="005862A0">
        <w:rPr>
          <w:rFonts w:ascii="Verdana" w:eastAsia="Calibri" w:hAnsi="Verdana" w:cs="Arial"/>
          <w:bCs/>
          <w:lang w:eastAsia="es-ES_tradnl"/>
        </w:rPr>
        <w:t xml:space="preserve"> </w:t>
      </w:r>
      <w:r w:rsidRPr="000C3249">
        <w:rPr>
          <w:rFonts w:ascii="Verdana" w:eastAsia="Calibri" w:hAnsi="Verdana" w:cs="Arial"/>
          <w:bCs/>
          <w:lang w:eastAsia="es-ES_tradnl"/>
        </w:rPr>
        <w:t xml:space="preserve">alude a la necesidad del desarrollo normativo posterior. Al respecto, el parágrafo dispone que “[l]a definición de emprendimientos y empresas de mujeres se reglamentará por el gobierno nacional”. En ese sentido, la aplicación de criterios diferenciales en favor de mujeres y emprendimientos </w:t>
      </w:r>
      <w:r w:rsidRPr="000C3249">
        <w:rPr>
          <w:rFonts w:ascii="Verdana" w:eastAsia="Calibri" w:hAnsi="Verdana" w:cs="Arial"/>
          <w:bCs/>
          <w:lang w:eastAsia="es-ES_tradnl"/>
        </w:rPr>
        <w:lastRenderedPageBreak/>
        <w:t>de mujeres est</w:t>
      </w:r>
      <w:r w:rsidR="00A94594" w:rsidRPr="00362CA6">
        <w:rPr>
          <w:rFonts w:ascii="Verdana" w:eastAsia="Calibri" w:hAnsi="Verdana" w:cs="Arial"/>
          <w:bCs/>
          <w:lang w:eastAsia="es-ES_tradnl"/>
        </w:rPr>
        <w:t>aba</w:t>
      </w:r>
      <w:r w:rsidRPr="000C3249">
        <w:rPr>
          <w:rFonts w:ascii="Verdana" w:eastAsia="Calibri" w:hAnsi="Verdana" w:cs="Arial"/>
          <w:bCs/>
          <w:lang w:eastAsia="es-ES_tradnl"/>
        </w:rPr>
        <w:t xml:space="preserve"> condicionada por el ejercicio de potestad reglamentaria, en orden de establecer la regulación en marco de la cual las Entidades Estatales deben aplicar los criterios diferenciales del artículo 32 de la Ley 2069 de 2020. </w:t>
      </w:r>
    </w:p>
    <w:p w14:paraId="3DD1E8E2" w14:textId="77777777" w:rsidR="00A406A2" w:rsidRPr="00362CA6" w:rsidRDefault="00A406A2" w:rsidP="00362CA6">
      <w:pPr>
        <w:spacing w:after="120" w:line="276" w:lineRule="auto"/>
        <w:jc w:val="both"/>
        <w:rPr>
          <w:rFonts w:ascii="Verdana" w:eastAsia="Arial" w:hAnsi="Verdana" w:cs="Arial"/>
          <w:lang w:eastAsia="es-CO"/>
        </w:rPr>
      </w:pPr>
      <w:r w:rsidRPr="00362CA6">
        <w:rPr>
          <w:rFonts w:ascii="Verdana" w:eastAsia="Arial" w:hAnsi="Verdana" w:cs="Arial"/>
          <w:lang w:val="es-ES" w:eastAsia="es-CO"/>
        </w:rPr>
        <w:tab/>
        <w:t>Con fundamento en lo anterior, el Gobierno Nacional expidió el Decreto 1860 de 2021 que</w:t>
      </w:r>
      <w:r w:rsidRPr="00362CA6">
        <w:rPr>
          <w:rFonts w:ascii="Verdana" w:eastAsia="Arial" w:hAnsi="Verdana" w:cs="Arial"/>
          <w:lang w:eastAsia="es-CO"/>
        </w:rPr>
        <w:t xml:space="preserve"> modificó el Decreto 1082 de 2015, Único Reglamentario del Sector Administrativo de Planeación Nacional, incorporando una regulación detallada de las normas anteriormente citadas para la efectiva aplicación de la Ley 2069 de 2020 en el </w:t>
      </w:r>
      <w:r w:rsidR="002C1E66" w:rsidRPr="00362CA6">
        <w:rPr>
          <w:rFonts w:ascii="Verdana" w:eastAsia="Arial" w:hAnsi="Verdana" w:cs="Arial"/>
          <w:lang w:eastAsia="es-CO"/>
        </w:rPr>
        <w:t xml:space="preserve">Sistema </w:t>
      </w:r>
      <w:r w:rsidRPr="00362CA6">
        <w:rPr>
          <w:rFonts w:ascii="Verdana" w:eastAsia="Arial" w:hAnsi="Verdana" w:cs="Arial"/>
          <w:lang w:eastAsia="es-CO"/>
        </w:rPr>
        <w:t xml:space="preserve">de </w:t>
      </w:r>
      <w:r w:rsidR="002C1E66" w:rsidRPr="00362CA6">
        <w:rPr>
          <w:rFonts w:ascii="Verdana" w:eastAsia="Arial" w:hAnsi="Verdana" w:cs="Arial"/>
          <w:lang w:eastAsia="es-CO"/>
        </w:rPr>
        <w:t xml:space="preserve">Compras </w:t>
      </w:r>
      <w:r w:rsidRPr="00362CA6">
        <w:rPr>
          <w:rFonts w:ascii="Verdana" w:eastAsia="Arial" w:hAnsi="Verdana" w:cs="Arial"/>
          <w:lang w:eastAsia="es-CO"/>
        </w:rPr>
        <w:t xml:space="preserve">y </w:t>
      </w:r>
      <w:r w:rsidR="002C1E66" w:rsidRPr="00362CA6">
        <w:rPr>
          <w:rFonts w:ascii="Verdana" w:eastAsia="Arial" w:hAnsi="Verdana" w:cs="Arial"/>
          <w:lang w:eastAsia="es-CO"/>
        </w:rPr>
        <w:t>Contratación Pública</w:t>
      </w:r>
      <w:r w:rsidRPr="00362CA6">
        <w:rPr>
          <w:rFonts w:ascii="Verdana" w:eastAsia="Arial" w:hAnsi="Verdana" w:cs="Arial"/>
          <w:lang w:eastAsia="es-CO"/>
        </w:rPr>
        <w:t xml:space="preserve">, </w:t>
      </w:r>
      <w:r w:rsidRPr="00362CA6">
        <w:rPr>
          <w:rFonts w:ascii="Verdana" w:eastAsia="Times New Roman" w:hAnsi="Verdana" w:cs="Arial"/>
          <w:lang w:eastAsia="es-MX"/>
        </w:rPr>
        <w:t>además de incluir algunas disposiciones adicionales para la reglamentación efectiva de la citada Ley</w:t>
      </w:r>
      <w:r w:rsidRPr="00362CA6">
        <w:rPr>
          <w:rFonts w:ascii="Verdana" w:eastAsia="Times New Roman" w:hAnsi="Verdana" w:cs="Arial"/>
          <w:vertAlign w:val="superscript"/>
          <w:lang w:eastAsia="es-MX"/>
        </w:rPr>
        <w:footnoteReference w:id="8"/>
      </w:r>
      <w:r w:rsidRPr="00362CA6">
        <w:rPr>
          <w:rFonts w:ascii="Verdana" w:eastAsia="Times New Roman" w:hAnsi="Verdana" w:cs="Arial"/>
          <w:lang w:eastAsia="es-MX"/>
        </w:rPr>
        <w:t>.</w:t>
      </w:r>
      <w:r w:rsidRPr="00362CA6">
        <w:rPr>
          <w:rFonts w:ascii="Verdana" w:eastAsia="Arial" w:hAnsi="Verdana" w:cs="Arial"/>
          <w:lang w:eastAsia="es-CO"/>
        </w:rPr>
        <w:t xml:space="preserve"> </w:t>
      </w:r>
    </w:p>
    <w:p w14:paraId="38DFFBE5" w14:textId="756325BD" w:rsidR="00A406A2" w:rsidRPr="00362CA6" w:rsidRDefault="00A406A2" w:rsidP="00362CA6">
      <w:pPr>
        <w:spacing w:after="120" w:line="276" w:lineRule="auto"/>
        <w:ind w:firstLine="708"/>
        <w:jc w:val="both"/>
        <w:rPr>
          <w:rFonts w:ascii="Verdana" w:eastAsia="Arial" w:hAnsi="Verdana" w:cs="Arial"/>
          <w:lang w:eastAsia="es-MX"/>
        </w:rPr>
      </w:pPr>
      <w:r w:rsidRPr="00362CA6">
        <w:rPr>
          <w:rFonts w:ascii="Verdana" w:eastAsia="Arial" w:hAnsi="Verdana" w:cs="Arial"/>
          <w:lang w:val="es-ES" w:eastAsia="es-CO"/>
        </w:rPr>
        <w:t xml:space="preserve">De esta manera, el artículo </w:t>
      </w:r>
      <w:r w:rsidR="00F41E99">
        <w:rPr>
          <w:rFonts w:ascii="Verdana" w:eastAsia="Arial" w:hAnsi="Verdana" w:cs="Arial"/>
          <w:lang w:val="es-ES" w:eastAsia="es-CO"/>
        </w:rPr>
        <w:t>5</w:t>
      </w:r>
      <w:r w:rsidRPr="00362CA6">
        <w:rPr>
          <w:rFonts w:ascii="Verdana" w:eastAsia="Arial" w:hAnsi="Verdana" w:cs="Arial"/>
          <w:lang w:val="es-ES" w:eastAsia="es-CO"/>
        </w:rPr>
        <w:t xml:space="preserve"> del Decreto 1860 de 2021</w:t>
      </w:r>
      <w:bookmarkStart w:id="6" w:name="_Hlk110840316"/>
      <w:r w:rsidRPr="00362CA6">
        <w:rPr>
          <w:rFonts w:ascii="Verdana" w:eastAsia="Times New Roman" w:hAnsi="Verdana" w:cs="Arial"/>
          <w:lang w:eastAsia="es-MX"/>
        </w:rPr>
        <w:t xml:space="preserve">, que adicionó </w:t>
      </w:r>
      <w:r w:rsidRPr="00362CA6">
        <w:rPr>
          <w:rFonts w:ascii="Verdana" w:eastAsia="Times New Roman" w:hAnsi="Verdana" w:cs="Arial"/>
          <w:bCs/>
          <w:lang w:eastAsia="es-MX"/>
        </w:rPr>
        <w:t xml:space="preserve">el artículo 2.2.1.2.4.2.18 al </w:t>
      </w:r>
      <w:r w:rsidRPr="00362CA6">
        <w:rPr>
          <w:rFonts w:ascii="Verdana" w:eastAsia="Times New Roman" w:hAnsi="Verdana" w:cs="Arial"/>
          <w:lang w:eastAsia="es-MX"/>
        </w:rPr>
        <w:t xml:space="preserve">Decreto 1082 de 2015 reglamentó los criterios diferenciales para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en el </w:t>
      </w:r>
      <w:r w:rsidR="0084159C" w:rsidRPr="00362CA6">
        <w:rPr>
          <w:rFonts w:ascii="Verdana" w:eastAsia="Times New Roman" w:hAnsi="Verdana" w:cs="Arial"/>
          <w:lang w:eastAsia="es-MX"/>
        </w:rPr>
        <w:t xml:space="preserve">Sistema </w:t>
      </w:r>
      <w:r w:rsidRPr="00362CA6">
        <w:rPr>
          <w:rFonts w:ascii="Verdana" w:eastAsia="Times New Roman" w:hAnsi="Verdana" w:cs="Arial"/>
          <w:lang w:eastAsia="es-MX"/>
        </w:rPr>
        <w:t xml:space="preserve">de </w:t>
      </w:r>
      <w:r w:rsidR="0084159C" w:rsidRPr="00362CA6">
        <w:rPr>
          <w:rFonts w:ascii="Verdana" w:eastAsia="Times New Roman" w:hAnsi="Verdana" w:cs="Arial"/>
          <w:lang w:eastAsia="es-MX"/>
        </w:rPr>
        <w:t>Compras Públicas</w:t>
      </w:r>
      <w:r w:rsidRPr="00362CA6">
        <w:rPr>
          <w:rFonts w:ascii="Verdana" w:eastAsia="Times New Roman" w:hAnsi="Verdana" w:cs="Arial"/>
          <w:lang w:eastAsia="es-MX"/>
        </w:rPr>
        <w:t>. Conforme a esta norma</w:t>
      </w:r>
      <w:r w:rsidR="00682588">
        <w:rPr>
          <w:rFonts w:ascii="Verdana" w:eastAsia="Times New Roman" w:hAnsi="Verdana" w:cs="Arial"/>
          <w:lang w:eastAsia="es-MX"/>
        </w:rPr>
        <w:t>,</w:t>
      </w:r>
      <w:r w:rsidRPr="00362CA6">
        <w:rPr>
          <w:rFonts w:ascii="Verdana" w:eastAsia="Times New Roman" w:hAnsi="Verdana" w:cs="Arial"/>
          <w:lang w:eastAsia="es-MX"/>
        </w:rPr>
        <w:t xml:space="preserve"> las Entidades Estatales indistintamente de su régimen de contratación, los patrimonios autónomos constituidos por Entidades Estatales y los particulares que ejecuten recursos públicos establecerán condiciones habilitantes diferenciales que promuevan y faciliten la participación en los procedimientos de selección competitivos de las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domiciliadas en Colombia. </w:t>
      </w:r>
    </w:p>
    <w:p w14:paraId="03CF5936" w14:textId="77777777" w:rsidR="00A406A2" w:rsidRPr="00362CA6" w:rsidRDefault="00A406A2" w:rsidP="00362CA6">
      <w:pPr>
        <w:spacing w:after="120" w:line="276" w:lineRule="auto"/>
        <w:jc w:val="both"/>
        <w:rPr>
          <w:rFonts w:ascii="Verdana" w:eastAsia="Times New Roman" w:hAnsi="Verdana" w:cs="Arial"/>
          <w:lang w:eastAsia="es-MX"/>
        </w:rPr>
      </w:pPr>
      <w:r w:rsidRPr="00362CA6">
        <w:rPr>
          <w:rFonts w:ascii="Verdana" w:eastAsia="Arial" w:hAnsi="Verdana" w:cs="Arial"/>
          <w:lang w:eastAsia="es-MX"/>
        </w:rPr>
        <w:tab/>
      </w:r>
      <w:r w:rsidRPr="00362CA6">
        <w:rPr>
          <w:rFonts w:ascii="Verdana" w:eastAsia="Times New Roman" w:hAnsi="Verdana" w:cs="Arial"/>
          <w:lang w:eastAsia="es-MX"/>
        </w:rPr>
        <w:t xml:space="preserve">Estos criterios en favor de las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buscan reducir las asimetrías entre estas y las grandes empresas para vincularse como proveedoras del mercado de compras públicas y, en consecuencia, promover y facilitar la participación en los procedimientos de selección competitivos de las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domiciliadas en Colombia. Para estos efectos, el artículo 2.2.1.2.4.2.18 del Decreto 1082 de 2015 estableció que, según los resultados del análisis del sector, en función de los criterios de clasificación empresarial, los documentos del proceso deberán incorporar requisitos habilitantes diferenciales relacionados con alguno o algunos de los siguientes aspectos: i) tiempo de experiencia, </w:t>
      </w:r>
      <w:proofErr w:type="spellStart"/>
      <w:r w:rsidRPr="00362CA6">
        <w:rPr>
          <w:rFonts w:ascii="Verdana" w:eastAsia="Times New Roman" w:hAnsi="Verdana" w:cs="Arial"/>
          <w:lang w:eastAsia="es-MX"/>
        </w:rPr>
        <w:t>ii</w:t>
      </w:r>
      <w:proofErr w:type="spellEnd"/>
      <w:r w:rsidRPr="00362CA6">
        <w:rPr>
          <w:rFonts w:ascii="Verdana" w:eastAsia="Times New Roman" w:hAnsi="Verdana" w:cs="Arial"/>
          <w:lang w:eastAsia="es-MX"/>
        </w:rPr>
        <w:t xml:space="preserve">) número de contratos para la acreditación de la experiencia, </w:t>
      </w:r>
      <w:proofErr w:type="spellStart"/>
      <w:r w:rsidRPr="00362CA6">
        <w:rPr>
          <w:rFonts w:ascii="Verdana" w:eastAsia="Times New Roman" w:hAnsi="Verdana" w:cs="Arial"/>
          <w:lang w:eastAsia="es-MX"/>
        </w:rPr>
        <w:t>iii</w:t>
      </w:r>
      <w:proofErr w:type="spellEnd"/>
      <w:r w:rsidRPr="00362CA6">
        <w:rPr>
          <w:rFonts w:ascii="Verdana" w:eastAsia="Times New Roman" w:hAnsi="Verdana" w:cs="Arial"/>
          <w:lang w:eastAsia="es-MX"/>
        </w:rPr>
        <w:t xml:space="preserve">) índices de capacidad financiera, </w:t>
      </w:r>
      <w:proofErr w:type="spellStart"/>
      <w:r w:rsidRPr="00362CA6">
        <w:rPr>
          <w:rFonts w:ascii="Verdana" w:eastAsia="Times New Roman" w:hAnsi="Verdana" w:cs="Arial"/>
          <w:lang w:eastAsia="es-MX"/>
        </w:rPr>
        <w:t>iv</w:t>
      </w:r>
      <w:proofErr w:type="spellEnd"/>
      <w:r w:rsidRPr="00362CA6">
        <w:rPr>
          <w:rFonts w:ascii="Verdana" w:eastAsia="Times New Roman" w:hAnsi="Verdana" w:cs="Arial"/>
          <w:lang w:eastAsia="es-MX"/>
        </w:rPr>
        <w:t xml:space="preserve">) </w:t>
      </w:r>
      <w:r w:rsidRPr="00362CA6">
        <w:rPr>
          <w:rFonts w:ascii="Verdana" w:eastAsia="Times New Roman" w:hAnsi="Verdana" w:cs="Arial"/>
          <w:lang w:eastAsia="es-MX"/>
        </w:rPr>
        <w:lastRenderedPageBreak/>
        <w:t xml:space="preserve">índices de capacidad organizacional y v) valor de la garantía de seriedad de la oferta. </w:t>
      </w:r>
    </w:p>
    <w:p w14:paraId="449E1800" w14:textId="77777777" w:rsidR="00A406A2" w:rsidRPr="00362CA6" w:rsidRDefault="00A406A2" w:rsidP="00362CA6">
      <w:pPr>
        <w:spacing w:after="120" w:line="276" w:lineRule="auto"/>
        <w:ind w:firstLine="708"/>
        <w:jc w:val="both"/>
        <w:rPr>
          <w:rFonts w:ascii="Verdana" w:eastAsia="Times New Roman" w:hAnsi="Verdana" w:cs="Arial"/>
          <w:lang w:eastAsia="es-MX"/>
        </w:rPr>
      </w:pPr>
      <w:r w:rsidRPr="00362CA6">
        <w:rPr>
          <w:rFonts w:ascii="Verdana" w:eastAsia="Times New Roman" w:hAnsi="Verdana" w:cs="Arial"/>
          <w:lang w:eastAsia="es-MX"/>
        </w:rPr>
        <w:t>Lo anterior significa que</w:t>
      </w:r>
      <w:r w:rsidR="006A4508">
        <w:rPr>
          <w:rFonts w:ascii="Verdana" w:eastAsia="Times New Roman" w:hAnsi="Verdana" w:cs="Arial"/>
          <w:lang w:eastAsia="es-MX"/>
        </w:rPr>
        <w:t>,</w:t>
      </w:r>
      <w:r w:rsidRPr="00362CA6">
        <w:rPr>
          <w:rFonts w:ascii="Verdana" w:eastAsia="Times New Roman" w:hAnsi="Verdana" w:cs="Arial"/>
          <w:lang w:eastAsia="es-MX"/>
        </w:rPr>
        <w:t xml:space="preserve"> para determinar los criterios diferenciales para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las entidades podrán escoger uno o algunos de estos elementos relacionados con requisitos habilitantes, los cuales deberán fijarse respetando las condiciones habilitantes requeridas para el cumplimiento adecuado del contrato. En tal sentido, se establecerán condiciones más exigentes respecto a alguno o algunos de los criterios de participación antes enunciados frente a los demás proponentes que concurran al procedimiento de selección que no sean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w:t>
      </w:r>
    </w:p>
    <w:bookmarkEnd w:id="6"/>
    <w:p w14:paraId="000B985D" w14:textId="77777777" w:rsidR="00A406A2" w:rsidRPr="00362CA6" w:rsidRDefault="00A406A2" w:rsidP="00362CA6">
      <w:pPr>
        <w:spacing w:after="120" w:line="276" w:lineRule="auto"/>
        <w:ind w:firstLine="708"/>
        <w:jc w:val="both"/>
        <w:rPr>
          <w:rFonts w:ascii="Verdana" w:eastAsia="Times New Roman" w:hAnsi="Verdana" w:cs="Arial"/>
          <w:lang w:eastAsia="es-MX"/>
        </w:rPr>
      </w:pPr>
      <w:r w:rsidRPr="00362CA6">
        <w:rPr>
          <w:rFonts w:ascii="Verdana" w:eastAsia="Times New Roman" w:hAnsi="Verdana" w:cs="Arial"/>
          <w:lang w:eastAsia="es-MX"/>
        </w:rPr>
        <w:t xml:space="preserve">Igualmente, el decreto dispone que, con excepción de los procedimientos de selección abreviada por subasta inversa y de mínima cuantía, las entidades sometidas al Estatuto General de Contratación de la Administración Pública – en adelante EGCAP –, teniendo en cuenta los criterios de clasificación empresarial, podrán establecer puntajes adicionales que en ningún caso podrán superar el cero punto veinticinco por ciento (0.25%) del valor total de los puntos establecidos en los Pliegos de Condiciones o documentos equivalentes. Como se observa, se estableció un porcentaje techo para el respectivo puntaje adicional, lo que significa que las entidades pueden otorgar el puntaje máximo de hasta el cero punto veinticinco por ciento (0.25%) del valor total de los puntos establecidos o un puntaje menor. Esto con el objeto de que la aplicación del incentivo no vaya en desmedro de la escogencia de la oferta más favorable para la entidad, conforme el deber de selección objetiva exige, por lo que el reglamento estimó como adecuado el porcentaje señalado. </w:t>
      </w:r>
    </w:p>
    <w:p w14:paraId="57E0CB86" w14:textId="77777777" w:rsidR="000A77F5" w:rsidRPr="00362CA6" w:rsidRDefault="00A406A2" w:rsidP="00362CA6">
      <w:pPr>
        <w:spacing w:after="120" w:line="276" w:lineRule="auto"/>
        <w:ind w:firstLine="708"/>
        <w:jc w:val="both"/>
        <w:rPr>
          <w:rFonts w:ascii="Verdana" w:eastAsia="Times New Roman" w:hAnsi="Verdana" w:cs="Arial"/>
          <w:lang w:eastAsia="es-MX"/>
        </w:rPr>
      </w:pPr>
      <w:r w:rsidRPr="00362CA6">
        <w:rPr>
          <w:rFonts w:ascii="Verdana" w:eastAsia="Times New Roman" w:hAnsi="Verdana" w:cs="Arial"/>
          <w:lang w:eastAsia="es-MX"/>
        </w:rPr>
        <w:t xml:space="preserve">En lo relativo a la aplicación de los criterios diferenciales y puntajes adicionales para proponentes plurales, solo se aplicarán si por lo menos uno de los integrantes acredita la calidad de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y tiene una participación igual o superior al diez por ciento (10%) en el consorcio o en la unión temporal. Así mismo, de conformidad con el parágrafo 3 del artículo </w:t>
      </w:r>
      <w:r w:rsidRPr="00362CA6">
        <w:rPr>
          <w:rFonts w:ascii="Verdana" w:eastAsia="Times New Roman" w:hAnsi="Verdana" w:cs="Arial"/>
          <w:bCs/>
          <w:lang w:eastAsia="es-MX"/>
        </w:rPr>
        <w:t xml:space="preserve">2.2.1.2.4.2.18 del </w:t>
      </w:r>
      <w:r w:rsidRPr="00362CA6">
        <w:rPr>
          <w:rFonts w:ascii="Verdana" w:eastAsia="Times New Roman" w:hAnsi="Verdana" w:cs="Arial"/>
          <w:lang w:eastAsia="es-MX"/>
        </w:rPr>
        <w:t xml:space="preserve">Decreto 1082 de 2015 los criterios diferenciales y puntajes adicionales en favor de las micro, pequeñas y medianas empresas no se aplicarán cuando se limiten las convocatorias a </w:t>
      </w:r>
      <w:proofErr w:type="spellStart"/>
      <w:r w:rsidRPr="00362CA6">
        <w:rPr>
          <w:rFonts w:ascii="Verdana" w:eastAsia="Times New Roman" w:hAnsi="Verdana" w:cs="Arial"/>
          <w:lang w:eastAsia="es-MX"/>
        </w:rPr>
        <w:t>Mipyme</w:t>
      </w:r>
      <w:proofErr w:type="spellEnd"/>
      <w:r w:rsidRPr="00362CA6">
        <w:rPr>
          <w:rFonts w:ascii="Verdana" w:eastAsia="Times New Roman" w:hAnsi="Verdana" w:cs="Arial"/>
          <w:lang w:eastAsia="es-MX"/>
        </w:rPr>
        <w:t xml:space="preserve"> en los términos de los artículos 2.2.1.2.4.2.2 y 2.2.1.2.4.2.3 de este Decreto. </w:t>
      </w:r>
    </w:p>
    <w:p w14:paraId="65ECC62B" w14:textId="77777777" w:rsidR="007627FE" w:rsidRPr="00362CA6" w:rsidRDefault="00D6769D" w:rsidP="008E6BDB">
      <w:pPr>
        <w:spacing w:after="120" w:line="276" w:lineRule="auto"/>
        <w:ind w:firstLine="709"/>
        <w:jc w:val="both"/>
        <w:rPr>
          <w:rFonts w:ascii="Verdana" w:eastAsia="Times New Roman" w:hAnsi="Verdana" w:cs="Arial"/>
          <w:lang w:eastAsia="es-MX"/>
        </w:rPr>
      </w:pPr>
      <w:r w:rsidRPr="00362CA6">
        <w:rPr>
          <w:rFonts w:ascii="Verdana" w:eastAsia="Calibri" w:hAnsi="Verdana" w:cs="Arial"/>
          <w:lang w:val="es-ES_tradnl" w:eastAsia="es-ES_tradnl"/>
        </w:rPr>
        <w:t>Respecto</w:t>
      </w:r>
      <w:r w:rsidR="000A77F5" w:rsidRPr="008E6BDB">
        <w:rPr>
          <w:rFonts w:ascii="Verdana" w:eastAsia="Calibri" w:hAnsi="Verdana" w:cs="Arial"/>
          <w:lang w:val="es-ES_tradnl" w:eastAsia="es-ES_tradnl"/>
        </w:rPr>
        <w:t xml:space="preserve"> al artículo 32 de la Ley 2069 de 2020, el artículo 3 del Decreto 1860 de 2021 adiciona los artículos 2.2.1.2.4.2.14 y 2.2.1.2.4.2.15 a la Subsección 2 de la Sección 4 del Capítulo 2 del Título 1 de la Parte 2 del Libro 2 </w:t>
      </w:r>
      <w:r w:rsidR="000A77F5" w:rsidRPr="008E6BDB">
        <w:rPr>
          <w:rFonts w:ascii="Verdana" w:eastAsia="Calibri" w:hAnsi="Verdana" w:cs="Arial"/>
          <w:lang w:val="es-ES_tradnl" w:eastAsia="es-ES_tradnl"/>
        </w:rPr>
        <w:lastRenderedPageBreak/>
        <w:t>del Decreto 1082 de 2015. La primera de las normas adicionadas consagra la definición de emprendimientos y empresas de mujeres</w:t>
      </w:r>
      <w:r w:rsidR="00B066A1">
        <w:rPr>
          <w:rFonts w:ascii="Verdana" w:eastAsia="Calibri" w:hAnsi="Verdana" w:cs="Arial"/>
          <w:lang w:val="es-ES_tradnl" w:eastAsia="es-ES_tradnl"/>
        </w:rPr>
        <w:t xml:space="preserve"> – a la cual se hará referencia más adelante –</w:t>
      </w:r>
      <w:r w:rsidR="000A77F5" w:rsidRPr="00EB37F6">
        <w:rPr>
          <w:rFonts w:ascii="Verdana" w:eastAsia="Calibri" w:hAnsi="Verdana" w:cs="Arial"/>
          <w:lang w:val="es-ES_tradnl" w:eastAsia="es-ES_tradnl"/>
        </w:rPr>
        <w:t xml:space="preserve">, mientras que la segunda establece los criterios diferenciales y regula su aplicación. </w:t>
      </w:r>
    </w:p>
    <w:p w14:paraId="477B5C14" w14:textId="77777777" w:rsidR="007627FE" w:rsidRPr="00362CA6" w:rsidRDefault="007C53DC" w:rsidP="008E6BDB">
      <w:pPr>
        <w:spacing w:after="120" w:line="276" w:lineRule="auto"/>
        <w:ind w:firstLine="709"/>
        <w:jc w:val="both"/>
        <w:rPr>
          <w:rFonts w:ascii="Verdana" w:eastAsia="Times New Roman" w:hAnsi="Verdana" w:cs="Arial"/>
          <w:lang w:eastAsia="es-MX"/>
        </w:rPr>
      </w:pPr>
      <w:r w:rsidRPr="00362CA6">
        <w:rPr>
          <w:rFonts w:ascii="Verdana" w:eastAsia="Times New Roman" w:hAnsi="Verdana" w:cs="Arial"/>
          <w:lang w:eastAsia="es-CO"/>
        </w:rPr>
        <w:t xml:space="preserve">Así, </w:t>
      </w:r>
      <w:r w:rsidRPr="00EB37F6">
        <w:rPr>
          <w:rFonts w:ascii="Verdana" w:eastAsia="Times New Roman" w:hAnsi="Verdana" w:cs="Arial"/>
          <w:lang w:eastAsia="es-CO"/>
        </w:rPr>
        <w:t>el artículo 2.2.1.2.4.2.15 del Decreto 1082 de 2015</w:t>
      </w:r>
      <w:r w:rsidRPr="00EB37F6">
        <w:rPr>
          <w:rFonts w:ascii="Verdana" w:eastAsia="Times New Roman" w:hAnsi="Verdana" w:cs="Arial"/>
          <w:vertAlign w:val="superscript"/>
          <w:lang w:eastAsia="es-CO"/>
        </w:rPr>
        <w:footnoteReference w:id="9"/>
      </w:r>
      <w:r w:rsidRPr="00EB37F6">
        <w:rPr>
          <w:rFonts w:ascii="Verdana" w:eastAsia="Times New Roman" w:hAnsi="Verdana" w:cs="Arial"/>
          <w:lang w:eastAsia="es-CO"/>
        </w:rPr>
        <w:t>, adicionado por el Decreto 1860 de 2021, complementa la regulación de criterios diferenciales estableciendo unos requisitos habilitantes diferenciales para incentivar emprendimientos y empresas de mujeres, que deben ser menos rigurosos respecto a los contemplados para los proponentes que no cumplan con alguno de los criterios del artículo 2.2.1.2.4.2.14. Del mismo modo, el artículo 2.2.1.2.4.2.15 también regula un puntaje adicional</w:t>
      </w:r>
      <w:r w:rsidRPr="00EB37F6">
        <w:rPr>
          <w:rFonts w:ascii="Verdana" w:eastAsia="Times New Roman" w:hAnsi="Verdana" w:cs="Times New Roman"/>
          <w:lang w:eastAsia="es-ES_tradnl"/>
        </w:rPr>
        <w:t xml:space="preserve"> </w:t>
      </w:r>
      <w:r w:rsidRPr="00EB37F6">
        <w:rPr>
          <w:rFonts w:ascii="Verdana" w:eastAsia="Times New Roman" w:hAnsi="Verdana" w:cs="Arial"/>
          <w:lang w:eastAsia="es-CO"/>
        </w:rPr>
        <w:t xml:space="preserve">de hasta el </w:t>
      </w:r>
      <w:r w:rsidR="008C3193" w:rsidRPr="00362CA6">
        <w:rPr>
          <w:rFonts w:ascii="Verdana" w:eastAsia="Times New Roman" w:hAnsi="Verdana" w:cs="Arial"/>
          <w:lang w:eastAsia="es-CO"/>
        </w:rPr>
        <w:t xml:space="preserve">cero </w:t>
      </w:r>
      <w:r w:rsidR="00A77BE4">
        <w:rPr>
          <w:rFonts w:ascii="Verdana" w:eastAsia="Times New Roman" w:hAnsi="Verdana" w:cs="Arial"/>
          <w:lang w:eastAsia="es-CO"/>
        </w:rPr>
        <w:t>punto</w:t>
      </w:r>
      <w:r w:rsidR="008C3193" w:rsidRPr="00362CA6">
        <w:rPr>
          <w:rFonts w:ascii="Verdana" w:eastAsia="Times New Roman" w:hAnsi="Verdana" w:cs="Arial"/>
          <w:lang w:eastAsia="es-CO"/>
        </w:rPr>
        <w:t xml:space="preserve"> veinticinco </w:t>
      </w:r>
      <w:r w:rsidR="00B96CDF" w:rsidRPr="00362CA6">
        <w:rPr>
          <w:rFonts w:ascii="Verdana" w:eastAsia="Times New Roman" w:hAnsi="Verdana" w:cs="Arial"/>
          <w:lang w:eastAsia="es-CO"/>
        </w:rPr>
        <w:t>por ciento (</w:t>
      </w:r>
      <w:r w:rsidRPr="00EB37F6">
        <w:rPr>
          <w:rFonts w:ascii="Verdana" w:eastAsia="Times New Roman" w:hAnsi="Verdana" w:cs="Arial"/>
          <w:lang w:eastAsia="es-CO"/>
        </w:rPr>
        <w:t>0</w:t>
      </w:r>
      <w:r w:rsidR="00A77BE4">
        <w:rPr>
          <w:rFonts w:ascii="Verdana" w:eastAsia="Times New Roman" w:hAnsi="Verdana" w:cs="Arial"/>
          <w:lang w:eastAsia="es-CO"/>
        </w:rPr>
        <w:t>.</w:t>
      </w:r>
      <w:r w:rsidRPr="00EB37F6">
        <w:rPr>
          <w:rFonts w:ascii="Verdana" w:eastAsia="Times New Roman" w:hAnsi="Verdana" w:cs="Arial"/>
          <w:lang w:eastAsia="es-CO"/>
        </w:rPr>
        <w:t>25%</w:t>
      </w:r>
      <w:r w:rsidR="00B96CDF" w:rsidRPr="00362CA6">
        <w:rPr>
          <w:rFonts w:ascii="Verdana" w:eastAsia="Times New Roman" w:hAnsi="Verdana" w:cs="Arial"/>
          <w:lang w:eastAsia="es-CO"/>
        </w:rPr>
        <w:t>)</w:t>
      </w:r>
      <w:r w:rsidRPr="00EB37F6">
        <w:rPr>
          <w:rFonts w:ascii="Verdana" w:eastAsia="Times New Roman" w:hAnsi="Verdana" w:cs="Arial"/>
          <w:lang w:eastAsia="es-CO"/>
        </w:rPr>
        <w:t xml:space="preserve"> del valor total de los puntos establecidos en los </w:t>
      </w:r>
      <w:r w:rsidR="00A77BE4" w:rsidRPr="00A77BE4">
        <w:rPr>
          <w:rFonts w:ascii="Verdana" w:eastAsia="Times New Roman" w:hAnsi="Verdana" w:cs="Arial"/>
          <w:lang w:eastAsia="es-CO"/>
        </w:rPr>
        <w:t xml:space="preserve">Pliegos </w:t>
      </w:r>
      <w:r w:rsidRPr="00EB37F6">
        <w:rPr>
          <w:rFonts w:ascii="Verdana" w:eastAsia="Times New Roman" w:hAnsi="Verdana" w:cs="Arial"/>
          <w:lang w:eastAsia="es-CO"/>
        </w:rPr>
        <w:t xml:space="preserve">de </w:t>
      </w:r>
      <w:r w:rsidR="00A77BE4" w:rsidRPr="00A77BE4">
        <w:rPr>
          <w:rFonts w:ascii="Verdana" w:eastAsia="Times New Roman" w:hAnsi="Verdana" w:cs="Arial"/>
          <w:lang w:eastAsia="es-CO"/>
        </w:rPr>
        <w:t xml:space="preserve">Condiciones </w:t>
      </w:r>
      <w:r w:rsidRPr="00EB37F6">
        <w:rPr>
          <w:rFonts w:ascii="Verdana" w:eastAsia="Times New Roman" w:hAnsi="Verdana" w:cs="Arial"/>
          <w:lang w:eastAsia="es-CO"/>
        </w:rPr>
        <w:t>o documentos equivalentes, para los proponentes que acrediten alguno de los supuestos del artículo 2.2.1.2.4.2.14.</w:t>
      </w:r>
    </w:p>
    <w:p w14:paraId="628839CA" w14:textId="4A470978" w:rsidR="00E65230" w:rsidRDefault="000F00F5" w:rsidP="00362CA6">
      <w:pPr>
        <w:spacing w:after="120" w:line="276" w:lineRule="auto"/>
        <w:ind w:firstLine="709"/>
        <w:jc w:val="both"/>
        <w:rPr>
          <w:rFonts w:ascii="Verdana" w:eastAsia="Times New Roman" w:hAnsi="Verdana" w:cs="Arial"/>
          <w:lang w:eastAsia="es-MX"/>
        </w:rPr>
      </w:pPr>
      <w:r w:rsidRPr="00362CA6">
        <w:rPr>
          <w:rFonts w:ascii="Verdana" w:eastAsia="Times New Roman" w:hAnsi="Verdana" w:cs="Arial"/>
          <w:lang w:eastAsia="es-MX"/>
        </w:rPr>
        <w:lastRenderedPageBreak/>
        <w:t xml:space="preserve">Como se observa </w:t>
      </w:r>
      <w:r w:rsidR="00186A72" w:rsidRPr="00362CA6">
        <w:rPr>
          <w:rFonts w:ascii="Verdana" w:eastAsia="Times New Roman" w:hAnsi="Verdana" w:cs="Arial"/>
          <w:lang w:eastAsia="es-MX"/>
        </w:rPr>
        <w:t>la Ley 2069 de 2020, también conocida como Ley de Emprendimiento</w:t>
      </w:r>
      <w:r w:rsidR="00A117FB" w:rsidRPr="00362CA6">
        <w:rPr>
          <w:rFonts w:ascii="Verdana" w:eastAsia="Times New Roman" w:hAnsi="Verdana" w:cs="Arial"/>
          <w:lang w:eastAsia="es-MX"/>
        </w:rPr>
        <w:t>,</w:t>
      </w:r>
      <w:r w:rsidR="00186A72" w:rsidRPr="00362CA6">
        <w:rPr>
          <w:rFonts w:ascii="Verdana" w:eastAsia="Times New Roman" w:hAnsi="Verdana" w:cs="Arial"/>
          <w:lang w:eastAsia="es-MX"/>
        </w:rPr>
        <w:t xml:space="preserve"> establece criterios diferenciales – que </w:t>
      </w:r>
      <w:r w:rsidR="009352D4" w:rsidRPr="00362CA6">
        <w:rPr>
          <w:rFonts w:ascii="Verdana" w:eastAsia="Times New Roman" w:hAnsi="Verdana" w:cs="Arial"/>
          <w:lang w:eastAsia="es-MX"/>
        </w:rPr>
        <w:t xml:space="preserve">incluye tanto requisitos habilitantes diferenciales como puntajes diferenciales – a favor de proponentes que acrediten su condición de </w:t>
      </w:r>
      <w:proofErr w:type="spellStart"/>
      <w:r w:rsidR="009352D4" w:rsidRPr="00362CA6">
        <w:rPr>
          <w:rFonts w:ascii="Verdana" w:eastAsia="Times New Roman" w:hAnsi="Verdana" w:cs="Arial"/>
          <w:lang w:eastAsia="es-MX"/>
        </w:rPr>
        <w:t>Mipymes</w:t>
      </w:r>
      <w:proofErr w:type="spellEnd"/>
      <w:r w:rsidR="009352D4" w:rsidRPr="00362CA6">
        <w:rPr>
          <w:rFonts w:ascii="Verdana" w:eastAsia="Times New Roman" w:hAnsi="Verdana" w:cs="Arial"/>
          <w:lang w:eastAsia="es-MX"/>
        </w:rPr>
        <w:t xml:space="preserve"> y/o emprendimientos y empresas de mujeres. </w:t>
      </w:r>
      <w:r w:rsidR="00A117FB" w:rsidRPr="00362CA6">
        <w:rPr>
          <w:rFonts w:ascii="Verdana" w:eastAsia="Times New Roman" w:hAnsi="Verdana" w:cs="Arial"/>
          <w:lang w:eastAsia="es-MX"/>
        </w:rPr>
        <w:t xml:space="preserve">Nótese que la referida </w:t>
      </w:r>
      <w:r w:rsidR="00C123E3" w:rsidRPr="00362CA6">
        <w:rPr>
          <w:rFonts w:ascii="Verdana" w:eastAsia="Times New Roman" w:hAnsi="Verdana" w:cs="Arial"/>
          <w:lang w:eastAsia="es-MX"/>
        </w:rPr>
        <w:t xml:space="preserve">Ley </w:t>
      </w:r>
      <w:r w:rsidR="00A117FB" w:rsidRPr="00362CA6">
        <w:rPr>
          <w:rFonts w:ascii="Verdana" w:eastAsia="Times New Roman" w:hAnsi="Verdana" w:cs="Arial"/>
          <w:lang w:eastAsia="es-MX"/>
        </w:rPr>
        <w:t>establece criterios diferenciales para estos dos tipo</w:t>
      </w:r>
      <w:r w:rsidR="000C3249">
        <w:rPr>
          <w:rFonts w:ascii="Verdana" w:eastAsia="Times New Roman" w:hAnsi="Verdana" w:cs="Arial"/>
          <w:lang w:eastAsia="es-MX"/>
        </w:rPr>
        <w:t>s</w:t>
      </w:r>
      <w:r w:rsidR="00A117FB" w:rsidRPr="00362CA6">
        <w:rPr>
          <w:rFonts w:ascii="Verdana" w:eastAsia="Times New Roman" w:hAnsi="Verdana" w:cs="Arial"/>
          <w:lang w:eastAsia="es-MX"/>
        </w:rPr>
        <w:t xml:space="preserve"> de proponentes, con el fin de incentivar su participación en el Sistema de Compras y Contratación Pública. </w:t>
      </w:r>
    </w:p>
    <w:p w14:paraId="1F1DE203" w14:textId="77777777" w:rsidR="002D11DE" w:rsidRPr="00362CA6" w:rsidRDefault="00707466" w:rsidP="000C3249">
      <w:pPr>
        <w:spacing w:after="120" w:line="276" w:lineRule="auto"/>
        <w:ind w:firstLine="709"/>
        <w:jc w:val="both"/>
        <w:rPr>
          <w:rFonts w:ascii="Verdana" w:eastAsia="Times New Roman" w:hAnsi="Verdana" w:cs="Arial"/>
          <w:lang w:eastAsia="es-MX"/>
        </w:rPr>
      </w:pPr>
      <w:r w:rsidRPr="00362CA6">
        <w:rPr>
          <w:rFonts w:ascii="Verdana" w:eastAsia="Times New Roman" w:hAnsi="Verdana" w:cs="Arial"/>
          <w:lang w:eastAsia="es-MX"/>
        </w:rPr>
        <w:t xml:space="preserve">En atención al contenido de su petición, es importante resaltar que </w:t>
      </w:r>
      <w:r w:rsidR="007C46BE">
        <w:rPr>
          <w:rFonts w:ascii="Verdana" w:eastAsia="Times New Roman" w:hAnsi="Verdana" w:cs="Arial"/>
          <w:lang w:eastAsia="es-MX"/>
        </w:rPr>
        <w:t>dicho cuerpo normativo</w:t>
      </w:r>
      <w:r w:rsidRPr="00362CA6">
        <w:rPr>
          <w:rFonts w:ascii="Verdana" w:eastAsia="Times New Roman" w:hAnsi="Verdana" w:cs="Arial"/>
          <w:lang w:eastAsia="es-MX"/>
        </w:rPr>
        <w:t xml:space="preserve"> regula de forma separada </w:t>
      </w:r>
      <w:r w:rsidR="007C46BE">
        <w:rPr>
          <w:rFonts w:ascii="Verdana" w:eastAsia="Times New Roman" w:hAnsi="Verdana" w:cs="Arial"/>
          <w:lang w:eastAsia="es-MX"/>
        </w:rPr>
        <w:t>l</w:t>
      </w:r>
      <w:r w:rsidRPr="00362CA6">
        <w:rPr>
          <w:rFonts w:ascii="Verdana" w:eastAsia="Times New Roman" w:hAnsi="Verdana" w:cs="Arial"/>
          <w:lang w:eastAsia="es-MX"/>
        </w:rPr>
        <w:t>as prerrogativas</w:t>
      </w:r>
      <w:r w:rsidR="007C46BE">
        <w:rPr>
          <w:rFonts w:ascii="Verdana" w:eastAsia="Times New Roman" w:hAnsi="Verdana" w:cs="Arial"/>
          <w:lang w:eastAsia="es-MX"/>
        </w:rPr>
        <w:t xml:space="preserve"> estudiadas</w:t>
      </w:r>
      <w:r w:rsidRPr="00362CA6">
        <w:rPr>
          <w:rFonts w:ascii="Verdana" w:eastAsia="Times New Roman" w:hAnsi="Verdana" w:cs="Arial"/>
          <w:lang w:eastAsia="es-MX"/>
        </w:rPr>
        <w:t xml:space="preserve"> a favor de las </w:t>
      </w:r>
      <w:proofErr w:type="spellStart"/>
      <w:r w:rsidRPr="00362CA6">
        <w:rPr>
          <w:rFonts w:ascii="Verdana" w:eastAsia="Times New Roman" w:hAnsi="Verdana" w:cs="Arial"/>
          <w:lang w:eastAsia="es-MX"/>
        </w:rPr>
        <w:t>Mi</w:t>
      </w:r>
      <w:r w:rsidR="007C46BE">
        <w:rPr>
          <w:rFonts w:ascii="Verdana" w:eastAsia="Times New Roman" w:hAnsi="Verdana" w:cs="Arial"/>
          <w:lang w:eastAsia="es-MX"/>
        </w:rPr>
        <w:t>p</w:t>
      </w:r>
      <w:r w:rsidRPr="00362CA6">
        <w:rPr>
          <w:rFonts w:ascii="Verdana" w:eastAsia="Times New Roman" w:hAnsi="Verdana" w:cs="Arial"/>
          <w:lang w:eastAsia="es-MX"/>
        </w:rPr>
        <w:t>ymes</w:t>
      </w:r>
      <w:proofErr w:type="spellEnd"/>
      <w:r w:rsidRPr="00362CA6">
        <w:rPr>
          <w:rFonts w:ascii="Verdana" w:eastAsia="Times New Roman" w:hAnsi="Verdana" w:cs="Arial"/>
          <w:lang w:eastAsia="es-MX"/>
        </w:rPr>
        <w:t xml:space="preserve"> y los emprendimientos y empresas de mujeres. </w:t>
      </w:r>
      <w:r w:rsidR="007C46BE">
        <w:rPr>
          <w:rFonts w:ascii="Verdana" w:eastAsia="Times New Roman" w:hAnsi="Verdana" w:cs="Arial"/>
          <w:lang w:eastAsia="es-MX"/>
        </w:rPr>
        <w:t>Esto, s</w:t>
      </w:r>
      <w:r w:rsidRPr="00362CA6">
        <w:rPr>
          <w:rFonts w:ascii="Verdana" w:eastAsia="Times New Roman" w:hAnsi="Verdana" w:cs="Arial"/>
          <w:lang w:eastAsia="es-MX"/>
        </w:rPr>
        <w:t>in perjuicio de que si un proponente demuestra que tiene las dos condiciones puede beneficiarse</w:t>
      </w:r>
      <w:r w:rsidR="00F6435D" w:rsidRPr="00362CA6">
        <w:rPr>
          <w:rFonts w:ascii="Verdana" w:eastAsia="Times New Roman" w:hAnsi="Verdana" w:cs="Arial"/>
          <w:lang w:eastAsia="es-MX"/>
        </w:rPr>
        <w:t xml:space="preserve">, por ejemplo, del puntaje adicional tanto a favor de las </w:t>
      </w:r>
      <w:proofErr w:type="spellStart"/>
      <w:r w:rsidR="00F6435D" w:rsidRPr="00362CA6">
        <w:rPr>
          <w:rFonts w:ascii="Verdana" w:eastAsia="Times New Roman" w:hAnsi="Verdana" w:cs="Arial"/>
          <w:lang w:eastAsia="es-MX"/>
        </w:rPr>
        <w:t>Mipymes</w:t>
      </w:r>
      <w:proofErr w:type="spellEnd"/>
      <w:r w:rsidR="00F6435D" w:rsidRPr="00362CA6">
        <w:rPr>
          <w:rFonts w:ascii="Verdana" w:eastAsia="Times New Roman" w:hAnsi="Verdana" w:cs="Arial"/>
          <w:lang w:eastAsia="es-MX"/>
        </w:rPr>
        <w:t xml:space="preserve"> como de las empresas y emprendimientos de mujeres</w:t>
      </w:r>
      <w:r w:rsidR="00193398">
        <w:rPr>
          <w:rFonts w:ascii="Verdana" w:eastAsia="Times New Roman" w:hAnsi="Verdana" w:cs="Arial"/>
          <w:lang w:eastAsia="es-MX"/>
        </w:rPr>
        <w:t>, pues no son excluyentes</w:t>
      </w:r>
      <w:r w:rsidR="00F6435D" w:rsidRPr="00362CA6">
        <w:rPr>
          <w:rFonts w:ascii="Verdana" w:eastAsia="Times New Roman" w:hAnsi="Verdana" w:cs="Arial"/>
          <w:lang w:eastAsia="es-MX"/>
        </w:rPr>
        <w:t xml:space="preserve">. </w:t>
      </w:r>
      <w:r w:rsidR="00D31125">
        <w:rPr>
          <w:rFonts w:ascii="Verdana" w:eastAsia="Times New Roman" w:hAnsi="Verdana" w:cs="Arial"/>
          <w:lang w:eastAsia="es-MX"/>
        </w:rPr>
        <w:t xml:space="preserve">En </w:t>
      </w:r>
      <w:proofErr w:type="gramStart"/>
      <w:r w:rsidR="00D31125">
        <w:rPr>
          <w:rFonts w:ascii="Verdana" w:eastAsia="Times New Roman" w:hAnsi="Verdana" w:cs="Arial"/>
          <w:lang w:eastAsia="es-MX"/>
        </w:rPr>
        <w:t>consecuencia</w:t>
      </w:r>
      <w:proofErr w:type="gramEnd"/>
      <w:r w:rsidR="00193398">
        <w:rPr>
          <w:rFonts w:ascii="Verdana" w:eastAsia="Times New Roman" w:hAnsi="Verdana" w:cs="Arial"/>
          <w:lang w:eastAsia="es-MX"/>
        </w:rPr>
        <w:t xml:space="preserve"> de esto</w:t>
      </w:r>
      <w:r w:rsidR="00D31125">
        <w:rPr>
          <w:rFonts w:ascii="Verdana" w:eastAsia="Times New Roman" w:hAnsi="Verdana" w:cs="Arial"/>
          <w:lang w:eastAsia="es-MX"/>
        </w:rPr>
        <w:t xml:space="preserve">, para dar respuesta a sus cuestionamientos es necesario estudiar por aparte si </w:t>
      </w:r>
      <w:r w:rsidR="00665A96">
        <w:rPr>
          <w:rFonts w:ascii="Verdana" w:eastAsia="Times New Roman" w:hAnsi="Verdana" w:cs="Arial"/>
          <w:lang w:eastAsia="es-MX"/>
        </w:rPr>
        <w:t>la</w:t>
      </w:r>
      <w:r w:rsidR="00C739C3">
        <w:rPr>
          <w:rFonts w:ascii="Verdana" w:eastAsia="Times New Roman" w:hAnsi="Verdana" w:cs="Arial"/>
          <w:lang w:eastAsia="es-MX"/>
        </w:rPr>
        <w:t>s</w:t>
      </w:r>
      <w:r w:rsidR="00665A96">
        <w:rPr>
          <w:rFonts w:ascii="Verdana" w:eastAsia="Times New Roman" w:hAnsi="Verdana" w:cs="Arial"/>
          <w:lang w:eastAsia="es-MX"/>
        </w:rPr>
        <w:t xml:space="preserve"> ESAL se</w:t>
      </w:r>
      <w:r w:rsidR="00C739C3">
        <w:rPr>
          <w:rFonts w:ascii="Verdana" w:eastAsia="Times New Roman" w:hAnsi="Verdana" w:cs="Arial"/>
          <w:lang w:eastAsia="es-MX"/>
        </w:rPr>
        <w:t xml:space="preserve"> </w:t>
      </w:r>
      <w:r w:rsidR="00665A96">
        <w:rPr>
          <w:rFonts w:ascii="Verdana" w:eastAsia="Times New Roman" w:hAnsi="Verdana" w:cs="Arial"/>
          <w:lang w:eastAsia="es-MX"/>
        </w:rPr>
        <w:t>puede</w:t>
      </w:r>
      <w:r w:rsidR="00C739C3">
        <w:rPr>
          <w:rFonts w:ascii="Verdana" w:eastAsia="Times New Roman" w:hAnsi="Verdana" w:cs="Arial"/>
          <w:lang w:eastAsia="es-MX"/>
        </w:rPr>
        <w:t>n</w:t>
      </w:r>
      <w:r w:rsidR="00665A96">
        <w:rPr>
          <w:rFonts w:ascii="Verdana" w:eastAsia="Times New Roman" w:hAnsi="Verdana" w:cs="Arial"/>
          <w:lang w:eastAsia="es-MX"/>
        </w:rPr>
        <w:t xml:space="preserve"> beneficiar de los criterios diferenciales en favor de </w:t>
      </w:r>
      <w:proofErr w:type="spellStart"/>
      <w:r w:rsidR="00665A96">
        <w:rPr>
          <w:rFonts w:ascii="Verdana" w:eastAsia="Times New Roman" w:hAnsi="Verdana" w:cs="Arial"/>
          <w:lang w:eastAsia="es-MX"/>
        </w:rPr>
        <w:t>Mipymes</w:t>
      </w:r>
      <w:proofErr w:type="spellEnd"/>
      <w:r w:rsidR="00665A96">
        <w:rPr>
          <w:rFonts w:ascii="Verdana" w:eastAsia="Times New Roman" w:hAnsi="Verdana" w:cs="Arial"/>
          <w:lang w:eastAsia="es-MX"/>
        </w:rPr>
        <w:t xml:space="preserve"> y en favor de los emprendimientos y empresas de mujeres. </w:t>
      </w:r>
    </w:p>
    <w:p w14:paraId="00115E84" w14:textId="60106E24" w:rsidR="00A406A2" w:rsidRPr="00362CA6" w:rsidRDefault="00665A96" w:rsidP="60F29CF2">
      <w:pPr>
        <w:spacing w:after="120" w:line="276" w:lineRule="auto"/>
        <w:ind w:firstLine="708"/>
        <w:jc w:val="both"/>
        <w:rPr>
          <w:rFonts w:ascii="Verdana" w:eastAsia="Arial" w:hAnsi="Verdana" w:cs="Arial"/>
          <w:lang w:val="es-ES"/>
        </w:rPr>
      </w:pPr>
      <w:r w:rsidRPr="60F29CF2">
        <w:rPr>
          <w:rFonts w:ascii="Verdana" w:hAnsi="Verdana" w:cs="Arial"/>
          <w:lang w:val="es-ES"/>
        </w:rPr>
        <w:t xml:space="preserve">En primer lugar, respecto a la </w:t>
      </w:r>
      <w:r w:rsidR="00CD48E7" w:rsidRPr="60F29CF2">
        <w:rPr>
          <w:rFonts w:ascii="Verdana" w:hAnsi="Verdana" w:cs="Arial"/>
          <w:lang w:val="es-ES"/>
        </w:rPr>
        <w:t>asimilación</w:t>
      </w:r>
      <w:r w:rsidR="00C223A0" w:rsidRPr="60F29CF2">
        <w:rPr>
          <w:rFonts w:ascii="Verdana" w:hAnsi="Verdana" w:cs="Arial"/>
          <w:lang w:val="es-ES"/>
        </w:rPr>
        <w:t xml:space="preserve"> de las ESAL con las </w:t>
      </w:r>
      <w:proofErr w:type="spellStart"/>
      <w:r w:rsidR="00C223A0" w:rsidRPr="60F29CF2">
        <w:rPr>
          <w:rFonts w:ascii="Verdana" w:hAnsi="Verdana" w:cs="Arial"/>
          <w:lang w:val="es-ES"/>
        </w:rPr>
        <w:t>Mipymes</w:t>
      </w:r>
      <w:proofErr w:type="spellEnd"/>
      <w:r w:rsidR="00A406A2" w:rsidRPr="60F29CF2">
        <w:rPr>
          <w:rFonts w:ascii="Verdana" w:hAnsi="Verdana" w:cs="Arial"/>
          <w:lang w:val="es-ES"/>
        </w:rPr>
        <w:t xml:space="preserve">, resulta indispensable señalar que, el artículo 2 de la Ley 590 de 2000, modificado por el artículo 43 de la Ley 1450 de 2011, define la </w:t>
      </w:r>
      <w:r w:rsidR="00A406A2" w:rsidRPr="60F29CF2">
        <w:rPr>
          <w:rFonts w:ascii="Verdana" w:hAnsi="Verdana" w:cs="Arial"/>
          <w:i/>
          <w:iCs/>
          <w:lang w:val="es-ES"/>
        </w:rPr>
        <w:t>empresa</w:t>
      </w:r>
      <w:r w:rsidR="00A406A2" w:rsidRPr="60F29CF2">
        <w:rPr>
          <w:rFonts w:ascii="Verdana" w:hAnsi="Verdana" w:cs="Arial"/>
          <w:lang w:val="es-ES"/>
        </w:rPr>
        <w:t xml:space="preserve"> como toda unidad de explotación económica que realiza una persona natural o jurídica en actividades agropecuarias, industriales, comerciales o de servicios</w:t>
      </w:r>
      <w:r w:rsidR="00A406A2" w:rsidRPr="60F29CF2">
        <w:rPr>
          <w:rFonts w:ascii="Verdana" w:hAnsi="Verdana" w:cs="Arial"/>
          <w:vertAlign w:val="superscript"/>
          <w:lang w:val="es-ES"/>
        </w:rPr>
        <w:footnoteReference w:id="10"/>
      </w:r>
      <w:r w:rsidR="00A406A2" w:rsidRPr="60F29CF2">
        <w:rPr>
          <w:rFonts w:ascii="Verdana" w:hAnsi="Verdana" w:cs="Arial"/>
          <w:lang w:val="es-ES"/>
        </w:rPr>
        <w:t>. Además, establece que estas se clasifican en micro, pequeña, mediana y gran empresa, de acuerdo con los criterios del número de trabajadores totales, el valor de ventas brutales anuales y el valor de activos totales.</w:t>
      </w:r>
      <w:r w:rsidR="00A406A2" w:rsidRPr="60F29CF2">
        <w:rPr>
          <w:rFonts w:ascii="Verdana" w:eastAsia="Arial" w:hAnsi="Verdana" w:cs="Arial"/>
          <w:lang w:val="es-ES"/>
        </w:rPr>
        <w:t xml:space="preserve"> Ahora bien, el artículo </w:t>
      </w:r>
      <w:r w:rsidR="00A406A2" w:rsidRPr="60F29CF2">
        <w:rPr>
          <w:rFonts w:ascii="Verdana" w:eastAsia="Arial" w:hAnsi="Verdana" w:cs="Arial"/>
          <w:lang w:val="es-ES"/>
        </w:rPr>
        <w:lastRenderedPageBreak/>
        <w:t xml:space="preserve">2.2.1.13.2.2. del Decreto 1074 de 2015, adicionado por el Decreto 957 de 2019, establece que: </w:t>
      </w:r>
    </w:p>
    <w:p w14:paraId="35638E06" w14:textId="77777777" w:rsidR="00A406A2" w:rsidRPr="00362CA6" w:rsidRDefault="00A406A2" w:rsidP="00362CA6">
      <w:pPr>
        <w:spacing w:after="120" w:line="276" w:lineRule="auto"/>
        <w:ind w:firstLine="708"/>
        <w:jc w:val="both"/>
        <w:rPr>
          <w:rFonts w:ascii="Verdana" w:hAnsi="Verdana" w:cs="Arial"/>
          <w:lang w:val="es-ES_tradnl"/>
        </w:rPr>
      </w:pPr>
      <w:r w:rsidRPr="00362CA6">
        <w:rPr>
          <w:rFonts w:ascii="Verdana" w:hAnsi="Verdana" w:cs="Arial"/>
          <w:lang w:val="es-ES_tradnl"/>
        </w:rPr>
        <w:t>i) La microempresa en el sector manufacturero, es “aquella cuyos ingresos por actividades ordinarias anuales sean inferiores o iguales a veintitrés mil quinientos sesenta y tres Unidades de Valor Tributario (23.563 UVT)”, en el sector servicios, la que sus “ingresos por actividades ordinarias anuales sean inferiores o iguales a treinta y dos mil novecientos ochenta y ocho Unidades de Valor Tributario (32.988 UVT)”, y en el sector comercio, la que sus “ingresos por actividades ordinarias anuales sean inferiores o iguales a cuarenta y cuatro mil setecientos sesenta y nueve Unidades de Valor Tributario (44.769 UVT)</w:t>
      </w:r>
    </w:p>
    <w:p w14:paraId="474C4C21" w14:textId="77777777" w:rsidR="00A406A2" w:rsidRPr="00362CA6" w:rsidRDefault="00A406A2" w:rsidP="00362CA6">
      <w:pPr>
        <w:spacing w:after="120" w:line="276" w:lineRule="auto"/>
        <w:ind w:firstLine="708"/>
        <w:jc w:val="both"/>
        <w:rPr>
          <w:rFonts w:ascii="Verdana" w:hAnsi="Verdana" w:cs="Arial"/>
          <w:lang w:val="es-ES"/>
        </w:rPr>
      </w:pPr>
      <w:proofErr w:type="spellStart"/>
      <w:r w:rsidRPr="00362CA6">
        <w:rPr>
          <w:rFonts w:ascii="Verdana" w:hAnsi="Verdana" w:cs="Arial"/>
          <w:lang w:val="es-ES"/>
        </w:rPr>
        <w:t>ii</w:t>
      </w:r>
      <w:proofErr w:type="spellEnd"/>
      <w:r w:rsidRPr="00362CA6">
        <w:rPr>
          <w:rFonts w:ascii="Verdana" w:hAnsi="Verdana" w:cs="Arial"/>
          <w:lang w:val="es-ES"/>
        </w:rPr>
        <w:t>) La pequeña empresa en el sector manufacturero, es aquella “cuyos ingresos por actividades ordinarias anuales sean superiores a veintitrés mil quinientos sesenta y tres Unidades de Valor Tributario (23.563 UVT) e inferiores o iguales a doscientos cuatro mil novecientos  noventa y cinco Unidades de Valor Tributario (204.995 UVT)”; en el sector servicios, la que sus “ingresos por actividades ordinarias anuales sean superiores a treinta y dos mil novecientos ochenta y ocho Unidades de Valor Tributario (32.988 UVT) e inferiores o iguales a ciento treinta y un mil novecientos cincuenta y uno Unidades de Valor Tributario (131. 951 UVT)”; y en el sector comercio, la que sus “ingresos por actividades ordinarias anuales sean superiores a cuarenta y cuatro mil setecientos sesenta y nueve Unidades de Valor Tributario (44.769 UVT) e inferiores o iguales a cuatrocientos treinta y un mil ciento noventa y seis Unidades de Valor Tributario (431.196 UVT)”.</w:t>
      </w:r>
    </w:p>
    <w:p w14:paraId="55116E32" w14:textId="77777777" w:rsidR="00A406A2" w:rsidRPr="00362CA6" w:rsidRDefault="00A406A2" w:rsidP="00362CA6">
      <w:pPr>
        <w:spacing w:after="120" w:line="276" w:lineRule="auto"/>
        <w:ind w:firstLine="709"/>
        <w:jc w:val="both"/>
        <w:rPr>
          <w:rFonts w:ascii="Verdana" w:eastAsia="Arial" w:hAnsi="Verdana" w:cs="Arial"/>
          <w:lang w:val="es-ES"/>
        </w:rPr>
      </w:pPr>
      <w:proofErr w:type="spellStart"/>
      <w:r w:rsidRPr="00362CA6">
        <w:rPr>
          <w:rFonts w:ascii="Verdana" w:eastAsia="Arial" w:hAnsi="Verdana" w:cs="Arial"/>
          <w:lang w:val="es-ES"/>
        </w:rPr>
        <w:t>iii</w:t>
      </w:r>
      <w:proofErr w:type="spellEnd"/>
      <w:r w:rsidRPr="00362CA6">
        <w:rPr>
          <w:rFonts w:ascii="Verdana" w:eastAsia="Arial" w:hAnsi="Verdana" w:cs="Arial"/>
          <w:lang w:val="es-ES"/>
        </w:rPr>
        <w:t xml:space="preserve">) La </w:t>
      </w:r>
      <w:r w:rsidRPr="00362CA6">
        <w:rPr>
          <w:rFonts w:ascii="Verdana" w:eastAsia="Arial" w:hAnsi="Verdana" w:cs="Arial"/>
          <w:i/>
          <w:iCs/>
          <w:lang w:val="es-ES"/>
        </w:rPr>
        <w:t>mediana empresa</w:t>
      </w:r>
      <w:r w:rsidRPr="00362CA6">
        <w:rPr>
          <w:rFonts w:ascii="Verdana" w:eastAsia="Arial" w:hAnsi="Verdana" w:cs="Arial"/>
          <w:lang w:val="es-ES"/>
        </w:rPr>
        <w:t xml:space="preserve">, en el sector manufacturero, es aquella “cuyos ingresos por actividades ordinarias anuales sean superiores a doscientos cuatro mil novecientos noventa y cinco Unidades de Valor Tributario (204.995 UVT) e inferiores o iguales a un millón setecientos treinta y seis mil quinientos sesenta y cinco Unidades de Valor Tributario (1'736.565 UVT)”; en el sector servicios, la que sus “ingresos por actividades ordinarias anuales sean superiores a ciento treinta y un mil novecientos cincuenta y un Unidades de Valor Tributario (131.951 UVT) e inferiores o iguales a cuatrocientos ochenta y tres mil treinta y cuatro Unidades de Valor Tributario (483.034 UVT)”, y en el sector comercio, la que sus “ingresos por actividades ordinarias anuales sean superiores a cuatrocientos treinta y un mil ciento noventa y seis Unidades de Valor Tributario (431.196 UVT) e inferiores o iguales a dos millones ciento sesenta mil seiscientos noventa y dos Unidades de Valor Tributario (2'160 .692 UVT)”.  </w:t>
      </w:r>
    </w:p>
    <w:p w14:paraId="18BD56B3" w14:textId="46ECA1C6" w:rsidR="00357F20" w:rsidRDefault="00A406A2" w:rsidP="000C3249">
      <w:pPr>
        <w:spacing w:after="0" w:line="276" w:lineRule="auto"/>
        <w:ind w:firstLine="709"/>
        <w:jc w:val="both"/>
        <w:rPr>
          <w:rFonts w:ascii="Verdana" w:hAnsi="Verdana" w:cs="Arial"/>
          <w:lang w:val="es-ES"/>
        </w:rPr>
      </w:pPr>
      <w:r w:rsidRPr="60F29CF2">
        <w:rPr>
          <w:rFonts w:ascii="Verdana" w:hAnsi="Verdana" w:cs="Arial"/>
          <w:lang w:val="es-ES"/>
        </w:rPr>
        <w:lastRenderedPageBreak/>
        <w:t xml:space="preserve">Conforme a lo anterior, es importante precisar que esta Agencia ha sostenido de forma reiterada la tesis consistente en que las ESAL no pueden acceder a los beneficios a favor de las </w:t>
      </w:r>
      <w:proofErr w:type="spellStart"/>
      <w:r w:rsidRPr="60F29CF2">
        <w:rPr>
          <w:rFonts w:ascii="Verdana" w:hAnsi="Verdana" w:cs="Arial"/>
          <w:lang w:val="es-ES"/>
        </w:rPr>
        <w:t>Mipymes</w:t>
      </w:r>
      <w:proofErr w:type="spellEnd"/>
      <w:r w:rsidRPr="60F29CF2">
        <w:rPr>
          <w:rFonts w:ascii="Verdana" w:hAnsi="Verdana" w:cs="Arial"/>
          <w:lang w:val="es-ES"/>
        </w:rPr>
        <w:t xml:space="preserve"> ni participar en los procesos contractuales limitados a estas</w:t>
      </w:r>
      <w:r w:rsidR="00D16252" w:rsidRPr="60F29CF2">
        <w:rPr>
          <w:rFonts w:ascii="Verdana" w:hAnsi="Verdana" w:cs="Arial"/>
          <w:lang w:val="es-ES"/>
        </w:rPr>
        <w:t xml:space="preserve">. </w:t>
      </w:r>
      <w:r w:rsidR="00F1131C" w:rsidRPr="60F29CF2">
        <w:rPr>
          <w:rFonts w:ascii="Verdana" w:hAnsi="Verdana" w:cs="Arial"/>
          <w:lang w:val="es-ES"/>
        </w:rPr>
        <w:t xml:space="preserve">Este argumento, </w:t>
      </w:r>
      <w:r w:rsidRPr="60F29CF2">
        <w:rPr>
          <w:rFonts w:ascii="Verdana" w:hAnsi="Verdana" w:cs="Arial"/>
          <w:lang w:val="es-ES"/>
        </w:rPr>
        <w:t>considerando que</w:t>
      </w:r>
      <w:r w:rsidR="00357F20" w:rsidRPr="60F29CF2">
        <w:rPr>
          <w:rFonts w:ascii="Verdana" w:hAnsi="Verdana" w:cs="Arial"/>
          <w:lang w:val="es-ES"/>
        </w:rPr>
        <w:t xml:space="preserve">: </w:t>
      </w:r>
    </w:p>
    <w:p w14:paraId="32B3BF09" w14:textId="77777777" w:rsidR="00357F20" w:rsidRPr="000C3249" w:rsidRDefault="00357F20" w:rsidP="000C3249">
      <w:pPr>
        <w:spacing w:after="0" w:line="276" w:lineRule="auto"/>
        <w:ind w:left="709" w:right="709"/>
        <w:jc w:val="both"/>
        <w:rPr>
          <w:rFonts w:ascii="Verdana" w:hAnsi="Verdana" w:cs="Arial"/>
          <w:lang w:val="es-ES_tradnl"/>
        </w:rPr>
      </w:pPr>
    </w:p>
    <w:p w14:paraId="34B483FA" w14:textId="7F07084F" w:rsidR="00A406A2" w:rsidRDefault="00A406A2" w:rsidP="00357F20">
      <w:pPr>
        <w:spacing w:after="0" w:line="240" w:lineRule="auto"/>
        <w:ind w:left="709" w:right="709"/>
        <w:jc w:val="both"/>
        <w:rPr>
          <w:rFonts w:ascii="Verdana" w:hAnsi="Verdana" w:cs="Arial"/>
          <w:sz w:val="20"/>
          <w:szCs w:val="20"/>
        </w:rPr>
      </w:pPr>
      <w:r w:rsidRPr="000C3249">
        <w:rPr>
          <w:rFonts w:ascii="Verdana" w:hAnsi="Verdana" w:cs="Arial"/>
          <w:sz w:val="20"/>
          <w:szCs w:val="20"/>
          <w:lang w:val="es-ES_tradnl"/>
        </w:rPr>
        <w:t>“</w:t>
      </w:r>
      <w:r w:rsidRPr="000C3249">
        <w:rPr>
          <w:rFonts w:ascii="Verdana" w:hAnsi="Verdana" w:cs="Arial"/>
          <w:sz w:val="20"/>
          <w:szCs w:val="20"/>
        </w:rPr>
        <w:t xml:space="preserve">en virtud del artículo 43 de la Ley 1450 de 2011, que modificó el artículo 2 de la Ley 590 de 2000, […] puede decirse que solo podrán ser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las empresas, entendidas estas como las unidades de explotación económica que buscan el reparto de utilidades entre los miembros de la empresa. De esta forma, en razón a que las ESAL no persiguen el reparto de utilidades entre sus miembros, sino que su objeto está destinado a realizar una actividad de interés general sin esperar a cambio un reparto de ganancia en proporción a sus utilidades, lo cierto es que estas no podrán participar en los procesos de contratación limitado a </w:t>
      </w:r>
      <w:proofErr w:type="spellStart"/>
      <w:r w:rsidRPr="000C3249">
        <w:rPr>
          <w:rFonts w:ascii="Verdana" w:hAnsi="Verdana" w:cs="Arial"/>
          <w:sz w:val="20"/>
          <w:szCs w:val="20"/>
        </w:rPr>
        <w:t>mipymes</w:t>
      </w:r>
      <w:proofErr w:type="spellEnd"/>
      <w:r w:rsidRPr="000C3249">
        <w:rPr>
          <w:rFonts w:ascii="Verdana" w:hAnsi="Verdana" w:cs="Arial"/>
          <w:sz w:val="20"/>
          <w:szCs w:val="20"/>
        </w:rPr>
        <w:t xml:space="preserve">. Lo anterior teniendo en cuenta que </w:t>
      </w:r>
      <w:r w:rsidRPr="000C3249">
        <w:rPr>
          <w:rFonts w:ascii="Verdana" w:hAnsi="Verdana" w:cs="Arial"/>
          <w:i/>
          <w:iCs/>
          <w:sz w:val="20"/>
          <w:szCs w:val="20"/>
        </w:rPr>
        <w:t xml:space="preserve">no responden al concepto de empresa que involucra dicha categoría con ánimo de lucro, por lo que no resulta jurídicamente válido aplicar a las ESAL las normas dirigidas a las </w:t>
      </w:r>
      <w:proofErr w:type="spellStart"/>
      <w:r w:rsidRPr="000C3249">
        <w:rPr>
          <w:rFonts w:ascii="Verdana" w:hAnsi="Verdana" w:cs="Arial"/>
          <w:i/>
          <w:iCs/>
          <w:sz w:val="20"/>
          <w:szCs w:val="20"/>
        </w:rPr>
        <w:t>Mipymes</w:t>
      </w:r>
      <w:proofErr w:type="spellEnd"/>
      <w:r w:rsidRPr="000C3249">
        <w:rPr>
          <w:rFonts w:ascii="Verdana" w:hAnsi="Verdana" w:cs="Arial"/>
          <w:sz w:val="20"/>
          <w:szCs w:val="20"/>
        </w:rPr>
        <w:t>”</w:t>
      </w:r>
      <w:r w:rsidRPr="000C3249">
        <w:rPr>
          <w:rFonts w:ascii="Verdana" w:hAnsi="Verdana" w:cs="Arial"/>
          <w:sz w:val="20"/>
          <w:szCs w:val="20"/>
          <w:vertAlign w:val="superscript"/>
        </w:rPr>
        <w:footnoteReference w:id="11"/>
      </w:r>
      <w:r w:rsidRPr="000C3249">
        <w:rPr>
          <w:rFonts w:ascii="Verdana" w:hAnsi="Verdana" w:cs="Arial"/>
          <w:sz w:val="20"/>
          <w:szCs w:val="20"/>
        </w:rPr>
        <w:t xml:space="preserve">. </w:t>
      </w:r>
    </w:p>
    <w:p w14:paraId="0C37E125" w14:textId="77777777" w:rsidR="00357F20" w:rsidRPr="00357F20" w:rsidRDefault="00357F20" w:rsidP="000C3249">
      <w:pPr>
        <w:spacing w:after="0" w:line="276" w:lineRule="auto"/>
        <w:ind w:left="709" w:right="709"/>
        <w:jc w:val="both"/>
        <w:rPr>
          <w:rFonts w:ascii="Verdana" w:hAnsi="Verdana" w:cs="Arial"/>
        </w:rPr>
      </w:pPr>
    </w:p>
    <w:p w14:paraId="56C4FB51" w14:textId="77777777" w:rsidR="004A48EC" w:rsidRDefault="00A406A2" w:rsidP="00362CA6">
      <w:pPr>
        <w:spacing w:after="120" w:line="276" w:lineRule="auto"/>
        <w:ind w:firstLine="709"/>
        <w:jc w:val="both"/>
        <w:rPr>
          <w:rFonts w:ascii="Verdana" w:hAnsi="Verdana" w:cs="Arial"/>
          <w:lang w:val="es-ES"/>
        </w:rPr>
      </w:pPr>
      <w:r w:rsidRPr="00362CA6">
        <w:rPr>
          <w:rFonts w:ascii="Verdana" w:hAnsi="Verdana" w:cs="Arial"/>
          <w:lang w:val="es-ES"/>
        </w:rPr>
        <w:t xml:space="preserve">Retomando la postura indicada, debe aclararse que en virtud del artículo 43 de la Ley 1450 de 2011, que modificó el artículo 2 de la Ley 590 de 2000, y a la luz de las consideraciones contenidas en los párrafos precedentes, puede decirse que solo podrán ser </w:t>
      </w:r>
      <w:proofErr w:type="spellStart"/>
      <w:r w:rsidRPr="00362CA6">
        <w:rPr>
          <w:rFonts w:ascii="Verdana" w:hAnsi="Verdana" w:cs="Arial"/>
          <w:lang w:val="es-ES"/>
        </w:rPr>
        <w:t>Mipymes</w:t>
      </w:r>
      <w:proofErr w:type="spellEnd"/>
      <w:r w:rsidRPr="00362CA6">
        <w:rPr>
          <w:rFonts w:ascii="Verdana" w:hAnsi="Verdana" w:cs="Arial"/>
          <w:lang w:val="es-ES"/>
        </w:rPr>
        <w:t xml:space="preserve"> las empresas, entendidas estas como las unidades de explotación económica que buscan el reparto de utilidades entre los miembros de la empresa, sin perjuicio de las precisiones que se realizarán más adelante en relación con el artículo 23 de la Ley 2069 de 2020. </w:t>
      </w:r>
    </w:p>
    <w:p w14:paraId="5DEA3913" w14:textId="77777777" w:rsidR="00A406A2" w:rsidRPr="00362CA6" w:rsidRDefault="00A406A2" w:rsidP="00362CA6">
      <w:pPr>
        <w:spacing w:after="120" w:line="276" w:lineRule="auto"/>
        <w:ind w:firstLine="709"/>
        <w:jc w:val="both"/>
        <w:rPr>
          <w:rFonts w:ascii="Verdana" w:hAnsi="Verdana" w:cs="Arial"/>
          <w:lang w:val="es-ES"/>
        </w:rPr>
      </w:pPr>
      <w:r w:rsidRPr="00362CA6">
        <w:rPr>
          <w:rFonts w:ascii="Verdana" w:hAnsi="Verdana" w:cs="Arial"/>
          <w:lang w:val="es-ES"/>
        </w:rPr>
        <w:t xml:space="preserve">De esta forma, en razón a que las ESAL no persiguen el reparto de utilidades entre sus miembros, sino que su objeto está destinado a realizar una actividad de interés general sin esperar a cambio un reparto de ganancia en proporción a sus utilidades, lo cierto es que estas, por regla general, no podrán acceder a los criterios diferenciales a favor de las </w:t>
      </w:r>
      <w:proofErr w:type="spellStart"/>
      <w:r w:rsidRPr="00362CA6">
        <w:rPr>
          <w:rFonts w:ascii="Verdana" w:hAnsi="Verdana" w:cs="Arial"/>
          <w:lang w:val="es-ES"/>
        </w:rPr>
        <w:t>Mipymes</w:t>
      </w:r>
      <w:proofErr w:type="spellEnd"/>
      <w:r w:rsidRPr="00362CA6">
        <w:rPr>
          <w:rFonts w:ascii="Verdana" w:hAnsi="Verdana" w:cs="Arial"/>
          <w:lang w:val="es-ES"/>
        </w:rPr>
        <w:t xml:space="preserve"> en el </w:t>
      </w:r>
      <w:r w:rsidR="0073748C" w:rsidRPr="00362CA6">
        <w:rPr>
          <w:rFonts w:ascii="Verdana" w:hAnsi="Verdana" w:cs="Arial"/>
          <w:lang w:val="es-ES"/>
        </w:rPr>
        <w:t xml:space="preserve">Sistema </w:t>
      </w:r>
      <w:r w:rsidRPr="00362CA6">
        <w:rPr>
          <w:rFonts w:ascii="Verdana" w:hAnsi="Verdana" w:cs="Arial"/>
          <w:lang w:val="es-ES"/>
        </w:rPr>
        <w:t xml:space="preserve">de </w:t>
      </w:r>
      <w:r w:rsidR="0073748C" w:rsidRPr="00362CA6">
        <w:rPr>
          <w:rFonts w:ascii="Verdana" w:hAnsi="Verdana" w:cs="Arial"/>
          <w:lang w:val="es-ES"/>
        </w:rPr>
        <w:t>Compras Públicas</w:t>
      </w:r>
      <w:r w:rsidRPr="00362CA6">
        <w:rPr>
          <w:rFonts w:ascii="Verdana" w:hAnsi="Verdana" w:cs="Arial"/>
          <w:lang w:val="es-ES"/>
        </w:rPr>
        <w:t xml:space="preserve">, ni podrán participar en los procesos de contratación limitados a </w:t>
      </w:r>
      <w:proofErr w:type="spellStart"/>
      <w:r w:rsidRPr="00362CA6">
        <w:rPr>
          <w:rFonts w:ascii="Verdana" w:hAnsi="Verdana" w:cs="Arial"/>
          <w:lang w:val="es-ES"/>
        </w:rPr>
        <w:t>Mipymes</w:t>
      </w:r>
      <w:proofErr w:type="spellEnd"/>
      <w:r w:rsidRPr="00362CA6">
        <w:rPr>
          <w:rFonts w:ascii="Verdana" w:hAnsi="Verdana" w:cs="Arial"/>
          <w:lang w:val="es-ES"/>
        </w:rPr>
        <w:t xml:space="preserve">. Lo anterior, teniendo en cuenta que no responden al concepto de empresa por no ejercer una actividad con ánimo de lucro, por lo que no resulta jurídicamente válido aplicar a las ESAL las normas dirigidas a las </w:t>
      </w:r>
      <w:proofErr w:type="spellStart"/>
      <w:r w:rsidRPr="00362CA6">
        <w:rPr>
          <w:rFonts w:ascii="Verdana" w:hAnsi="Verdana" w:cs="Arial"/>
          <w:lang w:val="es-ES"/>
        </w:rPr>
        <w:t>Mipymes</w:t>
      </w:r>
      <w:proofErr w:type="spellEnd"/>
      <w:r w:rsidRPr="00362CA6">
        <w:rPr>
          <w:rFonts w:ascii="Verdana" w:hAnsi="Verdana" w:cs="Arial"/>
          <w:lang w:val="es-ES"/>
        </w:rPr>
        <w:t xml:space="preserve">. </w:t>
      </w:r>
    </w:p>
    <w:p w14:paraId="7D9C8842" w14:textId="5CFA99C0" w:rsidR="00A406A2" w:rsidRPr="00362CA6" w:rsidRDefault="0073748C" w:rsidP="00362CA6">
      <w:pPr>
        <w:spacing w:after="120" w:line="276" w:lineRule="auto"/>
        <w:ind w:firstLine="708"/>
        <w:jc w:val="both"/>
        <w:rPr>
          <w:rFonts w:ascii="Verdana" w:hAnsi="Verdana" w:cs="Arial"/>
          <w:lang w:val="es-ES"/>
        </w:rPr>
      </w:pPr>
      <w:r>
        <w:rPr>
          <w:rFonts w:ascii="Verdana" w:hAnsi="Verdana" w:cs="Arial"/>
          <w:lang w:val="es-ES"/>
        </w:rPr>
        <w:lastRenderedPageBreak/>
        <w:t>Lo expuesto</w:t>
      </w:r>
      <w:r w:rsidR="00A406A2" w:rsidRPr="00362CA6">
        <w:rPr>
          <w:rFonts w:ascii="Verdana" w:hAnsi="Verdana" w:cs="Arial"/>
          <w:lang w:val="es-ES"/>
        </w:rPr>
        <w:t xml:space="preserve"> no quiere decir que las ESAL no sean personas jurídicas o que no tengan capacidad contractual. De hecho, el Decreto 092 de 2017 reguló su régimen especial de contratación e, incluso, nada obsta para que las ESAL participen, en términos de igualdad con los demás oferentes, en los diferentes procesos contractuales que regula el EGCAP, salvo aquellos procesos contractuales limitados a </w:t>
      </w:r>
      <w:proofErr w:type="spellStart"/>
      <w:r w:rsidR="00A406A2" w:rsidRPr="00362CA6">
        <w:rPr>
          <w:rFonts w:ascii="Verdana" w:hAnsi="Verdana" w:cs="Arial"/>
          <w:lang w:val="es-ES"/>
        </w:rPr>
        <w:t>Mipymes</w:t>
      </w:r>
      <w:proofErr w:type="spellEnd"/>
      <w:r w:rsidR="00A406A2" w:rsidRPr="00362CA6">
        <w:rPr>
          <w:rFonts w:ascii="Verdana" w:hAnsi="Verdana" w:cs="Arial"/>
          <w:lang w:val="es-ES"/>
        </w:rPr>
        <w:t xml:space="preserve">, con excepción de lo que se explicará a continuación en relación con las cooperativas y demás entidades de economía solidaria. </w:t>
      </w:r>
    </w:p>
    <w:p w14:paraId="3EE137C0" w14:textId="5A6C1EAD" w:rsidR="00A406A2" w:rsidRPr="00362CA6" w:rsidRDefault="00A406A2" w:rsidP="00362CA6">
      <w:pPr>
        <w:spacing w:after="120" w:line="276" w:lineRule="auto"/>
        <w:jc w:val="both"/>
        <w:rPr>
          <w:rFonts w:ascii="Verdana" w:eastAsia="Calibri" w:hAnsi="Verdana" w:cs="Arial"/>
          <w:color w:val="000000" w:themeColor="text1"/>
          <w:lang w:val="es-ES"/>
        </w:rPr>
      </w:pPr>
      <w:r w:rsidRPr="00362CA6">
        <w:rPr>
          <w:rFonts w:ascii="Verdana" w:eastAsia="Calibri" w:hAnsi="Verdana" w:cs="Arial"/>
          <w:color w:val="000000" w:themeColor="text1"/>
          <w:lang w:val="es-ES_tradnl"/>
        </w:rPr>
        <w:tab/>
      </w:r>
      <w:r w:rsidR="00B144F2">
        <w:rPr>
          <w:rFonts w:ascii="Verdana" w:eastAsia="Calibri" w:hAnsi="Verdana" w:cs="Arial"/>
          <w:color w:val="000000" w:themeColor="text1"/>
          <w:lang w:val="es-ES"/>
        </w:rPr>
        <w:t>E</w:t>
      </w:r>
      <w:r w:rsidRPr="00362CA6">
        <w:rPr>
          <w:rFonts w:ascii="Verdana" w:eastAsia="Calibri" w:hAnsi="Verdana" w:cs="Arial"/>
          <w:color w:val="000000" w:themeColor="text1"/>
          <w:lang w:val="es-ES"/>
        </w:rPr>
        <w:t xml:space="preserve">l artículo 23 de la Ley 2069 de 2020, para efectos de la aplicación de su contenido, asimila las cooperativas y las </w:t>
      </w:r>
      <w:r w:rsidRPr="00362CA6">
        <w:rPr>
          <w:rFonts w:ascii="Verdana" w:eastAsia="Calibri" w:hAnsi="Verdana" w:cs="Arial"/>
          <w:i/>
          <w:iCs/>
          <w:color w:val="000000" w:themeColor="text1"/>
          <w:lang w:val="es-ES"/>
        </w:rPr>
        <w:t>demás entidades de economía solidaria</w:t>
      </w:r>
      <w:r w:rsidRPr="00362CA6">
        <w:rPr>
          <w:rFonts w:ascii="Verdana" w:eastAsia="Calibri" w:hAnsi="Verdana" w:cs="Arial"/>
          <w:color w:val="000000" w:themeColor="text1"/>
          <w:lang w:val="es-ES"/>
        </w:rPr>
        <w:t xml:space="preserve"> a empresas –dentro de las cuales se encuentran las asociaciones mutualistas–, disponiendo, además, que estas deberán ser clasificadas como </w:t>
      </w:r>
      <w:proofErr w:type="spellStart"/>
      <w:r w:rsidRPr="00362CA6">
        <w:rPr>
          <w:rFonts w:ascii="Verdana" w:eastAsia="Calibri" w:hAnsi="Verdana" w:cs="Arial"/>
          <w:color w:val="000000" w:themeColor="text1"/>
          <w:lang w:val="es-ES"/>
        </w:rPr>
        <w:t>Mipymes</w:t>
      </w:r>
      <w:proofErr w:type="spellEnd"/>
      <w:r w:rsidRPr="00362CA6">
        <w:rPr>
          <w:rFonts w:ascii="Verdana" w:eastAsia="Calibri" w:hAnsi="Verdana" w:cs="Arial"/>
          <w:color w:val="000000" w:themeColor="text1"/>
          <w:lang w:val="es-ES"/>
        </w:rPr>
        <w:t>, de conformidad con el artículo 2 de la Ley 590 de 2000 y el Decreto 957 de 2019, los cuales desarrollan la clasificación en las categorías micro, pequeña y mediana en función del tamaño empresarial</w:t>
      </w:r>
      <w:r w:rsidRPr="00362CA6">
        <w:rPr>
          <w:rFonts w:ascii="Verdana" w:hAnsi="Verdana" w:cs="Arial"/>
          <w:color w:val="000000" w:themeColor="text1"/>
          <w:vertAlign w:val="superscript"/>
          <w:lang w:val="es-ES"/>
        </w:rPr>
        <w:footnoteReference w:id="12"/>
      </w:r>
      <w:r w:rsidRPr="00362CA6">
        <w:rPr>
          <w:rFonts w:ascii="Verdana" w:eastAsia="Calibri" w:hAnsi="Verdana" w:cs="Arial"/>
          <w:color w:val="000000" w:themeColor="text1"/>
          <w:lang w:val="es-ES"/>
        </w:rPr>
        <w:t xml:space="preserve">. El principal efecto de esta norma es que, a las cooperativas, las asociaciones mutualistas y a las demás entidades de economía solidaria –al ser consideradas como </w:t>
      </w:r>
      <w:proofErr w:type="spellStart"/>
      <w:r w:rsidRPr="00362CA6">
        <w:rPr>
          <w:rFonts w:ascii="Verdana" w:eastAsia="Calibri" w:hAnsi="Verdana" w:cs="Arial"/>
          <w:color w:val="000000" w:themeColor="text1"/>
          <w:lang w:val="es-ES"/>
        </w:rPr>
        <w:t>Mipyme</w:t>
      </w:r>
      <w:proofErr w:type="spellEnd"/>
      <w:r w:rsidRPr="00362CA6">
        <w:rPr>
          <w:rFonts w:ascii="Verdana" w:eastAsia="Calibri" w:hAnsi="Verdana" w:cs="Arial"/>
          <w:color w:val="000000" w:themeColor="text1"/>
          <w:lang w:val="es-ES"/>
        </w:rPr>
        <w:t>– les son aplicables las disposiciones alusivas a estas contenidas en la Ley 2069 de 2020.</w:t>
      </w:r>
    </w:p>
    <w:p w14:paraId="61248EE6" w14:textId="44A47EC3" w:rsidR="00A406A2" w:rsidRPr="00362CA6" w:rsidRDefault="00A406A2" w:rsidP="00362CA6">
      <w:pPr>
        <w:spacing w:after="120" w:line="276" w:lineRule="auto"/>
        <w:ind w:firstLine="708"/>
        <w:jc w:val="both"/>
        <w:rPr>
          <w:rFonts w:ascii="Verdana" w:eastAsia="Calibri" w:hAnsi="Verdana" w:cs="Arial"/>
          <w:color w:val="000000" w:themeColor="text1"/>
          <w:lang w:val="es-ES"/>
        </w:rPr>
      </w:pPr>
      <w:r w:rsidRPr="00362CA6">
        <w:rPr>
          <w:rFonts w:ascii="Verdana" w:eastAsia="Calibri" w:hAnsi="Verdana" w:cs="Arial"/>
          <w:color w:val="000000" w:themeColor="text1"/>
          <w:lang w:val="es-ES"/>
        </w:rPr>
        <w:t xml:space="preserve">Es necesario mencionar que la asimilación dispuesta por el artículo 23 </w:t>
      </w:r>
      <w:r w:rsidRPr="00362CA6">
        <w:rPr>
          <w:rFonts w:ascii="Verdana" w:eastAsia="Calibri" w:hAnsi="Verdana" w:cs="Arial"/>
          <w:i/>
          <w:iCs/>
          <w:color w:val="000000" w:themeColor="text1"/>
          <w:lang w:val="es-ES"/>
        </w:rPr>
        <w:t xml:space="preserve">ibidem </w:t>
      </w:r>
      <w:r w:rsidRPr="00362CA6">
        <w:rPr>
          <w:rFonts w:ascii="Verdana" w:eastAsia="Calibri" w:hAnsi="Verdana" w:cs="Arial"/>
          <w:color w:val="000000" w:themeColor="text1"/>
          <w:lang w:val="es-ES"/>
        </w:rPr>
        <w:t xml:space="preserve">no implica una alteración sustantiva de la naturaleza jurídica de las asociaciones mutualistas, las cooperativas y las empresas de economía solidaria, concebidas por la ley como entidades sin ánimo de lucro, toda vez que tal asimilación está circunscrita a la aplicación de las materias reguladas por la Ley 2069 de 2020. En ese sentido, el mandato de considerar este tipo de entidades como empresas y clasificarlas como </w:t>
      </w:r>
      <w:proofErr w:type="spellStart"/>
      <w:r w:rsidRPr="00362CA6">
        <w:rPr>
          <w:rFonts w:ascii="Verdana" w:eastAsia="Calibri" w:hAnsi="Verdana" w:cs="Arial"/>
          <w:color w:val="000000" w:themeColor="text1"/>
          <w:lang w:val="es-ES"/>
        </w:rPr>
        <w:t>Mipyme</w:t>
      </w:r>
      <w:proofErr w:type="spellEnd"/>
      <w:r w:rsidRPr="00362CA6">
        <w:rPr>
          <w:rFonts w:ascii="Verdana" w:eastAsia="Calibri" w:hAnsi="Verdana" w:cs="Arial"/>
          <w:color w:val="000000" w:themeColor="text1"/>
          <w:lang w:val="es-ES"/>
        </w:rPr>
        <w:t xml:space="preserve"> es </w:t>
      </w:r>
      <w:r w:rsidR="007C6CEE" w:rsidRPr="00362CA6">
        <w:rPr>
          <w:rFonts w:ascii="Verdana" w:eastAsia="Calibri" w:hAnsi="Verdana" w:cs="Arial"/>
          <w:color w:val="000000" w:themeColor="text1"/>
          <w:lang w:val="es-ES"/>
        </w:rPr>
        <w:t>una acción tendiente para vincularlas</w:t>
      </w:r>
      <w:r w:rsidRPr="00362CA6">
        <w:rPr>
          <w:rFonts w:ascii="Verdana" w:eastAsia="Calibri" w:hAnsi="Verdana" w:cs="Arial"/>
          <w:color w:val="000000" w:themeColor="text1"/>
          <w:lang w:val="es-ES"/>
        </w:rPr>
        <w:t xml:space="preserve"> como proveedoras del mercado de compra pública dentro del ámbito de explotación económica que la ley les ha concedido a estas entidades del sector solidario, el cual ha sido ampliado por la Ley 2069 de 2020. </w:t>
      </w:r>
    </w:p>
    <w:p w14:paraId="528AF8B4" w14:textId="77777777" w:rsidR="00A406A2" w:rsidRPr="00362CA6" w:rsidRDefault="00A406A2" w:rsidP="00362CA6">
      <w:pPr>
        <w:spacing w:after="120" w:line="276" w:lineRule="auto"/>
        <w:jc w:val="both"/>
        <w:rPr>
          <w:rFonts w:ascii="Verdana" w:hAnsi="Verdana" w:cs="Arial"/>
          <w:color w:val="000000" w:themeColor="text1"/>
          <w:lang w:val="es-ES"/>
        </w:rPr>
      </w:pPr>
      <w:r w:rsidRPr="00362CA6">
        <w:rPr>
          <w:rFonts w:ascii="Verdana" w:eastAsia="Calibri" w:hAnsi="Verdana" w:cs="Arial"/>
          <w:color w:val="000000" w:themeColor="text1"/>
          <w:lang w:val="es-ES_tradnl"/>
        </w:rPr>
        <w:tab/>
      </w:r>
      <w:r w:rsidRPr="00362CA6">
        <w:rPr>
          <w:rFonts w:ascii="Verdana" w:eastAsia="Calibri" w:hAnsi="Verdana" w:cs="Arial"/>
          <w:color w:val="000000" w:themeColor="text1"/>
          <w:lang w:val="es-ES"/>
        </w:rPr>
        <w:t xml:space="preserve">A pesar de que las cooperativas, las asociaciones mutuales y, en general, las empresas de economía solidaria tienen, por disposición de la ley, la naturaleza de ESAL, se distinguen de la generalidad de las entidades sin ánimo </w:t>
      </w:r>
      <w:r w:rsidRPr="00362CA6">
        <w:rPr>
          <w:rFonts w:ascii="Verdana" w:eastAsia="Calibri" w:hAnsi="Verdana" w:cs="Arial"/>
          <w:color w:val="000000" w:themeColor="text1"/>
          <w:lang w:val="es-ES"/>
        </w:rPr>
        <w:lastRenderedPageBreak/>
        <w:t>de lucro</w:t>
      </w:r>
      <w:r w:rsidRPr="00362CA6">
        <w:rPr>
          <w:rFonts w:ascii="Verdana" w:hAnsi="Verdana" w:cs="Arial"/>
          <w:color w:val="000000" w:themeColor="text1"/>
          <w:lang w:val="es-ES"/>
        </w:rPr>
        <w:t xml:space="preserve">. Esto en la medida en que, al estar enmarcadas dentro de la economía solidaria, el ordenamiento jurídico les permite cierto margen de explotación económica concebido para la satisfacción de necesidades de sus asociados y el desarrollo de obras de servicio comunitario. </w:t>
      </w:r>
    </w:p>
    <w:p w14:paraId="3873E17D" w14:textId="77777777" w:rsidR="00A406A2" w:rsidRPr="00362CA6" w:rsidRDefault="00A406A2" w:rsidP="00362CA6">
      <w:pPr>
        <w:spacing w:after="120" w:line="276" w:lineRule="auto"/>
        <w:ind w:firstLine="708"/>
        <w:jc w:val="both"/>
        <w:rPr>
          <w:rFonts w:ascii="Verdana" w:hAnsi="Verdana" w:cs="Arial"/>
          <w:color w:val="000000" w:themeColor="text1"/>
          <w:lang w:val="es-ES"/>
        </w:rPr>
      </w:pPr>
      <w:r w:rsidRPr="00362CA6">
        <w:rPr>
          <w:rFonts w:ascii="Verdana" w:hAnsi="Verdana" w:cs="Arial"/>
          <w:color w:val="000000" w:themeColor="text1"/>
          <w:lang w:val="es-ES"/>
        </w:rPr>
        <w:t xml:space="preserve">En ese sentido, tal como se deprende del inciso primero y del numeral 1 del artículo 6 de la Ley 454 de 1998, las entidades de economía solidaria se caracterizan porque sus trabajadores y/o usuarios son simultáneamente sus aportantes y gestores, siendo además creadas con el objeto de producir, distribuir y consumir conjuntamente bienes y servicios para satisfacer las necesidades de sus miembros y desarrollar obras de servicio a la comunidad en general, para lo cual deben estar constituidas como empresas. En el marco de las actividades económicas tendientes a la producción y distribución de bienes o prestación de servicios por parte de entidades de economía solidaria, la ley admite que estas provean esos bienes o presten tales servicios a Entidades Estatales.   </w:t>
      </w:r>
    </w:p>
    <w:p w14:paraId="65C60769" w14:textId="77E08364" w:rsidR="00855BA6" w:rsidRPr="009D039F" w:rsidRDefault="00A406A2" w:rsidP="00362CA6">
      <w:pPr>
        <w:spacing w:after="120" w:line="276" w:lineRule="auto"/>
        <w:ind w:firstLine="708"/>
        <w:jc w:val="both"/>
        <w:rPr>
          <w:rFonts w:ascii="Verdana" w:hAnsi="Verdana" w:cs="Arial"/>
          <w:kern w:val="2"/>
          <w14:ligatures w14:val="standardContextual"/>
        </w:rPr>
      </w:pPr>
      <w:r w:rsidRPr="60F29CF2">
        <w:rPr>
          <w:rFonts w:ascii="Verdana" w:eastAsia="Calibri" w:hAnsi="Verdana" w:cs="Arial"/>
          <w:color w:val="000000" w:themeColor="text1"/>
          <w:lang w:val="es-ES"/>
        </w:rPr>
        <w:t xml:space="preserve">Finalmente, la entrada en vigor del artículo 23 de la Ley 2069 de 2020 avala la posibilidad de que cooperativas, asociaciones mutuales y demás entes considerados de economía solidaria, según el artículo 6 de la Ley 454 de 1998 –al que alude el propio artículo 23 de la Ley de Emprendimiento–, que sean clasificados como </w:t>
      </w:r>
      <w:proofErr w:type="spellStart"/>
      <w:r w:rsidRPr="60F29CF2">
        <w:rPr>
          <w:rFonts w:ascii="Verdana" w:eastAsia="Calibri" w:hAnsi="Verdana" w:cs="Arial"/>
          <w:color w:val="000000" w:themeColor="text1"/>
          <w:lang w:val="es-ES"/>
        </w:rPr>
        <w:t>Mipymes</w:t>
      </w:r>
      <w:proofErr w:type="spellEnd"/>
      <w:r w:rsidRPr="60F29CF2">
        <w:rPr>
          <w:rFonts w:ascii="Verdana" w:eastAsia="Calibri" w:hAnsi="Verdana" w:cs="Arial"/>
          <w:color w:val="000000" w:themeColor="text1"/>
          <w:lang w:val="es-ES"/>
        </w:rPr>
        <w:t>, puedan ser beneficiarias de los criterios diferenciales incorporados en el artículo 3</w:t>
      </w:r>
      <w:r w:rsidR="001E522E" w:rsidRPr="60F29CF2">
        <w:rPr>
          <w:rFonts w:ascii="Verdana" w:eastAsia="Calibri" w:hAnsi="Verdana" w:cs="Arial"/>
          <w:color w:val="000000" w:themeColor="text1"/>
          <w:lang w:val="es-ES"/>
        </w:rPr>
        <w:t>1</w:t>
      </w:r>
      <w:r w:rsidRPr="60F29CF2">
        <w:rPr>
          <w:rFonts w:ascii="Verdana" w:eastAsia="Calibri" w:hAnsi="Verdana" w:cs="Arial"/>
          <w:color w:val="000000" w:themeColor="text1"/>
          <w:lang w:val="es-ES"/>
        </w:rPr>
        <w:t xml:space="preserve"> de la Ley 2069 de 2020 y regulados en el Decreto 1860 de 2021, que incluyen los puntajes adicionales a los que se refiere en su consulta. </w:t>
      </w:r>
    </w:p>
    <w:p w14:paraId="79173164" w14:textId="77777777" w:rsidR="00855BA6" w:rsidRPr="00E62936" w:rsidRDefault="00F649DC" w:rsidP="00855BA6">
      <w:pPr>
        <w:spacing w:after="0" w:line="276" w:lineRule="auto"/>
        <w:ind w:firstLine="709"/>
        <w:jc w:val="both"/>
        <w:rPr>
          <w:rFonts w:ascii="Verdana" w:eastAsia="Times New Roman" w:hAnsi="Verdana" w:cs="Arial"/>
          <w:lang w:eastAsia="es-MX"/>
        </w:rPr>
      </w:pPr>
      <w:r>
        <w:rPr>
          <w:rFonts w:ascii="Verdana" w:eastAsia="Times New Roman" w:hAnsi="Verdana" w:cs="Arial"/>
          <w:lang w:eastAsia="es-MX"/>
        </w:rPr>
        <w:t>En segundo lugar</w:t>
      </w:r>
      <w:r w:rsidR="00855BA6">
        <w:rPr>
          <w:rFonts w:ascii="Verdana" w:eastAsia="Times New Roman" w:hAnsi="Verdana" w:cs="Arial"/>
          <w:lang w:eastAsia="es-MX"/>
        </w:rPr>
        <w:t>, p</w:t>
      </w:r>
      <w:r w:rsidR="00855BA6" w:rsidRPr="00995CAD">
        <w:rPr>
          <w:rFonts w:ascii="Verdana" w:eastAsia="Times New Roman" w:hAnsi="Verdana" w:cs="Arial"/>
          <w:lang w:eastAsia="es-MX"/>
        </w:rPr>
        <w:t>ara efectos del problema jurídico planteado</w:t>
      </w:r>
      <w:r w:rsidR="00855BA6">
        <w:rPr>
          <w:rFonts w:ascii="Verdana" w:eastAsia="Times New Roman" w:hAnsi="Verdana" w:cs="Arial"/>
          <w:lang w:eastAsia="es-MX"/>
        </w:rPr>
        <w:t xml:space="preserve">, referente a la aplicación del puntaje adicional establecido a favor de empresas y emprendimientos de mujeres en el caso de que el proponente sea una ESAL, </w:t>
      </w:r>
      <w:r w:rsidR="00855BA6" w:rsidRPr="00995CAD">
        <w:rPr>
          <w:rFonts w:ascii="Verdana" w:eastAsia="Times New Roman" w:hAnsi="Verdana" w:cs="Arial"/>
          <w:lang w:eastAsia="es-MX"/>
        </w:rPr>
        <w:t xml:space="preserve">resulta importante analizar </w:t>
      </w:r>
      <w:r w:rsidR="00855BA6" w:rsidRPr="00E62936">
        <w:rPr>
          <w:rFonts w:ascii="Verdana" w:eastAsia="Calibri" w:hAnsi="Verdana" w:cs="Arial"/>
          <w:lang w:val="es-ES_tradnl" w:eastAsia="es-ES_tradnl"/>
        </w:rPr>
        <w:t xml:space="preserve">el artículo 2.2.1.2.4.2.14 al Decreto 1082 de 2015. Esta norma establece las condiciones y requisitos en atención a los cuales se definen los emprendimientos y empresas de mujeres, a las que les aplican los criterios diferenciales. Para estos efectos, cada uno de los cuatro (4) numerales de la norma establecen unas condiciones alternativas que definen los emprendimientos y empresas de mujeres, cuyo tenor literal indica:   </w:t>
      </w:r>
    </w:p>
    <w:p w14:paraId="09CEB8E6" w14:textId="77777777" w:rsidR="00855BA6" w:rsidRPr="00E62936" w:rsidRDefault="00855BA6" w:rsidP="00F83D08">
      <w:pPr>
        <w:spacing w:after="0" w:line="276" w:lineRule="auto"/>
        <w:jc w:val="both"/>
        <w:rPr>
          <w:rFonts w:ascii="Verdana" w:eastAsia="Calibri" w:hAnsi="Verdana" w:cs="Arial"/>
          <w:lang w:val="es-ES_tradnl" w:eastAsia="es-ES_tradnl"/>
        </w:rPr>
      </w:pPr>
    </w:p>
    <w:p w14:paraId="5A9814DD" w14:textId="77777777" w:rsidR="00F83D08" w:rsidRPr="00F83D08" w:rsidRDefault="00855BA6" w:rsidP="009D039F">
      <w:pPr>
        <w:shd w:val="clear" w:color="auto" w:fill="FFFFFF"/>
        <w:spacing w:after="0" w:line="240" w:lineRule="auto"/>
        <w:ind w:left="709" w:right="709"/>
        <w:jc w:val="both"/>
        <w:textAlignment w:val="baseline"/>
        <w:rPr>
          <w:rFonts w:ascii="Verdana" w:eastAsia="Times New Roman" w:hAnsi="Verdana" w:cs="Arial"/>
          <w:sz w:val="20"/>
          <w:szCs w:val="20"/>
          <w:lang w:eastAsia="es-CO"/>
        </w:rPr>
      </w:pPr>
      <w:r w:rsidRPr="00E62936">
        <w:rPr>
          <w:rFonts w:ascii="Verdana" w:eastAsia="Times New Roman" w:hAnsi="Verdana" w:cs="Arial"/>
          <w:sz w:val="20"/>
          <w:szCs w:val="20"/>
          <w:lang w:eastAsia="es-CO"/>
        </w:rPr>
        <w:t>“Artículo 2.2.1.2.4.2.14. Definición de emprendimientos y empresas de mujeres.</w:t>
      </w:r>
      <w:r w:rsidR="00F83D08">
        <w:rPr>
          <w:rFonts w:ascii="Verdana" w:eastAsia="Times New Roman" w:hAnsi="Verdana" w:cs="Arial"/>
          <w:sz w:val="20"/>
          <w:szCs w:val="20"/>
          <w:lang w:eastAsia="es-CO"/>
        </w:rPr>
        <w:t xml:space="preserve"> </w:t>
      </w:r>
      <w:r w:rsidR="00F83D08" w:rsidRPr="00F83D08">
        <w:rPr>
          <w:rFonts w:ascii="Verdana" w:eastAsia="Times New Roman" w:hAnsi="Verdana" w:cs="Arial"/>
          <w:sz w:val="20"/>
          <w:szCs w:val="20"/>
          <w:lang w:eastAsia="es-CO"/>
        </w:rPr>
        <w:t xml:space="preserve">Con el propósito de adoptar medidas afirmativas que incentiven la participación de las mujeres en el sistema de compras públicas, se </w:t>
      </w:r>
      <w:r w:rsidR="00F83D08" w:rsidRPr="00F83D08">
        <w:rPr>
          <w:rFonts w:ascii="Verdana" w:eastAsia="Times New Roman" w:hAnsi="Verdana" w:cs="Arial"/>
          <w:sz w:val="20"/>
          <w:szCs w:val="20"/>
          <w:lang w:eastAsia="es-CO"/>
        </w:rPr>
        <w:lastRenderedPageBreak/>
        <w:t>entenderán como emprendimientos y empresas de mujeres aquellas que cumplan con alguna de las siguientes condiciones:</w:t>
      </w:r>
    </w:p>
    <w:p w14:paraId="17653CCD" w14:textId="77777777" w:rsidR="00F83D08" w:rsidRDefault="00F83D08"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21DA4823" w14:textId="77777777" w:rsidR="00F83D08" w:rsidRDefault="00F83D08"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1. Cuando más del cincuenta por ciento (50%) de las acciones, partes de interés o cuotas de participación de la persona jurídica pertenezcan a mujeres y los derechos de propiedad hayan pertenecido a estas durante al menos el último año anterior a la fecha de cierre del Proceso de Selección. Esta circunstancia se acreditará mediante certificación expedida por el representante legal y el revisor fiscal, cuando exista de acuerdo con los requerimientos de ley, o el contador, donde conste la distribución de los derechos en la sociedad y el tiempo en el que las mujeres han mantenido su participación.</w:t>
      </w:r>
    </w:p>
    <w:p w14:paraId="4E0E1B04" w14:textId="77777777" w:rsidR="003A5B87" w:rsidRPr="00F83D08" w:rsidRDefault="003A5B87"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0E2F3A0E" w14:textId="77777777" w:rsidR="00F83D08" w:rsidRPr="00F83D08" w:rsidRDefault="00F83D08"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2. Cuando por lo menos el cincuenta por ciento (50%) de los empleos del nivel directivo de la persona jurídica sean ejercidos por mujeres y éstas hayan estado vinculadas laboralmente a la empresa durante al menos el último año anterior a la fecha de cierre del Proceso de Selección en el mismo cargo u otro del mismo nivel.</w:t>
      </w:r>
    </w:p>
    <w:p w14:paraId="44D2D725" w14:textId="77777777" w:rsidR="003A5B87" w:rsidRDefault="003A5B87"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679478C9" w14:textId="77777777" w:rsidR="00F83D08" w:rsidRPr="00F83D08" w:rsidRDefault="00F83D08"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Se entenderá como empleos del nivel directivo aquellos cuyas funciones están relacionadas con la dirección de áreas misionales de la empresa y la toma de decisiones a nivel estratégico. En este sentido, serán cargos de nivel directivo los que dentro de la organización de la empresa se encuentran ubicados en un nivel de mando o los que por su jerarquía desempeñan cargos encaminados al cumplimiento de funciones orientadas a representar al empleador.</w:t>
      </w:r>
    </w:p>
    <w:p w14:paraId="45EAA8C3" w14:textId="77777777" w:rsidR="003A5B87" w:rsidRDefault="003A5B87"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56591056" w14:textId="77777777" w:rsidR="00F83D08" w:rsidRPr="00F83D08" w:rsidRDefault="00F83D08"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Esta circunstancia se acreditará mediante certificación expedida por el representante legal y el revisor fiscal, cuando exista de acuerdo con los requerimientos de ley, o el contador, donde se señale de manera detallada todas las personas que conforman los cargos de nivel directivo del proponente, el número de mujeres y el tiempo de vinculación.</w:t>
      </w:r>
    </w:p>
    <w:p w14:paraId="31D4A8BB" w14:textId="77777777" w:rsidR="003A5B87" w:rsidRDefault="003A5B87"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4659E094" w14:textId="77777777" w:rsidR="00F83D08" w:rsidRPr="00F83D08" w:rsidRDefault="00F83D08"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La certificación deberá relacionar el nombre completo y el número de documento de identidad de cada una de las personas que conforman el nivel directivo del proponente. Como soporte, se anexará copia de los respectivos documentos de identidad, copia de los contratos de trabajo o certificación laboral con las funciones, así como el certificado de aportes a seguridad social del último año en el que se demuestren los pagos realizados por el empleador.</w:t>
      </w:r>
    </w:p>
    <w:p w14:paraId="01097505" w14:textId="77777777" w:rsidR="003A5B87" w:rsidRDefault="003A5B87"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p>
    <w:p w14:paraId="06955F02" w14:textId="6616EB7E" w:rsidR="003A5B87" w:rsidRDefault="00F83D08" w:rsidP="008C7242">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F83D08">
        <w:rPr>
          <w:rFonts w:ascii="Verdana" w:eastAsia="Times New Roman" w:hAnsi="Verdana" w:cs="Arial"/>
          <w:sz w:val="20"/>
          <w:szCs w:val="20"/>
          <w:lang w:eastAsia="es-CO"/>
        </w:rPr>
        <w:t>3. Cuando la persona natural sea una mujer y haya ejercido actividades comerciales a través de un establecimiento de comercio durante al menos el último año anterior a la fecha de cierre del proceso de selección. Esta circunstancia se acreditará mediante la copia de cédula de ciudadanía, la cédula de extranjería o el pasaporte, así como la copia del registro mercantil.</w:t>
      </w:r>
    </w:p>
    <w:p w14:paraId="2B6A7963" w14:textId="77777777" w:rsidR="00F83D08" w:rsidRPr="009D039F" w:rsidRDefault="00F83D08" w:rsidP="00F83D08">
      <w:pPr>
        <w:shd w:val="clear" w:color="auto" w:fill="FFFFFF" w:themeFill="background1"/>
        <w:spacing w:after="0" w:line="240" w:lineRule="auto"/>
        <w:ind w:left="709" w:right="709"/>
        <w:jc w:val="both"/>
        <w:textAlignment w:val="baseline"/>
        <w:rPr>
          <w:rFonts w:ascii="Verdana" w:eastAsia="Times New Roman" w:hAnsi="Verdana" w:cs="Arial"/>
          <w:i/>
          <w:iCs/>
          <w:sz w:val="20"/>
          <w:szCs w:val="20"/>
          <w:lang w:eastAsia="es-CO"/>
        </w:rPr>
      </w:pPr>
      <w:r w:rsidRPr="009D039F">
        <w:rPr>
          <w:rFonts w:ascii="Verdana" w:eastAsia="Times New Roman" w:hAnsi="Verdana" w:cs="Arial"/>
          <w:i/>
          <w:iCs/>
          <w:sz w:val="20"/>
          <w:szCs w:val="20"/>
          <w:lang w:eastAsia="es-CO"/>
        </w:rPr>
        <w:lastRenderedPageBreak/>
        <w:t>4. Para las asociaciones y cooperativas, cuando más del cincuenta por ciento (50%) de los asociados sean mujeres y la participación haya correspondido a estas durante al menos el último año anterior a la fecha de cierre del Proceso de Selección. Esta circunstancia se acreditará mediante certificación expedida por el representante legal.</w:t>
      </w:r>
    </w:p>
    <w:p w14:paraId="2EBFA481" w14:textId="77777777" w:rsidR="00855BA6" w:rsidRPr="00E62936" w:rsidRDefault="00855BA6" w:rsidP="00F83D08">
      <w:pPr>
        <w:shd w:val="clear" w:color="auto" w:fill="FFFFFF" w:themeFill="background1"/>
        <w:spacing w:after="0" w:line="240" w:lineRule="auto"/>
        <w:ind w:left="709" w:right="709"/>
        <w:jc w:val="both"/>
        <w:textAlignment w:val="baseline"/>
        <w:rPr>
          <w:rFonts w:ascii="Verdana" w:eastAsia="Times New Roman" w:hAnsi="Verdana" w:cs="Arial"/>
          <w:i/>
          <w:iCs/>
          <w:sz w:val="20"/>
          <w:szCs w:val="20"/>
          <w:u w:val="single"/>
          <w:lang w:eastAsia="es-CO"/>
        </w:rPr>
      </w:pPr>
    </w:p>
    <w:p w14:paraId="0916C507" w14:textId="77777777" w:rsidR="00855BA6" w:rsidRPr="00E62936" w:rsidRDefault="00855BA6" w:rsidP="00F83D08">
      <w:pPr>
        <w:shd w:val="clear" w:color="auto" w:fill="FFFFFF" w:themeFill="background1"/>
        <w:spacing w:after="0" w:line="240" w:lineRule="auto"/>
        <w:ind w:left="709" w:right="709"/>
        <w:jc w:val="both"/>
        <w:textAlignment w:val="baseline"/>
        <w:rPr>
          <w:rFonts w:ascii="Verdana" w:eastAsia="Times New Roman" w:hAnsi="Verdana" w:cs="Arial"/>
          <w:sz w:val="20"/>
          <w:szCs w:val="20"/>
          <w:lang w:eastAsia="es-CO"/>
        </w:rPr>
      </w:pPr>
      <w:r w:rsidRPr="00E62936">
        <w:rPr>
          <w:rFonts w:ascii="Verdana" w:eastAsia="Times New Roman" w:hAnsi="Verdana" w:cs="Arial"/>
          <w:sz w:val="20"/>
          <w:szCs w:val="20"/>
          <w:lang w:eastAsia="es-CO"/>
        </w:rPr>
        <w:t>Parágrafo. Respecto a los incentivos contractuales para los emprendimientos y empresas de mujeres, las certificaciones de trata el presente artículo deben expedirse bajo la gravedad de juramento con una fecha de máximo treinta (30) días calendario anteriores a la prevista para el cierre del procedimiento de selección”. [Énfasis fuera de texto]</w:t>
      </w:r>
    </w:p>
    <w:p w14:paraId="4991610E" w14:textId="77777777" w:rsidR="00855BA6" w:rsidRPr="00E62936" w:rsidRDefault="00855BA6" w:rsidP="0071194C">
      <w:pPr>
        <w:spacing w:after="0" w:line="276" w:lineRule="auto"/>
        <w:ind w:firstLine="709"/>
        <w:jc w:val="both"/>
        <w:rPr>
          <w:rFonts w:ascii="Verdana" w:eastAsia="Times New Roman" w:hAnsi="Verdana" w:cs="Arial"/>
          <w:lang w:eastAsia="es-CO"/>
        </w:rPr>
      </w:pPr>
    </w:p>
    <w:p w14:paraId="694522CF" w14:textId="77777777" w:rsidR="00AB4257" w:rsidRDefault="00855BA6" w:rsidP="00AB4257">
      <w:pPr>
        <w:spacing w:after="120" w:line="276" w:lineRule="auto"/>
        <w:ind w:firstLine="709"/>
        <w:jc w:val="both"/>
        <w:rPr>
          <w:rFonts w:ascii="Verdana" w:eastAsia="Calibri" w:hAnsi="Verdana" w:cs="Arial"/>
          <w:lang w:val="es-ES_tradnl"/>
        </w:rPr>
      </w:pPr>
      <w:r>
        <w:rPr>
          <w:rFonts w:ascii="Verdana" w:eastAsia="Times New Roman" w:hAnsi="Verdana" w:cs="Arial"/>
          <w:lang w:eastAsia="es-CO"/>
        </w:rPr>
        <w:t>S</w:t>
      </w:r>
      <w:r w:rsidRPr="00E62936">
        <w:rPr>
          <w:rFonts w:ascii="Verdana" w:eastAsia="Times New Roman" w:hAnsi="Verdana" w:cs="Arial"/>
          <w:lang w:eastAsia="es-CO"/>
        </w:rPr>
        <w:t>e colige que</w:t>
      </w:r>
      <w:r w:rsidR="00E3297C">
        <w:rPr>
          <w:rFonts w:ascii="Verdana" w:eastAsia="Times New Roman" w:hAnsi="Verdana" w:cs="Arial"/>
          <w:lang w:eastAsia="es-CO"/>
        </w:rPr>
        <w:t>,</w:t>
      </w:r>
      <w:r w:rsidRPr="00E62936">
        <w:rPr>
          <w:rFonts w:ascii="Verdana" w:eastAsia="Times New Roman" w:hAnsi="Verdana" w:cs="Arial"/>
          <w:lang w:eastAsia="es-CO"/>
        </w:rPr>
        <w:t xml:space="preserve"> </w:t>
      </w:r>
      <w:r w:rsidRPr="00E62936">
        <w:rPr>
          <w:rFonts w:ascii="Verdana" w:eastAsia="Calibri" w:hAnsi="Verdana" w:cs="Arial"/>
          <w:lang w:val="es-ES_tradnl"/>
        </w:rPr>
        <w:t xml:space="preserve">para efectos de la aplicación de los criterios diferenciales en el </w:t>
      </w:r>
      <w:r w:rsidR="00EC394E" w:rsidRPr="00E62936">
        <w:rPr>
          <w:rFonts w:ascii="Verdana" w:eastAsia="Calibri" w:hAnsi="Verdana" w:cs="Arial"/>
          <w:lang w:val="es-ES_tradnl"/>
        </w:rPr>
        <w:t xml:space="preserve">Sistema </w:t>
      </w:r>
      <w:r w:rsidRPr="00E62936">
        <w:rPr>
          <w:rFonts w:ascii="Verdana" w:eastAsia="Calibri" w:hAnsi="Verdana" w:cs="Arial"/>
          <w:lang w:val="es-ES_tradnl"/>
        </w:rPr>
        <w:t xml:space="preserve">de </w:t>
      </w:r>
      <w:r w:rsidR="00EC394E" w:rsidRPr="00E62936">
        <w:rPr>
          <w:rFonts w:ascii="Verdana" w:eastAsia="Calibri" w:hAnsi="Verdana" w:cs="Arial"/>
          <w:lang w:val="es-ES_tradnl"/>
        </w:rPr>
        <w:t xml:space="preserve">Compras Públicas </w:t>
      </w:r>
      <w:r w:rsidRPr="00E62936">
        <w:rPr>
          <w:rFonts w:ascii="Verdana" w:eastAsia="Calibri" w:hAnsi="Verdana" w:cs="Arial"/>
          <w:lang w:val="es-ES_tradnl"/>
        </w:rPr>
        <w:t>en los términos del artículo 32 de la Ley 2069 de 2020, se considerarán emprendimientos o empresas de mujeres las personas jurídicas o naturales que cumplan alguno de los cuatro</w:t>
      </w:r>
      <w:r w:rsidR="00E3297C">
        <w:rPr>
          <w:rFonts w:ascii="Verdana" w:eastAsia="Calibri" w:hAnsi="Verdana" w:cs="Arial"/>
          <w:lang w:val="es-ES_tradnl"/>
        </w:rPr>
        <w:t xml:space="preserve"> (4)</w:t>
      </w:r>
      <w:r w:rsidRPr="00E62936">
        <w:rPr>
          <w:rFonts w:ascii="Verdana" w:eastAsia="Calibri" w:hAnsi="Verdana" w:cs="Arial"/>
          <w:lang w:val="es-ES_tradnl"/>
        </w:rPr>
        <w:t xml:space="preserve"> supuestos de hecho previstos en el artículo </w:t>
      </w:r>
      <w:r w:rsidRPr="00E62936">
        <w:rPr>
          <w:rStyle w:val="normaltextrun"/>
          <w:rFonts w:ascii="Verdana" w:hAnsi="Verdana" w:cs="Arial"/>
          <w:color w:val="000000"/>
          <w:shd w:val="clear" w:color="auto" w:fill="FFFFFF"/>
        </w:rPr>
        <w:t xml:space="preserve">2.2.1.2.4.2.14 del Decreto 1082 de 2015 </w:t>
      </w:r>
      <w:r w:rsidRPr="00E62936">
        <w:rPr>
          <w:rFonts w:ascii="Verdana" w:eastAsia="Calibri" w:hAnsi="Verdana" w:cs="Arial"/>
          <w:lang w:val="es-ES_tradnl"/>
        </w:rPr>
        <w:t>y los acrediten con los documentos previstos para ello.</w:t>
      </w:r>
    </w:p>
    <w:p w14:paraId="1C555F67" w14:textId="77777777" w:rsidR="002A3E45" w:rsidRDefault="00203BF1" w:rsidP="009D039F">
      <w:pPr>
        <w:spacing w:after="120" w:line="276" w:lineRule="auto"/>
        <w:ind w:firstLine="709"/>
        <w:jc w:val="both"/>
        <w:rPr>
          <w:rFonts w:ascii="Verdana" w:hAnsi="Verdana" w:cs="Arial"/>
          <w:kern w:val="2"/>
          <w14:ligatures w14:val="standardContextual"/>
        </w:rPr>
      </w:pPr>
      <w:r>
        <w:rPr>
          <w:rFonts w:ascii="Verdana" w:hAnsi="Verdana" w:cs="Arial"/>
          <w:kern w:val="2"/>
          <w14:ligatures w14:val="standardContextual"/>
        </w:rPr>
        <w:t>Como se observa los numerales 1 y 2 se refieren a empresas y</w:t>
      </w:r>
      <w:r w:rsidR="00AB4257">
        <w:rPr>
          <w:rFonts w:ascii="Verdana" w:hAnsi="Verdana" w:cs="Arial"/>
          <w:kern w:val="2"/>
          <w14:ligatures w14:val="standardContextual"/>
        </w:rPr>
        <w:t xml:space="preserve">, tal y </w:t>
      </w:r>
      <w:r>
        <w:rPr>
          <w:rFonts w:ascii="Verdana" w:hAnsi="Verdana" w:cs="Arial"/>
          <w:kern w:val="2"/>
          <w14:ligatures w14:val="standardContextual"/>
        </w:rPr>
        <w:t xml:space="preserve">como se </w:t>
      </w:r>
      <w:r w:rsidR="00AB4257">
        <w:rPr>
          <w:rFonts w:ascii="Verdana" w:hAnsi="Verdana" w:cs="Arial"/>
          <w:kern w:val="2"/>
          <w14:ligatures w14:val="standardContextual"/>
        </w:rPr>
        <w:t>expuesto ampliamente en el presente concepto,</w:t>
      </w:r>
      <w:r>
        <w:rPr>
          <w:rFonts w:ascii="Verdana" w:hAnsi="Verdana" w:cs="Arial"/>
          <w:kern w:val="2"/>
          <w14:ligatures w14:val="standardContextual"/>
        </w:rPr>
        <w:t xml:space="preserve"> las </w:t>
      </w:r>
      <w:r w:rsidR="00855D1C">
        <w:rPr>
          <w:rFonts w:ascii="Verdana" w:hAnsi="Verdana" w:cs="Arial"/>
          <w:kern w:val="2"/>
          <w14:ligatures w14:val="standardContextual"/>
        </w:rPr>
        <w:t xml:space="preserve">ESAL </w:t>
      </w:r>
      <w:r>
        <w:rPr>
          <w:rFonts w:ascii="Verdana" w:hAnsi="Verdana" w:cs="Arial"/>
          <w:kern w:val="2"/>
          <w14:ligatures w14:val="standardContextual"/>
        </w:rPr>
        <w:t>no pueden considerarse en la categoría de empresas</w:t>
      </w:r>
      <w:r w:rsidR="00AB4257">
        <w:rPr>
          <w:rFonts w:ascii="Verdana" w:hAnsi="Verdana" w:cs="Arial"/>
          <w:kern w:val="2"/>
          <w14:ligatures w14:val="standardContextual"/>
        </w:rPr>
        <w:t xml:space="preserve">. Se reitera que, </w:t>
      </w:r>
      <w:r w:rsidR="00AB4257" w:rsidRPr="00E62936">
        <w:rPr>
          <w:rFonts w:ascii="Verdana" w:eastAsia="Calibri" w:hAnsi="Verdana" w:cs="Arial"/>
          <w:lang w:val="es-ES_tradnl" w:eastAsia="es-ES_tradnl"/>
        </w:rPr>
        <w:t xml:space="preserve">la empresa se forma a través de un contrato de sociedad por medio del cual dos o más personas se obligan a hacer un aporte en dinero, en trabajo o en otros bienes apreciables en dinero con el fin de repartirse entre sí las utilidades obtenidas en la empresa, </w:t>
      </w:r>
      <w:r w:rsidR="007047CF">
        <w:rPr>
          <w:rFonts w:ascii="Verdana" w:eastAsia="Calibri" w:hAnsi="Verdana" w:cs="Arial"/>
          <w:lang w:val="es-ES_tradnl" w:eastAsia="es-ES_tradnl"/>
        </w:rPr>
        <w:t>mientras que en las</w:t>
      </w:r>
      <w:r w:rsidR="00AB4257" w:rsidRPr="00E62936">
        <w:rPr>
          <w:rFonts w:ascii="Verdana" w:eastAsia="Calibri" w:hAnsi="Verdana" w:cs="Arial"/>
          <w:lang w:val="es-ES_tradnl" w:eastAsia="es-ES_tradnl"/>
        </w:rPr>
        <w:t xml:space="preserve"> ESAL no se admite el reparto de utilidades, ni durante la existencia de la organización ni cuando se extinga</w:t>
      </w:r>
      <w:r w:rsidR="007047CF">
        <w:rPr>
          <w:rFonts w:ascii="Verdana" w:eastAsia="Calibri" w:hAnsi="Verdana" w:cs="Arial"/>
          <w:lang w:val="es-ES_tradnl" w:eastAsia="es-ES_tradnl"/>
        </w:rPr>
        <w:t xml:space="preserve">. </w:t>
      </w:r>
    </w:p>
    <w:p w14:paraId="1239C418" w14:textId="77777777" w:rsidR="00A51074" w:rsidRDefault="00203BF1" w:rsidP="00A51074">
      <w:pPr>
        <w:spacing w:after="120" w:line="276" w:lineRule="auto"/>
        <w:ind w:firstLine="708"/>
        <w:jc w:val="both"/>
        <w:rPr>
          <w:rFonts w:ascii="Verdana" w:hAnsi="Verdana" w:cs="Arial"/>
          <w:kern w:val="2"/>
          <w14:ligatures w14:val="standardContextual"/>
        </w:rPr>
      </w:pPr>
      <w:r>
        <w:rPr>
          <w:rFonts w:ascii="Verdana" w:hAnsi="Verdana" w:cs="Arial"/>
          <w:kern w:val="2"/>
          <w14:ligatures w14:val="standardContextual"/>
        </w:rPr>
        <w:t xml:space="preserve">El numeral 3 tampoco </w:t>
      </w:r>
      <w:r w:rsidR="00BF79C8">
        <w:rPr>
          <w:rFonts w:ascii="Verdana" w:hAnsi="Verdana" w:cs="Arial"/>
          <w:kern w:val="2"/>
          <w14:ligatures w14:val="standardContextual"/>
        </w:rPr>
        <w:t xml:space="preserve">aplica al caso de las ESAL, en la medida que </w:t>
      </w:r>
      <w:r w:rsidR="00A51074">
        <w:rPr>
          <w:rFonts w:ascii="Verdana" w:hAnsi="Verdana" w:cs="Arial"/>
          <w:kern w:val="2"/>
          <w14:ligatures w14:val="standardContextual"/>
        </w:rPr>
        <w:t xml:space="preserve">este numeral aplica para </w:t>
      </w:r>
      <w:r w:rsidR="00BF79C8">
        <w:rPr>
          <w:rFonts w:ascii="Verdana" w:hAnsi="Verdana" w:cs="Arial"/>
          <w:kern w:val="2"/>
          <w14:ligatures w14:val="standardContextual"/>
        </w:rPr>
        <w:t>personas naturales y las ESAL son personas jurídicas</w:t>
      </w:r>
      <w:r w:rsidR="00A51074" w:rsidRPr="00E62936">
        <w:rPr>
          <w:rFonts w:ascii="Verdana" w:eastAsia="Calibri" w:hAnsi="Verdana" w:cs="Arial"/>
          <w:lang w:val="es-ES_tradnl" w:eastAsia="es-ES_tradnl"/>
        </w:rPr>
        <w:t xml:space="preserve"> que se constituyen por la voluntad de asociación o creación de otras personas (naturales o jurídicas) para realizar actividades en beneficio de los asociados o de terceras personas o de la comunidad en general y no persiguen el reparto de utilidades entre sus miembros</w:t>
      </w:r>
      <w:r w:rsidR="00A51074">
        <w:rPr>
          <w:rFonts w:ascii="Verdana" w:eastAsia="Calibri" w:hAnsi="Verdana" w:cs="Arial"/>
          <w:lang w:val="es-ES_tradnl" w:eastAsia="es-ES_tradnl"/>
        </w:rPr>
        <w:t xml:space="preserve">. </w:t>
      </w:r>
    </w:p>
    <w:p w14:paraId="4D247FBF" w14:textId="77777777" w:rsidR="00D509B7" w:rsidRDefault="0096663D" w:rsidP="006C3D52">
      <w:pPr>
        <w:spacing w:after="120" w:line="276" w:lineRule="auto"/>
        <w:ind w:firstLine="708"/>
        <w:jc w:val="both"/>
        <w:rPr>
          <w:rFonts w:ascii="Verdana" w:eastAsia="Calibri" w:hAnsi="Verdana" w:cs="Arial"/>
          <w:bCs/>
          <w:color w:val="000000"/>
          <w:kern w:val="2"/>
          <w:szCs w:val="24"/>
          <w:lang w:val="es-ES" w:eastAsia="es-ES_tradnl" w:bidi="es-ES"/>
          <w14:ligatures w14:val="standardContextual"/>
        </w:rPr>
      </w:pPr>
      <w:r w:rsidRPr="009D039F">
        <w:rPr>
          <w:rFonts w:ascii="Verdana" w:hAnsi="Verdana" w:cs="Arial"/>
          <w:kern w:val="2"/>
          <w14:ligatures w14:val="standardContextual"/>
        </w:rPr>
        <w:t xml:space="preserve">En ese orden, teniendo en cuenta la explicación dada sobre la incorporación de criterios diferenciales en los Procesos de Contratación, según la noción introducida por el Decreto 1860 de 2021 al Decreto 1082 de 2015, cuando las ESAL participen en un proceso de selección pública y pretendan los beneficios conferidos a los emprendimientos y empresas de mujeres, deberán acreditar la condición dispuesta en el numeral 4 del artículo </w:t>
      </w:r>
      <w:r w:rsidRPr="009D039F">
        <w:rPr>
          <w:rFonts w:ascii="Verdana" w:eastAsia="Calibri" w:hAnsi="Verdana" w:cs="Arial"/>
          <w:bCs/>
          <w:color w:val="000000"/>
          <w:kern w:val="2"/>
          <w:szCs w:val="24"/>
          <w:lang w:val="es-ES" w:eastAsia="es-ES_tradnl" w:bidi="es-ES"/>
          <w14:ligatures w14:val="standardContextual"/>
        </w:rPr>
        <w:t xml:space="preserve">2.2.1.2.4.2.14 del </w:t>
      </w:r>
      <w:r w:rsidRPr="009D039F">
        <w:rPr>
          <w:rFonts w:ascii="Verdana" w:eastAsia="Calibri" w:hAnsi="Verdana" w:cs="Arial"/>
          <w:bCs/>
          <w:color w:val="000000"/>
          <w:kern w:val="2"/>
          <w:szCs w:val="24"/>
          <w:lang w:val="es-ES" w:eastAsia="es-ES_tradnl" w:bidi="es-ES"/>
          <w14:ligatures w14:val="standardContextual"/>
        </w:rPr>
        <w:lastRenderedPageBreak/>
        <w:t>Decreto 1082 de 2015</w:t>
      </w:r>
      <w:r w:rsidR="00F90A5D">
        <w:rPr>
          <w:rFonts w:ascii="Verdana" w:eastAsia="Calibri" w:hAnsi="Verdana" w:cs="Arial"/>
          <w:bCs/>
          <w:color w:val="000000"/>
          <w:kern w:val="2"/>
          <w:szCs w:val="24"/>
          <w:lang w:val="es-ES" w:eastAsia="es-ES_tradnl" w:bidi="es-ES"/>
          <w14:ligatures w14:val="standardContextual"/>
        </w:rPr>
        <w:t>. E</w:t>
      </w:r>
      <w:r w:rsidRPr="009D039F">
        <w:rPr>
          <w:rFonts w:ascii="Verdana" w:eastAsia="Calibri" w:hAnsi="Verdana" w:cs="Arial"/>
          <w:bCs/>
          <w:color w:val="000000"/>
          <w:kern w:val="2"/>
          <w:szCs w:val="24"/>
          <w:lang w:val="es-ES" w:eastAsia="es-ES_tradnl" w:bidi="es-ES"/>
          <w14:ligatures w14:val="standardContextual"/>
        </w:rPr>
        <w:t xml:space="preserve">sto es, </w:t>
      </w:r>
      <w:r w:rsidR="00F90A5D">
        <w:rPr>
          <w:rFonts w:ascii="Verdana" w:eastAsia="Calibri" w:hAnsi="Verdana" w:cs="Arial"/>
          <w:bCs/>
          <w:color w:val="000000"/>
          <w:kern w:val="2"/>
          <w:szCs w:val="24"/>
          <w:lang w:val="es-ES" w:eastAsia="es-ES_tradnl" w:bidi="es-ES"/>
          <w14:ligatures w14:val="standardContextual"/>
        </w:rPr>
        <w:t xml:space="preserve">acreditar su condición de cooperativa o </w:t>
      </w:r>
      <w:r w:rsidR="00A52521">
        <w:rPr>
          <w:rFonts w:ascii="Verdana" w:eastAsia="Calibri" w:hAnsi="Verdana" w:cs="Arial"/>
          <w:bCs/>
          <w:color w:val="000000"/>
          <w:kern w:val="2"/>
          <w:szCs w:val="24"/>
          <w:lang w:val="es-ES" w:eastAsia="es-ES_tradnl" w:bidi="es-ES"/>
          <w14:ligatures w14:val="standardContextual"/>
        </w:rPr>
        <w:t>asociación</w:t>
      </w:r>
      <w:r w:rsidR="003D245C">
        <w:rPr>
          <w:rFonts w:ascii="Verdana" w:eastAsia="Calibri" w:hAnsi="Verdana" w:cs="Arial"/>
          <w:bCs/>
          <w:color w:val="000000"/>
          <w:kern w:val="2"/>
          <w:szCs w:val="24"/>
          <w:lang w:val="es-ES" w:eastAsia="es-ES_tradnl" w:bidi="es-ES"/>
          <w14:ligatures w14:val="standardContextual"/>
        </w:rPr>
        <w:t xml:space="preserve"> – tal y como ocurre en el caso de las </w:t>
      </w:r>
      <w:proofErr w:type="spellStart"/>
      <w:r w:rsidR="003D245C">
        <w:rPr>
          <w:rFonts w:ascii="Verdana" w:eastAsia="Calibri" w:hAnsi="Verdana" w:cs="Arial"/>
          <w:bCs/>
          <w:color w:val="000000"/>
          <w:kern w:val="2"/>
          <w:szCs w:val="24"/>
          <w:lang w:val="es-ES" w:eastAsia="es-ES_tradnl" w:bidi="es-ES"/>
          <w14:ligatures w14:val="standardContextual"/>
        </w:rPr>
        <w:t>Mipymes</w:t>
      </w:r>
      <w:proofErr w:type="spellEnd"/>
      <w:r w:rsidR="003D245C">
        <w:rPr>
          <w:rFonts w:ascii="Verdana" w:eastAsia="Calibri" w:hAnsi="Verdana" w:cs="Arial"/>
          <w:bCs/>
          <w:color w:val="000000"/>
          <w:kern w:val="2"/>
          <w:szCs w:val="24"/>
          <w:lang w:val="es-ES" w:eastAsia="es-ES_tradnl" w:bidi="es-ES"/>
          <w14:ligatures w14:val="standardContextual"/>
        </w:rPr>
        <w:t xml:space="preserve"> –</w:t>
      </w:r>
      <w:r w:rsidR="00A52521">
        <w:rPr>
          <w:rFonts w:ascii="Verdana" w:eastAsia="Calibri" w:hAnsi="Verdana" w:cs="Arial"/>
          <w:bCs/>
          <w:color w:val="000000"/>
          <w:kern w:val="2"/>
          <w:szCs w:val="24"/>
          <w:lang w:val="es-ES" w:eastAsia="es-ES_tradnl" w:bidi="es-ES"/>
          <w14:ligatures w14:val="standardContextual"/>
        </w:rPr>
        <w:t>. E</w:t>
      </w:r>
      <w:r w:rsidR="003D245C">
        <w:rPr>
          <w:rFonts w:ascii="Verdana" w:eastAsia="Calibri" w:hAnsi="Verdana" w:cs="Arial"/>
          <w:bCs/>
          <w:color w:val="000000"/>
          <w:kern w:val="2"/>
          <w:szCs w:val="24"/>
          <w:lang w:val="es-ES" w:eastAsia="es-ES_tradnl" w:bidi="es-ES"/>
          <w14:ligatures w14:val="standardContextual"/>
        </w:rPr>
        <w:t xml:space="preserve">s decir, que no </w:t>
      </w:r>
      <w:r w:rsidR="00D509B7">
        <w:rPr>
          <w:rFonts w:ascii="Verdana" w:eastAsia="Calibri" w:hAnsi="Verdana" w:cs="Arial"/>
          <w:bCs/>
          <w:color w:val="000000"/>
          <w:kern w:val="2"/>
          <w:szCs w:val="24"/>
          <w:lang w:val="es-ES" w:eastAsia="es-ES_tradnl" w:bidi="es-ES"/>
          <w14:ligatures w14:val="standardContextual"/>
        </w:rPr>
        <w:t>todas</w:t>
      </w:r>
      <w:r w:rsidR="003D245C">
        <w:rPr>
          <w:rFonts w:ascii="Verdana" w:eastAsia="Calibri" w:hAnsi="Verdana" w:cs="Arial"/>
          <w:bCs/>
          <w:color w:val="000000"/>
          <w:kern w:val="2"/>
          <w:szCs w:val="24"/>
          <w:lang w:val="es-ES" w:eastAsia="es-ES_tradnl" w:bidi="es-ES"/>
          <w14:ligatures w14:val="standardContextual"/>
        </w:rPr>
        <w:t xml:space="preserve"> las ESAL podrán beneficiarse </w:t>
      </w:r>
      <w:r w:rsidR="00D509B7">
        <w:rPr>
          <w:rFonts w:ascii="Verdana" w:eastAsia="Calibri" w:hAnsi="Verdana" w:cs="Arial"/>
          <w:bCs/>
          <w:color w:val="000000"/>
          <w:kern w:val="2"/>
          <w:szCs w:val="24"/>
          <w:lang w:val="es-ES" w:eastAsia="es-ES_tradnl" w:bidi="es-ES"/>
          <w14:ligatures w14:val="standardContextual"/>
        </w:rPr>
        <w:t>d</w:t>
      </w:r>
      <w:r w:rsidR="003D245C">
        <w:rPr>
          <w:rFonts w:ascii="Verdana" w:eastAsia="Calibri" w:hAnsi="Verdana" w:cs="Arial"/>
          <w:bCs/>
          <w:color w:val="000000"/>
          <w:kern w:val="2"/>
          <w:szCs w:val="24"/>
          <w:lang w:val="es-ES" w:eastAsia="es-ES_tradnl" w:bidi="es-ES"/>
          <w14:ligatures w14:val="standardContextual"/>
        </w:rPr>
        <w:t xml:space="preserve">e los criterios diferenciales a favor de </w:t>
      </w:r>
      <w:r w:rsidR="00735AA1">
        <w:rPr>
          <w:rFonts w:ascii="Verdana" w:eastAsia="Calibri" w:hAnsi="Verdana" w:cs="Arial"/>
          <w:bCs/>
          <w:color w:val="000000"/>
          <w:kern w:val="2"/>
          <w:szCs w:val="24"/>
          <w:lang w:val="es-ES" w:eastAsia="es-ES_tradnl" w:bidi="es-ES"/>
          <w14:ligatures w14:val="standardContextual"/>
        </w:rPr>
        <w:t>las empresas y emprendimientos de mujeres</w:t>
      </w:r>
      <w:r w:rsidR="00D509B7">
        <w:rPr>
          <w:rFonts w:ascii="Verdana" w:eastAsia="Calibri" w:hAnsi="Verdana" w:cs="Arial"/>
          <w:bCs/>
          <w:color w:val="000000"/>
          <w:kern w:val="2"/>
          <w:szCs w:val="24"/>
          <w:lang w:val="es-ES" w:eastAsia="es-ES_tradnl" w:bidi="es-ES"/>
          <w14:ligatures w14:val="standardContextual"/>
        </w:rPr>
        <w:t xml:space="preserve">, sino solo aquellas que </w:t>
      </w:r>
      <w:r w:rsidR="008A2E86">
        <w:rPr>
          <w:rFonts w:ascii="Verdana" w:eastAsia="Calibri" w:hAnsi="Verdana" w:cs="Arial"/>
          <w:bCs/>
          <w:color w:val="000000"/>
          <w:kern w:val="2"/>
          <w:szCs w:val="24"/>
          <w:lang w:val="es-ES" w:eastAsia="es-ES_tradnl" w:bidi="es-ES"/>
          <w14:ligatures w14:val="standardContextual"/>
        </w:rPr>
        <w:t xml:space="preserve">tengan esta naturaleza. </w:t>
      </w:r>
    </w:p>
    <w:p w14:paraId="0C45909E" w14:textId="77777777" w:rsidR="00BD511A" w:rsidRPr="009D039F" w:rsidRDefault="00735AA1" w:rsidP="009D039F">
      <w:pPr>
        <w:spacing w:after="0" w:line="276" w:lineRule="auto"/>
        <w:ind w:firstLine="708"/>
        <w:jc w:val="both"/>
        <w:rPr>
          <w:rFonts w:ascii="Verdana" w:hAnsi="Verdana" w:cs="Arial"/>
        </w:rPr>
      </w:pPr>
      <w:r>
        <w:rPr>
          <w:rFonts w:ascii="Verdana" w:eastAsia="Calibri" w:hAnsi="Verdana" w:cs="Arial"/>
          <w:bCs/>
          <w:color w:val="000000"/>
          <w:kern w:val="2"/>
          <w:szCs w:val="24"/>
          <w:lang w:val="es-ES" w:eastAsia="es-ES_tradnl" w:bidi="es-ES"/>
          <w14:ligatures w14:val="standardContextual"/>
        </w:rPr>
        <w:t xml:space="preserve"> Además, deberán </w:t>
      </w:r>
      <w:r w:rsidR="0096663D" w:rsidRPr="009D039F">
        <w:rPr>
          <w:rFonts w:ascii="Verdana" w:eastAsia="Calibri" w:hAnsi="Verdana" w:cs="Arial"/>
          <w:bCs/>
          <w:color w:val="000000"/>
          <w:kern w:val="2"/>
          <w:szCs w:val="24"/>
          <w:lang w:val="es-ES" w:eastAsia="es-ES_tradnl" w:bidi="es-ES"/>
          <w14:ligatures w14:val="standardContextual"/>
        </w:rPr>
        <w:t>probar que más del cincuenta por ciento (50%) de los asociados son mujeres y la participación haya correspondido a estas durante al menos el último año anterior a la fecha de cierre del Proceso de Contratación, mediante certificación expedida por el representante legal con sus respectivos soportes</w:t>
      </w:r>
      <w:r w:rsidR="008A2E86">
        <w:rPr>
          <w:rFonts w:ascii="Verdana" w:eastAsia="Calibri" w:hAnsi="Verdana" w:cs="Arial"/>
          <w:bCs/>
          <w:color w:val="000000"/>
          <w:kern w:val="2"/>
          <w:szCs w:val="24"/>
          <w:lang w:val="es-ES" w:eastAsia="es-ES_tradnl" w:bidi="es-ES"/>
          <w14:ligatures w14:val="standardContextual"/>
        </w:rPr>
        <w:t xml:space="preserve">. </w:t>
      </w:r>
      <w:r w:rsidR="00BD511A" w:rsidRPr="009D039F">
        <w:rPr>
          <w:rFonts w:ascii="Verdana" w:eastAsia="Calibri" w:hAnsi="Verdana" w:cs="Arial"/>
          <w:color w:val="000000"/>
          <w:kern w:val="2"/>
          <w:lang w:val="es-ES" w:eastAsia="es-ES" w:bidi="es-ES"/>
          <w14:ligatures w14:val="standardContextual"/>
        </w:rPr>
        <w:t xml:space="preserve">Finalmente se aclara, que la sola presentación de la certificación del representante legal con sus respectivos </w:t>
      </w:r>
      <w:proofErr w:type="gramStart"/>
      <w:r w:rsidR="00BD511A" w:rsidRPr="009D039F">
        <w:rPr>
          <w:rFonts w:ascii="Verdana" w:eastAsia="Calibri" w:hAnsi="Verdana" w:cs="Arial"/>
          <w:color w:val="000000"/>
          <w:kern w:val="2"/>
          <w:lang w:val="es-ES" w:eastAsia="es-ES" w:bidi="es-ES"/>
          <w14:ligatures w14:val="standardContextual"/>
        </w:rPr>
        <w:t>soportes,</w:t>
      </w:r>
      <w:proofErr w:type="gramEnd"/>
      <w:r w:rsidR="00BD511A" w:rsidRPr="009D039F">
        <w:rPr>
          <w:rFonts w:ascii="Verdana" w:eastAsia="Calibri" w:hAnsi="Verdana" w:cs="Arial"/>
          <w:color w:val="000000"/>
          <w:kern w:val="2"/>
          <w:lang w:val="es-ES" w:eastAsia="es-ES" w:bidi="es-ES"/>
          <w14:ligatures w14:val="standardContextual"/>
        </w:rPr>
        <w:t xml:space="preserve"> no confiere automáticamente el acceso a los criterios diferenciales. Esto por cuanto es de deber de la Entidad Estatal que adelanta el Proceso de Contratación, verificar que los documentos presentados acrediten las condiciones descritas en el numeral 4 del artículo 2.2.1.2.4.2.14 del Decreto 1082 de 2015, para así proceder a designar el respectivo puntaje adicional.</w:t>
      </w:r>
    </w:p>
    <w:p w14:paraId="63C9A2C9" w14:textId="77777777" w:rsidR="00253579" w:rsidRPr="00995CAD" w:rsidRDefault="00253579" w:rsidP="00D02968">
      <w:pPr>
        <w:widowControl w:val="0"/>
        <w:autoSpaceDE w:val="0"/>
        <w:autoSpaceDN w:val="0"/>
        <w:spacing w:after="0" w:line="276" w:lineRule="auto"/>
        <w:jc w:val="both"/>
        <w:rPr>
          <w:rFonts w:ascii="Verdana" w:hAnsi="Verdana" w:cs="Arial"/>
        </w:rPr>
      </w:pPr>
    </w:p>
    <w:p w14:paraId="4976EB5C" w14:textId="77777777" w:rsidR="00A406A2" w:rsidRPr="00995CAD" w:rsidRDefault="00A406A2" w:rsidP="00D02968">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95CAD">
        <w:rPr>
          <w:rFonts w:ascii="Verdana" w:eastAsia="Century Gothic" w:hAnsi="Verdana" w:cs="Century Gothic"/>
          <w:b/>
          <w:bCs/>
        </w:rPr>
        <w:t>Referencias normativas, jurisprudenciales y otras fuentes:</w:t>
      </w:r>
    </w:p>
    <w:p w14:paraId="37E1C9DB" w14:textId="77777777" w:rsidR="00A406A2" w:rsidRPr="00995CAD" w:rsidRDefault="00A406A2" w:rsidP="00D0296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A406A2" w:rsidRPr="00995CAD" w14:paraId="463A2DDB" w14:textId="77777777" w:rsidTr="00274D6F">
        <w:trPr>
          <w:trHeight w:val="4459"/>
        </w:trPr>
        <w:tc>
          <w:tcPr>
            <w:tcW w:w="8647" w:type="dxa"/>
          </w:tcPr>
          <w:p w14:paraId="6C09AC33" w14:textId="77777777"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Ley 79 de 1988, artículo 4.</w:t>
            </w:r>
          </w:p>
          <w:p w14:paraId="4A2011F8" w14:textId="77777777"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Ley 454 de 1998, artículos 2 y 6.</w:t>
            </w:r>
          </w:p>
          <w:p w14:paraId="4B5E313B" w14:textId="77777777"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Decreto 1074 de 2015, artículo 2.2.1.13.2.2.</w:t>
            </w:r>
          </w:p>
          <w:p w14:paraId="779391FA" w14:textId="77777777"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Ley 590 de 2000, artículo 2.</w:t>
            </w:r>
          </w:p>
          <w:p w14:paraId="73541316" w14:textId="77777777"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Ley 1450 de 2011, artículo 43.</w:t>
            </w:r>
          </w:p>
          <w:p w14:paraId="7B6D2927" w14:textId="4D8C4C36"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Decreto 1082 de 2015, artículos 2.2.1.2.4.2.2, 2.2.1.2.4.2.3</w:t>
            </w:r>
            <w:r w:rsidR="00B93AC0">
              <w:rPr>
                <w:rFonts w:ascii="Verdana" w:hAnsi="Verdana" w:cs="Arial"/>
              </w:rPr>
              <w:t xml:space="preserve">, </w:t>
            </w:r>
            <w:r w:rsidR="00B93AC0" w:rsidRPr="00E62936">
              <w:rPr>
                <w:rFonts w:ascii="Verdana" w:eastAsia="Calibri" w:hAnsi="Verdana" w:cs="Arial"/>
                <w:lang w:val="es-ES_tradnl" w:eastAsia="es-ES_tradnl"/>
              </w:rPr>
              <w:t>2.2.1.2.4.2.14</w:t>
            </w:r>
            <w:r w:rsidR="00B93AC0">
              <w:rPr>
                <w:rFonts w:ascii="Verdana" w:eastAsia="Calibri" w:hAnsi="Verdana" w:cs="Arial"/>
                <w:lang w:val="es-ES_tradnl" w:eastAsia="es-ES_tradnl"/>
              </w:rPr>
              <w:t xml:space="preserve">. </w:t>
            </w:r>
            <w:r w:rsidR="00B93AC0" w:rsidRPr="00E62936">
              <w:rPr>
                <w:rFonts w:ascii="Verdana" w:eastAsia="Calibri" w:hAnsi="Verdana" w:cs="Arial"/>
                <w:lang w:val="es-ES_tradnl" w:eastAsia="es-ES_tradnl"/>
              </w:rPr>
              <w:t>2.2.1.2.4.2.1</w:t>
            </w:r>
            <w:r w:rsidR="00B93AC0">
              <w:rPr>
                <w:rFonts w:ascii="Verdana" w:eastAsia="Calibri" w:hAnsi="Verdana" w:cs="Arial"/>
                <w:lang w:val="es-ES_tradnl" w:eastAsia="es-ES_tradnl"/>
              </w:rPr>
              <w:t xml:space="preserve">5 </w:t>
            </w:r>
            <w:r w:rsidRPr="00995CAD">
              <w:rPr>
                <w:rFonts w:ascii="Verdana" w:hAnsi="Verdana" w:cs="Arial"/>
              </w:rPr>
              <w:t xml:space="preserve">y </w:t>
            </w:r>
            <w:r w:rsidRPr="00995CAD">
              <w:rPr>
                <w:rFonts w:ascii="Verdana" w:eastAsia="Calibri" w:hAnsi="Verdana" w:cs="Arial"/>
                <w:color w:val="000000" w:themeColor="text1"/>
                <w:lang w:val="es-ES_tradnl"/>
              </w:rPr>
              <w:t>2.2.1.2.4.2.18</w:t>
            </w:r>
            <w:r w:rsidRPr="00995CAD">
              <w:rPr>
                <w:rFonts w:ascii="Verdana" w:hAnsi="Verdana" w:cs="Arial"/>
              </w:rPr>
              <w:t>.</w:t>
            </w:r>
          </w:p>
          <w:p w14:paraId="25D0A83E" w14:textId="77777777"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Decreto 957 de 2019.</w:t>
            </w:r>
          </w:p>
          <w:p w14:paraId="50D31BBA" w14:textId="1E398E70"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 xml:space="preserve">Ley 2069 de 2020, artículo 23, </w:t>
            </w:r>
            <w:r w:rsidR="00B93AC0">
              <w:rPr>
                <w:rFonts w:ascii="Verdana" w:hAnsi="Verdana" w:cs="Arial"/>
              </w:rPr>
              <w:t>31</w:t>
            </w:r>
            <w:r w:rsidR="00564F34">
              <w:rPr>
                <w:rFonts w:ascii="Verdana" w:hAnsi="Verdana" w:cs="Arial"/>
              </w:rPr>
              <w:t xml:space="preserve"> y 32</w:t>
            </w:r>
            <w:r w:rsidRPr="00995CAD">
              <w:rPr>
                <w:rFonts w:ascii="Verdana" w:hAnsi="Verdana" w:cs="Arial"/>
              </w:rPr>
              <w:t>.</w:t>
            </w:r>
          </w:p>
          <w:p w14:paraId="4DDB9A2B" w14:textId="77777777" w:rsidR="00A406A2" w:rsidRPr="00995CAD" w:rsidRDefault="00A406A2" w:rsidP="00A406A2">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Decreto 1860 de 2021, artículo 3</w:t>
            </w:r>
            <w:r w:rsidR="00564F34">
              <w:rPr>
                <w:rFonts w:ascii="Verdana" w:hAnsi="Verdana" w:cs="Arial"/>
              </w:rPr>
              <w:t xml:space="preserve"> y 5</w:t>
            </w:r>
            <w:r w:rsidRPr="00995CAD">
              <w:rPr>
                <w:rFonts w:ascii="Verdana" w:hAnsi="Verdana" w:cs="Arial"/>
              </w:rPr>
              <w:t>.</w:t>
            </w:r>
          </w:p>
          <w:p w14:paraId="7CB6372A" w14:textId="77777777" w:rsidR="00D02968" w:rsidRDefault="00A406A2" w:rsidP="00D02968">
            <w:pPr>
              <w:widowControl w:val="0"/>
              <w:numPr>
                <w:ilvl w:val="0"/>
                <w:numId w:val="17"/>
              </w:numPr>
              <w:autoSpaceDE w:val="0"/>
              <w:autoSpaceDN w:val="0"/>
              <w:spacing w:after="120" w:line="276" w:lineRule="auto"/>
              <w:jc w:val="both"/>
              <w:rPr>
                <w:rFonts w:ascii="Verdana" w:hAnsi="Verdana" w:cs="Arial"/>
              </w:rPr>
            </w:pPr>
            <w:r w:rsidRPr="00995CAD">
              <w:rPr>
                <w:rFonts w:ascii="Verdana" w:hAnsi="Verdana" w:cs="Arial"/>
              </w:rPr>
              <w:t>Ley 2143 de 2021, artículo 1.</w:t>
            </w:r>
          </w:p>
          <w:p w14:paraId="756F3466" w14:textId="2EE33627" w:rsidR="00564F34" w:rsidRPr="00D02968" w:rsidRDefault="00D02968" w:rsidP="00D02968">
            <w:pPr>
              <w:widowControl w:val="0"/>
              <w:numPr>
                <w:ilvl w:val="0"/>
                <w:numId w:val="17"/>
              </w:numPr>
              <w:autoSpaceDE w:val="0"/>
              <w:autoSpaceDN w:val="0"/>
              <w:spacing w:after="120" w:line="276" w:lineRule="auto"/>
              <w:jc w:val="both"/>
              <w:rPr>
                <w:rFonts w:ascii="Verdana" w:hAnsi="Verdana" w:cs="Arial"/>
              </w:rPr>
            </w:pPr>
            <w:r w:rsidRPr="00D02968">
              <w:rPr>
                <w:rFonts w:ascii="Verdana" w:eastAsia="Calibri" w:hAnsi="Verdana" w:cs="Arial"/>
                <w:lang w:val="es-ES_tradnl" w:eastAsia="es-ES_tradnl"/>
              </w:rPr>
              <w:t>Código de Comercio: Artículo 98 y 100.</w:t>
            </w:r>
          </w:p>
        </w:tc>
      </w:tr>
    </w:tbl>
    <w:p w14:paraId="40FE0DB0" w14:textId="77777777" w:rsidR="00A406A2" w:rsidRPr="00995CAD" w:rsidRDefault="00A406A2" w:rsidP="00BE3826">
      <w:pPr>
        <w:widowControl w:val="0"/>
        <w:autoSpaceDE w:val="0"/>
        <w:autoSpaceDN w:val="0"/>
        <w:spacing w:after="0" w:line="276" w:lineRule="auto"/>
        <w:jc w:val="both"/>
        <w:rPr>
          <w:rFonts w:ascii="Verdana" w:hAnsi="Verdana" w:cs="Arial"/>
        </w:rPr>
      </w:pPr>
    </w:p>
    <w:p w14:paraId="6D5FFEB0" w14:textId="77777777" w:rsidR="00A406A2" w:rsidRPr="00995CAD" w:rsidRDefault="00A406A2" w:rsidP="00BE3826">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995CAD">
        <w:rPr>
          <w:rFonts w:ascii="Verdana" w:eastAsia="Century Gothic" w:hAnsi="Verdana" w:cs="Century Gothic"/>
          <w:b/>
          <w:bCs/>
        </w:rPr>
        <w:lastRenderedPageBreak/>
        <w:t>Doctrina de la Agencia Nacional de Contratación Pública:</w:t>
      </w:r>
    </w:p>
    <w:p w14:paraId="16BA9968" w14:textId="77777777" w:rsidR="00A406A2" w:rsidRPr="002834E3" w:rsidRDefault="00A406A2" w:rsidP="00BE3826">
      <w:pPr>
        <w:widowControl w:val="0"/>
        <w:autoSpaceDE w:val="0"/>
        <w:autoSpaceDN w:val="0"/>
        <w:spacing w:after="0" w:line="276" w:lineRule="auto"/>
        <w:jc w:val="both"/>
        <w:rPr>
          <w:rFonts w:ascii="Verdana" w:hAnsi="Verdana" w:cs="Arial"/>
        </w:rPr>
      </w:pPr>
    </w:p>
    <w:p w14:paraId="0F9BDAD0" w14:textId="77777777" w:rsidR="007841ED" w:rsidRPr="002834E3" w:rsidRDefault="00A406A2" w:rsidP="00BE3826">
      <w:pPr>
        <w:spacing w:after="0" w:line="276" w:lineRule="auto"/>
        <w:jc w:val="both"/>
        <w:rPr>
          <w:rFonts w:ascii="Verdana" w:hAnsi="Verdana"/>
        </w:rPr>
      </w:pPr>
      <w:r w:rsidRPr="002834E3">
        <w:rPr>
          <w:rFonts w:ascii="Verdana" w:eastAsia="Calibri" w:hAnsi="Verdana" w:cs="Arial"/>
          <w:shd w:val="clear" w:color="auto" w:fill="FFFFFF"/>
          <w:lang w:val="es-ES"/>
        </w:rPr>
        <w:t xml:space="preserve">La Agencia Nacional de Contratación Pública − Colombia Compra Eficiente se pronunció </w:t>
      </w:r>
      <w:r w:rsidRPr="002834E3">
        <w:rPr>
          <w:rFonts w:ascii="Verdana" w:eastAsia="Calibri" w:hAnsi="Verdana" w:cs="Arial"/>
          <w:shd w:val="clear" w:color="auto" w:fill="FFFFFF"/>
        </w:rPr>
        <w:t>en diferentes conceptos sobre la participación de las entidades sin ánimo de lucro –desde ahora ESAL– en procesos contractuales limitados a MiPymes. Al respecto expidió el concepto del 21 de julio de 2016 −radicado No. E20161300000072−, reiterado en los conceptos del 20, 21 y 22 de agosto y el 17 de septiembre de 2019 −radicados Nos. 2201913000006007, 2201913000006081, 2201913000006151 y 2201913000006895−, C-258 del 17 de abril de 2020, C-413 de 30 de junio de 2020, C-705 del 7 de diciembre de 2020, C-728 del 14 de diciembre de 2020, C-160 del 20 de abril de 2021, C-474 del 26 de julio de 2022, C-020 del 14 de febrero de 2023, C-587 del 21 de septiembre de 2022, C-094 del 16 de junio de 2024, C-997 del 30 de diciembre de 2024, C-1017 del 30 de diciembre de 2024</w:t>
      </w:r>
      <w:r w:rsidRPr="002834E3">
        <w:rPr>
          <w:rFonts w:ascii="Verdana" w:eastAsia="Calibri" w:hAnsi="Verdana" w:cs="Arial"/>
          <w:shd w:val="clear" w:color="auto" w:fill="FFFFFF"/>
          <w:lang w:val="es-ES"/>
        </w:rPr>
        <w:t>, C-1034 del 3 de febrero de 2025, entre otros.</w:t>
      </w:r>
      <w:r w:rsidRPr="002834E3">
        <w:rPr>
          <w:rFonts w:ascii="Verdana" w:hAnsi="Verdana"/>
        </w:rPr>
        <w:t xml:space="preserve"> </w:t>
      </w:r>
    </w:p>
    <w:p w14:paraId="69262198" w14:textId="77777777" w:rsidR="007841ED" w:rsidRPr="002834E3" w:rsidRDefault="007841ED" w:rsidP="00BE3826">
      <w:pPr>
        <w:spacing w:after="0" w:line="276" w:lineRule="auto"/>
        <w:jc w:val="both"/>
        <w:rPr>
          <w:rFonts w:ascii="Verdana" w:hAnsi="Verdana"/>
        </w:rPr>
      </w:pPr>
    </w:p>
    <w:p w14:paraId="76E3C1B8" w14:textId="77777777" w:rsidR="007841ED" w:rsidRPr="004E7B3B" w:rsidRDefault="00EC5110" w:rsidP="00BE3826">
      <w:pPr>
        <w:spacing w:after="0" w:line="276" w:lineRule="auto"/>
        <w:jc w:val="both"/>
        <w:rPr>
          <w:rFonts w:ascii="Verdana" w:eastAsia="Times New Roman" w:hAnsi="Verdana" w:cs="Arial"/>
          <w:shd w:val="clear" w:color="auto" w:fill="FFFFFF"/>
          <w:lang w:eastAsia="es-ES_tradnl"/>
        </w:rPr>
      </w:pPr>
      <w:r w:rsidRPr="004E7B3B">
        <w:rPr>
          <w:rFonts w:ascii="Verdana" w:eastAsia="Calibri" w:hAnsi="Verdana" w:cs="Arial"/>
          <w:lang w:val="es-ES_tradnl" w:eastAsia="es-ES_tradnl"/>
        </w:rPr>
        <w:t xml:space="preserve">Sobre lo dispuesto en el artículo 32 de </w:t>
      </w:r>
      <w:r w:rsidR="002834E3" w:rsidRPr="004E7B3B">
        <w:rPr>
          <w:rFonts w:ascii="Verdana" w:eastAsia="Calibri" w:hAnsi="Verdana" w:cs="Arial"/>
          <w:lang w:val="es-ES_tradnl" w:eastAsia="es-ES_tradnl"/>
        </w:rPr>
        <w:t>la</w:t>
      </w:r>
      <w:r w:rsidRPr="004E7B3B">
        <w:rPr>
          <w:rFonts w:ascii="Verdana" w:eastAsia="Calibri" w:hAnsi="Verdana" w:cs="Arial"/>
          <w:lang w:val="es-ES_tradnl" w:eastAsia="es-ES_tradnl"/>
        </w:rPr>
        <w:t xml:space="preserve"> </w:t>
      </w:r>
      <w:r w:rsidR="002834E3" w:rsidRPr="004E7B3B">
        <w:rPr>
          <w:rFonts w:ascii="Verdana" w:eastAsia="Calibri" w:hAnsi="Verdana" w:cs="Arial"/>
          <w:lang w:val="es-ES_tradnl" w:eastAsia="es-ES_tradnl"/>
        </w:rPr>
        <w:t>L</w:t>
      </w:r>
      <w:r w:rsidRPr="004E7B3B">
        <w:rPr>
          <w:rFonts w:ascii="Verdana" w:eastAsia="Calibri" w:hAnsi="Verdana" w:cs="Arial"/>
          <w:lang w:val="es-ES_tradnl" w:eastAsia="es-ES_tradnl"/>
        </w:rPr>
        <w:t>ey</w:t>
      </w:r>
      <w:r w:rsidR="002834E3" w:rsidRPr="004E7B3B">
        <w:rPr>
          <w:rFonts w:ascii="Verdana" w:eastAsia="Calibri" w:hAnsi="Verdana" w:cs="Arial"/>
          <w:lang w:val="es-ES_tradnl" w:eastAsia="es-ES_tradnl"/>
        </w:rPr>
        <w:t xml:space="preserve"> 2069</w:t>
      </w:r>
      <w:r w:rsidRPr="004E7B3B">
        <w:rPr>
          <w:rFonts w:ascii="Verdana" w:eastAsia="Calibri" w:hAnsi="Verdana" w:cs="Arial"/>
          <w:lang w:val="es-ES_tradnl" w:eastAsia="es-ES_tradnl"/>
        </w:rPr>
        <w:t xml:space="preserve">, alusivo a los criterios diferenciales para emprendimientos y empresas de mujeres, en los conceptos </w:t>
      </w:r>
      <w:r w:rsidRPr="004E7B3B">
        <w:rPr>
          <w:rFonts w:ascii="Verdana" w:eastAsia="Times New Roman" w:hAnsi="Verdana" w:cs="Arial"/>
          <w:shd w:val="clear" w:color="auto" w:fill="FFFFFF"/>
          <w:lang w:eastAsia="es-ES_tradnl"/>
        </w:rPr>
        <w:t xml:space="preserve">C-029 de 21 de febrero de 2021, C-037 del 26 de febrero de 2021, C-141 del 8 de abril de 2021, C-114 del 13 de abril de 2015, C-031 del 1 de marzo de 2022, C-476 del 21 de junio de 2022, C-429 del 18 de julio de 2022, </w:t>
      </w:r>
      <w:r w:rsidRPr="004E7B3B">
        <w:rPr>
          <w:rFonts w:ascii="Verdana" w:hAnsi="Verdana" w:cs="Arial"/>
          <w:shd w:val="clear" w:color="auto" w:fill="FFFFFF"/>
        </w:rPr>
        <w:t>C-438 del 11 de julio de 2022, C-454 del 13 de julio de 2022, C-476 del 21 de junio de 2022, C-479 del 26 de julio de 2022, C-504 del 8 de agosto de 2022, C-522 del 16 de agosto de 2022, C-533 de 25 de agosto de 2022, C-587 del 21 de septiembre de 2022, C-715 del 4 de noviembre de 2022,</w:t>
      </w:r>
      <w:r w:rsidRPr="004E7B3B">
        <w:rPr>
          <w:rFonts w:ascii="Verdana" w:eastAsia="Times New Roman" w:hAnsi="Verdana" w:cs="Arial"/>
          <w:shd w:val="clear" w:color="auto" w:fill="FFFFFF"/>
          <w:lang w:eastAsia="es-ES_tradnl"/>
        </w:rPr>
        <w:t xml:space="preserve"> </w:t>
      </w:r>
      <w:r w:rsidR="00E7623F" w:rsidRPr="00E7623F">
        <w:rPr>
          <w:rFonts w:ascii="Verdana" w:eastAsia="Times New Roman" w:hAnsi="Verdana" w:cs="Arial"/>
          <w:shd w:val="clear" w:color="auto" w:fill="FFFFFF"/>
          <w:lang w:eastAsia="es-ES_tradnl"/>
        </w:rPr>
        <w:t xml:space="preserve">C-152 del </w:t>
      </w:r>
      <w:r w:rsidR="00E7623F" w:rsidRPr="004E7B3B">
        <w:rPr>
          <w:rFonts w:ascii="Verdana" w:eastAsia="Geomanist Light" w:hAnsi="Verdana" w:cs="Geomanist Light"/>
          <w:color w:val="201F1E"/>
          <w:lang w:val="es-MX"/>
        </w:rPr>
        <w:t>01 de mayo de 2023</w:t>
      </w:r>
      <w:r w:rsidRPr="004E7B3B">
        <w:rPr>
          <w:rFonts w:ascii="Verdana" w:eastAsia="Times New Roman" w:hAnsi="Verdana" w:cs="Arial"/>
          <w:shd w:val="clear" w:color="auto" w:fill="FFFFFF"/>
          <w:lang w:eastAsia="es-ES_tradnl"/>
        </w:rPr>
        <w:t xml:space="preserve">entre otros. </w:t>
      </w:r>
    </w:p>
    <w:p w14:paraId="1A8BB991" w14:textId="77777777" w:rsidR="002834E3" w:rsidRPr="002834E3" w:rsidRDefault="002834E3" w:rsidP="00BE3826">
      <w:pPr>
        <w:spacing w:after="0" w:line="276" w:lineRule="auto"/>
        <w:jc w:val="both"/>
        <w:rPr>
          <w:rFonts w:ascii="Verdana" w:hAnsi="Verdana"/>
        </w:rPr>
      </w:pPr>
    </w:p>
    <w:p w14:paraId="7D5A9DC1" w14:textId="77777777" w:rsidR="00A406A2" w:rsidRPr="00995CAD" w:rsidRDefault="00A406A2" w:rsidP="004E7B3B">
      <w:pPr>
        <w:spacing w:after="0" w:line="276" w:lineRule="auto"/>
        <w:jc w:val="both"/>
        <w:rPr>
          <w:rFonts w:ascii="Verdana" w:hAnsi="Verdana" w:cs="Arial"/>
          <w:shd w:val="clear" w:color="auto" w:fill="FFFFFF"/>
        </w:rPr>
      </w:pPr>
      <w:r w:rsidRPr="00995CAD">
        <w:rPr>
          <w:rFonts w:ascii="Verdana" w:hAnsi="Verdana" w:cs="Arial"/>
          <w:shd w:val="clear" w:color="auto" w:fill="FFFFFF"/>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 </w:t>
      </w:r>
      <w:hyperlink r:id="rId12" w:tgtFrame="_blank" w:tooltip="Dirección URL original: https://relatoria.colombiacompra.gov.co/. Haga clic o pulse si confía en este vínculo." w:history="1">
        <w:r w:rsidRPr="00995CAD">
          <w:rPr>
            <w:rStyle w:val="Hipervnculo"/>
            <w:rFonts w:ascii="Verdana" w:hAnsi="Verdana" w:cs="Arial"/>
            <w:shd w:val="clear" w:color="auto" w:fill="FFFFFF"/>
          </w:rPr>
          <w:t>https://relatoria.colombiacompra.gov.co/</w:t>
        </w:r>
      </w:hyperlink>
      <w:r w:rsidRPr="00995CAD">
        <w:rPr>
          <w:rFonts w:ascii="Verdana" w:hAnsi="Verdana" w:cs="Arial"/>
          <w:shd w:val="clear" w:color="auto" w:fill="FFFFFF"/>
        </w:rPr>
        <w:t>.</w:t>
      </w:r>
    </w:p>
    <w:p w14:paraId="1862EA27" w14:textId="77777777" w:rsidR="00A406A2" w:rsidRPr="00995CAD" w:rsidRDefault="00A406A2" w:rsidP="00BE3826">
      <w:pPr>
        <w:widowControl w:val="0"/>
        <w:autoSpaceDE w:val="0"/>
        <w:autoSpaceDN w:val="0"/>
        <w:spacing w:after="0" w:line="276" w:lineRule="auto"/>
        <w:jc w:val="both"/>
        <w:rPr>
          <w:rStyle w:val="normaltextrun"/>
          <w:rFonts w:ascii="Verdana" w:hAnsi="Verdana" w:cs="Arial"/>
          <w:color w:val="000000" w:themeColor="text1"/>
          <w:shd w:val="clear" w:color="auto" w:fill="FFFFFF"/>
        </w:rPr>
      </w:pPr>
    </w:p>
    <w:p w14:paraId="25BDA985" w14:textId="77777777" w:rsidR="00A406A2" w:rsidRPr="00995CAD" w:rsidRDefault="00A406A2" w:rsidP="00BE3826">
      <w:pPr>
        <w:widowControl w:val="0"/>
        <w:autoSpaceDE w:val="0"/>
        <w:autoSpaceDN w:val="0"/>
        <w:spacing w:after="0" w:line="276" w:lineRule="auto"/>
        <w:jc w:val="both"/>
        <w:rPr>
          <w:rStyle w:val="normaltextrun"/>
          <w:rFonts w:ascii="Verdana" w:hAnsi="Verdana" w:cs="Arial"/>
          <w:color w:val="4472C4" w:themeColor="accent1"/>
          <w:shd w:val="clear" w:color="auto" w:fill="FFFFFF"/>
          <w:lang w:val="es-ES"/>
        </w:rPr>
      </w:pPr>
      <w:r w:rsidRPr="00995CAD">
        <w:rPr>
          <w:rStyle w:val="normaltextrun"/>
          <w:rFonts w:ascii="Verdana" w:hAnsi="Verdana" w:cs="Arial"/>
          <w:color w:val="000000" w:themeColor="text1"/>
          <w:shd w:val="clear" w:color="auto" w:fill="FFFFFF"/>
          <w:lang w:val="es-ES"/>
        </w:rPr>
        <w:t>También le invitamos a consultar las versiones I y II de 2024 del Boletín de Relatoría de la Subdirección de Gestión Contractual, las cuales puede descargar en la página web de la Agencia:</w:t>
      </w:r>
      <w:r w:rsidRPr="00995CAD">
        <w:rPr>
          <w:rStyle w:val="normaltextrun"/>
          <w:rFonts w:ascii="Verdana" w:hAnsi="Verdana" w:cs="Arial"/>
          <w:color w:val="4472C4" w:themeColor="accent1"/>
          <w:shd w:val="clear" w:color="auto" w:fill="FFFFFF"/>
          <w:lang w:val="es-ES"/>
        </w:rPr>
        <w:t xml:space="preserve"> </w:t>
      </w:r>
      <w:hyperlink r:id="rId13" w:history="1">
        <w:r w:rsidRPr="00995CAD">
          <w:rPr>
            <w:rStyle w:val="Hipervnculo"/>
            <w:rFonts w:ascii="Verdana" w:hAnsi="Verdana" w:cs="Arial"/>
            <w:color w:val="4472C4" w:themeColor="accent1"/>
            <w:shd w:val="clear" w:color="auto" w:fill="FFFFFF"/>
            <w:lang w:val="es-ES"/>
          </w:rPr>
          <w:t>https://www.colombiacompra.gov.co/sala-de-prensa/boletin-digital</w:t>
        </w:r>
      </w:hyperlink>
      <w:r w:rsidRPr="00995CAD">
        <w:rPr>
          <w:rStyle w:val="normaltextrun"/>
          <w:rFonts w:ascii="Verdana" w:hAnsi="Verdana" w:cs="Arial"/>
          <w:color w:val="4472C4" w:themeColor="accent1"/>
          <w:shd w:val="clear" w:color="auto" w:fill="FFFFFF"/>
          <w:lang w:val="es-ES"/>
        </w:rPr>
        <w:t xml:space="preserve">      </w:t>
      </w:r>
    </w:p>
    <w:p w14:paraId="0EA873C1" w14:textId="77777777" w:rsidR="00A406A2" w:rsidRPr="00995CAD" w:rsidRDefault="00A406A2" w:rsidP="00BE3826">
      <w:pPr>
        <w:spacing w:after="0" w:line="276" w:lineRule="auto"/>
        <w:jc w:val="both"/>
        <w:rPr>
          <w:rFonts w:ascii="Verdana" w:hAnsi="Verdana"/>
        </w:rPr>
      </w:pPr>
      <w:r w:rsidRPr="00995CAD">
        <w:rPr>
          <w:rStyle w:val="normaltextrun"/>
          <w:rFonts w:ascii="Verdana" w:hAnsi="Verdana" w:cs="Arial"/>
          <w:color w:val="000000" w:themeColor="text1"/>
          <w:shd w:val="clear" w:color="auto" w:fill="FFFFFF"/>
          <w:lang w:val="es-ES"/>
        </w:rPr>
        <w:lastRenderedPageBreak/>
        <w:t>Te informamos que ya se encuentra disponible la Cartilla para incentivar y fortalecer el acceso a las compras y contratación pública de los pueblos y comunidades étnicas en Colombia. Esta cartilla es una apuesta de la Agencia Nacional de Contratación Pública – Colombia Compra Eficiente, para incentivar la participación de los pueblos y comunidades étnicas en las compras y contratación pública, mediante el desarrollo de los principios de igualdad, equidad e inclusión social. Puede consultar la versión actualizada en el siguiente</w:t>
      </w:r>
      <w:r w:rsidRPr="00995CAD">
        <w:rPr>
          <w:rFonts w:ascii="Verdana" w:hAnsi="Verdana"/>
        </w:rPr>
        <w:t xml:space="preserve"> enlace: </w:t>
      </w:r>
      <w:hyperlink r:id="rId14" w:tgtFrame="_blank" w:tooltip="Dirección URL original: https://www.colombiacompra.gov.co/manuales-guias-y-pliegos-tipo/manuales-y-guias/cartilla-para-incentivar-y-fortalecer-el-acceso-las. Haga clic o pulse si confía en este vínculo." w:history="1">
        <w:r w:rsidRPr="00995CAD">
          <w:rPr>
            <w:rStyle w:val="Hipervnculo"/>
            <w:rFonts w:ascii="Verdana" w:hAnsi="Verdana"/>
          </w:rPr>
          <w:t>Cartilla para incentivar y fortalecer el acceso a las compras y contratación pública de los pueblos y comunidades étnicas en Colombia | Colombia Compra Eficiente | Agencia Nacional de Contratación Pública</w:t>
        </w:r>
      </w:hyperlink>
    </w:p>
    <w:p w14:paraId="6F6D7353" w14:textId="77777777" w:rsidR="00A406A2" w:rsidRPr="00995CAD" w:rsidRDefault="00A406A2" w:rsidP="00BE3826">
      <w:pPr>
        <w:spacing w:after="0" w:line="276" w:lineRule="auto"/>
        <w:jc w:val="both"/>
        <w:rPr>
          <w:rFonts w:ascii="Verdana" w:hAnsi="Verdana"/>
        </w:rPr>
      </w:pPr>
    </w:p>
    <w:p w14:paraId="54EE2A8A" w14:textId="77777777" w:rsidR="00A406A2" w:rsidRPr="00995CAD" w:rsidRDefault="00A406A2" w:rsidP="00BE3826">
      <w:pPr>
        <w:spacing w:after="0" w:line="276" w:lineRule="auto"/>
        <w:jc w:val="both"/>
        <w:rPr>
          <w:rFonts w:ascii="Verdana" w:hAnsi="Verdana"/>
        </w:rPr>
      </w:pPr>
      <w:r w:rsidRPr="00995CAD">
        <w:rPr>
          <w:rFonts w:ascii="Verdana" w:hAnsi="Verdana"/>
        </w:rPr>
        <w:t>De otra parte, te informamos que, con el objetivo de garantizar un conocimiento adecuado de las </w:t>
      </w:r>
      <w:r w:rsidRPr="00995CAD">
        <w:rPr>
          <w:rFonts w:ascii="Verdana" w:hAnsi="Verdana"/>
          <w:b/>
          <w:bCs/>
        </w:rPr>
        <w:t>modificaciones y/o actualizaciones realizadas a los Documentos Tipo</w:t>
      </w:r>
      <w:r w:rsidRPr="00995CAD">
        <w:rPr>
          <w:rFonts w:ascii="Verdana" w:hAnsi="Verdana"/>
        </w:rPr>
        <w:t>, hemos programado una serie de </w:t>
      </w:r>
      <w:r w:rsidRPr="00995CAD">
        <w:rPr>
          <w:rFonts w:ascii="Verdana" w:hAnsi="Verdana"/>
          <w:b/>
          <w:bCs/>
        </w:rPr>
        <w:t>capacitaciones </w:t>
      </w:r>
      <w:r w:rsidRPr="00995CAD">
        <w:rPr>
          <w:rFonts w:ascii="Verdana" w:hAnsi="Verdana"/>
        </w:rPr>
        <w:t>dirigidas a todos los actores involucrados en los procesos de selección. Podrás conocer la programación y realizar tu inscripción a estas capacitaciones a través del siguiente enlace: </w:t>
      </w:r>
      <w:hyperlink r:id="rId15" w:tgtFrame="_blank" w:tooltip="Dirección URL original: https://www.colombiacompra.gov.co/ciudadanos/calendario. Haga clic o pulse si confía en este vínculo." w:history="1">
        <w:r w:rsidRPr="00995CAD">
          <w:rPr>
            <w:rStyle w:val="Hipervnculo"/>
            <w:rFonts w:ascii="Verdana" w:hAnsi="Verdana"/>
          </w:rPr>
          <w:t>Calendario | Colombia Compra Eficiente | Agencia Nacional de Contratación Pública</w:t>
        </w:r>
      </w:hyperlink>
    </w:p>
    <w:p w14:paraId="4FE2E5D8" w14:textId="77777777" w:rsidR="00A406A2" w:rsidRPr="00995CAD" w:rsidRDefault="00A406A2" w:rsidP="00BE3826">
      <w:pPr>
        <w:spacing w:after="0" w:line="276" w:lineRule="auto"/>
        <w:jc w:val="both"/>
        <w:rPr>
          <w:rFonts w:ascii="Verdana" w:hAnsi="Verdana"/>
        </w:rPr>
      </w:pPr>
    </w:p>
    <w:p w14:paraId="4E987705" w14:textId="77777777" w:rsidR="00A406A2" w:rsidRPr="00995CAD" w:rsidRDefault="00A406A2" w:rsidP="00BE3826">
      <w:pPr>
        <w:spacing w:after="0" w:line="276" w:lineRule="auto"/>
        <w:jc w:val="both"/>
        <w:rPr>
          <w:rFonts w:ascii="Verdana" w:hAnsi="Verdana"/>
        </w:rPr>
      </w:pPr>
      <w:r w:rsidRPr="00995CAD">
        <w:rPr>
          <w:rFonts w:ascii="Verdana" w:hAnsi="Verdana"/>
        </w:rPr>
        <w:t>También, te contamos que ya publicamos </w:t>
      </w:r>
      <w:r w:rsidRPr="00995CAD">
        <w:rPr>
          <w:rFonts w:ascii="Verdana" w:hAnsi="Verdana"/>
          <w:b/>
          <w:bCs/>
        </w:rPr>
        <w:t>la nueva Guía de Contratación Pública Sostenible y Socialmente Responsable</w:t>
      </w:r>
      <w:r w:rsidRPr="00995CAD">
        <w:rPr>
          <w:rFonts w:ascii="Verdana" w:hAnsi="Verdana"/>
        </w:rPr>
        <w:t>. Esta guía es un instrumento clave para integrar buenas prácticas en la contratación estatal, promoviendo los Objetivos de Desarrollo Sostenible (ODS) a través de criterios y obligaciones ambientales y sociales en todas las etapas del proceso. Puede consultar la guía en el siguiente enlace: </w:t>
      </w:r>
      <w:hyperlink r:id="rId16" w:tgtFrame="_blank" w:tooltip="Dirección URL original: https://www.colombiacompra.gov.co/manuales-guias-y-pliegos-tipo/manuales-y-guias/guia-de-contratacion-publica-sostenible-y-socialmente. Haga clic o pulse si confía en este vínculo." w:history="1">
        <w:r w:rsidRPr="00995CAD">
          <w:rPr>
            <w:rStyle w:val="Hipervnculo"/>
            <w:rFonts w:ascii="Verdana" w:hAnsi="Verdana"/>
          </w:rPr>
          <w:t>Guía de Contratación Pública Sostenible y Socialmente Responsable | Colombia Compra Eficiente | Agencia Nacional de Contratación Pública</w:t>
        </w:r>
      </w:hyperlink>
    </w:p>
    <w:p w14:paraId="4A1AD5B4" w14:textId="77777777" w:rsidR="00A406A2" w:rsidRPr="00995CAD" w:rsidRDefault="00A406A2" w:rsidP="004E7B3B">
      <w:pPr>
        <w:spacing w:after="0" w:line="276" w:lineRule="auto"/>
        <w:jc w:val="both"/>
        <w:rPr>
          <w:rFonts w:ascii="Verdana" w:hAnsi="Verdana"/>
        </w:rPr>
      </w:pPr>
    </w:p>
    <w:p w14:paraId="028540E6" w14:textId="77777777" w:rsidR="00A406A2" w:rsidRPr="00995CAD" w:rsidRDefault="00A406A2" w:rsidP="004E7B3B">
      <w:pPr>
        <w:spacing w:after="0" w:line="276" w:lineRule="auto"/>
        <w:jc w:val="both"/>
        <w:rPr>
          <w:rFonts w:ascii="Verdana" w:hAnsi="Verdana"/>
        </w:rPr>
      </w:pPr>
      <w:r w:rsidRPr="00995CAD">
        <w:rPr>
          <w:rFonts w:ascii="Verdana" w:hAnsi="Verdana"/>
        </w:rPr>
        <w:t xml:space="preserve">Por último, lo invitamos a seguirnos en las redes sociales en las cuales se difunde información institucional: </w:t>
      </w:r>
    </w:p>
    <w:p w14:paraId="4D175740" w14:textId="77777777" w:rsidR="00A406A2" w:rsidRPr="00995CAD" w:rsidRDefault="00A406A2" w:rsidP="004E7B3B">
      <w:pPr>
        <w:spacing w:after="0" w:line="276" w:lineRule="auto"/>
        <w:jc w:val="both"/>
        <w:rPr>
          <w:rFonts w:ascii="Verdana" w:hAnsi="Verdana"/>
        </w:rPr>
      </w:pPr>
    </w:p>
    <w:p w14:paraId="137B05BA" w14:textId="77777777" w:rsidR="00A406A2" w:rsidRPr="00995CAD" w:rsidRDefault="00A406A2" w:rsidP="004E7B3B">
      <w:pPr>
        <w:spacing w:after="0" w:line="276" w:lineRule="auto"/>
        <w:jc w:val="both"/>
        <w:rPr>
          <w:rFonts w:ascii="Verdana" w:hAnsi="Verdana"/>
        </w:rPr>
      </w:pPr>
      <w:r w:rsidRPr="00995CAD">
        <w:rPr>
          <w:rFonts w:ascii="Verdana" w:hAnsi="Verdana"/>
        </w:rPr>
        <w:t xml:space="preserve">Twitter: </w:t>
      </w:r>
      <w:r w:rsidRPr="00995CAD">
        <w:rPr>
          <w:rStyle w:val="Hipervnculo"/>
          <w:rFonts w:ascii="Verdana" w:hAnsi="Verdana"/>
          <w:color w:val="4472C4" w:themeColor="accent1"/>
        </w:rPr>
        <w:t>@colombiacompra</w:t>
      </w:r>
      <w:r w:rsidRPr="00995CAD">
        <w:rPr>
          <w:rFonts w:ascii="Verdana" w:hAnsi="Verdana"/>
          <w:color w:val="4472C4" w:themeColor="accent1"/>
        </w:rPr>
        <w:t xml:space="preserve"> </w:t>
      </w:r>
    </w:p>
    <w:p w14:paraId="71976205" w14:textId="77777777" w:rsidR="00A406A2" w:rsidRPr="00995CAD" w:rsidRDefault="00A406A2" w:rsidP="004E7B3B">
      <w:pPr>
        <w:spacing w:after="0" w:line="276" w:lineRule="auto"/>
        <w:jc w:val="both"/>
        <w:rPr>
          <w:rFonts w:ascii="Verdana" w:hAnsi="Verdana"/>
        </w:rPr>
      </w:pPr>
      <w:r w:rsidRPr="00995CAD">
        <w:rPr>
          <w:rFonts w:ascii="Verdana" w:hAnsi="Verdana"/>
        </w:rPr>
        <w:t xml:space="preserve">Facebook: </w:t>
      </w:r>
      <w:proofErr w:type="spellStart"/>
      <w:r w:rsidRPr="00995CAD">
        <w:rPr>
          <w:rStyle w:val="Hipervnculo"/>
          <w:rFonts w:ascii="Verdana" w:hAnsi="Verdana"/>
          <w:color w:val="4472C4" w:themeColor="accent1"/>
        </w:rPr>
        <w:t>ColombiaCompraEficiente</w:t>
      </w:r>
      <w:proofErr w:type="spellEnd"/>
    </w:p>
    <w:p w14:paraId="57985586" w14:textId="77777777" w:rsidR="00A406A2" w:rsidRPr="00995CAD" w:rsidRDefault="00A406A2" w:rsidP="004E7B3B">
      <w:pPr>
        <w:spacing w:after="0" w:line="276" w:lineRule="auto"/>
        <w:jc w:val="both"/>
        <w:rPr>
          <w:rFonts w:ascii="Verdana" w:hAnsi="Verdana"/>
        </w:rPr>
      </w:pPr>
      <w:r w:rsidRPr="00995CAD">
        <w:rPr>
          <w:rFonts w:ascii="Verdana" w:hAnsi="Verdana"/>
        </w:rPr>
        <w:t xml:space="preserve">LinkedIn: </w:t>
      </w:r>
      <w:r w:rsidRPr="00995CAD">
        <w:rPr>
          <w:rStyle w:val="Hipervnculo"/>
          <w:rFonts w:ascii="Verdana" w:hAnsi="Verdana"/>
          <w:color w:val="4472C4" w:themeColor="accent1"/>
        </w:rPr>
        <w:t>Agencia Nacional de Contratación Pública - Colombia Compra Eficiente</w:t>
      </w:r>
      <w:r w:rsidRPr="00995CAD">
        <w:rPr>
          <w:rFonts w:ascii="Verdana" w:hAnsi="Verdana"/>
          <w:color w:val="4472C4" w:themeColor="accent1"/>
        </w:rPr>
        <w:t xml:space="preserve"> </w:t>
      </w:r>
      <w:r w:rsidRPr="00995CAD">
        <w:rPr>
          <w:rFonts w:ascii="Verdana" w:hAnsi="Verdana"/>
        </w:rPr>
        <w:t xml:space="preserve">Instagram: </w:t>
      </w:r>
      <w:r w:rsidRPr="00995CAD">
        <w:rPr>
          <w:rStyle w:val="Hipervnculo"/>
          <w:rFonts w:ascii="Verdana" w:hAnsi="Verdana"/>
          <w:color w:val="4472C4" w:themeColor="accent1"/>
        </w:rPr>
        <w:t>@colombiacompraeficiente_cce</w:t>
      </w:r>
    </w:p>
    <w:p w14:paraId="0125FA3C" w14:textId="77777777" w:rsidR="00A406A2" w:rsidRPr="00995CAD" w:rsidRDefault="00A406A2" w:rsidP="00BE3826">
      <w:pPr>
        <w:widowControl w:val="0"/>
        <w:autoSpaceDE w:val="0"/>
        <w:autoSpaceDN w:val="0"/>
        <w:spacing w:after="0" w:line="276" w:lineRule="auto"/>
        <w:jc w:val="both"/>
        <w:rPr>
          <w:rFonts w:ascii="Verdana" w:hAnsi="Verdana" w:cs="Arial"/>
          <w:lang w:val="es-ES_tradnl"/>
        </w:rPr>
      </w:pPr>
      <w:r w:rsidRPr="00995CAD">
        <w:rPr>
          <w:rFonts w:ascii="Verdana" w:hAnsi="Verdana" w:cs="Arial"/>
        </w:rPr>
        <w:t xml:space="preserve">Este concepto tiene el alcance previsto en el artículo 28 del Código de Procedimiento Administrativo y de lo Contencioso Administrativo </w:t>
      </w:r>
      <w:r w:rsidRPr="00995CAD">
        <w:rPr>
          <w:rFonts w:ascii="Verdana" w:hAnsi="Verdana" w:cs="Arial"/>
          <w:lang w:val="es-ES_tradnl"/>
        </w:rPr>
        <w:t xml:space="preserve">y las </w:t>
      </w:r>
      <w:r w:rsidRPr="00995CAD">
        <w:rPr>
          <w:rFonts w:ascii="Verdana" w:hAnsi="Verdana" w:cs="Arial"/>
          <w:lang w:val="es-ES_tradnl"/>
        </w:rPr>
        <w:lastRenderedPageBreak/>
        <w:t>expresiones aquí utilizadas con mayúscula inicial deben ser entendidas con el significado que les otorga el artículo 2.2.1.1.1.3.1. del Decreto 1082 de 2015.</w:t>
      </w:r>
    </w:p>
    <w:p w14:paraId="28FD836D" w14:textId="77777777" w:rsidR="00A406A2" w:rsidRPr="00995CAD" w:rsidRDefault="00A406A2" w:rsidP="00BE3826">
      <w:pPr>
        <w:widowControl w:val="0"/>
        <w:autoSpaceDE w:val="0"/>
        <w:autoSpaceDN w:val="0"/>
        <w:spacing w:after="0" w:line="276" w:lineRule="auto"/>
        <w:jc w:val="both"/>
        <w:rPr>
          <w:rFonts w:ascii="Verdana" w:hAnsi="Verdana" w:cs="Arial"/>
        </w:rPr>
      </w:pPr>
    </w:p>
    <w:p w14:paraId="20A7A5D9" w14:textId="77777777" w:rsidR="00A406A2" w:rsidRPr="00995CAD" w:rsidRDefault="00A406A2" w:rsidP="004E7B3B">
      <w:pPr>
        <w:spacing w:after="0" w:line="276" w:lineRule="auto"/>
        <w:rPr>
          <w:rFonts w:ascii="Verdana" w:hAnsi="Verdana" w:cs="Arial"/>
          <w:lang w:eastAsia="es-CO"/>
        </w:rPr>
      </w:pPr>
      <w:r w:rsidRPr="00995CAD">
        <w:rPr>
          <w:rFonts w:ascii="Verdana" w:eastAsia="Times New Roman" w:hAnsi="Verdana" w:cs="Arial"/>
          <w:lang w:eastAsia="es-CO"/>
        </w:rPr>
        <w:t>Atentamente,</w:t>
      </w:r>
      <w:r w:rsidRPr="00995CAD">
        <w:rPr>
          <w:rFonts w:ascii="Verdana" w:hAnsi="Verdana" w:cs="Arial"/>
          <w:lang w:eastAsia="es-CO"/>
        </w:rPr>
        <w:t xml:space="preserve"> </w:t>
      </w:r>
    </w:p>
    <w:p w14:paraId="5A922C1E" w14:textId="77777777" w:rsidR="00A406A2" w:rsidRPr="00995CAD" w:rsidRDefault="00A406A2" w:rsidP="004E7B3B">
      <w:pPr>
        <w:spacing w:after="0" w:line="276" w:lineRule="auto"/>
        <w:rPr>
          <w:rFonts w:ascii="Verdana" w:hAnsi="Verdana" w:cs="Arial"/>
          <w:lang w:eastAsia="es-CO"/>
        </w:rPr>
      </w:pPr>
    </w:p>
    <w:p w14:paraId="34B35886" w14:textId="71CD5224" w:rsidR="00A406A2" w:rsidRPr="00995CAD" w:rsidRDefault="008C7242" w:rsidP="00A406A2">
      <w:pPr>
        <w:spacing w:line="276" w:lineRule="auto"/>
        <w:jc w:val="center"/>
        <w:rPr>
          <w:rFonts w:ascii="Verdana" w:hAnsi="Verdana" w:cs="Arial"/>
          <w:color w:val="000000"/>
          <w:lang w:val="es-ES_tradnl" w:eastAsia="es-CO"/>
        </w:rPr>
      </w:pPr>
      <w:r>
        <w:rPr>
          <w:noProof/>
          <w14:ligatures w14:val="standardContextual"/>
        </w:rPr>
        <w:drawing>
          <wp:inline distT="0" distB="0" distL="0" distR="0" wp14:anchorId="6CD52264" wp14:editId="47954526">
            <wp:extent cx="3962400" cy="1866900"/>
            <wp:effectExtent l="0" t="0" r="0" b="0"/>
            <wp:docPr id="119417683" name="Imagen 1" descr="Interfaz de usuario gráfica, Texto, Aplicación&#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417683" name="Imagen 1" descr="Interfaz de usuario gráfica, Texto, Aplicación&#10;&#10;Descripción generada automáticamente con confianza media"/>
                    <pic:cNvPicPr>
                      <a:picLocks noChangeAspect="1"/>
                    </pic:cNvPicPr>
                  </pic:nvPicPr>
                  <pic:blipFill>
                    <a:blip r:embed="rId17"/>
                    <a:stretch>
                      <a:fillRect/>
                    </a:stretch>
                  </pic:blipFill>
                  <pic:spPr>
                    <a:xfrm>
                      <a:off x="0" y="0"/>
                      <a:ext cx="3962400" cy="1866900"/>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A406A2" w:rsidRPr="00995CAD" w14:paraId="0908DC09" w14:textId="77777777" w:rsidTr="00274D6F">
        <w:trPr>
          <w:trHeight w:val="315"/>
        </w:trPr>
        <w:tc>
          <w:tcPr>
            <w:tcW w:w="893" w:type="dxa"/>
            <w:vAlign w:val="center"/>
            <w:hideMark/>
          </w:tcPr>
          <w:p w14:paraId="5F57D1C3" w14:textId="77777777" w:rsidR="00A406A2" w:rsidRPr="00995CAD" w:rsidRDefault="00A406A2" w:rsidP="00274D6F">
            <w:pPr>
              <w:contextualSpacing/>
              <w:rPr>
                <w:rFonts w:ascii="Verdana" w:hAnsi="Verdana" w:cs="Arial"/>
                <w:sz w:val="16"/>
                <w:szCs w:val="16"/>
                <w:lang w:val="es-ES" w:eastAsia="es-ES"/>
              </w:rPr>
            </w:pPr>
            <w:r w:rsidRPr="00995CAD">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71711D0" w14:textId="77777777" w:rsidR="00A406A2" w:rsidRPr="00995CAD" w:rsidRDefault="00A406A2" w:rsidP="00274D6F">
            <w:pPr>
              <w:contextualSpacing/>
              <w:rPr>
                <w:rStyle w:val="normaltextrun"/>
                <w:rFonts w:ascii="Verdana" w:hAnsi="Verdana"/>
                <w:sz w:val="16"/>
                <w:szCs w:val="16"/>
              </w:rPr>
            </w:pPr>
            <w:r w:rsidRPr="00995CAD">
              <w:rPr>
                <w:rStyle w:val="normaltextrun"/>
                <w:rFonts w:ascii="Verdana" w:hAnsi="Verdana"/>
                <w:sz w:val="16"/>
                <w:szCs w:val="16"/>
              </w:rPr>
              <w:t xml:space="preserve">Esperanza Contreras P </w:t>
            </w:r>
          </w:p>
          <w:p w14:paraId="5B132896" w14:textId="77777777" w:rsidR="00A406A2" w:rsidRPr="00995CAD" w:rsidRDefault="00A406A2" w:rsidP="00274D6F">
            <w:pPr>
              <w:contextualSpacing/>
              <w:rPr>
                <w:rFonts w:ascii="Verdana" w:eastAsia="Arial" w:hAnsi="Verdana" w:cs="Arial"/>
                <w:sz w:val="16"/>
                <w:szCs w:val="16"/>
              </w:rPr>
            </w:pPr>
            <w:r w:rsidRPr="00995CAD">
              <w:rPr>
                <w:rStyle w:val="normaltextrun"/>
                <w:rFonts w:ascii="Verdana" w:hAnsi="Verdana" w:cs="Arial"/>
                <w:sz w:val="16"/>
                <w:szCs w:val="16"/>
                <w:lang w:val="es-ES"/>
              </w:rPr>
              <w:t>Contratista de la Subdirección de Gestión Contractual</w:t>
            </w:r>
            <w:r w:rsidRPr="00995CAD">
              <w:rPr>
                <w:rStyle w:val="eop"/>
                <w:rFonts w:ascii="Verdana" w:hAnsi="Verdana" w:cs="Arial"/>
                <w:sz w:val="16"/>
                <w:szCs w:val="16"/>
              </w:rPr>
              <w:t> </w:t>
            </w:r>
          </w:p>
        </w:tc>
      </w:tr>
      <w:tr w:rsidR="00A406A2" w:rsidRPr="00995CAD" w14:paraId="23D3059E" w14:textId="77777777" w:rsidTr="00274D6F">
        <w:trPr>
          <w:trHeight w:val="330"/>
        </w:trPr>
        <w:tc>
          <w:tcPr>
            <w:tcW w:w="893" w:type="dxa"/>
            <w:vAlign w:val="center"/>
            <w:hideMark/>
          </w:tcPr>
          <w:p w14:paraId="33EDFB12" w14:textId="77777777" w:rsidR="00A406A2" w:rsidRPr="00995CAD" w:rsidRDefault="00A406A2" w:rsidP="00274D6F">
            <w:pPr>
              <w:contextualSpacing/>
              <w:rPr>
                <w:rFonts w:ascii="Verdana" w:hAnsi="Verdana" w:cs="Arial"/>
                <w:sz w:val="16"/>
                <w:szCs w:val="16"/>
                <w:lang w:val="es-ES" w:eastAsia="es-ES"/>
              </w:rPr>
            </w:pPr>
            <w:r w:rsidRPr="00995CAD">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BC5A50D" w14:textId="77777777" w:rsidR="00A406A2" w:rsidRPr="00995CAD" w:rsidRDefault="00A406A2" w:rsidP="00274D6F">
            <w:pPr>
              <w:pStyle w:val="paragraph"/>
              <w:spacing w:before="0" w:beforeAutospacing="0" w:after="0" w:afterAutospacing="0"/>
              <w:contextualSpacing/>
              <w:textAlignment w:val="baseline"/>
              <w:rPr>
                <w:rStyle w:val="normaltextrun"/>
                <w:rFonts w:ascii="Verdana" w:hAnsi="Verdana" w:cs="Arial"/>
                <w:sz w:val="16"/>
                <w:szCs w:val="16"/>
                <w:lang w:val="es-ES"/>
              </w:rPr>
            </w:pPr>
            <w:r w:rsidRPr="00995CAD">
              <w:rPr>
                <w:rStyle w:val="normaltextrun"/>
                <w:rFonts w:ascii="Verdana" w:hAnsi="Verdana" w:cs="Arial"/>
                <w:sz w:val="16"/>
                <w:szCs w:val="16"/>
                <w:lang w:val="es-ES"/>
              </w:rPr>
              <w:t>D</w:t>
            </w:r>
            <w:r w:rsidRPr="00995CAD">
              <w:rPr>
                <w:rStyle w:val="normaltextrun"/>
                <w:rFonts w:ascii="Verdana" w:hAnsi="Verdana"/>
                <w:sz w:val="16"/>
                <w:szCs w:val="16"/>
                <w:lang w:val="es-ES"/>
              </w:rPr>
              <w:t xml:space="preserve">iana </w:t>
            </w:r>
            <w:r w:rsidR="00493A3E" w:rsidRPr="00995CAD">
              <w:rPr>
                <w:rStyle w:val="normaltextrun"/>
                <w:rFonts w:ascii="Verdana" w:hAnsi="Verdana"/>
                <w:sz w:val="16"/>
                <w:szCs w:val="16"/>
                <w:lang w:val="es-ES"/>
              </w:rPr>
              <w:t xml:space="preserve">Lucía </w:t>
            </w:r>
            <w:r w:rsidRPr="00995CAD">
              <w:rPr>
                <w:rStyle w:val="normaltextrun"/>
                <w:rFonts w:ascii="Verdana" w:hAnsi="Verdana"/>
                <w:sz w:val="16"/>
                <w:szCs w:val="16"/>
                <w:lang w:val="es-ES"/>
              </w:rPr>
              <w:t>Saavedra Castañeda</w:t>
            </w:r>
          </w:p>
          <w:p w14:paraId="7859B072" w14:textId="77777777" w:rsidR="00A406A2" w:rsidRPr="00995CAD" w:rsidRDefault="00A406A2" w:rsidP="00274D6F">
            <w:pPr>
              <w:pStyle w:val="paragraph"/>
              <w:spacing w:before="0" w:beforeAutospacing="0" w:after="0" w:afterAutospacing="0"/>
              <w:contextualSpacing/>
              <w:textAlignment w:val="baseline"/>
              <w:rPr>
                <w:rFonts w:ascii="Verdana" w:hAnsi="Verdana" w:cs="Segoe UI"/>
                <w:sz w:val="16"/>
                <w:szCs w:val="16"/>
              </w:rPr>
            </w:pPr>
            <w:r w:rsidRPr="00995CAD">
              <w:rPr>
                <w:rStyle w:val="normaltextrun"/>
                <w:rFonts w:ascii="Verdana" w:hAnsi="Verdana" w:cs="Arial"/>
                <w:sz w:val="16"/>
                <w:szCs w:val="16"/>
                <w:lang w:val="es-ES"/>
              </w:rPr>
              <w:t>Contratista de la Subdirección de Gestión Contractual</w:t>
            </w:r>
            <w:r w:rsidRPr="00995CAD">
              <w:rPr>
                <w:rStyle w:val="eop"/>
                <w:rFonts w:ascii="Verdana" w:hAnsi="Verdana" w:cs="Arial"/>
                <w:sz w:val="16"/>
                <w:szCs w:val="16"/>
              </w:rPr>
              <w:t> </w:t>
            </w:r>
          </w:p>
        </w:tc>
      </w:tr>
      <w:tr w:rsidR="00A406A2" w:rsidRPr="00995CAD" w14:paraId="1CF086A3" w14:textId="77777777" w:rsidTr="00274D6F">
        <w:trPr>
          <w:trHeight w:val="300"/>
        </w:trPr>
        <w:tc>
          <w:tcPr>
            <w:tcW w:w="893" w:type="dxa"/>
            <w:vAlign w:val="center"/>
          </w:tcPr>
          <w:p w14:paraId="718B5024" w14:textId="77777777" w:rsidR="00A406A2" w:rsidRPr="00995CAD" w:rsidRDefault="00A406A2" w:rsidP="00274D6F">
            <w:pPr>
              <w:contextualSpacing/>
              <w:rPr>
                <w:rFonts w:ascii="Verdana" w:hAnsi="Verdana" w:cs="Arial"/>
                <w:sz w:val="16"/>
                <w:szCs w:val="16"/>
                <w:lang w:val="es-ES" w:eastAsia="es-ES"/>
              </w:rPr>
            </w:pPr>
            <w:r w:rsidRPr="00995CAD">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088E7BCE" w14:textId="77777777" w:rsidR="00A406A2" w:rsidRPr="00995CAD" w:rsidRDefault="00A406A2" w:rsidP="00274D6F">
            <w:pPr>
              <w:contextualSpacing/>
              <w:rPr>
                <w:rFonts w:ascii="Verdana" w:eastAsia="Calibri" w:hAnsi="Verdana" w:cs="Arial"/>
                <w:sz w:val="16"/>
                <w:szCs w:val="16"/>
                <w:lang w:val="pt-BR" w:eastAsia="es-ES"/>
              </w:rPr>
            </w:pPr>
            <w:r w:rsidRPr="00995CAD">
              <w:rPr>
                <w:rFonts w:ascii="Verdana" w:eastAsia="Calibri" w:hAnsi="Verdana" w:cs="Arial"/>
                <w:sz w:val="16"/>
                <w:szCs w:val="16"/>
                <w:lang w:val="pt-BR" w:eastAsia="es-ES"/>
              </w:rPr>
              <w:t xml:space="preserve">Carolina Quintero </w:t>
            </w:r>
            <w:proofErr w:type="spellStart"/>
            <w:r w:rsidRPr="00995CAD">
              <w:rPr>
                <w:rFonts w:ascii="Verdana" w:eastAsia="Calibri" w:hAnsi="Verdana" w:cs="Arial"/>
                <w:sz w:val="16"/>
                <w:szCs w:val="16"/>
                <w:lang w:val="pt-BR" w:eastAsia="es-ES"/>
              </w:rPr>
              <w:t>Gacharná</w:t>
            </w:r>
            <w:proofErr w:type="spellEnd"/>
          </w:p>
          <w:p w14:paraId="5D3031BA" w14:textId="77777777" w:rsidR="00A406A2" w:rsidRPr="00995CAD" w:rsidRDefault="00A406A2" w:rsidP="00274D6F">
            <w:pPr>
              <w:contextualSpacing/>
              <w:rPr>
                <w:rFonts w:ascii="Verdana" w:eastAsia="Calibri" w:hAnsi="Verdana" w:cs="Arial"/>
                <w:sz w:val="16"/>
                <w:szCs w:val="16"/>
                <w:lang w:val="pt-BR" w:eastAsia="es-ES"/>
              </w:rPr>
            </w:pPr>
            <w:r w:rsidRPr="00995CAD">
              <w:rPr>
                <w:rFonts w:ascii="Verdana" w:eastAsia="Calibri" w:hAnsi="Verdana" w:cs="Arial"/>
                <w:sz w:val="16"/>
                <w:szCs w:val="16"/>
                <w:lang w:eastAsia="es-ES"/>
              </w:rPr>
              <w:t>Subdirectora</w:t>
            </w:r>
            <w:r w:rsidRPr="00995CAD">
              <w:rPr>
                <w:rFonts w:ascii="Verdana" w:eastAsia="Calibri" w:hAnsi="Verdana" w:cs="Arial"/>
                <w:sz w:val="16"/>
                <w:szCs w:val="16"/>
                <w:lang w:val="pt-BR" w:eastAsia="es-ES"/>
              </w:rPr>
              <w:t xml:space="preserve"> de Gestión </w:t>
            </w:r>
            <w:proofErr w:type="spellStart"/>
            <w:r w:rsidRPr="00995CAD">
              <w:rPr>
                <w:rFonts w:ascii="Verdana" w:eastAsia="Calibri" w:hAnsi="Verdana" w:cs="Arial"/>
                <w:sz w:val="16"/>
                <w:szCs w:val="16"/>
                <w:lang w:val="pt-BR" w:eastAsia="es-ES"/>
              </w:rPr>
              <w:t>Contractual</w:t>
            </w:r>
            <w:proofErr w:type="spellEnd"/>
            <w:r w:rsidRPr="00995CAD">
              <w:rPr>
                <w:rFonts w:ascii="Verdana" w:eastAsia="Calibri" w:hAnsi="Verdana" w:cs="Arial"/>
                <w:sz w:val="16"/>
                <w:szCs w:val="16"/>
                <w:lang w:val="pt-BR" w:eastAsia="es-ES"/>
              </w:rPr>
              <w:t xml:space="preserve"> ANCP – CCE</w:t>
            </w:r>
          </w:p>
        </w:tc>
      </w:tr>
    </w:tbl>
    <w:p w14:paraId="5269DB6D" w14:textId="77777777" w:rsidR="00A406A2" w:rsidRPr="00995CAD" w:rsidRDefault="00A406A2" w:rsidP="00A406A2">
      <w:pPr>
        <w:spacing w:after="0" w:line="240" w:lineRule="auto"/>
        <w:rPr>
          <w:rFonts w:ascii="Verdana" w:eastAsia="Times New Roman" w:hAnsi="Verdana" w:cs="Arial"/>
          <w:sz w:val="24"/>
          <w:szCs w:val="24"/>
          <w:lang w:eastAsia="es-ES"/>
        </w:rPr>
      </w:pPr>
    </w:p>
    <w:p w14:paraId="4213D7FD" w14:textId="77777777" w:rsidR="002707A2" w:rsidRPr="00995CAD" w:rsidRDefault="002707A2" w:rsidP="00E245AB">
      <w:pPr>
        <w:spacing w:after="0"/>
        <w:jc w:val="both"/>
        <w:rPr>
          <w:rStyle w:val="Hipervnculo"/>
          <w:rFonts w:ascii="Verdana" w:hAnsi="Verdana"/>
        </w:rPr>
      </w:pPr>
    </w:p>
    <w:p w14:paraId="0E51D443" w14:textId="77777777" w:rsidR="002707A2" w:rsidRPr="00995CAD" w:rsidRDefault="002707A2" w:rsidP="00E245AB">
      <w:pPr>
        <w:spacing w:after="0"/>
        <w:jc w:val="both"/>
        <w:rPr>
          <w:rStyle w:val="Hipervnculo"/>
          <w:rFonts w:ascii="Verdana" w:hAnsi="Verdana"/>
        </w:rPr>
      </w:pPr>
    </w:p>
    <w:bookmarkEnd w:id="0"/>
    <w:p w14:paraId="7448CF86" w14:textId="77777777" w:rsidR="003D5B0D" w:rsidRPr="00995CA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995CAD" w:rsidSect="007C0C0F">
      <w:headerReference w:type="default" r:id="rId18"/>
      <w:footerReference w:type="default" r:id="rId19"/>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7F5625" w14:textId="77777777" w:rsidR="00B04E80" w:rsidRDefault="00B04E80" w:rsidP="004A1847">
      <w:pPr>
        <w:spacing w:after="0" w:line="240" w:lineRule="auto"/>
      </w:pPr>
      <w:r>
        <w:separator/>
      </w:r>
    </w:p>
  </w:endnote>
  <w:endnote w:type="continuationSeparator" w:id="0">
    <w:p w14:paraId="7A7B0AFF" w14:textId="77777777" w:rsidR="00B04E80" w:rsidRDefault="00B04E80" w:rsidP="004A1847">
      <w:pPr>
        <w:spacing w:after="0" w:line="240" w:lineRule="auto"/>
      </w:pPr>
      <w:r>
        <w:continuationSeparator/>
      </w:r>
    </w:p>
  </w:endnote>
  <w:endnote w:type="continuationNotice" w:id="1">
    <w:p w14:paraId="0A9546CA" w14:textId="77777777" w:rsidR="00B04E80" w:rsidRDefault="00B04E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3B1C01" w14:textId="77777777" w:rsidR="004A1847" w:rsidRDefault="004A1847">
    <w:pPr>
      <w:pStyle w:val="Piedepgina"/>
    </w:pPr>
  </w:p>
  <w:p w14:paraId="07AE3978"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41DF61AC"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31B2DC5A"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35BC2C82" w14:textId="77777777"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1BE37A" w14:textId="77777777" w:rsidR="00B04E80" w:rsidRDefault="00B04E80" w:rsidP="004A1847">
      <w:pPr>
        <w:spacing w:after="0" w:line="240" w:lineRule="auto"/>
      </w:pPr>
      <w:r>
        <w:separator/>
      </w:r>
    </w:p>
  </w:footnote>
  <w:footnote w:type="continuationSeparator" w:id="0">
    <w:p w14:paraId="15E4CBD4" w14:textId="77777777" w:rsidR="00B04E80" w:rsidRDefault="00B04E80" w:rsidP="004A1847">
      <w:pPr>
        <w:spacing w:after="0" w:line="240" w:lineRule="auto"/>
      </w:pPr>
      <w:r>
        <w:continuationSeparator/>
      </w:r>
    </w:p>
  </w:footnote>
  <w:footnote w:type="continuationNotice" w:id="1">
    <w:p w14:paraId="24C4A0FF" w14:textId="77777777" w:rsidR="00B04E80" w:rsidRDefault="00B04E80">
      <w:pPr>
        <w:spacing w:after="0" w:line="240" w:lineRule="auto"/>
      </w:pPr>
    </w:p>
  </w:footnote>
  <w:footnote w:id="2">
    <w:p w14:paraId="284E48EF" w14:textId="77777777" w:rsidR="0029396D" w:rsidRPr="00E67771" w:rsidRDefault="0029396D" w:rsidP="00E67771">
      <w:pPr>
        <w:pStyle w:val="Textonotapie"/>
        <w:ind w:firstLine="708"/>
        <w:contextualSpacing/>
        <w:jc w:val="both"/>
        <w:rPr>
          <w:rFonts w:ascii="Verdana" w:hAnsi="Verdana" w:cs="Arial"/>
          <w:sz w:val="16"/>
          <w:szCs w:val="16"/>
        </w:rPr>
      </w:pPr>
      <w:r w:rsidRPr="00E67771">
        <w:rPr>
          <w:rStyle w:val="Refdenotaalpie"/>
          <w:rFonts w:ascii="Verdana" w:hAnsi="Verdana" w:cs="Arial"/>
          <w:sz w:val="16"/>
          <w:szCs w:val="16"/>
        </w:rPr>
        <w:footnoteRef/>
      </w:r>
      <w:r w:rsidRPr="00E67771">
        <w:rPr>
          <w:rFonts w:ascii="Verdana" w:hAnsi="Verdana" w:cs="Arial"/>
          <w:sz w:val="16"/>
          <w:szCs w:val="16"/>
        </w:rPr>
        <w:t xml:space="preserve"> “Artículo 100: Asimilación a sociedades comerciales - legislación mercantil. Se tendrán como comerciales, para todos los efectos legales las sociedades que se formen para la ejecución de actos o empresas mercantiles. Si la empresa social comprende actos mercantiles y actos que no tengan esa calidad, la sociedad será comercial. Las sociedades que no contemplen en su objeto social actos mercantiles serán civiles. </w:t>
      </w:r>
    </w:p>
    <w:p w14:paraId="5E50B909" w14:textId="77777777" w:rsidR="0029396D" w:rsidRPr="00E67771" w:rsidRDefault="0029396D" w:rsidP="00E67771">
      <w:pPr>
        <w:pStyle w:val="Textonotapie"/>
        <w:contextualSpacing/>
        <w:jc w:val="both"/>
        <w:rPr>
          <w:rFonts w:ascii="Verdana" w:hAnsi="Verdana" w:cs="Arial"/>
          <w:sz w:val="16"/>
          <w:szCs w:val="16"/>
        </w:rPr>
      </w:pPr>
    </w:p>
    <w:p w14:paraId="59D781A8" w14:textId="77777777" w:rsidR="0029396D" w:rsidRPr="00E67771" w:rsidRDefault="0029396D" w:rsidP="00E67771">
      <w:pPr>
        <w:pStyle w:val="Textonotapie"/>
        <w:contextualSpacing/>
        <w:jc w:val="both"/>
        <w:rPr>
          <w:rFonts w:ascii="Verdana" w:hAnsi="Verdana" w:cs="Arial"/>
          <w:sz w:val="16"/>
          <w:szCs w:val="16"/>
        </w:rPr>
      </w:pPr>
      <w:r w:rsidRPr="00E67771">
        <w:rPr>
          <w:rFonts w:ascii="Verdana" w:hAnsi="Verdana" w:cs="Arial"/>
          <w:sz w:val="16"/>
          <w:szCs w:val="16"/>
        </w:rPr>
        <w:t>Sin embargo, cualquiera que sea su objeto, las sociedades comerciales y civiles estarán sujetas, para todos los efectos, a la legislación mercantil”.</w:t>
      </w:r>
    </w:p>
    <w:p w14:paraId="3B95FFBF" w14:textId="77777777" w:rsidR="0029396D" w:rsidRPr="00E67771" w:rsidRDefault="0029396D" w:rsidP="00E67771">
      <w:pPr>
        <w:pStyle w:val="Textonotapie"/>
        <w:contextualSpacing/>
        <w:jc w:val="both"/>
        <w:rPr>
          <w:rFonts w:ascii="Verdana" w:hAnsi="Verdana" w:cs="Arial"/>
          <w:sz w:val="16"/>
          <w:szCs w:val="16"/>
          <w:lang w:val="es-CO"/>
        </w:rPr>
      </w:pPr>
    </w:p>
  </w:footnote>
  <w:footnote w:id="3">
    <w:p w14:paraId="04810394" w14:textId="77777777" w:rsidR="0029396D" w:rsidRPr="00E67771" w:rsidRDefault="0029396D" w:rsidP="00E67771">
      <w:pPr>
        <w:pStyle w:val="Textonotapie"/>
        <w:ind w:firstLine="708"/>
        <w:contextualSpacing/>
        <w:jc w:val="both"/>
        <w:rPr>
          <w:rFonts w:ascii="Verdana" w:hAnsi="Verdana" w:cs="Arial"/>
          <w:sz w:val="16"/>
          <w:szCs w:val="16"/>
        </w:rPr>
      </w:pPr>
      <w:r w:rsidRPr="00E67771">
        <w:rPr>
          <w:rStyle w:val="Refdenotaalpie"/>
          <w:rFonts w:ascii="Verdana" w:hAnsi="Verdana" w:cs="Arial"/>
          <w:sz w:val="16"/>
          <w:szCs w:val="16"/>
        </w:rPr>
        <w:footnoteRef/>
      </w:r>
      <w:r w:rsidRPr="00E67771">
        <w:rPr>
          <w:rFonts w:ascii="Verdana" w:hAnsi="Verdana" w:cs="Arial"/>
          <w:sz w:val="16"/>
          <w:szCs w:val="16"/>
        </w:rPr>
        <w:t xml:space="preserve"> TORRENTE BAYONA, César y BUSTAMANTE, Luis Eduardo. Las entidades sin ánimo de lucro (3ª Ed.). Editado por la Cámara de Comercio de Bogotá. Bogotá. 2000, p. 33. Allí se lee: “Las entidades sin ánimo de lucro son personas jurídicas, capaces de ejercer derechos y contraer obligaciones y de ser representadas judicial y extrajudicialmente, con sujeción a las disposiciones legales y a sus propios estatutos. Nacen por voluntad de los asociados en virtud del derecho constitucional de asociación, o por la libertad de disposición de los bienes de los particulares, para la realización de fines altruistas o de beneficio comunitario; de lo que se infiere que no contemplan dentro de su objeto principal el desarrollo de actividades mercantiles. </w:t>
      </w:r>
    </w:p>
    <w:p w14:paraId="6472F94A" w14:textId="77777777" w:rsidR="0029396D" w:rsidRPr="00E67771" w:rsidRDefault="0029396D" w:rsidP="00E67771">
      <w:pPr>
        <w:pStyle w:val="Textonotapie"/>
        <w:contextualSpacing/>
        <w:jc w:val="both"/>
        <w:rPr>
          <w:rFonts w:ascii="Verdana" w:hAnsi="Verdana" w:cs="Arial"/>
          <w:sz w:val="16"/>
          <w:szCs w:val="16"/>
          <w:lang w:val="es-CO"/>
        </w:rPr>
      </w:pPr>
      <w:r w:rsidRPr="00E67771">
        <w:rPr>
          <w:rFonts w:ascii="Verdana" w:hAnsi="Verdana" w:cs="Arial"/>
          <w:sz w:val="16"/>
          <w:szCs w:val="16"/>
        </w:rPr>
        <w:t>La ausencia de lucro es una de sus características fundamentales, lo cual significa que no existe el reparto de utilidades o remanentes generados en el desarrollo de sus objetivos, ni es viable el reembolso de los bienes o dineros aportados a la entidad […]”.</w:t>
      </w:r>
    </w:p>
  </w:footnote>
  <w:footnote w:id="4">
    <w:p w14:paraId="29D27263" w14:textId="77777777" w:rsidR="0029396D" w:rsidRPr="00A303E8" w:rsidRDefault="0029396D" w:rsidP="00A303E8">
      <w:pPr>
        <w:pStyle w:val="Textonotapie"/>
        <w:ind w:firstLine="708"/>
        <w:contextualSpacing/>
        <w:jc w:val="both"/>
        <w:rPr>
          <w:rFonts w:ascii="Verdana" w:hAnsi="Verdana" w:cs="Arial"/>
          <w:color w:val="000000"/>
          <w:sz w:val="16"/>
          <w:szCs w:val="16"/>
          <w:shd w:val="clear" w:color="auto" w:fill="FFFFFF"/>
        </w:rPr>
      </w:pPr>
      <w:r w:rsidRPr="00A303E8">
        <w:rPr>
          <w:rStyle w:val="Refdenotaalpie"/>
          <w:rFonts w:ascii="Verdana" w:hAnsi="Verdana" w:cs="Arial"/>
          <w:sz w:val="16"/>
          <w:szCs w:val="16"/>
        </w:rPr>
        <w:footnoteRef/>
      </w:r>
      <w:r w:rsidRPr="00A303E8">
        <w:rPr>
          <w:rFonts w:ascii="Verdana" w:hAnsi="Verdana" w:cs="Arial"/>
          <w:sz w:val="16"/>
          <w:szCs w:val="16"/>
        </w:rPr>
        <w:t xml:space="preserve"> </w:t>
      </w:r>
      <w:r w:rsidRPr="00A303E8">
        <w:rPr>
          <w:rStyle w:val="normaltextrun"/>
          <w:rFonts w:ascii="Verdana" w:hAnsi="Verdana" w:cs="Arial"/>
          <w:color w:val="000000"/>
          <w:sz w:val="16"/>
          <w:szCs w:val="16"/>
          <w:shd w:val="clear" w:color="auto" w:fill="FFFFFF"/>
          <w:lang w:val="pt-BR"/>
        </w:rPr>
        <w:t xml:space="preserve">Corte Constitucional. Sentencia C-287 de 2012. </w:t>
      </w:r>
      <w:r w:rsidRPr="00A303E8">
        <w:rPr>
          <w:rStyle w:val="normaltextrun"/>
          <w:rFonts w:ascii="Verdana" w:hAnsi="Verdana" w:cs="Arial"/>
          <w:color w:val="000000"/>
          <w:sz w:val="16"/>
          <w:szCs w:val="16"/>
          <w:shd w:val="clear" w:color="auto" w:fill="FFFFFF"/>
          <w:lang w:val="es-ES"/>
        </w:rPr>
        <w:t>M.P. María Victoria Calle.</w:t>
      </w:r>
      <w:r w:rsidRPr="00A303E8">
        <w:rPr>
          <w:rStyle w:val="eop"/>
          <w:rFonts w:ascii="Verdana" w:hAnsi="Verdana" w:cs="Arial"/>
          <w:color w:val="000000"/>
          <w:sz w:val="16"/>
          <w:szCs w:val="16"/>
          <w:shd w:val="clear" w:color="auto" w:fill="FFFFFF"/>
        </w:rPr>
        <w:t> </w:t>
      </w:r>
    </w:p>
  </w:footnote>
  <w:footnote w:id="5">
    <w:p w14:paraId="097B0607" w14:textId="77777777" w:rsidR="0029396D" w:rsidRPr="00A303E8" w:rsidRDefault="0029396D" w:rsidP="00A303E8">
      <w:pPr>
        <w:pStyle w:val="Textonotapie"/>
        <w:contextualSpacing/>
        <w:jc w:val="both"/>
        <w:rPr>
          <w:rFonts w:ascii="Verdana" w:hAnsi="Verdana" w:cs="Arial"/>
          <w:sz w:val="16"/>
          <w:szCs w:val="16"/>
          <w:lang w:val="es-CO"/>
        </w:rPr>
      </w:pPr>
    </w:p>
  </w:footnote>
  <w:footnote w:id="6">
    <w:p w14:paraId="4FA2E7A6" w14:textId="77777777" w:rsidR="0029396D" w:rsidRPr="000C3249" w:rsidRDefault="0029396D" w:rsidP="00A303E8">
      <w:pPr>
        <w:pStyle w:val="Textonotapie"/>
        <w:ind w:firstLine="708"/>
        <w:contextualSpacing/>
        <w:jc w:val="both"/>
        <w:rPr>
          <w:rFonts w:ascii="Verdana" w:hAnsi="Verdana" w:cs="Arial"/>
          <w:sz w:val="16"/>
          <w:szCs w:val="16"/>
        </w:rPr>
      </w:pPr>
      <w:r w:rsidRPr="000C3249">
        <w:rPr>
          <w:rStyle w:val="Refdenotaalpie"/>
          <w:rFonts w:ascii="Verdana" w:hAnsi="Verdana" w:cs="Arial"/>
          <w:sz w:val="16"/>
          <w:szCs w:val="16"/>
        </w:rPr>
        <w:footnoteRef/>
      </w:r>
      <w:r w:rsidRPr="000C3249">
        <w:rPr>
          <w:rFonts w:ascii="Verdana" w:hAnsi="Verdana" w:cs="Arial"/>
          <w:sz w:val="16"/>
          <w:szCs w:val="16"/>
        </w:rPr>
        <w:t xml:space="preserve"> Cámara de Comercio de Bogotá, “ABC DE ESALES”. Bogotá. 2013. Disponible en este </w:t>
      </w:r>
      <w:proofErr w:type="gramStart"/>
      <w:r w:rsidRPr="000C3249">
        <w:rPr>
          <w:rFonts w:ascii="Verdana" w:hAnsi="Verdana" w:cs="Arial"/>
          <w:sz w:val="16"/>
          <w:szCs w:val="16"/>
        </w:rPr>
        <w:t>link</w:t>
      </w:r>
      <w:proofErr w:type="gramEnd"/>
      <w:r w:rsidRPr="000C3249">
        <w:rPr>
          <w:rFonts w:ascii="Verdana" w:hAnsi="Verdana" w:cs="Arial"/>
          <w:sz w:val="16"/>
          <w:szCs w:val="16"/>
        </w:rPr>
        <w:t xml:space="preserve">: </w:t>
      </w:r>
      <w:hyperlink r:id="rId1" w:history="1">
        <w:r w:rsidRPr="000C3249">
          <w:rPr>
            <w:rStyle w:val="Hipervnculo"/>
            <w:rFonts w:ascii="Verdana" w:hAnsi="Verdana" w:cs="Arial"/>
            <w:sz w:val="16"/>
            <w:szCs w:val="16"/>
          </w:rPr>
          <w:t>https://bibliotecadigital.ccb.org.co/bitstream/handle/11520/8346/el%20abc%20de%20esales%202013%20completo.pdf?sequence=1&amp;isAllowed=y</w:t>
        </w:r>
      </w:hyperlink>
      <w:r w:rsidRPr="000C3249">
        <w:rPr>
          <w:rFonts w:ascii="Verdana" w:hAnsi="Verdana" w:cs="Arial"/>
          <w:sz w:val="16"/>
          <w:szCs w:val="16"/>
        </w:rPr>
        <w:t xml:space="preserve">. </w:t>
      </w:r>
    </w:p>
    <w:p w14:paraId="379DB27B" w14:textId="77777777" w:rsidR="0029396D" w:rsidRPr="000C3249" w:rsidRDefault="0029396D" w:rsidP="00A303E8">
      <w:pPr>
        <w:pStyle w:val="Textonotapie"/>
        <w:ind w:firstLine="708"/>
        <w:contextualSpacing/>
        <w:jc w:val="both"/>
        <w:rPr>
          <w:rFonts w:ascii="Verdana" w:hAnsi="Verdana" w:cs="Arial"/>
          <w:sz w:val="16"/>
          <w:szCs w:val="16"/>
          <w:lang w:val="es-CO"/>
        </w:rPr>
      </w:pPr>
    </w:p>
  </w:footnote>
  <w:footnote w:id="7">
    <w:p w14:paraId="37D4F718" w14:textId="77777777" w:rsidR="00EE372F" w:rsidRPr="000C3249" w:rsidRDefault="00EE372F" w:rsidP="00A303E8">
      <w:pPr>
        <w:pStyle w:val="Textonotapie"/>
        <w:ind w:firstLine="709"/>
        <w:contextualSpacing/>
        <w:jc w:val="both"/>
        <w:rPr>
          <w:rFonts w:ascii="Verdana" w:hAnsi="Verdana" w:cs="Arial"/>
          <w:sz w:val="16"/>
          <w:szCs w:val="16"/>
        </w:rPr>
      </w:pPr>
      <w:r w:rsidRPr="000C3249">
        <w:rPr>
          <w:rStyle w:val="Refdenotaalpie"/>
          <w:rFonts w:ascii="Verdana" w:hAnsi="Verdana" w:cs="Arial"/>
          <w:sz w:val="16"/>
          <w:szCs w:val="16"/>
        </w:rPr>
        <w:footnoteRef/>
      </w:r>
      <w:r w:rsidRPr="000C3249">
        <w:rPr>
          <w:rFonts w:ascii="Verdana" w:hAnsi="Verdana" w:cs="Arial"/>
          <w:sz w:val="16"/>
          <w:szCs w:val="16"/>
        </w:rPr>
        <w:t xml:space="preserve"> Ley 2069 de 2020 “Artículo 32. Criterios Diferenciales para Emprendimientos y Empresas de mujeres en el Sistema De Compras Públicas. De acuerdo con el resultado del análisis del sector, las entidades estatales incluirán requisitos diferenciales y puntajes adicionales en los procesos de licitación pública, selección abreviada de menor cuantía y concurso de méritos, así como en los procesos competitivos que adelanten las entidades estatales que no apliquen en su gestión contractual el Estatuto General de Contratación Administrativa, como medidas de acción afirmativa, para incentivar emprendimientos y empresas de mujeres en el sistema de compras públicas, sin perjuicio de los compromisos adquiridos por Colombia en los acuerdos comerciales en vigor.  </w:t>
      </w:r>
    </w:p>
    <w:p w14:paraId="00182878" w14:textId="77777777" w:rsidR="00EE372F" w:rsidRDefault="00EE372F" w:rsidP="004F59ED">
      <w:pPr>
        <w:pStyle w:val="Textonotapie"/>
        <w:ind w:firstLine="709"/>
        <w:contextualSpacing/>
        <w:jc w:val="both"/>
        <w:rPr>
          <w:rFonts w:ascii="Verdana" w:hAnsi="Verdana" w:cs="Arial"/>
          <w:sz w:val="16"/>
          <w:szCs w:val="16"/>
        </w:rPr>
      </w:pPr>
      <w:r w:rsidRPr="000C3249">
        <w:rPr>
          <w:rFonts w:ascii="Verdana" w:hAnsi="Verdana" w:cs="Arial"/>
          <w:sz w:val="16"/>
          <w:szCs w:val="16"/>
        </w:rPr>
        <w:t xml:space="preserve">Parágrafo primero. La definición de emprendimientos y empresas de mujeres se reglamentará por el gobierno nacional”.  </w:t>
      </w:r>
    </w:p>
    <w:p w14:paraId="39D5216A" w14:textId="77777777" w:rsidR="0030703A" w:rsidRPr="000C3249" w:rsidRDefault="0030703A" w:rsidP="000C3249">
      <w:pPr>
        <w:pStyle w:val="Textonotapie"/>
        <w:ind w:firstLine="709"/>
        <w:contextualSpacing/>
        <w:jc w:val="both"/>
        <w:rPr>
          <w:rFonts w:ascii="Verdana" w:hAnsi="Verdana" w:cs="Arial"/>
          <w:sz w:val="16"/>
          <w:szCs w:val="16"/>
        </w:rPr>
      </w:pPr>
    </w:p>
  </w:footnote>
  <w:footnote w:id="8">
    <w:p w14:paraId="406FC496" w14:textId="77777777" w:rsidR="00A406A2" w:rsidRPr="000C3249" w:rsidRDefault="00A406A2" w:rsidP="004F59ED">
      <w:pPr>
        <w:pStyle w:val="Textonotapie"/>
        <w:ind w:firstLine="709"/>
        <w:contextualSpacing/>
        <w:jc w:val="both"/>
        <w:rPr>
          <w:rFonts w:ascii="Verdana" w:hAnsi="Verdana" w:cs="Arial"/>
          <w:sz w:val="16"/>
          <w:szCs w:val="16"/>
        </w:rPr>
      </w:pPr>
      <w:r w:rsidRPr="000C3249">
        <w:rPr>
          <w:rStyle w:val="Refdenotaalpie"/>
          <w:rFonts w:ascii="Verdana" w:hAnsi="Verdana" w:cs="Arial"/>
          <w:sz w:val="16"/>
          <w:szCs w:val="16"/>
        </w:rPr>
        <w:footnoteRef/>
      </w:r>
      <w:r w:rsidRPr="000C3249">
        <w:rPr>
          <w:rFonts w:ascii="Verdana" w:hAnsi="Verdana" w:cs="Arial"/>
          <w:sz w:val="16"/>
          <w:szCs w:val="16"/>
        </w:rPr>
        <w:t xml:space="preserve"> Es importante mencionar que este Decreto en el artículo 2 reglamentó el procedimiento de la mínima cuantía, incluyendo disposiciones particulares que se refieren a la contratación con </w:t>
      </w:r>
      <w:proofErr w:type="spellStart"/>
      <w:r w:rsidRPr="000C3249">
        <w:rPr>
          <w:rFonts w:ascii="Verdana" w:hAnsi="Verdana" w:cs="Arial"/>
          <w:sz w:val="16"/>
          <w:szCs w:val="16"/>
        </w:rPr>
        <w:t>Mipyme</w:t>
      </w:r>
      <w:proofErr w:type="spellEnd"/>
      <w:r w:rsidRPr="000C3249">
        <w:rPr>
          <w:rFonts w:ascii="Verdana" w:hAnsi="Verdana" w:cs="Arial"/>
          <w:sz w:val="16"/>
          <w:szCs w:val="16"/>
        </w:rPr>
        <w:t xml:space="preserve">. Con base en estas disposiciones, la Agencia Nacional de Contratación Pública – Colombia Compra Eficiente expidió la Resolución 146 de 2022 “Por lo cual fue modifica los documentos tipo para proyectos de obra pública de infraestructura de transporte adelantados bajo la modalidad de mínima cuantía”. En el siguiente </w:t>
      </w:r>
      <w:proofErr w:type="gramStart"/>
      <w:r w:rsidRPr="000C3249">
        <w:rPr>
          <w:rFonts w:ascii="Verdana" w:hAnsi="Verdana" w:cs="Arial"/>
          <w:sz w:val="16"/>
          <w:szCs w:val="16"/>
        </w:rPr>
        <w:t>link</w:t>
      </w:r>
      <w:proofErr w:type="gramEnd"/>
      <w:r w:rsidRPr="000C3249">
        <w:rPr>
          <w:rFonts w:ascii="Verdana" w:hAnsi="Verdana" w:cs="Arial"/>
          <w:sz w:val="16"/>
          <w:szCs w:val="16"/>
        </w:rPr>
        <w:t xml:space="preserve"> puede verificar la mencionada resolución: </w:t>
      </w:r>
      <w:hyperlink r:id="rId2" w:history="1">
        <w:r w:rsidRPr="000C3249">
          <w:rPr>
            <w:rFonts w:ascii="Verdana" w:hAnsi="Verdana" w:cs="Arial"/>
            <w:sz w:val="16"/>
            <w:szCs w:val="16"/>
          </w:rPr>
          <w:t>https://www.colombiacompra.gov.co/content/08-modificacion-los-documentos-tipo-para-los-procesos-de-obra-publica-de-infraestructura-de</w:t>
        </w:r>
      </w:hyperlink>
      <w:r w:rsidRPr="000C3249">
        <w:rPr>
          <w:rFonts w:ascii="Verdana" w:hAnsi="Verdana" w:cs="Arial"/>
          <w:sz w:val="16"/>
          <w:szCs w:val="16"/>
        </w:rPr>
        <w:t xml:space="preserve"> </w:t>
      </w:r>
    </w:p>
    <w:p w14:paraId="1AD5973F" w14:textId="77777777" w:rsidR="00A406A2" w:rsidRPr="000C3249" w:rsidRDefault="00A406A2" w:rsidP="004F59ED">
      <w:pPr>
        <w:pStyle w:val="Textonotapie"/>
        <w:ind w:firstLine="709"/>
        <w:contextualSpacing/>
        <w:jc w:val="both"/>
        <w:rPr>
          <w:rFonts w:ascii="Verdana" w:hAnsi="Verdana" w:cs="Arial"/>
          <w:sz w:val="16"/>
          <w:szCs w:val="16"/>
        </w:rPr>
      </w:pPr>
    </w:p>
  </w:footnote>
  <w:footnote w:id="9">
    <w:p w14:paraId="0F17FCD1"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Style w:val="Refdenotaalpie"/>
          <w:rFonts w:ascii="Verdana" w:hAnsi="Verdana" w:cs="Arial"/>
          <w:sz w:val="16"/>
          <w:szCs w:val="16"/>
        </w:rPr>
        <w:footnoteRef/>
      </w:r>
      <w:r w:rsidRPr="00EB37F6">
        <w:rPr>
          <w:rFonts w:ascii="Verdana" w:hAnsi="Verdana" w:cs="Arial"/>
          <w:sz w:val="16"/>
          <w:szCs w:val="16"/>
        </w:rPr>
        <w:t xml:space="preserve"> Decreto 1082 de 2015, adicionado por el Decreto 1860 de 2021: “Artículo 2.2.1.2.4.2.15. Criterios diferenciales para emprendimientos y empresas de mujeres en el sistema de compras públicas. En los procesos de licitación pública, selección abreviada de menor cuantía y concurso de méritos, así como en los procesos competitivos que adelanten las Entidades Estatales no sometidas al Estatuto General de Contratación de la Administración Pública, las Entidades incluirán condiciones habilitantes para incentivar los emprendimientos y empresas de mujeres con domicilio en el territorio nacional. Para el efecto, los Documentos del Proceso deberán incorporar requisitos habilitantes diferenciales relacionados con alguno o algunos de los siguientes aspectos: </w:t>
      </w:r>
    </w:p>
    <w:p w14:paraId="264AA8DB"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1. Tiempo de experiencia. </w:t>
      </w:r>
    </w:p>
    <w:p w14:paraId="193CA59D"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2. Número de contratos para la acreditación de la experiencia. </w:t>
      </w:r>
    </w:p>
    <w:p w14:paraId="46AA3986"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3. Índices de capacidad financiera. </w:t>
      </w:r>
    </w:p>
    <w:p w14:paraId="0B6D9A15"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4. Índices de capacidad organizacional. </w:t>
      </w:r>
    </w:p>
    <w:p w14:paraId="06BCC74A"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5. Valor de la garantía de seriedad de la oferta. </w:t>
      </w:r>
    </w:p>
    <w:p w14:paraId="13360314"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 Los requisitos mencionados deberán fijarse respetando las condiciones habilitantes requeridas para el cumplimiento adecuado del contrato, teniendo en cuenta el alcance de las obligaciones. En desarrollo de lo anterior, con la finalidad de beneficiar a las empresas y emprendimientos de mujeres, se establecerán condiciones más exigentes respecto a alguno o algunos de los criterios de participación antes enunciados frente a los demás proponentes que concurran al procedimiento de selección que no sean empresas o emprendimientos de mujeres. </w:t>
      </w:r>
    </w:p>
    <w:p w14:paraId="1A20DBA7"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De manera que no se ponga en riesgo el cumplimiento adecuado del objeto contractual, con excepción de los procedimientos donde el menor precio ofrecido sea el único factor de evaluación, las Entidades también otorgarán un puntaje adicional de hasta el cero punto veinticinco por ciento (0.25%) del valor total de los puntos establecidos en los pliegos de condiciones o documentos equivalentes, a los proponentes que acrediten alguno de los supuestos del artículo 2.2.1.2.4.2.14 del presente Decreto. </w:t>
      </w:r>
    </w:p>
    <w:p w14:paraId="799750C9"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Las Entidades incluirán estos requisitos diferenciales y puntajes adicionales de acuerdo con los resultados del análisis del sector, desde la perspectiva del estudio de la oferta de las obras, bienes o servicios que requiere, sin perjuicio de los compromisos adquiridos por Colombia en los Acuerdos Comerciales vigentes. </w:t>
      </w:r>
    </w:p>
    <w:p w14:paraId="3D0314EC" w14:textId="77777777" w:rsidR="007C53DC" w:rsidRPr="00EB37F6" w:rsidRDefault="007C53DC" w:rsidP="00EB37F6">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Parágrafo 1. Tratándose de proponentes plurales, los criterios diferenciales y los puntajes adicionales solo se aplicarán si por lo menos uno de los integrantes acredita que es emprendimiento y empresa de mujeres bajo los criterios dispuestos en el artículo precedente y que tiene una participación igual o superior al diez por ciento (10%) en el consorcio o la unión temporal. </w:t>
      </w:r>
    </w:p>
    <w:p w14:paraId="3A467CC6" w14:textId="77777777" w:rsidR="007C53DC" w:rsidRDefault="007C53DC" w:rsidP="004F59ED">
      <w:pPr>
        <w:pStyle w:val="Textonotapie"/>
        <w:ind w:firstLine="709"/>
        <w:contextualSpacing/>
        <w:jc w:val="both"/>
        <w:rPr>
          <w:rFonts w:ascii="Verdana" w:hAnsi="Verdana" w:cs="Arial"/>
          <w:sz w:val="16"/>
          <w:szCs w:val="16"/>
        </w:rPr>
      </w:pPr>
      <w:r w:rsidRPr="00EB37F6">
        <w:rPr>
          <w:rFonts w:ascii="Verdana" w:hAnsi="Verdana" w:cs="Arial"/>
          <w:sz w:val="16"/>
          <w:szCs w:val="16"/>
        </w:rPr>
        <w:t xml:space="preserve">Parágrafo 2. Los incentivos contractuales para las empresas y emprendimientos de mujeres no excluyen la aplicación de los criterios diferenciales para </w:t>
      </w:r>
      <w:proofErr w:type="spellStart"/>
      <w:r w:rsidRPr="00EB37F6">
        <w:rPr>
          <w:rFonts w:ascii="Verdana" w:hAnsi="Verdana" w:cs="Arial"/>
          <w:sz w:val="16"/>
          <w:szCs w:val="16"/>
        </w:rPr>
        <w:t>Mipyme</w:t>
      </w:r>
      <w:proofErr w:type="spellEnd"/>
      <w:r w:rsidRPr="00EB37F6">
        <w:rPr>
          <w:rFonts w:ascii="Verdana" w:hAnsi="Verdana" w:cs="Arial"/>
          <w:sz w:val="16"/>
          <w:szCs w:val="16"/>
        </w:rPr>
        <w:t xml:space="preserve"> en el sistema de compras públicas”.  </w:t>
      </w:r>
    </w:p>
    <w:p w14:paraId="3D2D8601" w14:textId="77777777" w:rsidR="00CE312D" w:rsidRPr="00EB37F6" w:rsidRDefault="00CE312D" w:rsidP="00EB37F6">
      <w:pPr>
        <w:pStyle w:val="Textonotapie"/>
        <w:ind w:firstLine="709"/>
        <w:contextualSpacing/>
        <w:jc w:val="both"/>
        <w:rPr>
          <w:rFonts w:ascii="Verdana" w:hAnsi="Verdana" w:cs="Arial"/>
          <w:sz w:val="16"/>
          <w:szCs w:val="16"/>
        </w:rPr>
      </w:pPr>
    </w:p>
  </w:footnote>
  <w:footnote w:id="10">
    <w:p w14:paraId="167AB88C" w14:textId="77777777" w:rsidR="00A406A2" w:rsidRPr="000C3249" w:rsidRDefault="00A406A2" w:rsidP="004F59ED">
      <w:pPr>
        <w:pStyle w:val="Textonotapie"/>
        <w:ind w:firstLine="708"/>
        <w:contextualSpacing/>
        <w:jc w:val="both"/>
        <w:rPr>
          <w:rFonts w:ascii="Verdana" w:hAnsi="Verdana" w:cs="Arial"/>
          <w:sz w:val="16"/>
          <w:szCs w:val="16"/>
        </w:rPr>
      </w:pPr>
      <w:r w:rsidRPr="000C3249">
        <w:rPr>
          <w:rStyle w:val="Refdenotaalpie"/>
          <w:rFonts w:ascii="Verdana" w:hAnsi="Verdana" w:cs="Arial"/>
          <w:sz w:val="16"/>
          <w:szCs w:val="16"/>
        </w:rPr>
        <w:footnoteRef/>
      </w:r>
      <w:r w:rsidRPr="000C3249">
        <w:rPr>
          <w:rFonts w:ascii="Verdana" w:hAnsi="Verdana" w:cs="Arial"/>
          <w:sz w:val="16"/>
          <w:szCs w:val="16"/>
        </w:rPr>
        <w:t xml:space="preserve"> Ley 1450 de 2011. “Artículo 43. Definiciones de tamaño empresarial. El artículo 2° de la Ley 590 de 2000, quedará así: </w:t>
      </w:r>
    </w:p>
    <w:p w14:paraId="7D0680B6" w14:textId="77777777" w:rsidR="00A406A2" w:rsidRPr="000C3249" w:rsidRDefault="00A406A2" w:rsidP="004F59ED">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"Artículo 2°. Definiciones de tamaño empresarial. Para todos los efectos, se entiende por empresa, toda unidad de explotación económica, realizada por persona natural o jurídica, en actividades agropecuarias, industriales, comerciales o de servicios, en el área rural o urbana. Para la clasificación por tamaño empresarial, entiéndase micro, pequeña, mediana y gran empresa, se podrá utilizar uno o varios de los siguientes criterios: </w:t>
      </w:r>
    </w:p>
    <w:p w14:paraId="7D84CC9C" w14:textId="77777777" w:rsidR="00A406A2" w:rsidRPr="000C3249" w:rsidRDefault="00A406A2" w:rsidP="004F59ED">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1. Número de trabajadores totales. </w:t>
      </w:r>
    </w:p>
    <w:p w14:paraId="6AAA7EAC" w14:textId="77777777" w:rsidR="00A406A2" w:rsidRPr="000C3249" w:rsidRDefault="00A406A2" w:rsidP="004F59ED">
      <w:pPr>
        <w:pStyle w:val="Textonotapie"/>
        <w:contextualSpacing/>
        <w:jc w:val="both"/>
        <w:rPr>
          <w:rFonts w:ascii="Verdana" w:hAnsi="Verdana" w:cs="Arial"/>
          <w:sz w:val="16"/>
          <w:szCs w:val="16"/>
        </w:rPr>
      </w:pPr>
      <w:r w:rsidRPr="000C3249">
        <w:rPr>
          <w:rFonts w:ascii="Verdana" w:hAnsi="Verdana" w:cs="Arial"/>
          <w:sz w:val="16"/>
          <w:szCs w:val="16"/>
        </w:rPr>
        <w:t xml:space="preserve"> </w:t>
      </w:r>
      <w:r w:rsidRPr="000C3249">
        <w:rPr>
          <w:rFonts w:ascii="Verdana" w:hAnsi="Verdana" w:cs="Arial"/>
          <w:sz w:val="16"/>
          <w:szCs w:val="16"/>
        </w:rPr>
        <w:tab/>
        <w:t xml:space="preserve">2. Valor de ventas brutas anuales. </w:t>
      </w:r>
    </w:p>
    <w:p w14:paraId="29CA6C05" w14:textId="77777777" w:rsidR="00A406A2" w:rsidRPr="000C3249" w:rsidRDefault="00A406A2" w:rsidP="004F59ED">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3. Valor activos totales. </w:t>
      </w:r>
    </w:p>
    <w:p w14:paraId="559EC5FF" w14:textId="77777777" w:rsidR="00A406A2" w:rsidRPr="000C3249" w:rsidRDefault="00A406A2" w:rsidP="004F59ED">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Para efectos de los beneficios otorgados por el Gobierno nacional a las micro, pequeñas y medianas empresas el criterio determinante será el valor de ventas brutas anuales. </w:t>
      </w:r>
    </w:p>
    <w:p w14:paraId="471E9ABB" w14:textId="77777777" w:rsidR="00A406A2" w:rsidRPr="000C3249" w:rsidRDefault="00A406A2" w:rsidP="004F59ED">
      <w:pPr>
        <w:pStyle w:val="Textonotapie"/>
        <w:ind w:firstLine="708"/>
        <w:contextualSpacing/>
        <w:jc w:val="both"/>
        <w:rPr>
          <w:rFonts w:ascii="Verdana" w:hAnsi="Verdana" w:cs="Arial"/>
          <w:sz w:val="16"/>
          <w:szCs w:val="16"/>
        </w:rPr>
      </w:pPr>
      <w:r w:rsidRPr="000C3249">
        <w:rPr>
          <w:rFonts w:ascii="Verdana" w:hAnsi="Verdana" w:cs="Arial"/>
          <w:sz w:val="16"/>
          <w:szCs w:val="16"/>
        </w:rPr>
        <w:t xml:space="preserve">Parágrafo 1°. El Gobierno Nacional reglamentará los rangos que aplicarán para los tres criterios e incluirá especificidades sectoriales en los casos que considere necesario. </w:t>
      </w:r>
    </w:p>
    <w:p w14:paraId="7C22E2A1" w14:textId="19726191" w:rsidR="00A406A2" w:rsidRPr="000C3249" w:rsidRDefault="00A406A2" w:rsidP="004F59ED">
      <w:pPr>
        <w:pStyle w:val="Textonotapie"/>
        <w:ind w:firstLine="708"/>
        <w:contextualSpacing/>
        <w:jc w:val="both"/>
        <w:rPr>
          <w:rFonts w:ascii="Verdana" w:hAnsi="Verdana" w:cs="Arial"/>
          <w:sz w:val="16"/>
          <w:szCs w:val="16"/>
        </w:rPr>
      </w:pPr>
      <w:r w:rsidRPr="000C3249">
        <w:rPr>
          <w:rFonts w:ascii="Verdana" w:hAnsi="Verdana" w:cs="Arial"/>
          <w:sz w:val="16"/>
          <w:szCs w:val="16"/>
        </w:rPr>
        <w:t>Parágrafo 2°. Las definiciones contenidas en el artículo 2° de la Ley 590 de 2000 continuarán vigentes hasta tanto entren a regir las normas reglamentarias que profiera el Gobierno Nacional en desarrollo de lo previsto en el presente artículo”.</w:t>
      </w:r>
    </w:p>
    <w:p w14:paraId="615D2D80" w14:textId="77777777" w:rsidR="00A406A2" w:rsidRPr="000C3249" w:rsidRDefault="00A406A2" w:rsidP="004F59ED">
      <w:pPr>
        <w:pStyle w:val="Textonotapie"/>
        <w:ind w:firstLine="708"/>
        <w:contextualSpacing/>
        <w:jc w:val="both"/>
        <w:rPr>
          <w:rFonts w:ascii="Verdana" w:hAnsi="Verdana" w:cs="Arial"/>
          <w:sz w:val="16"/>
          <w:szCs w:val="16"/>
          <w:lang w:val="es-CO"/>
        </w:rPr>
      </w:pPr>
    </w:p>
  </w:footnote>
  <w:footnote w:id="11">
    <w:p w14:paraId="4EA780CF" w14:textId="1EA5C212" w:rsidR="00A406A2" w:rsidRPr="00E22D15" w:rsidRDefault="00A406A2" w:rsidP="004F59ED">
      <w:pPr>
        <w:pStyle w:val="Textonotapie"/>
        <w:ind w:firstLine="708"/>
        <w:contextualSpacing/>
        <w:jc w:val="both"/>
        <w:rPr>
          <w:rFonts w:ascii="Verdana" w:hAnsi="Verdana" w:cs="Arial"/>
          <w:sz w:val="16"/>
          <w:szCs w:val="16"/>
        </w:rPr>
      </w:pPr>
      <w:r w:rsidRPr="00E22D15">
        <w:rPr>
          <w:rStyle w:val="Refdenotaalpie"/>
          <w:rFonts w:ascii="Verdana" w:hAnsi="Verdana" w:cs="Arial"/>
          <w:sz w:val="16"/>
          <w:szCs w:val="16"/>
        </w:rPr>
        <w:footnoteRef/>
      </w:r>
      <w:r w:rsidRPr="00E22D15">
        <w:rPr>
          <w:rFonts w:ascii="Verdana" w:hAnsi="Verdana" w:cs="Arial"/>
          <w:sz w:val="16"/>
          <w:szCs w:val="16"/>
        </w:rPr>
        <w:t xml:space="preserve"> </w:t>
      </w:r>
      <w:r w:rsidR="00CE312D">
        <w:rPr>
          <w:rFonts w:ascii="Verdana" w:hAnsi="Verdana" w:cs="Arial"/>
          <w:sz w:val="16"/>
          <w:szCs w:val="16"/>
        </w:rPr>
        <w:t>Agencia Nacional de Contratación – Colombia Compra Eficiente</w:t>
      </w:r>
      <w:r w:rsidRPr="00E22D15">
        <w:rPr>
          <w:rFonts w:ascii="Verdana" w:hAnsi="Verdana" w:cs="Arial"/>
          <w:sz w:val="16"/>
          <w:szCs w:val="16"/>
        </w:rPr>
        <w:t xml:space="preserve">. Concepto 997 del 30 de diciembre de 2024. </w:t>
      </w:r>
    </w:p>
    <w:p w14:paraId="0B0561F7" w14:textId="77777777" w:rsidR="00A406A2" w:rsidRPr="00E22D15" w:rsidRDefault="00A406A2" w:rsidP="004F59ED">
      <w:pPr>
        <w:pStyle w:val="Textonotapie"/>
        <w:ind w:firstLine="708"/>
        <w:contextualSpacing/>
        <w:jc w:val="both"/>
        <w:rPr>
          <w:rFonts w:ascii="Verdana" w:hAnsi="Verdana" w:cs="Arial"/>
          <w:sz w:val="16"/>
          <w:szCs w:val="16"/>
          <w:lang w:val="es-CO"/>
        </w:rPr>
      </w:pPr>
    </w:p>
  </w:footnote>
  <w:footnote w:id="12">
    <w:p w14:paraId="01E7F09A" w14:textId="77777777" w:rsidR="00A406A2" w:rsidRPr="007C6CEE" w:rsidRDefault="00A406A2" w:rsidP="004F59ED">
      <w:pPr>
        <w:pStyle w:val="Textonotapie"/>
        <w:ind w:firstLine="708"/>
        <w:contextualSpacing/>
        <w:jc w:val="both"/>
        <w:rPr>
          <w:rFonts w:ascii="Verdana" w:hAnsi="Verdana" w:cs="Arial"/>
          <w:sz w:val="16"/>
          <w:szCs w:val="16"/>
          <w:lang w:val="es-CO"/>
        </w:rPr>
      </w:pPr>
      <w:r w:rsidRPr="007C6CEE">
        <w:rPr>
          <w:rStyle w:val="Refdenotaalpie"/>
          <w:rFonts w:ascii="Verdana" w:hAnsi="Verdana" w:cs="Arial"/>
          <w:sz w:val="16"/>
          <w:szCs w:val="16"/>
        </w:rPr>
        <w:footnoteRef/>
      </w:r>
      <w:r w:rsidRPr="007C6CEE">
        <w:rPr>
          <w:rFonts w:ascii="Verdana" w:hAnsi="Verdana" w:cs="Arial"/>
          <w:sz w:val="16"/>
          <w:szCs w:val="16"/>
        </w:rPr>
        <w:t xml:space="preserve"> “Artículo 23. De conformidad con lo establecido por los artículos 4° de la Ley 79 de 1988 y 6° de la Ley 454 de 1988, las cooperativas y demás entidades de la economía solidaria son empresas. En tal virtud, para los efectos de la presente ley, las entidades de economía solidaria serán clasificadas como </w:t>
      </w:r>
      <w:proofErr w:type="spellStart"/>
      <w:r w:rsidRPr="007C6CEE">
        <w:rPr>
          <w:rFonts w:ascii="Verdana" w:hAnsi="Verdana" w:cs="Arial"/>
          <w:sz w:val="16"/>
          <w:szCs w:val="16"/>
        </w:rPr>
        <w:t>Mipymes</w:t>
      </w:r>
      <w:proofErr w:type="spellEnd"/>
      <w:r w:rsidRPr="007C6CEE">
        <w:rPr>
          <w:rFonts w:ascii="Verdana" w:hAnsi="Verdana" w:cs="Arial"/>
          <w:sz w:val="16"/>
          <w:szCs w:val="16"/>
        </w:rPr>
        <w:t xml:space="preserve"> en los términos establecidos por el artículo 2° de la Ley 590 de 2000 y por el Decreto 957 de 2019 o las normas que los modifiquen, deroguen o adicionen, sin perjuicio de la normatividad específica aplicable a sus diferentes figuras jurídicas, ni del marco de competencias institucionales de Gobierno para su fomento, fortalecimiento, inspección, control y vigilancia”.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5FADE" w14:textId="77777777"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275F5F6" w14:textId="77777777" w:rsidR="00756841" w:rsidRDefault="00756841">
    <w:pPr>
      <w:pStyle w:val="Encabezado"/>
    </w:pPr>
  </w:p>
  <w:p w14:paraId="5269AAA5" w14:textId="77777777" w:rsidR="00DC39FC" w:rsidRDefault="00DC39FC" w:rsidP="004A305D">
    <w:pPr>
      <w:spacing w:after="0"/>
      <w:rPr>
        <w:rFonts w:ascii="Verdana" w:hAnsi="Verdana"/>
        <w:b/>
        <w:bCs/>
      </w:rPr>
    </w:pPr>
  </w:p>
  <w:p w14:paraId="3AC45256" w14:textId="77777777" w:rsidR="004A305D" w:rsidRPr="00DC39FC" w:rsidRDefault="004A305D" w:rsidP="004A305D">
    <w:pPr>
      <w:spacing w:after="0"/>
      <w:rPr>
        <w:rFonts w:ascii="Verdana" w:hAnsi="Verdana"/>
        <w:b/>
        <w:bCs/>
      </w:rPr>
    </w:pPr>
    <w:r w:rsidRPr="00DC39FC">
      <w:rPr>
        <w:rFonts w:ascii="Verdana" w:hAnsi="Verdana"/>
        <w:b/>
        <w:bCs/>
      </w:rPr>
      <w:t>FORMATO PQRSD</w:t>
    </w:r>
  </w:p>
  <w:p w14:paraId="18977148" w14:textId="77777777" w:rsidR="004A305D" w:rsidRPr="004A305D" w:rsidRDefault="004A305D" w:rsidP="00B01B1A">
    <w:pPr>
      <w:spacing w:after="0" w:line="120" w:lineRule="auto"/>
      <w:rPr>
        <w:rFonts w:ascii="Century Gothic" w:eastAsia="Geo" w:hAnsi="Century Gothic" w:cs="Geo"/>
        <w:sz w:val="16"/>
        <w:szCs w:val="16"/>
        <w:lang w:eastAsia="es-CO"/>
      </w:rPr>
    </w:pPr>
  </w:p>
  <w:p w14:paraId="04E187F0" w14:textId="77777777"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mc:AlternateContent>
      <mc:Choice Requires="v">
        <w:pict>
          <v:shapetype w14:anchorId="3BE0B43F"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n 1347323290" o:spid="_x0000_i1025" type="#_x0000_t75" style="width:14.4pt;height:14.4pt;visibility:visible;mso-wrap-style:square">
            <v:imagedata r:id="rId1" o:title=""/>
          </v:shape>
        </w:pict>
      </mc:Choice>
      <mc:Fallback>
        <w:drawing>
          <wp:inline distT="0" distB="0" distL="0" distR="0" wp14:anchorId="0AE1D5C7" wp14:editId="14D2DFE1">
            <wp:extent cx="182880" cy="182880"/>
            <wp:effectExtent l="0" t="0" r="0" b="0"/>
            <wp:docPr id="1347323290" name="Imagen 13473232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82880" cy="182880"/>
                    </a:xfrm>
                    <a:prstGeom prst="rect">
                      <a:avLst/>
                    </a:prstGeom>
                    <a:noFill/>
                    <a:ln>
                      <a:noFill/>
                    </a:ln>
                  </pic:spPr>
                </pic:pic>
              </a:graphicData>
            </a:graphic>
          </wp:inline>
        </w:drawing>
      </mc:Fallback>
    </mc:AlternateConten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4F783EC8"/>
    <w:lvl w:ilvl="0" w:tplc="018A45BA">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165C"/>
    <w:rsid w:val="000138A5"/>
    <w:rsid w:val="00016F78"/>
    <w:rsid w:val="0002086D"/>
    <w:rsid w:val="00030AE4"/>
    <w:rsid w:val="00046945"/>
    <w:rsid w:val="000531A2"/>
    <w:rsid w:val="00061B2A"/>
    <w:rsid w:val="00082362"/>
    <w:rsid w:val="000A683E"/>
    <w:rsid w:val="000A77F5"/>
    <w:rsid w:val="000B19B9"/>
    <w:rsid w:val="000C3249"/>
    <w:rsid w:val="000D0334"/>
    <w:rsid w:val="000E4121"/>
    <w:rsid w:val="000F00F5"/>
    <w:rsid w:val="000F06D8"/>
    <w:rsid w:val="000F6486"/>
    <w:rsid w:val="00125105"/>
    <w:rsid w:val="00127233"/>
    <w:rsid w:val="001511A0"/>
    <w:rsid w:val="001576BD"/>
    <w:rsid w:val="00165C39"/>
    <w:rsid w:val="00166D4F"/>
    <w:rsid w:val="00171AD9"/>
    <w:rsid w:val="00186A72"/>
    <w:rsid w:val="00193398"/>
    <w:rsid w:val="001B0734"/>
    <w:rsid w:val="001C6C2D"/>
    <w:rsid w:val="001E4177"/>
    <w:rsid w:val="001E522E"/>
    <w:rsid w:val="001F7DC6"/>
    <w:rsid w:val="002025A9"/>
    <w:rsid w:val="00203BF1"/>
    <w:rsid w:val="00206232"/>
    <w:rsid w:val="00213974"/>
    <w:rsid w:val="00236E8E"/>
    <w:rsid w:val="002421BB"/>
    <w:rsid w:val="002455C2"/>
    <w:rsid w:val="00253579"/>
    <w:rsid w:val="0025796E"/>
    <w:rsid w:val="002707A2"/>
    <w:rsid w:val="002834E3"/>
    <w:rsid w:val="00290447"/>
    <w:rsid w:val="0029396D"/>
    <w:rsid w:val="00293EC4"/>
    <w:rsid w:val="002951A0"/>
    <w:rsid w:val="002962BC"/>
    <w:rsid w:val="002A093D"/>
    <w:rsid w:val="002A0DD0"/>
    <w:rsid w:val="002A3E45"/>
    <w:rsid w:val="002A49AC"/>
    <w:rsid w:val="002A64FD"/>
    <w:rsid w:val="002C1E66"/>
    <w:rsid w:val="002C7A84"/>
    <w:rsid w:val="002D11DE"/>
    <w:rsid w:val="002D49D5"/>
    <w:rsid w:val="002E24D1"/>
    <w:rsid w:val="002E4FD9"/>
    <w:rsid w:val="0030703A"/>
    <w:rsid w:val="00322A85"/>
    <w:rsid w:val="00324168"/>
    <w:rsid w:val="00326905"/>
    <w:rsid w:val="00337231"/>
    <w:rsid w:val="003442FC"/>
    <w:rsid w:val="003448F4"/>
    <w:rsid w:val="00346316"/>
    <w:rsid w:val="003473F9"/>
    <w:rsid w:val="003505EE"/>
    <w:rsid w:val="00357B70"/>
    <w:rsid w:val="00357F20"/>
    <w:rsid w:val="00357FE4"/>
    <w:rsid w:val="00362CA6"/>
    <w:rsid w:val="00367669"/>
    <w:rsid w:val="00372D70"/>
    <w:rsid w:val="00374F5E"/>
    <w:rsid w:val="00377E3E"/>
    <w:rsid w:val="0039710A"/>
    <w:rsid w:val="003A5B87"/>
    <w:rsid w:val="003A779E"/>
    <w:rsid w:val="003D0F4D"/>
    <w:rsid w:val="003D245C"/>
    <w:rsid w:val="003D5B0D"/>
    <w:rsid w:val="003E0499"/>
    <w:rsid w:val="003F3941"/>
    <w:rsid w:val="00406575"/>
    <w:rsid w:val="00410002"/>
    <w:rsid w:val="00414C74"/>
    <w:rsid w:val="0042722E"/>
    <w:rsid w:val="0044528D"/>
    <w:rsid w:val="004617E0"/>
    <w:rsid w:val="00475123"/>
    <w:rsid w:val="004922AF"/>
    <w:rsid w:val="00493A3E"/>
    <w:rsid w:val="004A1847"/>
    <w:rsid w:val="004A305D"/>
    <w:rsid w:val="004A48EC"/>
    <w:rsid w:val="004A5B1E"/>
    <w:rsid w:val="004C59F7"/>
    <w:rsid w:val="004D3779"/>
    <w:rsid w:val="004D5C3D"/>
    <w:rsid w:val="004E3308"/>
    <w:rsid w:val="004E7B3B"/>
    <w:rsid w:val="004F21C4"/>
    <w:rsid w:val="004F59ED"/>
    <w:rsid w:val="004F685F"/>
    <w:rsid w:val="005566E8"/>
    <w:rsid w:val="00564F34"/>
    <w:rsid w:val="00574867"/>
    <w:rsid w:val="005862A0"/>
    <w:rsid w:val="00591460"/>
    <w:rsid w:val="005A10AB"/>
    <w:rsid w:val="005B3816"/>
    <w:rsid w:val="005C3777"/>
    <w:rsid w:val="005C5CDC"/>
    <w:rsid w:val="005D476C"/>
    <w:rsid w:val="005E3B84"/>
    <w:rsid w:val="006219F8"/>
    <w:rsid w:val="006510DA"/>
    <w:rsid w:val="00665A96"/>
    <w:rsid w:val="00665D70"/>
    <w:rsid w:val="00682588"/>
    <w:rsid w:val="006900D9"/>
    <w:rsid w:val="006A4508"/>
    <w:rsid w:val="006C3D52"/>
    <w:rsid w:val="006D2F0F"/>
    <w:rsid w:val="006F2077"/>
    <w:rsid w:val="00700149"/>
    <w:rsid w:val="007047CF"/>
    <w:rsid w:val="00706C16"/>
    <w:rsid w:val="00707466"/>
    <w:rsid w:val="0071194C"/>
    <w:rsid w:val="00735AA1"/>
    <w:rsid w:val="0073748C"/>
    <w:rsid w:val="007547DD"/>
    <w:rsid w:val="00756841"/>
    <w:rsid w:val="007624E4"/>
    <w:rsid w:val="007627FE"/>
    <w:rsid w:val="007649AB"/>
    <w:rsid w:val="00771D0C"/>
    <w:rsid w:val="007833AC"/>
    <w:rsid w:val="007841ED"/>
    <w:rsid w:val="007B25E4"/>
    <w:rsid w:val="007B268C"/>
    <w:rsid w:val="007B7171"/>
    <w:rsid w:val="007C0C0F"/>
    <w:rsid w:val="007C3DC2"/>
    <w:rsid w:val="007C46BE"/>
    <w:rsid w:val="007C53DC"/>
    <w:rsid w:val="007C6CEE"/>
    <w:rsid w:val="007D1051"/>
    <w:rsid w:val="007E5497"/>
    <w:rsid w:val="007F2BD7"/>
    <w:rsid w:val="00806F5F"/>
    <w:rsid w:val="00807569"/>
    <w:rsid w:val="00820278"/>
    <w:rsid w:val="00827EB9"/>
    <w:rsid w:val="0084159C"/>
    <w:rsid w:val="00855BA6"/>
    <w:rsid w:val="00855D1C"/>
    <w:rsid w:val="008563E4"/>
    <w:rsid w:val="00867F95"/>
    <w:rsid w:val="008843B6"/>
    <w:rsid w:val="00884A92"/>
    <w:rsid w:val="00890249"/>
    <w:rsid w:val="00891928"/>
    <w:rsid w:val="008A2E86"/>
    <w:rsid w:val="008A446D"/>
    <w:rsid w:val="008C3193"/>
    <w:rsid w:val="008C3B8B"/>
    <w:rsid w:val="008C7242"/>
    <w:rsid w:val="008D180B"/>
    <w:rsid w:val="008E6BDB"/>
    <w:rsid w:val="008F0EA7"/>
    <w:rsid w:val="00904047"/>
    <w:rsid w:val="00906BF9"/>
    <w:rsid w:val="00922E05"/>
    <w:rsid w:val="00923EEF"/>
    <w:rsid w:val="009352D4"/>
    <w:rsid w:val="009419F9"/>
    <w:rsid w:val="0095685E"/>
    <w:rsid w:val="00961B09"/>
    <w:rsid w:val="00965334"/>
    <w:rsid w:val="0096663D"/>
    <w:rsid w:val="0097093E"/>
    <w:rsid w:val="0097206B"/>
    <w:rsid w:val="00986AC5"/>
    <w:rsid w:val="00995CAD"/>
    <w:rsid w:val="009A0DFA"/>
    <w:rsid w:val="009B2D26"/>
    <w:rsid w:val="009B6CE6"/>
    <w:rsid w:val="009B7331"/>
    <w:rsid w:val="009C71FA"/>
    <w:rsid w:val="009C72E7"/>
    <w:rsid w:val="009D039F"/>
    <w:rsid w:val="009D3058"/>
    <w:rsid w:val="009E003E"/>
    <w:rsid w:val="009E03AF"/>
    <w:rsid w:val="009E1835"/>
    <w:rsid w:val="009F3A13"/>
    <w:rsid w:val="00A117FB"/>
    <w:rsid w:val="00A122D3"/>
    <w:rsid w:val="00A16CA7"/>
    <w:rsid w:val="00A17F13"/>
    <w:rsid w:val="00A20739"/>
    <w:rsid w:val="00A303E8"/>
    <w:rsid w:val="00A33C78"/>
    <w:rsid w:val="00A406A2"/>
    <w:rsid w:val="00A51074"/>
    <w:rsid w:val="00A52521"/>
    <w:rsid w:val="00A65F8B"/>
    <w:rsid w:val="00A77BE4"/>
    <w:rsid w:val="00A837BD"/>
    <w:rsid w:val="00A85AE9"/>
    <w:rsid w:val="00A94594"/>
    <w:rsid w:val="00AB0ADB"/>
    <w:rsid w:val="00AB4257"/>
    <w:rsid w:val="00AF75B5"/>
    <w:rsid w:val="00B019B7"/>
    <w:rsid w:val="00B01B1A"/>
    <w:rsid w:val="00B04E80"/>
    <w:rsid w:val="00B066A1"/>
    <w:rsid w:val="00B144F2"/>
    <w:rsid w:val="00B22F76"/>
    <w:rsid w:val="00B416B0"/>
    <w:rsid w:val="00B6498C"/>
    <w:rsid w:val="00B66319"/>
    <w:rsid w:val="00B72CD3"/>
    <w:rsid w:val="00B72FFF"/>
    <w:rsid w:val="00B93AC0"/>
    <w:rsid w:val="00B96CDF"/>
    <w:rsid w:val="00BC2A99"/>
    <w:rsid w:val="00BC3D36"/>
    <w:rsid w:val="00BC4E28"/>
    <w:rsid w:val="00BD034F"/>
    <w:rsid w:val="00BD511A"/>
    <w:rsid w:val="00BD7F72"/>
    <w:rsid w:val="00BE137A"/>
    <w:rsid w:val="00BE3826"/>
    <w:rsid w:val="00BF79C8"/>
    <w:rsid w:val="00C04FB3"/>
    <w:rsid w:val="00C123E3"/>
    <w:rsid w:val="00C223A0"/>
    <w:rsid w:val="00C330EB"/>
    <w:rsid w:val="00C41061"/>
    <w:rsid w:val="00C51BB1"/>
    <w:rsid w:val="00C64431"/>
    <w:rsid w:val="00C676D3"/>
    <w:rsid w:val="00C700D8"/>
    <w:rsid w:val="00C739C3"/>
    <w:rsid w:val="00C754BE"/>
    <w:rsid w:val="00C769DA"/>
    <w:rsid w:val="00C76B1C"/>
    <w:rsid w:val="00CB6357"/>
    <w:rsid w:val="00CC1B26"/>
    <w:rsid w:val="00CD095E"/>
    <w:rsid w:val="00CD48E7"/>
    <w:rsid w:val="00CE312D"/>
    <w:rsid w:val="00D02968"/>
    <w:rsid w:val="00D16252"/>
    <w:rsid w:val="00D31125"/>
    <w:rsid w:val="00D423A2"/>
    <w:rsid w:val="00D509B7"/>
    <w:rsid w:val="00D520D8"/>
    <w:rsid w:val="00D63AC2"/>
    <w:rsid w:val="00D6769D"/>
    <w:rsid w:val="00D7383B"/>
    <w:rsid w:val="00D76BF9"/>
    <w:rsid w:val="00D86366"/>
    <w:rsid w:val="00DA231B"/>
    <w:rsid w:val="00DA409D"/>
    <w:rsid w:val="00DC08B7"/>
    <w:rsid w:val="00DC39FC"/>
    <w:rsid w:val="00DF5254"/>
    <w:rsid w:val="00E16408"/>
    <w:rsid w:val="00E20894"/>
    <w:rsid w:val="00E22D15"/>
    <w:rsid w:val="00E245AB"/>
    <w:rsid w:val="00E2764C"/>
    <w:rsid w:val="00E27F2E"/>
    <w:rsid w:val="00E3297C"/>
    <w:rsid w:val="00E50AFE"/>
    <w:rsid w:val="00E65230"/>
    <w:rsid w:val="00E67771"/>
    <w:rsid w:val="00E75C92"/>
    <w:rsid w:val="00E7623F"/>
    <w:rsid w:val="00E771DC"/>
    <w:rsid w:val="00E8772A"/>
    <w:rsid w:val="00E90F6B"/>
    <w:rsid w:val="00E92C27"/>
    <w:rsid w:val="00EA0E3D"/>
    <w:rsid w:val="00EB37F6"/>
    <w:rsid w:val="00EC38A7"/>
    <w:rsid w:val="00EC394E"/>
    <w:rsid w:val="00EC5110"/>
    <w:rsid w:val="00ED7384"/>
    <w:rsid w:val="00EE1AA8"/>
    <w:rsid w:val="00EE372F"/>
    <w:rsid w:val="00F056C9"/>
    <w:rsid w:val="00F1131C"/>
    <w:rsid w:val="00F31EDC"/>
    <w:rsid w:val="00F41E99"/>
    <w:rsid w:val="00F42737"/>
    <w:rsid w:val="00F43A7A"/>
    <w:rsid w:val="00F462B3"/>
    <w:rsid w:val="00F55AEE"/>
    <w:rsid w:val="00F5664F"/>
    <w:rsid w:val="00F6435D"/>
    <w:rsid w:val="00F649DC"/>
    <w:rsid w:val="00F666C4"/>
    <w:rsid w:val="00F67885"/>
    <w:rsid w:val="00F76AFC"/>
    <w:rsid w:val="00F81743"/>
    <w:rsid w:val="00F83D08"/>
    <w:rsid w:val="00F90A5D"/>
    <w:rsid w:val="00F92301"/>
    <w:rsid w:val="00FA47C0"/>
    <w:rsid w:val="00FB5DD1"/>
    <w:rsid w:val="00FC02DF"/>
    <w:rsid w:val="00FC2B5D"/>
    <w:rsid w:val="00FC51D8"/>
    <w:rsid w:val="00FF1449"/>
    <w:rsid w:val="5BD3145A"/>
    <w:rsid w:val="60F29CF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uiPriority w:val="99"/>
    <w:rsid w:val="00A406A2"/>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A406A2"/>
    <w:rPr>
      <w:rFonts w:ascii="Geomanist Light" w:hAnsi="Geomanist Light"/>
      <w:lang w:val="es-ES"/>
    </w:rPr>
  </w:style>
  <w:style w:type="character" w:customStyle="1" w:styleId="NormalWebCar">
    <w:name w:val="Normal (Web) Car"/>
    <w:link w:val="NormalWeb"/>
    <w:uiPriority w:val="99"/>
    <w:rsid w:val="00A406A2"/>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8577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1373018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585727472">
      <w:bodyDiv w:val="1"/>
      <w:marLeft w:val="0"/>
      <w:marRight w:val="0"/>
      <w:marTop w:val="0"/>
      <w:marBottom w:val="0"/>
      <w:divBdr>
        <w:top w:val="none" w:sz="0" w:space="0" w:color="auto"/>
        <w:left w:val="none" w:sz="0" w:space="0" w:color="auto"/>
        <w:bottom w:val="none" w:sz="0" w:space="0" w:color="auto"/>
        <w:right w:val="none" w:sz="0" w:space="0" w:color="auto"/>
      </w:divBdr>
    </w:div>
    <w:div w:id="1645547451">
      <w:bodyDiv w:val="1"/>
      <w:marLeft w:val="0"/>
      <w:marRight w:val="0"/>
      <w:marTop w:val="0"/>
      <w:marBottom w:val="0"/>
      <w:divBdr>
        <w:top w:val="none" w:sz="0" w:space="0" w:color="auto"/>
        <w:left w:val="none" w:sz="0" w:space="0" w:color="auto"/>
        <w:bottom w:val="none" w:sz="0" w:space="0" w:color="auto"/>
        <w:right w:val="none" w:sz="0" w:space="0" w:color="auto"/>
      </w:divBdr>
    </w:div>
    <w:div w:id="1814784679">
      <w:bodyDiv w:val="1"/>
      <w:marLeft w:val="0"/>
      <w:marRight w:val="0"/>
      <w:marTop w:val="0"/>
      <w:marBottom w:val="0"/>
      <w:divBdr>
        <w:top w:val="none" w:sz="0" w:space="0" w:color="auto"/>
        <w:left w:val="none" w:sz="0" w:space="0" w:color="auto"/>
        <w:bottom w:val="none" w:sz="0" w:space="0" w:color="auto"/>
        <w:right w:val="none" w:sz="0" w:space="0" w:color="auto"/>
      </w:divBdr>
    </w:div>
    <w:div w:id="2101289024">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colombiacompra.gov.co/sala-de-prensa/boletin-digital" TargetMode="External"/><Relationship Id="rId18"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 TargetMode="External"/><Relationship Id="rId17" Type="http://schemas.openxmlformats.org/officeDocument/2006/relationships/image" Target="media/image3.png"/><Relationship Id="rId2" Type="http://schemas.openxmlformats.org/officeDocument/2006/relationships/customXml" Target="../customXml/item2.xml"/><Relationship Id="rId16" Type="http://schemas.openxmlformats.org/officeDocument/2006/relationships/hyperlink" Target="https://nam02.safelinks.protection.outlook.com/?url=https%3A%2F%2Fwww.colombiacompra.gov.co%2Fmanuales-guias-y-pliegos-tipo%2Fmanuales-y-guias%2Fguia-de-contratacion-publica-sostenible-y-socialmente&amp;data=05%7C02%7Cesperanza.contreras%40colombiacompra.gov.co%7Ceb0fd05604104aa4d3bc08dd4c4ad35e%7C7b09041e245149d08cb179d5e3d8c1be%7C0%7C0%7C638750606446533879%7CUnknown%7CTWFpbGZsb3d8eyJFbXB0eU1hcGkiOnRydWUsIlYiOiIwLjAuMDAwMCIsIlAiOiJXaW4zMiIsIkFOIjoiTWFpbCIsIldUIjoyfQ%3D%3D%7C0%7C%7C%7C&amp;sdata=L0pIxKODuvqdJdlvvPzHiozW8YtzgU8R4%2F%2Btbs%2BwOF4%3D&amp;reserved=0"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rubendgomezd@gmail.com" TargetMode="External"/><Relationship Id="rId5" Type="http://schemas.openxmlformats.org/officeDocument/2006/relationships/numbering" Target="numbering.xml"/><Relationship Id="rId15" Type="http://schemas.openxmlformats.org/officeDocument/2006/relationships/hyperlink" Target="https://nam02.safelinks.protection.outlook.com/?url=https%3A%2F%2Fwww.colombiacompra.gov.co%2Fciudadanos%2Fcalendario&amp;data=05%7C02%7Cesperanza.contreras%40colombiacompra.gov.co%7Ceb0fd05604104aa4d3bc08dd4c4ad35e%7C7b09041e245149d08cb179d5e3d8c1be%7C0%7C0%7C638750606446524224%7CUnknown%7CTWFpbGZsb3d8eyJFbXB0eU1hcGkiOnRydWUsIlYiOiIwLjAuMDAwMCIsIlAiOiJXaW4zMiIsIkFOIjoiTWFpbCIsIldUIjoyfQ%3D%3D%7C0%7C%7C%7C&amp;sdata=6UggDTQVaVjwhMf9bnbUyElTuUjis%2BHKv2KOgauEvx4%3D&amp;reserved=0" TargetMode="External"/><Relationship Id="rId10" Type="http://schemas.openxmlformats.org/officeDocument/2006/relationships/endnotes" Target="endnotes.xml"/><Relationship Id="rId19" Type="http://schemas.openxmlformats.org/officeDocument/2006/relationships/footer" Target="foot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 TargetMode="External"/></Relationships>
</file>

<file path=word/_rels/footnotes.xml.rels><?xml version="1.0" encoding="UTF-8" standalone="yes"?>
<Relationships xmlns="http://schemas.openxmlformats.org/package/2006/relationships"><Relationship Id="rId2" Type="http://schemas.openxmlformats.org/officeDocument/2006/relationships/hyperlink" Target="https://www.colombiacompra.gov.co/content/08-modificacion-los-documentos-tipo-para-los-procesos-de-obra-publica-de-infraestructura-de" TargetMode="External"/><Relationship Id="rId1" Type="http://schemas.openxmlformats.org/officeDocument/2006/relationships/hyperlink" Target="https://bibliotecadigital.ccb.org.co/bitstream/handle/11520/8346/el%20abc%20de%20esales%202013%20completo.pdf?sequence=1&amp;isAllowed=y"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2" Type="http://schemas.openxmlformats.org/officeDocument/2006/relationships/image" Target="media/image2.gif"/><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b531b13d-89bf-4629-be1e-22fdf3dd34d4"/>
    <ds:schemaRef ds:uri="8ae15d26-076e-464e-81a7-6f76a0fb3917"/>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56D8314-1E90-4B80-A1B1-A00C2511A951}"/>
</file>

<file path=customXml/itemProps4.xml><?xml version="1.0" encoding="utf-8"?>
<ds:datastoreItem xmlns:ds="http://schemas.openxmlformats.org/officeDocument/2006/customXml" ds:itemID="{76527EDA-6F2F-4415-9CE8-BDFB1882D1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26</Pages>
  <Words>8917</Words>
  <Characters>49046</Characters>
  <Application>Microsoft Office Word</Application>
  <DocSecurity>0</DocSecurity>
  <Lines>408</Lines>
  <Paragraphs>115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57848</CharactersWithSpaces>
  <SharedDoc>false</SharedDoc>
  <HLinks>
    <vt:vector size="48" baseType="variant">
      <vt:variant>
        <vt:i4>2228259</vt:i4>
      </vt:variant>
      <vt:variant>
        <vt:i4>15</vt:i4>
      </vt:variant>
      <vt:variant>
        <vt:i4>0</vt:i4>
      </vt:variant>
      <vt:variant>
        <vt:i4>5</vt:i4>
      </vt:variant>
      <vt:variant>
        <vt:lpwstr>https://nam02.safelinks.protection.outlook.com/?url=https%3A%2F%2Fwww.colombiacompra.gov.co%2Fmanuales-guias-y-pliegos-tipo%2Fmanuales-y-guias%2Fguia-de-contratacion-publica-sostenible-y-socialmente&amp;data=05%7C02%7Cesperanza.contreras%40colombiacompra.gov.co%7Ceb0fd05604104aa4d3bc08dd4c4ad35e%7C7b09041e245149d08cb179d5e3d8c1be%7C0%7C0%7C638750606446533879%7CUnknown%7CTWFpbGZsb3d8eyJFbXB0eU1hcGkiOnRydWUsIlYiOiIwLjAuMDAwMCIsIlAiOiJXaW4zMiIsIkFOIjoiTWFpbCIsIldUIjoyfQ%3D%3D%7C0%7C%7C%7C&amp;sdata=L0pIxKODuvqdJdlvvPzHiozW8YtzgU8R4%2F%2Btbs%2BwOF4%3D&amp;reserved=0</vt:lpwstr>
      </vt:variant>
      <vt:variant>
        <vt:lpwstr/>
      </vt:variant>
      <vt:variant>
        <vt:i4>7012393</vt:i4>
      </vt:variant>
      <vt:variant>
        <vt:i4>12</vt:i4>
      </vt:variant>
      <vt:variant>
        <vt:i4>0</vt:i4>
      </vt:variant>
      <vt:variant>
        <vt:i4>5</vt:i4>
      </vt:variant>
      <vt:variant>
        <vt:lpwstr>https://nam02.safelinks.protection.outlook.com/?url=https%3A%2F%2Fwww.colombiacompra.gov.co%2Fciudadanos%2Fcalendario&amp;data=05%7C02%7Cesperanza.contreras%40colombiacompra.gov.co%7Ceb0fd05604104aa4d3bc08dd4c4ad35e%7C7b09041e245149d08cb179d5e3d8c1be%7C0%7C0%7C638750606446524224%7CUnknown%7CTWFpbGZsb3d8eyJFbXB0eU1hcGkiOnRydWUsIlYiOiIwLjAuMDAwMCIsIlAiOiJXaW4zMiIsIkFOIjoiTWFpbCIsIldUIjoyfQ%3D%3D%7C0%7C%7C%7C&amp;sdata=6UggDTQVaVjwhMf9bnbUyElTuUjis%2BHKv2KOgauEvx4%3D&amp;reserved=0</vt:lpwstr>
      </vt:variant>
      <vt:variant>
        <vt:lpwstr/>
      </vt:variant>
      <vt:variant>
        <vt:i4>7012465</vt:i4>
      </vt:variant>
      <vt:variant>
        <vt:i4>9</vt:i4>
      </vt:variant>
      <vt:variant>
        <vt:i4>0</vt:i4>
      </vt:variant>
      <vt:variant>
        <vt:i4>5</vt:i4>
      </vt:variant>
      <vt:variant>
        <vt:lpwstr>https://nam02.safelinks.protection.outlook.com/?url=https%3A%2F%2Fwww.colombiacompra.gov.co%2Fmanuales-guias-y-pliegos-tipo%2Fmanuales-y-guias%2Fcartilla-para-incentivar-y-fortalecer-el-acceso-las&amp;data=05%7C02%7Cesperanza.contreras%40colombiacompra.gov.co%7Ceb0fd05604104aa4d3bc08dd4c4ad35e%7C7b09041e245149d08cb179d5e3d8c1be%7C0%7C0%7C638750606446508016%7CUnknown%7CTWFpbGZsb3d8eyJFbXB0eU1hcGkiOnRydWUsIlYiOiIwLjAuMDAwMCIsIlAiOiJXaW4zMiIsIkFOIjoiTWFpbCIsIldUIjoyfQ%3D%3D%7C0%7C%7C%7C&amp;sdata=w5yEy%2F7g7%2F%2FIXj5TgaBe1Ucg3Eiuadk9fm7CybX%2F5Gw%3D&amp;reserved=0</vt:lpwstr>
      </vt:variant>
      <vt:variant>
        <vt:lpwstr/>
      </vt:variant>
      <vt:variant>
        <vt:i4>5439494</vt:i4>
      </vt:variant>
      <vt:variant>
        <vt:i4>6</vt:i4>
      </vt:variant>
      <vt:variant>
        <vt:i4>0</vt:i4>
      </vt:variant>
      <vt:variant>
        <vt:i4>5</vt:i4>
      </vt:variant>
      <vt:variant>
        <vt:lpwstr>https://www.colombiacompra.gov.co/sala-de-prensa/boletin-digital</vt:lpwstr>
      </vt:variant>
      <vt:variant>
        <vt:lpwstr/>
      </vt:variant>
      <vt:variant>
        <vt:i4>3866680</vt:i4>
      </vt:variant>
      <vt:variant>
        <vt:i4>3</vt:i4>
      </vt:variant>
      <vt:variant>
        <vt:i4>0</vt:i4>
      </vt:variant>
      <vt:variant>
        <vt:i4>5</vt:i4>
      </vt:variant>
      <vt:variant>
        <vt:lpwstr>https://nam02.safelinks.protection.outlook.com/?url=https%3A%2F%2Frelatoria.colombiacompra.gov.co%2F&amp;data=05%7C02%7Cjose.garcia%40colombiacompra.gov.co%7C5aad36a736844ec87b2108dcc1fa4639%7C7b09041e245149d08cb179d5e3d8c1be%7C0%7C0%7C638598527919569564%7CUnknown%7CTWFpbGZsb3d8eyJWIjoiMC4wLjAwMDAiLCJQIjoiV2luMzIiLCJBTiI6Ik1haWwiLCJXVCI6Mn0%3D%7C0%7C%7C%7C&amp;sdata=dxd5A4gL5eWAFf8ZLcaVWYdH0y65hi6R6J0wtaeazGQ%3D&amp;reserved=0</vt:lpwstr>
      </vt:variant>
      <vt:variant>
        <vt:lpwstr/>
      </vt:variant>
      <vt:variant>
        <vt:i4>6881369</vt:i4>
      </vt:variant>
      <vt:variant>
        <vt:i4>0</vt:i4>
      </vt:variant>
      <vt:variant>
        <vt:i4>0</vt:i4>
      </vt:variant>
      <vt:variant>
        <vt:i4>5</vt:i4>
      </vt:variant>
      <vt:variant>
        <vt:lpwstr>mailto:rubendgomezd@gmail.com</vt:lpwstr>
      </vt:variant>
      <vt:variant>
        <vt:lpwstr/>
      </vt:variant>
      <vt:variant>
        <vt:i4>524374</vt:i4>
      </vt:variant>
      <vt:variant>
        <vt:i4>3</vt:i4>
      </vt:variant>
      <vt:variant>
        <vt:i4>0</vt:i4>
      </vt:variant>
      <vt:variant>
        <vt:i4>5</vt:i4>
      </vt:variant>
      <vt:variant>
        <vt:lpwstr>https://www.colombiacompra.gov.co/content/08-modificacion-los-documentos-tipo-para-los-procesos-de-obra-publica-de-infraestructura-de</vt:lpwstr>
      </vt:variant>
      <vt:variant>
        <vt:lpwstr/>
      </vt:variant>
      <vt:variant>
        <vt:i4>3080288</vt:i4>
      </vt:variant>
      <vt:variant>
        <vt:i4>0</vt:i4>
      </vt:variant>
      <vt:variant>
        <vt:i4>0</vt:i4>
      </vt:variant>
      <vt:variant>
        <vt:i4>5</vt:i4>
      </vt:variant>
      <vt:variant>
        <vt:lpwstr>https://bibliotecadigital.ccb.org.co/bitstream/handle/11520/8346/el abc de esales 2013 completo.pdf?sequence=1&amp;isAllowed=y</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Esperanza Contreras Pedreros</cp:lastModifiedBy>
  <cp:revision>2</cp:revision>
  <cp:lastPrinted>2023-01-10T21:18:00Z</cp:lastPrinted>
  <dcterms:created xsi:type="dcterms:W3CDTF">2025-03-13T00:18:00Z</dcterms:created>
  <dcterms:modified xsi:type="dcterms:W3CDTF">2025-03-13T00:18:00Z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