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2F0E2E" w14:textId="77777777" w:rsidR="005C2162" w:rsidRPr="005205E5" w:rsidRDefault="005C2162" w:rsidP="005C2162">
      <w:pPr>
        <w:spacing w:after="0" w:line="240" w:lineRule="auto"/>
        <w:rPr>
          <w:rFonts w:ascii="Verdana" w:eastAsia="Calibri" w:hAnsi="Verdana" w:cs="Arial"/>
          <w:b/>
          <w:bCs/>
          <w:color w:val="000000" w:themeColor="text1"/>
          <w:lang w:val="es-ES" w:eastAsia="es-ES"/>
        </w:rPr>
      </w:pPr>
      <w:bookmarkStart w:id="0" w:name="_Hlk143780582"/>
      <w:r w:rsidRPr="00812006">
        <w:rPr>
          <w:rFonts w:ascii="Verdana" w:eastAsia="Calibri" w:hAnsi="Verdana" w:cs="Arial"/>
          <w:b/>
          <w:bCs/>
          <w:color w:val="000000" w:themeColor="text1"/>
          <w:lang w:val="es-ES" w:eastAsia="es-ES"/>
        </w:rPr>
        <w:t>PRINCIPIO DE PUBLICIDAD – Fundamento Normativo –</w:t>
      </w:r>
      <w:r>
        <w:rPr>
          <w:rFonts w:ascii="Verdana" w:eastAsia="Calibri" w:hAnsi="Verdana" w:cs="Arial"/>
          <w:b/>
          <w:bCs/>
          <w:color w:val="000000" w:themeColor="text1"/>
          <w:lang w:val="es-ES" w:eastAsia="es-ES"/>
        </w:rPr>
        <w:t xml:space="preserve"> </w:t>
      </w:r>
      <w:r w:rsidRPr="00812006">
        <w:rPr>
          <w:rFonts w:ascii="Verdana" w:eastAsia="Calibri" w:hAnsi="Verdana" w:cs="Arial"/>
          <w:b/>
          <w:bCs/>
          <w:color w:val="000000" w:themeColor="text1"/>
          <w:lang w:val="es-ES" w:eastAsia="es-ES"/>
        </w:rPr>
        <w:t xml:space="preserve">Información Contractual </w:t>
      </w:r>
    </w:p>
    <w:p w14:paraId="303FCB56" w14:textId="77777777" w:rsidR="005C2162" w:rsidRPr="00812006" w:rsidRDefault="005C2162" w:rsidP="005C2162">
      <w:pPr>
        <w:spacing w:before="120" w:after="0" w:line="240" w:lineRule="auto"/>
        <w:jc w:val="both"/>
        <w:rPr>
          <w:rFonts w:ascii="Verdana" w:eastAsia="Aptos" w:hAnsi="Verdana" w:cs="Times New Roman"/>
          <w:sz w:val="20"/>
          <w:szCs w:val="20"/>
        </w:rPr>
      </w:pPr>
      <w:r w:rsidRPr="001404CC">
        <w:rPr>
          <w:rFonts w:ascii="Verdana" w:eastAsia="Aptos" w:hAnsi="Verdana" w:cs="Times New Roman"/>
          <w:sz w:val="20"/>
          <w:szCs w:val="20"/>
        </w:rPr>
        <w:t>El principio de publicidad impone a las autoridades administrativas el deber de dar a conocer sus actos, contratos y decisiones para que se divulguen y eventualmente se controlen</w:t>
      </w:r>
      <w:r w:rsidRPr="00812006">
        <w:rPr>
          <w:rFonts w:ascii="Verdana" w:eastAsia="Aptos" w:hAnsi="Verdana" w:cs="Times New Roman"/>
          <w:sz w:val="20"/>
          <w:szCs w:val="20"/>
        </w:rPr>
        <w:t xml:space="preserve"> […] el literal e) del artículo 9 de la Ley 1712 de 2014 establece que todas las entidades públicas deben publicar la información relativa a su contratación. Además, el literal g) del artículo 11 señala que las Entidades deben garantizar la publicidad de “sus procedimientos, lineamientos, políticas en materia de adquisiciones y compras, así como todos los datos de adjudicación y ejecución de contratos, incluidos concursos y licitaciones”. </w:t>
      </w:r>
    </w:p>
    <w:p w14:paraId="1A6866CE" w14:textId="77777777" w:rsidR="005C2162" w:rsidRPr="00812006" w:rsidRDefault="005C2162" w:rsidP="005C2162">
      <w:pPr>
        <w:spacing w:line="240" w:lineRule="auto"/>
        <w:jc w:val="both"/>
        <w:rPr>
          <w:rFonts w:ascii="Verdana" w:eastAsia="Aptos" w:hAnsi="Verdana" w:cs="Times New Roman"/>
          <w:sz w:val="20"/>
          <w:szCs w:val="20"/>
        </w:rPr>
      </w:pPr>
      <w:r w:rsidRPr="00812006">
        <w:rPr>
          <w:rFonts w:ascii="Verdana" w:eastAsia="Aptos" w:hAnsi="Verdana" w:cs="Times New Roman"/>
          <w:sz w:val="20"/>
          <w:szCs w:val="20"/>
        </w:rPr>
        <w:t>Esta obligación fue desarrollada expresamente en el Decreto Único Reglamentario 1082 de 201</w:t>
      </w:r>
      <w:r>
        <w:rPr>
          <w:rFonts w:ascii="Verdana" w:eastAsia="Aptos" w:hAnsi="Verdana" w:cs="Times New Roman"/>
          <w:sz w:val="20"/>
          <w:szCs w:val="20"/>
        </w:rPr>
        <w:t>5</w:t>
      </w:r>
      <w:r w:rsidRPr="00812006">
        <w:rPr>
          <w:rFonts w:ascii="Verdana" w:eastAsia="Aptos" w:hAnsi="Verdana" w:cs="Times New Roman"/>
          <w:sz w:val="20"/>
          <w:szCs w:val="20"/>
        </w:rPr>
        <w:t>, el cual dispuso que la publicación de la información contractual de los sujetos obligados, que contratan con cargo a recursos públicos, debe hacerse en el SECOP. El artículo 2.2.1.1.1.7.1 del Decreto establece que las Entidades Estatales tienen la obligación de publicar “[…] los Documentos del Proceso y los actos administrativos del Proceso de Contratación, dentro de los tres (3) días siguientes a su expedición […]”. A su vez, la expresión Documentos del Proceso está definida en el artículo 2.2.1.1.1.3.1.,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323CA808" w14:textId="77777777" w:rsidR="005C2162" w:rsidRDefault="005C2162" w:rsidP="005C2162">
      <w:pPr>
        <w:spacing w:after="0" w:line="276" w:lineRule="auto"/>
        <w:jc w:val="both"/>
        <w:rPr>
          <w:rFonts w:ascii="Verdana" w:eastAsia="Calibri" w:hAnsi="Verdana" w:cs="Arial"/>
          <w:b/>
          <w:bCs/>
          <w:color w:val="7030A0"/>
          <w:lang w:val="es-ES" w:eastAsia="es-ES"/>
        </w:rPr>
      </w:pPr>
    </w:p>
    <w:p w14:paraId="5C07016A" w14:textId="77777777" w:rsidR="005C2162" w:rsidRPr="005205E5" w:rsidRDefault="005C2162" w:rsidP="005C2162">
      <w:pPr>
        <w:spacing w:after="0" w:line="276" w:lineRule="auto"/>
        <w:jc w:val="both"/>
        <w:rPr>
          <w:rFonts w:ascii="Verdana" w:eastAsia="Calibri" w:hAnsi="Verdana" w:cs="Arial"/>
          <w:b/>
          <w:bCs/>
          <w:color w:val="000000" w:themeColor="text1"/>
        </w:rPr>
      </w:pPr>
      <w:r w:rsidRPr="005205E5">
        <w:rPr>
          <w:rFonts w:ascii="Verdana" w:eastAsia="Calibri" w:hAnsi="Verdana" w:cs="Arial"/>
          <w:b/>
          <w:bCs/>
          <w:color w:val="000000" w:themeColor="text1"/>
          <w:lang w:val="es-ES" w:eastAsia="es-ES"/>
        </w:rPr>
        <w:t xml:space="preserve">INFORME DE EVALUCIÓN – Publicidad – Informe </w:t>
      </w:r>
      <w:r>
        <w:rPr>
          <w:rFonts w:ascii="Verdana" w:eastAsia="Calibri" w:hAnsi="Verdana" w:cs="Arial"/>
          <w:b/>
          <w:bCs/>
          <w:color w:val="000000" w:themeColor="text1"/>
          <w:lang w:val="es-ES" w:eastAsia="es-ES"/>
        </w:rPr>
        <w:t>P</w:t>
      </w:r>
      <w:r w:rsidRPr="005205E5">
        <w:rPr>
          <w:rFonts w:ascii="Verdana" w:eastAsia="Calibri" w:hAnsi="Verdana" w:cs="Arial"/>
          <w:b/>
          <w:bCs/>
          <w:color w:val="000000" w:themeColor="text1"/>
          <w:lang w:val="es-ES" w:eastAsia="es-ES"/>
        </w:rPr>
        <w:t xml:space="preserve">reliminar y </w:t>
      </w:r>
      <w:r>
        <w:rPr>
          <w:rFonts w:ascii="Verdana" w:eastAsia="Calibri" w:hAnsi="Verdana" w:cs="Arial"/>
          <w:b/>
          <w:bCs/>
          <w:color w:val="000000" w:themeColor="text1"/>
          <w:lang w:val="es-ES" w:eastAsia="es-ES"/>
        </w:rPr>
        <w:t>D</w:t>
      </w:r>
      <w:r w:rsidRPr="005205E5">
        <w:rPr>
          <w:rFonts w:ascii="Verdana" w:eastAsia="Calibri" w:hAnsi="Verdana" w:cs="Arial"/>
          <w:b/>
          <w:bCs/>
          <w:color w:val="000000" w:themeColor="text1"/>
          <w:lang w:val="es-ES" w:eastAsia="es-ES"/>
        </w:rPr>
        <w:t>efinitivo</w:t>
      </w:r>
    </w:p>
    <w:p w14:paraId="13CE166D" w14:textId="77777777" w:rsidR="005C2162" w:rsidRPr="00692D6E" w:rsidRDefault="005C2162" w:rsidP="005C2162">
      <w:pPr>
        <w:tabs>
          <w:tab w:val="left" w:pos="709"/>
        </w:tabs>
        <w:spacing w:before="120" w:after="120" w:line="240" w:lineRule="auto"/>
        <w:jc w:val="both"/>
        <w:rPr>
          <w:rFonts w:ascii="Verdana" w:eastAsia="Aptos" w:hAnsi="Verdana" w:cs="Times New Roman"/>
          <w:sz w:val="20"/>
          <w:szCs w:val="20"/>
        </w:rPr>
      </w:pPr>
      <w:r w:rsidRPr="00692D6E">
        <w:rPr>
          <w:rFonts w:ascii="Verdana" w:eastAsia="Calibri" w:hAnsi="Verdana" w:cs="Arial"/>
          <w:sz w:val="20"/>
          <w:szCs w:val="20"/>
        </w:rPr>
        <w:t>[E]l ordenamiento jurídico señala la obligación expresa de publicar el “informe final de evaluación” en los procesos de licitación de obra pública. Esto no ocurre con respecto a las demás modalidades de selección, frente a las cuales no se incluye la obligación de realizar la evaluación mediante la elaboración de un informe preliminar y uno definitivo. A pesar de lo anterior, es claro que en virtud del principio de publicidad y de selección objetiva existe un deber en cabeza de las Entidades Estatales de publicar toda la información relativa a la etapa de selección, con lo cual resulta obligatorio que publiquen todos aquellos documentos que permitan a los interesados conocer</w:t>
      </w:r>
      <w:r w:rsidRPr="00B85CB9">
        <w:rPr>
          <w:rFonts w:ascii="Verdana" w:eastAsia="Calibri" w:hAnsi="Verdana" w:cs="Arial"/>
          <w:sz w:val="20"/>
          <w:szCs w:val="20"/>
        </w:rPr>
        <w:t>, por medios adecuados y de manera oportuna, el resultado definitivo de la evaluación</w:t>
      </w:r>
      <w:r w:rsidRPr="00692D6E">
        <w:rPr>
          <w:rFonts w:ascii="Verdana" w:eastAsia="Calibri" w:hAnsi="Verdana" w:cs="Arial"/>
          <w:sz w:val="20"/>
          <w:szCs w:val="20"/>
        </w:rPr>
        <w:t xml:space="preserve">. </w:t>
      </w:r>
      <w:r w:rsidRPr="00B85CB9">
        <w:rPr>
          <w:rFonts w:ascii="Verdana" w:eastAsia="Calibri" w:hAnsi="Verdana" w:cs="Arial"/>
          <w:sz w:val="20"/>
          <w:szCs w:val="20"/>
        </w:rPr>
        <w:t>Con respecto a la forma en la cual deberán cumplir con esta obligación, las Entidades cuentan con discrecionalidad y autonomía para determinar</w:t>
      </w:r>
      <w:r w:rsidRPr="00692D6E">
        <w:rPr>
          <w:rFonts w:ascii="Verdana" w:eastAsia="Calibri" w:hAnsi="Verdana" w:cs="Arial"/>
          <w:sz w:val="20"/>
          <w:szCs w:val="20"/>
        </w:rPr>
        <w:t xml:space="preserve"> los mecanismos que resulten idóneos</w:t>
      </w:r>
      <w:r w:rsidRPr="00B85CB9">
        <w:rPr>
          <w:rFonts w:ascii="Verdana" w:eastAsia="Calibri" w:hAnsi="Verdana" w:cs="Arial"/>
          <w:sz w:val="20"/>
          <w:szCs w:val="20"/>
        </w:rPr>
        <w:t xml:space="preserve">, siempre que cumplan con lo </w:t>
      </w:r>
      <w:r w:rsidRPr="00692D6E">
        <w:rPr>
          <w:rFonts w:ascii="Verdana" w:eastAsia="Calibri" w:hAnsi="Verdana" w:cs="Arial"/>
          <w:sz w:val="20"/>
          <w:szCs w:val="20"/>
        </w:rPr>
        <w:t xml:space="preserve">ya </w:t>
      </w:r>
      <w:r w:rsidRPr="00B85CB9">
        <w:rPr>
          <w:rFonts w:ascii="Verdana" w:eastAsia="Calibri" w:hAnsi="Verdana" w:cs="Arial"/>
          <w:sz w:val="20"/>
          <w:szCs w:val="20"/>
        </w:rPr>
        <w:t>establecido en el ordenamiento jurídico.</w:t>
      </w:r>
    </w:p>
    <w:p w14:paraId="62170531" w14:textId="77777777" w:rsidR="005C2162" w:rsidRDefault="005C2162" w:rsidP="00E245AB">
      <w:pPr>
        <w:spacing w:after="0"/>
        <w:rPr>
          <w:rFonts w:ascii="Verdana" w:hAnsi="Verdana"/>
        </w:rPr>
      </w:pPr>
    </w:p>
    <w:p w14:paraId="0229CD3E" w14:textId="77777777" w:rsidR="005C2162" w:rsidRDefault="005C2162" w:rsidP="00E245AB">
      <w:pPr>
        <w:spacing w:after="0"/>
        <w:rPr>
          <w:rFonts w:ascii="Verdana" w:hAnsi="Verdana"/>
        </w:rPr>
      </w:pPr>
    </w:p>
    <w:p w14:paraId="35A466CD" w14:textId="77777777" w:rsidR="005C2162" w:rsidRDefault="005C2162" w:rsidP="00E245AB">
      <w:pPr>
        <w:spacing w:after="0"/>
        <w:rPr>
          <w:rFonts w:ascii="Verdana" w:hAnsi="Verdana"/>
        </w:rPr>
      </w:pPr>
    </w:p>
    <w:p w14:paraId="04E1BDF1" w14:textId="77777777" w:rsidR="005C2162" w:rsidRDefault="005C2162" w:rsidP="00E245AB">
      <w:pPr>
        <w:spacing w:after="0"/>
        <w:rPr>
          <w:rFonts w:ascii="Verdana" w:hAnsi="Verdana"/>
        </w:rPr>
      </w:pPr>
    </w:p>
    <w:p w14:paraId="3CBB6306" w14:textId="77777777" w:rsidR="005C2162" w:rsidRDefault="005C2162" w:rsidP="00E245AB">
      <w:pPr>
        <w:spacing w:after="0"/>
        <w:rPr>
          <w:rFonts w:ascii="Verdana" w:hAnsi="Verdana"/>
        </w:rPr>
      </w:pPr>
    </w:p>
    <w:p w14:paraId="3FE2184B" w14:textId="7EFF23A5" w:rsidR="00E245AB" w:rsidRPr="0044528D" w:rsidRDefault="00E245AB" w:rsidP="00E245AB">
      <w:pPr>
        <w:spacing w:after="0"/>
        <w:rPr>
          <w:rFonts w:ascii="Verdana" w:hAnsi="Verdana"/>
        </w:rPr>
      </w:pPr>
      <w:r w:rsidRPr="0044528D">
        <w:rPr>
          <w:rFonts w:ascii="Verdana" w:hAnsi="Verdana"/>
        </w:rPr>
        <w:t xml:space="preserve">Bogotá D.C., </w:t>
      </w:r>
      <w:r w:rsidR="003216AF">
        <w:rPr>
          <w:rFonts w:ascii="Verdana" w:hAnsi="Verdana"/>
        </w:rPr>
        <w:t>05 de Marzo de 2025</w:t>
      </w:r>
    </w:p>
    <w:p w14:paraId="5FCADBF9" w14:textId="1D077A70" w:rsidR="00E245AB" w:rsidRPr="0044528D" w:rsidRDefault="00831A3C" w:rsidP="00E245AB">
      <w:pPr>
        <w:spacing w:after="0"/>
        <w:rPr>
          <w:rFonts w:ascii="Verdana" w:hAnsi="Verdana"/>
        </w:rPr>
      </w:pPr>
      <w:r>
        <w:rPr>
          <w:rFonts w:ascii="Verdana" w:hAnsi="Verdana" w:cs="Arial"/>
          <w:noProof/>
          <w:lang w:eastAsia="es-CO"/>
        </w:rPr>
        <w:lastRenderedPageBreak/>
        <w:drawing>
          <wp:anchor distT="0" distB="0" distL="114300" distR="114300" simplePos="0" relativeHeight="251659264" behindDoc="0" locked="0" layoutInCell="1" allowOverlap="1" wp14:anchorId="4AEB5018" wp14:editId="3C92421E">
            <wp:simplePos x="0" y="0"/>
            <wp:positionH relativeFrom="column">
              <wp:posOffset>3002380</wp:posOffset>
            </wp:positionH>
            <wp:positionV relativeFrom="paragraph">
              <wp:posOffset>107148</wp:posOffset>
            </wp:positionV>
            <wp:extent cx="2802890" cy="809625"/>
            <wp:effectExtent l="0" t="0" r="3810" b="3175"/>
            <wp:wrapSquare wrapText="bothSides"/>
            <wp:docPr id="629107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10720" name="Picture 62910720"/>
                    <pic:cNvPicPr/>
                  </pic:nvPicPr>
                  <pic:blipFill>
                    <a:blip r:embed="rId11">
                      <a:extLst>
                        <a:ext uri="{28A0092B-C50C-407E-A947-70E740481C1C}">
                          <a14:useLocalDpi xmlns:a14="http://schemas.microsoft.com/office/drawing/2010/main" val="0"/>
                        </a:ext>
                      </a:extLst>
                    </a:blip>
                    <a:stretch>
                      <a:fillRect/>
                    </a:stretch>
                  </pic:blipFill>
                  <pic:spPr>
                    <a:xfrm>
                      <a:off x="0" y="0"/>
                      <a:ext cx="2802890" cy="809625"/>
                    </a:xfrm>
                    <a:prstGeom prst="rect">
                      <a:avLst/>
                    </a:prstGeom>
                  </pic:spPr>
                </pic:pic>
              </a:graphicData>
            </a:graphic>
            <wp14:sizeRelH relativeFrom="page">
              <wp14:pctWidth>0</wp14:pctWidth>
            </wp14:sizeRelH>
            <wp14:sizeRelV relativeFrom="page">
              <wp14:pctHeight>0</wp14:pctHeight>
            </wp14:sizeRelV>
          </wp:anchor>
        </w:drawing>
      </w:r>
    </w:p>
    <w:p w14:paraId="04941191" w14:textId="15F4F233" w:rsidR="00CF2FED" w:rsidRPr="00B96799" w:rsidRDefault="00CF2FED" w:rsidP="00CF2FED">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3F728C9E" w14:textId="1577FA40" w:rsidR="00CF2FED" w:rsidRPr="00B96799" w:rsidRDefault="00CF2FED" w:rsidP="00CF2FED">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Kevin Verjel</w:t>
      </w:r>
      <w:r w:rsidR="00B83F47">
        <w:rPr>
          <w:rFonts w:ascii="Verdana" w:eastAsia="Calibri" w:hAnsi="Verdana" w:cs="Arial"/>
          <w:b/>
          <w:lang w:val="es-ES_tradnl" w:eastAsia="es-ES_tradnl"/>
        </w:rPr>
        <w:t xml:space="preserve"> Cáceres</w:t>
      </w:r>
    </w:p>
    <w:p w14:paraId="28895D6D" w14:textId="77777777" w:rsidR="00CF2FED" w:rsidRPr="007261C0" w:rsidRDefault="00CF2FED" w:rsidP="00CF2FED">
      <w:pPr>
        <w:spacing w:after="0" w:line="240" w:lineRule="auto"/>
        <w:rPr>
          <w:rFonts w:ascii="Verdana" w:eastAsia="Calibri" w:hAnsi="Verdana" w:cs="Arial"/>
          <w:u w:val="single"/>
          <w:lang w:eastAsia="es-ES"/>
        </w:rPr>
      </w:pPr>
      <w:r w:rsidRPr="007261C0">
        <w:rPr>
          <w:rFonts w:ascii="Verdana" w:eastAsia="Calibri" w:hAnsi="Verdana" w:cs="Arial"/>
          <w:u w:val="single"/>
          <w:lang w:eastAsia="es-ES"/>
        </w:rPr>
        <w:t>kevinverjelc@gmail.com</w:t>
      </w:r>
    </w:p>
    <w:p w14:paraId="38D1F8E3" w14:textId="77777777" w:rsidR="00CF2FED" w:rsidRPr="00B96799" w:rsidRDefault="00CF2FED" w:rsidP="00CF2FED">
      <w:pPr>
        <w:spacing w:after="0" w:line="240" w:lineRule="auto"/>
        <w:rPr>
          <w:rFonts w:ascii="Verdana" w:eastAsia="Calibri" w:hAnsi="Verdana" w:cs="Arial"/>
          <w:b/>
          <w:bCs/>
          <w:lang w:val="es-ES" w:eastAsia="es-ES"/>
        </w:rPr>
      </w:pPr>
      <w:r>
        <w:rPr>
          <w:rFonts w:ascii="Verdana" w:eastAsia="Calibri" w:hAnsi="Verdana" w:cs="Arial"/>
          <w:lang w:val="es-ES" w:eastAsia="es-ES"/>
        </w:rPr>
        <w:t>Arauquita</w:t>
      </w:r>
      <w:r w:rsidRPr="00B96799">
        <w:rPr>
          <w:rFonts w:ascii="Verdana" w:eastAsia="Calibri" w:hAnsi="Verdana" w:cs="Arial"/>
          <w:lang w:val="es-ES" w:eastAsia="es-ES"/>
        </w:rPr>
        <w:t xml:space="preserve">, </w:t>
      </w:r>
      <w:r>
        <w:rPr>
          <w:rFonts w:ascii="Verdana" w:eastAsia="Calibri" w:hAnsi="Verdana" w:cs="Arial"/>
          <w:lang w:val="es-ES" w:eastAsia="es-ES"/>
        </w:rPr>
        <w:t>Arauca</w:t>
      </w:r>
    </w:p>
    <w:p w14:paraId="6A45F195" w14:textId="77777777" w:rsidR="00CF2FED" w:rsidRPr="00593A5F" w:rsidRDefault="00CF2FED" w:rsidP="00CF2FED">
      <w:pPr>
        <w:spacing w:after="0" w:line="240" w:lineRule="auto"/>
        <w:rPr>
          <w:rFonts w:ascii="Verdana" w:eastAsia="Calibri" w:hAnsi="Verdana" w:cs="Arial"/>
          <w:b/>
          <w:bCs/>
          <w:color w:val="000000"/>
          <w:lang w:val="es-ES_tradnl" w:eastAsia="es-ES_tradnl"/>
        </w:rPr>
      </w:pPr>
    </w:p>
    <w:p w14:paraId="1851C828" w14:textId="77777777" w:rsidR="00CF2FED" w:rsidRPr="00593A5F" w:rsidRDefault="00CF2FED" w:rsidP="00CF2FED">
      <w:pPr>
        <w:spacing w:after="0" w:line="240" w:lineRule="auto"/>
        <w:rPr>
          <w:rFonts w:ascii="Verdana" w:eastAsia="Calibri" w:hAnsi="Verdana" w:cs="Arial"/>
          <w:b/>
          <w:bCs/>
          <w:color w:val="000000"/>
          <w:lang w:val="es-ES_tradnl" w:eastAsia="es-ES_tradnl"/>
        </w:rPr>
      </w:pPr>
    </w:p>
    <w:tbl>
      <w:tblPr>
        <w:tblStyle w:val="TableGrid"/>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F2FED" w:rsidRPr="00593A5F" w14:paraId="28B6C622" w14:textId="77777777" w:rsidTr="002F3415">
        <w:trPr>
          <w:trHeight w:val="884"/>
        </w:trPr>
        <w:tc>
          <w:tcPr>
            <w:tcW w:w="2689" w:type="dxa"/>
          </w:tcPr>
          <w:p w14:paraId="14787702" w14:textId="77777777" w:rsidR="00CF2FED" w:rsidRPr="00C00976" w:rsidRDefault="00CF2FED" w:rsidP="002F3415">
            <w:pPr>
              <w:jc w:val="both"/>
              <w:rPr>
                <w:rFonts w:ascii="Verdana" w:eastAsia="Calibri" w:hAnsi="Verdana" w:cs="Arial"/>
                <w:b/>
                <w:bCs/>
                <w:color w:val="7030A0"/>
                <w:lang w:val="es-ES_tradnl" w:eastAsia="es-ES_tradnl"/>
              </w:rPr>
            </w:pPr>
          </w:p>
        </w:tc>
        <w:tc>
          <w:tcPr>
            <w:tcW w:w="6100" w:type="dxa"/>
          </w:tcPr>
          <w:p w14:paraId="6C7A3E59" w14:textId="77777777" w:rsidR="00CF2FED" w:rsidRPr="00C00976" w:rsidRDefault="00CF2FED" w:rsidP="002F3415">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 xml:space="preserve">Concepto C- </w:t>
            </w:r>
            <w:r w:rsidRPr="004552DF">
              <w:rPr>
                <w:rFonts w:ascii="Verdana" w:eastAsia="Calibri" w:hAnsi="Verdana" w:cs="Arial"/>
                <w:b/>
                <w:bCs/>
                <w:lang w:val="es-ES" w:eastAsia="es-ES"/>
              </w:rPr>
              <w:t xml:space="preserve">129 </w:t>
            </w:r>
            <w:r w:rsidRPr="00247BDE">
              <w:rPr>
                <w:rFonts w:ascii="Verdana" w:eastAsia="Calibri" w:hAnsi="Verdana" w:cs="Arial"/>
                <w:b/>
                <w:bCs/>
                <w:lang w:val="es-ES" w:eastAsia="es-ES"/>
              </w:rPr>
              <w:t>de</w:t>
            </w:r>
            <w:r w:rsidRPr="004552DF">
              <w:rPr>
                <w:rFonts w:ascii="Verdana" w:eastAsia="Calibri" w:hAnsi="Verdana" w:cs="Arial"/>
                <w:b/>
                <w:bCs/>
                <w:lang w:val="es-ES" w:eastAsia="es-ES"/>
              </w:rPr>
              <w:t xml:space="preserve"> 2025</w:t>
            </w:r>
          </w:p>
        </w:tc>
      </w:tr>
      <w:tr w:rsidR="00CF2FED" w:rsidRPr="00593A5F" w14:paraId="601DEE37" w14:textId="77777777" w:rsidTr="002F3415">
        <w:trPr>
          <w:trHeight w:val="884"/>
        </w:trPr>
        <w:tc>
          <w:tcPr>
            <w:tcW w:w="2689" w:type="dxa"/>
          </w:tcPr>
          <w:p w14:paraId="06DBCC1D" w14:textId="77777777" w:rsidR="00CF2FED" w:rsidRPr="00051519" w:rsidRDefault="00CF2FED" w:rsidP="002F3415">
            <w:pPr>
              <w:jc w:val="both"/>
              <w:rPr>
                <w:rFonts w:ascii="Verdana" w:eastAsia="Calibri" w:hAnsi="Verdana" w:cs="Arial"/>
                <w:color w:val="000000" w:themeColor="text1"/>
                <w:lang w:val="es-ES_tradnl" w:eastAsia="es-ES_tradnl"/>
              </w:rPr>
            </w:pPr>
            <w:r w:rsidRPr="00051519">
              <w:rPr>
                <w:rFonts w:ascii="Verdana" w:eastAsia="Calibri" w:hAnsi="Verdana" w:cs="Arial"/>
                <w:b/>
                <w:color w:val="000000" w:themeColor="text1"/>
                <w:lang w:val="es-ES_tradnl" w:eastAsia="es-ES_tradnl"/>
              </w:rPr>
              <w:t>Temas:</w:t>
            </w:r>
            <w:r w:rsidRPr="00051519">
              <w:rPr>
                <w:rFonts w:ascii="Verdana" w:eastAsia="Calibri" w:hAnsi="Verdana" w:cs="Arial"/>
                <w:color w:val="000000" w:themeColor="text1"/>
                <w:lang w:val="es-ES_tradnl" w:eastAsia="es-ES_tradnl"/>
              </w:rPr>
              <w:t xml:space="preserve">                   </w:t>
            </w:r>
          </w:p>
        </w:tc>
        <w:tc>
          <w:tcPr>
            <w:tcW w:w="6100" w:type="dxa"/>
          </w:tcPr>
          <w:p w14:paraId="39322C22" w14:textId="40A0CD89" w:rsidR="00CF2FED" w:rsidRPr="00051519" w:rsidRDefault="00CF2FED" w:rsidP="002F3415">
            <w:pPr>
              <w:spacing w:line="276" w:lineRule="auto"/>
              <w:jc w:val="both"/>
              <w:rPr>
                <w:rFonts w:ascii="Verdana" w:eastAsia="Calibri" w:hAnsi="Verdana" w:cs="Arial"/>
                <w:color w:val="000000" w:themeColor="text1"/>
                <w:lang w:val="es-ES" w:eastAsia="es-ES"/>
              </w:rPr>
            </w:pPr>
            <w:r w:rsidRPr="00051519">
              <w:rPr>
                <w:rFonts w:ascii="Verdana" w:eastAsia="Calibri" w:hAnsi="Verdana" w:cs="Arial"/>
                <w:color w:val="000000" w:themeColor="text1"/>
                <w:lang w:val="es-ES" w:eastAsia="es-ES"/>
              </w:rPr>
              <w:t>PRINCIPIO DE PUBLICIDAD – Fundamento Normativo</w:t>
            </w:r>
            <w:r>
              <w:rPr>
                <w:rFonts w:ascii="Verdana" w:eastAsia="Calibri" w:hAnsi="Verdana" w:cs="Arial"/>
                <w:color w:val="000000" w:themeColor="text1"/>
                <w:lang w:val="es-ES" w:eastAsia="es-ES"/>
              </w:rPr>
              <w:t xml:space="preserve"> – Información Contractual</w:t>
            </w:r>
            <w:r w:rsidRPr="00051519">
              <w:rPr>
                <w:rFonts w:ascii="Verdana" w:eastAsia="Calibri" w:hAnsi="Verdana" w:cs="Arial"/>
                <w:color w:val="000000" w:themeColor="text1"/>
                <w:lang w:val="es-ES" w:eastAsia="es-ES"/>
              </w:rPr>
              <w:t xml:space="preserve">/ INFORME DE EVALUACIÓN– Publicidad – Informe Preliminar y </w:t>
            </w:r>
            <w:r w:rsidR="004C1457">
              <w:rPr>
                <w:rFonts w:ascii="Verdana" w:eastAsia="Calibri" w:hAnsi="Verdana" w:cs="Arial"/>
                <w:color w:val="000000" w:themeColor="text1"/>
                <w:lang w:val="es-ES" w:eastAsia="es-ES"/>
              </w:rPr>
              <w:t>D</w:t>
            </w:r>
            <w:r w:rsidRPr="00051519">
              <w:rPr>
                <w:rFonts w:ascii="Verdana" w:eastAsia="Calibri" w:hAnsi="Verdana" w:cs="Arial"/>
                <w:color w:val="000000" w:themeColor="text1"/>
                <w:lang w:val="es-ES" w:eastAsia="es-ES"/>
              </w:rPr>
              <w:t xml:space="preserve">efinitivo </w:t>
            </w:r>
          </w:p>
          <w:p w14:paraId="54D3E5A6" w14:textId="77777777" w:rsidR="00CF2FED" w:rsidRPr="00051519" w:rsidRDefault="00CF2FED" w:rsidP="002F3415">
            <w:pPr>
              <w:spacing w:line="276" w:lineRule="auto"/>
              <w:jc w:val="both"/>
              <w:rPr>
                <w:rFonts w:ascii="Verdana" w:eastAsia="Calibri" w:hAnsi="Verdana" w:cs="Arial"/>
                <w:color w:val="000000" w:themeColor="text1"/>
                <w:lang w:val="es-ES" w:eastAsia="es-ES"/>
              </w:rPr>
            </w:pPr>
          </w:p>
        </w:tc>
      </w:tr>
      <w:tr w:rsidR="00CF2FED" w:rsidRPr="00593A5F" w14:paraId="292F93CA" w14:textId="77777777" w:rsidTr="002F3415">
        <w:tc>
          <w:tcPr>
            <w:tcW w:w="2689" w:type="dxa"/>
          </w:tcPr>
          <w:p w14:paraId="774896CF" w14:textId="77777777" w:rsidR="00CF2FED" w:rsidRPr="00A95858" w:rsidRDefault="00CF2FED" w:rsidP="002F3415">
            <w:pPr>
              <w:jc w:val="both"/>
              <w:rPr>
                <w:rFonts w:ascii="Verdana" w:eastAsia="Calibri" w:hAnsi="Verdana" w:cs="Arial"/>
                <w:b/>
                <w:color w:val="000000" w:themeColor="text1"/>
                <w:lang w:val="es-ES_tradnl" w:eastAsia="es-ES_tradnl"/>
              </w:rPr>
            </w:pPr>
            <w:r w:rsidRPr="00A95858">
              <w:rPr>
                <w:rFonts w:ascii="Verdana" w:eastAsia="Calibri" w:hAnsi="Verdana" w:cs="Arial"/>
                <w:b/>
                <w:color w:val="000000" w:themeColor="text1"/>
                <w:lang w:val="es-ES_tradnl" w:eastAsia="es-ES_tradnl"/>
              </w:rPr>
              <w:t>Radicación:</w:t>
            </w:r>
            <w:r w:rsidRPr="00A95858">
              <w:rPr>
                <w:rFonts w:ascii="Verdana" w:eastAsia="Calibri" w:hAnsi="Verdana" w:cs="Arial"/>
                <w:color w:val="000000" w:themeColor="text1"/>
                <w:lang w:val="es-ES_tradnl" w:eastAsia="es-ES_tradnl"/>
              </w:rPr>
              <w:t xml:space="preserve">               </w:t>
            </w:r>
          </w:p>
        </w:tc>
        <w:tc>
          <w:tcPr>
            <w:tcW w:w="6100" w:type="dxa"/>
          </w:tcPr>
          <w:p w14:paraId="36CE7371" w14:textId="77777777" w:rsidR="00CF2FED" w:rsidRPr="00A95858" w:rsidRDefault="00CF2FED" w:rsidP="002F3415">
            <w:pPr>
              <w:jc w:val="both"/>
              <w:rPr>
                <w:rFonts w:ascii="Verdana" w:eastAsia="Calibri" w:hAnsi="Verdana" w:cs="Arial"/>
                <w:color w:val="000000" w:themeColor="text1"/>
                <w:lang w:val="es-ES_tradnl" w:eastAsia="es-ES_tradnl"/>
              </w:rPr>
            </w:pPr>
            <w:r w:rsidRPr="00A95858">
              <w:rPr>
                <w:rFonts w:ascii="Verdana" w:eastAsia="Calibri" w:hAnsi="Verdana" w:cs="Arial"/>
                <w:color w:val="000000" w:themeColor="text1"/>
                <w:lang w:val="es-ES_tradnl" w:eastAsia="es-ES_tradnl"/>
              </w:rPr>
              <w:t>Respuesta a consulta con radicado No. P20250205001020</w:t>
            </w:r>
          </w:p>
        </w:tc>
      </w:tr>
    </w:tbl>
    <w:p w14:paraId="214568C7" w14:textId="77777777" w:rsidR="00CF2FED" w:rsidRPr="00593A5F" w:rsidRDefault="00CF2FED" w:rsidP="00CF2FED">
      <w:pPr>
        <w:spacing w:after="0" w:line="240" w:lineRule="auto"/>
        <w:jc w:val="both"/>
        <w:rPr>
          <w:rFonts w:ascii="Verdana" w:eastAsia="Calibri" w:hAnsi="Verdana" w:cs="Arial"/>
          <w:color w:val="000000"/>
          <w:lang w:val="es-ES_tradnl" w:eastAsia="es-ES_tradnl"/>
        </w:rPr>
      </w:pPr>
    </w:p>
    <w:p w14:paraId="7ED15D33" w14:textId="77777777" w:rsidR="00CF2FED" w:rsidRPr="00593A5F" w:rsidRDefault="00CF2FED" w:rsidP="00CF2FED">
      <w:pPr>
        <w:spacing w:after="0" w:line="240" w:lineRule="auto"/>
        <w:jc w:val="both"/>
        <w:rPr>
          <w:rFonts w:ascii="Verdana" w:eastAsia="Calibri" w:hAnsi="Verdana" w:cs="Arial"/>
          <w:color w:val="000000"/>
          <w:lang w:val="es-ES_tradnl" w:eastAsia="es-ES_tradnl"/>
        </w:rPr>
      </w:pPr>
    </w:p>
    <w:p w14:paraId="40F17599" w14:textId="77777777" w:rsidR="00CF2FED" w:rsidRDefault="00CF2FED" w:rsidP="00CF2FED">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Estimado señor</w:t>
      </w:r>
      <w:r w:rsidRPr="00B96799">
        <w:rPr>
          <w:rFonts w:ascii="Verdana" w:eastAsia="Calibri" w:hAnsi="Verdana" w:cs="Arial"/>
          <w:color w:val="7030A0"/>
          <w:lang w:val="es-ES" w:eastAsia="es-ES"/>
        </w:rPr>
        <w:t xml:space="preserve"> </w:t>
      </w:r>
      <w:r w:rsidRPr="00014EDD">
        <w:rPr>
          <w:rFonts w:ascii="Verdana" w:eastAsia="Calibri" w:hAnsi="Verdana" w:cs="Arial"/>
          <w:color w:val="000000" w:themeColor="text1"/>
          <w:lang w:val="es-ES" w:eastAsia="es-ES"/>
        </w:rPr>
        <w:t xml:space="preserve">Verjel: </w:t>
      </w:r>
    </w:p>
    <w:p w14:paraId="0A394308" w14:textId="77777777" w:rsidR="00CF2FED" w:rsidRDefault="00CF2FED" w:rsidP="00CF2FED">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1CD3238" w14:textId="77777777" w:rsidR="00CF2FED" w:rsidRPr="00014EDD" w:rsidRDefault="00CF2FED" w:rsidP="00CF2FED">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fecha</w:t>
      </w:r>
      <w:r w:rsidRPr="00593A5F">
        <w:rPr>
          <w:rFonts w:ascii="Verdana" w:eastAsia="Calibri" w:hAnsi="Verdana" w:cs="Arial"/>
          <w:color w:val="000000" w:themeColor="text1"/>
          <w:lang w:val="es-ES" w:eastAsia="es-ES"/>
        </w:rPr>
        <w:t xml:space="preserve"> </w:t>
      </w:r>
      <w:r w:rsidRPr="00014EDD">
        <w:rPr>
          <w:rFonts w:ascii="Verdana" w:eastAsia="Calibri" w:hAnsi="Verdana" w:cs="Arial"/>
          <w:color w:val="000000" w:themeColor="text1"/>
          <w:lang w:val="es-ES" w:eastAsia="es-ES"/>
        </w:rPr>
        <w:t xml:space="preserve">05 de febrero de 2025, en la cual manifiesta lo siguiente: </w:t>
      </w:r>
    </w:p>
    <w:p w14:paraId="480C5D8B" w14:textId="77777777" w:rsidR="00CF2FED" w:rsidRPr="00272A7B" w:rsidRDefault="00CF2FED" w:rsidP="00CF2FED">
      <w:pPr>
        <w:pStyle w:val="ListParagraph"/>
        <w:tabs>
          <w:tab w:val="left" w:pos="142"/>
          <w:tab w:val="left" w:pos="284"/>
        </w:tabs>
        <w:spacing w:line="276" w:lineRule="auto"/>
        <w:ind w:left="0"/>
        <w:jc w:val="both"/>
        <w:rPr>
          <w:rFonts w:ascii="Verdana" w:eastAsia="Century Gothic" w:hAnsi="Verdana" w:cs="Century Gothic"/>
          <w:b/>
          <w:bCs/>
        </w:rPr>
      </w:pPr>
    </w:p>
    <w:p w14:paraId="1D6D771D" w14:textId="77777777" w:rsidR="00CF2FED" w:rsidRDefault="00CF2FED" w:rsidP="00CF2FED">
      <w:pPr>
        <w:spacing w:after="0" w:line="240" w:lineRule="auto"/>
        <w:ind w:left="709" w:right="709"/>
        <w:jc w:val="both"/>
        <w:rPr>
          <w:rFonts w:ascii="Verdana" w:eastAsia="Century Gothic" w:hAnsi="Verdana" w:cs="Century Gothic"/>
          <w:color w:val="000000" w:themeColor="text1"/>
          <w:sz w:val="20"/>
          <w:szCs w:val="20"/>
        </w:rPr>
      </w:pPr>
      <w:bookmarkStart w:id="1" w:name="_Hlk95313578"/>
      <w:r w:rsidRPr="00014EDD">
        <w:rPr>
          <w:rFonts w:ascii="Verdana" w:eastAsia="Century Gothic" w:hAnsi="Verdana" w:cs="Century Gothic"/>
          <w:color w:val="000000" w:themeColor="text1"/>
          <w:sz w:val="20"/>
          <w:szCs w:val="20"/>
          <w:lang w:val="es-ES"/>
        </w:rPr>
        <w:t>“</w:t>
      </w:r>
      <w:r w:rsidRPr="007261C0">
        <w:rPr>
          <w:rFonts w:ascii="Verdana" w:eastAsia="Century Gothic" w:hAnsi="Verdana" w:cs="Century Gothic"/>
          <w:color w:val="000000" w:themeColor="text1"/>
          <w:sz w:val="20"/>
          <w:szCs w:val="20"/>
        </w:rPr>
        <w:t xml:space="preserve">PRIMERA: ¿El ordenamiento jurídico colombiano, consagra la obligación de publicar el Informe Final de Evaluación después de haber publicado el Informe Preliminar en los procesos de selección de contratistas en sus diversas modalidades? </w:t>
      </w:r>
    </w:p>
    <w:p w14:paraId="10E394AF" w14:textId="77777777" w:rsidR="00F63ED4" w:rsidRPr="007261C0" w:rsidRDefault="00F63ED4" w:rsidP="00CF2FED">
      <w:pPr>
        <w:spacing w:after="0" w:line="240" w:lineRule="auto"/>
        <w:ind w:left="709" w:right="709"/>
        <w:jc w:val="both"/>
        <w:rPr>
          <w:rFonts w:ascii="Verdana" w:eastAsia="Century Gothic" w:hAnsi="Verdana" w:cs="Century Gothic"/>
          <w:color w:val="000000" w:themeColor="text1"/>
          <w:sz w:val="20"/>
          <w:szCs w:val="20"/>
        </w:rPr>
      </w:pPr>
    </w:p>
    <w:p w14:paraId="0B7F504E" w14:textId="77777777" w:rsidR="00CF2FED" w:rsidRPr="007261C0" w:rsidRDefault="00CF2FED" w:rsidP="00CF2FED">
      <w:pPr>
        <w:spacing w:after="0" w:line="240" w:lineRule="auto"/>
        <w:ind w:left="709" w:right="709"/>
        <w:jc w:val="both"/>
        <w:rPr>
          <w:rFonts w:ascii="Verdana" w:eastAsia="Century Gothic" w:hAnsi="Verdana" w:cs="Century Gothic"/>
          <w:color w:val="000000" w:themeColor="text1"/>
          <w:sz w:val="20"/>
          <w:szCs w:val="20"/>
        </w:rPr>
      </w:pPr>
      <w:r w:rsidRPr="007261C0">
        <w:rPr>
          <w:rFonts w:ascii="Verdana" w:eastAsia="Century Gothic" w:hAnsi="Verdana" w:cs="Century Gothic"/>
          <w:color w:val="000000" w:themeColor="text1"/>
          <w:sz w:val="20"/>
          <w:szCs w:val="20"/>
        </w:rPr>
        <w:t xml:space="preserve">SEGUNDO: En caso de que no se encuentre un fundamento jurídico expreso que regule la Evaluación Final en el ordenamiento vigente, se solicita que se indique si, en ausencia de observaciones en la Evaluación Preliminar, resulta conveniente publicar la Evaluación Final, incluso cuando no existan cambios respecto a la Evaluación Preliminar. </w:t>
      </w:r>
    </w:p>
    <w:p w14:paraId="712EDE95" w14:textId="77777777" w:rsidR="00F63ED4" w:rsidRDefault="00F63ED4" w:rsidP="00CF2FED">
      <w:pPr>
        <w:spacing w:after="0" w:line="240" w:lineRule="auto"/>
        <w:ind w:left="709" w:right="709"/>
        <w:jc w:val="both"/>
        <w:rPr>
          <w:rFonts w:ascii="Verdana" w:eastAsia="Century Gothic" w:hAnsi="Verdana" w:cs="Century Gothic"/>
          <w:color w:val="000000" w:themeColor="text1"/>
          <w:sz w:val="20"/>
          <w:szCs w:val="20"/>
        </w:rPr>
      </w:pPr>
    </w:p>
    <w:p w14:paraId="2E387FBA" w14:textId="77777777" w:rsidR="00CF2FED" w:rsidRDefault="00CF2FED" w:rsidP="00CF2FED">
      <w:pPr>
        <w:spacing w:after="0" w:line="240" w:lineRule="auto"/>
        <w:ind w:left="709" w:right="709"/>
        <w:jc w:val="both"/>
        <w:rPr>
          <w:rFonts w:ascii="Verdana" w:eastAsia="Century Gothic" w:hAnsi="Verdana" w:cs="Century Gothic"/>
          <w:color w:val="000000" w:themeColor="text1"/>
          <w:sz w:val="20"/>
          <w:szCs w:val="20"/>
        </w:rPr>
      </w:pPr>
      <w:r w:rsidRPr="007261C0">
        <w:rPr>
          <w:rFonts w:ascii="Verdana" w:eastAsia="Century Gothic" w:hAnsi="Verdana" w:cs="Century Gothic"/>
          <w:color w:val="000000" w:themeColor="text1"/>
          <w:sz w:val="20"/>
          <w:szCs w:val="20"/>
        </w:rPr>
        <w:t xml:space="preserve">En particular, si no se presentan observaciones a la Evaluación Preliminar y esta se mantiene inalterada, ¿es pertinente publicar la Evaluación Final, aunque su contenido no presente modificaciones, producto de la </w:t>
      </w:r>
      <w:r w:rsidRPr="007261C0">
        <w:rPr>
          <w:rFonts w:ascii="Verdana" w:eastAsia="Century Gothic" w:hAnsi="Verdana" w:cs="Century Gothic"/>
          <w:color w:val="000000" w:themeColor="text1"/>
          <w:sz w:val="20"/>
          <w:szCs w:val="20"/>
        </w:rPr>
        <w:lastRenderedPageBreak/>
        <w:t xml:space="preserve">subsanación de requisitos/documentos que no afectan la asignación de puntaje? </w:t>
      </w:r>
    </w:p>
    <w:p w14:paraId="4EC8E43F" w14:textId="77777777" w:rsidR="00F63ED4" w:rsidRPr="007261C0" w:rsidRDefault="00F63ED4" w:rsidP="00CF2FED">
      <w:pPr>
        <w:spacing w:after="0" w:line="240" w:lineRule="auto"/>
        <w:ind w:left="709" w:right="709"/>
        <w:jc w:val="both"/>
        <w:rPr>
          <w:rFonts w:ascii="Verdana" w:eastAsia="Century Gothic" w:hAnsi="Verdana" w:cs="Century Gothic"/>
          <w:color w:val="000000" w:themeColor="text1"/>
          <w:sz w:val="20"/>
          <w:szCs w:val="20"/>
        </w:rPr>
      </w:pPr>
    </w:p>
    <w:p w14:paraId="4393CFCD" w14:textId="0746AF79" w:rsidR="00CF2FED" w:rsidRPr="00014EDD" w:rsidRDefault="00CF2FED" w:rsidP="00CF2FED">
      <w:pPr>
        <w:spacing w:after="0" w:line="240" w:lineRule="auto"/>
        <w:ind w:left="709" w:right="709"/>
        <w:jc w:val="both"/>
        <w:rPr>
          <w:rFonts w:ascii="Verdana" w:eastAsia="Century Gothic" w:hAnsi="Verdana" w:cs="Century Gothic"/>
          <w:color w:val="000000" w:themeColor="text1"/>
          <w:sz w:val="20"/>
          <w:szCs w:val="20"/>
          <w:lang w:val="es-ES"/>
        </w:rPr>
      </w:pPr>
      <w:r w:rsidRPr="007261C0">
        <w:rPr>
          <w:rFonts w:ascii="Verdana" w:eastAsia="Century Gothic" w:hAnsi="Verdana" w:cs="Century Gothic"/>
          <w:color w:val="000000" w:themeColor="text1"/>
          <w:sz w:val="20"/>
          <w:szCs w:val="20"/>
        </w:rPr>
        <w:t xml:space="preserve">Cabe aclarar consulta se refiere exclusivamente a aquellos procesos de selección en los cuales no sean aplicables los documentos tipo, cuyo cronograma incluye el Informe Final de </w:t>
      </w:r>
      <w:proofErr w:type="spellStart"/>
      <w:r w:rsidRPr="007261C0">
        <w:rPr>
          <w:rFonts w:ascii="Verdana" w:eastAsia="Century Gothic" w:hAnsi="Verdana" w:cs="Century Gothic"/>
          <w:color w:val="000000" w:themeColor="text1"/>
          <w:sz w:val="20"/>
          <w:szCs w:val="20"/>
        </w:rPr>
        <w:t>Evaluación</w:t>
      </w:r>
      <w:proofErr w:type="spellEnd"/>
      <w:r w:rsidRPr="007261C0">
        <w:rPr>
          <w:rFonts w:ascii="Verdana" w:eastAsia="Century Gothic" w:hAnsi="Verdana" w:cs="Century Gothic"/>
          <w:color w:val="000000" w:themeColor="text1"/>
          <w:sz w:val="20"/>
          <w:szCs w:val="20"/>
        </w:rPr>
        <w:t xml:space="preserve"> </w:t>
      </w:r>
      <w:r w:rsidRPr="00014EDD">
        <w:rPr>
          <w:rStyle w:val="normaltextrun"/>
          <w:rFonts w:ascii="Verdana" w:hAnsi="Verdana" w:cs="Arial"/>
          <w:color w:val="000000" w:themeColor="text1"/>
          <w:sz w:val="20"/>
          <w:szCs w:val="20"/>
          <w:shd w:val="clear" w:color="auto" w:fill="FFFFFF"/>
          <w:lang w:val="es-ES"/>
        </w:rPr>
        <w:t>[…]</w:t>
      </w:r>
      <w:r w:rsidRPr="00014EDD">
        <w:rPr>
          <w:rFonts w:ascii="Verdana" w:eastAsia="Century Gothic" w:hAnsi="Verdana" w:cs="Century Gothic"/>
          <w:color w:val="000000" w:themeColor="text1"/>
          <w:sz w:val="20"/>
          <w:szCs w:val="20"/>
          <w:lang w:val="es-ES"/>
        </w:rPr>
        <w:t>”</w:t>
      </w:r>
      <w:r w:rsidR="00F63ED4">
        <w:rPr>
          <w:rFonts w:ascii="Verdana" w:eastAsia="Century Gothic" w:hAnsi="Verdana" w:cs="Century Gothic"/>
          <w:color w:val="000000" w:themeColor="text1"/>
          <w:sz w:val="20"/>
          <w:szCs w:val="20"/>
          <w:lang w:val="es-ES"/>
        </w:rPr>
        <w:t xml:space="preserve"> (SIC)</w:t>
      </w:r>
      <w:r w:rsidRPr="00014EDD">
        <w:rPr>
          <w:rFonts w:ascii="Verdana" w:eastAsia="Century Gothic" w:hAnsi="Verdana" w:cs="Century Gothic"/>
          <w:color w:val="000000" w:themeColor="text1"/>
          <w:sz w:val="20"/>
          <w:szCs w:val="20"/>
          <w:lang w:val="es-ES"/>
        </w:rPr>
        <w:t>.</w:t>
      </w:r>
      <w:bookmarkEnd w:id="1"/>
    </w:p>
    <w:p w14:paraId="1897CEE8" w14:textId="77777777" w:rsidR="00CF2FED" w:rsidRPr="00593A5F" w:rsidRDefault="00CF2FED" w:rsidP="00CF2FED">
      <w:pPr>
        <w:pStyle w:val="ListParagraph"/>
        <w:tabs>
          <w:tab w:val="left" w:pos="142"/>
          <w:tab w:val="left" w:pos="284"/>
        </w:tabs>
        <w:spacing w:line="276" w:lineRule="auto"/>
        <w:ind w:left="0"/>
        <w:jc w:val="both"/>
        <w:rPr>
          <w:rFonts w:ascii="Verdana" w:eastAsia="Century Gothic" w:hAnsi="Verdana" w:cs="Century Gothic"/>
          <w:b/>
          <w:bCs/>
        </w:rPr>
      </w:pPr>
    </w:p>
    <w:p w14:paraId="12E94F2F" w14:textId="77777777" w:rsidR="00CF2FED" w:rsidRPr="00014EDD" w:rsidRDefault="00CF2FED" w:rsidP="00CF2FED">
      <w:pPr>
        <w:spacing w:after="120" w:line="276" w:lineRule="auto"/>
        <w:ind w:firstLine="709"/>
        <w:jc w:val="both"/>
        <w:rPr>
          <w:rFonts w:ascii="Verdana" w:eastAsia="Calibri" w:hAnsi="Verdana" w:cs="Arial"/>
          <w:color w:val="000000" w:themeColor="text1"/>
          <w:szCs w:val="24"/>
          <w:lang w:val="es-ES_tradnl" w:eastAsia="es-ES_tradnl"/>
        </w:rPr>
      </w:pPr>
      <w:r w:rsidRPr="00014EDD">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14EDD">
        <w:rPr>
          <w:rFonts w:ascii="Verdana" w:eastAsia="Calibri" w:hAnsi="Verdana" w:cs="Arial"/>
          <w:color w:val="000000" w:themeColor="text1"/>
          <w:szCs w:val="24"/>
          <w:lang w:val="es-ES_tradnl" w:eastAsia="es-ES_tradnl"/>
        </w:rPr>
        <w:tab/>
      </w:r>
    </w:p>
    <w:p w14:paraId="1B8F7AB2" w14:textId="77777777" w:rsidR="00CF2FED" w:rsidRDefault="00CF2FED" w:rsidP="00CF2FED">
      <w:pPr>
        <w:spacing w:before="120" w:after="0" w:line="276" w:lineRule="auto"/>
        <w:ind w:firstLine="709"/>
        <w:contextualSpacing/>
        <w:jc w:val="both"/>
        <w:rPr>
          <w:rFonts w:ascii="Verdana" w:eastAsia="Calibri" w:hAnsi="Verdana" w:cs="Arial"/>
          <w:color w:val="000000"/>
          <w:lang w:val="es-ES" w:eastAsia="es-ES"/>
        </w:rPr>
      </w:pPr>
      <w:r w:rsidRPr="00014EDD">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6A62B01D" w14:textId="77777777" w:rsidR="00CF2FED" w:rsidRPr="00593A5F" w:rsidRDefault="00CF2FED" w:rsidP="00CF2FED">
      <w:pPr>
        <w:spacing w:after="0" w:line="276" w:lineRule="auto"/>
        <w:ind w:firstLine="709"/>
        <w:jc w:val="both"/>
        <w:rPr>
          <w:rFonts w:ascii="Verdana" w:eastAsia="Calibri" w:hAnsi="Verdana" w:cs="Arial"/>
          <w:color w:val="000000"/>
          <w:lang w:val="es-ES" w:eastAsia="es-ES"/>
        </w:rPr>
      </w:pPr>
    </w:p>
    <w:p w14:paraId="670B443D" w14:textId="77777777" w:rsidR="00CF2FED" w:rsidRPr="00593A5F" w:rsidRDefault="00CF2FED" w:rsidP="00CF2FED">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645D418" w14:textId="77777777" w:rsidR="00CF2FED" w:rsidRPr="00593A5F" w:rsidRDefault="00CF2FED" w:rsidP="00CF2FED">
      <w:pPr>
        <w:tabs>
          <w:tab w:val="left" w:pos="426"/>
        </w:tabs>
        <w:spacing w:after="0" w:line="276" w:lineRule="auto"/>
        <w:jc w:val="both"/>
        <w:rPr>
          <w:rFonts w:ascii="Verdana" w:eastAsia="Century Gothic" w:hAnsi="Verdana" w:cs="Century Gothic"/>
          <w:lang w:val="es-ES"/>
        </w:rPr>
      </w:pPr>
    </w:p>
    <w:p w14:paraId="2FE660D4" w14:textId="17D1F244" w:rsidR="00CF2FED" w:rsidRPr="007261C0" w:rsidRDefault="00CF2FED" w:rsidP="00CF2FED">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los siguientes problemas jurídicos: </w:t>
      </w:r>
      <w:r w:rsidRPr="007261C0">
        <w:rPr>
          <w:rFonts w:ascii="Verdana" w:eastAsia="Century Gothic" w:hAnsi="Verdana" w:cs="Century Gothic"/>
        </w:rPr>
        <w:t xml:space="preserve">en aquellos procesos de </w:t>
      </w:r>
      <w:r w:rsidR="0093369D" w:rsidRPr="007261C0">
        <w:rPr>
          <w:rFonts w:ascii="Verdana" w:eastAsia="Century Gothic" w:hAnsi="Verdana" w:cs="Century Gothic"/>
        </w:rPr>
        <w:t>selección</w:t>
      </w:r>
      <w:r w:rsidRPr="007261C0">
        <w:rPr>
          <w:rFonts w:ascii="Verdana" w:eastAsia="Century Gothic" w:hAnsi="Verdana" w:cs="Century Gothic"/>
        </w:rPr>
        <w:t xml:space="preserve"> que adelanten entidades que operan bajo el SECOP I, en los cuales no sean aplicables los documentos tipo y cuyo cronograma incluya el informe final de </w:t>
      </w:r>
      <w:r w:rsidR="0093369D" w:rsidRPr="007261C0">
        <w:rPr>
          <w:rFonts w:ascii="Verdana" w:eastAsia="Century Gothic" w:hAnsi="Verdana" w:cs="Century Gothic"/>
        </w:rPr>
        <w:t>evaluación</w:t>
      </w:r>
      <w:r w:rsidRPr="007261C0">
        <w:rPr>
          <w:rFonts w:ascii="Verdana" w:eastAsia="Century Gothic" w:hAnsi="Verdana" w:cs="Century Gothic"/>
        </w:rPr>
        <w:t>:</w:t>
      </w:r>
      <w:r>
        <w:rPr>
          <w:rFonts w:ascii="Verdana" w:eastAsia="Century Gothic" w:hAnsi="Verdana" w:cs="Century Gothic"/>
        </w:rPr>
        <w:t xml:space="preserve"> </w:t>
      </w:r>
      <w:r w:rsidRPr="007261C0">
        <w:rPr>
          <w:rFonts w:ascii="Verdana" w:eastAsia="Century Gothic" w:hAnsi="Verdana" w:cs="Century Gothic"/>
        </w:rPr>
        <w:t xml:space="preserve">(i) ¿El ordenamiento </w:t>
      </w:r>
      <w:r w:rsidR="0093369D" w:rsidRPr="007261C0">
        <w:rPr>
          <w:rFonts w:ascii="Verdana" w:eastAsia="Century Gothic" w:hAnsi="Verdana" w:cs="Century Gothic"/>
        </w:rPr>
        <w:t>jurídico</w:t>
      </w:r>
      <w:r w:rsidRPr="007261C0">
        <w:rPr>
          <w:rFonts w:ascii="Verdana" w:eastAsia="Century Gothic" w:hAnsi="Verdana" w:cs="Century Gothic"/>
        </w:rPr>
        <w:t xml:space="preserve"> establece la </w:t>
      </w:r>
      <w:r w:rsidR="0093369D" w:rsidRPr="007261C0">
        <w:rPr>
          <w:rFonts w:ascii="Verdana" w:eastAsia="Century Gothic" w:hAnsi="Verdana" w:cs="Century Gothic"/>
        </w:rPr>
        <w:t>obligación</w:t>
      </w:r>
      <w:r w:rsidRPr="007261C0">
        <w:rPr>
          <w:rFonts w:ascii="Verdana" w:eastAsia="Century Gothic" w:hAnsi="Verdana" w:cs="Century Gothic"/>
        </w:rPr>
        <w:t xml:space="preserve"> de publicar el informe final de </w:t>
      </w:r>
      <w:r w:rsidR="0093369D" w:rsidRPr="007261C0">
        <w:rPr>
          <w:rFonts w:ascii="Verdana" w:eastAsia="Century Gothic" w:hAnsi="Verdana" w:cs="Century Gothic"/>
        </w:rPr>
        <w:t>evaluación</w:t>
      </w:r>
      <w:r w:rsidRPr="007261C0">
        <w:rPr>
          <w:rFonts w:ascii="Verdana" w:eastAsia="Century Gothic" w:hAnsi="Verdana" w:cs="Century Gothic"/>
        </w:rPr>
        <w:t xml:space="preserve"> </w:t>
      </w:r>
      <w:r w:rsidR="0093369D" w:rsidRPr="007261C0">
        <w:rPr>
          <w:rFonts w:ascii="Verdana" w:eastAsia="Century Gothic" w:hAnsi="Verdana" w:cs="Century Gothic"/>
        </w:rPr>
        <w:t>después</w:t>
      </w:r>
      <w:r w:rsidRPr="007261C0">
        <w:rPr>
          <w:rFonts w:ascii="Verdana" w:eastAsia="Century Gothic" w:hAnsi="Verdana" w:cs="Century Gothic"/>
        </w:rPr>
        <w:t xml:space="preserve"> de haber publicado el informe preliminar?</w:t>
      </w:r>
      <w:r w:rsidR="000151E4">
        <w:rPr>
          <w:rFonts w:ascii="Verdana" w:eastAsia="Century Gothic" w:hAnsi="Verdana" w:cs="Century Gothic"/>
        </w:rPr>
        <w:t xml:space="preserve"> y</w:t>
      </w:r>
      <w:r w:rsidRPr="007261C0">
        <w:rPr>
          <w:rFonts w:ascii="Verdana" w:eastAsia="Century Gothic" w:hAnsi="Verdana" w:cs="Century Gothic"/>
        </w:rPr>
        <w:t xml:space="preserve"> (</w:t>
      </w:r>
      <w:proofErr w:type="spellStart"/>
      <w:r w:rsidRPr="007261C0">
        <w:rPr>
          <w:rFonts w:ascii="Verdana" w:eastAsia="Century Gothic" w:hAnsi="Verdana" w:cs="Century Gothic"/>
        </w:rPr>
        <w:t>ii</w:t>
      </w:r>
      <w:proofErr w:type="spellEnd"/>
      <w:r w:rsidRPr="007261C0">
        <w:rPr>
          <w:rFonts w:ascii="Verdana" w:eastAsia="Century Gothic" w:hAnsi="Verdana" w:cs="Century Gothic"/>
        </w:rPr>
        <w:t xml:space="preserve">) ¿Es pertinente publicar </w:t>
      </w:r>
      <w:r w:rsidR="00473D4A" w:rsidRPr="007261C0">
        <w:rPr>
          <w:rFonts w:ascii="Verdana" w:eastAsia="Century Gothic" w:hAnsi="Verdana" w:cs="Century Gothic"/>
        </w:rPr>
        <w:t>el informe de</w:t>
      </w:r>
      <w:r w:rsidRPr="007261C0">
        <w:rPr>
          <w:rFonts w:ascii="Verdana" w:eastAsia="Century Gothic" w:hAnsi="Verdana" w:cs="Century Gothic"/>
        </w:rPr>
        <w:t xml:space="preserve"> </w:t>
      </w:r>
      <w:r w:rsidR="0093369D" w:rsidRPr="007261C0">
        <w:rPr>
          <w:rFonts w:ascii="Verdana" w:eastAsia="Century Gothic" w:hAnsi="Verdana" w:cs="Century Gothic"/>
        </w:rPr>
        <w:t>evaluación</w:t>
      </w:r>
      <w:r w:rsidRPr="007261C0">
        <w:rPr>
          <w:rFonts w:ascii="Verdana" w:eastAsia="Century Gothic" w:hAnsi="Verdana" w:cs="Century Gothic"/>
        </w:rPr>
        <w:t xml:space="preserve"> final, incluso cuando no existan observaciones o cambios al informe preliminar</w:t>
      </w:r>
      <w:r w:rsidR="0008050B" w:rsidRPr="007261C0">
        <w:rPr>
          <w:rFonts w:ascii="Verdana" w:eastAsia="Century Gothic" w:hAnsi="Verdana" w:cs="Century Gothic"/>
        </w:rPr>
        <w:t xml:space="preserve"> de evaluación</w:t>
      </w:r>
      <w:r w:rsidRPr="007261C0">
        <w:rPr>
          <w:rFonts w:ascii="Verdana" w:eastAsia="Century Gothic" w:hAnsi="Verdana" w:cs="Century Gothic"/>
        </w:rPr>
        <w:t xml:space="preserve">? </w:t>
      </w:r>
    </w:p>
    <w:p w14:paraId="3E8E80E8" w14:textId="77777777" w:rsidR="00B00BCA" w:rsidRPr="007261C0" w:rsidRDefault="00B00BCA" w:rsidP="00CF2FED">
      <w:pPr>
        <w:spacing w:after="0" w:line="276" w:lineRule="auto"/>
        <w:jc w:val="both"/>
        <w:rPr>
          <w:rFonts w:ascii="Verdana" w:eastAsia="Century Gothic" w:hAnsi="Verdana" w:cs="Century Gothic"/>
        </w:rPr>
      </w:pPr>
    </w:p>
    <w:p w14:paraId="5D994F6D" w14:textId="77777777" w:rsidR="00B00BCA" w:rsidRPr="006A74C3" w:rsidRDefault="00B00BCA" w:rsidP="00CF2FED">
      <w:pPr>
        <w:spacing w:after="0" w:line="276" w:lineRule="auto"/>
        <w:jc w:val="both"/>
        <w:rPr>
          <w:rFonts w:ascii="Verdana" w:eastAsia="Century Gothic" w:hAnsi="Verdana" w:cs="Century Gothic"/>
        </w:rPr>
      </w:pPr>
    </w:p>
    <w:p w14:paraId="341D8320" w14:textId="77777777" w:rsidR="00CF2FED" w:rsidRPr="002934AA" w:rsidRDefault="00CF2FED" w:rsidP="00CF2FED">
      <w:pPr>
        <w:spacing w:after="0" w:line="276" w:lineRule="auto"/>
        <w:jc w:val="both"/>
        <w:rPr>
          <w:rFonts w:ascii="Verdana" w:eastAsia="Century Gothic" w:hAnsi="Verdana" w:cs="Century Gothic"/>
        </w:rPr>
      </w:pPr>
    </w:p>
    <w:p w14:paraId="6B3C41DB" w14:textId="77777777" w:rsidR="00CF2FED" w:rsidRPr="00593A5F" w:rsidRDefault="00CF2FED" w:rsidP="00CF2FED">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1B76998" w14:textId="77777777" w:rsidR="00CF2FED" w:rsidRPr="00593A5F" w:rsidRDefault="00CF2FED" w:rsidP="00CF2FED">
      <w:pPr>
        <w:tabs>
          <w:tab w:val="left" w:pos="142"/>
          <w:tab w:val="left" w:pos="284"/>
        </w:tabs>
        <w:spacing w:after="0" w:line="276" w:lineRule="auto"/>
        <w:jc w:val="both"/>
        <w:rPr>
          <w:rFonts w:ascii="Verdana" w:eastAsia="Century Gothic" w:hAnsi="Verdana" w:cs="Century Gothic"/>
          <w:b/>
          <w:bCs/>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F2FED" w:rsidRPr="00593A5F" w14:paraId="14FF0A48" w14:textId="77777777" w:rsidTr="002F3415">
        <w:tc>
          <w:tcPr>
            <w:tcW w:w="8828" w:type="dxa"/>
            <w:shd w:val="clear" w:color="auto" w:fill="auto"/>
          </w:tcPr>
          <w:p w14:paraId="745AA995" w14:textId="7C93AB4A" w:rsidR="00CF2FED" w:rsidRPr="007B72EE" w:rsidRDefault="00CF2FED" w:rsidP="002F3415">
            <w:pPr>
              <w:spacing w:line="276" w:lineRule="auto"/>
              <w:jc w:val="both"/>
              <w:rPr>
                <w:rFonts w:ascii="Verdana" w:hAnsi="Verdana" w:cs="Arial"/>
                <w:shd w:val="clear" w:color="auto" w:fill="FFFFFF"/>
              </w:rPr>
            </w:pPr>
            <w:r w:rsidRPr="007B72EE">
              <w:rPr>
                <w:rFonts w:ascii="Verdana" w:hAnsi="Verdana" w:cs="Arial"/>
                <w:shd w:val="clear" w:color="auto" w:fill="FFFFFF"/>
              </w:rPr>
              <w:t>(i) El ordenamiento jurídico establece la obligación expresa de publicar el informe final de evaluación en el caso de los procesos de licitación de obra pública. Para los demás procesos de contratación no distingue entre el informe preliminar y definitivo de evaluación, por lo que las Entidades Estatales tienen la facultad de establecer si hacen uso de ambos documentos. De cualquier manera, en virtud de los principios de publicidad y selección objetiva, la</w:t>
            </w:r>
            <w:r>
              <w:rPr>
                <w:rFonts w:ascii="Verdana" w:hAnsi="Verdana" w:cs="Arial"/>
                <w:shd w:val="clear" w:color="auto" w:fill="FFFFFF"/>
              </w:rPr>
              <w:t>s</w:t>
            </w:r>
            <w:r w:rsidRPr="007B72EE">
              <w:rPr>
                <w:rFonts w:ascii="Verdana" w:hAnsi="Verdana" w:cs="Arial"/>
                <w:shd w:val="clear" w:color="auto" w:fill="FFFFFF"/>
              </w:rPr>
              <w:t xml:space="preserve"> Entidad</w:t>
            </w:r>
            <w:r>
              <w:rPr>
                <w:rFonts w:ascii="Verdana" w:hAnsi="Verdana" w:cs="Arial"/>
                <w:shd w:val="clear" w:color="auto" w:fill="FFFFFF"/>
              </w:rPr>
              <w:t xml:space="preserve">es </w:t>
            </w:r>
            <w:r w:rsidRPr="007B72EE">
              <w:rPr>
                <w:rFonts w:ascii="Verdana" w:hAnsi="Verdana" w:cs="Arial"/>
                <w:shd w:val="clear" w:color="auto" w:fill="FFFFFF"/>
              </w:rPr>
              <w:t>tiene la obligación de publicar el informe de evaluación en los términos establecidos para cada modalidad de selección, así como de dar a conocer a los interesados de manera clara y oportuna lo que ocurra en el desarrollo de esta etapa.</w:t>
            </w:r>
          </w:p>
          <w:p w14:paraId="5528B044" w14:textId="77777777" w:rsidR="00CF2FED" w:rsidRPr="007B72EE" w:rsidRDefault="00CF2FED" w:rsidP="002F3415">
            <w:pPr>
              <w:tabs>
                <w:tab w:val="left" w:pos="709"/>
              </w:tabs>
              <w:spacing w:before="120" w:after="120" w:line="276" w:lineRule="auto"/>
              <w:jc w:val="both"/>
              <w:rPr>
                <w:rFonts w:ascii="Verdana" w:hAnsi="Verdana" w:cs="Arial"/>
                <w:shd w:val="clear" w:color="auto" w:fill="FFFFFF"/>
              </w:rPr>
            </w:pPr>
            <w:r w:rsidRPr="007B72EE">
              <w:rPr>
                <w:rFonts w:ascii="Verdana" w:eastAsia="Calibri" w:hAnsi="Verdana" w:cs="Arial"/>
                <w:color w:val="000000" w:themeColor="text1"/>
                <w:lang w:val="es-ES"/>
              </w:rPr>
              <w:t>(</w:t>
            </w:r>
            <w:proofErr w:type="spellStart"/>
            <w:r w:rsidRPr="007B72EE">
              <w:rPr>
                <w:rFonts w:ascii="Verdana" w:eastAsia="Calibri" w:hAnsi="Verdana" w:cs="Arial"/>
                <w:color w:val="000000" w:themeColor="text1"/>
                <w:lang w:val="es-ES"/>
              </w:rPr>
              <w:t>ii</w:t>
            </w:r>
            <w:proofErr w:type="spellEnd"/>
            <w:r w:rsidRPr="007B72EE">
              <w:rPr>
                <w:rFonts w:ascii="Verdana" w:eastAsia="Calibri" w:hAnsi="Verdana" w:cs="Arial"/>
                <w:color w:val="000000" w:themeColor="text1"/>
                <w:lang w:val="es-ES"/>
              </w:rPr>
              <w:t>) E</w:t>
            </w:r>
            <w:r w:rsidRPr="007B72EE">
              <w:rPr>
                <w:rFonts w:ascii="Verdana" w:hAnsi="Verdana" w:cs="Arial"/>
                <w:color w:val="000000" w:themeColor="text1"/>
                <w:shd w:val="clear" w:color="auto" w:fill="FFFFFF"/>
              </w:rPr>
              <w:t>n los casos en que el ordenamiento jurídico no lo requi</w:t>
            </w:r>
            <w:r>
              <w:rPr>
                <w:rFonts w:ascii="Verdana" w:hAnsi="Verdana" w:cs="Arial"/>
                <w:color w:val="000000" w:themeColor="text1"/>
                <w:shd w:val="clear" w:color="auto" w:fill="FFFFFF"/>
              </w:rPr>
              <w:t>ere</w:t>
            </w:r>
            <w:r w:rsidRPr="007B72EE">
              <w:rPr>
                <w:rFonts w:ascii="Verdana" w:hAnsi="Verdana" w:cs="Arial"/>
                <w:color w:val="000000" w:themeColor="text1"/>
                <w:shd w:val="clear" w:color="auto" w:fill="FFFFFF"/>
              </w:rPr>
              <w:t xml:space="preserve"> expresamente, las Entidades </w:t>
            </w:r>
            <w:r>
              <w:rPr>
                <w:rFonts w:ascii="Verdana" w:hAnsi="Verdana" w:cs="Arial"/>
                <w:shd w:val="clear" w:color="auto" w:fill="FFFFFF"/>
              </w:rPr>
              <w:t xml:space="preserve">pueden determinar si es necesario publicar el informe final de evaluación cuando no existan cambios frente a la evaluación preliminar, siempre que garanticen que los interesados conozcan, por medios adecuados y de manera oportuna, el resultado definitivo de la evaluación. Sin perjuicio de lo anterior, si la Entidad determinó la publicación de un informe preliminar y de uno definitivo en el cronograma del proceso, deberá cumplir con la publicación de estos documentos en la forma y tiempo establecidos, aun cuando no se presenten observaciones o modificaciones en el término de traslado. </w:t>
            </w:r>
          </w:p>
        </w:tc>
      </w:tr>
    </w:tbl>
    <w:p w14:paraId="173A1D03" w14:textId="77777777" w:rsidR="00CF2FED" w:rsidRPr="00593A5F" w:rsidRDefault="00CF2FED" w:rsidP="00CF2FED">
      <w:pPr>
        <w:tabs>
          <w:tab w:val="left" w:pos="142"/>
          <w:tab w:val="left" w:pos="284"/>
        </w:tabs>
        <w:spacing w:after="0" w:line="276" w:lineRule="auto"/>
        <w:jc w:val="both"/>
        <w:rPr>
          <w:rFonts w:ascii="Verdana" w:eastAsia="Century Gothic" w:hAnsi="Verdana" w:cs="Century Gothic"/>
          <w:b/>
          <w:bCs/>
          <w:lang w:val="es-ES"/>
        </w:rPr>
      </w:pPr>
    </w:p>
    <w:p w14:paraId="2B77C00D" w14:textId="77777777" w:rsidR="00CF2FED" w:rsidRPr="00593A5F" w:rsidRDefault="00CF2FED" w:rsidP="00CF2FED">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C0F82E6" w14:textId="77777777" w:rsidR="00CF2FED" w:rsidRPr="00593A5F" w:rsidRDefault="00CF2FED" w:rsidP="00CF2FED">
      <w:pPr>
        <w:spacing w:after="0" w:line="276" w:lineRule="auto"/>
        <w:jc w:val="both"/>
        <w:rPr>
          <w:rFonts w:ascii="Verdana" w:eastAsia="Calibri" w:hAnsi="Verdana" w:cs="Arial"/>
          <w:color w:val="7030A0"/>
          <w:lang w:val="es-ES"/>
        </w:rPr>
      </w:pPr>
    </w:p>
    <w:p w14:paraId="6A1D72AA" w14:textId="77777777" w:rsidR="00CF2FED" w:rsidRDefault="00CF2FED" w:rsidP="00CF2FED">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06C4DE0B" w14:textId="77777777" w:rsidR="00CF2FED" w:rsidRDefault="00CF2FED" w:rsidP="00CF2FED">
      <w:pPr>
        <w:spacing w:after="0" w:line="276" w:lineRule="auto"/>
        <w:jc w:val="both"/>
        <w:rPr>
          <w:rFonts w:ascii="Verdana" w:eastAsia="Calibri" w:hAnsi="Verdana" w:cs="Arial"/>
          <w:lang w:val="es-ES"/>
        </w:rPr>
      </w:pPr>
    </w:p>
    <w:p w14:paraId="49871041" w14:textId="77777777" w:rsidR="00CF2FED" w:rsidRDefault="00CF2FED" w:rsidP="00CF2FED">
      <w:pPr>
        <w:spacing w:after="120" w:line="276" w:lineRule="auto"/>
        <w:jc w:val="both"/>
        <w:rPr>
          <w:rFonts w:ascii="Verdana" w:eastAsia="Calibri" w:hAnsi="Verdana" w:cs="Arial"/>
          <w:lang w:val="es-ES"/>
        </w:rPr>
      </w:pPr>
      <w:r>
        <w:rPr>
          <w:rFonts w:ascii="Verdana" w:eastAsia="Calibri" w:hAnsi="Verdana" w:cs="Arial"/>
          <w:lang w:val="es-ES"/>
        </w:rPr>
        <w:t xml:space="preserve">El ordenamiento jurídico no establece una división expresa entre el informe preliminar y el informe definitivo de evaluación. Sin embargo, las entidades tienen, en primer lugar, un deber general de publicar oportunamente todos los documentos del proceso de contratación; y, en segundo lugar, una obligación específica frente a la publicación del informe de evaluación en las distintas modalidades de contratación en las cuales es procedente. </w:t>
      </w:r>
    </w:p>
    <w:p w14:paraId="5D8779A9" w14:textId="77777777" w:rsidR="00CF2FED" w:rsidRPr="00305688" w:rsidRDefault="00CF2FED" w:rsidP="00CF2FED">
      <w:pPr>
        <w:spacing w:after="0" w:line="276" w:lineRule="auto"/>
        <w:ind w:firstLine="708"/>
        <w:jc w:val="both"/>
        <w:rPr>
          <w:rFonts w:ascii="Verdana" w:eastAsia="Calibri" w:hAnsi="Verdana" w:cs="Arial"/>
          <w:lang w:val="es-ES"/>
        </w:rPr>
      </w:pPr>
      <w:r>
        <w:rPr>
          <w:rFonts w:ascii="Verdana" w:eastAsia="Calibri" w:hAnsi="Verdana" w:cs="Arial"/>
          <w:lang w:val="es-ES"/>
        </w:rPr>
        <w:t xml:space="preserve">Con respecto a la obligación de publicar los documentos del proceso de contratación, </w:t>
      </w:r>
      <w:r w:rsidRPr="00305688">
        <w:rPr>
          <w:rFonts w:ascii="Verdana" w:eastAsia="Arial" w:hAnsi="Verdana" w:cs="Arial"/>
          <w:lang w:eastAsia="es-ES"/>
        </w:rPr>
        <w:t xml:space="preserve">la Constitución Política de 1991 consagra en varios artículos la </w:t>
      </w:r>
      <w:r w:rsidRPr="00305688">
        <w:rPr>
          <w:rFonts w:ascii="Verdana" w:eastAsia="Arial" w:hAnsi="Verdana" w:cs="Arial"/>
          <w:lang w:eastAsia="es-ES"/>
        </w:rPr>
        <w:lastRenderedPageBreak/>
        <w:t xml:space="preserve">publicidad como un principio rector del Estado colombiano. </w:t>
      </w:r>
      <w:r>
        <w:rPr>
          <w:rFonts w:ascii="Verdana" w:eastAsia="Arial" w:hAnsi="Verdana" w:cs="Arial"/>
          <w:lang w:eastAsia="es-ES"/>
        </w:rPr>
        <w:t>E</w:t>
      </w:r>
      <w:r w:rsidRPr="00305688">
        <w:rPr>
          <w:rFonts w:ascii="Verdana" w:eastAsia="Arial" w:hAnsi="Verdana" w:cs="Arial"/>
          <w:lang w:eastAsia="es-ES"/>
        </w:rPr>
        <w:t xml:space="preserve">l </w:t>
      </w:r>
      <w:r>
        <w:rPr>
          <w:rFonts w:ascii="Verdana" w:eastAsia="Arial" w:hAnsi="Verdana" w:cs="Arial"/>
          <w:lang w:eastAsia="es-ES"/>
        </w:rPr>
        <w:t xml:space="preserve">artículo </w:t>
      </w:r>
      <w:r w:rsidRPr="00305688">
        <w:rPr>
          <w:rFonts w:ascii="Verdana" w:eastAsia="Arial" w:hAnsi="Verdana" w:cs="Arial"/>
          <w:lang w:eastAsia="es-ES"/>
        </w:rPr>
        <w:t>209 afirma que la publicidad es uno de los principios que fundamentan el ejercicio de la función administrativa</w:t>
      </w:r>
      <w:r>
        <w:rPr>
          <w:rFonts w:ascii="Verdana" w:eastAsia="Arial" w:hAnsi="Verdana" w:cs="Arial"/>
          <w:lang w:eastAsia="es-ES"/>
        </w:rPr>
        <w:t>,</w:t>
      </w:r>
      <w:r w:rsidRPr="00305688">
        <w:rPr>
          <w:rFonts w:ascii="Verdana" w:eastAsia="Arial" w:hAnsi="Verdana" w:cs="Arial"/>
          <w:lang w:eastAsia="es-ES"/>
        </w:rPr>
        <w:t xml:space="preserve"> y el 74</w:t>
      </w:r>
      <w:r>
        <w:rPr>
          <w:rFonts w:ascii="Verdana" w:eastAsia="Arial" w:hAnsi="Verdana" w:cs="Arial"/>
          <w:lang w:eastAsia="es-ES"/>
        </w:rPr>
        <w:t xml:space="preserve"> establece </w:t>
      </w:r>
      <w:r w:rsidRPr="00305688">
        <w:rPr>
          <w:rFonts w:ascii="Verdana" w:eastAsia="Arial" w:hAnsi="Verdana" w:cs="Arial"/>
          <w:lang w:eastAsia="es-ES"/>
        </w:rPr>
        <w:t>la garantía de acceso a los documentos públicos que no gocen de reserva.</w:t>
      </w:r>
      <w:r>
        <w:rPr>
          <w:rFonts w:ascii="Verdana" w:eastAsia="Arial" w:hAnsi="Verdana" w:cs="Arial"/>
          <w:lang w:eastAsia="es-ES"/>
        </w:rPr>
        <w:t xml:space="preserve"> En línea con lo anterior</w:t>
      </w:r>
      <w:r w:rsidRPr="00305688">
        <w:rPr>
          <w:rFonts w:ascii="Verdana" w:eastAsia="Arial" w:hAnsi="Verdana" w:cs="Arial"/>
          <w:lang w:eastAsia="es-ES"/>
        </w:rPr>
        <w:t>, la Corte Constitucional ha señalado que el principio de publicidad es la garantía que tienen las personas de conocer las actuaciones judiciales y administrativas:</w:t>
      </w:r>
    </w:p>
    <w:p w14:paraId="31531F63" w14:textId="77777777" w:rsidR="00CF2FED" w:rsidRPr="00DB6EFB" w:rsidRDefault="00CF2FED" w:rsidP="00CF2FED">
      <w:pPr>
        <w:pStyle w:val="ListParagraph"/>
        <w:spacing w:after="0" w:line="240" w:lineRule="auto"/>
        <w:jc w:val="both"/>
        <w:rPr>
          <w:rFonts w:ascii="Verdana" w:eastAsia="Arial" w:hAnsi="Verdana" w:cs="Arial"/>
          <w:lang w:eastAsia="es-ES"/>
        </w:rPr>
      </w:pPr>
    </w:p>
    <w:p w14:paraId="5CE7EE62" w14:textId="77777777" w:rsidR="00CF2FED" w:rsidRDefault="00CF2FED" w:rsidP="00CF2FED">
      <w:pPr>
        <w:pStyle w:val="ListParagraph"/>
        <w:tabs>
          <w:tab w:val="left" w:pos="3885"/>
        </w:tabs>
        <w:spacing w:after="120" w:line="240" w:lineRule="auto"/>
        <w:ind w:left="709" w:right="616"/>
        <w:jc w:val="both"/>
        <w:rPr>
          <w:rFonts w:ascii="Verdana" w:eastAsia="Arial" w:hAnsi="Verdana" w:cs="Arial"/>
          <w:sz w:val="20"/>
          <w:szCs w:val="20"/>
          <w:lang w:eastAsia="es-ES"/>
        </w:rPr>
      </w:pPr>
      <w:r w:rsidRPr="0095395A">
        <w:rPr>
          <w:rFonts w:ascii="Verdana" w:eastAsia="Arial" w:hAnsi="Verdana" w:cs="Arial"/>
          <w:sz w:val="20"/>
          <w:szCs w:val="20"/>
          <w:lang w:eastAsia="es-ES"/>
        </w:rPr>
        <w:t>El principio de publicidad se encuentra consagrado en el artículo 209 de la Constitución Política, que señala que la función administrativa está al servicio de los intereses generales y se desarrolla con fundamento entre otros, en el “principio de publicidad”, el cual se evidencia en dos dimensiones.</w:t>
      </w:r>
    </w:p>
    <w:p w14:paraId="48B10223" w14:textId="77777777" w:rsidR="00CF2FED" w:rsidRPr="0025775B" w:rsidRDefault="00CF2FED" w:rsidP="00CF2FED">
      <w:pPr>
        <w:pStyle w:val="ListParagraph"/>
        <w:tabs>
          <w:tab w:val="left" w:pos="3885"/>
        </w:tabs>
        <w:spacing w:after="120" w:line="240" w:lineRule="auto"/>
        <w:ind w:left="709" w:right="616"/>
        <w:jc w:val="both"/>
        <w:rPr>
          <w:rFonts w:ascii="Verdana" w:eastAsia="Arial" w:hAnsi="Verdana" w:cs="Arial"/>
          <w:sz w:val="20"/>
          <w:szCs w:val="20"/>
          <w:lang w:eastAsia="es-ES"/>
        </w:rPr>
      </w:pPr>
      <w:r w:rsidRPr="0025775B">
        <w:rPr>
          <w:rFonts w:ascii="Verdana" w:eastAsia="Arial" w:hAnsi="Verdana" w:cs="Arial"/>
          <w:sz w:val="20"/>
          <w:szCs w:val="20"/>
          <w:lang w:eastAsia="es-ES"/>
        </w:rPr>
        <w:t>La primera de ellas, como el derecho que tienen las personas directamente involucradas, al conocimiento de las actuaciones judiciales y administrativas, la cual se concreta a través de los mecanismos de comunicación y la segunda, como el reconocimiento del derecho que tiene la comunidad de conocer las actuaciones de las autoridades públicas y, a través de ese conocimiento, a exigir que ellas se surtan conforme a la ley</w:t>
      </w:r>
      <w:r w:rsidRPr="0095395A">
        <w:rPr>
          <w:vertAlign w:val="superscript"/>
          <w:lang w:eastAsia="es-ES"/>
        </w:rPr>
        <w:footnoteReference w:id="2"/>
      </w:r>
      <w:r w:rsidRPr="0025775B">
        <w:rPr>
          <w:rFonts w:ascii="Verdana" w:eastAsia="Arial" w:hAnsi="Verdana" w:cs="Arial"/>
          <w:sz w:val="20"/>
          <w:szCs w:val="20"/>
          <w:lang w:eastAsia="es-ES"/>
        </w:rPr>
        <w:t>.</w:t>
      </w:r>
    </w:p>
    <w:p w14:paraId="49ABDF11" w14:textId="77777777" w:rsidR="00CF2FED" w:rsidRDefault="00CF2FED" w:rsidP="00CF2FED">
      <w:pPr>
        <w:spacing w:before="120" w:after="0" w:line="276" w:lineRule="auto"/>
        <w:ind w:firstLine="708"/>
        <w:jc w:val="both"/>
        <w:rPr>
          <w:rFonts w:ascii="Verdana" w:eastAsia="Arial" w:hAnsi="Verdana" w:cs="Arial"/>
          <w:lang w:eastAsia="es-ES"/>
        </w:rPr>
      </w:pPr>
      <w:r w:rsidRPr="0025775B">
        <w:rPr>
          <w:rFonts w:ascii="Verdana" w:eastAsia="Arial" w:hAnsi="Verdana" w:cs="Arial"/>
          <w:lang w:eastAsia="es-ES"/>
        </w:rPr>
        <w:t>En efecto, el principio de publicidad impone a las autoridades administrativas el deber de dar a conocer sus actos, contratos y decisiones, para que se divulguen y eventualmente se controlen dichas actuaciones.</w:t>
      </w:r>
    </w:p>
    <w:p w14:paraId="61996DA9" w14:textId="77777777" w:rsidR="00CF2FED" w:rsidRDefault="00CF2FED" w:rsidP="00CF2FED">
      <w:pPr>
        <w:spacing w:before="120" w:after="0" w:line="276" w:lineRule="auto"/>
        <w:ind w:firstLine="708"/>
        <w:jc w:val="both"/>
        <w:rPr>
          <w:rFonts w:ascii="Verdana" w:eastAsia="Arial" w:hAnsi="Verdana" w:cs="Arial"/>
          <w:lang w:eastAsia="es-ES"/>
        </w:rPr>
      </w:pPr>
      <w:r w:rsidRPr="0025775B">
        <w:rPr>
          <w:rFonts w:ascii="Verdana" w:eastAsia="Arial" w:hAnsi="Verdana" w:cs="Arial"/>
          <w:lang w:eastAsia="es-ES"/>
        </w:rPr>
        <w:t>De otra parte, la Ley 1712 de 2014 –Ley Estatutaria de transparencia y derecho de acceso a la información y a los documentos públicos–, identifica como principios que orientan el derecho de acceso a la información pública, los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4E77ED">
        <w:rPr>
          <w:rFonts w:ascii="Verdana" w:eastAsia="Arial" w:hAnsi="Verdana" w:cs="Arial"/>
          <w:vertAlign w:val="superscript"/>
          <w:lang w:eastAsia="es-ES"/>
        </w:rPr>
        <w:footnoteReference w:id="3"/>
      </w:r>
      <w:r w:rsidRPr="0025775B">
        <w:rPr>
          <w:rFonts w:ascii="Verdana" w:eastAsia="Arial" w:hAnsi="Verdana" w:cs="Arial"/>
          <w:lang w:eastAsia="es-ES"/>
        </w:rPr>
        <w:t>. El principio de transparencia en la información alude al deber de los sujetos de proporcionar y facilitar el acceso a la misma en los términos</w:t>
      </w:r>
      <w:r w:rsidRPr="008E1BC7">
        <w:rPr>
          <w:rFonts w:ascii="Verdana" w:eastAsia="Arial" w:hAnsi="Verdana" w:cs="Arial"/>
          <w:lang w:eastAsia="es-ES"/>
        </w:rPr>
        <w:t xml:space="preserve"> más amplios posibles, y a través de los medios y procedimientos legales. </w:t>
      </w:r>
    </w:p>
    <w:p w14:paraId="5610C81B" w14:textId="77777777" w:rsidR="00CF2FED" w:rsidRPr="002636E0" w:rsidRDefault="00CF2FED" w:rsidP="00CF2FED">
      <w:pPr>
        <w:spacing w:before="120" w:after="0" w:line="276" w:lineRule="auto"/>
        <w:ind w:firstLine="708"/>
        <w:jc w:val="both"/>
        <w:rPr>
          <w:rFonts w:ascii="Verdana" w:eastAsia="Arial" w:hAnsi="Verdana" w:cs="Arial"/>
          <w:lang w:eastAsia="es-ES"/>
        </w:rPr>
      </w:pPr>
      <w:r>
        <w:rPr>
          <w:rFonts w:ascii="Verdana" w:eastAsia="Arial" w:hAnsi="Verdana" w:cs="Arial"/>
          <w:lang w:eastAsia="es-ES"/>
        </w:rPr>
        <w:lastRenderedPageBreak/>
        <w:t xml:space="preserve">Adicionalmente, </w:t>
      </w:r>
      <w:r w:rsidRPr="0025775B">
        <w:rPr>
          <w:rFonts w:ascii="Verdana" w:eastAsia="Arial" w:hAnsi="Verdana" w:cs="Arial"/>
          <w:lang w:eastAsia="es-ES"/>
        </w:rPr>
        <w:t>el literal e) del artículo 9</w:t>
      </w:r>
      <w:r>
        <w:rPr>
          <w:rFonts w:ascii="Verdana" w:eastAsia="Arial" w:hAnsi="Verdana" w:cs="Arial"/>
          <w:lang w:eastAsia="es-ES"/>
        </w:rPr>
        <w:t xml:space="preserve"> de </w:t>
      </w:r>
      <w:r w:rsidRPr="0025775B">
        <w:rPr>
          <w:rFonts w:ascii="Verdana" w:eastAsia="Arial" w:hAnsi="Verdana" w:cs="Arial"/>
          <w:lang w:eastAsia="es-ES"/>
        </w:rPr>
        <w:t xml:space="preserve">la Ley </w:t>
      </w:r>
      <w:r w:rsidRPr="008E1BC7">
        <w:rPr>
          <w:rFonts w:ascii="Verdana" w:eastAsia="Arial" w:hAnsi="Verdana" w:cs="Arial"/>
          <w:lang w:eastAsia="es-ES"/>
        </w:rPr>
        <w:t xml:space="preserve">1712 de 2014 </w:t>
      </w:r>
      <w:r w:rsidRPr="0025775B">
        <w:rPr>
          <w:rFonts w:ascii="Verdana" w:eastAsia="Arial" w:hAnsi="Verdana" w:cs="Arial"/>
          <w:lang w:eastAsia="es-ES"/>
        </w:rPr>
        <w:t>establece</w:t>
      </w:r>
      <w:r>
        <w:rPr>
          <w:rFonts w:ascii="Verdana" w:eastAsia="Arial" w:hAnsi="Verdana" w:cs="Arial"/>
          <w:lang w:eastAsia="es-ES"/>
        </w:rPr>
        <w:t xml:space="preserve"> </w:t>
      </w:r>
      <w:r w:rsidRPr="0025775B">
        <w:rPr>
          <w:rFonts w:ascii="Verdana" w:eastAsia="Arial" w:hAnsi="Verdana" w:cs="Arial"/>
          <w:lang w:eastAsia="es-ES"/>
        </w:rPr>
        <w:t>que todas las entidades</w:t>
      </w:r>
      <w:r w:rsidRPr="008E1BC7">
        <w:rPr>
          <w:rFonts w:ascii="Verdana" w:hAnsi="Verdana" w:cs="Arial"/>
          <w:color w:val="000000" w:themeColor="text1"/>
          <w:lang w:val="es-ES_tradnl"/>
        </w:rPr>
        <w:t xml:space="preserve"> públicas</w:t>
      </w:r>
      <w:r w:rsidRPr="00EF0BDA">
        <w:rPr>
          <w:rStyle w:val="FootnoteReference"/>
          <w:rFonts w:ascii="Verdana" w:hAnsi="Verdana" w:cs="Arial"/>
          <w:color w:val="000000" w:themeColor="text1"/>
          <w:lang w:val="es-ES_tradnl"/>
        </w:rPr>
        <w:footnoteReference w:id="4"/>
      </w:r>
      <w:r>
        <w:rPr>
          <w:rFonts w:ascii="Verdana" w:hAnsi="Verdana" w:cs="Arial"/>
          <w:color w:val="000000" w:themeColor="text1"/>
          <w:lang w:val="es-ES_tradnl"/>
        </w:rPr>
        <w:t xml:space="preserve"> </w:t>
      </w:r>
      <w:r w:rsidRPr="008E1BC7">
        <w:rPr>
          <w:rFonts w:ascii="Verdana" w:hAnsi="Verdana" w:cs="Arial"/>
          <w:color w:val="000000" w:themeColor="text1"/>
          <w:lang w:val="es-ES_tradnl"/>
        </w:rPr>
        <w:t>deben publicar la información relativa a su contratación.</w:t>
      </w:r>
      <w:r>
        <w:rPr>
          <w:rFonts w:ascii="Verdana" w:eastAsia="Arial" w:hAnsi="Verdana" w:cs="Arial"/>
          <w:lang w:eastAsia="es-ES"/>
        </w:rPr>
        <w:t xml:space="preserve"> Por su parte</w:t>
      </w:r>
      <w:r w:rsidRPr="008E1BC7">
        <w:rPr>
          <w:rFonts w:ascii="Verdana" w:eastAsia="Arial" w:hAnsi="Verdana" w:cs="Arial"/>
          <w:lang w:eastAsia="es-ES"/>
        </w:rPr>
        <w:t>, el literal g) del artículo 11</w:t>
      </w:r>
      <w:r>
        <w:rPr>
          <w:rFonts w:ascii="Verdana" w:eastAsia="Arial" w:hAnsi="Verdana" w:cs="Arial"/>
          <w:lang w:eastAsia="es-ES"/>
        </w:rPr>
        <w:t xml:space="preserve"> señala que las Entidades deben garantizar la publicidad </w:t>
      </w:r>
      <w:r w:rsidRPr="008E1BC7">
        <w:rPr>
          <w:rFonts w:ascii="Verdana" w:eastAsia="Arial" w:hAnsi="Verdana" w:cs="Arial"/>
          <w:lang w:eastAsia="es-ES"/>
        </w:rPr>
        <w:t xml:space="preserve">de “sus procedimientos, </w:t>
      </w:r>
      <w:r w:rsidRPr="002636E0">
        <w:rPr>
          <w:rFonts w:ascii="Verdana" w:eastAsia="Arial" w:hAnsi="Verdana" w:cs="Arial"/>
          <w:lang w:eastAsia="es-ES"/>
        </w:rPr>
        <w:t xml:space="preserve">lineamientos, políticas en materia de adquisiciones y compras, así como todos los datos de adjudicación y ejecución de contratos, incluidos concursos y licitaciones”. </w:t>
      </w:r>
    </w:p>
    <w:p w14:paraId="5CD99A3C" w14:textId="77777777" w:rsidR="00CF2FED" w:rsidRPr="0025775B" w:rsidRDefault="00CF2FED" w:rsidP="00CF2FED">
      <w:pPr>
        <w:spacing w:before="120" w:after="0" w:line="276" w:lineRule="auto"/>
        <w:ind w:firstLine="708"/>
        <w:jc w:val="both"/>
        <w:rPr>
          <w:rFonts w:ascii="Verdana" w:eastAsia="Arial" w:hAnsi="Verdana" w:cs="Arial"/>
          <w:lang w:eastAsia="es-ES"/>
        </w:rPr>
      </w:pPr>
      <w:r w:rsidRPr="002636E0">
        <w:rPr>
          <w:rFonts w:ascii="Verdana" w:hAnsi="Verdana" w:cs="Arial"/>
          <w:color w:val="000000" w:themeColor="text1"/>
          <w:lang w:val="es-ES_tradnl"/>
        </w:rPr>
        <w:t xml:space="preserve">Esta obligación fue </w:t>
      </w:r>
      <w:r w:rsidRPr="002636E0">
        <w:rPr>
          <w:rFonts w:ascii="Verdana" w:eastAsia="Calibri" w:hAnsi="Verdana" w:cs="Arial"/>
          <w:color w:val="000000"/>
          <w:lang w:val="es-ES_tradnl"/>
        </w:rPr>
        <w:t>desarrollada expresamente en el Decreto Único Reglamentario 1082 de 2015</w:t>
      </w:r>
      <w:r w:rsidRPr="002636E0">
        <w:rPr>
          <w:rFonts w:ascii="Verdana" w:eastAsia="Calibri" w:hAnsi="Verdana"/>
          <w:color w:val="000000"/>
          <w:vertAlign w:val="superscript"/>
          <w:lang w:val="es-ES_tradnl"/>
        </w:rPr>
        <w:footnoteReference w:id="5"/>
      </w:r>
      <w:r w:rsidRPr="002636E0">
        <w:rPr>
          <w:rFonts w:ascii="Verdana" w:eastAsia="Calibri" w:hAnsi="Verdana" w:cs="Arial"/>
          <w:color w:val="000000"/>
          <w:lang w:val="es-ES_tradnl"/>
        </w:rPr>
        <w:t>, el cual dispuso que la publicación de la información contractual de los sujetos que contratan con cargo a recursos públicos debe hacerse en el SECOP.</w:t>
      </w:r>
      <w:r w:rsidRPr="002636E0">
        <w:rPr>
          <w:rFonts w:ascii="Verdana" w:eastAsia="Arial" w:hAnsi="Verdana" w:cs="Arial"/>
          <w:lang w:eastAsia="es-ES"/>
        </w:rPr>
        <w:t xml:space="preserve"> </w:t>
      </w:r>
      <w:r w:rsidRPr="002636E0">
        <w:rPr>
          <w:rFonts w:ascii="Verdana" w:hAnsi="Verdana" w:cs="Arial"/>
          <w:shd w:val="clear" w:color="auto" w:fill="FFFFFF"/>
        </w:rPr>
        <w:t>El artículo 2.2.1.1.1.7.1 del Decreto establece que las Entidades Estatales tienen la obligación de publicar “[…] los Documentos del Proceso y los actos administrativos del Proceso de Contratación, dentro de los tres (3) días siguientes a su expedición […]”. A su vez,</w:t>
      </w:r>
      <w:r w:rsidRPr="002636E0">
        <w:rPr>
          <w:rFonts w:ascii="Verdana" w:eastAsia="Times New Roman" w:hAnsi="Verdana" w:cs="Arial"/>
          <w:color w:val="000000"/>
          <w:szCs w:val="24"/>
          <w:lang w:val="es-ES_tradnl" w:eastAsia="es-ES_tradnl"/>
        </w:rPr>
        <w:t xml:space="preserve"> </w:t>
      </w:r>
      <w:r w:rsidRPr="002636E0">
        <w:rPr>
          <w:rFonts w:ascii="Verdana" w:hAnsi="Verdana" w:cs="Arial"/>
          <w:shd w:val="clear" w:color="auto" w:fill="FFFFFF"/>
        </w:rPr>
        <w:t xml:space="preserve">la expresión </w:t>
      </w:r>
      <w:r w:rsidRPr="002636E0">
        <w:rPr>
          <w:rFonts w:ascii="Verdana" w:hAnsi="Verdana" w:cs="Arial"/>
          <w:i/>
          <w:iCs/>
          <w:shd w:val="clear" w:color="auto" w:fill="FFFFFF"/>
        </w:rPr>
        <w:t xml:space="preserve">Documentos del Proceso </w:t>
      </w:r>
      <w:r w:rsidRPr="002636E0">
        <w:rPr>
          <w:rFonts w:ascii="Verdana" w:hAnsi="Verdana" w:cs="Arial"/>
          <w:shd w:val="clear" w:color="auto" w:fill="FFFFFF"/>
        </w:rPr>
        <w:t>está definida en el artículo 2.2.1.1.1.3.1., donde se establece que son: “(a) los estudios</w:t>
      </w:r>
      <w:r w:rsidRPr="00E0140A">
        <w:rPr>
          <w:rFonts w:ascii="Verdana" w:hAnsi="Verdana" w:cs="Arial"/>
          <w:shd w:val="clear" w:color="auto" w:fill="FFFFFF"/>
        </w:rPr>
        <w:t xml:space="preserve"> y documentos previos; (b) el aviso de convocatoria; (c) los pliegos de condiciones o la invitación; (d) las adendas; (e) la oferta; </w:t>
      </w:r>
      <w:r w:rsidRPr="002533AF">
        <w:rPr>
          <w:rFonts w:ascii="Verdana" w:hAnsi="Verdana" w:cs="Arial"/>
          <w:i/>
          <w:iCs/>
          <w:shd w:val="clear" w:color="auto" w:fill="FFFFFF"/>
        </w:rPr>
        <w:t>(f) el informe de evaluación</w:t>
      </w:r>
      <w:r w:rsidRPr="00E0140A">
        <w:rPr>
          <w:rFonts w:ascii="Verdana" w:hAnsi="Verdana" w:cs="Arial"/>
          <w:shd w:val="clear" w:color="auto" w:fill="FFFFFF"/>
        </w:rPr>
        <w:t xml:space="preserve">; (g) el contrato; </w:t>
      </w:r>
      <w:r w:rsidRPr="00E0140A">
        <w:rPr>
          <w:rFonts w:ascii="Verdana" w:hAnsi="Verdana" w:cs="Arial"/>
          <w:i/>
          <w:iCs/>
          <w:shd w:val="clear" w:color="auto" w:fill="FFFFFF"/>
        </w:rPr>
        <w:t>y cualquier otro documento expedido por la Entidad Estatal durante el Proceso de Contratación</w:t>
      </w:r>
      <w:r w:rsidRPr="00E0140A">
        <w:rPr>
          <w:rFonts w:ascii="Verdana" w:hAnsi="Verdana" w:cs="Arial"/>
          <w:shd w:val="clear" w:color="auto" w:fill="FFFFFF"/>
        </w:rPr>
        <w:t xml:space="preserve">”. [Énfasis </w:t>
      </w:r>
      <w:r w:rsidRPr="0025775B">
        <w:rPr>
          <w:rFonts w:ascii="Verdana" w:eastAsia="Arial" w:hAnsi="Verdana" w:cs="Arial"/>
          <w:lang w:eastAsia="es-ES"/>
        </w:rPr>
        <w:t>fuera de texto]</w:t>
      </w:r>
    </w:p>
    <w:p w14:paraId="22FED540" w14:textId="77777777" w:rsidR="00CF2FED" w:rsidRPr="0025775B" w:rsidRDefault="00CF2FED" w:rsidP="00CF2FED">
      <w:pPr>
        <w:spacing w:before="120" w:after="0" w:line="276" w:lineRule="auto"/>
        <w:jc w:val="both"/>
        <w:rPr>
          <w:rFonts w:ascii="Verdana" w:eastAsia="Arial" w:hAnsi="Verdana" w:cs="Arial"/>
          <w:lang w:eastAsia="es-ES"/>
        </w:rPr>
      </w:pPr>
      <w:r w:rsidRPr="0025775B">
        <w:rPr>
          <w:rFonts w:ascii="Verdana" w:eastAsia="Arial" w:hAnsi="Verdana" w:cs="Arial"/>
          <w:lang w:eastAsia="es-ES"/>
        </w:rPr>
        <w:tab/>
        <w:t xml:space="preserve">El anterior no es un listado taxativo, sino enunciativo, puesto que el artículo 2.2.1.1.1.3.1 incluye en la noción de Documentos del Proceso “cualquier otro documento expedido por la Entidad Estatal durante el Proceso de Contratación”. </w:t>
      </w:r>
      <w:r>
        <w:rPr>
          <w:rFonts w:ascii="Verdana" w:eastAsia="Arial" w:hAnsi="Verdana" w:cs="Arial"/>
          <w:lang w:eastAsia="es-ES"/>
        </w:rPr>
        <w:t>E</w:t>
      </w:r>
      <w:r w:rsidRPr="0025775B">
        <w:rPr>
          <w:rFonts w:ascii="Verdana" w:eastAsia="Arial" w:hAnsi="Verdana" w:cs="Arial"/>
          <w:lang w:eastAsia="es-ES"/>
        </w:rPr>
        <w:t xml:space="preserve">ste mismo artículo define la expresión </w:t>
      </w:r>
      <w:r w:rsidRPr="00675547">
        <w:rPr>
          <w:rFonts w:ascii="Verdana" w:eastAsia="Arial" w:hAnsi="Verdana" w:cs="Arial"/>
          <w:i/>
          <w:iCs/>
          <w:lang w:eastAsia="es-ES"/>
        </w:rPr>
        <w:t>Proceso de Contratación</w:t>
      </w:r>
      <w:r w:rsidRPr="0025775B">
        <w:rPr>
          <w:rFonts w:ascii="Verdana" w:eastAsia="Arial" w:hAnsi="Verdana" w:cs="Arial"/>
          <w:lang w:eastAsia="es-ES"/>
        </w:rPr>
        <w:t xml:space="preserve"> como el “Conjunto de actos y actividades, y su secuencia, adelantadas por la Entidad Estatal desde la planeación hasta el vencimiento de las garantías de calidad, estabilidad y mantenimiento, o las condiciones de disposición final o </w:t>
      </w:r>
      <w:r w:rsidRPr="0025775B">
        <w:rPr>
          <w:rFonts w:ascii="Verdana" w:eastAsia="Arial" w:hAnsi="Verdana" w:cs="Arial"/>
          <w:lang w:eastAsia="es-ES"/>
        </w:rPr>
        <w:lastRenderedPageBreak/>
        <w:t xml:space="preserve">recuperación ambiental de las obras o bienes o el vencimiento del plazo, lo que ocurra más tarde”. </w:t>
      </w:r>
    </w:p>
    <w:p w14:paraId="2547CFD8" w14:textId="77777777" w:rsidR="00CF2FED" w:rsidRDefault="00CF2FED" w:rsidP="00CF2FED">
      <w:pPr>
        <w:tabs>
          <w:tab w:val="left" w:pos="709"/>
        </w:tabs>
        <w:spacing w:before="120" w:after="120" w:line="276" w:lineRule="auto"/>
        <w:jc w:val="both"/>
        <w:rPr>
          <w:rFonts w:ascii="Verdana" w:hAnsi="Verdana" w:cs="Arial"/>
          <w:shd w:val="clear" w:color="auto" w:fill="FFFFFF"/>
        </w:rPr>
      </w:pPr>
      <w:r>
        <w:rPr>
          <w:rFonts w:ascii="Verdana" w:hAnsi="Verdana" w:cs="Arial"/>
          <w:shd w:val="clear" w:color="auto" w:fill="FFFFFF"/>
        </w:rPr>
        <w:tab/>
      </w:r>
      <w:r w:rsidRPr="00E87F03">
        <w:rPr>
          <w:rFonts w:ascii="Verdana" w:hAnsi="Verdana" w:cs="Arial"/>
          <w:shd w:val="clear" w:color="auto" w:fill="FFFFFF"/>
        </w:rPr>
        <w:t xml:space="preserve">En ese sentido, </w:t>
      </w:r>
      <w:r>
        <w:rPr>
          <w:rFonts w:ascii="Verdana" w:hAnsi="Verdana" w:cs="Arial"/>
          <w:shd w:val="clear" w:color="auto" w:fill="FFFFFF"/>
        </w:rPr>
        <w:t>una</w:t>
      </w:r>
      <w:r w:rsidRPr="00E87F03">
        <w:rPr>
          <w:rFonts w:ascii="Verdana" w:hAnsi="Verdana" w:cs="Arial"/>
          <w:shd w:val="clear" w:color="auto" w:fill="FFFFFF"/>
        </w:rPr>
        <w:t xml:space="preserve"> interpretación sistemática </w:t>
      </w:r>
      <w:r>
        <w:rPr>
          <w:rFonts w:ascii="Verdana" w:hAnsi="Verdana" w:cs="Arial"/>
          <w:shd w:val="clear" w:color="auto" w:fill="FFFFFF"/>
        </w:rPr>
        <w:t xml:space="preserve">de las disposiciones anteriores del </w:t>
      </w:r>
      <w:r w:rsidRPr="00E87F03">
        <w:rPr>
          <w:rFonts w:ascii="Verdana" w:hAnsi="Verdana" w:cs="Arial"/>
          <w:shd w:val="clear" w:color="auto" w:fill="FFFFFF"/>
        </w:rPr>
        <w:t xml:space="preserve">Decreto 1082 de 2015, de acuerdo con el principio de publicidad, indica que las Entidades Estatales tienen la obligación de publicar </w:t>
      </w:r>
      <w:r w:rsidRPr="00E87F03">
        <w:rPr>
          <w:rFonts w:ascii="Verdana" w:hAnsi="Verdana" w:cs="Arial"/>
          <w:i/>
          <w:iCs/>
          <w:shd w:val="clear" w:color="auto" w:fill="FFFFFF"/>
        </w:rPr>
        <w:t>todos</w:t>
      </w:r>
      <w:r w:rsidRPr="00E87F03">
        <w:rPr>
          <w:rFonts w:ascii="Verdana" w:hAnsi="Verdana" w:cs="Arial"/>
          <w:shd w:val="clear" w:color="auto" w:fill="FFFFFF"/>
        </w:rPr>
        <w:t xml:space="preserve"> los documentos que expidan con ocasión del Proceso de Contratación</w:t>
      </w:r>
      <w:r>
        <w:rPr>
          <w:rFonts w:ascii="Verdana" w:hAnsi="Verdana" w:cs="Arial"/>
          <w:shd w:val="clear" w:color="auto" w:fill="FFFFFF"/>
        </w:rPr>
        <w:t xml:space="preserve">. Este mandato implica que </w:t>
      </w:r>
      <w:r w:rsidRPr="00E87F03">
        <w:rPr>
          <w:rFonts w:ascii="Verdana" w:hAnsi="Verdana" w:cs="Arial"/>
          <w:shd w:val="clear" w:color="auto" w:fill="FFFFFF"/>
        </w:rPr>
        <w:t xml:space="preserve">todos los documentos </w:t>
      </w:r>
      <w:r>
        <w:rPr>
          <w:rFonts w:ascii="Verdana" w:hAnsi="Verdana" w:cs="Arial"/>
          <w:shd w:val="clear" w:color="auto" w:fill="FFFFFF"/>
        </w:rPr>
        <w:t xml:space="preserve">de </w:t>
      </w:r>
      <w:r w:rsidRPr="00E87F03">
        <w:rPr>
          <w:rFonts w:ascii="Verdana" w:hAnsi="Verdana" w:cs="Arial"/>
          <w:shd w:val="clear" w:color="auto" w:fill="FFFFFF"/>
        </w:rPr>
        <w:t xml:space="preserve">las etapas precontractual, de ejecución y </w:t>
      </w:r>
      <w:proofErr w:type="spellStart"/>
      <w:r w:rsidRPr="00E87F03">
        <w:rPr>
          <w:rFonts w:ascii="Verdana" w:hAnsi="Verdana" w:cs="Arial"/>
          <w:shd w:val="clear" w:color="auto" w:fill="FFFFFF"/>
        </w:rPr>
        <w:t>postcontractual</w:t>
      </w:r>
      <w:proofErr w:type="spellEnd"/>
      <w:r w:rsidRPr="00E87F03">
        <w:rPr>
          <w:rFonts w:ascii="Verdana" w:hAnsi="Verdana" w:cs="Arial"/>
          <w:shd w:val="clear" w:color="auto" w:fill="FFFFFF"/>
        </w:rPr>
        <w:t xml:space="preserve"> deberán ser publicados en SECOP dentro de los tres (3) días siguientes a su expedición para cumplir </w:t>
      </w:r>
      <w:r>
        <w:rPr>
          <w:rFonts w:ascii="Verdana" w:hAnsi="Verdana" w:cs="Arial"/>
          <w:shd w:val="clear" w:color="auto" w:fill="FFFFFF"/>
        </w:rPr>
        <w:t xml:space="preserve">con lo establecido en el artículo </w:t>
      </w:r>
      <w:r w:rsidRPr="00E87F03">
        <w:rPr>
          <w:rFonts w:ascii="Verdana" w:hAnsi="Verdana" w:cs="Arial"/>
          <w:shd w:val="clear" w:color="auto" w:fill="FFFFFF"/>
        </w:rPr>
        <w:t>2.2.1.1.1.7.1. del Decreto 1082 de 2015.</w:t>
      </w:r>
    </w:p>
    <w:p w14:paraId="4EFD51E8" w14:textId="3CA4EC8C" w:rsidR="00CF2FED" w:rsidRPr="0026407E" w:rsidRDefault="00CF2FED" w:rsidP="00CF2FED">
      <w:pPr>
        <w:spacing w:before="120" w:after="120" w:line="276" w:lineRule="auto"/>
        <w:ind w:firstLine="708"/>
        <w:jc w:val="both"/>
        <w:rPr>
          <w:rStyle w:val="Strong"/>
          <w:rFonts w:ascii="Verdana" w:hAnsi="Verdana" w:cs="Arial"/>
          <w:b w:val="0"/>
          <w:bCs w:val="0"/>
          <w:color w:val="000000" w:themeColor="text1"/>
        </w:rPr>
      </w:pPr>
      <w:r>
        <w:rPr>
          <w:rFonts w:ascii="Verdana" w:hAnsi="Verdana" w:cs="Arial"/>
          <w:shd w:val="clear" w:color="auto" w:fill="FFFFFF"/>
        </w:rPr>
        <w:t xml:space="preserve">Con respecto a la obligación específica de publicar el informe de evaluación, el Estatuto General de Contratación de la Administración Pública fijó los términos que para ello deben cumplir las Entidades Estatales en las distintas modalidades de selección. </w:t>
      </w:r>
      <w:r>
        <w:rPr>
          <w:rFonts w:ascii="Verdana" w:hAnsi="Verdana"/>
        </w:rPr>
        <w:t>E</w:t>
      </w:r>
      <w:r w:rsidRPr="0026407E">
        <w:rPr>
          <w:rFonts w:ascii="Verdana" w:hAnsi="Verdana"/>
        </w:rPr>
        <w:t>n los procesos de licitación pública</w:t>
      </w:r>
      <w:r>
        <w:rPr>
          <w:rFonts w:ascii="Verdana" w:hAnsi="Verdana"/>
        </w:rPr>
        <w:t>,</w:t>
      </w:r>
      <w:r w:rsidRPr="0026407E">
        <w:rPr>
          <w:rFonts w:ascii="Verdana" w:hAnsi="Verdana"/>
        </w:rPr>
        <w:t xml:space="preserve"> </w:t>
      </w:r>
      <w:r>
        <w:rPr>
          <w:rFonts w:ascii="Verdana" w:hAnsi="Verdana"/>
        </w:rPr>
        <w:t xml:space="preserve">el informe de evaluación de las propuestas </w:t>
      </w:r>
      <w:r w:rsidRPr="0026407E">
        <w:rPr>
          <w:rFonts w:ascii="Verdana" w:hAnsi="Verdana"/>
        </w:rPr>
        <w:t xml:space="preserve">debe permanecer en la </w:t>
      </w:r>
      <w:r>
        <w:rPr>
          <w:rFonts w:ascii="Verdana" w:hAnsi="Verdana"/>
        </w:rPr>
        <w:t>s</w:t>
      </w:r>
      <w:r w:rsidRPr="0026407E">
        <w:rPr>
          <w:rFonts w:ascii="Verdana" w:hAnsi="Verdana"/>
        </w:rPr>
        <w:t xml:space="preserve">ecretaría </w:t>
      </w:r>
      <w:r>
        <w:rPr>
          <w:rFonts w:ascii="Verdana" w:hAnsi="Verdana"/>
        </w:rPr>
        <w:t>g</w:t>
      </w:r>
      <w:r w:rsidRPr="0026407E">
        <w:rPr>
          <w:rFonts w:ascii="Verdana" w:hAnsi="Verdana"/>
        </w:rPr>
        <w:t>eneral de la Entidad Estatal contratante por el un término de cinco (5) días hábiles</w:t>
      </w:r>
      <w:r w:rsidR="001A5F88">
        <w:rPr>
          <w:rStyle w:val="FootnoteReference"/>
          <w:rFonts w:ascii="Verdana" w:hAnsi="Verdana"/>
        </w:rPr>
        <w:footnoteReference w:id="6"/>
      </w:r>
      <w:r w:rsidRPr="0026407E">
        <w:rPr>
          <w:rFonts w:ascii="Verdana" w:hAnsi="Verdana"/>
        </w:rPr>
        <w:t>. En los procesos de selección de concurso de méritos y de selección abreviada de menor cuantía, las Entidades Estatales están en la obligación de publicar el informe de evaluación por un término de tres (3) días hábiles, mientras que en los procesos de selección de mínima cuantía ese informe de evaluación deberá publicarse al menos por el término de un (1) día hábil</w:t>
      </w:r>
      <w:r w:rsidR="00F11F22">
        <w:rPr>
          <w:rStyle w:val="FootnoteReference"/>
          <w:rFonts w:ascii="Verdana" w:hAnsi="Verdana"/>
        </w:rPr>
        <w:footnoteReference w:id="7"/>
      </w:r>
      <w:r w:rsidRPr="0026407E">
        <w:rPr>
          <w:rFonts w:ascii="Verdana" w:hAnsi="Verdana"/>
        </w:rPr>
        <w:t>.</w:t>
      </w:r>
    </w:p>
    <w:p w14:paraId="673C1336" w14:textId="77777777" w:rsidR="00CF2FED" w:rsidRDefault="00CF2FED" w:rsidP="00CF2FED">
      <w:pPr>
        <w:tabs>
          <w:tab w:val="left" w:pos="709"/>
        </w:tabs>
        <w:spacing w:before="120" w:after="120" w:line="276" w:lineRule="auto"/>
        <w:jc w:val="both"/>
        <w:rPr>
          <w:rFonts w:ascii="Verdana" w:hAnsi="Verdana"/>
        </w:rPr>
      </w:pPr>
      <w:r>
        <w:rPr>
          <w:rFonts w:ascii="Verdana" w:hAnsi="Verdana"/>
        </w:rPr>
        <w:lastRenderedPageBreak/>
        <w:tab/>
      </w:r>
      <w:r w:rsidRPr="0026407E">
        <w:rPr>
          <w:rFonts w:ascii="Verdana" w:hAnsi="Verdana"/>
        </w:rPr>
        <w:t xml:space="preserve">El propósito de la </w:t>
      </w:r>
      <w:r>
        <w:rPr>
          <w:rFonts w:ascii="Verdana" w:hAnsi="Verdana"/>
        </w:rPr>
        <w:t xml:space="preserve">publicación oportuna </w:t>
      </w:r>
      <w:r w:rsidRPr="0026407E">
        <w:rPr>
          <w:rFonts w:ascii="Verdana" w:hAnsi="Verdana"/>
        </w:rPr>
        <w:t xml:space="preserve">del informe de evaluación de las propuestas en cada </w:t>
      </w:r>
      <w:r>
        <w:rPr>
          <w:rFonts w:ascii="Verdana" w:hAnsi="Verdana"/>
        </w:rPr>
        <w:t xml:space="preserve">una de estas modalidades </w:t>
      </w:r>
      <w:r w:rsidRPr="0026407E">
        <w:rPr>
          <w:rFonts w:ascii="Verdana" w:hAnsi="Verdana"/>
        </w:rPr>
        <w:t xml:space="preserve">es que los </w:t>
      </w:r>
      <w:r>
        <w:rPr>
          <w:rFonts w:ascii="Verdana" w:hAnsi="Verdana"/>
        </w:rPr>
        <w:t xml:space="preserve">interesados </w:t>
      </w:r>
      <w:r w:rsidRPr="0026407E">
        <w:rPr>
          <w:rFonts w:ascii="Verdana" w:hAnsi="Verdana"/>
        </w:rPr>
        <w:t>puedan realizar las observaciones que consideren pertinentes</w:t>
      </w:r>
      <w:r>
        <w:rPr>
          <w:rFonts w:ascii="Verdana" w:hAnsi="Verdana"/>
        </w:rPr>
        <w:t xml:space="preserve"> y que, en los casos que sea procedente, la Entidad realice las modificaciones o ajustes necesarios.</w:t>
      </w:r>
    </w:p>
    <w:p w14:paraId="06B9E7F8" w14:textId="77777777" w:rsidR="00CF2FED" w:rsidRDefault="00CF2FED" w:rsidP="00CF2FED">
      <w:pPr>
        <w:tabs>
          <w:tab w:val="left" w:pos="709"/>
        </w:tabs>
        <w:spacing w:before="120" w:after="120" w:line="276" w:lineRule="auto"/>
        <w:jc w:val="both"/>
        <w:rPr>
          <w:rFonts w:ascii="Verdana" w:hAnsi="Verdana" w:cs="Arial"/>
          <w:shd w:val="clear" w:color="auto" w:fill="FFFFFF"/>
        </w:rPr>
      </w:pPr>
      <w:r>
        <w:rPr>
          <w:rFonts w:ascii="Verdana" w:hAnsi="Verdana"/>
        </w:rPr>
        <w:tab/>
        <w:t>A pesar de establecer expresamente los términos para la publicación del informe de evaluación</w:t>
      </w:r>
      <w:r w:rsidRPr="0026407E">
        <w:rPr>
          <w:rFonts w:ascii="Verdana" w:hAnsi="Verdana"/>
        </w:rPr>
        <w:t xml:space="preserve">, el ordenamiento jurídico no contempló </w:t>
      </w:r>
      <w:r>
        <w:rPr>
          <w:rFonts w:ascii="Verdana" w:hAnsi="Verdana"/>
        </w:rPr>
        <w:t xml:space="preserve">una distinción entre el informe preliminar y el informe final en las modalidades referidas. </w:t>
      </w:r>
      <w:r>
        <w:rPr>
          <w:rFonts w:ascii="Verdana" w:hAnsi="Verdana" w:cs="Arial"/>
          <w:shd w:val="clear" w:color="auto" w:fill="FFFFFF"/>
        </w:rPr>
        <w:t xml:space="preserve">No obstante lo anterior, esta práctica ha sido adoptada por las Entidades Estatales, especialmente en atención a las reglas establecidas para la evaluación en los procesos de licitación de obra pública. </w:t>
      </w:r>
    </w:p>
    <w:p w14:paraId="2504D768" w14:textId="77777777" w:rsidR="00CF2FED" w:rsidRPr="00D13604" w:rsidRDefault="00CF2FED" w:rsidP="00CF2FED">
      <w:pPr>
        <w:tabs>
          <w:tab w:val="left" w:pos="709"/>
        </w:tabs>
        <w:spacing w:before="120" w:after="120" w:line="276" w:lineRule="auto"/>
        <w:jc w:val="both"/>
        <w:rPr>
          <w:rFonts w:ascii="Verdana" w:hAnsi="Verdana" w:cs="Arial"/>
          <w:shd w:val="clear" w:color="auto" w:fill="FFFFFF"/>
        </w:rPr>
      </w:pPr>
      <w:r>
        <w:rPr>
          <w:rFonts w:ascii="Verdana" w:hAnsi="Verdana" w:cs="Arial"/>
          <w:shd w:val="clear" w:color="auto" w:fill="FFFFFF"/>
        </w:rPr>
        <w:tab/>
      </w:r>
      <w:r>
        <w:rPr>
          <w:rFonts w:ascii="Verdana" w:eastAsia="Calibri" w:hAnsi="Verdana" w:cs="Arial"/>
        </w:rPr>
        <w:t xml:space="preserve">Al respecto, </w:t>
      </w:r>
      <w:r w:rsidRPr="004C6846">
        <w:rPr>
          <w:rFonts w:ascii="Verdana" w:eastAsia="Calibri" w:hAnsi="Verdana" w:cs="Arial"/>
        </w:rPr>
        <w:t xml:space="preserve">el parágrafo </w:t>
      </w:r>
      <w:r>
        <w:rPr>
          <w:rFonts w:ascii="Verdana" w:eastAsia="Calibri" w:hAnsi="Verdana" w:cs="Arial"/>
        </w:rPr>
        <w:t>3</w:t>
      </w:r>
      <w:r w:rsidRPr="004C6846">
        <w:rPr>
          <w:rFonts w:ascii="Verdana" w:eastAsia="Calibri" w:hAnsi="Verdana" w:cs="Arial"/>
        </w:rPr>
        <w:t xml:space="preserve"> del artículo </w:t>
      </w:r>
      <w:r>
        <w:rPr>
          <w:rFonts w:ascii="Verdana" w:eastAsia="Calibri" w:hAnsi="Verdana" w:cs="Arial"/>
        </w:rPr>
        <w:t>30</w:t>
      </w:r>
      <w:r w:rsidRPr="004C6846">
        <w:rPr>
          <w:rFonts w:ascii="Verdana" w:eastAsia="Calibri" w:hAnsi="Verdana" w:cs="Arial"/>
        </w:rPr>
        <w:t xml:space="preserve"> de la Ley </w:t>
      </w:r>
      <w:r>
        <w:rPr>
          <w:rFonts w:ascii="Verdana" w:eastAsia="Calibri" w:hAnsi="Verdana" w:cs="Arial"/>
        </w:rPr>
        <w:t>80</w:t>
      </w:r>
      <w:r w:rsidRPr="004C6846">
        <w:rPr>
          <w:rFonts w:ascii="Verdana" w:eastAsia="Calibri" w:hAnsi="Verdana" w:cs="Arial"/>
        </w:rPr>
        <w:t xml:space="preserve"> de </w:t>
      </w:r>
      <w:r>
        <w:rPr>
          <w:rFonts w:ascii="Verdana" w:eastAsia="Calibri" w:hAnsi="Verdana" w:cs="Arial"/>
        </w:rPr>
        <w:t xml:space="preserve">1993, adicionado </w:t>
      </w:r>
      <w:r w:rsidRPr="004C6846">
        <w:rPr>
          <w:rFonts w:ascii="Verdana" w:eastAsia="Calibri" w:hAnsi="Verdana" w:cs="Arial"/>
        </w:rPr>
        <w:t>por la Ley 1882 de 2018</w:t>
      </w:r>
      <w:r w:rsidRPr="00D13604">
        <w:rPr>
          <w:rFonts w:ascii="Verdana" w:eastAsia="Calibri" w:hAnsi="Verdana" w:cs="Arial"/>
        </w:rPr>
        <w:t>,</w:t>
      </w:r>
      <w:r>
        <w:rPr>
          <w:rFonts w:ascii="Verdana" w:eastAsia="Calibri" w:hAnsi="Verdana" w:cs="Arial"/>
        </w:rPr>
        <w:t xml:space="preserve"> señala que las Entidades Estatales </w:t>
      </w:r>
      <w:r w:rsidRPr="00D13604">
        <w:rPr>
          <w:rFonts w:ascii="Verdana" w:eastAsia="Calibri" w:hAnsi="Verdana" w:cs="Arial"/>
        </w:rPr>
        <w:t xml:space="preserve">deberán publicar el informe de evaluación </w:t>
      </w:r>
      <w:r>
        <w:rPr>
          <w:rFonts w:ascii="Verdana" w:eastAsia="Calibri" w:hAnsi="Verdana" w:cs="Arial"/>
        </w:rPr>
        <w:t xml:space="preserve">de </w:t>
      </w:r>
      <w:r w:rsidRPr="00D13604">
        <w:rPr>
          <w:rFonts w:ascii="Verdana" w:eastAsia="Calibri" w:hAnsi="Verdana" w:cs="Arial"/>
        </w:rPr>
        <w:t xml:space="preserve">los requisitos habilitantes y los </w:t>
      </w:r>
      <w:r>
        <w:rPr>
          <w:rFonts w:ascii="Verdana" w:eastAsia="Calibri" w:hAnsi="Verdana" w:cs="Arial"/>
        </w:rPr>
        <w:t xml:space="preserve">puntuables </w:t>
      </w:r>
      <w:r w:rsidRPr="00D13604">
        <w:rPr>
          <w:rFonts w:ascii="Verdana" w:eastAsia="Calibri" w:hAnsi="Verdana" w:cs="Arial"/>
        </w:rPr>
        <w:t>diferente</w:t>
      </w:r>
      <w:r>
        <w:rPr>
          <w:rFonts w:ascii="Verdana" w:eastAsia="Calibri" w:hAnsi="Verdana" w:cs="Arial"/>
        </w:rPr>
        <w:t>s</w:t>
      </w:r>
      <w:r w:rsidRPr="00D13604">
        <w:rPr>
          <w:rFonts w:ascii="Verdana" w:eastAsia="Calibri" w:hAnsi="Verdana" w:cs="Arial"/>
        </w:rPr>
        <w:t xml:space="preserve"> a la oferta económica durante cinco (5) días hábiles para que los proponentes realicen las observaciones que consideren y entreguen la información solicitada. Al finalizar este plazo</w:t>
      </w:r>
      <w:r w:rsidRPr="00D15DC6">
        <w:rPr>
          <w:rFonts w:ascii="Verdana" w:eastAsia="Calibri" w:hAnsi="Verdana" w:cs="Arial"/>
        </w:rPr>
        <w:t xml:space="preserve">, </w:t>
      </w:r>
      <w:r>
        <w:rPr>
          <w:rFonts w:ascii="Verdana" w:eastAsia="Calibri" w:hAnsi="Verdana" w:cs="Arial"/>
        </w:rPr>
        <w:t>“</w:t>
      </w:r>
      <w:r w:rsidRPr="000A3044">
        <w:rPr>
          <w:rFonts w:ascii="Verdana" w:eastAsia="Calibri" w:hAnsi="Verdana" w:cs="Arial"/>
        </w:rPr>
        <w:t xml:space="preserve">la entidad estatal se pronunciará sobre las observaciones </w:t>
      </w:r>
      <w:r w:rsidRPr="00D13604">
        <w:rPr>
          <w:rFonts w:ascii="Verdana" w:eastAsia="Calibri" w:hAnsi="Verdana" w:cs="Arial"/>
        </w:rPr>
        <w:t>y publicará el informe final de evaluación</w:t>
      </w:r>
      <w:r w:rsidRPr="000A3044">
        <w:rPr>
          <w:rFonts w:ascii="Verdana" w:eastAsia="Calibri" w:hAnsi="Verdana" w:cs="Arial"/>
        </w:rPr>
        <w:t xml:space="preserve"> de los requisitos habilitantes y los requisitos objeto de puntuación distintos a la oferta económica</w:t>
      </w:r>
      <w:r>
        <w:rPr>
          <w:rFonts w:ascii="Verdana" w:eastAsia="Calibri" w:hAnsi="Verdana" w:cs="Arial"/>
        </w:rPr>
        <w:t>”</w:t>
      </w:r>
      <w:r w:rsidRPr="000A3044">
        <w:rPr>
          <w:rFonts w:ascii="Verdana" w:eastAsia="Calibri" w:hAnsi="Verdana" w:cs="Arial"/>
        </w:rPr>
        <w:t>.</w:t>
      </w:r>
      <w:r>
        <w:rPr>
          <w:rFonts w:ascii="Verdana" w:eastAsia="Calibri" w:hAnsi="Verdana" w:cs="Arial"/>
        </w:rPr>
        <w:t xml:space="preserve"> En este caso, la norma contempla expresamente la publicación de un informe</w:t>
      </w:r>
      <w:r w:rsidRPr="00D15DC6">
        <w:rPr>
          <w:rFonts w:ascii="Verdana" w:eastAsia="Calibri" w:hAnsi="Verdana" w:cs="Arial"/>
        </w:rPr>
        <w:t xml:space="preserve"> </w:t>
      </w:r>
      <w:r>
        <w:rPr>
          <w:rFonts w:ascii="Verdana" w:eastAsia="Calibri" w:hAnsi="Verdana" w:cs="Arial"/>
        </w:rPr>
        <w:t xml:space="preserve">final </w:t>
      </w:r>
      <w:r w:rsidRPr="00D15DC6">
        <w:rPr>
          <w:rFonts w:ascii="Verdana" w:eastAsia="Calibri" w:hAnsi="Verdana" w:cs="Arial"/>
        </w:rPr>
        <w:t>de evaluación, previo a la realización de la audiencia de adjudicación de la que hace mención el numeral 10 del artículo 30 de la Ley 80 de 1993, y que se encuentra desarrollada en el artículo 2.2.1.2.1.1.2. del Decreto 1082 de 2015.</w:t>
      </w:r>
    </w:p>
    <w:p w14:paraId="45C8811B" w14:textId="77777777" w:rsidR="00CF2FED" w:rsidRPr="00B85CB9" w:rsidRDefault="00CF2FED" w:rsidP="00CF2FED">
      <w:pPr>
        <w:tabs>
          <w:tab w:val="left" w:pos="709"/>
        </w:tabs>
        <w:spacing w:before="120" w:after="120" w:line="276" w:lineRule="auto"/>
        <w:jc w:val="both"/>
        <w:rPr>
          <w:rFonts w:ascii="Verdana" w:eastAsia="Calibri" w:hAnsi="Verdana" w:cs="Arial"/>
        </w:rPr>
      </w:pPr>
      <w:r>
        <w:rPr>
          <w:rFonts w:ascii="Verdana" w:eastAsia="Calibri" w:hAnsi="Verdana" w:cs="Arial"/>
        </w:rPr>
        <w:tab/>
        <w:t>De esta manera, e</w:t>
      </w:r>
      <w:r w:rsidRPr="00B85CB9">
        <w:rPr>
          <w:rFonts w:ascii="Verdana" w:eastAsia="Calibri" w:hAnsi="Verdana" w:cs="Arial"/>
        </w:rPr>
        <w:t>l ordenamiento jurídico señala una obligación expresa de publicar el informe final de evaluación en los procesos de licitación de obra pública. Esto no ocurre con respecto a las modalidades de selección</w:t>
      </w:r>
      <w:r>
        <w:rPr>
          <w:rFonts w:ascii="Verdana" w:eastAsia="Calibri" w:hAnsi="Verdana" w:cs="Arial"/>
        </w:rPr>
        <w:t xml:space="preserve"> referidas</w:t>
      </w:r>
      <w:r w:rsidRPr="00B85CB9">
        <w:rPr>
          <w:rFonts w:ascii="Verdana" w:eastAsia="Calibri" w:hAnsi="Verdana" w:cs="Arial"/>
        </w:rPr>
        <w:t xml:space="preserve">, frente a las cuales no se incluye la obligación de realizar la evaluación mediante la elaboración de un informe preliminar y uno definitivo. A pesar de lo anterior, es claro que en virtud del principio de publicidad y de selección objetiva existe un deber en cabeza de las Entidades Estatales de </w:t>
      </w:r>
      <w:r>
        <w:rPr>
          <w:rFonts w:ascii="Verdana" w:eastAsia="Calibri" w:hAnsi="Verdana" w:cs="Arial"/>
        </w:rPr>
        <w:t xml:space="preserve">publicar toda la información relativa </w:t>
      </w:r>
      <w:r w:rsidRPr="00B85CB9">
        <w:rPr>
          <w:rFonts w:ascii="Verdana" w:eastAsia="Calibri" w:hAnsi="Verdana" w:cs="Arial"/>
        </w:rPr>
        <w:t>a la etapa de selección, con lo cual resulta obligatorio que publiquen todos aquellos documentos que permitan a los interesados</w:t>
      </w:r>
      <w:r>
        <w:rPr>
          <w:rFonts w:ascii="Verdana" w:eastAsia="Calibri" w:hAnsi="Verdana" w:cs="Arial"/>
        </w:rPr>
        <w:t xml:space="preserve"> conocer</w:t>
      </w:r>
      <w:r w:rsidRPr="00B85CB9">
        <w:rPr>
          <w:rFonts w:ascii="Verdana" w:eastAsia="Calibri" w:hAnsi="Verdana" w:cs="Arial"/>
        </w:rPr>
        <w:t>, por medios adecuados y de manera oportuna, el resultado definitivo de la evaluación.</w:t>
      </w:r>
      <w:r>
        <w:rPr>
          <w:rFonts w:ascii="Verdana" w:eastAsia="Calibri" w:hAnsi="Verdana" w:cs="Arial"/>
        </w:rPr>
        <w:t xml:space="preserve"> </w:t>
      </w:r>
      <w:r w:rsidRPr="00B85CB9">
        <w:rPr>
          <w:rFonts w:ascii="Verdana" w:eastAsia="Calibri" w:hAnsi="Verdana" w:cs="Arial"/>
        </w:rPr>
        <w:t>Con respecto a la forma en la cual deberán cumplir con esta obligación, las Entidades cuentan con discrecionalidad y autonomía para determinar</w:t>
      </w:r>
      <w:r>
        <w:rPr>
          <w:rFonts w:ascii="Verdana" w:eastAsia="Calibri" w:hAnsi="Verdana" w:cs="Arial"/>
        </w:rPr>
        <w:t xml:space="preserve"> los mecanismos que resulten idóneos</w:t>
      </w:r>
      <w:r w:rsidRPr="00B85CB9">
        <w:rPr>
          <w:rFonts w:ascii="Verdana" w:eastAsia="Calibri" w:hAnsi="Verdana" w:cs="Arial"/>
        </w:rPr>
        <w:t xml:space="preserve">, siempre que cumplan con lo </w:t>
      </w:r>
      <w:r>
        <w:rPr>
          <w:rFonts w:ascii="Verdana" w:eastAsia="Calibri" w:hAnsi="Verdana" w:cs="Arial"/>
        </w:rPr>
        <w:t xml:space="preserve">ya </w:t>
      </w:r>
      <w:r w:rsidRPr="00B85CB9">
        <w:rPr>
          <w:rFonts w:ascii="Verdana" w:eastAsia="Calibri" w:hAnsi="Verdana" w:cs="Arial"/>
        </w:rPr>
        <w:t xml:space="preserve">establecido en el ordenamiento jurídico. </w:t>
      </w:r>
    </w:p>
    <w:p w14:paraId="380DB7DC" w14:textId="77777777" w:rsidR="00CF2FED" w:rsidRPr="002829F6" w:rsidRDefault="00CF2FED" w:rsidP="00CF2FED">
      <w:pPr>
        <w:tabs>
          <w:tab w:val="left" w:pos="709"/>
        </w:tabs>
        <w:spacing w:before="120" w:after="120" w:line="276" w:lineRule="auto"/>
        <w:jc w:val="both"/>
        <w:rPr>
          <w:rFonts w:ascii="Verdana" w:hAnsi="Verdana" w:cs="Arial"/>
          <w:shd w:val="clear" w:color="auto" w:fill="FFFFFF"/>
        </w:rPr>
      </w:pPr>
      <w:r>
        <w:rPr>
          <w:rFonts w:ascii="Verdana" w:hAnsi="Verdana" w:cs="Arial"/>
          <w:shd w:val="clear" w:color="auto" w:fill="FFFFFF"/>
        </w:rPr>
        <w:lastRenderedPageBreak/>
        <w:tab/>
        <w:t xml:space="preserve">Estas reglas también son procedentes en los casos en que no existan observaciones o cambios al informe preliminar publicado por la entidad. En efecto, las Entidades Estatales tienen la obligación de publicar el informe final en los procesos de licitación de obra pública por expresa disposición del </w:t>
      </w:r>
      <w:r w:rsidRPr="004552DF">
        <w:rPr>
          <w:rFonts w:ascii="Verdana" w:hAnsi="Verdana" w:cs="Arial"/>
          <w:shd w:val="clear" w:color="auto" w:fill="FFFFFF"/>
        </w:rPr>
        <w:t xml:space="preserve">parágrafo 3 del artículo 30 de la Ley 80 de 1993, aunque </w:t>
      </w:r>
      <w:r>
        <w:rPr>
          <w:rFonts w:ascii="Verdana" w:hAnsi="Verdana" w:cs="Arial"/>
          <w:shd w:val="clear" w:color="auto" w:fill="FFFFFF"/>
        </w:rPr>
        <w:t>no se presenten observaciones en el término de traslado del informe inicial, y el informe definitivo tenga el mismo contenido.</w:t>
      </w:r>
      <w:r w:rsidRPr="004552DF">
        <w:rPr>
          <w:rFonts w:ascii="Verdana" w:hAnsi="Verdana" w:cs="Arial"/>
          <w:shd w:val="clear" w:color="auto" w:fill="FFFFFF"/>
        </w:rPr>
        <w:t xml:space="preserve"> En estos casos, el legislador no señaló ninguna excepción frente a la publicidad del informe final por lo que la Entidad deberá referirse a la ausencia de observaciones o cambios </w:t>
      </w:r>
      <w:r>
        <w:rPr>
          <w:rFonts w:ascii="Verdana" w:hAnsi="Verdana" w:cs="Arial"/>
          <w:shd w:val="clear" w:color="auto" w:fill="FFFFFF"/>
        </w:rPr>
        <w:t>al informe inicial,</w:t>
      </w:r>
      <w:r w:rsidRPr="004552DF">
        <w:rPr>
          <w:rFonts w:ascii="Verdana" w:hAnsi="Verdana" w:cs="Arial"/>
          <w:shd w:val="clear" w:color="auto" w:fill="FFFFFF"/>
        </w:rPr>
        <w:t xml:space="preserve"> y proceder con la publicación del informe definitivo.</w:t>
      </w:r>
      <w:r>
        <w:rPr>
          <w:rFonts w:ascii="Verdana" w:eastAsia="Calibri" w:hAnsi="Verdana" w:cs="Arial"/>
          <w:sz w:val="20"/>
          <w:szCs w:val="20"/>
        </w:rPr>
        <w:t xml:space="preserve"> </w:t>
      </w:r>
    </w:p>
    <w:p w14:paraId="01533E9B" w14:textId="77777777" w:rsidR="00CF2FED" w:rsidRDefault="00CF2FED" w:rsidP="00CF2FED">
      <w:pPr>
        <w:tabs>
          <w:tab w:val="left" w:pos="709"/>
        </w:tabs>
        <w:spacing w:before="120" w:after="120" w:line="276" w:lineRule="auto"/>
        <w:jc w:val="both"/>
        <w:rPr>
          <w:rFonts w:ascii="Verdana" w:eastAsia="Calibri" w:hAnsi="Verdana" w:cs="Arial"/>
          <w:sz w:val="20"/>
          <w:szCs w:val="20"/>
        </w:rPr>
      </w:pPr>
      <w:r>
        <w:rPr>
          <w:rFonts w:ascii="Verdana" w:hAnsi="Verdana" w:cs="Arial"/>
          <w:shd w:val="clear" w:color="auto" w:fill="FFFFFF"/>
        </w:rPr>
        <w:tab/>
      </w:r>
      <w:r w:rsidRPr="002829F6">
        <w:rPr>
          <w:rFonts w:ascii="Verdana" w:hAnsi="Verdana" w:cs="Arial"/>
          <w:shd w:val="clear" w:color="auto" w:fill="FFFFFF"/>
        </w:rPr>
        <w:t xml:space="preserve">No ocurre lo mismo frente a los procesos de contratación en los que el ordenamiento no </w:t>
      </w:r>
      <w:r>
        <w:rPr>
          <w:rFonts w:ascii="Verdana" w:hAnsi="Verdana" w:cs="Arial"/>
          <w:shd w:val="clear" w:color="auto" w:fill="FFFFFF"/>
        </w:rPr>
        <w:t xml:space="preserve">distinguió entre el </w:t>
      </w:r>
      <w:r w:rsidRPr="002829F6">
        <w:rPr>
          <w:rFonts w:ascii="Verdana" w:hAnsi="Verdana" w:cs="Arial"/>
          <w:shd w:val="clear" w:color="auto" w:fill="FFFFFF"/>
        </w:rPr>
        <w:t xml:space="preserve">informe preliminar y final de evaluación. En estos casos, como se </w:t>
      </w:r>
      <w:r>
        <w:rPr>
          <w:rFonts w:ascii="Verdana" w:hAnsi="Verdana" w:cs="Arial"/>
          <w:shd w:val="clear" w:color="auto" w:fill="FFFFFF"/>
        </w:rPr>
        <w:t xml:space="preserve">señaló </w:t>
      </w:r>
      <w:r w:rsidRPr="002829F6">
        <w:rPr>
          <w:rFonts w:ascii="Verdana" w:hAnsi="Verdana" w:cs="Arial"/>
          <w:shd w:val="clear" w:color="auto" w:fill="FFFFFF"/>
        </w:rPr>
        <w:t xml:space="preserve">anteriormente, las Entidades </w:t>
      </w:r>
      <w:r>
        <w:rPr>
          <w:rFonts w:ascii="Verdana" w:hAnsi="Verdana" w:cs="Arial"/>
          <w:shd w:val="clear" w:color="auto" w:fill="FFFFFF"/>
        </w:rPr>
        <w:t xml:space="preserve">Estatales </w:t>
      </w:r>
      <w:r w:rsidRPr="002829F6">
        <w:rPr>
          <w:rFonts w:ascii="Verdana" w:hAnsi="Verdana" w:cs="Arial"/>
          <w:shd w:val="clear" w:color="auto" w:fill="FFFFFF"/>
        </w:rPr>
        <w:t>cuentan con discrecionalidad para determinar si</w:t>
      </w:r>
      <w:r>
        <w:rPr>
          <w:rFonts w:ascii="Verdana" w:hAnsi="Verdana" w:cs="Arial"/>
          <w:shd w:val="clear" w:color="auto" w:fill="FFFFFF"/>
        </w:rPr>
        <w:t xml:space="preserve"> harán uso de ambos documentos, siempre que cumplan con</w:t>
      </w:r>
      <w:r w:rsidRPr="002829F6">
        <w:rPr>
          <w:rFonts w:ascii="Verdana" w:hAnsi="Verdana" w:cs="Arial"/>
          <w:shd w:val="clear" w:color="auto" w:fill="FFFFFF"/>
        </w:rPr>
        <w:t xml:space="preserve"> </w:t>
      </w:r>
      <w:r>
        <w:rPr>
          <w:rFonts w:ascii="Verdana" w:hAnsi="Verdana" w:cs="Arial"/>
          <w:shd w:val="clear" w:color="auto" w:fill="FFFFFF"/>
        </w:rPr>
        <w:t xml:space="preserve">la </w:t>
      </w:r>
      <w:r w:rsidRPr="002829F6">
        <w:rPr>
          <w:rFonts w:ascii="Verdana" w:hAnsi="Verdana" w:cs="Arial"/>
          <w:shd w:val="clear" w:color="auto" w:fill="FFFFFF"/>
        </w:rPr>
        <w:t>obligación de publicar tod</w:t>
      </w:r>
      <w:r>
        <w:rPr>
          <w:rFonts w:ascii="Verdana" w:hAnsi="Verdana" w:cs="Arial"/>
          <w:shd w:val="clear" w:color="auto" w:fill="FFFFFF"/>
        </w:rPr>
        <w:t xml:space="preserve">a información </w:t>
      </w:r>
      <w:r w:rsidRPr="00C04B60">
        <w:rPr>
          <w:rFonts w:ascii="Verdana" w:hAnsi="Verdana" w:cs="Arial"/>
          <w:shd w:val="clear" w:color="auto" w:fill="FFFFFF"/>
        </w:rPr>
        <w:t xml:space="preserve">que permita a los interesados conocer </w:t>
      </w:r>
      <w:r>
        <w:rPr>
          <w:rFonts w:ascii="Verdana" w:hAnsi="Verdana" w:cs="Arial"/>
          <w:shd w:val="clear" w:color="auto" w:fill="FFFFFF"/>
        </w:rPr>
        <w:t xml:space="preserve">de forma clara y oportuna </w:t>
      </w:r>
      <w:r w:rsidRPr="00C04B60">
        <w:rPr>
          <w:rFonts w:ascii="Verdana" w:hAnsi="Verdana" w:cs="Arial"/>
          <w:shd w:val="clear" w:color="auto" w:fill="FFFFFF"/>
        </w:rPr>
        <w:t>el resultado final de la evaluación.</w:t>
      </w:r>
      <w:r>
        <w:rPr>
          <w:rFonts w:ascii="Verdana" w:eastAsia="Calibri" w:hAnsi="Verdana" w:cs="Arial"/>
          <w:sz w:val="20"/>
          <w:szCs w:val="20"/>
        </w:rPr>
        <w:t xml:space="preserve"> </w:t>
      </w:r>
    </w:p>
    <w:p w14:paraId="71955EF4" w14:textId="77777777" w:rsidR="00CF2FED" w:rsidRDefault="00CF2FED" w:rsidP="00CF2FED">
      <w:pPr>
        <w:tabs>
          <w:tab w:val="left" w:pos="709"/>
        </w:tabs>
        <w:spacing w:before="120" w:after="120" w:line="276" w:lineRule="auto"/>
        <w:jc w:val="both"/>
        <w:rPr>
          <w:rFonts w:ascii="Verdana" w:hAnsi="Verdana" w:cs="Arial"/>
          <w:shd w:val="clear" w:color="auto" w:fill="FFFFFF"/>
        </w:rPr>
      </w:pPr>
      <w:r w:rsidRPr="00C04B60">
        <w:rPr>
          <w:rFonts w:ascii="Verdana" w:hAnsi="Verdana" w:cs="Arial"/>
          <w:shd w:val="clear" w:color="auto" w:fill="FFFFFF"/>
        </w:rPr>
        <w:tab/>
        <w:t>En el supuesto objeto de consulta, esto implica que, si no se presentan cambios al informe de evaluación inicialmente publicado, la Entidad deberá hacérselo saber a los interesados</w:t>
      </w:r>
      <w:r>
        <w:rPr>
          <w:rFonts w:ascii="Verdana" w:hAnsi="Verdana" w:cs="Arial"/>
          <w:shd w:val="clear" w:color="auto" w:fill="FFFFFF"/>
        </w:rPr>
        <w:t>. Para ello, podrá o</w:t>
      </w:r>
      <w:r w:rsidRPr="00C04B60">
        <w:rPr>
          <w:rFonts w:ascii="Verdana" w:hAnsi="Verdana" w:cs="Arial"/>
          <w:shd w:val="clear" w:color="auto" w:fill="FFFFFF"/>
        </w:rPr>
        <w:t>ptar</w:t>
      </w:r>
      <w:r>
        <w:rPr>
          <w:rFonts w:ascii="Verdana" w:hAnsi="Verdana" w:cs="Arial"/>
          <w:shd w:val="clear" w:color="auto" w:fill="FFFFFF"/>
        </w:rPr>
        <w:t>, por ejemplo,</w:t>
      </w:r>
      <w:r w:rsidRPr="00C04B60">
        <w:rPr>
          <w:rFonts w:ascii="Verdana" w:hAnsi="Verdana" w:cs="Arial"/>
          <w:shd w:val="clear" w:color="auto" w:fill="FFFFFF"/>
        </w:rPr>
        <w:t xml:space="preserve"> por la publicación de un informe definitivo que evidencie la ausencia de observaciones y/o alteraciones al informe preliminar</w:t>
      </w:r>
      <w:r>
        <w:rPr>
          <w:rFonts w:ascii="Verdana" w:hAnsi="Verdana" w:cs="Arial"/>
          <w:shd w:val="clear" w:color="auto" w:fill="FFFFFF"/>
        </w:rPr>
        <w:t>, o dejar constancia de esta situación en el acto de adjudicación</w:t>
      </w:r>
      <w:r w:rsidRPr="00C04B60">
        <w:rPr>
          <w:rFonts w:ascii="Verdana" w:hAnsi="Verdana" w:cs="Arial"/>
          <w:shd w:val="clear" w:color="auto" w:fill="FFFFFF"/>
        </w:rPr>
        <w:t xml:space="preserve">. Sin embargo, la entidad contratante es la encargada de determinar los mecanismos que resulten idóneos </w:t>
      </w:r>
      <w:r>
        <w:rPr>
          <w:rFonts w:ascii="Verdana" w:hAnsi="Verdana" w:cs="Arial"/>
          <w:shd w:val="clear" w:color="auto" w:fill="FFFFFF"/>
        </w:rPr>
        <w:t xml:space="preserve">para </w:t>
      </w:r>
      <w:r w:rsidRPr="00C04B60">
        <w:rPr>
          <w:rFonts w:ascii="Verdana" w:hAnsi="Verdana" w:cs="Arial"/>
          <w:shd w:val="clear" w:color="auto" w:fill="FFFFFF"/>
        </w:rPr>
        <w:t xml:space="preserve">garantizar el cumplimiento de los principios de la contratación pública, en especial los de publicidad, transparencia y selección objetiva. </w:t>
      </w:r>
    </w:p>
    <w:p w14:paraId="0A689BA6" w14:textId="77777777" w:rsidR="00CF2FED" w:rsidRPr="00C04B60" w:rsidRDefault="00CF2FED" w:rsidP="00CF2FED">
      <w:pPr>
        <w:tabs>
          <w:tab w:val="left" w:pos="709"/>
        </w:tabs>
        <w:spacing w:before="120" w:after="120" w:line="276" w:lineRule="auto"/>
        <w:jc w:val="both"/>
        <w:rPr>
          <w:rFonts w:ascii="Verdana" w:hAnsi="Verdana" w:cs="Arial"/>
          <w:shd w:val="clear" w:color="auto" w:fill="FFFFFF"/>
        </w:rPr>
      </w:pPr>
      <w:r>
        <w:rPr>
          <w:rFonts w:ascii="Verdana" w:hAnsi="Verdana" w:cs="Arial"/>
          <w:shd w:val="clear" w:color="auto" w:fill="FFFFFF"/>
        </w:rPr>
        <w:tab/>
        <w:t>Es importante resaltar, que lo anter</w:t>
      </w:r>
      <w:r w:rsidRPr="004658C1">
        <w:rPr>
          <w:rFonts w:ascii="Verdana" w:hAnsi="Verdana" w:cs="Arial"/>
          <w:shd w:val="clear" w:color="auto" w:fill="FFFFFF"/>
        </w:rPr>
        <w:t>ior no implica que la Entidad Estatal pueda apartarse de las reglas del proceso que haya dispuesto en el pliego de condiciones</w:t>
      </w:r>
      <w:r>
        <w:rPr>
          <w:rFonts w:ascii="Verdana" w:hAnsi="Verdana" w:cs="Arial"/>
          <w:shd w:val="clear" w:color="auto" w:fill="FFFFFF"/>
        </w:rPr>
        <w:t xml:space="preserve"> o la invitación</w:t>
      </w:r>
      <w:r w:rsidRPr="004658C1">
        <w:rPr>
          <w:rFonts w:ascii="Verdana" w:hAnsi="Verdana" w:cs="Arial"/>
          <w:shd w:val="clear" w:color="auto" w:fill="FFFFFF"/>
        </w:rPr>
        <w:t xml:space="preserve">. </w:t>
      </w:r>
      <w:r w:rsidRPr="004658C1">
        <w:rPr>
          <w:rFonts w:ascii="Verdana" w:eastAsia="Century Gothic" w:hAnsi="Verdana" w:cs="Century Gothic"/>
          <w:bCs/>
        </w:rPr>
        <w:t xml:space="preserve">En ese sentido, la publicación y traslado del informe de evaluación deberá </w:t>
      </w:r>
      <w:r>
        <w:rPr>
          <w:rFonts w:ascii="Verdana" w:eastAsia="Century Gothic" w:hAnsi="Verdana" w:cs="Century Gothic"/>
          <w:bCs/>
        </w:rPr>
        <w:t xml:space="preserve">efectuarse </w:t>
      </w:r>
      <w:r w:rsidRPr="004658C1">
        <w:rPr>
          <w:rFonts w:ascii="Verdana" w:eastAsia="Century Gothic" w:hAnsi="Verdana" w:cs="Century Gothic"/>
          <w:bCs/>
        </w:rPr>
        <w:t xml:space="preserve">conforme al cronograma establecido en los documentos del proceso, y dentro de los plazos mínimos fijados </w:t>
      </w:r>
      <w:r w:rsidRPr="004658C1">
        <w:rPr>
          <w:rFonts w:ascii="Verdana" w:hAnsi="Verdana" w:cs="Arial"/>
          <w:bCs/>
          <w:color w:val="000000"/>
        </w:rPr>
        <w:t>en el ordenamiento jurídico para su publicación en cada una de las modalidades de selección. Así, si la Entidad distinguió en el cronograma del proceso entre la publicación de un informe preliminar y un informe definitivo de evaluación, deberá cumplir con la publicación de ambos documentos en la forma y tiempo allí establecido, aunque no</w:t>
      </w:r>
      <w:r>
        <w:rPr>
          <w:rFonts w:ascii="Verdana" w:hAnsi="Verdana" w:cs="Arial"/>
          <w:bCs/>
          <w:color w:val="000000"/>
        </w:rPr>
        <w:t xml:space="preserve"> se hayan presentado observaciones durante el </w:t>
      </w:r>
      <w:r>
        <w:rPr>
          <w:rFonts w:ascii="Verdana" w:hAnsi="Verdana" w:cs="Arial"/>
          <w:bCs/>
          <w:color w:val="000000"/>
        </w:rPr>
        <w:lastRenderedPageBreak/>
        <w:t>término de traslado, ni sea necesario realizar modificaciones al informe preliminar.</w:t>
      </w:r>
    </w:p>
    <w:p w14:paraId="6A27E89F" w14:textId="77777777" w:rsidR="00CF2FED" w:rsidRDefault="00CF2FED" w:rsidP="00CF2FED">
      <w:pPr>
        <w:tabs>
          <w:tab w:val="left" w:pos="709"/>
        </w:tabs>
        <w:spacing w:before="120" w:after="120" w:line="276" w:lineRule="auto"/>
        <w:jc w:val="both"/>
        <w:rPr>
          <w:rFonts w:ascii="Verdana" w:hAnsi="Verdana" w:cs="Arial"/>
          <w:shd w:val="clear" w:color="auto" w:fill="FFFFFF"/>
        </w:rPr>
      </w:pPr>
      <w:r>
        <w:rPr>
          <w:rFonts w:ascii="Verdana" w:hAnsi="Verdana" w:cs="Arial"/>
          <w:shd w:val="clear" w:color="auto" w:fill="FFFFFF"/>
        </w:rPr>
        <w:tab/>
        <w:t>Teniendo en cuenta lo expuesto, es posible concluir que el ordenamiento jurídico estableció expresamente la obligación de publicar el informe final de evaluación en los procesos de licitación de obra pública. Sin embargo, no hizo distinción alguna que entre la publicación del informe preliminar y definitivo de evaluación para otros procesos de contratación. En consecuencia, en estos casos, las entidades cuentan con discrecionalidad frente a la posibilidad de implementar ambos informes en la etapa de evaluación.</w:t>
      </w:r>
    </w:p>
    <w:p w14:paraId="563F8760" w14:textId="14043753" w:rsidR="00CF2FED" w:rsidRPr="007D12F5" w:rsidRDefault="00CF2FED" w:rsidP="007D12F5">
      <w:pPr>
        <w:tabs>
          <w:tab w:val="left" w:pos="709"/>
        </w:tabs>
        <w:spacing w:before="120" w:after="120" w:line="276" w:lineRule="auto"/>
        <w:jc w:val="both"/>
        <w:rPr>
          <w:rFonts w:ascii="Verdana" w:hAnsi="Verdana" w:cs="Arial"/>
          <w:shd w:val="clear" w:color="auto" w:fill="FFFFFF"/>
        </w:rPr>
      </w:pPr>
      <w:r>
        <w:rPr>
          <w:rFonts w:ascii="Verdana" w:hAnsi="Verdana" w:cs="Arial"/>
          <w:shd w:val="clear" w:color="auto" w:fill="FFFFFF"/>
        </w:rPr>
        <w:tab/>
        <w:t xml:space="preserve">Por otro lado, en los casos en que el ordenamiento no lo dispuso expresamente, las Entidades pueden determinar si es necesario publicar el informe final de evaluación cuando no existan cambios frente a la evaluación preliminar, siempre que garanticen que los interesados conozcan, por medios adecuados y de manera oportuna, el resultado definitivo de la evaluación. Sin perjuicio de lo anterior, si la Entidad determinó la publicación de un informe preliminar y de uno definitivo en el cronograma del proceso, deberá cumplir con la publicación de estos documentos en la forma y tiempo establecidos, aun cuando no se presenten observaciones o modificaciones en el término de traslado. </w:t>
      </w:r>
    </w:p>
    <w:p w14:paraId="5E395952" w14:textId="77777777" w:rsidR="00CF2FED" w:rsidRPr="00593A5F" w:rsidRDefault="00CF2FED" w:rsidP="00CF2FED">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59248AC2" w14:textId="77777777" w:rsidR="00CF2FED" w:rsidRPr="00593A5F" w:rsidRDefault="00CF2FED" w:rsidP="00CF2FED">
      <w:pPr>
        <w:widowControl w:val="0"/>
        <w:autoSpaceDE w:val="0"/>
        <w:autoSpaceDN w:val="0"/>
        <w:spacing w:after="0" w:line="276" w:lineRule="auto"/>
        <w:jc w:val="both"/>
        <w:rPr>
          <w:rFonts w:ascii="Verdana" w:hAnsi="Verdana" w:cs="Arial"/>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F2FED" w:rsidRPr="00593A5F" w14:paraId="79793913" w14:textId="77777777" w:rsidTr="002F3415">
        <w:trPr>
          <w:trHeight w:val="870"/>
        </w:trPr>
        <w:tc>
          <w:tcPr>
            <w:tcW w:w="8647" w:type="dxa"/>
          </w:tcPr>
          <w:p w14:paraId="69EC2ADC" w14:textId="77777777" w:rsidR="00CF2FED" w:rsidRDefault="00CF2FED" w:rsidP="00CF2FED">
            <w:pPr>
              <w:pStyle w:val="ListParagraph"/>
              <w:widowControl w:val="0"/>
              <w:numPr>
                <w:ilvl w:val="0"/>
                <w:numId w:val="17"/>
              </w:numPr>
              <w:autoSpaceDE w:val="0"/>
              <w:autoSpaceDN w:val="0"/>
              <w:spacing w:after="120" w:line="276" w:lineRule="auto"/>
              <w:contextualSpacing w:val="0"/>
              <w:jc w:val="both"/>
              <w:rPr>
                <w:rFonts w:ascii="Verdana" w:hAnsi="Verdana" w:cs="Arial"/>
                <w:color w:val="000000" w:themeColor="text1"/>
              </w:rPr>
            </w:pPr>
            <w:r w:rsidRPr="0017456C">
              <w:rPr>
                <w:rFonts w:ascii="Verdana" w:hAnsi="Verdana" w:cs="Arial"/>
                <w:color w:val="000000" w:themeColor="text1"/>
                <w:lang w:val="es-ES_tradnl"/>
              </w:rPr>
              <w:t>Constitución Política de Colombia, artículo</w:t>
            </w:r>
            <w:r>
              <w:rPr>
                <w:rFonts w:ascii="Verdana" w:hAnsi="Verdana" w:cs="Arial"/>
                <w:color w:val="000000" w:themeColor="text1"/>
                <w:lang w:val="es-ES_tradnl"/>
              </w:rPr>
              <w:t>s 74 y</w:t>
            </w:r>
            <w:r w:rsidRPr="0017456C">
              <w:rPr>
                <w:rFonts w:ascii="Verdana" w:hAnsi="Verdana" w:cs="Arial"/>
                <w:color w:val="000000" w:themeColor="text1"/>
                <w:lang w:val="es-ES_tradnl"/>
              </w:rPr>
              <w:t xml:space="preserve"> 209.</w:t>
            </w:r>
          </w:p>
          <w:p w14:paraId="243539D4" w14:textId="77777777" w:rsidR="00CF2FED" w:rsidRDefault="00CF2FED" w:rsidP="00CF2FED">
            <w:pPr>
              <w:pStyle w:val="ListParagraph"/>
              <w:widowControl w:val="0"/>
              <w:numPr>
                <w:ilvl w:val="0"/>
                <w:numId w:val="17"/>
              </w:numPr>
              <w:autoSpaceDE w:val="0"/>
              <w:autoSpaceDN w:val="0"/>
              <w:spacing w:after="120" w:line="276" w:lineRule="auto"/>
              <w:contextualSpacing w:val="0"/>
              <w:jc w:val="both"/>
              <w:rPr>
                <w:rFonts w:ascii="Verdana" w:hAnsi="Verdana" w:cs="Arial"/>
                <w:color w:val="000000" w:themeColor="text1"/>
              </w:rPr>
            </w:pPr>
            <w:r w:rsidRPr="00ED33CF">
              <w:rPr>
                <w:rFonts w:ascii="Verdana" w:hAnsi="Verdana" w:cs="Arial"/>
                <w:color w:val="000000" w:themeColor="text1"/>
              </w:rPr>
              <w:t>Ley 80 de 1993: artículo 30</w:t>
            </w:r>
            <w:r>
              <w:rPr>
                <w:rFonts w:ascii="Verdana" w:hAnsi="Verdana" w:cs="Arial"/>
                <w:color w:val="000000" w:themeColor="text1"/>
              </w:rPr>
              <w:t>.</w:t>
            </w:r>
          </w:p>
          <w:p w14:paraId="28F82FD1" w14:textId="77777777" w:rsidR="00CF2FED" w:rsidRDefault="00CF2FED" w:rsidP="00CF2FED">
            <w:pPr>
              <w:pStyle w:val="ListParagraph"/>
              <w:widowControl w:val="0"/>
              <w:numPr>
                <w:ilvl w:val="0"/>
                <w:numId w:val="17"/>
              </w:numPr>
              <w:autoSpaceDE w:val="0"/>
              <w:autoSpaceDN w:val="0"/>
              <w:spacing w:after="120" w:line="276" w:lineRule="auto"/>
              <w:contextualSpacing w:val="0"/>
              <w:jc w:val="both"/>
              <w:rPr>
                <w:rFonts w:ascii="Verdana" w:hAnsi="Verdana" w:cs="Arial"/>
                <w:color w:val="000000" w:themeColor="text1"/>
              </w:rPr>
            </w:pPr>
            <w:r w:rsidRPr="00E6770E">
              <w:rPr>
                <w:rFonts w:ascii="Verdana" w:hAnsi="Verdana" w:cs="Arial"/>
                <w:color w:val="000000" w:themeColor="text1"/>
                <w:lang w:val="es-CO"/>
              </w:rPr>
              <w:t>Ley 1150 de 2007</w:t>
            </w:r>
            <w:r>
              <w:rPr>
                <w:rFonts w:ascii="Verdana" w:hAnsi="Verdana" w:cs="Arial"/>
                <w:color w:val="000000" w:themeColor="text1"/>
              </w:rPr>
              <w:t>:</w:t>
            </w:r>
            <w:r w:rsidRPr="00E6770E">
              <w:rPr>
                <w:rFonts w:ascii="Verdana" w:hAnsi="Verdana" w:cs="Arial"/>
                <w:color w:val="000000" w:themeColor="text1"/>
                <w:lang w:val="es-CO"/>
              </w:rPr>
              <w:t xml:space="preserve"> </w:t>
            </w:r>
            <w:r>
              <w:rPr>
                <w:rFonts w:ascii="Verdana" w:hAnsi="Verdana" w:cs="Arial"/>
                <w:color w:val="000000" w:themeColor="text1"/>
              </w:rPr>
              <w:t>a</w:t>
            </w:r>
            <w:proofErr w:type="spellStart"/>
            <w:r w:rsidRPr="00E6770E">
              <w:rPr>
                <w:rFonts w:ascii="Verdana" w:hAnsi="Verdana" w:cs="Arial"/>
                <w:color w:val="000000" w:themeColor="text1"/>
                <w:lang w:val="es-CO"/>
              </w:rPr>
              <w:t>rtículo</w:t>
            </w:r>
            <w:proofErr w:type="spellEnd"/>
            <w:r w:rsidRPr="00E6770E">
              <w:rPr>
                <w:rFonts w:ascii="Verdana" w:hAnsi="Verdana" w:cs="Arial"/>
                <w:color w:val="000000" w:themeColor="text1"/>
                <w:lang w:val="es-CO"/>
              </w:rPr>
              <w:t xml:space="preserve"> 5.</w:t>
            </w:r>
          </w:p>
          <w:p w14:paraId="544F286F" w14:textId="77777777" w:rsidR="00CF2FED" w:rsidRPr="00ED33CF" w:rsidRDefault="00CF2FED" w:rsidP="00CF2FED">
            <w:pPr>
              <w:pStyle w:val="ListParagraph"/>
              <w:widowControl w:val="0"/>
              <w:numPr>
                <w:ilvl w:val="0"/>
                <w:numId w:val="17"/>
              </w:numPr>
              <w:autoSpaceDE w:val="0"/>
              <w:autoSpaceDN w:val="0"/>
              <w:spacing w:after="120" w:line="276" w:lineRule="auto"/>
              <w:contextualSpacing w:val="0"/>
              <w:jc w:val="both"/>
              <w:rPr>
                <w:rFonts w:ascii="Verdana" w:hAnsi="Verdana" w:cs="Arial"/>
                <w:color w:val="000000" w:themeColor="text1"/>
                <w:lang w:val="es-CO"/>
              </w:rPr>
            </w:pPr>
            <w:r w:rsidRPr="0025775B">
              <w:rPr>
                <w:rFonts w:ascii="Verdana" w:eastAsia="Arial" w:hAnsi="Verdana" w:cs="Arial"/>
                <w:lang w:eastAsia="es-ES"/>
              </w:rPr>
              <w:t>Ley 1712 de 2014</w:t>
            </w:r>
            <w:r>
              <w:rPr>
                <w:rFonts w:ascii="Verdana" w:eastAsia="Arial" w:hAnsi="Verdana" w:cs="Arial"/>
                <w:lang w:eastAsia="es-ES"/>
              </w:rPr>
              <w:t>: artículos 2, 5</w:t>
            </w:r>
          </w:p>
          <w:p w14:paraId="7BCF1D69" w14:textId="77777777" w:rsidR="00CF2FED" w:rsidRPr="00E6770E" w:rsidRDefault="00CF2FED" w:rsidP="00CF2FED">
            <w:pPr>
              <w:pStyle w:val="ListParagraph"/>
              <w:widowControl w:val="0"/>
              <w:numPr>
                <w:ilvl w:val="0"/>
                <w:numId w:val="17"/>
              </w:numPr>
              <w:autoSpaceDE w:val="0"/>
              <w:autoSpaceDN w:val="0"/>
              <w:spacing w:after="120" w:line="276" w:lineRule="auto"/>
              <w:contextualSpacing w:val="0"/>
              <w:jc w:val="both"/>
              <w:rPr>
                <w:rFonts w:ascii="Verdana" w:hAnsi="Verdana" w:cs="Arial"/>
                <w:color w:val="000000" w:themeColor="text1"/>
              </w:rPr>
            </w:pPr>
            <w:r w:rsidRPr="00E6770E">
              <w:rPr>
                <w:rFonts w:ascii="Verdana" w:hAnsi="Verdana" w:cs="Arial"/>
                <w:color w:val="000000" w:themeColor="text1"/>
              </w:rPr>
              <w:t>Ley 1882 de 2018</w:t>
            </w:r>
          </w:p>
          <w:p w14:paraId="53A84559" w14:textId="77777777" w:rsidR="00CF2FED" w:rsidRPr="00E6770E" w:rsidRDefault="00CF2FED" w:rsidP="00CF2FED">
            <w:pPr>
              <w:pStyle w:val="ListParagraph"/>
              <w:widowControl w:val="0"/>
              <w:numPr>
                <w:ilvl w:val="0"/>
                <w:numId w:val="17"/>
              </w:numPr>
              <w:autoSpaceDE w:val="0"/>
              <w:autoSpaceDN w:val="0"/>
              <w:spacing w:after="120" w:line="276" w:lineRule="auto"/>
              <w:contextualSpacing w:val="0"/>
              <w:jc w:val="both"/>
              <w:rPr>
                <w:rFonts w:ascii="Verdana" w:hAnsi="Verdana" w:cs="Arial"/>
                <w:color w:val="000000" w:themeColor="text1"/>
              </w:rPr>
            </w:pPr>
            <w:r w:rsidRPr="00ED33CF">
              <w:rPr>
                <w:rFonts w:ascii="Verdana" w:hAnsi="Verdana" w:cs="Arial"/>
                <w:color w:val="000000" w:themeColor="text1"/>
              </w:rPr>
              <w:t xml:space="preserve">Decreto 1082 de 2015: artículos </w:t>
            </w:r>
            <w:r w:rsidRPr="00624DA8">
              <w:rPr>
                <w:rFonts w:ascii="Verdana" w:hAnsi="Verdana" w:cs="Arial"/>
                <w:color w:val="000000" w:themeColor="text1"/>
              </w:rPr>
              <w:t>2.1.1.2.1.7.,</w:t>
            </w:r>
            <w:r>
              <w:rPr>
                <w:rFonts w:ascii="Verdana" w:hAnsi="Verdana" w:cs="Arial"/>
                <w:color w:val="000000" w:themeColor="text1"/>
              </w:rPr>
              <w:t xml:space="preserve"> </w:t>
            </w:r>
            <w:r w:rsidRPr="00624DA8">
              <w:rPr>
                <w:rFonts w:ascii="Verdana" w:hAnsi="Verdana" w:cs="Arial"/>
                <w:color w:val="000000" w:themeColor="text1"/>
              </w:rPr>
              <w:t>2.2.1.2.1.2.20</w:t>
            </w:r>
            <w:r>
              <w:rPr>
                <w:rFonts w:ascii="Verdana" w:hAnsi="Verdana" w:cs="Arial"/>
                <w:color w:val="000000" w:themeColor="text1"/>
              </w:rPr>
              <w:t xml:space="preserve">, </w:t>
            </w:r>
            <w:r w:rsidRPr="00624DA8">
              <w:rPr>
                <w:rFonts w:ascii="Verdana" w:hAnsi="Verdana" w:cs="Arial"/>
                <w:color w:val="000000" w:themeColor="text1"/>
              </w:rPr>
              <w:t>2.2.1.2.1.3.2.</w:t>
            </w:r>
            <w:r>
              <w:rPr>
                <w:rFonts w:ascii="Verdana" w:hAnsi="Verdana" w:cs="Arial"/>
                <w:color w:val="000000" w:themeColor="text1"/>
              </w:rPr>
              <w:t xml:space="preserve">, </w:t>
            </w:r>
            <w:r w:rsidRPr="00624DA8">
              <w:rPr>
                <w:rFonts w:ascii="Verdana" w:hAnsi="Verdana" w:cs="Arial"/>
                <w:color w:val="000000" w:themeColor="text1"/>
              </w:rPr>
              <w:t>2.2.1.2.1.5.2.</w:t>
            </w:r>
            <w:r>
              <w:rPr>
                <w:rFonts w:ascii="Verdana" w:hAnsi="Verdana" w:cs="Arial"/>
                <w:color w:val="000000" w:themeColor="text1"/>
              </w:rPr>
              <w:t xml:space="preserve">, </w:t>
            </w:r>
            <w:r w:rsidRPr="00624DA8">
              <w:rPr>
                <w:rFonts w:ascii="Verdana" w:hAnsi="Verdana" w:cs="Arial"/>
                <w:color w:val="000000" w:themeColor="text1"/>
              </w:rPr>
              <w:t>2.2.1.2.1.1.2.</w:t>
            </w:r>
            <w:r>
              <w:rPr>
                <w:rFonts w:ascii="Verdana" w:hAnsi="Verdana" w:cs="Arial"/>
                <w:color w:val="000000" w:themeColor="text1"/>
              </w:rPr>
              <w:t xml:space="preserve"> y </w:t>
            </w:r>
            <w:r w:rsidRPr="00624DA8">
              <w:rPr>
                <w:rFonts w:ascii="Verdana" w:hAnsi="Verdana" w:cs="Arial"/>
                <w:color w:val="000000" w:themeColor="text1"/>
              </w:rPr>
              <w:t>2.2.1.1.1.3.1.</w:t>
            </w:r>
          </w:p>
        </w:tc>
      </w:tr>
    </w:tbl>
    <w:p w14:paraId="3A8F94A0" w14:textId="77777777" w:rsidR="00CF2FED" w:rsidRPr="00593A5F" w:rsidRDefault="00CF2FED" w:rsidP="00CF2FED">
      <w:pPr>
        <w:widowControl w:val="0"/>
        <w:autoSpaceDE w:val="0"/>
        <w:autoSpaceDN w:val="0"/>
        <w:spacing w:after="0" w:line="276" w:lineRule="auto"/>
        <w:jc w:val="both"/>
        <w:rPr>
          <w:rFonts w:ascii="Verdana" w:hAnsi="Verdana" w:cs="Arial"/>
        </w:rPr>
      </w:pPr>
    </w:p>
    <w:p w14:paraId="31458861" w14:textId="77777777" w:rsidR="00CF2FED" w:rsidRPr="00593A5F" w:rsidRDefault="00CF2FED" w:rsidP="00CF2FED">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38DCB4D" w14:textId="77777777" w:rsidR="00CF2FED" w:rsidRPr="00A3013F" w:rsidRDefault="00CF2FED" w:rsidP="00CF2FED">
      <w:pPr>
        <w:widowControl w:val="0"/>
        <w:autoSpaceDE w:val="0"/>
        <w:autoSpaceDN w:val="0"/>
        <w:spacing w:after="0" w:line="276" w:lineRule="auto"/>
        <w:jc w:val="both"/>
        <w:rPr>
          <w:rStyle w:val="normaltextrun"/>
          <w:shd w:val="clear" w:color="auto" w:fill="FFFFFF"/>
        </w:rPr>
      </w:pPr>
    </w:p>
    <w:p w14:paraId="01BD2F8E" w14:textId="77777777" w:rsidR="00CF2FED" w:rsidRDefault="00CF2FED" w:rsidP="00CF2FED">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A3013F">
        <w:rPr>
          <w:rStyle w:val="normaltextrun"/>
          <w:rFonts w:ascii="Verdana" w:hAnsi="Verdana" w:cs="Arial"/>
          <w:shd w:val="clear" w:color="auto" w:fill="FFFFFF"/>
        </w:rPr>
        <w:t xml:space="preserve">Sobre el deber de publicidad de los documentos del procesos esta Subdirección se pronunció en los conceptos </w:t>
      </w:r>
      <w:r w:rsidRPr="00A3013F">
        <w:rPr>
          <w:rStyle w:val="normaltextrun"/>
          <w:rFonts w:ascii="Verdana" w:hAnsi="Verdana"/>
          <w:shd w:val="clear" w:color="auto" w:fill="FFFFFF"/>
        </w:rPr>
        <w:t xml:space="preserve">CU-003 del 15 de enero de 2020, CU-367 del 23 de julio de 2020, reiterado en los conceptos C−433 de 24 de julio </w:t>
      </w:r>
      <w:r w:rsidRPr="00A3013F">
        <w:rPr>
          <w:rStyle w:val="normaltextrun"/>
          <w:rFonts w:ascii="Verdana" w:hAnsi="Verdana"/>
          <w:shd w:val="clear" w:color="auto" w:fill="FFFFFF"/>
        </w:rPr>
        <w:lastRenderedPageBreak/>
        <w:t>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 C-074 del 10 de marzo de 2022, C-083 del 18 de marzo de 2022, C-135 del 28 de marzo de 2022, C-332 del 24 de mayo de 2022, C-337 del 25 de mayo de 2022, C-355 del 2 de junio de 2022, C-379 del 22 de junio de 2022</w:t>
      </w:r>
      <w:r>
        <w:rPr>
          <w:rStyle w:val="normaltextrun"/>
          <w:rFonts w:ascii="Verdana" w:hAnsi="Verdana"/>
          <w:shd w:val="clear" w:color="auto" w:fill="FFFFFF"/>
        </w:rPr>
        <w:t>, C-239 del 12 de agosto de 2024, C-379 de 2024 del 5 de septiembre</w:t>
      </w:r>
      <w:r w:rsidRPr="00A3013F">
        <w:rPr>
          <w:rStyle w:val="normaltextrun"/>
          <w:rFonts w:ascii="Verdana" w:hAnsi="Verdana"/>
          <w:shd w:val="clear" w:color="auto" w:fill="FFFFFF"/>
        </w:rPr>
        <w:t xml:space="preserve"> y algunos otros. </w:t>
      </w:r>
      <w:r w:rsidRPr="00A3013F">
        <w:rPr>
          <w:rStyle w:val="normaltextrun"/>
          <w:rFonts w:ascii="Verdana" w:hAnsi="Verdana" w:cs="Arial"/>
          <w:shd w:val="clear" w:color="auto" w:fill="FFFFFF"/>
        </w:rPr>
        <w:t>En los conceptos C-213 del 5 de agosto de 2024, C-283 del 18 de agosto de 2023, C-036 del 22 de abril de 2024, C-150 del 16 de julio de 2024 y C-175 del 29 de julio de 2024, se pronunció sobre el informe de evaluación, la finalidad de su traslado y el término fijado en la ley para el efecto en las diferentes modalidades. Estos y otros conceptos se encuentran disponibles para consulta</w:t>
      </w:r>
      <w:r w:rsidRPr="00A3013F">
        <w:rPr>
          <w:rFonts w:ascii="Verdana" w:hAnsi="Verdana"/>
        </w:rPr>
        <w:t xml:space="preserve"> en el Sistema de relatoría de la Agencia</w:t>
      </w:r>
      <w:r w:rsidRPr="00A1554D">
        <w:rPr>
          <w:rFonts w:ascii="Verdana" w:hAnsi="Verdana"/>
        </w:rPr>
        <w:t>, al cual se puede acceder a través del siguiente enlace:</w:t>
      </w:r>
      <w:r w:rsidRPr="00A1554D">
        <w:rPr>
          <w:rStyle w:val="normaltextrun"/>
          <w:rFonts w:ascii="Verdana" w:hAnsi="Verdana" w:cs="Arial"/>
          <w:shd w:val="clear" w:color="auto" w:fill="FFFFFF"/>
          <w:lang w:val="es-ES"/>
        </w:rPr>
        <w:t xml:space="preserve"> </w:t>
      </w:r>
      <w:hyperlink r:id="rId12" w:history="1">
        <w:r w:rsidRPr="00A1554D">
          <w:rPr>
            <w:rStyle w:val="Hyperlink"/>
            <w:rFonts w:ascii="Verdana" w:hAnsi="Verdana" w:cs="Arial"/>
            <w:shd w:val="clear" w:color="auto" w:fill="FFFFFF"/>
            <w:lang w:val="es-ES"/>
          </w:rPr>
          <w:t>https://relatoria.colombiacompra.gov.co/busqueda/conceptos</w:t>
        </w:r>
      </w:hyperlink>
    </w:p>
    <w:p w14:paraId="51D60140" w14:textId="77777777" w:rsidR="00CF2FED" w:rsidRPr="009E61FE" w:rsidRDefault="00CF2FED" w:rsidP="00CF2FED">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Style w:val="normaltextrun"/>
          <w:rFonts w:ascii="Verdana" w:hAnsi="Verdana" w:cs="Arial"/>
          <w:color w:val="FF0000"/>
          <w:shd w:val="clear" w:color="auto" w:fill="FFFFFF"/>
          <w:lang w:val="es-ES"/>
        </w:rPr>
        <w:t xml:space="preserve"> </w:t>
      </w:r>
    </w:p>
    <w:p w14:paraId="19FAC39B" w14:textId="77777777" w:rsidR="00CF2FED" w:rsidRDefault="00CF2FED" w:rsidP="00CF2FED">
      <w:pPr>
        <w:widowControl w:val="0"/>
        <w:autoSpaceDE w:val="0"/>
        <w:autoSpaceDN w:val="0"/>
        <w:spacing w:after="0" w:line="276" w:lineRule="auto"/>
        <w:jc w:val="both"/>
        <w:rPr>
          <w:rFonts w:ascii="Verdana" w:hAnsi="Verdana" w:cs="Arial"/>
          <w:color w:val="FF0000"/>
          <w:shd w:val="clear" w:color="auto" w:fill="FFFFFF"/>
          <w:lang w:val="es-ES"/>
        </w:rPr>
      </w:pPr>
      <w:r w:rsidRPr="009E61FE">
        <w:rPr>
          <w:rStyle w:val="normaltextrun"/>
          <w:rFonts w:ascii="Verdana" w:hAnsi="Verdana"/>
          <w:lang w:val="es-ES"/>
        </w:rPr>
        <w:t>Te informamos que ya se encuentra disponible la Cartilla para incentivar y fortalecer el acceso a las compras y contratación pública de los pueblos y comunidades étnicas en Colombia.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3" w:tgtFrame="_blank" w:tooltip="Original URL: https://www.colombiacompra.gov.co/manuales-guias-y-pliegos-tipo/manuales-y-guias/cartilla-para-incentivar-y-fortalecer-el-acceso-las. Click or tap if you trust this link." w:history="1">
        <w:r w:rsidRPr="007261C0">
          <w:rPr>
            <w:rStyle w:val="Hyperlink"/>
            <w:rFonts w:ascii="Verdana" w:hAnsi="Verdana" w:cs="Arial"/>
            <w:shd w:val="clear" w:color="auto" w:fill="FFFFFF"/>
          </w:rPr>
          <w:t>Cartilla para incentivar y fortalecer el acceso a las compras y contratación pública de los pueblos y comunidades étnicas en Colombia | Colombia Compra Eficiente | Agencia Nacional de Contratación Pública</w:t>
        </w:r>
      </w:hyperlink>
    </w:p>
    <w:p w14:paraId="442EC323" w14:textId="77777777" w:rsidR="00CF2FED" w:rsidRPr="007261C0" w:rsidRDefault="00CF2FED" w:rsidP="00CF2FED">
      <w:pPr>
        <w:widowControl w:val="0"/>
        <w:autoSpaceDE w:val="0"/>
        <w:autoSpaceDN w:val="0"/>
        <w:spacing w:after="0" w:line="276" w:lineRule="auto"/>
        <w:jc w:val="both"/>
        <w:rPr>
          <w:rFonts w:ascii="Verdana" w:hAnsi="Verdana" w:cs="Arial"/>
          <w:color w:val="FF0000"/>
          <w:shd w:val="clear" w:color="auto" w:fill="FFFFFF"/>
        </w:rPr>
      </w:pPr>
    </w:p>
    <w:p w14:paraId="5100E789" w14:textId="77777777" w:rsidR="00CF2FED" w:rsidRDefault="00CF2FED" w:rsidP="00CF2FED">
      <w:pPr>
        <w:widowControl w:val="0"/>
        <w:autoSpaceDE w:val="0"/>
        <w:autoSpaceDN w:val="0"/>
        <w:spacing w:after="0" w:line="276" w:lineRule="auto"/>
        <w:jc w:val="both"/>
        <w:rPr>
          <w:rFonts w:ascii="Verdana" w:hAnsi="Verdana" w:cs="Arial"/>
          <w:color w:val="FF0000"/>
          <w:shd w:val="clear" w:color="auto" w:fill="FFFFFF"/>
          <w:lang w:val="es-ES"/>
        </w:rPr>
      </w:pPr>
      <w:r w:rsidRPr="007261C0">
        <w:rPr>
          <w:rFonts w:ascii="Verdana" w:hAnsi="Verdana" w:cs="Arial"/>
          <w:color w:val="000000" w:themeColor="text1"/>
          <w:shd w:val="clear" w:color="auto" w:fill="FFFFFF"/>
        </w:rPr>
        <w:t>De otra parte, te informamos que, con el objetivo de garantizar un conocimiento adecuado de las </w:t>
      </w:r>
      <w:r w:rsidRPr="007261C0">
        <w:rPr>
          <w:rFonts w:ascii="Verdana" w:hAnsi="Verdana" w:cs="Arial"/>
          <w:b/>
          <w:color w:val="000000" w:themeColor="text1"/>
          <w:shd w:val="clear" w:color="auto" w:fill="FFFFFF"/>
        </w:rPr>
        <w:t>modificaciones y/o actualizaciones realizadas a los Documentos Tipo</w:t>
      </w:r>
      <w:r w:rsidRPr="007261C0">
        <w:rPr>
          <w:rFonts w:ascii="Verdana" w:hAnsi="Verdana" w:cs="Arial"/>
          <w:color w:val="000000" w:themeColor="text1"/>
          <w:shd w:val="clear" w:color="auto" w:fill="FFFFFF"/>
        </w:rPr>
        <w:t>, hemos programado una serie de </w:t>
      </w:r>
      <w:r w:rsidRPr="007261C0">
        <w:rPr>
          <w:rFonts w:ascii="Verdana" w:hAnsi="Verdana" w:cs="Arial"/>
          <w:b/>
          <w:color w:val="000000" w:themeColor="text1"/>
          <w:shd w:val="clear" w:color="auto" w:fill="FFFFFF"/>
        </w:rPr>
        <w:t>capacitaciones </w:t>
      </w:r>
      <w:r w:rsidRPr="007261C0">
        <w:rPr>
          <w:rFonts w:ascii="Verdana" w:hAnsi="Verdana" w:cs="Arial"/>
          <w:color w:val="000000" w:themeColor="text1"/>
          <w:shd w:val="clear" w:color="auto" w:fill="FFFFFF"/>
        </w:rPr>
        <w:t>dirigidas a todos los actores involucrados en los procesos de selección. Podrás conocer la programación y realizar tu inscripción a estas capacitaciones a través del siguiente enlace: </w:t>
      </w:r>
      <w:hyperlink r:id="rId14" w:tgtFrame="_blank" w:tooltip="Original URL: https://www.colombiacompra.gov.co/ciudadanos/calendario. Click or tap if you trust this link." w:history="1">
        <w:r w:rsidRPr="007261C0">
          <w:rPr>
            <w:rStyle w:val="Hyperlink"/>
            <w:rFonts w:ascii="Verdana" w:hAnsi="Verdana" w:cs="Arial"/>
            <w:shd w:val="clear" w:color="auto" w:fill="FFFFFF"/>
          </w:rPr>
          <w:t>Calendario | Colombia Compra Eficiente | Agencia Nacional de Contratación Pública</w:t>
        </w:r>
      </w:hyperlink>
    </w:p>
    <w:p w14:paraId="2ABF5A19" w14:textId="77777777" w:rsidR="00CF2FED" w:rsidRPr="007261C0" w:rsidRDefault="00CF2FED" w:rsidP="00CF2FED">
      <w:pPr>
        <w:widowControl w:val="0"/>
        <w:autoSpaceDE w:val="0"/>
        <w:autoSpaceDN w:val="0"/>
        <w:spacing w:after="0" w:line="276" w:lineRule="auto"/>
        <w:jc w:val="both"/>
        <w:rPr>
          <w:rFonts w:ascii="Verdana" w:hAnsi="Verdana" w:cs="Arial"/>
          <w:color w:val="FF0000"/>
          <w:shd w:val="clear" w:color="auto" w:fill="FFFFFF"/>
        </w:rPr>
      </w:pPr>
    </w:p>
    <w:p w14:paraId="09F03712" w14:textId="77777777" w:rsidR="00CF2FED" w:rsidRPr="007261C0" w:rsidRDefault="00CF2FED" w:rsidP="00CF2FED">
      <w:pPr>
        <w:widowControl w:val="0"/>
        <w:autoSpaceDE w:val="0"/>
        <w:autoSpaceDN w:val="0"/>
        <w:spacing w:after="0" w:line="276" w:lineRule="auto"/>
        <w:jc w:val="both"/>
        <w:rPr>
          <w:rFonts w:ascii="Verdana" w:hAnsi="Verdana" w:cs="Arial"/>
          <w:color w:val="FF0000"/>
          <w:shd w:val="clear" w:color="auto" w:fill="FFFFFF"/>
        </w:rPr>
      </w:pPr>
      <w:r w:rsidRPr="007261C0">
        <w:rPr>
          <w:rFonts w:ascii="Verdana" w:hAnsi="Verdana" w:cs="Arial"/>
          <w:color w:val="000000" w:themeColor="text1"/>
          <w:shd w:val="clear" w:color="auto" w:fill="FFFFFF"/>
        </w:rPr>
        <w:t>También, te contamos que ya publicamos </w:t>
      </w:r>
      <w:r w:rsidRPr="007261C0">
        <w:rPr>
          <w:rFonts w:ascii="Verdana" w:hAnsi="Verdana" w:cs="Arial"/>
          <w:b/>
          <w:color w:val="000000" w:themeColor="text1"/>
          <w:shd w:val="clear" w:color="auto" w:fill="FFFFFF"/>
        </w:rPr>
        <w:t xml:space="preserve">la nueva Guía de Contratación </w:t>
      </w:r>
      <w:r w:rsidRPr="007261C0">
        <w:rPr>
          <w:rFonts w:ascii="Verdana" w:hAnsi="Verdana" w:cs="Arial"/>
          <w:b/>
          <w:color w:val="000000" w:themeColor="text1"/>
          <w:shd w:val="clear" w:color="auto" w:fill="FFFFFF"/>
        </w:rPr>
        <w:lastRenderedPageBreak/>
        <w:t>Pública Sostenible y Socialmente Responsable</w:t>
      </w:r>
      <w:r w:rsidRPr="007261C0">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Original URL: https://www.colombiacompra.gov.co/manuales-guias-y-pliegos-tipo/manuales-y-guias/guia-de-contratacion-publica-sostenible-y-socialmente. Click or tap if you trust this link." w:history="1">
        <w:r w:rsidRPr="007261C0">
          <w:rPr>
            <w:rStyle w:val="Hyperlink"/>
            <w:rFonts w:ascii="Verdana" w:hAnsi="Verdana" w:cs="Arial"/>
            <w:shd w:val="clear" w:color="auto" w:fill="FFFFFF"/>
          </w:rPr>
          <w:t>Guía de Contratación Pública Sostenible y Socialmente Responsable | Colombia Compra Eficiente | Agencia Nacional de Contratación Pública</w:t>
        </w:r>
      </w:hyperlink>
    </w:p>
    <w:p w14:paraId="5F7D53AD" w14:textId="77777777" w:rsidR="00CF2FED" w:rsidRDefault="00CF2FED" w:rsidP="00CF2FED">
      <w:pPr>
        <w:spacing w:after="0" w:line="240" w:lineRule="auto"/>
        <w:jc w:val="both"/>
        <w:rPr>
          <w:rFonts w:ascii="Verdana" w:hAnsi="Verdana"/>
        </w:rPr>
      </w:pPr>
    </w:p>
    <w:p w14:paraId="65FFFF25" w14:textId="77777777" w:rsidR="00CF2FED" w:rsidRPr="0017456C" w:rsidRDefault="00CF2FED" w:rsidP="00CF2FED">
      <w:pPr>
        <w:spacing w:after="0" w:line="240" w:lineRule="auto"/>
        <w:jc w:val="both"/>
        <w:rPr>
          <w:rFonts w:ascii="Verdana" w:hAnsi="Verdana"/>
        </w:rPr>
      </w:pPr>
      <w:r w:rsidRPr="0017456C">
        <w:rPr>
          <w:rFonts w:ascii="Verdana" w:hAnsi="Verdana"/>
        </w:rPr>
        <w:t xml:space="preserve">Por último, lo invitamos a seguirnos en las redes sociales en las cuales se difunde información institucional: </w:t>
      </w:r>
    </w:p>
    <w:p w14:paraId="28EC0C7A" w14:textId="77777777" w:rsidR="00CF2FED" w:rsidRPr="003E2460" w:rsidRDefault="00CF2FED" w:rsidP="00CF2FED">
      <w:pPr>
        <w:spacing w:after="0" w:line="240" w:lineRule="auto"/>
        <w:jc w:val="both"/>
        <w:rPr>
          <w:rFonts w:ascii="Verdana" w:hAnsi="Verdana"/>
        </w:rPr>
      </w:pPr>
    </w:p>
    <w:p w14:paraId="02A77C97" w14:textId="77777777" w:rsidR="00CF2FED" w:rsidRPr="003E2460" w:rsidRDefault="00CF2FED" w:rsidP="00CF2FED">
      <w:pPr>
        <w:spacing w:after="0" w:line="240" w:lineRule="auto"/>
        <w:jc w:val="both"/>
        <w:rPr>
          <w:rFonts w:ascii="Verdana" w:hAnsi="Verdana"/>
        </w:rPr>
      </w:pPr>
      <w:r w:rsidRPr="003E2460">
        <w:rPr>
          <w:rFonts w:ascii="Verdana" w:hAnsi="Verdana"/>
        </w:rPr>
        <w:t xml:space="preserve">Twitter: </w:t>
      </w:r>
      <w:r w:rsidRPr="007261C0">
        <w:rPr>
          <w:rStyle w:val="Hyperlink"/>
          <w:rFonts w:ascii="Verdana" w:hAnsi="Verdana" w:cs="Arial"/>
          <w:shd w:val="clear" w:color="auto" w:fill="FFFFFF"/>
        </w:rPr>
        <w:t>@colombiacompra</w:t>
      </w:r>
      <w:r w:rsidRPr="003E2460">
        <w:rPr>
          <w:rFonts w:ascii="Verdana" w:hAnsi="Verdana"/>
          <w:color w:val="4472C4" w:themeColor="accent1"/>
        </w:rPr>
        <w:t xml:space="preserve"> </w:t>
      </w:r>
    </w:p>
    <w:p w14:paraId="6E635F48" w14:textId="77777777" w:rsidR="00CF2FED" w:rsidRPr="003E2460" w:rsidRDefault="00CF2FED" w:rsidP="00CF2FED">
      <w:pPr>
        <w:spacing w:after="0" w:line="240" w:lineRule="auto"/>
        <w:jc w:val="both"/>
        <w:rPr>
          <w:rFonts w:ascii="Verdana" w:hAnsi="Verdana"/>
        </w:rPr>
      </w:pPr>
      <w:r w:rsidRPr="003E2460">
        <w:rPr>
          <w:rFonts w:ascii="Verdana" w:hAnsi="Verdana"/>
        </w:rPr>
        <w:t xml:space="preserve">Facebook: </w:t>
      </w:r>
      <w:proofErr w:type="spellStart"/>
      <w:r w:rsidRPr="007261C0">
        <w:rPr>
          <w:rStyle w:val="Hyperlink"/>
          <w:rFonts w:ascii="Verdana" w:hAnsi="Verdana" w:cs="Arial"/>
          <w:shd w:val="clear" w:color="auto" w:fill="FFFFFF"/>
        </w:rPr>
        <w:t>ColombiaCompraEficiente</w:t>
      </w:r>
      <w:proofErr w:type="spellEnd"/>
    </w:p>
    <w:p w14:paraId="754B305C" w14:textId="77777777" w:rsidR="00CF2FED" w:rsidRPr="003E2460" w:rsidRDefault="00CF2FED" w:rsidP="00CF2FED">
      <w:pPr>
        <w:spacing w:after="0" w:line="240" w:lineRule="auto"/>
        <w:jc w:val="both"/>
        <w:rPr>
          <w:rFonts w:ascii="Verdana" w:hAnsi="Verdana"/>
        </w:rPr>
      </w:pPr>
      <w:r w:rsidRPr="003E2460">
        <w:rPr>
          <w:rFonts w:ascii="Verdana" w:hAnsi="Verdana"/>
        </w:rPr>
        <w:t xml:space="preserve">LinkedIn: </w:t>
      </w:r>
      <w:r w:rsidRPr="007261C0">
        <w:rPr>
          <w:rStyle w:val="Hyperlink"/>
          <w:rFonts w:ascii="Verdana" w:hAnsi="Verdana" w:cs="Arial"/>
          <w:shd w:val="clear" w:color="auto" w:fill="FFFFFF"/>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7261C0">
        <w:rPr>
          <w:rStyle w:val="Hyperlink"/>
          <w:rFonts w:ascii="Verdana" w:hAnsi="Verdana" w:cs="Arial"/>
          <w:shd w:val="clear" w:color="auto" w:fill="FFFFFF"/>
        </w:rPr>
        <w:t>@colombiacompraeficiente_cce</w:t>
      </w:r>
    </w:p>
    <w:p w14:paraId="608B3D38" w14:textId="77777777" w:rsidR="00CF2FED" w:rsidRPr="00593A5F" w:rsidRDefault="00CF2FED" w:rsidP="00CF2FED">
      <w:pPr>
        <w:widowControl w:val="0"/>
        <w:autoSpaceDE w:val="0"/>
        <w:autoSpaceDN w:val="0"/>
        <w:spacing w:after="0" w:line="276" w:lineRule="auto"/>
        <w:jc w:val="both"/>
        <w:rPr>
          <w:rFonts w:ascii="Verdana" w:hAnsi="Verdana" w:cs="Arial"/>
        </w:rPr>
      </w:pPr>
    </w:p>
    <w:p w14:paraId="58B87AAA" w14:textId="77777777" w:rsidR="00CF2FED" w:rsidRPr="00593A5F" w:rsidRDefault="00CF2FED" w:rsidP="00CF2FED">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846A61F" w14:textId="77777777" w:rsidR="00CF2FED" w:rsidRPr="00593A5F" w:rsidRDefault="00CF2FED" w:rsidP="00CF2FED">
      <w:pPr>
        <w:widowControl w:val="0"/>
        <w:autoSpaceDE w:val="0"/>
        <w:autoSpaceDN w:val="0"/>
        <w:spacing w:after="0" w:line="276" w:lineRule="auto"/>
        <w:jc w:val="both"/>
        <w:rPr>
          <w:rFonts w:ascii="Verdana" w:hAnsi="Verdana" w:cs="Arial"/>
        </w:rPr>
      </w:pPr>
    </w:p>
    <w:p w14:paraId="095FCF5A" w14:textId="579337B1" w:rsidR="00CF2FED" w:rsidRPr="00593A5F" w:rsidRDefault="00CF2FED" w:rsidP="00CF2FED">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BA26C3D" w14:textId="7CF1D9C4" w:rsidR="00CF2FED" w:rsidRPr="00593A5F" w:rsidRDefault="00A71E06" w:rsidP="00CF2FED">
      <w:pPr>
        <w:spacing w:line="276" w:lineRule="auto"/>
        <w:jc w:val="center"/>
        <w:rPr>
          <w:rFonts w:ascii="Verdana" w:hAnsi="Verdana" w:cs="Arial"/>
          <w:color w:val="000000"/>
          <w:lang w:val="es-ES_tradnl" w:eastAsia="es-CO"/>
        </w:rPr>
      </w:pPr>
      <w:r>
        <w:rPr>
          <w:noProof/>
        </w:rPr>
        <w:drawing>
          <wp:inline distT="0" distB="0" distL="0" distR="0" wp14:anchorId="653C20B3" wp14:editId="4EBF4D77">
            <wp:extent cx="3768725" cy="1399540"/>
            <wp:effectExtent l="0" t="0" r="3175" b="0"/>
            <wp:docPr id="2" name="Imagen 2"/>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F2FED" w:rsidRPr="00593A5F" w14:paraId="6353C544" w14:textId="77777777" w:rsidTr="002F3415">
        <w:trPr>
          <w:trHeight w:val="315"/>
        </w:trPr>
        <w:tc>
          <w:tcPr>
            <w:tcW w:w="893" w:type="dxa"/>
            <w:vAlign w:val="center"/>
            <w:hideMark/>
          </w:tcPr>
          <w:p w14:paraId="611F3102" w14:textId="77777777" w:rsidR="00CF2FED" w:rsidRPr="003751C7" w:rsidRDefault="00CF2FED" w:rsidP="002F3415">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4A7F332" w14:textId="77777777" w:rsidR="00CF2FED" w:rsidRPr="00FF1EF8" w:rsidRDefault="00CF2FED" w:rsidP="002F3415">
            <w:pPr>
              <w:contextualSpacing/>
              <w:rPr>
                <w:rFonts w:ascii="Verdana" w:eastAsia="Arial" w:hAnsi="Verdana" w:cs="Arial"/>
                <w:color w:val="000000" w:themeColor="text1"/>
                <w:sz w:val="16"/>
                <w:szCs w:val="16"/>
              </w:rPr>
            </w:pPr>
            <w:r w:rsidRPr="00FF1EF8">
              <w:rPr>
                <w:rFonts w:ascii="Verdana" w:eastAsia="Arial" w:hAnsi="Verdana" w:cs="Arial"/>
                <w:color w:val="000000" w:themeColor="text1"/>
                <w:sz w:val="16"/>
                <w:szCs w:val="16"/>
              </w:rPr>
              <w:t>Anamaría Bonilla Prieto</w:t>
            </w:r>
          </w:p>
          <w:p w14:paraId="3A2973FF" w14:textId="77777777" w:rsidR="00CF2FED" w:rsidRPr="003751C7" w:rsidRDefault="00CF2FED" w:rsidP="002F3415">
            <w:pPr>
              <w:contextualSpacing/>
              <w:rPr>
                <w:rFonts w:ascii="Verdana" w:eastAsia="Arial" w:hAnsi="Verdana" w:cs="Arial"/>
                <w:sz w:val="16"/>
                <w:szCs w:val="16"/>
              </w:rPr>
            </w:pPr>
            <w:r w:rsidRPr="00FF1EF8">
              <w:rPr>
                <w:rStyle w:val="normaltextrun"/>
                <w:rFonts w:ascii="Verdana" w:eastAsia="Arial" w:hAnsi="Verdana" w:cs="Arial"/>
                <w:color w:val="000000" w:themeColor="text1"/>
                <w:sz w:val="16"/>
                <w:szCs w:val="16"/>
              </w:rPr>
              <w:t xml:space="preserve">Contratista de la Subdirección </w:t>
            </w:r>
            <w:r w:rsidRPr="003751C7">
              <w:rPr>
                <w:rStyle w:val="normaltextrun"/>
                <w:rFonts w:ascii="Verdana" w:eastAsia="Arial" w:hAnsi="Verdana" w:cs="Arial"/>
                <w:sz w:val="16"/>
                <w:szCs w:val="16"/>
              </w:rPr>
              <w:t>de Gestión Contractual</w:t>
            </w:r>
          </w:p>
        </w:tc>
      </w:tr>
      <w:tr w:rsidR="00CF2FED" w:rsidRPr="00593A5F" w14:paraId="450CE0A2" w14:textId="77777777" w:rsidTr="002F3415">
        <w:trPr>
          <w:trHeight w:val="330"/>
        </w:trPr>
        <w:tc>
          <w:tcPr>
            <w:tcW w:w="893" w:type="dxa"/>
            <w:vAlign w:val="center"/>
            <w:hideMark/>
          </w:tcPr>
          <w:p w14:paraId="1FC3B46C" w14:textId="77777777" w:rsidR="00CF2FED" w:rsidRPr="003751C7" w:rsidRDefault="00CF2FED" w:rsidP="002F3415">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1ED4A3C" w14:textId="77777777" w:rsidR="00CF2FED" w:rsidRPr="00B6469F" w:rsidRDefault="00CF2FED" w:rsidP="002F3415">
            <w:pPr>
              <w:contextualSpacing/>
              <w:textAlignment w:val="baseline"/>
              <w:rPr>
                <w:rFonts w:ascii="Verdana" w:eastAsia="Times New Roman" w:hAnsi="Verdana" w:cs="Arial"/>
                <w:sz w:val="16"/>
                <w:szCs w:val="16"/>
                <w:lang w:val="es-ES" w:eastAsia="es-ES_tradnl"/>
              </w:rPr>
            </w:pPr>
            <w:r w:rsidRPr="00B6469F">
              <w:rPr>
                <w:rFonts w:ascii="Verdana" w:eastAsia="Times New Roman" w:hAnsi="Verdana" w:cs="Arial"/>
                <w:sz w:val="16"/>
                <w:szCs w:val="16"/>
                <w:lang w:val="es-ES" w:eastAsia="es-ES_tradnl"/>
              </w:rPr>
              <w:t>Alejandro Sarmiento Cantillo</w:t>
            </w:r>
          </w:p>
          <w:p w14:paraId="77459FB5" w14:textId="77777777" w:rsidR="00CF2FED" w:rsidRPr="003751C7" w:rsidRDefault="00CF2FED" w:rsidP="002F3415">
            <w:pPr>
              <w:pStyle w:val="paragraph"/>
              <w:spacing w:before="0" w:beforeAutospacing="0" w:after="0" w:afterAutospacing="0"/>
              <w:contextualSpacing/>
              <w:textAlignment w:val="baseline"/>
              <w:rPr>
                <w:rFonts w:ascii="Verdana" w:hAnsi="Verdana" w:cs="Segoe UI"/>
                <w:sz w:val="16"/>
                <w:szCs w:val="16"/>
              </w:rPr>
            </w:pPr>
            <w:r w:rsidRPr="00B6469F">
              <w:rPr>
                <w:rFonts w:ascii="Verdana" w:hAnsi="Verdana" w:cs="Arial"/>
                <w:sz w:val="16"/>
                <w:szCs w:val="16"/>
                <w:lang w:val="es-ES" w:eastAsia="es-ES_tradnl"/>
              </w:rPr>
              <w:t xml:space="preserve">Gestor T1 – 15 </w:t>
            </w:r>
            <w:r w:rsidRPr="003751C7">
              <w:rPr>
                <w:rStyle w:val="normaltextrun"/>
                <w:rFonts w:ascii="Verdana" w:hAnsi="Verdana" w:cs="Arial"/>
                <w:sz w:val="16"/>
                <w:szCs w:val="16"/>
                <w:lang w:val="es-ES"/>
              </w:rPr>
              <w:t>de la Subdirección de Gestión Contractual</w:t>
            </w:r>
            <w:r w:rsidRPr="003751C7">
              <w:rPr>
                <w:rStyle w:val="eop"/>
                <w:rFonts w:ascii="Verdana" w:hAnsi="Verdana" w:cs="Arial"/>
                <w:sz w:val="16"/>
                <w:szCs w:val="16"/>
              </w:rPr>
              <w:t> </w:t>
            </w:r>
          </w:p>
        </w:tc>
      </w:tr>
      <w:tr w:rsidR="00CF2FED" w:rsidRPr="00593A5F" w14:paraId="32D01748" w14:textId="77777777" w:rsidTr="002F3415">
        <w:trPr>
          <w:trHeight w:val="300"/>
        </w:trPr>
        <w:tc>
          <w:tcPr>
            <w:tcW w:w="893" w:type="dxa"/>
            <w:vAlign w:val="center"/>
          </w:tcPr>
          <w:p w14:paraId="1A1286B0" w14:textId="77777777" w:rsidR="00CF2FED" w:rsidRPr="003751C7" w:rsidRDefault="00CF2FED" w:rsidP="002F3415">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3C5CDA0" w14:textId="77777777" w:rsidR="00CF2FED" w:rsidRPr="003751C7" w:rsidRDefault="00CF2FED" w:rsidP="002F3415">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666E5C19" w14:textId="77777777" w:rsidR="00CF2FED" w:rsidRPr="003751C7" w:rsidRDefault="00CF2FED" w:rsidP="002F3415">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bookmarkEnd w:id="0"/>
    </w:tbl>
    <w:p w14:paraId="0465BA6D" w14:textId="2724B029" w:rsidR="00E245AB" w:rsidRPr="0044528D" w:rsidRDefault="00E245AB" w:rsidP="00E245AB">
      <w:pPr>
        <w:spacing w:after="0"/>
        <w:rPr>
          <w:rFonts w:ascii="Verdana" w:hAnsi="Verdana"/>
        </w:rPr>
      </w:pPr>
    </w:p>
    <w:sectPr w:rsidR="00E245AB" w:rsidRPr="0044528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660A4F" w14:textId="77777777" w:rsidR="000B3CAB" w:rsidRDefault="000B3CAB" w:rsidP="004A1847">
      <w:pPr>
        <w:spacing w:after="0" w:line="240" w:lineRule="auto"/>
      </w:pPr>
      <w:r>
        <w:separator/>
      </w:r>
    </w:p>
  </w:endnote>
  <w:endnote w:type="continuationSeparator" w:id="0">
    <w:p w14:paraId="7A2CF2AB" w14:textId="77777777" w:rsidR="000B3CAB" w:rsidRDefault="000B3CAB" w:rsidP="004A1847">
      <w:pPr>
        <w:spacing w:after="0" w:line="240" w:lineRule="auto"/>
      </w:pPr>
      <w:r>
        <w:continuationSeparator/>
      </w:r>
    </w:p>
  </w:endnote>
  <w:endnote w:type="continuationNotice" w:id="1">
    <w:p w14:paraId="5D796809" w14:textId="77777777" w:rsidR="000B3CAB" w:rsidRDefault="000B3CA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05F5D6" w14:textId="77777777" w:rsidR="000B3CAB" w:rsidRDefault="000B3CAB" w:rsidP="004A1847">
      <w:pPr>
        <w:spacing w:after="0" w:line="240" w:lineRule="auto"/>
      </w:pPr>
      <w:r>
        <w:separator/>
      </w:r>
    </w:p>
  </w:footnote>
  <w:footnote w:type="continuationSeparator" w:id="0">
    <w:p w14:paraId="3D6F5E20" w14:textId="77777777" w:rsidR="000B3CAB" w:rsidRDefault="000B3CAB" w:rsidP="004A1847">
      <w:pPr>
        <w:spacing w:after="0" w:line="240" w:lineRule="auto"/>
      </w:pPr>
      <w:r>
        <w:continuationSeparator/>
      </w:r>
    </w:p>
  </w:footnote>
  <w:footnote w:type="continuationNotice" w:id="1">
    <w:p w14:paraId="2310A61B" w14:textId="77777777" w:rsidR="000B3CAB" w:rsidRDefault="000B3CAB">
      <w:pPr>
        <w:spacing w:after="0" w:line="240" w:lineRule="auto"/>
      </w:pPr>
    </w:p>
  </w:footnote>
  <w:footnote w:id="2">
    <w:p w14:paraId="59972484" w14:textId="77777777" w:rsidR="00CF2FED" w:rsidRPr="003D6EC7" w:rsidRDefault="00CF2FED" w:rsidP="00CF2FED">
      <w:pPr>
        <w:pStyle w:val="FootnoteText"/>
        <w:ind w:left="708"/>
        <w:jc w:val="both"/>
        <w:rPr>
          <w:rFonts w:ascii="Verdana" w:hAnsi="Verdana" w:cs="Arial"/>
          <w:color w:val="000000" w:themeColor="text1"/>
          <w:sz w:val="16"/>
          <w:szCs w:val="16"/>
        </w:rPr>
      </w:pPr>
      <w:r w:rsidRPr="003D6EC7">
        <w:rPr>
          <w:rStyle w:val="FootnoteReference"/>
          <w:rFonts w:ascii="Verdana" w:hAnsi="Verdana" w:cs="Arial"/>
          <w:color w:val="000000" w:themeColor="text1"/>
          <w:sz w:val="16"/>
          <w:szCs w:val="16"/>
        </w:rPr>
        <w:footnoteRef/>
      </w:r>
      <w:r w:rsidRPr="003D6EC7">
        <w:rPr>
          <w:rFonts w:ascii="Verdana" w:hAnsi="Verdana" w:cs="Arial"/>
          <w:color w:val="000000" w:themeColor="text1"/>
          <w:sz w:val="16"/>
          <w:szCs w:val="16"/>
        </w:rPr>
        <w:t xml:space="preserve"> Corte Constitucional. Sentencia C- 341 del 4 de junio de 2014. M. P. Mauricio González Cuervo.</w:t>
      </w:r>
    </w:p>
    <w:p w14:paraId="1660AF5A" w14:textId="77777777" w:rsidR="00CF2FED" w:rsidRPr="003D6EC7" w:rsidRDefault="00CF2FED" w:rsidP="003E6C84">
      <w:pPr>
        <w:pStyle w:val="FootnoteText"/>
        <w:jc w:val="both"/>
        <w:rPr>
          <w:rFonts w:ascii="Verdana" w:hAnsi="Verdana" w:cs="Arial"/>
          <w:color w:val="000000" w:themeColor="text1"/>
          <w:sz w:val="16"/>
          <w:szCs w:val="16"/>
        </w:rPr>
      </w:pPr>
    </w:p>
  </w:footnote>
  <w:footnote w:id="3">
    <w:p w14:paraId="1633C98B" w14:textId="77777777" w:rsidR="00CF2FED" w:rsidRPr="003D6EC7" w:rsidRDefault="00CF2FED" w:rsidP="00CF2FED">
      <w:pPr>
        <w:pStyle w:val="FootnoteText"/>
        <w:ind w:firstLine="709"/>
        <w:jc w:val="both"/>
        <w:rPr>
          <w:rFonts w:ascii="Verdana" w:hAnsi="Verdana" w:cs="Arial"/>
          <w:color w:val="000000" w:themeColor="text1"/>
          <w:sz w:val="16"/>
          <w:szCs w:val="16"/>
        </w:rPr>
      </w:pPr>
      <w:r w:rsidRPr="003D6EC7">
        <w:rPr>
          <w:rStyle w:val="FootnoteReference"/>
          <w:rFonts w:ascii="Verdana" w:hAnsi="Verdana" w:cs="Arial"/>
          <w:color w:val="000000" w:themeColor="text1"/>
          <w:sz w:val="16"/>
          <w:szCs w:val="16"/>
        </w:rPr>
        <w:footnoteRef/>
      </w:r>
      <w:r w:rsidRPr="003D6EC7">
        <w:rPr>
          <w:rFonts w:ascii="Verdana" w:hAnsi="Verdana" w:cs="Arial"/>
          <w:color w:val="000000" w:themeColor="text1"/>
          <w:sz w:val="16"/>
          <w:szCs w:val="16"/>
        </w:rPr>
        <w:t xml:space="preserve"> </w:t>
      </w:r>
      <w:r w:rsidRPr="003D6EC7">
        <w:rPr>
          <w:rFonts w:ascii="Verdana" w:hAnsi="Verdana" w:cs="Arial"/>
          <w:color w:val="000000" w:themeColor="text1"/>
          <w:sz w:val="16"/>
          <w:szCs w:val="16"/>
        </w:rPr>
        <w:t>Ley 1712 de 2014: “Artículo 2. Toda información en posesión, bajo control o custodia de un sujeto obligado es pública y no podrá ser reservada o limitada sino por disposición constitucional o legal, de conformidad con la presente ley”.</w:t>
      </w:r>
    </w:p>
    <w:p w14:paraId="5BC795AA" w14:textId="77777777" w:rsidR="00CF2FED" w:rsidRPr="003D6EC7" w:rsidRDefault="00CF2FED" w:rsidP="00CF2FED">
      <w:pPr>
        <w:pStyle w:val="FootnoteText"/>
        <w:ind w:firstLine="709"/>
        <w:jc w:val="both"/>
        <w:rPr>
          <w:rFonts w:ascii="Verdana" w:hAnsi="Verdana" w:cs="Arial"/>
          <w:color w:val="000000" w:themeColor="text1"/>
          <w:sz w:val="16"/>
          <w:szCs w:val="16"/>
          <w:lang w:val="es-CO"/>
        </w:rPr>
      </w:pPr>
    </w:p>
  </w:footnote>
  <w:footnote w:id="4">
    <w:p w14:paraId="12C56F21" w14:textId="77777777" w:rsidR="00CF2FED" w:rsidRPr="000A3117" w:rsidRDefault="00CF2FED" w:rsidP="00CF2FED">
      <w:pPr>
        <w:pStyle w:val="FootnoteText"/>
        <w:ind w:firstLine="709"/>
        <w:jc w:val="both"/>
        <w:rPr>
          <w:rFonts w:ascii="Verdana" w:hAnsi="Verdana" w:cs="Arial"/>
          <w:color w:val="000000" w:themeColor="text1"/>
          <w:sz w:val="16"/>
          <w:szCs w:val="16"/>
        </w:rPr>
      </w:pPr>
      <w:r w:rsidRPr="000A3117">
        <w:rPr>
          <w:rStyle w:val="FootnoteReference"/>
          <w:rFonts w:ascii="Verdana" w:hAnsi="Verdana" w:cs="Arial"/>
          <w:color w:val="000000" w:themeColor="text1"/>
          <w:sz w:val="16"/>
          <w:szCs w:val="16"/>
        </w:rPr>
        <w:footnoteRef/>
      </w:r>
      <w:r w:rsidRPr="000A3117">
        <w:rPr>
          <w:rFonts w:ascii="Verdana" w:hAnsi="Verdana" w:cs="Arial"/>
          <w:color w:val="000000" w:themeColor="text1"/>
          <w:sz w:val="16"/>
          <w:szCs w:val="16"/>
        </w:rPr>
        <w:t xml:space="preserve"> </w:t>
      </w:r>
      <w:r w:rsidRPr="000A3117">
        <w:rPr>
          <w:rFonts w:ascii="Verdana" w:hAnsi="Verdana" w:cs="Arial"/>
          <w:color w:val="000000" w:themeColor="text1"/>
          <w:sz w:val="16"/>
          <w:szCs w:val="16"/>
        </w:rPr>
        <w:t>Ley 1712 de 2014: “Artículo 5. Ámbito de aplicación. Las disposiciones de esta ley serán aplicables a las siguientes personas en calidad de sujetos obligados: a) Toda entidad pública, incluyendo las pertenecientes a todas las Ramas del Poder Público, en todos los niveles de la estructura estatal, central o descentralizada por servicios o territorialmente, en los órdenes nacional, departamental, municipal y distrital”.</w:t>
      </w:r>
    </w:p>
    <w:p w14:paraId="3B450CB2" w14:textId="77777777" w:rsidR="00CF2FED" w:rsidRPr="000A3117" w:rsidRDefault="00CF2FED" w:rsidP="00CF2FED">
      <w:pPr>
        <w:pStyle w:val="FootnoteText"/>
        <w:ind w:firstLine="709"/>
        <w:jc w:val="both"/>
        <w:rPr>
          <w:rFonts w:ascii="Verdana" w:hAnsi="Verdana" w:cs="Arial"/>
          <w:color w:val="000000" w:themeColor="text1"/>
          <w:sz w:val="16"/>
          <w:szCs w:val="16"/>
          <w:lang w:val="es-CO"/>
        </w:rPr>
      </w:pPr>
    </w:p>
  </w:footnote>
  <w:footnote w:id="5">
    <w:p w14:paraId="6304DBFC" w14:textId="77777777" w:rsidR="00CF2FED" w:rsidRPr="000A3117" w:rsidRDefault="00CF2FED" w:rsidP="00CF2FED">
      <w:pPr>
        <w:pStyle w:val="FootnoteText"/>
        <w:ind w:firstLine="709"/>
        <w:jc w:val="both"/>
        <w:rPr>
          <w:rFonts w:ascii="Verdana" w:hAnsi="Verdana" w:cs="Arial"/>
          <w:color w:val="000000"/>
          <w:sz w:val="16"/>
          <w:szCs w:val="16"/>
        </w:rPr>
      </w:pPr>
      <w:r w:rsidRPr="000A3117">
        <w:rPr>
          <w:rFonts w:ascii="Verdana" w:eastAsia="Times New Roman" w:hAnsi="Verdana" w:cs="Arial"/>
          <w:color w:val="000000"/>
          <w:sz w:val="16"/>
          <w:szCs w:val="16"/>
          <w:vertAlign w:val="superscript"/>
          <w:lang w:val="es-ES" w:eastAsia="es-ES"/>
        </w:rPr>
        <w:footnoteRef/>
      </w:r>
      <w:r w:rsidRPr="000A3117">
        <w:rPr>
          <w:rFonts w:ascii="Verdana" w:eastAsia="Times New Roman" w:hAnsi="Verdana" w:cs="Arial"/>
          <w:color w:val="000000"/>
          <w:sz w:val="16"/>
          <w:szCs w:val="16"/>
          <w:vertAlign w:val="superscript"/>
          <w:lang w:val="es-ES" w:eastAsia="es-ES"/>
        </w:rPr>
        <w:t xml:space="preserve"> </w:t>
      </w:r>
      <w:r w:rsidRPr="000A3117">
        <w:rPr>
          <w:rFonts w:ascii="Verdana" w:eastAsia="Times New Roman" w:hAnsi="Verdana" w:cs="Arial"/>
          <w:color w:val="000000"/>
          <w:sz w:val="16"/>
          <w:szCs w:val="16"/>
          <w:lang w:val="es-ES" w:eastAsia="es-ES"/>
        </w:rPr>
        <w:t>“</w:t>
      </w:r>
      <w:r w:rsidRPr="000A3117">
        <w:rPr>
          <w:rFonts w:ascii="Verdana" w:hAnsi="Verdana" w:cs="Arial"/>
          <w:color w:val="000000"/>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4C782BC9" w14:textId="77777777" w:rsidR="00CF2FED" w:rsidRPr="000A3117" w:rsidRDefault="00CF2FED" w:rsidP="00CF2FED">
      <w:pPr>
        <w:pStyle w:val="FootnoteText"/>
        <w:ind w:firstLine="709"/>
        <w:jc w:val="both"/>
        <w:rPr>
          <w:rFonts w:ascii="Verdana" w:eastAsia="Times New Roman" w:hAnsi="Verdana" w:cs="Arial"/>
          <w:color w:val="000000"/>
          <w:sz w:val="16"/>
          <w:szCs w:val="16"/>
          <w:lang w:val="es-ES" w:eastAsia="es-ES"/>
        </w:rPr>
      </w:pPr>
      <w:r w:rsidRPr="000A3117">
        <w:rPr>
          <w:rFonts w:ascii="Verdana" w:hAnsi="Verdana" w:cs="Arial"/>
          <w:color w:val="000000"/>
          <w:sz w:val="16"/>
          <w:szCs w:val="16"/>
        </w:rPr>
        <w:t>[…].</w:t>
      </w:r>
    </w:p>
    <w:p w14:paraId="3934A4AC" w14:textId="77777777" w:rsidR="00CF2FED" w:rsidRPr="000A3117" w:rsidRDefault="00CF2FED" w:rsidP="00CF2FED">
      <w:pPr>
        <w:pStyle w:val="FootnoteText"/>
        <w:ind w:firstLine="709"/>
        <w:jc w:val="both"/>
        <w:rPr>
          <w:rFonts w:ascii="Verdana" w:eastAsia="Times New Roman" w:hAnsi="Verdana" w:cs="Arial"/>
          <w:color w:val="000000"/>
          <w:sz w:val="16"/>
          <w:szCs w:val="16"/>
          <w:lang w:val="es-ES" w:eastAsia="es-ES"/>
        </w:rPr>
      </w:pPr>
      <w:r w:rsidRPr="000A3117">
        <w:rPr>
          <w:rFonts w:ascii="Verdana" w:eastAsia="Times New Roman" w:hAnsi="Verdana" w:cs="Arial"/>
          <w:color w:val="000000"/>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p w14:paraId="339E2E7B" w14:textId="77777777" w:rsidR="00CF2FED" w:rsidRPr="000A3117" w:rsidRDefault="00CF2FED" w:rsidP="00CF2FED">
      <w:pPr>
        <w:pStyle w:val="FootnoteText"/>
        <w:ind w:firstLine="709"/>
        <w:jc w:val="both"/>
        <w:rPr>
          <w:rFonts w:ascii="Verdana" w:eastAsia="Times New Roman" w:hAnsi="Verdana" w:cs="Arial"/>
          <w:color w:val="000000"/>
          <w:sz w:val="16"/>
          <w:szCs w:val="16"/>
          <w:lang w:val="es-ES" w:eastAsia="es-ES"/>
        </w:rPr>
      </w:pPr>
    </w:p>
  </w:footnote>
  <w:footnote w:id="6">
    <w:p w14:paraId="1E137BDF" w14:textId="7AF74A6A" w:rsidR="001A5F88" w:rsidRPr="001A5F88" w:rsidRDefault="001A5F88" w:rsidP="005638BC">
      <w:pPr>
        <w:pStyle w:val="FootnoteText"/>
        <w:spacing w:after="120"/>
        <w:ind w:firstLine="709"/>
        <w:jc w:val="both"/>
        <w:rPr>
          <w:rFonts w:ascii="Verdana" w:hAnsi="Verdana" w:cs="Arial"/>
          <w:color w:val="000000" w:themeColor="text1"/>
          <w:sz w:val="16"/>
          <w:szCs w:val="16"/>
        </w:rPr>
      </w:pPr>
      <w:r>
        <w:rPr>
          <w:rStyle w:val="FootnoteReference"/>
        </w:rPr>
        <w:footnoteRef/>
      </w:r>
      <w:r>
        <w:t xml:space="preserve"> </w:t>
      </w:r>
      <w:r w:rsidRPr="0026407E">
        <w:rPr>
          <w:rFonts w:ascii="Verdana" w:hAnsi="Verdana" w:cs="Arial"/>
          <w:color w:val="000000" w:themeColor="text1"/>
          <w:sz w:val="16"/>
          <w:szCs w:val="16"/>
        </w:rPr>
        <w:t>Ley 80 de 1993: “Artículo 30. De la estructura de los procedimientos de selección. La licitación se efectuará conforme a las siguientes reglas:</w:t>
      </w:r>
      <w:r>
        <w:rPr>
          <w:rFonts w:ascii="Verdana" w:hAnsi="Verdana" w:cs="Arial"/>
          <w:color w:val="000000" w:themeColor="text1"/>
          <w:sz w:val="16"/>
          <w:szCs w:val="16"/>
        </w:rPr>
        <w:t xml:space="preserve"> </w:t>
      </w:r>
      <w:r w:rsidRPr="0026407E">
        <w:rPr>
          <w:rFonts w:ascii="Verdana" w:hAnsi="Verdana" w:cs="Arial"/>
          <w:color w:val="000000" w:themeColor="text1"/>
          <w:sz w:val="16"/>
          <w:szCs w:val="16"/>
        </w:rPr>
        <w:t>[…]</w:t>
      </w:r>
      <w:r>
        <w:rPr>
          <w:rFonts w:ascii="Verdana" w:hAnsi="Verdana" w:cs="Arial"/>
          <w:color w:val="000000" w:themeColor="text1"/>
          <w:sz w:val="16"/>
          <w:szCs w:val="16"/>
        </w:rPr>
        <w:t xml:space="preserve"> </w:t>
      </w:r>
      <w:r w:rsidRPr="0026407E">
        <w:rPr>
          <w:rFonts w:ascii="Verdana" w:hAnsi="Verdana" w:cs="Arial"/>
          <w:color w:val="000000" w:themeColor="text1"/>
          <w:sz w:val="16"/>
          <w:szCs w:val="16"/>
        </w:rPr>
        <w:t>“8.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7">
    <w:p w14:paraId="15F0044A" w14:textId="58151A75" w:rsidR="00F11F22" w:rsidRPr="0026407E" w:rsidRDefault="00F11F22" w:rsidP="005638BC">
      <w:pPr>
        <w:pStyle w:val="FootnoteText"/>
        <w:spacing w:after="120"/>
        <w:ind w:firstLine="708"/>
        <w:jc w:val="both"/>
        <w:rPr>
          <w:rFonts w:ascii="Verdana" w:hAnsi="Verdana" w:cs="Arial"/>
          <w:color w:val="000000" w:themeColor="text1"/>
          <w:sz w:val="16"/>
          <w:szCs w:val="16"/>
        </w:rPr>
      </w:pPr>
      <w:r>
        <w:rPr>
          <w:rStyle w:val="FootnoteReference"/>
        </w:rPr>
        <w:footnoteRef/>
      </w:r>
      <w:r>
        <w:t xml:space="preserve"> </w:t>
      </w:r>
      <w:r w:rsidRPr="0026407E">
        <w:rPr>
          <w:rFonts w:ascii="Verdana" w:hAnsi="Verdana" w:cs="Arial"/>
          <w:color w:val="000000" w:themeColor="text1"/>
          <w:sz w:val="16"/>
          <w:szCs w:val="16"/>
        </w:rPr>
        <w:t>Decreto 1082 de 2015: “Artículo 2.2.1.2.1.2.20. Procedimiento para la selección abreviada de menor cuantía. Además de las normas generales establecidas en el presente título, las siguientes reglas son aplicables a la selección abreviada de menor cuantía: […]</w:t>
      </w:r>
      <w:r w:rsidR="001A5F88">
        <w:rPr>
          <w:rFonts w:ascii="Verdana" w:hAnsi="Verdana" w:cs="Arial"/>
          <w:color w:val="000000" w:themeColor="text1"/>
          <w:sz w:val="16"/>
          <w:szCs w:val="16"/>
        </w:rPr>
        <w:t xml:space="preserve"> </w:t>
      </w:r>
      <w:r w:rsidRPr="0026407E">
        <w:rPr>
          <w:rFonts w:ascii="Verdana" w:hAnsi="Verdana" w:cs="Arial"/>
          <w:color w:val="000000" w:themeColor="text1"/>
          <w:sz w:val="16"/>
          <w:szCs w:val="16"/>
        </w:rPr>
        <w:t>4. La Entidad Estatal debe publicar el informe de evaluación de ofertas durante tres (3) días hábiles”.</w:t>
      </w:r>
    </w:p>
    <w:p w14:paraId="05D73F62" w14:textId="0AD723F3" w:rsidR="00F11F22" w:rsidRPr="0026407E" w:rsidRDefault="00F11F22" w:rsidP="005638BC">
      <w:pPr>
        <w:pStyle w:val="FootnoteText"/>
        <w:spacing w:after="120"/>
        <w:ind w:firstLine="709"/>
        <w:jc w:val="both"/>
        <w:rPr>
          <w:rFonts w:ascii="Verdana" w:hAnsi="Verdana" w:cs="Arial"/>
          <w:color w:val="000000" w:themeColor="text1"/>
          <w:sz w:val="16"/>
          <w:szCs w:val="16"/>
        </w:rPr>
      </w:pPr>
      <w:r w:rsidRPr="0026407E">
        <w:rPr>
          <w:rFonts w:ascii="Verdana" w:hAnsi="Verdana" w:cs="Arial"/>
          <w:color w:val="000000" w:themeColor="text1"/>
          <w:sz w:val="16"/>
          <w:szCs w:val="16"/>
        </w:rPr>
        <w:t>“Artículo 2.2.1.2.1.3.2. Procedimiento del concurso de méritos. Además de las reglas generales previstas en la ley y en el presente título, las siguientes reglas son aplicables al concurso de méritos abierto o con precalificación:</w:t>
      </w:r>
      <w:r w:rsidR="001A5F88">
        <w:rPr>
          <w:rFonts w:ascii="Verdana" w:hAnsi="Verdana" w:cs="Arial"/>
          <w:color w:val="000000" w:themeColor="text1"/>
          <w:sz w:val="16"/>
          <w:szCs w:val="16"/>
        </w:rPr>
        <w:t xml:space="preserve"> </w:t>
      </w:r>
      <w:r w:rsidRPr="0026407E">
        <w:rPr>
          <w:rFonts w:ascii="Verdana" w:hAnsi="Verdana" w:cs="Arial"/>
          <w:color w:val="000000" w:themeColor="text1"/>
          <w:sz w:val="16"/>
          <w:szCs w:val="16"/>
        </w:rPr>
        <w:t>[…]</w:t>
      </w:r>
      <w:r w:rsidR="008D5825">
        <w:rPr>
          <w:rFonts w:ascii="Verdana" w:hAnsi="Verdana" w:cs="Arial"/>
          <w:color w:val="000000" w:themeColor="text1"/>
          <w:sz w:val="16"/>
          <w:szCs w:val="16"/>
        </w:rPr>
        <w:t xml:space="preserve"> </w:t>
      </w:r>
      <w:r w:rsidRPr="0026407E">
        <w:rPr>
          <w:rFonts w:ascii="Verdana" w:hAnsi="Verdana" w:cs="Arial"/>
          <w:color w:val="000000" w:themeColor="text1"/>
          <w:sz w:val="16"/>
          <w:szCs w:val="16"/>
        </w:rPr>
        <w:t>2. La Entidad Estatal debe publicar durante tres (3) días hábiles el informe de evaluación, el cual debe contener la evaluación de las ofertas frente a todos los requisitos exigidos en el pliego de condiciones, incluyendo los requisitos habilitantes y los de asignación de puntaje”.</w:t>
      </w:r>
    </w:p>
    <w:p w14:paraId="75EF6791" w14:textId="4248E138" w:rsidR="00F11F22" w:rsidRPr="00F11F22" w:rsidRDefault="00F11F22" w:rsidP="005638BC">
      <w:pPr>
        <w:pStyle w:val="FootnoteText"/>
        <w:spacing w:after="120"/>
        <w:ind w:firstLine="709"/>
        <w:jc w:val="both"/>
        <w:rPr>
          <w:rFonts w:ascii="Verdana" w:hAnsi="Verdana" w:cs="Arial"/>
          <w:color w:val="000000" w:themeColor="text1"/>
          <w:sz w:val="16"/>
          <w:szCs w:val="16"/>
        </w:rPr>
      </w:pPr>
      <w:r w:rsidRPr="0026407E">
        <w:rPr>
          <w:rFonts w:ascii="Verdana" w:hAnsi="Verdana" w:cs="Arial"/>
          <w:color w:val="000000" w:themeColor="text1"/>
          <w:sz w:val="16"/>
          <w:szCs w:val="16"/>
        </w:rPr>
        <w:t>“Artículo 2.2.1.2.1.5.2. Procedimiento para la contratación de mínima cuantía. Las siguientes reglas son aplicables a la contratación cuyo valor no excede del 10% de la menor cuantía de la Entidad Estatal, independientemente de su objeto:</w:t>
      </w:r>
      <w:r w:rsidR="005638BC">
        <w:rPr>
          <w:rFonts w:ascii="Verdana" w:hAnsi="Verdana" w:cs="Arial"/>
          <w:color w:val="000000" w:themeColor="text1"/>
          <w:sz w:val="16"/>
          <w:szCs w:val="16"/>
        </w:rPr>
        <w:t xml:space="preserve"> </w:t>
      </w:r>
      <w:r w:rsidRPr="0026407E">
        <w:rPr>
          <w:rFonts w:ascii="Verdana" w:hAnsi="Verdana" w:cs="Arial"/>
          <w:color w:val="000000" w:themeColor="text1"/>
          <w:sz w:val="16"/>
          <w:szCs w:val="16"/>
        </w:rPr>
        <w:t>[…]</w:t>
      </w:r>
      <w:r w:rsidR="001A5F88">
        <w:rPr>
          <w:rFonts w:ascii="Verdana" w:hAnsi="Verdana" w:cs="Arial"/>
          <w:color w:val="000000" w:themeColor="text1"/>
          <w:sz w:val="16"/>
          <w:szCs w:val="16"/>
        </w:rPr>
        <w:t xml:space="preserve"> </w:t>
      </w:r>
      <w:r w:rsidRPr="0026407E">
        <w:rPr>
          <w:rFonts w:ascii="Verdana" w:hAnsi="Verdana" w:cs="Arial"/>
          <w:color w:val="000000" w:themeColor="text1"/>
          <w:sz w:val="16"/>
          <w:szCs w:val="16"/>
        </w:rPr>
        <w:t>6. La Entidad Estatal debe publicar el informe de evaluación durante mínimo un (1) día hábil, para que durante este término los oferentes presenten las observaciones que deberán ser respondidas por la Entidad Estatal antes de realizar la aceptación de la oferta seleccionada”.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Header"/>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Header"/>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6" type="#_x0000_t75" style="width:15.15pt;height:15.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8"/>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1E4"/>
    <w:rsid w:val="00016F78"/>
    <w:rsid w:val="00046945"/>
    <w:rsid w:val="00061B2A"/>
    <w:rsid w:val="000775A7"/>
    <w:rsid w:val="0008050B"/>
    <w:rsid w:val="00082362"/>
    <w:rsid w:val="000A3178"/>
    <w:rsid w:val="000A46D8"/>
    <w:rsid w:val="000A683E"/>
    <w:rsid w:val="000B19B9"/>
    <w:rsid w:val="000B3CAB"/>
    <w:rsid w:val="000C4B09"/>
    <w:rsid w:val="000D0334"/>
    <w:rsid w:val="000F6486"/>
    <w:rsid w:val="0010388B"/>
    <w:rsid w:val="001157E0"/>
    <w:rsid w:val="00125105"/>
    <w:rsid w:val="00127233"/>
    <w:rsid w:val="0014726C"/>
    <w:rsid w:val="001511A0"/>
    <w:rsid w:val="001A5F88"/>
    <w:rsid w:val="001E4177"/>
    <w:rsid w:val="001E76F6"/>
    <w:rsid w:val="001F7DC6"/>
    <w:rsid w:val="0023126E"/>
    <w:rsid w:val="002362D7"/>
    <w:rsid w:val="002421BB"/>
    <w:rsid w:val="0025796E"/>
    <w:rsid w:val="002636E0"/>
    <w:rsid w:val="0026668B"/>
    <w:rsid w:val="002707A2"/>
    <w:rsid w:val="002951A0"/>
    <w:rsid w:val="002962BC"/>
    <w:rsid w:val="002A093D"/>
    <w:rsid w:val="002A0DD0"/>
    <w:rsid w:val="002A49AC"/>
    <w:rsid w:val="002A64FD"/>
    <w:rsid w:val="002C7A84"/>
    <w:rsid w:val="002E38B3"/>
    <w:rsid w:val="002E4FD9"/>
    <w:rsid w:val="003216AF"/>
    <w:rsid w:val="00322A85"/>
    <w:rsid w:val="00324168"/>
    <w:rsid w:val="003448F4"/>
    <w:rsid w:val="0035056D"/>
    <w:rsid w:val="00374F5E"/>
    <w:rsid w:val="00377E3E"/>
    <w:rsid w:val="00384D9F"/>
    <w:rsid w:val="003A779E"/>
    <w:rsid w:val="003C14DC"/>
    <w:rsid w:val="003D0F4D"/>
    <w:rsid w:val="003D5B0D"/>
    <w:rsid w:val="003E0499"/>
    <w:rsid w:val="003E6C84"/>
    <w:rsid w:val="003F3941"/>
    <w:rsid w:val="003F5159"/>
    <w:rsid w:val="00406575"/>
    <w:rsid w:val="00414C74"/>
    <w:rsid w:val="0042722E"/>
    <w:rsid w:val="0044528D"/>
    <w:rsid w:val="00445CC3"/>
    <w:rsid w:val="00446991"/>
    <w:rsid w:val="00473D4A"/>
    <w:rsid w:val="004A1847"/>
    <w:rsid w:val="004A305D"/>
    <w:rsid w:val="004C1457"/>
    <w:rsid w:val="004E73DC"/>
    <w:rsid w:val="004F21C4"/>
    <w:rsid w:val="004F685F"/>
    <w:rsid w:val="005037B8"/>
    <w:rsid w:val="00536D9D"/>
    <w:rsid w:val="005566E8"/>
    <w:rsid w:val="005602C2"/>
    <w:rsid w:val="005638BC"/>
    <w:rsid w:val="00574867"/>
    <w:rsid w:val="005817BE"/>
    <w:rsid w:val="00591460"/>
    <w:rsid w:val="005B3816"/>
    <w:rsid w:val="005C2162"/>
    <w:rsid w:val="005C24ED"/>
    <w:rsid w:val="005C3777"/>
    <w:rsid w:val="005C5CDC"/>
    <w:rsid w:val="005D476C"/>
    <w:rsid w:val="00607938"/>
    <w:rsid w:val="006219F8"/>
    <w:rsid w:val="00665D70"/>
    <w:rsid w:val="006900D9"/>
    <w:rsid w:val="00695C74"/>
    <w:rsid w:val="00706C16"/>
    <w:rsid w:val="007261C0"/>
    <w:rsid w:val="007320F0"/>
    <w:rsid w:val="00756841"/>
    <w:rsid w:val="007649AB"/>
    <w:rsid w:val="00771D0C"/>
    <w:rsid w:val="007833AC"/>
    <w:rsid w:val="00784D50"/>
    <w:rsid w:val="007B268C"/>
    <w:rsid w:val="007B67AA"/>
    <w:rsid w:val="007B7171"/>
    <w:rsid w:val="007C0C0F"/>
    <w:rsid w:val="007C3DC2"/>
    <w:rsid w:val="007D12F5"/>
    <w:rsid w:val="007E5497"/>
    <w:rsid w:val="00806F5F"/>
    <w:rsid w:val="00820278"/>
    <w:rsid w:val="00831A3C"/>
    <w:rsid w:val="008364E4"/>
    <w:rsid w:val="00867F95"/>
    <w:rsid w:val="008843B6"/>
    <w:rsid w:val="00891928"/>
    <w:rsid w:val="008A446D"/>
    <w:rsid w:val="008D025A"/>
    <w:rsid w:val="008D180B"/>
    <w:rsid w:val="008D5825"/>
    <w:rsid w:val="008F0EA7"/>
    <w:rsid w:val="00911142"/>
    <w:rsid w:val="00923EEF"/>
    <w:rsid w:val="0093369D"/>
    <w:rsid w:val="009419F9"/>
    <w:rsid w:val="00950D82"/>
    <w:rsid w:val="0095685E"/>
    <w:rsid w:val="00961B09"/>
    <w:rsid w:val="00965334"/>
    <w:rsid w:val="0097093E"/>
    <w:rsid w:val="00986AC5"/>
    <w:rsid w:val="00990444"/>
    <w:rsid w:val="009A0DFA"/>
    <w:rsid w:val="009A576F"/>
    <w:rsid w:val="009B2D26"/>
    <w:rsid w:val="009C71FA"/>
    <w:rsid w:val="009C72E7"/>
    <w:rsid w:val="009D3058"/>
    <w:rsid w:val="009D45FF"/>
    <w:rsid w:val="009F3A13"/>
    <w:rsid w:val="00A05AB4"/>
    <w:rsid w:val="00A122D3"/>
    <w:rsid w:val="00A17E22"/>
    <w:rsid w:val="00A17F13"/>
    <w:rsid w:val="00A20739"/>
    <w:rsid w:val="00A33C78"/>
    <w:rsid w:val="00A71E06"/>
    <w:rsid w:val="00A85946"/>
    <w:rsid w:val="00A86D00"/>
    <w:rsid w:val="00AB0ADB"/>
    <w:rsid w:val="00AE53A2"/>
    <w:rsid w:val="00B00BCA"/>
    <w:rsid w:val="00B01B1A"/>
    <w:rsid w:val="00B02931"/>
    <w:rsid w:val="00B66319"/>
    <w:rsid w:val="00B72CD3"/>
    <w:rsid w:val="00B72FFF"/>
    <w:rsid w:val="00B83F47"/>
    <w:rsid w:val="00BC3D36"/>
    <w:rsid w:val="00BD03FA"/>
    <w:rsid w:val="00BD7F72"/>
    <w:rsid w:val="00C04FB3"/>
    <w:rsid w:val="00C227EE"/>
    <w:rsid w:val="00C330EB"/>
    <w:rsid w:val="00C40C2D"/>
    <w:rsid w:val="00C41061"/>
    <w:rsid w:val="00C754BE"/>
    <w:rsid w:val="00C76B1C"/>
    <w:rsid w:val="00C86ABB"/>
    <w:rsid w:val="00C97D2D"/>
    <w:rsid w:val="00CB6357"/>
    <w:rsid w:val="00CC1B26"/>
    <w:rsid w:val="00CC7571"/>
    <w:rsid w:val="00CF2FED"/>
    <w:rsid w:val="00D037C0"/>
    <w:rsid w:val="00D30FAE"/>
    <w:rsid w:val="00D423A2"/>
    <w:rsid w:val="00D520D8"/>
    <w:rsid w:val="00D63AC2"/>
    <w:rsid w:val="00D7383B"/>
    <w:rsid w:val="00DA231B"/>
    <w:rsid w:val="00DC39FC"/>
    <w:rsid w:val="00DF5254"/>
    <w:rsid w:val="00E16408"/>
    <w:rsid w:val="00E20894"/>
    <w:rsid w:val="00E245AB"/>
    <w:rsid w:val="00E2764C"/>
    <w:rsid w:val="00E27F2E"/>
    <w:rsid w:val="00E3307E"/>
    <w:rsid w:val="00E44877"/>
    <w:rsid w:val="00E50AFE"/>
    <w:rsid w:val="00E75C92"/>
    <w:rsid w:val="00E771DC"/>
    <w:rsid w:val="00E83B45"/>
    <w:rsid w:val="00E8772A"/>
    <w:rsid w:val="00E90F6B"/>
    <w:rsid w:val="00E92C27"/>
    <w:rsid w:val="00E93C3C"/>
    <w:rsid w:val="00EA0E3D"/>
    <w:rsid w:val="00EC38A7"/>
    <w:rsid w:val="00ED7384"/>
    <w:rsid w:val="00EE1AA8"/>
    <w:rsid w:val="00F11F22"/>
    <w:rsid w:val="00F31EDC"/>
    <w:rsid w:val="00F462B3"/>
    <w:rsid w:val="00F502E6"/>
    <w:rsid w:val="00F5664F"/>
    <w:rsid w:val="00F63ED4"/>
    <w:rsid w:val="00F64474"/>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CF2FED"/>
    <w:pPr>
      <w:spacing w:line="240" w:lineRule="exact"/>
    </w:pPr>
    <w:rPr>
      <w:vertAlign w:val="superscript"/>
    </w:rPr>
  </w:style>
  <w:style w:type="character" w:styleId="Strong">
    <w:name w:val="Strong"/>
    <w:basedOn w:val="DefaultParagraphFont"/>
    <w:uiPriority w:val="22"/>
    <w:qFormat/>
    <w:rsid w:val="00CF2FED"/>
    <w:rPr>
      <w:b/>
      <w:bCs/>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CF2FED"/>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8918802">
      <w:bodyDiv w:val="1"/>
      <w:marLeft w:val="0"/>
      <w:marRight w:val="0"/>
      <w:marTop w:val="0"/>
      <w:marBottom w:val="0"/>
      <w:divBdr>
        <w:top w:val="none" w:sz="0" w:space="0" w:color="auto"/>
        <w:left w:val="none" w:sz="0" w:space="0" w:color="auto"/>
        <w:bottom w:val="none" w:sz="0" w:space="0" w:color="auto"/>
        <w:right w:val="none" w:sz="0" w:space="0" w:color="auto"/>
      </w:divBdr>
      <w:divsChild>
        <w:div w:id="1198852350">
          <w:marLeft w:val="0"/>
          <w:marRight w:val="0"/>
          <w:marTop w:val="0"/>
          <w:marBottom w:val="0"/>
          <w:divBdr>
            <w:top w:val="none" w:sz="0" w:space="0" w:color="auto"/>
            <w:left w:val="none" w:sz="0" w:space="0" w:color="auto"/>
            <w:bottom w:val="none" w:sz="0" w:space="0" w:color="auto"/>
            <w:right w:val="none" w:sz="0" w:space="0" w:color="auto"/>
          </w:divBdr>
          <w:divsChild>
            <w:div w:id="1723938421">
              <w:marLeft w:val="0"/>
              <w:marRight w:val="0"/>
              <w:marTop w:val="0"/>
              <w:marBottom w:val="0"/>
              <w:divBdr>
                <w:top w:val="none" w:sz="0" w:space="0" w:color="auto"/>
                <w:left w:val="none" w:sz="0" w:space="0" w:color="auto"/>
                <w:bottom w:val="none" w:sz="0" w:space="0" w:color="auto"/>
                <w:right w:val="none" w:sz="0" w:space="0" w:color="auto"/>
              </w:divBdr>
              <w:divsChild>
                <w:div w:id="838738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00677624">
      <w:bodyDiv w:val="1"/>
      <w:marLeft w:val="0"/>
      <w:marRight w:val="0"/>
      <w:marTop w:val="0"/>
      <w:marBottom w:val="0"/>
      <w:divBdr>
        <w:top w:val="none" w:sz="0" w:space="0" w:color="auto"/>
        <w:left w:val="none" w:sz="0" w:space="0" w:color="auto"/>
        <w:bottom w:val="none" w:sz="0" w:space="0" w:color="auto"/>
        <w:right w:val="none" w:sz="0" w:space="0" w:color="auto"/>
      </w:divBdr>
      <w:divsChild>
        <w:div w:id="82531539">
          <w:marLeft w:val="0"/>
          <w:marRight w:val="0"/>
          <w:marTop w:val="0"/>
          <w:marBottom w:val="0"/>
          <w:divBdr>
            <w:top w:val="none" w:sz="0" w:space="0" w:color="auto"/>
            <w:left w:val="none" w:sz="0" w:space="0" w:color="auto"/>
            <w:bottom w:val="none" w:sz="0" w:space="0" w:color="auto"/>
            <w:right w:val="none" w:sz="0" w:space="0" w:color="auto"/>
          </w:divBdr>
          <w:divsChild>
            <w:div w:id="319774757">
              <w:marLeft w:val="0"/>
              <w:marRight w:val="0"/>
              <w:marTop w:val="0"/>
              <w:marBottom w:val="0"/>
              <w:divBdr>
                <w:top w:val="none" w:sz="0" w:space="0" w:color="auto"/>
                <w:left w:val="none" w:sz="0" w:space="0" w:color="auto"/>
                <w:bottom w:val="none" w:sz="0" w:space="0" w:color="auto"/>
                <w:right w:val="none" w:sz="0" w:space="0" w:color="auto"/>
              </w:divBdr>
              <w:divsChild>
                <w:div w:id="52232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manuales-guias-y-pliegos-tipo%2Fmanuales-y-guias%2Fcartilla-para-incentivar-y-fortalecer-el-acceso-las&amp;data=05%7C02%7Cana.bonilla%40colombiacompra.gov.co%7Ceb0fd05604104aa4d3bc08dd4c4ad35e%7C7b09041e245149d08cb179d5e3d8c1be%7C0%7C0%7C638750606446092694%7CUnknown%7CTWFpbGZsb3d8eyJFbXB0eU1hcGkiOnRydWUsIlYiOiIwLjAuMDAwMCIsIlAiOiJXaW4zMiIsIkFOIjoiTWFpbCIsIldUIjoyfQ%3D%3D%7C0%7C%7C%7C&amp;sdata=iuMSUNSIHYcn%2By48hB4feMl9Ay5ZO5BW821EblA%2BTsw%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ana.bonilla%40colombiacompra.gov.co%7Ceb0fd05604104aa4d3bc08dd4c4ad35e%7C7b09041e245149d08cb179d5e3d8c1be%7C0%7C0%7C638750606446155438%7CUnknown%7CTWFpbGZsb3d8eyJFbXB0eU1hcGkiOnRydWUsIlYiOiIwLjAuMDAwMCIsIlAiOiJXaW4zMiIsIkFOIjoiTWFpbCIsIldUIjoyfQ%3D%3D%7C0%7C%7C%7C&amp;sdata=ic3WTaBfpaepFaQwtKguuk2iqwchOIarahXEw6rZudc%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ciudadanos%2Fcalendario&amp;data=05%7C02%7Cana.bonilla%40colombiacompra.gov.co%7Ceb0fd05604104aa4d3bc08dd4c4ad35e%7C7b09041e245149d08cb179d5e3d8c1be%7C0%7C0%7C638750606446128989%7CUnknown%7CTWFpbGZsb3d8eyJFbXB0eU1hcGkiOnRydWUsIlYiOiIwLjAuMDAwMCIsIlAiOiJXaW4zMiIsIkFOIjoiTWFpbCIsIldUIjoyfQ%3D%3D%7C0%7C%7C%7C&amp;sdata=xTWY%2FUqVDzIjD31KT9C2PATlzA59vDRd90bBlKbERgE%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f2aded54591a7fd7c71e00322775124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8225e9d864fb3b86d94084293229f75"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CC7F8C9F-07CC-431F-A3E6-7B3121CF31BF}"/>
</file>

<file path=customXml/itemProps2.xml><?xml version="1.0" encoding="utf-8"?>
<ds:datastoreItem xmlns:ds="http://schemas.openxmlformats.org/officeDocument/2006/customXml" ds:itemID="{40683A5A-5852-D045-9019-9D8EA83008F2}">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b531b13d-89bf-4629-be1e-22fdf3dd34d4"/>
    <ds:schemaRef ds:uri="8ae15d26-076e-464e-81a7-6f76a0fb3917"/>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4107</Words>
  <Characters>23416</Characters>
  <Application>Microsoft Office Word</Application>
  <DocSecurity>0</DocSecurity>
  <Lines>195</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27469</CharactersWithSpaces>
  <SharedDoc>false</SharedDoc>
  <HLinks>
    <vt:vector size="24" baseType="variant">
      <vt:variant>
        <vt:i4>7536679</vt:i4>
      </vt:variant>
      <vt:variant>
        <vt:i4>9</vt:i4>
      </vt:variant>
      <vt:variant>
        <vt:i4>0</vt:i4>
      </vt:variant>
      <vt:variant>
        <vt:i4>5</vt:i4>
      </vt:variant>
      <vt:variant>
        <vt:lpwstr>https://nam02.safelinks.protection.outlook.com/?url=https%3A%2F%2Fwww.colombiacompra.gov.co%2Fmanuales-guias-y-pliegos-tipo%2Fmanuales-y-guias%2Fguia-de-contratacion-publica-sostenible-y-socialmente&amp;data=05%7C02%7Cana.bonilla%40colombiacompra.gov.co%7Ceb0fd05604104aa4d3bc08dd4c4ad35e%7C7b09041e245149d08cb179d5e3d8c1be%7C0%7C0%7C638750606446155438%7CUnknown%7CTWFpbGZsb3d8eyJFbXB0eU1hcGkiOnRydWUsIlYiOiIwLjAuMDAwMCIsIlAiOiJXaW4zMiIsIkFOIjoiTWFpbCIsIldUIjoyfQ%3D%3D%7C0%7C%7C%7C&amp;sdata=ic3WTaBfpaepFaQwtKguuk2iqwchOIarahXEw6rZudc%3D&amp;reserved=0</vt:lpwstr>
      </vt:variant>
      <vt:variant>
        <vt:lpwstr/>
      </vt:variant>
      <vt:variant>
        <vt:i4>7340157</vt:i4>
      </vt:variant>
      <vt:variant>
        <vt:i4>6</vt:i4>
      </vt:variant>
      <vt:variant>
        <vt:i4>0</vt:i4>
      </vt:variant>
      <vt:variant>
        <vt:i4>5</vt:i4>
      </vt:variant>
      <vt:variant>
        <vt:lpwstr>https://nam02.safelinks.protection.outlook.com/?url=https%3A%2F%2Fwww.colombiacompra.gov.co%2Fciudadanos%2Fcalendario&amp;data=05%7C02%7Cana.bonilla%40colombiacompra.gov.co%7Ceb0fd05604104aa4d3bc08dd4c4ad35e%7C7b09041e245149d08cb179d5e3d8c1be%7C0%7C0%7C638750606446128989%7CUnknown%7CTWFpbGZsb3d8eyJFbXB0eU1hcGkiOnRydWUsIlYiOiIwLjAuMDAwMCIsIlAiOiJXaW4zMiIsIkFOIjoiTWFpbCIsIldUIjoyfQ%3D%3D%7C0%7C%7C%7C&amp;sdata=xTWY%2FUqVDzIjD31KT9C2PATlzA59vDRd90bBlKbERgE%3D&amp;reserved=0</vt:lpwstr>
      </vt:variant>
      <vt:variant>
        <vt:lpwstr/>
      </vt:variant>
      <vt:variant>
        <vt:i4>4128875</vt:i4>
      </vt:variant>
      <vt:variant>
        <vt:i4>3</vt:i4>
      </vt:variant>
      <vt:variant>
        <vt:i4>0</vt:i4>
      </vt:variant>
      <vt:variant>
        <vt:i4>5</vt:i4>
      </vt:variant>
      <vt:variant>
        <vt:lpwstr>https://nam02.safelinks.protection.outlook.com/?url=https%3A%2F%2Fwww.colombiacompra.gov.co%2Fmanuales-guias-y-pliegos-tipo%2Fmanuales-y-guias%2Fcartilla-para-incentivar-y-fortalecer-el-acceso-las&amp;data=05%7C02%7Cana.bonilla%40colombiacompra.gov.co%7Ceb0fd05604104aa4d3bc08dd4c4ad35e%7C7b09041e245149d08cb179d5e3d8c1be%7C0%7C0%7C638750606446092694%7CUnknown%7CTWFpbGZsb3d8eyJFbXB0eU1hcGkiOnRydWUsIlYiOiIwLjAuMDAwMCIsIlAiOiJXaW4zMiIsIkFOIjoiTWFpbCIsIldUIjoyfQ%3D%3D%7C0%7C%7C%7C&amp;sdata=iuMSUNSIHYcn%2By48hB4feMl9Ay5ZO5BW821EblA%2BTsw%3D&amp;reserved=0</vt:lpwstr>
      </vt:variant>
      <vt:variant>
        <vt:lpwstr/>
      </vt:variant>
      <vt:variant>
        <vt:i4>7471218</vt:i4>
      </vt:variant>
      <vt:variant>
        <vt:i4>0</vt:i4>
      </vt:variant>
      <vt:variant>
        <vt:i4>0</vt:i4>
      </vt:variant>
      <vt:variant>
        <vt:i4>5</vt:i4>
      </vt:variant>
      <vt:variant>
        <vt:lpwstr>https://relatoria.colombiacompra.gov.co/busqueda/conceptos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Anamaría Bonilla</cp:lastModifiedBy>
  <cp:revision>6</cp:revision>
  <cp:lastPrinted>2023-01-10T21:18:00Z</cp:lastPrinted>
  <dcterms:created xsi:type="dcterms:W3CDTF">2025-03-19T15:31:00Z</dcterms:created>
  <dcterms:modified xsi:type="dcterms:W3CDTF">2025-03-19T15:36:00Z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