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323AAC" w14:textId="77777777" w:rsidR="004B3607" w:rsidRDefault="004B3607" w:rsidP="00C10C0F">
      <w:pPr>
        <w:spacing w:after="0"/>
        <w:rPr>
          <w:rFonts w:ascii="Verdana" w:hAnsi="Verdana" w:cs="Arial"/>
          <w:b/>
          <w:bCs/>
          <w:lang w:val="es-ES" w:eastAsia="es-ES"/>
        </w:rPr>
      </w:pPr>
      <w:bookmarkStart w:id="0" w:name="_Hlk143780582"/>
    </w:p>
    <w:p w14:paraId="1C94ADBE" w14:textId="433A5095" w:rsidR="00C10C0F" w:rsidRPr="00CA54D3" w:rsidRDefault="00C10C0F" w:rsidP="00C10C0F">
      <w:pPr>
        <w:spacing w:after="0"/>
        <w:rPr>
          <w:rFonts w:ascii="Verdana" w:hAnsi="Verdana"/>
          <w:b/>
        </w:rPr>
      </w:pPr>
      <w:r w:rsidRPr="00CA54D3">
        <w:rPr>
          <w:rFonts w:ascii="Verdana" w:hAnsi="Verdana" w:cs="Arial"/>
          <w:b/>
          <w:bCs/>
          <w:lang w:val="es-ES" w:eastAsia="es-ES"/>
        </w:rPr>
        <w:t>OPERACIÓN LOGÍSTICA ‒ Contrato atípico mixto ‒ Actividades</w:t>
      </w:r>
    </w:p>
    <w:p w14:paraId="32C7DE60" w14:textId="26D3C961" w:rsidR="00C10C0F" w:rsidRDefault="00C10C0F" w:rsidP="00C10C0F">
      <w:pPr>
        <w:spacing w:after="0"/>
        <w:rPr>
          <w:rFonts w:ascii="Verdana" w:hAnsi="Verdana"/>
        </w:rPr>
      </w:pPr>
    </w:p>
    <w:p w14:paraId="032707F0" w14:textId="57692AC7" w:rsidR="00CA54D3" w:rsidRDefault="00CA54D3" w:rsidP="00CA54D3">
      <w:pPr>
        <w:spacing w:after="0" w:line="240" w:lineRule="auto"/>
        <w:jc w:val="both"/>
        <w:rPr>
          <w:rFonts w:ascii="Verdana" w:hAnsi="Verdana"/>
          <w:sz w:val="20"/>
          <w:szCs w:val="20"/>
          <w:lang w:val="es-ES_tradnl"/>
        </w:rPr>
      </w:pPr>
      <w:r w:rsidRPr="00CA54D3">
        <w:rPr>
          <w:rFonts w:ascii="Verdana" w:hAnsi="Verdana"/>
          <w:sz w:val="20"/>
          <w:szCs w:val="20"/>
          <w:lang w:val="es-ES_tradnl"/>
        </w:rPr>
        <w:t xml:space="preserve">Respecto a los contratos de operación logística, estos corresponden a </w:t>
      </w:r>
      <w:r w:rsidRPr="00CA54D3">
        <w:rPr>
          <w:rFonts w:ascii="Verdana" w:hAnsi="Verdana"/>
          <w:i/>
          <w:iCs/>
          <w:sz w:val="20"/>
          <w:szCs w:val="20"/>
          <w:lang w:val="es-ES_tradnl"/>
        </w:rPr>
        <w:t>contratos mixtos</w:t>
      </w:r>
      <w:r w:rsidRPr="00CA54D3">
        <w:rPr>
          <w:rFonts w:ascii="Verdana" w:hAnsi="Verdana"/>
          <w:sz w:val="20"/>
          <w:szCs w:val="20"/>
          <w:lang w:val="es-ES_tradnl"/>
        </w:rPr>
        <w:t>. De hecho, sin perjuicio de las demás obligaciones que pacten las partes, es frecuente que en la práctica tengan componentes de compraventa, suministro, arrendamiento de bienes muebles o inmuebles, transporte, entre otros, de donde se infiere la existencia de prestaciones de una o más tipologías contractuales</w:t>
      </w:r>
      <w:r>
        <w:rPr>
          <w:rFonts w:ascii="Verdana" w:hAnsi="Verdana"/>
          <w:sz w:val="20"/>
          <w:szCs w:val="20"/>
          <w:vertAlign w:val="superscript"/>
          <w:lang w:val="es-ES_tradnl"/>
        </w:rPr>
        <w:t xml:space="preserve">. </w:t>
      </w:r>
      <w:r w:rsidRPr="00CA54D3">
        <w:rPr>
          <w:rFonts w:ascii="Verdana" w:hAnsi="Verdana"/>
          <w:sz w:val="20"/>
          <w:szCs w:val="20"/>
          <w:lang w:val="es-ES_tradnl"/>
        </w:rPr>
        <w:t>Por ello, como contrato atípico, la doctrina sugiere integrar su contenido teniendo en cuenta los siguientes criterios: “[…] 1°) las leyes imperativas; 2°) las cláusulas libremente redactadas o estipuladas por los agentes; 3°) las reglas generales de los actos jurídicos y de los contratos, según el caso; 4°) las reglas propias del contrato típico más próximo o semejante, y 5°) la doctrina constitucional y los principios generales de derecho”.</w:t>
      </w:r>
    </w:p>
    <w:p w14:paraId="5D9ED902" w14:textId="195DB8DE" w:rsidR="00CA54D3" w:rsidRPr="00CA54D3" w:rsidRDefault="00CA54D3" w:rsidP="00CA54D3">
      <w:pPr>
        <w:spacing w:after="0" w:line="240" w:lineRule="auto"/>
        <w:jc w:val="both"/>
        <w:rPr>
          <w:rFonts w:ascii="Verdana" w:hAnsi="Verdana"/>
          <w:sz w:val="20"/>
          <w:szCs w:val="20"/>
          <w:lang w:val="es-ES_tradnl"/>
        </w:rPr>
      </w:pPr>
    </w:p>
    <w:p w14:paraId="25E166F5" w14:textId="3037C195" w:rsidR="00CA54D3" w:rsidRPr="00CA54D3" w:rsidRDefault="00CA54D3" w:rsidP="00CA54D3">
      <w:pPr>
        <w:spacing w:after="0" w:line="240" w:lineRule="auto"/>
        <w:jc w:val="both"/>
        <w:rPr>
          <w:rFonts w:ascii="Verdana" w:hAnsi="Verdana"/>
          <w:sz w:val="20"/>
          <w:szCs w:val="20"/>
        </w:rPr>
      </w:pPr>
      <w:r w:rsidRPr="00CA54D3">
        <w:rPr>
          <w:rFonts w:ascii="Verdana" w:hAnsi="Verdana"/>
          <w:sz w:val="20"/>
          <w:szCs w:val="20"/>
        </w:rPr>
        <w:t xml:space="preserve">Asimismo, para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logística es una amalgama de prestaciones de otras tipologías, éste no pierde su calificación por la ausencia de una o varias de ellas.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 </w:t>
      </w:r>
    </w:p>
    <w:p w14:paraId="660A3563" w14:textId="77777777" w:rsidR="00CA54D3" w:rsidRDefault="00CA54D3" w:rsidP="00CA54D3">
      <w:pPr>
        <w:spacing w:after="0"/>
        <w:rPr>
          <w:rFonts w:ascii="Verdana" w:hAnsi="Verdana"/>
        </w:rPr>
      </w:pPr>
    </w:p>
    <w:p w14:paraId="0F3533DA" w14:textId="77777777" w:rsidR="00C10C0F" w:rsidRPr="00CA54D3" w:rsidRDefault="00C10C0F" w:rsidP="00C10C0F">
      <w:pPr>
        <w:spacing w:after="0"/>
        <w:rPr>
          <w:rFonts w:ascii="Verdana" w:hAnsi="Verdana" w:cs="Arial"/>
          <w:b/>
          <w:bCs/>
          <w:lang w:val="es-ES" w:eastAsia="es-ES"/>
        </w:rPr>
      </w:pPr>
      <w:r w:rsidRPr="00CA54D3">
        <w:rPr>
          <w:rFonts w:ascii="Verdana" w:hAnsi="Verdana" w:cs="Arial"/>
          <w:b/>
          <w:bCs/>
          <w:lang w:val="es-ES" w:eastAsia="es-ES"/>
        </w:rPr>
        <w:t>CONTRATOS ESTATALES – Capacidad jurídica – Requisitos esenciales</w:t>
      </w:r>
      <w:r w:rsidRPr="00CA54D3">
        <w:rPr>
          <w:rFonts w:ascii="Verdana" w:hAnsi="Verdana" w:cs="Arial"/>
          <w:b/>
          <w:bCs/>
          <w:lang w:val="es-ES" w:eastAsia="es-ES"/>
        </w:rPr>
        <w:t xml:space="preserve"> </w:t>
      </w:r>
    </w:p>
    <w:p w14:paraId="400352E1" w14:textId="613821D2" w:rsidR="00C10C0F" w:rsidRPr="00CA54D3" w:rsidRDefault="00C10C0F" w:rsidP="00CA54D3">
      <w:pPr>
        <w:spacing w:after="0" w:line="240" w:lineRule="auto"/>
        <w:rPr>
          <w:rFonts w:ascii="Verdana" w:hAnsi="Verdana" w:cs="Arial"/>
          <w:bCs/>
          <w:sz w:val="20"/>
          <w:lang w:val="es-ES" w:eastAsia="es-ES"/>
        </w:rPr>
      </w:pPr>
    </w:p>
    <w:p w14:paraId="0A67E337" w14:textId="2A86090D" w:rsidR="00CA54D3" w:rsidRDefault="00CA54D3" w:rsidP="00CA54D3">
      <w:pPr>
        <w:spacing w:after="0" w:line="240" w:lineRule="auto"/>
        <w:jc w:val="both"/>
        <w:rPr>
          <w:rFonts w:ascii="Verdana" w:eastAsia="Calibri" w:hAnsi="Verdana"/>
          <w:color w:val="000000" w:themeColor="text1"/>
          <w:sz w:val="20"/>
          <w:lang w:val="es-ES"/>
        </w:rPr>
      </w:pPr>
      <w:r w:rsidRPr="00CA54D3">
        <w:rPr>
          <w:rFonts w:ascii="Verdana" w:eastAsia="Calibri" w:hAnsi="Verdana"/>
          <w:color w:val="000000" w:themeColor="text1"/>
          <w:sz w:val="20"/>
          <w:lang w:val="es-ES"/>
        </w:rPr>
        <w:t>Más allá de la tipicidad o no del negocio, es necesario tener en cuenta que la capacidad contractual para celebrar contratos estatales está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De esta manera, los contratos de operación logística pueden celebrarse con cualquier persona que tenga dentro de su misionalidad u objeto la ejecución de esta actividad.</w:t>
      </w:r>
    </w:p>
    <w:p w14:paraId="73161395" w14:textId="77777777" w:rsidR="00CA54D3" w:rsidRPr="00CA54D3" w:rsidRDefault="00CA54D3" w:rsidP="00CA54D3">
      <w:pPr>
        <w:spacing w:after="0" w:line="240" w:lineRule="auto"/>
        <w:jc w:val="both"/>
        <w:rPr>
          <w:rFonts w:ascii="Verdana" w:eastAsia="Calibri" w:hAnsi="Verdana"/>
          <w:color w:val="000000" w:themeColor="text1"/>
          <w:sz w:val="20"/>
          <w:lang w:val="es-ES"/>
        </w:rPr>
      </w:pPr>
    </w:p>
    <w:p w14:paraId="0A52331B" w14:textId="41E507C5" w:rsidR="00CA54D3" w:rsidRPr="00CA54D3" w:rsidRDefault="00CA54D3" w:rsidP="00CA54D3">
      <w:pPr>
        <w:spacing w:after="0" w:line="240" w:lineRule="auto"/>
        <w:jc w:val="both"/>
        <w:rPr>
          <w:rFonts w:ascii="Verdana" w:eastAsia="Calibri" w:hAnsi="Verdana"/>
          <w:color w:val="000000" w:themeColor="text1"/>
          <w:sz w:val="20"/>
          <w:lang w:val="es-ES"/>
        </w:rPr>
      </w:pPr>
      <w:r w:rsidRPr="00CA54D3">
        <w:rPr>
          <w:rFonts w:ascii="Verdana" w:eastAsia="Calibri" w:hAnsi="Verdana"/>
          <w:color w:val="000000" w:themeColor="text1"/>
          <w:sz w:val="20"/>
          <w:lang w:val="es-ES"/>
        </w:rPr>
        <w:t xml:space="preserve">Al margen de la tipicidad o no del negocio, la existencia de los contratos estatales, es decir, la producción de efectos jurídicos en los términos del artículo 1501 </w:t>
      </w:r>
      <w:r w:rsidRPr="00CA54D3">
        <w:rPr>
          <w:rFonts w:ascii="Verdana" w:eastAsia="Calibri" w:hAnsi="Verdana"/>
          <w:i/>
          <w:color w:val="000000" w:themeColor="text1"/>
          <w:sz w:val="20"/>
          <w:lang w:val="es-ES"/>
        </w:rPr>
        <w:t>ibídem</w:t>
      </w:r>
      <w:r w:rsidRPr="00CA54D3">
        <w:rPr>
          <w:rFonts w:ascii="Verdana" w:eastAsia="Calibri" w:hAnsi="Verdana"/>
          <w:color w:val="000000" w:themeColor="text1"/>
          <w:sz w:val="20"/>
          <w:lang w:val="es-ES"/>
        </w:rPr>
        <w:t xml:space="preserve">,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w:t>
      </w:r>
      <w:r w:rsidRPr="00CA54D3">
        <w:rPr>
          <w:rFonts w:ascii="Verdana" w:eastAsia="Calibri" w:hAnsi="Verdana"/>
          <w:color w:val="000000" w:themeColor="text1"/>
          <w:sz w:val="20"/>
          <w:lang w:val="es-ES"/>
        </w:rPr>
        <w:lastRenderedPageBreak/>
        <w:t xml:space="preserve">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1766C93" w14:textId="77777777" w:rsidR="00CA54D3" w:rsidRDefault="00CA54D3" w:rsidP="00C10C0F">
      <w:pPr>
        <w:spacing w:after="0"/>
        <w:rPr>
          <w:rFonts w:ascii="Verdana" w:hAnsi="Verdana" w:cs="Arial"/>
          <w:bCs/>
          <w:lang w:val="es-ES" w:eastAsia="es-ES"/>
        </w:rPr>
      </w:pPr>
    </w:p>
    <w:p w14:paraId="46B5EB5D" w14:textId="407768FC" w:rsidR="00C10C0F" w:rsidRPr="00CA54D3" w:rsidRDefault="00C10C0F" w:rsidP="00C10C0F">
      <w:pPr>
        <w:spacing w:after="0"/>
        <w:rPr>
          <w:rFonts w:ascii="Verdana" w:hAnsi="Verdana" w:cs="Arial"/>
          <w:b/>
          <w:bCs/>
          <w:lang w:eastAsia="es-ES"/>
        </w:rPr>
      </w:pPr>
      <w:r w:rsidRPr="00CA54D3">
        <w:rPr>
          <w:rFonts w:ascii="Verdana" w:hAnsi="Verdana" w:cs="Arial"/>
          <w:b/>
          <w:bCs/>
          <w:lang w:eastAsia="es-ES"/>
        </w:rPr>
        <w:t>SUBCONTRATACIÓN – Concepto – Limitaciones jurídicas</w:t>
      </w:r>
    </w:p>
    <w:p w14:paraId="60277A8D" w14:textId="1834E481" w:rsidR="00C10C0F" w:rsidRPr="00CA54D3" w:rsidRDefault="00C10C0F" w:rsidP="00C10C0F">
      <w:pPr>
        <w:spacing w:after="0"/>
        <w:rPr>
          <w:rFonts w:ascii="Verdana" w:hAnsi="Verdana" w:cs="Arial"/>
          <w:bCs/>
          <w:sz w:val="20"/>
          <w:szCs w:val="20"/>
          <w:lang w:eastAsia="es-ES"/>
        </w:rPr>
      </w:pPr>
    </w:p>
    <w:p w14:paraId="795359E9" w14:textId="1CDB0C86" w:rsidR="00CA54D3" w:rsidRDefault="00CA54D3" w:rsidP="00CA54D3">
      <w:pPr>
        <w:spacing w:after="0" w:line="240" w:lineRule="auto"/>
        <w:jc w:val="both"/>
        <w:rPr>
          <w:rFonts w:ascii="Verdana" w:hAnsi="Verdana" w:cs="Arial"/>
          <w:bCs/>
          <w:sz w:val="20"/>
          <w:szCs w:val="20"/>
          <w:lang w:eastAsia="es-ES"/>
        </w:rPr>
      </w:pPr>
      <w:r w:rsidRPr="00CA54D3">
        <w:rPr>
          <w:rFonts w:ascii="Verdana" w:hAnsi="Verdana" w:cs="Arial"/>
          <w:bCs/>
          <w:sz w:val="20"/>
          <w:szCs w:val="20"/>
          <w:lang w:eastAsia="es-ES"/>
        </w:rPr>
        <w:t>La institución jurídica de la subcontratación no ha tenido un desarrollo regulatorio sustancial en el derecho colombiano. Aunque en materia de contratación estatal hay algunas referencias a esta institución en las Leyes 80 de 1993</w:t>
      </w:r>
      <w:r w:rsidRPr="00CA54D3">
        <w:rPr>
          <w:rFonts w:ascii="Verdana" w:hAnsi="Verdana" w:cs="Arial"/>
          <w:bCs/>
          <w:sz w:val="20"/>
          <w:szCs w:val="20"/>
          <w:vertAlign w:val="superscript"/>
          <w:lang w:eastAsia="es-ES"/>
        </w:rPr>
        <w:t xml:space="preserve"> </w:t>
      </w:r>
      <w:r w:rsidRPr="00CA54D3">
        <w:rPr>
          <w:rFonts w:ascii="Verdana" w:hAnsi="Verdana" w:cs="Arial"/>
          <w:bCs/>
          <w:sz w:val="20"/>
          <w:szCs w:val="20"/>
          <w:lang w:eastAsia="es-ES"/>
        </w:rPr>
        <w:t xml:space="preserve">y 1150 de 2007, así como en el Decreto 1082 de 2015, y en </w:t>
      </w:r>
      <w:r w:rsidRPr="00CA54D3">
        <w:rPr>
          <w:rFonts w:ascii="Verdana" w:hAnsi="Verdana" w:cs="Arial"/>
          <w:bCs/>
          <w:sz w:val="20"/>
          <w:szCs w:val="20"/>
          <w:lang w:val="es-ES" w:eastAsia="es-ES"/>
        </w:rPr>
        <w:t xml:space="preserve">el Decreto 092 de 2017, </w:t>
      </w:r>
      <w:r w:rsidRPr="00CA54D3">
        <w:rPr>
          <w:rFonts w:ascii="Verdana" w:hAnsi="Verdana" w:cs="Arial"/>
          <w:bCs/>
          <w:sz w:val="20"/>
          <w:szCs w:val="20"/>
          <w:lang w:eastAsia="es-ES"/>
        </w:rPr>
        <w:t xml:space="preserve">el ordenamiento jurídico carece de una disposición legal que brinde una definición de subcontratación. Sin embargo, la jurisprudencia y la doctrina se han encargado de estudiar y analizar la naturaleza de esta figura y han construido los elementos y características propias de la subcontratación. </w:t>
      </w:r>
    </w:p>
    <w:p w14:paraId="1A7C3A30" w14:textId="77777777" w:rsidR="00CA54D3" w:rsidRPr="00CA54D3" w:rsidRDefault="00CA54D3" w:rsidP="00CA54D3">
      <w:pPr>
        <w:spacing w:after="0" w:line="240" w:lineRule="auto"/>
        <w:jc w:val="both"/>
        <w:rPr>
          <w:rFonts w:ascii="Verdana" w:hAnsi="Verdana" w:cs="Arial"/>
          <w:bCs/>
          <w:sz w:val="20"/>
          <w:szCs w:val="20"/>
          <w:lang w:eastAsia="es-ES"/>
        </w:rPr>
      </w:pPr>
    </w:p>
    <w:p w14:paraId="402ED944" w14:textId="64B39F21" w:rsidR="00CA54D3" w:rsidRPr="00CA54D3" w:rsidRDefault="00CA54D3" w:rsidP="00CA54D3">
      <w:pPr>
        <w:spacing w:after="0" w:line="240" w:lineRule="auto"/>
        <w:jc w:val="both"/>
        <w:rPr>
          <w:rFonts w:ascii="Verdana" w:hAnsi="Verdana" w:cs="Arial"/>
          <w:bCs/>
          <w:sz w:val="20"/>
          <w:szCs w:val="20"/>
          <w:lang w:eastAsia="es-ES"/>
        </w:rPr>
      </w:pPr>
      <w:r w:rsidRPr="00CA54D3">
        <w:rPr>
          <w:rFonts w:ascii="Verdana" w:hAnsi="Verdana" w:cs="Arial"/>
          <w:bCs/>
          <w:sz w:val="20"/>
          <w:szCs w:val="20"/>
          <w:lang w:eastAsia="es-ES"/>
        </w:rPr>
        <w:t>El doctrinante, Richard Steve Ramírez Grisales ha analizado la subcontratación en la contratación estatal, señalando que: “La subcontratación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p>
    <w:p w14:paraId="59ECB484" w14:textId="77777777" w:rsidR="00CA54D3" w:rsidRDefault="00CA54D3" w:rsidP="00CA54D3">
      <w:pPr>
        <w:spacing w:after="0"/>
        <w:rPr>
          <w:rFonts w:ascii="Verdana" w:hAnsi="Verdana" w:cs="Arial"/>
          <w:bCs/>
          <w:lang w:eastAsia="es-ES"/>
        </w:rPr>
      </w:pPr>
    </w:p>
    <w:p w14:paraId="69250A09" w14:textId="33970F77" w:rsidR="00C10C0F" w:rsidRPr="00CA54D3" w:rsidRDefault="00C10C0F" w:rsidP="00C10C0F">
      <w:pPr>
        <w:spacing w:after="0"/>
        <w:rPr>
          <w:rFonts w:ascii="Verdana" w:hAnsi="Verdana" w:cs="Arial"/>
          <w:b/>
          <w:bCs/>
          <w:lang w:eastAsia="es-ES"/>
        </w:rPr>
      </w:pPr>
      <w:r w:rsidRPr="00CA54D3">
        <w:rPr>
          <w:rFonts w:ascii="Verdana" w:hAnsi="Verdana" w:cs="Arial"/>
          <w:b/>
          <w:bCs/>
          <w:lang w:val="es-ES" w:eastAsia="es-ES"/>
        </w:rPr>
        <w:t>CONTRATOS INTERADMINISTRATIVOS – Definición – Criterio orgánico</w:t>
      </w:r>
      <w:r w:rsidRPr="00CA54D3">
        <w:rPr>
          <w:rFonts w:ascii="Verdana" w:hAnsi="Verdana" w:cs="Arial"/>
          <w:b/>
          <w:bCs/>
          <w:lang w:eastAsia="es-ES"/>
        </w:rPr>
        <w:t xml:space="preserve"> </w:t>
      </w:r>
    </w:p>
    <w:p w14:paraId="285B5275" w14:textId="77777777" w:rsidR="00C10C0F" w:rsidRPr="00CA54D3" w:rsidRDefault="00C10C0F" w:rsidP="00CA54D3">
      <w:pPr>
        <w:spacing w:after="0" w:line="240" w:lineRule="auto"/>
        <w:jc w:val="both"/>
        <w:rPr>
          <w:rFonts w:ascii="Verdana" w:hAnsi="Verdana" w:cs="Arial"/>
          <w:bCs/>
          <w:sz w:val="20"/>
          <w:lang w:eastAsia="es-ES"/>
        </w:rPr>
      </w:pPr>
    </w:p>
    <w:p w14:paraId="7BF861E0" w14:textId="2DF37F09" w:rsidR="00CA54D3" w:rsidRPr="00CA54D3" w:rsidRDefault="00CA54D3" w:rsidP="00CA54D3">
      <w:pPr>
        <w:spacing w:after="0" w:line="240" w:lineRule="auto"/>
        <w:jc w:val="both"/>
        <w:rPr>
          <w:rFonts w:ascii="Verdana" w:hAnsi="Verdana" w:cs="Arial"/>
          <w:bCs/>
          <w:sz w:val="20"/>
          <w:lang w:eastAsia="es-ES" w:bidi="es-ES"/>
        </w:rPr>
      </w:pPr>
      <w:r w:rsidRPr="00CA54D3">
        <w:rPr>
          <w:rFonts w:ascii="Verdana" w:hAnsi="Verdana" w:cs="Arial"/>
          <w:bCs/>
          <w:sz w:val="20"/>
          <w:lang w:eastAsia="es-ES" w:bidi="es-ES"/>
        </w:rPr>
        <w:t>[…] los contratos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2F4C0B1C" w14:textId="77777777" w:rsidR="00CA54D3" w:rsidRPr="00CA54D3" w:rsidRDefault="00CA54D3" w:rsidP="00CA54D3">
      <w:pPr>
        <w:spacing w:after="0" w:line="240" w:lineRule="auto"/>
        <w:jc w:val="both"/>
        <w:rPr>
          <w:rFonts w:ascii="Verdana" w:hAnsi="Verdana" w:cs="Arial"/>
          <w:bCs/>
          <w:sz w:val="20"/>
          <w:lang w:eastAsia="es-ES" w:bidi="es-ES"/>
        </w:rPr>
      </w:pPr>
    </w:p>
    <w:p w14:paraId="02CFCDAF" w14:textId="13C95EF1" w:rsidR="00CA54D3" w:rsidRPr="00CA54D3" w:rsidRDefault="00CA54D3" w:rsidP="00CA54D3">
      <w:pPr>
        <w:spacing w:after="0" w:line="240" w:lineRule="auto"/>
        <w:jc w:val="both"/>
        <w:rPr>
          <w:rFonts w:ascii="Verdana" w:hAnsi="Verdana" w:cs="Arial"/>
          <w:bCs/>
          <w:sz w:val="20"/>
          <w:lang w:eastAsia="es-ES" w:bidi="es-ES"/>
        </w:rPr>
      </w:pPr>
      <w:r w:rsidRPr="00CA54D3">
        <w:rPr>
          <w:rFonts w:ascii="Verdana" w:hAnsi="Verdana" w:cs="Arial"/>
          <w:bCs/>
          <w:sz w:val="20"/>
          <w:lang w:eastAsia="es-ES"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o convenios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por la calidad de las partes que lo suscriben, es decir, debe tratarse de entidades estatales.</w:t>
      </w:r>
    </w:p>
    <w:p w14:paraId="03469A3A" w14:textId="7FBE5B7D" w:rsidR="00C10C0F" w:rsidRDefault="00C10C0F" w:rsidP="00C10C0F">
      <w:pPr>
        <w:spacing w:after="0"/>
        <w:rPr>
          <w:rFonts w:ascii="Verdana" w:hAnsi="Verdana" w:cs="Arial"/>
          <w:bCs/>
          <w:lang w:eastAsia="es-ES"/>
        </w:rPr>
      </w:pPr>
    </w:p>
    <w:p w14:paraId="44C8BFD3" w14:textId="77777777" w:rsidR="004B3607" w:rsidRDefault="004B3607" w:rsidP="00C10C0F">
      <w:pPr>
        <w:spacing w:after="0"/>
        <w:rPr>
          <w:rFonts w:ascii="Verdana" w:hAnsi="Verdana" w:cs="Arial"/>
          <w:bCs/>
          <w:lang w:eastAsia="es-ES"/>
        </w:rPr>
      </w:pPr>
    </w:p>
    <w:p w14:paraId="6FA3B9E2" w14:textId="27D7222B" w:rsidR="00C10C0F" w:rsidRPr="005379F8" w:rsidRDefault="00C10C0F" w:rsidP="00C10C0F">
      <w:pPr>
        <w:spacing w:after="0"/>
        <w:rPr>
          <w:rFonts w:ascii="Verdana" w:hAnsi="Verdana" w:cs="Arial"/>
          <w:b/>
          <w:bCs/>
          <w:lang w:eastAsia="es-ES"/>
        </w:rPr>
      </w:pPr>
      <w:r w:rsidRPr="005379F8">
        <w:rPr>
          <w:rFonts w:ascii="Verdana" w:hAnsi="Verdana" w:cs="Arial"/>
          <w:b/>
          <w:bCs/>
          <w:lang w:eastAsia="es-ES"/>
        </w:rPr>
        <w:lastRenderedPageBreak/>
        <w:t>SUBCONTRATACIÓN – Procedencia</w:t>
      </w:r>
    </w:p>
    <w:p w14:paraId="3D5676D3" w14:textId="6EC1AE36" w:rsidR="00C10C0F" w:rsidRDefault="00C10C0F" w:rsidP="00C10C0F">
      <w:pPr>
        <w:spacing w:after="0"/>
        <w:rPr>
          <w:rFonts w:ascii="Verdana" w:hAnsi="Verdana"/>
        </w:rPr>
      </w:pPr>
    </w:p>
    <w:p w14:paraId="1745419C" w14:textId="3DD5E0BB" w:rsidR="005379F8" w:rsidRPr="005379F8" w:rsidRDefault="005379F8" w:rsidP="005379F8">
      <w:pPr>
        <w:spacing w:after="0" w:line="240" w:lineRule="auto"/>
        <w:jc w:val="both"/>
        <w:rPr>
          <w:rFonts w:ascii="Verdana" w:hAnsi="Verdana"/>
          <w:sz w:val="20"/>
        </w:rPr>
      </w:pPr>
      <w:r w:rsidRPr="005379F8">
        <w:rPr>
          <w:rFonts w:ascii="Verdana" w:hAnsi="Verdana"/>
          <w:sz w:val="20"/>
        </w:rPr>
        <w:t>Debido a la escasa regulación de la materia, la subcontratación en el sistema de compras públicas en Colombia estará supeditada a lo dispuesto en el pliego de condiciones en modalidades de selección – licitación pública, selección abreviada, concurso de méritos, mínima cuantía y en el contrato principal – en todas las modalidades de selección-. sin perjuicio de las limitaciones establecidas por la ley</w:t>
      </w:r>
      <w:r w:rsidRPr="005379F8">
        <w:rPr>
          <w:rFonts w:ascii="Verdana" w:hAnsi="Verdana"/>
          <w:sz w:val="20"/>
          <w:lang w:val="es-ES"/>
        </w:rPr>
        <w:t xml:space="preserve">. </w:t>
      </w:r>
      <w:r w:rsidRPr="005379F8">
        <w:rPr>
          <w:rFonts w:ascii="Verdana" w:hAnsi="Verdana"/>
          <w:sz w:val="20"/>
        </w:rPr>
        <w:t xml:space="preserve">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Por su parte, si en el contrato no se estipula esta figura, se entiende que en principio está permitida y, por tanto, el contratista podrá subcontratar parcialmente con fundamento en la libertad de empresa, sin perjuicio de las limitaciones establecidas por el ordenamiento jurídico. </w:t>
      </w:r>
    </w:p>
    <w:p w14:paraId="5CCEEF63" w14:textId="77777777" w:rsidR="00C10C0F" w:rsidRPr="005379F8" w:rsidRDefault="00C10C0F" w:rsidP="005379F8">
      <w:pPr>
        <w:spacing w:after="0"/>
        <w:jc w:val="both"/>
        <w:rPr>
          <w:rFonts w:ascii="Verdana" w:hAnsi="Verdana"/>
          <w:b/>
        </w:rPr>
      </w:pPr>
    </w:p>
    <w:p w14:paraId="5910929C" w14:textId="3A250656" w:rsidR="00C10C0F" w:rsidRPr="005379F8" w:rsidRDefault="00C10C0F" w:rsidP="005379F8">
      <w:pPr>
        <w:spacing w:after="0"/>
        <w:jc w:val="both"/>
        <w:rPr>
          <w:rFonts w:ascii="Verdana" w:hAnsi="Verdana"/>
          <w:b/>
        </w:rPr>
      </w:pPr>
      <w:r w:rsidRPr="005379F8">
        <w:rPr>
          <w:rFonts w:ascii="Verdana" w:hAnsi="Verdana"/>
          <w:b/>
          <w:bCs/>
        </w:rPr>
        <w:t>SUBCONTRATACIÓN – Libertad – autonomía de la voluntad - Restricciones.</w:t>
      </w:r>
    </w:p>
    <w:p w14:paraId="66ED6085" w14:textId="4A5148BD" w:rsidR="00C10C0F" w:rsidRDefault="00C10C0F" w:rsidP="000754B0">
      <w:pPr>
        <w:spacing w:after="0"/>
        <w:rPr>
          <w:rFonts w:ascii="Verdana" w:hAnsi="Verdana"/>
        </w:rPr>
      </w:pPr>
    </w:p>
    <w:p w14:paraId="30F515CD" w14:textId="77777777" w:rsidR="005379F8" w:rsidRPr="005379F8" w:rsidRDefault="005379F8" w:rsidP="005379F8">
      <w:pPr>
        <w:spacing w:after="0" w:line="240" w:lineRule="auto"/>
        <w:jc w:val="both"/>
        <w:rPr>
          <w:rFonts w:ascii="Verdana" w:hAnsi="Verdana"/>
          <w:sz w:val="20"/>
          <w:szCs w:val="20"/>
          <w:lang w:val="es-ES"/>
        </w:rPr>
      </w:pPr>
      <w:r w:rsidRPr="005379F8">
        <w:rPr>
          <w:rFonts w:ascii="Verdana" w:hAnsi="Verdana"/>
          <w:sz w:val="20"/>
          <w:szCs w:val="20"/>
        </w:rPr>
        <w:t>Así, la subcontratación implica la celebración de un contrato derivado de otro principal cuyo propósito es ejecutar parcialmente este último. Debido a la escasa regulación de la materia, la subcontratación en el sistema de compras públicas estará supeditada a lo dispuesto en el pliego de condiciones en modalidades de selección – licitación pública, selección abreviada, concurso de méritos, mínima cuantía y en el contrato principal – en todas las modalidades de selección-. Por ejemplo, tratándose de contratación directa como sucede en contratos interadministrativos dependerá del contenido de los documentos del proceso y en el contrato principal. Lo anterior, sin perjuicio de las limitaciones establecidas por la ley.</w:t>
      </w:r>
    </w:p>
    <w:p w14:paraId="5FAA4227" w14:textId="77777777" w:rsidR="005379F8" w:rsidRDefault="005379F8" w:rsidP="005379F8">
      <w:pPr>
        <w:spacing w:after="0" w:line="240" w:lineRule="auto"/>
        <w:jc w:val="both"/>
        <w:rPr>
          <w:rFonts w:ascii="Verdana" w:hAnsi="Verdana"/>
          <w:sz w:val="20"/>
          <w:szCs w:val="20"/>
        </w:rPr>
      </w:pPr>
    </w:p>
    <w:p w14:paraId="45521557" w14:textId="4D8AC4BC" w:rsidR="005379F8" w:rsidRPr="005379F8" w:rsidRDefault="005379F8" w:rsidP="005379F8">
      <w:pPr>
        <w:spacing w:after="0" w:line="240" w:lineRule="auto"/>
        <w:jc w:val="both"/>
        <w:rPr>
          <w:rFonts w:ascii="Verdana" w:hAnsi="Verdana"/>
          <w:sz w:val="20"/>
          <w:szCs w:val="20"/>
          <w:lang w:val="es-ES"/>
        </w:rPr>
      </w:pPr>
      <w:r w:rsidRPr="005379F8">
        <w:rPr>
          <w:rFonts w:ascii="Verdana" w:hAnsi="Verdana"/>
          <w:sz w:val="20"/>
          <w:szCs w:val="20"/>
        </w:rPr>
        <w:t>Al respecto, existe una restricción normativa se encuentra en el literal c) del numeral 4° del artículo 2 de la Ley 1150 de 2007, en torno a la celebración de contratos interadministrativos – al que se refiere en su consulta. Según el inciso cuarto de este literal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(Énfasis por fuera de texto).</w:t>
      </w:r>
    </w:p>
    <w:p w14:paraId="25F8998C" w14:textId="77777777" w:rsidR="005379F8" w:rsidRDefault="005379F8" w:rsidP="005379F8">
      <w:pPr>
        <w:spacing w:after="0" w:line="240" w:lineRule="auto"/>
        <w:jc w:val="both"/>
        <w:rPr>
          <w:rFonts w:ascii="Verdana" w:hAnsi="Verdana"/>
          <w:sz w:val="20"/>
          <w:szCs w:val="20"/>
          <w:lang w:val="es-ES"/>
        </w:rPr>
      </w:pPr>
    </w:p>
    <w:p w14:paraId="7DEB726B" w14:textId="22AB701C" w:rsidR="005379F8" w:rsidRPr="005379F8" w:rsidRDefault="005379F8" w:rsidP="005379F8">
      <w:pPr>
        <w:spacing w:after="0" w:line="240" w:lineRule="auto"/>
        <w:jc w:val="both"/>
        <w:rPr>
          <w:rFonts w:ascii="Verdana" w:hAnsi="Verdana"/>
          <w:sz w:val="20"/>
          <w:szCs w:val="20"/>
        </w:rPr>
      </w:pPr>
      <w:r w:rsidRPr="005379F8">
        <w:rPr>
          <w:rFonts w:ascii="Verdana" w:hAnsi="Verdana"/>
          <w:sz w:val="20"/>
          <w:szCs w:val="20"/>
        </w:rPr>
        <w:t>En todo caso, se recomienda que se establezca la autorización de la entidad estatal contratante en el contrato en el caso que nos atañe – aunque no obligatoria de acuerdo con la ley – para que las actividades contratadas puedan ejecutarse de forma parcial por un tercero, sin que el contratista – entidad estatal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principal.</w:t>
      </w:r>
    </w:p>
    <w:p w14:paraId="2B604584" w14:textId="77777777" w:rsidR="005379F8" w:rsidRDefault="005379F8" w:rsidP="000754B0">
      <w:pPr>
        <w:spacing w:after="0"/>
        <w:rPr>
          <w:rFonts w:ascii="Verdana" w:hAnsi="Verdana"/>
        </w:rPr>
      </w:pPr>
    </w:p>
    <w:p w14:paraId="6705C098" w14:textId="77777777" w:rsidR="005379F8" w:rsidRDefault="005379F8" w:rsidP="000754B0">
      <w:pPr>
        <w:spacing w:after="0"/>
        <w:rPr>
          <w:rFonts w:ascii="Verdana" w:hAnsi="Verdana"/>
        </w:rPr>
      </w:pPr>
    </w:p>
    <w:p w14:paraId="6F3A2F65" w14:textId="74E41A9E" w:rsidR="004B3607" w:rsidRDefault="004B3607" w:rsidP="000754B0">
      <w:pPr>
        <w:spacing w:after="0"/>
        <w:rPr>
          <w:rFonts w:ascii="Verdana" w:hAnsi="Verdana"/>
        </w:rPr>
      </w:pPr>
    </w:p>
    <w:p w14:paraId="7C33ECD2" w14:textId="512DDA72" w:rsidR="000754B0" w:rsidRPr="0044528D" w:rsidRDefault="00C47B74" w:rsidP="000754B0">
      <w:pPr>
        <w:spacing w:after="0"/>
        <w:rPr>
          <w:rFonts w:ascii="Verdana" w:hAnsi="Verdana"/>
        </w:rPr>
      </w:pPr>
      <w:r>
        <w:rPr>
          <w:rFonts w:ascii="Verdana" w:hAnsi="Verdana"/>
        </w:rPr>
        <w:t xml:space="preserve">Bogotá D.C., </w:t>
      </w:r>
      <w:r w:rsidR="00080133">
        <w:rPr>
          <w:rFonts w:ascii="Verdana" w:hAnsi="Verdana"/>
        </w:rPr>
        <w:t>28 de marzo de 2025</w:t>
      </w:r>
    </w:p>
    <w:p w14:paraId="6F113264" w14:textId="093A24AE" w:rsidR="000754B0" w:rsidRDefault="004B3607" w:rsidP="000754B0">
      <w:pPr>
        <w:spacing w:after="0"/>
        <w:rPr>
          <w:rFonts w:ascii="Verdana" w:hAnsi="Verdana"/>
        </w:rPr>
      </w:pPr>
      <w:r w:rsidRPr="00080133">
        <w:rPr>
          <w:rFonts w:ascii="Verdana" w:hAnsi="Verdana"/>
          <w:noProof/>
          <w:lang w:val="en-US"/>
        </w:rPr>
        <w:drawing>
          <wp:anchor distT="0" distB="0" distL="114300" distR="114300" simplePos="0" relativeHeight="251665408" behindDoc="0" locked="0" layoutInCell="1" allowOverlap="1" wp14:anchorId="040DE591" wp14:editId="27ECFFAA">
            <wp:simplePos x="0" y="0"/>
            <wp:positionH relativeFrom="column">
              <wp:posOffset>2798445</wp:posOffset>
            </wp:positionH>
            <wp:positionV relativeFrom="paragraph">
              <wp:posOffset>10265</wp:posOffset>
            </wp:positionV>
            <wp:extent cx="2998470" cy="829945"/>
            <wp:effectExtent l="0" t="0" r="0" b="825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8470" cy="8299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C71B25" w14:textId="29EE66E8" w:rsidR="000754B0" w:rsidRDefault="000754B0" w:rsidP="000754B0">
      <w:pPr>
        <w:spacing w:after="0"/>
        <w:rPr>
          <w:rFonts w:ascii="Verdana" w:hAnsi="Verdana"/>
        </w:rPr>
      </w:pPr>
    </w:p>
    <w:p w14:paraId="71B288FD" w14:textId="6A295B1C" w:rsidR="004B3607" w:rsidRDefault="004B3607" w:rsidP="000754B0">
      <w:pPr>
        <w:spacing w:after="0"/>
        <w:rPr>
          <w:rFonts w:ascii="Verdana" w:hAnsi="Verdana"/>
        </w:rPr>
      </w:pPr>
    </w:p>
    <w:p w14:paraId="4F992C2B" w14:textId="77777777" w:rsidR="004B3607" w:rsidRDefault="004B3607" w:rsidP="000754B0">
      <w:pPr>
        <w:spacing w:after="0"/>
        <w:rPr>
          <w:rFonts w:ascii="Verdana" w:hAnsi="Verdana"/>
        </w:rPr>
      </w:pPr>
    </w:p>
    <w:p w14:paraId="103A1E55" w14:textId="12F0EB2D" w:rsidR="000754B0" w:rsidRPr="00A12CB6" w:rsidRDefault="003469FD" w:rsidP="000754B0">
      <w:pPr>
        <w:spacing w:after="0" w:line="256" w:lineRule="auto"/>
        <w:rPr>
          <w:rFonts w:ascii="Verdana" w:eastAsia="Calibri" w:hAnsi="Verdana" w:cs="Times New Roman"/>
          <w:lang w:val="es-MX"/>
        </w:rPr>
      </w:pPr>
      <w:r>
        <w:rPr>
          <w:rFonts w:ascii="Verdana" w:eastAsia="Calibri" w:hAnsi="Verdana" w:cs="Times New Roman"/>
          <w:lang w:val="es-MX"/>
        </w:rPr>
        <w:t>Doctor</w:t>
      </w:r>
    </w:p>
    <w:p w14:paraId="7508906D" w14:textId="44C674F5" w:rsidR="0039784B" w:rsidRDefault="00296562" w:rsidP="000754B0">
      <w:pPr>
        <w:spacing w:after="0" w:line="256" w:lineRule="auto"/>
        <w:rPr>
          <w:rFonts w:ascii="Verdana" w:eastAsia="Calibri" w:hAnsi="Verdana" w:cs="Times New Roman"/>
          <w:b/>
        </w:rPr>
      </w:pPr>
      <w:r w:rsidRPr="00296562">
        <w:rPr>
          <w:rFonts w:ascii="Verdana" w:eastAsia="Calibri" w:hAnsi="Verdana" w:cs="Times New Roman"/>
          <w:b/>
        </w:rPr>
        <w:t xml:space="preserve">David Ezeriguer Sánchez </w:t>
      </w:r>
    </w:p>
    <w:p w14:paraId="0C81AB41" w14:textId="66584B11" w:rsidR="00296562" w:rsidRPr="00296562" w:rsidRDefault="00296562" w:rsidP="000754B0">
      <w:pPr>
        <w:spacing w:after="0" w:line="256" w:lineRule="auto"/>
        <w:rPr>
          <w:rFonts w:ascii="Verdana" w:eastAsia="Calibri" w:hAnsi="Verdana" w:cs="Times New Roman"/>
        </w:rPr>
      </w:pPr>
      <w:r w:rsidRPr="00296562">
        <w:rPr>
          <w:rFonts w:ascii="Verdana" w:eastAsia="Calibri" w:hAnsi="Verdana" w:cs="Times New Roman"/>
        </w:rPr>
        <w:t>EZERIGUER &amp; ABOGADOS ASOCIADOS S.A.S</w:t>
      </w:r>
    </w:p>
    <w:p w14:paraId="1E25EC08" w14:textId="0406466A" w:rsidR="00296562" w:rsidRDefault="00296562" w:rsidP="000754B0">
      <w:pPr>
        <w:spacing w:after="0" w:line="256" w:lineRule="auto"/>
        <w:rPr>
          <w:rFonts w:ascii="Verdana" w:hAnsi="Verdana"/>
          <w:color w:val="0000FF"/>
          <w:u w:val="single"/>
        </w:rPr>
      </w:pPr>
      <w:r w:rsidRPr="00296562">
        <w:rPr>
          <w:rFonts w:ascii="Verdana" w:hAnsi="Verdana"/>
          <w:color w:val="0000FF"/>
          <w:u w:val="single"/>
        </w:rPr>
        <w:t>eycnotificacionesjudiciales@gmail.com</w:t>
      </w:r>
    </w:p>
    <w:p w14:paraId="34D4A535" w14:textId="5A698BD2" w:rsidR="000754B0" w:rsidRPr="00A12CB6" w:rsidRDefault="000754B0" w:rsidP="000754B0">
      <w:pPr>
        <w:spacing w:after="0" w:line="256" w:lineRule="auto"/>
        <w:rPr>
          <w:rFonts w:ascii="Verdana" w:eastAsia="Calibri" w:hAnsi="Verdana" w:cs="Times New Roman"/>
        </w:rPr>
      </w:pPr>
      <w:r w:rsidRPr="00A12CB6">
        <w:rPr>
          <w:rFonts w:ascii="Verdana" w:eastAsia="Calibri" w:hAnsi="Verdana" w:cs="Times New Roman"/>
        </w:rPr>
        <w:t>Bogotá D.C.</w:t>
      </w:r>
    </w:p>
    <w:p w14:paraId="5CD2A8AF" w14:textId="42252589" w:rsidR="000754B0" w:rsidRDefault="000754B0" w:rsidP="000754B0">
      <w:pPr>
        <w:spacing w:after="0" w:line="256" w:lineRule="auto"/>
        <w:rPr>
          <w:rFonts w:ascii="Verdana" w:eastAsia="Calibri" w:hAnsi="Verdana" w:cs="Times New Roman"/>
        </w:rPr>
      </w:pPr>
    </w:p>
    <w:p w14:paraId="261DCD97" w14:textId="77777777" w:rsidR="00296562" w:rsidRPr="00A12CB6" w:rsidRDefault="00296562" w:rsidP="000754B0">
      <w:pPr>
        <w:spacing w:after="0" w:line="256" w:lineRule="auto"/>
        <w:rPr>
          <w:rFonts w:ascii="Verdana" w:eastAsia="Calibri" w:hAnsi="Verdana" w:cs="Times New Roman"/>
        </w:rPr>
      </w:pPr>
    </w:p>
    <w:p w14:paraId="189E37E4" w14:textId="25601A02" w:rsidR="000754B0" w:rsidRPr="00A12CB6" w:rsidRDefault="000754B0" w:rsidP="000754B0">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sidR="00256F7C">
        <w:rPr>
          <w:rFonts w:ascii="Verdana" w:eastAsia="Calibri" w:hAnsi="Verdana" w:cs="Times New Roman"/>
          <w:b/>
          <w:bCs/>
          <w:lang w:val="es-ES"/>
        </w:rPr>
        <w:t xml:space="preserve">                  Concepto C–221</w:t>
      </w:r>
      <w:r w:rsidRPr="00A12CB6">
        <w:rPr>
          <w:rFonts w:ascii="Verdana" w:eastAsia="Calibri" w:hAnsi="Verdana" w:cs="Times New Roman"/>
          <w:b/>
          <w:bCs/>
          <w:lang w:val="es-ES"/>
        </w:rPr>
        <w:t xml:space="preserve"> de 2025</w:t>
      </w:r>
    </w:p>
    <w:p w14:paraId="08D2D20A" w14:textId="77777777" w:rsidR="000754B0" w:rsidRPr="00A12CB6" w:rsidRDefault="000754B0" w:rsidP="000754B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754B0" w:rsidRPr="00A12CB6" w14:paraId="47B47E96" w14:textId="77777777" w:rsidTr="005907A3">
        <w:trPr>
          <w:trHeight w:val="884"/>
        </w:trPr>
        <w:tc>
          <w:tcPr>
            <w:tcW w:w="2685" w:type="dxa"/>
            <w:hideMark/>
          </w:tcPr>
          <w:p w14:paraId="1AD0838E" w14:textId="77777777" w:rsidR="000754B0" w:rsidRPr="00A12CB6" w:rsidRDefault="000754B0" w:rsidP="004B3607">
            <w:pPr>
              <w:rPr>
                <w:rFonts w:ascii="Verdana" w:hAnsi="Verdana"/>
                <w:b/>
                <w:bCs/>
                <w:lang w:val="es-ES_tradnl"/>
              </w:rPr>
            </w:pPr>
            <w:r w:rsidRPr="00A12CB6">
              <w:rPr>
                <w:rFonts w:ascii="Verdana" w:hAnsi="Verdana"/>
                <w:b/>
                <w:bCs/>
                <w:lang w:val="es-ES_tradnl"/>
              </w:rPr>
              <w:t xml:space="preserve">Temas:                   </w:t>
            </w:r>
          </w:p>
        </w:tc>
        <w:tc>
          <w:tcPr>
            <w:tcW w:w="6241" w:type="dxa"/>
            <w:hideMark/>
          </w:tcPr>
          <w:p w14:paraId="4C53A1B9" w14:textId="3597B382" w:rsidR="000754B0" w:rsidRPr="00F06820" w:rsidRDefault="007612AC" w:rsidP="00DB12C2">
            <w:pPr>
              <w:spacing w:line="276" w:lineRule="auto"/>
              <w:jc w:val="both"/>
              <w:rPr>
                <w:rFonts w:ascii="Verdana" w:hAnsi="Verdana"/>
                <w:highlight w:val="yellow"/>
              </w:rPr>
            </w:pPr>
            <w:r w:rsidRPr="007612AC">
              <w:rPr>
                <w:rFonts w:ascii="Verdana" w:hAnsi="Verdana" w:cs="Arial"/>
                <w:bCs/>
                <w:lang w:val="es-ES" w:eastAsia="es-ES"/>
              </w:rPr>
              <w:t>OPERACIÓN LOGÍSTICA ‒ Contrato atípico mixto ‒ Actividades / CONTRATOS ESTATALES – Capacidad jurídica – Requisitos esenciales</w:t>
            </w:r>
            <w:r>
              <w:rPr>
                <w:rFonts w:ascii="Verdana" w:hAnsi="Verdana" w:cs="Arial"/>
                <w:bCs/>
                <w:lang w:val="es-ES" w:eastAsia="es-ES"/>
              </w:rPr>
              <w:t xml:space="preserve"> / </w:t>
            </w:r>
            <w:r w:rsidR="007231C5" w:rsidRPr="007231C5">
              <w:rPr>
                <w:rFonts w:ascii="Verdana" w:hAnsi="Verdana" w:cs="Arial"/>
                <w:bCs/>
                <w:lang w:eastAsia="es-ES"/>
              </w:rPr>
              <w:t xml:space="preserve">SUBCONTRATACIÓN – Concepto – Limitaciones jurídicas </w:t>
            </w:r>
            <w:r w:rsidRPr="007612AC">
              <w:rPr>
                <w:rFonts w:ascii="Verdana" w:hAnsi="Verdana" w:cs="Arial"/>
                <w:bCs/>
                <w:lang w:val="es-ES" w:eastAsia="es-ES"/>
              </w:rPr>
              <w:t>/ CONTRATOS INTERADMINISTRATIVOS – Definición – Criterio orgánico</w:t>
            </w:r>
            <w:r w:rsidRPr="007231C5">
              <w:rPr>
                <w:rFonts w:ascii="Verdana" w:hAnsi="Verdana" w:cs="Arial"/>
                <w:bCs/>
                <w:lang w:eastAsia="es-ES"/>
              </w:rPr>
              <w:t xml:space="preserve"> </w:t>
            </w:r>
            <w:r w:rsidR="007231C5" w:rsidRPr="007231C5">
              <w:rPr>
                <w:rFonts w:ascii="Verdana" w:hAnsi="Verdana" w:cs="Arial"/>
                <w:bCs/>
                <w:lang w:eastAsia="es-ES"/>
              </w:rPr>
              <w:t>/ SUBCONTRATACI</w:t>
            </w:r>
            <w:bookmarkStart w:id="1" w:name="_GoBack"/>
            <w:bookmarkEnd w:id="1"/>
            <w:r w:rsidR="007231C5" w:rsidRPr="007231C5">
              <w:rPr>
                <w:rFonts w:ascii="Verdana" w:hAnsi="Verdana" w:cs="Arial"/>
                <w:bCs/>
                <w:lang w:eastAsia="es-ES"/>
              </w:rPr>
              <w:t>ÓN – Procedencia / SUBCONTRATACIÓN – Libertad –</w:t>
            </w:r>
            <w:r w:rsidR="00105B23">
              <w:rPr>
                <w:rFonts w:ascii="Verdana" w:hAnsi="Verdana" w:cs="Arial"/>
                <w:bCs/>
                <w:lang w:eastAsia="es-ES"/>
              </w:rPr>
              <w:t xml:space="preserve"> autonomía de la voluntad -</w:t>
            </w:r>
            <w:r w:rsidR="007231C5" w:rsidRPr="007231C5">
              <w:rPr>
                <w:rFonts w:ascii="Verdana" w:hAnsi="Verdana" w:cs="Arial"/>
                <w:bCs/>
                <w:lang w:eastAsia="es-ES"/>
              </w:rPr>
              <w:t xml:space="preserve"> R</w:t>
            </w:r>
            <w:r w:rsidR="00105B23">
              <w:rPr>
                <w:rFonts w:ascii="Verdana" w:hAnsi="Verdana" w:cs="Arial"/>
                <w:bCs/>
                <w:lang w:eastAsia="es-ES"/>
              </w:rPr>
              <w:t xml:space="preserve">estricciones. </w:t>
            </w:r>
          </w:p>
        </w:tc>
        <w:tc>
          <w:tcPr>
            <w:tcW w:w="6237" w:type="dxa"/>
          </w:tcPr>
          <w:p w14:paraId="3F700675" w14:textId="77777777" w:rsidR="000754B0" w:rsidRPr="00A12CB6" w:rsidRDefault="000754B0" w:rsidP="005907A3">
            <w:pPr>
              <w:spacing w:line="256" w:lineRule="auto"/>
              <w:rPr>
                <w:rFonts w:ascii="Verdana" w:hAnsi="Verdana"/>
              </w:rPr>
            </w:pPr>
          </w:p>
        </w:tc>
      </w:tr>
      <w:tr w:rsidR="000754B0" w:rsidRPr="00A12CB6" w14:paraId="28FB0DAF" w14:textId="77777777" w:rsidTr="005907A3">
        <w:tc>
          <w:tcPr>
            <w:tcW w:w="2685" w:type="dxa"/>
          </w:tcPr>
          <w:p w14:paraId="7269104A" w14:textId="77777777" w:rsidR="000754B0" w:rsidRPr="00A12CB6" w:rsidRDefault="000754B0" w:rsidP="005907A3">
            <w:pPr>
              <w:spacing w:line="256" w:lineRule="auto"/>
              <w:rPr>
                <w:rFonts w:ascii="Verdana" w:hAnsi="Verdana"/>
                <w:lang w:val="es-ES_tradnl"/>
              </w:rPr>
            </w:pPr>
          </w:p>
          <w:p w14:paraId="43A2D1E1" w14:textId="77777777" w:rsidR="000754B0" w:rsidRPr="00A12CB6" w:rsidRDefault="000754B0" w:rsidP="005907A3">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585A8D43" w14:textId="77777777" w:rsidR="000754B0" w:rsidRPr="00A12CB6" w:rsidRDefault="000754B0" w:rsidP="005907A3">
            <w:pPr>
              <w:spacing w:line="257" w:lineRule="auto"/>
              <w:rPr>
                <w:rFonts w:ascii="Verdana" w:hAnsi="Verdana"/>
                <w:lang w:val="es-ES_tradnl"/>
              </w:rPr>
            </w:pPr>
          </w:p>
          <w:p w14:paraId="431D5B00" w14:textId="15591D0A" w:rsidR="00164A65" w:rsidRPr="00164A65" w:rsidRDefault="000754B0" w:rsidP="00164A65">
            <w:pPr>
              <w:spacing w:line="257" w:lineRule="auto"/>
              <w:jc w:val="both"/>
              <w:rPr>
                <w:rFonts w:ascii="Verdana" w:hAnsi="Verdana"/>
                <w:lang w:val="en-US"/>
              </w:rPr>
            </w:pPr>
            <w:r w:rsidRPr="00A12CB6">
              <w:rPr>
                <w:rFonts w:ascii="Verdana" w:hAnsi="Verdana"/>
                <w:lang w:val="es-ES_tradnl"/>
              </w:rPr>
              <w:t xml:space="preserve">Respuesta a consulta con radicado No. </w:t>
            </w:r>
            <w:r w:rsidR="00164A65" w:rsidRPr="00164A65">
              <w:rPr>
                <w:rFonts w:ascii="Verdana" w:hAnsi="Verdana"/>
                <w:lang w:val="en-US"/>
              </w:rPr>
              <w:t>P20250220001706</w:t>
            </w:r>
          </w:p>
          <w:p w14:paraId="46AA45A6" w14:textId="6FF436F9" w:rsidR="000754B0" w:rsidRPr="00A12CB6" w:rsidRDefault="000754B0" w:rsidP="005907A3">
            <w:pPr>
              <w:spacing w:line="257" w:lineRule="auto"/>
              <w:jc w:val="both"/>
              <w:rPr>
                <w:rFonts w:ascii="Verdana" w:hAnsi="Verdana"/>
              </w:rPr>
            </w:pPr>
          </w:p>
          <w:p w14:paraId="0D3EBC3D" w14:textId="77777777" w:rsidR="000754B0" w:rsidRPr="00A12CB6" w:rsidRDefault="000754B0" w:rsidP="005907A3">
            <w:pPr>
              <w:spacing w:line="257" w:lineRule="auto"/>
              <w:jc w:val="both"/>
              <w:rPr>
                <w:rFonts w:ascii="Verdana" w:hAnsi="Verdana"/>
              </w:rPr>
            </w:pPr>
          </w:p>
        </w:tc>
        <w:tc>
          <w:tcPr>
            <w:tcW w:w="6237" w:type="dxa"/>
          </w:tcPr>
          <w:p w14:paraId="3AC815DA" w14:textId="77777777" w:rsidR="000754B0" w:rsidRPr="00A12CB6" w:rsidRDefault="000754B0" w:rsidP="005907A3">
            <w:pPr>
              <w:spacing w:line="256" w:lineRule="auto"/>
              <w:rPr>
                <w:rFonts w:ascii="Verdana" w:hAnsi="Verdana"/>
                <w:lang w:val="es-ES_tradnl"/>
              </w:rPr>
            </w:pPr>
          </w:p>
        </w:tc>
      </w:tr>
    </w:tbl>
    <w:p w14:paraId="7C6CA079" w14:textId="3F789201" w:rsidR="000754B0" w:rsidRPr="00A12CB6" w:rsidRDefault="00296562" w:rsidP="000754B0">
      <w:pPr>
        <w:spacing w:after="0" w:line="256" w:lineRule="auto"/>
        <w:rPr>
          <w:rFonts w:ascii="Verdana" w:eastAsia="Calibri" w:hAnsi="Verdana" w:cs="Times New Roman"/>
          <w:lang w:val="es-ES"/>
        </w:rPr>
      </w:pPr>
      <w:r>
        <w:rPr>
          <w:rFonts w:ascii="Verdana" w:eastAsia="Calibri" w:hAnsi="Verdana" w:cs="Times New Roman"/>
          <w:lang w:val="es-ES"/>
        </w:rPr>
        <w:t>E</w:t>
      </w:r>
      <w:r w:rsidR="003469FD">
        <w:rPr>
          <w:rFonts w:ascii="Verdana" w:eastAsia="Calibri" w:hAnsi="Verdana" w:cs="Times New Roman"/>
          <w:lang w:val="es-ES"/>
        </w:rPr>
        <w:t xml:space="preserve">stimado Doctor </w:t>
      </w:r>
      <w:r w:rsidR="003469FD" w:rsidRPr="003469FD">
        <w:rPr>
          <w:rFonts w:ascii="Verdana" w:eastAsia="Calibri" w:hAnsi="Verdana" w:cs="Times New Roman"/>
        </w:rPr>
        <w:t>Ezeriguer Sánchez</w:t>
      </w:r>
      <w:r w:rsidR="000754B0" w:rsidRPr="003469FD">
        <w:rPr>
          <w:rFonts w:ascii="Verdana" w:eastAsia="Calibri" w:hAnsi="Verdana" w:cs="Times New Roman"/>
          <w:lang w:val="es-ES"/>
        </w:rPr>
        <w:t>:</w:t>
      </w:r>
      <w:r w:rsidR="000754B0" w:rsidRPr="00A12CB6">
        <w:rPr>
          <w:rFonts w:ascii="Verdana" w:eastAsia="Calibri" w:hAnsi="Verdana" w:cs="Times New Roman"/>
          <w:lang w:val="es-ES"/>
        </w:rPr>
        <w:t xml:space="preserve"> </w:t>
      </w:r>
    </w:p>
    <w:p w14:paraId="6E552FE0" w14:textId="77777777" w:rsidR="000754B0" w:rsidRPr="00A12CB6" w:rsidRDefault="000754B0" w:rsidP="000754B0">
      <w:pPr>
        <w:spacing w:after="0" w:line="256" w:lineRule="auto"/>
        <w:rPr>
          <w:rFonts w:ascii="Verdana" w:eastAsia="Calibri" w:hAnsi="Verdana" w:cs="Times New Roman"/>
          <w:lang w:val="es-ES"/>
        </w:rPr>
      </w:pPr>
    </w:p>
    <w:p w14:paraId="771AB6B0" w14:textId="359C9F75" w:rsidR="000754B0" w:rsidRDefault="000754B0" w:rsidP="0039784B">
      <w:pPr>
        <w:spacing w:after="0" w:line="276" w:lineRule="auto"/>
        <w:jc w:val="both"/>
        <w:rPr>
          <w:rFonts w:ascii="Verdana" w:eastAsia="Calibri" w:hAnsi="Verdana" w:cs="Times New Roman"/>
        </w:rPr>
      </w:pPr>
      <w:r w:rsidRPr="00A12061">
        <w:rPr>
          <w:rFonts w:ascii="Verdana" w:eastAsia="Calibri" w:hAnsi="Verdana" w:cs="Times New Roman"/>
          <w:lang w:val="es-ES"/>
        </w:rPr>
        <w:t>En ejercicio de la competencia otorgada por los artículos 3, numeral 5º, y 11, numeral 8º, del Decreto Ley 4170 de 2011, la Agencia Nacional de Contratación Pública – Colombia Compra Eficiente– responde la solicit</w:t>
      </w:r>
      <w:r w:rsidR="00B00909">
        <w:rPr>
          <w:rFonts w:ascii="Verdana" w:eastAsia="Calibri" w:hAnsi="Verdana" w:cs="Times New Roman"/>
          <w:lang w:val="es-ES"/>
        </w:rPr>
        <w:t>ud de consulta presentada el 20</w:t>
      </w:r>
      <w:r w:rsidR="0039784B">
        <w:rPr>
          <w:rFonts w:ascii="Verdana" w:eastAsia="Calibri" w:hAnsi="Verdana" w:cs="Times New Roman"/>
          <w:lang w:val="es-ES"/>
        </w:rPr>
        <w:t xml:space="preserve"> de febrero de 2025</w:t>
      </w:r>
      <w:r w:rsidRPr="00A12061">
        <w:rPr>
          <w:rFonts w:ascii="Verdana" w:eastAsia="Calibri" w:hAnsi="Verdana" w:cs="Times New Roman"/>
          <w:lang w:val="es-ES"/>
        </w:rPr>
        <w:t>, en la cual manifiesta lo siguiente:</w:t>
      </w:r>
      <w:r w:rsidRPr="000D6D0E">
        <w:rPr>
          <w:rFonts w:ascii="Verdana" w:eastAsia="Calibri" w:hAnsi="Verdana" w:cs="Times New Roman"/>
        </w:rPr>
        <w:t xml:space="preserve"> </w:t>
      </w:r>
    </w:p>
    <w:p w14:paraId="1F91216B" w14:textId="77777777" w:rsidR="0039784B" w:rsidRDefault="0039784B" w:rsidP="0039784B">
      <w:pPr>
        <w:spacing w:after="0" w:line="276" w:lineRule="auto"/>
        <w:jc w:val="both"/>
        <w:rPr>
          <w:rFonts w:ascii="Verdana" w:eastAsia="Calibri" w:hAnsi="Verdana" w:cs="Times New Roman"/>
        </w:rPr>
      </w:pPr>
    </w:p>
    <w:p w14:paraId="4F8942A5" w14:textId="77777777" w:rsidR="00B00909" w:rsidRPr="0005204F" w:rsidRDefault="000754B0" w:rsidP="0005204F">
      <w:pPr>
        <w:spacing w:after="0" w:line="240" w:lineRule="auto"/>
        <w:ind w:left="709" w:right="709"/>
        <w:jc w:val="both"/>
        <w:rPr>
          <w:rFonts w:ascii="Verdana" w:eastAsia="Calibri" w:hAnsi="Verdana" w:cs="Times New Roman"/>
          <w:i/>
          <w:iCs/>
          <w:sz w:val="20"/>
        </w:rPr>
      </w:pPr>
      <w:r w:rsidRPr="0005204F">
        <w:rPr>
          <w:rFonts w:ascii="Verdana" w:eastAsia="Calibri" w:hAnsi="Verdana" w:cs="Times New Roman"/>
          <w:i/>
          <w:iCs/>
          <w:sz w:val="20"/>
        </w:rPr>
        <w:t>“</w:t>
      </w:r>
      <w:r w:rsidR="00B00909" w:rsidRPr="0005204F">
        <w:rPr>
          <w:rFonts w:ascii="Verdana" w:eastAsia="Calibri" w:hAnsi="Verdana" w:cs="Times New Roman"/>
          <w:i/>
          <w:iCs/>
          <w:sz w:val="20"/>
        </w:rPr>
        <w:t xml:space="preserve">1. ¿En Colombia está prohibida, la subcontratación en los contratos de operación logística que se suscriben a través de contratos interadministrativos? </w:t>
      </w:r>
    </w:p>
    <w:p w14:paraId="023013F3" w14:textId="77777777" w:rsidR="00B00909" w:rsidRPr="0005204F" w:rsidRDefault="00B00909" w:rsidP="0005204F">
      <w:pPr>
        <w:spacing w:after="0" w:line="240" w:lineRule="auto"/>
        <w:ind w:left="709" w:right="709"/>
        <w:jc w:val="both"/>
        <w:rPr>
          <w:rFonts w:ascii="Verdana" w:eastAsia="Calibri" w:hAnsi="Verdana" w:cs="Times New Roman"/>
          <w:i/>
          <w:iCs/>
          <w:sz w:val="20"/>
        </w:rPr>
      </w:pPr>
      <w:r w:rsidRPr="0005204F">
        <w:rPr>
          <w:rFonts w:ascii="Verdana" w:eastAsia="Calibri" w:hAnsi="Verdana" w:cs="Times New Roman"/>
          <w:i/>
          <w:iCs/>
          <w:sz w:val="20"/>
        </w:rPr>
        <w:t xml:space="preserve">2. ¿Puede un contratista realizar subcontratación para la ejecución de un contrato interadministrativo que tiene por objeto la operación logística de una entidad estatal, si el Pliego de Condiciones y la Resolución que </w:t>
      </w:r>
      <w:r w:rsidRPr="0005204F">
        <w:rPr>
          <w:rFonts w:ascii="Verdana" w:eastAsia="Calibri" w:hAnsi="Verdana" w:cs="Times New Roman"/>
          <w:i/>
          <w:iCs/>
          <w:sz w:val="20"/>
        </w:rPr>
        <w:lastRenderedPageBreak/>
        <w:t xml:space="preserve">autoriza la Contratación Directa prohíben dicha subcontratación para ciertas actividades? </w:t>
      </w:r>
    </w:p>
    <w:p w14:paraId="56DF66B0" w14:textId="633FD566" w:rsidR="000754B0" w:rsidRPr="0005204F" w:rsidRDefault="00B00909" w:rsidP="0005204F">
      <w:pPr>
        <w:spacing w:after="0" w:line="240" w:lineRule="auto"/>
        <w:ind w:left="709" w:right="709"/>
        <w:jc w:val="both"/>
        <w:rPr>
          <w:rFonts w:ascii="Verdana" w:eastAsia="Calibri" w:hAnsi="Verdana" w:cs="Times New Roman"/>
          <w:i/>
          <w:iCs/>
          <w:sz w:val="20"/>
        </w:rPr>
      </w:pPr>
      <w:r w:rsidRPr="0005204F">
        <w:rPr>
          <w:rFonts w:ascii="Verdana" w:eastAsia="Calibri" w:hAnsi="Verdana" w:cs="Times New Roman"/>
          <w:i/>
          <w:iCs/>
          <w:sz w:val="20"/>
        </w:rPr>
        <w:t>3. En el ordenamiento jurídico colombiano, respecto de los contratos interadministrativos, ¿prima más el principio de autonomía de la voluntad contractual o las disposiciones legales establecidas en el Estatuto General de la Contratación Pública</w:t>
      </w:r>
      <w:r w:rsidR="000754B0" w:rsidRPr="0005204F">
        <w:rPr>
          <w:rFonts w:ascii="Verdana" w:eastAsia="Calibri" w:hAnsi="Verdana" w:cs="Times New Roman"/>
          <w:i/>
          <w:iCs/>
          <w:sz w:val="20"/>
        </w:rPr>
        <w:t>?</w:t>
      </w:r>
      <w:r w:rsidR="000754B0" w:rsidRPr="0005204F">
        <w:rPr>
          <w:rFonts w:ascii="Verdana" w:eastAsia="Calibri" w:hAnsi="Verdana" w:cs="Times New Roman"/>
          <w:i/>
          <w:iCs/>
          <w:sz w:val="20"/>
          <w:lang w:val="es-ES"/>
        </w:rPr>
        <w:t xml:space="preserve">”. </w:t>
      </w:r>
    </w:p>
    <w:p w14:paraId="53734561" w14:textId="77777777" w:rsidR="000754B0" w:rsidRPr="00BE7E3E" w:rsidRDefault="000754B0" w:rsidP="000754B0">
      <w:pPr>
        <w:spacing w:after="120" w:line="276" w:lineRule="auto"/>
        <w:jc w:val="both"/>
        <w:rPr>
          <w:rFonts w:ascii="Verdana" w:eastAsia="Calibri" w:hAnsi="Verdana" w:cs="Times New Roman"/>
          <w:i/>
          <w:iCs/>
          <w:lang w:val="es-ES"/>
        </w:rPr>
      </w:pPr>
    </w:p>
    <w:p w14:paraId="0839731B" w14:textId="77777777" w:rsidR="000754B0" w:rsidRPr="00A12CB6" w:rsidRDefault="000754B0" w:rsidP="000754B0">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F01969F" w14:textId="77777777" w:rsidR="000754B0" w:rsidRPr="00A12CB6" w:rsidRDefault="000754B0" w:rsidP="000754B0">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AFC1400" w14:textId="77777777" w:rsidR="000754B0" w:rsidRPr="00A12CB6" w:rsidRDefault="000754B0" w:rsidP="000754B0">
      <w:pPr>
        <w:spacing w:after="0" w:line="256" w:lineRule="auto"/>
        <w:rPr>
          <w:rFonts w:ascii="Verdana" w:eastAsia="Calibri" w:hAnsi="Verdana" w:cs="Times New Roman"/>
          <w:lang w:val="es-ES"/>
        </w:rPr>
      </w:pPr>
    </w:p>
    <w:p w14:paraId="53980D5B" w14:textId="77777777" w:rsidR="000754B0" w:rsidRPr="00A12CB6" w:rsidRDefault="000754B0" w:rsidP="000754B0">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0B452F3C" w14:textId="77777777" w:rsidR="000754B0" w:rsidRPr="00A12CB6" w:rsidRDefault="000754B0" w:rsidP="000754B0">
      <w:pPr>
        <w:spacing w:after="0" w:line="256" w:lineRule="auto"/>
        <w:rPr>
          <w:rFonts w:ascii="Verdana" w:eastAsia="Calibri" w:hAnsi="Verdana" w:cs="Times New Roman"/>
        </w:rPr>
      </w:pPr>
    </w:p>
    <w:p w14:paraId="7831B5BC" w14:textId="67E89F77" w:rsidR="000754B0" w:rsidRPr="00845347" w:rsidRDefault="000754B0" w:rsidP="000754B0">
      <w:pPr>
        <w:spacing w:after="0" w:line="276" w:lineRule="auto"/>
        <w:jc w:val="both"/>
        <w:rPr>
          <w:rFonts w:ascii="Verdana" w:eastAsia="Calibri" w:hAnsi="Verdana" w:cs="Times New Roman"/>
          <w:i/>
          <w:iCs/>
        </w:rPr>
      </w:pPr>
      <w:r w:rsidRPr="00A12CB6">
        <w:rPr>
          <w:rFonts w:ascii="Verdana" w:eastAsia="Calibri" w:hAnsi="Verdana" w:cs="Times New Roman"/>
        </w:rPr>
        <w:t>De acuerdo con el contenido de su solicitud, esta Agencia procede a resolver</w:t>
      </w:r>
      <w:r w:rsidR="0096612C">
        <w:rPr>
          <w:rFonts w:ascii="Verdana" w:eastAsia="Calibri" w:hAnsi="Verdana" w:cs="Times New Roman"/>
        </w:rPr>
        <w:t xml:space="preserve"> el siguiente problema que condensa las inquietudes del solicitante</w:t>
      </w:r>
      <w:r w:rsidRPr="00A12CB6">
        <w:rPr>
          <w:rFonts w:ascii="Verdana" w:eastAsia="Calibri" w:hAnsi="Verdana" w:cs="Times New Roman"/>
        </w:rPr>
        <w:t xml:space="preserve">: </w:t>
      </w:r>
      <w:r w:rsidR="006227EA">
        <w:rPr>
          <w:rFonts w:ascii="Verdana" w:eastAsia="Calibri" w:hAnsi="Verdana" w:cs="Times New Roman"/>
        </w:rPr>
        <w:t>¿Existen restricciones</w:t>
      </w:r>
      <w:r w:rsidR="006227EA" w:rsidRPr="006227EA">
        <w:rPr>
          <w:rFonts w:ascii="Verdana" w:eastAsia="Calibri" w:hAnsi="Verdana" w:cs="Times New Roman"/>
        </w:rPr>
        <w:t>, prohibiciones o límites jurídicos para seleccionar la subcontratación que se suscriben para el cumplimiento de contratos interadministrativos, cuyo objeto es la operación logística?</w:t>
      </w:r>
      <w:r w:rsidR="00845347" w:rsidRPr="00845347">
        <w:rPr>
          <w:rFonts w:ascii="Verdana" w:eastAsia="Calibri" w:hAnsi="Verdana" w:cs="Times New Roman"/>
          <w:iCs/>
        </w:rPr>
        <w:t xml:space="preserve"> </w:t>
      </w:r>
    </w:p>
    <w:p w14:paraId="0981999A" w14:textId="5AD55205" w:rsidR="004B3607" w:rsidRDefault="004B3607" w:rsidP="000754B0">
      <w:pPr>
        <w:spacing w:after="0" w:line="256" w:lineRule="auto"/>
        <w:rPr>
          <w:rFonts w:ascii="Verdana" w:eastAsia="Calibri" w:hAnsi="Verdana" w:cs="Times New Roman"/>
        </w:rPr>
      </w:pPr>
    </w:p>
    <w:p w14:paraId="44B87ACF" w14:textId="674E5D1E" w:rsidR="004B3607" w:rsidRDefault="004B3607" w:rsidP="000754B0">
      <w:pPr>
        <w:spacing w:after="0" w:line="256" w:lineRule="auto"/>
        <w:rPr>
          <w:rFonts w:ascii="Verdana" w:eastAsia="Calibri" w:hAnsi="Verdana" w:cs="Times New Roman"/>
        </w:rPr>
      </w:pPr>
    </w:p>
    <w:p w14:paraId="445742DB" w14:textId="08101019" w:rsidR="004B3607" w:rsidRDefault="004B3607" w:rsidP="000754B0">
      <w:pPr>
        <w:spacing w:after="0" w:line="256" w:lineRule="auto"/>
        <w:rPr>
          <w:rFonts w:ascii="Verdana" w:eastAsia="Calibri" w:hAnsi="Verdana" w:cs="Times New Roman"/>
        </w:rPr>
      </w:pPr>
    </w:p>
    <w:p w14:paraId="6B463512" w14:textId="7AA16217" w:rsidR="004B3607" w:rsidRDefault="004B3607" w:rsidP="000754B0">
      <w:pPr>
        <w:spacing w:after="0" w:line="256" w:lineRule="auto"/>
        <w:rPr>
          <w:rFonts w:ascii="Verdana" w:eastAsia="Calibri" w:hAnsi="Verdana" w:cs="Times New Roman"/>
        </w:rPr>
      </w:pPr>
    </w:p>
    <w:p w14:paraId="1C3D0285" w14:textId="77777777" w:rsidR="004B3607" w:rsidRPr="00A12CB6" w:rsidRDefault="004B3607" w:rsidP="000754B0">
      <w:pPr>
        <w:spacing w:after="0" w:line="256" w:lineRule="auto"/>
        <w:rPr>
          <w:rFonts w:ascii="Verdana" w:eastAsia="Calibri" w:hAnsi="Verdana" w:cs="Times New Roman"/>
        </w:rPr>
      </w:pPr>
    </w:p>
    <w:p w14:paraId="2FAD170C" w14:textId="77777777" w:rsidR="000754B0" w:rsidRDefault="000754B0" w:rsidP="000754B0">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lastRenderedPageBreak/>
        <w:t>Respuesta:</w:t>
      </w:r>
    </w:p>
    <w:p w14:paraId="7CCA8042" w14:textId="0CE2EC66" w:rsidR="000754B0" w:rsidRPr="00A12CB6" w:rsidRDefault="000754B0" w:rsidP="000754B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B3595" w:rsidRPr="001205D1" w14:paraId="53C5924C" w14:textId="77777777" w:rsidTr="009567E2">
        <w:trPr>
          <w:trHeight w:val="870"/>
          <w:jc w:val="center"/>
        </w:trPr>
        <w:tc>
          <w:tcPr>
            <w:tcW w:w="8784" w:type="dxa"/>
            <w:tcBorders>
              <w:bottom w:val="single" w:sz="4" w:space="0" w:color="auto"/>
            </w:tcBorders>
          </w:tcPr>
          <w:p w14:paraId="6570E995" w14:textId="15238F29" w:rsidR="006227EA" w:rsidRPr="006227EA" w:rsidRDefault="006227EA" w:rsidP="006227EA">
            <w:pPr>
              <w:spacing w:after="120" w:line="276" w:lineRule="auto"/>
              <w:jc w:val="both"/>
              <w:rPr>
                <w:rFonts w:ascii="Verdana" w:eastAsia="Calibri" w:hAnsi="Verdana" w:cs="Arial"/>
                <w:color w:val="000000"/>
                <w:lang w:eastAsia="es-ES_tradnl"/>
              </w:rPr>
            </w:pPr>
            <w:r w:rsidRPr="006227EA">
              <w:rPr>
                <w:rFonts w:ascii="Verdana" w:eastAsia="Calibri" w:hAnsi="Verdana" w:cs="Arial"/>
                <w:bCs/>
                <w:color w:val="000000"/>
                <w:lang w:val="es-ES" w:eastAsia="es-ES_tradnl"/>
              </w:rPr>
              <w:t xml:space="preserve">De </w:t>
            </w:r>
            <w:r w:rsidRPr="006227EA">
              <w:rPr>
                <w:rFonts w:ascii="Verdana" w:eastAsia="Calibri" w:hAnsi="Verdana" w:cs="Arial"/>
                <w:bCs/>
                <w:color w:val="000000"/>
                <w:lang w:eastAsia="es-ES_tradnl"/>
              </w:rPr>
              <w:t>acuerdo al problema jurídico que es motivo de la consulta</w:t>
            </w:r>
            <w:r w:rsidRPr="006227EA">
              <w:rPr>
                <w:rFonts w:ascii="Verdana" w:eastAsia="Calibri" w:hAnsi="Verdana" w:cs="Arial"/>
                <w:color w:val="000000"/>
                <w:lang w:val="es-ES" w:eastAsia="es-ES_tradnl"/>
              </w:rPr>
              <w:t xml:space="preserve">, el </w:t>
            </w:r>
            <w:r w:rsidRPr="006227EA">
              <w:rPr>
                <w:rFonts w:ascii="Verdana" w:eastAsia="Calibri" w:hAnsi="Verdana" w:cs="Arial"/>
                <w:color w:val="000000"/>
                <w:lang w:val="es-ES_tradnl" w:eastAsia="es-ES_tradnl"/>
              </w:rPr>
              <w:t xml:space="preserve">artículo 32 de la Ley 80 de 1993 define los contratos estatales como “[…] todos los actos jurídicos generadores de obligaciones […] derivados del ejercicio de la autonomía de la voluntad […]”, por lo que las partes están facultadas para </w:t>
            </w:r>
            <w:r w:rsidRPr="006227EA">
              <w:rPr>
                <w:rFonts w:ascii="Verdana" w:eastAsia="Calibri" w:hAnsi="Verdana" w:cs="Arial"/>
                <w:color w:val="000000"/>
                <w:lang w:eastAsia="es-ES_tradnl"/>
              </w:rPr>
              <w:t xml:space="preserve">para suscribir </w:t>
            </w:r>
            <w:r w:rsidR="00C10C0F">
              <w:rPr>
                <w:rFonts w:ascii="Verdana" w:eastAsia="Calibri" w:hAnsi="Verdana" w:cs="Arial"/>
                <w:color w:val="000000"/>
                <w:lang w:eastAsia="es-ES_tradnl"/>
              </w:rPr>
              <w:t>contratos mixtos</w:t>
            </w:r>
            <w:r w:rsidRPr="006227EA">
              <w:rPr>
                <w:rFonts w:ascii="Verdana" w:eastAsia="Calibri" w:hAnsi="Verdana" w:cs="Arial"/>
                <w:color w:val="000000"/>
                <w:lang w:eastAsia="es-ES_tradnl"/>
              </w:rPr>
              <w:t xml:space="preserve">, entendidos estos como una forma de contratación atípica, que se caracterizan por acumular prestaciones de varios contratos nominados para satisfacer una necesidad común . Precisamente, los contratos de operación logística tienen esta naturaleza, porque – sin perjuicio de las demás obligaciones que pacten las partes – es frecuente que en la práctica tengan componentes de compraventa, suministro, arrendamiento de bienes muebles o inmuebles, transporte, entre otros, de donde se infiere la existencia de prestaciones de una o más tipologías contractuales. </w:t>
            </w:r>
          </w:p>
          <w:p w14:paraId="37BDD90A" w14:textId="77777777" w:rsidR="006227EA" w:rsidRPr="006227EA" w:rsidRDefault="006227EA" w:rsidP="006227EA">
            <w:pPr>
              <w:spacing w:after="120" w:line="276" w:lineRule="auto"/>
              <w:ind w:firstLine="708"/>
              <w:jc w:val="both"/>
              <w:rPr>
                <w:rFonts w:ascii="Verdana" w:eastAsia="Calibri" w:hAnsi="Verdana" w:cs="Arial"/>
                <w:color w:val="000000"/>
                <w:lang w:eastAsia="es-ES_tradnl"/>
              </w:rPr>
            </w:pPr>
            <w:r w:rsidRPr="006227EA">
              <w:rPr>
                <w:rFonts w:ascii="Verdana" w:eastAsia="Calibri" w:hAnsi="Verdana" w:cs="Arial"/>
                <w:color w:val="000000"/>
                <w:lang w:eastAsia="es-ES_tradnl"/>
              </w:rPr>
              <w:t>De acuerdo al problema jurídico que es motivo de la consulta, relacionada con la posibilidad de subcontratar, en el marco de un contrato interadministrativo de operación logística, debe señalarse que, s i bien lo ideal es que el contratista – entidad estatal ejecute directamente las actividades en el marco del contrato principal – contrato interadministrativo no resulta poco frecuente que esta actividad se haga a través de terceros subcontratados. Así, la subcontratación implica la celebración de un contrato derivado de otro principal cuyo propósito es ejecutar parcialmente este último.</w:t>
            </w:r>
          </w:p>
          <w:p w14:paraId="093C1B4B" w14:textId="77777777" w:rsidR="006227EA" w:rsidRPr="006227EA" w:rsidRDefault="006227EA" w:rsidP="006227EA">
            <w:pPr>
              <w:spacing w:after="120" w:line="276" w:lineRule="auto"/>
              <w:ind w:firstLine="708"/>
              <w:jc w:val="both"/>
              <w:rPr>
                <w:rFonts w:ascii="Verdana" w:eastAsia="Calibri" w:hAnsi="Verdana" w:cs="Arial"/>
                <w:color w:val="000000"/>
                <w:lang w:eastAsia="es-ES_tradnl"/>
              </w:rPr>
            </w:pPr>
            <w:r w:rsidRPr="006227EA">
              <w:rPr>
                <w:rFonts w:ascii="Verdana" w:eastAsia="Calibri" w:hAnsi="Verdana" w:cs="Arial"/>
                <w:color w:val="000000"/>
                <w:lang w:eastAsia="es-ES_tradnl"/>
              </w:rPr>
              <w:t xml:space="preserve"> Debido a la escasa regulación de la materia, la subcontratación en el sistema de compras públicas estará supeditada a lo dispuesto en el pliego de condiciones en modalidades de selección – licitación pública, selección abreviada, concurso de méritos, mínima cuantía y en el contrato principal – en todas las modalidades de selección. Por ejemplo, tratándose de contratación directa como sucede en contratos interadministrativos dependerá del contenido de los documentos del proceso y en el contrato principal. Lo anterior, sin perjuicio de las limitaciones establecidas por la ley. </w:t>
            </w:r>
          </w:p>
          <w:p w14:paraId="3148DFFC" w14:textId="77349EB7" w:rsidR="004B3607" w:rsidRPr="004B3607" w:rsidRDefault="006227EA" w:rsidP="004B3607">
            <w:pPr>
              <w:spacing w:after="120" w:line="276" w:lineRule="auto"/>
              <w:ind w:firstLine="708"/>
              <w:jc w:val="both"/>
              <w:rPr>
                <w:rFonts w:ascii="Verdana" w:eastAsia="Calibri" w:hAnsi="Verdana" w:cs="Arial"/>
                <w:color w:val="000000"/>
                <w:lang w:eastAsia="es-ES_tradnl"/>
              </w:rPr>
            </w:pPr>
            <w:r w:rsidRPr="006227EA">
              <w:rPr>
                <w:rFonts w:ascii="Verdana" w:eastAsia="Calibri" w:hAnsi="Verdana" w:cs="Arial"/>
                <w:color w:val="000000"/>
                <w:lang w:eastAsia="es-ES_tradnl"/>
              </w:rPr>
              <w:t xml:space="preserve">Ahora bien, la subcontratación en contratos interadministrativos no está proscrita en la contratación pública , pero sí encuentra limites en su aplicación en el principio de la autonomía de la voluntad, representada en lo pactado en los documentos del proceso de contratación, el contrato principal, y en algunas normas específicas de carácter legal, como es el caso de lo dispuesto en el literal c) del numeral 4° del artículo 2 de la Ley 1150 de 2007, en torno a la celebración de subcontratos en el marco de contratos </w:t>
            </w:r>
            <w:r w:rsidRPr="006227EA">
              <w:rPr>
                <w:rFonts w:ascii="Verdana" w:eastAsia="Calibri" w:hAnsi="Verdana" w:cs="Arial"/>
                <w:color w:val="000000"/>
                <w:lang w:eastAsia="es-ES_tradnl"/>
              </w:rPr>
              <w:lastRenderedPageBreak/>
              <w:t>interadministrativos. En ese contexto, rige el principio de autonomía de la voluntad para la selección del subcontratista. Así las cosas, en el caso que nos atañe en el contrato se fija alguna estipulación, la cual deberá respetarse y, en consecuencia, el contratista del Estado escogerá a su subcontratista, de acuerdo con dichas estipulaciones y a la normatividad que le aplique. Contrario sensu, si no se fijó ninguna restricción al respecto, el contratista de la entidad estatal tendrá libertad para escoger a quien ejecutará el subcontrato, teniendo en cuenta la normatividad que le aplique. En todo caso, se recomienda que se establezca la autorización de la entidad estatal contratante en el contrato en el caso que nos atañe – aunque no obligatoria de acuerdo con la ley – para que las actividades contratadas puedan ejecutarse de forma parcial por un tercero, sin que el contratista – entidad estatal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principal</w:t>
            </w:r>
            <w:r>
              <w:rPr>
                <w:rFonts w:ascii="Verdana" w:eastAsia="Calibri" w:hAnsi="Verdana" w:cs="Arial"/>
                <w:color w:val="000000"/>
                <w:lang w:eastAsia="es-ES_tradnl"/>
              </w:rPr>
              <w:t>.</w:t>
            </w:r>
          </w:p>
        </w:tc>
      </w:tr>
    </w:tbl>
    <w:p w14:paraId="42E4FF8A" w14:textId="77777777" w:rsidR="000754B0" w:rsidRPr="00A12CB6" w:rsidRDefault="000754B0" w:rsidP="003469FD">
      <w:pPr>
        <w:spacing w:after="0" w:line="276" w:lineRule="auto"/>
        <w:jc w:val="both"/>
        <w:rPr>
          <w:rFonts w:ascii="Verdana" w:eastAsia="Calibri" w:hAnsi="Verdana" w:cs="Arial"/>
          <w:bCs/>
          <w:color w:val="000000" w:themeColor="text1"/>
        </w:rPr>
      </w:pPr>
    </w:p>
    <w:p w14:paraId="662C3084" w14:textId="77777777" w:rsidR="000754B0" w:rsidRPr="00A12CB6" w:rsidRDefault="000754B0" w:rsidP="000754B0">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Razones de la respuesta:</w:t>
      </w:r>
    </w:p>
    <w:p w14:paraId="484E1A8F" w14:textId="77777777" w:rsidR="000754B0" w:rsidRPr="00A12CB6" w:rsidRDefault="000754B0" w:rsidP="000754B0">
      <w:pPr>
        <w:spacing w:after="0" w:line="256" w:lineRule="auto"/>
        <w:rPr>
          <w:rFonts w:ascii="Verdana" w:eastAsia="Calibri" w:hAnsi="Verdana" w:cs="Times New Roman"/>
          <w:b/>
          <w:bCs/>
          <w:lang w:val="es-ES"/>
        </w:rPr>
      </w:pPr>
    </w:p>
    <w:p w14:paraId="775DBB49" w14:textId="77777777" w:rsidR="000754B0" w:rsidRPr="00A12CB6" w:rsidRDefault="000754B0" w:rsidP="000754B0">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1CDD8AEA" w14:textId="00FB8A79" w:rsidR="00BA3816" w:rsidRDefault="00BA3816" w:rsidP="00BA3816">
      <w:pPr>
        <w:spacing w:after="0" w:line="276" w:lineRule="auto"/>
        <w:jc w:val="both"/>
        <w:rPr>
          <w:rFonts w:ascii="Verdana" w:eastAsia="Times New Roman" w:hAnsi="Verdana" w:cs="Arial"/>
          <w:color w:val="000000" w:themeColor="text1"/>
          <w:lang w:eastAsia="es-CO"/>
        </w:rPr>
      </w:pPr>
    </w:p>
    <w:p w14:paraId="09158309" w14:textId="47C5E069" w:rsidR="001264F4" w:rsidRPr="00CB68C5" w:rsidRDefault="001264F4" w:rsidP="001264F4">
      <w:pPr>
        <w:spacing w:after="120" w:line="276" w:lineRule="auto"/>
        <w:jc w:val="both"/>
        <w:rPr>
          <w:rFonts w:ascii="Verdana" w:hAnsi="Verdana" w:cs="Arial"/>
        </w:rPr>
      </w:pPr>
      <w:r>
        <w:rPr>
          <w:rFonts w:ascii="Verdana" w:eastAsia="Calibri" w:hAnsi="Verdana" w:cs="Arial"/>
          <w:lang w:val="es-ES"/>
        </w:rPr>
        <w:t xml:space="preserve">i. </w:t>
      </w:r>
      <w:r w:rsidRPr="00CB68C5">
        <w:rPr>
          <w:rFonts w:ascii="Verdana" w:eastAsia="Calibri" w:hAnsi="Verdana" w:cs="Arial"/>
          <w:lang w:val="es-ES"/>
        </w:rPr>
        <w:t>El Estatuto General de Contratación de la Administración Pública</w:t>
      </w:r>
      <w:r w:rsidR="007F1BF7">
        <w:rPr>
          <w:rFonts w:ascii="Verdana" w:eastAsia="Calibri" w:hAnsi="Verdana" w:cs="Arial"/>
          <w:lang w:val="es-ES"/>
        </w:rPr>
        <w:t xml:space="preserve"> –EGCAP-</w:t>
      </w:r>
      <w:r w:rsidRPr="00CB68C5">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sidR="007F1BF7">
        <w:rPr>
          <w:rFonts w:ascii="Verdana" w:hAnsi="Verdana" w:cs="Arial"/>
        </w:rPr>
        <w:t xml:space="preserve">ero del artículo 13 dispone: </w:t>
      </w:r>
      <w:r w:rsidRPr="00CB68C5">
        <w:rPr>
          <w:rFonts w:ascii="Verdana" w:hAnsi="Verdana" w:cs="Arial"/>
        </w:rPr>
        <w:t xml:space="preserve">“Los contratos que celebren las entidades a que se refiere el artículo 2o. del presente estatuto se regirán por las disposiciones comerciales y civiles pertinentes, salvo en las materias particularmente reguladas en esta ley”. </w:t>
      </w:r>
    </w:p>
    <w:p w14:paraId="1950A58C" w14:textId="4BDCCF37" w:rsidR="001264F4" w:rsidRPr="00CB68C5" w:rsidRDefault="001264F4" w:rsidP="001264F4">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sidR="009852C1">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w:t>
      </w:r>
      <w:r w:rsidR="00C10C0F" w:rsidRPr="00CB68C5">
        <w:rPr>
          <w:rFonts w:ascii="Verdana" w:hAnsi="Verdana" w:cs="Arial"/>
        </w:rPr>
        <w:t>que,</w:t>
      </w:r>
      <w:r w:rsidRPr="00CB68C5">
        <w:rPr>
          <w:rFonts w:ascii="Verdana" w:hAnsi="Verdana" w:cs="Arial"/>
        </w:rPr>
        <w:t xml:space="preserve"> de acuerdo con las normas civiles, comerciales y las previstas en esta ley, correspondan a su esencia y naturaleza” –art. 40, inciso primero–.</w:t>
      </w:r>
    </w:p>
    <w:p w14:paraId="45EBA4F4" w14:textId="2994D29F" w:rsidR="001264F4" w:rsidRPr="00CB68C5" w:rsidRDefault="001264F4" w:rsidP="001264F4">
      <w:pPr>
        <w:spacing w:after="0" w:line="276" w:lineRule="auto"/>
        <w:ind w:firstLine="708"/>
        <w:jc w:val="both"/>
        <w:rPr>
          <w:rFonts w:ascii="Verdana" w:hAnsi="Verdana" w:cs="Arial"/>
        </w:rPr>
      </w:pPr>
      <w:r w:rsidRPr="00CB68C5">
        <w:rPr>
          <w:rFonts w:ascii="Verdana" w:hAnsi="Verdana" w:cs="Arial"/>
        </w:rPr>
        <w:lastRenderedPageBreak/>
        <w:t>De esta manera, los contratos de las entidades sometidas al Estatuto General de Contratación se rigen generalmente por el derecho privado y excepcionalmente</w:t>
      </w:r>
      <w:r w:rsidR="0001665C">
        <w:rPr>
          <w:rFonts w:ascii="Verdana" w:hAnsi="Verdana" w:cs="Arial"/>
        </w:rPr>
        <w:t>,</w:t>
      </w:r>
      <w:r w:rsidRPr="00CB68C5">
        <w:rPr>
          <w:rFonts w:ascii="Verdana" w:hAnsi="Verdana" w:cs="Arial"/>
        </w:rPr>
        <w:t xml:space="preserve"> por el derecho público, pues las normas civiles y comerciales son el derecho común de los contratos estatales</w:t>
      </w:r>
      <w:r w:rsidRPr="00CB68C5">
        <w:rPr>
          <w:rStyle w:val="Refdenotaalpie"/>
          <w:rFonts w:ascii="Verdana" w:hAnsi="Verdana" w:cs="Arial"/>
        </w:rPr>
        <w:footnoteReference w:id="2"/>
      </w:r>
      <w:r w:rsidRPr="00CB68C5">
        <w:rPr>
          <w:rFonts w:ascii="Verdana" w:hAnsi="Verdana" w:cs="Arial"/>
        </w:rPr>
        <w:t>. Para la doctrina, la mixtura del régimen contractual:</w:t>
      </w:r>
    </w:p>
    <w:p w14:paraId="7C240E36" w14:textId="77777777" w:rsidR="001264F4" w:rsidRPr="00CB68C5" w:rsidRDefault="001264F4" w:rsidP="001264F4">
      <w:pPr>
        <w:spacing w:after="0" w:line="276" w:lineRule="auto"/>
        <w:ind w:firstLine="709"/>
        <w:jc w:val="both"/>
        <w:rPr>
          <w:rFonts w:ascii="Verdana" w:hAnsi="Verdana" w:cs="Arial"/>
        </w:rPr>
      </w:pPr>
    </w:p>
    <w:p w14:paraId="0E422B33" w14:textId="77777777" w:rsidR="001264F4" w:rsidRPr="00CB68C5" w:rsidRDefault="001264F4" w:rsidP="001264F4">
      <w:pPr>
        <w:spacing w:after="0" w:line="240" w:lineRule="auto"/>
        <w:ind w:left="709" w:right="709"/>
        <w:jc w:val="both"/>
        <w:rPr>
          <w:rFonts w:ascii="Verdana" w:hAnsi="Verdana" w:cs="Arial"/>
          <w:sz w:val="21"/>
          <w:szCs w:val="21"/>
        </w:rPr>
      </w:pPr>
      <w:r w:rsidRPr="00CB68C5">
        <w:rPr>
          <w:rFonts w:ascii="Verdana" w:hAnsi="Verdana" w:cs="Arial"/>
          <w:sz w:val="21"/>
          <w:szCs w:val="21"/>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B80077D" w14:textId="77777777" w:rsidR="001264F4" w:rsidRPr="00CB68C5" w:rsidRDefault="001264F4" w:rsidP="001264F4">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19AC1696" w14:textId="77777777" w:rsidR="001264F4" w:rsidRPr="00CB68C5" w:rsidRDefault="001264F4" w:rsidP="001264F4">
      <w:pPr>
        <w:spacing w:after="0" w:line="240" w:lineRule="auto"/>
        <w:ind w:left="709" w:right="709"/>
        <w:jc w:val="both"/>
        <w:rPr>
          <w:rFonts w:ascii="Verdana" w:hAnsi="Verdana" w:cs="Arial"/>
          <w:sz w:val="21"/>
          <w:szCs w:val="21"/>
        </w:rPr>
      </w:pPr>
      <w:r w:rsidRPr="00CB68C5">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CB68C5">
        <w:rPr>
          <w:rStyle w:val="Refdenotaalpie"/>
          <w:rFonts w:ascii="Verdana" w:hAnsi="Verdana" w:cs="Arial"/>
          <w:sz w:val="21"/>
          <w:szCs w:val="21"/>
        </w:rPr>
        <w:footnoteReference w:id="3"/>
      </w:r>
      <w:r w:rsidRPr="00CB68C5">
        <w:rPr>
          <w:rFonts w:ascii="Verdana" w:hAnsi="Verdana" w:cs="Arial"/>
          <w:sz w:val="21"/>
          <w:szCs w:val="21"/>
        </w:rPr>
        <w:t xml:space="preserve">. </w:t>
      </w:r>
    </w:p>
    <w:p w14:paraId="79EB399A" w14:textId="77777777" w:rsidR="001264F4" w:rsidRPr="00CB68C5" w:rsidRDefault="001264F4" w:rsidP="001264F4">
      <w:pPr>
        <w:spacing w:after="0" w:line="276" w:lineRule="auto"/>
        <w:ind w:left="709" w:right="709"/>
        <w:jc w:val="both"/>
        <w:rPr>
          <w:rFonts w:ascii="Verdana" w:hAnsi="Verdana" w:cs="Arial"/>
        </w:rPr>
      </w:pPr>
      <w:r w:rsidRPr="00CB68C5">
        <w:rPr>
          <w:rFonts w:ascii="Verdana" w:hAnsi="Verdana" w:cs="Arial"/>
        </w:rPr>
        <w:t xml:space="preserve"> </w:t>
      </w:r>
    </w:p>
    <w:p w14:paraId="500DC33A" w14:textId="77777777" w:rsidR="001264F4" w:rsidRDefault="001264F4" w:rsidP="001264F4">
      <w:pPr>
        <w:spacing w:after="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3B0772B2" w14:textId="77777777" w:rsidR="001264F4" w:rsidRDefault="001264F4" w:rsidP="001264F4">
      <w:pPr>
        <w:spacing w:after="0" w:line="276" w:lineRule="auto"/>
        <w:jc w:val="both"/>
        <w:rPr>
          <w:rFonts w:ascii="Verdana" w:hAnsi="Verdana" w:cs="Arial"/>
        </w:rPr>
      </w:pPr>
    </w:p>
    <w:p w14:paraId="27C7DC59" w14:textId="600166B0" w:rsidR="001264F4" w:rsidRDefault="001264F4" w:rsidP="001264F4">
      <w:pPr>
        <w:spacing w:after="0" w:line="276" w:lineRule="auto"/>
        <w:jc w:val="both"/>
        <w:rPr>
          <w:rFonts w:ascii="Verdana" w:hAnsi="Verdana" w:cs="Arial"/>
        </w:rPr>
      </w:pPr>
      <w:r>
        <w:rPr>
          <w:rFonts w:ascii="Verdana" w:hAnsi="Verdana" w:cs="Arial"/>
        </w:rPr>
        <w:t xml:space="preserve">ii. </w:t>
      </w: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no obsta para la existencia de </w:t>
      </w:r>
      <w:r w:rsidRPr="009D4B09">
        <w:rPr>
          <w:rFonts w:ascii="Verdana" w:hAnsi="Verdana" w:cs="Arial"/>
          <w:i/>
          <w:iCs/>
        </w:rPr>
        <w:t>contratos atípicos</w:t>
      </w:r>
      <w:r>
        <w:rPr>
          <w:rFonts w:ascii="Verdana" w:hAnsi="Verdana" w:cs="Arial"/>
        </w:rPr>
        <w:t>, pues –a</w:t>
      </w:r>
      <w:r w:rsidR="004125AB">
        <w:rPr>
          <w:rFonts w:ascii="Verdana" w:hAnsi="Verdana" w:cs="Arial"/>
        </w:rPr>
        <w:t xml:space="preserve">unque no corresponden a un </w:t>
      </w:r>
      <w:r w:rsidR="004125AB">
        <w:rPr>
          <w:rFonts w:ascii="Verdana" w:hAnsi="Verdana" w:cs="Arial"/>
        </w:rPr>
        <w:lastRenderedPageBreak/>
        <w:t>marco</w:t>
      </w:r>
      <w:r>
        <w:rPr>
          <w:rFonts w:ascii="Verdana" w:hAnsi="Verdana" w:cs="Arial"/>
        </w:rPr>
        <w:t xml:space="preserve"> legal predefinido– en ellos obra con mayor alcance la libertad contractual. Como explica la doctrina:</w:t>
      </w:r>
    </w:p>
    <w:p w14:paraId="395D1953" w14:textId="77777777" w:rsidR="001264F4" w:rsidRDefault="001264F4" w:rsidP="001264F4">
      <w:pPr>
        <w:spacing w:after="0" w:line="276" w:lineRule="auto"/>
        <w:jc w:val="both"/>
        <w:rPr>
          <w:rFonts w:ascii="Verdana" w:hAnsi="Verdana" w:cs="Arial"/>
        </w:rPr>
      </w:pPr>
    </w:p>
    <w:p w14:paraId="43A15A92" w14:textId="77777777" w:rsidR="001264F4" w:rsidRPr="005F70F5" w:rsidRDefault="001264F4" w:rsidP="001264F4">
      <w:pPr>
        <w:spacing w:after="0" w:line="240" w:lineRule="auto"/>
        <w:ind w:left="709" w:right="709"/>
        <w:jc w:val="both"/>
        <w:rPr>
          <w:rFonts w:ascii="Verdana" w:hAnsi="Verdana" w:cs="Arial"/>
          <w:sz w:val="21"/>
          <w:szCs w:val="21"/>
        </w:rPr>
      </w:pPr>
      <w:r w:rsidRPr="005F70F5">
        <w:rPr>
          <w:rFonts w:ascii="Verdana" w:hAnsi="Verdana" w:cs="Arial"/>
          <w:sz w:val="21"/>
          <w:szCs w:val="21"/>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Pr>
          <w:rStyle w:val="Refdenotaalpie"/>
          <w:rFonts w:ascii="Verdana" w:hAnsi="Verdana" w:cs="Arial"/>
          <w:sz w:val="21"/>
          <w:szCs w:val="21"/>
        </w:rPr>
        <w:footnoteReference w:id="4"/>
      </w:r>
      <w:r w:rsidRPr="005F70F5">
        <w:rPr>
          <w:rFonts w:ascii="Verdana" w:hAnsi="Verdana" w:cs="Arial"/>
          <w:sz w:val="21"/>
          <w:szCs w:val="21"/>
        </w:rPr>
        <w:t>.</w:t>
      </w:r>
    </w:p>
    <w:p w14:paraId="201C6F94" w14:textId="77777777" w:rsidR="001264F4" w:rsidRDefault="001264F4" w:rsidP="001264F4">
      <w:pPr>
        <w:spacing w:after="0" w:line="276" w:lineRule="auto"/>
        <w:jc w:val="both"/>
        <w:rPr>
          <w:rFonts w:ascii="Verdana" w:hAnsi="Verdana" w:cs="Arial"/>
        </w:rPr>
      </w:pPr>
    </w:p>
    <w:p w14:paraId="7DF140C0" w14:textId="77777777" w:rsidR="001264F4" w:rsidRPr="00D239E3" w:rsidRDefault="001264F4" w:rsidP="001264F4">
      <w:pPr>
        <w:spacing w:line="276" w:lineRule="auto"/>
        <w:ind w:firstLine="567"/>
        <w:jc w:val="both"/>
        <w:rPr>
          <w:rFonts w:ascii="Verdana" w:eastAsia="Calibri" w:hAnsi="Verdana"/>
          <w:color w:val="000000" w:themeColor="text1"/>
          <w:lang w:val="es-ES_tradnl"/>
        </w:rPr>
      </w:pPr>
      <w:r w:rsidRPr="005F70F5">
        <w:rPr>
          <w:rFonts w:ascii="Verdana" w:eastAsia="Calibri" w:hAnsi="Verdana"/>
          <w:color w:val="000000" w:themeColor="text1"/>
          <w:lang w:val="es-ES_tradnl"/>
        </w:rPr>
        <w:t xml:space="preserve">El inciso primero del </w:t>
      </w:r>
      <w:r>
        <w:rPr>
          <w:rFonts w:ascii="Verdana" w:eastAsia="Calibri" w:hAnsi="Verdana"/>
          <w:color w:val="000000" w:themeColor="text1"/>
          <w:lang w:val="es-ES_tradnl"/>
        </w:rPr>
        <w:t xml:space="preserve">precitado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w:t>
      </w:r>
      <w:bookmarkStart w:id="2" w:name="_Hlk81430928"/>
      <w:r w:rsidRPr="005F70F5">
        <w:rPr>
          <w:rFonts w:ascii="Verdana" w:eastAsia="Calibri" w:hAnsi="Verdana"/>
          <w:color w:val="000000" w:themeColor="text1"/>
          <w:lang w:val="es-ES_tradnl"/>
        </w:rPr>
        <w:t xml:space="preserve">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xml:space="preserve">. Como una forma de contratación atípica, estos se caracterizan por acumular prestaciones de varios contratos nominados para satisfacer una necesidad común, es decir,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Su finalidad económica es única y condensa el propósito perseguido por los contratantes. Las diversas </w:t>
      </w:r>
      <w:r w:rsidRPr="00D239E3">
        <w:rPr>
          <w:rFonts w:ascii="Verdana" w:eastAsia="Calibri" w:hAnsi="Verdana"/>
          <w:color w:val="000000" w:themeColor="text1"/>
          <w:lang w:val="es-ES_tradnl"/>
        </w:rPr>
        <w:t>prestaciones, aunque corresponden a diversos contratos típicos, se subordinan a esa finalidad e intención de las partes</w:t>
      </w:r>
      <w:bookmarkEnd w:id="2"/>
      <w:r w:rsidRPr="00D239E3">
        <w:rPr>
          <w:rFonts w:ascii="Verdana" w:eastAsia="Calibri" w:hAnsi="Verdana"/>
          <w:color w:val="000000" w:themeColor="text1"/>
          <w:lang w:val="es-ES_tradnl"/>
        </w:rPr>
        <w:t>”</w:t>
      </w:r>
      <w:r w:rsidRPr="00D239E3">
        <w:rPr>
          <w:rStyle w:val="Refdenotaalpie"/>
          <w:rFonts w:ascii="Verdana" w:eastAsia="Calibri" w:hAnsi="Verdana"/>
          <w:color w:val="000000" w:themeColor="text1"/>
          <w:lang w:val="es-ES_tradnl"/>
        </w:rPr>
        <w:footnoteReference w:id="5"/>
      </w:r>
      <w:r w:rsidRPr="00D239E3">
        <w:rPr>
          <w:rFonts w:ascii="Verdana" w:eastAsia="Calibri" w:hAnsi="Verdana"/>
          <w:color w:val="000000" w:themeColor="text1"/>
          <w:lang w:val="es-ES_tradnl"/>
        </w:rPr>
        <w:t xml:space="preserve">. </w:t>
      </w:r>
    </w:p>
    <w:p w14:paraId="2B4E0A99" w14:textId="77777777" w:rsidR="001264F4" w:rsidRDefault="001264F4" w:rsidP="001264F4">
      <w:pPr>
        <w:spacing w:before="120" w:line="276" w:lineRule="auto"/>
        <w:ind w:firstLine="708"/>
        <w:jc w:val="both"/>
        <w:rPr>
          <w:rFonts w:ascii="Verdana" w:eastAsia="Calibri" w:hAnsi="Verdana"/>
          <w:color w:val="000000" w:themeColor="text1"/>
          <w:lang w:val="es-ES_tradnl"/>
        </w:rPr>
      </w:pPr>
      <w:r w:rsidRPr="00D239E3">
        <w:rPr>
          <w:rFonts w:ascii="Verdana" w:eastAsia="Calibri" w:hAnsi="Verdana"/>
          <w:color w:val="000000" w:themeColor="text1"/>
        </w:rPr>
        <w:t xml:space="preserve">En este contexto, es importante diferenciar los </w:t>
      </w:r>
      <w:r>
        <w:rPr>
          <w:rFonts w:ascii="Verdana" w:eastAsia="Calibri" w:hAnsi="Verdana"/>
          <w:color w:val="000000" w:themeColor="text1"/>
          <w:sz w:val="20"/>
          <w:szCs w:val="20"/>
        </w:rPr>
        <w:t>“</w:t>
      </w:r>
      <w:r w:rsidRPr="00D239E3">
        <w:rPr>
          <w:rFonts w:ascii="Verdana" w:eastAsia="Calibri" w:hAnsi="Verdana"/>
          <w:color w:val="000000" w:themeColor="text1"/>
        </w:rPr>
        <w:t>contratos mixtos</w:t>
      </w:r>
      <w:r>
        <w:rPr>
          <w:rFonts w:ascii="Verdana" w:eastAsia="Calibri" w:hAnsi="Verdana"/>
          <w:color w:val="000000" w:themeColor="text1"/>
        </w:rPr>
        <w:t>”</w:t>
      </w:r>
      <w:r w:rsidRPr="00D239E3">
        <w:rPr>
          <w:rFonts w:ascii="Verdana" w:eastAsia="Calibri" w:hAnsi="Verdana"/>
          <w:color w:val="000000" w:themeColor="text1"/>
        </w:rPr>
        <w:t xml:space="preserve"> de las </w:t>
      </w:r>
      <w:r>
        <w:rPr>
          <w:rFonts w:ascii="Verdana" w:eastAsia="Calibri" w:hAnsi="Verdana"/>
          <w:color w:val="000000" w:themeColor="text1"/>
        </w:rPr>
        <w:t>“</w:t>
      </w:r>
      <w:r w:rsidRPr="00D239E3">
        <w:rPr>
          <w:rFonts w:ascii="Verdana" w:eastAsia="Calibri" w:hAnsi="Verdana"/>
          <w:color w:val="000000" w:themeColor="text1"/>
        </w:rPr>
        <w:t>uniones de contratos</w:t>
      </w:r>
      <w:r>
        <w:rPr>
          <w:rFonts w:ascii="Verdana" w:eastAsia="Calibri" w:hAnsi="Verdana"/>
          <w:color w:val="000000" w:themeColor="text1"/>
        </w:rPr>
        <w:t>”</w:t>
      </w:r>
      <w:r w:rsidRPr="00D239E3">
        <w:rPr>
          <w:rFonts w:ascii="Verdana" w:eastAsia="Calibri" w:hAnsi="Verdana"/>
          <w:color w:val="000000" w:themeColor="text1"/>
        </w:rPr>
        <w:t xml:space="preserve">. En el </w:t>
      </w:r>
      <w:r w:rsidRPr="00D239E3">
        <w:rPr>
          <w:rFonts w:ascii="Verdana" w:eastAsia="Calibri" w:hAnsi="Verdana"/>
          <w:i/>
          <w:iCs/>
          <w:color w:val="000000" w:themeColor="text1"/>
        </w:rPr>
        <w:t>contrato mixto</w:t>
      </w:r>
      <w:r w:rsidRPr="00D239E3">
        <w:rPr>
          <w:rFonts w:ascii="Verdana" w:eastAsia="Calibri" w:hAnsi="Verdana"/>
          <w:color w:val="000000" w:themeColor="text1"/>
        </w:rPr>
        <w:t xml:space="preserve"> existe un solo acuerdo con elementos de diversos tipos de contrato, mientras que en las </w:t>
      </w:r>
      <w:r w:rsidRPr="00D239E3">
        <w:rPr>
          <w:rFonts w:ascii="Verdana" w:eastAsia="Calibri" w:hAnsi="Verdana"/>
          <w:i/>
          <w:iCs/>
          <w:color w:val="000000" w:themeColor="text1"/>
        </w:rPr>
        <w:t>uniones de contrato</w:t>
      </w:r>
      <w:r w:rsidRPr="00D239E3">
        <w:rPr>
          <w:rFonts w:ascii="Verdana" w:eastAsia="Calibri" w:hAnsi="Verdana"/>
          <w:color w:val="000000" w:themeColor="text1"/>
        </w:rPr>
        <w:t xml:space="preserve"> cada uno de ellos mantiene su régimen y autonomía. Para esta distinción corresponde identificar la causa del contrato, es decir, el móvil para celebrarlo: </w:t>
      </w:r>
      <w:r w:rsidRPr="00D239E3">
        <w:rPr>
          <w:rFonts w:ascii="Verdana" w:eastAsia="Calibri" w:hAnsi="Verdana"/>
          <w:color w:val="000000" w:themeColor="text1"/>
        </w:rPr>
        <w:lastRenderedPageBreak/>
        <w:t xml:space="preserve">si existe unidad causal corresponde a un </w:t>
      </w:r>
      <w:r>
        <w:rPr>
          <w:rFonts w:ascii="Verdana" w:eastAsia="Calibri" w:hAnsi="Verdana"/>
          <w:color w:val="000000" w:themeColor="text1"/>
          <w:sz w:val="20"/>
          <w:szCs w:val="20"/>
        </w:rPr>
        <w:t>“</w:t>
      </w:r>
      <w:r w:rsidRPr="00D239E3">
        <w:rPr>
          <w:rFonts w:ascii="Verdana" w:eastAsia="Calibri" w:hAnsi="Verdana"/>
          <w:color w:val="000000" w:themeColor="text1"/>
        </w:rPr>
        <w:t>contrato mixto</w:t>
      </w:r>
      <w:r>
        <w:rPr>
          <w:rFonts w:ascii="Verdana" w:eastAsia="Calibri" w:hAnsi="Verdana"/>
          <w:color w:val="000000" w:themeColor="text1"/>
        </w:rPr>
        <w:t>”</w:t>
      </w:r>
      <w:r w:rsidRPr="00D239E3">
        <w:rPr>
          <w:rFonts w:ascii="Verdana" w:eastAsia="Calibri" w:hAnsi="Verdana"/>
          <w:color w:val="000000" w:themeColor="text1"/>
        </w:rPr>
        <w:t xml:space="preserve">; de lo contrario, es una </w:t>
      </w:r>
      <w:r>
        <w:rPr>
          <w:rFonts w:ascii="Verdana" w:eastAsia="Calibri" w:hAnsi="Verdana"/>
          <w:color w:val="000000" w:themeColor="text1"/>
        </w:rPr>
        <w:t>“</w:t>
      </w:r>
      <w:r w:rsidRPr="00D239E3">
        <w:rPr>
          <w:rFonts w:ascii="Verdana" w:eastAsia="Calibri" w:hAnsi="Verdana"/>
          <w:color w:val="000000" w:themeColor="text1"/>
        </w:rPr>
        <w:t>unión de contratos</w:t>
      </w:r>
      <w:r>
        <w:rPr>
          <w:rFonts w:ascii="Verdana" w:eastAsia="Calibri" w:hAnsi="Verdana"/>
          <w:color w:val="000000" w:themeColor="text1"/>
        </w:rPr>
        <w:t>”</w:t>
      </w:r>
      <w:r w:rsidRPr="00D239E3">
        <w:rPr>
          <w:rStyle w:val="Refdenotaalpie"/>
          <w:rFonts w:ascii="Verdana" w:eastAsia="Calibri" w:hAnsi="Verdana"/>
          <w:color w:val="000000" w:themeColor="text1"/>
        </w:rPr>
        <w:footnoteReference w:id="6"/>
      </w:r>
      <w:r w:rsidRPr="00D239E3">
        <w:rPr>
          <w:rFonts w:ascii="Verdana" w:eastAsia="Calibri" w:hAnsi="Verdana"/>
          <w:color w:val="000000" w:themeColor="text1"/>
        </w:rPr>
        <w:t>.</w:t>
      </w:r>
      <w:r w:rsidRPr="00D239E3">
        <w:rPr>
          <w:rFonts w:ascii="Verdana" w:eastAsia="Calibri" w:hAnsi="Verdana"/>
          <w:color w:val="000000" w:themeColor="text1"/>
          <w:lang w:val="es-ES_tradnl"/>
        </w:rPr>
        <w:t xml:space="preserve"> </w:t>
      </w:r>
    </w:p>
    <w:p w14:paraId="6BF96B5E" w14:textId="67B797B5" w:rsidR="001264F4" w:rsidRDefault="001264F4" w:rsidP="001264F4">
      <w:pPr>
        <w:spacing w:before="120" w:line="276" w:lineRule="auto"/>
        <w:ind w:firstLine="708"/>
        <w:jc w:val="both"/>
        <w:rPr>
          <w:rFonts w:ascii="Verdana" w:eastAsia="Calibri" w:hAnsi="Verdana"/>
          <w:color w:val="000000" w:themeColor="text1"/>
          <w:lang w:val="es-ES_tradnl"/>
        </w:rPr>
      </w:pPr>
      <w:r w:rsidRPr="00B03EF6">
        <w:rPr>
          <w:rFonts w:ascii="Verdana" w:eastAsia="Calibri" w:hAnsi="Verdana"/>
          <w:color w:val="000000" w:themeColor="text1"/>
          <w:lang w:val="es-ES_tradnl"/>
        </w:rPr>
        <w:t>Respecto a los contratos de operación logística</w:t>
      </w:r>
      <w:r>
        <w:rPr>
          <w:rFonts w:ascii="Verdana" w:eastAsia="Calibri" w:hAnsi="Verdana"/>
          <w:color w:val="000000" w:themeColor="text1"/>
          <w:lang w:val="es-ES_tradnl"/>
        </w:rPr>
        <w:t xml:space="preserve">, estos corresponden a </w:t>
      </w:r>
      <w:r w:rsidRPr="00B03EF6">
        <w:rPr>
          <w:rFonts w:ascii="Verdana" w:eastAsia="Calibri" w:hAnsi="Verdana"/>
          <w:i/>
          <w:iCs/>
          <w:color w:val="000000" w:themeColor="text1"/>
          <w:lang w:val="es-ES_tradnl"/>
        </w:rPr>
        <w:t>contratos mixtos</w:t>
      </w:r>
      <w:r>
        <w:rPr>
          <w:rFonts w:ascii="Verdana" w:eastAsia="Calibri" w:hAnsi="Verdana"/>
          <w:color w:val="000000" w:themeColor="text1"/>
          <w:lang w:val="es-ES_tradnl"/>
        </w:rPr>
        <w:t>. De hecho, sin perjuicio de las demás obligaciones que pacten las partes, es frecuente que en la práctica tengan componentes de compraventa, suministro, arrendamiento de bienes muebl</w:t>
      </w:r>
      <w:r w:rsidR="009852C1">
        <w:rPr>
          <w:rFonts w:ascii="Verdana" w:eastAsia="Calibri" w:hAnsi="Verdana"/>
          <w:color w:val="000000" w:themeColor="text1"/>
          <w:lang w:val="es-ES_tradnl"/>
        </w:rPr>
        <w:t xml:space="preserve">es o inmuebles, transporte, entre otros, de donde se infiere </w:t>
      </w:r>
      <w:r>
        <w:rPr>
          <w:rFonts w:ascii="Verdana" w:eastAsia="Calibri" w:hAnsi="Verdana"/>
          <w:color w:val="000000" w:themeColor="text1"/>
          <w:lang w:val="es-ES_tradnl"/>
        </w:rPr>
        <w:t>la existencia de prestaciones de una o más tipologías contractuales</w:t>
      </w:r>
      <w:r>
        <w:rPr>
          <w:rStyle w:val="Refdenotaalpie"/>
          <w:rFonts w:ascii="Verdana" w:eastAsia="Calibri" w:hAnsi="Verdana"/>
          <w:color w:val="000000" w:themeColor="text1"/>
          <w:lang w:val="es-ES_tradnl"/>
        </w:rPr>
        <w:footnoteReference w:id="7"/>
      </w:r>
      <w:r>
        <w:rPr>
          <w:rFonts w:ascii="Verdana" w:eastAsia="Calibri" w:hAnsi="Verdana"/>
          <w:color w:val="000000" w:themeColor="text1"/>
          <w:lang w:val="es-ES_tradnl"/>
        </w:rPr>
        <w:t xml:space="preserve">. Por ello, como contrato atípico, la doctrina sugiere integrar su contenido teniendo en cuenta los siguientes criterios: “[…] </w:t>
      </w:r>
      <w:r w:rsidRPr="00DE4EF6">
        <w:rPr>
          <w:rFonts w:ascii="Verdana" w:eastAsia="Calibri" w:hAnsi="Verdana"/>
          <w:color w:val="000000" w:themeColor="text1"/>
          <w:lang w:val="es-ES_tradnl"/>
        </w:rPr>
        <w:t>1°) las leyes imperativas; 2°) las cláusulas libremente redactadas o estipuladas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por los agentes; 3°) las reglas generales de los actos jurídicos y de los contratos,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según el caso; 4°) las reglas propias del contrato típico más próximo o semejante,</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y 5°) la doctrina constitucional y los principios generales de derecho</w:t>
      </w:r>
      <w:r>
        <w:rPr>
          <w:rFonts w:ascii="Verdana" w:eastAsia="Calibri" w:hAnsi="Verdana"/>
          <w:color w:val="000000" w:themeColor="text1"/>
          <w:lang w:val="es-ES_tradnl"/>
        </w:rPr>
        <w:t>”</w:t>
      </w:r>
      <w:r>
        <w:rPr>
          <w:rStyle w:val="Refdenotaalpie"/>
          <w:rFonts w:ascii="Verdana" w:eastAsia="Calibri" w:hAnsi="Verdana"/>
          <w:color w:val="000000" w:themeColor="text1"/>
          <w:lang w:val="es-ES_tradnl"/>
        </w:rPr>
        <w:footnoteReference w:id="8"/>
      </w:r>
      <w:r w:rsidRPr="00DE4EF6">
        <w:rPr>
          <w:rFonts w:ascii="Verdana" w:eastAsia="Calibri" w:hAnsi="Verdana"/>
          <w:color w:val="000000" w:themeColor="text1"/>
          <w:lang w:val="es-ES_tradnl"/>
        </w:rPr>
        <w:t>.</w:t>
      </w:r>
      <w:r>
        <w:rPr>
          <w:rFonts w:ascii="Verdana" w:eastAsia="Calibri" w:hAnsi="Verdana"/>
          <w:color w:val="000000" w:themeColor="text1"/>
          <w:lang w:val="es-ES_tradnl"/>
        </w:rPr>
        <w:t xml:space="preserve"> </w:t>
      </w:r>
    </w:p>
    <w:p w14:paraId="5A98E28B" w14:textId="0E175DE0" w:rsidR="001264F4" w:rsidRDefault="004125AB" w:rsidP="001264F4">
      <w:pPr>
        <w:spacing w:before="120" w:line="276" w:lineRule="auto"/>
        <w:ind w:firstLine="708"/>
        <w:jc w:val="both"/>
        <w:rPr>
          <w:rFonts w:ascii="Verdana" w:eastAsia="Calibri" w:hAnsi="Verdana"/>
          <w:color w:val="000000" w:themeColor="text1"/>
          <w:lang w:val="es-ES"/>
        </w:rPr>
      </w:pPr>
      <w:r w:rsidRPr="21328DCE">
        <w:rPr>
          <w:rFonts w:ascii="Verdana" w:eastAsia="Calibri" w:hAnsi="Verdana"/>
          <w:color w:val="000000" w:themeColor="text1"/>
          <w:lang w:val="es-ES"/>
        </w:rPr>
        <w:t>Más</w:t>
      </w:r>
      <w:r w:rsidR="001264F4" w:rsidRPr="21328DCE">
        <w:rPr>
          <w:rFonts w:ascii="Verdana" w:eastAsia="Calibri" w:hAnsi="Verdana"/>
          <w:color w:val="000000" w:themeColor="text1"/>
          <w:lang w:val="es-ES"/>
        </w:rPr>
        <w:t xml:space="preserve"> allá de la tipicidad o no del negocio, es necesario tener en cuenta que la capacidad contractual para</w:t>
      </w:r>
      <w:r>
        <w:rPr>
          <w:rFonts w:ascii="Verdana" w:eastAsia="Calibri" w:hAnsi="Verdana"/>
          <w:color w:val="000000" w:themeColor="text1"/>
          <w:lang w:val="es-ES"/>
        </w:rPr>
        <w:t xml:space="preserve"> celebrar contratos estatales está</w:t>
      </w:r>
      <w:r w:rsidR="001264F4" w:rsidRPr="21328DCE">
        <w:rPr>
          <w:rFonts w:ascii="Verdana" w:eastAsia="Calibri" w:hAnsi="Verdana"/>
          <w:color w:val="000000" w:themeColor="text1"/>
          <w:lang w:val="es-ES"/>
        </w:rPr>
        <w:t xml:space="preserve">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De esta manera, los contratos de operación logística pueden celebrarse con cualquier persona que tenga dentro de su misionalidad u objeto la ejecución de esta actividad</w:t>
      </w:r>
      <w:r w:rsidR="001264F4" w:rsidRPr="21328DCE">
        <w:rPr>
          <w:rStyle w:val="Refdenotaalpie"/>
          <w:rFonts w:ascii="Verdana" w:eastAsia="Calibri" w:hAnsi="Verdana"/>
          <w:color w:val="000000" w:themeColor="text1"/>
          <w:lang w:val="es-ES"/>
        </w:rPr>
        <w:footnoteReference w:id="9"/>
      </w:r>
      <w:r w:rsidR="001264F4" w:rsidRPr="21328DCE">
        <w:rPr>
          <w:rFonts w:ascii="Verdana" w:eastAsia="Calibri" w:hAnsi="Verdana"/>
          <w:color w:val="000000" w:themeColor="text1"/>
          <w:lang w:val="es-ES"/>
        </w:rPr>
        <w:t>.</w:t>
      </w:r>
    </w:p>
    <w:p w14:paraId="3637CFD4" w14:textId="77777777" w:rsidR="001264F4" w:rsidRDefault="001264F4" w:rsidP="001264F4">
      <w:pPr>
        <w:spacing w:before="120" w:line="276" w:lineRule="auto"/>
        <w:ind w:firstLine="708"/>
        <w:jc w:val="both"/>
        <w:rPr>
          <w:rFonts w:ascii="Verdana" w:eastAsia="Calibri" w:hAnsi="Verdana"/>
          <w:color w:val="000000" w:themeColor="text1"/>
        </w:rPr>
      </w:pPr>
      <w:r w:rsidRPr="21328DCE">
        <w:rPr>
          <w:rFonts w:ascii="Verdana" w:eastAsia="Calibri" w:hAnsi="Verdana"/>
          <w:color w:val="000000" w:themeColor="text1"/>
        </w:rPr>
        <w:lastRenderedPageBreak/>
        <w:t>Asimismo, para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logística es una amalgama de prestaciones de otras tipologías, éste no pierde su calificación por la ausencia de una o varias de ellas.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21328DCE">
        <w:rPr>
          <w:rStyle w:val="Refdenotaalpie"/>
          <w:rFonts w:ascii="Verdana" w:eastAsia="Calibri" w:hAnsi="Verdana"/>
          <w:color w:val="000000" w:themeColor="text1"/>
        </w:rPr>
        <w:footnoteReference w:id="10"/>
      </w:r>
      <w:r w:rsidRPr="21328DCE">
        <w:rPr>
          <w:rFonts w:ascii="Verdana" w:eastAsia="Calibri" w:hAnsi="Verdana"/>
          <w:color w:val="000000" w:themeColor="text1"/>
        </w:rPr>
        <w:t xml:space="preserve">. </w:t>
      </w:r>
    </w:p>
    <w:p w14:paraId="162CCFFC" w14:textId="4A4B33EF" w:rsidR="001264F4" w:rsidRDefault="001264F4" w:rsidP="001264F4">
      <w:pPr>
        <w:spacing w:before="120" w:after="0" w:line="276" w:lineRule="auto"/>
        <w:ind w:firstLine="708"/>
        <w:jc w:val="both"/>
        <w:rPr>
          <w:rFonts w:ascii="Verdana" w:eastAsia="Calibri" w:hAnsi="Verdana"/>
          <w:color w:val="000000" w:themeColor="text1"/>
          <w:lang w:val="es-ES"/>
        </w:rPr>
      </w:pPr>
      <w:r w:rsidRPr="21328DCE">
        <w:rPr>
          <w:rFonts w:ascii="Verdana" w:eastAsia="Calibri" w:hAnsi="Verdana"/>
          <w:color w:val="000000" w:themeColor="text1"/>
          <w:lang w:val="es-ES"/>
        </w:rPr>
        <w:t xml:space="preserve">Al margen de la tipicidad o no del negocio, la existencia de los contratos estatales, es decir, la producción de efectos jurídicos en los términos del artículo 1501 </w:t>
      </w:r>
      <w:r w:rsidR="00C10C0F" w:rsidRPr="21328DCE">
        <w:rPr>
          <w:rFonts w:ascii="Verdana" w:eastAsia="Calibri" w:hAnsi="Verdana"/>
          <w:i/>
          <w:color w:val="000000" w:themeColor="text1"/>
          <w:lang w:val="es-ES"/>
        </w:rPr>
        <w:t>ibídem</w:t>
      </w:r>
      <w:r w:rsidRPr="21328DCE">
        <w:rPr>
          <w:rFonts w:ascii="Verdana" w:eastAsia="Calibri" w:hAnsi="Verdana"/>
          <w:color w:val="000000" w:themeColor="text1"/>
          <w:lang w:val="es-ES"/>
        </w:rPr>
        <w:t xml:space="preserve">,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675B2C5" w14:textId="3A18DE8D" w:rsidR="001264F4" w:rsidRDefault="001264F4" w:rsidP="001264F4">
      <w:pPr>
        <w:spacing w:after="0" w:line="276" w:lineRule="auto"/>
        <w:jc w:val="both"/>
        <w:rPr>
          <w:rFonts w:ascii="Verdana" w:eastAsia="Calibri" w:hAnsi="Verdana" w:cs="Arial"/>
        </w:rPr>
      </w:pPr>
    </w:p>
    <w:p w14:paraId="2C58164B" w14:textId="48ECEF5B" w:rsidR="001264F4" w:rsidRPr="009E105D" w:rsidRDefault="00256F7C" w:rsidP="001264F4">
      <w:pPr>
        <w:widowControl w:val="0"/>
        <w:autoSpaceDE w:val="0"/>
        <w:autoSpaceDN w:val="0"/>
        <w:spacing w:after="120" w:line="276" w:lineRule="auto"/>
        <w:jc w:val="both"/>
        <w:rPr>
          <w:rFonts w:ascii="Verdana" w:eastAsia="Arial" w:hAnsi="Verdana" w:cs="Arial"/>
          <w:lang w:val="es-ES" w:eastAsia="es-ES" w:bidi="es-ES"/>
        </w:rPr>
      </w:pPr>
      <w:r>
        <w:rPr>
          <w:rFonts w:ascii="Verdana" w:eastAsia="Calibri" w:hAnsi="Verdana" w:cs="Arial"/>
        </w:rPr>
        <w:t>iii</w:t>
      </w:r>
      <w:r w:rsidR="001264F4">
        <w:rPr>
          <w:rFonts w:ascii="Verdana" w:eastAsia="Calibri" w:hAnsi="Verdana" w:cs="Arial"/>
        </w:rPr>
        <w:t xml:space="preserve">. </w:t>
      </w:r>
      <w:r w:rsidR="001264F4" w:rsidRPr="009E105D">
        <w:rPr>
          <w:rFonts w:ascii="Verdana" w:eastAsia="Arial" w:hAnsi="Verdana" w:cs="Arial"/>
          <w:lang w:val="es-ES" w:eastAsia="es-ES" w:bidi="es-ES"/>
        </w:rPr>
        <w:t>Aunque la ley no la definió ni desarrolló, el Decreto 1082 de 2015 califica a los</w:t>
      </w:r>
      <w:r w:rsidR="001264F4">
        <w:rPr>
          <w:rFonts w:ascii="Verdana" w:eastAsia="Arial" w:hAnsi="Verdana" w:cs="Arial"/>
          <w:lang w:val="es-ES" w:eastAsia="es-ES" w:bidi="es-ES"/>
        </w:rPr>
        <w:t xml:space="preserve"> </w:t>
      </w:r>
      <w:r w:rsidR="001264F4" w:rsidRPr="009E105D">
        <w:rPr>
          <w:rFonts w:ascii="Verdana" w:eastAsia="Arial" w:hAnsi="Verdana" w:cs="Arial"/>
          <w:lang w:val="es-ES" w:eastAsia="es-ES" w:bidi="es-ES"/>
        </w:rPr>
        <w:t xml:space="preserve">contratos interadministrativos como aquella contratación entre entidades </w:t>
      </w:r>
      <w:r w:rsidR="001264F4" w:rsidRPr="009E105D">
        <w:rPr>
          <w:rFonts w:ascii="Verdana" w:eastAsia="Arial" w:hAnsi="Verdana" w:cs="Arial"/>
          <w:lang w:val="es-ES" w:eastAsia="es-ES" w:bidi="es-ES"/>
        </w:rPr>
        <w:lastRenderedPageBreak/>
        <w:t>estatales</w:t>
      </w:r>
      <w:r w:rsidR="001264F4" w:rsidRPr="009E105D">
        <w:rPr>
          <w:rFonts w:ascii="Verdana" w:eastAsia="Arial" w:hAnsi="Verdana" w:cs="Arial"/>
          <w:vertAlign w:val="superscript"/>
          <w:lang w:val="es-ES" w:eastAsia="es-ES" w:bidi="es-ES"/>
        </w:rPr>
        <w:footnoteReference w:id="11"/>
      </w:r>
      <w:r w:rsidR="001264F4" w:rsidRPr="009E105D">
        <w:rPr>
          <w:rFonts w:ascii="Verdana" w:eastAsia="Arial" w:hAnsi="Verdana" w:cs="Arial"/>
          <w:lang w:val="es-ES" w:eastAsia="es-ES" w:bidi="es-ES"/>
        </w:rPr>
        <w:t>. De acuerdo con lo anterior, es el acuerdo donde concurre la voluntad de dos o más personas jurídicas de derecho público con la finalidad de cumplir, en el marco de sus objetivos misionales y sus competencias, con los fines del Estado. Es decir, están determinados por un criterio orgánico, pues es necesario que los extremos de la relación contractual sean entidades</w:t>
      </w:r>
      <w:r w:rsidR="001264F4" w:rsidRPr="009E105D">
        <w:rPr>
          <w:rFonts w:ascii="Verdana" w:eastAsia="Arial" w:hAnsi="Verdana" w:cs="Arial"/>
          <w:spacing w:val="-6"/>
          <w:lang w:val="es-ES" w:eastAsia="es-ES" w:bidi="es-ES"/>
        </w:rPr>
        <w:t xml:space="preserve"> </w:t>
      </w:r>
      <w:r w:rsidR="001264F4" w:rsidRPr="009E105D">
        <w:rPr>
          <w:rFonts w:ascii="Verdana" w:eastAsia="Arial" w:hAnsi="Verdana" w:cs="Arial"/>
          <w:lang w:val="es-ES" w:eastAsia="es-ES" w:bidi="es-ES"/>
        </w:rPr>
        <w:t>estatales.</w:t>
      </w:r>
      <w:r w:rsidR="001264F4">
        <w:rPr>
          <w:rFonts w:ascii="Verdana" w:eastAsia="Arial" w:hAnsi="Verdana" w:cs="Arial"/>
          <w:lang w:val="es-ES" w:eastAsia="es-ES" w:bidi="es-ES"/>
        </w:rPr>
        <w:t xml:space="preserve"> Por ello, los mismos pueden contener obligaciones de diversas tipologías contractuales o de una la combinación entre las mismas, como en contratos atípicos mixtos. Lo anterior en la medida que son las partes, no el objeto de las obligaciones, lo que define la existencia de este tipo de negocios. </w:t>
      </w:r>
    </w:p>
    <w:p w14:paraId="4A5C1635" w14:textId="77777777" w:rsidR="001264F4" w:rsidRPr="009E105D" w:rsidRDefault="001264F4" w:rsidP="001264F4">
      <w:pPr>
        <w:widowControl w:val="0"/>
        <w:autoSpaceDE w:val="0"/>
        <w:autoSpaceDN w:val="0"/>
        <w:spacing w:before="117" w:after="120" w:line="276" w:lineRule="auto"/>
        <w:ind w:firstLine="707"/>
        <w:jc w:val="both"/>
        <w:rPr>
          <w:rFonts w:ascii="Verdana" w:eastAsia="Calibri" w:hAnsi="Verdana" w:cs="Arial"/>
          <w:lang w:val="es-ES"/>
        </w:rPr>
      </w:pPr>
      <w:bookmarkStart w:id="3" w:name="_Hlk78820654"/>
      <w:r w:rsidRPr="009E105D">
        <w:rPr>
          <w:rFonts w:ascii="Verdana" w:eastAsia="Arial" w:hAnsi="Verdana" w:cs="Arial"/>
          <w:lang w:val="es-ES" w:eastAsia="es-ES" w:bidi="es-ES"/>
        </w:rPr>
        <w:t xml:space="preserve">Si bien están previstos en la Ley 80 de 1993, en la Ley 1150 de 2007 y en el Decreto en el 1082 de 2015, no quiere decir que solo puedan celebrarse entre entidades estatales que apliquen el régimen de contratación allí </w:t>
      </w:r>
      <w:r>
        <w:rPr>
          <w:rFonts w:ascii="Verdana" w:eastAsia="Arial" w:hAnsi="Verdana" w:cs="Arial"/>
          <w:lang w:val="es-ES" w:eastAsia="es-ES" w:bidi="es-ES"/>
        </w:rPr>
        <w:t>regulado</w:t>
      </w:r>
      <w:r w:rsidRPr="009E105D">
        <w:rPr>
          <w:rFonts w:ascii="Verdana" w:eastAsia="Arial" w:hAnsi="Verdana" w:cs="Arial"/>
          <w:lang w:val="es-ES" w:eastAsia="es-ES" w:bidi="es-ES"/>
        </w:rPr>
        <w:t xml:space="preserve">, pues bien puede una entidad estatal sometida a la Ley 80 de 1993 celebrar esta clase de </w:t>
      </w:r>
      <w:r>
        <w:rPr>
          <w:rFonts w:ascii="Verdana" w:eastAsia="Arial" w:hAnsi="Verdana" w:cs="Arial"/>
          <w:lang w:val="es-ES" w:eastAsia="es-ES" w:bidi="es-ES"/>
        </w:rPr>
        <w:t>negocios</w:t>
      </w:r>
      <w:r w:rsidRPr="009E105D">
        <w:rPr>
          <w:rFonts w:ascii="Verdana" w:eastAsia="Arial" w:hAnsi="Verdana" w:cs="Arial"/>
          <w:lang w:val="es-ES" w:eastAsia="es-ES" w:bidi="es-ES"/>
        </w:rPr>
        <w:t xml:space="preserve"> con una entidad estatal de régimen especial y no por ello dejará de ser </w:t>
      </w:r>
      <w:r>
        <w:rPr>
          <w:rFonts w:ascii="Verdana" w:eastAsia="Arial" w:hAnsi="Verdana" w:cs="Arial"/>
          <w:lang w:val="es-ES" w:eastAsia="es-ES" w:bidi="es-ES"/>
        </w:rPr>
        <w:t>tal</w:t>
      </w:r>
      <w:r w:rsidRPr="009E105D">
        <w:rPr>
          <w:rFonts w:ascii="Verdana" w:eastAsia="Arial" w:hAnsi="Verdana" w:cs="Arial"/>
          <w:lang w:val="es-ES" w:eastAsia="es-ES" w:bidi="es-ES"/>
        </w:rPr>
        <w:t>. De esta manera, sin perjuicio de lo dispuesto en el artículo 56 de la Ley 2195 de 2022, el literal c) del artículo 2.4 de la Ley 1150 de 2007 dispone que “</w:t>
      </w:r>
      <w:r w:rsidRPr="009E105D">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49CCDCB9" w14:textId="77777777" w:rsidR="001264F4" w:rsidRPr="009E105D" w:rsidRDefault="001264F4" w:rsidP="001264F4">
      <w:pPr>
        <w:widowControl w:val="0"/>
        <w:autoSpaceDE w:val="0"/>
        <w:autoSpaceDN w:val="0"/>
        <w:spacing w:before="119" w:after="120" w:line="276" w:lineRule="auto"/>
        <w:ind w:firstLine="707"/>
        <w:jc w:val="both"/>
        <w:rPr>
          <w:rFonts w:ascii="Verdana" w:eastAsia="Arial" w:hAnsi="Verdana" w:cs="Arial"/>
          <w:lang w:val="es-ES" w:eastAsia="es-ES" w:bidi="es-ES"/>
        </w:rPr>
      </w:pPr>
      <w:bookmarkStart w:id="4" w:name="_Hlk99578261"/>
      <w:bookmarkEnd w:id="3"/>
      <w:r w:rsidRPr="009E105D">
        <w:rPr>
          <w:rFonts w:ascii="Verdana" w:eastAsia="Arial" w:hAnsi="Verdana" w:cs="Arial"/>
          <w:lang w:val="es-ES" w:eastAsia="es-ES" w:bidi="es-ES"/>
        </w:rPr>
        <w:t>Un contrato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9E105D">
        <w:rPr>
          <w:rFonts w:ascii="Verdana" w:eastAsia="Arial" w:hAnsi="Verdana" w:cs="Arial"/>
          <w:vertAlign w:val="superscript"/>
          <w:lang w:val="es-ES" w:eastAsia="es-ES" w:bidi="es-ES"/>
        </w:rPr>
        <w:footnoteReference w:id="12"/>
      </w:r>
      <w:r w:rsidRPr="009E105D">
        <w:rPr>
          <w:rFonts w:ascii="Verdana" w:eastAsia="Arial" w:hAnsi="Verdana" w:cs="Arial"/>
          <w:lang w:val="es-ES" w:eastAsia="es-ES" w:bidi="es-ES"/>
        </w:rPr>
        <w:t xml:space="preserve">. Nótese </w:t>
      </w:r>
      <w:r w:rsidRPr="009E105D">
        <w:rPr>
          <w:rFonts w:ascii="Verdana" w:eastAsia="Arial" w:hAnsi="Verdana" w:cs="Arial"/>
          <w:lang w:val="es-ES" w:eastAsia="es-ES" w:bidi="es-ES"/>
        </w:rPr>
        <w:lastRenderedPageBreak/>
        <w:t>que, en este caso, lo que cambia es la modalidad de selección y no la naturaleza de contrato</w:t>
      </w:r>
      <w:r w:rsidRPr="009E105D">
        <w:rPr>
          <w:rFonts w:ascii="Verdana" w:eastAsia="Arial" w:hAnsi="Verdana" w:cs="Arial"/>
          <w:spacing w:val="-18"/>
          <w:lang w:val="es-ES" w:eastAsia="es-ES" w:bidi="es-ES"/>
        </w:rPr>
        <w:t xml:space="preserve"> </w:t>
      </w:r>
      <w:r w:rsidRPr="009E105D">
        <w:rPr>
          <w:rFonts w:ascii="Verdana" w:eastAsia="Arial" w:hAnsi="Verdana" w:cs="Arial"/>
          <w:lang w:val="es-ES" w:eastAsia="es-ES" w:bidi="es-ES"/>
        </w:rPr>
        <w:t>interadministrativo.</w:t>
      </w:r>
      <w:r>
        <w:rPr>
          <w:rFonts w:ascii="Verdana" w:eastAsia="Arial" w:hAnsi="Verdana" w:cs="Arial"/>
          <w:lang w:val="es-ES" w:eastAsia="es-ES" w:bidi="es-ES"/>
        </w:rPr>
        <w:t xml:space="preserve"> </w:t>
      </w:r>
    </w:p>
    <w:bookmarkEnd w:id="4"/>
    <w:p w14:paraId="533C8D82" w14:textId="77777777" w:rsidR="001264F4" w:rsidRPr="009E105D" w:rsidRDefault="001264F4" w:rsidP="001264F4">
      <w:pPr>
        <w:widowControl w:val="0"/>
        <w:autoSpaceDE w:val="0"/>
        <w:autoSpaceDN w:val="0"/>
        <w:spacing w:before="114" w:after="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considera lo siguiente:</w:t>
      </w:r>
    </w:p>
    <w:p w14:paraId="550D8812" w14:textId="77777777" w:rsidR="001264F4" w:rsidRPr="009E105D" w:rsidRDefault="001264F4" w:rsidP="001264F4">
      <w:pPr>
        <w:widowControl w:val="0"/>
        <w:autoSpaceDE w:val="0"/>
        <w:autoSpaceDN w:val="0"/>
        <w:spacing w:after="0" w:line="276" w:lineRule="auto"/>
        <w:contextualSpacing/>
        <w:jc w:val="both"/>
        <w:rPr>
          <w:rFonts w:ascii="Verdana" w:eastAsia="Arial" w:hAnsi="Verdana" w:cs="Arial"/>
          <w:lang w:val="es-ES" w:eastAsia="es-ES" w:bidi="es-ES"/>
        </w:rPr>
      </w:pPr>
    </w:p>
    <w:p w14:paraId="0329FE33" w14:textId="77777777" w:rsidR="001264F4" w:rsidRPr="009E105D" w:rsidRDefault="001264F4" w:rsidP="001264F4">
      <w:pPr>
        <w:spacing w:after="0" w:line="240" w:lineRule="auto"/>
        <w:ind w:left="709" w:right="709"/>
        <w:contextualSpacing/>
        <w:jc w:val="both"/>
        <w:rPr>
          <w:rFonts w:ascii="Verdana" w:eastAsia="Calibri" w:hAnsi="Verdana" w:cs="Arial"/>
          <w:sz w:val="21"/>
          <w:lang w:val="es-MX"/>
        </w:rPr>
      </w:pPr>
      <w:r w:rsidRPr="009E105D">
        <w:rPr>
          <w:rFonts w:ascii="Verdana" w:eastAsia="Calibri" w:hAnsi="Verdana" w:cs="Arial"/>
          <w:sz w:val="21"/>
          <w:lang w:val="es-MX"/>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9E105D">
        <w:rPr>
          <w:rFonts w:ascii="Verdana" w:eastAsia="Calibri" w:hAnsi="Verdana" w:cs="Arial"/>
          <w:sz w:val="21"/>
          <w:vertAlign w:val="superscript"/>
          <w:lang w:val="es-MX"/>
        </w:rPr>
        <w:footnoteReference w:id="13"/>
      </w:r>
      <w:r w:rsidRPr="009E105D">
        <w:rPr>
          <w:rFonts w:ascii="Verdana" w:eastAsia="Calibri" w:hAnsi="Verdana" w:cs="Arial"/>
          <w:sz w:val="21"/>
          <w:lang w:val="es-MX"/>
        </w:rPr>
        <w:t>.</w:t>
      </w:r>
    </w:p>
    <w:p w14:paraId="7D098DF7" w14:textId="77777777" w:rsidR="001264F4" w:rsidRPr="009E105D" w:rsidRDefault="001264F4" w:rsidP="001264F4">
      <w:pPr>
        <w:spacing w:after="0" w:line="276" w:lineRule="auto"/>
        <w:ind w:left="709" w:right="709"/>
        <w:contextualSpacing/>
        <w:jc w:val="both"/>
        <w:rPr>
          <w:rFonts w:ascii="Verdana" w:eastAsia="Calibri" w:hAnsi="Verdana" w:cs="Arial"/>
          <w:lang w:val="es-MX"/>
        </w:rPr>
      </w:pPr>
    </w:p>
    <w:p w14:paraId="729839B6" w14:textId="77777777" w:rsidR="001264F4" w:rsidRPr="009E105D" w:rsidRDefault="001264F4" w:rsidP="001264F4">
      <w:pPr>
        <w:widowControl w:val="0"/>
        <w:autoSpaceDE w:val="0"/>
        <w:autoSpaceDN w:val="0"/>
        <w:spacing w:after="12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 xml:space="preserve">En ese sentido, los contratos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w:t>
      </w:r>
      <w:r w:rsidRPr="009E105D">
        <w:rPr>
          <w:rFonts w:ascii="Verdana" w:eastAsia="Arial" w:hAnsi="Verdana" w:cs="Arial"/>
          <w:lang w:val="es-ES" w:eastAsia="es-ES" w:bidi="es-ES"/>
        </w:rPr>
        <w:lastRenderedPageBreak/>
        <w:t>directa como la modalidad de selección aplicable, por regla general, a la celebración de los contratos interadministrativos.</w:t>
      </w:r>
    </w:p>
    <w:p w14:paraId="54EAEB22" w14:textId="77777777" w:rsidR="001264F4" w:rsidRDefault="001264F4" w:rsidP="001264F4">
      <w:pPr>
        <w:widowControl w:val="0"/>
        <w:autoSpaceDE w:val="0"/>
        <w:autoSpaceDN w:val="0"/>
        <w:spacing w:after="0" w:line="276" w:lineRule="auto"/>
        <w:ind w:firstLine="707"/>
        <w:jc w:val="both"/>
        <w:rPr>
          <w:rFonts w:ascii="Verdana" w:eastAsia="Arial" w:hAnsi="Verdana" w:cs="Arial"/>
          <w:lang w:val="es-ES" w:eastAsia="es-ES" w:bidi="es-ES"/>
        </w:rPr>
      </w:pPr>
      <w:r w:rsidRPr="009E105D">
        <w:rPr>
          <w:rFonts w:ascii="Verdana" w:eastAsia="Arial" w:hAnsi="Verdana" w:cs="Arial"/>
          <w:lang w:val="es-ES" w:eastAsia="es-ES"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o convenios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w:t>
      </w:r>
      <w:r>
        <w:rPr>
          <w:rFonts w:ascii="Verdana" w:eastAsia="Arial" w:hAnsi="Verdana" w:cs="Arial"/>
          <w:lang w:val="es-ES" w:eastAsia="es-ES" w:bidi="es-ES"/>
        </w:rPr>
        <w:t>,</w:t>
      </w:r>
      <w:r w:rsidRPr="009E105D">
        <w:rPr>
          <w:rFonts w:ascii="Verdana" w:eastAsia="Arial" w:hAnsi="Verdana" w:cs="Arial"/>
          <w:lang w:val="es-ES" w:eastAsia="es-ES" w:bidi="es-ES"/>
        </w:rPr>
        <w:t xml:space="preserve"> sino</w:t>
      </w:r>
      <w:r>
        <w:rPr>
          <w:rFonts w:ascii="Verdana" w:eastAsia="Arial" w:hAnsi="Verdana" w:cs="Arial"/>
          <w:lang w:val="es-ES" w:eastAsia="es-ES" w:bidi="es-ES"/>
        </w:rPr>
        <w:t xml:space="preserve"> por</w:t>
      </w:r>
      <w:r w:rsidRPr="009E105D">
        <w:rPr>
          <w:rFonts w:ascii="Verdana" w:eastAsia="Arial" w:hAnsi="Verdana" w:cs="Arial"/>
          <w:lang w:val="es-ES" w:eastAsia="es-ES" w:bidi="es-ES"/>
        </w:rPr>
        <w:t xml:space="preserve"> la calidad de las partes que lo suscriben, es decir, debe tratarse de entidades</w:t>
      </w:r>
      <w:r w:rsidRPr="009E105D">
        <w:rPr>
          <w:rFonts w:ascii="Verdana" w:eastAsia="Arial" w:hAnsi="Verdana" w:cs="Arial"/>
          <w:spacing w:val="-3"/>
          <w:lang w:val="es-ES" w:eastAsia="es-ES" w:bidi="es-ES"/>
        </w:rPr>
        <w:t xml:space="preserve"> </w:t>
      </w:r>
      <w:r w:rsidRPr="009E105D">
        <w:rPr>
          <w:rFonts w:ascii="Verdana" w:eastAsia="Arial" w:hAnsi="Verdana" w:cs="Arial"/>
          <w:lang w:val="es-ES" w:eastAsia="es-ES" w:bidi="es-ES"/>
        </w:rPr>
        <w:t>estatales.</w:t>
      </w:r>
    </w:p>
    <w:p w14:paraId="534B6678" w14:textId="77777777" w:rsidR="001264F4" w:rsidRDefault="001264F4" w:rsidP="001264F4">
      <w:pPr>
        <w:widowControl w:val="0"/>
        <w:autoSpaceDE w:val="0"/>
        <w:autoSpaceDN w:val="0"/>
        <w:spacing w:after="0" w:line="276" w:lineRule="auto"/>
        <w:ind w:firstLine="707"/>
        <w:jc w:val="both"/>
        <w:rPr>
          <w:rFonts w:ascii="Verdana" w:eastAsia="Arial" w:hAnsi="Verdana" w:cs="Arial"/>
          <w:lang w:val="es-ES" w:eastAsia="es-ES" w:bidi="es-ES"/>
        </w:rPr>
      </w:pPr>
    </w:p>
    <w:p w14:paraId="7A26FADC" w14:textId="025D8C7C" w:rsidR="00BA3816" w:rsidRPr="009C7865" w:rsidRDefault="00256F7C" w:rsidP="00BA3816">
      <w:pPr>
        <w:spacing w:after="120" w:line="276" w:lineRule="auto"/>
        <w:jc w:val="both"/>
        <w:rPr>
          <w:rFonts w:ascii="Verdana" w:eastAsia="Calibri" w:hAnsi="Verdana" w:cs="Arial"/>
        </w:rPr>
      </w:pPr>
      <w:r>
        <w:rPr>
          <w:rFonts w:ascii="Verdana" w:eastAsia="Calibri" w:hAnsi="Verdana" w:cs="Arial"/>
        </w:rPr>
        <w:t xml:space="preserve">iv. </w:t>
      </w:r>
      <w:r w:rsidR="00BA3816" w:rsidRPr="009C7865">
        <w:rPr>
          <w:rFonts w:ascii="Verdana" w:eastAsia="Calibri" w:hAnsi="Verdana" w:cs="Arial"/>
        </w:rPr>
        <w:t>La</w:t>
      </w:r>
      <w:r w:rsidR="00BA3816">
        <w:rPr>
          <w:rFonts w:ascii="Verdana" w:eastAsia="Calibri" w:hAnsi="Verdana" w:cs="Arial"/>
        </w:rPr>
        <w:t xml:space="preserve"> institución jurídica</w:t>
      </w:r>
      <w:r w:rsidR="00BA3816" w:rsidRPr="009C7865">
        <w:rPr>
          <w:rFonts w:ascii="Verdana" w:eastAsia="Calibri" w:hAnsi="Verdana" w:cs="Arial"/>
        </w:rPr>
        <w:t xml:space="preserve"> de la subcontratación no ha tenido un desarrollo regulatorio sustancial en el derecho colombiano. Aunque en materia de contratación estatal hay algunas referencias a esta institución en las Leyes 80 de 1993</w:t>
      </w:r>
      <w:r w:rsidR="00BA3816" w:rsidRPr="009C7865">
        <w:rPr>
          <w:rFonts w:ascii="Verdana" w:eastAsia="Calibri" w:hAnsi="Verdana" w:cs="Arial"/>
          <w:vertAlign w:val="superscript"/>
        </w:rPr>
        <w:footnoteReference w:id="14"/>
      </w:r>
      <w:r w:rsidR="00BA3816" w:rsidRPr="009C7865">
        <w:rPr>
          <w:rFonts w:ascii="Verdana" w:eastAsia="Calibri" w:hAnsi="Verdana" w:cs="Arial"/>
          <w:vertAlign w:val="superscript"/>
        </w:rPr>
        <w:t xml:space="preserve"> </w:t>
      </w:r>
      <w:r w:rsidR="00BA3816" w:rsidRPr="009C7865">
        <w:rPr>
          <w:rFonts w:ascii="Verdana" w:eastAsia="Calibri" w:hAnsi="Verdana" w:cs="Arial"/>
        </w:rPr>
        <w:t>y 1150 de 2007</w:t>
      </w:r>
      <w:r w:rsidR="00BA3816" w:rsidRPr="009C7865">
        <w:rPr>
          <w:rFonts w:ascii="Verdana" w:eastAsia="Calibri" w:hAnsi="Verdana" w:cs="Arial"/>
          <w:vertAlign w:val="superscript"/>
        </w:rPr>
        <w:footnoteReference w:id="15"/>
      </w:r>
      <w:r w:rsidR="00BA3816" w:rsidRPr="009C7865">
        <w:rPr>
          <w:rFonts w:ascii="Verdana" w:eastAsia="Calibri" w:hAnsi="Verdana" w:cs="Arial"/>
        </w:rPr>
        <w:t>, así como en el Decreto 1082 de 2015</w:t>
      </w:r>
      <w:r w:rsidR="00BA3816" w:rsidRPr="009C7865">
        <w:rPr>
          <w:rFonts w:ascii="Verdana" w:eastAsia="Calibri" w:hAnsi="Verdana" w:cs="Arial"/>
          <w:vertAlign w:val="superscript"/>
        </w:rPr>
        <w:footnoteReference w:id="16"/>
      </w:r>
      <w:r w:rsidR="00BA3816" w:rsidRPr="009C7865">
        <w:rPr>
          <w:rFonts w:ascii="Verdana" w:eastAsia="Calibri" w:hAnsi="Verdana" w:cs="Arial"/>
        </w:rPr>
        <w:t xml:space="preserve">, y en </w:t>
      </w:r>
      <w:r w:rsidR="00BA3816" w:rsidRPr="009C7865">
        <w:rPr>
          <w:rFonts w:ascii="Verdana" w:eastAsia="Calibri" w:hAnsi="Verdana" w:cs="Arial"/>
          <w:lang w:val="es-ES"/>
        </w:rPr>
        <w:t>el Decreto 092 de 2017</w:t>
      </w:r>
      <w:r w:rsidR="00BA3816" w:rsidRPr="009C7865">
        <w:rPr>
          <w:rFonts w:ascii="Verdana" w:eastAsia="Calibri" w:hAnsi="Verdana" w:cs="Arial"/>
          <w:vertAlign w:val="superscript"/>
          <w:lang w:val="es-ES"/>
        </w:rPr>
        <w:footnoteReference w:id="17"/>
      </w:r>
      <w:r w:rsidR="00BA3816" w:rsidRPr="009C7865">
        <w:rPr>
          <w:rFonts w:ascii="Verdana" w:eastAsia="Calibri" w:hAnsi="Verdana" w:cs="Arial"/>
          <w:lang w:val="es-ES"/>
        </w:rPr>
        <w:t xml:space="preserve">, </w:t>
      </w:r>
      <w:r w:rsidR="00BA3816" w:rsidRPr="009C7865">
        <w:rPr>
          <w:rFonts w:ascii="Verdana" w:eastAsia="Calibri" w:hAnsi="Verdana" w:cs="Arial"/>
        </w:rPr>
        <w:t xml:space="preserve">el ordenamiento jurídico carece de una disposición legal </w:t>
      </w:r>
      <w:r w:rsidR="00BA3816" w:rsidRPr="009C7865">
        <w:rPr>
          <w:rFonts w:ascii="Verdana" w:eastAsia="Calibri" w:hAnsi="Verdana" w:cs="Arial"/>
        </w:rPr>
        <w:lastRenderedPageBreak/>
        <w:t xml:space="preserve">que brinde una definición de subcontratación. Sin embargo, la jurisprudencia y la doctrina se han encargado de estudiar y analizar la naturaleza de esta figura y han construido los elementos y características propias de la subcontratación. </w:t>
      </w:r>
    </w:p>
    <w:p w14:paraId="464720D9" w14:textId="7E34630E" w:rsidR="001107BB" w:rsidRDefault="001107BB" w:rsidP="001107BB">
      <w:pPr>
        <w:spacing w:after="0" w:line="276" w:lineRule="auto"/>
        <w:ind w:firstLine="709"/>
        <w:jc w:val="both"/>
        <w:rPr>
          <w:rFonts w:ascii="Verdana" w:eastAsia="Calibri" w:hAnsi="Verdana" w:cs="Arial"/>
          <w:lang w:val="es-ES"/>
        </w:rPr>
      </w:pPr>
      <w:r>
        <w:rPr>
          <w:rFonts w:ascii="Verdana" w:eastAsia="Calibri" w:hAnsi="Verdana" w:cs="Arial"/>
        </w:rPr>
        <w:t xml:space="preserve">El doctrinante, Richard Steve Ramírez Grisales </w:t>
      </w:r>
      <w:r w:rsidR="00BA3816" w:rsidRPr="009C7865">
        <w:rPr>
          <w:rFonts w:ascii="Verdana" w:eastAsia="Calibri" w:hAnsi="Verdana" w:cs="Arial"/>
        </w:rPr>
        <w:t>ha analizado la subcontratación en la contratación estatal, señalando que</w:t>
      </w:r>
      <w:r>
        <w:rPr>
          <w:rFonts w:ascii="Verdana" w:eastAsia="Calibri" w:hAnsi="Verdana" w:cs="Arial"/>
        </w:rPr>
        <w:t>:</w:t>
      </w:r>
      <w:r w:rsidR="00BA3816" w:rsidRPr="009C7865">
        <w:rPr>
          <w:rFonts w:ascii="Verdana" w:eastAsia="Calibri" w:hAnsi="Verdana" w:cs="Arial"/>
        </w:rPr>
        <w:t xml:space="preserve"> “La subcontratación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derivadas del contrato adjudicado”</w:t>
      </w:r>
      <w:r w:rsidR="00BA3816" w:rsidRPr="009C7865">
        <w:rPr>
          <w:rFonts w:ascii="Verdana" w:eastAsia="Calibri" w:hAnsi="Verdana" w:cs="Arial"/>
          <w:vertAlign w:val="superscript"/>
        </w:rPr>
        <w:footnoteReference w:id="18"/>
      </w:r>
      <w:r>
        <w:rPr>
          <w:rFonts w:ascii="Verdana" w:eastAsia="Calibri" w:hAnsi="Verdana" w:cs="Arial"/>
        </w:rPr>
        <w:t>. Al respecto</w:t>
      </w:r>
      <w:r w:rsidRPr="001107BB">
        <w:rPr>
          <w:rFonts w:ascii="Verdana" w:eastAsia="Calibri" w:hAnsi="Verdana" w:cs="Arial"/>
          <w:lang w:val="es-ES"/>
        </w:rPr>
        <w:t xml:space="preserve">, el diccionario jurídico de Guillermo Cabanellas de Torres define al </w:t>
      </w:r>
      <w:r w:rsidRPr="001107BB">
        <w:rPr>
          <w:rFonts w:ascii="Verdana" w:eastAsia="Calibri" w:hAnsi="Verdana" w:cs="Arial"/>
          <w:i/>
          <w:lang w:val="es-ES"/>
        </w:rPr>
        <w:t>subcontrato</w:t>
      </w:r>
      <w:r w:rsidRPr="001107BB">
        <w:rPr>
          <w:rFonts w:ascii="Verdana" w:eastAsia="Calibri" w:hAnsi="Verdana" w:cs="Arial"/>
          <w:lang w:val="es-ES"/>
        </w:rPr>
        <w:t xml:space="preserve"> como: </w:t>
      </w:r>
    </w:p>
    <w:p w14:paraId="3AC8FD8F" w14:textId="77777777" w:rsidR="001107BB" w:rsidRPr="001107BB" w:rsidRDefault="001107BB" w:rsidP="001107BB">
      <w:pPr>
        <w:spacing w:after="0" w:line="276" w:lineRule="auto"/>
        <w:ind w:firstLine="709"/>
        <w:jc w:val="both"/>
        <w:rPr>
          <w:rFonts w:ascii="Verdana" w:eastAsia="Calibri" w:hAnsi="Verdana" w:cs="Arial"/>
          <w:lang w:val="es-ES"/>
        </w:rPr>
      </w:pPr>
    </w:p>
    <w:p w14:paraId="5EF39099" w14:textId="74B53554" w:rsidR="001107BB" w:rsidRPr="001107BB" w:rsidRDefault="001107BB" w:rsidP="001107BB">
      <w:pPr>
        <w:spacing w:after="0" w:line="240" w:lineRule="auto"/>
        <w:ind w:left="709" w:right="709"/>
        <w:jc w:val="both"/>
        <w:rPr>
          <w:rFonts w:ascii="Verdana" w:eastAsia="Calibri" w:hAnsi="Verdana" w:cs="Arial"/>
          <w:sz w:val="21"/>
          <w:szCs w:val="21"/>
          <w:lang w:val="es-ES"/>
        </w:rPr>
      </w:pPr>
      <w:r w:rsidRPr="001107BB">
        <w:rPr>
          <w:rFonts w:ascii="Verdana" w:eastAsia="Calibri" w:hAnsi="Verdana" w:cs="Arial"/>
          <w:sz w:val="21"/>
          <w:szCs w:val="21"/>
          <w:lang w:val="es-ES"/>
        </w:rPr>
        <w:t xml:space="preserve">“Nuevo contrato, derivado o dependiente de otro previo, llamado </w:t>
      </w:r>
      <w:r w:rsidRPr="001107BB">
        <w:rPr>
          <w:rFonts w:ascii="Verdana" w:eastAsia="Calibri" w:hAnsi="Verdana" w:cs="Arial"/>
          <w:i/>
          <w:sz w:val="21"/>
          <w:szCs w:val="21"/>
          <w:lang w:val="es-ES"/>
        </w:rPr>
        <w:t>básico u originario</w:t>
      </w:r>
      <w:r w:rsidRPr="001107BB">
        <w:rPr>
          <w:rFonts w:ascii="Verdana" w:eastAsia="Calibri" w:hAnsi="Verdana" w:cs="Arial"/>
          <w:sz w:val="21"/>
          <w:szCs w:val="21"/>
          <w:lang w:val="es-ES"/>
        </w:rPr>
        <w:t>, y con su mismo contenido en todo o en parte. Los dos contratos coexisten, ya que la subcontratación no extingue el contrato básico ni afecta el vínculo que éste había establecido. Pero nace un nuevo vínculo contractual distinto, aunque no sea autónomo (Masnatta)</w:t>
      </w:r>
    </w:p>
    <w:p w14:paraId="40FF237C" w14:textId="6224C476" w:rsidR="001107BB" w:rsidRPr="001107BB" w:rsidRDefault="001107BB" w:rsidP="001107BB">
      <w:pPr>
        <w:spacing w:after="0" w:line="240" w:lineRule="auto"/>
        <w:ind w:left="709" w:right="709"/>
        <w:jc w:val="both"/>
        <w:rPr>
          <w:rFonts w:ascii="Verdana" w:eastAsia="Calibri" w:hAnsi="Verdana" w:cs="Arial"/>
          <w:sz w:val="21"/>
          <w:szCs w:val="21"/>
          <w:lang w:val="es-ES"/>
        </w:rPr>
      </w:pPr>
      <w:r w:rsidRPr="001107BB">
        <w:rPr>
          <w:rFonts w:ascii="Verdana" w:eastAsia="Calibri" w:hAnsi="Verdana" w:cs="Arial"/>
          <w:sz w:val="21"/>
          <w:szCs w:val="21"/>
          <w:lang w:val="es-ES"/>
        </w:rPr>
        <w:t xml:space="preserve">De ahí que se llame </w:t>
      </w:r>
      <w:r w:rsidRPr="001107BB">
        <w:rPr>
          <w:rFonts w:ascii="Verdana" w:eastAsia="Calibri" w:hAnsi="Verdana" w:cs="Arial"/>
          <w:i/>
          <w:sz w:val="21"/>
          <w:szCs w:val="21"/>
          <w:lang w:val="es-ES"/>
        </w:rPr>
        <w:t>subcontratista</w:t>
      </w:r>
      <w:r w:rsidRPr="001107BB">
        <w:rPr>
          <w:rFonts w:ascii="Verdana" w:eastAsia="Calibri" w:hAnsi="Verdana" w:cs="Arial"/>
          <w:sz w:val="21"/>
          <w:szCs w:val="21"/>
          <w:lang w:val="es-ES"/>
        </w:rPr>
        <w:t>, según expresa Capitant, la persona que, a precio fijo o a destajo, se encarga de la realización de una parte separada del trabajo, confiado en conjunto a un empresario principal”</w:t>
      </w:r>
      <w:r w:rsidRPr="001107BB">
        <w:rPr>
          <w:rFonts w:ascii="Verdana" w:eastAsia="Calibri" w:hAnsi="Verdana" w:cs="Arial"/>
          <w:sz w:val="21"/>
          <w:szCs w:val="21"/>
          <w:vertAlign w:val="superscript"/>
          <w:lang w:val="es-ES"/>
        </w:rPr>
        <w:footnoteReference w:id="19"/>
      </w:r>
      <w:r w:rsidRPr="001107BB">
        <w:rPr>
          <w:rFonts w:ascii="Verdana" w:eastAsia="Calibri" w:hAnsi="Verdana" w:cs="Arial"/>
          <w:sz w:val="21"/>
          <w:szCs w:val="21"/>
          <w:lang w:val="es-ES"/>
        </w:rPr>
        <w:t xml:space="preserve">. </w:t>
      </w:r>
    </w:p>
    <w:p w14:paraId="17012716" w14:textId="77777777" w:rsidR="001107BB" w:rsidRPr="001107BB" w:rsidRDefault="001107BB" w:rsidP="001107BB">
      <w:pPr>
        <w:spacing w:after="120" w:line="276" w:lineRule="auto"/>
        <w:ind w:firstLine="709"/>
        <w:jc w:val="both"/>
        <w:rPr>
          <w:rFonts w:ascii="Verdana" w:eastAsia="Calibri" w:hAnsi="Verdana" w:cs="Arial"/>
          <w:lang w:val="es-ES"/>
        </w:rPr>
      </w:pPr>
    </w:p>
    <w:p w14:paraId="4472D18B" w14:textId="583C4857" w:rsidR="00BA3816" w:rsidRDefault="001107BB" w:rsidP="00126A5C">
      <w:pPr>
        <w:spacing w:after="120" w:line="276" w:lineRule="auto"/>
        <w:ind w:firstLine="709"/>
        <w:jc w:val="both"/>
        <w:rPr>
          <w:rFonts w:ascii="Verdana" w:eastAsia="Calibri" w:hAnsi="Verdana" w:cs="Arial"/>
        </w:rPr>
      </w:pPr>
      <w:r>
        <w:rPr>
          <w:rFonts w:ascii="Verdana" w:eastAsia="Calibri" w:hAnsi="Verdana" w:cs="Arial"/>
          <w:lang w:val="es-ES"/>
        </w:rPr>
        <w:t>En esa misma orientación</w:t>
      </w:r>
      <w:r w:rsidRPr="001107BB">
        <w:rPr>
          <w:rFonts w:ascii="Verdana" w:eastAsia="Calibri" w:hAnsi="Verdana" w:cs="Arial"/>
          <w:lang w:val="es-ES"/>
        </w:rPr>
        <w:t>, Elena Marín</w:t>
      </w:r>
      <w:r>
        <w:rPr>
          <w:rFonts w:ascii="Verdana" w:eastAsia="Calibri" w:hAnsi="Verdana" w:cs="Arial"/>
          <w:lang w:val="es-ES"/>
        </w:rPr>
        <w:t xml:space="preserve"> Albarrán manifiesta</w:t>
      </w:r>
      <w:r w:rsidRPr="001107BB">
        <w:rPr>
          <w:rFonts w:ascii="Verdana" w:eastAsia="Calibri" w:hAnsi="Verdana" w:cs="Arial"/>
          <w:lang w:val="es-ES"/>
        </w:rPr>
        <w:t xml:space="preserve"> que un concepto de </w:t>
      </w:r>
      <w:r w:rsidRPr="001107BB">
        <w:rPr>
          <w:rFonts w:ascii="Verdana" w:eastAsia="Calibri" w:hAnsi="Verdana" w:cs="Arial"/>
          <w:i/>
          <w:lang w:val="es-ES"/>
        </w:rPr>
        <w:t>subcontratación</w:t>
      </w:r>
      <w:r w:rsidRPr="001107BB">
        <w:rPr>
          <w:rFonts w:ascii="Verdana" w:eastAsia="Calibri" w:hAnsi="Verdana" w:cs="Arial"/>
          <w:lang w:val="es-ES"/>
        </w:rPr>
        <w:t xml:space="preserve"> debe tener en cuenta la relación entre el contrato principal -contrato estatal- y el contrato derivado –contrato privado-</w:t>
      </w:r>
      <w:r w:rsidRPr="001107BB">
        <w:rPr>
          <w:rFonts w:ascii="Verdana" w:eastAsia="Calibri" w:hAnsi="Verdana" w:cs="Arial"/>
          <w:vertAlign w:val="superscript"/>
          <w:lang w:val="es-ES"/>
        </w:rPr>
        <w:footnoteReference w:id="20"/>
      </w:r>
      <w:r w:rsidRPr="001107BB">
        <w:rPr>
          <w:rFonts w:ascii="Verdana" w:eastAsia="Calibri" w:hAnsi="Verdana" w:cs="Arial"/>
          <w:lang w:val="es-ES"/>
        </w:rPr>
        <w:t xml:space="preserve">, por lo que comprende </w:t>
      </w:r>
      <w:r>
        <w:rPr>
          <w:rFonts w:ascii="Verdana" w:eastAsia="Calibri" w:hAnsi="Verdana" w:cs="Arial"/>
          <w:lang w:val="es-ES"/>
        </w:rPr>
        <w:t xml:space="preserve">esta institución </w:t>
      </w:r>
      <w:r w:rsidRPr="001107BB">
        <w:rPr>
          <w:rFonts w:ascii="Verdana" w:eastAsia="Calibri" w:hAnsi="Verdana" w:cs="Arial"/>
          <w:lang w:val="es-ES"/>
        </w:rPr>
        <w:t xml:space="preserve">como: “la práctica de organización mercantil de organización empresarial en cuya virtud un contratista encarga a un </w:t>
      </w:r>
      <w:r w:rsidRPr="001107BB">
        <w:rPr>
          <w:rFonts w:ascii="Verdana" w:eastAsia="Calibri" w:hAnsi="Verdana" w:cs="Arial"/>
          <w:lang w:val="es-ES"/>
        </w:rPr>
        <w:lastRenderedPageBreak/>
        <w:t>subcontratista o trabajador autónomo parte de lo que él está obligado a realizar”</w:t>
      </w:r>
      <w:r w:rsidR="00BA3816" w:rsidRPr="009C7865">
        <w:rPr>
          <w:rFonts w:ascii="Verdana" w:eastAsia="Calibri" w:hAnsi="Verdana" w:cs="Arial"/>
        </w:rPr>
        <w:t xml:space="preserve"> En el ámbito internacional</w:t>
      </w:r>
      <w:r>
        <w:rPr>
          <w:rFonts w:ascii="Verdana" w:eastAsia="Calibri" w:hAnsi="Verdana" w:cs="Arial"/>
        </w:rPr>
        <w:t>,</w:t>
      </w:r>
      <w:r w:rsidR="00BA3816" w:rsidRPr="009C7865">
        <w:rPr>
          <w:rFonts w:ascii="Verdana" w:eastAsia="Calibri" w:hAnsi="Verdana" w:cs="Arial"/>
        </w:rPr>
        <w:t xml:space="preserve"> se ha entendido a la subcontratación como</w:t>
      </w:r>
      <w:r w:rsidR="00BA5F2D">
        <w:rPr>
          <w:rFonts w:ascii="Verdana" w:eastAsia="Calibri" w:hAnsi="Verdana" w:cs="Arial"/>
        </w:rPr>
        <w:t>:</w:t>
      </w:r>
      <w:r w:rsidR="00BA3816" w:rsidRPr="009C7865">
        <w:rPr>
          <w:rFonts w:ascii="Verdana" w:eastAsia="Calibri" w:hAnsi="Verdana" w:cs="Arial"/>
        </w:rPr>
        <w:t xml:space="preserve"> “La práctica mercantil de organización productiva en virtud de la cual el contratista o subcontratista encarga a otro subcontratista o trabajador autónomo parte de lo que a él se le ha encomendado”</w:t>
      </w:r>
      <w:r w:rsidR="00BA3816" w:rsidRPr="009C7865">
        <w:rPr>
          <w:rFonts w:ascii="Verdana" w:eastAsia="Calibri" w:hAnsi="Verdana" w:cs="Arial"/>
          <w:vertAlign w:val="superscript"/>
        </w:rPr>
        <w:footnoteReference w:id="21"/>
      </w:r>
      <w:r w:rsidR="00BA3816" w:rsidRPr="009C7865">
        <w:rPr>
          <w:rFonts w:ascii="Verdana" w:eastAsia="Calibri" w:hAnsi="Verdana" w:cs="Arial"/>
          <w:vertAlign w:val="superscript"/>
        </w:rPr>
        <w:t>.</w:t>
      </w:r>
      <w:r>
        <w:rPr>
          <w:rFonts w:ascii="Verdana" w:eastAsia="Calibri" w:hAnsi="Verdana" w:cs="Arial"/>
        </w:rPr>
        <w:t xml:space="preserve"> En el marco de esta institución</w:t>
      </w:r>
      <w:r w:rsidR="00BA3816" w:rsidRPr="009C7865">
        <w:rPr>
          <w:rFonts w:ascii="Verdana" w:eastAsia="Calibri" w:hAnsi="Verdana" w:cs="Arial"/>
        </w:rPr>
        <w:t>, se define el nivel de subcontratación como</w:t>
      </w:r>
      <w:r>
        <w:rPr>
          <w:rFonts w:ascii="Verdana" w:eastAsia="Calibri" w:hAnsi="Verdana" w:cs="Arial"/>
        </w:rPr>
        <w:t>:</w:t>
      </w:r>
      <w:r w:rsidR="00BA3816" w:rsidRPr="009C7865">
        <w:rPr>
          <w:rFonts w:ascii="Verdana" w:eastAsia="Calibri" w:hAnsi="Verdana" w:cs="Arial"/>
        </w:rPr>
        <w:t xml:space="preserve"> “Cada uno de los escalones en que se estructura el proceso de subcontratación que se desarrolla para la ejecución de la totalidad o parte de la obra asumida contractualmente por el contratista con el promotor”</w:t>
      </w:r>
      <w:r w:rsidR="00BA3816" w:rsidRPr="009C7865">
        <w:rPr>
          <w:rFonts w:ascii="Verdana" w:eastAsia="Calibri" w:hAnsi="Verdana" w:cs="Arial"/>
          <w:vertAlign w:val="superscript"/>
        </w:rPr>
        <w:footnoteReference w:id="22"/>
      </w:r>
      <w:r w:rsidR="00BA3816" w:rsidRPr="009C7865">
        <w:rPr>
          <w:rFonts w:ascii="Verdana" w:eastAsia="Calibri" w:hAnsi="Verdana" w:cs="Arial"/>
        </w:rPr>
        <w:t xml:space="preserve">. </w:t>
      </w:r>
    </w:p>
    <w:p w14:paraId="521B91E1" w14:textId="67EB78AD" w:rsidR="00C10C0F" w:rsidRDefault="00C10C0F" w:rsidP="006227EA">
      <w:pPr>
        <w:widowControl w:val="0"/>
        <w:autoSpaceDE w:val="0"/>
        <w:autoSpaceDN w:val="0"/>
        <w:spacing w:before="120" w:after="120" w:line="276" w:lineRule="auto"/>
        <w:ind w:firstLine="709"/>
        <w:jc w:val="both"/>
        <w:rPr>
          <w:rFonts w:ascii="Verdana" w:eastAsia="Calibri" w:hAnsi="Verdana" w:cs="Arial"/>
        </w:rPr>
      </w:pPr>
      <w:r w:rsidRPr="00C10C0F">
        <w:rPr>
          <w:rFonts w:ascii="Verdana" w:eastAsia="Calibri" w:hAnsi="Verdana" w:cs="Arial"/>
        </w:rPr>
        <w:t xml:space="preserve">Debido a la </w:t>
      </w:r>
      <w:r>
        <w:rPr>
          <w:rFonts w:ascii="Verdana" w:eastAsia="Calibri" w:hAnsi="Verdana" w:cs="Arial"/>
        </w:rPr>
        <w:t>escasa regulación de la materia</w:t>
      </w:r>
      <w:r w:rsidRPr="00C10C0F">
        <w:rPr>
          <w:rFonts w:ascii="Verdana" w:eastAsia="Calibri" w:hAnsi="Verdana" w:cs="Arial"/>
        </w:rPr>
        <w:t>, la subcontratación en el sistema de compras públicas en Colombia estará supeditada a lo dispuesto en el pliego de condiciones en modalidades de selección – licitación pública, selección abreviada, concurso de méritos, mínima cuantía y en el contrato principal – en todas las modalidades de selección-. sin perjuicio de las limitaciones establecidas por la ley</w:t>
      </w:r>
      <w:r w:rsidR="000F10B1" w:rsidRPr="00F21C12">
        <w:rPr>
          <w:rStyle w:val="Refdenotaalpie"/>
          <w:rFonts w:ascii="Verdana" w:eastAsia="Calibri" w:hAnsi="Verdana" w:cs="Arial"/>
          <w:lang w:val="es-ES"/>
        </w:rPr>
        <w:footnoteReference w:id="23"/>
      </w:r>
      <w:r w:rsidR="000F10B1" w:rsidRPr="00F21C12">
        <w:rPr>
          <w:rFonts w:ascii="Verdana" w:eastAsia="Calibri" w:hAnsi="Verdana" w:cs="Arial"/>
          <w:lang w:val="es-ES"/>
        </w:rPr>
        <w:t xml:space="preserve">. </w:t>
      </w:r>
      <w:r w:rsidR="006227EA" w:rsidRPr="006227EA">
        <w:rPr>
          <w:rFonts w:ascii="Verdana" w:eastAsia="Calibri" w:hAnsi="Verdana" w:cs="Arial"/>
        </w:rPr>
        <w:t>De esta manera, su configuración dependerá de las condiciones definidas en el acuerdo de voluntades, de tal forma que, si esta no se permite para determinadas actividades, está sujeta a la autorización previa de la entidad o al cumplimiento de algún otro requisito, el contratista no podrá subcontratar sin su autorización o sin el cumplimiento de la condición establecida en el negocio jurídico. Por su parte, si en el contrato no se estipula esta figura, se entiende que en principio está permitida y</w:t>
      </w:r>
      <w:r w:rsidR="006227EA">
        <w:rPr>
          <w:rFonts w:ascii="Verdana" w:eastAsia="Calibri" w:hAnsi="Verdana" w:cs="Arial"/>
        </w:rPr>
        <w:t>, p</w:t>
      </w:r>
      <w:r w:rsidR="006227EA" w:rsidRPr="006227EA">
        <w:rPr>
          <w:rFonts w:ascii="Verdana" w:eastAsia="Calibri" w:hAnsi="Verdana" w:cs="Arial"/>
        </w:rPr>
        <w:t xml:space="preserve">or tanto, el contratista podrá subcontratar parcialmente con fundamento en la libertad de empresa, sin perjuicio de las limitaciones establecidas por el ordenamiento jurídico. </w:t>
      </w:r>
    </w:p>
    <w:p w14:paraId="6FD72FB4" w14:textId="77777777" w:rsidR="00C10C0F" w:rsidRDefault="006227EA" w:rsidP="006227EA">
      <w:pPr>
        <w:widowControl w:val="0"/>
        <w:autoSpaceDE w:val="0"/>
        <w:autoSpaceDN w:val="0"/>
        <w:spacing w:before="120" w:after="120" w:line="276" w:lineRule="auto"/>
        <w:ind w:firstLine="709"/>
        <w:jc w:val="both"/>
        <w:rPr>
          <w:rFonts w:ascii="Verdana" w:eastAsia="Calibri" w:hAnsi="Verdana" w:cs="Arial"/>
        </w:rPr>
      </w:pPr>
      <w:r w:rsidRPr="006227EA">
        <w:rPr>
          <w:rFonts w:ascii="Verdana" w:eastAsia="Calibri" w:hAnsi="Verdana" w:cs="Arial"/>
        </w:rPr>
        <w:t>Aunque el subcontrato es un contrato autónomo e independiente del contrato principal, en materia de contratación estatal, es reco</w:t>
      </w:r>
      <w:r w:rsidR="00C10C0F">
        <w:rPr>
          <w:rFonts w:ascii="Verdana" w:eastAsia="Calibri" w:hAnsi="Verdana" w:cs="Arial"/>
        </w:rPr>
        <w:t>mendable – en ciertos eventos</w:t>
      </w:r>
      <w:r>
        <w:rPr>
          <w:rFonts w:ascii="Verdana" w:eastAsia="Calibri" w:hAnsi="Verdana" w:cs="Arial"/>
        </w:rPr>
        <w:t>– que las entidades estatales</w:t>
      </w:r>
      <w:r w:rsidRPr="006227EA">
        <w:rPr>
          <w:rFonts w:ascii="Verdana" w:eastAsia="Calibri" w:hAnsi="Verdana" w:cs="Arial"/>
        </w:rPr>
        <w:t xml:space="preserve">, exijan en el contrato la autorización previa y expresa para la subcontratación. Esto permite a la Entidad Estatal controlar las condiciones bajo las cuales se ejecutará el contrato, asegurar el cumplimiento de este bajo un esquema de transparencia y garantizar que no se infrinjan los principios de la contratación estatal. </w:t>
      </w:r>
    </w:p>
    <w:p w14:paraId="1AD3D2D7" w14:textId="70E72DDB" w:rsidR="006227EA" w:rsidRPr="006227EA" w:rsidRDefault="006227EA" w:rsidP="006227EA">
      <w:pPr>
        <w:widowControl w:val="0"/>
        <w:autoSpaceDE w:val="0"/>
        <w:autoSpaceDN w:val="0"/>
        <w:spacing w:before="120" w:after="120" w:line="276" w:lineRule="auto"/>
        <w:ind w:firstLine="709"/>
        <w:jc w:val="both"/>
        <w:rPr>
          <w:rFonts w:ascii="Verdana" w:eastAsia="Calibri" w:hAnsi="Verdana" w:cs="Arial"/>
          <w:lang w:val="es-ES"/>
        </w:rPr>
      </w:pPr>
      <w:r w:rsidRPr="006227EA">
        <w:rPr>
          <w:rFonts w:ascii="Verdana" w:eastAsia="Calibri" w:hAnsi="Verdana" w:cs="Arial"/>
        </w:rPr>
        <w:t xml:space="preserve">Ahora bien, de acuerdo al problema jurídico objeto de la consulta, se </w:t>
      </w:r>
      <w:r w:rsidRPr="006227EA">
        <w:rPr>
          <w:rFonts w:ascii="Verdana" w:eastAsia="Calibri" w:hAnsi="Verdana" w:cs="Arial"/>
        </w:rPr>
        <w:lastRenderedPageBreak/>
        <w:t xml:space="preserve">señala que lo ideal es que el contratista – entidad estatal ejecute directamente las actividades en el marco del contrato principal -contrato interadministrativo-no resulta poco frecuente que esta actividad se haga a través </w:t>
      </w:r>
      <w:r>
        <w:rPr>
          <w:rFonts w:ascii="Verdana" w:eastAsia="Calibri" w:hAnsi="Verdana" w:cs="Arial"/>
        </w:rPr>
        <w:t>de terceros subcontratados. Así</w:t>
      </w:r>
      <w:r w:rsidRPr="006227EA">
        <w:rPr>
          <w:rFonts w:ascii="Verdana" w:eastAsia="Calibri" w:hAnsi="Verdana" w:cs="Arial"/>
        </w:rPr>
        <w:t>, la subcontratación implica la celebración de un contrato derivado de otro principal cuyo propósito es ej</w:t>
      </w:r>
      <w:r>
        <w:rPr>
          <w:rFonts w:ascii="Verdana" w:eastAsia="Calibri" w:hAnsi="Verdana" w:cs="Arial"/>
        </w:rPr>
        <w:t>ecutar parcialmente este último</w:t>
      </w:r>
      <w:r w:rsidRPr="006227EA">
        <w:rPr>
          <w:rFonts w:ascii="Verdana" w:eastAsia="Calibri" w:hAnsi="Verdana" w:cs="Arial"/>
        </w:rPr>
        <w:t xml:space="preserve">. Debido a la </w:t>
      </w:r>
      <w:r>
        <w:rPr>
          <w:rFonts w:ascii="Verdana" w:eastAsia="Calibri" w:hAnsi="Verdana" w:cs="Arial"/>
        </w:rPr>
        <w:t>escasa regulación de la materia</w:t>
      </w:r>
      <w:r w:rsidRPr="006227EA">
        <w:rPr>
          <w:rFonts w:ascii="Verdana" w:eastAsia="Calibri" w:hAnsi="Verdana" w:cs="Arial"/>
        </w:rPr>
        <w:t>, la subcontratación en el sistema de compras públicas estará supeditada a lo dispuesto en el pliego de condiciones en modalidades de selección – licitación pública, selección abreviada, concurso de méritos, mínima cuantía y en el contrato principal – en todas las modalidades de selección-. Por ejemplo, tratándose de contratación directa como sucede en contratos interadministrativos dependerá del contenido de los documentos del proceso y en el contrato principal. Lo anterior, sin perjuicio de las limitaciones establecidas por la ley.</w:t>
      </w:r>
    </w:p>
    <w:p w14:paraId="1DD852B2" w14:textId="51B776B8" w:rsidR="006227EA" w:rsidRPr="00C10C0F" w:rsidRDefault="00C10C0F" w:rsidP="00C10C0F">
      <w:pPr>
        <w:widowControl w:val="0"/>
        <w:autoSpaceDE w:val="0"/>
        <w:autoSpaceDN w:val="0"/>
        <w:spacing w:before="120" w:after="120" w:line="276" w:lineRule="auto"/>
        <w:ind w:firstLine="709"/>
        <w:jc w:val="both"/>
        <w:rPr>
          <w:rFonts w:ascii="Verdana" w:eastAsia="Calibri" w:hAnsi="Verdana" w:cs="Arial"/>
          <w:lang w:val="es-ES"/>
        </w:rPr>
      </w:pPr>
      <w:r w:rsidRPr="00C10C0F">
        <w:rPr>
          <w:rFonts w:ascii="Verdana" w:eastAsia="Calibri" w:hAnsi="Verdana" w:cs="Arial"/>
        </w:rPr>
        <w:t>Al respecto, existe una restricción normativa se encuentra en el literal c) del numeral 4° del artículo 2 de la Ley 1150 de 2007, en torno a la celebración de contratos interadministrativos – a</w:t>
      </w:r>
      <w:r>
        <w:rPr>
          <w:rFonts w:ascii="Verdana" w:eastAsia="Calibri" w:hAnsi="Verdana" w:cs="Arial"/>
        </w:rPr>
        <w:t>l que se refiere en su consulta</w:t>
      </w:r>
      <w:r w:rsidRPr="00C10C0F">
        <w:rPr>
          <w:rFonts w:ascii="Verdana" w:eastAsia="Calibri" w:hAnsi="Verdana" w:cs="Arial"/>
        </w:rPr>
        <w:t xml:space="preserve">. Según el </w:t>
      </w:r>
      <w:r>
        <w:rPr>
          <w:rFonts w:ascii="Verdana" w:eastAsia="Calibri" w:hAnsi="Verdana" w:cs="Arial"/>
        </w:rPr>
        <w:t>inciso cuarto de este literal “</w:t>
      </w:r>
      <w:r w:rsidRPr="00C10C0F">
        <w:rPr>
          <w:rFonts w:ascii="Verdana" w:eastAsia="Calibri" w:hAnsi="Verdana" w:cs="Arial"/>
        </w:rPr>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w:t>
      </w:r>
      <w:r>
        <w:rPr>
          <w:rFonts w:ascii="Verdana" w:eastAsia="Calibri" w:hAnsi="Verdana" w:cs="Arial"/>
        </w:rPr>
        <w:t>l objeto del contrato principal</w:t>
      </w:r>
      <w:r w:rsidRPr="00C10C0F">
        <w:rPr>
          <w:rFonts w:ascii="Verdana" w:eastAsia="Calibri" w:hAnsi="Verdana" w:cs="Arial"/>
        </w:rPr>
        <w:t>” (Énfasis por fuera de texto).</w:t>
      </w:r>
    </w:p>
    <w:p w14:paraId="773C7532" w14:textId="6402256B" w:rsidR="00943251" w:rsidRPr="00943251" w:rsidRDefault="00C10C0F" w:rsidP="00126A5C">
      <w:pPr>
        <w:spacing w:after="120" w:line="276" w:lineRule="auto"/>
        <w:ind w:firstLine="709"/>
        <w:jc w:val="both"/>
        <w:rPr>
          <w:rFonts w:ascii="Verdana" w:eastAsia="Calibri" w:hAnsi="Verdana" w:cs="Arial"/>
        </w:rPr>
      </w:pPr>
      <w:r>
        <w:rPr>
          <w:rFonts w:ascii="Verdana" w:eastAsia="Calibri" w:hAnsi="Verdana" w:cs="Arial"/>
          <w:lang w:val="es-ES"/>
        </w:rPr>
        <w:t>E</w:t>
      </w:r>
      <w:r w:rsidR="00126A5C">
        <w:rPr>
          <w:rFonts w:ascii="Verdana" w:eastAsia="Calibri" w:hAnsi="Verdana" w:cs="Arial"/>
          <w:lang w:val="es-ES"/>
        </w:rPr>
        <w:t xml:space="preserve">s importante precisar, que </w:t>
      </w:r>
      <w:r w:rsidR="00943251">
        <w:rPr>
          <w:rFonts w:ascii="Verdana" w:eastAsia="Calibri" w:hAnsi="Verdana" w:cs="Arial"/>
          <w:lang w:val="es-ES"/>
        </w:rPr>
        <w:t>en el evento que la entidad estatal contratista esté sometida al EGCAP, la selección de su</w:t>
      </w:r>
      <w:r w:rsidR="00126A5C">
        <w:rPr>
          <w:rFonts w:ascii="Verdana" w:eastAsia="Calibri" w:hAnsi="Verdana" w:cs="Arial"/>
          <w:lang w:val="es-ES"/>
        </w:rPr>
        <w:t>s</w:t>
      </w:r>
      <w:r w:rsidR="00943251">
        <w:rPr>
          <w:rFonts w:ascii="Verdana" w:eastAsia="Calibri" w:hAnsi="Verdana" w:cs="Arial"/>
          <w:lang w:val="es-ES"/>
        </w:rPr>
        <w:t xml:space="preserve"> subcontratista</w:t>
      </w:r>
      <w:r w:rsidR="00126A5C">
        <w:rPr>
          <w:rFonts w:ascii="Verdana" w:eastAsia="Calibri" w:hAnsi="Verdana" w:cs="Arial"/>
          <w:lang w:val="es-ES"/>
        </w:rPr>
        <w:t>s</w:t>
      </w:r>
      <w:r w:rsidR="00943251">
        <w:rPr>
          <w:rFonts w:ascii="Verdana" w:eastAsia="Calibri" w:hAnsi="Verdana" w:cs="Arial"/>
          <w:lang w:val="es-ES"/>
        </w:rPr>
        <w:t xml:space="preserve"> estará sujeto a las modalidades y reglas dispuestas a dicho estatuto. </w:t>
      </w:r>
      <w:r w:rsidR="00126A5C">
        <w:rPr>
          <w:rFonts w:ascii="Verdana" w:eastAsia="Calibri" w:hAnsi="Verdana" w:cs="Arial"/>
          <w:lang w:val="es-ES"/>
        </w:rPr>
        <w:t>Al respecto, el Doctrinante Richard Ramírez expresa: “[…] en cualquier evento en que una entidad estatal desee seleccionar a un contratista o subcontratista, tiene el deber de agotar un procedimiento de selección arreglado. Esta conclusión permite afirmar que pueden coexistir para la ejecución de un proyecto material, multiplicidad de contratos estatales involucrados: un único contrato estatal principal y una multiplicidad subcontratos estatales adicionales”</w:t>
      </w:r>
      <w:r w:rsidR="005E60D0">
        <w:rPr>
          <w:rStyle w:val="Refdenotaalpie"/>
          <w:rFonts w:ascii="Verdana" w:eastAsia="Calibri" w:hAnsi="Verdana" w:cs="Arial"/>
          <w:lang w:val="es-ES"/>
        </w:rPr>
        <w:footnoteReference w:id="24"/>
      </w:r>
      <w:r w:rsidR="00126A5C">
        <w:rPr>
          <w:rFonts w:ascii="Verdana" w:eastAsia="Calibri" w:hAnsi="Verdana" w:cs="Arial"/>
          <w:lang w:val="es-ES"/>
        </w:rPr>
        <w:t xml:space="preserve">. </w:t>
      </w:r>
    </w:p>
    <w:p w14:paraId="7296A9CC" w14:textId="187D28FB" w:rsidR="006227EA" w:rsidRDefault="006227EA" w:rsidP="004B3607">
      <w:pPr>
        <w:spacing w:after="120" w:line="276" w:lineRule="auto"/>
        <w:ind w:firstLine="709"/>
        <w:jc w:val="both"/>
        <w:rPr>
          <w:rFonts w:ascii="Verdana" w:eastAsia="Calibri" w:hAnsi="Verdana" w:cs="Arial"/>
        </w:rPr>
      </w:pPr>
      <w:r>
        <w:rPr>
          <w:rFonts w:ascii="Verdana" w:eastAsia="Calibri" w:hAnsi="Verdana" w:cs="Arial"/>
        </w:rPr>
        <w:t>En todo caso</w:t>
      </w:r>
      <w:r w:rsidRPr="006227EA">
        <w:rPr>
          <w:rFonts w:ascii="Verdana" w:eastAsia="Calibri" w:hAnsi="Verdana" w:cs="Arial"/>
        </w:rPr>
        <w:t xml:space="preserve">, se recomienda que se establezca la autorización de la entidad estatal contratante en el contrato en el caso que nos atañe – aunque no obligatoria de acuerdo con la ley – para que las actividades contratadas puedan ejecutarse de forma parcial por un tercero, sin que el contratista – entidad </w:t>
      </w:r>
      <w:r w:rsidRPr="006227EA">
        <w:rPr>
          <w:rFonts w:ascii="Verdana" w:eastAsia="Calibri" w:hAnsi="Verdana" w:cs="Arial"/>
        </w:rPr>
        <w:lastRenderedPageBreak/>
        <w:t>estatal se desprenda de las responsabilidades derivadas del contrato. Por consiguiente, en el evento en que en el contrato principal se haya pactado dicha autorización, los subcontratos que se celebren deberán respetar esta estipulación, so pena de un posible incumplimiento del contrato principal.</w:t>
      </w:r>
    </w:p>
    <w:p w14:paraId="1499DA29" w14:textId="38BA60DE" w:rsidR="004B3607" w:rsidRDefault="004B3607" w:rsidP="004B3607">
      <w:pPr>
        <w:spacing w:after="120" w:line="276" w:lineRule="auto"/>
        <w:ind w:firstLine="709"/>
        <w:jc w:val="both"/>
        <w:rPr>
          <w:rFonts w:ascii="Verdana" w:eastAsia="Calibri" w:hAnsi="Verdana" w:cs="Arial"/>
        </w:rPr>
      </w:pPr>
    </w:p>
    <w:p w14:paraId="6122EBE7" w14:textId="77777777" w:rsidR="004B3607" w:rsidRPr="004B3607" w:rsidRDefault="004B3607" w:rsidP="004B3607">
      <w:pPr>
        <w:spacing w:after="120" w:line="276" w:lineRule="auto"/>
        <w:ind w:firstLine="709"/>
        <w:jc w:val="both"/>
        <w:rPr>
          <w:rFonts w:ascii="Verdana" w:eastAsia="Calibri" w:hAnsi="Verdana" w:cs="Arial"/>
        </w:rPr>
      </w:pPr>
    </w:p>
    <w:p w14:paraId="1C393193" w14:textId="40B232AC" w:rsidR="000754B0" w:rsidRPr="004B3607" w:rsidRDefault="009B3595" w:rsidP="004B3607">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Referencias normativas</w:t>
      </w:r>
      <w:r w:rsidR="000754B0" w:rsidRPr="004B3607">
        <w:rPr>
          <w:rFonts w:ascii="Verdana" w:eastAsia="Calibri" w:hAnsi="Verdana" w:cs="Arial"/>
          <w:color w:val="000000"/>
          <w:lang w:eastAsia="es-ES_tradnl"/>
        </w:rPr>
        <w:t xml:space="preserve"> </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3595" w:rsidRPr="001205D1" w14:paraId="60844259" w14:textId="77777777" w:rsidTr="00E34A22">
        <w:trPr>
          <w:trHeight w:val="870"/>
          <w:jc w:val="center"/>
        </w:trPr>
        <w:tc>
          <w:tcPr>
            <w:tcW w:w="8647" w:type="dxa"/>
          </w:tcPr>
          <w:p w14:paraId="1DAA35AA" w14:textId="77777777" w:rsidR="002C618B" w:rsidRDefault="002C618B" w:rsidP="00480E57">
            <w:pPr>
              <w:pStyle w:val="Prrafodelista"/>
              <w:widowControl w:val="0"/>
              <w:autoSpaceDE w:val="0"/>
              <w:autoSpaceDN w:val="0"/>
              <w:contextualSpacing w:val="0"/>
              <w:jc w:val="both"/>
              <w:rPr>
                <w:rFonts w:ascii="Verdana" w:hAnsi="Verdana" w:cs="Arial"/>
              </w:rPr>
            </w:pPr>
          </w:p>
          <w:p w14:paraId="7313C863" w14:textId="647FFD76" w:rsidR="00977D20" w:rsidRDefault="00977D20" w:rsidP="00480E57">
            <w:pPr>
              <w:pStyle w:val="Prrafodelista"/>
              <w:widowControl w:val="0"/>
              <w:numPr>
                <w:ilvl w:val="0"/>
                <w:numId w:val="26"/>
              </w:numPr>
              <w:autoSpaceDE w:val="0"/>
              <w:autoSpaceDN w:val="0"/>
              <w:contextualSpacing w:val="0"/>
              <w:jc w:val="both"/>
              <w:rPr>
                <w:rFonts w:ascii="Verdana" w:hAnsi="Verdana" w:cs="Arial"/>
              </w:rPr>
            </w:pPr>
            <w:r>
              <w:rPr>
                <w:rFonts w:ascii="Verdana" w:hAnsi="Verdana" w:cs="Arial"/>
              </w:rPr>
              <w:t xml:space="preserve">Código Civil, artículo 1501. </w:t>
            </w:r>
          </w:p>
          <w:p w14:paraId="1D2B73E2" w14:textId="77777777" w:rsidR="004B3607" w:rsidRPr="004B3607" w:rsidRDefault="004B3607" w:rsidP="00480E57">
            <w:pPr>
              <w:pStyle w:val="Prrafodelista"/>
              <w:widowControl w:val="0"/>
              <w:autoSpaceDE w:val="0"/>
              <w:autoSpaceDN w:val="0"/>
              <w:contextualSpacing w:val="0"/>
              <w:jc w:val="both"/>
              <w:rPr>
                <w:rFonts w:ascii="Verdana" w:hAnsi="Verdana" w:cs="Arial"/>
              </w:rPr>
            </w:pPr>
          </w:p>
          <w:p w14:paraId="62E6C35F" w14:textId="5FBE7B25" w:rsidR="007231C5" w:rsidRDefault="00977D20" w:rsidP="00480E57">
            <w:pPr>
              <w:pStyle w:val="Prrafodelista"/>
              <w:numPr>
                <w:ilvl w:val="0"/>
                <w:numId w:val="20"/>
              </w:numPr>
              <w:contextualSpacing w:val="0"/>
              <w:rPr>
                <w:rFonts w:ascii="Verdana" w:hAnsi="Verdana" w:cs="Arial"/>
              </w:rPr>
            </w:pPr>
            <w:r w:rsidRPr="00977D20">
              <w:rPr>
                <w:rFonts w:ascii="Verdana" w:hAnsi="Verdana" w:cs="Arial"/>
              </w:rPr>
              <w:t xml:space="preserve">Ley 80 de 1993, artículos 6, 13, 32, 39, 40 y 41. </w:t>
            </w:r>
          </w:p>
          <w:p w14:paraId="298716D4" w14:textId="77777777" w:rsidR="004B3607" w:rsidRPr="004B3607" w:rsidRDefault="004B3607" w:rsidP="00480E57">
            <w:pPr>
              <w:pStyle w:val="Prrafodelista"/>
              <w:contextualSpacing w:val="0"/>
              <w:rPr>
                <w:rFonts w:ascii="Verdana" w:hAnsi="Verdana" w:cs="Arial"/>
              </w:rPr>
            </w:pPr>
          </w:p>
          <w:p w14:paraId="55A5D81F" w14:textId="45A82B3E" w:rsidR="007231C5" w:rsidRDefault="00977D20" w:rsidP="00480E57">
            <w:pPr>
              <w:pStyle w:val="Prrafodelista"/>
              <w:widowControl w:val="0"/>
              <w:numPr>
                <w:ilvl w:val="0"/>
                <w:numId w:val="20"/>
              </w:numPr>
              <w:autoSpaceDE w:val="0"/>
              <w:autoSpaceDN w:val="0"/>
              <w:ind w:left="714" w:hanging="357"/>
              <w:contextualSpacing w:val="0"/>
              <w:jc w:val="both"/>
              <w:rPr>
                <w:rFonts w:ascii="Verdana" w:hAnsi="Verdana" w:cs="Arial"/>
              </w:rPr>
            </w:pPr>
            <w:r>
              <w:rPr>
                <w:rFonts w:ascii="Verdana" w:hAnsi="Verdana" w:cs="Arial"/>
              </w:rPr>
              <w:t>Ley 1150 de 2007, artículo 2°</w:t>
            </w:r>
            <w:r w:rsidR="004B3607">
              <w:rPr>
                <w:rFonts w:ascii="Verdana" w:hAnsi="Verdana" w:cs="Arial"/>
              </w:rPr>
              <w:t>.</w:t>
            </w:r>
          </w:p>
          <w:p w14:paraId="5F8FCB27" w14:textId="20443150" w:rsidR="00480E57" w:rsidRPr="00480E57" w:rsidRDefault="00480E57" w:rsidP="00480E57">
            <w:pPr>
              <w:widowControl w:val="0"/>
              <w:autoSpaceDE w:val="0"/>
              <w:autoSpaceDN w:val="0"/>
              <w:jc w:val="both"/>
              <w:rPr>
                <w:rFonts w:ascii="Verdana" w:hAnsi="Verdana" w:cs="Arial"/>
              </w:rPr>
            </w:pPr>
          </w:p>
          <w:p w14:paraId="445AF793" w14:textId="0868F5FF" w:rsidR="007231C5" w:rsidRDefault="007000F0" w:rsidP="00480E57">
            <w:pPr>
              <w:pStyle w:val="Prrafodelista"/>
              <w:widowControl w:val="0"/>
              <w:numPr>
                <w:ilvl w:val="0"/>
                <w:numId w:val="20"/>
              </w:numPr>
              <w:autoSpaceDE w:val="0"/>
              <w:autoSpaceDN w:val="0"/>
              <w:ind w:left="714" w:hanging="357"/>
              <w:contextualSpacing w:val="0"/>
              <w:jc w:val="both"/>
              <w:rPr>
                <w:rFonts w:ascii="Verdana" w:hAnsi="Verdana" w:cs="Arial"/>
              </w:rPr>
            </w:pPr>
            <w:r w:rsidRPr="00862D0B">
              <w:rPr>
                <w:rFonts w:ascii="Verdana" w:hAnsi="Verdana" w:cs="Arial"/>
                <w:lang w:val="es-CO"/>
              </w:rPr>
              <w:t>Decreto 1082 de 2015</w:t>
            </w:r>
            <w:r>
              <w:rPr>
                <w:rFonts w:ascii="Verdana" w:hAnsi="Verdana" w:cs="Arial"/>
              </w:rPr>
              <w:t xml:space="preserve">, artículo </w:t>
            </w:r>
            <w:r w:rsidRPr="00862D0B">
              <w:rPr>
                <w:rFonts w:ascii="Verdana" w:hAnsi="Verdana" w:cs="Arial"/>
                <w:lang w:val="es-CO"/>
              </w:rPr>
              <w:t>2.2.1.2.1.4.4</w:t>
            </w:r>
            <w:r>
              <w:rPr>
                <w:rFonts w:ascii="Verdana" w:hAnsi="Verdana" w:cs="Arial"/>
                <w:lang w:val="es-CO"/>
              </w:rPr>
              <w:t xml:space="preserve"> y </w:t>
            </w:r>
            <w:r w:rsidRPr="00862D0B">
              <w:rPr>
                <w:rFonts w:ascii="Verdana" w:hAnsi="Verdana" w:cs="Arial"/>
                <w:lang w:val="es-CO"/>
              </w:rPr>
              <w:t>2.2.1.2.3.1.5</w:t>
            </w:r>
            <w:r>
              <w:rPr>
                <w:rFonts w:ascii="Verdana" w:hAnsi="Verdana" w:cs="Arial"/>
              </w:rPr>
              <w:t>.</w:t>
            </w:r>
          </w:p>
          <w:p w14:paraId="3DB1DC6D" w14:textId="116DFD4C" w:rsidR="00480E57" w:rsidRPr="00480E57" w:rsidRDefault="00480E57" w:rsidP="00480E57">
            <w:pPr>
              <w:widowControl w:val="0"/>
              <w:autoSpaceDE w:val="0"/>
              <w:autoSpaceDN w:val="0"/>
              <w:jc w:val="both"/>
              <w:rPr>
                <w:rFonts w:ascii="Verdana" w:hAnsi="Verdana" w:cs="Arial"/>
              </w:rPr>
            </w:pPr>
          </w:p>
          <w:p w14:paraId="5325CE12" w14:textId="0F9319B2" w:rsidR="0005204F" w:rsidRPr="004B3607" w:rsidRDefault="007000F0" w:rsidP="00480E57">
            <w:pPr>
              <w:pStyle w:val="Prrafodelista"/>
              <w:numPr>
                <w:ilvl w:val="0"/>
                <w:numId w:val="20"/>
              </w:numPr>
              <w:contextualSpacing w:val="0"/>
              <w:rPr>
                <w:rFonts w:ascii="Verdana" w:hAnsi="Verdana" w:cs="Arial"/>
                <w:lang w:val="es-ES_tradnl"/>
              </w:rPr>
            </w:pPr>
            <w:r>
              <w:rPr>
                <w:rFonts w:ascii="Verdana" w:hAnsi="Verdana" w:cs="Arial"/>
              </w:rPr>
              <w:t>Decreto 092 de 2017, artículo 7.</w:t>
            </w:r>
          </w:p>
          <w:p w14:paraId="22BDA589" w14:textId="1A09FEE1" w:rsidR="007000F0" w:rsidRPr="0005204F" w:rsidRDefault="007000F0" w:rsidP="0005204F">
            <w:pPr>
              <w:jc w:val="both"/>
              <w:rPr>
                <w:rFonts w:ascii="Verdana" w:hAnsi="Verdana" w:cs="Arial"/>
                <w:lang w:val="es-ES_tradnl"/>
              </w:rPr>
            </w:pPr>
          </w:p>
        </w:tc>
      </w:tr>
    </w:tbl>
    <w:p w14:paraId="0665732F" w14:textId="338DB7EA" w:rsidR="000754B0" w:rsidRDefault="000754B0" w:rsidP="009B3595">
      <w:pPr>
        <w:spacing w:line="276" w:lineRule="auto"/>
        <w:ind w:right="709"/>
        <w:contextualSpacing/>
        <w:jc w:val="both"/>
        <w:rPr>
          <w:rFonts w:ascii="Verdana" w:hAnsi="Verdana" w:cs="Arial"/>
          <w:color w:val="000000" w:themeColor="text1"/>
          <w:lang w:val="es-ES_tradnl"/>
        </w:rPr>
      </w:pPr>
    </w:p>
    <w:p w14:paraId="5ED548FF" w14:textId="77777777" w:rsidR="004B3607" w:rsidRPr="00A12CB6" w:rsidRDefault="004B3607" w:rsidP="009B3595">
      <w:pPr>
        <w:spacing w:line="276" w:lineRule="auto"/>
        <w:ind w:right="709"/>
        <w:contextualSpacing/>
        <w:jc w:val="both"/>
        <w:rPr>
          <w:rFonts w:ascii="Verdana" w:hAnsi="Verdana" w:cs="Arial"/>
          <w:color w:val="000000" w:themeColor="text1"/>
          <w:lang w:val="es-ES_tradnl"/>
        </w:rPr>
      </w:pPr>
    </w:p>
    <w:p w14:paraId="7D00749D" w14:textId="77777777" w:rsidR="000754B0" w:rsidRPr="00A12CB6" w:rsidRDefault="000754B0" w:rsidP="000754B0">
      <w:pPr>
        <w:numPr>
          <w:ilvl w:val="0"/>
          <w:numId w:val="19"/>
        </w:num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Doctrina de la Agencia Nacional de Contratación Pública:</w:t>
      </w:r>
    </w:p>
    <w:p w14:paraId="1586A120" w14:textId="77777777" w:rsidR="000754B0" w:rsidRPr="00A12CB6" w:rsidRDefault="000754B0" w:rsidP="000754B0">
      <w:pPr>
        <w:spacing w:after="0" w:line="256" w:lineRule="auto"/>
        <w:rPr>
          <w:rFonts w:ascii="Verdana" w:eastAsia="Calibri" w:hAnsi="Verdana" w:cs="Times New Roman"/>
          <w:lang w:val="es-ES"/>
        </w:rPr>
      </w:pPr>
    </w:p>
    <w:p w14:paraId="68E0064A" w14:textId="48CDC6F0" w:rsidR="000754B0" w:rsidRPr="00A12CB6" w:rsidRDefault="000754B0" w:rsidP="000754B0">
      <w:pPr>
        <w:widowControl w:val="0"/>
        <w:autoSpaceDE w:val="0"/>
        <w:autoSpaceDN w:val="0"/>
        <w:spacing w:after="0" w:line="276" w:lineRule="auto"/>
        <w:jc w:val="both"/>
        <w:rPr>
          <w:rFonts w:ascii="Verdana" w:eastAsia="Calibri" w:hAnsi="Verdana" w:cs="Times New Roman"/>
        </w:rPr>
      </w:pPr>
      <w:r w:rsidRPr="00A12CB6">
        <w:rPr>
          <w:rFonts w:ascii="Verdana" w:hAnsi="Verdana" w:cs="Arial"/>
          <w:shd w:val="clear" w:color="auto" w:fill="FFFFFF"/>
          <w:lang w:val="es-ES"/>
        </w:rPr>
        <w:t>Esta Subdirección se ha pronunciado sobre varios de los temas objeto de la solicitud</w:t>
      </w:r>
      <w:r w:rsidR="007231C5">
        <w:rPr>
          <w:rFonts w:ascii="Verdana" w:hAnsi="Verdana" w:cs="Arial"/>
          <w:shd w:val="clear" w:color="auto" w:fill="FFFFFF"/>
          <w:lang w:val="es-ES"/>
        </w:rPr>
        <w:t xml:space="preserve">, en especial, en los Conceptos </w:t>
      </w:r>
      <w:r w:rsidR="007231C5" w:rsidRPr="007231C5">
        <w:rPr>
          <w:rFonts w:ascii="Verdana" w:hAnsi="Verdana" w:cs="Arial"/>
          <w:shd w:val="clear" w:color="auto" w:fill="FFFFFF"/>
          <w:lang w:val="es-ES"/>
        </w:rPr>
        <w:t>C-599 del 26 de octubre de 2021, C-581 del 16 de septiembre de 2022, C-702 del 9 de noviembre de 2022, C-808 del 25 de noviembre de 2022, C-240 del 14 de septiembre de 2023 y C-4</w:t>
      </w:r>
      <w:r w:rsidR="007231C5">
        <w:rPr>
          <w:rFonts w:ascii="Verdana" w:hAnsi="Verdana" w:cs="Arial"/>
          <w:shd w:val="clear" w:color="auto" w:fill="FFFFFF"/>
          <w:lang w:val="es-ES"/>
        </w:rPr>
        <w:t>44 del 18 de septiembre de 2024, C-993 del 29 de enero de 2025</w:t>
      </w:r>
      <w:r w:rsidR="00977D20">
        <w:rPr>
          <w:rFonts w:ascii="Verdana" w:hAnsi="Verdana" w:cs="Arial"/>
          <w:shd w:val="clear" w:color="auto" w:fill="FFFFFF"/>
          <w:lang w:val="es-ES"/>
        </w:rPr>
        <w:t>, entre otros</w:t>
      </w:r>
      <w:r w:rsidRPr="007231C5">
        <w:rPr>
          <w:rFonts w:ascii="Verdana" w:hAnsi="Verdana" w:cs="Arial"/>
          <w:shd w:val="clear" w:color="auto" w:fill="FFFFFF"/>
          <w:lang w:val="es-ES"/>
        </w:rPr>
        <w:t>.</w:t>
      </w:r>
      <w:r w:rsidRPr="00A12CB6">
        <w:rPr>
          <w:rFonts w:ascii="Verdana" w:hAnsi="Verdana" w:cs="Arial"/>
          <w:shd w:val="clear" w:color="auto" w:fill="FFFFFF"/>
          <w:lang w:val="es-ES"/>
        </w:rPr>
        <w:t xml:space="preserve"> </w:t>
      </w:r>
      <w:r w:rsidRPr="00A12CB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55E3187" w14:textId="77777777" w:rsidR="000754B0" w:rsidRPr="00A12CB6" w:rsidRDefault="00B45288" w:rsidP="000754B0">
      <w:pPr>
        <w:spacing w:after="0" w:line="256" w:lineRule="auto"/>
        <w:jc w:val="both"/>
        <w:rPr>
          <w:rFonts w:ascii="Verdana" w:eastAsia="Calibri" w:hAnsi="Verdana" w:cs="Times New Roman"/>
        </w:rPr>
      </w:pPr>
      <w:hyperlink r:id="rId12" w:history="1">
        <w:r w:rsidR="000754B0" w:rsidRPr="00A12CB6">
          <w:rPr>
            <w:rFonts w:ascii="Verdana" w:eastAsia="Calibri" w:hAnsi="Verdana" w:cs="Times New Roman"/>
            <w:color w:val="0000FF"/>
            <w:u w:val="single"/>
            <w:lang w:val="es-ES"/>
          </w:rPr>
          <w:t>https://relatoria.colombiacompra.gov.co/busqueda/conceptos</w:t>
        </w:r>
      </w:hyperlink>
      <w:r w:rsidR="000754B0" w:rsidRPr="00A12CB6">
        <w:rPr>
          <w:rFonts w:ascii="Verdana" w:eastAsia="Calibri" w:hAnsi="Verdana" w:cs="Times New Roman"/>
        </w:rPr>
        <w:t xml:space="preserve">. </w:t>
      </w:r>
    </w:p>
    <w:p w14:paraId="399EF06B" w14:textId="77777777" w:rsidR="000754B0" w:rsidRPr="00A12CB6" w:rsidRDefault="000754B0" w:rsidP="000754B0">
      <w:pPr>
        <w:spacing w:after="0" w:line="256" w:lineRule="auto"/>
        <w:jc w:val="both"/>
        <w:rPr>
          <w:rFonts w:ascii="Verdana" w:eastAsia="Calibri" w:hAnsi="Verdana" w:cs="Times New Roman"/>
        </w:rPr>
      </w:pPr>
      <w:r w:rsidRPr="00A12CB6">
        <w:rPr>
          <w:rFonts w:ascii="Verdana" w:eastAsia="Calibri" w:hAnsi="Verdana" w:cs="Times New Roman"/>
        </w:rPr>
        <w:br/>
        <w:t>Te informamos que ya se encuentra disponible la </w:t>
      </w:r>
      <w:r w:rsidRPr="00A12CB6">
        <w:rPr>
          <w:rFonts w:ascii="Verdana" w:eastAsia="Calibri" w:hAnsi="Verdana" w:cs="Times New Roman"/>
          <w:b/>
          <w:bCs/>
        </w:rPr>
        <w:t>Cartilla para incentivar y fortalecer el acceso a las compras y contratación pública de los pueblos y comunidades étnicas en Colombia.</w:t>
      </w:r>
      <w:r w:rsidRPr="00A12CB6">
        <w:rPr>
          <w:rFonts w:ascii="Verdana" w:eastAsia="Calibri" w:hAnsi="Verdana" w:cs="Times New Roman"/>
        </w:rPr>
        <w:t xml:space="preserve"> Esta cartilla es una apuesta de la Agencia Nacional de Contratación Pública – Colombia Compra Eficiente, para incentivar la participación de los pueblos y comunidades étnicas en las compras </w:t>
      </w:r>
      <w:r w:rsidRPr="00A12CB6">
        <w:rPr>
          <w:rFonts w:ascii="Verdana" w:eastAsia="Calibri" w:hAnsi="Verdana" w:cs="Times New Roman"/>
        </w:rPr>
        <w:lastRenderedPageBreak/>
        <w:t>y contratación pública, mediante el desarrollo de los principios de igualdad, equidad e inclusión social. Puede consultar la versión actualizada en el siguiente enlace: </w:t>
      </w:r>
      <w:hyperlink r:id="rId13" w:tgtFrame="_blank" w:tooltip="Dirección URL original: https://www.colombiacompra.gov.co/manuales-guias-y-pliegos-tipo/manuales-y-guias/cartilla-para-incentivar-y-fortalecer-el-acceso-las. Haga clic o pulse si confía en este vínculo." w:history="1">
        <w:r w:rsidRPr="00A12CB6">
          <w:rPr>
            <w:rFonts w:ascii="Verdana" w:eastAsia="Calibri" w:hAnsi="Verdana" w:cs="Times New Roman"/>
            <w:color w:val="0000FF"/>
            <w:u w:val="single"/>
          </w:rPr>
          <w:t>Cartilla para incentivar y fortalecer el acceso a las compras y contratación pública de los pueblos y comunidades étnicas en Colombia | Colombia Compra Eficiente | Agencia Nacional de Contratación Pública</w:t>
        </w:r>
      </w:hyperlink>
    </w:p>
    <w:p w14:paraId="217A13C3" w14:textId="77777777" w:rsidR="000754B0" w:rsidRPr="00A12CB6" w:rsidRDefault="000754B0" w:rsidP="000754B0">
      <w:pPr>
        <w:spacing w:after="0" w:line="256" w:lineRule="auto"/>
        <w:jc w:val="both"/>
        <w:rPr>
          <w:rFonts w:ascii="Verdana" w:eastAsia="Calibri" w:hAnsi="Verdana" w:cs="Times New Roman"/>
        </w:rPr>
      </w:pPr>
    </w:p>
    <w:p w14:paraId="6354DFFA" w14:textId="77777777" w:rsidR="000754B0" w:rsidRPr="00A12CB6" w:rsidRDefault="000754B0" w:rsidP="000754B0">
      <w:pPr>
        <w:spacing w:after="0" w:line="256" w:lineRule="auto"/>
        <w:jc w:val="both"/>
        <w:rPr>
          <w:rFonts w:ascii="Verdana" w:eastAsia="Calibri" w:hAnsi="Verdana" w:cs="Times New Roman"/>
        </w:rPr>
      </w:pPr>
      <w:r w:rsidRPr="00A12CB6">
        <w:rPr>
          <w:rFonts w:ascii="Verdana" w:eastAsia="Calibri" w:hAnsi="Verdana" w:cs="Times New Roman"/>
        </w:rPr>
        <w:t>De otra parte, te informamos que, con el objetivo de garantizar un conocimiento adecuado de las </w:t>
      </w:r>
      <w:r w:rsidRPr="00A12CB6">
        <w:rPr>
          <w:rFonts w:ascii="Verdana" w:eastAsia="Calibri" w:hAnsi="Verdana" w:cs="Times New Roman"/>
          <w:b/>
          <w:bCs/>
        </w:rPr>
        <w:t>modificaciones y/o actualizaciones realizadas a los Documentos Tipo</w:t>
      </w:r>
      <w:r w:rsidRPr="00A12CB6">
        <w:rPr>
          <w:rFonts w:ascii="Verdana" w:eastAsia="Calibri" w:hAnsi="Verdana" w:cs="Times New Roman"/>
        </w:rPr>
        <w:t>, hemos programado una serie de </w:t>
      </w:r>
      <w:r w:rsidRPr="00A12CB6">
        <w:rPr>
          <w:rFonts w:ascii="Verdana" w:eastAsia="Calibri" w:hAnsi="Verdana" w:cs="Times New Roman"/>
          <w:b/>
          <w:bCs/>
        </w:rPr>
        <w:t>capacitaciones </w:t>
      </w:r>
      <w:r w:rsidRPr="00A12CB6">
        <w:rPr>
          <w:rFonts w:ascii="Verdana" w:eastAsia="Calibri" w:hAnsi="Verdana" w:cs="Times New Roman"/>
        </w:rPr>
        <w:t>dirigidas a todos los actores involucrados en los procesos de selección. Podrás conocer la programación y realizar tu inscripción a estas capacitaciones a través del siguiente enlace: </w:t>
      </w:r>
      <w:hyperlink r:id="rId14" w:tgtFrame="_blank" w:tooltip="Dirección URL original: https://www.colombiacompra.gov.co/ciudadanos/calendario. Haga clic o pulse si confía en este vínculo." w:history="1">
        <w:r w:rsidRPr="00A12CB6">
          <w:rPr>
            <w:rFonts w:ascii="Verdana" w:eastAsia="Calibri" w:hAnsi="Verdana" w:cs="Times New Roman"/>
            <w:color w:val="0000FF"/>
            <w:u w:val="single"/>
          </w:rPr>
          <w:t>Calendario | Colombia Compra Eficiente | Agencia Nacional de Contratación Pública</w:t>
        </w:r>
      </w:hyperlink>
    </w:p>
    <w:p w14:paraId="4A21663E" w14:textId="77777777" w:rsidR="000754B0" w:rsidRPr="00A12CB6" w:rsidRDefault="000754B0" w:rsidP="000754B0">
      <w:pPr>
        <w:spacing w:after="0" w:line="256" w:lineRule="auto"/>
        <w:jc w:val="both"/>
        <w:rPr>
          <w:rFonts w:ascii="Verdana" w:eastAsia="Calibri" w:hAnsi="Verdana" w:cs="Times New Roman"/>
        </w:rPr>
      </w:pPr>
    </w:p>
    <w:p w14:paraId="7E5C2BFD" w14:textId="77777777" w:rsidR="000754B0" w:rsidRPr="00A12CB6" w:rsidRDefault="000754B0" w:rsidP="000754B0">
      <w:pPr>
        <w:spacing w:after="0" w:line="256" w:lineRule="auto"/>
        <w:jc w:val="both"/>
        <w:rPr>
          <w:rFonts w:ascii="Verdana" w:eastAsia="Calibri" w:hAnsi="Verdana" w:cs="Times New Roman"/>
        </w:rPr>
      </w:pPr>
      <w:r w:rsidRPr="00A12CB6">
        <w:rPr>
          <w:rFonts w:ascii="Verdana" w:eastAsia="Calibri" w:hAnsi="Verdana" w:cs="Times New Roman"/>
        </w:rPr>
        <w:t>También, te contamos que ya publicamos </w:t>
      </w:r>
      <w:r w:rsidRPr="00A12CB6">
        <w:rPr>
          <w:rFonts w:ascii="Verdana" w:eastAsia="Calibri" w:hAnsi="Verdana" w:cs="Times New Roman"/>
          <w:b/>
          <w:bCs/>
        </w:rPr>
        <w:t>la nueva Guía de Contratación Pública Sostenible y Socialmente Responsable</w:t>
      </w:r>
      <w:r w:rsidRPr="00A12CB6">
        <w:rPr>
          <w:rFonts w:ascii="Verdana" w:eastAsia="Calibri" w:hAnsi="Verdana" w:cs="Times New Roman"/>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A12CB6">
          <w:rPr>
            <w:rFonts w:ascii="Verdana" w:eastAsia="Calibri" w:hAnsi="Verdana" w:cs="Times New Roman"/>
            <w:color w:val="0000FF"/>
            <w:u w:val="single"/>
          </w:rPr>
          <w:t>Guía de Contratación Pública Sostenible y Socialmente Responsable | Colombia Compra Eficiente | Agencia Nacional de Contratación Pública</w:t>
        </w:r>
      </w:hyperlink>
    </w:p>
    <w:p w14:paraId="31109673" w14:textId="77777777" w:rsidR="000754B0" w:rsidRPr="00A12CB6" w:rsidRDefault="000754B0" w:rsidP="000754B0">
      <w:pPr>
        <w:spacing w:after="0" w:line="256" w:lineRule="auto"/>
        <w:jc w:val="both"/>
        <w:rPr>
          <w:rFonts w:ascii="Verdana" w:eastAsia="Calibri" w:hAnsi="Verdana" w:cs="Times New Roman"/>
        </w:rPr>
      </w:pPr>
    </w:p>
    <w:p w14:paraId="64689843" w14:textId="77777777" w:rsidR="000754B0" w:rsidRPr="00A12CB6" w:rsidRDefault="000754B0" w:rsidP="000754B0">
      <w:pPr>
        <w:spacing w:after="0" w:line="256" w:lineRule="auto"/>
        <w:jc w:val="both"/>
        <w:rPr>
          <w:rFonts w:ascii="Verdana" w:eastAsia="Calibri" w:hAnsi="Verdana" w:cs="Times New Roman"/>
        </w:rPr>
      </w:pPr>
      <w:r w:rsidRPr="00A12CB6">
        <w:rPr>
          <w:rFonts w:ascii="Verdana" w:eastAsia="Calibri" w:hAnsi="Verdana" w:cs="Times New Roman"/>
        </w:rPr>
        <w:t>Le informamos que ya se encuentran publicados las nuevas versiones de los Documentos Tipo de Interventoría y Consultoría de Infraestructura de Transporte. Conoce todos los detalles en los siguientes enlaces: </w:t>
      </w:r>
      <w:hyperlink r:id="rId16" w:tgtFrame="_blank" w:tooltip="Dirección URL original: https://www.colombiacompra.gov.co/content/borrador-de-documentos-tipo-de-consultoria-de-obra-publica-de-infraestructura-de-transporte. Haga clic o pulse si confía en este vínculo." w:history="1">
        <w:r w:rsidRPr="00A12CB6">
          <w:rPr>
            <w:rFonts w:ascii="Verdana" w:eastAsia="Calibri" w:hAnsi="Verdana" w:cs="Times New Roman"/>
            <w:color w:val="0000FF"/>
            <w:u w:val="single"/>
          </w:rPr>
          <w:t>https://www.colombiacompra.gov.co/content/borrador-de-documentos-tipo-de-consultoria-de-obra-publica-de-infraestructura-de-transporte</w:t>
        </w:r>
      </w:hyperlink>
      <w:r w:rsidRPr="00A12CB6">
        <w:rPr>
          <w:rFonts w:ascii="Verdana" w:eastAsia="Calibri" w:hAnsi="Verdana" w:cs="Times New Roman"/>
        </w:rPr>
        <w:t> y </w:t>
      </w:r>
      <w:hyperlink r:id="rId17" w:tgtFrame="_blank" w:tooltip="Dirección URL original: https://www.colombiacompra.gov.co/content/borrador-de-documentos-tipo-de-interventoria-de-obra-publica-de-infraestructura-de. Haga clic o pulse si confía en este vínculo." w:history="1">
        <w:r w:rsidRPr="00A12CB6">
          <w:rPr>
            <w:rFonts w:ascii="Verdana" w:eastAsia="Calibri" w:hAnsi="Verdana" w:cs="Times New Roman"/>
            <w:color w:val="0000FF"/>
            <w:u w:val="single"/>
          </w:rPr>
          <w:t>https://www.colombiacompra.gov.co/content/borrador-de-documentos-tipo-de-interventoria-de-obra-publica-de-infraestructura-de</w:t>
        </w:r>
      </w:hyperlink>
      <w:r w:rsidRPr="00A12CB6">
        <w:rPr>
          <w:rFonts w:ascii="Verdana" w:eastAsia="Calibri" w:hAnsi="Verdana" w:cs="Times New Roman"/>
        </w:rPr>
        <w:t> .</w:t>
      </w:r>
    </w:p>
    <w:p w14:paraId="1BA61E0E" w14:textId="77777777" w:rsidR="000754B0" w:rsidRPr="00A12CB6" w:rsidRDefault="000754B0" w:rsidP="000754B0">
      <w:pPr>
        <w:spacing w:after="0" w:line="256" w:lineRule="auto"/>
        <w:jc w:val="both"/>
        <w:rPr>
          <w:rFonts w:ascii="Verdana" w:eastAsia="Calibri" w:hAnsi="Verdana" w:cs="Times New Roman"/>
          <w:lang w:val="es-ES"/>
        </w:rPr>
      </w:pPr>
    </w:p>
    <w:p w14:paraId="4EDBBF26" w14:textId="77777777" w:rsidR="000754B0" w:rsidRPr="00A12CB6" w:rsidRDefault="000754B0" w:rsidP="000754B0">
      <w:pPr>
        <w:spacing w:after="0" w:line="256" w:lineRule="auto"/>
        <w:rPr>
          <w:rFonts w:ascii="Verdana" w:eastAsia="Calibri" w:hAnsi="Verdana" w:cs="Times New Roman"/>
        </w:rPr>
      </w:pPr>
      <w:r w:rsidRPr="00A12CB6">
        <w:rPr>
          <w:rFonts w:ascii="Verdana" w:eastAsia="Calibri" w:hAnsi="Verdana" w:cs="Times New Roman"/>
        </w:rPr>
        <w:t xml:space="preserve">Por último, lo invitamos a seguirnos en las redes sociales en las cuales se difunde información institucional: </w:t>
      </w:r>
    </w:p>
    <w:p w14:paraId="5F40FA42" w14:textId="77777777" w:rsidR="000754B0" w:rsidRPr="00A12CB6" w:rsidRDefault="000754B0" w:rsidP="000754B0">
      <w:pPr>
        <w:spacing w:after="0" w:line="256" w:lineRule="auto"/>
        <w:rPr>
          <w:rFonts w:ascii="Verdana" w:eastAsia="Calibri" w:hAnsi="Verdana" w:cs="Times New Roman"/>
        </w:rPr>
      </w:pPr>
    </w:p>
    <w:p w14:paraId="5ACD8D91" w14:textId="77777777" w:rsidR="000754B0" w:rsidRPr="00A12CB6" w:rsidRDefault="000754B0" w:rsidP="000754B0">
      <w:pPr>
        <w:spacing w:after="0" w:line="256" w:lineRule="auto"/>
        <w:rPr>
          <w:rFonts w:ascii="Verdana" w:eastAsia="Calibri" w:hAnsi="Verdana" w:cs="Times New Roman"/>
        </w:rPr>
      </w:pPr>
      <w:r w:rsidRPr="00A12CB6">
        <w:rPr>
          <w:rFonts w:ascii="Verdana" w:eastAsia="Calibri" w:hAnsi="Verdana" w:cs="Times New Roman"/>
        </w:rPr>
        <w:t xml:space="preserve">Twitter: </w:t>
      </w:r>
      <w:r w:rsidRPr="00A12CB6">
        <w:rPr>
          <w:rFonts w:ascii="Verdana" w:eastAsia="Calibri" w:hAnsi="Verdana" w:cs="Times New Roman"/>
          <w:u w:val="single"/>
        </w:rPr>
        <w:t>@colombiacompra</w:t>
      </w:r>
      <w:r w:rsidRPr="00A12CB6">
        <w:rPr>
          <w:rFonts w:ascii="Verdana" w:eastAsia="Calibri" w:hAnsi="Verdana" w:cs="Times New Roman"/>
        </w:rPr>
        <w:t xml:space="preserve"> </w:t>
      </w:r>
    </w:p>
    <w:p w14:paraId="1ABCDA7B" w14:textId="77777777" w:rsidR="000754B0" w:rsidRPr="00A12CB6" w:rsidRDefault="000754B0" w:rsidP="000754B0">
      <w:pPr>
        <w:spacing w:after="0" w:line="256" w:lineRule="auto"/>
        <w:rPr>
          <w:rFonts w:ascii="Verdana" w:eastAsia="Calibri" w:hAnsi="Verdana" w:cs="Times New Roman"/>
        </w:rPr>
      </w:pPr>
      <w:r w:rsidRPr="00A12CB6">
        <w:rPr>
          <w:rFonts w:ascii="Verdana" w:eastAsia="Calibri" w:hAnsi="Verdana" w:cs="Times New Roman"/>
        </w:rPr>
        <w:t xml:space="preserve">Facebook: </w:t>
      </w:r>
      <w:r w:rsidRPr="00A12CB6">
        <w:rPr>
          <w:rFonts w:ascii="Verdana" w:eastAsia="Calibri" w:hAnsi="Verdana" w:cs="Times New Roman"/>
          <w:u w:val="single"/>
        </w:rPr>
        <w:t>ColombiaCompraEficiente</w:t>
      </w:r>
    </w:p>
    <w:p w14:paraId="5A165C40" w14:textId="77777777" w:rsidR="000754B0" w:rsidRPr="00A12CB6" w:rsidRDefault="000754B0" w:rsidP="000754B0">
      <w:pPr>
        <w:spacing w:after="0" w:line="256" w:lineRule="auto"/>
        <w:rPr>
          <w:rFonts w:ascii="Verdana" w:eastAsia="Calibri" w:hAnsi="Verdana" w:cs="Times New Roman"/>
          <w:u w:val="single"/>
        </w:rPr>
      </w:pPr>
      <w:r w:rsidRPr="00A12CB6">
        <w:rPr>
          <w:rFonts w:ascii="Verdana" w:eastAsia="Calibri" w:hAnsi="Verdana" w:cs="Times New Roman"/>
        </w:rPr>
        <w:t xml:space="preserve">LinkedIn: </w:t>
      </w:r>
      <w:r w:rsidRPr="00A12CB6">
        <w:rPr>
          <w:rFonts w:ascii="Verdana" w:eastAsia="Calibri" w:hAnsi="Verdana" w:cs="Times New Roman"/>
          <w:u w:val="single"/>
        </w:rPr>
        <w:t>Agencia Nacional de Contratación Pública - Colombia Compra Eficiente</w:t>
      </w:r>
      <w:r w:rsidRPr="00A12CB6">
        <w:rPr>
          <w:rFonts w:ascii="Verdana" w:eastAsia="Calibri" w:hAnsi="Verdana" w:cs="Times New Roman"/>
        </w:rPr>
        <w:t xml:space="preserve"> Instagram: </w:t>
      </w:r>
      <w:r w:rsidRPr="00A12CB6">
        <w:rPr>
          <w:rFonts w:ascii="Verdana" w:eastAsia="Calibri" w:hAnsi="Verdana" w:cs="Times New Roman"/>
          <w:u w:val="single"/>
        </w:rPr>
        <w:t>@colombiacompraeficiente_cce</w:t>
      </w:r>
    </w:p>
    <w:p w14:paraId="26DDEC9A" w14:textId="77777777" w:rsidR="000754B0" w:rsidRPr="00A12CB6" w:rsidRDefault="000754B0" w:rsidP="000754B0">
      <w:pPr>
        <w:spacing w:after="0" w:line="256" w:lineRule="auto"/>
        <w:rPr>
          <w:rFonts w:ascii="Verdana" w:eastAsia="Calibri" w:hAnsi="Verdana" w:cs="Times New Roman"/>
          <w:b/>
          <w:bCs/>
        </w:rPr>
      </w:pPr>
    </w:p>
    <w:p w14:paraId="2ACA9242" w14:textId="77777777" w:rsidR="000754B0" w:rsidRPr="00A12CB6" w:rsidRDefault="000754B0" w:rsidP="000754B0">
      <w:pPr>
        <w:spacing w:after="0" w:line="256" w:lineRule="auto"/>
        <w:jc w:val="both"/>
        <w:rPr>
          <w:rFonts w:ascii="Verdana" w:eastAsia="Calibri" w:hAnsi="Verdana" w:cs="Times New Roman"/>
          <w:bCs/>
          <w:lang w:val="es-ES_tradnl"/>
        </w:rPr>
      </w:pPr>
      <w:r w:rsidRPr="00A12CB6">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A12CB6">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3859BE4D" w14:textId="77777777" w:rsidR="000754B0" w:rsidRPr="00A12CB6" w:rsidRDefault="000754B0" w:rsidP="000754B0">
      <w:pPr>
        <w:spacing w:after="0" w:line="256" w:lineRule="auto"/>
        <w:jc w:val="both"/>
        <w:rPr>
          <w:rFonts w:ascii="Verdana" w:eastAsia="Calibri" w:hAnsi="Verdana" w:cs="Times New Roman"/>
        </w:rPr>
      </w:pPr>
    </w:p>
    <w:p w14:paraId="65E65F05" w14:textId="77777777" w:rsidR="000754B0" w:rsidRPr="00A12CB6" w:rsidRDefault="000754B0" w:rsidP="000754B0">
      <w:pPr>
        <w:spacing w:after="0" w:line="256" w:lineRule="auto"/>
        <w:jc w:val="both"/>
        <w:rPr>
          <w:rFonts w:ascii="Verdana" w:eastAsia="Calibri" w:hAnsi="Verdana" w:cs="Times New Roman"/>
        </w:rPr>
      </w:pPr>
      <w:r w:rsidRPr="00A12CB6">
        <w:rPr>
          <w:rFonts w:ascii="Verdana" w:eastAsia="Calibri" w:hAnsi="Verdana" w:cs="Times New Roman"/>
        </w:rPr>
        <w:t>Atentamente,</w:t>
      </w:r>
    </w:p>
    <w:p w14:paraId="51D834DB" w14:textId="77777777" w:rsidR="000754B0" w:rsidRPr="00A12CB6" w:rsidRDefault="000754B0" w:rsidP="000754B0">
      <w:pPr>
        <w:spacing w:after="0" w:line="256" w:lineRule="auto"/>
        <w:rPr>
          <w:rFonts w:ascii="Verdana" w:eastAsia="Calibri" w:hAnsi="Verdana" w:cs="Times New Roman"/>
          <w:lang w:val="es-ES"/>
        </w:rPr>
      </w:pPr>
    </w:p>
    <w:p w14:paraId="6E70A0EE" w14:textId="47C91871" w:rsidR="000754B0" w:rsidRDefault="004B3607" w:rsidP="000754B0">
      <w:pPr>
        <w:spacing w:after="0" w:line="256" w:lineRule="auto"/>
        <w:jc w:val="center"/>
        <w:rPr>
          <w:rFonts w:ascii="Century Gothic" w:hAnsi="Century Gothic"/>
          <w:noProof/>
          <w:lang w:val="en-US"/>
        </w:rPr>
      </w:pPr>
      <w:r>
        <w:rPr>
          <w:noProof/>
          <w:lang w:val="en-US"/>
        </w:rPr>
        <w:drawing>
          <wp:inline distT="0" distB="0" distL="0" distR="0" wp14:anchorId="1D2A8831" wp14:editId="2D3977B2">
            <wp:extent cx="3554652" cy="1369772"/>
            <wp:effectExtent l="0" t="0" r="8255"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572152" cy="1376515"/>
                    </a:xfrm>
                    <a:prstGeom prst="rect">
                      <a:avLst/>
                    </a:prstGeom>
                  </pic:spPr>
                </pic:pic>
              </a:graphicData>
            </a:graphic>
          </wp:inline>
        </w:drawing>
      </w:r>
    </w:p>
    <w:p w14:paraId="08BB7CFF" w14:textId="77777777" w:rsidR="00480E57" w:rsidRDefault="00480E57" w:rsidP="000754B0">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754B0" w:rsidRPr="00A12CB6" w14:paraId="3DF61061" w14:textId="77777777" w:rsidTr="005907A3">
        <w:trPr>
          <w:trHeight w:val="409"/>
        </w:trPr>
        <w:tc>
          <w:tcPr>
            <w:tcW w:w="817" w:type="dxa"/>
            <w:tcBorders>
              <w:top w:val="nil"/>
              <w:left w:val="nil"/>
              <w:bottom w:val="nil"/>
              <w:right w:val="nil"/>
            </w:tcBorders>
            <w:vAlign w:val="center"/>
            <w:hideMark/>
          </w:tcPr>
          <w:p w14:paraId="6D8A3C5F"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B3B081D"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José Luis Sánchez Cardona</w:t>
            </w:r>
          </w:p>
          <w:p w14:paraId="52B32743"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Contratista de la Subdirección de Gestión Contractual</w:t>
            </w:r>
          </w:p>
        </w:tc>
      </w:tr>
      <w:tr w:rsidR="000754B0" w:rsidRPr="00A12CB6" w14:paraId="6D1FAB27" w14:textId="77777777" w:rsidTr="005907A3">
        <w:trPr>
          <w:trHeight w:val="409"/>
        </w:trPr>
        <w:tc>
          <w:tcPr>
            <w:tcW w:w="817" w:type="dxa"/>
            <w:tcBorders>
              <w:top w:val="nil"/>
              <w:left w:val="nil"/>
              <w:bottom w:val="nil"/>
              <w:right w:val="nil"/>
            </w:tcBorders>
            <w:vAlign w:val="center"/>
            <w:hideMark/>
          </w:tcPr>
          <w:p w14:paraId="23DF2751"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2F40C3E" w14:textId="1717AFE8" w:rsidR="000754B0" w:rsidRPr="00A12CB6" w:rsidRDefault="0005204F" w:rsidP="005907A3">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27867ABF" w14:textId="34363038" w:rsidR="000754B0" w:rsidRPr="00A12CB6" w:rsidRDefault="0005204F" w:rsidP="0005204F">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Contratista </w:t>
            </w:r>
            <w:r w:rsidR="000754B0" w:rsidRPr="00A12CB6">
              <w:rPr>
                <w:rFonts w:ascii="Verdana" w:eastAsia="Calibri" w:hAnsi="Verdana" w:cs="Times New Roman"/>
                <w:sz w:val="16"/>
                <w:szCs w:val="16"/>
              </w:rPr>
              <w:t>de la Subdirección de Gestión Contractual </w:t>
            </w:r>
          </w:p>
        </w:tc>
      </w:tr>
      <w:tr w:rsidR="000754B0" w:rsidRPr="00A12CB6" w14:paraId="3DF530C6" w14:textId="77777777" w:rsidTr="005907A3">
        <w:trPr>
          <w:trHeight w:val="389"/>
        </w:trPr>
        <w:tc>
          <w:tcPr>
            <w:tcW w:w="817" w:type="dxa"/>
            <w:tcBorders>
              <w:top w:val="nil"/>
              <w:left w:val="nil"/>
              <w:bottom w:val="nil"/>
              <w:right w:val="nil"/>
            </w:tcBorders>
            <w:vAlign w:val="center"/>
            <w:hideMark/>
          </w:tcPr>
          <w:p w14:paraId="72F5F917"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161E65B"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Carolina Quintero Gacharná</w:t>
            </w:r>
          </w:p>
          <w:p w14:paraId="03CF2CC5" w14:textId="77777777" w:rsidR="000754B0" w:rsidRPr="00A12CB6" w:rsidRDefault="000754B0" w:rsidP="005907A3">
            <w:pPr>
              <w:spacing w:after="0" w:line="256" w:lineRule="auto"/>
              <w:rPr>
                <w:rFonts w:ascii="Verdana" w:eastAsia="Calibri" w:hAnsi="Verdana" w:cs="Times New Roman"/>
                <w:sz w:val="16"/>
                <w:szCs w:val="16"/>
              </w:rPr>
            </w:pPr>
            <w:r w:rsidRPr="00A12CB6">
              <w:rPr>
                <w:rFonts w:ascii="Verdana" w:eastAsia="Calibri" w:hAnsi="Verdana" w:cs="Times New Roman"/>
                <w:sz w:val="16"/>
                <w:szCs w:val="16"/>
              </w:rPr>
              <w:t>Subdirectora de Gestión Contractual ANCP – CCE</w:t>
            </w:r>
          </w:p>
        </w:tc>
      </w:tr>
      <w:bookmarkEnd w:id="0"/>
    </w:tbl>
    <w:p w14:paraId="0F293BF4" w14:textId="360CC3D1" w:rsidR="00127233" w:rsidRPr="00354BCA" w:rsidRDefault="00127233" w:rsidP="00EA1CD8">
      <w:pPr>
        <w:rPr>
          <w:rFonts w:ascii="Verdana" w:hAnsi="Verdana"/>
        </w:rPr>
      </w:pPr>
    </w:p>
    <w:sectPr w:rsidR="00127233" w:rsidRPr="00354BCA"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08E37" w14:textId="77777777" w:rsidR="00B45288" w:rsidRDefault="00B45288" w:rsidP="004A1847">
      <w:pPr>
        <w:spacing w:after="0" w:line="240" w:lineRule="auto"/>
      </w:pPr>
      <w:r>
        <w:separator/>
      </w:r>
    </w:p>
  </w:endnote>
  <w:endnote w:type="continuationSeparator" w:id="0">
    <w:p w14:paraId="4432F121" w14:textId="77777777" w:rsidR="00B45288" w:rsidRDefault="00B45288" w:rsidP="004A1847">
      <w:pPr>
        <w:spacing w:after="0" w:line="240" w:lineRule="auto"/>
      </w:pPr>
      <w:r>
        <w:continuationSeparator/>
      </w:r>
    </w:p>
  </w:endnote>
  <w:endnote w:type="continuationNotice" w:id="1">
    <w:p w14:paraId="0DA5B830" w14:textId="77777777" w:rsidR="00B45288" w:rsidRDefault="00B452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00A45633"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B12C2" w:rsidRPr="00DB12C2">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1088E" w14:textId="77777777" w:rsidR="00B45288" w:rsidRDefault="00B45288" w:rsidP="004A1847">
      <w:pPr>
        <w:spacing w:after="0" w:line="240" w:lineRule="auto"/>
      </w:pPr>
      <w:r>
        <w:separator/>
      </w:r>
    </w:p>
  </w:footnote>
  <w:footnote w:type="continuationSeparator" w:id="0">
    <w:p w14:paraId="4975CEFD" w14:textId="77777777" w:rsidR="00B45288" w:rsidRDefault="00B45288" w:rsidP="004A1847">
      <w:pPr>
        <w:spacing w:after="0" w:line="240" w:lineRule="auto"/>
      </w:pPr>
      <w:r>
        <w:continuationSeparator/>
      </w:r>
    </w:p>
  </w:footnote>
  <w:footnote w:type="continuationNotice" w:id="1">
    <w:p w14:paraId="600136D3" w14:textId="77777777" w:rsidR="00B45288" w:rsidRDefault="00B45288">
      <w:pPr>
        <w:spacing w:after="0" w:line="240" w:lineRule="auto"/>
      </w:pPr>
    </w:p>
  </w:footnote>
  <w:footnote w:id="2">
    <w:p w14:paraId="1F8B3B80" w14:textId="77777777" w:rsidR="001264F4" w:rsidRPr="005F70F5" w:rsidRDefault="001264F4" w:rsidP="001264F4">
      <w:pPr>
        <w:pStyle w:val="Textonotapie"/>
        <w:ind w:firstLine="708"/>
        <w:jc w:val="both"/>
        <w:rPr>
          <w:rFonts w:ascii="Verdana" w:hAnsi="Verdana" w:cs="Arial"/>
          <w:sz w:val="16"/>
          <w:szCs w:val="16"/>
          <w:lang w:val="es-ES"/>
        </w:rPr>
      </w:pPr>
      <w:r w:rsidRPr="005F70F5">
        <w:rPr>
          <w:rStyle w:val="Refdenotaalpie"/>
          <w:rFonts w:ascii="Verdana" w:hAnsi="Verdana" w:cs="Arial"/>
          <w:sz w:val="16"/>
          <w:szCs w:val="16"/>
        </w:rPr>
        <w:footnoteRef/>
      </w:r>
      <w:r w:rsidRPr="005F70F5">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3B7654CC" w14:textId="77777777" w:rsidR="001264F4" w:rsidRPr="005F70F5" w:rsidRDefault="001264F4" w:rsidP="001264F4">
      <w:pPr>
        <w:pStyle w:val="Textonotapie"/>
        <w:ind w:firstLine="708"/>
        <w:jc w:val="both"/>
        <w:rPr>
          <w:rFonts w:ascii="Verdana" w:hAnsi="Verdana" w:cs="Arial"/>
          <w:sz w:val="16"/>
          <w:szCs w:val="16"/>
          <w:lang w:val="es-ES"/>
        </w:rPr>
      </w:pPr>
      <w:r w:rsidRPr="005F70F5">
        <w:rPr>
          <w:rStyle w:val="Refdenotaalpie"/>
          <w:rFonts w:ascii="Verdana" w:hAnsi="Verdana" w:cs="Arial"/>
          <w:sz w:val="16"/>
          <w:szCs w:val="16"/>
        </w:rPr>
        <w:footnoteRef/>
      </w:r>
      <w:r w:rsidRPr="005F70F5">
        <w:rPr>
          <w:rFonts w:ascii="Verdana" w:hAnsi="Verdana" w:cs="Arial"/>
          <w:sz w:val="16"/>
          <w:szCs w:val="16"/>
        </w:rPr>
        <w:t xml:space="preserve"> BETANCUR JARAMILLO, Carlos. Derecho procesal administrativo. Octava edición. Medellín: Señal Editora, 2013. p. 627. </w:t>
      </w:r>
    </w:p>
  </w:footnote>
  <w:footnote w:id="4">
    <w:p w14:paraId="459FF1E6" w14:textId="41AE75A0" w:rsidR="001264F4" w:rsidRDefault="001264F4" w:rsidP="001264F4">
      <w:pPr>
        <w:pStyle w:val="Textonotapie"/>
        <w:ind w:firstLine="708"/>
        <w:jc w:val="both"/>
        <w:rPr>
          <w:rFonts w:ascii="Verdana" w:hAnsi="Verdana"/>
          <w:sz w:val="16"/>
          <w:szCs w:val="16"/>
        </w:rPr>
      </w:pPr>
      <w:r w:rsidRPr="00E57ED8">
        <w:rPr>
          <w:rStyle w:val="Refdenotaalpie"/>
          <w:rFonts w:ascii="Verdana" w:hAnsi="Verdana"/>
          <w:sz w:val="16"/>
          <w:szCs w:val="16"/>
        </w:rPr>
        <w:footnoteRef/>
      </w:r>
      <w:r w:rsidRPr="00E57ED8">
        <w:rPr>
          <w:rFonts w:ascii="Verdana" w:hAnsi="Verdana"/>
          <w:sz w:val="16"/>
          <w:szCs w:val="16"/>
        </w:rPr>
        <w:t xml:space="preserve"> </w:t>
      </w:r>
      <w:r>
        <w:rPr>
          <w:rFonts w:ascii="Verdana" w:hAnsi="Verdana"/>
          <w:sz w:val="16"/>
          <w:szCs w:val="16"/>
        </w:rPr>
        <w:t>OSPINA FERNÁNDEZ, Guillermo &amp; OSPINA ACOSTA, Eduardo. Teoría General del Contrato y del Negocio Jurídico. Séptima edición. Bogotá: Temis, 2021. p. 50.</w:t>
      </w:r>
    </w:p>
    <w:p w14:paraId="5CE35064" w14:textId="77777777" w:rsidR="00480E57" w:rsidRPr="00E57ED8" w:rsidRDefault="00480E57" w:rsidP="001264F4">
      <w:pPr>
        <w:pStyle w:val="Textonotapie"/>
        <w:ind w:firstLine="708"/>
        <w:jc w:val="both"/>
        <w:rPr>
          <w:rFonts w:ascii="Verdana" w:hAnsi="Verdana"/>
          <w:sz w:val="16"/>
          <w:szCs w:val="16"/>
          <w:lang w:val="es-CO"/>
        </w:rPr>
      </w:pPr>
    </w:p>
  </w:footnote>
  <w:footnote w:id="5">
    <w:p w14:paraId="240FCB97" w14:textId="77777777" w:rsidR="001264F4" w:rsidRPr="00D239E3" w:rsidRDefault="001264F4" w:rsidP="001264F4">
      <w:pPr>
        <w:pStyle w:val="Textonotapie"/>
        <w:ind w:firstLine="708"/>
        <w:jc w:val="both"/>
        <w:rPr>
          <w:rFonts w:ascii="Verdana" w:hAnsi="Verdana"/>
          <w:sz w:val="16"/>
          <w:szCs w:val="16"/>
        </w:rPr>
      </w:pPr>
      <w:r w:rsidRPr="005F70F5">
        <w:rPr>
          <w:rStyle w:val="Refdenotaalpie"/>
          <w:rFonts w:ascii="Verdana" w:hAnsi="Verdana"/>
          <w:sz w:val="16"/>
          <w:szCs w:val="16"/>
        </w:rPr>
        <w:footnoteRef/>
      </w:r>
      <w:r w:rsidRPr="005F70F5">
        <w:rPr>
          <w:rFonts w:ascii="Verdana" w:hAnsi="Verdana"/>
          <w:sz w:val="16"/>
          <w:szCs w:val="16"/>
        </w:rPr>
        <w:t xml:space="preserve"> SUÁREZ BELTRÁN, Gonzalo. Estudios de derecho público contractual: Bogotá: Legis, 2014. p. 238. Al respecto, la doctrina </w:t>
      </w:r>
      <w:r w:rsidRPr="00D239E3">
        <w:rPr>
          <w:rFonts w:ascii="Verdana" w:hAnsi="Verdana"/>
          <w:sz w:val="16"/>
          <w:szCs w:val="16"/>
        </w:rPr>
        <w:t xml:space="preserve">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6">
    <w:p w14:paraId="0D021AD4" w14:textId="6B1D09A8" w:rsidR="001264F4" w:rsidRDefault="001264F4" w:rsidP="001264F4">
      <w:pPr>
        <w:pStyle w:val="Textonotapie"/>
        <w:ind w:firstLine="708"/>
        <w:jc w:val="both"/>
        <w:rPr>
          <w:rFonts w:ascii="Verdana" w:hAnsi="Verdana"/>
          <w:color w:val="000000" w:themeColor="text1"/>
          <w:sz w:val="16"/>
          <w:szCs w:val="16"/>
        </w:rPr>
      </w:pPr>
      <w:r w:rsidRPr="00D239E3">
        <w:rPr>
          <w:rStyle w:val="Refdenotaalpie"/>
          <w:rFonts w:ascii="Verdana" w:hAnsi="Verdana"/>
          <w:sz w:val="16"/>
          <w:szCs w:val="16"/>
        </w:rPr>
        <w:footnoteRef/>
      </w:r>
      <w:r w:rsidRPr="00D239E3">
        <w:rPr>
          <w:rFonts w:ascii="Verdana" w:hAnsi="Verdana"/>
          <w:sz w:val="16"/>
          <w:szCs w:val="16"/>
        </w:rPr>
        <w:t xml:space="preserve"> </w:t>
      </w:r>
      <w:r w:rsidRPr="00D239E3">
        <w:rPr>
          <w:rFonts w:ascii="Verdana" w:hAnsi="Verdana"/>
          <w:color w:val="000000" w:themeColor="text1"/>
          <w:sz w:val="16"/>
          <w:szCs w:val="16"/>
        </w:rPr>
        <w:t>CONSEJO DE ESTADO. Sala de Consulta y Servicio Civil. Concepto del 5 de septiembre de 2018. Rad. 2.386. C.P. Edgar González López.</w:t>
      </w:r>
    </w:p>
    <w:p w14:paraId="540871EF" w14:textId="77777777" w:rsidR="00480E57" w:rsidRPr="00D239E3" w:rsidRDefault="00480E57" w:rsidP="001264F4">
      <w:pPr>
        <w:pStyle w:val="Textonotapie"/>
        <w:ind w:firstLine="708"/>
        <w:jc w:val="both"/>
        <w:rPr>
          <w:rFonts w:ascii="Verdana" w:hAnsi="Verdana"/>
          <w:color w:val="000000" w:themeColor="text1"/>
          <w:sz w:val="16"/>
          <w:szCs w:val="16"/>
        </w:rPr>
      </w:pPr>
    </w:p>
  </w:footnote>
  <w:footnote w:id="7">
    <w:p w14:paraId="24CBE89F" w14:textId="78D47178" w:rsidR="001264F4" w:rsidRDefault="001264F4" w:rsidP="001264F4">
      <w:pPr>
        <w:pStyle w:val="Textonotapie"/>
        <w:ind w:firstLine="708"/>
        <w:jc w:val="both"/>
        <w:rPr>
          <w:rFonts w:ascii="Verdana" w:hAnsi="Verdana"/>
          <w:sz w:val="16"/>
          <w:szCs w:val="16"/>
        </w:rPr>
      </w:pPr>
      <w:r w:rsidRPr="00E57ED8">
        <w:rPr>
          <w:rStyle w:val="Refdenotaalpie"/>
          <w:rFonts w:ascii="Verdana" w:hAnsi="Verdana"/>
          <w:sz w:val="16"/>
          <w:szCs w:val="16"/>
        </w:rPr>
        <w:footnoteRef/>
      </w:r>
      <w:r w:rsidRPr="00E57ED8">
        <w:rPr>
          <w:rFonts w:ascii="Verdana" w:hAnsi="Verdana"/>
          <w:sz w:val="16"/>
          <w:szCs w:val="16"/>
        </w:rPr>
        <w:t xml:space="preserve"> REYES GARCÉS</w:t>
      </w:r>
      <w:r>
        <w:rPr>
          <w:rFonts w:ascii="Verdana" w:hAnsi="Verdana"/>
          <w:sz w:val="16"/>
          <w:szCs w:val="16"/>
        </w:rPr>
        <w:t xml:space="preserve">, </w:t>
      </w:r>
      <w:r w:rsidRPr="00E57ED8">
        <w:rPr>
          <w:rFonts w:ascii="Verdana" w:hAnsi="Verdana"/>
          <w:sz w:val="16"/>
          <w:szCs w:val="16"/>
        </w:rPr>
        <w:t xml:space="preserve">Henry Mauricio </w:t>
      </w:r>
      <w:r>
        <w:rPr>
          <w:rFonts w:ascii="Verdana" w:hAnsi="Verdana"/>
          <w:sz w:val="16"/>
          <w:szCs w:val="16"/>
        </w:rPr>
        <w:t xml:space="preserve">&amp; </w:t>
      </w:r>
      <w:r w:rsidRPr="00E57ED8">
        <w:rPr>
          <w:rFonts w:ascii="Verdana" w:hAnsi="Verdana"/>
          <w:sz w:val="16"/>
          <w:szCs w:val="16"/>
        </w:rPr>
        <w:t>RODRÍGUEZ BURBANO</w:t>
      </w:r>
      <w:r>
        <w:rPr>
          <w:rFonts w:ascii="Verdana" w:hAnsi="Verdana"/>
          <w:sz w:val="16"/>
          <w:szCs w:val="16"/>
        </w:rPr>
        <w:t>,</w:t>
      </w:r>
      <w:r w:rsidRPr="00E57ED8">
        <w:rPr>
          <w:rFonts w:ascii="Verdana" w:hAnsi="Verdana"/>
          <w:sz w:val="16"/>
          <w:szCs w:val="16"/>
        </w:rPr>
        <w:t xml:space="preserve"> Aura Yolima</w:t>
      </w:r>
      <w:r>
        <w:rPr>
          <w:rFonts w:ascii="Verdana" w:hAnsi="Verdana"/>
          <w:sz w:val="16"/>
          <w:szCs w:val="16"/>
        </w:rPr>
        <w:t xml:space="preserve">. </w:t>
      </w:r>
      <w:r w:rsidRPr="00D4038C">
        <w:rPr>
          <w:rFonts w:ascii="Verdana" w:hAnsi="Verdana"/>
          <w:sz w:val="16"/>
          <w:szCs w:val="16"/>
        </w:rPr>
        <w:t>Una apuesta por el concepto de persona razonable: análisis a partir del contrato atípico de servicios logísticos</w:t>
      </w:r>
      <w:r>
        <w:rPr>
          <w:rFonts w:ascii="Verdana" w:hAnsi="Verdana"/>
          <w:sz w:val="16"/>
          <w:szCs w:val="16"/>
        </w:rPr>
        <w:t xml:space="preserve">. Consultado el 11 de noviembre en la página web </w:t>
      </w:r>
      <w:hyperlink r:id="rId1" w:anchor="toc" w:history="1">
        <w:r w:rsidRPr="00880444">
          <w:rPr>
            <w:rStyle w:val="Hipervnculo"/>
            <w:rFonts w:ascii="Verdana" w:hAnsi="Verdana"/>
            <w:sz w:val="16"/>
            <w:szCs w:val="16"/>
          </w:rPr>
          <w:t>https://revistas.uexternado.edu.co/index.php/derpri/article/view/7201/10297#toc</w:t>
        </w:r>
      </w:hyperlink>
      <w:r>
        <w:rPr>
          <w:rFonts w:ascii="Verdana" w:hAnsi="Verdana"/>
          <w:sz w:val="16"/>
          <w:szCs w:val="16"/>
        </w:rPr>
        <w:t xml:space="preserve">. </w:t>
      </w:r>
    </w:p>
    <w:p w14:paraId="0911F039" w14:textId="77777777" w:rsidR="00480E57" w:rsidRPr="00E57ED8" w:rsidRDefault="00480E57" w:rsidP="001264F4">
      <w:pPr>
        <w:pStyle w:val="Textonotapie"/>
        <w:ind w:firstLine="708"/>
        <w:jc w:val="both"/>
        <w:rPr>
          <w:rFonts w:ascii="Verdana" w:hAnsi="Verdana"/>
          <w:sz w:val="16"/>
          <w:szCs w:val="16"/>
        </w:rPr>
      </w:pPr>
    </w:p>
  </w:footnote>
  <w:footnote w:id="8">
    <w:p w14:paraId="3DA7D8AE" w14:textId="77777777" w:rsidR="001264F4" w:rsidRPr="0005266C" w:rsidRDefault="001264F4" w:rsidP="001264F4">
      <w:pPr>
        <w:pStyle w:val="Textonotapie"/>
        <w:ind w:firstLine="708"/>
        <w:jc w:val="both"/>
        <w:rPr>
          <w:lang w:val="pt-BR"/>
        </w:rPr>
      </w:pPr>
      <w:r>
        <w:rPr>
          <w:rStyle w:val="Refdenotaalpie"/>
        </w:rPr>
        <w:footnoteRef/>
      </w:r>
      <w:r w:rsidRPr="0005266C">
        <w:rPr>
          <w:lang w:val="pt-BR"/>
        </w:rPr>
        <w:t xml:space="preserve"> </w:t>
      </w:r>
      <w:r w:rsidRPr="0005266C">
        <w:rPr>
          <w:rFonts w:ascii="Verdana" w:hAnsi="Verdana"/>
          <w:sz w:val="16"/>
          <w:szCs w:val="16"/>
          <w:lang w:val="pt-BR"/>
        </w:rPr>
        <w:t>OSPINA FERNÁNDEZ &amp; OSPINA ACOSTA, Op. cit., p. 51.</w:t>
      </w:r>
    </w:p>
  </w:footnote>
  <w:footnote w:id="9">
    <w:p w14:paraId="1C08C0C2" w14:textId="77777777" w:rsidR="00480E57" w:rsidRDefault="001264F4" w:rsidP="001264F4">
      <w:pPr>
        <w:pStyle w:val="Textonotapie"/>
        <w:ind w:firstLine="708"/>
        <w:jc w:val="both"/>
        <w:rPr>
          <w:rFonts w:ascii="Verdana" w:hAnsi="Verdana"/>
          <w:sz w:val="16"/>
          <w:szCs w:val="16"/>
        </w:rPr>
      </w:pPr>
      <w:r w:rsidRPr="00E36125">
        <w:rPr>
          <w:rStyle w:val="Refdenotaalpie"/>
          <w:rFonts w:ascii="Verdana" w:hAnsi="Verdana"/>
          <w:sz w:val="16"/>
          <w:szCs w:val="16"/>
        </w:rPr>
        <w:footnoteRef/>
      </w:r>
      <w:r w:rsidRPr="00E36125">
        <w:rPr>
          <w:rFonts w:ascii="Verdana" w:hAnsi="Verdana"/>
          <w:sz w:val="16"/>
          <w:szCs w:val="16"/>
        </w:rPr>
        <w:t xml:space="preserve"> </w:t>
      </w:r>
      <w:r>
        <w:rPr>
          <w:rFonts w:ascii="Verdana" w:hAnsi="Verdana"/>
          <w:sz w:val="16"/>
          <w:szCs w:val="16"/>
        </w:rPr>
        <w:t>Como señala la doctrina, “</w:t>
      </w:r>
      <w:r w:rsidRPr="00E36125">
        <w:rPr>
          <w:rFonts w:ascii="Verdana" w:hAnsi="Verdana"/>
          <w:sz w:val="16"/>
          <w:szCs w:val="16"/>
        </w:rPr>
        <w:t xml:space="preserve">Las partes del contrato de servicios logísticos serán, de un lado, el empresario, sea este una persona natural o jurídica, que en todo caso requiere la prestación de los servicios de valor agregado ofrecidos por el operador. </w:t>
      </w:r>
      <w:r w:rsidRPr="00E36125">
        <w:rPr>
          <w:rFonts w:ascii="Verdana" w:hAnsi="Verdana"/>
          <w:i/>
          <w:iCs/>
          <w:sz w:val="16"/>
          <w:szCs w:val="16"/>
        </w:rPr>
        <w:t xml:space="preserve">De otro, se encuentra el operador logístico, esto es, la persona natural o jurídica que dispone de infraestructura y capacidad operacional adecuadas para ofrecer en el mercado servicios que suponen dotar de </w:t>
      </w:r>
      <w:r w:rsidRPr="00E36125">
        <w:rPr>
          <w:rFonts w:ascii="Verdana" w:hAnsi="Verdana"/>
          <w:i/>
          <w:iCs/>
          <w:sz w:val="18"/>
          <w:szCs w:val="18"/>
        </w:rPr>
        <w:t>‘</w:t>
      </w:r>
      <w:r w:rsidRPr="00E36125">
        <w:rPr>
          <w:rFonts w:ascii="Verdana" w:hAnsi="Verdana"/>
          <w:i/>
          <w:iCs/>
          <w:sz w:val="16"/>
          <w:szCs w:val="16"/>
        </w:rPr>
        <w:t>valor agregado’ la cadena de abastecimiento, producción o distribución del bien respectivo, mediante la prestación de servicios logísticos durante las fases que van desde la consecución de las materias primas hasta la entrega del producto elaborado al consumidor final</w:t>
      </w:r>
      <w:r>
        <w:rPr>
          <w:rFonts w:ascii="Verdana" w:hAnsi="Verdana"/>
          <w:sz w:val="16"/>
          <w:szCs w:val="16"/>
        </w:rPr>
        <w:t xml:space="preserve">” (Cfr. </w:t>
      </w:r>
      <w:r w:rsidRPr="00E36125">
        <w:rPr>
          <w:rFonts w:ascii="Verdana" w:hAnsi="Verdana"/>
          <w:sz w:val="16"/>
          <w:szCs w:val="16"/>
        </w:rPr>
        <w:t>FRANCO ZÁRATE</w:t>
      </w:r>
      <w:r>
        <w:rPr>
          <w:rFonts w:ascii="Verdana" w:hAnsi="Verdana"/>
          <w:sz w:val="16"/>
          <w:szCs w:val="16"/>
        </w:rPr>
        <w:t>,</w:t>
      </w:r>
      <w:r w:rsidRPr="00E36125">
        <w:rPr>
          <w:rFonts w:ascii="Verdana" w:hAnsi="Verdana"/>
          <w:sz w:val="16"/>
          <w:szCs w:val="16"/>
        </w:rPr>
        <w:t xml:space="preserve"> Javier Andrés</w:t>
      </w:r>
      <w:r>
        <w:rPr>
          <w:rFonts w:ascii="Verdana" w:hAnsi="Verdana"/>
          <w:sz w:val="16"/>
          <w:szCs w:val="16"/>
        </w:rPr>
        <w:t xml:space="preserve">. </w:t>
      </w:r>
      <w:r w:rsidRPr="00E36125">
        <w:rPr>
          <w:rFonts w:ascii="Verdana" w:hAnsi="Verdana"/>
          <w:sz w:val="16"/>
          <w:szCs w:val="16"/>
        </w:rPr>
        <w:t>Aspectos legales de la logística comercial y los contratos de servicios logísticos</w:t>
      </w:r>
      <w:r>
        <w:rPr>
          <w:rFonts w:ascii="Verdana" w:hAnsi="Verdana"/>
          <w:sz w:val="16"/>
          <w:szCs w:val="16"/>
        </w:rPr>
        <w:t>. Bogotá: Universidad Externado de Colombia, 2014. p. 159).</w:t>
      </w:r>
    </w:p>
    <w:p w14:paraId="6B305889" w14:textId="7138685E" w:rsidR="001264F4" w:rsidRPr="00E36125" w:rsidRDefault="001264F4" w:rsidP="001264F4">
      <w:pPr>
        <w:pStyle w:val="Textonotapie"/>
        <w:ind w:firstLine="708"/>
        <w:jc w:val="both"/>
        <w:rPr>
          <w:rFonts w:ascii="Verdana" w:hAnsi="Verdana"/>
          <w:sz w:val="16"/>
          <w:szCs w:val="16"/>
          <w:lang w:val="es-CO"/>
        </w:rPr>
      </w:pPr>
      <w:r>
        <w:rPr>
          <w:rFonts w:ascii="Verdana" w:hAnsi="Verdana"/>
          <w:sz w:val="16"/>
          <w:szCs w:val="16"/>
        </w:rPr>
        <w:t xml:space="preserve"> </w:t>
      </w:r>
    </w:p>
  </w:footnote>
  <w:footnote w:id="10">
    <w:p w14:paraId="38C16AFE" w14:textId="05EFBA03" w:rsidR="001264F4" w:rsidRDefault="001264F4" w:rsidP="001264F4">
      <w:pPr>
        <w:pStyle w:val="Textonotapie"/>
        <w:ind w:firstLine="709"/>
        <w:jc w:val="both"/>
        <w:rPr>
          <w:rFonts w:ascii="Verdana" w:hAnsi="Verdana"/>
          <w:sz w:val="16"/>
          <w:szCs w:val="16"/>
        </w:rPr>
      </w:pPr>
      <w:r w:rsidRPr="00E721F8">
        <w:rPr>
          <w:rStyle w:val="Refdenotaalpie"/>
          <w:rFonts w:ascii="Verdana" w:hAnsi="Verdana"/>
          <w:sz w:val="16"/>
          <w:szCs w:val="16"/>
        </w:rPr>
        <w:footnoteRef/>
      </w:r>
      <w:r w:rsidRPr="00E721F8">
        <w:rPr>
          <w:rFonts w:ascii="Verdana" w:hAnsi="Verdana"/>
          <w:sz w:val="16"/>
          <w:szCs w:val="16"/>
        </w:rPr>
        <w:t xml:space="preserve"> SÁNCHEZ TRUJILLO</w:t>
      </w:r>
      <w:r>
        <w:rPr>
          <w:rFonts w:ascii="Verdana" w:hAnsi="Verdana"/>
          <w:sz w:val="16"/>
          <w:szCs w:val="16"/>
        </w:rPr>
        <w:t>,</w:t>
      </w:r>
      <w:r w:rsidRPr="00E721F8">
        <w:rPr>
          <w:rFonts w:ascii="Verdana" w:hAnsi="Verdana"/>
          <w:sz w:val="16"/>
          <w:szCs w:val="16"/>
        </w:rPr>
        <w:t xml:space="preserve"> Juan Pablo</w:t>
      </w:r>
      <w:r>
        <w:rPr>
          <w:rFonts w:ascii="Verdana" w:hAnsi="Verdana"/>
          <w:sz w:val="16"/>
          <w:szCs w:val="16"/>
        </w:rPr>
        <w:t xml:space="preserve">. </w:t>
      </w:r>
      <w:r w:rsidRPr="00E721F8">
        <w:rPr>
          <w:rFonts w:ascii="Verdana" w:hAnsi="Verdana"/>
          <w:sz w:val="16"/>
          <w:szCs w:val="16"/>
        </w:rPr>
        <w:t>Completitud de la oferta del contrato atípico: elementos esenciales del contrato atípico como requisito de delimitación del objeto de la oferta mercantil</w:t>
      </w:r>
      <w:r>
        <w:rPr>
          <w:rFonts w:ascii="Verdana" w:hAnsi="Verdana"/>
          <w:sz w:val="16"/>
          <w:szCs w:val="16"/>
        </w:rPr>
        <w:t xml:space="preserve">. Consultado el 11 de noviembre de 2024 en la página web </w:t>
      </w:r>
      <w:hyperlink r:id="rId2" w:history="1">
        <w:r w:rsidRPr="00880444">
          <w:rPr>
            <w:rStyle w:val="Hipervnculo"/>
            <w:rFonts w:ascii="Verdana" w:hAnsi="Verdana"/>
            <w:sz w:val="16"/>
            <w:szCs w:val="16"/>
          </w:rPr>
          <w:t>https://revistas.udea.edu.co/index.php/derypol/article/view/331285/20790715</w:t>
        </w:r>
      </w:hyperlink>
      <w:r>
        <w:rPr>
          <w:rFonts w:ascii="Verdana" w:hAnsi="Verdana"/>
          <w:sz w:val="16"/>
          <w:szCs w:val="16"/>
        </w:rPr>
        <w:t xml:space="preserve">. </w:t>
      </w:r>
    </w:p>
    <w:p w14:paraId="58BFB45E" w14:textId="77777777" w:rsidR="00480E57" w:rsidRPr="00E721F8" w:rsidRDefault="00480E57" w:rsidP="001264F4">
      <w:pPr>
        <w:pStyle w:val="Textonotapie"/>
        <w:ind w:firstLine="709"/>
        <w:jc w:val="both"/>
        <w:rPr>
          <w:rFonts w:ascii="Verdana" w:hAnsi="Verdana"/>
          <w:sz w:val="16"/>
          <w:szCs w:val="16"/>
          <w:lang w:val="es-CO"/>
        </w:rPr>
      </w:pPr>
    </w:p>
  </w:footnote>
  <w:footnote w:id="11">
    <w:p w14:paraId="16F8F4BB" w14:textId="77777777" w:rsidR="001264F4" w:rsidRPr="009E105D" w:rsidRDefault="001264F4" w:rsidP="001264F4">
      <w:pPr>
        <w:spacing w:after="0" w:line="240" w:lineRule="auto"/>
        <w:ind w:firstLine="709"/>
        <w:contextualSpacing/>
        <w:jc w:val="both"/>
        <w:rPr>
          <w:rFonts w:ascii="Verdana" w:hAnsi="Verdana" w:cs="Arial"/>
          <w:sz w:val="16"/>
          <w:szCs w:val="16"/>
        </w:rPr>
      </w:pPr>
      <w:r w:rsidRPr="009E105D">
        <w:rPr>
          <w:rStyle w:val="Refdenotaalpie"/>
          <w:rFonts w:ascii="Verdana" w:hAnsi="Verdana" w:cs="Arial"/>
          <w:sz w:val="16"/>
          <w:szCs w:val="16"/>
        </w:rPr>
        <w:footnoteRef/>
      </w:r>
      <w:r w:rsidRPr="009E105D">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7D178AE" w14:textId="77777777" w:rsidR="001264F4" w:rsidRPr="009E105D" w:rsidRDefault="001264F4" w:rsidP="001264F4">
      <w:pPr>
        <w:spacing w:after="0" w:line="240" w:lineRule="auto"/>
        <w:ind w:firstLine="709"/>
        <w:contextualSpacing/>
        <w:jc w:val="both"/>
        <w:rPr>
          <w:rFonts w:ascii="Verdana" w:hAnsi="Verdana" w:cs="Arial"/>
          <w:sz w:val="16"/>
          <w:szCs w:val="16"/>
        </w:rPr>
      </w:pPr>
      <w:r w:rsidRPr="009E105D">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9E105D">
        <w:rPr>
          <w:rFonts w:ascii="Verdana" w:hAnsi="Verdana" w:cs="Arial"/>
          <w:spacing w:val="-1"/>
          <w:sz w:val="16"/>
          <w:szCs w:val="16"/>
        </w:rPr>
        <w:t xml:space="preserve"> </w:t>
      </w:r>
      <w:r w:rsidRPr="009E105D">
        <w:rPr>
          <w:rFonts w:ascii="Verdana" w:hAnsi="Verdana" w:cs="Arial"/>
          <w:sz w:val="16"/>
          <w:szCs w:val="16"/>
        </w:rPr>
        <w:t>Estatales”.</w:t>
      </w:r>
    </w:p>
  </w:footnote>
  <w:footnote w:id="12">
    <w:p w14:paraId="6A0FA7BD" w14:textId="77777777" w:rsidR="001264F4" w:rsidRPr="009E105D" w:rsidRDefault="001264F4" w:rsidP="001264F4">
      <w:pPr>
        <w:spacing w:after="0" w:line="240" w:lineRule="auto"/>
        <w:ind w:firstLine="709"/>
        <w:contextualSpacing/>
        <w:jc w:val="both"/>
        <w:rPr>
          <w:rFonts w:ascii="Verdana" w:hAnsi="Verdana" w:cs="Arial"/>
          <w:sz w:val="16"/>
          <w:szCs w:val="16"/>
        </w:rPr>
      </w:pPr>
      <w:r w:rsidRPr="009E105D">
        <w:rPr>
          <w:rStyle w:val="Refdenotaalpie"/>
          <w:rFonts w:ascii="Verdana" w:hAnsi="Verdana" w:cs="Arial"/>
          <w:sz w:val="16"/>
          <w:szCs w:val="16"/>
        </w:rPr>
        <w:footnoteRef/>
      </w:r>
      <w:r w:rsidRPr="009E105D">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9E105D">
        <w:rPr>
          <w:rFonts w:ascii="Verdana" w:hAnsi="Verdana" w:cs="Arial"/>
          <w:spacing w:val="-6"/>
          <w:sz w:val="16"/>
          <w:szCs w:val="16"/>
        </w:rPr>
        <w:t xml:space="preserve"> </w:t>
      </w:r>
      <w:r w:rsidRPr="009E105D">
        <w:rPr>
          <w:rFonts w:ascii="Verdana" w:hAnsi="Verdana" w:cs="Arial"/>
          <w:sz w:val="16"/>
          <w:szCs w:val="16"/>
        </w:rPr>
        <w:t>artículo”.</w:t>
      </w:r>
    </w:p>
  </w:footnote>
  <w:footnote w:id="13">
    <w:p w14:paraId="75A2F983" w14:textId="77777777" w:rsidR="001264F4" w:rsidRPr="009E105D" w:rsidRDefault="001264F4" w:rsidP="001264F4">
      <w:pPr>
        <w:spacing w:after="0" w:line="240" w:lineRule="auto"/>
        <w:ind w:firstLine="709"/>
        <w:contextualSpacing/>
        <w:jc w:val="both"/>
        <w:rPr>
          <w:rFonts w:ascii="Verdana" w:hAnsi="Verdana" w:cs="Arial"/>
          <w:sz w:val="16"/>
          <w:szCs w:val="16"/>
        </w:rPr>
      </w:pPr>
      <w:r w:rsidRPr="009E105D">
        <w:rPr>
          <w:rStyle w:val="Refdenotaalpie"/>
          <w:rFonts w:ascii="Verdana" w:hAnsi="Verdana" w:cs="Arial"/>
          <w:sz w:val="16"/>
          <w:szCs w:val="16"/>
        </w:rPr>
        <w:footnoteRef/>
      </w:r>
      <w:r w:rsidRPr="009E105D">
        <w:rPr>
          <w:rFonts w:ascii="Verdana" w:hAnsi="Verdana" w:cs="Arial"/>
          <w:position w:val="7"/>
          <w:sz w:val="16"/>
          <w:szCs w:val="16"/>
        </w:rPr>
        <w:t xml:space="preserve"> </w:t>
      </w:r>
      <w:r w:rsidRPr="009E105D">
        <w:rPr>
          <w:rFonts w:ascii="Verdana" w:hAnsi="Verdana" w:cs="Arial"/>
          <w:sz w:val="16"/>
          <w:szCs w:val="16"/>
        </w:rPr>
        <w:t>Consejo de Estado. Sección Tercera. Sentencia del 23 de junio de 2010. Radicación No. 66001-23-31-000-1998-00261-01(17.860). Consejero Ponente: Mauricio Fajardo Gómez.</w:t>
      </w:r>
    </w:p>
  </w:footnote>
  <w:footnote w:id="14">
    <w:p w14:paraId="5D99CD49" w14:textId="61A73067" w:rsidR="00BA3816" w:rsidRDefault="00BA3816" w:rsidP="00BA381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vertAlign w:val="superscript"/>
        </w:rPr>
        <w:t xml:space="preserve"> </w:t>
      </w:r>
      <w:r w:rsidRPr="00F21C12">
        <w:rPr>
          <w:rFonts w:ascii="Verdana" w:hAnsi="Verdana" w:cs="Arial"/>
          <w:sz w:val="16"/>
          <w:szCs w:val="16"/>
        </w:rPr>
        <w:t>El inciso final del numeral 5 “encargos fiduciarios y fiducia pública” del artículo 32 de la Ley 80 de 1993 señala lo siguiente: “So pena de nulidad no podrán celebrarse contratos de fiducia o subcontratos en contravención del artículo 355 de la Constitución Política. Si tal evento se diese, la entidad fideicomitente deberá repetir contra la persona, natural o jurídica, adjudicataria del respectivo contrato”.</w:t>
      </w:r>
    </w:p>
    <w:p w14:paraId="65F8D5F4" w14:textId="77777777" w:rsidR="00105B23" w:rsidRPr="00F21C12" w:rsidRDefault="00105B23" w:rsidP="00BA3816">
      <w:pPr>
        <w:pStyle w:val="Textonotapie"/>
        <w:ind w:firstLine="708"/>
        <w:contextualSpacing/>
        <w:jc w:val="both"/>
        <w:rPr>
          <w:rFonts w:ascii="Verdana" w:hAnsi="Verdana" w:cs="Arial"/>
          <w:sz w:val="16"/>
          <w:szCs w:val="16"/>
        </w:rPr>
      </w:pPr>
    </w:p>
  </w:footnote>
  <w:footnote w:id="15">
    <w:p w14:paraId="70655890" w14:textId="5F86C7F1" w:rsidR="00BA3816" w:rsidRDefault="00BA3816" w:rsidP="00BA381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rPr>
        <w:t xml:space="preserve">  El literal c del numeral 4 del artículo 2 de la Ley 1150 de 2007 dispone que: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50B16528" w14:textId="77777777" w:rsidR="00105B23" w:rsidRPr="00F21C12" w:rsidRDefault="00105B23" w:rsidP="00BA3816">
      <w:pPr>
        <w:pStyle w:val="Textonotapie"/>
        <w:ind w:firstLine="708"/>
        <w:contextualSpacing/>
        <w:jc w:val="both"/>
        <w:rPr>
          <w:rFonts w:ascii="Verdana" w:hAnsi="Verdana" w:cs="Arial"/>
          <w:sz w:val="16"/>
          <w:szCs w:val="16"/>
        </w:rPr>
      </w:pPr>
    </w:p>
  </w:footnote>
  <w:footnote w:id="16">
    <w:p w14:paraId="7212A4EE" w14:textId="77777777" w:rsidR="00105B23" w:rsidRDefault="00BA3816" w:rsidP="00BA381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rPr>
        <w:t xml:space="preserve"> El artículo 2.2.1.2.3.1.5 del Decreto 1082 de 2015 hace mención a la subcontratación en lo relacionado con las garantías, particularmente en los riesgos a los que se encuentran expuestas las entidades estatales, derivados de la responsabilidad extracontractual que pueda surgir por las actuaciones, hechos u omisiones de sus contratistas y subcontratistas.</w:t>
      </w:r>
    </w:p>
    <w:p w14:paraId="7B036D7E" w14:textId="51DEF966" w:rsidR="00BA3816" w:rsidRPr="00F21C12" w:rsidRDefault="00BA3816" w:rsidP="00BA3816">
      <w:pPr>
        <w:pStyle w:val="Textonotapie"/>
        <w:ind w:firstLine="708"/>
        <w:contextualSpacing/>
        <w:jc w:val="both"/>
        <w:rPr>
          <w:rFonts w:ascii="Verdana" w:hAnsi="Verdana" w:cs="Arial"/>
          <w:sz w:val="16"/>
          <w:szCs w:val="16"/>
        </w:rPr>
      </w:pPr>
      <w:r w:rsidRPr="00F21C12">
        <w:rPr>
          <w:rFonts w:ascii="Verdana" w:hAnsi="Verdana" w:cs="Arial"/>
          <w:sz w:val="16"/>
          <w:szCs w:val="16"/>
        </w:rPr>
        <w:t xml:space="preserve"> </w:t>
      </w:r>
    </w:p>
  </w:footnote>
  <w:footnote w:id="17">
    <w:p w14:paraId="4D8C6B3E" w14:textId="461B4505" w:rsidR="00BA3816" w:rsidRDefault="00BA3816" w:rsidP="00BA3816">
      <w:pPr>
        <w:pStyle w:val="Textonotapie"/>
        <w:ind w:firstLine="709"/>
        <w:contextualSpacing/>
        <w:jc w:val="both"/>
        <w:rPr>
          <w:rFonts w:ascii="Verdana" w:hAnsi="Verdana" w:cs="Arial"/>
          <w:sz w:val="16"/>
          <w:szCs w:val="16"/>
        </w:rPr>
      </w:pPr>
      <w:r w:rsidRPr="00F21C12">
        <w:rPr>
          <w:rStyle w:val="Refdenotaalpie"/>
          <w:rFonts w:ascii="Verdana" w:hAnsi="Verdana"/>
          <w:sz w:val="16"/>
          <w:szCs w:val="16"/>
        </w:rPr>
        <w:footnoteRef/>
      </w:r>
      <w:r w:rsidRPr="00F21C12">
        <w:rPr>
          <w:rFonts w:ascii="Verdana" w:hAnsi="Verdana"/>
          <w:sz w:val="16"/>
          <w:szCs w:val="16"/>
        </w:rPr>
        <w:t xml:space="preserve"> </w:t>
      </w:r>
      <w:r w:rsidRPr="00F21C12">
        <w:rPr>
          <w:rFonts w:ascii="Verdana" w:hAnsi="Verdana" w:cs="Arial"/>
          <w:sz w:val="16"/>
          <w:szCs w:val="16"/>
        </w:rPr>
        <w:t>El artículo 7 del Decreto 092 de 2017 señala lo siguiente: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que trata el presente decreto deberán ser objeto de publicación en el Sistema Electrónico de Contratación Pública (SECOP). Adicionalmente, la entidad privada sin ánimo de lucro contratista deberá entregar a la Entidad Estatal, y esta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 pagos” (Énfasis por fuera de texto).</w:t>
      </w:r>
    </w:p>
    <w:p w14:paraId="1F33A93C" w14:textId="77777777" w:rsidR="005E60D0" w:rsidRPr="00F21C12" w:rsidRDefault="005E60D0" w:rsidP="00BA3816">
      <w:pPr>
        <w:pStyle w:val="Textonotapie"/>
        <w:ind w:firstLine="709"/>
        <w:contextualSpacing/>
        <w:jc w:val="both"/>
        <w:rPr>
          <w:rFonts w:ascii="Verdana" w:hAnsi="Verdana" w:cs="Arial"/>
          <w:sz w:val="16"/>
          <w:szCs w:val="16"/>
        </w:rPr>
      </w:pPr>
    </w:p>
  </w:footnote>
  <w:footnote w:id="18">
    <w:p w14:paraId="1EFAF5BA" w14:textId="573018C9" w:rsidR="00BA3816" w:rsidRDefault="00BA3816" w:rsidP="00BA3816">
      <w:pPr>
        <w:pStyle w:val="Textonotapie"/>
        <w:ind w:firstLine="708"/>
        <w:contextualSpacing/>
        <w:jc w:val="both"/>
        <w:rPr>
          <w:rFonts w:ascii="Verdana" w:hAnsi="Verdana" w:cs="Arial"/>
          <w:sz w:val="16"/>
          <w:szCs w:val="16"/>
        </w:rPr>
      </w:pPr>
      <w:r w:rsidRPr="00F21C12">
        <w:rPr>
          <w:rFonts w:ascii="Verdana" w:hAnsi="Verdana"/>
          <w:sz w:val="16"/>
          <w:szCs w:val="16"/>
          <w:vertAlign w:val="superscript"/>
        </w:rPr>
        <w:footnoteRef/>
      </w:r>
      <w:r w:rsidRPr="00F21C12">
        <w:rPr>
          <w:rFonts w:ascii="Verdana" w:hAnsi="Verdana" w:cs="Arial"/>
          <w:sz w:val="16"/>
          <w:szCs w:val="16"/>
          <w:vertAlign w:val="superscript"/>
        </w:rPr>
        <w:t xml:space="preserve"> </w:t>
      </w:r>
      <w:r w:rsidRPr="00F21C12">
        <w:rPr>
          <w:rFonts w:ascii="Verdana" w:hAnsi="Verdana" w:cs="Arial"/>
          <w:sz w:val="16"/>
          <w:szCs w:val="16"/>
        </w:rPr>
        <w:t xml:space="preserve">RAMÍREZ GRISALES, Richard Steve. La Subcontratación. Serie: Las cláusulas del contrato estatal. Librería Jurídica Sánchez R. Ltda. y Centro de Estudios de Derecho Administrativo –CEDA-, Medellín, 2012, p. 26. </w:t>
      </w:r>
    </w:p>
    <w:p w14:paraId="6B33CAC8" w14:textId="77777777" w:rsidR="00480E57" w:rsidRPr="00F21C12" w:rsidRDefault="00480E57" w:rsidP="00BA3816">
      <w:pPr>
        <w:pStyle w:val="Textonotapie"/>
        <w:ind w:firstLine="708"/>
        <w:contextualSpacing/>
        <w:jc w:val="both"/>
        <w:rPr>
          <w:rFonts w:ascii="Verdana" w:hAnsi="Verdana" w:cs="Arial"/>
          <w:sz w:val="16"/>
          <w:szCs w:val="16"/>
        </w:rPr>
      </w:pPr>
    </w:p>
  </w:footnote>
  <w:footnote w:id="19">
    <w:p w14:paraId="5677815B" w14:textId="1349BAA3" w:rsidR="001107BB" w:rsidRDefault="001107BB" w:rsidP="001107BB">
      <w:pPr>
        <w:pStyle w:val="Textonotapie"/>
        <w:ind w:firstLine="708"/>
        <w:jc w:val="both"/>
        <w:rPr>
          <w:rFonts w:ascii="Verdana" w:hAnsi="Verdana"/>
          <w:sz w:val="16"/>
          <w:szCs w:val="16"/>
          <w:lang w:val="es-CO"/>
        </w:rPr>
      </w:pPr>
      <w:r w:rsidRPr="001107BB">
        <w:rPr>
          <w:rStyle w:val="Refdenotaalpie"/>
          <w:rFonts w:ascii="Verdana" w:hAnsi="Verdana"/>
          <w:sz w:val="16"/>
          <w:szCs w:val="16"/>
        </w:rPr>
        <w:footnoteRef/>
      </w:r>
      <w:r w:rsidRPr="001107BB">
        <w:rPr>
          <w:rFonts w:ascii="Verdana" w:hAnsi="Verdana"/>
          <w:sz w:val="16"/>
          <w:szCs w:val="16"/>
        </w:rPr>
        <w:t xml:space="preserve"> </w:t>
      </w:r>
      <w:r w:rsidRPr="001107BB">
        <w:rPr>
          <w:rFonts w:ascii="Verdana" w:hAnsi="Verdana"/>
          <w:sz w:val="16"/>
          <w:szCs w:val="16"/>
          <w:lang w:val="es-CO"/>
        </w:rPr>
        <w:t xml:space="preserve">CABANELLAS DE TORRES, Guillermo. Diccionario Jurídico Elemental. Buenos Aires: Heliasta, 2001. </w:t>
      </w:r>
    </w:p>
    <w:p w14:paraId="0E89AFC6" w14:textId="77777777" w:rsidR="00105B23" w:rsidRPr="001107BB" w:rsidRDefault="00105B23" w:rsidP="001107BB">
      <w:pPr>
        <w:pStyle w:val="Textonotapie"/>
        <w:ind w:firstLine="708"/>
        <w:jc w:val="both"/>
        <w:rPr>
          <w:rFonts w:ascii="Verdana" w:hAnsi="Verdana"/>
          <w:sz w:val="16"/>
          <w:szCs w:val="16"/>
          <w:lang w:val="es-CO"/>
        </w:rPr>
      </w:pPr>
    </w:p>
  </w:footnote>
  <w:footnote w:id="20">
    <w:p w14:paraId="41AA5447" w14:textId="4BA504E3" w:rsidR="001107BB" w:rsidRDefault="001107BB" w:rsidP="001107BB">
      <w:pPr>
        <w:pStyle w:val="Textonotapie"/>
        <w:ind w:firstLine="708"/>
        <w:jc w:val="both"/>
        <w:rPr>
          <w:rFonts w:ascii="Verdana" w:hAnsi="Verdana"/>
          <w:sz w:val="16"/>
          <w:szCs w:val="16"/>
          <w:lang w:val="es-CO"/>
        </w:rPr>
      </w:pPr>
      <w:r w:rsidRPr="001107BB">
        <w:rPr>
          <w:rStyle w:val="Refdenotaalpie"/>
          <w:rFonts w:ascii="Verdana" w:hAnsi="Verdana"/>
          <w:sz w:val="16"/>
          <w:szCs w:val="16"/>
        </w:rPr>
        <w:footnoteRef/>
      </w:r>
      <w:r w:rsidRPr="001107BB">
        <w:rPr>
          <w:rFonts w:ascii="Verdana" w:hAnsi="Verdana"/>
          <w:sz w:val="16"/>
          <w:szCs w:val="16"/>
        </w:rPr>
        <w:t xml:space="preserve"> </w:t>
      </w:r>
      <w:r w:rsidRPr="001107BB">
        <w:rPr>
          <w:rFonts w:ascii="Verdana" w:hAnsi="Verdana"/>
          <w:sz w:val="16"/>
          <w:szCs w:val="16"/>
          <w:lang w:val="es-CO"/>
        </w:rPr>
        <w:t xml:space="preserve">MARÍN ALBARRÁN, Elena. La subcontratación y la contratación pública: algunas consideraciones sobre la evolución normativa reciente y su contexto. En: Revista Anuario Aragonés de Gobierno Local, Zaragoza –España, </w:t>
      </w:r>
      <w:r w:rsidR="007231C5">
        <w:rPr>
          <w:rFonts w:ascii="Verdana" w:hAnsi="Verdana"/>
          <w:sz w:val="16"/>
          <w:szCs w:val="16"/>
          <w:lang w:val="es-CO"/>
        </w:rPr>
        <w:t>N° 5, enero-diciembre, 2013. p</w:t>
      </w:r>
      <w:r w:rsidRPr="001107BB">
        <w:rPr>
          <w:rFonts w:ascii="Verdana" w:hAnsi="Verdana"/>
          <w:sz w:val="16"/>
          <w:szCs w:val="16"/>
          <w:lang w:val="es-CO"/>
        </w:rPr>
        <w:t xml:space="preserve">. 467. </w:t>
      </w:r>
    </w:p>
    <w:p w14:paraId="14B9468B" w14:textId="77777777" w:rsidR="00105B23" w:rsidRPr="001107BB" w:rsidRDefault="00105B23" w:rsidP="001107BB">
      <w:pPr>
        <w:pStyle w:val="Textonotapie"/>
        <w:ind w:firstLine="708"/>
        <w:jc w:val="both"/>
        <w:rPr>
          <w:rFonts w:ascii="Verdana" w:hAnsi="Verdana"/>
          <w:sz w:val="16"/>
          <w:szCs w:val="16"/>
          <w:lang w:val="es-CO"/>
        </w:rPr>
      </w:pPr>
    </w:p>
  </w:footnote>
  <w:footnote w:id="21">
    <w:p w14:paraId="1CB1AFFF" w14:textId="77777777" w:rsidR="00BA3816" w:rsidRPr="001107BB" w:rsidRDefault="00BA3816" w:rsidP="00BA3816">
      <w:pPr>
        <w:pStyle w:val="Textonotapie"/>
        <w:ind w:firstLine="708"/>
        <w:contextualSpacing/>
        <w:jc w:val="both"/>
        <w:rPr>
          <w:rFonts w:ascii="Verdana" w:hAnsi="Verdana" w:cs="Arial"/>
          <w:sz w:val="16"/>
          <w:szCs w:val="16"/>
        </w:rPr>
      </w:pPr>
      <w:r w:rsidRPr="001107BB">
        <w:rPr>
          <w:rFonts w:ascii="Verdana" w:hAnsi="Verdana"/>
          <w:sz w:val="16"/>
          <w:szCs w:val="16"/>
          <w:vertAlign w:val="superscript"/>
        </w:rPr>
        <w:footnoteRef/>
      </w:r>
      <w:r w:rsidRPr="001107BB">
        <w:rPr>
          <w:rFonts w:ascii="Verdana" w:hAnsi="Verdana" w:cs="Arial"/>
          <w:sz w:val="16"/>
          <w:szCs w:val="16"/>
          <w:vertAlign w:val="superscript"/>
        </w:rPr>
        <w:t xml:space="preserve"> </w:t>
      </w:r>
      <w:r w:rsidRPr="001107BB">
        <w:rPr>
          <w:rFonts w:ascii="Verdana" w:hAnsi="Verdana" w:cs="Arial"/>
          <w:sz w:val="16"/>
          <w:szCs w:val="16"/>
        </w:rPr>
        <w:t>TRABALÓN Cristóbal. Tratado Legal de Construcción. Editorial Tébar Flores. Madrid. 2015</w:t>
      </w:r>
    </w:p>
  </w:footnote>
  <w:footnote w:id="22">
    <w:p w14:paraId="67B991CA" w14:textId="0AE508A4" w:rsidR="00BA3816" w:rsidRDefault="00BA3816" w:rsidP="00BA3816">
      <w:pPr>
        <w:pStyle w:val="Textonotapie"/>
        <w:ind w:firstLine="708"/>
        <w:contextualSpacing/>
        <w:jc w:val="both"/>
        <w:rPr>
          <w:rFonts w:ascii="Verdana" w:hAnsi="Verdana" w:cs="Arial"/>
          <w:sz w:val="16"/>
          <w:szCs w:val="16"/>
        </w:rPr>
      </w:pPr>
      <w:r w:rsidRPr="001107BB">
        <w:rPr>
          <w:rFonts w:ascii="Verdana" w:hAnsi="Verdana"/>
          <w:sz w:val="16"/>
          <w:szCs w:val="16"/>
          <w:vertAlign w:val="superscript"/>
        </w:rPr>
        <w:footnoteRef/>
      </w:r>
      <w:r w:rsidRPr="001107BB">
        <w:rPr>
          <w:rFonts w:ascii="Verdana" w:hAnsi="Verdana" w:cs="Arial"/>
          <w:sz w:val="16"/>
          <w:szCs w:val="16"/>
          <w:vertAlign w:val="superscript"/>
        </w:rPr>
        <w:t xml:space="preserve"> </w:t>
      </w:r>
      <w:r w:rsidRPr="001107BB">
        <w:rPr>
          <w:rFonts w:ascii="Verdana" w:hAnsi="Verdana" w:cs="Arial"/>
          <w:sz w:val="16"/>
          <w:szCs w:val="16"/>
        </w:rPr>
        <w:t xml:space="preserve">Ibidem </w:t>
      </w:r>
    </w:p>
    <w:p w14:paraId="0F8928FD" w14:textId="77777777" w:rsidR="00105B23" w:rsidRPr="001107BB" w:rsidRDefault="00105B23" w:rsidP="00BA3816">
      <w:pPr>
        <w:pStyle w:val="Textonotapie"/>
        <w:ind w:firstLine="708"/>
        <w:contextualSpacing/>
        <w:jc w:val="both"/>
        <w:rPr>
          <w:rFonts w:ascii="Verdana" w:hAnsi="Verdana" w:cs="Arial"/>
          <w:sz w:val="16"/>
          <w:szCs w:val="16"/>
        </w:rPr>
      </w:pPr>
    </w:p>
  </w:footnote>
  <w:footnote w:id="23">
    <w:p w14:paraId="4A57BFE6" w14:textId="77777777" w:rsidR="000F10B1" w:rsidRPr="00F21C12" w:rsidRDefault="000F10B1" w:rsidP="000F10B1">
      <w:pPr>
        <w:pStyle w:val="Textonotapie"/>
        <w:ind w:firstLine="708"/>
        <w:jc w:val="both"/>
        <w:rPr>
          <w:rFonts w:ascii="Verdana" w:hAnsi="Verdana"/>
          <w:sz w:val="16"/>
          <w:szCs w:val="16"/>
          <w:lang w:val="es-CO"/>
        </w:rPr>
      </w:pPr>
      <w:r w:rsidRPr="00F21C12">
        <w:rPr>
          <w:rStyle w:val="Refdenotaalpie"/>
          <w:rFonts w:ascii="Verdana" w:hAnsi="Verdana"/>
          <w:sz w:val="16"/>
          <w:szCs w:val="16"/>
        </w:rPr>
        <w:footnoteRef/>
      </w:r>
      <w:r w:rsidRPr="00F21C12">
        <w:rPr>
          <w:rFonts w:ascii="Verdana" w:hAnsi="Verdana"/>
          <w:sz w:val="16"/>
          <w:szCs w:val="16"/>
        </w:rPr>
        <w:t xml:space="preserve"> Por ejemplo, </w:t>
      </w:r>
      <w:r w:rsidRPr="00F21C12">
        <w:rPr>
          <w:rFonts w:ascii="Verdana" w:hAnsi="Verdana"/>
          <w:sz w:val="16"/>
          <w:szCs w:val="16"/>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footnote>
  <w:footnote w:id="24">
    <w:p w14:paraId="5BD708F8" w14:textId="091E6745" w:rsidR="005E60D0" w:rsidRPr="002C618B" w:rsidRDefault="005E60D0" w:rsidP="002C618B">
      <w:pPr>
        <w:pStyle w:val="Textonotapie"/>
        <w:ind w:firstLine="708"/>
        <w:rPr>
          <w:rFonts w:ascii="Verdana" w:hAnsi="Verdana"/>
          <w:sz w:val="16"/>
          <w:szCs w:val="16"/>
          <w:lang w:val="en-US"/>
        </w:rPr>
      </w:pPr>
      <w:r w:rsidRPr="002C618B">
        <w:rPr>
          <w:rStyle w:val="Refdenotaalpie"/>
          <w:rFonts w:ascii="Verdana" w:hAnsi="Verdana"/>
          <w:sz w:val="16"/>
          <w:szCs w:val="16"/>
        </w:rPr>
        <w:footnoteRef/>
      </w:r>
      <w:r w:rsidRPr="002C618B">
        <w:rPr>
          <w:rFonts w:ascii="Verdana" w:hAnsi="Verdana"/>
          <w:sz w:val="16"/>
          <w:szCs w:val="16"/>
          <w:lang w:val="en-US"/>
        </w:rPr>
        <w:t xml:space="preserve"> </w:t>
      </w:r>
      <w:r w:rsidRPr="002C618B">
        <w:rPr>
          <w:rFonts w:ascii="Verdana" w:hAnsi="Verdana" w:cs="Arial"/>
          <w:sz w:val="16"/>
          <w:szCs w:val="16"/>
          <w:lang w:val="en-US"/>
        </w:rPr>
        <w:t xml:space="preserve">RAMÍREZ GRISALES, Richard Steve. Op. cit. p. </w:t>
      </w:r>
      <w:r w:rsidR="002C618B" w:rsidRPr="002C618B">
        <w:rPr>
          <w:rFonts w:ascii="Verdana" w:hAnsi="Verdana" w:cs="Arial"/>
          <w:sz w:val="16"/>
          <w:szCs w:val="16"/>
          <w:lang w:val="en-US"/>
        </w:rPr>
        <w:t xml:space="preserve">79.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1" type="#_x0000_t75" style="width:13.45pt;height:13.45pt" o:bullet="t">
        <v:imagedata r:id="rId1" o:title="mso1B13"/>
      </v:shape>
    </w:pict>
  </w:numPicBullet>
  <w:abstractNum w:abstractNumId="0" w15:restartNumberingAfterBreak="0">
    <w:nsid w:val="0142C8FB"/>
    <w:multiLevelType w:val="hybridMultilevel"/>
    <w:tmpl w:val="1FAA61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21C114D7"/>
    <w:multiLevelType w:val="hybridMultilevel"/>
    <w:tmpl w:val="6D001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10008"/>
    <w:multiLevelType w:val="hybridMultilevel"/>
    <w:tmpl w:val="A6B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983715A"/>
    <w:multiLevelType w:val="hybridMultilevel"/>
    <w:tmpl w:val="D902A7CC"/>
    <w:lvl w:ilvl="0" w:tplc="04090001">
      <w:start w:val="1"/>
      <w:numFmt w:val="bullet"/>
      <w:lvlText w:val=""/>
      <w:lvlJc w:val="left"/>
      <w:pPr>
        <w:ind w:left="1434" w:hanging="360"/>
      </w:pPr>
      <w:rPr>
        <w:rFonts w:ascii="Symbol" w:hAnsi="Symbol"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16" w15:restartNumberingAfterBreak="0">
    <w:nsid w:val="57872798"/>
    <w:multiLevelType w:val="hybridMultilevel"/>
    <w:tmpl w:val="58926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1"/>
  </w:num>
  <w:num w:numId="2">
    <w:abstractNumId w:val="3"/>
  </w:num>
  <w:num w:numId="3">
    <w:abstractNumId w:val="9"/>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1"/>
  </w:num>
  <w:num w:numId="7">
    <w:abstractNumId w:val="10"/>
  </w:num>
  <w:num w:numId="8">
    <w:abstractNumId w:val="20"/>
  </w:num>
  <w:num w:numId="9">
    <w:abstractNumId w:val="12"/>
  </w:num>
  <w:num w:numId="10">
    <w:abstractNumId w:val="19"/>
  </w:num>
  <w:num w:numId="11">
    <w:abstractNumId w:val="13"/>
  </w:num>
  <w:num w:numId="12">
    <w:abstractNumId w:val="2"/>
  </w:num>
  <w:num w:numId="13">
    <w:abstractNumId w:val="7"/>
  </w:num>
  <w:num w:numId="14">
    <w:abstractNumId w:val="22"/>
  </w:num>
  <w:num w:numId="15">
    <w:abstractNumId w:val="18"/>
  </w:num>
  <w:num w:numId="16">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17"/>
  </w:num>
  <w:num w:numId="19">
    <w:abstractNumId w:val="8"/>
  </w:num>
  <w:num w:numId="20">
    <w:abstractNumId w:val="14"/>
  </w:num>
  <w:num w:numId="21">
    <w:abstractNumId w:val="23"/>
  </w:num>
  <w:num w:numId="22">
    <w:abstractNumId w:val="5"/>
  </w:num>
  <w:num w:numId="23">
    <w:abstractNumId w:val="0"/>
  </w:num>
  <w:num w:numId="24">
    <w:abstractNumId w:val="15"/>
  </w:num>
  <w:num w:numId="25">
    <w:abstractNumId w:val="16"/>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9A2"/>
    <w:rsid w:val="000062F3"/>
    <w:rsid w:val="0000797D"/>
    <w:rsid w:val="0001328B"/>
    <w:rsid w:val="0001665C"/>
    <w:rsid w:val="000224F2"/>
    <w:rsid w:val="00023C3E"/>
    <w:rsid w:val="0002653B"/>
    <w:rsid w:val="0004434A"/>
    <w:rsid w:val="0005204F"/>
    <w:rsid w:val="0005281E"/>
    <w:rsid w:val="0005682C"/>
    <w:rsid w:val="00056D71"/>
    <w:rsid w:val="00061B2A"/>
    <w:rsid w:val="00062BAF"/>
    <w:rsid w:val="000630B9"/>
    <w:rsid w:val="000643B2"/>
    <w:rsid w:val="00065E80"/>
    <w:rsid w:val="0007022C"/>
    <w:rsid w:val="00071DE6"/>
    <w:rsid w:val="000754B0"/>
    <w:rsid w:val="00077439"/>
    <w:rsid w:val="000774B8"/>
    <w:rsid w:val="00080133"/>
    <w:rsid w:val="00082362"/>
    <w:rsid w:val="0008328D"/>
    <w:rsid w:val="0009387A"/>
    <w:rsid w:val="0009387B"/>
    <w:rsid w:val="000963C6"/>
    <w:rsid w:val="0009762F"/>
    <w:rsid w:val="000A31B9"/>
    <w:rsid w:val="000A3330"/>
    <w:rsid w:val="000A3D63"/>
    <w:rsid w:val="000A683A"/>
    <w:rsid w:val="000A683E"/>
    <w:rsid w:val="000B19B9"/>
    <w:rsid w:val="000C2889"/>
    <w:rsid w:val="000D0152"/>
    <w:rsid w:val="000D0334"/>
    <w:rsid w:val="000D3B29"/>
    <w:rsid w:val="000E06F4"/>
    <w:rsid w:val="000E4CE4"/>
    <w:rsid w:val="000F10B1"/>
    <w:rsid w:val="000F6486"/>
    <w:rsid w:val="000F669F"/>
    <w:rsid w:val="00105B23"/>
    <w:rsid w:val="001063B3"/>
    <w:rsid w:val="00107ACA"/>
    <w:rsid w:val="001107BB"/>
    <w:rsid w:val="001114A9"/>
    <w:rsid w:val="00111979"/>
    <w:rsid w:val="00116537"/>
    <w:rsid w:val="00120766"/>
    <w:rsid w:val="001240BD"/>
    <w:rsid w:val="00125105"/>
    <w:rsid w:val="001264F4"/>
    <w:rsid w:val="00126A5C"/>
    <w:rsid w:val="00127233"/>
    <w:rsid w:val="001372FC"/>
    <w:rsid w:val="00143E81"/>
    <w:rsid w:val="00143FD9"/>
    <w:rsid w:val="00145047"/>
    <w:rsid w:val="00146C57"/>
    <w:rsid w:val="0016332F"/>
    <w:rsid w:val="00164A65"/>
    <w:rsid w:val="001717E9"/>
    <w:rsid w:val="0017238A"/>
    <w:rsid w:val="00180A30"/>
    <w:rsid w:val="00185EE9"/>
    <w:rsid w:val="00187F79"/>
    <w:rsid w:val="00197274"/>
    <w:rsid w:val="001A237A"/>
    <w:rsid w:val="001A26CF"/>
    <w:rsid w:val="001A2919"/>
    <w:rsid w:val="001B2CFE"/>
    <w:rsid w:val="001C222E"/>
    <w:rsid w:val="001C22F9"/>
    <w:rsid w:val="001C6ED4"/>
    <w:rsid w:val="001D1C29"/>
    <w:rsid w:val="001E3C06"/>
    <w:rsid w:val="001E4177"/>
    <w:rsid w:val="001F4EFD"/>
    <w:rsid w:val="001F5E13"/>
    <w:rsid w:val="001F6D11"/>
    <w:rsid w:val="001F7DC6"/>
    <w:rsid w:val="00202886"/>
    <w:rsid w:val="00215CEF"/>
    <w:rsid w:val="00217A08"/>
    <w:rsid w:val="00220B77"/>
    <w:rsid w:val="00221D27"/>
    <w:rsid w:val="00237233"/>
    <w:rsid w:val="002421BB"/>
    <w:rsid w:val="00246A81"/>
    <w:rsid w:val="00251A5F"/>
    <w:rsid w:val="00256F7C"/>
    <w:rsid w:val="0025796E"/>
    <w:rsid w:val="002603E5"/>
    <w:rsid w:val="002638B2"/>
    <w:rsid w:val="002660F2"/>
    <w:rsid w:val="002664BB"/>
    <w:rsid w:val="002707A2"/>
    <w:rsid w:val="002835A6"/>
    <w:rsid w:val="002844ED"/>
    <w:rsid w:val="002951A0"/>
    <w:rsid w:val="002962BC"/>
    <w:rsid w:val="00296562"/>
    <w:rsid w:val="002A093D"/>
    <w:rsid w:val="002A0DD0"/>
    <w:rsid w:val="002A49AC"/>
    <w:rsid w:val="002A64FD"/>
    <w:rsid w:val="002A6BBF"/>
    <w:rsid w:val="002B1E57"/>
    <w:rsid w:val="002B1F7F"/>
    <w:rsid w:val="002B290B"/>
    <w:rsid w:val="002C110E"/>
    <w:rsid w:val="002C379A"/>
    <w:rsid w:val="002C618B"/>
    <w:rsid w:val="002C765E"/>
    <w:rsid w:val="002C7A84"/>
    <w:rsid w:val="002D13A1"/>
    <w:rsid w:val="002D3F0D"/>
    <w:rsid w:val="002E1D98"/>
    <w:rsid w:val="002E2C3F"/>
    <w:rsid w:val="002E32E4"/>
    <w:rsid w:val="002E4FD9"/>
    <w:rsid w:val="002E6F15"/>
    <w:rsid w:val="002F13FD"/>
    <w:rsid w:val="00303544"/>
    <w:rsid w:val="003039C1"/>
    <w:rsid w:val="00306D8D"/>
    <w:rsid w:val="00310DBE"/>
    <w:rsid w:val="0031430F"/>
    <w:rsid w:val="00320BBD"/>
    <w:rsid w:val="00322A85"/>
    <w:rsid w:val="00324168"/>
    <w:rsid w:val="0033032A"/>
    <w:rsid w:val="00334C6A"/>
    <w:rsid w:val="00336C05"/>
    <w:rsid w:val="00342675"/>
    <w:rsid w:val="00343512"/>
    <w:rsid w:val="003448F4"/>
    <w:rsid w:val="00345330"/>
    <w:rsid w:val="003469FD"/>
    <w:rsid w:val="003528DF"/>
    <w:rsid w:val="00352C12"/>
    <w:rsid w:val="00354BCA"/>
    <w:rsid w:val="0036594E"/>
    <w:rsid w:val="003665EE"/>
    <w:rsid w:val="0037010E"/>
    <w:rsid w:val="003734F4"/>
    <w:rsid w:val="00374F5E"/>
    <w:rsid w:val="00377E3E"/>
    <w:rsid w:val="003815B3"/>
    <w:rsid w:val="003815E8"/>
    <w:rsid w:val="00392A49"/>
    <w:rsid w:val="0039784B"/>
    <w:rsid w:val="003A26D1"/>
    <w:rsid w:val="003A3B30"/>
    <w:rsid w:val="003A779E"/>
    <w:rsid w:val="003B005A"/>
    <w:rsid w:val="003C3FA5"/>
    <w:rsid w:val="003D0F4D"/>
    <w:rsid w:val="003D5B0D"/>
    <w:rsid w:val="003E0499"/>
    <w:rsid w:val="003E40F2"/>
    <w:rsid w:val="003F3941"/>
    <w:rsid w:val="00400676"/>
    <w:rsid w:val="004008A9"/>
    <w:rsid w:val="00406575"/>
    <w:rsid w:val="004069AB"/>
    <w:rsid w:val="00410906"/>
    <w:rsid w:val="004125AB"/>
    <w:rsid w:val="0041655A"/>
    <w:rsid w:val="00426FD7"/>
    <w:rsid w:val="0042722E"/>
    <w:rsid w:val="00427DA0"/>
    <w:rsid w:val="00440391"/>
    <w:rsid w:val="00442C7F"/>
    <w:rsid w:val="0044528D"/>
    <w:rsid w:val="00450920"/>
    <w:rsid w:val="00454D48"/>
    <w:rsid w:val="004554F9"/>
    <w:rsid w:val="0046004D"/>
    <w:rsid w:val="004633DE"/>
    <w:rsid w:val="00465E71"/>
    <w:rsid w:val="004734BD"/>
    <w:rsid w:val="00480E57"/>
    <w:rsid w:val="00482608"/>
    <w:rsid w:val="00483749"/>
    <w:rsid w:val="00484809"/>
    <w:rsid w:val="00484BB1"/>
    <w:rsid w:val="004A0980"/>
    <w:rsid w:val="004A0B8B"/>
    <w:rsid w:val="004A1847"/>
    <w:rsid w:val="004A305D"/>
    <w:rsid w:val="004A3312"/>
    <w:rsid w:val="004B3607"/>
    <w:rsid w:val="004B740F"/>
    <w:rsid w:val="004C4B37"/>
    <w:rsid w:val="004D026D"/>
    <w:rsid w:val="004E221E"/>
    <w:rsid w:val="004E2892"/>
    <w:rsid w:val="004E4C0B"/>
    <w:rsid w:val="004E505B"/>
    <w:rsid w:val="004F21C4"/>
    <w:rsid w:val="004F3012"/>
    <w:rsid w:val="004F5559"/>
    <w:rsid w:val="004F685F"/>
    <w:rsid w:val="004F7EC9"/>
    <w:rsid w:val="00504CBE"/>
    <w:rsid w:val="00514598"/>
    <w:rsid w:val="005163B5"/>
    <w:rsid w:val="0052543A"/>
    <w:rsid w:val="0052785C"/>
    <w:rsid w:val="00533E1B"/>
    <w:rsid w:val="005379F8"/>
    <w:rsid w:val="00540C2D"/>
    <w:rsid w:val="00552502"/>
    <w:rsid w:val="005566E8"/>
    <w:rsid w:val="00560CB5"/>
    <w:rsid w:val="00564F8B"/>
    <w:rsid w:val="00574122"/>
    <w:rsid w:val="00574867"/>
    <w:rsid w:val="00577D09"/>
    <w:rsid w:val="0058087F"/>
    <w:rsid w:val="00591460"/>
    <w:rsid w:val="00592628"/>
    <w:rsid w:val="00597C75"/>
    <w:rsid w:val="005A0868"/>
    <w:rsid w:val="005A0CFB"/>
    <w:rsid w:val="005A282F"/>
    <w:rsid w:val="005A2AC9"/>
    <w:rsid w:val="005B2CCE"/>
    <w:rsid w:val="005B58C1"/>
    <w:rsid w:val="005B6033"/>
    <w:rsid w:val="005C3777"/>
    <w:rsid w:val="005C5CDC"/>
    <w:rsid w:val="005D17C8"/>
    <w:rsid w:val="005D2B2B"/>
    <w:rsid w:val="005D476C"/>
    <w:rsid w:val="005D5F91"/>
    <w:rsid w:val="005D7B25"/>
    <w:rsid w:val="005E60D0"/>
    <w:rsid w:val="005F7C43"/>
    <w:rsid w:val="00605A00"/>
    <w:rsid w:val="00610812"/>
    <w:rsid w:val="00612CE7"/>
    <w:rsid w:val="006219F8"/>
    <w:rsid w:val="006227EA"/>
    <w:rsid w:val="0063165E"/>
    <w:rsid w:val="00632C08"/>
    <w:rsid w:val="006459C3"/>
    <w:rsid w:val="00650FF7"/>
    <w:rsid w:val="00665D70"/>
    <w:rsid w:val="00671DAC"/>
    <w:rsid w:val="006747C7"/>
    <w:rsid w:val="006827AC"/>
    <w:rsid w:val="006859A3"/>
    <w:rsid w:val="006900D9"/>
    <w:rsid w:val="006A0008"/>
    <w:rsid w:val="006A10DF"/>
    <w:rsid w:val="006A3147"/>
    <w:rsid w:val="006B25DE"/>
    <w:rsid w:val="006C0240"/>
    <w:rsid w:val="006C5595"/>
    <w:rsid w:val="006C5765"/>
    <w:rsid w:val="006D12F8"/>
    <w:rsid w:val="006E4DAE"/>
    <w:rsid w:val="006F0D40"/>
    <w:rsid w:val="006F2501"/>
    <w:rsid w:val="007000F0"/>
    <w:rsid w:val="00704D9B"/>
    <w:rsid w:val="00705E5F"/>
    <w:rsid w:val="00706C16"/>
    <w:rsid w:val="00711C85"/>
    <w:rsid w:val="0071458F"/>
    <w:rsid w:val="0071627C"/>
    <w:rsid w:val="007231C5"/>
    <w:rsid w:val="00723A7F"/>
    <w:rsid w:val="007312C3"/>
    <w:rsid w:val="00737C53"/>
    <w:rsid w:val="00737DFA"/>
    <w:rsid w:val="00754FA8"/>
    <w:rsid w:val="00756841"/>
    <w:rsid w:val="00756FC8"/>
    <w:rsid w:val="007612AC"/>
    <w:rsid w:val="00762AA9"/>
    <w:rsid w:val="007649AB"/>
    <w:rsid w:val="00771D0C"/>
    <w:rsid w:val="007833AC"/>
    <w:rsid w:val="00784D58"/>
    <w:rsid w:val="00786FBF"/>
    <w:rsid w:val="00790AB7"/>
    <w:rsid w:val="00791769"/>
    <w:rsid w:val="00796340"/>
    <w:rsid w:val="007A23EA"/>
    <w:rsid w:val="007A5189"/>
    <w:rsid w:val="007B0D88"/>
    <w:rsid w:val="007B268C"/>
    <w:rsid w:val="007B7171"/>
    <w:rsid w:val="007B7D02"/>
    <w:rsid w:val="007C0C0F"/>
    <w:rsid w:val="007C3DC2"/>
    <w:rsid w:val="007D0457"/>
    <w:rsid w:val="007D43C9"/>
    <w:rsid w:val="007D4CAA"/>
    <w:rsid w:val="007E5497"/>
    <w:rsid w:val="007F1BF7"/>
    <w:rsid w:val="007F28CA"/>
    <w:rsid w:val="007F52A4"/>
    <w:rsid w:val="007F60FB"/>
    <w:rsid w:val="007F7B94"/>
    <w:rsid w:val="00804981"/>
    <w:rsid w:val="00806F5F"/>
    <w:rsid w:val="008163D7"/>
    <w:rsid w:val="00820278"/>
    <w:rsid w:val="00834554"/>
    <w:rsid w:val="00834B31"/>
    <w:rsid w:val="00840ADC"/>
    <w:rsid w:val="00843BF7"/>
    <w:rsid w:val="008449B3"/>
    <w:rsid w:val="00845347"/>
    <w:rsid w:val="00846276"/>
    <w:rsid w:val="00850E23"/>
    <w:rsid w:val="00851137"/>
    <w:rsid w:val="00853978"/>
    <w:rsid w:val="0085432F"/>
    <w:rsid w:val="00864209"/>
    <w:rsid w:val="0087325B"/>
    <w:rsid w:val="00881ABA"/>
    <w:rsid w:val="008843B6"/>
    <w:rsid w:val="00886C89"/>
    <w:rsid w:val="008910F7"/>
    <w:rsid w:val="00891928"/>
    <w:rsid w:val="00894B8B"/>
    <w:rsid w:val="008A00A4"/>
    <w:rsid w:val="008A446D"/>
    <w:rsid w:val="008A7059"/>
    <w:rsid w:val="008A7A64"/>
    <w:rsid w:val="008A7F08"/>
    <w:rsid w:val="008B2F0E"/>
    <w:rsid w:val="008B5A2E"/>
    <w:rsid w:val="008D180B"/>
    <w:rsid w:val="008D7227"/>
    <w:rsid w:val="008E1F92"/>
    <w:rsid w:val="008E7333"/>
    <w:rsid w:val="008E7B09"/>
    <w:rsid w:val="008F04CB"/>
    <w:rsid w:val="008F0EA7"/>
    <w:rsid w:val="008F7BB9"/>
    <w:rsid w:val="00904692"/>
    <w:rsid w:val="00910097"/>
    <w:rsid w:val="00911C7C"/>
    <w:rsid w:val="0091561E"/>
    <w:rsid w:val="00917452"/>
    <w:rsid w:val="00923EEF"/>
    <w:rsid w:val="00926840"/>
    <w:rsid w:val="009411F5"/>
    <w:rsid w:val="009419F9"/>
    <w:rsid w:val="00943251"/>
    <w:rsid w:val="00953AA4"/>
    <w:rsid w:val="00955305"/>
    <w:rsid w:val="009567E2"/>
    <w:rsid w:val="0095685E"/>
    <w:rsid w:val="009572D9"/>
    <w:rsid w:val="009600D2"/>
    <w:rsid w:val="00961409"/>
    <w:rsid w:val="00961B09"/>
    <w:rsid w:val="00962300"/>
    <w:rsid w:val="00965334"/>
    <w:rsid w:val="0096612C"/>
    <w:rsid w:val="0097093E"/>
    <w:rsid w:val="00976025"/>
    <w:rsid w:val="00977D20"/>
    <w:rsid w:val="009800BE"/>
    <w:rsid w:val="00982E41"/>
    <w:rsid w:val="00984649"/>
    <w:rsid w:val="009852C1"/>
    <w:rsid w:val="009858BE"/>
    <w:rsid w:val="009A0DFA"/>
    <w:rsid w:val="009A3C2C"/>
    <w:rsid w:val="009A4A40"/>
    <w:rsid w:val="009B2D26"/>
    <w:rsid w:val="009B3595"/>
    <w:rsid w:val="009B780F"/>
    <w:rsid w:val="009C2DD0"/>
    <w:rsid w:val="009C3AC7"/>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2465"/>
    <w:rsid w:val="00A03415"/>
    <w:rsid w:val="00A04A81"/>
    <w:rsid w:val="00A122D3"/>
    <w:rsid w:val="00A12E69"/>
    <w:rsid w:val="00A14D3D"/>
    <w:rsid w:val="00A17F13"/>
    <w:rsid w:val="00A20739"/>
    <w:rsid w:val="00A211D0"/>
    <w:rsid w:val="00A23361"/>
    <w:rsid w:val="00A24433"/>
    <w:rsid w:val="00A2443A"/>
    <w:rsid w:val="00A332DD"/>
    <w:rsid w:val="00A339A9"/>
    <w:rsid w:val="00A33C78"/>
    <w:rsid w:val="00A34B38"/>
    <w:rsid w:val="00A34D87"/>
    <w:rsid w:val="00A35538"/>
    <w:rsid w:val="00A37BC4"/>
    <w:rsid w:val="00A42050"/>
    <w:rsid w:val="00A43292"/>
    <w:rsid w:val="00A445C0"/>
    <w:rsid w:val="00A56FCA"/>
    <w:rsid w:val="00A6004A"/>
    <w:rsid w:val="00A613C2"/>
    <w:rsid w:val="00A668DA"/>
    <w:rsid w:val="00A74DE6"/>
    <w:rsid w:val="00A8086A"/>
    <w:rsid w:val="00A80F32"/>
    <w:rsid w:val="00A87F7D"/>
    <w:rsid w:val="00A9244C"/>
    <w:rsid w:val="00A94D14"/>
    <w:rsid w:val="00AA6866"/>
    <w:rsid w:val="00AB0ADB"/>
    <w:rsid w:val="00AB3FD1"/>
    <w:rsid w:val="00AC0EAB"/>
    <w:rsid w:val="00AC4701"/>
    <w:rsid w:val="00AC49A2"/>
    <w:rsid w:val="00AD73E2"/>
    <w:rsid w:val="00AE2631"/>
    <w:rsid w:val="00AF1BEC"/>
    <w:rsid w:val="00B00909"/>
    <w:rsid w:val="00B009B8"/>
    <w:rsid w:val="00B01B1A"/>
    <w:rsid w:val="00B14E03"/>
    <w:rsid w:val="00B26B98"/>
    <w:rsid w:val="00B35201"/>
    <w:rsid w:val="00B35ADC"/>
    <w:rsid w:val="00B37C24"/>
    <w:rsid w:val="00B40FBC"/>
    <w:rsid w:val="00B45288"/>
    <w:rsid w:val="00B46F27"/>
    <w:rsid w:val="00B47FD7"/>
    <w:rsid w:val="00B51F75"/>
    <w:rsid w:val="00B53E27"/>
    <w:rsid w:val="00B558AF"/>
    <w:rsid w:val="00B615BA"/>
    <w:rsid w:val="00B62D8B"/>
    <w:rsid w:val="00B72CD3"/>
    <w:rsid w:val="00B72FFF"/>
    <w:rsid w:val="00B76CEB"/>
    <w:rsid w:val="00B8257D"/>
    <w:rsid w:val="00B82B8B"/>
    <w:rsid w:val="00B84B90"/>
    <w:rsid w:val="00B86FE2"/>
    <w:rsid w:val="00B91186"/>
    <w:rsid w:val="00B93423"/>
    <w:rsid w:val="00BA1740"/>
    <w:rsid w:val="00BA2EF4"/>
    <w:rsid w:val="00BA3816"/>
    <w:rsid w:val="00BA5F2D"/>
    <w:rsid w:val="00BC0036"/>
    <w:rsid w:val="00BC05A6"/>
    <w:rsid w:val="00BC3D36"/>
    <w:rsid w:val="00BC4B34"/>
    <w:rsid w:val="00BD7F72"/>
    <w:rsid w:val="00BE03BC"/>
    <w:rsid w:val="00BE0A18"/>
    <w:rsid w:val="00BF1201"/>
    <w:rsid w:val="00BF1D4A"/>
    <w:rsid w:val="00BF230F"/>
    <w:rsid w:val="00C002E3"/>
    <w:rsid w:val="00C012CC"/>
    <w:rsid w:val="00C04FB3"/>
    <w:rsid w:val="00C10C0F"/>
    <w:rsid w:val="00C147D0"/>
    <w:rsid w:val="00C159C1"/>
    <w:rsid w:val="00C16346"/>
    <w:rsid w:val="00C21B15"/>
    <w:rsid w:val="00C301B7"/>
    <w:rsid w:val="00C32523"/>
    <w:rsid w:val="00C330EB"/>
    <w:rsid w:val="00C371C9"/>
    <w:rsid w:val="00C40E9F"/>
    <w:rsid w:val="00C41481"/>
    <w:rsid w:val="00C42469"/>
    <w:rsid w:val="00C46D91"/>
    <w:rsid w:val="00C47A07"/>
    <w:rsid w:val="00C47B74"/>
    <w:rsid w:val="00C57281"/>
    <w:rsid w:val="00C65D65"/>
    <w:rsid w:val="00C67703"/>
    <w:rsid w:val="00C7173F"/>
    <w:rsid w:val="00C730B6"/>
    <w:rsid w:val="00C754BE"/>
    <w:rsid w:val="00C76466"/>
    <w:rsid w:val="00C76B1C"/>
    <w:rsid w:val="00C915DD"/>
    <w:rsid w:val="00C91B94"/>
    <w:rsid w:val="00C92665"/>
    <w:rsid w:val="00CA54D3"/>
    <w:rsid w:val="00CA6A9D"/>
    <w:rsid w:val="00CA7F6B"/>
    <w:rsid w:val="00CB6357"/>
    <w:rsid w:val="00CC0FA3"/>
    <w:rsid w:val="00CC1B26"/>
    <w:rsid w:val="00CC42DF"/>
    <w:rsid w:val="00CC49F7"/>
    <w:rsid w:val="00CC54DB"/>
    <w:rsid w:val="00CD087D"/>
    <w:rsid w:val="00CD41CB"/>
    <w:rsid w:val="00CD5EE0"/>
    <w:rsid w:val="00CE509A"/>
    <w:rsid w:val="00CE5414"/>
    <w:rsid w:val="00CF241F"/>
    <w:rsid w:val="00CF7826"/>
    <w:rsid w:val="00D0157A"/>
    <w:rsid w:val="00D036D8"/>
    <w:rsid w:val="00D038ED"/>
    <w:rsid w:val="00D06D26"/>
    <w:rsid w:val="00D10B75"/>
    <w:rsid w:val="00D13351"/>
    <w:rsid w:val="00D15E25"/>
    <w:rsid w:val="00D20368"/>
    <w:rsid w:val="00D22361"/>
    <w:rsid w:val="00D22598"/>
    <w:rsid w:val="00D26924"/>
    <w:rsid w:val="00D413F6"/>
    <w:rsid w:val="00D4231B"/>
    <w:rsid w:val="00D423A2"/>
    <w:rsid w:val="00D51F2A"/>
    <w:rsid w:val="00D520D8"/>
    <w:rsid w:val="00D52961"/>
    <w:rsid w:val="00D55048"/>
    <w:rsid w:val="00D57FA4"/>
    <w:rsid w:val="00D62DE7"/>
    <w:rsid w:val="00D63AC2"/>
    <w:rsid w:val="00D665B4"/>
    <w:rsid w:val="00D7383B"/>
    <w:rsid w:val="00D7609E"/>
    <w:rsid w:val="00D81A63"/>
    <w:rsid w:val="00D81D25"/>
    <w:rsid w:val="00D85C60"/>
    <w:rsid w:val="00D94C40"/>
    <w:rsid w:val="00DA231B"/>
    <w:rsid w:val="00DA23A0"/>
    <w:rsid w:val="00DA7F66"/>
    <w:rsid w:val="00DB12C2"/>
    <w:rsid w:val="00DB186F"/>
    <w:rsid w:val="00DC39FC"/>
    <w:rsid w:val="00DC4385"/>
    <w:rsid w:val="00DC484F"/>
    <w:rsid w:val="00DC4C27"/>
    <w:rsid w:val="00DC51BC"/>
    <w:rsid w:val="00DC793F"/>
    <w:rsid w:val="00DE4629"/>
    <w:rsid w:val="00DF11FD"/>
    <w:rsid w:val="00DF5254"/>
    <w:rsid w:val="00E12426"/>
    <w:rsid w:val="00E16408"/>
    <w:rsid w:val="00E20894"/>
    <w:rsid w:val="00E245AB"/>
    <w:rsid w:val="00E26239"/>
    <w:rsid w:val="00E2764C"/>
    <w:rsid w:val="00E27F2E"/>
    <w:rsid w:val="00E413EA"/>
    <w:rsid w:val="00E46E45"/>
    <w:rsid w:val="00E47F28"/>
    <w:rsid w:val="00E50AFE"/>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CD8"/>
    <w:rsid w:val="00EA393B"/>
    <w:rsid w:val="00EA39A5"/>
    <w:rsid w:val="00EA5814"/>
    <w:rsid w:val="00EB2C4B"/>
    <w:rsid w:val="00EB7E00"/>
    <w:rsid w:val="00EC1A2C"/>
    <w:rsid w:val="00EC1FE1"/>
    <w:rsid w:val="00EC38A7"/>
    <w:rsid w:val="00ED042A"/>
    <w:rsid w:val="00ED0D4A"/>
    <w:rsid w:val="00EE1AA8"/>
    <w:rsid w:val="00EF26C3"/>
    <w:rsid w:val="00EF419E"/>
    <w:rsid w:val="00EF489F"/>
    <w:rsid w:val="00F06820"/>
    <w:rsid w:val="00F11213"/>
    <w:rsid w:val="00F11BAA"/>
    <w:rsid w:val="00F177C1"/>
    <w:rsid w:val="00F238F2"/>
    <w:rsid w:val="00F260AA"/>
    <w:rsid w:val="00F27B26"/>
    <w:rsid w:val="00F31EDC"/>
    <w:rsid w:val="00F34D02"/>
    <w:rsid w:val="00F34E84"/>
    <w:rsid w:val="00F40BAD"/>
    <w:rsid w:val="00F462B3"/>
    <w:rsid w:val="00F5184B"/>
    <w:rsid w:val="00F55081"/>
    <w:rsid w:val="00F55168"/>
    <w:rsid w:val="00F5664F"/>
    <w:rsid w:val="00F626C4"/>
    <w:rsid w:val="00F64D9E"/>
    <w:rsid w:val="00F666C4"/>
    <w:rsid w:val="00F7684C"/>
    <w:rsid w:val="00F76AFC"/>
    <w:rsid w:val="00F80CBE"/>
    <w:rsid w:val="00F85198"/>
    <w:rsid w:val="00F937BF"/>
    <w:rsid w:val="00F939CB"/>
    <w:rsid w:val="00F9479C"/>
    <w:rsid w:val="00F965EE"/>
    <w:rsid w:val="00F97949"/>
    <w:rsid w:val="00FA1110"/>
    <w:rsid w:val="00FA358D"/>
    <w:rsid w:val="00FA47C0"/>
    <w:rsid w:val="00FB4425"/>
    <w:rsid w:val="00FB5615"/>
    <w:rsid w:val="00FB5DD1"/>
    <w:rsid w:val="00FB5F87"/>
    <w:rsid w:val="00FC07B5"/>
    <w:rsid w:val="00FC2B5D"/>
    <w:rsid w:val="00FD00E9"/>
    <w:rsid w:val="00FD03E3"/>
    <w:rsid w:val="00FE122A"/>
    <w:rsid w:val="00FE20E6"/>
    <w:rsid w:val="00FE74DC"/>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7B7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94617855">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993491494">
      <w:bodyDiv w:val="1"/>
      <w:marLeft w:val="0"/>
      <w:marRight w:val="0"/>
      <w:marTop w:val="0"/>
      <w:marBottom w:val="0"/>
      <w:divBdr>
        <w:top w:val="none" w:sz="0" w:space="0" w:color="auto"/>
        <w:left w:val="none" w:sz="0" w:space="0" w:color="auto"/>
        <w:bottom w:val="none" w:sz="0" w:space="0" w:color="auto"/>
        <w:right w:val="none" w:sz="0" w:space="0" w:color="auto"/>
      </w:divBdr>
      <w:divsChild>
        <w:div w:id="2100637574">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jose.sanchez%40colombiacompra.gov.co%7Ceb0fd05604104aa4d3bc08dd4c4ad35e%7C7b09041e245149d08cb179d5e3d8c1be%7C0%7C0%7C638750606444331455%7CUnknown%7CTWFpbGZsb3d8eyJFbXB0eU1hcGkiOnRydWUsIlYiOiIwLjAuMDAwMCIsIlAiOiJXaW4zMiIsIkFOIjoiTWFpbCIsIldUIjoyfQ%3D%3D%7C0%7C%7C%7C&amp;sdata=A4Rv4yPieCEbMtJ98dk1C9ixhvowiB6rmJenmMv9Lbo%3D&amp;reserved=0"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nam02.safelinks.protection.outlook.com/?url=https%3A%2F%2Fwww.colombiacompra.gov.co%2Fcontent%2Fborrador-de-documentos-tipo-de-interventoria-de-obra-publica-de-infraestructura-de&amp;data=05%7C02%7Cgustavo.hinestroza%40colombiacompra.gov.co%7C096eca3fdcca424ff1c708dcf932f947%7C7b09041e245149d08cb179d5e3d8c1be%7C0%7C0%7C638659244559009305%7CUnknown%7CTWFpbGZsb3d8eyJWIjoiMC4wLjAwMDAiLCJQIjoiV2luMzIiLCJBTiI6Ik1haWwiLCJXVCI6Mn0%3D%7C0%7C%7C%7C&amp;sdata=tGFfBDNA2UfgZjTR6YetCGGZnlJ3HZEAOL1Y%2FgjLdQA%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borrador-de-documentos-tipo-de-consultoria-de-obra-publica-de-infraestructura-de-transporte&amp;data=05%7C02%7Cgustavo.hinestroza%40colombiacompra.gov.co%7C096eca3fdcca424ff1c708dcf932f947%7C7b09041e245149d08cb179d5e3d8c1be%7C0%7C0%7C638659244558969426%7CUnknown%7CTWFpbGZsb3d8eyJWIjoiMC4wLjAwMDAiLCJQIjoiV2luMzIiLCJBTiI6Ik1haWwiLCJXVCI6Mn0%3D%7C0%7C%7C%7C&amp;sdata=euNN%2Bobln1e4Sfw7QkQf2cxPj3R%2FsCFmoL55MX5p9SA%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jose.sanchez%40colombiacompra.gov.co%7Ceb0fd05604104aa4d3bc08dd4c4ad35e%7C7b09041e245149d08cb179d5e3d8c1be%7C0%7C0%7C638750606444366227%7CUnknown%7CTWFpbGZsb3d8eyJFbXB0eU1hcGkiOnRydWUsIlYiOiIwLjAuMDAwMCIsIlAiOiJXaW4zMiIsIkFOIjoiTWFpbCIsIldUIjoyfQ%3D%3D%7C0%7C%7C%7C&amp;sdata=9QXP%2FtGRh4ksN9Mq7dwuAwwQbJmXMyhaLjy9ViNGST8%3D&amp;reserved=0"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iudadanos%2Fcalendario&amp;data=05%7C02%7Cjose.sanchez%40colombiacompra.gov.co%7Ceb0fd05604104aa4d3bc08dd4c4ad35e%7C7b09041e245149d08cb179d5e3d8c1be%7C0%7C0%7C638750606444352370%7CUnknown%7CTWFpbGZsb3d8eyJFbXB0eU1hcGkiOnRydWUsIlYiOiIwLjAuMDAwMCIsIlAiOiJXaW4zMiIsIkFOIjoiTWFpbCIsIldUIjoyfQ%3D%3D%7C0%7C%7C%7C&amp;sdata=fRD0QVzSFRVrZt4kbVeEyxYb4cMGbhxKfR115F%2F83rc%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revistas.udea.edu.co/index.php/derypol/article/view/331285/20790715" TargetMode="External"/><Relationship Id="rId1" Type="http://schemas.openxmlformats.org/officeDocument/2006/relationships/hyperlink" Target="https://revistas.uexternado.edu.co/index.php/derpri/article/view/7201/1029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585B043-50C1-4655-B3E8-1FB46F323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7089</Words>
  <Characters>40410</Characters>
  <Application>Microsoft Office Word</Application>
  <DocSecurity>0</DocSecurity>
  <Lines>336</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 CP </cp:lastModifiedBy>
  <cp:revision>3</cp:revision>
  <cp:lastPrinted>2025-02-25T15:45:00Z</cp:lastPrinted>
  <dcterms:created xsi:type="dcterms:W3CDTF">2025-03-29T16:02:00Z</dcterms:created>
  <dcterms:modified xsi:type="dcterms:W3CDTF">2025-03-29T16:04:00Z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