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D01EE" w14:textId="682B01F1" w:rsidR="0051090D" w:rsidRPr="0051090D" w:rsidRDefault="0051090D" w:rsidP="0051090D">
      <w:pPr>
        <w:spacing w:after="0"/>
        <w:jc w:val="both"/>
        <w:rPr>
          <w:rFonts w:ascii="Verdana" w:hAnsi="Verdana"/>
        </w:rPr>
      </w:pPr>
      <w:bookmarkStart w:id="0" w:name="_Hlk143780582"/>
      <w:r w:rsidRPr="0051090D">
        <w:rPr>
          <w:rFonts w:ascii="Verdana" w:eastAsia="Calibri" w:hAnsi="Verdana" w:cs="Arial"/>
          <w:b/>
          <w:color w:val="000000"/>
          <w:lang w:val="es-ES_tradnl"/>
        </w:rPr>
        <w:t xml:space="preserve">GARANTÍAS – Contratación estatal – Constitución de garantías – Finalidad – Cumplimiento – Obligaciones contractuales </w:t>
      </w:r>
    </w:p>
    <w:p w14:paraId="214FDA55" w14:textId="77777777" w:rsidR="0051090D" w:rsidRPr="0051090D" w:rsidRDefault="0051090D" w:rsidP="0051090D">
      <w:pPr>
        <w:spacing w:after="0" w:line="276" w:lineRule="auto"/>
        <w:jc w:val="both"/>
        <w:rPr>
          <w:rFonts w:ascii="Verdana" w:eastAsia="Calibri" w:hAnsi="Verdana" w:cs="Arial"/>
          <w:bCs/>
          <w:color w:val="000000"/>
          <w:lang w:val="es-ES_tradnl"/>
        </w:rPr>
      </w:pPr>
    </w:p>
    <w:p w14:paraId="0F77C4AD" w14:textId="1995A33A" w:rsidR="0051090D" w:rsidRPr="009F2895" w:rsidRDefault="009F2895" w:rsidP="0051090D">
      <w:pPr>
        <w:spacing w:after="0" w:line="240" w:lineRule="auto"/>
        <w:jc w:val="both"/>
        <w:rPr>
          <w:rFonts w:ascii="Verdana" w:eastAsia="Calibri" w:hAnsi="Verdana" w:cs="Arial"/>
          <w:color w:val="000000"/>
          <w:sz w:val="20"/>
          <w:szCs w:val="20"/>
          <w:lang w:val="es-ES_tradnl"/>
        </w:rPr>
      </w:pPr>
      <w:r w:rsidRPr="009F2895">
        <w:rPr>
          <w:rFonts w:ascii="Verdana" w:eastAsia="Calibri" w:hAnsi="Verdana" w:cs="Arial"/>
          <w:color w:val="000000"/>
          <w:sz w:val="20"/>
          <w:szCs w:val="20"/>
          <w:shd w:val="clear" w:color="auto" w:fill="FFFFFF"/>
          <w:lang w:val="es-ES_tradnl"/>
        </w:rPr>
        <w:t>Por regla, para seleccionar contratistas y para ejecutar contratos se requiere la constitución de garantías. Por un lado, l</w:t>
      </w:r>
      <w:r w:rsidRPr="009F2895">
        <w:rPr>
          <w:rFonts w:ascii="Verdana" w:eastAsia="Calibri" w:hAnsi="Verdana" w:cs="Arial"/>
          <w:color w:val="000000"/>
          <w:sz w:val="20"/>
          <w:szCs w:val="20"/>
          <w:lang w:val="es-ES_tradnl"/>
        </w:rPr>
        <w:t xml:space="preserve">a </w:t>
      </w:r>
      <w:r w:rsidRPr="009F2895">
        <w:rPr>
          <w:rFonts w:ascii="Verdana" w:eastAsia="Calibri" w:hAnsi="Verdana" w:cs="Arial"/>
          <w:i/>
          <w:iCs/>
          <w:color w:val="000000"/>
          <w:sz w:val="20"/>
          <w:szCs w:val="20"/>
          <w:lang w:val="es-ES_tradnl"/>
        </w:rPr>
        <w:t>garantía de seriedad</w:t>
      </w:r>
      <w:r w:rsidRPr="009F2895">
        <w:rPr>
          <w:rFonts w:ascii="Verdana" w:eastAsia="Calibri" w:hAnsi="Verdana" w:cs="Arial"/>
          <w:color w:val="000000"/>
          <w:sz w:val="20"/>
          <w:szCs w:val="20"/>
          <w:lang w:val="es-ES_tradnl"/>
        </w:rPr>
        <w:t xml:space="preserve"> respalda el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r w:rsidR="0051090D" w:rsidRPr="009F2895">
        <w:rPr>
          <w:rFonts w:ascii="Verdana" w:eastAsia="Calibri" w:hAnsi="Verdana" w:cs="Arial"/>
          <w:color w:val="000000"/>
          <w:sz w:val="20"/>
          <w:szCs w:val="20"/>
          <w:lang w:val="es-ES_tradnl"/>
        </w:rPr>
        <w:t>.</w:t>
      </w:r>
      <w:r w:rsidRPr="009F2895">
        <w:rPr>
          <w:rFonts w:ascii="Verdana" w:eastAsia="Calibri" w:hAnsi="Verdana" w:cs="Arial"/>
          <w:color w:val="000000"/>
          <w:sz w:val="20"/>
          <w:szCs w:val="20"/>
          <w:lang w:val="es-ES_tradnl"/>
        </w:rPr>
        <w:t xml:space="preserve"> </w:t>
      </w:r>
      <w:r w:rsidR="0051090D" w:rsidRPr="009F2895">
        <w:rPr>
          <w:rFonts w:ascii="Verdana" w:eastAsia="Calibri" w:hAnsi="Verdana" w:cs="Arial"/>
          <w:color w:val="000000"/>
          <w:sz w:val="20"/>
          <w:szCs w:val="20"/>
          <w:lang w:val="es-ES_tradnl"/>
        </w:rPr>
        <w:t>[…]</w:t>
      </w:r>
    </w:p>
    <w:p w14:paraId="00C0D381" w14:textId="77777777" w:rsidR="0051090D" w:rsidRPr="0051090D" w:rsidRDefault="0051090D" w:rsidP="0051090D">
      <w:pPr>
        <w:spacing w:after="0" w:line="276" w:lineRule="auto"/>
        <w:rPr>
          <w:rFonts w:ascii="Verdana" w:eastAsia="Geomanist Light" w:hAnsi="Verdana" w:cs="Arial"/>
          <w:color w:val="000000"/>
          <w:lang w:val="es-ES_tradnl"/>
        </w:rPr>
      </w:pPr>
    </w:p>
    <w:p w14:paraId="007EA740" w14:textId="77777777" w:rsidR="0051090D" w:rsidRPr="0051090D" w:rsidRDefault="0051090D" w:rsidP="0051090D">
      <w:pPr>
        <w:spacing w:after="0" w:line="240" w:lineRule="auto"/>
        <w:jc w:val="both"/>
        <w:rPr>
          <w:rFonts w:ascii="Verdana" w:eastAsia="Calibri" w:hAnsi="Verdana" w:cs="Arial"/>
          <w:b/>
          <w:lang w:val="es-ES_tradnl"/>
        </w:rPr>
      </w:pPr>
      <w:r w:rsidRPr="0051090D">
        <w:rPr>
          <w:rFonts w:ascii="Verdana" w:eastAsia="Calibri" w:hAnsi="Verdana" w:cs="Arial"/>
          <w:b/>
          <w:lang w:val="es-ES_tradnl"/>
        </w:rPr>
        <w:t>GARANTÍA DE CUMPLIMIENTO – Amparos – Finalidad</w:t>
      </w:r>
    </w:p>
    <w:p w14:paraId="15E2FC40" w14:textId="77777777" w:rsidR="0051090D" w:rsidRPr="0051090D" w:rsidRDefault="0051090D" w:rsidP="0051090D">
      <w:pPr>
        <w:spacing w:after="0" w:line="276" w:lineRule="auto"/>
        <w:jc w:val="both"/>
        <w:rPr>
          <w:rFonts w:ascii="Verdana" w:eastAsia="Calibri" w:hAnsi="Verdana" w:cs="Arial"/>
          <w:b/>
          <w:lang w:val="es-ES_tradnl"/>
        </w:rPr>
      </w:pPr>
    </w:p>
    <w:p w14:paraId="29D4C0DD" w14:textId="3939A93B" w:rsidR="009F2895" w:rsidRPr="009F2895" w:rsidRDefault="009F2895" w:rsidP="009F2895">
      <w:pPr>
        <w:spacing w:after="0" w:line="240" w:lineRule="auto"/>
        <w:jc w:val="both"/>
        <w:rPr>
          <w:rFonts w:ascii="Verdana" w:eastAsia="Calibri" w:hAnsi="Verdana" w:cs="Arial"/>
          <w:color w:val="000000"/>
          <w:sz w:val="20"/>
          <w:szCs w:val="20"/>
          <w:lang w:val="es-ES_tradnl"/>
        </w:rPr>
      </w:pPr>
      <w:r w:rsidRPr="009F2895">
        <w:rPr>
          <w:rFonts w:ascii="Verdana" w:eastAsia="Calibri" w:hAnsi="Verdana" w:cs="Arial"/>
          <w:color w:val="000000"/>
          <w:sz w:val="20"/>
          <w:szCs w:val="20"/>
          <w:lang w:val="es-ES_tradnl"/>
        </w:rPr>
        <w:t xml:space="preserve">En contraste, mediante la </w:t>
      </w:r>
      <w:r w:rsidRPr="009F2895">
        <w:rPr>
          <w:rFonts w:ascii="Verdana" w:eastAsia="Calibri" w:hAnsi="Verdana" w:cs="Arial"/>
          <w:i/>
          <w:iCs/>
          <w:color w:val="000000"/>
          <w:sz w:val="20"/>
          <w:szCs w:val="20"/>
          <w:lang w:val="es-ES_tradnl"/>
        </w:rPr>
        <w:t>garantía única de cumplimiento</w:t>
      </w:r>
      <w:r w:rsidRPr="009F2895">
        <w:rPr>
          <w:rFonts w:ascii="Verdana" w:eastAsia="Calibri" w:hAnsi="Verdana" w:cs="Arial"/>
          <w:color w:val="000000"/>
          <w:sz w:val="20"/>
          <w:szCs w:val="20"/>
          <w:lang w:val="es-ES_tradnl"/>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07DEEF8D" w14:textId="77777777" w:rsidR="0051090D" w:rsidRPr="009F2895" w:rsidRDefault="0051090D" w:rsidP="009F2895">
      <w:pPr>
        <w:spacing w:after="0" w:line="240" w:lineRule="auto"/>
        <w:jc w:val="both"/>
        <w:rPr>
          <w:rFonts w:ascii="Verdana" w:eastAsia="Calibri" w:hAnsi="Verdana" w:cs="Arial"/>
          <w:color w:val="000000"/>
          <w:sz w:val="20"/>
          <w:szCs w:val="20"/>
          <w:lang w:val="es-ES_tradnl"/>
        </w:rPr>
      </w:pPr>
    </w:p>
    <w:p w14:paraId="0E989FD6" w14:textId="40019BD8" w:rsidR="0051090D" w:rsidRPr="009F2895" w:rsidRDefault="009F2895" w:rsidP="009F2895">
      <w:pPr>
        <w:spacing w:after="0" w:line="240" w:lineRule="auto"/>
        <w:jc w:val="both"/>
        <w:rPr>
          <w:rFonts w:ascii="Verdana" w:eastAsia="Calibri" w:hAnsi="Verdana" w:cs="Arial"/>
          <w:color w:val="000000"/>
          <w:sz w:val="20"/>
          <w:szCs w:val="20"/>
          <w:lang w:val="es-ES"/>
        </w:rPr>
      </w:pPr>
      <w:r w:rsidRPr="009F2895">
        <w:rPr>
          <w:rFonts w:ascii="Verdana" w:eastAsia="Calibri" w:hAnsi="Verdana" w:cs="Arial"/>
          <w:color w:val="000000"/>
          <w:sz w:val="20"/>
          <w:szCs w:val="20"/>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10387D48" w14:textId="77777777" w:rsidR="0051090D" w:rsidRPr="009F2895" w:rsidRDefault="0051090D" w:rsidP="009F2895">
      <w:pPr>
        <w:spacing w:after="0" w:line="276" w:lineRule="auto"/>
        <w:rPr>
          <w:rFonts w:ascii="Verdana" w:eastAsia="Geomanist Light" w:hAnsi="Verdana" w:cs="Arial"/>
          <w:color w:val="000000"/>
          <w:lang w:val="es-ES_tradnl"/>
        </w:rPr>
      </w:pPr>
    </w:p>
    <w:p w14:paraId="622AF0E5" w14:textId="77777777" w:rsidR="0051090D" w:rsidRPr="0051090D" w:rsidRDefault="0051090D" w:rsidP="0051090D">
      <w:pPr>
        <w:tabs>
          <w:tab w:val="left" w:pos="426"/>
        </w:tabs>
        <w:spacing w:after="0" w:line="240" w:lineRule="auto"/>
        <w:jc w:val="both"/>
        <w:rPr>
          <w:rFonts w:ascii="Verdana" w:eastAsia="Calibri" w:hAnsi="Verdana" w:cs="Arial"/>
          <w:b/>
          <w:lang w:val="es-ES_tradnl" w:eastAsia="es-CO"/>
        </w:rPr>
      </w:pPr>
      <w:r w:rsidRPr="0051090D">
        <w:rPr>
          <w:rFonts w:ascii="Verdana" w:eastAsia="Calibri" w:hAnsi="Verdana" w:cs="Arial"/>
          <w:b/>
          <w:lang w:val="es-ES_tradnl" w:eastAsia="es-CO"/>
        </w:rPr>
        <w:t xml:space="preserve">GARANTÍA DE ESTABILIDAD Y CALIDAD DE LA OBRA – Suficiencia  </w:t>
      </w:r>
    </w:p>
    <w:p w14:paraId="246874CF" w14:textId="77777777" w:rsidR="0051090D" w:rsidRPr="0051090D" w:rsidRDefault="0051090D" w:rsidP="0051090D">
      <w:pPr>
        <w:tabs>
          <w:tab w:val="left" w:pos="426"/>
        </w:tabs>
        <w:spacing w:after="0" w:line="276" w:lineRule="auto"/>
        <w:jc w:val="both"/>
        <w:rPr>
          <w:rFonts w:ascii="Verdana" w:eastAsia="Calibri" w:hAnsi="Verdana" w:cs="Arial"/>
          <w:b/>
          <w:lang w:val="es-ES_tradnl" w:eastAsia="es-CO"/>
        </w:rPr>
      </w:pPr>
    </w:p>
    <w:p w14:paraId="5655E717" w14:textId="768870D1" w:rsidR="0051090D" w:rsidRPr="009F2895" w:rsidRDefault="009F2895" w:rsidP="0051090D">
      <w:pPr>
        <w:spacing w:after="0" w:line="240" w:lineRule="auto"/>
        <w:jc w:val="both"/>
        <w:rPr>
          <w:rFonts w:ascii="Verdana" w:eastAsia="Times New Roman" w:hAnsi="Verdana" w:cs="Arial"/>
          <w:color w:val="000000"/>
          <w:sz w:val="20"/>
          <w:szCs w:val="20"/>
          <w:lang w:val="es-ES_tradnl" w:eastAsia="es-CO"/>
        </w:rPr>
      </w:pPr>
      <w:r w:rsidRPr="009F2895">
        <w:rPr>
          <w:rFonts w:ascii="Verdana" w:eastAsia="Times New Roman" w:hAnsi="Verdana" w:cs="Arial"/>
          <w:color w:val="000000" w:themeColor="text1"/>
          <w:sz w:val="20"/>
          <w:szCs w:val="20"/>
          <w:lang w:val="es-ES" w:eastAsia="es-CO"/>
        </w:rPr>
        <w:t xml:space="preserve">Respecto a la </w:t>
      </w:r>
      <w:r w:rsidRPr="009F2895">
        <w:rPr>
          <w:rFonts w:ascii="Verdana" w:eastAsia="Times New Roman" w:hAnsi="Verdana" w:cs="Arial"/>
          <w:i/>
          <w:iCs/>
          <w:color w:val="000000" w:themeColor="text1"/>
          <w:sz w:val="20"/>
          <w:szCs w:val="20"/>
          <w:lang w:val="es-ES" w:eastAsia="es-CO"/>
        </w:rPr>
        <w:t>garantía de estabilidad y calidad de la obra</w:t>
      </w:r>
      <w:r w:rsidRPr="009F2895">
        <w:rPr>
          <w:rFonts w:ascii="Verdana" w:eastAsia="Times New Roman" w:hAnsi="Verdana" w:cs="Arial"/>
          <w:color w:val="000000" w:themeColor="text1"/>
          <w:sz w:val="20"/>
          <w:szCs w:val="20"/>
          <w:lang w:val="es-ES" w:eastAsia="es-CO"/>
        </w:rPr>
        <w:t xml:space="preserve">, el artículo 2.2.1.2.3.1.14 del Decreto 1082 de 2015 –después de la modificación del artículo 3 del Decreto 399 de 2021– regula la suficiencia del amparo. Para efectos de la vigencia y el monto, el inciso </w:t>
      </w:r>
      <w:r w:rsidRPr="009F2895">
        <w:rPr>
          <w:rFonts w:ascii="Verdana" w:eastAsia="Times New Roman" w:hAnsi="Verdana" w:cs="Arial"/>
          <w:color w:val="000000" w:themeColor="text1"/>
          <w:sz w:val="20"/>
          <w:szCs w:val="20"/>
          <w:lang w:val="es-ES" w:eastAsia="es-CO"/>
        </w:rPr>
        <w:lastRenderedPageBreak/>
        <w:t>primero dispone que “Esta garantía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No obstante, en lo que atañe al plazo, la norma consagra una excepción, puesto que la norma faculta a la entidad para establecer una garantía por un plazo inferior a cinco (5) años, sin que la misma tenga una duración inferior a uno (1).</w:t>
      </w:r>
      <w:r w:rsidR="0051090D" w:rsidRPr="009F2895">
        <w:rPr>
          <w:rFonts w:ascii="Verdana" w:eastAsia="Times New Roman" w:hAnsi="Verdana" w:cs="Arial"/>
          <w:color w:val="000000"/>
          <w:sz w:val="20"/>
          <w:szCs w:val="20"/>
          <w:lang w:val="es-ES_tradnl" w:eastAsia="es-CO"/>
        </w:rPr>
        <w:t xml:space="preserve"> […]</w:t>
      </w:r>
    </w:p>
    <w:p w14:paraId="388F388B" w14:textId="77777777" w:rsidR="0051090D" w:rsidRPr="0051090D" w:rsidRDefault="0051090D" w:rsidP="0051090D">
      <w:pPr>
        <w:spacing w:after="0" w:line="276" w:lineRule="auto"/>
        <w:jc w:val="both"/>
        <w:rPr>
          <w:rFonts w:ascii="Verdana" w:eastAsia="Times New Roman" w:hAnsi="Verdana" w:cs="Arial"/>
          <w:color w:val="000000"/>
          <w:lang w:val="es-ES_tradnl" w:eastAsia="es-CO"/>
        </w:rPr>
      </w:pPr>
    </w:p>
    <w:p w14:paraId="69790881" w14:textId="77777777" w:rsidR="0051090D" w:rsidRPr="0051090D" w:rsidRDefault="0051090D" w:rsidP="0051090D">
      <w:pPr>
        <w:spacing w:after="0"/>
        <w:jc w:val="both"/>
        <w:rPr>
          <w:rFonts w:ascii="Verdana" w:eastAsia="Calibri" w:hAnsi="Verdana" w:cs="Arial"/>
          <w:b/>
          <w:color w:val="000000"/>
          <w:lang w:val="es-ES_tradnl"/>
        </w:rPr>
      </w:pPr>
      <w:bookmarkStart w:id="1" w:name="_Hlk36233079"/>
      <w:r w:rsidRPr="0051090D">
        <w:rPr>
          <w:rFonts w:ascii="Verdana" w:eastAsia="Calibri" w:hAnsi="Verdana" w:cs="Arial"/>
          <w:b/>
          <w:color w:val="000000"/>
          <w:lang w:val="es-ES_tradnl"/>
        </w:rPr>
        <w:t xml:space="preserve">DOCUMENTOS TIPO – Licitación – Infraestructura de transporte – Versión 4 – Amparo de estabilidad y calidad de la obra   </w:t>
      </w:r>
    </w:p>
    <w:bookmarkEnd w:id="1"/>
    <w:p w14:paraId="63483F29" w14:textId="77777777" w:rsidR="0051090D" w:rsidRPr="0051090D" w:rsidRDefault="0051090D" w:rsidP="0051090D">
      <w:pPr>
        <w:spacing w:after="0" w:line="276" w:lineRule="auto"/>
        <w:jc w:val="both"/>
        <w:rPr>
          <w:rFonts w:ascii="Verdana" w:eastAsia="Calibri" w:hAnsi="Verdana" w:cs="Arial"/>
          <w:color w:val="000000"/>
          <w:szCs w:val="28"/>
          <w:lang w:val="es-ES_tradnl"/>
        </w:rPr>
      </w:pPr>
    </w:p>
    <w:p w14:paraId="65AC0339" w14:textId="3BEF568D" w:rsidR="0051090D" w:rsidRPr="009F2895" w:rsidRDefault="009F2895" w:rsidP="009F2895">
      <w:pPr>
        <w:snapToGrid w:val="0"/>
        <w:spacing w:after="0" w:line="240" w:lineRule="auto"/>
        <w:jc w:val="both"/>
        <w:rPr>
          <w:rFonts w:ascii="Verdana" w:eastAsia="Calibri" w:hAnsi="Verdana" w:cs="Arial"/>
          <w:kern w:val="2"/>
          <w:sz w:val="20"/>
          <w:szCs w:val="20"/>
          <w:lang w:val="es-ES"/>
          <w14:ligatures w14:val="standardContextual"/>
        </w:rPr>
      </w:pPr>
      <w:r w:rsidRPr="009F2895">
        <w:rPr>
          <w:rFonts w:ascii="Verdana" w:eastAsia="Calibri" w:hAnsi="Verdana" w:cs="Arial"/>
          <w:color w:val="000000"/>
          <w:kern w:val="2"/>
          <w:sz w:val="20"/>
          <w:szCs w:val="20"/>
          <w:lang w:val="es-ES" w:eastAsia="es-ES"/>
          <w14:ligatures w14:val="standardContextual"/>
        </w:rPr>
        <w:t xml:space="preserve">Por otra parte, </w:t>
      </w:r>
      <w:r w:rsidRPr="009F2895">
        <w:rPr>
          <w:rFonts w:ascii="Verdana" w:eastAsia="Calibri" w:hAnsi="Verdana" w:cs="Arial"/>
          <w:kern w:val="2"/>
          <w:sz w:val="20"/>
          <w:szCs w:val="20"/>
          <w:lang w:val="es-ES"/>
          <w14:ligatures w14:val="standardContextual"/>
        </w:rPr>
        <w:t xml:space="preserve">es importante señalar que, los </w:t>
      </w:r>
      <w:r w:rsidRPr="009F2895">
        <w:rPr>
          <w:rFonts w:ascii="Verdana" w:eastAsia="Calibri" w:hAnsi="Verdana" w:cs="Arial"/>
          <w:i/>
          <w:iCs/>
          <w:kern w:val="2"/>
          <w:sz w:val="20"/>
          <w:szCs w:val="20"/>
          <w:lang w:val="es-ES"/>
          <w14:ligatures w14:val="standardContextual"/>
        </w:rPr>
        <w:t>Documentos Tipo</w:t>
      </w:r>
      <w:r w:rsidRPr="009F2895">
        <w:rPr>
          <w:rFonts w:ascii="Verdana" w:eastAsia="Calibri" w:hAnsi="Verdana" w:cs="Arial"/>
          <w:kern w:val="2"/>
          <w:sz w:val="20"/>
          <w:szCs w:val="20"/>
          <w:lang w:val="es-ES"/>
          <w14:ligatures w14:val="standardContextual"/>
        </w:rPr>
        <w:t xml:space="preserve">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1304A12A" w14:textId="77777777" w:rsidR="0051090D" w:rsidRPr="009F2895" w:rsidRDefault="0051090D" w:rsidP="009F2895">
      <w:pPr>
        <w:snapToGrid w:val="0"/>
        <w:spacing w:after="0" w:line="240" w:lineRule="auto"/>
        <w:jc w:val="both"/>
        <w:rPr>
          <w:rFonts w:ascii="Verdana" w:eastAsia="Calibri" w:hAnsi="Verdana" w:cs="Arial"/>
          <w:kern w:val="2"/>
          <w:sz w:val="20"/>
          <w:szCs w:val="20"/>
          <w:lang w:val="es-ES_tradnl"/>
          <w14:ligatures w14:val="standardContextual"/>
        </w:rPr>
      </w:pPr>
      <w:r w:rsidRPr="009F2895">
        <w:rPr>
          <w:rFonts w:ascii="Verdana" w:eastAsia="Calibri" w:hAnsi="Verdana" w:cs="Arial"/>
          <w:kern w:val="2"/>
          <w:sz w:val="20"/>
          <w:szCs w:val="20"/>
          <w:lang w:val="es-ES_tradnl"/>
          <w14:ligatures w14:val="standardContextual"/>
        </w:rPr>
        <w:t>[…]</w:t>
      </w:r>
    </w:p>
    <w:p w14:paraId="461801C3" w14:textId="77777777" w:rsidR="009F2895" w:rsidRDefault="009F2895" w:rsidP="009F2895">
      <w:pPr>
        <w:snapToGrid w:val="0"/>
        <w:spacing w:after="0" w:line="240" w:lineRule="auto"/>
        <w:jc w:val="both"/>
        <w:rPr>
          <w:rFonts w:ascii="Verdana" w:eastAsia="Aptos" w:hAnsi="Verdana" w:cs="Times New Roman"/>
          <w:i/>
          <w:iCs/>
          <w:kern w:val="2"/>
          <w:sz w:val="20"/>
          <w:szCs w:val="20"/>
          <w:lang w:val="es-ES"/>
          <w14:ligatures w14:val="standardContextual"/>
        </w:rPr>
      </w:pPr>
      <w:r w:rsidRPr="009F2895">
        <w:rPr>
          <w:rFonts w:ascii="Verdana" w:eastAsia="Calibri" w:hAnsi="Verdana" w:cs="Arial"/>
          <w:color w:val="000000"/>
          <w:kern w:val="2"/>
          <w:sz w:val="20"/>
          <w:szCs w:val="20"/>
          <w:lang w:val="es-ES" w:eastAsia="es-ES"/>
          <w14:ligatures w14:val="standardContextual"/>
        </w:rPr>
        <w:t xml:space="preserve">Por su parte, el numeral “7.2 GARANTÍAS DEL CONTRATO” del capítulo VII del documento base, señala que </w:t>
      </w:r>
      <w:r w:rsidRPr="009F2895">
        <w:rPr>
          <w:rFonts w:ascii="Verdana" w:eastAsia="Calibri" w:hAnsi="Verdana" w:cs="Arial"/>
          <w:i/>
          <w:iCs/>
          <w:color w:val="000000"/>
          <w:kern w:val="2"/>
          <w:sz w:val="20"/>
          <w:szCs w:val="20"/>
          <w:lang w:val="es-ES" w:eastAsia="es-ES"/>
          <w14:ligatures w14:val="standardContextual"/>
        </w:rPr>
        <w:t>“</w:t>
      </w:r>
      <w:r w:rsidRPr="009F2895">
        <w:rPr>
          <w:rFonts w:ascii="Verdana" w:eastAsia="Aptos" w:hAnsi="Verdana" w:cs="Times New Roman"/>
          <w:i/>
          <w:iCs/>
          <w:kern w:val="2"/>
          <w:sz w:val="20"/>
          <w:szCs w:val="20"/>
          <w:highlight w:val="lightGray"/>
          <w:lang w:val="es-ES"/>
          <w14:ligatures w14:val="standardContextual"/>
        </w:rPr>
        <w:t>[La entidad podrá incluir garantías adicionales a las contempladas en este capítulo, siempre y cuando se justifique la necesidad de las mismas como forma de mitigar un riesgo del proceso]</w:t>
      </w:r>
      <w:r w:rsidRPr="009F2895">
        <w:rPr>
          <w:rFonts w:ascii="Verdana" w:eastAsia="Aptos" w:hAnsi="Verdana" w:cs="Times New Roman"/>
          <w:i/>
          <w:iCs/>
          <w:kern w:val="2"/>
          <w:sz w:val="20"/>
          <w:szCs w:val="20"/>
          <w:lang w:val="es-ES"/>
          <w14:ligatures w14:val="standardContextual"/>
        </w:rPr>
        <w:t>”.</w:t>
      </w:r>
    </w:p>
    <w:p w14:paraId="22637886" w14:textId="77777777" w:rsidR="009F2895" w:rsidRPr="009F2895" w:rsidRDefault="009F2895" w:rsidP="009F2895">
      <w:pPr>
        <w:snapToGrid w:val="0"/>
        <w:spacing w:after="0" w:line="240" w:lineRule="auto"/>
        <w:jc w:val="both"/>
        <w:rPr>
          <w:rFonts w:ascii="Verdana" w:eastAsia="Aptos" w:hAnsi="Verdana" w:cs="Times New Roman"/>
          <w:kern w:val="2"/>
          <w:sz w:val="20"/>
          <w:szCs w:val="20"/>
          <w:lang w:val="es-ES"/>
          <w14:ligatures w14:val="standardContextual"/>
        </w:rPr>
      </w:pPr>
    </w:p>
    <w:p w14:paraId="22087DC4" w14:textId="77777777" w:rsidR="009F2895" w:rsidRDefault="009F2895" w:rsidP="009F2895">
      <w:pPr>
        <w:snapToGrid w:val="0"/>
        <w:spacing w:after="0" w:line="240" w:lineRule="auto"/>
        <w:jc w:val="both"/>
        <w:rPr>
          <w:rFonts w:ascii="Verdana" w:eastAsia="Aptos" w:hAnsi="Verdana" w:cs="Times New Roman"/>
          <w:kern w:val="2"/>
          <w:sz w:val="20"/>
          <w:szCs w:val="20"/>
          <w:lang w:val="es-ES"/>
          <w14:ligatures w14:val="standardContextual"/>
        </w:rPr>
      </w:pPr>
      <w:r w:rsidRPr="009F2895">
        <w:rPr>
          <w:rFonts w:ascii="Verdana" w:eastAsia="Aptos" w:hAnsi="Verdana" w:cs="Times New Roman"/>
          <w:kern w:val="2"/>
          <w:sz w:val="20"/>
          <w:szCs w:val="20"/>
          <w:lang w:val="es-ES"/>
          <w14:ligatures w14:val="standardContextual"/>
        </w:rPr>
        <w:t xml:space="preserve">De conformidad con lo anterior, además de las garantías señaladas de manera expresa en el capítulo VII, la Entidad Estatal podrá exigir garantías adicionales, siempre y cuando justifique la necesidad de las mismas. </w:t>
      </w:r>
    </w:p>
    <w:p w14:paraId="4D08FCEF" w14:textId="77777777" w:rsidR="009F2895" w:rsidRPr="009F2895" w:rsidRDefault="009F2895" w:rsidP="009F2895">
      <w:pPr>
        <w:snapToGrid w:val="0"/>
        <w:spacing w:after="0" w:line="240" w:lineRule="auto"/>
        <w:jc w:val="both"/>
        <w:rPr>
          <w:rFonts w:ascii="Verdana" w:eastAsia="Aptos" w:hAnsi="Verdana" w:cs="Times New Roman"/>
          <w:kern w:val="2"/>
          <w:sz w:val="20"/>
          <w:szCs w:val="20"/>
          <w:lang w:val="es-ES"/>
          <w14:ligatures w14:val="standardContextual"/>
        </w:rPr>
      </w:pPr>
    </w:p>
    <w:p w14:paraId="3ACD9F92" w14:textId="77777777" w:rsidR="009F2895" w:rsidRPr="009F2895" w:rsidRDefault="009F2895" w:rsidP="009F2895">
      <w:pPr>
        <w:snapToGrid w:val="0"/>
        <w:spacing w:after="0" w:line="240" w:lineRule="auto"/>
        <w:jc w:val="both"/>
        <w:rPr>
          <w:rFonts w:ascii="Verdana" w:eastAsia="Aptos" w:hAnsi="Verdana" w:cs="Times New Roman"/>
          <w:kern w:val="2"/>
          <w:sz w:val="20"/>
          <w:szCs w:val="20"/>
          <w:lang w:val="es-ES_tradnl"/>
          <w14:ligatures w14:val="standardContextual"/>
        </w:rPr>
      </w:pPr>
      <w:r w:rsidRPr="009F2895">
        <w:rPr>
          <w:rFonts w:ascii="Verdana" w:eastAsia="Aptos" w:hAnsi="Verdana" w:cs="Times New Roman"/>
          <w:kern w:val="2"/>
          <w:sz w:val="20"/>
          <w:szCs w:val="20"/>
          <w:lang w:val="es-ES_tradnl"/>
          <w14:ligatures w14:val="standardContextual"/>
        </w:rPr>
        <w:t>En lo que respecta al amparo de estabilidad y calidad de la obra, este hace parte de la garantía de cumplimiento –la cual es obligatoria–, y la Entidad Estatal podrá ajustar la vigencia y definir el valor asegurado conforme al artículo 2.2.1.2.3.1.14 del Decreto 1082 de 2015.</w:t>
      </w:r>
    </w:p>
    <w:p w14:paraId="40EC58A6" w14:textId="25D69EA8" w:rsidR="0051090D" w:rsidRPr="0051090D" w:rsidRDefault="0051090D" w:rsidP="009F2895">
      <w:pPr>
        <w:snapToGrid w:val="0"/>
        <w:spacing w:after="0" w:line="240" w:lineRule="auto"/>
        <w:jc w:val="both"/>
        <w:rPr>
          <w:rFonts w:ascii="Verdana" w:eastAsia="Aptos" w:hAnsi="Verdana" w:cs="Times New Roman"/>
          <w:kern w:val="2"/>
          <w:sz w:val="20"/>
          <w:szCs w:val="20"/>
          <w:lang w:val="es-ES_tradnl"/>
          <w14:ligatures w14:val="standardContextual"/>
        </w:rPr>
      </w:pPr>
    </w:p>
    <w:p w14:paraId="4611A674" w14:textId="77777777" w:rsidR="0051090D" w:rsidRPr="0051090D" w:rsidRDefault="0051090D" w:rsidP="009F2895">
      <w:pPr>
        <w:snapToGrid w:val="0"/>
        <w:spacing w:after="0" w:line="276" w:lineRule="auto"/>
        <w:jc w:val="both"/>
        <w:rPr>
          <w:rFonts w:ascii="Verdana" w:eastAsia="Calibri" w:hAnsi="Verdana" w:cs="Arial"/>
          <w:kern w:val="2"/>
          <w:lang w:val="es-ES_tradnl"/>
          <w14:ligatures w14:val="standardContextual"/>
        </w:rPr>
      </w:pPr>
    </w:p>
    <w:p w14:paraId="2E2B9B4A" w14:textId="77777777" w:rsidR="0051090D" w:rsidRPr="0051090D" w:rsidRDefault="0051090D" w:rsidP="0051090D">
      <w:pPr>
        <w:spacing w:after="0" w:line="240" w:lineRule="auto"/>
        <w:rPr>
          <w:rFonts w:ascii="Verdana" w:eastAsia="Geomanist Light" w:hAnsi="Verdana" w:cs="Arial"/>
          <w:color w:val="000000"/>
          <w:lang w:val="es-ES_tradnl"/>
        </w:rPr>
      </w:pPr>
    </w:p>
    <w:p w14:paraId="59F135FB" w14:textId="77777777" w:rsidR="0051090D" w:rsidRPr="0051090D" w:rsidRDefault="0051090D" w:rsidP="0051090D">
      <w:pPr>
        <w:spacing w:after="0" w:line="240" w:lineRule="auto"/>
        <w:rPr>
          <w:rFonts w:ascii="Verdana" w:eastAsia="Geomanist Light" w:hAnsi="Verdana" w:cs="Arial"/>
          <w:color w:val="000000"/>
          <w:lang w:val="es-ES_tradnl"/>
        </w:rPr>
      </w:pPr>
    </w:p>
    <w:p w14:paraId="15B0BEB2" w14:textId="77777777" w:rsidR="0051090D" w:rsidRPr="0051090D" w:rsidRDefault="0051090D" w:rsidP="0051090D">
      <w:pPr>
        <w:spacing w:after="0" w:line="240" w:lineRule="auto"/>
        <w:rPr>
          <w:rFonts w:ascii="Verdana" w:eastAsia="Geomanist Light" w:hAnsi="Verdana" w:cs="Arial"/>
          <w:color w:val="000000"/>
          <w:lang w:val="es-ES_tradnl"/>
        </w:rPr>
      </w:pPr>
    </w:p>
    <w:p w14:paraId="38906458" w14:textId="77777777" w:rsidR="0051090D" w:rsidRPr="0051090D" w:rsidRDefault="0051090D" w:rsidP="0051090D">
      <w:pPr>
        <w:spacing w:after="0" w:line="240" w:lineRule="auto"/>
        <w:rPr>
          <w:rFonts w:ascii="Verdana" w:eastAsia="Geomanist Light" w:hAnsi="Verdana" w:cs="Arial"/>
          <w:color w:val="000000"/>
          <w:lang w:val="es-ES_tradnl"/>
        </w:rPr>
      </w:pPr>
    </w:p>
    <w:p w14:paraId="166647DB" w14:textId="77777777" w:rsidR="0051090D" w:rsidRPr="0051090D" w:rsidRDefault="0051090D" w:rsidP="0051090D">
      <w:pPr>
        <w:spacing w:after="0" w:line="240" w:lineRule="auto"/>
        <w:rPr>
          <w:rFonts w:ascii="Verdana" w:eastAsia="Geomanist Light" w:hAnsi="Verdana" w:cs="Arial"/>
          <w:color w:val="000000"/>
          <w:lang w:val="es-ES_tradnl"/>
        </w:rPr>
      </w:pPr>
    </w:p>
    <w:p w14:paraId="6CDF65C3" w14:textId="77777777" w:rsidR="0051090D" w:rsidRPr="0051090D" w:rsidRDefault="0051090D" w:rsidP="0051090D">
      <w:pPr>
        <w:spacing w:after="0" w:line="240" w:lineRule="auto"/>
        <w:rPr>
          <w:rFonts w:ascii="Verdana" w:eastAsia="Geomanist Light" w:hAnsi="Verdana" w:cs="Arial"/>
          <w:color w:val="000000"/>
          <w:lang w:val="es-ES_tradnl"/>
        </w:rPr>
      </w:pPr>
    </w:p>
    <w:p w14:paraId="0CEEAE95" w14:textId="77777777" w:rsidR="0051090D" w:rsidRDefault="0051090D" w:rsidP="0051090D">
      <w:pPr>
        <w:spacing w:after="0" w:line="240" w:lineRule="auto"/>
        <w:rPr>
          <w:rFonts w:ascii="Verdana" w:eastAsia="Geomanist Light" w:hAnsi="Verdana" w:cs="Arial"/>
          <w:color w:val="000000"/>
          <w:lang w:val="es-ES_tradnl"/>
        </w:rPr>
      </w:pPr>
    </w:p>
    <w:p w14:paraId="57100A98" w14:textId="77777777" w:rsidR="009F2895" w:rsidRPr="0051090D" w:rsidRDefault="009F2895" w:rsidP="0051090D">
      <w:pPr>
        <w:spacing w:after="0" w:line="240" w:lineRule="auto"/>
        <w:rPr>
          <w:rFonts w:ascii="Verdana" w:eastAsia="Geomanist Light" w:hAnsi="Verdana" w:cs="Arial"/>
          <w:color w:val="000000"/>
          <w:lang w:val="es-ES_tradnl"/>
        </w:rPr>
      </w:pPr>
    </w:p>
    <w:p w14:paraId="59DB33F2" w14:textId="3519A7DF" w:rsidR="0051090D" w:rsidRPr="0051090D" w:rsidRDefault="0051090D" w:rsidP="0051090D">
      <w:pPr>
        <w:spacing w:after="0" w:line="240" w:lineRule="auto"/>
        <w:jc w:val="both"/>
        <w:rPr>
          <w:rFonts w:ascii="Verdana" w:eastAsia="Calibri" w:hAnsi="Verdana" w:cs="Arial"/>
          <w:color w:val="000000"/>
          <w:lang w:val="es-ES_tradnl"/>
        </w:rPr>
      </w:pPr>
      <w:r w:rsidRPr="0044528D">
        <w:rPr>
          <w:rFonts w:ascii="Verdana" w:hAnsi="Verdana"/>
        </w:rPr>
        <w:lastRenderedPageBreak/>
        <w:t>Bogotá D.C.</w:t>
      </w:r>
    </w:p>
    <w:p w14:paraId="4964A9B3" w14:textId="77777777" w:rsidR="0051090D" w:rsidRDefault="0051090D" w:rsidP="0051090D">
      <w:pPr>
        <w:spacing w:after="0" w:line="240" w:lineRule="auto"/>
        <w:jc w:val="both"/>
        <w:rPr>
          <w:rFonts w:ascii="Verdana" w:eastAsia="Calibri" w:hAnsi="Verdana" w:cs="Arial"/>
          <w:color w:val="000000"/>
          <w:lang w:val="es-ES_tradnl"/>
        </w:rPr>
      </w:pPr>
    </w:p>
    <w:p w14:paraId="50F5908B" w14:textId="1E4F9208" w:rsidR="0051090D" w:rsidRDefault="00846858" w:rsidP="00846858">
      <w:pPr>
        <w:spacing w:after="0" w:line="240" w:lineRule="auto"/>
        <w:jc w:val="right"/>
        <w:rPr>
          <w:rFonts w:ascii="Verdana" w:eastAsia="Calibri" w:hAnsi="Verdana" w:cs="Arial"/>
          <w:color w:val="000000"/>
          <w:lang w:val="es-ES_tradnl"/>
        </w:rPr>
      </w:pPr>
      <w:r>
        <w:rPr>
          <w:rFonts w:ascii="Verdana" w:eastAsia="Calibri" w:hAnsi="Verdana" w:cs="Arial"/>
          <w:noProof/>
          <w:color w:val="000000"/>
          <w:lang w:val="es-ES_tradnl"/>
        </w:rPr>
        <w:drawing>
          <wp:inline distT="0" distB="0" distL="0" distR="0" wp14:anchorId="6DA1FB9E" wp14:editId="6F79A963">
            <wp:extent cx="2994709" cy="890094"/>
            <wp:effectExtent l="0" t="0" r="2540" b="0"/>
            <wp:docPr id="5786177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17795" name="Imagen 578617795"/>
                    <pic:cNvPicPr/>
                  </pic:nvPicPr>
                  <pic:blipFill>
                    <a:blip r:embed="rId10">
                      <a:extLst>
                        <a:ext uri="{28A0092B-C50C-407E-A947-70E740481C1C}">
                          <a14:useLocalDpi xmlns:a14="http://schemas.microsoft.com/office/drawing/2010/main" val="0"/>
                        </a:ext>
                      </a:extLst>
                    </a:blip>
                    <a:stretch>
                      <a:fillRect/>
                    </a:stretch>
                  </pic:blipFill>
                  <pic:spPr>
                    <a:xfrm>
                      <a:off x="0" y="0"/>
                      <a:ext cx="3030495" cy="900730"/>
                    </a:xfrm>
                    <a:prstGeom prst="rect">
                      <a:avLst/>
                    </a:prstGeom>
                  </pic:spPr>
                </pic:pic>
              </a:graphicData>
            </a:graphic>
          </wp:inline>
        </w:drawing>
      </w:r>
    </w:p>
    <w:p w14:paraId="12FF15D2" w14:textId="77777777" w:rsidR="00846858" w:rsidRPr="0051090D" w:rsidRDefault="00846858" w:rsidP="0051090D">
      <w:pPr>
        <w:spacing w:after="0" w:line="240" w:lineRule="auto"/>
        <w:jc w:val="both"/>
        <w:rPr>
          <w:rFonts w:ascii="Verdana" w:eastAsia="Calibri" w:hAnsi="Verdana" w:cs="Arial"/>
          <w:color w:val="000000"/>
          <w:lang w:val="es-ES_tradnl"/>
        </w:rPr>
      </w:pPr>
    </w:p>
    <w:p w14:paraId="35CF0940" w14:textId="77777777" w:rsidR="0051090D" w:rsidRPr="0051090D" w:rsidRDefault="0051090D" w:rsidP="0051090D">
      <w:pPr>
        <w:spacing w:after="0" w:line="240" w:lineRule="auto"/>
        <w:jc w:val="both"/>
        <w:rPr>
          <w:rFonts w:ascii="Verdana" w:eastAsia="Calibri" w:hAnsi="Verdana" w:cs="Arial"/>
          <w:lang w:val="es-ES_tradnl" w:eastAsia="es-ES"/>
        </w:rPr>
      </w:pPr>
      <w:r w:rsidRPr="0051090D">
        <w:rPr>
          <w:rFonts w:ascii="Verdana" w:eastAsia="Calibri" w:hAnsi="Verdana" w:cs="Arial"/>
          <w:lang w:val="es-ES_tradnl" w:eastAsia="es-ES"/>
        </w:rPr>
        <w:t>Doctora</w:t>
      </w:r>
    </w:p>
    <w:p w14:paraId="62A2B231" w14:textId="77777777" w:rsidR="0051090D" w:rsidRPr="0051090D" w:rsidRDefault="0051090D" w:rsidP="0051090D">
      <w:pPr>
        <w:spacing w:after="0" w:line="240" w:lineRule="auto"/>
        <w:rPr>
          <w:rFonts w:ascii="Verdana" w:eastAsia="Calibri" w:hAnsi="Verdana" w:cs="Arial"/>
          <w:b/>
          <w:lang w:val="es-ES_tradnl" w:eastAsia="es-ES"/>
        </w:rPr>
      </w:pPr>
      <w:r w:rsidRPr="0051090D">
        <w:rPr>
          <w:rFonts w:ascii="Verdana" w:eastAsia="Calibri" w:hAnsi="Verdana" w:cs="Arial"/>
          <w:b/>
          <w:lang w:val="es-ES_tradnl" w:eastAsia="es-ES"/>
        </w:rPr>
        <w:t>Priscila Sánchez Sanabria</w:t>
      </w:r>
    </w:p>
    <w:p w14:paraId="169AE8C1" w14:textId="77777777" w:rsidR="0051090D" w:rsidRPr="0051090D" w:rsidRDefault="0051090D" w:rsidP="0051090D">
      <w:pPr>
        <w:spacing w:after="0" w:line="240" w:lineRule="auto"/>
        <w:rPr>
          <w:rFonts w:ascii="Verdana" w:eastAsia="Calibri" w:hAnsi="Verdana" w:cs="Times New Roman"/>
          <w:lang w:val="es-ES_tradnl"/>
        </w:rPr>
      </w:pPr>
      <w:r w:rsidRPr="0051090D">
        <w:rPr>
          <w:rFonts w:ascii="Verdana" w:eastAsia="Calibri" w:hAnsi="Verdana" w:cs="Times New Roman"/>
          <w:lang w:val="es-ES_tradnl"/>
        </w:rPr>
        <w:t>Gerente Jurídica</w:t>
      </w:r>
    </w:p>
    <w:p w14:paraId="4FDFFD9E" w14:textId="77777777" w:rsidR="0051090D" w:rsidRPr="0051090D" w:rsidRDefault="0051090D" w:rsidP="0051090D">
      <w:pPr>
        <w:spacing w:after="0" w:line="240" w:lineRule="auto"/>
        <w:rPr>
          <w:rFonts w:ascii="Verdana" w:eastAsia="Calibri" w:hAnsi="Verdana" w:cs="Arial"/>
          <w:b/>
          <w:lang w:val="es-ES_tradnl" w:eastAsia="es-ES"/>
        </w:rPr>
      </w:pPr>
      <w:r w:rsidRPr="0051090D">
        <w:rPr>
          <w:rFonts w:ascii="Verdana" w:eastAsia="Calibri" w:hAnsi="Verdana" w:cs="Times New Roman"/>
          <w:lang w:val="es-ES_tradnl"/>
        </w:rPr>
        <w:t xml:space="preserve">Metro de Bogotá S.A.        </w:t>
      </w:r>
      <w:r w:rsidRPr="0051090D">
        <w:rPr>
          <w:rFonts w:ascii="Verdana" w:eastAsia="Calibri" w:hAnsi="Verdana" w:cs="Arial"/>
          <w:lang w:val="es-ES_tradnl" w:eastAsia="es-ES"/>
        </w:rPr>
        <w:t xml:space="preserve">    </w:t>
      </w:r>
    </w:p>
    <w:p w14:paraId="5F117781" w14:textId="77777777" w:rsidR="0051090D" w:rsidRPr="0051090D" w:rsidRDefault="0051090D" w:rsidP="0051090D">
      <w:pPr>
        <w:spacing w:after="0" w:line="240" w:lineRule="auto"/>
        <w:rPr>
          <w:rFonts w:ascii="Verdana" w:eastAsia="Calibri" w:hAnsi="Verdana" w:cs="Arial"/>
          <w:lang w:val="es-ES_tradnl" w:eastAsia="es-ES"/>
        </w:rPr>
      </w:pPr>
      <w:r w:rsidRPr="0051090D">
        <w:rPr>
          <w:rFonts w:ascii="Verdana" w:eastAsia="Calibri" w:hAnsi="Verdana" w:cs="Arial"/>
          <w:lang w:val="es-ES_tradnl" w:eastAsia="es-ES"/>
        </w:rPr>
        <w:t>Bogotá, D.C.</w:t>
      </w:r>
    </w:p>
    <w:p w14:paraId="3C22794A" w14:textId="77777777" w:rsidR="0051090D" w:rsidRPr="0051090D" w:rsidRDefault="0051090D" w:rsidP="0051090D">
      <w:pPr>
        <w:spacing w:after="0" w:line="240" w:lineRule="auto"/>
        <w:rPr>
          <w:rFonts w:ascii="Verdana" w:eastAsia="Calibri" w:hAnsi="Verdana" w:cs="Arial"/>
          <w:b/>
          <w:bCs/>
          <w:color w:val="000000"/>
          <w:lang w:val="es-ES_tradnl" w:eastAsia="es-ES_tradnl"/>
        </w:rPr>
      </w:pPr>
    </w:p>
    <w:p w14:paraId="1193D52A" w14:textId="77777777" w:rsidR="0051090D" w:rsidRPr="0051090D" w:rsidRDefault="0051090D" w:rsidP="0051090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090D" w:rsidRPr="0051090D" w14:paraId="64230366" w14:textId="77777777" w:rsidTr="004622FE">
        <w:trPr>
          <w:trHeight w:val="884"/>
        </w:trPr>
        <w:tc>
          <w:tcPr>
            <w:tcW w:w="2689" w:type="dxa"/>
          </w:tcPr>
          <w:p w14:paraId="6F657875" w14:textId="77777777" w:rsidR="0051090D" w:rsidRPr="0051090D" w:rsidRDefault="0051090D" w:rsidP="0051090D">
            <w:pPr>
              <w:jc w:val="both"/>
              <w:rPr>
                <w:rFonts w:ascii="Verdana" w:eastAsia="Calibri" w:hAnsi="Verdana" w:cs="Arial"/>
                <w:b/>
                <w:bCs/>
                <w:color w:val="7030A0"/>
                <w:lang w:val="es-ES_tradnl" w:eastAsia="es-ES_tradnl"/>
              </w:rPr>
            </w:pPr>
          </w:p>
        </w:tc>
        <w:tc>
          <w:tcPr>
            <w:tcW w:w="6100" w:type="dxa"/>
          </w:tcPr>
          <w:p w14:paraId="22CB164B" w14:textId="77777777" w:rsidR="0051090D" w:rsidRPr="0051090D" w:rsidRDefault="0051090D" w:rsidP="0051090D">
            <w:pPr>
              <w:jc w:val="both"/>
              <w:rPr>
                <w:rFonts w:ascii="Verdana" w:eastAsia="Calibri" w:hAnsi="Verdana" w:cs="Arial"/>
                <w:b/>
                <w:bCs/>
                <w:color w:val="7030A0"/>
                <w:lang w:val="es-ES_tradnl" w:eastAsia="es-ES"/>
              </w:rPr>
            </w:pPr>
            <w:r w:rsidRPr="0051090D">
              <w:rPr>
                <w:rFonts w:ascii="Verdana" w:eastAsia="Calibri" w:hAnsi="Verdana" w:cs="Arial"/>
                <w:b/>
                <w:bCs/>
                <w:lang w:val="es-ES_tradnl" w:eastAsia="es-ES"/>
              </w:rPr>
              <w:t>Concepto C – 242 de 2025</w:t>
            </w:r>
          </w:p>
        </w:tc>
      </w:tr>
      <w:tr w:rsidR="0051090D" w:rsidRPr="0051090D" w14:paraId="1FEDD494" w14:textId="77777777" w:rsidTr="004622FE">
        <w:trPr>
          <w:trHeight w:val="884"/>
        </w:trPr>
        <w:tc>
          <w:tcPr>
            <w:tcW w:w="2689" w:type="dxa"/>
          </w:tcPr>
          <w:p w14:paraId="2E465D30" w14:textId="77777777" w:rsidR="0051090D" w:rsidRPr="0051090D" w:rsidRDefault="0051090D" w:rsidP="0051090D">
            <w:pPr>
              <w:jc w:val="both"/>
              <w:rPr>
                <w:rFonts w:ascii="Verdana" w:eastAsia="Calibri" w:hAnsi="Verdana" w:cs="Arial"/>
                <w:color w:val="000000"/>
                <w:lang w:val="es-ES_tradnl" w:eastAsia="es-ES_tradnl"/>
              </w:rPr>
            </w:pPr>
            <w:r w:rsidRPr="0051090D">
              <w:rPr>
                <w:rFonts w:ascii="Verdana" w:eastAsia="Calibri" w:hAnsi="Verdana" w:cs="Arial"/>
                <w:b/>
                <w:color w:val="000000"/>
                <w:lang w:val="es-ES_tradnl" w:eastAsia="es-ES_tradnl"/>
              </w:rPr>
              <w:t>Temas:</w:t>
            </w:r>
            <w:r w:rsidRPr="0051090D">
              <w:rPr>
                <w:rFonts w:ascii="Verdana" w:eastAsia="Calibri" w:hAnsi="Verdana" w:cs="Arial"/>
                <w:color w:val="000000"/>
                <w:lang w:val="es-ES_tradnl" w:eastAsia="es-ES_tradnl"/>
              </w:rPr>
              <w:t xml:space="preserve">                   </w:t>
            </w:r>
          </w:p>
        </w:tc>
        <w:tc>
          <w:tcPr>
            <w:tcW w:w="6100" w:type="dxa"/>
          </w:tcPr>
          <w:p w14:paraId="5C71BAF3" w14:textId="77777777" w:rsidR="0051090D" w:rsidRPr="0051090D" w:rsidRDefault="0051090D" w:rsidP="0051090D">
            <w:pPr>
              <w:spacing w:line="276" w:lineRule="auto"/>
              <w:jc w:val="both"/>
              <w:rPr>
                <w:rFonts w:ascii="Verdana" w:eastAsia="Calibri" w:hAnsi="Verdana" w:cs="Arial"/>
                <w:color w:val="000000"/>
                <w:lang w:val="es-ES_tradnl"/>
              </w:rPr>
            </w:pPr>
            <w:r w:rsidRPr="0051090D">
              <w:rPr>
                <w:rFonts w:ascii="Verdana" w:eastAsia="Calibri" w:hAnsi="Verdana" w:cs="Arial"/>
                <w:lang w:val="es-ES_tradnl" w:eastAsia="es-ES"/>
              </w:rPr>
              <w:t xml:space="preserve">GARANTÍAS – Contratación estatal – Constitución de garantías – Finalidad – Cumplimiento – Obligaciones contractuales / GARANTÍA DE CUMPLIMIENTO – Amparos – Finalidad / GARANTÍA DE ESTABILIDAD Y CALIDAD DE LA OBRA – Suficiencia / </w:t>
            </w:r>
            <w:r w:rsidRPr="0051090D">
              <w:rPr>
                <w:rFonts w:ascii="Verdana" w:eastAsia="Calibri" w:hAnsi="Verdana" w:cs="Arial"/>
                <w:color w:val="000000"/>
                <w:lang w:val="es-ES_tradnl"/>
              </w:rPr>
              <w:t xml:space="preserve">DOCUMENTOS TIPO – Licitación – Infraestructura de transporte – Versión 4 – Amparo de estabilidad y calidad de la obra   </w:t>
            </w:r>
          </w:p>
          <w:p w14:paraId="121DE52E" w14:textId="77777777" w:rsidR="0051090D" w:rsidRPr="0051090D" w:rsidRDefault="0051090D" w:rsidP="0051090D">
            <w:pPr>
              <w:spacing w:line="276" w:lineRule="auto"/>
              <w:jc w:val="both"/>
              <w:rPr>
                <w:rFonts w:ascii="Verdana" w:eastAsia="Calibri" w:hAnsi="Verdana" w:cs="Arial"/>
                <w:lang w:val="es-ES_tradnl" w:eastAsia="es-ES"/>
              </w:rPr>
            </w:pPr>
            <w:r w:rsidRPr="0051090D">
              <w:rPr>
                <w:rFonts w:ascii="Verdana" w:eastAsia="Calibri" w:hAnsi="Verdana" w:cs="Arial"/>
                <w:lang w:val="es-ES_tradnl" w:eastAsia="es-ES"/>
              </w:rPr>
              <w:t xml:space="preserve">  </w:t>
            </w:r>
          </w:p>
        </w:tc>
      </w:tr>
      <w:tr w:rsidR="0051090D" w:rsidRPr="0051090D" w14:paraId="42DF485C" w14:textId="77777777" w:rsidTr="004622FE">
        <w:tc>
          <w:tcPr>
            <w:tcW w:w="2689" w:type="dxa"/>
          </w:tcPr>
          <w:p w14:paraId="0200F475" w14:textId="77777777" w:rsidR="0051090D" w:rsidRPr="0051090D" w:rsidRDefault="0051090D" w:rsidP="0051090D">
            <w:pPr>
              <w:jc w:val="both"/>
              <w:rPr>
                <w:rFonts w:ascii="Verdana" w:eastAsia="Calibri" w:hAnsi="Verdana" w:cs="Arial"/>
                <w:b/>
                <w:lang w:val="es-ES_tradnl" w:eastAsia="es-ES_tradnl"/>
              </w:rPr>
            </w:pPr>
            <w:r w:rsidRPr="0051090D">
              <w:rPr>
                <w:rFonts w:ascii="Verdana" w:eastAsia="Calibri" w:hAnsi="Verdana" w:cs="Arial"/>
                <w:b/>
                <w:lang w:val="es-ES_tradnl" w:eastAsia="es-ES_tradnl"/>
              </w:rPr>
              <w:t>Radicación:</w:t>
            </w:r>
            <w:r w:rsidRPr="0051090D">
              <w:rPr>
                <w:rFonts w:ascii="Verdana" w:eastAsia="Calibri" w:hAnsi="Verdana" w:cs="Arial"/>
                <w:lang w:val="es-ES_tradnl" w:eastAsia="es-ES_tradnl"/>
              </w:rPr>
              <w:t xml:space="preserve">               </w:t>
            </w:r>
          </w:p>
        </w:tc>
        <w:tc>
          <w:tcPr>
            <w:tcW w:w="6100" w:type="dxa"/>
          </w:tcPr>
          <w:p w14:paraId="79AED2F0" w14:textId="77777777" w:rsidR="0051090D" w:rsidRPr="0051090D" w:rsidRDefault="0051090D" w:rsidP="0051090D">
            <w:pPr>
              <w:spacing w:line="276" w:lineRule="auto"/>
              <w:jc w:val="both"/>
              <w:rPr>
                <w:rFonts w:ascii="Verdana" w:eastAsia="Calibri" w:hAnsi="Verdana" w:cs="Arial"/>
                <w:lang w:val="es-ES_tradnl" w:eastAsia="es-ES_tradnl"/>
              </w:rPr>
            </w:pPr>
            <w:r w:rsidRPr="0051090D">
              <w:rPr>
                <w:rFonts w:ascii="Verdana" w:eastAsia="Calibri" w:hAnsi="Verdana" w:cs="Arial"/>
                <w:lang w:val="es-ES_tradnl" w:eastAsia="es-ES_tradnl"/>
              </w:rPr>
              <w:t>Respuesta a la consulta con radicado No. P20250226001880</w:t>
            </w:r>
          </w:p>
        </w:tc>
      </w:tr>
    </w:tbl>
    <w:p w14:paraId="0AE7D60E" w14:textId="77777777" w:rsidR="0051090D" w:rsidRPr="0051090D" w:rsidRDefault="0051090D" w:rsidP="0051090D">
      <w:pPr>
        <w:spacing w:after="0" w:line="240" w:lineRule="auto"/>
        <w:jc w:val="both"/>
        <w:rPr>
          <w:rFonts w:ascii="Verdana" w:eastAsia="Calibri" w:hAnsi="Verdana" w:cs="Arial"/>
          <w:color w:val="000000"/>
          <w:lang w:val="es-ES_tradnl" w:eastAsia="es-ES_tradnl"/>
        </w:rPr>
      </w:pPr>
    </w:p>
    <w:p w14:paraId="7B0B8863" w14:textId="77777777" w:rsidR="0051090D" w:rsidRPr="0051090D" w:rsidRDefault="0051090D" w:rsidP="0051090D">
      <w:pPr>
        <w:spacing w:after="0" w:line="240" w:lineRule="auto"/>
        <w:jc w:val="both"/>
        <w:rPr>
          <w:rFonts w:ascii="Verdana" w:eastAsia="Calibri" w:hAnsi="Verdana" w:cs="Arial"/>
          <w:color w:val="000000"/>
          <w:lang w:val="es-ES_tradnl" w:eastAsia="es-ES_tradnl"/>
        </w:rPr>
      </w:pPr>
    </w:p>
    <w:p w14:paraId="047C2BBD" w14:textId="77777777" w:rsidR="0051090D" w:rsidRPr="0051090D" w:rsidRDefault="0051090D" w:rsidP="0051090D">
      <w:pPr>
        <w:spacing w:after="0" w:line="276" w:lineRule="auto"/>
        <w:jc w:val="both"/>
        <w:rPr>
          <w:rFonts w:ascii="Verdana" w:eastAsia="Calibri" w:hAnsi="Verdana" w:cs="Arial"/>
          <w:lang w:val="es-ES_tradnl" w:eastAsia="es-ES"/>
        </w:rPr>
      </w:pPr>
      <w:r w:rsidRPr="0051090D">
        <w:rPr>
          <w:rFonts w:ascii="Verdana" w:eastAsia="Calibri" w:hAnsi="Verdana" w:cs="Arial"/>
          <w:lang w:val="es-ES_tradnl" w:eastAsia="es-ES"/>
        </w:rPr>
        <w:t xml:space="preserve">Estimada doctora Sánchez Sanabria: </w:t>
      </w:r>
    </w:p>
    <w:p w14:paraId="2AA6A92F" w14:textId="77777777" w:rsidR="0051090D" w:rsidRPr="0051090D" w:rsidRDefault="0051090D" w:rsidP="0051090D">
      <w:pPr>
        <w:tabs>
          <w:tab w:val="left" w:pos="3768"/>
        </w:tabs>
        <w:spacing w:after="0" w:line="276" w:lineRule="auto"/>
        <w:jc w:val="both"/>
        <w:rPr>
          <w:rFonts w:ascii="Verdana" w:eastAsia="Calibri" w:hAnsi="Verdana" w:cs="Arial"/>
          <w:color w:val="000000"/>
          <w:lang w:val="es-ES_tradnl" w:eastAsia="es-ES"/>
        </w:rPr>
      </w:pPr>
      <w:r w:rsidRPr="0051090D">
        <w:rPr>
          <w:rFonts w:ascii="Verdana" w:eastAsia="Calibri" w:hAnsi="Verdana" w:cs="Arial"/>
          <w:color w:val="000000"/>
          <w:lang w:val="es-ES_tradnl" w:eastAsia="es-ES"/>
        </w:rPr>
        <w:tab/>
      </w:r>
    </w:p>
    <w:p w14:paraId="56B53A67" w14:textId="77777777" w:rsidR="0051090D" w:rsidRPr="0051090D" w:rsidRDefault="0051090D" w:rsidP="0051090D">
      <w:pPr>
        <w:spacing w:after="0" w:line="276" w:lineRule="auto"/>
        <w:jc w:val="both"/>
        <w:rPr>
          <w:rFonts w:ascii="Verdana" w:eastAsia="Calibri" w:hAnsi="Verdana" w:cs="Arial"/>
          <w:color w:val="7030A0"/>
          <w:lang w:val="es-ES_tradnl" w:eastAsia="es-ES"/>
        </w:rPr>
      </w:pPr>
      <w:r w:rsidRPr="0051090D">
        <w:rPr>
          <w:rFonts w:ascii="Verdana" w:eastAsia="Calibri" w:hAnsi="Verdana" w:cs="Arial"/>
          <w:color w:val="000000"/>
          <w:lang w:val="es-ES_tradnl" w:eastAsia="es-ES"/>
        </w:rPr>
        <w:t>En ejercicio de la competencia otorgada por los artículos 3, numeral 5º, y 11, numeral 8º, del Decreto Ley 4170 de 2011,</w:t>
      </w:r>
      <w:r w:rsidRPr="0051090D">
        <w:rPr>
          <w:rFonts w:ascii="Verdana" w:eastAsia="Arial MT" w:hAnsi="Verdana" w:cs="Arial MT"/>
          <w:lang w:val="es-ES_tradnl" w:eastAsia="es-ES"/>
        </w:rPr>
        <w:t xml:space="preserve"> </w:t>
      </w:r>
      <w:r w:rsidRPr="0051090D">
        <w:rPr>
          <w:rFonts w:ascii="Verdana" w:eastAsia="Calibri" w:hAnsi="Verdana" w:cs="Arial"/>
          <w:lang w:val="es-ES_tradnl"/>
        </w:rPr>
        <w:t xml:space="preserve">así como lo establecido en el artículo 4 de la Resolución 1707 de 2018 expedida por esta Entidad, </w:t>
      </w:r>
      <w:r w:rsidRPr="0051090D">
        <w:rPr>
          <w:rFonts w:ascii="Verdana" w:eastAsia="Calibri" w:hAnsi="Verdana" w:cs="Arial"/>
          <w:color w:val="000000"/>
          <w:lang w:val="es-ES_tradnl" w:eastAsia="es-ES"/>
        </w:rPr>
        <w:t xml:space="preserve">la Agencia Nacional de Contratación Pública – Colombia Compra Eficiente responde su solicitud de consulta de </w:t>
      </w:r>
      <w:r w:rsidRPr="0051090D">
        <w:rPr>
          <w:rFonts w:ascii="Verdana" w:eastAsia="Calibri" w:hAnsi="Verdana" w:cs="Arial"/>
          <w:lang w:val="es-ES_tradnl" w:eastAsia="es-ES"/>
        </w:rPr>
        <w:t xml:space="preserve">fecha 26 de febrero de 2025. En relación con los documentos tipo de licitación de obra pública de infraestructura de transporte – versión 4, usted pregunta lo siguiente: </w:t>
      </w:r>
    </w:p>
    <w:p w14:paraId="018E6274" w14:textId="77777777" w:rsidR="0051090D" w:rsidRPr="0051090D" w:rsidRDefault="0051090D" w:rsidP="0051090D">
      <w:pPr>
        <w:tabs>
          <w:tab w:val="left" w:pos="142"/>
          <w:tab w:val="left" w:pos="284"/>
        </w:tabs>
        <w:spacing w:after="0" w:line="276" w:lineRule="auto"/>
        <w:contextualSpacing/>
        <w:jc w:val="both"/>
        <w:rPr>
          <w:rFonts w:ascii="Verdana" w:eastAsia="Century Gothic" w:hAnsi="Verdana" w:cs="Century Gothic"/>
          <w:b/>
          <w:bCs/>
          <w:lang w:val="es-ES_tradnl"/>
        </w:rPr>
      </w:pPr>
    </w:p>
    <w:p w14:paraId="4E63B83C" w14:textId="77777777" w:rsidR="0051090D" w:rsidRPr="0051090D" w:rsidRDefault="0051090D" w:rsidP="0051090D">
      <w:pPr>
        <w:spacing w:after="0" w:line="240" w:lineRule="auto"/>
        <w:ind w:left="709" w:right="709"/>
        <w:jc w:val="both"/>
        <w:rPr>
          <w:rFonts w:ascii="Verdana" w:eastAsia="Century Gothic" w:hAnsi="Verdana" w:cs="Century Gothic"/>
          <w:sz w:val="21"/>
          <w:szCs w:val="21"/>
          <w:lang w:val="es-ES_tradnl"/>
        </w:rPr>
      </w:pPr>
      <w:bookmarkStart w:id="2" w:name="_Hlk95313578"/>
      <w:r w:rsidRPr="0051090D">
        <w:rPr>
          <w:rFonts w:ascii="Verdana" w:eastAsia="Century Gothic" w:hAnsi="Verdana" w:cs="Century Gothic"/>
          <w:sz w:val="21"/>
          <w:szCs w:val="21"/>
          <w:lang w:val="es-ES_tradnl"/>
        </w:rPr>
        <w:t>“</w:t>
      </w:r>
      <w:bookmarkEnd w:id="2"/>
      <w:r w:rsidRPr="0051090D">
        <w:rPr>
          <w:rFonts w:ascii="Verdana" w:eastAsia="Century Gothic" w:hAnsi="Verdana" w:cs="Century Gothic"/>
          <w:sz w:val="21"/>
          <w:szCs w:val="21"/>
          <w:lang w:val="es-ES_tradnl"/>
        </w:rPr>
        <w:t>[…] ¿Las Entidades Estatales que adelanten procesos de licitación de obra pública de infraestructura de transporte cuyo objeto se enmarque únicamente dentro de la actividad a contratar “proyectos de demolición de predios para intervención de vías, parques, espacio público asociado a la infraestructura de transporte”, pueden omitir el amparo de Estabilidad y calidad de las obras ejecutadas entregadas a satisfacción?”</w:t>
      </w:r>
    </w:p>
    <w:p w14:paraId="629FA332" w14:textId="77777777" w:rsidR="0051090D" w:rsidRPr="0051090D" w:rsidRDefault="0051090D" w:rsidP="0051090D">
      <w:pPr>
        <w:tabs>
          <w:tab w:val="left" w:pos="142"/>
          <w:tab w:val="left" w:pos="284"/>
        </w:tabs>
        <w:spacing w:after="0" w:line="276" w:lineRule="auto"/>
        <w:contextualSpacing/>
        <w:jc w:val="both"/>
        <w:rPr>
          <w:rFonts w:ascii="Verdana" w:eastAsia="Century Gothic" w:hAnsi="Verdana" w:cs="Century Gothic"/>
          <w:b/>
          <w:bCs/>
          <w:lang w:val="es-ES_tradnl"/>
        </w:rPr>
      </w:pPr>
    </w:p>
    <w:p w14:paraId="2144B2D2" w14:textId="77777777" w:rsidR="0051090D" w:rsidRPr="0051090D" w:rsidRDefault="0051090D" w:rsidP="1B4CAA3C">
      <w:pPr>
        <w:spacing w:after="120" w:line="276" w:lineRule="auto"/>
        <w:ind w:firstLine="709"/>
        <w:jc w:val="both"/>
        <w:rPr>
          <w:rFonts w:ascii="Verdana" w:eastAsia="Calibri" w:hAnsi="Verdana" w:cs="Arial"/>
          <w:kern w:val="2"/>
          <w:lang w:val="es-ES" w:eastAsia="es-ES"/>
          <w14:ligatures w14:val="standardContextual"/>
        </w:rPr>
      </w:pPr>
      <w:r w:rsidRPr="1B4CAA3C">
        <w:rPr>
          <w:rFonts w:ascii="Verdana" w:eastAsia="Calibri" w:hAnsi="Verdana" w:cs="Arial"/>
          <w:kern w:val="2"/>
          <w:lang w:val="es-ES" w:eastAsia="es-ES"/>
          <w14:ligatures w14:val="standardContextual"/>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1090D">
        <w:rPr>
          <w:rFonts w:ascii="Aptos" w:eastAsia="Aptos" w:hAnsi="Aptos" w:cs="Times New Roman"/>
          <w:kern w:val="2"/>
          <w:lang w:val="es-ES_tradnl"/>
          <w14:ligatures w14:val="standardContextual"/>
        </w:rPr>
        <w:tab/>
      </w:r>
    </w:p>
    <w:p w14:paraId="638CED37" w14:textId="77777777" w:rsidR="0051090D" w:rsidRPr="0051090D" w:rsidRDefault="0051090D" w:rsidP="0051090D">
      <w:pPr>
        <w:snapToGrid w:val="0"/>
        <w:spacing w:after="0" w:line="276" w:lineRule="auto"/>
        <w:ind w:firstLine="709"/>
        <w:jc w:val="both"/>
        <w:rPr>
          <w:rFonts w:ascii="Verdana" w:eastAsia="Calibri" w:hAnsi="Verdana" w:cs="Arial"/>
          <w:kern w:val="2"/>
          <w:lang w:val="es-ES_tradnl" w:eastAsia="es-ES"/>
          <w14:ligatures w14:val="standardContextual"/>
        </w:rPr>
      </w:pPr>
      <w:r w:rsidRPr="0051090D">
        <w:rPr>
          <w:rFonts w:ascii="Verdana" w:eastAsia="Calibri" w:hAnsi="Verdana" w:cs="Arial"/>
          <w:kern w:val="2"/>
          <w:lang w:val="es-ES_tradnl" w:eastAsia="es-ES"/>
          <w14:ligatures w14:val="standardContextual"/>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0754966" w14:textId="77777777" w:rsidR="0051090D" w:rsidRPr="0051090D" w:rsidRDefault="0051090D" w:rsidP="0051090D">
      <w:pPr>
        <w:spacing w:after="0" w:line="276" w:lineRule="auto"/>
        <w:ind w:firstLine="708"/>
        <w:jc w:val="both"/>
        <w:rPr>
          <w:rFonts w:ascii="Verdana" w:eastAsia="Calibri" w:hAnsi="Verdana" w:cs="Arial"/>
          <w:lang w:val="es-ES_tradnl" w:eastAsia="es-ES"/>
        </w:rPr>
      </w:pPr>
    </w:p>
    <w:p w14:paraId="1E8D8F8B" w14:textId="77777777" w:rsidR="0051090D" w:rsidRPr="0051090D" w:rsidRDefault="0051090D" w:rsidP="0051090D">
      <w:pPr>
        <w:tabs>
          <w:tab w:val="left" w:pos="142"/>
          <w:tab w:val="left" w:pos="284"/>
        </w:tabs>
        <w:spacing w:after="0" w:line="276" w:lineRule="auto"/>
        <w:contextualSpacing/>
        <w:jc w:val="both"/>
        <w:rPr>
          <w:rFonts w:ascii="Verdana" w:eastAsia="Century Gothic" w:hAnsi="Verdana" w:cs="Century Gothic"/>
          <w:b/>
          <w:bCs/>
          <w:lang w:val="es-ES_tradnl"/>
        </w:rPr>
      </w:pPr>
      <w:r w:rsidRPr="0051090D">
        <w:rPr>
          <w:rFonts w:ascii="Verdana" w:eastAsia="Century Gothic" w:hAnsi="Verdana" w:cs="Century Gothic"/>
          <w:b/>
          <w:bCs/>
          <w:lang w:val="es-ES_tradnl"/>
        </w:rPr>
        <w:t>1. Problema planteado:</w:t>
      </w:r>
    </w:p>
    <w:p w14:paraId="37C897E5" w14:textId="77777777" w:rsidR="0051090D" w:rsidRPr="0051090D" w:rsidRDefault="0051090D" w:rsidP="0051090D">
      <w:pPr>
        <w:tabs>
          <w:tab w:val="left" w:pos="426"/>
        </w:tabs>
        <w:spacing w:after="0" w:line="276" w:lineRule="auto"/>
        <w:jc w:val="both"/>
        <w:rPr>
          <w:rFonts w:ascii="Verdana" w:eastAsia="Century Gothic" w:hAnsi="Verdana" w:cs="Century Gothic"/>
          <w:lang w:val="es-ES_tradnl"/>
        </w:rPr>
      </w:pPr>
    </w:p>
    <w:p w14:paraId="25780236" w14:textId="77777777" w:rsidR="0051090D" w:rsidRPr="0051090D" w:rsidRDefault="0051090D" w:rsidP="1B4CAA3C">
      <w:pPr>
        <w:spacing w:after="0" w:line="276" w:lineRule="auto"/>
        <w:jc w:val="both"/>
        <w:rPr>
          <w:rFonts w:ascii="Verdana" w:eastAsia="Century Gothic" w:hAnsi="Verdana" w:cs="Century Gothic"/>
          <w:lang w:val="es-ES"/>
        </w:rPr>
      </w:pPr>
      <w:r w:rsidRPr="1B4CAA3C">
        <w:rPr>
          <w:rFonts w:ascii="Verdana" w:eastAsia="Century Gothic" w:hAnsi="Verdana" w:cs="Century Gothic"/>
          <w:lang w:val="es-ES"/>
        </w:rPr>
        <w:t xml:space="preserve">De acuerdo con el contenido de su solicitud, esta Agencia resolverá el siguiente problema jurídico: ¿el amparo de estabilidad y calidad de la obra es obligatorio en procesos de contratación que deban regirse por los documentos tipo de licitación de obra pública de infraestructura de transporte – versión 4?       </w:t>
      </w:r>
      <w:r w:rsidRPr="1B4CAA3C">
        <w:rPr>
          <w:rFonts w:ascii="Verdana" w:eastAsia="Century Gothic" w:hAnsi="Verdana" w:cs="Century Gothic"/>
          <w:color w:val="7030A0"/>
          <w:lang w:val="es-ES"/>
        </w:rPr>
        <w:t xml:space="preserve"> </w:t>
      </w:r>
    </w:p>
    <w:p w14:paraId="07F9992D" w14:textId="77777777" w:rsidR="0051090D" w:rsidRPr="0051090D" w:rsidRDefault="0051090D" w:rsidP="0051090D">
      <w:pPr>
        <w:spacing w:after="0" w:line="276" w:lineRule="auto"/>
        <w:jc w:val="both"/>
        <w:rPr>
          <w:rFonts w:ascii="Verdana" w:eastAsia="Calibri" w:hAnsi="Verdana" w:cs="Arial"/>
          <w:color w:val="7030A0"/>
          <w:lang w:val="es-ES_tradnl"/>
        </w:rPr>
      </w:pPr>
    </w:p>
    <w:p w14:paraId="0D7618BC"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r w:rsidRPr="0051090D">
        <w:rPr>
          <w:rFonts w:ascii="Verdana" w:eastAsia="Century Gothic" w:hAnsi="Verdana" w:cs="Century Gothic"/>
          <w:b/>
          <w:bCs/>
          <w:lang w:val="es-ES_tradnl"/>
        </w:rPr>
        <w:t>2. Respuesta:</w:t>
      </w:r>
    </w:p>
    <w:p w14:paraId="069F9F6B"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090D" w:rsidRPr="0051090D" w14:paraId="28DC4A56" w14:textId="77777777" w:rsidTr="1B4CAA3C">
        <w:trPr>
          <w:jc w:val="center"/>
        </w:trPr>
        <w:tc>
          <w:tcPr>
            <w:tcW w:w="8828" w:type="dxa"/>
            <w:shd w:val="clear" w:color="auto" w:fill="auto"/>
          </w:tcPr>
          <w:p w14:paraId="34B38B69" w14:textId="77777777" w:rsidR="0051090D" w:rsidRPr="0051090D" w:rsidRDefault="0051090D" w:rsidP="1B4CAA3C">
            <w:pPr>
              <w:snapToGrid w:val="0"/>
              <w:spacing w:after="120" w:line="276" w:lineRule="auto"/>
              <w:jc w:val="both"/>
              <w:rPr>
                <w:rFonts w:ascii="Verdana" w:eastAsia="Times New Roman" w:hAnsi="Verdana" w:cs="Arial"/>
                <w:color w:val="000000"/>
                <w:lang w:val="es-ES" w:eastAsia="es-CO"/>
              </w:rPr>
            </w:pPr>
            <w:bookmarkStart w:id="3" w:name="_Hlk171694685"/>
            <w:r w:rsidRPr="1B4CAA3C">
              <w:rPr>
                <w:rFonts w:ascii="Verdana" w:eastAsia="Times New Roman" w:hAnsi="Verdana" w:cs="Arial"/>
                <w:color w:val="000000" w:themeColor="text1"/>
                <w:lang w:val="es-ES" w:eastAsia="es-CO"/>
              </w:rPr>
              <w:t xml:space="preserve">La garantía de estabilidad y calidad de la obra cubre la ocurrencia de vicios, mala calidad, defectos, deficiencias técnicas o fallas que la Administración no </w:t>
            </w:r>
            <w:r w:rsidRPr="1B4CAA3C">
              <w:rPr>
                <w:rFonts w:ascii="Verdana" w:eastAsia="Times New Roman" w:hAnsi="Verdana" w:cs="Arial"/>
                <w:color w:val="000000" w:themeColor="text1"/>
                <w:lang w:val="es-ES" w:eastAsia="es-CO"/>
              </w:rPr>
              <w:lastRenderedPageBreak/>
              <w:t xml:space="preserve">detecte al momento de recibir la obra o que descubre con posterioridad a la finalización del contrato, afectando el cumplimiento de los objetivos que animaron la suscripción. </w:t>
            </w:r>
          </w:p>
          <w:p w14:paraId="66F8162E" w14:textId="77777777" w:rsidR="0051090D" w:rsidRPr="0051090D" w:rsidRDefault="0051090D" w:rsidP="1B4CAA3C">
            <w:pPr>
              <w:snapToGrid w:val="0"/>
              <w:spacing w:after="120" w:line="276" w:lineRule="auto"/>
              <w:ind w:firstLine="709"/>
              <w:jc w:val="both"/>
              <w:rPr>
                <w:rFonts w:ascii="Verdana" w:eastAsia="Aptos" w:hAnsi="Verdana" w:cs="Times New Roman"/>
                <w:lang w:val="es-ES"/>
              </w:rPr>
            </w:pPr>
            <w:r w:rsidRPr="1B4CAA3C">
              <w:rPr>
                <w:rFonts w:ascii="Verdana" w:eastAsia="Calibri" w:hAnsi="Verdana" w:cs="Arial"/>
                <w:color w:val="000000" w:themeColor="text1"/>
                <w:lang w:val="es-ES" w:eastAsia="es-ES"/>
              </w:rPr>
              <w:t xml:space="preserve">El numeral “7.2 GARANTÍAS DEL CONTRATO” del capítulo VII del documento base de los documentos tipo de licitación de obra pública de infraestructura de transporte – versión 4, señala que </w:t>
            </w:r>
            <w:r w:rsidRPr="1B4CAA3C">
              <w:rPr>
                <w:rFonts w:ascii="Verdana" w:eastAsia="Calibri" w:hAnsi="Verdana" w:cs="Arial"/>
                <w:i/>
                <w:iCs/>
                <w:color w:val="000000" w:themeColor="text1"/>
                <w:lang w:val="es-ES" w:eastAsia="es-ES"/>
              </w:rPr>
              <w:t>“</w:t>
            </w:r>
            <w:r w:rsidRPr="1B4CAA3C">
              <w:rPr>
                <w:rFonts w:ascii="Verdana" w:eastAsia="Aptos" w:hAnsi="Verdana" w:cs="Times New Roman"/>
                <w:i/>
                <w:iCs/>
                <w:highlight w:val="lightGray"/>
                <w:lang w:val="es-ES"/>
              </w:rPr>
              <w:t>[La entidad podrá incluir garantías adicionales a las contempladas en este capítulo, siempre y cuando se justifique la necesidad de las mismas como forma de mitigar un riesgo del proceso]</w:t>
            </w:r>
            <w:r w:rsidRPr="1B4CAA3C">
              <w:rPr>
                <w:rFonts w:ascii="Verdana" w:eastAsia="Aptos" w:hAnsi="Verdana" w:cs="Times New Roman"/>
                <w:i/>
                <w:iCs/>
                <w:lang w:val="es-ES"/>
              </w:rPr>
              <w:t>”.</w:t>
            </w:r>
          </w:p>
          <w:p w14:paraId="5677D726" w14:textId="77777777" w:rsidR="0051090D" w:rsidRDefault="0051090D" w:rsidP="1B4CAA3C">
            <w:pPr>
              <w:snapToGrid w:val="0"/>
              <w:spacing w:after="120" w:line="276" w:lineRule="auto"/>
              <w:ind w:firstLine="709"/>
              <w:jc w:val="both"/>
              <w:rPr>
                <w:rFonts w:ascii="Verdana" w:eastAsia="Aptos" w:hAnsi="Verdana" w:cs="Times New Roman"/>
                <w:lang w:val="es-ES"/>
              </w:rPr>
            </w:pPr>
            <w:r w:rsidRPr="1B4CAA3C">
              <w:rPr>
                <w:rFonts w:ascii="Verdana" w:eastAsia="Aptos" w:hAnsi="Verdana" w:cs="Times New Roman"/>
                <w:lang w:val="es-ES"/>
              </w:rPr>
              <w:t xml:space="preserve">De conformidad con lo anterior, además de las garantías señaladas de manera expresa en el capítulo VII, la Entidad Estatal podrá exigir garantías adicionales, siempre y cuando justifique la necesidad de las mismas. </w:t>
            </w:r>
          </w:p>
          <w:p w14:paraId="2A69743F" w14:textId="2C613392" w:rsidR="00211810" w:rsidRPr="0051090D" w:rsidRDefault="00211810" w:rsidP="1B4CAA3C">
            <w:pPr>
              <w:snapToGrid w:val="0"/>
              <w:spacing w:after="120" w:line="276" w:lineRule="auto"/>
              <w:ind w:firstLine="709"/>
              <w:jc w:val="both"/>
              <w:rPr>
                <w:rFonts w:ascii="Verdana" w:eastAsia="Aptos" w:hAnsi="Verdana" w:cs="Times New Roman"/>
                <w:lang w:val="es-ES"/>
              </w:rPr>
            </w:pPr>
            <w:r w:rsidRPr="009E2566">
              <w:rPr>
                <w:rFonts w:ascii="Verdana" w:eastAsia="Verdana" w:hAnsi="Verdana" w:cs="Verdana"/>
                <w:bCs/>
                <w:lang w:val="es-ES"/>
              </w:rPr>
              <w:t>El artículo 2.2.1.3.1.7 del Decreto 1082 de 2015 señala que la garantía de cumplimiento cuenta con varios amparos que cubren: el de buen manejo y correcta inversión del anticipo; la devolución del pago anticipado; el amparo de cumplimiento del contrato; la garantía de pago de salarios, prestaciones sociales legales e indemnizaciones laborales; la estabilidad y calidad de la obra, y los demás incumplimientos de las obligaciones que la entidad estatal considere deben ser amparado</w:t>
            </w:r>
            <w:r>
              <w:rPr>
                <w:rFonts w:ascii="Verdana" w:eastAsia="Verdana" w:hAnsi="Verdana" w:cs="Verdana"/>
                <w:bCs/>
                <w:lang w:val="es-ES"/>
              </w:rPr>
              <w:t>s</w:t>
            </w:r>
          </w:p>
          <w:p w14:paraId="4E85B0FC" w14:textId="77777777" w:rsidR="0051090D" w:rsidRPr="0051090D" w:rsidRDefault="0051090D" w:rsidP="0051090D">
            <w:pPr>
              <w:snapToGrid w:val="0"/>
              <w:spacing w:after="120" w:line="276" w:lineRule="auto"/>
              <w:ind w:firstLine="709"/>
              <w:jc w:val="both"/>
              <w:rPr>
                <w:rFonts w:ascii="Verdana" w:eastAsia="Aptos" w:hAnsi="Verdana" w:cs="Times New Roman"/>
                <w:lang w:val="es-ES_tradnl"/>
              </w:rPr>
            </w:pPr>
            <w:r w:rsidRPr="0051090D">
              <w:rPr>
                <w:rFonts w:ascii="Verdana" w:eastAsia="Aptos" w:hAnsi="Verdana" w:cs="Times New Roman"/>
                <w:lang w:val="es-ES_tradnl"/>
              </w:rPr>
              <w:t>En lo que respecta al amparo de estabilidad y calidad de la obra, este hace parte de la garantía de cumplimiento –la cual es obligatoria–, y la Entidad Estatal podrá ajustar la vigencia y definir el valor asegurado conforme al artículo 2.2.1.2.3.1.14 del Decreto 1082 de 2015.</w:t>
            </w:r>
          </w:p>
          <w:p w14:paraId="79E387C3" w14:textId="77777777" w:rsidR="0051090D" w:rsidRPr="0051090D" w:rsidRDefault="0051090D" w:rsidP="0051090D">
            <w:pPr>
              <w:snapToGrid w:val="0"/>
              <w:spacing w:line="276" w:lineRule="auto"/>
              <w:ind w:firstLine="709"/>
              <w:jc w:val="both"/>
              <w:rPr>
                <w:rFonts w:ascii="Verdana" w:eastAsia="Aptos" w:hAnsi="Verdana" w:cs="Times New Roman"/>
                <w:lang w:val="es-ES_tradnl"/>
              </w:rPr>
            </w:pPr>
            <w:r w:rsidRPr="0051090D">
              <w:rPr>
                <w:rFonts w:ascii="Verdana" w:eastAsia="Aptos" w:hAnsi="Verdana" w:cs="Times New Roman"/>
                <w:lang w:val="es-ES_tradnl"/>
              </w:rPr>
              <w:t>Por lo tanto, teniendo en cuenta el objeto de su consulta, es importante señalar que, en los procesos de contratación que se rijan por los documentos tipo de licitación de infraestructura de transporte – versión 4, la Entidad Estatal no podrá prescindir de la exigencia de la garantía de estabilidad y calidad de la obra, toda vez que se trata de un amparo que debe requerirse, de manera forzosa, en los términos de los documentos tipo en comento.</w:t>
            </w:r>
          </w:p>
        </w:tc>
      </w:tr>
    </w:tbl>
    <w:p w14:paraId="261CA0E2"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p>
    <w:bookmarkEnd w:id="3"/>
    <w:p w14:paraId="3354B733"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r w:rsidRPr="0051090D">
        <w:rPr>
          <w:rFonts w:ascii="Verdana" w:eastAsia="Century Gothic" w:hAnsi="Verdana" w:cs="Century Gothic"/>
          <w:b/>
          <w:bCs/>
          <w:lang w:val="es-ES_tradnl"/>
        </w:rPr>
        <w:t>3. Razones de la respuesta:</w:t>
      </w:r>
    </w:p>
    <w:p w14:paraId="5404E2BD" w14:textId="77777777" w:rsidR="0051090D" w:rsidRPr="0051090D" w:rsidRDefault="0051090D" w:rsidP="0051090D">
      <w:pPr>
        <w:spacing w:after="0" w:line="276" w:lineRule="auto"/>
        <w:jc w:val="both"/>
        <w:rPr>
          <w:rFonts w:ascii="Verdana" w:eastAsia="Calibri" w:hAnsi="Verdana" w:cs="Arial"/>
          <w:color w:val="7030A0"/>
          <w:lang w:val="es-ES_tradnl"/>
        </w:rPr>
      </w:pPr>
    </w:p>
    <w:p w14:paraId="5A7B43E0" w14:textId="77777777" w:rsidR="0051090D" w:rsidRPr="0051090D" w:rsidRDefault="0051090D" w:rsidP="0051090D">
      <w:pPr>
        <w:spacing w:after="0" w:line="276" w:lineRule="auto"/>
        <w:jc w:val="both"/>
        <w:rPr>
          <w:rFonts w:ascii="Verdana" w:eastAsia="Calibri" w:hAnsi="Verdana" w:cs="Arial"/>
          <w:lang w:val="es-ES_tradnl"/>
        </w:rPr>
      </w:pPr>
      <w:r w:rsidRPr="0051090D">
        <w:rPr>
          <w:rFonts w:ascii="Verdana" w:eastAsia="Calibri" w:hAnsi="Verdana" w:cs="Arial"/>
          <w:lang w:val="es-ES_tradnl"/>
        </w:rPr>
        <w:t>Lo anterior se sustenta en las siguientes consideraciones:</w:t>
      </w:r>
    </w:p>
    <w:p w14:paraId="45E7D2B3" w14:textId="77777777" w:rsidR="0051090D" w:rsidRPr="0051090D" w:rsidRDefault="0051090D" w:rsidP="0051090D">
      <w:pPr>
        <w:spacing w:after="0" w:line="276" w:lineRule="auto"/>
        <w:jc w:val="both"/>
        <w:rPr>
          <w:rFonts w:ascii="Verdana" w:eastAsia="Calibri" w:hAnsi="Verdana" w:cs="Arial"/>
          <w:lang w:val="es-ES_tradnl"/>
        </w:rPr>
      </w:pPr>
    </w:p>
    <w:p w14:paraId="698AED33" w14:textId="77777777" w:rsidR="0051090D" w:rsidRPr="0051090D" w:rsidRDefault="0051090D" w:rsidP="0051090D">
      <w:pPr>
        <w:spacing w:after="0" w:line="276" w:lineRule="auto"/>
        <w:jc w:val="both"/>
        <w:rPr>
          <w:rFonts w:ascii="Verdana" w:eastAsia="Calibri" w:hAnsi="Verdana" w:cs="Arial"/>
          <w:color w:val="000000"/>
          <w:lang w:val="es-ES_tradnl"/>
        </w:rPr>
      </w:pPr>
      <w:r w:rsidRPr="0051090D">
        <w:rPr>
          <w:rFonts w:ascii="Verdana" w:eastAsia="Calibri" w:hAnsi="Verdana" w:cs="Arial"/>
          <w:lang w:val="es-ES_tradnl"/>
        </w:rPr>
        <w:lastRenderedPageBreak/>
        <w:t xml:space="preserve">i. </w:t>
      </w:r>
      <w:r w:rsidRPr="0051090D">
        <w:rPr>
          <w:rFonts w:ascii="Verdana" w:eastAsia="Calibri" w:hAnsi="Verdana" w:cs="Arial"/>
          <w:color w:val="000000"/>
          <w:shd w:val="clear" w:color="auto" w:fill="FFFFFF"/>
          <w:lang w:val="es-ES_tradnl"/>
        </w:rPr>
        <w:t xml:space="preserve">Por regla, para seleccionar contratistas y para ejecutar contratos se requiere la constitución de garantías. </w:t>
      </w:r>
      <w:bookmarkStart w:id="4" w:name="_Hlk47893233"/>
      <w:r w:rsidRPr="0051090D">
        <w:rPr>
          <w:rFonts w:ascii="Verdana" w:eastAsia="Calibri" w:hAnsi="Verdana" w:cs="Arial"/>
          <w:color w:val="000000"/>
          <w:shd w:val="clear" w:color="auto" w:fill="FFFFFF"/>
          <w:lang w:val="es-ES_tradnl"/>
        </w:rPr>
        <w:t>Por un lado, l</w:t>
      </w:r>
      <w:r w:rsidRPr="0051090D">
        <w:rPr>
          <w:rFonts w:ascii="Verdana" w:eastAsia="Calibri" w:hAnsi="Verdana" w:cs="Arial"/>
          <w:color w:val="000000"/>
          <w:lang w:val="es-ES_tradnl"/>
        </w:rPr>
        <w:t xml:space="preserve">a </w:t>
      </w:r>
      <w:r w:rsidRPr="0051090D">
        <w:rPr>
          <w:rFonts w:ascii="Verdana" w:eastAsia="Calibri" w:hAnsi="Verdana" w:cs="Arial"/>
          <w:i/>
          <w:iCs/>
          <w:color w:val="000000"/>
          <w:lang w:val="es-ES_tradnl"/>
        </w:rPr>
        <w:t>garantía de seriedad</w:t>
      </w:r>
      <w:r w:rsidRPr="0051090D">
        <w:rPr>
          <w:rFonts w:ascii="Verdana" w:eastAsia="Calibri" w:hAnsi="Verdana" w:cs="Arial"/>
          <w:color w:val="000000"/>
          <w:lang w:val="es-ES_tradnl"/>
        </w:rPr>
        <w:t xml:space="preserve"> respalda el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4"/>
      <w:r w:rsidRPr="0051090D">
        <w:rPr>
          <w:rFonts w:ascii="Verdana" w:eastAsia="Calibri" w:hAnsi="Verdana" w:cs="Arial"/>
          <w:color w:val="000000"/>
          <w:vertAlign w:val="superscript"/>
          <w:lang w:val="es-ES_tradnl"/>
        </w:rPr>
        <w:footnoteReference w:id="2"/>
      </w:r>
      <w:r w:rsidRPr="0051090D">
        <w:rPr>
          <w:rFonts w:ascii="Verdana" w:eastAsia="Calibri" w:hAnsi="Verdana" w:cs="Arial"/>
          <w:color w:val="000000"/>
          <w:lang w:val="es-ES_tradnl"/>
        </w:rPr>
        <w:t>. Sobre este aspecto, la doctrina explica que:</w:t>
      </w:r>
    </w:p>
    <w:p w14:paraId="11BAA502" w14:textId="77777777" w:rsidR="0051090D" w:rsidRPr="0051090D" w:rsidRDefault="0051090D" w:rsidP="0051090D">
      <w:pPr>
        <w:spacing w:after="0" w:line="276" w:lineRule="auto"/>
        <w:jc w:val="both"/>
        <w:rPr>
          <w:rFonts w:ascii="Verdana" w:eastAsia="Calibri" w:hAnsi="Verdana" w:cs="Arial"/>
          <w:color w:val="000000"/>
          <w:lang w:val="es-ES_tradnl"/>
        </w:rPr>
      </w:pPr>
    </w:p>
    <w:p w14:paraId="4058EB49" w14:textId="77777777" w:rsidR="0051090D" w:rsidRPr="0051090D" w:rsidRDefault="0051090D" w:rsidP="1B4CAA3C">
      <w:pPr>
        <w:spacing w:after="0" w:line="240" w:lineRule="auto"/>
        <w:ind w:left="709" w:right="709"/>
        <w:jc w:val="both"/>
        <w:rPr>
          <w:rFonts w:ascii="Verdana" w:eastAsia="Calibri" w:hAnsi="Verdana" w:cs="Arial"/>
          <w:color w:val="000000"/>
          <w:sz w:val="21"/>
          <w:szCs w:val="21"/>
          <w:lang w:val="es-ES"/>
        </w:rPr>
      </w:pPr>
      <w:r w:rsidRPr="1B4CAA3C">
        <w:rPr>
          <w:rFonts w:ascii="Verdana" w:eastAsia="Calibri" w:hAnsi="Verdana" w:cs="Arial"/>
          <w:color w:val="000000"/>
          <w:sz w:val="21"/>
          <w:szCs w:val="21"/>
          <w:lang w:val="es-ES"/>
        </w:rPr>
        <w:t xml:space="preserve">“Las </w:t>
      </w:r>
      <w:r w:rsidRPr="1B4CAA3C">
        <w:rPr>
          <w:rFonts w:ascii="Verdana" w:eastAsia="Calibri" w:hAnsi="Verdana" w:cs="Arial"/>
          <w:i/>
          <w:iCs/>
          <w:color w:val="000000"/>
          <w:sz w:val="21"/>
          <w:szCs w:val="21"/>
          <w:lang w:val="es-ES"/>
        </w:rPr>
        <w:t>garantías provisionales</w:t>
      </w:r>
      <w:r w:rsidRPr="1B4CAA3C">
        <w:rPr>
          <w:rFonts w:ascii="Verdana" w:eastAsia="Calibri" w:hAnsi="Verdana" w:cs="Arial"/>
          <w:color w:val="000000"/>
          <w:sz w:val="21"/>
          <w:szCs w:val="21"/>
          <w:lang w:val="es-ES"/>
        </w:rPr>
        <w:t xml:space="preserve"> ‘avalan la solemnidad de la oferta por parte del contratista’; constituyen una seña pre-contractual destinada a </w:t>
      </w:r>
      <w:r w:rsidRPr="1B4CAA3C">
        <w:rPr>
          <w:rFonts w:ascii="Verdana" w:eastAsia="Calibri" w:hAnsi="Verdana" w:cs="Arial"/>
          <w:i/>
          <w:iCs/>
          <w:color w:val="000000"/>
          <w:sz w:val="21"/>
          <w:szCs w:val="21"/>
          <w:lang w:val="es-ES"/>
        </w:rPr>
        <w:t>asegurar la celebración del contrato</w:t>
      </w:r>
      <w:r w:rsidRPr="1B4CAA3C">
        <w:rPr>
          <w:rFonts w:ascii="Verdana" w:eastAsia="Calibri" w:hAnsi="Verdana" w:cs="Arial"/>
          <w:color w:val="000000"/>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1B4CAA3C">
        <w:rPr>
          <w:rFonts w:ascii="Verdana" w:eastAsia="Calibri" w:hAnsi="Verdana" w:cs="Arial"/>
          <w:i/>
          <w:iCs/>
          <w:color w:val="000000"/>
          <w:sz w:val="21"/>
          <w:szCs w:val="21"/>
          <w:lang w:val="es-ES"/>
        </w:rPr>
        <w:t>arras</w:t>
      </w:r>
      <w:r w:rsidRPr="1B4CAA3C">
        <w:rPr>
          <w:rFonts w:ascii="Verdana" w:eastAsia="Calibri" w:hAnsi="Verdana" w:cs="Arial"/>
          <w:color w:val="000000"/>
          <w:sz w:val="21"/>
          <w:szCs w:val="21"/>
          <w:lang w:val="es-ES"/>
        </w:rPr>
        <w:t xml:space="preserve"> no forman parte del precio, ni son por tanto arras confirmatorias […], sino puramente penitenciales […] como garantías y compensación del </w:t>
      </w:r>
      <w:r w:rsidRPr="1B4CAA3C">
        <w:rPr>
          <w:rFonts w:ascii="Verdana" w:eastAsia="Calibri" w:hAnsi="Verdana" w:cs="Arial"/>
          <w:i/>
          <w:iCs/>
          <w:color w:val="000000"/>
          <w:sz w:val="21"/>
          <w:szCs w:val="21"/>
          <w:lang w:val="es-ES"/>
        </w:rPr>
        <w:t>ius poenitendi</w:t>
      </w:r>
      <w:r w:rsidRPr="1B4CAA3C">
        <w:rPr>
          <w:rFonts w:ascii="Verdana" w:eastAsia="Calibri" w:hAnsi="Verdana" w:cs="Arial"/>
          <w:color w:val="000000"/>
          <w:sz w:val="21"/>
          <w:szCs w:val="21"/>
          <w:lang w:val="es-ES"/>
        </w:rPr>
        <w:t xml:space="preserve"> del licitante. Son, en consecuencia, ‘la medida de la responsabilidad pre-contractual del oferente’; o, más bien, la garantía de oferta representa en definitiva la medida de la responsabilidad”</w:t>
      </w:r>
      <w:r w:rsidRPr="1B4CAA3C">
        <w:rPr>
          <w:rFonts w:ascii="Verdana" w:eastAsia="Calibri" w:hAnsi="Verdana" w:cs="Arial"/>
          <w:color w:val="000000"/>
          <w:sz w:val="21"/>
          <w:szCs w:val="21"/>
          <w:vertAlign w:val="superscript"/>
          <w:lang w:val="es-ES"/>
        </w:rPr>
        <w:footnoteReference w:id="3"/>
      </w:r>
      <w:r w:rsidRPr="1B4CAA3C">
        <w:rPr>
          <w:rFonts w:ascii="Verdana" w:eastAsia="Calibri" w:hAnsi="Verdana" w:cs="Arial"/>
          <w:color w:val="000000"/>
          <w:sz w:val="21"/>
          <w:szCs w:val="21"/>
          <w:lang w:val="es-ES"/>
        </w:rPr>
        <w:t xml:space="preserve">. (Cursivas dentro del texto)   </w:t>
      </w:r>
    </w:p>
    <w:p w14:paraId="2E4713C8" w14:textId="77777777" w:rsidR="0051090D" w:rsidRPr="0051090D" w:rsidRDefault="0051090D" w:rsidP="0051090D">
      <w:pPr>
        <w:spacing w:after="0" w:line="276" w:lineRule="auto"/>
        <w:jc w:val="both"/>
        <w:rPr>
          <w:rFonts w:ascii="Verdana" w:eastAsia="Calibri" w:hAnsi="Verdana" w:cs="Arial"/>
          <w:color w:val="000000"/>
          <w:lang w:val="es-ES_tradnl"/>
        </w:rPr>
      </w:pPr>
    </w:p>
    <w:p w14:paraId="77CEA556" w14:textId="77777777" w:rsidR="0051090D" w:rsidRPr="0051090D" w:rsidRDefault="0051090D" w:rsidP="0051090D">
      <w:pPr>
        <w:spacing w:after="120" w:line="276" w:lineRule="auto"/>
        <w:ind w:firstLine="709"/>
        <w:jc w:val="both"/>
        <w:rPr>
          <w:rFonts w:ascii="Verdana" w:eastAsia="Calibri" w:hAnsi="Verdana" w:cs="Arial"/>
          <w:color w:val="000000"/>
          <w:lang w:val="es-ES_tradnl"/>
        </w:rPr>
      </w:pPr>
      <w:r w:rsidRPr="0051090D">
        <w:rPr>
          <w:rFonts w:ascii="Verdana" w:eastAsia="Calibri" w:hAnsi="Verdana" w:cs="Arial"/>
          <w:color w:val="000000"/>
          <w:lang w:val="es-ES_tradnl"/>
        </w:rPr>
        <w:t xml:space="preserve">En contraste, mediante la </w:t>
      </w:r>
      <w:r w:rsidRPr="0051090D">
        <w:rPr>
          <w:rFonts w:ascii="Verdana" w:eastAsia="Calibri" w:hAnsi="Verdana" w:cs="Arial"/>
          <w:i/>
          <w:iCs/>
          <w:color w:val="000000"/>
          <w:lang w:val="es-ES_tradnl"/>
        </w:rPr>
        <w:t>garantía única de cumplimiento</w:t>
      </w:r>
      <w:r w:rsidRPr="0051090D">
        <w:rPr>
          <w:rFonts w:ascii="Verdana" w:eastAsia="Calibri" w:hAnsi="Verdana" w:cs="Arial"/>
          <w:color w:val="000000"/>
          <w:lang w:val="es-ES_tradnl"/>
        </w:rPr>
        <w:t>, el contratista ampara los perjuicios que le pueda generar a la entidad el incumplimiento de las obligaciones derivadas del contrato</w:t>
      </w:r>
      <w:r w:rsidRPr="0051090D">
        <w:rPr>
          <w:rFonts w:ascii="Verdana" w:eastAsia="Calibri" w:hAnsi="Verdana" w:cs="Arial"/>
          <w:color w:val="000000"/>
          <w:vertAlign w:val="superscript"/>
          <w:lang w:val="es-ES_tradnl"/>
        </w:rPr>
        <w:footnoteReference w:id="4"/>
      </w:r>
      <w:r w:rsidRPr="0051090D">
        <w:rPr>
          <w:rFonts w:ascii="Verdana" w:eastAsia="Calibri" w:hAnsi="Verdana" w:cs="Arial"/>
          <w:color w:val="000000"/>
          <w:lang w:val="es-ES_tradnl"/>
        </w:rPr>
        <w:t xml:space="preserve">. En esta medida, tienen como objetivo reparar los perjuicios causados por conductas atribuibles al contratista, por lo </w:t>
      </w:r>
      <w:r w:rsidRPr="0051090D">
        <w:rPr>
          <w:rFonts w:ascii="Verdana" w:eastAsia="Calibri" w:hAnsi="Verdana" w:cs="Arial"/>
          <w:color w:val="000000"/>
          <w:lang w:val="es-ES_tradnl"/>
        </w:rPr>
        <w:lastRenderedPageBreak/>
        <w:t>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w:t>
      </w:r>
      <w:r w:rsidRPr="0051090D">
        <w:rPr>
          <w:rFonts w:ascii="Verdana" w:eastAsia="Calibri" w:hAnsi="Verdana" w:cs="Arial"/>
          <w:color w:val="000000"/>
          <w:vertAlign w:val="superscript"/>
          <w:lang w:val="es-ES_tradnl"/>
        </w:rPr>
        <w:footnoteReference w:id="5"/>
      </w:r>
      <w:r w:rsidRPr="0051090D">
        <w:rPr>
          <w:rFonts w:ascii="Verdana" w:eastAsia="Calibri" w:hAnsi="Verdana" w:cs="Arial"/>
          <w:color w:val="000000"/>
          <w:lang w:val="es-ES_tradnl"/>
        </w:rPr>
        <w:t xml:space="preserve">.    </w:t>
      </w:r>
    </w:p>
    <w:p w14:paraId="4DA9D199" w14:textId="77777777" w:rsidR="0051090D" w:rsidRPr="0051090D" w:rsidRDefault="0051090D" w:rsidP="1B4CAA3C">
      <w:pPr>
        <w:spacing w:after="120" w:line="276" w:lineRule="auto"/>
        <w:ind w:firstLine="708"/>
        <w:jc w:val="both"/>
        <w:rPr>
          <w:rFonts w:ascii="Verdana" w:eastAsia="Calibri" w:hAnsi="Verdana" w:cs="Arial"/>
          <w:color w:val="000000"/>
          <w:lang w:val="es-ES"/>
        </w:rPr>
      </w:pPr>
      <w:r w:rsidRPr="1B4CAA3C">
        <w:rPr>
          <w:rFonts w:ascii="Verdana" w:eastAsia="Calibri" w:hAnsi="Verdana" w:cs="Arial"/>
          <w:color w:val="000000"/>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1B4CAA3C">
        <w:rPr>
          <w:rFonts w:ascii="Verdana" w:eastAsia="Calibri" w:hAnsi="Verdana" w:cs="Arial"/>
          <w:color w:val="000000"/>
          <w:vertAlign w:val="superscript"/>
          <w:lang w:val="es-ES"/>
        </w:rPr>
        <w:footnoteReference w:id="6"/>
      </w:r>
      <w:r w:rsidRPr="1B4CAA3C">
        <w:rPr>
          <w:rFonts w:ascii="Verdana" w:eastAsia="Calibri" w:hAnsi="Verdana" w:cs="Arial"/>
          <w:color w:val="000000"/>
          <w:lang w:val="es-ES"/>
        </w:rPr>
        <w:t>. De esta manera, las garantías previstas en la ley tienen como objetivo asegurar la solvencia del garante</w:t>
      </w:r>
      <w:r w:rsidRPr="1B4CAA3C">
        <w:rPr>
          <w:rFonts w:ascii="Verdana" w:eastAsia="Calibri" w:hAnsi="Verdana" w:cs="Arial"/>
          <w:color w:val="000000"/>
          <w:vertAlign w:val="superscript"/>
          <w:lang w:val="es-ES"/>
        </w:rPr>
        <w:footnoteReference w:id="7"/>
      </w:r>
      <w:r w:rsidRPr="1B4CAA3C">
        <w:rPr>
          <w:rFonts w:ascii="Verdana" w:eastAsia="Calibri" w:hAnsi="Verdana" w:cs="Arial"/>
          <w:color w:val="000000"/>
          <w:lang w:val="es-ES"/>
        </w:rPr>
        <w:t>.</w:t>
      </w:r>
    </w:p>
    <w:p w14:paraId="06DAB014" w14:textId="77777777" w:rsidR="0051090D" w:rsidRPr="0051090D" w:rsidRDefault="0051090D" w:rsidP="1B4CAA3C">
      <w:pPr>
        <w:spacing w:after="120" w:line="276" w:lineRule="auto"/>
        <w:ind w:firstLine="708"/>
        <w:jc w:val="both"/>
        <w:rPr>
          <w:rFonts w:ascii="Verdana" w:eastAsia="Calibri" w:hAnsi="Verdana" w:cs="Arial"/>
          <w:color w:val="000000"/>
          <w:lang w:val="es-ES"/>
        </w:rPr>
      </w:pPr>
      <w:r w:rsidRPr="1B4CAA3C">
        <w:rPr>
          <w:rFonts w:ascii="Verdana" w:eastAsia="Calibri" w:hAnsi="Verdana" w:cs="Arial"/>
          <w:color w:val="000000" w:themeColor="text1"/>
          <w:lang w:val="es-ES"/>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0EA1AC69" w14:textId="77777777" w:rsidR="0051090D" w:rsidRPr="0051090D" w:rsidRDefault="0051090D" w:rsidP="1B4CAA3C">
      <w:pPr>
        <w:spacing w:before="120" w:after="0" w:line="276" w:lineRule="auto"/>
        <w:ind w:firstLine="708"/>
        <w:jc w:val="both"/>
        <w:rPr>
          <w:rFonts w:ascii="Verdana" w:eastAsia="Times New Roman" w:hAnsi="Verdana" w:cs="Arial"/>
          <w:color w:val="000000"/>
          <w:lang w:val="es-ES" w:eastAsia="es-CO"/>
        </w:rPr>
      </w:pPr>
      <w:r w:rsidRPr="1B4CAA3C">
        <w:rPr>
          <w:rFonts w:ascii="Verdana" w:eastAsia="Calibri" w:hAnsi="Verdana" w:cs="Arial"/>
          <w:color w:val="000000"/>
          <w:lang w:val="es-ES"/>
        </w:rPr>
        <w:t xml:space="preserve">El artículo 2.2.1.2.3.1.3, por ejemplo, establece que la “garantía de cobertura del Riesgo es indivisible”, además de la obligación de los contratantes de establecer en los pliegos de condiciones las garantías exigidas para cada </w:t>
      </w:r>
      <w:r w:rsidRPr="1B4CAA3C">
        <w:rPr>
          <w:rFonts w:ascii="Verdana" w:eastAsia="Calibri" w:hAnsi="Verdana" w:cs="Arial"/>
          <w:color w:val="000000"/>
          <w:lang w:val="es-ES"/>
        </w:rPr>
        <w:lastRenderedPageBreak/>
        <w:t>periodo contractual</w:t>
      </w:r>
      <w:r w:rsidRPr="1B4CAA3C">
        <w:rPr>
          <w:rFonts w:ascii="Verdana" w:eastAsia="Calibri" w:hAnsi="Verdana" w:cs="Arial"/>
          <w:color w:val="000000"/>
          <w:vertAlign w:val="superscript"/>
          <w:lang w:val="es-ES"/>
        </w:rPr>
        <w:footnoteReference w:id="8"/>
      </w:r>
      <w:r w:rsidRPr="1B4CAA3C">
        <w:rPr>
          <w:rFonts w:ascii="Verdana" w:eastAsia="Calibri" w:hAnsi="Verdana" w:cs="Arial"/>
          <w:color w:val="000000"/>
          <w:lang w:val="es-ES"/>
        </w:rPr>
        <w:t xml:space="preserve">. Por su parte, el artículo 2.2.1.2.3.1.7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w:t>
      </w:r>
      <w:r w:rsidRPr="1B4CAA3C">
        <w:rPr>
          <w:rFonts w:ascii="Verdana" w:eastAsia="Times New Roman" w:hAnsi="Verdana" w:cs="Arial"/>
          <w:color w:val="000000"/>
          <w:lang w:val="es-ES" w:eastAsia="es-CO"/>
        </w:rPr>
        <w:t>calidad del servicio; vii) la calidad y correcto funcionamiento de los bienes, y viii) los demás incumplimientos de las obligaciones que la entidad estatal considere deben ser amparados</w:t>
      </w:r>
      <w:r w:rsidRPr="1B4CAA3C">
        <w:rPr>
          <w:rFonts w:ascii="Verdana" w:eastAsia="Times New Roman" w:hAnsi="Verdana" w:cs="Arial"/>
          <w:color w:val="000000"/>
          <w:vertAlign w:val="superscript"/>
          <w:lang w:val="es-ES" w:eastAsia="es-CO"/>
        </w:rPr>
        <w:footnoteReference w:id="9"/>
      </w:r>
      <w:r w:rsidRPr="1B4CAA3C">
        <w:rPr>
          <w:rFonts w:ascii="Verdana" w:eastAsia="Times New Roman" w:hAnsi="Verdana" w:cs="Arial"/>
          <w:color w:val="000000"/>
          <w:lang w:val="es-ES" w:eastAsia="es-CO"/>
        </w:rPr>
        <w:t xml:space="preserve">. Esto además de la póliza de responsabilidad civil extracontractual </w:t>
      </w:r>
      <w:r w:rsidRPr="1B4CAA3C">
        <w:rPr>
          <w:rFonts w:ascii="Verdana" w:eastAsia="Times New Roman" w:hAnsi="Verdana" w:cs="Arial"/>
          <w:color w:val="000000"/>
          <w:lang w:val="es-ES" w:eastAsia="es-CO"/>
        </w:rPr>
        <w:lastRenderedPageBreak/>
        <w:t xml:space="preserve">en los contratos de obra, así como en aquellos en que por su objeto o naturaleza se considere necesario con ocasión de los riesgos previstos en el negocio, de acuerdo con el artículo 2.2.1.2.3.1.8 </w:t>
      </w:r>
      <w:r w:rsidRPr="1B4CAA3C">
        <w:rPr>
          <w:rFonts w:ascii="Verdana" w:eastAsia="Times New Roman" w:hAnsi="Verdana" w:cs="Arial"/>
          <w:i/>
          <w:iCs/>
          <w:color w:val="000000"/>
          <w:lang w:val="es-ES" w:eastAsia="es-CO"/>
        </w:rPr>
        <w:t>ibidem</w:t>
      </w:r>
      <w:r w:rsidRPr="1B4CAA3C">
        <w:rPr>
          <w:rFonts w:ascii="Verdana" w:eastAsia="Times New Roman" w:hAnsi="Verdana" w:cs="Arial"/>
          <w:color w:val="000000"/>
          <w:lang w:val="es-ES" w:eastAsia="es-CO"/>
        </w:rPr>
        <w:t>.</w:t>
      </w:r>
    </w:p>
    <w:p w14:paraId="6B5FF403" w14:textId="77777777" w:rsidR="0051090D" w:rsidRPr="0051090D" w:rsidRDefault="0051090D" w:rsidP="0051090D">
      <w:pPr>
        <w:spacing w:after="0" w:line="276" w:lineRule="auto"/>
        <w:ind w:firstLine="708"/>
        <w:jc w:val="both"/>
        <w:rPr>
          <w:rFonts w:ascii="Verdana" w:eastAsia="Times New Roman" w:hAnsi="Verdana" w:cs="Arial"/>
          <w:color w:val="000000"/>
          <w:lang w:val="es-ES_tradnl" w:eastAsia="es-CO"/>
        </w:rPr>
      </w:pPr>
    </w:p>
    <w:p w14:paraId="5B20F5F3" w14:textId="77777777" w:rsidR="0051090D" w:rsidRPr="0051090D" w:rsidRDefault="0051090D" w:rsidP="1B4CAA3C">
      <w:pPr>
        <w:spacing w:after="0" w:line="276" w:lineRule="auto"/>
        <w:jc w:val="both"/>
        <w:rPr>
          <w:rFonts w:ascii="Verdana" w:eastAsia="Times New Roman" w:hAnsi="Verdana" w:cs="Arial"/>
          <w:color w:val="000000"/>
          <w:lang w:val="es-ES" w:eastAsia="es-CO"/>
        </w:rPr>
      </w:pPr>
      <w:r w:rsidRPr="1B4CAA3C">
        <w:rPr>
          <w:rFonts w:ascii="Verdana" w:eastAsia="Times New Roman" w:hAnsi="Verdana" w:cs="Arial"/>
          <w:color w:val="000000" w:themeColor="text1"/>
          <w:lang w:val="es-ES" w:eastAsia="es-CO"/>
        </w:rPr>
        <w:t xml:space="preserve">ii. Respecto a la </w:t>
      </w:r>
      <w:r w:rsidRPr="1B4CAA3C">
        <w:rPr>
          <w:rFonts w:ascii="Verdana" w:eastAsia="Times New Roman" w:hAnsi="Verdana" w:cs="Arial"/>
          <w:i/>
          <w:iCs/>
          <w:color w:val="000000" w:themeColor="text1"/>
          <w:lang w:val="es-ES" w:eastAsia="es-CO"/>
        </w:rPr>
        <w:t>garantía de estabilidad y calidad de la obra</w:t>
      </w:r>
      <w:r w:rsidRPr="1B4CAA3C">
        <w:rPr>
          <w:rFonts w:ascii="Verdana" w:eastAsia="Times New Roman" w:hAnsi="Verdana" w:cs="Arial"/>
          <w:color w:val="000000" w:themeColor="text1"/>
          <w:lang w:val="es-ES" w:eastAsia="es-CO"/>
        </w:rPr>
        <w:t>, el artículo 2.2.1.2.3.1.14 del Decreto 1082 de 2015 –después de la modificación del artículo 3 del Decreto 399 de 2021– regula la suficiencia del amparo. Para efectos de la vigencia y el monto, el inciso primero dispone que “Esta garantía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No obstante, en lo que atañe al plazo, la norma consagra una excepción, puesto que la norma faculta a la entidad para establecer una garantía por un plazo inferior a cinco (5) años, sin que la misma tenga una duración inferior a uno (1). Para estos efectos, los incisos segundo y tercero disponen lo siguiente:</w:t>
      </w:r>
    </w:p>
    <w:p w14:paraId="1A88439F" w14:textId="77777777" w:rsidR="0051090D" w:rsidRPr="0051090D" w:rsidRDefault="0051090D" w:rsidP="0051090D">
      <w:pPr>
        <w:spacing w:after="0" w:line="276" w:lineRule="auto"/>
        <w:ind w:firstLine="708"/>
        <w:jc w:val="both"/>
        <w:rPr>
          <w:rFonts w:ascii="Verdana" w:eastAsia="Times New Roman" w:hAnsi="Verdana" w:cs="Arial"/>
          <w:color w:val="000000"/>
          <w:lang w:val="es-ES_tradnl" w:eastAsia="es-CO"/>
        </w:rPr>
      </w:pPr>
    </w:p>
    <w:p w14:paraId="7896E427" w14:textId="77777777" w:rsidR="0051090D" w:rsidRPr="0051090D" w:rsidRDefault="0051090D" w:rsidP="1B4CAA3C">
      <w:pPr>
        <w:spacing w:after="120" w:line="240" w:lineRule="auto"/>
        <w:ind w:left="709" w:right="709"/>
        <w:jc w:val="both"/>
        <w:rPr>
          <w:rFonts w:ascii="Verdana" w:eastAsia="Times New Roman" w:hAnsi="Verdana" w:cs="Arial"/>
          <w:color w:val="000000"/>
          <w:sz w:val="21"/>
          <w:szCs w:val="21"/>
          <w:lang w:val="es-ES" w:eastAsia="es-CO"/>
        </w:rPr>
      </w:pPr>
      <w:r w:rsidRPr="1B4CAA3C">
        <w:rPr>
          <w:rFonts w:ascii="Verdana" w:eastAsia="Times New Roman" w:hAnsi="Verdana" w:cs="Arial"/>
          <w:color w:val="000000" w:themeColor="text1"/>
          <w:sz w:val="21"/>
          <w:szCs w:val="21"/>
          <w:lang w:val="es-ES" w:eastAsia="es-CO"/>
        </w:rPr>
        <w:t xml:space="preserve">“La Entidad Estatal puede aceptar que esta garantía tenga una vigencia inferior a cinco (5) años previa justificación técnica de un experto en la materia objeto del contrato, lo cual </w:t>
      </w:r>
      <w:bookmarkStart w:id="8" w:name="_Hlk171000426"/>
      <w:r w:rsidRPr="1B4CAA3C">
        <w:rPr>
          <w:rFonts w:ascii="Verdana" w:eastAsia="Times New Roman" w:hAnsi="Verdana" w:cs="Arial"/>
          <w:color w:val="000000" w:themeColor="text1"/>
          <w:sz w:val="21"/>
          <w:szCs w:val="21"/>
          <w:lang w:val="es-ES" w:eastAsia="es-CO"/>
        </w:rPr>
        <w:t>se debe reflejar en los documentos del proceso</w:t>
      </w:r>
      <w:bookmarkEnd w:id="8"/>
      <w:r w:rsidRPr="1B4CAA3C">
        <w:rPr>
          <w:rFonts w:ascii="Verdana" w:eastAsia="Times New Roman" w:hAnsi="Verdana" w:cs="Arial"/>
          <w:color w:val="000000" w:themeColor="text1"/>
          <w:sz w:val="21"/>
          <w:szCs w:val="21"/>
          <w:lang w:val="es-ES" w:eastAsia="es-CO"/>
        </w:rPr>
        <w:t>. Como consecuencia del análisis anterior y según la complejidad técnica del contrato a celebrar, esta garantía podrá tener una vigencia inferior a cinco (5) años y en todo caso de mínimo un (1) año.</w:t>
      </w:r>
    </w:p>
    <w:p w14:paraId="4FBBB19D" w14:textId="77777777" w:rsidR="0051090D" w:rsidRPr="0051090D" w:rsidRDefault="0051090D" w:rsidP="1B4CAA3C">
      <w:pPr>
        <w:spacing w:before="120" w:after="0" w:line="240" w:lineRule="auto"/>
        <w:ind w:left="709" w:right="709"/>
        <w:jc w:val="both"/>
        <w:rPr>
          <w:rFonts w:ascii="Verdana" w:eastAsia="Times New Roman" w:hAnsi="Verdana" w:cs="Arial"/>
          <w:color w:val="000000"/>
          <w:sz w:val="21"/>
          <w:szCs w:val="21"/>
          <w:lang w:val="es-ES" w:eastAsia="es-CO"/>
        </w:rPr>
      </w:pPr>
      <w:r w:rsidRPr="1B4CAA3C">
        <w:rPr>
          <w:rFonts w:ascii="Verdana" w:eastAsia="Times New Roman" w:hAnsi="Verdana" w:cs="Arial"/>
          <w:color w:val="000000" w:themeColor="text1"/>
          <w:sz w:val="21"/>
          <w:szCs w:val="21"/>
          <w:lang w:val="es-ES" w:eastAsia="es-CO"/>
        </w:rPr>
        <w:t xml:space="preserve">Para establecer la complejidad técnica del proyecto, y por ende la vigencia de la garantía de estabilidad y calidad de la obra por un término inferior a los cinco (5) años, la justificación técnica del experto en la materia objeto del contrato tendrá en consideración variables como las siguientes: el tipo de actividades que serán realizadas, la </w:t>
      </w:r>
      <w:r w:rsidRPr="1B4CAA3C">
        <w:rPr>
          <w:rFonts w:ascii="Verdana" w:eastAsia="Times New Roman" w:hAnsi="Verdana" w:cs="Arial"/>
          <w:color w:val="000000" w:themeColor="text1"/>
          <w:sz w:val="21"/>
          <w:szCs w:val="21"/>
          <w:lang w:val="es-ES" w:eastAsia="es-CO"/>
        </w:rPr>
        <w:lastRenderedPageBreak/>
        <w:t xml:space="preserve">experticia técnica requerida, el alcance físico de las obras, entre otros, pero sin limitarse únicamente a la cuantía del proceso”. </w:t>
      </w:r>
    </w:p>
    <w:p w14:paraId="6E99C134" w14:textId="77777777" w:rsidR="0051090D" w:rsidRPr="0051090D" w:rsidRDefault="0051090D" w:rsidP="0051090D">
      <w:pPr>
        <w:spacing w:after="0" w:line="276" w:lineRule="auto"/>
        <w:jc w:val="both"/>
        <w:rPr>
          <w:rFonts w:ascii="Verdana" w:eastAsia="Times New Roman" w:hAnsi="Verdana" w:cs="Arial"/>
          <w:color w:val="000000"/>
          <w:lang w:val="es-ES_tradnl" w:eastAsia="es-CO"/>
        </w:rPr>
      </w:pPr>
    </w:p>
    <w:p w14:paraId="1B95DAAF" w14:textId="77777777" w:rsidR="0051090D" w:rsidRPr="0051090D" w:rsidRDefault="0051090D" w:rsidP="0051090D">
      <w:pPr>
        <w:spacing w:after="120" w:line="276" w:lineRule="auto"/>
        <w:ind w:firstLine="708"/>
        <w:jc w:val="both"/>
        <w:rPr>
          <w:rFonts w:ascii="Verdana" w:eastAsia="Times New Roman" w:hAnsi="Verdana" w:cs="Arial"/>
          <w:color w:val="000000"/>
          <w:lang w:val="es-ES_tradnl" w:eastAsia="es-CO"/>
        </w:rPr>
      </w:pPr>
      <w:r w:rsidRPr="0051090D">
        <w:rPr>
          <w:rFonts w:ascii="Verdana" w:eastAsia="Times New Roman" w:hAnsi="Verdana" w:cs="Arial"/>
          <w:color w:val="000000"/>
          <w:lang w:val="es-ES_tradnl" w:eastAsia="es-CO"/>
        </w:rPr>
        <w:t xml:space="preserve">Para precisar el alcance de este apartado, es necesario tener cuenta que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De esta manera, dentro de las definiciones del Diccionario de la Real Academia Española, puede entenderse la palabra “experto” como una persona “Especializada o con grandes conocimientos en una materia”, quien deberá entender los aspectos involucrados en el objeto del contrato. </w:t>
      </w:r>
    </w:p>
    <w:p w14:paraId="5EF3298A" w14:textId="77777777" w:rsidR="0051090D" w:rsidRPr="0051090D" w:rsidRDefault="0051090D" w:rsidP="0051090D">
      <w:pPr>
        <w:spacing w:after="120" w:line="276" w:lineRule="auto"/>
        <w:ind w:firstLine="708"/>
        <w:jc w:val="both"/>
        <w:rPr>
          <w:rFonts w:ascii="Verdana" w:eastAsia="Times New Roman" w:hAnsi="Verdana" w:cs="Arial"/>
          <w:color w:val="000000"/>
          <w:lang w:val="es-ES_tradnl" w:eastAsia="es-CO"/>
        </w:rPr>
      </w:pPr>
      <w:r w:rsidRPr="0051090D">
        <w:rPr>
          <w:rFonts w:ascii="Verdana" w:eastAsia="Times New Roman" w:hAnsi="Verdana" w:cs="Arial"/>
          <w:color w:val="000000"/>
          <w:lang w:val="es-ES_tradnl" w:eastAsia="es-CO"/>
        </w:rPr>
        <w:t>Esta persona deberá emitir la “justificación”, entendida como la “Prueba convincente de algo”, de acuerdo con su área profesional. Sin limitarse a la cuantía del proceso, la justificación técnica se relaciona con “[…] el tipo de actividades que serán realizadas, la experticia técnica requerida, el alcance físico de las obras, entre otros […]”. Con fundamento en la opinión del experto, la entidad encargada del proceso de selección definirá si existe una justificación razonable para constituir la garantía de estabilidad y calidad de la obra por un término inferior a cinco (5) años.</w:t>
      </w:r>
    </w:p>
    <w:p w14:paraId="318D754A" w14:textId="77777777" w:rsidR="0051090D" w:rsidRPr="0051090D" w:rsidRDefault="0051090D" w:rsidP="0051090D">
      <w:pPr>
        <w:spacing w:after="120" w:line="276" w:lineRule="auto"/>
        <w:ind w:firstLine="708"/>
        <w:jc w:val="both"/>
        <w:rPr>
          <w:rFonts w:ascii="Verdana" w:eastAsia="Times New Roman" w:hAnsi="Verdana" w:cs="Arial"/>
          <w:color w:val="000000"/>
          <w:lang w:val="es-ES_tradnl" w:eastAsia="es-CO"/>
        </w:rPr>
      </w:pPr>
      <w:r w:rsidRPr="0051090D">
        <w:rPr>
          <w:rFonts w:ascii="Verdana" w:eastAsia="Times New Roman" w:hAnsi="Verdana" w:cs="Arial"/>
          <w:color w:val="000000"/>
          <w:lang w:val="es-ES_tradnl" w:eastAsia="es-CO"/>
        </w:rPr>
        <w:t xml:space="preserve">Como dispone la norma en comento, este análisis “[…] se debe reflejar en los documentos del proceso […]”. Dicho concepto se encuentra definido en el artículo 2.2.1.1.1.3.1 del Decreto 1082 de 2015, modificado por el artículo 1° del Decreto 142 de 2023. Esta norma dispone que son documentos del proceso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1AD96FC7" w14:textId="77777777" w:rsidR="0051090D" w:rsidRPr="0051090D" w:rsidRDefault="0051090D" w:rsidP="1B4CAA3C">
      <w:pPr>
        <w:spacing w:after="120" w:line="276" w:lineRule="auto"/>
        <w:ind w:firstLine="709"/>
        <w:jc w:val="both"/>
        <w:rPr>
          <w:rFonts w:ascii="Verdana" w:eastAsia="Times New Roman" w:hAnsi="Verdana" w:cs="Arial"/>
          <w:color w:val="000000"/>
          <w:lang w:val="es-ES" w:eastAsia="es-CO"/>
        </w:rPr>
      </w:pPr>
      <w:r w:rsidRPr="1B4CAA3C">
        <w:rPr>
          <w:rFonts w:ascii="Verdana" w:eastAsia="Times New Roman" w:hAnsi="Verdana" w:cs="Arial"/>
          <w:color w:val="000000" w:themeColor="text1"/>
          <w:lang w:val="es-ES" w:eastAsia="es-CO"/>
        </w:rPr>
        <w:t>Finalmente, conforme a los artículos 2.2.1.1.1.6.1, 2.2.1.1.2.1.1 y 2.2.1.1.2.1.3 del Decreto 1082 de 2015, las entidades deben realizar el análisis de los riesgos y de la forma de mitigarlos en los estudios del sector, en los estudios previos y en el pliego de condiciones, documentos propios de la etapa precontractual. Allí deben precisar la cobertura de las garantías, sin perjuicio de las observaciones que formulen los interesados y de los ajustes realizados al pliego de condiciones definitivo cuando estas se aceptan.</w:t>
      </w:r>
    </w:p>
    <w:p w14:paraId="22A1DB3E" w14:textId="77777777" w:rsidR="0051090D" w:rsidRPr="0051090D" w:rsidRDefault="0051090D" w:rsidP="1B4CAA3C">
      <w:pPr>
        <w:spacing w:after="0" w:line="276" w:lineRule="auto"/>
        <w:ind w:firstLine="708"/>
        <w:jc w:val="both"/>
        <w:rPr>
          <w:rFonts w:ascii="Verdana" w:eastAsia="Times New Roman" w:hAnsi="Verdana" w:cs="Arial"/>
          <w:color w:val="000000"/>
          <w:lang w:val="es-ES" w:eastAsia="es-CO"/>
        </w:rPr>
      </w:pPr>
      <w:r w:rsidRPr="1B4CAA3C">
        <w:rPr>
          <w:rFonts w:ascii="Verdana" w:eastAsia="Times New Roman" w:hAnsi="Verdana" w:cs="Arial"/>
          <w:color w:val="000000" w:themeColor="text1"/>
          <w:lang w:val="es-ES" w:eastAsia="es-CO"/>
        </w:rPr>
        <w:lastRenderedPageBreak/>
        <w:t xml:space="preserve">De esta manera, la garantía cubre la ocurrencia de vicios, mala calidad, defectos, deficiencias técnicas o fallas que la Administración no detecte al momento de recibir la obra o que descubre con posterioridad a la finalización del contrato, afectando el cumplimiento de los objetivos que animaron la suscripción. </w:t>
      </w:r>
    </w:p>
    <w:p w14:paraId="3664AAF9" w14:textId="77777777" w:rsidR="0051090D" w:rsidRPr="0051090D" w:rsidRDefault="0051090D" w:rsidP="0051090D">
      <w:pPr>
        <w:spacing w:after="0" w:line="276" w:lineRule="auto"/>
        <w:ind w:firstLine="708"/>
        <w:jc w:val="both"/>
        <w:rPr>
          <w:rFonts w:ascii="Verdana" w:eastAsia="Times New Roman" w:hAnsi="Verdana" w:cs="Arial"/>
          <w:color w:val="000000"/>
          <w:lang w:val="es-ES_tradnl" w:eastAsia="es-CO"/>
        </w:rPr>
      </w:pPr>
    </w:p>
    <w:p w14:paraId="4EFFD6F1" w14:textId="77777777" w:rsidR="0051090D" w:rsidRPr="0051090D" w:rsidRDefault="0051090D" w:rsidP="1B4CAA3C">
      <w:pPr>
        <w:snapToGrid w:val="0"/>
        <w:spacing w:after="120" w:line="276" w:lineRule="auto"/>
        <w:jc w:val="both"/>
        <w:rPr>
          <w:rFonts w:ascii="Verdana" w:eastAsia="Calibri" w:hAnsi="Verdana" w:cs="Arial"/>
          <w:kern w:val="2"/>
          <w:lang w:val="es-ES"/>
          <w14:ligatures w14:val="standardContextual"/>
        </w:rPr>
      </w:pPr>
      <w:r w:rsidRPr="1B4CAA3C">
        <w:rPr>
          <w:rFonts w:ascii="Verdana" w:eastAsia="Times New Roman" w:hAnsi="Verdana" w:cs="Arial"/>
          <w:color w:val="000000"/>
          <w:lang w:val="es-ES" w:eastAsia="es-CO"/>
        </w:rPr>
        <w:t xml:space="preserve">iii. </w:t>
      </w:r>
      <w:bookmarkStart w:id="9" w:name="_Hlk37703813"/>
      <w:r w:rsidRPr="1B4CAA3C">
        <w:rPr>
          <w:rFonts w:ascii="Verdana" w:eastAsia="Calibri" w:hAnsi="Verdana" w:cs="Arial"/>
          <w:color w:val="000000"/>
          <w:kern w:val="2"/>
          <w:lang w:val="es-ES" w:eastAsia="es-ES"/>
          <w14:ligatures w14:val="standardContextual"/>
        </w:rPr>
        <w:t xml:space="preserve">Por otra parte, </w:t>
      </w:r>
      <w:r w:rsidRPr="1B4CAA3C">
        <w:rPr>
          <w:rFonts w:ascii="Verdana" w:eastAsia="Calibri" w:hAnsi="Verdana" w:cs="Arial"/>
          <w:kern w:val="2"/>
          <w:lang w:val="es-ES"/>
          <w14:ligatures w14:val="standardContextual"/>
        </w:rPr>
        <w:t xml:space="preserve">es importante señalar que, los </w:t>
      </w:r>
      <w:r w:rsidRPr="1B4CAA3C">
        <w:rPr>
          <w:rFonts w:ascii="Verdana" w:eastAsia="Calibri" w:hAnsi="Verdana" w:cs="Arial"/>
          <w:i/>
          <w:iCs/>
          <w:kern w:val="2"/>
          <w:lang w:val="es-ES"/>
          <w14:ligatures w14:val="standardContextual"/>
        </w:rPr>
        <w:t>Documentos Tipo</w:t>
      </w:r>
      <w:r w:rsidRPr="1B4CAA3C">
        <w:rPr>
          <w:rFonts w:ascii="Verdana" w:eastAsia="Calibri" w:hAnsi="Verdana" w:cs="Arial"/>
          <w:kern w:val="2"/>
          <w:lang w:val="es-ES"/>
          <w14:ligatures w14:val="standardContextual"/>
        </w:rPr>
        <w:t xml:space="preserve">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7E5B624" w14:textId="77777777" w:rsidR="0051090D" w:rsidRPr="0051090D" w:rsidRDefault="0051090D" w:rsidP="1B4CAA3C">
      <w:pPr>
        <w:snapToGrid w:val="0"/>
        <w:spacing w:after="120" w:line="276" w:lineRule="auto"/>
        <w:ind w:firstLine="709"/>
        <w:jc w:val="both"/>
        <w:rPr>
          <w:rFonts w:ascii="Verdana" w:eastAsia="Aptos" w:hAnsi="Verdana" w:cs="Arial"/>
          <w:kern w:val="2"/>
          <w:lang w:val="es-ES"/>
          <w14:ligatures w14:val="standardContextual"/>
        </w:rPr>
      </w:pPr>
      <w:r w:rsidRPr="1B4CAA3C">
        <w:rPr>
          <w:rFonts w:ascii="Verdana" w:eastAsia="Aptos" w:hAnsi="Verdana" w:cs="Arial"/>
          <w:kern w:val="2"/>
          <w:lang w:val="es-ES"/>
          <w14:ligatures w14:val="standardContextual"/>
        </w:rPr>
        <w:t>En el documento base se encuentran los requisitos habilitantes, criterios de ponderación y calificación de las propuestas, causales de rechazo, así como las reglas de elaboración y presentación de las propuestas y demás reglas del proceso de contratación. Este documento no puede ser modificado, con excepción de los aspectos incluidos en corchetes y resaltado en gris que deben ser diligenciados por la entidad estatal.</w:t>
      </w:r>
    </w:p>
    <w:p w14:paraId="52894DB5" w14:textId="77777777" w:rsidR="0051090D" w:rsidRPr="0051090D" w:rsidRDefault="0051090D" w:rsidP="0051090D">
      <w:pPr>
        <w:snapToGrid w:val="0"/>
        <w:spacing w:after="120" w:line="276" w:lineRule="auto"/>
        <w:ind w:firstLine="709"/>
        <w:jc w:val="both"/>
        <w:rPr>
          <w:rFonts w:ascii="Verdana" w:eastAsia="Calibri" w:hAnsi="Verdana" w:cs="Arial"/>
          <w:color w:val="000000"/>
          <w:kern w:val="2"/>
          <w:lang w:val="es-ES_tradnl" w:eastAsia="es-ES_tradnl"/>
          <w14:ligatures w14:val="standardContextual"/>
        </w:rPr>
      </w:pPr>
      <w:r w:rsidRPr="0051090D">
        <w:rPr>
          <w:rFonts w:ascii="Verdana" w:eastAsia="Calibri" w:hAnsi="Verdana" w:cs="Arial"/>
          <w:color w:val="000000"/>
          <w:kern w:val="2"/>
          <w:lang w:val="es-ES_tradnl" w:eastAsia="es-ES_tradnl"/>
          <w14:ligatures w14:val="standardContextual"/>
        </w:rPr>
        <w:t xml:space="preserve">Recientemente, esta Agencia expidió la Resolución No. 465 de 2024, por medio de la cual se adoptó la versión 4 de los documentos tipo de licitación de obra pública de infraestructura de transporte. El capítulo VII del documento base regula las garantías que debe exigir la Entidad Estatal en los procesos de contratación que se rijan por estos documentos tipo. </w:t>
      </w:r>
    </w:p>
    <w:p w14:paraId="7876EF4B" w14:textId="77777777" w:rsidR="0051090D" w:rsidRPr="0051090D" w:rsidRDefault="0051090D" w:rsidP="1B4CAA3C">
      <w:pPr>
        <w:snapToGrid w:val="0"/>
        <w:spacing w:after="120" w:line="276" w:lineRule="auto"/>
        <w:ind w:firstLine="709"/>
        <w:jc w:val="both"/>
        <w:rPr>
          <w:rFonts w:ascii="Verdana" w:eastAsia="Aptos" w:hAnsi="Verdana" w:cs="Times New Roman"/>
          <w:kern w:val="2"/>
          <w:lang w:val="es-ES"/>
          <w14:ligatures w14:val="standardContextual"/>
        </w:rPr>
      </w:pPr>
      <w:r w:rsidRPr="1B4CAA3C">
        <w:rPr>
          <w:rFonts w:ascii="Verdana" w:eastAsia="Calibri" w:hAnsi="Verdana" w:cs="Arial"/>
          <w:color w:val="000000"/>
          <w:kern w:val="2"/>
          <w:lang w:val="es-ES" w:eastAsia="es-ES"/>
          <w14:ligatures w14:val="standardContextual"/>
        </w:rPr>
        <w:t xml:space="preserve">Por su parte, el numeral “7.2 GARANTÍAS DEL CONTRATO” del capítulo VII del documento base, señala que </w:t>
      </w:r>
      <w:r w:rsidRPr="1B4CAA3C">
        <w:rPr>
          <w:rFonts w:ascii="Verdana" w:eastAsia="Calibri" w:hAnsi="Verdana" w:cs="Arial"/>
          <w:i/>
          <w:iCs/>
          <w:color w:val="000000"/>
          <w:kern w:val="2"/>
          <w:lang w:val="es-ES" w:eastAsia="es-ES"/>
          <w14:ligatures w14:val="standardContextual"/>
        </w:rPr>
        <w:t>“</w:t>
      </w:r>
      <w:r w:rsidRPr="1B4CAA3C">
        <w:rPr>
          <w:rFonts w:ascii="Verdana" w:eastAsia="Aptos" w:hAnsi="Verdana" w:cs="Times New Roman"/>
          <w:i/>
          <w:iCs/>
          <w:kern w:val="2"/>
          <w:highlight w:val="lightGray"/>
          <w:lang w:val="es-ES"/>
          <w14:ligatures w14:val="standardContextual"/>
        </w:rPr>
        <w:t>[La entidad podrá incluir garantías adicionales a las contempladas en este capítulo, siempre y cuando se justifique la necesidad de las mismas como forma de mitigar un riesgo del proceso]</w:t>
      </w:r>
      <w:r w:rsidRPr="1B4CAA3C">
        <w:rPr>
          <w:rFonts w:ascii="Verdana" w:eastAsia="Aptos" w:hAnsi="Verdana" w:cs="Times New Roman"/>
          <w:i/>
          <w:iCs/>
          <w:kern w:val="2"/>
          <w:lang w:val="es-ES"/>
          <w14:ligatures w14:val="standardContextual"/>
        </w:rPr>
        <w:t>”.</w:t>
      </w:r>
    </w:p>
    <w:p w14:paraId="05C70896" w14:textId="77777777" w:rsidR="0051090D" w:rsidRPr="0051090D" w:rsidRDefault="0051090D" w:rsidP="1B4CAA3C">
      <w:pPr>
        <w:snapToGrid w:val="0"/>
        <w:spacing w:after="120" w:line="276" w:lineRule="auto"/>
        <w:ind w:firstLine="709"/>
        <w:jc w:val="both"/>
        <w:rPr>
          <w:rFonts w:ascii="Verdana" w:eastAsia="Aptos" w:hAnsi="Verdana" w:cs="Times New Roman"/>
          <w:kern w:val="2"/>
          <w:lang w:val="es-ES"/>
          <w14:ligatures w14:val="standardContextual"/>
        </w:rPr>
      </w:pPr>
      <w:r w:rsidRPr="1B4CAA3C">
        <w:rPr>
          <w:rFonts w:ascii="Verdana" w:eastAsia="Aptos" w:hAnsi="Verdana" w:cs="Times New Roman"/>
          <w:kern w:val="2"/>
          <w:lang w:val="es-ES"/>
          <w14:ligatures w14:val="standardContextual"/>
        </w:rPr>
        <w:t xml:space="preserve">De conformidad con lo anterior, además de las garantías señaladas de manera expresa en el capítulo VII, la Entidad Estatal podrá exigir garantías adicionales, siempre y cuando justifique la necesidad de las mismas. </w:t>
      </w:r>
    </w:p>
    <w:p w14:paraId="3FA10B2E" w14:textId="77777777" w:rsidR="0051090D" w:rsidRPr="0051090D" w:rsidRDefault="0051090D" w:rsidP="0051090D">
      <w:pPr>
        <w:snapToGrid w:val="0"/>
        <w:spacing w:after="120" w:line="276" w:lineRule="auto"/>
        <w:ind w:firstLine="709"/>
        <w:jc w:val="both"/>
        <w:rPr>
          <w:rFonts w:ascii="Verdana" w:eastAsia="Aptos" w:hAnsi="Verdana" w:cs="Times New Roman"/>
          <w:kern w:val="2"/>
          <w:lang w:val="es-ES_tradnl"/>
          <w14:ligatures w14:val="standardContextual"/>
        </w:rPr>
      </w:pPr>
      <w:r w:rsidRPr="0051090D">
        <w:rPr>
          <w:rFonts w:ascii="Verdana" w:eastAsia="Aptos" w:hAnsi="Verdana" w:cs="Times New Roman"/>
          <w:kern w:val="2"/>
          <w:lang w:val="es-ES_tradnl"/>
          <w14:ligatures w14:val="standardContextual"/>
        </w:rPr>
        <w:lastRenderedPageBreak/>
        <w:t>En lo que respecta al amparo de estabilidad y calidad de la obra, este hace parte de la garantía de cumplimiento –la cual es obligatoria–, y la Entidad Estatal podrá ajustar la vigencia y definir el valor asegurado conforme al artículo 2.2.1.2.3.1.14 del Decreto 1082 de 2015.</w:t>
      </w:r>
    </w:p>
    <w:p w14:paraId="2036AF64" w14:textId="77777777" w:rsidR="0051090D" w:rsidRPr="0051090D" w:rsidRDefault="0051090D" w:rsidP="0051090D">
      <w:pPr>
        <w:snapToGrid w:val="0"/>
        <w:spacing w:after="0" w:line="276" w:lineRule="auto"/>
        <w:ind w:firstLine="709"/>
        <w:jc w:val="both"/>
        <w:rPr>
          <w:rFonts w:ascii="Verdana" w:eastAsia="Aptos" w:hAnsi="Verdana" w:cs="Times New Roman"/>
          <w:kern w:val="2"/>
          <w:lang w:val="es-ES_tradnl"/>
          <w14:ligatures w14:val="standardContextual"/>
        </w:rPr>
      </w:pPr>
      <w:r w:rsidRPr="0051090D">
        <w:rPr>
          <w:rFonts w:ascii="Verdana" w:eastAsia="Aptos" w:hAnsi="Verdana" w:cs="Times New Roman"/>
          <w:kern w:val="2"/>
          <w:lang w:val="es-ES_tradnl"/>
          <w14:ligatures w14:val="standardContextual"/>
        </w:rPr>
        <w:t>Por lo tanto, teniendo en cuenta el objeto de su consulta, es importante señalar que, en los procesos de contratación que se rijan por los documentos tipo de licitación de infraestructura de transporte – versión 4, la Entidad Estatal no podrá prescindir de la exigencia de la garantía de estabilidad y calidad de la obra, toda vez que se trata de un amparo que debe requerirse, de manera forzosa, en los términos de los documentos tipo en comento.</w:t>
      </w:r>
      <w:bookmarkEnd w:id="9"/>
    </w:p>
    <w:p w14:paraId="6CF35456" w14:textId="77777777" w:rsidR="0051090D" w:rsidRPr="0051090D" w:rsidRDefault="0051090D" w:rsidP="0051090D">
      <w:pPr>
        <w:spacing w:after="0" w:line="276" w:lineRule="auto"/>
        <w:rPr>
          <w:rFonts w:ascii="Verdana" w:eastAsia="Aptos" w:hAnsi="Verdana" w:cs="Times New Roman"/>
          <w:kern w:val="2"/>
          <w:lang w:val="es-ES_tradnl"/>
          <w14:ligatures w14:val="standardContextual"/>
        </w:rPr>
      </w:pPr>
    </w:p>
    <w:p w14:paraId="4DF74C3F"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r w:rsidRPr="0051090D">
        <w:rPr>
          <w:rFonts w:ascii="Verdana" w:eastAsia="Century Gothic" w:hAnsi="Verdana" w:cs="Century Gothic"/>
          <w:b/>
          <w:bCs/>
          <w:lang w:val="es-ES_tradnl"/>
        </w:rPr>
        <w:t>4. Referencias normativas, jurisprudenciales y otras fuentes:</w:t>
      </w:r>
    </w:p>
    <w:p w14:paraId="2334E109" w14:textId="77777777" w:rsidR="0051090D" w:rsidRPr="0051090D" w:rsidRDefault="0051090D" w:rsidP="0051090D">
      <w:pPr>
        <w:widowControl w:val="0"/>
        <w:autoSpaceDE w:val="0"/>
        <w:autoSpaceDN w:val="0"/>
        <w:spacing w:after="0" w:line="276" w:lineRule="auto"/>
        <w:jc w:val="both"/>
        <w:rPr>
          <w:rFonts w:ascii="Verdana" w:eastAsia="Calibri" w:hAnsi="Verdana" w:cs="Arial"/>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090D" w:rsidRPr="0051090D" w14:paraId="5CD64A4F" w14:textId="77777777" w:rsidTr="004622FE">
        <w:trPr>
          <w:trHeight w:val="870"/>
          <w:jc w:val="center"/>
        </w:trPr>
        <w:tc>
          <w:tcPr>
            <w:tcW w:w="8647" w:type="dxa"/>
          </w:tcPr>
          <w:p w14:paraId="3EA9C912" w14:textId="77777777" w:rsidR="0051090D" w:rsidRPr="0051090D" w:rsidRDefault="0051090D" w:rsidP="0051090D">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51090D">
              <w:rPr>
                <w:rFonts w:ascii="Verdana" w:eastAsia="Calibri" w:hAnsi="Verdana" w:cs="Arial"/>
                <w:lang w:val="es-ES_tradnl"/>
              </w:rPr>
              <w:t xml:space="preserve">Ley 1150 de 2007, artículo 7. </w:t>
            </w:r>
          </w:p>
          <w:p w14:paraId="1293973A" w14:textId="77777777" w:rsidR="0051090D" w:rsidRPr="0051090D" w:rsidRDefault="0051090D" w:rsidP="0051090D">
            <w:pPr>
              <w:widowControl w:val="0"/>
              <w:numPr>
                <w:ilvl w:val="0"/>
                <w:numId w:val="16"/>
              </w:numPr>
              <w:autoSpaceDE w:val="0"/>
              <w:autoSpaceDN w:val="0"/>
              <w:snapToGrid w:val="0"/>
              <w:spacing w:after="120" w:line="276" w:lineRule="auto"/>
              <w:jc w:val="both"/>
              <w:rPr>
                <w:rFonts w:ascii="Verdana" w:eastAsia="Calibri" w:hAnsi="Verdana" w:cs="Arial"/>
                <w:lang w:val="es-ES_tradnl"/>
              </w:rPr>
            </w:pPr>
            <w:r w:rsidRPr="0051090D">
              <w:rPr>
                <w:rFonts w:ascii="Verdana" w:eastAsia="Calibri" w:hAnsi="Verdana" w:cs="Arial"/>
                <w:lang w:val="es-ES_tradnl"/>
              </w:rPr>
              <w:t>Código Civil, artículo 28.</w:t>
            </w:r>
          </w:p>
          <w:p w14:paraId="431D3DD3" w14:textId="77777777" w:rsidR="0051090D" w:rsidRPr="0051090D" w:rsidRDefault="0051090D" w:rsidP="0051090D">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51090D">
              <w:rPr>
                <w:rFonts w:ascii="Verdana" w:eastAsia="Calibri" w:hAnsi="Verdana" w:cs="Arial"/>
                <w:lang w:val="es-ES_tradnl"/>
              </w:rPr>
              <w:t xml:space="preserve">Decreto 1082 de 2015, artículos 2.2.1.1.1.6.1, 2.2.1.1.2.1.1 y 2.2.1.1.2.1.3 y 2.2.1.2.3.1.1 a 2.2.1.2.3.1.19.  </w:t>
            </w:r>
          </w:p>
          <w:p w14:paraId="53D99281" w14:textId="77777777" w:rsidR="0051090D" w:rsidRPr="0051090D" w:rsidRDefault="0051090D" w:rsidP="0051090D">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51090D">
              <w:rPr>
                <w:rFonts w:ascii="Verdana" w:eastAsia="Calibri" w:hAnsi="Verdana" w:cs="Arial"/>
                <w:lang w:val="es-ES_tradnl"/>
              </w:rPr>
              <w:t>Documentos tipo de licitación de obra pública de infraestructura de transporte – versión 4. Disponibles en:</w:t>
            </w:r>
            <w:r w:rsidRPr="0051090D">
              <w:rPr>
                <w:rFonts w:ascii="Aptos" w:eastAsia="Aptos" w:hAnsi="Aptos" w:cs="Times New Roman"/>
                <w:lang w:val="es-ES_tradnl"/>
              </w:rPr>
              <w:t xml:space="preserve"> </w:t>
            </w:r>
            <w:hyperlink r:id="rId11" w:history="1">
              <w:r w:rsidRPr="0051090D">
                <w:rPr>
                  <w:rFonts w:ascii="Verdana" w:eastAsia="Calibri" w:hAnsi="Verdana" w:cs="Arial"/>
                  <w:color w:val="467886"/>
                  <w:u w:val="single"/>
                  <w:lang w:val="es-ES_tradnl"/>
                </w:rPr>
                <w:t>https://www.colombiacompra.gov.co/content/documentos-tipo-para-licitacion-de-obra-publica-de-infraestructura-de-transporte-version-04</w:t>
              </w:r>
            </w:hyperlink>
            <w:r w:rsidRPr="0051090D">
              <w:rPr>
                <w:rFonts w:ascii="Verdana" w:eastAsia="Calibri" w:hAnsi="Verdana" w:cs="Arial"/>
                <w:lang w:val="es-ES_tradnl"/>
              </w:rPr>
              <w:t xml:space="preserve">. </w:t>
            </w:r>
          </w:p>
        </w:tc>
      </w:tr>
    </w:tbl>
    <w:p w14:paraId="23EDA4AC" w14:textId="77777777" w:rsidR="0051090D" w:rsidRPr="0051090D" w:rsidRDefault="0051090D" w:rsidP="0051090D">
      <w:pPr>
        <w:widowControl w:val="0"/>
        <w:autoSpaceDE w:val="0"/>
        <w:autoSpaceDN w:val="0"/>
        <w:spacing w:after="0" w:line="276" w:lineRule="auto"/>
        <w:jc w:val="both"/>
        <w:rPr>
          <w:rFonts w:ascii="Verdana" w:eastAsia="Calibri" w:hAnsi="Verdana" w:cs="Arial"/>
          <w:lang w:val="es-ES_tradnl"/>
        </w:rPr>
      </w:pPr>
    </w:p>
    <w:p w14:paraId="6ED32A81" w14:textId="77777777" w:rsidR="0051090D" w:rsidRPr="0051090D" w:rsidRDefault="0051090D" w:rsidP="0051090D">
      <w:pPr>
        <w:tabs>
          <w:tab w:val="left" w:pos="142"/>
          <w:tab w:val="left" w:pos="284"/>
        </w:tabs>
        <w:spacing w:after="0" w:line="276" w:lineRule="auto"/>
        <w:jc w:val="both"/>
        <w:rPr>
          <w:rFonts w:ascii="Verdana" w:eastAsia="Century Gothic" w:hAnsi="Verdana" w:cs="Century Gothic"/>
          <w:b/>
          <w:bCs/>
          <w:lang w:val="es-ES_tradnl"/>
        </w:rPr>
      </w:pPr>
      <w:r w:rsidRPr="0051090D">
        <w:rPr>
          <w:rFonts w:ascii="Verdana" w:eastAsia="Century Gothic" w:hAnsi="Verdana" w:cs="Century Gothic"/>
          <w:b/>
          <w:bCs/>
          <w:lang w:val="es-ES_tradnl"/>
        </w:rPr>
        <w:t>5. Doctrina de la Agencia Nacional de Contratación Pública:</w:t>
      </w:r>
    </w:p>
    <w:p w14:paraId="361296C4" w14:textId="77777777" w:rsidR="0051090D" w:rsidRPr="0051090D" w:rsidRDefault="0051090D" w:rsidP="0051090D">
      <w:pPr>
        <w:widowControl w:val="0"/>
        <w:autoSpaceDE w:val="0"/>
        <w:autoSpaceDN w:val="0"/>
        <w:spacing w:after="0" w:line="276" w:lineRule="auto"/>
        <w:jc w:val="both"/>
        <w:rPr>
          <w:rFonts w:ascii="Verdana" w:eastAsia="Calibri" w:hAnsi="Verdana" w:cs="Arial"/>
          <w:lang w:val="es-ES_tradnl"/>
        </w:rPr>
      </w:pPr>
    </w:p>
    <w:p w14:paraId="022EB972" w14:textId="77777777" w:rsidR="0051090D" w:rsidRPr="0051090D" w:rsidRDefault="0051090D" w:rsidP="0051090D">
      <w:pPr>
        <w:widowControl w:val="0"/>
        <w:autoSpaceDE w:val="0"/>
        <w:autoSpaceDN w:val="0"/>
        <w:spacing w:after="0" w:line="276" w:lineRule="auto"/>
        <w:jc w:val="both"/>
        <w:rPr>
          <w:rFonts w:ascii="Verdana" w:eastAsia="Calibri" w:hAnsi="Verdana" w:cs="Arial"/>
          <w:shd w:val="clear" w:color="auto" w:fill="FFFFFF"/>
          <w:lang w:val="es-ES_tradnl"/>
        </w:rPr>
      </w:pPr>
      <w:r w:rsidRPr="0051090D">
        <w:rPr>
          <w:rFonts w:ascii="Verdana" w:eastAsia="Calibri" w:hAnsi="Verdana" w:cs="Arial"/>
          <w:shd w:val="clear" w:color="auto" w:fill="FFFFFF"/>
          <w:lang w:val="es-ES_tradnl"/>
        </w:rPr>
        <w:t>Esta Subdirección se ha pronunciado sobre el régimen de garantías en los conceptos</w:t>
      </w:r>
      <w:r w:rsidRPr="0051090D">
        <w:rPr>
          <w:rFonts w:ascii="Verdana" w:eastAsia="Calibri" w:hAnsi="Verdana" w:cs="Calibri"/>
          <w:shd w:val="clear" w:color="auto" w:fill="FFFFFF"/>
          <w:lang w:val="es-ES_tradnl"/>
        </w:rPr>
        <w:t xml:space="preserve"> </w:t>
      </w:r>
      <w:r w:rsidRPr="0051090D">
        <w:rPr>
          <w:rFonts w:ascii="Verdana" w:eastAsia="Calibri" w:hAnsi="Verdana" w:cs="Arial"/>
          <w:shd w:val="clear" w:color="auto" w:fill="FFFFFF"/>
          <w:lang w:val="es-ES_tradnl"/>
        </w:rPr>
        <w:t>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C-133 del 11 de julio de 2024, C-919 del 10 de diciembre de 2024 y C-055 del 30 de enero de 2025</w:t>
      </w:r>
      <w:r w:rsidRPr="0051090D">
        <w:rPr>
          <w:rFonts w:ascii="Verdana" w:eastAsia="Calibri" w:hAnsi="Verdana" w:cs="Times New Roman"/>
          <w:lang w:val="es-ES_tradnl"/>
        </w:rPr>
        <w:t>.</w:t>
      </w:r>
      <w:r w:rsidRPr="0051090D">
        <w:rPr>
          <w:rFonts w:ascii="Verdana" w:eastAsia="Calibri" w:hAnsi="Verdana" w:cs="Arial"/>
          <w:shd w:val="clear" w:color="auto" w:fill="FFFFFF"/>
          <w:lang w:val="es-ES_tradnl"/>
        </w:rPr>
        <w:t xml:space="preserve"> Estos y otros se encuentran disponibles para consulta en el Sistema de Relatoría de la Agencia, al cual puede accederse a través del siguiente enlace: </w:t>
      </w:r>
      <w:hyperlink r:id="rId12" w:history="1">
        <w:r w:rsidRPr="0051090D">
          <w:rPr>
            <w:rFonts w:ascii="Verdana" w:eastAsia="Calibri" w:hAnsi="Verdana" w:cs="Arial"/>
            <w:color w:val="0000FF"/>
            <w:u w:val="single"/>
            <w:shd w:val="clear" w:color="auto" w:fill="FFFFFF"/>
            <w:lang w:val="es-ES_tradnl"/>
          </w:rPr>
          <w:t>https://relatoria.colombiacompra.gov.co/busqueda/conceptos</w:t>
        </w:r>
      </w:hyperlink>
      <w:r w:rsidRPr="0051090D">
        <w:rPr>
          <w:rFonts w:ascii="Verdana" w:eastAsia="Calibri" w:hAnsi="Verdana" w:cs="Arial"/>
          <w:shd w:val="clear" w:color="auto" w:fill="FFFFFF"/>
          <w:lang w:val="es-ES_tradnl"/>
        </w:rPr>
        <w:t xml:space="preserve">. </w:t>
      </w:r>
      <w:r w:rsidRPr="0051090D">
        <w:rPr>
          <w:rFonts w:ascii="Verdana" w:eastAsia="Calibri" w:hAnsi="Verdana" w:cs="Arial"/>
          <w:color w:val="FF0000"/>
          <w:shd w:val="clear" w:color="auto" w:fill="FFFFFF"/>
          <w:lang w:val="es-ES_tradnl"/>
        </w:rPr>
        <w:t xml:space="preserve"> </w:t>
      </w:r>
    </w:p>
    <w:p w14:paraId="558CEE87"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FF0000"/>
          <w:shd w:val="clear" w:color="auto" w:fill="FFFFFF"/>
          <w:lang w:val="es-ES_tradnl"/>
        </w:rPr>
      </w:pPr>
    </w:p>
    <w:p w14:paraId="1AA7A004" w14:textId="77777777" w:rsidR="0051090D" w:rsidRPr="0051090D" w:rsidRDefault="0051090D" w:rsidP="3DE390C7">
      <w:pPr>
        <w:widowControl w:val="0"/>
        <w:autoSpaceDE w:val="0"/>
        <w:autoSpaceDN w:val="0"/>
        <w:spacing w:after="0" w:line="276" w:lineRule="auto"/>
        <w:jc w:val="both"/>
        <w:rPr>
          <w:rFonts w:ascii="Verdana" w:eastAsia="Calibri" w:hAnsi="Verdana" w:cs="Arial"/>
          <w:color w:val="000000"/>
          <w:u w:val="single"/>
          <w:shd w:val="clear" w:color="auto" w:fill="FFFFFF"/>
          <w:lang w:val="es-ES"/>
        </w:rPr>
      </w:pPr>
      <w:r w:rsidRPr="3DE390C7">
        <w:rPr>
          <w:rFonts w:ascii="Verdana" w:eastAsia="Calibri" w:hAnsi="Verdana" w:cs="Arial"/>
          <w:color w:val="000000"/>
          <w:shd w:val="clear" w:color="auto" w:fill="FFFFFF"/>
          <w:lang w:val="es-ES"/>
        </w:rPr>
        <w:t>Le informamos que ya se encuentra disponible la </w:t>
      </w:r>
      <w:r w:rsidRPr="3DE390C7">
        <w:rPr>
          <w:rFonts w:ascii="Verdana" w:eastAsia="Calibri" w:hAnsi="Verdana" w:cs="Arial"/>
          <w:b/>
          <w:bCs/>
          <w:color w:val="000000"/>
          <w:shd w:val="clear" w:color="auto" w:fill="FFFFFF"/>
          <w:lang w:val="es-ES"/>
        </w:rPr>
        <w:t>Guía para el manejo de ofertas artificialmente bajas en Procesos de Contratación.</w:t>
      </w:r>
      <w:r w:rsidRPr="3DE390C7">
        <w:rPr>
          <w:rFonts w:ascii="Verdana" w:eastAsia="Calibri" w:hAnsi="Verdana" w:cs="Arial"/>
          <w:color w:val="000000"/>
          <w:shd w:val="clear" w:color="auto" w:fill="FFFFFF"/>
          <w:lang w:val="es-ES"/>
        </w:rPr>
        <w:t> En este documento podrá consultar una serie de pautas para el manejo ofertas artificialmente bajas, en línea con las mejores prácticas internacionales en la materia. Puede consultar la versión actualizada en el siguiente enlace: </w:t>
      </w:r>
      <w:hyperlink r:id="rId13" w:tooltip="Original URL:&#10;https://www.colombiacompra.gov.co/manuales-guias-y-pliegos-tipo/manuales-y-guias/guia-para-el-manejo-de-ofertas-artificialmente-baja-0&#10;&#10;Click to follow link." w:history="1">
        <w:r w:rsidRPr="3DE390C7">
          <w:rPr>
            <w:rFonts w:ascii="Verdana" w:eastAsia="Calibri" w:hAnsi="Verdana" w:cs="Arial"/>
            <w:color w:val="0000FF"/>
            <w:u w:val="single"/>
            <w:shd w:val="clear" w:color="auto" w:fill="FFFFFF"/>
            <w:lang w:val="es-ES"/>
          </w:rPr>
          <w:t>https://www.colombiacompra.gov.co/manuales-guias-y-pliegos-tipo/manuales-y-guias/guia-para-el-manejo-de-ofertas-artificialmente-baja-0</w:t>
        </w:r>
      </w:hyperlink>
      <w:r w:rsidRPr="3DE390C7">
        <w:rPr>
          <w:rFonts w:ascii="Verdana" w:eastAsia="Calibri" w:hAnsi="Verdana" w:cs="Arial"/>
          <w:color w:val="000000"/>
          <w:shd w:val="clear" w:color="auto" w:fill="FFFFFF"/>
          <w:lang w:val="es-ES"/>
        </w:rPr>
        <w:t>.</w:t>
      </w:r>
    </w:p>
    <w:p w14:paraId="2BB2844F"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000000"/>
          <w:shd w:val="clear" w:color="auto" w:fill="FFFFFF"/>
          <w:lang w:val="es-ES_tradnl"/>
        </w:rPr>
      </w:pPr>
    </w:p>
    <w:p w14:paraId="7A8A8FC8"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000000"/>
          <w:shd w:val="clear" w:color="auto" w:fill="FFFFFF"/>
          <w:lang w:val="es-ES_tradnl"/>
        </w:rPr>
      </w:pPr>
      <w:r w:rsidRPr="0051090D">
        <w:rPr>
          <w:rFonts w:ascii="Verdana" w:eastAsia="Calibri" w:hAnsi="Verdana" w:cs="Arial"/>
          <w:color w:val="000000"/>
          <w:shd w:val="clear" w:color="auto" w:fill="FFFFFF"/>
          <w:lang w:val="es-ES_tradnl"/>
        </w:rPr>
        <w:t>De otra parte, le contamos que ya publicamos la </w:t>
      </w:r>
      <w:r w:rsidRPr="0051090D">
        <w:rPr>
          <w:rFonts w:ascii="Verdana" w:eastAsia="Calibri" w:hAnsi="Verdana" w:cs="Arial"/>
          <w:b/>
          <w:bCs/>
          <w:color w:val="000000"/>
          <w:shd w:val="clear" w:color="auto" w:fill="FFFFFF"/>
          <w:lang w:val="es-ES_tradnl"/>
        </w:rPr>
        <w:t>Guía para incentivar la participación de Mujeres en el Sistema de Compras y Contratación Pública</w:t>
      </w:r>
      <w:r w:rsidRPr="0051090D">
        <w:rPr>
          <w:rFonts w:ascii="Verdana" w:eastAsia="Calibri" w:hAnsi="Verdana" w:cs="Arial"/>
          <w:color w:val="000000"/>
          <w:shd w:val="clear" w:color="auto" w:fill="FFFFFF"/>
          <w:lang w:val="es-ES_tradnl"/>
        </w:rPr>
        <w:t>. Esta guía tiene como finalidad ofrecer información de valor para que las Entidades Estatales fomenten de manera efectiva la participación de las mujeres en el mercado de compras públicas. Puede consultar la guía en el siguiente enlace: </w:t>
      </w:r>
      <w:hyperlink r:id="rId14" w:tooltip="Original URL:&#10;https://www.colombiacompra.gov.co/manuales-guias-y-pliegos-tipo/manuales-y-guias/guia-para-incentivar-la-participacion-de-las-mujeres&#10;&#10;Click to follow link." w:history="1">
        <w:r w:rsidRPr="0051090D">
          <w:rPr>
            <w:rFonts w:ascii="Verdana" w:eastAsia="Calibri" w:hAnsi="Verdana" w:cs="Arial"/>
            <w:color w:val="0000FF"/>
            <w:u w:val="single"/>
            <w:shd w:val="clear" w:color="auto" w:fill="FFFFFF"/>
            <w:lang w:val="es-ES_tradnl"/>
          </w:rPr>
          <w:t>https://www.colombiacompra.gov.co/manuales-guias-y-pliegos-tipo/manuales-y-guias/guia-para-incentivar-la-participacion-de-las-mujeres</w:t>
        </w:r>
      </w:hyperlink>
      <w:r w:rsidRPr="0051090D">
        <w:rPr>
          <w:rFonts w:ascii="Verdana" w:eastAsia="Calibri" w:hAnsi="Verdana" w:cs="Arial"/>
          <w:color w:val="000000"/>
          <w:shd w:val="clear" w:color="auto" w:fill="FFFFFF"/>
          <w:lang w:val="es-ES_tradnl"/>
        </w:rPr>
        <w:t>.</w:t>
      </w:r>
    </w:p>
    <w:p w14:paraId="30BAD7A1"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000000"/>
          <w:shd w:val="clear" w:color="auto" w:fill="FFFFFF"/>
          <w:lang w:val="es-ES_tradnl"/>
        </w:rPr>
      </w:pPr>
    </w:p>
    <w:p w14:paraId="0AEF0B97"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000000"/>
          <w:shd w:val="clear" w:color="auto" w:fill="FFFFFF"/>
          <w:lang w:val="es-ES_tradnl"/>
        </w:rPr>
      </w:pPr>
      <w:r w:rsidRPr="0051090D">
        <w:rPr>
          <w:rFonts w:ascii="Verdana" w:eastAsia="Calibri" w:hAnsi="Verdana" w:cs="Arial"/>
          <w:color w:val="000000"/>
          <w:shd w:val="clear" w:color="auto" w:fill="FFFFFF"/>
          <w:lang w:val="es-ES_tradnl"/>
        </w:rPr>
        <w:t>También lo invitamos a consultar la </w:t>
      </w:r>
      <w:r w:rsidRPr="0051090D">
        <w:rPr>
          <w:rFonts w:ascii="Verdana" w:eastAsia="Calibri" w:hAnsi="Verdana" w:cs="Arial"/>
          <w:b/>
          <w:bCs/>
          <w:color w:val="000000"/>
          <w:shd w:val="clear" w:color="auto" w:fill="FFFFFF"/>
          <w:lang w:val="es-ES_tradnl"/>
        </w:rPr>
        <w:t>versión VIII de 2024</w:t>
      </w:r>
      <w:r w:rsidRPr="0051090D">
        <w:rPr>
          <w:rFonts w:ascii="Verdana" w:eastAsia="Calibri" w:hAnsi="Verdana" w:cs="Arial"/>
          <w:color w:val="000000"/>
          <w:shd w:val="clear" w:color="auto" w:fill="FFFFFF"/>
          <w:lang w:val="es-ES_tradnl"/>
        </w:rPr>
        <w:t>, del </w:t>
      </w:r>
      <w:r w:rsidRPr="0051090D">
        <w:rPr>
          <w:rFonts w:ascii="Verdana" w:eastAsia="Calibri" w:hAnsi="Verdana" w:cs="Arial"/>
          <w:b/>
          <w:bCs/>
          <w:color w:val="000000"/>
          <w:shd w:val="clear" w:color="auto" w:fill="FFFFFF"/>
          <w:lang w:val="es-ES_tradnl"/>
        </w:rPr>
        <w:t>Boletín de Relatoría</w:t>
      </w:r>
      <w:r w:rsidRPr="0051090D">
        <w:rPr>
          <w:rFonts w:ascii="Verdana" w:eastAsia="Calibri" w:hAnsi="Verdana" w:cs="Arial"/>
          <w:color w:val="000000"/>
          <w:shd w:val="clear" w:color="auto" w:fill="FFFFFF"/>
          <w:lang w:val="es-ES_tradnl"/>
        </w:rPr>
        <w:t> de la Subdirección de Gestión Contractual relacionado con la participación de las MIPYMES en los procesos de compra y contratación pública, el cual se puede descargar en la página web de la Agencia: </w:t>
      </w:r>
      <w:hyperlink r:id="rId15" w:tooltip="Original URL:&#10;https://www.colombiacompra.gov.co/sites/cce_public/files/files_2020/boletin_de_realtoria_viii.pdf&#10;&#10;Click to follow link." w:history="1">
        <w:r w:rsidRPr="0051090D">
          <w:rPr>
            <w:rFonts w:ascii="Verdana" w:eastAsia="Calibri" w:hAnsi="Verdana" w:cs="Arial"/>
            <w:color w:val="0000FF"/>
            <w:u w:val="single"/>
            <w:shd w:val="clear" w:color="auto" w:fill="FFFFFF"/>
            <w:lang w:val="es-ES_tradnl"/>
          </w:rPr>
          <w:t>https://www.colombiacompra.gov.co/sites/cce_public/files/files_2020/boletin_de_realtoria_viii.pdf</w:t>
        </w:r>
      </w:hyperlink>
      <w:r w:rsidRPr="0051090D">
        <w:rPr>
          <w:rFonts w:ascii="Verdana" w:eastAsia="Calibri" w:hAnsi="Verdana" w:cs="Arial"/>
          <w:color w:val="000000"/>
          <w:shd w:val="clear" w:color="auto" w:fill="FFFFFF"/>
          <w:lang w:val="es-ES_tradnl"/>
        </w:rPr>
        <w:t>.</w:t>
      </w:r>
    </w:p>
    <w:p w14:paraId="0F9C5A01" w14:textId="77777777" w:rsidR="0051090D" w:rsidRPr="0051090D" w:rsidRDefault="0051090D" w:rsidP="0051090D">
      <w:pPr>
        <w:widowControl w:val="0"/>
        <w:autoSpaceDE w:val="0"/>
        <w:autoSpaceDN w:val="0"/>
        <w:spacing w:after="0" w:line="276" w:lineRule="auto"/>
        <w:jc w:val="both"/>
        <w:rPr>
          <w:rFonts w:ascii="Verdana" w:eastAsia="Calibri" w:hAnsi="Verdana" w:cs="Arial"/>
          <w:color w:val="FF0000"/>
          <w:shd w:val="clear" w:color="auto" w:fill="FFFFFF"/>
          <w:lang w:val="es-ES_tradnl"/>
        </w:rPr>
      </w:pPr>
      <w:r w:rsidRPr="0051090D">
        <w:rPr>
          <w:rFonts w:ascii="Verdana" w:eastAsia="Calibri" w:hAnsi="Verdana" w:cs="Arial"/>
          <w:color w:val="000000"/>
          <w:shd w:val="clear" w:color="auto" w:fill="FFFFFF"/>
          <w:lang w:val="es-ES_tradnl"/>
        </w:rPr>
        <w:t> </w:t>
      </w:r>
      <w:r w:rsidRPr="0051090D">
        <w:rPr>
          <w:rFonts w:ascii="Verdana" w:eastAsia="Calibri" w:hAnsi="Verdana" w:cs="Arial"/>
          <w:color w:val="FF0000"/>
          <w:shd w:val="clear" w:color="auto" w:fill="FFFFFF"/>
          <w:lang w:val="es-ES_tradnl"/>
        </w:rPr>
        <w:t xml:space="preserve">      </w:t>
      </w:r>
    </w:p>
    <w:p w14:paraId="7C358A0A" w14:textId="77777777" w:rsidR="0051090D" w:rsidRPr="0051090D" w:rsidRDefault="0051090D" w:rsidP="0051090D">
      <w:pPr>
        <w:widowControl w:val="0"/>
        <w:autoSpaceDE w:val="0"/>
        <w:autoSpaceDN w:val="0"/>
        <w:spacing w:after="0" w:line="276" w:lineRule="auto"/>
        <w:jc w:val="both"/>
        <w:rPr>
          <w:rFonts w:ascii="Verdana" w:eastAsia="Calibri" w:hAnsi="Verdana" w:cs="Arial"/>
          <w:lang w:val="es-ES_tradnl"/>
        </w:rPr>
      </w:pPr>
      <w:r w:rsidRPr="0051090D">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CFD8BE2" w14:textId="77777777" w:rsidR="0051090D" w:rsidRPr="0051090D" w:rsidRDefault="0051090D" w:rsidP="0051090D">
      <w:pPr>
        <w:widowControl w:val="0"/>
        <w:autoSpaceDE w:val="0"/>
        <w:autoSpaceDN w:val="0"/>
        <w:spacing w:after="0" w:line="276" w:lineRule="auto"/>
        <w:jc w:val="both"/>
        <w:rPr>
          <w:rFonts w:ascii="Verdana" w:eastAsia="Calibri" w:hAnsi="Verdana" w:cs="Arial"/>
          <w:lang w:val="es-ES_tradnl"/>
        </w:rPr>
      </w:pPr>
    </w:p>
    <w:p w14:paraId="15EC2676" w14:textId="77777777" w:rsidR="0051090D" w:rsidRPr="0051090D" w:rsidRDefault="0051090D" w:rsidP="0051090D">
      <w:pPr>
        <w:spacing w:after="0" w:line="240" w:lineRule="auto"/>
        <w:rPr>
          <w:rFonts w:ascii="Verdana" w:eastAsia="Calibri" w:hAnsi="Verdana" w:cs="Arial"/>
          <w:lang w:val="es-ES_tradnl" w:eastAsia="es-CO"/>
        </w:rPr>
      </w:pPr>
      <w:r w:rsidRPr="0051090D">
        <w:rPr>
          <w:rFonts w:ascii="Verdana" w:eastAsia="Times New Roman" w:hAnsi="Verdana" w:cs="Arial"/>
          <w:lang w:val="es-ES_tradnl" w:eastAsia="es-CO"/>
        </w:rPr>
        <w:t>Atentamente,</w:t>
      </w:r>
      <w:r w:rsidRPr="0051090D">
        <w:rPr>
          <w:rFonts w:ascii="Verdana" w:eastAsia="Calibri" w:hAnsi="Verdana" w:cs="Arial"/>
          <w:lang w:val="es-ES_tradnl" w:eastAsia="es-CO"/>
        </w:rPr>
        <w:t xml:space="preserve"> </w:t>
      </w:r>
    </w:p>
    <w:p w14:paraId="1F8C29AD" w14:textId="13CE61D1" w:rsidR="0051090D" w:rsidRPr="0051090D" w:rsidRDefault="00F343F2" w:rsidP="0051090D">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6F8B5A27" wp14:editId="500E7218">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090D" w:rsidRPr="0051090D" w14:paraId="72504EB3" w14:textId="77777777" w:rsidTr="3DE390C7">
        <w:trPr>
          <w:trHeight w:val="315"/>
        </w:trPr>
        <w:tc>
          <w:tcPr>
            <w:tcW w:w="893" w:type="dxa"/>
            <w:vAlign w:val="center"/>
            <w:hideMark/>
          </w:tcPr>
          <w:p w14:paraId="5F279D26" w14:textId="77777777" w:rsidR="0051090D" w:rsidRPr="0051090D" w:rsidRDefault="0051090D" w:rsidP="0051090D">
            <w:pPr>
              <w:contextualSpacing/>
              <w:rPr>
                <w:rFonts w:ascii="Verdana" w:eastAsia="Calibri" w:hAnsi="Verdana" w:cs="Arial"/>
                <w:sz w:val="16"/>
                <w:szCs w:val="16"/>
                <w:lang w:val="es-ES_tradnl" w:eastAsia="es-ES"/>
              </w:rPr>
            </w:pPr>
            <w:r w:rsidRPr="0051090D">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0DC4A9B4" w14:textId="77777777" w:rsidR="0051090D" w:rsidRPr="0051090D" w:rsidRDefault="0051090D" w:rsidP="1B4CAA3C">
            <w:pPr>
              <w:contextualSpacing/>
              <w:rPr>
                <w:rFonts w:ascii="Verdana" w:eastAsia="Calibri" w:hAnsi="Verdana" w:cs="Times New Roman"/>
                <w:sz w:val="16"/>
                <w:szCs w:val="16"/>
                <w:lang w:val="es-ES"/>
              </w:rPr>
            </w:pPr>
            <w:r w:rsidRPr="1B4CAA3C">
              <w:rPr>
                <w:rFonts w:ascii="Verdana" w:eastAsia="Calibri" w:hAnsi="Verdana" w:cs="Times New Roman"/>
                <w:sz w:val="16"/>
                <w:szCs w:val="16"/>
                <w:lang w:val="es-ES"/>
              </w:rPr>
              <w:t>Kevin Arlid Herrera Santa</w:t>
            </w:r>
          </w:p>
          <w:p w14:paraId="4CAF0B46" w14:textId="77777777" w:rsidR="0051090D" w:rsidRPr="0051090D" w:rsidRDefault="0051090D" w:rsidP="0051090D">
            <w:pPr>
              <w:contextualSpacing/>
              <w:rPr>
                <w:rFonts w:ascii="Verdana" w:eastAsia="Arial" w:hAnsi="Verdana" w:cs="Arial"/>
                <w:sz w:val="16"/>
                <w:szCs w:val="16"/>
                <w:lang w:val="es-ES_tradnl"/>
              </w:rPr>
            </w:pPr>
            <w:r w:rsidRPr="0051090D">
              <w:rPr>
                <w:rFonts w:ascii="Verdana" w:eastAsia="Calibri" w:hAnsi="Verdana" w:cs="Times New Roman"/>
                <w:sz w:val="16"/>
                <w:szCs w:val="16"/>
                <w:lang w:val="es-ES_tradnl"/>
              </w:rPr>
              <w:t>Contratista de la Subdirección de Gestión Contractual</w:t>
            </w:r>
          </w:p>
        </w:tc>
      </w:tr>
      <w:tr w:rsidR="0051090D" w:rsidRPr="0051090D" w14:paraId="7A91F1A6" w14:textId="77777777" w:rsidTr="3DE390C7">
        <w:trPr>
          <w:trHeight w:val="330"/>
        </w:trPr>
        <w:tc>
          <w:tcPr>
            <w:tcW w:w="893" w:type="dxa"/>
            <w:vAlign w:val="center"/>
            <w:hideMark/>
          </w:tcPr>
          <w:p w14:paraId="0DE813CE" w14:textId="77777777" w:rsidR="0051090D" w:rsidRPr="0051090D" w:rsidRDefault="0051090D" w:rsidP="0051090D">
            <w:pPr>
              <w:contextualSpacing/>
              <w:rPr>
                <w:rFonts w:ascii="Verdana" w:eastAsia="Calibri" w:hAnsi="Verdana" w:cs="Arial"/>
                <w:sz w:val="16"/>
                <w:szCs w:val="16"/>
                <w:lang w:val="es-ES_tradnl" w:eastAsia="es-ES"/>
              </w:rPr>
            </w:pPr>
            <w:r w:rsidRPr="0051090D">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4C732C" w14:textId="77777777" w:rsidR="0051090D" w:rsidRPr="0051090D" w:rsidRDefault="0051090D" w:rsidP="3DE390C7">
            <w:pPr>
              <w:spacing w:before="100" w:beforeAutospacing="1" w:afterAutospacing="1"/>
              <w:contextualSpacing/>
              <w:textAlignment w:val="baseline"/>
              <w:rPr>
                <w:rFonts w:ascii="Verdana" w:eastAsia="Times New Roman" w:hAnsi="Verdana" w:cs="Arial"/>
                <w:sz w:val="16"/>
                <w:szCs w:val="16"/>
                <w:lang w:val="es-ES" w:eastAsia="es-CO"/>
              </w:rPr>
            </w:pPr>
            <w:r w:rsidRPr="3DE390C7">
              <w:rPr>
                <w:rFonts w:ascii="Verdana" w:eastAsia="Times New Roman" w:hAnsi="Verdana" w:cs="Arial"/>
                <w:sz w:val="16"/>
                <w:szCs w:val="16"/>
                <w:lang w:val="es-ES" w:eastAsia="es-CO"/>
              </w:rPr>
              <w:t>Adriana Katerine López Rodríguez</w:t>
            </w:r>
          </w:p>
          <w:p w14:paraId="5EEB0E56" w14:textId="77777777" w:rsidR="0051090D" w:rsidRPr="0051090D" w:rsidRDefault="0051090D" w:rsidP="0051090D">
            <w:pPr>
              <w:contextualSpacing/>
              <w:textAlignment w:val="baseline"/>
              <w:rPr>
                <w:rFonts w:ascii="Verdana" w:eastAsia="Times New Roman" w:hAnsi="Verdana" w:cs="Segoe UI"/>
                <w:sz w:val="16"/>
                <w:szCs w:val="16"/>
                <w:lang w:val="es-ES_tradnl" w:eastAsia="es-CO"/>
              </w:rPr>
            </w:pPr>
            <w:r w:rsidRPr="0051090D">
              <w:rPr>
                <w:rFonts w:ascii="Verdana" w:eastAsia="Times New Roman" w:hAnsi="Verdana" w:cs="Arial"/>
                <w:sz w:val="16"/>
                <w:szCs w:val="16"/>
                <w:lang w:val="es-ES_tradnl" w:eastAsia="es-CO"/>
              </w:rPr>
              <w:t>Contratista de la Subdirección de Gestión Contractual</w:t>
            </w:r>
          </w:p>
        </w:tc>
      </w:tr>
      <w:tr w:rsidR="0051090D" w:rsidRPr="0051090D" w14:paraId="2F53282D" w14:textId="77777777" w:rsidTr="3DE390C7">
        <w:trPr>
          <w:trHeight w:val="300"/>
        </w:trPr>
        <w:tc>
          <w:tcPr>
            <w:tcW w:w="893" w:type="dxa"/>
            <w:vAlign w:val="center"/>
          </w:tcPr>
          <w:p w14:paraId="4BF06989" w14:textId="77777777" w:rsidR="0051090D" w:rsidRPr="0051090D" w:rsidRDefault="0051090D" w:rsidP="0051090D">
            <w:pPr>
              <w:contextualSpacing/>
              <w:rPr>
                <w:rFonts w:ascii="Verdana" w:eastAsia="Calibri" w:hAnsi="Verdana" w:cs="Arial"/>
                <w:sz w:val="16"/>
                <w:szCs w:val="16"/>
                <w:lang w:val="es-ES_tradnl" w:eastAsia="es-ES"/>
              </w:rPr>
            </w:pPr>
            <w:r w:rsidRPr="0051090D">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0D8CE7" w14:textId="77777777" w:rsidR="0051090D" w:rsidRPr="0051090D" w:rsidRDefault="0051090D" w:rsidP="1B4CAA3C">
            <w:pPr>
              <w:contextualSpacing/>
              <w:rPr>
                <w:rFonts w:ascii="Verdana" w:eastAsia="Calibri" w:hAnsi="Verdana" w:cs="Arial"/>
                <w:sz w:val="16"/>
                <w:szCs w:val="16"/>
                <w:lang w:val="es-ES" w:eastAsia="es-ES"/>
              </w:rPr>
            </w:pPr>
            <w:r w:rsidRPr="1B4CAA3C">
              <w:rPr>
                <w:rFonts w:ascii="Verdana" w:eastAsia="Calibri" w:hAnsi="Verdana" w:cs="Arial"/>
                <w:sz w:val="16"/>
                <w:szCs w:val="16"/>
                <w:lang w:val="es-ES" w:eastAsia="es-ES"/>
              </w:rPr>
              <w:t>Carolina Quintero Gacharná</w:t>
            </w:r>
          </w:p>
          <w:p w14:paraId="5FE3557B" w14:textId="77777777" w:rsidR="0051090D" w:rsidRPr="0051090D" w:rsidRDefault="0051090D" w:rsidP="0051090D">
            <w:pPr>
              <w:contextualSpacing/>
              <w:rPr>
                <w:rFonts w:ascii="Verdana" w:eastAsia="Calibri" w:hAnsi="Verdana" w:cs="Arial"/>
                <w:sz w:val="16"/>
                <w:szCs w:val="16"/>
                <w:lang w:val="es-ES_tradnl" w:eastAsia="es-ES"/>
              </w:rPr>
            </w:pPr>
            <w:r w:rsidRPr="0051090D">
              <w:rPr>
                <w:rFonts w:ascii="Verdana" w:eastAsia="Calibri" w:hAnsi="Verdana" w:cs="Arial"/>
                <w:sz w:val="16"/>
                <w:szCs w:val="16"/>
                <w:lang w:val="es-ES_tradnl" w:eastAsia="es-ES"/>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00E47" w14:textId="77777777" w:rsidR="0081122A" w:rsidRDefault="0081122A" w:rsidP="004A1847">
      <w:pPr>
        <w:spacing w:after="0" w:line="240" w:lineRule="auto"/>
      </w:pPr>
      <w:r>
        <w:separator/>
      </w:r>
    </w:p>
  </w:endnote>
  <w:endnote w:type="continuationSeparator" w:id="0">
    <w:p w14:paraId="390CC1BD" w14:textId="77777777" w:rsidR="0081122A" w:rsidRDefault="0081122A" w:rsidP="004A1847">
      <w:pPr>
        <w:spacing w:after="0" w:line="240" w:lineRule="auto"/>
      </w:pPr>
      <w:r>
        <w:continuationSeparator/>
      </w:r>
    </w:p>
  </w:endnote>
  <w:endnote w:type="continuationNotice" w:id="1">
    <w:p w14:paraId="66271F08" w14:textId="77777777" w:rsidR="00D20D96" w:rsidRDefault="00D20D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605382" w14:textId="77777777" w:rsidR="0081122A" w:rsidRDefault="0081122A" w:rsidP="004A1847">
      <w:pPr>
        <w:spacing w:after="0" w:line="240" w:lineRule="auto"/>
      </w:pPr>
      <w:r>
        <w:separator/>
      </w:r>
    </w:p>
  </w:footnote>
  <w:footnote w:type="continuationSeparator" w:id="0">
    <w:p w14:paraId="58ACD7CC" w14:textId="77777777" w:rsidR="0081122A" w:rsidRDefault="0081122A" w:rsidP="004A1847">
      <w:pPr>
        <w:spacing w:after="0" w:line="240" w:lineRule="auto"/>
      </w:pPr>
      <w:r>
        <w:continuationSeparator/>
      </w:r>
    </w:p>
  </w:footnote>
  <w:footnote w:type="continuationNotice" w:id="1">
    <w:p w14:paraId="760D44D7" w14:textId="77777777" w:rsidR="00D20D96" w:rsidRDefault="00D20D96">
      <w:pPr>
        <w:spacing w:after="0" w:line="240" w:lineRule="auto"/>
      </w:pPr>
    </w:p>
  </w:footnote>
  <w:footnote w:id="2">
    <w:p w14:paraId="593092FE" w14:textId="77777777" w:rsidR="0051090D" w:rsidRPr="00953D40" w:rsidRDefault="0051090D" w:rsidP="0051090D">
      <w:pPr>
        <w:pStyle w:val="Textonotapie"/>
        <w:ind w:firstLine="708"/>
        <w:jc w:val="both"/>
        <w:rPr>
          <w:rFonts w:ascii="Verdana" w:hAnsi="Verdana" w:cs="Arial"/>
          <w:color w:val="000000"/>
          <w:sz w:val="16"/>
          <w:szCs w:val="16"/>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CORTE CONSTITUCIONAL. Sentencia C-452 de 1999. M.P. Eduardo Cifuentes Muñoz. </w:t>
      </w:r>
    </w:p>
  </w:footnote>
  <w:footnote w:id="3">
    <w:p w14:paraId="3784129C" w14:textId="77777777" w:rsidR="0051090D" w:rsidRPr="00953D40" w:rsidRDefault="0051090D" w:rsidP="0051090D">
      <w:pPr>
        <w:pStyle w:val="Textonotapie"/>
        <w:ind w:firstLine="708"/>
        <w:jc w:val="both"/>
        <w:rPr>
          <w:rFonts w:ascii="Verdana" w:hAnsi="Verdana" w:cs="Arial"/>
          <w:color w:val="000000"/>
          <w:sz w:val="16"/>
          <w:szCs w:val="16"/>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DROMI, José Roberto. La licitación pública. Buenos Aires: Ciudad Argentina, 1980. pp. 288-289.</w:t>
      </w:r>
    </w:p>
  </w:footnote>
  <w:footnote w:id="4">
    <w:p w14:paraId="60CAB992" w14:textId="77777777" w:rsidR="0051090D" w:rsidRPr="00B365C1" w:rsidRDefault="0051090D" w:rsidP="0051090D">
      <w:pPr>
        <w:pStyle w:val="Textonotapie"/>
        <w:ind w:firstLine="708"/>
        <w:jc w:val="both"/>
        <w:rPr>
          <w:rFonts w:ascii="Verdana" w:hAnsi="Verdana" w:cs="Arial"/>
          <w:sz w:val="16"/>
          <w:szCs w:val="16"/>
        </w:rPr>
      </w:pPr>
      <w:r w:rsidRPr="00B365C1">
        <w:rPr>
          <w:rStyle w:val="Refdenotaalpie"/>
          <w:rFonts w:ascii="Verdana" w:hAnsi="Verdana" w:cs="Arial"/>
          <w:sz w:val="16"/>
          <w:szCs w:val="16"/>
        </w:rPr>
        <w:footnoteRef/>
      </w:r>
      <w:r w:rsidRPr="00B365C1">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5C3DFA24" w14:textId="77777777" w:rsidR="0051090D" w:rsidRPr="00953D40" w:rsidRDefault="0051090D" w:rsidP="0051090D">
      <w:pPr>
        <w:pStyle w:val="Textonotapie"/>
        <w:ind w:firstLine="709"/>
        <w:jc w:val="both"/>
        <w:rPr>
          <w:rFonts w:ascii="Verdana" w:hAnsi="Verdana" w:cs="Arial"/>
          <w:color w:val="000000"/>
          <w:sz w:val="16"/>
          <w:szCs w:val="16"/>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ORDÓÑEZ ORDÓÑEZ, Andrés E. Seguro de cumplimiento de los contratos estatales en Colombia. Bogotá: Universidad Externado de Colombia, 2011. p. 44.</w:t>
      </w:r>
    </w:p>
  </w:footnote>
  <w:footnote w:id="6">
    <w:p w14:paraId="50B22AB1" w14:textId="77777777" w:rsidR="0051090D" w:rsidRPr="00953D40" w:rsidRDefault="0051090D" w:rsidP="0051090D">
      <w:pPr>
        <w:pStyle w:val="Textonotapie"/>
        <w:ind w:firstLine="709"/>
        <w:jc w:val="both"/>
        <w:rPr>
          <w:rFonts w:ascii="Verdana" w:hAnsi="Verdana" w:cs="Arial"/>
          <w:color w:val="000000"/>
          <w:sz w:val="16"/>
          <w:szCs w:val="16"/>
          <w:lang w:val="es-ES"/>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953D40">
        <w:rPr>
          <w:rFonts w:ascii="Verdana" w:hAnsi="Verdana" w:cs="Arial"/>
          <w:color w:val="000000"/>
          <w:sz w:val="16"/>
          <w:szCs w:val="16"/>
          <w:lang w:val="es-ES"/>
        </w:rPr>
        <w:t xml:space="preserve">Igualmente, el inciso primero del artículo 1071 </w:t>
      </w:r>
      <w:r w:rsidRPr="00953D40">
        <w:rPr>
          <w:rFonts w:ascii="Verdana" w:hAnsi="Verdana" w:cs="Arial"/>
          <w:i/>
          <w:iCs/>
          <w:color w:val="000000"/>
          <w:sz w:val="16"/>
          <w:szCs w:val="16"/>
          <w:lang w:val="es-ES"/>
        </w:rPr>
        <w:t>ibidem</w:t>
      </w:r>
      <w:r w:rsidRPr="00953D40">
        <w:rPr>
          <w:rFonts w:ascii="Verdana" w:hAnsi="Verdana" w:cs="Arial"/>
          <w:color w:val="000000"/>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5E1CAC8E" w14:textId="77777777" w:rsidR="0051090D" w:rsidRPr="00953D40" w:rsidRDefault="0051090D" w:rsidP="0051090D">
      <w:pPr>
        <w:pStyle w:val="Textonotapie"/>
        <w:ind w:firstLine="709"/>
        <w:jc w:val="both"/>
        <w:rPr>
          <w:rFonts w:ascii="Verdana" w:hAnsi="Verdana" w:cs="Arial"/>
          <w:color w:val="000000"/>
          <w:sz w:val="16"/>
          <w:szCs w:val="16"/>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8">
    <w:p w14:paraId="0D149EC7"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w:t>
      </w:r>
      <w:r w:rsidRPr="00953D40">
        <w:rPr>
          <w:rFonts w:ascii="Verdana" w:hAnsi="Verdana" w:cs="Arial"/>
          <w:color w:val="000000"/>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6B1BEDF0"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En consecuencia, la Entidad Estatal en los pliegos de condiciones para la Contratación debe indicar las garantías que exige en cada Etapa del Contrato o cada Periodo Contractual así: </w:t>
      </w:r>
    </w:p>
    <w:p w14:paraId="2984127D"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4AC61A74"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2CF1B433"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4F9ADD1F"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0321CAE1"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Style w:val="Refdenotaalpie"/>
          <w:rFonts w:ascii="Verdana" w:hAnsi="Verdana" w:cs="Arial"/>
          <w:color w:val="000000"/>
          <w:sz w:val="16"/>
          <w:szCs w:val="16"/>
        </w:rPr>
        <w:footnoteRef/>
      </w:r>
      <w:r w:rsidRPr="00953D40">
        <w:rPr>
          <w:rFonts w:ascii="Verdana" w:hAnsi="Verdana" w:cs="Arial"/>
          <w:color w:val="000000"/>
          <w:sz w:val="16"/>
          <w:szCs w:val="16"/>
        </w:rPr>
        <w:t xml:space="preserve"> </w:t>
      </w:r>
      <w:r w:rsidRPr="00953D40">
        <w:rPr>
          <w:rFonts w:ascii="Verdana" w:hAnsi="Verdana" w:cs="Arial"/>
          <w:color w:val="000000"/>
          <w:sz w:val="16"/>
          <w:szCs w:val="16"/>
          <w:lang w:val="es-CO"/>
        </w:rPr>
        <w:t xml:space="preserve">“Artículo </w:t>
      </w:r>
      <w:bookmarkStart w:id="5" w:name="_Hlk67919994"/>
      <w:r w:rsidRPr="00953D40">
        <w:rPr>
          <w:rFonts w:ascii="Verdana" w:hAnsi="Verdana" w:cs="Arial"/>
          <w:color w:val="000000"/>
          <w:sz w:val="16"/>
          <w:szCs w:val="16"/>
          <w:lang w:val="es-CO"/>
        </w:rPr>
        <w:t>2.2.1.2.3.1.7</w:t>
      </w:r>
      <w:bookmarkEnd w:id="5"/>
      <w:r w:rsidRPr="00953D40">
        <w:rPr>
          <w:rFonts w:ascii="Verdana" w:hAnsi="Verdana" w:cs="Arial"/>
          <w:color w:val="000000"/>
          <w:sz w:val="16"/>
          <w:szCs w:val="16"/>
          <w:lang w:val="es-CO"/>
        </w:rPr>
        <w:t xml:space="preserve">. Garantía de cumplimiento. La garantía de cumplimiento del contrato debe cubrir: </w:t>
      </w:r>
    </w:p>
    <w:p w14:paraId="4270BA55" w14:textId="77777777" w:rsidR="0051090D" w:rsidRPr="00953D40" w:rsidRDefault="0051090D" w:rsidP="0051090D">
      <w:pPr>
        <w:pStyle w:val="Textonotapie"/>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  </w:t>
      </w:r>
      <w:r w:rsidRPr="00953D40">
        <w:rPr>
          <w:rFonts w:ascii="Verdana" w:hAnsi="Verdana" w:cs="Arial"/>
          <w:color w:val="000000"/>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79A9293E"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69A0229C"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3. Cumplimiento del contrato. Este amparo cubre a la Entidad Estatal de los perjuicios derivados de: </w:t>
      </w:r>
    </w:p>
    <w:p w14:paraId="3F5CBAE0" w14:textId="77777777" w:rsidR="0051090D" w:rsidRPr="00953D40" w:rsidRDefault="0051090D" w:rsidP="0051090D">
      <w:pPr>
        <w:pStyle w:val="Textonotapie"/>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  </w:t>
      </w:r>
      <w:r w:rsidRPr="00953D40">
        <w:rPr>
          <w:rFonts w:ascii="Verdana" w:hAnsi="Verdana" w:cs="Arial"/>
          <w:color w:val="000000"/>
          <w:sz w:val="16"/>
          <w:szCs w:val="16"/>
          <w:lang w:val="es-CO"/>
        </w:rPr>
        <w:tab/>
        <w:t xml:space="preserve">3.1. </w:t>
      </w:r>
      <w:bookmarkStart w:id="6" w:name="_Hlk67920056"/>
      <w:r w:rsidRPr="00953D40">
        <w:rPr>
          <w:rFonts w:ascii="Verdana" w:hAnsi="Verdana" w:cs="Arial"/>
          <w:color w:val="000000"/>
          <w:sz w:val="16"/>
          <w:szCs w:val="16"/>
          <w:lang w:val="es-CO"/>
        </w:rPr>
        <w:t xml:space="preserve">El incumplimiento total o parcial del contrato, cuando el incumplimiento es imputable al contratista; </w:t>
      </w:r>
    </w:p>
    <w:p w14:paraId="6379F50C" w14:textId="77777777" w:rsidR="0051090D" w:rsidRPr="00953D40" w:rsidRDefault="0051090D" w:rsidP="0051090D">
      <w:pPr>
        <w:pStyle w:val="Textonotapie"/>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  </w:t>
      </w:r>
      <w:r w:rsidRPr="00953D40">
        <w:rPr>
          <w:rFonts w:ascii="Verdana" w:hAnsi="Verdana" w:cs="Arial"/>
          <w:color w:val="000000"/>
          <w:sz w:val="16"/>
          <w:szCs w:val="16"/>
          <w:lang w:val="es-CO"/>
        </w:rPr>
        <w:tab/>
        <w:t xml:space="preserve">3.2. El cumplimiento tardío o defectuoso del contrato, cuando el incumplimiento es imputable al contratista; </w:t>
      </w:r>
    </w:p>
    <w:p w14:paraId="58BAA6BF"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3.3. Los daños imputables al contratista por entregas parciales de la obra, cuando el contrato no prevé entregas parciales; y </w:t>
      </w:r>
    </w:p>
    <w:bookmarkEnd w:id="6"/>
    <w:p w14:paraId="0B9BE1FB"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3.4. El pago del valor de las multas y de la cláusula penal pecuniaria. </w:t>
      </w:r>
    </w:p>
    <w:p w14:paraId="7638FF92"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03B17662"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4A174845"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7A3C6185"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6. Calidad del servicio. Este amparo cubre a la Entidad Estatal por los perjuicios derivados de la deficiente calidad del servicio prestado. </w:t>
      </w:r>
    </w:p>
    <w:p w14:paraId="79761F14"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7. Calidad y correcto funcionamiento de los bienes. Este amparo debe cubrir la calidad y el correcto funcionamiento de los bienes que recibe la Entidad Estatal en cumplimiento de un contrato. </w:t>
      </w:r>
    </w:p>
    <w:p w14:paraId="43933488" w14:textId="77777777" w:rsidR="0051090D" w:rsidRPr="00953D40" w:rsidRDefault="0051090D" w:rsidP="0051090D">
      <w:pPr>
        <w:pStyle w:val="Textonotapie"/>
        <w:ind w:firstLine="708"/>
        <w:jc w:val="both"/>
        <w:rPr>
          <w:rFonts w:ascii="Verdana" w:hAnsi="Verdana" w:cs="Arial"/>
          <w:color w:val="000000"/>
          <w:sz w:val="16"/>
          <w:szCs w:val="16"/>
          <w:lang w:val="es-CO"/>
        </w:rPr>
      </w:pPr>
      <w:r w:rsidRPr="00953D40">
        <w:rPr>
          <w:rFonts w:ascii="Verdana" w:hAnsi="Verdana" w:cs="Arial"/>
          <w:color w:val="000000"/>
          <w:sz w:val="16"/>
          <w:szCs w:val="16"/>
          <w:lang w:val="es-CO"/>
        </w:rPr>
        <w:t xml:space="preserve">8. </w:t>
      </w:r>
      <w:bookmarkStart w:id="7" w:name="_Hlk143267015"/>
      <w:r w:rsidRPr="00953D40">
        <w:rPr>
          <w:rFonts w:ascii="Verdana" w:hAnsi="Verdana" w:cs="Arial"/>
          <w:color w:val="000000"/>
          <w:sz w:val="16"/>
          <w:szCs w:val="16"/>
          <w:lang w:val="es-CO"/>
        </w:rPr>
        <w:t>Los demás incumplimientos de obligaciones que la Entidad Estatal considere deben ser amparados de manera proporcional y acorde a la naturaleza del contrato</w:t>
      </w:r>
      <w:bookmarkEnd w:id="7"/>
      <w:r w:rsidRPr="00953D40">
        <w:rPr>
          <w:rFonts w:ascii="Verdana" w:hAnsi="Verdana" w:cs="Arial"/>
          <w:color w:val="000000"/>
          <w:sz w:val="16"/>
          <w:szCs w:val="16"/>
          <w:lang w:val="es-CO"/>
        </w:rPr>
        <w:t>”.</w:t>
      </w:r>
    </w:p>
    <w:p w14:paraId="01531F66" w14:textId="77777777" w:rsidR="0051090D" w:rsidRPr="00953D40" w:rsidRDefault="0051090D" w:rsidP="0051090D">
      <w:pPr>
        <w:pStyle w:val="Textonotapie"/>
        <w:ind w:firstLine="708"/>
        <w:jc w:val="both"/>
        <w:rPr>
          <w:rFonts w:ascii="Verdana" w:hAnsi="Verdana" w:cs="Arial"/>
          <w:color w:val="000000"/>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64D1B4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807886814" o:spid="_x0000_i1025" type="#_x0000_t75" style="width:11.85pt;height:11.85pt;visibility:visible;mso-wrap-style:square">
            <v:imagedata r:id="rId1" o:title=""/>
          </v:shape>
        </w:pict>
      </mc:Choice>
      <mc:Fallback>
        <w:drawing>
          <wp:inline distT="0" distB="0" distL="0" distR="0" wp14:anchorId="38E850F1" wp14:editId="38E850F2">
            <wp:extent cx="150495" cy="150495"/>
            <wp:effectExtent l="0" t="0" r="0" b="0"/>
            <wp:docPr id="807886814" name="Imagen 807886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0495" cy="150495"/>
                    </a:xfrm>
                    <a:prstGeom prst="rect">
                      <a:avLst/>
                    </a:prstGeom>
                    <a:noFill/>
                    <a:ln>
                      <a:noFill/>
                    </a:ln>
                  </pic:spPr>
                </pic:pic>
              </a:graphicData>
            </a:graphic>
          </wp:inline>
        </w:drawing>
      </mc:Fallback>
    </mc:AlternateConten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8A3"/>
    <w:rsid w:val="000D0334"/>
    <w:rsid w:val="000F08EC"/>
    <w:rsid w:val="000F3C89"/>
    <w:rsid w:val="000F6486"/>
    <w:rsid w:val="00125105"/>
    <w:rsid w:val="00127233"/>
    <w:rsid w:val="001511A0"/>
    <w:rsid w:val="001E4177"/>
    <w:rsid w:val="001F7DC6"/>
    <w:rsid w:val="00211810"/>
    <w:rsid w:val="002421BB"/>
    <w:rsid w:val="0025796E"/>
    <w:rsid w:val="002707A2"/>
    <w:rsid w:val="0027423E"/>
    <w:rsid w:val="002951A0"/>
    <w:rsid w:val="002962BC"/>
    <w:rsid w:val="002A093D"/>
    <w:rsid w:val="002A0DD0"/>
    <w:rsid w:val="002A49AC"/>
    <w:rsid w:val="002A64FD"/>
    <w:rsid w:val="002C05DE"/>
    <w:rsid w:val="002C7A84"/>
    <w:rsid w:val="002E4FD9"/>
    <w:rsid w:val="00322A85"/>
    <w:rsid w:val="00324168"/>
    <w:rsid w:val="003448F4"/>
    <w:rsid w:val="00374F5E"/>
    <w:rsid w:val="003758C1"/>
    <w:rsid w:val="00377E3E"/>
    <w:rsid w:val="003A779E"/>
    <w:rsid w:val="003D0F4D"/>
    <w:rsid w:val="003D5B0D"/>
    <w:rsid w:val="003E0499"/>
    <w:rsid w:val="003F3941"/>
    <w:rsid w:val="00406575"/>
    <w:rsid w:val="00414C74"/>
    <w:rsid w:val="0042722E"/>
    <w:rsid w:val="0044528D"/>
    <w:rsid w:val="00456B6E"/>
    <w:rsid w:val="0046511F"/>
    <w:rsid w:val="004A1847"/>
    <w:rsid w:val="004A305D"/>
    <w:rsid w:val="004F21C4"/>
    <w:rsid w:val="004F685F"/>
    <w:rsid w:val="0051090D"/>
    <w:rsid w:val="005566E8"/>
    <w:rsid w:val="00574867"/>
    <w:rsid w:val="00591460"/>
    <w:rsid w:val="005B3816"/>
    <w:rsid w:val="005C3777"/>
    <w:rsid w:val="005C5CDC"/>
    <w:rsid w:val="005D476C"/>
    <w:rsid w:val="006219F8"/>
    <w:rsid w:val="00665D70"/>
    <w:rsid w:val="00671679"/>
    <w:rsid w:val="00673172"/>
    <w:rsid w:val="006900D9"/>
    <w:rsid w:val="006F30C6"/>
    <w:rsid w:val="00706C16"/>
    <w:rsid w:val="0075018D"/>
    <w:rsid w:val="00756841"/>
    <w:rsid w:val="007649AB"/>
    <w:rsid w:val="00771D0C"/>
    <w:rsid w:val="007833AC"/>
    <w:rsid w:val="007A7A51"/>
    <w:rsid w:val="007B268C"/>
    <w:rsid w:val="007B7171"/>
    <w:rsid w:val="007C0C0F"/>
    <w:rsid w:val="007C3DC2"/>
    <w:rsid w:val="007C5C98"/>
    <w:rsid w:val="007E5497"/>
    <w:rsid w:val="00806F5F"/>
    <w:rsid w:val="0081122A"/>
    <w:rsid w:val="00820278"/>
    <w:rsid w:val="00841511"/>
    <w:rsid w:val="00846858"/>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2895"/>
    <w:rsid w:val="009F3A13"/>
    <w:rsid w:val="00A122D3"/>
    <w:rsid w:val="00A17F13"/>
    <w:rsid w:val="00A20739"/>
    <w:rsid w:val="00A33C78"/>
    <w:rsid w:val="00AB0ADB"/>
    <w:rsid w:val="00B01B1A"/>
    <w:rsid w:val="00B44AD5"/>
    <w:rsid w:val="00B66319"/>
    <w:rsid w:val="00B72CD3"/>
    <w:rsid w:val="00B72FFF"/>
    <w:rsid w:val="00BC3D36"/>
    <w:rsid w:val="00BD7F72"/>
    <w:rsid w:val="00C04FB3"/>
    <w:rsid w:val="00C330EB"/>
    <w:rsid w:val="00C41061"/>
    <w:rsid w:val="00C754BE"/>
    <w:rsid w:val="00C76B1C"/>
    <w:rsid w:val="00CB6357"/>
    <w:rsid w:val="00CC1B26"/>
    <w:rsid w:val="00D20D96"/>
    <w:rsid w:val="00D423A2"/>
    <w:rsid w:val="00D520D8"/>
    <w:rsid w:val="00D63AC2"/>
    <w:rsid w:val="00D7383B"/>
    <w:rsid w:val="00DA231B"/>
    <w:rsid w:val="00DC39FC"/>
    <w:rsid w:val="00DF5254"/>
    <w:rsid w:val="00E16408"/>
    <w:rsid w:val="00E20894"/>
    <w:rsid w:val="00E245AB"/>
    <w:rsid w:val="00E2764C"/>
    <w:rsid w:val="00E27F2E"/>
    <w:rsid w:val="00E50AFE"/>
    <w:rsid w:val="00E704F6"/>
    <w:rsid w:val="00E75C92"/>
    <w:rsid w:val="00E771DC"/>
    <w:rsid w:val="00E777AB"/>
    <w:rsid w:val="00E8772A"/>
    <w:rsid w:val="00E90F6B"/>
    <w:rsid w:val="00E92C27"/>
    <w:rsid w:val="00EA0E3D"/>
    <w:rsid w:val="00EC38A7"/>
    <w:rsid w:val="00ED7384"/>
    <w:rsid w:val="00EE1AA8"/>
    <w:rsid w:val="00F31EDC"/>
    <w:rsid w:val="00F343F2"/>
    <w:rsid w:val="00F462B3"/>
    <w:rsid w:val="00F5664F"/>
    <w:rsid w:val="00F666C4"/>
    <w:rsid w:val="00F76AFC"/>
    <w:rsid w:val="00FA47C0"/>
    <w:rsid w:val="00FB5DD1"/>
    <w:rsid w:val="00FC2B5D"/>
    <w:rsid w:val="00FE75AF"/>
    <w:rsid w:val="00FF1449"/>
    <w:rsid w:val="1B4CAA3C"/>
    <w:rsid w:val="3DE390C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1090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para-el-manejo-de-ofertas-artificialmente-baja-0&amp;data=05%7C02%7Cjuan.montoya%40colombiacompra.gov.co%7C925ae1c2336243aecb2908dd21173dd2%7C7b09041e245149d08cb179d5e3d8c1be%7C0%7C0%7C638703105895182015%7CUnknown%7CTWFpbGZsb3d8eyJFbXB0eU1hcGkiOnRydWUsIlYiOiIwLjAuMDAwMCIsIlAiOiJXaW4zMiIsIkFOIjoiTWFpbCIsIldUIjoyfQ%3D%3D%7C0%7C%7C%7C&amp;sdata=HlGFbtWnhxQQFe3ygDSyPlK2cdKe1Ks6vhc65aNB0FU%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documentos-tipo-para-licitacion-de-obra-publica-de-infraestructura-de-transporte-version-04"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files_2020%2Fboletin_de_realtoria_viii.pdf&amp;data=05%7C02%7Cjuan.montoya%40colombiacompra.gov.co%7C925ae1c2336243aecb2908dd21173dd2%7C7b09041e245149d08cb179d5e3d8c1be%7C0%7C0%7C638703105895220768%7CUnknown%7CTWFpbGZsb3d8eyJFbXB0eU1hcGkiOnRydWUsIlYiOiIwLjAuMDAwMCIsIlAiOiJXaW4zMiIsIkFOIjoiTWFpbCIsIldUIjoyfQ%3D%3D%7C0%7C%7C%7C&amp;sdata=qNBG%2BaYTy3VBiBSkZN4PWqvfCyO9k4rvo2wl3QqpAW8%3D&amp;reserved=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para-incentivar-la-participacion-de-las-mujeres&amp;data=05%7C02%7Cjuan.montoya%40colombiacompra.gov.co%7C925ae1c2336243aecb2908dd21173dd2%7C7b09041e245149d08cb179d5e3d8c1be%7C0%7C0%7C638703105895204231%7CUnknown%7CTWFpbGZsb3d8eyJFbXB0eU1hcGkiOnRydWUsIlYiOiIwLjAuMDAwMCIsIlAiOiJXaW4zMiIsIkFOIjoiTWFpbCIsIldUIjoyfQ%3D%3D%7C0%7C%7C%7C&amp;sdata=FVxVRA1OLrYs0kToF8HEu4D%2BSXkwN%2BKPRARSi4Pk57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purl.org/dc/elements/1.1/"/>
    <ds:schemaRef ds:uri="8ae15d26-076e-464e-81a7-6f76a0fb3917"/>
    <ds:schemaRef ds:uri="http://purl.org/dc/dcmitype/"/>
    <ds:schemaRef ds:uri="b531b13d-89bf-4629-be1e-22fdf3dd34d4"/>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D8C7CA3C-D214-441D-AE90-B4285D7463B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4419</Words>
  <Characters>24305</Characters>
  <Application>Microsoft Office Word</Application>
  <DocSecurity>0</DocSecurity>
  <Lines>202</Lines>
  <Paragraphs>57</Paragraphs>
  <ScaleCrop>false</ScaleCrop>
  <Company/>
  <LinksUpToDate>false</LinksUpToDate>
  <CharactersWithSpaces>28667</CharactersWithSpaces>
  <SharedDoc>false</SharedDoc>
  <HLinks>
    <vt:vector size="30" baseType="variant">
      <vt:variant>
        <vt:i4>7995417</vt:i4>
      </vt:variant>
      <vt:variant>
        <vt:i4>12</vt:i4>
      </vt:variant>
      <vt:variant>
        <vt:i4>0</vt:i4>
      </vt:variant>
      <vt:variant>
        <vt:i4>5</vt:i4>
      </vt:variant>
      <vt:variant>
        <vt:lpwstr>https://nam02.safelinks.protection.outlook.com/?url=https%3A%2F%2Fwww.colombiacompra.gov.co%2Fsites%2Fcce_public%2Ffiles%2Ffiles_2020%2Fboletin_de_realtoria_viii.pdf&amp;data=05%7C02%7Cjuan.montoya%40colombiacompra.gov.co%7C925ae1c2336243aecb2908dd21173dd2%7C7b09041e245149d08cb179d5e3d8c1be%7C0%7C0%7C638703105895220768%7CUnknown%7CTWFpbGZsb3d8eyJFbXB0eU1hcGkiOnRydWUsIlYiOiIwLjAuMDAwMCIsIlAiOiJXaW4zMiIsIkFOIjoiTWFpbCIsIldUIjoyfQ%3D%3D%7C0%7C%7C%7C&amp;sdata=qNBG%2BaYTy3VBiBSkZN4PWqvfCyO9k4rvo2wl3QqpAW8%3D&amp;reserved=0</vt:lpwstr>
      </vt:variant>
      <vt:variant>
        <vt:lpwstr/>
      </vt:variant>
      <vt:variant>
        <vt:i4>7471226</vt:i4>
      </vt:variant>
      <vt:variant>
        <vt:i4>9</vt:i4>
      </vt:variant>
      <vt:variant>
        <vt:i4>0</vt:i4>
      </vt:variant>
      <vt:variant>
        <vt:i4>5</vt:i4>
      </vt:variant>
      <vt:variant>
        <vt:lpwstr>https://nam02.safelinks.protection.outlook.com/?url=https%3A%2F%2Fwww.colombiacompra.gov.co%2Fmanuales-guias-y-pliegos-tipo%2Fmanuales-y-guias%2Fguia-para-incentivar-la-participacion-de-las-mujeres&amp;data=05%7C02%7Cjuan.montoya%40colombiacompra.gov.co%7C925ae1c2336243aecb2908dd21173dd2%7C7b09041e245149d08cb179d5e3d8c1be%7C0%7C0%7C638703105895204231%7CUnknown%7CTWFpbGZsb3d8eyJFbXB0eU1hcGkiOnRydWUsIlYiOiIwLjAuMDAwMCIsIlAiOiJXaW4zMiIsIkFOIjoiTWFpbCIsIldUIjoyfQ%3D%3D%7C0%7C%7C%7C&amp;sdata=FVxVRA1OLrYs0kToF8HEu4D%2BSXkwN%2BKPRARSi4Pk574%3D&amp;reserved=0</vt:lpwstr>
      </vt:variant>
      <vt:variant>
        <vt:lpwstr/>
      </vt:variant>
      <vt:variant>
        <vt:i4>7405605</vt:i4>
      </vt:variant>
      <vt:variant>
        <vt:i4>6</vt:i4>
      </vt:variant>
      <vt:variant>
        <vt:i4>0</vt:i4>
      </vt:variant>
      <vt:variant>
        <vt:i4>5</vt:i4>
      </vt:variant>
      <vt:variant>
        <vt:lpwstr>https://nam02.safelinks.protection.outlook.com/?url=https%3A%2F%2Fwww.colombiacompra.gov.co%2Fmanuales-guias-y-pliegos-tipo%2Fmanuales-y-guias%2Fguia-para-el-manejo-de-ofertas-artificialmente-baja-0&amp;data=05%7C02%7Cjuan.montoya%40colombiacompra.gov.co%7C925ae1c2336243aecb2908dd21173dd2%7C7b09041e245149d08cb179d5e3d8c1be%7C0%7C0%7C638703105895182015%7CUnknown%7CTWFpbGZsb3d8eyJFbXB0eU1hcGkiOnRydWUsIlYiOiIwLjAuMDAwMCIsIlAiOiJXaW4zMiIsIkFOIjoiTWFpbCIsIldUIjoyfQ%3D%3D%7C0%7C%7C%7C&amp;sdata=HlGFbtWnhxQQFe3ygDSyPlK2cdKe1Ks6vhc65aNB0FU%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4653065</vt:i4>
      </vt:variant>
      <vt:variant>
        <vt:i4>0</vt:i4>
      </vt:variant>
      <vt:variant>
        <vt:i4>0</vt:i4>
      </vt:variant>
      <vt:variant>
        <vt:i4>5</vt:i4>
      </vt:variant>
      <vt:variant>
        <vt:lpwstr>https://www.colombiacompra.gov.co/content/documentos-tipo-para-licitacion-de-obra-publica-de-infraestructura-de-transporte-version-04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2025-04-16T21:24:00Z</dcterms:created>
  <dcterms:modified xsi:type="dcterms:W3CDTF">2025-04-16T21:33:00Z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