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6F881" w14:textId="77777777" w:rsidR="00C72CCA" w:rsidRPr="00C76C05" w:rsidRDefault="00C72CCA" w:rsidP="00C72CCA">
      <w:pPr>
        <w:spacing w:after="0" w:line="240" w:lineRule="auto"/>
        <w:rPr>
          <w:rFonts w:ascii="Verdana" w:eastAsia="Geomanist Light" w:hAnsi="Verdana" w:cs="Arial"/>
          <w:color w:val="000000" w:themeColor="text1"/>
        </w:rPr>
      </w:pPr>
    </w:p>
    <w:p w14:paraId="184F9527" w14:textId="77777777" w:rsidR="00743882" w:rsidRPr="003C55E9" w:rsidRDefault="00743882" w:rsidP="00743882">
      <w:pPr>
        <w:jc w:val="both"/>
        <w:rPr>
          <w:rFonts w:ascii="Verdana" w:eastAsia="Calibri" w:hAnsi="Verdana" w:cs="Arial"/>
          <w:b/>
          <w:lang w:val="es-MX"/>
        </w:rPr>
      </w:pPr>
      <w:r w:rsidRPr="003C55E9">
        <w:rPr>
          <w:rFonts w:ascii="Verdana" w:eastAsia="Calibri" w:hAnsi="Verdana" w:cs="Arial"/>
          <w:b/>
          <w:lang w:val="es-MX"/>
        </w:rPr>
        <w:t xml:space="preserve">MÍNIMA CUANTÍA – Generalidades – Ley 1150 de 2007  </w:t>
      </w:r>
    </w:p>
    <w:p w14:paraId="4019BB68" w14:textId="77777777" w:rsidR="00743882" w:rsidRPr="005D6AC3" w:rsidRDefault="00743882" w:rsidP="00743882">
      <w:pPr>
        <w:spacing w:after="0" w:line="240" w:lineRule="auto"/>
        <w:jc w:val="both"/>
        <w:rPr>
          <w:rFonts w:ascii="Verdana" w:eastAsia="Calibri" w:hAnsi="Verdana" w:cs="Arial"/>
          <w:sz w:val="20"/>
          <w:szCs w:val="20"/>
          <w:lang w:val="es-ES_tradnl"/>
        </w:rPr>
      </w:pPr>
      <w:r w:rsidRPr="005D6AC3">
        <w:rPr>
          <w:rFonts w:ascii="Verdana" w:eastAsia="Calibri" w:hAnsi="Verdana" w:cs="Arial"/>
          <w:sz w:val="20"/>
          <w:szCs w:val="20"/>
          <w:lang w:val="es-ES_tradnl"/>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p>
    <w:p w14:paraId="36374E23" w14:textId="77777777" w:rsidR="00743882" w:rsidRPr="003C55E9" w:rsidRDefault="00743882" w:rsidP="00743882">
      <w:pPr>
        <w:spacing w:after="0" w:line="240" w:lineRule="auto"/>
        <w:jc w:val="both"/>
        <w:rPr>
          <w:rFonts w:ascii="Verdana" w:eastAsia="Calibri" w:hAnsi="Verdana" w:cs="Arial"/>
          <w:b/>
          <w:lang w:val="es-MX"/>
        </w:rPr>
      </w:pPr>
    </w:p>
    <w:p w14:paraId="02BD67E4" w14:textId="77777777" w:rsidR="00743882" w:rsidRPr="003C55E9" w:rsidRDefault="00743882" w:rsidP="00743882">
      <w:pPr>
        <w:jc w:val="both"/>
        <w:rPr>
          <w:rFonts w:ascii="Verdana" w:eastAsia="Calibri" w:hAnsi="Verdana" w:cs="Arial"/>
          <w:b/>
          <w:lang w:val="es-MX"/>
        </w:rPr>
      </w:pPr>
      <w:r w:rsidRPr="003C55E9">
        <w:rPr>
          <w:rFonts w:ascii="Verdana" w:eastAsia="Calibri" w:hAnsi="Verdana" w:cs="Arial"/>
          <w:b/>
          <w:lang w:val="es-MX"/>
        </w:rPr>
        <w:t xml:space="preserve">MÍNIMA CUANTÍA – Normas reglamentarias – Decreto 1082 de 2015 – Procedimiento </w:t>
      </w:r>
    </w:p>
    <w:p w14:paraId="37473AC5" w14:textId="77777777" w:rsidR="00743882" w:rsidRPr="005D6AC3" w:rsidRDefault="00743882" w:rsidP="00743882">
      <w:pPr>
        <w:tabs>
          <w:tab w:val="left" w:pos="709"/>
        </w:tabs>
        <w:spacing w:after="0" w:line="240" w:lineRule="auto"/>
        <w:jc w:val="both"/>
        <w:rPr>
          <w:rFonts w:ascii="Verdana" w:eastAsia="Calibri" w:hAnsi="Verdana" w:cs="Arial"/>
          <w:color w:val="000000" w:themeColor="text1"/>
          <w:sz w:val="20"/>
          <w:szCs w:val="20"/>
          <w:lang w:val="es-ES"/>
        </w:rPr>
      </w:pPr>
      <w:r w:rsidRPr="6F07DCA8">
        <w:rPr>
          <w:rFonts w:ascii="Verdana" w:eastAsia="Calibri" w:hAnsi="Verdana" w:cs="Arial"/>
          <w:color w:val="000000" w:themeColor="text1"/>
          <w:sz w:val="20"/>
          <w:szCs w:val="20"/>
          <w:lang w:val="es-ES"/>
        </w:rPr>
        <w:t xml:space="preserve">Teniendo en cuenta lo anterior, la nueva Subsección 5 a que se hizo referencia contiene los siguientes artículos: i) 2.2.1.2.1.5.1. que se ocupa de desarrollar el contenido de los estudios previos para la contratación de mínima cuantía. </w:t>
      </w:r>
      <w:proofErr w:type="spellStart"/>
      <w:r w:rsidRPr="6F07DCA8">
        <w:rPr>
          <w:rFonts w:ascii="Verdana" w:eastAsia="Calibri" w:hAnsi="Verdana" w:cs="Arial"/>
          <w:color w:val="000000" w:themeColor="text1"/>
          <w:sz w:val="20"/>
          <w:szCs w:val="20"/>
          <w:lang w:val="es-ES"/>
        </w:rPr>
        <w:t>ii</w:t>
      </w:r>
      <w:proofErr w:type="spellEnd"/>
      <w:r w:rsidRPr="6F07DCA8">
        <w:rPr>
          <w:rFonts w:ascii="Verdana" w:eastAsia="Calibri" w:hAnsi="Verdana" w:cs="Arial"/>
          <w:color w:val="000000" w:themeColor="text1"/>
          <w:sz w:val="20"/>
          <w:szCs w:val="20"/>
          <w:lang w:val="es-ES"/>
        </w:rPr>
        <w:t xml:space="preserve">) 2.2.1.2.1.5.2. que contiene el procedimiento general de la mínima cuantía, señalando el contenido mínimo de la “invitación” y las distintas etapas y reglas que estructuran esta modalidad de selección, incluyendo la forma en que procederán las convocatorias limitadas a </w:t>
      </w:r>
      <w:proofErr w:type="spellStart"/>
      <w:r w:rsidRPr="6F07DCA8">
        <w:rPr>
          <w:rFonts w:ascii="Verdana" w:eastAsia="Calibri" w:hAnsi="Verdana" w:cs="Arial"/>
          <w:color w:val="000000" w:themeColor="text1"/>
          <w:sz w:val="20"/>
          <w:szCs w:val="20"/>
          <w:lang w:val="es-ES"/>
        </w:rPr>
        <w:t>mipymes</w:t>
      </w:r>
      <w:proofErr w:type="spellEnd"/>
      <w:r w:rsidRPr="6F07DCA8">
        <w:rPr>
          <w:rFonts w:ascii="Verdana" w:eastAsia="Calibri" w:hAnsi="Verdana" w:cs="Arial"/>
          <w:color w:val="000000" w:themeColor="text1"/>
          <w:sz w:val="20"/>
          <w:szCs w:val="20"/>
          <w:lang w:val="es-ES"/>
        </w:rPr>
        <w:t xml:space="preserve">, de acuerdo con el mandato del parágrafo 1 del artículo 30 de la Ley 2069 de 2020. </w:t>
      </w:r>
      <w:proofErr w:type="spellStart"/>
      <w:r w:rsidRPr="6F07DCA8">
        <w:rPr>
          <w:rFonts w:ascii="Verdana" w:eastAsia="Calibri" w:hAnsi="Verdana" w:cs="Arial"/>
          <w:color w:val="000000" w:themeColor="text1"/>
          <w:sz w:val="20"/>
          <w:szCs w:val="20"/>
          <w:lang w:val="es-ES"/>
        </w:rPr>
        <w:t>iii</w:t>
      </w:r>
      <w:proofErr w:type="spellEnd"/>
      <w:r w:rsidRPr="6F07DCA8">
        <w:rPr>
          <w:rFonts w:ascii="Verdana" w:eastAsia="Calibri" w:hAnsi="Verdana" w:cs="Arial"/>
          <w:color w:val="000000" w:themeColor="text1"/>
          <w:sz w:val="20"/>
          <w:szCs w:val="20"/>
          <w:lang w:val="es-ES"/>
        </w:rPr>
        <w:t xml:space="preserve">) 2.2.1.2.1.5.3. que regula un procedimiento especial para las adquisiciones en grandes almacenes cuando se trate de mínima cuantía. </w:t>
      </w:r>
      <w:proofErr w:type="spellStart"/>
      <w:r w:rsidRPr="6F07DCA8">
        <w:rPr>
          <w:rFonts w:ascii="Verdana" w:eastAsia="Calibri" w:hAnsi="Verdana" w:cs="Arial"/>
          <w:color w:val="000000" w:themeColor="text1"/>
          <w:sz w:val="20"/>
          <w:szCs w:val="20"/>
          <w:lang w:val="es-ES"/>
        </w:rPr>
        <w:t>iv</w:t>
      </w:r>
      <w:proofErr w:type="spellEnd"/>
      <w:r w:rsidRPr="6F07DCA8">
        <w:rPr>
          <w:rFonts w:ascii="Verdana" w:eastAsia="Calibri" w:hAnsi="Verdana" w:cs="Arial"/>
          <w:color w:val="000000" w:themeColor="text1"/>
          <w:sz w:val="20"/>
          <w:szCs w:val="20"/>
          <w:lang w:val="es-ES"/>
        </w:rPr>
        <w:t>)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Mipyme y con grandes almacenes. Y v) 2.2.1.2.1.5.5. el cual establece que la entidad estatal es libre de exigir o no garantías en el proceso de selección de mínima cuantía y en la adquisición de “grandes almacenes”.</w:t>
      </w:r>
    </w:p>
    <w:p w14:paraId="42A66019" w14:textId="77777777" w:rsidR="00743882" w:rsidRPr="00477FC1" w:rsidRDefault="00743882" w:rsidP="00743882">
      <w:pPr>
        <w:tabs>
          <w:tab w:val="left" w:pos="709"/>
        </w:tabs>
        <w:spacing w:after="0" w:line="240" w:lineRule="auto"/>
        <w:jc w:val="both"/>
        <w:rPr>
          <w:rFonts w:ascii="Verdana" w:eastAsia="Calibri" w:hAnsi="Verdana" w:cs="Arial"/>
          <w:bCs/>
          <w:color w:val="000000" w:themeColor="text1"/>
          <w:lang w:val="es-ES_tradnl"/>
        </w:rPr>
      </w:pPr>
    </w:p>
    <w:p w14:paraId="03C18956" w14:textId="77777777" w:rsidR="00743882" w:rsidRPr="005D6AC3" w:rsidRDefault="00743882" w:rsidP="00743882">
      <w:pPr>
        <w:jc w:val="both"/>
        <w:rPr>
          <w:rFonts w:ascii="Verdana" w:eastAsia="Calibri" w:hAnsi="Verdana" w:cs="Arial"/>
          <w:b/>
          <w:lang w:val="es-MX"/>
        </w:rPr>
      </w:pPr>
      <w:r w:rsidRPr="003C55E9">
        <w:rPr>
          <w:rFonts w:ascii="Verdana" w:eastAsia="Calibri" w:hAnsi="Verdana" w:cs="Arial"/>
          <w:b/>
          <w:lang w:val="es-MX"/>
        </w:rPr>
        <w:t xml:space="preserve">ACEPTACIÓN DE LA OFERTA – Perfeccionamiento del contrato / SECOP II –Aprobación – Alcance </w:t>
      </w:r>
    </w:p>
    <w:p w14:paraId="32BE4B16" w14:textId="77777777" w:rsidR="00743882" w:rsidRPr="005D6AC3" w:rsidRDefault="00743882" w:rsidP="00743882">
      <w:pPr>
        <w:tabs>
          <w:tab w:val="left" w:pos="709"/>
        </w:tabs>
        <w:spacing w:after="0" w:line="240" w:lineRule="auto"/>
        <w:jc w:val="both"/>
        <w:rPr>
          <w:rFonts w:ascii="Verdana" w:eastAsia="Calibri" w:hAnsi="Verdana" w:cs="Arial"/>
          <w:bCs/>
          <w:color w:val="000000" w:themeColor="text1"/>
          <w:sz w:val="20"/>
          <w:szCs w:val="20"/>
        </w:rPr>
      </w:pPr>
      <w:r w:rsidRPr="005D6AC3">
        <w:rPr>
          <w:rFonts w:ascii="Verdana" w:eastAsia="Calibri" w:hAnsi="Verdana" w:cs="Arial"/>
          <w:bCs/>
          <w:color w:val="000000" w:themeColor="text1"/>
          <w:sz w:val="20"/>
          <w:szCs w:val="20"/>
          <w:lang w:val="es-ES_tradnl"/>
        </w:rPr>
        <w:t xml:space="preserve">De conformidad con lo expuesto, </w:t>
      </w:r>
      <w:r w:rsidRPr="00CF4B98">
        <w:rPr>
          <w:rFonts w:ascii="Verdana" w:eastAsia="Calibri" w:hAnsi="Verdana" w:cs="Arial"/>
          <w:bCs/>
          <w:color w:val="000000" w:themeColor="text1"/>
          <w:sz w:val="20"/>
          <w:szCs w:val="20"/>
          <w:lang w:val="es-ES_tradnl"/>
        </w:rPr>
        <w:t xml:space="preserve">y con fundamento en lo previsto en el numeral 9 del artículo 2.2.1.2.1.5.2. del Decreto </w:t>
      </w:r>
      <w:r w:rsidRPr="005D6AC3">
        <w:rPr>
          <w:rFonts w:ascii="Verdana" w:eastAsia="Calibri" w:hAnsi="Verdana" w:cs="Arial"/>
          <w:bCs/>
          <w:color w:val="000000" w:themeColor="text1"/>
          <w:sz w:val="20"/>
          <w:szCs w:val="20"/>
          <w:lang w:val="es-ES_tradnl"/>
        </w:rPr>
        <w:t>1082</w:t>
      </w:r>
      <w:r w:rsidRPr="00CF4B98">
        <w:rPr>
          <w:rFonts w:ascii="Verdana" w:eastAsia="Calibri" w:hAnsi="Verdana" w:cs="Arial"/>
          <w:bCs/>
          <w:color w:val="000000" w:themeColor="text1"/>
          <w:sz w:val="20"/>
          <w:szCs w:val="20"/>
          <w:lang w:val="es-ES_tradnl"/>
        </w:rPr>
        <w:t xml:space="preserve"> del 2</w:t>
      </w:r>
      <w:r w:rsidRPr="005D6AC3">
        <w:rPr>
          <w:rFonts w:ascii="Verdana" w:eastAsia="Calibri" w:hAnsi="Verdana" w:cs="Arial"/>
          <w:bCs/>
          <w:color w:val="000000" w:themeColor="text1"/>
          <w:sz w:val="20"/>
          <w:szCs w:val="20"/>
          <w:lang w:val="es-ES_tradnl"/>
        </w:rPr>
        <w:t>015</w:t>
      </w:r>
      <w:r w:rsidRPr="00CF4B98">
        <w:rPr>
          <w:rFonts w:ascii="Verdana" w:eastAsia="Calibri" w:hAnsi="Verdana" w:cs="Arial"/>
          <w:bCs/>
          <w:color w:val="000000" w:themeColor="text1"/>
          <w:sz w:val="20"/>
          <w:szCs w:val="20"/>
          <w:lang w:val="es-ES_tradnl"/>
        </w:rPr>
        <w:t xml:space="preserve"> </w:t>
      </w:r>
      <w:r w:rsidRPr="005D6AC3">
        <w:rPr>
          <w:rFonts w:ascii="Verdana" w:eastAsia="Calibri" w:hAnsi="Verdana" w:cs="Arial"/>
          <w:bCs/>
          <w:color w:val="000000" w:themeColor="text1"/>
          <w:sz w:val="20"/>
          <w:szCs w:val="20"/>
          <w:lang w:val="es-ES_tradnl"/>
        </w:rPr>
        <w:t xml:space="preserve">según el cual </w:t>
      </w:r>
      <w:r w:rsidRPr="00CF4B98">
        <w:rPr>
          <w:rFonts w:ascii="Verdana" w:eastAsia="Calibri" w:hAnsi="Verdana" w:cs="Arial"/>
          <w:bCs/>
          <w:color w:val="000000" w:themeColor="text1"/>
          <w:sz w:val="20"/>
          <w:szCs w:val="20"/>
          <w:lang w:val="es-ES_tradnl"/>
        </w:rPr>
        <w:t>“la oferta y su aceptación constituyen el contrato estatal”</w:t>
      </w:r>
      <w:r w:rsidRPr="005D6AC3">
        <w:rPr>
          <w:rFonts w:ascii="Verdana" w:eastAsia="Calibri" w:hAnsi="Verdana" w:cs="Arial"/>
          <w:bCs/>
          <w:color w:val="000000" w:themeColor="text1"/>
          <w:sz w:val="20"/>
          <w:szCs w:val="20"/>
          <w:lang w:val="es-ES_tradnl"/>
        </w:rPr>
        <w:t>, es claro que la comunicación de la aceptación de la oferta por parte de la entidad al proponente perfecciona</w:t>
      </w:r>
      <w:r w:rsidRPr="00CF4B98">
        <w:rPr>
          <w:rFonts w:ascii="Verdana" w:eastAsia="Calibri" w:hAnsi="Verdana" w:cs="Arial"/>
          <w:bCs/>
          <w:color w:val="000000" w:themeColor="text1"/>
          <w:sz w:val="20"/>
          <w:szCs w:val="20"/>
          <w:lang w:val="es-ES_tradnl"/>
        </w:rPr>
        <w:t xml:space="preserve"> los requisitos de existencia del contrato. </w:t>
      </w:r>
      <w:r w:rsidRPr="005D6AC3">
        <w:rPr>
          <w:rFonts w:ascii="Verdana" w:eastAsia="Calibri" w:hAnsi="Verdana" w:cs="Arial"/>
          <w:bCs/>
          <w:color w:val="000000" w:themeColor="text1"/>
          <w:sz w:val="20"/>
          <w:szCs w:val="20"/>
        </w:rPr>
        <w:t>Esta particularidad en relación con el procedimiento de mínima cuantía se deriva de lo establecido en el literal d) del numeral 5 del artículo 2 de la Ley 1150 de 2007 que de manera expresa dispone que "la comunicación de aceptación junto con la oferta c</w:t>
      </w:r>
      <w:r w:rsidRPr="005D6AC3">
        <w:rPr>
          <w:rFonts w:ascii="Verdana" w:eastAsia="Calibri" w:hAnsi="Verdana" w:cs="Arial"/>
          <w:bCs/>
          <w:i/>
          <w:iCs/>
          <w:color w:val="000000" w:themeColor="text1"/>
          <w:sz w:val="20"/>
          <w:szCs w:val="20"/>
        </w:rPr>
        <w:t>onstituye para todos los efectos el contrato celebrado</w:t>
      </w:r>
      <w:r w:rsidRPr="005D6AC3">
        <w:rPr>
          <w:rFonts w:ascii="Verdana" w:eastAsia="Calibri" w:hAnsi="Verdana" w:cs="Arial"/>
          <w:bCs/>
          <w:color w:val="000000" w:themeColor="text1"/>
          <w:sz w:val="20"/>
          <w:szCs w:val="20"/>
        </w:rPr>
        <w:t>, con base en lo cual se efectuará el respectivo registro presupuestal". Esto implica que, en este tipo de procedimientos, el contrato se entiende perfeccionado en el momento en que se produce dicha comunicación, sin necesidad de cumplir con requisitos adicionales.</w:t>
      </w:r>
    </w:p>
    <w:p w14:paraId="4953503A" w14:textId="77777777" w:rsidR="00743882" w:rsidRPr="005D6AC3" w:rsidRDefault="00743882" w:rsidP="00743882">
      <w:pPr>
        <w:tabs>
          <w:tab w:val="left" w:pos="709"/>
        </w:tabs>
        <w:spacing w:after="0" w:line="240" w:lineRule="auto"/>
        <w:jc w:val="both"/>
        <w:rPr>
          <w:rFonts w:ascii="Verdana" w:eastAsia="Calibri" w:hAnsi="Verdana" w:cs="Arial"/>
          <w:color w:val="000000" w:themeColor="text1"/>
          <w:sz w:val="20"/>
          <w:szCs w:val="20"/>
        </w:rPr>
      </w:pPr>
      <w:r w:rsidRPr="6F07DCA8">
        <w:rPr>
          <w:rFonts w:ascii="Verdana" w:eastAsia="Calibri" w:hAnsi="Verdana" w:cs="Arial"/>
          <w:color w:val="000000" w:themeColor="text1"/>
          <w:sz w:val="20"/>
          <w:szCs w:val="20"/>
        </w:rPr>
        <w:lastRenderedPageBreak/>
        <w:t>(….)</w:t>
      </w:r>
    </w:p>
    <w:p w14:paraId="1C39949E" w14:textId="77777777" w:rsidR="00743882" w:rsidRPr="005D6AC3" w:rsidRDefault="00743882" w:rsidP="00743882">
      <w:pPr>
        <w:spacing w:after="0" w:line="240" w:lineRule="auto"/>
        <w:jc w:val="both"/>
        <w:rPr>
          <w:rFonts w:ascii="Verdana" w:eastAsia="Calibri" w:hAnsi="Verdana" w:cs="Arial"/>
          <w:sz w:val="20"/>
          <w:szCs w:val="20"/>
          <w:lang w:val="es-ES"/>
        </w:rPr>
      </w:pPr>
    </w:p>
    <w:p w14:paraId="6807392D" w14:textId="77777777" w:rsidR="00743882" w:rsidRPr="00747990" w:rsidRDefault="00743882" w:rsidP="00743882">
      <w:pPr>
        <w:spacing w:after="0" w:line="240" w:lineRule="auto"/>
        <w:jc w:val="both"/>
        <w:rPr>
          <w:rFonts w:ascii="Verdana" w:eastAsia="Calibri" w:hAnsi="Verdana" w:cs="Arial"/>
          <w:sz w:val="20"/>
          <w:szCs w:val="20"/>
          <w:lang w:val="es-ES"/>
        </w:rPr>
      </w:pPr>
      <w:r w:rsidRPr="005D6AC3">
        <w:rPr>
          <w:rFonts w:ascii="Verdana" w:eastAsia="Calibri" w:hAnsi="Verdana" w:cs="Arial"/>
          <w:sz w:val="20"/>
          <w:szCs w:val="20"/>
          <w:lang w:val="es-ES"/>
        </w:rPr>
        <w:t xml:space="preserve">Sin embargo, frente al procedimiento de mínima cuantía </w:t>
      </w:r>
      <w:r w:rsidRPr="00747990">
        <w:rPr>
          <w:rFonts w:ascii="Verdana" w:eastAsia="Calibri" w:hAnsi="Verdana" w:cs="Arial"/>
          <w:sz w:val="20"/>
          <w:szCs w:val="20"/>
          <w:lang w:val="es-ES"/>
        </w:rPr>
        <w:t xml:space="preserve">el </w:t>
      </w:r>
      <w:r w:rsidRPr="005D6AC3">
        <w:rPr>
          <w:rFonts w:ascii="Verdana" w:eastAsia="Calibri" w:hAnsi="Verdana" w:cs="Arial"/>
          <w:sz w:val="20"/>
          <w:szCs w:val="20"/>
          <w:lang w:val="es-ES"/>
        </w:rPr>
        <w:t>trámite</w:t>
      </w:r>
      <w:r w:rsidRPr="00747990">
        <w:rPr>
          <w:rFonts w:ascii="Verdana" w:eastAsia="Calibri" w:hAnsi="Verdana" w:cs="Arial"/>
          <w:sz w:val="20"/>
          <w:szCs w:val="20"/>
          <w:lang w:val="es-ES"/>
        </w:rPr>
        <w:t xml:space="preserve"> mediante el cual se efectúa la firma del contrato y su consecuente aprobación o rechazo realizado a través del SECOP II</w:t>
      </w:r>
      <w:r w:rsidRPr="005D6AC3">
        <w:rPr>
          <w:rFonts w:ascii="Verdana" w:eastAsia="Calibri" w:hAnsi="Verdana" w:cs="Arial"/>
          <w:sz w:val="20"/>
          <w:szCs w:val="20"/>
          <w:lang w:val="es-ES"/>
        </w:rPr>
        <w:t xml:space="preserve">, tiene una connotación particular. Como se explicó, la comunicación de aceptación junto con la oferta constituye el contrato celebrado por lo que no es necesaria la aprobación del contratista en el SECOP II para que el contrato se perfeccione y exista. En este sentido, </w:t>
      </w:r>
      <w:r w:rsidRPr="005D6AC3">
        <w:rPr>
          <w:rFonts w:ascii="Verdana" w:eastAsia="Calibri" w:hAnsi="Verdana" w:cs="Arial"/>
          <w:sz w:val="20"/>
          <w:szCs w:val="20"/>
        </w:rPr>
        <w:t>la “aprobación del contrato por el proveedor” que se establece como trámite en la plataforma SECOP II, opera para efectos de publicidad, transparencia y oponibilidad frente a terceros y con el fin de avanzar en el módulo de gestión contractual que permite cumplir con los requisitos de ejecución del contrato.</w:t>
      </w:r>
    </w:p>
    <w:p w14:paraId="630AFFBD" w14:textId="77777777" w:rsidR="00C72CCA" w:rsidRDefault="00C72CCA" w:rsidP="00C72CCA">
      <w:pPr>
        <w:spacing w:after="0" w:line="240" w:lineRule="auto"/>
        <w:rPr>
          <w:rFonts w:ascii="Verdana" w:eastAsia="Geomanist Light" w:hAnsi="Verdana" w:cs="Arial"/>
          <w:color w:val="000000" w:themeColor="text1"/>
          <w:lang w:val="es-ES"/>
        </w:rPr>
      </w:pPr>
    </w:p>
    <w:p w14:paraId="1FCBBF02" w14:textId="77777777" w:rsidR="00743882" w:rsidRPr="00743882" w:rsidRDefault="00743882" w:rsidP="00964743">
      <w:pPr>
        <w:spacing w:after="0" w:line="240" w:lineRule="auto"/>
        <w:rPr>
          <w:rFonts w:ascii="Verdana" w:eastAsia="Geomanist Light" w:hAnsi="Verdana" w:cs="Arial"/>
          <w:color w:val="000000" w:themeColor="text1"/>
          <w:lang w:val="es-ES"/>
        </w:rPr>
      </w:pPr>
    </w:p>
    <w:p w14:paraId="25F90A32" w14:textId="77777777" w:rsidR="00252855" w:rsidRDefault="00252855" w:rsidP="00964743">
      <w:pPr>
        <w:spacing w:after="0" w:line="240" w:lineRule="auto"/>
        <w:rPr>
          <w:rFonts w:ascii="Verdana" w:eastAsia="Geomanist Light" w:hAnsi="Verdana" w:cs="Arial"/>
          <w:color w:val="000000" w:themeColor="text1"/>
          <w:lang w:val="es-MX"/>
        </w:rPr>
      </w:pPr>
    </w:p>
    <w:p w14:paraId="146CA397" w14:textId="77777777" w:rsidR="00252855" w:rsidRPr="00743882" w:rsidRDefault="00252855" w:rsidP="00964743">
      <w:pPr>
        <w:spacing w:after="0" w:line="240" w:lineRule="auto"/>
        <w:rPr>
          <w:rFonts w:ascii="Verdana" w:eastAsia="Geomanist Light" w:hAnsi="Verdana" w:cs="Arial"/>
          <w:color w:val="000000" w:themeColor="text1"/>
        </w:rPr>
      </w:pPr>
    </w:p>
    <w:p w14:paraId="0ED67B64" w14:textId="77777777" w:rsidR="00252855" w:rsidRDefault="00252855" w:rsidP="00964743">
      <w:pPr>
        <w:spacing w:after="0" w:line="240" w:lineRule="auto"/>
        <w:rPr>
          <w:rFonts w:ascii="Verdana" w:eastAsia="Geomanist Light" w:hAnsi="Verdana" w:cs="Arial"/>
          <w:color w:val="000000" w:themeColor="text1"/>
          <w:lang w:val="es-MX"/>
        </w:rPr>
      </w:pPr>
    </w:p>
    <w:p w14:paraId="572FD690" w14:textId="77777777" w:rsidR="00252855" w:rsidRDefault="00252855" w:rsidP="00964743">
      <w:pPr>
        <w:spacing w:after="0" w:line="240" w:lineRule="auto"/>
        <w:rPr>
          <w:rFonts w:ascii="Verdana" w:eastAsia="Geomanist Light" w:hAnsi="Verdana" w:cs="Arial"/>
          <w:color w:val="000000" w:themeColor="text1"/>
          <w:lang w:val="es-MX"/>
        </w:rPr>
      </w:pPr>
    </w:p>
    <w:p w14:paraId="051367B6" w14:textId="77777777" w:rsidR="00252855" w:rsidRDefault="00252855" w:rsidP="00964743">
      <w:pPr>
        <w:spacing w:after="0" w:line="240" w:lineRule="auto"/>
        <w:rPr>
          <w:rFonts w:ascii="Verdana" w:eastAsia="Geomanist Light" w:hAnsi="Verdana" w:cs="Arial"/>
          <w:color w:val="000000" w:themeColor="text1"/>
          <w:lang w:val="es-MX"/>
        </w:rPr>
      </w:pPr>
    </w:p>
    <w:p w14:paraId="0FA98F9C" w14:textId="77777777" w:rsidR="00252855" w:rsidRDefault="00252855" w:rsidP="00964743">
      <w:pPr>
        <w:spacing w:after="0" w:line="240" w:lineRule="auto"/>
        <w:rPr>
          <w:rFonts w:ascii="Verdana" w:eastAsia="Geomanist Light" w:hAnsi="Verdana" w:cs="Arial"/>
          <w:color w:val="000000" w:themeColor="text1"/>
          <w:lang w:val="es-MX"/>
        </w:rPr>
      </w:pPr>
    </w:p>
    <w:p w14:paraId="7F415E4F" w14:textId="77777777" w:rsidR="00252855" w:rsidRDefault="00252855" w:rsidP="00964743">
      <w:pPr>
        <w:spacing w:after="0" w:line="240" w:lineRule="auto"/>
        <w:rPr>
          <w:rFonts w:ascii="Verdana" w:eastAsia="Geomanist Light" w:hAnsi="Verdana" w:cs="Arial"/>
          <w:color w:val="000000" w:themeColor="text1"/>
          <w:lang w:val="es-MX"/>
        </w:rPr>
      </w:pPr>
    </w:p>
    <w:p w14:paraId="6F2E18A2" w14:textId="77777777" w:rsidR="00252855" w:rsidRDefault="00252855" w:rsidP="00964743">
      <w:pPr>
        <w:spacing w:after="0" w:line="240" w:lineRule="auto"/>
        <w:rPr>
          <w:rFonts w:ascii="Verdana" w:eastAsia="Geomanist Light" w:hAnsi="Verdana" w:cs="Arial"/>
          <w:color w:val="000000" w:themeColor="text1"/>
          <w:lang w:val="es-MX"/>
        </w:rPr>
      </w:pPr>
    </w:p>
    <w:p w14:paraId="36A2E0BC" w14:textId="77777777" w:rsidR="00252855" w:rsidRDefault="00252855" w:rsidP="00964743">
      <w:pPr>
        <w:spacing w:after="0" w:line="240" w:lineRule="auto"/>
        <w:rPr>
          <w:rFonts w:ascii="Verdana" w:eastAsia="Geomanist Light" w:hAnsi="Verdana" w:cs="Arial"/>
          <w:color w:val="000000" w:themeColor="text1"/>
          <w:lang w:val="es-MX"/>
        </w:rPr>
      </w:pPr>
    </w:p>
    <w:p w14:paraId="52A3DAF8" w14:textId="77777777" w:rsidR="00252855" w:rsidRDefault="00252855" w:rsidP="00964743">
      <w:pPr>
        <w:spacing w:after="0" w:line="240" w:lineRule="auto"/>
        <w:rPr>
          <w:rFonts w:ascii="Verdana" w:eastAsia="Geomanist Light" w:hAnsi="Verdana" w:cs="Arial"/>
          <w:color w:val="000000" w:themeColor="text1"/>
          <w:lang w:val="es-MX"/>
        </w:rPr>
      </w:pPr>
    </w:p>
    <w:p w14:paraId="67D65578" w14:textId="77777777" w:rsidR="00252855" w:rsidRDefault="00252855" w:rsidP="00964743">
      <w:pPr>
        <w:spacing w:after="0" w:line="240" w:lineRule="auto"/>
        <w:rPr>
          <w:rFonts w:ascii="Verdana" w:eastAsia="Geomanist Light" w:hAnsi="Verdana" w:cs="Arial"/>
          <w:color w:val="000000" w:themeColor="text1"/>
          <w:lang w:val="es-MX"/>
        </w:rPr>
      </w:pPr>
    </w:p>
    <w:p w14:paraId="3D4554F4" w14:textId="77777777" w:rsidR="00252855" w:rsidRDefault="00252855" w:rsidP="00964743">
      <w:pPr>
        <w:spacing w:after="0" w:line="240" w:lineRule="auto"/>
        <w:rPr>
          <w:rFonts w:ascii="Verdana" w:eastAsia="Geomanist Light" w:hAnsi="Verdana" w:cs="Arial"/>
          <w:color w:val="000000" w:themeColor="text1"/>
          <w:lang w:val="es-MX"/>
        </w:rPr>
      </w:pPr>
    </w:p>
    <w:p w14:paraId="49E56379" w14:textId="77777777" w:rsidR="00252855" w:rsidRDefault="00252855" w:rsidP="00964743">
      <w:pPr>
        <w:spacing w:after="0" w:line="240" w:lineRule="auto"/>
        <w:rPr>
          <w:rFonts w:ascii="Verdana" w:eastAsia="Geomanist Light" w:hAnsi="Verdana" w:cs="Arial"/>
          <w:color w:val="000000" w:themeColor="text1"/>
          <w:lang w:val="es-MX"/>
        </w:rPr>
      </w:pPr>
    </w:p>
    <w:p w14:paraId="4CA0B99B" w14:textId="77777777" w:rsidR="00252855" w:rsidRDefault="00252855" w:rsidP="00964743">
      <w:pPr>
        <w:spacing w:after="0" w:line="240" w:lineRule="auto"/>
        <w:rPr>
          <w:rFonts w:ascii="Verdana" w:eastAsia="Geomanist Light" w:hAnsi="Verdana" w:cs="Arial"/>
          <w:color w:val="000000" w:themeColor="text1"/>
          <w:lang w:val="es-MX"/>
        </w:rPr>
      </w:pPr>
    </w:p>
    <w:p w14:paraId="2D3F479B" w14:textId="77777777" w:rsidR="00252855" w:rsidRDefault="00252855" w:rsidP="00964743">
      <w:pPr>
        <w:spacing w:after="0" w:line="240" w:lineRule="auto"/>
        <w:rPr>
          <w:rFonts w:ascii="Verdana" w:eastAsia="Geomanist Light" w:hAnsi="Verdana" w:cs="Arial"/>
          <w:color w:val="000000" w:themeColor="text1"/>
          <w:lang w:val="es-MX"/>
        </w:rPr>
      </w:pPr>
    </w:p>
    <w:p w14:paraId="0493BC48" w14:textId="77777777" w:rsidR="00252855" w:rsidRDefault="00252855" w:rsidP="00964743">
      <w:pPr>
        <w:spacing w:after="0" w:line="240" w:lineRule="auto"/>
        <w:rPr>
          <w:rFonts w:ascii="Verdana" w:eastAsia="Geomanist Light" w:hAnsi="Verdana" w:cs="Arial"/>
          <w:color w:val="000000" w:themeColor="text1"/>
          <w:lang w:val="es-MX"/>
        </w:rPr>
      </w:pPr>
    </w:p>
    <w:p w14:paraId="5B2EB2BB" w14:textId="77777777" w:rsidR="00252855" w:rsidRDefault="00252855" w:rsidP="00964743">
      <w:pPr>
        <w:spacing w:after="0" w:line="240" w:lineRule="auto"/>
        <w:rPr>
          <w:rFonts w:ascii="Verdana" w:eastAsia="Geomanist Light" w:hAnsi="Verdana" w:cs="Arial"/>
          <w:color w:val="000000" w:themeColor="text1"/>
          <w:lang w:val="es-MX"/>
        </w:rPr>
      </w:pPr>
    </w:p>
    <w:p w14:paraId="6CAC5A82" w14:textId="77777777" w:rsidR="00252855" w:rsidRDefault="00252855" w:rsidP="00964743">
      <w:pPr>
        <w:spacing w:after="0" w:line="240" w:lineRule="auto"/>
        <w:rPr>
          <w:rFonts w:ascii="Verdana" w:eastAsia="Geomanist Light" w:hAnsi="Verdana" w:cs="Arial"/>
          <w:color w:val="000000" w:themeColor="text1"/>
          <w:lang w:val="es-MX"/>
        </w:rPr>
      </w:pPr>
    </w:p>
    <w:p w14:paraId="7E24BB65" w14:textId="77777777" w:rsidR="00252855" w:rsidRDefault="00252855" w:rsidP="00964743">
      <w:pPr>
        <w:spacing w:after="0" w:line="240" w:lineRule="auto"/>
        <w:rPr>
          <w:rFonts w:ascii="Verdana" w:eastAsia="Geomanist Light" w:hAnsi="Verdana" w:cs="Arial"/>
          <w:color w:val="000000" w:themeColor="text1"/>
          <w:lang w:val="es-MX"/>
        </w:rPr>
      </w:pPr>
    </w:p>
    <w:p w14:paraId="51675859" w14:textId="77777777" w:rsidR="00252855" w:rsidRDefault="00252855" w:rsidP="00964743">
      <w:pPr>
        <w:spacing w:after="0" w:line="240" w:lineRule="auto"/>
        <w:rPr>
          <w:rFonts w:ascii="Verdana" w:eastAsia="Geomanist Light" w:hAnsi="Verdana" w:cs="Arial"/>
          <w:color w:val="000000" w:themeColor="text1"/>
          <w:lang w:val="es-MX"/>
        </w:rPr>
      </w:pPr>
    </w:p>
    <w:p w14:paraId="330FA5F6" w14:textId="77777777" w:rsidR="00252855" w:rsidRDefault="00252855" w:rsidP="00964743">
      <w:pPr>
        <w:spacing w:after="0" w:line="240" w:lineRule="auto"/>
        <w:rPr>
          <w:rFonts w:ascii="Verdana" w:eastAsia="Geomanist Light" w:hAnsi="Verdana" w:cs="Arial"/>
          <w:color w:val="000000" w:themeColor="text1"/>
          <w:lang w:val="es-MX"/>
        </w:rPr>
      </w:pPr>
    </w:p>
    <w:p w14:paraId="1B9034A1" w14:textId="77777777" w:rsidR="00252855" w:rsidRDefault="00252855" w:rsidP="00964743">
      <w:pPr>
        <w:spacing w:after="0" w:line="240" w:lineRule="auto"/>
        <w:rPr>
          <w:rFonts w:ascii="Verdana" w:eastAsia="Geomanist Light" w:hAnsi="Verdana" w:cs="Arial"/>
          <w:color w:val="000000" w:themeColor="text1"/>
          <w:lang w:val="es-MX"/>
        </w:rPr>
      </w:pPr>
    </w:p>
    <w:p w14:paraId="55C64D4C" w14:textId="77777777" w:rsidR="00252855" w:rsidRDefault="00252855" w:rsidP="00964743">
      <w:pPr>
        <w:spacing w:after="0" w:line="240" w:lineRule="auto"/>
        <w:rPr>
          <w:rFonts w:ascii="Verdana" w:eastAsia="Geomanist Light" w:hAnsi="Verdana" w:cs="Arial"/>
          <w:color w:val="000000" w:themeColor="text1"/>
          <w:lang w:val="es-MX"/>
        </w:rPr>
      </w:pPr>
    </w:p>
    <w:p w14:paraId="40E1504B" w14:textId="77777777" w:rsidR="00252855" w:rsidRDefault="00252855" w:rsidP="00964743">
      <w:pPr>
        <w:spacing w:after="0" w:line="240" w:lineRule="auto"/>
        <w:rPr>
          <w:rFonts w:ascii="Verdana" w:eastAsia="Geomanist Light" w:hAnsi="Verdana" w:cs="Arial"/>
          <w:color w:val="000000" w:themeColor="text1"/>
          <w:lang w:val="es-MX"/>
        </w:rPr>
      </w:pPr>
    </w:p>
    <w:p w14:paraId="7BEAEE6D" w14:textId="77777777" w:rsidR="00252855" w:rsidRDefault="00252855" w:rsidP="00964743">
      <w:pPr>
        <w:spacing w:after="0" w:line="240" w:lineRule="auto"/>
        <w:rPr>
          <w:rFonts w:ascii="Verdana" w:eastAsia="Geomanist Light" w:hAnsi="Verdana" w:cs="Arial"/>
          <w:color w:val="000000" w:themeColor="text1"/>
          <w:lang w:val="es-MX"/>
        </w:rPr>
      </w:pPr>
    </w:p>
    <w:p w14:paraId="1AE7B3E6" w14:textId="77777777" w:rsidR="00252855" w:rsidRDefault="00252855" w:rsidP="00964743">
      <w:pPr>
        <w:spacing w:after="0" w:line="240" w:lineRule="auto"/>
        <w:rPr>
          <w:rFonts w:ascii="Verdana" w:eastAsia="Geomanist Light" w:hAnsi="Verdana" w:cs="Arial"/>
          <w:color w:val="000000" w:themeColor="text1"/>
          <w:lang w:val="es-MX"/>
        </w:rPr>
      </w:pPr>
    </w:p>
    <w:p w14:paraId="3B374574" w14:textId="77777777" w:rsidR="00252855" w:rsidRDefault="00252855" w:rsidP="00964743">
      <w:pPr>
        <w:spacing w:after="0" w:line="240" w:lineRule="auto"/>
        <w:rPr>
          <w:rFonts w:ascii="Verdana" w:eastAsia="Geomanist Light" w:hAnsi="Verdana" w:cs="Arial"/>
          <w:color w:val="000000" w:themeColor="text1"/>
          <w:lang w:val="es-MX"/>
        </w:rPr>
      </w:pPr>
    </w:p>
    <w:p w14:paraId="3849163D" w14:textId="77777777" w:rsidR="00252855" w:rsidRDefault="00252855" w:rsidP="00964743">
      <w:pPr>
        <w:spacing w:after="0" w:line="240" w:lineRule="auto"/>
        <w:rPr>
          <w:rFonts w:ascii="Verdana" w:eastAsia="Geomanist Light" w:hAnsi="Verdana" w:cs="Arial"/>
          <w:color w:val="000000" w:themeColor="text1"/>
          <w:lang w:val="es-MX"/>
        </w:rPr>
      </w:pPr>
    </w:p>
    <w:p w14:paraId="55FCB440" w14:textId="77777777" w:rsidR="007C315E" w:rsidRDefault="007C315E" w:rsidP="00964743">
      <w:pPr>
        <w:spacing w:after="0" w:line="240" w:lineRule="auto"/>
        <w:rPr>
          <w:rFonts w:ascii="Verdana" w:eastAsia="Geomanist Light" w:hAnsi="Verdana" w:cs="Arial"/>
          <w:color w:val="000000" w:themeColor="text1"/>
          <w:lang w:val="es-MX"/>
        </w:rPr>
      </w:pPr>
    </w:p>
    <w:p w14:paraId="3801D738" w14:textId="5A9BD397" w:rsidR="00C72CCA" w:rsidRPr="00115E3D" w:rsidRDefault="00C72CCA" w:rsidP="00C72CCA">
      <w:pPr>
        <w:spacing w:after="0" w:line="240" w:lineRule="auto"/>
        <w:rPr>
          <w:rFonts w:ascii="Verdana" w:eastAsia="Geomanist Light" w:hAnsi="Verdana" w:cs="Arial"/>
          <w:color w:val="000000" w:themeColor="text1"/>
          <w:lang w:val="es-MX"/>
        </w:rPr>
      </w:pPr>
      <w:r w:rsidRPr="00115E3D">
        <w:rPr>
          <w:rFonts w:ascii="Verdana" w:eastAsia="Geomanist Light" w:hAnsi="Verdana" w:cs="Arial"/>
          <w:color w:val="000000" w:themeColor="text1"/>
          <w:lang w:val="es-MX"/>
        </w:rPr>
        <w:lastRenderedPageBreak/>
        <w:t>Bogotá D.C., [Día] de [Mes.NombreCapitalizado] de [Año]</w:t>
      </w:r>
    </w:p>
    <w:p w14:paraId="39AA45DA" w14:textId="70670946" w:rsidR="00C72CCA" w:rsidRDefault="00067D8B" w:rsidP="00C72CCA">
      <w:pPr>
        <w:spacing w:after="0" w:line="240" w:lineRule="auto"/>
        <w:jc w:val="both"/>
        <w:rPr>
          <w:rFonts w:ascii="Verdana" w:eastAsia="Calibri" w:hAnsi="Verdana" w:cs="Arial"/>
          <w:color w:val="000000" w:themeColor="text1"/>
          <w:lang w:val="es-MX"/>
        </w:rPr>
      </w:pPr>
      <w:r w:rsidRPr="00C230AB">
        <w:rPr>
          <w:rFonts w:ascii="Verdana" w:eastAsia="Calibri" w:hAnsi="Verdana" w:cs="Arial"/>
          <w:noProof/>
          <w:color w:val="000000" w:themeColor="text1"/>
          <w:lang w:val="es-MX"/>
        </w:rPr>
        <w:drawing>
          <wp:anchor distT="0" distB="0" distL="114300" distR="114300" simplePos="0" relativeHeight="251658240" behindDoc="1" locked="0" layoutInCell="1" allowOverlap="1" wp14:anchorId="0CA3E4A0" wp14:editId="47DAE004">
            <wp:simplePos x="0" y="0"/>
            <wp:positionH relativeFrom="column">
              <wp:posOffset>2799046</wp:posOffset>
            </wp:positionH>
            <wp:positionV relativeFrom="paragraph">
              <wp:posOffset>104789</wp:posOffset>
            </wp:positionV>
            <wp:extent cx="3400425" cy="981075"/>
            <wp:effectExtent l="0" t="0" r="9525" b="9525"/>
            <wp:wrapTight wrapText="bothSides">
              <wp:wrapPolygon edited="0">
                <wp:start x="0" y="0"/>
                <wp:lineTo x="0" y="21390"/>
                <wp:lineTo x="21539" y="21390"/>
                <wp:lineTo x="21539" y="0"/>
                <wp:lineTo x="0" y="0"/>
              </wp:wrapPolygon>
            </wp:wrapTight>
            <wp:docPr id="206159681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596813" name="Imagen 1" descr="Texto&#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3400425" cy="981075"/>
                    </a:xfrm>
                    <a:prstGeom prst="rect">
                      <a:avLst/>
                    </a:prstGeom>
                  </pic:spPr>
                </pic:pic>
              </a:graphicData>
            </a:graphic>
          </wp:anchor>
        </w:drawing>
      </w:r>
    </w:p>
    <w:p w14:paraId="34C1E52B" w14:textId="01682129" w:rsidR="007C315E" w:rsidRDefault="007C315E" w:rsidP="00964743">
      <w:pPr>
        <w:spacing w:after="0" w:line="240" w:lineRule="auto"/>
        <w:jc w:val="both"/>
        <w:rPr>
          <w:rFonts w:ascii="Verdana" w:eastAsia="Calibri" w:hAnsi="Verdana" w:cs="Arial"/>
          <w:color w:val="000000" w:themeColor="text1"/>
          <w:lang w:val="es-MX"/>
        </w:rPr>
      </w:pPr>
    </w:p>
    <w:p w14:paraId="3CC13ED5" w14:textId="08F434DC" w:rsidR="007C315E" w:rsidRDefault="007C315E" w:rsidP="00964743">
      <w:pPr>
        <w:spacing w:after="0" w:line="240" w:lineRule="auto"/>
        <w:jc w:val="both"/>
        <w:rPr>
          <w:rFonts w:ascii="Verdana" w:eastAsia="Calibri" w:hAnsi="Verdana" w:cs="Arial"/>
          <w:color w:val="000000" w:themeColor="text1"/>
          <w:lang w:val="es-MX"/>
        </w:rPr>
      </w:pPr>
    </w:p>
    <w:p w14:paraId="3DCC0F66" w14:textId="28350FC5" w:rsidR="007C315E" w:rsidRDefault="007C315E" w:rsidP="00964743">
      <w:pPr>
        <w:spacing w:after="0" w:line="240" w:lineRule="auto"/>
        <w:jc w:val="both"/>
        <w:rPr>
          <w:rFonts w:ascii="Verdana" w:eastAsia="Calibri" w:hAnsi="Verdana" w:cs="Arial"/>
          <w:color w:val="000000" w:themeColor="text1"/>
          <w:lang w:val="es-MX"/>
        </w:rPr>
      </w:pPr>
    </w:p>
    <w:p w14:paraId="7E2E8A53" w14:textId="64561533" w:rsidR="007C315E" w:rsidRPr="007C315E" w:rsidRDefault="007C315E" w:rsidP="00964743">
      <w:pPr>
        <w:spacing w:after="0" w:line="240" w:lineRule="auto"/>
        <w:jc w:val="both"/>
        <w:rPr>
          <w:rFonts w:ascii="Verdana" w:eastAsia="Calibri" w:hAnsi="Verdana" w:cs="Arial"/>
          <w:color w:val="000000" w:themeColor="text1"/>
          <w:lang w:val="es-MX"/>
        </w:rPr>
      </w:pPr>
    </w:p>
    <w:p w14:paraId="5446931C" w14:textId="77777777" w:rsidR="00C72CCA" w:rsidRPr="00115E3D" w:rsidRDefault="00C72CCA" w:rsidP="00C72CCA">
      <w:pPr>
        <w:spacing w:after="0" w:line="240" w:lineRule="auto"/>
        <w:jc w:val="both"/>
        <w:rPr>
          <w:rFonts w:ascii="Verdana" w:eastAsia="Calibri" w:hAnsi="Verdana" w:cs="Arial"/>
          <w:color w:val="000000" w:themeColor="text1"/>
          <w:lang w:val="es-ES"/>
        </w:rPr>
      </w:pPr>
    </w:p>
    <w:p w14:paraId="32868DFC" w14:textId="77777777" w:rsidR="00C72CCA" w:rsidRPr="00115E3D" w:rsidRDefault="00C72CCA" w:rsidP="00C72CCA">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6F01DD34" w14:textId="00EE892C" w:rsidR="00C72CCA" w:rsidRPr="00115E3D" w:rsidRDefault="00C72CCA" w:rsidP="00C72CCA">
      <w:pPr>
        <w:spacing w:after="0" w:line="240" w:lineRule="auto"/>
        <w:rPr>
          <w:rFonts w:ascii="Verdana" w:eastAsia="Calibri" w:hAnsi="Verdana" w:cs="Arial"/>
          <w:b/>
          <w:bCs/>
          <w:color w:val="000000" w:themeColor="text1"/>
          <w:lang w:val="es-ES" w:eastAsia="es-ES"/>
        </w:rPr>
      </w:pPr>
      <w:proofErr w:type="spellStart"/>
      <w:r w:rsidRPr="43DC47ED">
        <w:rPr>
          <w:rFonts w:ascii="Verdana" w:eastAsia="Calibri" w:hAnsi="Verdana" w:cs="Arial"/>
          <w:b/>
          <w:bCs/>
          <w:color w:val="000000" w:themeColor="text1"/>
          <w:lang w:val="es-ES" w:eastAsia="es-ES"/>
        </w:rPr>
        <w:t>Jadel</w:t>
      </w:r>
      <w:proofErr w:type="spellEnd"/>
      <w:r w:rsidRPr="43DC47ED">
        <w:rPr>
          <w:rFonts w:ascii="Verdana" w:eastAsia="Calibri" w:hAnsi="Verdana" w:cs="Arial"/>
          <w:b/>
          <w:bCs/>
          <w:color w:val="000000" w:themeColor="text1"/>
          <w:lang w:val="es-ES" w:eastAsia="es-ES"/>
        </w:rPr>
        <w:t xml:space="preserve"> Fuentes</w:t>
      </w:r>
    </w:p>
    <w:p w14:paraId="358FF9DE" w14:textId="5D13E196" w:rsidR="00C72CCA" w:rsidRPr="008D5A76" w:rsidRDefault="00C72CCA" w:rsidP="00C72CCA">
      <w:pPr>
        <w:spacing w:after="0" w:line="240" w:lineRule="auto"/>
        <w:rPr>
          <w:rFonts w:ascii="Verdana" w:eastAsia="Calibri" w:hAnsi="Verdana" w:cs="Arial"/>
          <w:color w:val="000000" w:themeColor="text1"/>
          <w:u w:val="single"/>
          <w:lang w:eastAsia="es-ES"/>
        </w:rPr>
      </w:pPr>
      <w:hyperlink r:id="rId9" w:history="1">
        <w:r w:rsidRPr="00675FD5">
          <w:rPr>
            <w:rStyle w:val="Hipervnculo"/>
            <w:rFonts w:ascii="Verdana" w:eastAsia="Calibri" w:hAnsi="Verdana" w:cs="Arial"/>
            <w:lang w:eastAsia="es-ES"/>
          </w:rPr>
          <w:t>jadelfuentes@gmail.com</w:t>
        </w:r>
      </w:hyperlink>
      <w:r>
        <w:rPr>
          <w:rFonts w:ascii="Verdana" w:eastAsia="Calibri" w:hAnsi="Verdana" w:cs="Arial"/>
          <w:color w:val="000000" w:themeColor="text1"/>
          <w:u w:val="single"/>
          <w:lang w:eastAsia="es-ES"/>
        </w:rPr>
        <w:t xml:space="preserve"> </w:t>
      </w:r>
    </w:p>
    <w:p w14:paraId="49B88874" w14:textId="686E708B" w:rsidR="00C72CCA" w:rsidRPr="00964743" w:rsidRDefault="00C72CCA" w:rsidP="00C72CCA">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Altos Del Rosario, Bolívar</w:t>
      </w:r>
    </w:p>
    <w:p w14:paraId="747025DA" w14:textId="77777777" w:rsidR="00C72CCA" w:rsidRPr="00964743" w:rsidRDefault="00C72CCA" w:rsidP="00C72CCA">
      <w:pPr>
        <w:spacing w:after="0" w:line="240" w:lineRule="auto"/>
        <w:rPr>
          <w:rFonts w:ascii="Verdana" w:eastAsia="Calibri" w:hAnsi="Verdana" w:cs="Arial"/>
          <w:b/>
          <w:bCs/>
          <w:color w:val="000000" w:themeColor="text1"/>
          <w:lang w:eastAsia="es-ES_tradnl"/>
        </w:rPr>
      </w:pPr>
    </w:p>
    <w:p w14:paraId="0D6922FF" w14:textId="77777777" w:rsidR="00C72CCA" w:rsidRPr="00964743" w:rsidRDefault="00C72CCA" w:rsidP="00C72CCA">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72CCA" w:rsidRPr="00115E3D" w14:paraId="77FE7553" w14:textId="77777777" w:rsidTr="00C72CCA">
        <w:trPr>
          <w:trHeight w:val="884"/>
        </w:trPr>
        <w:tc>
          <w:tcPr>
            <w:tcW w:w="2689" w:type="dxa"/>
          </w:tcPr>
          <w:p w14:paraId="15703B6C" w14:textId="77777777" w:rsidR="00C72CCA" w:rsidRPr="00964743" w:rsidRDefault="00C72CCA" w:rsidP="00C72CCA">
            <w:pPr>
              <w:jc w:val="both"/>
              <w:rPr>
                <w:rFonts w:ascii="Verdana" w:eastAsia="Calibri" w:hAnsi="Verdana" w:cs="Arial"/>
                <w:b/>
                <w:bCs/>
                <w:color w:val="000000" w:themeColor="text1"/>
                <w:lang w:eastAsia="es-ES_tradnl"/>
              </w:rPr>
            </w:pPr>
          </w:p>
        </w:tc>
        <w:tc>
          <w:tcPr>
            <w:tcW w:w="6100" w:type="dxa"/>
          </w:tcPr>
          <w:p w14:paraId="0DA46D36" w14:textId="0C07FB0F" w:rsidR="00C72CCA" w:rsidRPr="00115E3D" w:rsidRDefault="00C72CCA" w:rsidP="00C72CCA">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246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5</w:t>
            </w:r>
          </w:p>
        </w:tc>
      </w:tr>
      <w:tr w:rsidR="00C72CCA" w:rsidRPr="00115E3D" w14:paraId="34CE0D08" w14:textId="77777777" w:rsidTr="00C72CCA">
        <w:trPr>
          <w:trHeight w:val="884"/>
        </w:trPr>
        <w:tc>
          <w:tcPr>
            <w:tcW w:w="2689" w:type="dxa"/>
          </w:tcPr>
          <w:p w14:paraId="77E7E0A4" w14:textId="77777777" w:rsidR="00C72CCA" w:rsidRPr="00115E3D" w:rsidRDefault="00C72CCA" w:rsidP="00C72CCA">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100" w:type="dxa"/>
          </w:tcPr>
          <w:p w14:paraId="15DA2981" w14:textId="09B20F4B" w:rsidR="00C72CCA" w:rsidRPr="0049607E" w:rsidRDefault="00C72CCA" w:rsidP="00C72CCA">
            <w:pPr>
              <w:jc w:val="both"/>
              <w:rPr>
                <w:rFonts w:ascii="Verdana" w:eastAsia="Calibri" w:hAnsi="Verdana" w:cs="Arial"/>
                <w:bCs/>
                <w:lang w:val="es-MX"/>
              </w:rPr>
            </w:pPr>
            <w:r w:rsidRPr="000E46C3">
              <w:rPr>
                <w:rFonts w:ascii="Verdana" w:eastAsia="Calibri" w:hAnsi="Verdana" w:cs="Arial"/>
                <w:bCs/>
                <w:lang w:val="es-MX"/>
              </w:rPr>
              <w:t xml:space="preserve">MÍNIMA CUANTÍA – Generalidades – Ley 1150 de 2007 / MÍNIMA CUANTÍA – Normas reglamentarias – Decreto 1082 de 2015 – Procedimiento / ACEPTACIÓN DE LA OFERTA – Perfeccionamiento del contrato / SECOP II –Aprobación – Alcance </w:t>
            </w:r>
          </w:p>
          <w:p w14:paraId="02AFFEC9" w14:textId="3AC9384E" w:rsidR="00C72CCA" w:rsidRPr="0049607E" w:rsidRDefault="00C72CCA" w:rsidP="00C72CCA">
            <w:pPr>
              <w:spacing w:line="276" w:lineRule="auto"/>
              <w:jc w:val="both"/>
              <w:rPr>
                <w:rFonts w:ascii="Verdana" w:eastAsia="Calibri" w:hAnsi="Verdana" w:cs="Arial"/>
                <w:color w:val="000000" w:themeColor="text1"/>
                <w:lang w:val="es-MX" w:eastAsia="es-ES"/>
              </w:rPr>
            </w:pPr>
          </w:p>
        </w:tc>
      </w:tr>
      <w:tr w:rsidR="00C72CCA" w:rsidRPr="00115E3D" w14:paraId="10DA775C" w14:textId="77777777" w:rsidTr="00C72CCA">
        <w:tc>
          <w:tcPr>
            <w:tcW w:w="2689" w:type="dxa"/>
          </w:tcPr>
          <w:p w14:paraId="5FD6C599" w14:textId="77777777" w:rsidR="00C72CCA" w:rsidRPr="00115E3D" w:rsidRDefault="00C72CCA" w:rsidP="00C72CCA">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4D675952" w14:textId="1F03D83F" w:rsidR="00C72CCA" w:rsidRPr="00115E3D" w:rsidRDefault="00C72CCA" w:rsidP="00C72CCA">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 xml:space="preserve">Respuesta a consulta con radicado No. </w:t>
            </w:r>
            <w:r w:rsidRPr="00964743">
              <w:rPr>
                <w:rFonts w:ascii="Verdana" w:eastAsia="Calibri" w:hAnsi="Verdana" w:cs="Arial"/>
                <w:color w:val="000000" w:themeColor="text1"/>
                <w:lang w:eastAsia="es-ES_tradnl"/>
              </w:rPr>
              <w:t>P20250226001884</w:t>
            </w:r>
            <w:r>
              <w:rPr>
                <w:rFonts w:ascii="Verdana" w:eastAsia="Calibri" w:hAnsi="Verdana" w:cs="Arial"/>
                <w:color w:val="000000" w:themeColor="text1"/>
                <w:lang w:eastAsia="es-ES_tradnl"/>
              </w:rPr>
              <w:t xml:space="preserve"> </w:t>
            </w:r>
          </w:p>
        </w:tc>
      </w:tr>
    </w:tbl>
    <w:p w14:paraId="2821AC5C" w14:textId="77777777" w:rsidR="00C72CCA" w:rsidRPr="00115E3D" w:rsidRDefault="00C72CCA" w:rsidP="00C72CCA">
      <w:pPr>
        <w:spacing w:after="0" w:line="240" w:lineRule="auto"/>
        <w:jc w:val="both"/>
        <w:rPr>
          <w:rFonts w:ascii="Verdana" w:eastAsia="Calibri" w:hAnsi="Verdana" w:cs="Arial"/>
          <w:color w:val="000000" w:themeColor="text1"/>
          <w:lang w:val="es-ES_tradnl" w:eastAsia="es-ES_tradnl"/>
        </w:rPr>
      </w:pPr>
    </w:p>
    <w:p w14:paraId="2EDE1825" w14:textId="77777777" w:rsidR="00C72CCA" w:rsidRPr="00115E3D" w:rsidRDefault="00C72CCA" w:rsidP="00C72CCA">
      <w:pPr>
        <w:spacing w:after="0" w:line="240" w:lineRule="auto"/>
        <w:jc w:val="both"/>
        <w:rPr>
          <w:rFonts w:ascii="Verdana" w:eastAsia="Calibri" w:hAnsi="Verdana" w:cs="Arial"/>
          <w:color w:val="000000" w:themeColor="text1"/>
          <w:lang w:val="es-ES_tradnl" w:eastAsia="es-ES_tradnl"/>
        </w:rPr>
      </w:pPr>
    </w:p>
    <w:p w14:paraId="19510B4D" w14:textId="0D24C8FD" w:rsidR="00C72CCA" w:rsidRPr="00115E3D" w:rsidRDefault="00C72CCA" w:rsidP="00C72CCA">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 xml:space="preserve"> Fuentes</w:t>
      </w:r>
      <w:r w:rsidRPr="00115E3D">
        <w:rPr>
          <w:rFonts w:ascii="Verdana" w:eastAsia="Calibri" w:hAnsi="Verdana" w:cs="Arial"/>
          <w:color w:val="000000" w:themeColor="text1"/>
          <w:lang w:val="es-ES" w:eastAsia="es-ES"/>
        </w:rPr>
        <w:t xml:space="preserve">: </w:t>
      </w:r>
    </w:p>
    <w:p w14:paraId="552B43DE" w14:textId="77777777" w:rsidR="00C72CCA" w:rsidRPr="00115E3D" w:rsidRDefault="00C72CCA" w:rsidP="00C72CCA">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77D76CA5" w14:textId="3CD5A01B" w:rsidR="00C72CCA" w:rsidRPr="00115E3D" w:rsidRDefault="00C72CCA" w:rsidP="00C72CCA">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26</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febrero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25</w:t>
      </w:r>
      <w:r w:rsidRPr="00115E3D">
        <w:rPr>
          <w:rFonts w:ascii="Verdana" w:eastAsia="Calibri" w:hAnsi="Verdana" w:cs="Arial"/>
          <w:color w:val="000000" w:themeColor="text1"/>
          <w:lang w:val="es-ES" w:eastAsia="es-ES"/>
        </w:rPr>
        <w:t xml:space="preserve">, en la cual manifiesta lo siguiente: </w:t>
      </w:r>
    </w:p>
    <w:p w14:paraId="1E6FDD58" w14:textId="77777777" w:rsidR="00C72CCA" w:rsidRPr="00115E3D" w:rsidRDefault="00C72CCA" w:rsidP="00C72CCA">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42EEAEC4" w14:textId="39184E47" w:rsidR="00C72CCA" w:rsidRDefault="00C72CCA" w:rsidP="00C72CCA">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r w:rsidRPr="00141269">
        <w:rPr>
          <w:rFonts w:ascii="Verdana" w:eastAsia="Century Gothic" w:hAnsi="Verdana" w:cs="Century Gothic"/>
          <w:i/>
          <w:iCs/>
          <w:color w:val="000000" w:themeColor="text1"/>
          <w:sz w:val="20"/>
          <w:szCs w:val="20"/>
          <w:lang w:val="es-ES"/>
        </w:rPr>
        <w:t>“</w:t>
      </w:r>
      <w:bookmarkEnd w:id="0"/>
      <w:r w:rsidRPr="00964743">
        <w:rPr>
          <w:rFonts w:ascii="Verdana" w:eastAsia="Century Gothic" w:hAnsi="Verdana" w:cs="Century Gothic"/>
          <w:i/>
          <w:iCs/>
          <w:color w:val="000000" w:themeColor="text1"/>
          <w:sz w:val="20"/>
          <w:szCs w:val="20"/>
        </w:rPr>
        <w:t xml:space="preserve">solicito su concepto </w:t>
      </w:r>
      <w:proofErr w:type="spellStart"/>
      <w:r w:rsidRPr="00964743">
        <w:rPr>
          <w:rFonts w:ascii="Verdana" w:eastAsia="Century Gothic" w:hAnsi="Verdana" w:cs="Century Gothic"/>
          <w:i/>
          <w:iCs/>
          <w:color w:val="000000" w:themeColor="text1"/>
          <w:sz w:val="20"/>
          <w:szCs w:val="20"/>
        </w:rPr>
        <w:t>juridico</w:t>
      </w:r>
      <w:proofErr w:type="spellEnd"/>
      <w:r w:rsidRPr="00964743">
        <w:rPr>
          <w:rFonts w:ascii="Verdana" w:eastAsia="Century Gothic" w:hAnsi="Verdana" w:cs="Century Gothic"/>
          <w:i/>
          <w:iCs/>
          <w:color w:val="000000" w:themeColor="text1"/>
          <w:sz w:val="20"/>
          <w:szCs w:val="20"/>
        </w:rPr>
        <w:t xml:space="preserve"> frente al siguiente interrogante. ¿la </w:t>
      </w:r>
      <w:proofErr w:type="spellStart"/>
      <w:r w:rsidRPr="00964743">
        <w:rPr>
          <w:rFonts w:ascii="Verdana" w:eastAsia="Century Gothic" w:hAnsi="Verdana" w:cs="Century Gothic"/>
          <w:i/>
          <w:iCs/>
          <w:color w:val="000000" w:themeColor="text1"/>
          <w:sz w:val="20"/>
          <w:szCs w:val="20"/>
        </w:rPr>
        <w:t>invitacion</w:t>
      </w:r>
      <w:proofErr w:type="spellEnd"/>
      <w:r w:rsidRPr="00964743">
        <w:rPr>
          <w:rFonts w:ascii="Verdana" w:eastAsia="Century Gothic" w:hAnsi="Verdana" w:cs="Century Gothic"/>
          <w:i/>
          <w:iCs/>
          <w:color w:val="000000" w:themeColor="text1"/>
          <w:sz w:val="20"/>
          <w:szCs w:val="20"/>
        </w:rPr>
        <w:t xml:space="preserve"> publica para participar en un proceso de </w:t>
      </w:r>
      <w:proofErr w:type="spellStart"/>
      <w:r w:rsidRPr="00964743">
        <w:rPr>
          <w:rFonts w:ascii="Verdana" w:eastAsia="Century Gothic" w:hAnsi="Verdana" w:cs="Century Gothic"/>
          <w:i/>
          <w:iCs/>
          <w:color w:val="000000" w:themeColor="text1"/>
          <w:sz w:val="20"/>
          <w:szCs w:val="20"/>
        </w:rPr>
        <w:t>minima</w:t>
      </w:r>
      <w:proofErr w:type="spellEnd"/>
      <w:r w:rsidRPr="00964743">
        <w:rPr>
          <w:rFonts w:ascii="Verdana" w:eastAsia="Century Gothic" w:hAnsi="Verdana" w:cs="Century Gothic"/>
          <w:i/>
          <w:iCs/>
          <w:color w:val="000000" w:themeColor="text1"/>
          <w:sz w:val="20"/>
          <w:szCs w:val="20"/>
        </w:rPr>
        <w:t xml:space="preserve"> </w:t>
      </w:r>
      <w:proofErr w:type="spellStart"/>
      <w:r w:rsidRPr="00964743">
        <w:rPr>
          <w:rFonts w:ascii="Verdana" w:eastAsia="Century Gothic" w:hAnsi="Verdana" w:cs="Century Gothic"/>
          <w:i/>
          <w:iCs/>
          <w:color w:val="000000" w:themeColor="text1"/>
          <w:sz w:val="20"/>
          <w:szCs w:val="20"/>
        </w:rPr>
        <w:t>cuantia</w:t>
      </w:r>
      <w:proofErr w:type="spellEnd"/>
      <w:r w:rsidRPr="00964743">
        <w:rPr>
          <w:rFonts w:ascii="Verdana" w:eastAsia="Century Gothic" w:hAnsi="Verdana" w:cs="Century Gothic"/>
          <w:i/>
          <w:iCs/>
          <w:color w:val="000000" w:themeColor="text1"/>
          <w:sz w:val="20"/>
          <w:szCs w:val="20"/>
        </w:rPr>
        <w:t>, debe ser elaborado por quien elabora los estudios previos o por el alcalde municipal?</w:t>
      </w:r>
      <w:proofErr w:type="gramStart"/>
      <w:r w:rsidRPr="00141269">
        <w:rPr>
          <w:rFonts w:ascii="Verdana" w:eastAsia="Century Gothic" w:hAnsi="Verdana" w:cs="Century Gothic"/>
          <w:i/>
          <w:iCs/>
          <w:color w:val="000000" w:themeColor="text1"/>
          <w:sz w:val="20"/>
          <w:szCs w:val="20"/>
          <w:lang w:val="es-ES"/>
        </w:rPr>
        <w:t>.”</w:t>
      </w:r>
      <w:r>
        <w:rPr>
          <w:rFonts w:ascii="Verdana" w:eastAsia="Century Gothic" w:hAnsi="Verdana" w:cs="Century Gothic"/>
          <w:i/>
          <w:iCs/>
          <w:color w:val="000000" w:themeColor="text1"/>
          <w:sz w:val="20"/>
          <w:szCs w:val="20"/>
          <w:lang w:val="es-ES"/>
        </w:rPr>
        <w:t>(</w:t>
      </w:r>
      <w:proofErr w:type="gramEnd"/>
      <w:r>
        <w:rPr>
          <w:rFonts w:ascii="Verdana" w:eastAsia="Century Gothic" w:hAnsi="Verdana" w:cs="Century Gothic"/>
          <w:i/>
          <w:iCs/>
          <w:color w:val="000000" w:themeColor="text1"/>
          <w:sz w:val="20"/>
          <w:szCs w:val="20"/>
          <w:lang w:val="es-ES"/>
        </w:rPr>
        <w:t xml:space="preserve">SIC) </w:t>
      </w:r>
    </w:p>
    <w:p w14:paraId="67AA36BA" w14:textId="77777777" w:rsidR="00C72CCA" w:rsidRPr="00964743" w:rsidRDefault="00C72CCA" w:rsidP="00C72CCA">
      <w:pPr>
        <w:spacing w:after="0" w:line="240" w:lineRule="auto"/>
        <w:ind w:left="709" w:right="709"/>
        <w:jc w:val="both"/>
        <w:rPr>
          <w:rFonts w:ascii="Verdana" w:eastAsia="Century Gothic" w:hAnsi="Verdana" w:cs="Century Gothic"/>
          <w:i/>
          <w:iCs/>
          <w:color w:val="000000" w:themeColor="text1"/>
          <w:sz w:val="20"/>
          <w:szCs w:val="20"/>
          <w:lang w:val="es-ES"/>
        </w:rPr>
      </w:pPr>
    </w:p>
    <w:p w14:paraId="59B37F3A" w14:textId="77777777" w:rsidR="00C72CCA" w:rsidRPr="00115E3D" w:rsidRDefault="00C72CCA" w:rsidP="00C72CCA">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5624AEBC" w14:textId="77777777" w:rsidR="00C72CCA" w:rsidRPr="00115E3D" w:rsidRDefault="00C72CCA" w:rsidP="00C72CCA">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585033E5" w14:textId="77777777" w:rsidR="00C72CCA" w:rsidRPr="00115E3D" w:rsidRDefault="00C72CCA" w:rsidP="00C72CCA">
      <w:pPr>
        <w:spacing w:after="0" w:line="276" w:lineRule="auto"/>
        <w:ind w:firstLine="709"/>
        <w:jc w:val="both"/>
        <w:rPr>
          <w:rFonts w:ascii="Verdana" w:eastAsia="Calibri" w:hAnsi="Verdana" w:cs="Arial"/>
          <w:color w:val="000000" w:themeColor="text1"/>
          <w:lang w:val="es-ES" w:eastAsia="es-ES"/>
        </w:rPr>
      </w:pPr>
    </w:p>
    <w:p w14:paraId="17E3AA9E" w14:textId="77777777" w:rsidR="00C72CCA" w:rsidRPr="00115E3D" w:rsidRDefault="00C72CCA" w:rsidP="00C72CCA">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4151B62" w14:textId="77777777" w:rsidR="00C72CCA" w:rsidRPr="00115E3D" w:rsidRDefault="00C72CCA" w:rsidP="00C72CCA">
      <w:pPr>
        <w:tabs>
          <w:tab w:val="left" w:pos="426"/>
        </w:tabs>
        <w:spacing w:after="0" w:line="276" w:lineRule="auto"/>
        <w:jc w:val="both"/>
        <w:rPr>
          <w:rFonts w:ascii="Verdana" w:eastAsia="Century Gothic" w:hAnsi="Verdana" w:cs="Century Gothic"/>
          <w:color w:val="000000" w:themeColor="text1"/>
          <w:lang w:val="es-ES"/>
        </w:rPr>
      </w:pPr>
    </w:p>
    <w:p w14:paraId="08C849FC" w14:textId="32E49BC8" w:rsidR="00C72CCA" w:rsidRPr="00115E3D" w:rsidRDefault="00C72CCA" w:rsidP="00C72CCA">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De acuerdo con el contenido de su solicitud, esta Agencia resolverá el siguiente problema</w:t>
      </w:r>
      <w:r>
        <w:rPr>
          <w:rFonts w:ascii="Verdana" w:eastAsia="Century Gothic" w:hAnsi="Verdana" w:cs="Century Gothic"/>
          <w:color w:val="000000" w:themeColor="text1"/>
        </w:rPr>
        <w:t xml:space="preserve"> </w:t>
      </w:r>
      <w:r w:rsidRPr="00115E3D">
        <w:rPr>
          <w:rFonts w:ascii="Verdana" w:eastAsia="Century Gothic" w:hAnsi="Verdana" w:cs="Century Gothic"/>
          <w:color w:val="000000" w:themeColor="text1"/>
        </w:rPr>
        <w:t xml:space="preserve">jurídico: </w:t>
      </w:r>
      <w:r>
        <w:rPr>
          <w:rFonts w:ascii="Verdana" w:eastAsia="Century Gothic" w:hAnsi="Verdana" w:cs="Century Gothic"/>
          <w:color w:val="000000" w:themeColor="text1"/>
        </w:rPr>
        <w:t>i) ¿</w:t>
      </w:r>
      <w:r w:rsidRPr="00260DD0">
        <w:rPr>
          <w:rFonts w:ascii="Verdana" w:eastAsia="Century Gothic" w:hAnsi="Verdana" w:cs="Century Gothic"/>
          <w:color w:val="000000" w:themeColor="text1"/>
        </w:rPr>
        <w:t>La elaboración y firma de la invitación pública en un proceso de mínima cuantía debe ser realizada exclusivamente por la misma persona o dependencia que elaboró los estudios previos, o puede ser suscrita por el ordenador del gasto o su delegado conforme al reglamento interno de la entidad?</w:t>
      </w:r>
    </w:p>
    <w:p w14:paraId="06CAF1B0" w14:textId="77777777" w:rsidR="00C72CCA" w:rsidRPr="00115E3D" w:rsidRDefault="00C72CCA" w:rsidP="00C72CCA">
      <w:pPr>
        <w:spacing w:after="0" w:line="276" w:lineRule="auto"/>
        <w:jc w:val="both"/>
        <w:rPr>
          <w:rFonts w:ascii="Verdana" w:eastAsia="Calibri" w:hAnsi="Verdana" w:cs="Arial"/>
          <w:color w:val="000000" w:themeColor="text1"/>
          <w:lang w:val="es-ES"/>
        </w:rPr>
      </w:pPr>
    </w:p>
    <w:p w14:paraId="32A695B3" w14:textId="77777777" w:rsidR="00C72CCA" w:rsidRPr="00115E3D" w:rsidRDefault="00C72CCA" w:rsidP="00C72CC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3BC9C6AD" w14:textId="77777777" w:rsidR="00C72CCA" w:rsidRPr="00115E3D" w:rsidRDefault="00C72CCA" w:rsidP="00C72CC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72CCA" w:rsidRPr="00115E3D" w14:paraId="587E60AC" w14:textId="77777777" w:rsidTr="00C72CCA">
        <w:tc>
          <w:tcPr>
            <w:tcW w:w="8828" w:type="dxa"/>
            <w:shd w:val="clear" w:color="auto" w:fill="auto"/>
          </w:tcPr>
          <w:p w14:paraId="46D79BBC" w14:textId="2618A7C9" w:rsidR="00C72CCA" w:rsidRPr="00115E3D" w:rsidRDefault="00C72CCA" w:rsidP="00C72CCA">
            <w:pPr>
              <w:spacing w:line="276" w:lineRule="auto"/>
              <w:jc w:val="both"/>
              <w:rPr>
                <w:rFonts w:ascii="Verdana" w:eastAsia="Calibri" w:hAnsi="Verdana" w:cs="Arial"/>
                <w:color w:val="000000" w:themeColor="text1"/>
                <w:lang w:val="es-ES"/>
              </w:rPr>
            </w:pPr>
            <w:r w:rsidRPr="002126F0">
              <w:rPr>
                <w:rFonts w:ascii="Verdana" w:eastAsia="Calibri" w:hAnsi="Verdana" w:cs="Arial"/>
                <w:color w:val="000000" w:themeColor="text1"/>
              </w:rPr>
              <w:t xml:space="preserve">La invitación pública en un proceso de mínima cuantía no necesariamente debe ser elaborada y firmada por la misma persona o dependencia que realizó los estudios previos, ya que la normativa aplicable no impone tal exigencia. De acuerdo con el artículo 2.2.1.2.1.5.1 del Decreto 1082 de 2015 (modificado por el Decreto 1860 de 2021), los estudios previos deben ser elaborados por </w:t>
            </w:r>
            <w:r w:rsidRPr="002126F0">
              <w:rPr>
                <w:rFonts w:ascii="Verdana" w:eastAsia="Calibri" w:hAnsi="Verdana" w:cs="Arial"/>
                <w:color w:val="000000" w:themeColor="text1"/>
              </w:rPr>
              <w:lastRenderedPageBreak/>
              <w:t>la dependencia técnica o el área encargada del proceso dentro de la entidad, quienes definen la necesidad del contrato, su objeto, condiciones técnicas, valor estimado, entre otros aspectos. Sin embargo, la suscripción de la invitación pública, regulada en el artículo 2.2.1.2.1.5.2 del mismo decreto, puede estar a cargo del ordenador del gasto o su delegado, conforme al reglamento interno de la entidad. Esta flexibilidad responde al principio de autonomía administrativa, permitiendo que cada entidad establezca en sus manuales de contratación quién tiene la competencia para suscribir la invitación. Por lo tanto, siempre que la delegación esté debidamente establecida en la normativa interna de la entidad, no hay impedimento para que el ordenador del gasto o su delegado sea quien firme la invitación, garantizando así el cumplimiento de los principios de legalidad y eficiencia en la contratación pública.</w:t>
            </w:r>
            <w:r>
              <w:rPr>
                <w:rFonts w:ascii="Verdana" w:eastAsia="Calibri" w:hAnsi="Verdana" w:cs="Arial"/>
                <w:color w:val="000000" w:themeColor="text1"/>
              </w:rPr>
              <w:t xml:space="preserve"> </w:t>
            </w:r>
          </w:p>
        </w:tc>
      </w:tr>
    </w:tbl>
    <w:p w14:paraId="034F9D79" w14:textId="77777777" w:rsidR="00C72CCA" w:rsidRPr="00115E3D" w:rsidRDefault="00C72CCA" w:rsidP="00C72CCA">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058EF85" w14:textId="77777777" w:rsidR="00C72CCA" w:rsidRPr="00115E3D" w:rsidRDefault="00C72CCA" w:rsidP="00C72CC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0EE97C84" w14:textId="77777777" w:rsidR="00C72CCA" w:rsidRPr="00115E3D" w:rsidRDefault="00C72CCA" w:rsidP="00C72CCA">
      <w:pPr>
        <w:spacing w:after="0" w:line="276" w:lineRule="auto"/>
        <w:jc w:val="both"/>
        <w:rPr>
          <w:rFonts w:ascii="Verdana" w:eastAsia="Calibri" w:hAnsi="Verdana" w:cs="Arial"/>
          <w:color w:val="000000" w:themeColor="text1"/>
          <w:lang w:val="es-ES"/>
        </w:rPr>
      </w:pPr>
    </w:p>
    <w:p w14:paraId="2E5A8B1A" w14:textId="77777777" w:rsidR="00C72CCA" w:rsidRPr="00115E3D" w:rsidRDefault="00C72CCA" w:rsidP="00C72CCA">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6297324B" w14:textId="77777777" w:rsidR="00C72CCA" w:rsidRPr="00115E3D" w:rsidRDefault="00C72CCA" w:rsidP="00C72CCA">
      <w:pPr>
        <w:spacing w:after="0" w:line="276" w:lineRule="auto"/>
        <w:jc w:val="both"/>
        <w:rPr>
          <w:rFonts w:ascii="Verdana" w:eastAsia="Calibri" w:hAnsi="Verdana" w:cs="Arial"/>
          <w:color w:val="000000" w:themeColor="text1"/>
          <w:lang w:val="es-ES"/>
        </w:rPr>
      </w:pPr>
    </w:p>
    <w:p w14:paraId="4CCE8FEE" w14:textId="1066D208" w:rsidR="00C72CCA" w:rsidRPr="00EE0353" w:rsidRDefault="00C72CCA" w:rsidP="00C72CCA">
      <w:pPr>
        <w:spacing w:after="120" w:line="276" w:lineRule="auto"/>
        <w:jc w:val="both"/>
        <w:rPr>
          <w:rFonts w:ascii="Verdana" w:eastAsia="Calibri" w:hAnsi="Verdana" w:cs="Arial"/>
          <w:lang w:val="es-ES_tradnl"/>
        </w:rPr>
      </w:pPr>
      <w:bookmarkStart w:id="1" w:name="_Hlk100131579"/>
      <w:r w:rsidRPr="00EE0353">
        <w:rPr>
          <w:rFonts w:ascii="Verdana" w:eastAsia="Calibri" w:hAnsi="Verdana" w:cs="Arial"/>
          <w:lang w:val="es-ES_tradnl"/>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r w:rsidRPr="00EE0353">
        <w:rPr>
          <w:rFonts w:ascii="Verdana" w:eastAsia="Calibri" w:hAnsi="Verdana" w:cs="Arial"/>
          <w:vertAlign w:val="superscript"/>
          <w:lang w:val="es-ES_tradnl"/>
        </w:rPr>
        <w:footnoteReference w:id="2"/>
      </w:r>
      <w:r w:rsidRPr="00EE0353">
        <w:rPr>
          <w:rFonts w:ascii="Verdana" w:eastAsia="Calibri" w:hAnsi="Verdana" w:cs="Arial"/>
          <w:lang w:val="es-ES_tradnl"/>
        </w:rPr>
        <w:t>.</w:t>
      </w:r>
    </w:p>
    <w:bookmarkEnd w:id="1"/>
    <w:p w14:paraId="2B7471D5" w14:textId="77777777" w:rsidR="00C72CCA" w:rsidRPr="00EE0353" w:rsidRDefault="00C72CCA" w:rsidP="00C72CCA">
      <w:pPr>
        <w:tabs>
          <w:tab w:val="left" w:pos="709"/>
        </w:tabs>
        <w:spacing w:after="120" w:line="276" w:lineRule="auto"/>
        <w:ind w:firstLine="709"/>
        <w:jc w:val="both"/>
        <w:rPr>
          <w:rFonts w:ascii="Verdana" w:eastAsia="Calibri" w:hAnsi="Verdana" w:cs="Arial"/>
          <w:lang w:val="es-ES_tradnl"/>
        </w:rPr>
      </w:pPr>
      <w:r w:rsidRPr="00EE0353">
        <w:rPr>
          <w:rFonts w:ascii="Verdana" w:eastAsia="Calibri" w:hAnsi="Verdana" w:cs="Arial"/>
          <w:lang w:val="es-ES_tradnl"/>
        </w:rPr>
        <w:t>Dicho de otro modo, la mínima cuantía es un procedimiento de selección “especial”</w:t>
      </w:r>
      <w:r w:rsidRPr="00EE0353">
        <w:rPr>
          <w:rFonts w:ascii="Verdana" w:eastAsia="Calibri" w:hAnsi="Verdana" w:cs="Arial"/>
          <w:vertAlign w:val="superscript"/>
          <w:lang w:val="es-ES_tradnl"/>
        </w:rPr>
        <w:footnoteReference w:id="3"/>
      </w:r>
      <w:r w:rsidRPr="00EE0353">
        <w:rPr>
          <w:rFonts w:ascii="Verdana" w:eastAsia="Calibri" w:hAnsi="Verdana" w:cs="Arial"/>
          <w:lang w:val="es-ES_tradnl"/>
        </w:rPr>
        <w:t xml:space="preserve">,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w:t>
      </w:r>
      <w:r w:rsidRPr="00EE0353">
        <w:rPr>
          <w:rFonts w:ascii="Verdana" w:eastAsia="Calibri" w:hAnsi="Verdana" w:cs="Arial"/>
          <w:lang w:val="es-ES_tradnl"/>
        </w:rPr>
        <w:lastRenderedPageBreak/>
        <w:t>conducencia y su procedimiento: lo primero, porque solo procede por razón de una cuantía específica</w:t>
      </w:r>
      <w:r w:rsidRPr="00EE0353">
        <w:rPr>
          <w:rFonts w:ascii="Verdana" w:eastAsia="Calibri" w:hAnsi="Verdana" w:cs="Arial"/>
          <w:vertAlign w:val="superscript"/>
          <w:lang w:val="es-ES_tradnl"/>
        </w:rPr>
        <w:footnoteReference w:id="4"/>
      </w:r>
      <w:r w:rsidRPr="00EE0353">
        <w:rPr>
          <w:rFonts w:ascii="Verdana" w:eastAsia="Calibri" w:hAnsi="Verdana" w:cs="Arial"/>
          <w:lang w:val="es-ES_tradnl"/>
        </w:rPr>
        <w:t>, y lo segundo, porque sus requisitos, etapas y términos son especiales.</w:t>
      </w:r>
    </w:p>
    <w:p w14:paraId="2D3FC016" w14:textId="77777777" w:rsidR="00C72CCA" w:rsidRPr="00EE0353" w:rsidRDefault="00C72CCA" w:rsidP="00C72CCA">
      <w:pPr>
        <w:tabs>
          <w:tab w:val="left" w:pos="709"/>
        </w:tabs>
        <w:spacing w:after="120" w:line="276" w:lineRule="auto"/>
        <w:ind w:firstLine="709"/>
        <w:jc w:val="both"/>
        <w:rPr>
          <w:rFonts w:ascii="Verdana" w:eastAsia="Calibri" w:hAnsi="Verdana" w:cs="Arial"/>
          <w:color w:val="000000"/>
          <w:lang w:val="es-ES"/>
        </w:rPr>
      </w:pPr>
      <w:r w:rsidRPr="00EE0353">
        <w:rPr>
          <w:rFonts w:ascii="Verdana" w:eastAsia="Calibri" w:hAnsi="Verdana" w:cs="Arial"/>
          <w:color w:val="000000"/>
          <w:lang w:val="es-ES"/>
        </w:rPr>
        <w:t xml:space="preserve">Por su parte, el 31 de diciembre de 2020 fue expedida la Ley 2069 de 2020 –conocida como Ley de Emprendimiento–, cuyo artículo 30 modificó el numeral 5 del artículo 2 de la Ley 1150 de 2007, el cual regula la mínima cuantía. Esta norma dispuso aspectos del procedimiento como: i) el término mínimo para publicar la invitación, </w:t>
      </w:r>
      <w:proofErr w:type="spellStart"/>
      <w:r w:rsidRPr="00EE0353">
        <w:rPr>
          <w:rFonts w:ascii="Verdana" w:eastAsia="Calibri" w:hAnsi="Verdana" w:cs="Arial"/>
          <w:color w:val="000000"/>
          <w:lang w:val="es-ES"/>
        </w:rPr>
        <w:t>ii</w:t>
      </w:r>
      <w:proofErr w:type="spellEnd"/>
      <w:r w:rsidRPr="00EE0353">
        <w:rPr>
          <w:rFonts w:ascii="Verdana" w:eastAsia="Calibri" w:hAnsi="Verdana" w:cs="Arial"/>
          <w:color w:val="000000"/>
          <w:lang w:val="es-ES"/>
        </w:rPr>
        <w:t xml:space="preserve">) el plazo mínimo de recepción de las ofertas, </w:t>
      </w:r>
      <w:proofErr w:type="spellStart"/>
      <w:r w:rsidRPr="00EE0353">
        <w:rPr>
          <w:rFonts w:ascii="Verdana" w:eastAsia="Calibri" w:hAnsi="Verdana" w:cs="Arial"/>
          <w:color w:val="000000"/>
          <w:lang w:val="es-ES"/>
        </w:rPr>
        <w:t>iii</w:t>
      </w:r>
      <w:proofErr w:type="spellEnd"/>
      <w:r w:rsidRPr="00EE0353">
        <w:rPr>
          <w:rFonts w:ascii="Verdana" w:eastAsia="Calibri" w:hAnsi="Verdana" w:cs="Arial"/>
          <w:color w:val="000000"/>
          <w:lang w:val="es-ES"/>
        </w:rPr>
        <w:t xml:space="preserve">) el factor de evaluación que define la selección del proponente y </w:t>
      </w:r>
      <w:proofErr w:type="spellStart"/>
      <w:r w:rsidRPr="00EE0353">
        <w:rPr>
          <w:rFonts w:ascii="Verdana" w:eastAsia="Calibri" w:hAnsi="Verdana" w:cs="Arial"/>
          <w:color w:val="000000"/>
          <w:lang w:val="es-ES"/>
        </w:rPr>
        <w:t>iv</w:t>
      </w:r>
      <w:proofErr w:type="spellEnd"/>
      <w:r w:rsidRPr="00EE0353">
        <w:rPr>
          <w:rFonts w:ascii="Verdana" w:eastAsia="Calibri" w:hAnsi="Verdana" w:cs="Arial"/>
          <w:color w:val="000000"/>
          <w:lang w:val="es-ES"/>
        </w:rPr>
        <w:t>) el perfeccionamiento del contrato.</w:t>
      </w:r>
    </w:p>
    <w:p w14:paraId="01B8DF51" w14:textId="77777777" w:rsidR="00C72CCA" w:rsidRPr="00EE0353" w:rsidRDefault="00C72CCA" w:rsidP="00C72CCA">
      <w:pPr>
        <w:tabs>
          <w:tab w:val="left" w:pos="709"/>
        </w:tabs>
        <w:spacing w:after="120" w:line="276" w:lineRule="auto"/>
        <w:ind w:firstLine="709"/>
        <w:jc w:val="both"/>
        <w:rPr>
          <w:rFonts w:ascii="Verdana" w:eastAsia="Calibri" w:hAnsi="Verdana" w:cs="Arial"/>
          <w:color w:val="000000"/>
          <w:lang w:val="es-ES"/>
        </w:rPr>
      </w:pPr>
      <w:r w:rsidRPr="00EE0353">
        <w:rPr>
          <w:rFonts w:ascii="Verdana" w:eastAsia="Calibri" w:hAnsi="Verdana" w:cs="Arial"/>
          <w:color w:val="000000"/>
          <w:lang w:val="es-ES"/>
        </w:rPr>
        <w:t>Adicionalmente, se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 el procedimiento de mínima cuantía. De esta manera,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p>
    <w:p w14:paraId="2C5BD94E" w14:textId="77777777" w:rsidR="00C72CCA" w:rsidRPr="00EE0353" w:rsidRDefault="00C72CCA" w:rsidP="00C72CCA">
      <w:pPr>
        <w:tabs>
          <w:tab w:val="left" w:pos="709"/>
        </w:tabs>
        <w:spacing w:after="120" w:line="276" w:lineRule="auto"/>
        <w:jc w:val="both"/>
        <w:rPr>
          <w:rFonts w:ascii="Verdana" w:eastAsia="Calibri" w:hAnsi="Verdana" w:cs="Arial"/>
          <w:color w:val="000000"/>
          <w:lang w:val="es-ES"/>
        </w:rPr>
      </w:pPr>
      <w:r w:rsidRPr="00EE0353">
        <w:rPr>
          <w:rFonts w:ascii="Verdana" w:eastAsia="Calibri" w:hAnsi="Verdana" w:cs="Arial"/>
          <w:bCs/>
          <w:color w:val="000000"/>
          <w:lang w:val="es-ES_tradnl"/>
        </w:rPr>
        <w:tab/>
      </w:r>
      <w:r w:rsidRPr="00EE0353">
        <w:rPr>
          <w:rFonts w:ascii="Verdana" w:eastAsia="Calibri" w:hAnsi="Verdana" w:cs="Arial"/>
          <w:color w:val="000000"/>
          <w:lang w:val="es-ES"/>
        </w:rPr>
        <w:t>Teniendo en cuenta lo anterior, la nueva Subsección 5 a que se hizo referencia contiene los siguientes artículos: i) 2.2.1.2.1.5.1. que se ocupa de desarrollar el contenido de los estudios previos para la contratación de mínima cuantía</w:t>
      </w:r>
      <w:r w:rsidRPr="00EE0353">
        <w:rPr>
          <w:rFonts w:ascii="Verdana" w:eastAsia="Calibri" w:hAnsi="Verdana" w:cs="Arial"/>
          <w:color w:val="000000"/>
          <w:vertAlign w:val="superscript"/>
          <w:lang w:val="es-ES"/>
        </w:rPr>
        <w:footnoteReference w:id="5"/>
      </w:r>
      <w:r w:rsidRPr="00EE0353">
        <w:rPr>
          <w:rFonts w:ascii="Verdana" w:eastAsia="Calibri" w:hAnsi="Verdana" w:cs="Arial"/>
          <w:color w:val="000000"/>
          <w:lang w:val="es-ES"/>
        </w:rPr>
        <w:t xml:space="preserve">. </w:t>
      </w:r>
      <w:proofErr w:type="spellStart"/>
      <w:r w:rsidRPr="00EE0353">
        <w:rPr>
          <w:rFonts w:ascii="Verdana" w:eastAsia="Calibri" w:hAnsi="Verdana" w:cs="Arial"/>
          <w:color w:val="000000"/>
          <w:lang w:val="es-ES"/>
        </w:rPr>
        <w:t>ii</w:t>
      </w:r>
      <w:proofErr w:type="spellEnd"/>
      <w:r w:rsidRPr="00EE0353">
        <w:rPr>
          <w:rFonts w:ascii="Verdana" w:eastAsia="Calibri" w:hAnsi="Verdana" w:cs="Arial"/>
          <w:color w:val="000000"/>
          <w:lang w:val="es-ES"/>
        </w:rPr>
        <w:t xml:space="preserve">) 2.2.1.2.1.5.2. que contiene el procedimiento general de la mínima </w:t>
      </w:r>
      <w:r w:rsidRPr="00EE0353">
        <w:rPr>
          <w:rFonts w:ascii="Verdana" w:eastAsia="Calibri" w:hAnsi="Verdana" w:cs="Arial"/>
          <w:color w:val="000000"/>
          <w:lang w:val="es-ES"/>
        </w:rPr>
        <w:lastRenderedPageBreak/>
        <w:t xml:space="preserve">cuantía, señalando el contenido mínimo de la “invitación” y las distintas etapas y reglas que estructuran esta modalidad de selección, incluyendo la forma en que procederán las convocatorias limitadas a </w:t>
      </w:r>
      <w:proofErr w:type="spellStart"/>
      <w:r w:rsidRPr="00EE0353">
        <w:rPr>
          <w:rFonts w:ascii="Verdana" w:eastAsia="Calibri" w:hAnsi="Verdana" w:cs="Arial"/>
          <w:color w:val="000000"/>
          <w:lang w:val="es-ES"/>
        </w:rPr>
        <w:t>mipymes</w:t>
      </w:r>
      <w:proofErr w:type="spellEnd"/>
      <w:r w:rsidRPr="00EE0353">
        <w:rPr>
          <w:rFonts w:ascii="Verdana" w:eastAsia="Calibri" w:hAnsi="Verdana" w:cs="Arial"/>
          <w:color w:val="000000"/>
          <w:lang w:val="es-ES"/>
        </w:rPr>
        <w:t>, de acuerdo con el mandato del parágrafo 1 del artículo 30 de la Ley 2069 de 2020</w:t>
      </w:r>
      <w:r w:rsidRPr="00EE0353">
        <w:rPr>
          <w:rFonts w:ascii="Verdana" w:eastAsia="Calibri" w:hAnsi="Verdana" w:cs="Arial"/>
          <w:color w:val="000000"/>
          <w:vertAlign w:val="superscript"/>
          <w:lang w:val="es-ES"/>
        </w:rPr>
        <w:footnoteReference w:id="6"/>
      </w:r>
      <w:r w:rsidRPr="00EE0353">
        <w:rPr>
          <w:rFonts w:ascii="Verdana" w:eastAsia="Calibri" w:hAnsi="Verdana" w:cs="Arial"/>
          <w:color w:val="000000"/>
          <w:lang w:val="es-ES"/>
        </w:rPr>
        <w:t xml:space="preserve">. </w:t>
      </w:r>
      <w:proofErr w:type="spellStart"/>
      <w:r w:rsidRPr="00EE0353">
        <w:rPr>
          <w:rFonts w:ascii="Verdana" w:eastAsia="Calibri" w:hAnsi="Verdana" w:cs="Arial"/>
          <w:color w:val="000000"/>
          <w:lang w:val="es-ES"/>
        </w:rPr>
        <w:t>iii</w:t>
      </w:r>
      <w:proofErr w:type="spellEnd"/>
      <w:r w:rsidRPr="00EE0353">
        <w:rPr>
          <w:rFonts w:ascii="Verdana" w:eastAsia="Calibri" w:hAnsi="Verdana" w:cs="Arial"/>
          <w:color w:val="000000"/>
          <w:lang w:val="es-ES"/>
        </w:rPr>
        <w:t xml:space="preserve">) 2.2.1.2.1.5.3. que regula un procedimiento especial para las adquisiciones en grandes almacenes cuando se trate de mínima cuantía. </w:t>
      </w:r>
      <w:proofErr w:type="spellStart"/>
      <w:r w:rsidRPr="00EE0353">
        <w:rPr>
          <w:rFonts w:ascii="Verdana" w:eastAsia="Calibri" w:hAnsi="Verdana" w:cs="Arial"/>
          <w:color w:val="000000"/>
          <w:lang w:val="es-ES"/>
        </w:rPr>
        <w:t>iv</w:t>
      </w:r>
      <w:proofErr w:type="spellEnd"/>
      <w:r w:rsidRPr="00EE0353">
        <w:rPr>
          <w:rFonts w:ascii="Verdana" w:eastAsia="Calibri" w:hAnsi="Verdana" w:cs="Arial"/>
          <w:color w:val="000000"/>
          <w:lang w:val="es-ES"/>
        </w:rPr>
        <w:t>)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Mipyme y con grandes almacenes. Y v) 2.2.1.2.1.5.5. el cual establece que la entidad estatal es libre de exigir o no garantías en el proceso de selección de mínima cuantía y en la adquisición de “grandes almacenes”.</w:t>
      </w:r>
    </w:p>
    <w:p w14:paraId="5AAC45A0" w14:textId="77777777" w:rsidR="00C72CCA" w:rsidRPr="00EE0353" w:rsidRDefault="00C72CCA" w:rsidP="00C72CCA">
      <w:pPr>
        <w:tabs>
          <w:tab w:val="left" w:pos="709"/>
        </w:tabs>
        <w:spacing w:after="120" w:line="276" w:lineRule="auto"/>
        <w:jc w:val="both"/>
        <w:rPr>
          <w:rFonts w:ascii="Verdana" w:eastAsia="Calibri" w:hAnsi="Verdana" w:cs="Arial"/>
          <w:bCs/>
          <w:color w:val="000000"/>
          <w:lang w:val="es-ES_tradnl"/>
        </w:rPr>
      </w:pPr>
      <w:r w:rsidRPr="00EE0353">
        <w:rPr>
          <w:rFonts w:ascii="Verdana" w:eastAsia="Calibri" w:hAnsi="Verdana" w:cs="Arial"/>
          <w:bCs/>
          <w:color w:val="000000"/>
          <w:lang w:val="es-ES_tradnl"/>
        </w:rPr>
        <w:tab/>
        <w:t xml:space="preserve">De esta manera, el artículo 2 del Decreto 1860 de 2021, que modifica los artículos del Decreto 1082 de 2015 expuestos en el párrafo anterior, constituye la reglamentación del artículo 30 de la Ley 2069 de 2020, al desarrollar las reglas aplicables a esta modalidad de selección. </w:t>
      </w:r>
    </w:p>
    <w:p w14:paraId="1DF7F620" w14:textId="77777777" w:rsidR="00C72CCA" w:rsidRPr="00EE0353" w:rsidRDefault="00C72CCA" w:rsidP="00C72CCA">
      <w:pPr>
        <w:tabs>
          <w:tab w:val="left" w:pos="709"/>
        </w:tabs>
        <w:spacing w:after="120" w:line="276" w:lineRule="auto"/>
        <w:jc w:val="both"/>
        <w:rPr>
          <w:rFonts w:ascii="Verdana" w:eastAsia="Calibri" w:hAnsi="Verdana" w:cs="Arial"/>
          <w:color w:val="000000"/>
          <w:lang w:val="es-ES_tradnl"/>
        </w:rPr>
      </w:pPr>
      <w:r w:rsidRPr="00EE0353">
        <w:rPr>
          <w:rFonts w:ascii="Verdana" w:eastAsia="Calibri" w:hAnsi="Verdana" w:cs="Arial"/>
          <w:color w:val="000000"/>
          <w:lang w:val="es-ES_tradnl"/>
        </w:rPr>
        <w:tab/>
        <w:t>Ahora bien, vistas las anteriores vicisitudes normativas que rodean la modalidad de selección de mínima cuantía, y con fundamento en los artículos 2.2.1.2.1.5.1. al 2.2.1.2.1.5.4 del Decreto 1082 de 2015 modificados, como se ha venido exponiendo, por el artículo 2 del Decreto 1860 de 2021, resulta imperante sintetizar los requisitos en el procedimiento de esta modalidad de selección de la siguiente forma:</w:t>
      </w:r>
    </w:p>
    <w:p w14:paraId="4CA9EBC9" w14:textId="77777777" w:rsidR="00C72CCA" w:rsidRPr="00EE0353" w:rsidRDefault="00C72CCA" w:rsidP="00C72CCA">
      <w:pPr>
        <w:spacing w:after="120" w:line="276" w:lineRule="auto"/>
        <w:ind w:firstLine="709"/>
        <w:jc w:val="both"/>
        <w:rPr>
          <w:rFonts w:ascii="Verdana" w:eastAsia="Calibri" w:hAnsi="Verdana" w:cs="Arial"/>
          <w:color w:val="000000"/>
          <w:lang w:val="es-ES_tradnl"/>
        </w:rPr>
      </w:pPr>
      <w:r w:rsidRPr="00EE0353">
        <w:rPr>
          <w:rFonts w:ascii="Verdana" w:eastAsia="Calibri" w:hAnsi="Verdana" w:cs="Arial"/>
          <w:color w:val="000000"/>
          <w:lang w:val="es-ES_tradnl"/>
        </w:rPr>
        <w:t>i) La entidad estatal debe hacer los estudios previos en los que señale cuál es la necesidad que pretende satisfacer, el objeto del contrato, sus condiciones técnicas, el valor estimado, el plazo de ejecución y el certificado de disponibilidad presupuestal.</w:t>
      </w:r>
    </w:p>
    <w:p w14:paraId="2DC766C5" w14:textId="77777777" w:rsidR="00C72CCA" w:rsidRPr="00EE0353" w:rsidRDefault="00C72CCA" w:rsidP="00C72CCA">
      <w:pPr>
        <w:spacing w:after="120" w:line="276" w:lineRule="auto"/>
        <w:ind w:firstLine="709"/>
        <w:jc w:val="both"/>
        <w:rPr>
          <w:rFonts w:ascii="Verdana" w:eastAsia="Calibri" w:hAnsi="Verdana" w:cs="Arial"/>
          <w:color w:val="000000"/>
          <w:lang w:val="es-ES"/>
        </w:rPr>
      </w:pPr>
      <w:proofErr w:type="spellStart"/>
      <w:r w:rsidRPr="00EE0353">
        <w:rPr>
          <w:rFonts w:ascii="Verdana" w:eastAsia="Calibri" w:hAnsi="Verdana" w:cs="Arial"/>
          <w:color w:val="000000"/>
          <w:lang w:val="es-ES"/>
        </w:rPr>
        <w:lastRenderedPageBreak/>
        <w:t>ii</w:t>
      </w:r>
      <w:proofErr w:type="spellEnd"/>
      <w:r w:rsidRPr="00EE0353">
        <w:rPr>
          <w:rFonts w:ascii="Verdana" w:eastAsia="Calibri" w:hAnsi="Verdana" w:cs="Arial"/>
          <w:color w:val="000000"/>
          <w:lang w:val="es-ES"/>
        </w:rPr>
        <w:t>) Luego de los trámites previos, la entidad debe publicar en el SECOP una invitación, señalando el objeto, las condiciones técnicas y el valor estimado del contrato, expresando además las razones que justifican el cálculo de la cuantía. Asimismo, puede exigir o no una capacidad financiera mínima. Igualmente, esta Agencia ha recomendado “incluir en la invitación el cronograma, el plazo o condiciones de pago a cargo de la Entidad Estatal, la indicación del requerimiento de garantías (cuya exigencia es discrecional de la Entidad Estatal) y los demás aspectos que considere necesarios para la satisfacción de la necesidad”</w:t>
      </w:r>
      <w:r w:rsidRPr="00EE0353">
        <w:rPr>
          <w:rFonts w:ascii="Verdana" w:eastAsia="Calibri" w:hAnsi="Verdana" w:cs="Arial"/>
          <w:color w:val="000000"/>
          <w:vertAlign w:val="superscript"/>
          <w:lang w:val="es-ES"/>
        </w:rPr>
        <w:footnoteReference w:id="7"/>
      </w:r>
      <w:r w:rsidRPr="00EE0353">
        <w:rPr>
          <w:rFonts w:ascii="Verdana" w:eastAsia="Calibri" w:hAnsi="Verdana" w:cs="Arial"/>
          <w:color w:val="000000"/>
          <w:lang w:val="es-ES"/>
        </w:rPr>
        <w:t>.</w:t>
      </w:r>
    </w:p>
    <w:p w14:paraId="55BE6ADB" w14:textId="77777777" w:rsidR="00C72CCA" w:rsidRPr="00EE0353" w:rsidRDefault="00C72CCA" w:rsidP="00C72CCA">
      <w:pPr>
        <w:spacing w:after="120" w:line="276" w:lineRule="auto"/>
        <w:ind w:firstLine="709"/>
        <w:jc w:val="both"/>
        <w:rPr>
          <w:rFonts w:ascii="Verdana" w:eastAsia="Calibri" w:hAnsi="Verdana" w:cs="Arial"/>
          <w:color w:val="000000"/>
          <w:lang w:val="es-ES"/>
        </w:rPr>
      </w:pPr>
      <w:proofErr w:type="spellStart"/>
      <w:r w:rsidRPr="00EE0353">
        <w:rPr>
          <w:rFonts w:ascii="Verdana" w:eastAsia="Calibri" w:hAnsi="Verdana" w:cs="Arial"/>
          <w:color w:val="000000"/>
          <w:lang w:val="es-ES"/>
        </w:rPr>
        <w:t>iii</w:t>
      </w:r>
      <w:proofErr w:type="spellEnd"/>
      <w:r w:rsidRPr="00EE0353">
        <w:rPr>
          <w:rFonts w:ascii="Verdana" w:eastAsia="Calibri" w:hAnsi="Verdana" w:cs="Arial"/>
          <w:color w:val="000000"/>
          <w:lang w:val="es-ES"/>
        </w:rPr>
        <w:t>) La invitación se debe hacer por un término no inferior a un (1) día hábil.</w:t>
      </w:r>
    </w:p>
    <w:p w14:paraId="051644DB" w14:textId="77777777" w:rsidR="00C72CCA" w:rsidRPr="00EE0353" w:rsidRDefault="00C72CCA" w:rsidP="00C72CCA">
      <w:pPr>
        <w:spacing w:after="120" w:line="276" w:lineRule="auto"/>
        <w:ind w:firstLine="709"/>
        <w:jc w:val="both"/>
        <w:rPr>
          <w:rFonts w:ascii="Verdana" w:eastAsia="Calibri" w:hAnsi="Verdana" w:cs="Arial"/>
          <w:color w:val="000000"/>
          <w:lang w:val="es-ES"/>
        </w:rPr>
      </w:pPr>
      <w:proofErr w:type="spellStart"/>
      <w:r w:rsidRPr="00EE0353">
        <w:rPr>
          <w:rFonts w:ascii="Verdana" w:eastAsia="Calibri" w:hAnsi="Verdana" w:cs="Arial"/>
          <w:color w:val="000000"/>
          <w:lang w:val="es-ES"/>
        </w:rPr>
        <w:t>iv</w:t>
      </w:r>
      <w:proofErr w:type="spellEnd"/>
      <w:r w:rsidRPr="00EE0353">
        <w:rPr>
          <w:rFonts w:ascii="Verdana" w:eastAsia="Calibri" w:hAnsi="Verdana" w:cs="Arial"/>
          <w:color w:val="000000"/>
          <w:lang w:val="es-ES"/>
        </w:rPr>
        <w:t>) Las observaciones que presenten los interesados a la invitación deben responderse a más tardar antes del vencimiento del término para presentar las ofertas.</w:t>
      </w:r>
    </w:p>
    <w:p w14:paraId="425C2B3F" w14:textId="77777777" w:rsidR="00C72CCA" w:rsidRPr="00EE0353" w:rsidRDefault="00C72CCA" w:rsidP="00C72CCA">
      <w:pPr>
        <w:spacing w:after="120" w:line="276" w:lineRule="auto"/>
        <w:ind w:firstLine="709"/>
        <w:jc w:val="both"/>
        <w:rPr>
          <w:rFonts w:ascii="Verdana" w:eastAsia="Calibri" w:hAnsi="Verdana" w:cs="Arial"/>
          <w:color w:val="000000"/>
          <w:lang w:val="es-ES_tradnl"/>
        </w:rPr>
      </w:pPr>
      <w:r w:rsidRPr="00EE0353">
        <w:rPr>
          <w:rFonts w:ascii="Verdana" w:eastAsia="Calibri" w:hAnsi="Verdana" w:cs="Arial"/>
          <w:color w:val="000000"/>
          <w:lang w:val="es-ES_tradnl"/>
        </w:rPr>
        <w:t>v) Presentadas las propuestas, la entidad estatal debe revisar las ofertas económicas y verificar que la del menor precio cumpla los requisitos de participación. Si no los satisface debe revisar la oferta económica inmediatamente inferior, y así sucesivamente. Esto significa que en la mínima cuantía el precio es el único factor de calificación</w:t>
      </w:r>
      <w:r w:rsidRPr="00EE0353">
        <w:rPr>
          <w:rFonts w:ascii="Verdana" w:eastAsia="Calibri" w:hAnsi="Verdana" w:cs="Arial"/>
          <w:color w:val="000000"/>
          <w:vertAlign w:val="superscript"/>
          <w:lang w:val="es-ES_tradnl"/>
        </w:rPr>
        <w:footnoteReference w:id="8"/>
      </w:r>
      <w:r w:rsidRPr="00EE0353">
        <w:rPr>
          <w:rFonts w:ascii="Verdana" w:eastAsia="Calibri" w:hAnsi="Verdana" w:cs="Arial"/>
          <w:color w:val="000000"/>
          <w:lang w:val="es-ES_tradnl"/>
        </w:rPr>
        <w:t>.</w:t>
      </w:r>
    </w:p>
    <w:p w14:paraId="64F3F7BC" w14:textId="77777777" w:rsidR="00C72CCA" w:rsidRPr="00EE0353" w:rsidRDefault="00C72CCA" w:rsidP="00C72CCA">
      <w:pPr>
        <w:spacing w:after="120" w:line="276" w:lineRule="auto"/>
        <w:ind w:firstLine="709"/>
        <w:jc w:val="both"/>
        <w:rPr>
          <w:rFonts w:ascii="Verdana" w:eastAsia="Calibri" w:hAnsi="Verdana" w:cs="Arial"/>
          <w:color w:val="000000"/>
          <w:lang w:val="es-ES_tradnl"/>
        </w:rPr>
      </w:pPr>
      <w:r w:rsidRPr="00EE0353">
        <w:rPr>
          <w:rFonts w:ascii="Verdana" w:eastAsia="Calibri" w:hAnsi="Verdana" w:cs="Arial"/>
          <w:color w:val="000000"/>
          <w:lang w:val="es-ES_tradnl"/>
        </w:rPr>
        <w:t>vi) El informe de evaluación se debe publicar por lo menos un (1) día hábil.</w:t>
      </w:r>
    </w:p>
    <w:p w14:paraId="7E73DE0E" w14:textId="77777777" w:rsidR="00C72CCA" w:rsidRPr="00EE0353" w:rsidRDefault="00C72CCA" w:rsidP="00C72CCA">
      <w:pPr>
        <w:spacing w:after="120" w:line="276" w:lineRule="auto"/>
        <w:ind w:firstLine="709"/>
        <w:jc w:val="both"/>
        <w:rPr>
          <w:rFonts w:ascii="Verdana" w:eastAsia="Calibri" w:hAnsi="Verdana" w:cs="Arial"/>
          <w:color w:val="000000"/>
          <w:lang w:val="es-ES"/>
        </w:rPr>
      </w:pPr>
      <w:proofErr w:type="spellStart"/>
      <w:r w:rsidRPr="00EE0353">
        <w:rPr>
          <w:rFonts w:ascii="Verdana" w:eastAsia="Calibri" w:hAnsi="Verdana" w:cs="Arial"/>
          <w:color w:val="000000"/>
          <w:lang w:val="es-ES"/>
        </w:rPr>
        <w:t>vii</w:t>
      </w:r>
      <w:proofErr w:type="spellEnd"/>
      <w:r w:rsidRPr="00EE0353">
        <w:rPr>
          <w:rFonts w:ascii="Verdana" w:eastAsia="Calibri" w:hAnsi="Verdana" w:cs="Arial"/>
          <w:color w:val="000000"/>
          <w:lang w:val="es-ES"/>
        </w:rPr>
        <w:t xml:space="preserve">) </w:t>
      </w:r>
      <w:bookmarkStart w:id="2" w:name="_Hlk134700391"/>
      <w:r w:rsidRPr="00EE0353">
        <w:rPr>
          <w:rFonts w:ascii="Verdana" w:eastAsia="Calibri" w:hAnsi="Verdana" w:cs="Arial"/>
          <w:color w:val="000000"/>
          <w:lang w:val="es-ES"/>
        </w:rPr>
        <w:t>El contrato se perfecciona con la comunicación de aceptación de la oferta que envía la entidad estatal al proponente que presentó la oferta económica de menor precio, no requiriéndose, entonces, la suscripción de una minuta. En la comunicación de aceptación de la oferta la entidad estatal le debe informar al proponente ganador quién será el supervisor del contrato.</w:t>
      </w:r>
    </w:p>
    <w:bookmarkEnd w:id="2"/>
    <w:p w14:paraId="3E1ABB78" w14:textId="2EAB8B00" w:rsidR="00C72CCA" w:rsidRPr="00EE0353" w:rsidRDefault="00C72CCA" w:rsidP="00C72CCA">
      <w:pPr>
        <w:spacing w:after="120" w:line="276" w:lineRule="auto"/>
        <w:ind w:firstLine="709"/>
        <w:jc w:val="both"/>
        <w:rPr>
          <w:rFonts w:ascii="Verdana" w:eastAsia="Calibri" w:hAnsi="Verdana" w:cs="Arial"/>
          <w:color w:val="000000"/>
          <w:lang w:val="es-ES"/>
        </w:rPr>
      </w:pPr>
      <w:proofErr w:type="spellStart"/>
      <w:r w:rsidRPr="00EE0353">
        <w:rPr>
          <w:rFonts w:ascii="Verdana" w:eastAsia="Calibri" w:hAnsi="Verdana" w:cs="Arial"/>
          <w:color w:val="000000"/>
          <w:lang w:val="es-ES"/>
        </w:rPr>
        <w:lastRenderedPageBreak/>
        <w:t>viii</w:t>
      </w:r>
      <w:proofErr w:type="spellEnd"/>
      <w:r w:rsidRPr="00EE0353">
        <w:rPr>
          <w:rFonts w:ascii="Verdana" w:eastAsia="Calibri" w:hAnsi="Verdana" w:cs="Arial"/>
          <w:color w:val="000000"/>
          <w:lang w:val="es-ES"/>
        </w:rPr>
        <w:t>) De existir empate debe preferirse la oferta que se presentó primero en el tiempo.</w:t>
      </w:r>
      <w:r w:rsidR="009550F7">
        <w:rPr>
          <w:rStyle w:val="Refdenotaalpie"/>
          <w:rFonts w:ascii="Verdana" w:eastAsia="Calibri" w:hAnsi="Verdana" w:cs="Arial"/>
          <w:color w:val="000000"/>
          <w:lang w:val="es-ES"/>
        </w:rPr>
        <w:footnoteReference w:id="9"/>
      </w:r>
    </w:p>
    <w:p w14:paraId="2296B227" w14:textId="77777777" w:rsidR="00C72CCA" w:rsidRPr="00EE0353" w:rsidRDefault="00C72CCA" w:rsidP="00C72CCA">
      <w:pPr>
        <w:tabs>
          <w:tab w:val="left" w:pos="709"/>
        </w:tabs>
        <w:spacing w:after="120" w:line="276" w:lineRule="auto"/>
        <w:jc w:val="both"/>
        <w:rPr>
          <w:rFonts w:ascii="Verdana" w:eastAsia="Calibri" w:hAnsi="Verdana" w:cs="Arial"/>
          <w:bCs/>
          <w:color w:val="000000"/>
          <w:lang w:val="es-ES_tradnl"/>
        </w:rPr>
      </w:pPr>
      <w:r w:rsidRPr="00EE0353">
        <w:rPr>
          <w:rFonts w:ascii="Verdana" w:eastAsia="Calibri" w:hAnsi="Verdana" w:cs="Arial"/>
          <w:bCs/>
          <w:color w:val="000000"/>
          <w:lang w:val="es-ES_tradnl"/>
        </w:rPr>
        <w:tab/>
        <w:t xml:space="preserve">De conformidad con lo expuesto, y con fundamento en lo previsto en el numeral 9 del artículo 2.2.1.2.1.5.2. del Decreto 1082 del 2015 según el cual “la oferta y su aceptación constituyen el contrato estatal”, es claro que la comunicación de la aceptación de la oferta por parte de la entidad al proponente perfecciona los requisitos de existencia del contrato. </w:t>
      </w:r>
      <w:r w:rsidRPr="00EE0353">
        <w:rPr>
          <w:rFonts w:ascii="Verdana" w:eastAsia="Calibri" w:hAnsi="Verdana" w:cs="Arial"/>
          <w:bCs/>
          <w:color w:val="000000"/>
        </w:rPr>
        <w:t>Esta particularidad en relación con el procedimiento de mínima cuantía se deriva de lo establecido en el literal d) del numeral 5 del artículo 2 de la Ley 1150 de 2007 que de manera expresa dispone que "la comunicación de aceptación junto con la oferta c</w:t>
      </w:r>
      <w:r w:rsidRPr="00EE0353">
        <w:rPr>
          <w:rFonts w:ascii="Verdana" w:eastAsia="Calibri" w:hAnsi="Verdana" w:cs="Arial"/>
          <w:bCs/>
          <w:i/>
          <w:iCs/>
          <w:color w:val="000000"/>
        </w:rPr>
        <w:t>onstituye para todos los efectos el contrato celebrado</w:t>
      </w:r>
      <w:r w:rsidRPr="00EE0353">
        <w:rPr>
          <w:rFonts w:ascii="Verdana" w:eastAsia="Calibri" w:hAnsi="Verdana" w:cs="Arial"/>
          <w:bCs/>
          <w:color w:val="000000"/>
        </w:rPr>
        <w:t>, con base en lo cual se efectuará el respectivo registro presupuestal". Esto implica que, en este tipo de procedimientos, el contrato se entiende perfeccionado en el momento en que se produce dicha comunicación, sin necesidad de cumplir con requisitos adicionales.</w:t>
      </w:r>
    </w:p>
    <w:p w14:paraId="0A3D478E" w14:textId="77777777" w:rsidR="00C72CCA" w:rsidRPr="00EE0353" w:rsidRDefault="00C72CCA" w:rsidP="00C72CCA">
      <w:pPr>
        <w:tabs>
          <w:tab w:val="left" w:pos="709"/>
        </w:tabs>
        <w:spacing w:after="120" w:line="276" w:lineRule="auto"/>
        <w:ind w:firstLine="709"/>
        <w:jc w:val="both"/>
        <w:rPr>
          <w:rFonts w:ascii="Verdana" w:eastAsia="Calibri" w:hAnsi="Verdana" w:cs="Arial"/>
          <w:bCs/>
          <w:color w:val="000000"/>
          <w:lang w:val="es-ES_tradnl"/>
        </w:rPr>
      </w:pPr>
      <w:r w:rsidRPr="00EE0353">
        <w:rPr>
          <w:rFonts w:ascii="Verdana" w:eastAsia="Calibri" w:hAnsi="Verdana" w:cs="Arial"/>
          <w:bCs/>
          <w:color w:val="000000"/>
          <w:lang w:val="es-ES"/>
        </w:rPr>
        <w:t xml:space="preserve">En este sentido, el legislador estableció que en los procesos de mínima cuantía no habría un </w:t>
      </w:r>
      <w:r w:rsidRPr="00EE0353">
        <w:rPr>
          <w:rFonts w:ascii="Verdana" w:eastAsia="Calibri" w:hAnsi="Verdana" w:cs="Arial"/>
          <w:bCs/>
          <w:i/>
          <w:color w:val="000000"/>
          <w:lang w:val="es-ES"/>
        </w:rPr>
        <w:t>“acto de adjudicación”</w:t>
      </w:r>
      <w:r w:rsidRPr="00EE0353">
        <w:rPr>
          <w:rFonts w:ascii="Verdana" w:eastAsia="Calibri" w:hAnsi="Verdana" w:cs="Arial"/>
          <w:bCs/>
          <w:color w:val="000000"/>
          <w:lang w:val="es-ES"/>
        </w:rPr>
        <w:t xml:space="preserve">, sino que en aras de la celeridad y economía que se busca con esta modalidad, la selección de la mejor oferta se realiza mediante una </w:t>
      </w:r>
      <w:r w:rsidRPr="00EE0353">
        <w:rPr>
          <w:rFonts w:ascii="Verdana" w:eastAsia="Calibri" w:hAnsi="Verdana" w:cs="Arial"/>
          <w:bCs/>
          <w:i/>
          <w:color w:val="000000"/>
          <w:lang w:val="es-ES"/>
        </w:rPr>
        <w:t>“comunicación de aceptación de la oferta”</w:t>
      </w:r>
      <w:r w:rsidRPr="00EE0353">
        <w:rPr>
          <w:rFonts w:ascii="Verdana" w:eastAsia="Calibri" w:hAnsi="Verdana" w:cs="Arial"/>
          <w:bCs/>
          <w:color w:val="000000"/>
          <w:lang w:val="es-ES"/>
        </w:rPr>
        <w:t>,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14:paraId="6BEECDB4" w14:textId="77777777" w:rsidR="00C72CCA" w:rsidRPr="00EE0353" w:rsidRDefault="00C72CCA" w:rsidP="00C72CCA">
      <w:pPr>
        <w:spacing w:after="120" w:line="276" w:lineRule="auto"/>
        <w:ind w:firstLine="709"/>
        <w:jc w:val="both"/>
        <w:rPr>
          <w:rFonts w:ascii="Verdana" w:eastAsia="Calibri" w:hAnsi="Verdana" w:cs="Arial"/>
          <w:color w:val="000000"/>
        </w:rPr>
      </w:pPr>
      <w:r w:rsidRPr="00EE0353">
        <w:rPr>
          <w:rFonts w:ascii="Verdana" w:eastAsia="Calibri" w:hAnsi="Verdana" w:cs="Arial"/>
          <w:bCs/>
          <w:color w:val="000000"/>
          <w:lang w:val="es-ES_tradnl"/>
        </w:rPr>
        <w:t>Sobre este aspecto, el Manual de la Modalidad de Selección de Mínima Cuantía expedido por la Agencia Nacional de Contratación Pública – Colombia Compra Eficiente</w:t>
      </w:r>
      <w:r w:rsidRPr="00EE0353">
        <w:rPr>
          <w:rFonts w:ascii="Verdana" w:eastAsia="Calibri" w:hAnsi="Verdana" w:cs="Arial"/>
          <w:bCs/>
          <w:color w:val="000000"/>
          <w:vertAlign w:val="superscript"/>
          <w:lang w:val="es-ES_tradnl"/>
        </w:rPr>
        <w:footnoteReference w:id="10"/>
      </w:r>
      <w:r w:rsidRPr="00EE0353">
        <w:rPr>
          <w:rFonts w:ascii="Verdana" w:eastAsia="Calibri" w:hAnsi="Verdana" w:cs="Arial"/>
          <w:bCs/>
          <w:color w:val="000000"/>
          <w:lang w:val="es-ES_tradnl"/>
        </w:rPr>
        <w:t xml:space="preserve">, señaló que </w:t>
      </w:r>
      <w:r w:rsidRPr="00EE0353">
        <w:rPr>
          <w:rFonts w:ascii="Verdana" w:eastAsia="Calibri" w:hAnsi="Verdana" w:cs="Arial"/>
          <w:color w:val="000000"/>
          <w:lang w:val="es-MX"/>
        </w:rPr>
        <w:t xml:space="preserve">“la Entidad Estatal debe aceptar la oferta del oferente que haya cumplido con los requisitos establecidos en la invitación y que haya ofrecido el precio más bajo, </w:t>
      </w:r>
      <w:r w:rsidRPr="00EE0353">
        <w:rPr>
          <w:rFonts w:ascii="Verdana" w:eastAsia="Calibri" w:hAnsi="Verdana" w:cs="Arial"/>
          <w:i/>
          <w:iCs/>
          <w:color w:val="000000"/>
          <w:lang w:val="es-MX"/>
        </w:rPr>
        <w:t>mediante documento electrónico o físico</w:t>
      </w:r>
      <w:r w:rsidRPr="00EE0353">
        <w:rPr>
          <w:rFonts w:ascii="Verdana" w:eastAsia="Calibri" w:hAnsi="Verdana" w:cs="Arial"/>
          <w:color w:val="000000"/>
          <w:lang w:val="es-MX"/>
        </w:rPr>
        <w:t xml:space="preserve">. En el documento de aceptación, la Entidad Estatal debe indicar el supervisor del </w:t>
      </w:r>
      <w:r w:rsidRPr="00EE0353">
        <w:rPr>
          <w:rFonts w:ascii="Verdana" w:eastAsia="Calibri" w:hAnsi="Verdana" w:cs="Arial"/>
          <w:color w:val="000000"/>
          <w:lang w:val="es-MX"/>
        </w:rPr>
        <w:lastRenderedPageBreak/>
        <w:t>contrato.</w:t>
      </w:r>
      <w:r w:rsidRPr="00EE0353">
        <w:rPr>
          <w:rFonts w:ascii="Verdana" w:eastAsia="Calibri" w:hAnsi="Verdana" w:cs="Arial"/>
          <w:color w:val="000000"/>
          <w:vertAlign w:val="superscript"/>
          <w:lang w:val="es-MX"/>
        </w:rPr>
        <w:footnoteReference w:id="11"/>
      </w:r>
      <w:r w:rsidRPr="00EE0353">
        <w:rPr>
          <w:rFonts w:ascii="Verdana" w:eastAsia="Calibri" w:hAnsi="Verdana" w:cs="Arial"/>
          <w:color w:val="000000"/>
        </w:rPr>
        <w:t xml:space="preserve">” (Énfasis por fuera de texto). De esta manera, desde el momento en que se efectúa dicha comunicación, ya sea mediante documento electrónico o físico, se entiende que el contrato ha quedado perfeccionado y tiene plena existencia, sin que sea necesario cumplir con ningún otro requisito adicional. </w:t>
      </w:r>
    </w:p>
    <w:p w14:paraId="4356584B" w14:textId="77777777" w:rsidR="00C72CCA" w:rsidRPr="00EE0353" w:rsidRDefault="00C72CCA" w:rsidP="00C72CCA">
      <w:pPr>
        <w:spacing w:after="120" w:line="276" w:lineRule="auto"/>
        <w:jc w:val="both"/>
        <w:rPr>
          <w:rFonts w:ascii="Verdana" w:eastAsia="Calibri" w:hAnsi="Verdana" w:cs="Arial"/>
          <w:lang w:val="es-ES"/>
        </w:rPr>
      </w:pPr>
      <w:proofErr w:type="spellStart"/>
      <w:r w:rsidRPr="00EE0353">
        <w:rPr>
          <w:rFonts w:ascii="Verdana" w:eastAsia="Calibri" w:hAnsi="Verdana" w:cs="Arial"/>
          <w:bCs/>
          <w:color w:val="000000"/>
          <w:lang w:val="es-ES_tradnl"/>
        </w:rPr>
        <w:t>ii</w:t>
      </w:r>
      <w:proofErr w:type="spellEnd"/>
      <w:r w:rsidRPr="00EE0353">
        <w:rPr>
          <w:rFonts w:ascii="Verdana" w:eastAsia="Calibri" w:hAnsi="Verdana" w:cs="Arial"/>
          <w:bCs/>
          <w:color w:val="000000"/>
          <w:lang w:val="es-ES_tradnl"/>
        </w:rPr>
        <w:t xml:space="preserve">. Ahora bien, con el fin de dar respuesta al problema jurídico planteado es importante realizar algunas presiones en relación con el </w:t>
      </w:r>
      <w:r w:rsidRPr="00EE0353">
        <w:rPr>
          <w:rFonts w:ascii="Verdana" w:eastAsia="Calibri" w:hAnsi="Verdana" w:cs="Arial"/>
          <w:color w:val="000000"/>
        </w:rPr>
        <w:t xml:space="preserve">SECOP II. Este sistema es una plataforma transaccional, que permite gestionar en línea todos los procedimientos de contratación, </w:t>
      </w:r>
      <w:r w:rsidRPr="00EE0353">
        <w:rPr>
          <w:rFonts w:ascii="Verdana" w:eastAsia="Calibri" w:hAnsi="Verdana" w:cs="Arial"/>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62861048" w14:textId="77777777" w:rsidR="00C72CCA" w:rsidRPr="00EE0353" w:rsidRDefault="00C72CCA" w:rsidP="00C72CCA">
      <w:pPr>
        <w:spacing w:after="120" w:line="276" w:lineRule="auto"/>
        <w:ind w:firstLine="567"/>
        <w:jc w:val="both"/>
        <w:rPr>
          <w:rFonts w:ascii="Verdana" w:eastAsia="Calibri" w:hAnsi="Verdana" w:cs="Arial"/>
          <w:lang w:val="es-ES"/>
        </w:rPr>
      </w:pPr>
      <w:r w:rsidRPr="00EE0353">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4C2B8E98" w14:textId="77777777" w:rsidR="00C72CCA" w:rsidRPr="00EE0353" w:rsidRDefault="00C72CCA" w:rsidP="00C72CCA">
      <w:pPr>
        <w:spacing w:after="120" w:line="276" w:lineRule="auto"/>
        <w:ind w:firstLine="567"/>
        <w:jc w:val="both"/>
        <w:rPr>
          <w:rFonts w:ascii="Verdana" w:eastAsia="Calibri" w:hAnsi="Verdana" w:cs="Arial"/>
          <w:lang w:val="es-ES"/>
        </w:rPr>
      </w:pPr>
      <w:r w:rsidRPr="00EE0353">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w:t>
      </w:r>
      <w:r w:rsidRPr="00EE0353">
        <w:rPr>
          <w:rFonts w:ascii="Verdana" w:eastAsia="Calibri" w:hAnsi="Verdana" w:cs="Arial"/>
          <w:lang w:val="es-ES"/>
        </w:rPr>
        <w:lastRenderedPageBreak/>
        <w:t xml:space="preserve">aplicables al negocio jurídico contenido en dichos mensajes, esto es, las normas que regulan el sistema de contratación pública. </w:t>
      </w:r>
    </w:p>
    <w:p w14:paraId="3E0A4166" w14:textId="77777777" w:rsidR="00C72CCA" w:rsidRPr="00EE0353" w:rsidRDefault="00C72CCA" w:rsidP="00C72CCA">
      <w:pPr>
        <w:spacing w:after="120" w:line="276" w:lineRule="auto"/>
        <w:ind w:firstLine="567"/>
        <w:jc w:val="both"/>
        <w:rPr>
          <w:rFonts w:ascii="Verdana" w:eastAsia="Calibri" w:hAnsi="Verdana" w:cs="Arial"/>
          <w:lang w:val="es-ES"/>
        </w:rPr>
      </w:pPr>
      <w:r w:rsidRPr="00EE0353">
        <w:rPr>
          <w:rFonts w:ascii="Verdana" w:eastAsia="Calibri" w:hAnsi="Verdana" w:cs="Arial"/>
          <w:lang w:val="es-ES"/>
        </w:rPr>
        <w:t>En este sentido, la implementación del SECOP II como plataforma transaccional para la actividad contractual del Estado, permite que los contratos que se publiquen sean firmados electrónicamente.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2A7BBA47" w14:textId="77777777" w:rsidR="00C72CCA" w:rsidRPr="00EE0353" w:rsidRDefault="00C72CCA" w:rsidP="00C72CCA">
      <w:pPr>
        <w:spacing w:after="120" w:line="276" w:lineRule="auto"/>
        <w:ind w:firstLine="567"/>
        <w:jc w:val="both"/>
        <w:rPr>
          <w:rFonts w:ascii="Verdana" w:eastAsia="Calibri" w:hAnsi="Verdana" w:cs="Arial"/>
          <w:lang w:val="es-ES"/>
        </w:rPr>
      </w:pPr>
      <w:r w:rsidRPr="00EE0353">
        <w:rPr>
          <w:rFonts w:ascii="Verdana" w:eastAsia="Calibri" w:hAnsi="Verdana" w:cs="Arial"/>
          <w:lang w:val="es-ES"/>
        </w:rPr>
        <w:t xml:space="preserve">Sin embargo, frente al procedimiento de mínima cuantía el trámite mediante el cual se efectúa la firma del contrato y su consecuente aprobación o rechazo realizado a través del SECOP II, tiene una connotación particular. Como se explicó, la comunicación de aceptación junto con la oferta constituye el contrato celebrado por lo que no es necesaria la aprobación del contratista en el SECOP II para que el contrato se perfeccione y exista. En este sentido, </w:t>
      </w:r>
      <w:r w:rsidRPr="00EE0353">
        <w:rPr>
          <w:rFonts w:ascii="Verdana" w:eastAsia="Calibri" w:hAnsi="Verdana" w:cs="Arial"/>
        </w:rPr>
        <w:t xml:space="preserve">la </w:t>
      </w:r>
      <w:bookmarkStart w:id="3" w:name="_Hlk134700548"/>
      <w:r w:rsidRPr="00EE0353">
        <w:rPr>
          <w:rFonts w:ascii="Verdana" w:eastAsia="Calibri" w:hAnsi="Verdana" w:cs="Arial"/>
        </w:rPr>
        <w:t>“aprobación del contrato por el proveedor” que se establece como trámite en la plataforma SECOP II, opera para efectos de publicidad, transparencia y oponibilidad frente a terceros</w:t>
      </w:r>
      <w:bookmarkEnd w:id="3"/>
      <w:r w:rsidRPr="00EE0353">
        <w:rPr>
          <w:rFonts w:ascii="Verdana" w:eastAsia="Calibri" w:hAnsi="Verdana" w:cs="Arial"/>
        </w:rPr>
        <w:t xml:space="preserve"> y con el fin de avanzar en el módulo de gestión contractual que permite cumplir con los requisitos de ejecución del contrato.</w:t>
      </w:r>
    </w:p>
    <w:p w14:paraId="67A5EF90" w14:textId="77777777" w:rsidR="00C72CCA" w:rsidRPr="00EE0353" w:rsidRDefault="00C72CCA" w:rsidP="00C72CCA">
      <w:pPr>
        <w:spacing w:after="120" w:line="276" w:lineRule="auto"/>
        <w:ind w:firstLine="567"/>
        <w:jc w:val="both"/>
        <w:rPr>
          <w:rFonts w:ascii="Verdana" w:eastAsia="Calibri" w:hAnsi="Verdana" w:cs="Arial"/>
          <w:lang w:val="es-ES"/>
        </w:rPr>
      </w:pPr>
      <w:r w:rsidRPr="00EE0353">
        <w:rPr>
          <w:rFonts w:ascii="Verdana" w:eastAsia="Calibri" w:hAnsi="Verdana" w:cs="Arial"/>
          <w:lang w:val="es-ES"/>
        </w:rPr>
        <w:t>Frente a lo anterior, el documento “Guía sobre el uso del SECOP II. Modalidades de contratación: mínima cuantía” expedido por la ANCP- CCE, señala en su parte introductoria lo siguiente:</w:t>
      </w:r>
    </w:p>
    <w:p w14:paraId="63E442DF" w14:textId="77777777" w:rsidR="00C72CCA" w:rsidRPr="00EE0353" w:rsidRDefault="00C72CCA" w:rsidP="00C72CCA">
      <w:pPr>
        <w:spacing w:after="0" w:line="276" w:lineRule="auto"/>
        <w:ind w:left="709" w:right="618"/>
        <w:jc w:val="both"/>
        <w:rPr>
          <w:rFonts w:ascii="Verdana" w:eastAsia="Calibri" w:hAnsi="Verdana" w:cs="Arial"/>
          <w:sz w:val="20"/>
          <w:szCs w:val="20"/>
          <w:lang w:val="es-ES"/>
        </w:rPr>
      </w:pPr>
      <w:r w:rsidRPr="00EE0353">
        <w:rPr>
          <w:rFonts w:ascii="Verdana" w:eastAsia="Calibri" w:hAnsi="Verdana" w:cs="Arial"/>
          <w:sz w:val="20"/>
          <w:szCs w:val="20"/>
        </w:rPr>
        <w:t xml:space="preserve">“Al gestionar un Proceso de Contratación en la modalidad de selección de Mínima Cuantía en donde el contrato se constituye con la oferta presentada por el Proveedor y su aceptación por parte de la Entidad Estatal, en el SECOP II requiere hacer un paso adicional y es la configuración y aprobación/firma del contrato por parte de la Entidad Estatal y el Proveedor. </w:t>
      </w:r>
      <w:r w:rsidRPr="00EE0353">
        <w:rPr>
          <w:rFonts w:ascii="Verdana" w:eastAsia="Calibri" w:hAnsi="Verdana" w:cs="Arial"/>
          <w:i/>
          <w:iCs/>
          <w:sz w:val="20"/>
          <w:szCs w:val="20"/>
        </w:rPr>
        <w:t xml:space="preserve">Esto le permitirá hacer uso del módulo de gestión contractual para cumplir con los requisitos de ejecución del contrato y seguimiento a la ejecución, aprobación de solicitudes de pago y modificaciones. Para esto, consulte la guía sobre uso del SECOP </w:t>
      </w:r>
      <w:proofErr w:type="spellStart"/>
      <w:r w:rsidRPr="00EE0353">
        <w:rPr>
          <w:rFonts w:ascii="Verdana" w:eastAsia="Calibri" w:hAnsi="Verdana" w:cs="Arial"/>
          <w:i/>
          <w:iCs/>
          <w:sz w:val="20"/>
          <w:szCs w:val="20"/>
        </w:rPr>
        <w:t>Il</w:t>
      </w:r>
      <w:proofErr w:type="spellEnd"/>
      <w:r w:rsidRPr="00EE0353">
        <w:rPr>
          <w:rFonts w:ascii="Verdana" w:eastAsia="Calibri" w:hAnsi="Verdana" w:cs="Arial"/>
          <w:i/>
          <w:iCs/>
          <w:sz w:val="20"/>
          <w:szCs w:val="20"/>
        </w:rPr>
        <w:t xml:space="preserve"> sobre Gestión contractual para Entidades Estatales</w:t>
      </w:r>
      <w:r w:rsidRPr="00EE0353">
        <w:rPr>
          <w:rFonts w:ascii="Verdana" w:eastAsia="Calibri" w:hAnsi="Verdana" w:cs="Arial"/>
          <w:sz w:val="20"/>
          <w:szCs w:val="20"/>
          <w:vertAlign w:val="superscript"/>
        </w:rPr>
        <w:footnoteReference w:id="12"/>
      </w:r>
      <w:r w:rsidRPr="00EE0353">
        <w:rPr>
          <w:rFonts w:ascii="Verdana" w:eastAsia="Calibri" w:hAnsi="Verdana" w:cs="Arial"/>
          <w:sz w:val="20"/>
          <w:szCs w:val="20"/>
        </w:rPr>
        <w:t>”</w:t>
      </w:r>
    </w:p>
    <w:p w14:paraId="46E663DD" w14:textId="77777777" w:rsidR="00C72CCA" w:rsidRPr="00EE0353" w:rsidRDefault="00C72CCA" w:rsidP="00C72CCA">
      <w:pPr>
        <w:spacing w:after="0" w:line="276" w:lineRule="auto"/>
        <w:ind w:firstLine="567"/>
        <w:jc w:val="both"/>
        <w:rPr>
          <w:rFonts w:ascii="Verdana" w:eastAsia="Calibri" w:hAnsi="Verdana" w:cs="Arial"/>
          <w:lang w:val="es-ES"/>
        </w:rPr>
      </w:pPr>
    </w:p>
    <w:p w14:paraId="0F9202FC" w14:textId="77777777" w:rsidR="00C72CCA" w:rsidRDefault="00C72CCA" w:rsidP="00C72CCA">
      <w:pPr>
        <w:spacing w:after="120" w:line="276" w:lineRule="auto"/>
        <w:ind w:firstLine="567"/>
        <w:jc w:val="both"/>
        <w:rPr>
          <w:rFonts w:ascii="Verdana" w:eastAsia="Calibri" w:hAnsi="Verdana" w:cs="Arial"/>
          <w:lang w:val="es-ES"/>
        </w:rPr>
      </w:pPr>
      <w:r w:rsidRPr="00EE0353">
        <w:rPr>
          <w:rFonts w:ascii="Verdana" w:eastAsia="Calibri" w:hAnsi="Verdana" w:cs="Arial"/>
          <w:lang w:val="es-ES"/>
        </w:rPr>
        <w:lastRenderedPageBreak/>
        <w:t xml:space="preserve">Así las cosas, </w:t>
      </w:r>
      <w:r w:rsidRPr="00EE0353">
        <w:rPr>
          <w:rFonts w:ascii="Verdana" w:eastAsia="Calibri" w:hAnsi="Verdana" w:cs="Arial"/>
        </w:rPr>
        <w:t>el rechazo de la aprobación en el SECOP II no afecta el perfeccionamiento ni la existencia del contrato, ya que, como se explicó, para ese momento el contrato existe, independientemente de que el contratista rechace la aprobación en la plataforma. No obstante, el contratista debe aprobarlo en el SECOP II para garantizar su publicidad y poder llevar a cabo los trámites relacionados con los requisitos de ejecución contractual</w:t>
      </w:r>
      <w:r w:rsidRPr="00EE0353">
        <w:rPr>
          <w:rFonts w:ascii="Verdana" w:eastAsia="Calibri" w:hAnsi="Verdana" w:cs="Arial"/>
          <w:lang w:val="es-ES"/>
        </w:rPr>
        <w:t>.</w:t>
      </w:r>
    </w:p>
    <w:p w14:paraId="4EB77216" w14:textId="1B640A51" w:rsidR="00C72CCA" w:rsidRPr="00EE0353" w:rsidRDefault="00C72CCA" w:rsidP="00C72CCA">
      <w:pPr>
        <w:spacing w:after="120" w:line="276" w:lineRule="auto"/>
        <w:ind w:firstLine="567"/>
        <w:jc w:val="both"/>
        <w:rPr>
          <w:rFonts w:ascii="Verdana" w:eastAsia="Calibri" w:hAnsi="Verdana" w:cs="Arial"/>
          <w:lang w:val="es-ES"/>
        </w:rPr>
      </w:pPr>
      <w:r>
        <w:rPr>
          <w:rFonts w:ascii="Verdana" w:eastAsia="Calibri" w:hAnsi="Verdana" w:cs="Arial"/>
          <w:lang w:val="es-ES"/>
        </w:rPr>
        <w:t xml:space="preserve">En conclusión, </w:t>
      </w:r>
      <w:r>
        <w:rPr>
          <w:rFonts w:ascii="Verdana" w:eastAsia="Calibri" w:hAnsi="Verdana" w:cs="Arial"/>
        </w:rPr>
        <w:t>l</w:t>
      </w:r>
      <w:r w:rsidRPr="008D710C">
        <w:rPr>
          <w:rFonts w:ascii="Verdana" w:eastAsia="Calibri" w:hAnsi="Verdana" w:cs="Arial"/>
        </w:rPr>
        <w:t>a invitación pública para participar en un proceso de mínima cuantía no está sujeta a que sea elaborada exclusivamente por la misma persona o dependencia que realizó los estudios previos. Si bien estos estudios constituyen la base técnica y justificativa del proceso de selección, la normativa no exige que quien los elabora sea el mismo que suscribe la invitación. De acuerdo con el reglamento interno de la entidad y el principio de autonomía administrativa, la invitación puede ser firmada por el ordenador del gasto –como el alcalde municipal o su delegado–, siempre que se cumplan los procedimientos establecidos en el Decreto 1082 de 2015 y el Decreto 1860 de 2021. Lo esencial es que la invitación refleje fielmente los estudios previos y garantice los principios de transparencia y selección objetiva en la contratación pública.</w:t>
      </w:r>
    </w:p>
    <w:p w14:paraId="189BAEC5" w14:textId="77777777" w:rsidR="00C72CCA" w:rsidRPr="00EE0353" w:rsidRDefault="00C72CCA" w:rsidP="00C72CCA">
      <w:pPr>
        <w:widowControl w:val="0"/>
        <w:autoSpaceDE w:val="0"/>
        <w:autoSpaceDN w:val="0"/>
        <w:spacing w:after="0" w:line="276" w:lineRule="auto"/>
        <w:jc w:val="both"/>
        <w:rPr>
          <w:rFonts w:ascii="Verdana" w:hAnsi="Verdana" w:cs="Arial"/>
          <w:color w:val="000000" w:themeColor="text1"/>
          <w:lang w:val="es-ES"/>
        </w:rPr>
      </w:pPr>
    </w:p>
    <w:p w14:paraId="278C84C6" w14:textId="77777777" w:rsidR="00C72CCA" w:rsidRPr="00115E3D" w:rsidRDefault="00C72CCA" w:rsidP="00C72CC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54CE652A" w14:textId="77777777" w:rsidR="00C72CCA" w:rsidRPr="00115E3D" w:rsidRDefault="00C72CCA" w:rsidP="00C72CCA">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2CCA" w:rsidRPr="00115E3D" w14:paraId="04FB7D1E" w14:textId="77777777" w:rsidTr="00C72CCA">
        <w:trPr>
          <w:trHeight w:val="870"/>
        </w:trPr>
        <w:tc>
          <w:tcPr>
            <w:tcW w:w="8647" w:type="dxa"/>
          </w:tcPr>
          <w:p w14:paraId="5FE569AE" w14:textId="77777777" w:rsidR="00C72CCA" w:rsidRPr="00EE0353" w:rsidRDefault="00C72CCA" w:rsidP="00C72CCA">
            <w:pPr>
              <w:pStyle w:val="Prrafodelista"/>
              <w:numPr>
                <w:ilvl w:val="0"/>
                <w:numId w:val="2"/>
              </w:numPr>
              <w:spacing w:after="120"/>
              <w:rPr>
                <w:rFonts w:ascii="Verdana" w:hAnsi="Verdana" w:cs="Arial"/>
              </w:rPr>
            </w:pPr>
            <w:r w:rsidRPr="007F4CB0">
              <w:rPr>
                <w:rFonts w:ascii="Verdana" w:hAnsi="Verdana" w:cs="Arial"/>
              </w:rPr>
              <w:t xml:space="preserve"> </w:t>
            </w:r>
            <w:r w:rsidRPr="00EE0353">
              <w:rPr>
                <w:rFonts w:ascii="Verdana" w:hAnsi="Verdana" w:cs="Arial"/>
              </w:rPr>
              <w:t>Ley 1150 de 2007: artículo 2, numeral 5, literal d.</w:t>
            </w:r>
          </w:p>
          <w:p w14:paraId="7F142BBF" w14:textId="77777777" w:rsidR="00C72CCA" w:rsidRPr="00EE0353" w:rsidRDefault="00C72CCA" w:rsidP="00C72CCA">
            <w:pPr>
              <w:pStyle w:val="Prrafodelista"/>
              <w:numPr>
                <w:ilvl w:val="0"/>
                <w:numId w:val="2"/>
              </w:numPr>
              <w:spacing w:after="120"/>
              <w:rPr>
                <w:rFonts w:ascii="Verdana" w:hAnsi="Verdana" w:cs="Arial"/>
              </w:rPr>
            </w:pPr>
            <w:r w:rsidRPr="00EE0353">
              <w:rPr>
                <w:rFonts w:ascii="Verdana" w:hAnsi="Verdana" w:cs="Arial"/>
              </w:rPr>
              <w:t>Ley 2069 de 2020: artículo 30</w:t>
            </w:r>
          </w:p>
          <w:p w14:paraId="643CA10E" w14:textId="3D828B3E" w:rsidR="00C72CCA" w:rsidRPr="00EE0353" w:rsidRDefault="00C72CCA" w:rsidP="00C72CCA">
            <w:pPr>
              <w:pStyle w:val="Prrafodelista"/>
              <w:numPr>
                <w:ilvl w:val="0"/>
                <w:numId w:val="2"/>
              </w:numPr>
              <w:spacing w:after="120"/>
              <w:contextualSpacing w:val="0"/>
              <w:rPr>
                <w:rFonts w:ascii="Verdana" w:hAnsi="Verdana" w:cs="Arial"/>
              </w:rPr>
            </w:pPr>
            <w:r w:rsidRPr="00EE0353">
              <w:rPr>
                <w:rFonts w:ascii="Verdana" w:hAnsi="Verdana" w:cs="Arial"/>
              </w:rPr>
              <w:t xml:space="preserve">Decreto 1082 del 2015: artículos 2.2.1.2.1.5.1. al 2.2.1.2.1.5.4 y 2.2.1.2.3.1.6 </w:t>
            </w:r>
          </w:p>
        </w:tc>
      </w:tr>
    </w:tbl>
    <w:p w14:paraId="3EFB9202" w14:textId="77777777" w:rsidR="00C72CCA" w:rsidRPr="00115E3D" w:rsidRDefault="00C72CCA" w:rsidP="00C72CCA">
      <w:pPr>
        <w:widowControl w:val="0"/>
        <w:autoSpaceDE w:val="0"/>
        <w:autoSpaceDN w:val="0"/>
        <w:spacing w:after="0" w:line="276" w:lineRule="auto"/>
        <w:jc w:val="both"/>
        <w:rPr>
          <w:rFonts w:ascii="Verdana" w:hAnsi="Verdana" w:cs="Arial"/>
          <w:color w:val="000000" w:themeColor="text1"/>
        </w:rPr>
      </w:pPr>
    </w:p>
    <w:p w14:paraId="541D33B6" w14:textId="77777777" w:rsidR="00C72CCA" w:rsidRPr="00115E3D" w:rsidRDefault="00C72CCA" w:rsidP="00C72CCA">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7F55B6EA" w14:textId="77777777" w:rsidR="00C72CCA" w:rsidRPr="00115E3D" w:rsidRDefault="00C72CCA" w:rsidP="00C72CCA">
      <w:pPr>
        <w:widowControl w:val="0"/>
        <w:autoSpaceDE w:val="0"/>
        <w:autoSpaceDN w:val="0"/>
        <w:spacing w:after="0" w:line="276" w:lineRule="auto"/>
        <w:jc w:val="both"/>
        <w:rPr>
          <w:rFonts w:ascii="Verdana" w:hAnsi="Verdana" w:cs="Arial"/>
          <w:color w:val="000000" w:themeColor="text1"/>
        </w:rPr>
      </w:pPr>
    </w:p>
    <w:p w14:paraId="65221CA0" w14:textId="77777777" w:rsidR="00C72CCA" w:rsidRPr="000E46C3" w:rsidRDefault="00C72CCA" w:rsidP="00C72CCA">
      <w:pPr>
        <w:widowControl w:val="0"/>
        <w:autoSpaceDE w:val="0"/>
        <w:autoSpaceDN w:val="0"/>
        <w:spacing w:after="0" w:line="276" w:lineRule="auto"/>
        <w:jc w:val="both"/>
        <w:rPr>
          <w:rFonts w:ascii="Verdana" w:eastAsia="Arial" w:hAnsi="Verdana" w:cs="Arial"/>
          <w:lang w:val="es-MX" w:eastAsia="es-ES_tradnl"/>
        </w:rPr>
      </w:pPr>
      <w:r w:rsidRPr="000E46C3">
        <w:rPr>
          <w:rFonts w:ascii="Verdana" w:eastAsia="Calibri" w:hAnsi="Verdana" w:cs="Arial"/>
          <w:color w:val="000000" w:themeColor="text1"/>
          <w:lang w:eastAsia="es-ES_tradnl"/>
        </w:rPr>
        <w:t xml:space="preserve">La Agencia Nacional de Contratación Pública – Colombia Compra Eficiente </w:t>
      </w:r>
      <w:r w:rsidRPr="000E46C3">
        <w:rPr>
          <w:rFonts w:ascii="Verdana" w:eastAsia="Arial" w:hAnsi="Verdana" w:cs="Arial"/>
          <w:lang w:val="es-MX" w:eastAsia="es-ES_tradnl"/>
        </w:rPr>
        <w:t>ha analizado</w:t>
      </w:r>
      <w:r w:rsidRPr="000E46C3">
        <w:rPr>
          <w:rFonts w:ascii="Arial" w:eastAsia="Calibri" w:hAnsi="Arial" w:cs="Arial"/>
          <w:bCs/>
          <w:color w:val="000000" w:themeColor="text1"/>
          <w:lang w:val="es-ES_tradnl"/>
        </w:rPr>
        <w:t xml:space="preserve"> </w:t>
      </w:r>
      <w:r w:rsidRPr="000E46C3">
        <w:rPr>
          <w:rFonts w:ascii="Verdana" w:eastAsia="Arial" w:hAnsi="Verdana" w:cs="Arial"/>
          <w:bCs/>
          <w:lang w:val="es-ES_tradnl" w:eastAsia="es-ES_tradnl"/>
        </w:rPr>
        <w:t>particularidades de la modalidad de selección de mínima cuantía en los conceptos con radicado No. 2201913000006236 de 26 de agosto de 2019, C–108 del 3 de marzo de 2020, C–121 del 3 de marzo de 2020, C–122 del 25 de marzo de 2020 y C–160 del 3 de abril de 2020, C-465 del 27 de julio de 2020, C-557 del 21 de agosto de 2020, C-734 del 16 de diciembre de 2020 y C-123 del 12 de mayo de 2023</w:t>
      </w:r>
      <w:r w:rsidRPr="000E46C3">
        <w:rPr>
          <w:rFonts w:ascii="Verdana" w:hAnsi="Verdana" w:cs="Arial"/>
          <w:shd w:val="clear" w:color="auto" w:fill="FFFFFF"/>
          <w:lang w:val="es-ES"/>
        </w:rPr>
        <w:t>. Es</w:t>
      </w:r>
      <w:r w:rsidRPr="000E46C3">
        <w:rPr>
          <w:rFonts w:ascii="Verdana" w:hAnsi="Verdana"/>
        </w:rPr>
        <w:t xml:space="preserve">tos y otros conceptos se encuentran disponibles para consulta en el Sistema de relatoría de la Agencia, al cual se puede acceder a </w:t>
      </w:r>
      <w:r w:rsidRPr="000E46C3">
        <w:rPr>
          <w:rFonts w:ascii="Verdana" w:hAnsi="Verdana"/>
        </w:rPr>
        <w:lastRenderedPageBreak/>
        <w:t>través del siguiente enlace:</w:t>
      </w:r>
      <w:r w:rsidRPr="000E46C3">
        <w:rPr>
          <w:rFonts w:ascii="Verdana" w:hAnsi="Verdana" w:cs="Arial"/>
          <w:shd w:val="clear" w:color="auto" w:fill="FFFFFF"/>
          <w:lang w:val="es-ES"/>
        </w:rPr>
        <w:t xml:space="preserve"> </w:t>
      </w:r>
      <w:hyperlink r:id="rId10" w:history="1">
        <w:r w:rsidRPr="000E46C3">
          <w:rPr>
            <w:rFonts w:ascii="Verdana" w:hAnsi="Verdana" w:cs="Arial"/>
            <w:color w:val="467886" w:themeColor="hyperlink"/>
            <w:u w:val="single"/>
            <w:shd w:val="clear" w:color="auto" w:fill="FFFFFF"/>
            <w:lang w:val="es-ES"/>
          </w:rPr>
          <w:t>https://relatoria.colombiacompra.gov.co/busqueda/conceptos</w:t>
        </w:r>
      </w:hyperlink>
      <w:r w:rsidRPr="000E46C3">
        <w:rPr>
          <w:rFonts w:ascii="Verdana" w:hAnsi="Verdana" w:cs="Arial"/>
          <w:shd w:val="clear" w:color="auto" w:fill="FFFFFF"/>
          <w:lang w:val="es-ES"/>
        </w:rPr>
        <w:t>.</w:t>
      </w:r>
      <w:r w:rsidRPr="000E46C3">
        <w:rPr>
          <w:rFonts w:ascii="Verdana" w:hAnsi="Verdana" w:cs="Arial"/>
          <w:color w:val="FF0000"/>
          <w:shd w:val="clear" w:color="auto" w:fill="FFFFFF"/>
          <w:lang w:val="es-ES"/>
        </w:rPr>
        <w:t xml:space="preserve"> </w:t>
      </w:r>
      <w:r w:rsidRPr="000E46C3">
        <w:rPr>
          <w:rFonts w:ascii="Verdana" w:hAnsi="Verdana" w:cs="Arial"/>
          <w:color w:val="000000" w:themeColor="text1"/>
          <w:shd w:val="clear" w:color="auto" w:fill="FFFFFF"/>
        </w:rPr>
        <w:t>  </w:t>
      </w:r>
    </w:p>
    <w:p w14:paraId="16571B22" w14:textId="742C5E14" w:rsidR="00C72CCA" w:rsidRPr="00D509A6" w:rsidRDefault="00C72CCA" w:rsidP="00C72CCA">
      <w:pPr>
        <w:widowControl w:val="0"/>
        <w:autoSpaceDE w:val="0"/>
        <w:autoSpaceDN w:val="0"/>
        <w:spacing w:after="0" w:line="276" w:lineRule="auto"/>
        <w:jc w:val="both"/>
        <w:rPr>
          <w:rStyle w:val="normaltextrun"/>
          <w:rFonts w:ascii="Verdana" w:hAnsi="Verdana" w:cs="Arial"/>
          <w:color w:val="000000" w:themeColor="text1"/>
          <w:shd w:val="clear" w:color="auto" w:fill="FFFFFF"/>
          <w:lang w:val="es-MX"/>
        </w:rPr>
      </w:pPr>
    </w:p>
    <w:p w14:paraId="26B89F06" w14:textId="77777777" w:rsidR="00C72CCA" w:rsidRPr="00115E3D" w:rsidRDefault="00C72CCA" w:rsidP="00C72CCA">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4EA7CB34" w14:textId="7F228C8A" w:rsidR="00C72CCA" w:rsidRPr="00115E3D" w:rsidRDefault="00C72CCA" w:rsidP="00C72CCA">
      <w:pPr>
        <w:spacing w:after="0" w:line="240" w:lineRule="auto"/>
        <w:jc w:val="both"/>
        <w:rPr>
          <w:rFonts w:ascii="Verdana" w:hAnsi="Verdana"/>
          <w:color w:val="000000" w:themeColor="text1"/>
        </w:rPr>
      </w:pPr>
      <w:r>
        <w:rPr>
          <w:rFonts w:ascii="Verdana" w:hAnsi="Verdana"/>
          <w:color w:val="000000" w:themeColor="text1"/>
          <w:lang w:val="es-ES"/>
        </w:rPr>
        <w:t>L</w:t>
      </w:r>
      <w:r w:rsidRPr="00115E3D">
        <w:rPr>
          <w:rFonts w:ascii="Verdana" w:hAnsi="Verdana"/>
          <w:color w:val="000000" w:themeColor="text1"/>
        </w:rPr>
        <w:t xml:space="preserve">o invitamos a seguirnos en las redes sociales en las cuales se difunde información institucional: </w:t>
      </w:r>
    </w:p>
    <w:p w14:paraId="162B6D19" w14:textId="77777777" w:rsidR="00C72CCA" w:rsidRPr="00115E3D" w:rsidRDefault="00C72CCA" w:rsidP="00C72CCA">
      <w:pPr>
        <w:spacing w:after="0" w:line="240" w:lineRule="auto"/>
        <w:jc w:val="both"/>
        <w:rPr>
          <w:rFonts w:ascii="Verdana" w:hAnsi="Verdana"/>
          <w:color w:val="000000" w:themeColor="text1"/>
        </w:rPr>
      </w:pPr>
    </w:p>
    <w:p w14:paraId="1B051E71" w14:textId="77777777" w:rsidR="00C72CCA" w:rsidRPr="00115E3D" w:rsidRDefault="00C72CCA" w:rsidP="00C72CCA">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2E6D9E08" w14:textId="77777777" w:rsidR="00C72CCA" w:rsidRPr="00115E3D" w:rsidRDefault="00C72CCA" w:rsidP="00C72CCA">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3E546F99" w14:textId="77777777" w:rsidR="00C72CCA" w:rsidRPr="00115E3D" w:rsidRDefault="00C72CCA" w:rsidP="00C72CCA">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484A207D" w14:textId="77777777" w:rsidR="00C72CCA" w:rsidRPr="00115E3D" w:rsidRDefault="00C72CCA" w:rsidP="00C72CCA">
      <w:pPr>
        <w:widowControl w:val="0"/>
        <w:autoSpaceDE w:val="0"/>
        <w:autoSpaceDN w:val="0"/>
        <w:spacing w:after="0" w:line="276" w:lineRule="auto"/>
        <w:jc w:val="both"/>
        <w:rPr>
          <w:rFonts w:ascii="Verdana" w:hAnsi="Verdana" w:cs="Arial"/>
          <w:color w:val="000000" w:themeColor="text1"/>
        </w:rPr>
      </w:pPr>
    </w:p>
    <w:p w14:paraId="5ECD486E" w14:textId="77777777" w:rsidR="00C72CCA" w:rsidRPr="00115E3D" w:rsidRDefault="00C72CCA" w:rsidP="00C72CCA">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046088D2" w14:textId="77777777" w:rsidR="00C72CCA" w:rsidRPr="00115E3D" w:rsidRDefault="00C72CCA" w:rsidP="00C72CCA">
      <w:pPr>
        <w:widowControl w:val="0"/>
        <w:autoSpaceDE w:val="0"/>
        <w:autoSpaceDN w:val="0"/>
        <w:spacing w:after="0" w:line="276" w:lineRule="auto"/>
        <w:jc w:val="both"/>
        <w:rPr>
          <w:rFonts w:ascii="Verdana" w:hAnsi="Verdana" w:cs="Arial"/>
          <w:color w:val="000000" w:themeColor="text1"/>
        </w:rPr>
      </w:pPr>
    </w:p>
    <w:p w14:paraId="066D8023" w14:textId="77777777" w:rsidR="00C72CCA" w:rsidRPr="00115E3D" w:rsidRDefault="00C72CCA" w:rsidP="00C72CCA">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31D979C2" w14:textId="3BDBC5A2" w:rsidR="00C72CCA" w:rsidRPr="00115E3D" w:rsidRDefault="007D7BDF" w:rsidP="00C72CCA">
      <w:pPr>
        <w:spacing w:line="276" w:lineRule="auto"/>
        <w:jc w:val="center"/>
        <w:rPr>
          <w:rFonts w:ascii="Verdana" w:hAnsi="Verdana" w:cs="Arial"/>
          <w:color w:val="000000" w:themeColor="text1"/>
          <w:lang w:val="es-ES_tradnl" w:eastAsia="es-CO"/>
        </w:rPr>
      </w:pPr>
      <w:r>
        <w:rPr>
          <w:noProof/>
        </w:rPr>
        <w:drawing>
          <wp:inline distT="0" distB="0" distL="0" distR="0" wp14:anchorId="64C70A97" wp14:editId="3EDFA130">
            <wp:extent cx="3658074" cy="1235948"/>
            <wp:effectExtent l="0" t="0" r="0"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1"/>
                    <a:stretch>
                      <a:fillRect/>
                    </a:stretch>
                  </pic:blipFill>
                  <pic:spPr>
                    <a:xfrm>
                      <a:off x="0" y="0"/>
                      <a:ext cx="3680901" cy="124366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72CCA" w:rsidRPr="0080053F" w14:paraId="63C4785E" w14:textId="77777777" w:rsidTr="00C72CCA">
        <w:trPr>
          <w:trHeight w:val="315"/>
        </w:trPr>
        <w:tc>
          <w:tcPr>
            <w:tcW w:w="893" w:type="dxa"/>
            <w:vAlign w:val="center"/>
            <w:hideMark/>
          </w:tcPr>
          <w:p w14:paraId="3AC27F0E" w14:textId="77777777" w:rsidR="00C72CCA" w:rsidRPr="0080053F" w:rsidRDefault="00C72CCA" w:rsidP="00C72CCA">
            <w:pPr>
              <w:contextualSpacing/>
              <w:rPr>
                <w:rFonts w:ascii="Verdana" w:hAnsi="Verdana" w:cs="Arial"/>
                <w:color w:val="000000" w:themeColor="text1"/>
                <w:sz w:val="14"/>
                <w:szCs w:val="14"/>
                <w:lang w:val="es-ES" w:eastAsia="es-ES"/>
              </w:rPr>
            </w:pPr>
            <w:r w:rsidRPr="0080053F">
              <w:rPr>
                <w:rFonts w:ascii="Verdana" w:hAnsi="Verdana" w:cs="Arial"/>
                <w:color w:val="000000" w:themeColor="text1"/>
                <w:sz w:val="14"/>
                <w:szCs w:val="14"/>
                <w:lang w:val="es-ES" w:eastAsia="es-ES"/>
              </w:rPr>
              <w:t>Elaboró:</w:t>
            </w:r>
          </w:p>
        </w:tc>
        <w:tc>
          <w:tcPr>
            <w:tcW w:w="5628" w:type="dxa"/>
            <w:tcBorders>
              <w:top w:val="nil"/>
              <w:left w:val="nil"/>
              <w:bottom w:val="dotted" w:sz="4" w:space="0" w:color="7F7F7F" w:themeColor="text1" w:themeTint="80"/>
              <w:right w:val="nil"/>
            </w:tcBorders>
            <w:vAlign w:val="center"/>
            <w:hideMark/>
          </w:tcPr>
          <w:p w14:paraId="529101C5" w14:textId="77777777" w:rsidR="00C72CCA" w:rsidRPr="0080053F" w:rsidRDefault="00C72CCA" w:rsidP="00C72CCA">
            <w:pPr>
              <w:contextualSpacing/>
              <w:rPr>
                <w:rFonts w:ascii="Verdana" w:eastAsia="Arial" w:hAnsi="Verdana" w:cs="Arial"/>
                <w:color w:val="000000" w:themeColor="text1"/>
                <w:sz w:val="14"/>
                <w:szCs w:val="14"/>
              </w:rPr>
            </w:pPr>
            <w:r w:rsidRPr="0080053F">
              <w:rPr>
                <w:rFonts w:ascii="Verdana" w:eastAsia="Arial" w:hAnsi="Verdana" w:cs="Arial"/>
                <w:color w:val="000000" w:themeColor="text1"/>
                <w:sz w:val="14"/>
                <w:szCs w:val="14"/>
              </w:rPr>
              <w:t xml:space="preserve">Andreina Cerpa Muñoz </w:t>
            </w:r>
          </w:p>
          <w:p w14:paraId="1FFDB98F" w14:textId="77777777" w:rsidR="00C72CCA" w:rsidRPr="0080053F" w:rsidRDefault="00C72CCA" w:rsidP="00C72CCA">
            <w:pPr>
              <w:contextualSpacing/>
              <w:rPr>
                <w:rFonts w:ascii="Verdana" w:eastAsia="Arial" w:hAnsi="Verdana" w:cs="Arial"/>
                <w:color w:val="000000" w:themeColor="text1"/>
                <w:sz w:val="14"/>
                <w:szCs w:val="14"/>
              </w:rPr>
            </w:pPr>
            <w:r w:rsidRPr="0080053F">
              <w:rPr>
                <w:rStyle w:val="normaltextrun"/>
                <w:rFonts w:ascii="Verdana" w:eastAsia="Arial" w:hAnsi="Verdana" w:cs="Arial"/>
                <w:color w:val="000000" w:themeColor="text1"/>
                <w:sz w:val="14"/>
                <w:szCs w:val="14"/>
              </w:rPr>
              <w:t>Analista T2-02 de la Subdirección de Gestión Contractual</w:t>
            </w:r>
          </w:p>
        </w:tc>
      </w:tr>
      <w:tr w:rsidR="00C72CCA" w:rsidRPr="0080053F" w14:paraId="0921E9D9" w14:textId="77777777" w:rsidTr="00C72CCA">
        <w:trPr>
          <w:trHeight w:val="330"/>
        </w:trPr>
        <w:tc>
          <w:tcPr>
            <w:tcW w:w="893" w:type="dxa"/>
            <w:vAlign w:val="center"/>
            <w:hideMark/>
          </w:tcPr>
          <w:p w14:paraId="034A8AB0" w14:textId="77777777" w:rsidR="00C72CCA" w:rsidRPr="0080053F" w:rsidRDefault="00C72CCA" w:rsidP="00C72CCA">
            <w:pPr>
              <w:contextualSpacing/>
              <w:rPr>
                <w:rFonts w:ascii="Verdana" w:hAnsi="Verdana" w:cs="Arial"/>
                <w:color w:val="000000" w:themeColor="text1"/>
                <w:sz w:val="14"/>
                <w:szCs w:val="14"/>
                <w:lang w:val="es-ES" w:eastAsia="es-ES"/>
              </w:rPr>
            </w:pPr>
            <w:r w:rsidRPr="0080053F">
              <w:rPr>
                <w:rFonts w:ascii="Verdana" w:hAnsi="Verdana" w:cs="Arial"/>
                <w:color w:val="000000" w:themeColor="text1"/>
                <w:sz w:val="14"/>
                <w:szCs w:val="14"/>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B741ED" w14:textId="77777777" w:rsidR="00C72CCA" w:rsidRPr="0080053F" w:rsidRDefault="00C72CCA" w:rsidP="00C72CCA">
            <w:pPr>
              <w:pStyle w:val="paragraph"/>
              <w:spacing w:before="0" w:beforeAutospacing="0" w:after="0" w:afterAutospacing="0"/>
              <w:contextualSpacing/>
              <w:textAlignment w:val="baseline"/>
              <w:rPr>
                <w:rFonts w:ascii="Verdana" w:hAnsi="Verdana" w:cs="Segoe UI"/>
                <w:color w:val="000000" w:themeColor="text1"/>
                <w:sz w:val="14"/>
                <w:szCs w:val="14"/>
              </w:rPr>
            </w:pPr>
            <w:r w:rsidRPr="0080053F">
              <w:rPr>
                <w:rFonts w:ascii="Verdana" w:hAnsi="Verdana" w:cs="Segoe UI"/>
                <w:color w:val="000000" w:themeColor="text1"/>
                <w:sz w:val="14"/>
                <w:szCs w:val="14"/>
              </w:rPr>
              <w:t xml:space="preserve">Juan Carlos González </w:t>
            </w:r>
          </w:p>
          <w:p w14:paraId="5A68FF95" w14:textId="77777777" w:rsidR="00C72CCA" w:rsidRPr="0080053F" w:rsidRDefault="00C72CCA" w:rsidP="00C72CCA">
            <w:pPr>
              <w:pStyle w:val="paragraph"/>
              <w:spacing w:before="0" w:beforeAutospacing="0" w:after="0" w:afterAutospacing="0"/>
              <w:contextualSpacing/>
              <w:textAlignment w:val="baseline"/>
              <w:rPr>
                <w:rFonts w:ascii="Verdana" w:hAnsi="Verdana" w:cs="Segoe UI"/>
                <w:color w:val="000000" w:themeColor="text1"/>
                <w:sz w:val="14"/>
                <w:szCs w:val="14"/>
              </w:rPr>
            </w:pPr>
            <w:r w:rsidRPr="0080053F">
              <w:rPr>
                <w:rStyle w:val="normaltextrun"/>
                <w:rFonts w:ascii="Verdana" w:hAnsi="Verdana" w:cs="Arial"/>
                <w:color w:val="000000" w:themeColor="text1"/>
                <w:sz w:val="14"/>
                <w:szCs w:val="14"/>
                <w:lang w:val="es-ES"/>
              </w:rPr>
              <w:t>Contratista de la Subdirección de Gestión Contractual</w:t>
            </w:r>
            <w:r w:rsidRPr="0080053F">
              <w:rPr>
                <w:rStyle w:val="eop"/>
                <w:rFonts w:ascii="Verdana" w:hAnsi="Verdana" w:cs="Arial"/>
                <w:color w:val="000000" w:themeColor="text1"/>
                <w:sz w:val="14"/>
                <w:szCs w:val="14"/>
              </w:rPr>
              <w:t> </w:t>
            </w:r>
          </w:p>
        </w:tc>
      </w:tr>
      <w:tr w:rsidR="00C72CCA" w:rsidRPr="0080053F" w14:paraId="239DDF8C" w14:textId="77777777" w:rsidTr="00C72CCA">
        <w:trPr>
          <w:trHeight w:val="300"/>
        </w:trPr>
        <w:tc>
          <w:tcPr>
            <w:tcW w:w="893" w:type="dxa"/>
            <w:vAlign w:val="center"/>
          </w:tcPr>
          <w:p w14:paraId="7514E0D4" w14:textId="77777777" w:rsidR="00C72CCA" w:rsidRPr="0080053F" w:rsidRDefault="00C72CCA" w:rsidP="00C72CCA">
            <w:pPr>
              <w:contextualSpacing/>
              <w:rPr>
                <w:rFonts w:ascii="Verdana" w:hAnsi="Verdana" w:cs="Arial"/>
                <w:color w:val="000000" w:themeColor="text1"/>
                <w:sz w:val="14"/>
                <w:szCs w:val="14"/>
                <w:lang w:val="es-ES" w:eastAsia="es-ES"/>
              </w:rPr>
            </w:pPr>
            <w:r w:rsidRPr="0080053F">
              <w:rPr>
                <w:rFonts w:ascii="Verdana" w:hAnsi="Verdana" w:cs="Arial"/>
                <w:color w:val="000000" w:themeColor="text1"/>
                <w:sz w:val="14"/>
                <w:szCs w:val="14"/>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020B4B" w14:textId="77777777" w:rsidR="00C72CCA" w:rsidRPr="0080053F" w:rsidRDefault="00C72CCA" w:rsidP="00C72CCA">
            <w:pPr>
              <w:contextualSpacing/>
              <w:rPr>
                <w:rFonts w:ascii="Verdana" w:eastAsia="Calibri" w:hAnsi="Verdana" w:cs="Arial"/>
                <w:color w:val="000000" w:themeColor="text1"/>
                <w:sz w:val="14"/>
                <w:szCs w:val="14"/>
                <w:lang w:val="pt-BR" w:eastAsia="es-ES"/>
              </w:rPr>
            </w:pPr>
            <w:r w:rsidRPr="0080053F">
              <w:rPr>
                <w:rFonts w:ascii="Verdana" w:eastAsia="Calibri" w:hAnsi="Verdana" w:cs="Arial"/>
                <w:color w:val="000000" w:themeColor="text1"/>
                <w:sz w:val="14"/>
                <w:szCs w:val="14"/>
                <w:lang w:val="pt-BR" w:eastAsia="es-ES"/>
              </w:rPr>
              <w:t xml:space="preserve">Carolina Quintero </w:t>
            </w:r>
            <w:proofErr w:type="spellStart"/>
            <w:r w:rsidRPr="0080053F">
              <w:rPr>
                <w:rFonts w:ascii="Verdana" w:eastAsia="Calibri" w:hAnsi="Verdana" w:cs="Arial"/>
                <w:color w:val="000000" w:themeColor="text1"/>
                <w:sz w:val="14"/>
                <w:szCs w:val="14"/>
                <w:lang w:val="pt-BR" w:eastAsia="es-ES"/>
              </w:rPr>
              <w:t>Gacharná</w:t>
            </w:r>
            <w:proofErr w:type="spellEnd"/>
          </w:p>
          <w:p w14:paraId="127813D7" w14:textId="77777777" w:rsidR="00C72CCA" w:rsidRPr="0080053F" w:rsidRDefault="00C72CCA" w:rsidP="00C72CCA">
            <w:pPr>
              <w:contextualSpacing/>
              <w:rPr>
                <w:rFonts w:ascii="Verdana" w:eastAsia="Calibri" w:hAnsi="Verdana" w:cs="Arial"/>
                <w:color w:val="000000" w:themeColor="text1"/>
                <w:sz w:val="14"/>
                <w:szCs w:val="14"/>
                <w:lang w:val="pt-BR" w:eastAsia="es-ES"/>
              </w:rPr>
            </w:pPr>
            <w:r w:rsidRPr="0080053F">
              <w:rPr>
                <w:rFonts w:ascii="Verdana" w:eastAsia="Calibri" w:hAnsi="Verdana" w:cs="Arial"/>
                <w:color w:val="000000" w:themeColor="text1"/>
                <w:sz w:val="14"/>
                <w:szCs w:val="14"/>
                <w:lang w:eastAsia="es-ES"/>
              </w:rPr>
              <w:t>Subdirectora</w:t>
            </w:r>
            <w:r w:rsidRPr="0080053F">
              <w:rPr>
                <w:rFonts w:ascii="Verdana" w:eastAsia="Calibri" w:hAnsi="Verdana" w:cs="Arial"/>
                <w:color w:val="000000" w:themeColor="text1"/>
                <w:sz w:val="14"/>
                <w:szCs w:val="14"/>
                <w:lang w:val="pt-BR" w:eastAsia="es-ES"/>
              </w:rPr>
              <w:t xml:space="preserve"> de Gestión </w:t>
            </w:r>
            <w:proofErr w:type="spellStart"/>
            <w:r w:rsidRPr="0080053F">
              <w:rPr>
                <w:rFonts w:ascii="Verdana" w:eastAsia="Calibri" w:hAnsi="Verdana" w:cs="Arial"/>
                <w:color w:val="000000" w:themeColor="text1"/>
                <w:sz w:val="14"/>
                <w:szCs w:val="14"/>
                <w:lang w:val="pt-BR" w:eastAsia="es-ES"/>
              </w:rPr>
              <w:t>Contractual</w:t>
            </w:r>
            <w:proofErr w:type="spellEnd"/>
            <w:r w:rsidRPr="0080053F">
              <w:rPr>
                <w:rFonts w:ascii="Verdana" w:eastAsia="Calibri" w:hAnsi="Verdana" w:cs="Arial"/>
                <w:color w:val="000000" w:themeColor="text1"/>
                <w:sz w:val="14"/>
                <w:szCs w:val="14"/>
                <w:lang w:val="pt-BR" w:eastAsia="es-ES"/>
              </w:rPr>
              <w:t xml:space="preserve"> ANCP – CCE</w:t>
            </w:r>
          </w:p>
        </w:tc>
      </w:tr>
    </w:tbl>
    <w:p w14:paraId="7C81FA4F" w14:textId="77777777" w:rsidR="00C72CCA" w:rsidRPr="00115E3D" w:rsidRDefault="00C72CCA" w:rsidP="00C72CCA">
      <w:pPr>
        <w:spacing w:after="0" w:line="240" w:lineRule="auto"/>
        <w:rPr>
          <w:rFonts w:ascii="Verdana" w:eastAsia="Times New Roman" w:hAnsi="Verdana" w:cs="Arial"/>
          <w:color w:val="000000" w:themeColor="text1"/>
          <w:sz w:val="24"/>
          <w:szCs w:val="24"/>
          <w:lang w:eastAsia="es-ES"/>
        </w:rPr>
      </w:pPr>
    </w:p>
    <w:p w14:paraId="216CA498" w14:textId="77777777" w:rsidR="00C72CCA" w:rsidRPr="00115E3D" w:rsidRDefault="00C72CCA" w:rsidP="00C72CCA">
      <w:pPr>
        <w:rPr>
          <w:color w:val="000000" w:themeColor="text1"/>
        </w:rPr>
      </w:pPr>
    </w:p>
    <w:p w14:paraId="0E74C09E" w14:textId="77777777" w:rsidR="00C72CCA" w:rsidRDefault="00C72CCA" w:rsidP="00C72CCA"/>
    <w:p w14:paraId="300E2D17" w14:textId="77777777" w:rsidR="00C72CCA" w:rsidRPr="00241AE6" w:rsidRDefault="00C72CCA" w:rsidP="00C72CCA"/>
    <w:p w14:paraId="194E46A3" w14:textId="77777777" w:rsidR="000F5A42" w:rsidRPr="00C72CCA" w:rsidRDefault="000F5A42" w:rsidP="00C72CCA"/>
    <w:sectPr w:rsidR="000F5A42" w:rsidRPr="00C72CCA" w:rsidSect="00964743">
      <w:headerReference w:type="default" r:id="rId12"/>
      <w:footerReference w:type="default" r:id="rId13"/>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3C26F" w14:textId="77777777" w:rsidR="001359DD" w:rsidRDefault="001359DD" w:rsidP="00964743">
      <w:pPr>
        <w:spacing w:after="0" w:line="240" w:lineRule="auto"/>
      </w:pPr>
      <w:r>
        <w:separator/>
      </w:r>
    </w:p>
  </w:endnote>
  <w:endnote w:type="continuationSeparator" w:id="0">
    <w:p w14:paraId="40BA04D1" w14:textId="77777777" w:rsidR="001359DD" w:rsidRDefault="001359DD" w:rsidP="00964743">
      <w:pPr>
        <w:spacing w:after="0" w:line="240" w:lineRule="auto"/>
      </w:pPr>
      <w:r>
        <w:continuationSeparator/>
      </w:r>
    </w:p>
  </w:endnote>
  <w:endnote w:type="continuationNotice" w:id="1">
    <w:p w14:paraId="29686D18" w14:textId="77777777" w:rsidR="001359DD" w:rsidRDefault="001359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D3C30" w14:textId="77777777" w:rsidR="00EC35B5" w:rsidRDefault="00EC35B5" w:rsidP="00C72CCA">
    <w:pPr>
      <w:spacing w:after="0"/>
      <w:rPr>
        <w:rFonts w:ascii="Verdana" w:hAnsi="Verdana"/>
        <w:b/>
        <w:bCs/>
        <w:sz w:val="20"/>
        <w:szCs w:val="20"/>
      </w:rPr>
    </w:pPr>
  </w:p>
  <w:p w14:paraId="4C9AC0B9" w14:textId="77777777" w:rsidR="00EC35B5" w:rsidRPr="00174B77" w:rsidRDefault="00EC35B5" w:rsidP="00C72CCA">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7E05764" w14:textId="77777777" w:rsidR="00EC35B5" w:rsidRDefault="00EC35B5" w:rsidP="00C72CCA">
    <w:pPr>
      <w:spacing w:after="0"/>
      <w:jc w:val="both"/>
      <w:rPr>
        <w:rFonts w:ascii="Verdana" w:hAnsi="Verdana"/>
        <w:sz w:val="18"/>
        <w:szCs w:val="18"/>
      </w:rPr>
    </w:pPr>
    <w:r w:rsidRPr="00E41027">
      <w:rPr>
        <w:rFonts w:ascii="Verdana" w:hAnsi="Verdana"/>
        <w:sz w:val="18"/>
        <w:szCs w:val="18"/>
      </w:rPr>
      <w:t>Dirección: Carrera 7 # 26 – 20 - Bogotá, Colombia</w:t>
    </w:r>
  </w:p>
  <w:p w14:paraId="24857D88" w14:textId="77777777" w:rsidR="00EC35B5" w:rsidRPr="00E41027" w:rsidRDefault="00EC35B5" w:rsidP="00C72CCA">
    <w:pPr>
      <w:spacing w:after="0"/>
      <w:jc w:val="both"/>
      <w:rPr>
        <w:rFonts w:ascii="Verdana" w:hAnsi="Verdana"/>
        <w:sz w:val="18"/>
        <w:szCs w:val="18"/>
      </w:rPr>
    </w:pPr>
    <w:r w:rsidRPr="00E41027">
      <w:rPr>
        <w:rFonts w:ascii="Verdana" w:hAnsi="Verdana"/>
        <w:sz w:val="18"/>
        <w:szCs w:val="18"/>
      </w:rPr>
      <w:t>Mesa de servicio: (+57) 601 7456788</w:t>
    </w:r>
  </w:p>
  <w:p w14:paraId="302D9AF5" w14:textId="77777777" w:rsidR="00EC35B5" w:rsidRDefault="00EC35B5" w:rsidP="00C72CCA">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609E6698" w14:textId="77777777" w:rsidR="00EC35B5" w:rsidRPr="007D04B2" w:rsidRDefault="00EC35B5" w:rsidP="00C72CCA">
    <w:pPr>
      <w:pStyle w:val="Piedepgina"/>
    </w:pPr>
  </w:p>
  <w:p w14:paraId="37D2BAE6" w14:textId="77777777" w:rsidR="00EC35B5" w:rsidRPr="000849D5" w:rsidRDefault="00EC35B5" w:rsidP="00C72C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6697EF" w14:textId="77777777" w:rsidR="001359DD" w:rsidRDefault="001359DD" w:rsidP="00964743">
      <w:pPr>
        <w:spacing w:after="0" w:line="240" w:lineRule="auto"/>
      </w:pPr>
      <w:r>
        <w:separator/>
      </w:r>
    </w:p>
  </w:footnote>
  <w:footnote w:type="continuationSeparator" w:id="0">
    <w:p w14:paraId="520BF170" w14:textId="77777777" w:rsidR="001359DD" w:rsidRDefault="001359DD" w:rsidP="00964743">
      <w:pPr>
        <w:spacing w:after="0" w:line="240" w:lineRule="auto"/>
      </w:pPr>
      <w:r>
        <w:continuationSeparator/>
      </w:r>
    </w:p>
  </w:footnote>
  <w:footnote w:type="continuationNotice" w:id="1">
    <w:p w14:paraId="656C4927" w14:textId="77777777" w:rsidR="001359DD" w:rsidRDefault="001359DD">
      <w:pPr>
        <w:spacing w:after="0" w:line="240" w:lineRule="auto"/>
      </w:pPr>
    </w:p>
  </w:footnote>
  <w:footnote w:id="2">
    <w:p w14:paraId="45D4FB97" w14:textId="77777777" w:rsidR="00C72CCA" w:rsidRPr="00494FDB" w:rsidRDefault="00C72CCA" w:rsidP="00C72CCA">
      <w:pPr>
        <w:pStyle w:val="Textonotapie"/>
        <w:ind w:firstLine="709"/>
        <w:jc w:val="both"/>
        <w:rPr>
          <w:rFonts w:ascii="Verdana" w:hAnsi="Verdana"/>
          <w:sz w:val="12"/>
          <w:szCs w:val="12"/>
          <w:lang w:val="es-ES_tradnl"/>
        </w:rPr>
      </w:pPr>
      <w:r w:rsidRPr="00494FDB">
        <w:rPr>
          <w:rStyle w:val="Refdenotaalpie"/>
          <w:rFonts w:ascii="Verdana" w:hAnsi="Verdana"/>
          <w:sz w:val="12"/>
          <w:szCs w:val="12"/>
        </w:rPr>
        <w:footnoteRef/>
      </w:r>
      <w:r w:rsidRPr="00494FDB">
        <w:rPr>
          <w:rFonts w:ascii="Verdana" w:hAnsi="Verdana"/>
          <w:sz w:val="12"/>
          <w:szCs w:val="12"/>
        </w:rPr>
        <w:t xml:space="preserve"> </w:t>
      </w:r>
      <w:r w:rsidRPr="00494FDB">
        <w:rPr>
          <w:rFonts w:ascii="Verdana" w:hAnsi="Verdana"/>
          <w:sz w:val="12"/>
          <w:szCs w:val="12"/>
          <w:lang w:val="es-ES_tradnl"/>
        </w:rPr>
        <w:t>Esto lo ratifica el artículo 2.2.1.2.1.5.2. del Decreto 1082 de 2015.</w:t>
      </w:r>
    </w:p>
    <w:p w14:paraId="16C4A893" w14:textId="77777777" w:rsidR="00C72CCA" w:rsidRPr="00494FDB" w:rsidRDefault="00C72CCA" w:rsidP="00C72CCA">
      <w:pPr>
        <w:pStyle w:val="Textonotapie"/>
        <w:ind w:firstLine="709"/>
        <w:jc w:val="both"/>
        <w:rPr>
          <w:rFonts w:ascii="Verdana" w:hAnsi="Verdana"/>
          <w:sz w:val="12"/>
          <w:szCs w:val="12"/>
          <w:lang w:val="es-CO"/>
        </w:rPr>
      </w:pPr>
    </w:p>
  </w:footnote>
  <w:footnote w:id="3">
    <w:p w14:paraId="1183C547" w14:textId="77777777" w:rsidR="00C72CCA" w:rsidRPr="00494FDB" w:rsidRDefault="00C72CCA" w:rsidP="00C72CCA">
      <w:pPr>
        <w:pStyle w:val="Textonotapie"/>
        <w:ind w:firstLine="709"/>
        <w:jc w:val="both"/>
        <w:rPr>
          <w:rFonts w:ascii="Verdana" w:hAnsi="Verdana" w:cs="Arial"/>
          <w:color w:val="000000"/>
          <w:sz w:val="12"/>
          <w:szCs w:val="12"/>
          <w:lang w:val="es-ES_tradnl"/>
        </w:rPr>
      </w:pPr>
      <w:r w:rsidRPr="00494FDB">
        <w:rPr>
          <w:rStyle w:val="Refdenotaalpie"/>
          <w:rFonts w:ascii="Verdana" w:hAnsi="Verdana" w:cs="Arial"/>
          <w:color w:val="000000"/>
          <w:sz w:val="12"/>
          <w:szCs w:val="12"/>
          <w:lang w:val="es-ES_tradnl"/>
        </w:rPr>
        <w:footnoteRef/>
      </w:r>
      <w:r w:rsidRPr="00494FDB">
        <w:rPr>
          <w:rFonts w:ascii="Verdana" w:hAnsi="Verdana" w:cs="Arial"/>
          <w:color w:val="000000"/>
          <w:sz w:val="12"/>
          <w:szCs w:val="12"/>
          <w:lang w:val="es-ES_tradnl"/>
        </w:rPr>
        <w:t xml:space="preserve"> DÁVILA VINUEZA, Luis Guillermo. Régimen jurídico de la contratación estatal. 3ª ed. Bogotá: Legis, 2016. p. 463.</w:t>
      </w:r>
    </w:p>
    <w:p w14:paraId="0733FF47" w14:textId="77777777" w:rsidR="00C72CCA" w:rsidRPr="00EE0353" w:rsidRDefault="00C72CCA" w:rsidP="00C72CCA">
      <w:pPr>
        <w:pStyle w:val="Textonotapie"/>
        <w:ind w:firstLine="709"/>
        <w:jc w:val="both"/>
        <w:rPr>
          <w:rFonts w:ascii="Verdana" w:hAnsi="Verdana" w:cs="Arial"/>
          <w:color w:val="000000"/>
          <w:sz w:val="16"/>
          <w:szCs w:val="16"/>
          <w:lang w:val="es-ES_tradnl"/>
        </w:rPr>
      </w:pPr>
    </w:p>
  </w:footnote>
  <w:footnote w:id="4">
    <w:p w14:paraId="70D4E908" w14:textId="77777777" w:rsidR="00C72CCA" w:rsidRPr="00494FDB" w:rsidRDefault="00C72CCA" w:rsidP="00C72CCA">
      <w:pPr>
        <w:pStyle w:val="Textonotapie"/>
        <w:ind w:firstLine="709"/>
        <w:jc w:val="both"/>
        <w:rPr>
          <w:rFonts w:ascii="Verdana" w:hAnsi="Verdana" w:cs="Arial"/>
          <w:color w:val="000000"/>
          <w:sz w:val="12"/>
          <w:szCs w:val="12"/>
          <w:lang w:val="es-ES_tradnl"/>
        </w:rPr>
      </w:pPr>
      <w:r w:rsidRPr="00494FDB">
        <w:rPr>
          <w:rStyle w:val="Refdenotaalpie"/>
          <w:rFonts w:ascii="Verdana" w:hAnsi="Verdana" w:cs="Arial"/>
          <w:color w:val="000000"/>
          <w:sz w:val="12"/>
          <w:szCs w:val="12"/>
          <w:lang w:val="es-ES_tradnl"/>
        </w:rPr>
        <w:footnoteRef/>
      </w:r>
      <w:r w:rsidRPr="00494FDB">
        <w:rPr>
          <w:rFonts w:ascii="Verdana" w:hAnsi="Verdana" w:cs="Arial"/>
          <w:color w:val="000000"/>
          <w:sz w:val="12"/>
          <w:szCs w:val="12"/>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32FCD87C" w14:textId="77777777" w:rsidR="00C72CCA" w:rsidRPr="00494FDB" w:rsidRDefault="00C72CCA" w:rsidP="00C72CCA">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“Para las entidades que tengan un presupuesto anual superior o igual a 1.200.000 salarios mínimos legales mensuales, la menor cuantía será hasta 1.000 salarios mínimos legales mensuales.</w:t>
      </w:r>
    </w:p>
    <w:p w14:paraId="2909DB33" w14:textId="77777777" w:rsidR="00C72CCA" w:rsidRPr="00494FDB" w:rsidRDefault="00C72CCA" w:rsidP="00C72CCA">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“Las que tengan un presupuesto anual superior o igual a 850.000 salarios mínimos legales mensuales e inferiores a 1.200.000 salarios mínimos legales mensuales, la menor cuantía será hasta 850 salarios mínimos legales mensuales.</w:t>
      </w:r>
    </w:p>
    <w:p w14:paraId="7A2AF84F" w14:textId="77777777" w:rsidR="00C72CCA" w:rsidRPr="00494FDB" w:rsidRDefault="00C72CCA" w:rsidP="00C72CCA">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“Las que tengan un presupuesto anual superior o igual a 400.000 salarios mínimos legales mensuales e inferior a 850.000 salarios mínimos legales mensuales, la menor cuantía será hasta 650 salarios mínimos legales mensuales.</w:t>
      </w:r>
    </w:p>
    <w:p w14:paraId="5D84E529" w14:textId="77777777" w:rsidR="00C72CCA" w:rsidRPr="00494FDB" w:rsidRDefault="00C72CCA" w:rsidP="00C72CCA">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“Las que tengan un presupuesto anual superior o igual a 120.000 salarios mínimos legales mensuales e inferior a 400.000 salarios mínimos legales mensuales, la menor cuantía será hasta 450 salarios mínimos legales mensuales.</w:t>
      </w:r>
    </w:p>
    <w:p w14:paraId="4E58367A" w14:textId="77777777" w:rsidR="00C72CCA" w:rsidRPr="00EE0353" w:rsidRDefault="00C72CCA" w:rsidP="00C72CCA">
      <w:pPr>
        <w:pStyle w:val="Textonotapie"/>
        <w:ind w:firstLine="709"/>
        <w:jc w:val="both"/>
        <w:rPr>
          <w:rFonts w:ascii="Verdana" w:hAnsi="Verdana" w:cs="Arial"/>
          <w:color w:val="000000"/>
          <w:sz w:val="16"/>
          <w:szCs w:val="16"/>
          <w:lang w:val="es-ES_tradnl"/>
        </w:rPr>
      </w:pPr>
      <w:r w:rsidRPr="00494FDB">
        <w:rPr>
          <w:rFonts w:ascii="Verdana" w:hAnsi="Verdana" w:cs="Arial"/>
          <w:color w:val="000000"/>
          <w:sz w:val="12"/>
          <w:szCs w:val="12"/>
          <w:lang w:val="es-ES_tradnl"/>
        </w:rPr>
        <w:t>“Las que tengan un presupuesto anual inferior a 120.000 salarios mínimos legales mensuales, la menor cuantía será hasta 280 salarios mínimos legales mensuales”.</w:t>
      </w:r>
    </w:p>
  </w:footnote>
  <w:footnote w:id="5">
    <w:p w14:paraId="292EC555" w14:textId="77777777" w:rsidR="00C72CCA" w:rsidRPr="004F2B62" w:rsidRDefault="00C72CCA" w:rsidP="00C72CCA">
      <w:pPr>
        <w:pStyle w:val="Textonotapie"/>
        <w:ind w:firstLine="709"/>
        <w:jc w:val="both"/>
        <w:rPr>
          <w:rFonts w:ascii="Verdana" w:hAnsi="Verdana"/>
          <w:sz w:val="12"/>
          <w:szCs w:val="12"/>
        </w:rPr>
      </w:pPr>
      <w:r w:rsidRPr="004F2B62">
        <w:rPr>
          <w:rStyle w:val="Refdenotaalpie"/>
          <w:rFonts w:ascii="Verdana" w:hAnsi="Verdana"/>
          <w:sz w:val="12"/>
          <w:szCs w:val="12"/>
        </w:rPr>
        <w:footnoteRef/>
      </w:r>
      <w:r w:rsidRPr="004F2B62">
        <w:rPr>
          <w:rFonts w:ascii="Verdana" w:hAnsi="Verdana"/>
          <w:sz w:val="12"/>
          <w:szCs w:val="12"/>
        </w:rPr>
        <w:t xml:space="preserve"> </w:t>
      </w:r>
      <w:r w:rsidRPr="004F2B62">
        <w:rPr>
          <w:rFonts w:ascii="Verdana" w:hAnsi="Verdana"/>
          <w:sz w:val="12"/>
          <w:szCs w:val="12"/>
          <w:lang w:val="es-CO"/>
        </w:rPr>
        <w:t xml:space="preserve">Este artículo fue modificado por el artículo 5 del Decreto 142 de 2023 en los siguientes términos: </w:t>
      </w:r>
      <w:r w:rsidRPr="004F2B62">
        <w:rPr>
          <w:rFonts w:ascii="Verdana" w:hAnsi="Verdana"/>
          <w:b/>
          <w:bCs/>
          <w:i/>
          <w:iCs/>
          <w:sz w:val="12"/>
          <w:szCs w:val="12"/>
        </w:rPr>
        <w:t>"Artículo 2.2.1.2.1.5.1. Estudios previos para la contratación de mínima cuantía.</w:t>
      </w:r>
      <w:r w:rsidRPr="004F2B62">
        <w:rPr>
          <w:rFonts w:ascii="Verdana" w:hAnsi="Verdana"/>
          <w:i/>
          <w:iCs/>
          <w:sz w:val="12"/>
          <w:szCs w:val="12"/>
        </w:rPr>
        <w:t> La Entidad Estatal debe elaborar unos estudios previos que deben contener, como mínimo, lo siguiente: </w:t>
      </w:r>
    </w:p>
    <w:p w14:paraId="02550DA6" w14:textId="77777777" w:rsidR="00C72CCA" w:rsidRPr="004F2B62" w:rsidRDefault="00C72CCA" w:rsidP="00C72CCA">
      <w:pPr>
        <w:pStyle w:val="Textonotapie"/>
        <w:tabs>
          <w:tab w:val="left" w:pos="142"/>
        </w:tabs>
        <w:ind w:firstLine="709"/>
        <w:jc w:val="both"/>
        <w:rPr>
          <w:rFonts w:ascii="Verdana" w:hAnsi="Verdana"/>
          <w:i/>
          <w:iCs/>
          <w:sz w:val="12"/>
          <w:szCs w:val="12"/>
        </w:rPr>
      </w:pPr>
      <w:r w:rsidRPr="004F2B62">
        <w:rPr>
          <w:rFonts w:ascii="Verdana" w:hAnsi="Verdana"/>
          <w:i/>
          <w:iCs/>
          <w:sz w:val="12"/>
          <w:szCs w:val="12"/>
        </w:rPr>
        <w:t xml:space="preserve">1. La descripción de la necesidad que pretende satisfacer con la contratación.  </w:t>
      </w:r>
    </w:p>
    <w:p w14:paraId="13F93C86" w14:textId="77777777" w:rsidR="00C72CCA" w:rsidRPr="004F2B62" w:rsidRDefault="00C72CCA" w:rsidP="00C72CCA">
      <w:pPr>
        <w:pStyle w:val="Textonotapie"/>
        <w:tabs>
          <w:tab w:val="left" w:pos="142"/>
        </w:tabs>
        <w:ind w:firstLine="709"/>
        <w:jc w:val="both"/>
        <w:rPr>
          <w:rFonts w:ascii="Verdana" w:hAnsi="Verdana"/>
          <w:sz w:val="12"/>
          <w:szCs w:val="12"/>
        </w:rPr>
      </w:pPr>
      <w:r w:rsidRPr="004F2B62">
        <w:rPr>
          <w:rFonts w:ascii="Verdana" w:hAnsi="Verdana"/>
          <w:i/>
          <w:iCs/>
          <w:sz w:val="12"/>
          <w:szCs w:val="12"/>
        </w:rPr>
        <w:t>2. La descripción del objeto a contratar identificado con el cuarto nivel del Clasificador de Bienes y Servicios, de ser posible, o de lo contrario con el tercer nivel. </w:t>
      </w:r>
    </w:p>
    <w:p w14:paraId="5B93A265" w14:textId="77777777" w:rsidR="00C72CCA" w:rsidRPr="004F2B62" w:rsidRDefault="00C72CCA" w:rsidP="00C72CCA">
      <w:pPr>
        <w:pStyle w:val="Textonotapie"/>
        <w:tabs>
          <w:tab w:val="left" w:pos="142"/>
        </w:tabs>
        <w:ind w:firstLine="709"/>
        <w:jc w:val="both"/>
        <w:rPr>
          <w:rFonts w:ascii="Verdana" w:hAnsi="Verdana"/>
          <w:sz w:val="12"/>
          <w:szCs w:val="12"/>
        </w:rPr>
      </w:pPr>
      <w:r w:rsidRPr="004F2B62">
        <w:rPr>
          <w:rFonts w:ascii="Verdana" w:hAnsi="Verdana"/>
          <w:i/>
          <w:iCs/>
          <w:sz w:val="12"/>
          <w:szCs w:val="12"/>
        </w:rPr>
        <w:t>3. Las condiciones técnicas exigidas.</w:t>
      </w:r>
    </w:p>
    <w:p w14:paraId="49C9D2A2" w14:textId="77777777" w:rsidR="00C72CCA" w:rsidRPr="004F2B62" w:rsidRDefault="00C72CCA" w:rsidP="00C72CCA">
      <w:pPr>
        <w:pStyle w:val="Textonotapie"/>
        <w:tabs>
          <w:tab w:val="left" w:pos="142"/>
        </w:tabs>
        <w:ind w:firstLine="709"/>
        <w:jc w:val="both"/>
        <w:rPr>
          <w:rFonts w:ascii="Verdana" w:hAnsi="Verdana"/>
          <w:sz w:val="12"/>
          <w:szCs w:val="12"/>
        </w:rPr>
      </w:pPr>
      <w:r w:rsidRPr="004F2B62">
        <w:rPr>
          <w:rFonts w:ascii="Verdana" w:hAnsi="Verdana"/>
          <w:i/>
          <w:iCs/>
          <w:sz w:val="12"/>
          <w:szCs w:val="12"/>
        </w:rPr>
        <w:t>4. El valor estimado del contrato y su justificación.</w:t>
      </w:r>
    </w:p>
    <w:p w14:paraId="5EA277CD" w14:textId="77777777" w:rsidR="00C72CCA" w:rsidRPr="004F2B62" w:rsidRDefault="00C72CCA" w:rsidP="00C72CCA">
      <w:pPr>
        <w:pStyle w:val="Textonotapie"/>
        <w:tabs>
          <w:tab w:val="left" w:pos="142"/>
        </w:tabs>
        <w:ind w:firstLine="709"/>
        <w:jc w:val="both"/>
        <w:rPr>
          <w:rFonts w:ascii="Verdana" w:hAnsi="Verdana"/>
          <w:sz w:val="12"/>
          <w:szCs w:val="12"/>
        </w:rPr>
      </w:pPr>
      <w:r w:rsidRPr="004F2B62">
        <w:rPr>
          <w:rFonts w:ascii="Verdana" w:hAnsi="Verdana"/>
          <w:i/>
          <w:iCs/>
          <w:sz w:val="12"/>
          <w:szCs w:val="12"/>
        </w:rPr>
        <w:t>5. El plazo de ejecución del contrato. </w:t>
      </w:r>
    </w:p>
    <w:p w14:paraId="19DAE358" w14:textId="77777777" w:rsidR="00C72CCA" w:rsidRPr="004F2B62" w:rsidRDefault="00C72CCA" w:rsidP="00C72CCA">
      <w:pPr>
        <w:pStyle w:val="Textonotapie"/>
        <w:tabs>
          <w:tab w:val="left" w:pos="142"/>
        </w:tabs>
        <w:ind w:firstLine="709"/>
        <w:jc w:val="both"/>
        <w:rPr>
          <w:rFonts w:ascii="Verdana" w:hAnsi="Verdana"/>
          <w:sz w:val="12"/>
          <w:szCs w:val="12"/>
        </w:rPr>
      </w:pPr>
      <w:r w:rsidRPr="004F2B62">
        <w:rPr>
          <w:rFonts w:ascii="Verdana" w:hAnsi="Verdana"/>
          <w:i/>
          <w:iCs/>
          <w:sz w:val="12"/>
          <w:szCs w:val="12"/>
        </w:rPr>
        <w:t>6. El certificado de disponibilidad presupuesta! que respalda la contratación.</w:t>
      </w:r>
    </w:p>
    <w:p w14:paraId="7D5061B6" w14:textId="77777777" w:rsidR="00C72CCA" w:rsidRPr="004F2B62" w:rsidRDefault="00C72CCA" w:rsidP="00C72CCA">
      <w:pPr>
        <w:pStyle w:val="Textonotapie"/>
        <w:ind w:firstLine="709"/>
        <w:jc w:val="both"/>
        <w:rPr>
          <w:rFonts w:ascii="Verdana" w:hAnsi="Verdana"/>
          <w:sz w:val="12"/>
          <w:szCs w:val="12"/>
        </w:rPr>
      </w:pPr>
      <w:r w:rsidRPr="004F2B62">
        <w:rPr>
          <w:rFonts w:ascii="Verdana" w:hAnsi="Verdana"/>
          <w:i/>
          <w:iCs/>
          <w:sz w:val="12"/>
          <w:szCs w:val="12"/>
        </w:rPr>
        <w:t>Parágrafo. Dentro de las condiciones técnicas exigidas se podrán incluir aspectos ambientales y sociales en los términos establecidos en el parágrafo del artículo 2.2.1.1.2.2.2. del presente Decreto." </w:t>
      </w:r>
    </w:p>
    <w:p w14:paraId="0FC16C8B" w14:textId="77777777" w:rsidR="00C72CCA" w:rsidRPr="004F2B62" w:rsidRDefault="00C72CCA" w:rsidP="00C72CCA">
      <w:pPr>
        <w:pStyle w:val="Textonotapie"/>
        <w:jc w:val="both"/>
        <w:rPr>
          <w:rFonts w:ascii="Verdana" w:hAnsi="Verdana"/>
          <w:sz w:val="12"/>
          <w:szCs w:val="12"/>
          <w:lang w:val="es-CO"/>
        </w:rPr>
      </w:pPr>
    </w:p>
  </w:footnote>
  <w:footnote w:id="6">
    <w:p w14:paraId="0A6DD9DB" w14:textId="77777777" w:rsidR="00C72CCA" w:rsidRPr="00085DA5" w:rsidRDefault="00C72CCA" w:rsidP="00C72CCA">
      <w:pPr>
        <w:pStyle w:val="Textonotapie"/>
        <w:ind w:firstLine="708"/>
        <w:jc w:val="both"/>
        <w:rPr>
          <w:rFonts w:ascii="Verdana" w:hAnsi="Verdana" w:cs="Arial"/>
          <w:sz w:val="16"/>
          <w:szCs w:val="16"/>
        </w:rPr>
      </w:pPr>
      <w:r w:rsidRPr="004F2B62">
        <w:rPr>
          <w:rStyle w:val="Refdenotaalpie"/>
          <w:rFonts w:ascii="Verdana" w:hAnsi="Verdana" w:cs="Arial"/>
          <w:sz w:val="12"/>
          <w:szCs w:val="12"/>
        </w:rPr>
        <w:footnoteRef/>
      </w:r>
      <w:r w:rsidRPr="004F2B62">
        <w:rPr>
          <w:rFonts w:ascii="Verdana" w:hAnsi="Verdana" w:cs="Arial"/>
          <w:sz w:val="12"/>
          <w:szCs w:val="12"/>
        </w:rPr>
        <w:t xml:space="preserve"> PARÁGRAFO 1o. Las particularidades del procedimiento aquí previsto, así como la posibilidad que tengan las entidades de realizar estas adquisiciones a </w:t>
      </w:r>
      <w:proofErr w:type="spellStart"/>
      <w:r w:rsidRPr="004F2B62">
        <w:rPr>
          <w:rFonts w:ascii="Verdana" w:hAnsi="Verdana" w:cs="Arial"/>
          <w:sz w:val="12"/>
          <w:szCs w:val="12"/>
        </w:rPr>
        <w:t>Mipymes</w:t>
      </w:r>
      <w:proofErr w:type="spellEnd"/>
      <w:r w:rsidRPr="004F2B62">
        <w:rPr>
          <w:rFonts w:ascii="Verdana" w:hAnsi="Verdana" w:cs="Arial"/>
          <w:sz w:val="12"/>
          <w:szCs w:val="12"/>
        </w:rPr>
        <w:t xml:space="preserve"> o establecimientos que correspondan a la definición de "gran almacén" señalada por la Superintendencia de Industria y Comercio, se determinarán en el reglamento que para el efecto expida el Gobierno Nacional.</w:t>
      </w:r>
    </w:p>
  </w:footnote>
  <w:footnote w:id="7">
    <w:p w14:paraId="334B535E" w14:textId="77777777" w:rsidR="00C72CCA" w:rsidRPr="004F2B62" w:rsidRDefault="00C72CCA" w:rsidP="00C72CCA">
      <w:pPr>
        <w:pStyle w:val="Textonotapie"/>
        <w:ind w:firstLine="709"/>
        <w:jc w:val="both"/>
        <w:rPr>
          <w:rFonts w:ascii="Verdana" w:hAnsi="Verdana" w:cs="Arial"/>
          <w:color w:val="000000"/>
          <w:sz w:val="12"/>
          <w:szCs w:val="12"/>
          <w:lang w:val="es-ES_tradnl"/>
        </w:rPr>
      </w:pPr>
      <w:r w:rsidRPr="004F2B62">
        <w:rPr>
          <w:rStyle w:val="Refdenotaalpie"/>
          <w:rFonts w:ascii="Verdana" w:hAnsi="Verdana" w:cs="Arial"/>
          <w:color w:val="000000"/>
          <w:sz w:val="12"/>
          <w:szCs w:val="12"/>
          <w:lang w:val="es-ES_tradnl"/>
        </w:rPr>
        <w:footnoteRef/>
      </w:r>
      <w:r w:rsidRPr="004F2B62">
        <w:rPr>
          <w:rFonts w:ascii="Verdana" w:hAnsi="Verdana" w:cs="Arial"/>
          <w:color w:val="000000"/>
          <w:sz w:val="12"/>
          <w:szCs w:val="12"/>
          <w:lang w:val="es-ES_tradnl"/>
        </w:rPr>
        <w:t xml:space="preserve"> Agencia Nacional de Contratación Pública – Colombia Compra Eficiente. Manual de la Modalidad de Selección de Mínima Cuantía En:</w:t>
      </w:r>
      <w:r w:rsidRPr="004F2B62">
        <w:rPr>
          <w:rFonts w:ascii="Verdana" w:hAnsi="Verdana"/>
          <w:sz w:val="12"/>
          <w:szCs w:val="12"/>
        </w:rPr>
        <w:t xml:space="preserve"> </w:t>
      </w:r>
      <w:hyperlink r:id="rId1" w:history="1">
        <w:r w:rsidRPr="004F2B62">
          <w:rPr>
            <w:rStyle w:val="Hipervnculo"/>
            <w:rFonts w:ascii="Verdana" w:hAnsi="Verdana" w:cs="Arial"/>
            <w:sz w:val="12"/>
            <w:szCs w:val="12"/>
            <w:lang w:val="es-ES_tradnl"/>
          </w:rPr>
          <w:t>https://www.colombiacompra.gov.co/manuales-guias-y-pliegos-tipo/manuales-y-guias</w:t>
        </w:r>
      </w:hyperlink>
      <w:r w:rsidRPr="004F2B62">
        <w:rPr>
          <w:rFonts w:ascii="Verdana" w:hAnsi="Verdana" w:cs="Arial"/>
          <w:color w:val="000000"/>
          <w:sz w:val="12"/>
          <w:szCs w:val="12"/>
          <w:lang w:val="es-ES_tradnl"/>
        </w:rPr>
        <w:t xml:space="preserve"> </w:t>
      </w:r>
    </w:p>
    <w:p w14:paraId="6BCA0873" w14:textId="77777777" w:rsidR="00C72CCA" w:rsidRPr="004F2B62" w:rsidRDefault="00C72CCA" w:rsidP="00C72CCA">
      <w:pPr>
        <w:pStyle w:val="Textonotapie"/>
        <w:jc w:val="both"/>
        <w:rPr>
          <w:rFonts w:ascii="Verdana" w:hAnsi="Verdana" w:cs="Arial"/>
          <w:color w:val="000000"/>
          <w:sz w:val="12"/>
          <w:szCs w:val="12"/>
          <w:lang w:val="es-ES_tradnl"/>
        </w:rPr>
      </w:pPr>
    </w:p>
    <w:p w14:paraId="40B312AC" w14:textId="77777777" w:rsidR="00C72CCA" w:rsidRPr="004F2B62" w:rsidRDefault="00C72CCA" w:rsidP="00C72CCA">
      <w:pPr>
        <w:pStyle w:val="Textonotapie"/>
        <w:ind w:firstLine="709"/>
        <w:jc w:val="both"/>
        <w:rPr>
          <w:rFonts w:ascii="Verdana" w:hAnsi="Verdana" w:cs="Arial"/>
          <w:color w:val="000000"/>
          <w:sz w:val="12"/>
          <w:szCs w:val="12"/>
          <w:lang w:val="es-ES_tradnl"/>
        </w:rPr>
      </w:pPr>
    </w:p>
  </w:footnote>
  <w:footnote w:id="8">
    <w:p w14:paraId="30E023BB" w14:textId="77777777" w:rsidR="00C72CCA" w:rsidRPr="004F2B62" w:rsidRDefault="00C72CCA" w:rsidP="00C72CCA">
      <w:pPr>
        <w:pStyle w:val="Textonotapie"/>
        <w:ind w:firstLine="709"/>
        <w:jc w:val="both"/>
        <w:rPr>
          <w:rFonts w:ascii="Verdana" w:hAnsi="Verdana" w:cs="Arial"/>
          <w:color w:val="000000"/>
          <w:sz w:val="12"/>
          <w:szCs w:val="12"/>
          <w:lang w:val="es-ES_tradnl"/>
        </w:rPr>
      </w:pPr>
      <w:r w:rsidRPr="004F2B62">
        <w:rPr>
          <w:rStyle w:val="Refdenotaalpie"/>
          <w:rFonts w:ascii="Verdana" w:hAnsi="Verdana" w:cs="Arial"/>
          <w:color w:val="000000"/>
          <w:sz w:val="12"/>
          <w:szCs w:val="12"/>
          <w:lang w:val="es-ES_tradnl"/>
        </w:rPr>
        <w:footnoteRef/>
      </w:r>
      <w:r w:rsidRPr="004F2B62">
        <w:rPr>
          <w:rFonts w:ascii="Verdana" w:hAnsi="Verdana" w:cs="Arial"/>
          <w:color w:val="000000"/>
          <w:sz w:val="12"/>
          <w:szCs w:val="12"/>
          <w:lang w:val="es-ES_tradnl"/>
        </w:rPr>
        <w:t xml:space="preserve"> Como lo indica la doctrina, en la mínima cuantía “El precio es el factor de selección del proponente. Es decir, la </w:t>
      </w:r>
      <w:r w:rsidRPr="004F2B62">
        <w:rPr>
          <w:rFonts w:ascii="Verdana" w:hAnsi="Verdana" w:cs="Arial"/>
          <w:i/>
          <w:iCs/>
          <w:color w:val="000000"/>
          <w:sz w:val="12"/>
          <w:szCs w:val="12"/>
          <w:lang w:val="es-ES_tradnl"/>
        </w:rPr>
        <w:t>entidad estatal</w:t>
      </w:r>
      <w:r w:rsidRPr="004F2B62">
        <w:rPr>
          <w:rFonts w:ascii="Verdana" w:hAnsi="Verdana" w:cs="Arial"/>
          <w:color w:val="000000"/>
          <w:sz w:val="12"/>
          <w:szCs w:val="12"/>
          <w:lang w:val="es-ES_tradnl"/>
        </w:rPr>
        <w:t xml:space="preserve"> debe adjudicar el </w:t>
      </w:r>
      <w:r w:rsidRPr="004F2B62">
        <w:rPr>
          <w:rFonts w:ascii="Verdana" w:hAnsi="Verdana" w:cs="Arial"/>
          <w:i/>
          <w:iCs/>
          <w:color w:val="000000"/>
          <w:sz w:val="12"/>
          <w:szCs w:val="12"/>
          <w:lang w:val="es-ES_tradnl"/>
        </w:rPr>
        <w:t>proceso de contratación</w:t>
      </w:r>
      <w:r w:rsidRPr="004F2B62">
        <w:rPr>
          <w:rFonts w:ascii="Verdana" w:hAnsi="Verdana" w:cs="Arial"/>
          <w:color w:val="000000"/>
          <w:sz w:val="12"/>
          <w:szCs w:val="12"/>
          <w:lang w:val="es-ES_tradnl"/>
        </w:rPr>
        <w:t xml:space="preserve"> al oferente que cumpla con todas las condiciones exigidas por la </w:t>
      </w:r>
      <w:r w:rsidRPr="004F2B62">
        <w:rPr>
          <w:rFonts w:ascii="Verdana" w:hAnsi="Verdana" w:cs="Arial"/>
          <w:i/>
          <w:iCs/>
          <w:color w:val="000000"/>
          <w:sz w:val="12"/>
          <w:szCs w:val="12"/>
          <w:lang w:val="es-ES_tradnl"/>
        </w:rPr>
        <w:t>entidad estatal</w:t>
      </w:r>
      <w:r w:rsidRPr="004F2B62">
        <w:rPr>
          <w:rFonts w:ascii="Verdana" w:hAnsi="Verdana" w:cs="Arial"/>
          <w:color w:val="000000"/>
          <w:sz w:val="12"/>
          <w:szCs w:val="12"/>
          <w:lang w:val="es-ES_tradnl"/>
        </w:rPr>
        <w:t xml:space="preserve"> en los </w:t>
      </w:r>
      <w:r w:rsidRPr="004F2B62">
        <w:rPr>
          <w:rFonts w:ascii="Verdana" w:hAnsi="Verdana" w:cs="Arial"/>
          <w:i/>
          <w:iCs/>
          <w:color w:val="000000"/>
          <w:sz w:val="12"/>
          <w:szCs w:val="12"/>
          <w:lang w:val="es-ES_tradnl"/>
        </w:rPr>
        <w:t>documentos del proceso</w:t>
      </w:r>
      <w:r w:rsidRPr="004F2B62">
        <w:rPr>
          <w:rFonts w:ascii="Verdana" w:hAnsi="Verdana" w:cs="Arial"/>
          <w:color w:val="000000"/>
          <w:sz w:val="12"/>
          <w:szCs w:val="12"/>
          <w:lang w:val="es-ES_tradnl"/>
        </w:rPr>
        <w:t xml:space="preserve"> (estudios previos e invitación a participar), y que ofrezca el menor valor. No hay lugar a puntajes para evaluar las ofertas sobre las características del objeto a contratar, su calidad o condiciones” (DÁVILA, </w:t>
      </w:r>
      <w:proofErr w:type="spellStart"/>
      <w:r w:rsidRPr="004F2B62">
        <w:rPr>
          <w:rFonts w:ascii="Verdana" w:hAnsi="Verdana" w:cs="Arial"/>
          <w:color w:val="000000"/>
          <w:sz w:val="12"/>
          <w:szCs w:val="12"/>
          <w:lang w:val="es-ES_tradnl"/>
        </w:rPr>
        <w:t>Op.cit</w:t>
      </w:r>
      <w:proofErr w:type="spellEnd"/>
      <w:r w:rsidRPr="004F2B62">
        <w:rPr>
          <w:rFonts w:ascii="Verdana" w:hAnsi="Verdana" w:cs="Arial"/>
          <w:color w:val="000000"/>
          <w:sz w:val="12"/>
          <w:szCs w:val="12"/>
          <w:lang w:val="es-ES_tradnl"/>
        </w:rPr>
        <w:t>., p. 515).</w:t>
      </w:r>
    </w:p>
    <w:p w14:paraId="21C78F35" w14:textId="77777777" w:rsidR="00C72CCA" w:rsidRPr="00085DA5" w:rsidRDefault="00C72CCA" w:rsidP="00C72CCA">
      <w:pPr>
        <w:pStyle w:val="Textonotapie"/>
        <w:ind w:firstLine="709"/>
        <w:jc w:val="both"/>
        <w:rPr>
          <w:rFonts w:ascii="Verdana" w:hAnsi="Verdana" w:cs="Arial"/>
          <w:color w:val="000000"/>
          <w:sz w:val="16"/>
          <w:szCs w:val="16"/>
          <w:lang w:val="es-ES_tradnl"/>
        </w:rPr>
      </w:pPr>
    </w:p>
  </w:footnote>
  <w:footnote w:id="9">
    <w:p w14:paraId="06005000" w14:textId="768D4787" w:rsidR="009550F7" w:rsidRPr="000C06CF" w:rsidRDefault="009550F7" w:rsidP="008377B6">
      <w:pPr>
        <w:pStyle w:val="Textonotapie"/>
        <w:jc w:val="center"/>
        <w:rPr>
          <w:rFonts w:ascii="Verdana" w:hAnsi="Verdana"/>
          <w:sz w:val="14"/>
          <w:szCs w:val="14"/>
        </w:rPr>
      </w:pPr>
      <w:r w:rsidRPr="000C06CF">
        <w:rPr>
          <w:rFonts w:ascii="Verdana" w:hAnsi="Verdana"/>
          <w:sz w:val="14"/>
          <w:szCs w:val="14"/>
        </w:rPr>
        <w:footnoteRef/>
      </w:r>
      <w:r w:rsidR="008377B6" w:rsidRPr="000C06CF">
        <w:rPr>
          <w:rFonts w:ascii="Verdana" w:hAnsi="Verdana"/>
          <w:sz w:val="14"/>
          <w:szCs w:val="14"/>
        </w:rPr>
        <w:t xml:space="preserve"> </w:t>
      </w:r>
      <w:r w:rsidR="00424C40">
        <w:rPr>
          <w:rFonts w:ascii="Verdana" w:hAnsi="Verdana"/>
          <w:sz w:val="14"/>
          <w:szCs w:val="14"/>
        </w:rPr>
        <w:t>N</w:t>
      </w:r>
      <w:r w:rsidR="00463CE8">
        <w:rPr>
          <w:rFonts w:ascii="Verdana" w:hAnsi="Verdana"/>
          <w:sz w:val="14"/>
          <w:szCs w:val="14"/>
        </w:rPr>
        <w:t xml:space="preserve">OTA DE RELATORÍA: </w:t>
      </w:r>
      <w:r w:rsidR="008377B6" w:rsidRPr="000C06CF">
        <w:rPr>
          <w:rFonts w:ascii="Verdana" w:hAnsi="Verdana"/>
          <w:sz w:val="14"/>
          <w:szCs w:val="14"/>
        </w:rPr>
        <w:t>Sin perjuicio de lo señalado en el presente concepto, se aclara que</w:t>
      </w:r>
      <w:r w:rsidR="003E4A93">
        <w:rPr>
          <w:rFonts w:ascii="Verdana" w:hAnsi="Verdana"/>
          <w:sz w:val="14"/>
          <w:szCs w:val="14"/>
        </w:rPr>
        <w:t xml:space="preserve"> </w:t>
      </w:r>
      <w:r w:rsidR="00463CE8">
        <w:rPr>
          <w:rFonts w:ascii="Verdana" w:hAnsi="Verdana"/>
          <w:sz w:val="14"/>
          <w:szCs w:val="14"/>
        </w:rPr>
        <w:t>la postura</w:t>
      </w:r>
      <w:r w:rsidR="008377B6" w:rsidRPr="000C06CF">
        <w:rPr>
          <w:rFonts w:ascii="Verdana" w:hAnsi="Verdana"/>
          <w:sz w:val="14"/>
          <w:szCs w:val="14"/>
        </w:rPr>
        <w:t xml:space="preserve"> </w:t>
      </w:r>
      <w:r w:rsidR="006A28FF">
        <w:rPr>
          <w:rFonts w:ascii="Verdana" w:hAnsi="Verdana"/>
          <w:sz w:val="14"/>
          <w:szCs w:val="14"/>
        </w:rPr>
        <w:t>vigente</w:t>
      </w:r>
      <w:r w:rsidR="008377B6" w:rsidRPr="000C06CF">
        <w:rPr>
          <w:rFonts w:ascii="Verdana" w:hAnsi="Verdana"/>
          <w:sz w:val="14"/>
          <w:szCs w:val="14"/>
        </w:rPr>
        <w:t xml:space="preserve"> adoptada por la Subdirección de Gestión Contractual en relación con los criterios de desempate aplicables a los procesos de mínima cuantía corresponde a lo establecido en el Concepto C-514 de 2025, el cual puede ser consultado a través del siguiente enlace en la Relatoría de Colombia Compra Eficiente: </w:t>
      </w:r>
      <w:hyperlink r:id="rId2" w:history="1">
        <w:r w:rsidR="00E75F0C" w:rsidRPr="00E75F0C">
          <w:rPr>
            <w:rStyle w:val="Hipervnculo"/>
            <w:rFonts w:ascii="Verdana" w:hAnsi="Verdana"/>
            <w:sz w:val="14"/>
            <w:szCs w:val="14"/>
            <w:lang w:val="es-CO"/>
          </w:rPr>
          <w:t xml:space="preserve">C-514 de 2025 – </w:t>
        </w:r>
        <w:proofErr w:type="spellStart"/>
        <w:r w:rsidR="00E75F0C" w:rsidRPr="00E75F0C">
          <w:rPr>
            <w:rStyle w:val="Hipervnculo"/>
            <w:rFonts w:ascii="Verdana" w:hAnsi="Verdana"/>
            <w:sz w:val="14"/>
            <w:szCs w:val="14"/>
            <w:lang w:val="es-CO"/>
          </w:rPr>
          <w:t>Relatoria</w:t>
        </w:r>
        <w:proofErr w:type="spellEnd"/>
        <w:r w:rsidR="00E75F0C" w:rsidRPr="00E75F0C">
          <w:rPr>
            <w:rStyle w:val="Hipervnculo"/>
            <w:rFonts w:ascii="Verdana" w:hAnsi="Verdana"/>
            <w:sz w:val="14"/>
            <w:szCs w:val="14"/>
            <w:lang w:val="es-CO"/>
          </w:rPr>
          <w:t xml:space="preserve"> ANCP-CCE</w:t>
        </w:r>
      </w:hyperlink>
      <w:r w:rsidR="00E75F0C">
        <w:rPr>
          <w:rFonts w:ascii="Verdana" w:hAnsi="Verdana"/>
          <w:sz w:val="14"/>
          <w:szCs w:val="14"/>
        </w:rPr>
        <w:t xml:space="preserve"> </w:t>
      </w:r>
    </w:p>
    <w:p w14:paraId="4073F239" w14:textId="77777777" w:rsidR="000C06CF" w:rsidRPr="008377B6" w:rsidRDefault="000C06CF" w:rsidP="008377B6">
      <w:pPr>
        <w:pStyle w:val="Textonotapie"/>
        <w:jc w:val="center"/>
        <w:rPr>
          <w:rFonts w:ascii="Verdana" w:hAnsi="Verdana"/>
          <w:sz w:val="14"/>
          <w:szCs w:val="14"/>
        </w:rPr>
      </w:pPr>
    </w:p>
  </w:footnote>
  <w:footnote w:id="10">
    <w:p w14:paraId="7FCDA8A9" w14:textId="77777777" w:rsidR="00C72CCA" w:rsidRPr="000C06CF" w:rsidRDefault="00C72CCA" w:rsidP="00C72CCA">
      <w:pPr>
        <w:pStyle w:val="Textonotapie"/>
        <w:ind w:firstLine="708"/>
        <w:jc w:val="both"/>
        <w:rPr>
          <w:rFonts w:ascii="Verdana" w:hAnsi="Verdana" w:cs="Arial"/>
          <w:color w:val="000000"/>
          <w:sz w:val="14"/>
          <w:szCs w:val="14"/>
          <w:lang w:val="es-CO"/>
        </w:rPr>
      </w:pPr>
      <w:r w:rsidRPr="000C06CF">
        <w:rPr>
          <w:rStyle w:val="Refdenotaalpie"/>
          <w:rFonts w:ascii="Verdana" w:hAnsi="Verdana" w:cs="Arial"/>
          <w:color w:val="000000"/>
          <w:sz w:val="14"/>
          <w:szCs w:val="14"/>
        </w:rPr>
        <w:footnoteRef/>
      </w:r>
      <w:r w:rsidRPr="000C06CF">
        <w:rPr>
          <w:rFonts w:ascii="Verdana" w:hAnsi="Verdana" w:cs="Arial"/>
          <w:color w:val="000000"/>
          <w:sz w:val="14"/>
          <w:szCs w:val="14"/>
        </w:rPr>
        <w:t xml:space="preserve"> </w:t>
      </w:r>
      <w:r w:rsidRPr="000C06CF">
        <w:rPr>
          <w:rFonts w:ascii="Verdana" w:hAnsi="Verdana" w:cs="Arial"/>
          <w:color w:val="000000"/>
          <w:sz w:val="14"/>
          <w:szCs w:val="14"/>
          <w:lang w:val="es-CO"/>
        </w:rPr>
        <w:t xml:space="preserve">Manual de la Modalidad de Selección de Mínima Cuantía de Colombia Compra Eficiente, numeral 5.  </w:t>
      </w:r>
    </w:p>
    <w:p w14:paraId="0FCC5562" w14:textId="77777777" w:rsidR="00C72CCA" w:rsidRPr="004F2B62" w:rsidRDefault="00C72CCA" w:rsidP="00C72CCA">
      <w:pPr>
        <w:pStyle w:val="Textonotapie"/>
        <w:ind w:firstLine="708"/>
        <w:jc w:val="both"/>
        <w:rPr>
          <w:rFonts w:ascii="Verdana" w:hAnsi="Verdana" w:cs="Arial"/>
          <w:color w:val="000000"/>
          <w:sz w:val="12"/>
          <w:szCs w:val="12"/>
          <w:lang w:val="es-CO"/>
        </w:rPr>
      </w:pPr>
    </w:p>
  </w:footnote>
  <w:footnote w:id="11">
    <w:p w14:paraId="2CF438FD" w14:textId="77777777" w:rsidR="00C72CCA" w:rsidRPr="00085DA5" w:rsidRDefault="00C72CCA" w:rsidP="00C72CCA">
      <w:pPr>
        <w:pStyle w:val="Textonotapie"/>
        <w:ind w:firstLine="708"/>
        <w:jc w:val="both"/>
        <w:rPr>
          <w:rFonts w:ascii="Verdana" w:hAnsi="Verdana" w:cs="Arial"/>
          <w:color w:val="000000"/>
          <w:sz w:val="16"/>
          <w:szCs w:val="16"/>
          <w:lang w:val="es-CO"/>
        </w:rPr>
      </w:pPr>
      <w:r w:rsidRPr="004F2B62">
        <w:rPr>
          <w:rStyle w:val="Refdenotaalpie"/>
          <w:rFonts w:ascii="Verdana" w:hAnsi="Verdana" w:cs="Arial"/>
          <w:color w:val="000000"/>
          <w:sz w:val="12"/>
          <w:szCs w:val="12"/>
        </w:rPr>
        <w:footnoteRef/>
      </w:r>
      <w:r w:rsidRPr="004F2B62">
        <w:rPr>
          <w:rFonts w:ascii="Verdana" w:hAnsi="Verdana" w:cs="Arial"/>
          <w:i/>
          <w:color w:val="000000"/>
          <w:sz w:val="12"/>
          <w:szCs w:val="12"/>
        </w:rPr>
        <w:t xml:space="preserve"> Ibídem.</w:t>
      </w:r>
      <w:r w:rsidRPr="00085DA5">
        <w:rPr>
          <w:rFonts w:ascii="Verdana" w:hAnsi="Verdana" w:cs="Arial"/>
          <w:color w:val="000000"/>
          <w:sz w:val="16"/>
          <w:szCs w:val="16"/>
        </w:rPr>
        <w:t xml:space="preserve">  </w:t>
      </w:r>
    </w:p>
  </w:footnote>
  <w:footnote w:id="12">
    <w:p w14:paraId="303B1814" w14:textId="77777777" w:rsidR="00C72CCA" w:rsidRPr="00085DA5" w:rsidRDefault="00C72CCA" w:rsidP="00C72CCA">
      <w:pPr>
        <w:pStyle w:val="Textonotapie"/>
        <w:ind w:firstLine="709"/>
        <w:jc w:val="both"/>
        <w:rPr>
          <w:rFonts w:ascii="Verdana" w:hAnsi="Verdana"/>
          <w:sz w:val="16"/>
          <w:szCs w:val="16"/>
          <w:lang w:val="es-CO"/>
        </w:rPr>
      </w:pPr>
      <w:r w:rsidRPr="00085DA5">
        <w:rPr>
          <w:rStyle w:val="Refdenotaalpie"/>
          <w:rFonts w:ascii="Verdana" w:hAnsi="Verdana"/>
          <w:sz w:val="16"/>
          <w:szCs w:val="16"/>
        </w:rPr>
        <w:footnoteRef/>
      </w:r>
      <w:r w:rsidRPr="00085DA5">
        <w:rPr>
          <w:rFonts w:ascii="Verdana" w:hAnsi="Verdana"/>
          <w:sz w:val="16"/>
          <w:szCs w:val="16"/>
        </w:rPr>
        <w:t xml:space="preserve"> Disponible en: </w:t>
      </w:r>
      <w:hyperlink r:id="rId3" w:history="1">
        <w:r w:rsidRPr="00085DA5">
          <w:rPr>
            <w:rStyle w:val="Hipervnculo"/>
            <w:rFonts w:ascii="Verdana" w:eastAsia="Calibri" w:hAnsi="Verdana" w:cs="Arial"/>
            <w:sz w:val="16"/>
            <w:szCs w:val="16"/>
            <w:lang w:val="es-ES"/>
          </w:rPr>
          <w:t>https://www.colombiacompra.gov.co/node/22983</w:t>
        </w:r>
      </w:hyperlink>
      <w:r w:rsidRPr="00085DA5">
        <w:rPr>
          <w:rFonts w:ascii="Verdana" w:eastAsia="Calibri" w:hAnsi="Verdana" w:cs="Arial"/>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018DA" w14:textId="77777777" w:rsidR="00EC35B5" w:rsidRDefault="00EC35B5" w:rsidP="00C72CCA">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2C246D61" wp14:editId="0C84DEEF">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60692F3E" wp14:editId="3E46551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3D64188" w14:textId="77777777" w:rsidR="00EC35B5" w:rsidRDefault="00EC35B5" w:rsidP="00C72CCA">
    <w:pPr>
      <w:pStyle w:val="Encabezado"/>
    </w:pPr>
  </w:p>
  <w:p w14:paraId="1D9CCC2F" w14:textId="77777777" w:rsidR="00EC35B5" w:rsidRDefault="00EC35B5" w:rsidP="00C72CCA">
    <w:pPr>
      <w:pStyle w:val="Encabezado"/>
    </w:pPr>
  </w:p>
  <w:p w14:paraId="2351EF62" w14:textId="77777777" w:rsidR="00EC35B5" w:rsidRPr="00515FB5" w:rsidRDefault="00EC35B5" w:rsidP="00C72CC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743"/>
    <w:rsid w:val="00067D8B"/>
    <w:rsid w:val="000C06CF"/>
    <w:rsid w:val="000F5A42"/>
    <w:rsid w:val="001359DD"/>
    <w:rsid w:val="001A32EC"/>
    <w:rsid w:val="001C0B81"/>
    <w:rsid w:val="001D5829"/>
    <w:rsid w:val="002126F0"/>
    <w:rsid w:val="00247470"/>
    <w:rsid w:val="00252855"/>
    <w:rsid w:val="00260DD0"/>
    <w:rsid w:val="002E16AA"/>
    <w:rsid w:val="002E2387"/>
    <w:rsid w:val="003A67BF"/>
    <w:rsid w:val="003E4A93"/>
    <w:rsid w:val="00424C40"/>
    <w:rsid w:val="00463CE8"/>
    <w:rsid w:val="00467614"/>
    <w:rsid w:val="00494FDB"/>
    <w:rsid w:val="0049607E"/>
    <w:rsid w:val="004F2B62"/>
    <w:rsid w:val="00517153"/>
    <w:rsid w:val="00562A8F"/>
    <w:rsid w:val="005F0A36"/>
    <w:rsid w:val="00663E7C"/>
    <w:rsid w:val="0068214A"/>
    <w:rsid w:val="006A28FF"/>
    <w:rsid w:val="00743882"/>
    <w:rsid w:val="00757C2E"/>
    <w:rsid w:val="00761AF1"/>
    <w:rsid w:val="007C315E"/>
    <w:rsid w:val="007D7BDF"/>
    <w:rsid w:val="007E45E4"/>
    <w:rsid w:val="00827D4C"/>
    <w:rsid w:val="008377B6"/>
    <w:rsid w:val="00890906"/>
    <w:rsid w:val="008B5F04"/>
    <w:rsid w:val="008D710C"/>
    <w:rsid w:val="008E71A5"/>
    <w:rsid w:val="009550F7"/>
    <w:rsid w:val="00964743"/>
    <w:rsid w:val="00994AD2"/>
    <w:rsid w:val="009C1E1F"/>
    <w:rsid w:val="00A12218"/>
    <w:rsid w:val="00A57E3C"/>
    <w:rsid w:val="00A90678"/>
    <w:rsid w:val="00AE6C41"/>
    <w:rsid w:val="00BD3BDC"/>
    <w:rsid w:val="00BF3949"/>
    <w:rsid w:val="00C01187"/>
    <w:rsid w:val="00C230AB"/>
    <w:rsid w:val="00C72CCA"/>
    <w:rsid w:val="00C76C05"/>
    <w:rsid w:val="00CA2365"/>
    <w:rsid w:val="00CA5E7B"/>
    <w:rsid w:val="00D509A6"/>
    <w:rsid w:val="00D74D68"/>
    <w:rsid w:val="00E75F0C"/>
    <w:rsid w:val="00EC35B5"/>
    <w:rsid w:val="00EE03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47748"/>
  <w15:chartTrackingRefBased/>
  <w15:docId w15:val="{01D8B60B-6330-48CB-B947-B7425B947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743"/>
    <w:rPr>
      <w:kern w:val="0"/>
      <w14:ligatures w14:val="none"/>
    </w:rPr>
  </w:style>
  <w:style w:type="paragraph" w:styleId="Ttulo1">
    <w:name w:val="heading 1"/>
    <w:basedOn w:val="Normal"/>
    <w:next w:val="Normal"/>
    <w:link w:val="Ttulo1Car"/>
    <w:uiPriority w:val="9"/>
    <w:qFormat/>
    <w:rsid w:val="009647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647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6474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6474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6474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6474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6474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6474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6474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6474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6474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6474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6474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6474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6474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6474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6474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64743"/>
    <w:rPr>
      <w:rFonts w:eastAsiaTheme="majorEastAsia" w:cstheme="majorBidi"/>
      <w:color w:val="272727" w:themeColor="text1" w:themeTint="D8"/>
    </w:rPr>
  </w:style>
  <w:style w:type="paragraph" w:styleId="Ttulo">
    <w:name w:val="Title"/>
    <w:basedOn w:val="Normal"/>
    <w:next w:val="Normal"/>
    <w:link w:val="TtuloCar"/>
    <w:uiPriority w:val="10"/>
    <w:qFormat/>
    <w:rsid w:val="009647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6474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6474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6474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64743"/>
    <w:pPr>
      <w:spacing w:before="160"/>
      <w:jc w:val="center"/>
    </w:pPr>
    <w:rPr>
      <w:i/>
      <w:iCs/>
      <w:color w:val="404040" w:themeColor="text1" w:themeTint="BF"/>
    </w:rPr>
  </w:style>
  <w:style w:type="character" w:customStyle="1" w:styleId="CitaCar">
    <w:name w:val="Cita Car"/>
    <w:basedOn w:val="Fuentedeprrafopredeter"/>
    <w:link w:val="Cita"/>
    <w:uiPriority w:val="29"/>
    <w:rsid w:val="00964743"/>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964743"/>
    <w:pPr>
      <w:ind w:left="720"/>
      <w:contextualSpacing/>
    </w:pPr>
  </w:style>
  <w:style w:type="character" w:styleId="nfasisintenso">
    <w:name w:val="Intense Emphasis"/>
    <w:basedOn w:val="Fuentedeprrafopredeter"/>
    <w:uiPriority w:val="21"/>
    <w:qFormat/>
    <w:rsid w:val="00964743"/>
    <w:rPr>
      <w:i/>
      <w:iCs/>
      <w:color w:val="0F4761" w:themeColor="accent1" w:themeShade="BF"/>
    </w:rPr>
  </w:style>
  <w:style w:type="paragraph" w:styleId="Citadestacada">
    <w:name w:val="Intense Quote"/>
    <w:basedOn w:val="Normal"/>
    <w:next w:val="Normal"/>
    <w:link w:val="CitadestacadaCar"/>
    <w:uiPriority w:val="30"/>
    <w:qFormat/>
    <w:rsid w:val="009647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64743"/>
    <w:rPr>
      <w:i/>
      <w:iCs/>
      <w:color w:val="0F4761" w:themeColor="accent1" w:themeShade="BF"/>
    </w:rPr>
  </w:style>
  <w:style w:type="character" w:styleId="Referenciaintensa">
    <w:name w:val="Intense Reference"/>
    <w:basedOn w:val="Fuentedeprrafopredeter"/>
    <w:uiPriority w:val="32"/>
    <w:qFormat/>
    <w:rsid w:val="00964743"/>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6474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6474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6474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64743"/>
    <w:rPr>
      <w:vertAlign w:val="superscript"/>
    </w:rPr>
  </w:style>
  <w:style w:type="paragraph" w:customStyle="1" w:styleId="Appelnotedebasde">
    <w:name w:val="Appel note de bas de..."/>
    <w:basedOn w:val="Normal"/>
    <w:link w:val="Refdenotaalpie"/>
    <w:uiPriority w:val="99"/>
    <w:rsid w:val="00964743"/>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96474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64743"/>
    <w:rPr>
      <w:kern w:val="0"/>
      <w14:ligatures w14:val="none"/>
    </w:rPr>
  </w:style>
  <w:style w:type="paragraph" w:styleId="Piedepgina">
    <w:name w:val="footer"/>
    <w:basedOn w:val="Normal"/>
    <w:link w:val="PiedepginaCar"/>
    <w:uiPriority w:val="99"/>
    <w:unhideWhenUsed/>
    <w:rsid w:val="0096474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4743"/>
    <w:rPr>
      <w:kern w:val="0"/>
      <w14:ligatures w14:val="none"/>
    </w:rPr>
  </w:style>
  <w:style w:type="table" w:styleId="Tablaconcuadrcula">
    <w:name w:val="Table Grid"/>
    <w:basedOn w:val="Tablanormal"/>
    <w:uiPriority w:val="39"/>
    <w:qFormat/>
    <w:rsid w:val="0096474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64743"/>
    <w:rPr>
      <w:color w:val="467886" w:themeColor="hyperlink"/>
      <w:u w:val="single"/>
    </w:rPr>
  </w:style>
  <w:style w:type="character" w:styleId="Refdecomentario">
    <w:name w:val="annotation reference"/>
    <w:basedOn w:val="Fuentedeprrafopredeter"/>
    <w:uiPriority w:val="99"/>
    <w:semiHidden/>
    <w:unhideWhenUsed/>
    <w:rsid w:val="00964743"/>
    <w:rPr>
      <w:sz w:val="16"/>
      <w:szCs w:val="16"/>
    </w:rPr>
  </w:style>
  <w:style w:type="paragraph" w:styleId="Textocomentario">
    <w:name w:val="annotation text"/>
    <w:basedOn w:val="Normal"/>
    <w:link w:val="TextocomentarioCar"/>
    <w:uiPriority w:val="99"/>
    <w:unhideWhenUsed/>
    <w:rsid w:val="00964743"/>
    <w:pPr>
      <w:spacing w:line="240" w:lineRule="auto"/>
    </w:pPr>
    <w:rPr>
      <w:sz w:val="20"/>
      <w:szCs w:val="20"/>
    </w:rPr>
  </w:style>
  <w:style w:type="character" w:customStyle="1" w:styleId="TextocomentarioCar">
    <w:name w:val="Texto comentario Car"/>
    <w:basedOn w:val="Fuentedeprrafopredeter"/>
    <w:link w:val="Textocomentario"/>
    <w:uiPriority w:val="99"/>
    <w:rsid w:val="00964743"/>
    <w:rPr>
      <w:kern w:val="0"/>
      <w:sz w:val="20"/>
      <w:szCs w:val="20"/>
      <w14:ligatures w14:val="none"/>
    </w:rPr>
  </w:style>
  <w:style w:type="character" w:customStyle="1" w:styleId="normaltextrun">
    <w:name w:val="normaltextrun"/>
    <w:basedOn w:val="Fuentedeprrafopredeter"/>
    <w:rsid w:val="00964743"/>
  </w:style>
  <w:style w:type="character" w:customStyle="1" w:styleId="eop">
    <w:name w:val="eop"/>
    <w:basedOn w:val="Fuentedeprrafopredeter"/>
    <w:rsid w:val="00964743"/>
  </w:style>
  <w:style w:type="paragraph" w:customStyle="1" w:styleId="paragraph">
    <w:name w:val="paragraph"/>
    <w:basedOn w:val="Normal"/>
    <w:rsid w:val="00964743"/>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64743"/>
  </w:style>
  <w:style w:type="character" w:styleId="Mencinsinresolver">
    <w:name w:val="Unresolved Mention"/>
    <w:basedOn w:val="Fuentedeprrafopredeter"/>
    <w:uiPriority w:val="99"/>
    <w:semiHidden/>
    <w:unhideWhenUsed/>
    <w:rsid w:val="009647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298968">
      <w:bodyDiv w:val="1"/>
      <w:marLeft w:val="0"/>
      <w:marRight w:val="0"/>
      <w:marTop w:val="0"/>
      <w:marBottom w:val="0"/>
      <w:divBdr>
        <w:top w:val="none" w:sz="0" w:space="0" w:color="auto"/>
        <w:left w:val="none" w:sz="0" w:space="0" w:color="auto"/>
        <w:bottom w:val="none" w:sz="0" w:space="0" w:color="auto"/>
        <w:right w:val="none" w:sz="0" w:space="0" w:color="auto"/>
      </w:divBdr>
    </w:div>
    <w:div w:id="946959659">
      <w:bodyDiv w:val="1"/>
      <w:marLeft w:val="0"/>
      <w:marRight w:val="0"/>
      <w:marTop w:val="0"/>
      <w:marBottom w:val="0"/>
      <w:divBdr>
        <w:top w:val="none" w:sz="0" w:space="0" w:color="auto"/>
        <w:left w:val="none" w:sz="0" w:space="0" w:color="auto"/>
        <w:bottom w:val="none" w:sz="0" w:space="0" w:color="auto"/>
        <w:right w:val="none" w:sz="0" w:space="0" w:color="auto"/>
      </w:divBdr>
    </w:div>
    <w:div w:id="1587299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relatoria.colombiacompra.gov.co/busqueda/conceptos" TargetMode="External"/><Relationship Id="rId4" Type="http://schemas.openxmlformats.org/officeDocument/2006/relationships/settings" Target="settings.xml"/><Relationship Id="rId9" Type="http://schemas.openxmlformats.org/officeDocument/2006/relationships/hyperlink" Target="mailto:jadelfuentes@gmail.com"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node/22983" TargetMode="External"/><Relationship Id="rId2" Type="http://schemas.openxmlformats.org/officeDocument/2006/relationships/hyperlink" Target="https://relatoria.colombiacompra.gov.co/conceptos/c-514-de-2025/"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309022-1FA5-430A-9AB7-7BF0A9993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35244</TotalTime>
  <Pages>13</Pages>
  <Words>3780</Words>
  <Characters>20794</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24525</CharactersWithSpaces>
  <SharedDoc>false</SharedDoc>
  <HLinks>
    <vt:vector size="24" baseType="variant">
      <vt:variant>
        <vt:i4>7471218</vt:i4>
      </vt:variant>
      <vt:variant>
        <vt:i4>3</vt:i4>
      </vt:variant>
      <vt:variant>
        <vt:i4>0</vt:i4>
      </vt:variant>
      <vt:variant>
        <vt:i4>5</vt:i4>
      </vt:variant>
      <vt:variant>
        <vt:lpwstr>https://relatoria.colombiacompra.gov.co/busqueda/conceptos</vt:lpwstr>
      </vt:variant>
      <vt:variant>
        <vt:lpwstr/>
      </vt:variant>
      <vt:variant>
        <vt:i4>8060995</vt:i4>
      </vt:variant>
      <vt:variant>
        <vt:i4>0</vt:i4>
      </vt:variant>
      <vt:variant>
        <vt:i4>0</vt:i4>
      </vt:variant>
      <vt:variant>
        <vt:i4>5</vt:i4>
      </vt:variant>
      <vt:variant>
        <vt:lpwstr>mailto:jadelfuentes@gmail.com</vt:lpwstr>
      </vt:variant>
      <vt:variant>
        <vt:lpwstr/>
      </vt:variant>
      <vt:variant>
        <vt:i4>5898264</vt:i4>
      </vt:variant>
      <vt:variant>
        <vt:i4>3</vt:i4>
      </vt:variant>
      <vt:variant>
        <vt:i4>0</vt:i4>
      </vt:variant>
      <vt:variant>
        <vt:i4>5</vt:i4>
      </vt:variant>
      <vt:variant>
        <vt:lpwstr>https://www.colombiacompra.gov.co/node/22983</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28</cp:revision>
  <dcterms:created xsi:type="dcterms:W3CDTF">2025-03-20T19:32:00Z</dcterms:created>
  <dcterms:modified xsi:type="dcterms:W3CDTF">2025-06-20T13:38:00Z</dcterms:modified>
</cp:coreProperties>
</file>