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54E11" w14:textId="221B16EA" w:rsidR="004D4DED" w:rsidRPr="004D4DED" w:rsidRDefault="00FC054E" w:rsidP="00FC054E">
      <w:pPr>
        <w:tabs>
          <w:tab w:val="left" w:pos="426"/>
        </w:tabs>
        <w:rPr>
          <w:rFonts w:ascii="Verdana" w:hAnsi="Verdana" w:cs="Arial"/>
          <w:b/>
          <w:lang w:val="es-ES" w:eastAsia="es-CO"/>
        </w:rPr>
      </w:pPr>
      <w:bookmarkStart w:id="0" w:name="_Hlk77152637"/>
      <w:bookmarkStart w:id="1" w:name="_Hlk77157066"/>
      <w:r w:rsidRPr="004D4DED">
        <w:rPr>
          <w:rFonts w:ascii="Verdana" w:hAnsi="Verdana" w:cs="Arial"/>
          <w:b/>
          <w:lang w:val="es-ES" w:eastAsia="es-CO"/>
        </w:rPr>
        <w:t>LEY DE GARANTÍAS ELECTORALES ‒</w:t>
      </w:r>
      <w:bookmarkEnd w:id="0"/>
      <w:r w:rsidRPr="004D4DED">
        <w:rPr>
          <w:rFonts w:ascii="Verdana" w:hAnsi="Verdana" w:cs="Arial"/>
          <w:b/>
          <w:lang w:val="es-ES" w:eastAsia="es-CO"/>
        </w:rPr>
        <w:t xml:space="preserve"> Definición – Finalidad</w:t>
      </w:r>
    </w:p>
    <w:bookmarkEnd w:id="1"/>
    <w:p w14:paraId="41BA86F5" w14:textId="18AD368E" w:rsidR="00FC054E" w:rsidRPr="00BE513B" w:rsidRDefault="00FC054E" w:rsidP="00BE513B">
      <w:pPr>
        <w:tabs>
          <w:tab w:val="left" w:pos="426"/>
        </w:tabs>
        <w:jc w:val="both"/>
        <w:rPr>
          <w:rFonts w:ascii="Verdana" w:eastAsia="Calibri" w:hAnsi="Verdana" w:cs="Arial"/>
          <w:noProof/>
          <w:sz w:val="20"/>
          <w:szCs w:val="20"/>
          <w:lang w:val="es-ES_tradnl"/>
        </w:rPr>
      </w:pPr>
      <w:r w:rsidRPr="00BE513B">
        <w:rPr>
          <w:rFonts w:ascii="Verdana" w:eastAsia="Calibri" w:hAnsi="Verdana" w:cs="Arial"/>
          <w:noProof/>
          <w:sz w:val="20"/>
          <w:szCs w:val="20"/>
          <w:lang w:val="es-ES_tradnl"/>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Pr="00BE513B">
        <w:rPr>
          <w:rFonts w:ascii="Verdana" w:eastAsia="Calibri" w:hAnsi="Verdana" w:cs="Arial"/>
          <w:noProof/>
          <w:sz w:val="20"/>
          <w:szCs w:val="20"/>
        </w:rPr>
        <w:t xml:space="preserve"> </w:t>
      </w:r>
    </w:p>
    <w:p w14:paraId="1F91316E" w14:textId="64BCC9F9" w:rsidR="00FC054E" w:rsidRPr="00BE513B" w:rsidRDefault="00FC054E" w:rsidP="00BE513B">
      <w:pPr>
        <w:jc w:val="both"/>
        <w:rPr>
          <w:rFonts w:ascii="Verdana" w:hAnsi="Verdana" w:cs="Arial"/>
          <w:b/>
          <w:lang w:val="es-ES" w:eastAsia="es-CO"/>
        </w:rPr>
      </w:pPr>
      <w:r w:rsidRPr="004D4DED">
        <w:rPr>
          <w:rFonts w:ascii="Verdana" w:hAnsi="Verdana" w:cs="Arial"/>
          <w:b/>
          <w:bCs/>
          <w:lang w:eastAsia="es-CO"/>
        </w:rPr>
        <w:t xml:space="preserve">LEY DE GARANTÍAS ELECTORALES </w:t>
      </w:r>
      <w:bookmarkStart w:id="2" w:name="_Hlk77166669"/>
      <w:r w:rsidRPr="004D4DED">
        <w:rPr>
          <w:rFonts w:ascii="Verdana" w:hAnsi="Verdana" w:cs="Arial"/>
          <w:b/>
          <w:bCs/>
          <w:lang w:eastAsia="es-CO"/>
        </w:rPr>
        <w:t>‒</w:t>
      </w:r>
      <w:bookmarkEnd w:id="2"/>
      <w:r w:rsidRPr="004D4DED">
        <w:rPr>
          <w:rFonts w:ascii="Verdana" w:hAnsi="Verdana" w:cs="Arial"/>
          <w:b/>
          <w:bCs/>
          <w:lang w:eastAsia="es-CO"/>
        </w:rPr>
        <w:t xml:space="preserve"> </w:t>
      </w:r>
      <w:r w:rsidRPr="004D4DED">
        <w:rPr>
          <w:rFonts w:ascii="Verdana" w:hAnsi="Verdana" w:cs="Arial"/>
          <w:b/>
          <w:lang w:val="es-ES" w:eastAsia="es-CO"/>
        </w:rPr>
        <w:t xml:space="preserve">Prohibición del artículo 33 </w:t>
      </w:r>
      <w:r w:rsidRPr="004D4DED">
        <w:rPr>
          <w:rFonts w:ascii="Verdana" w:hAnsi="Verdana" w:cs="Arial"/>
          <w:b/>
          <w:bCs/>
          <w:lang w:eastAsia="es-CO"/>
        </w:rPr>
        <w:t xml:space="preserve">‒ Destinatarios ‒Excepciones </w:t>
      </w:r>
    </w:p>
    <w:p w14:paraId="56A11B09" w14:textId="71B590CA" w:rsidR="00FC054E" w:rsidRPr="00BE513B" w:rsidRDefault="00FC054E" w:rsidP="00FC054E">
      <w:pPr>
        <w:tabs>
          <w:tab w:val="left" w:pos="426"/>
        </w:tabs>
        <w:jc w:val="both"/>
        <w:rPr>
          <w:rFonts w:ascii="Verdana" w:eastAsia="Calibri" w:hAnsi="Verdana" w:cs="Arial"/>
          <w:noProof/>
          <w:sz w:val="20"/>
          <w:szCs w:val="20"/>
        </w:rPr>
      </w:pPr>
      <w:r w:rsidRPr="00BE513B">
        <w:rPr>
          <w:rFonts w:ascii="Verdana" w:eastAsia="Calibri" w:hAnsi="Verdana" w:cs="Arial"/>
          <w:noProof/>
          <w:sz w:val="20"/>
          <w:szCs w:val="20"/>
          <w:lang w:val="es-ES_tradnl"/>
        </w:rPr>
        <w:t xml:space="preserve">[…] </w:t>
      </w:r>
      <w:r w:rsidRPr="00BE513B">
        <w:rPr>
          <w:rFonts w:ascii="Verdana" w:eastAsia="Calibri" w:hAnsi="Verdana" w:cs="Arial"/>
          <w:noProof/>
          <w:sz w:val="20"/>
          <w:szCs w:val="20"/>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2476C12D" w14:textId="77777777" w:rsidR="002B6204" w:rsidRPr="00BE513B" w:rsidRDefault="002B6204" w:rsidP="00FC054E">
      <w:pPr>
        <w:tabs>
          <w:tab w:val="left" w:pos="426"/>
        </w:tabs>
        <w:jc w:val="both"/>
        <w:rPr>
          <w:rFonts w:ascii="Verdana" w:eastAsia="Calibri" w:hAnsi="Verdana" w:cs="Arial"/>
          <w:noProof/>
          <w:sz w:val="20"/>
          <w:szCs w:val="20"/>
        </w:rPr>
      </w:pPr>
    </w:p>
    <w:p w14:paraId="7D97022E" w14:textId="77777777" w:rsidR="00FC054E" w:rsidRPr="00BE513B" w:rsidRDefault="00FC054E" w:rsidP="00FC054E">
      <w:pPr>
        <w:tabs>
          <w:tab w:val="left" w:pos="426"/>
        </w:tabs>
        <w:jc w:val="both"/>
        <w:rPr>
          <w:rFonts w:ascii="Verdana" w:eastAsia="Calibri" w:hAnsi="Verdana" w:cs="Arial"/>
          <w:noProof/>
          <w:sz w:val="20"/>
          <w:szCs w:val="20"/>
        </w:rPr>
      </w:pPr>
      <w:r w:rsidRPr="00BE513B">
        <w:rPr>
          <w:rFonts w:ascii="Verdana" w:eastAsia="Calibri" w:hAnsi="Verdana" w:cs="Arial"/>
          <w:noProof/>
          <w:sz w:val="20"/>
          <w:szCs w:val="20"/>
        </w:rPr>
        <w:t xml:space="preserve">Para efectos de la consulta es relevante el quinto evento exceptuado de la prohibición, relacionado con la contratación por parte de las entidades sanitarias y hospitalarias. La aplicación de esta excepción a la restricción impuesta como regla general por el primer inciso del artículo 33, permite que las entidades sanitarias y hospitalarias, ante la importancia de los servicios que prestan para el grueso de la ciudadanía, puedan seguir realizando las compras y adquisiciones que requieren para prestarlos, incluso de manera directa, durante los periodos prelectorales, con lo que se busca garantizar que el interés público no se vea afectado por el rigor de la regla general. </w:t>
      </w:r>
    </w:p>
    <w:p w14:paraId="253B9DB7" w14:textId="77777777" w:rsidR="00FC054E" w:rsidRPr="00BE513B" w:rsidRDefault="00FC054E" w:rsidP="00FC054E">
      <w:pPr>
        <w:tabs>
          <w:tab w:val="left" w:pos="426"/>
        </w:tabs>
        <w:jc w:val="both"/>
        <w:rPr>
          <w:rFonts w:ascii="Verdana" w:eastAsia="Calibri" w:hAnsi="Verdana" w:cs="Arial"/>
          <w:noProof/>
          <w:sz w:val="20"/>
          <w:szCs w:val="20"/>
        </w:rPr>
      </w:pPr>
    </w:p>
    <w:p w14:paraId="54295638" w14:textId="0717A15B" w:rsidR="00FC054E" w:rsidRPr="00BE513B" w:rsidRDefault="00FC054E" w:rsidP="00FC054E">
      <w:pPr>
        <w:tabs>
          <w:tab w:val="left" w:pos="426"/>
        </w:tabs>
        <w:jc w:val="both"/>
        <w:rPr>
          <w:rFonts w:ascii="Verdana" w:eastAsia="Calibri" w:hAnsi="Verdana" w:cs="Arial"/>
          <w:noProof/>
          <w:sz w:val="20"/>
          <w:szCs w:val="20"/>
        </w:rPr>
      </w:pPr>
      <w:r w:rsidRPr="00BE513B">
        <w:rPr>
          <w:rFonts w:ascii="Verdana" w:eastAsia="Calibri" w:hAnsi="Verdana" w:cs="Arial"/>
          <w:noProof/>
          <w:sz w:val="20"/>
          <w:szCs w:val="20"/>
        </w:rPr>
        <w:lastRenderedPageBreak/>
        <w:t>El alcance de esta excepción está determinado por la prestación de servicios sanitarios y hospitalarios, por lo que son las entidades públicas directamente encargadas de prestar estos servicios quienes estarían cobijadas por la excepción.</w:t>
      </w:r>
    </w:p>
    <w:p w14:paraId="5E75CBC7" w14:textId="5B0BB5EA" w:rsidR="00FC054E" w:rsidRPr="00BE513B" w:rsidRDefault="00FC054E" w:rsidP="00FC054E">
      <w:pPr>
        <w:tabs>
          <w:tab w:val="left" w:pos="426"/>
        </w:tabs>
        <w:jc w:val="both"/>
        <w:rPr>
          <w:rFonts w:ascii="Verdana" w:eastAsia="Calibri" w:hAnsi="Verdana" w:cs="Arial"/>
          <w:b/>
          <w:bCs/>
          <w:noProof/>
        </w:rPr>
      </w:pPr>
      <w:r w:rsidRPr="004D4DED">
        <w:rPr>
          <w:rFonts w:ascii="Verdana" w:eastAsia="Calibri" w:hAnsi="Verdana" w:cs="Arial"/>
          <w:b/>
          <w:bCs/>
          <w:noProof/>
        </w:rPr>
        <w:t>LEY DE GARANTÍAS ELECTORALES ‒ Prohibición por elección de cargos populares – Convenios y contratos interadministrativos – Definición – Criterio orgánico</w:t>
      </w:r>
    </w:p>
    <w:p w14:paraId="68176848" w14:textId="77777777" w:rsidR="00FC054E" w:rsidRPr="00BE513B" w:rsidRDefault="00FC054E" w:rsidP="00FC054E">
      <w:pPr>
        <w:tabs>
          <w:tab w:val="left" w:pos="426"/>
        </w:tabs>
        <w:jc w:val="both"/>
        <w:rPr>
          <w:rFonts w:ascii="Verdana" w:eastAsia="Calibri" w:hAnsi="Verdana" w:cs="Arial"/>
          <w:noProof/>
          <w:sz w:val="20"/>
          <w:szCs w:val="20"/>
        </w:rPr>
      </w:pPr>
      <w:r w:rsidRPr="00BE513B">
        <w:rPr>
          <w:rFonts w:ascii="Verdana" w:eastAsia="Calibri" w:hAnsi="Verdana" w:cs="Arial"/>
          <w:noProof/>
          <w:sz w:val="20"/>
          <w:szCs w:val="20"/>
        </w:rPr>
        <w:t>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p>
    <w:p w14:paraId="65088DF0" w14:textId="77777777" w:rsidR="00FC054E" w:rsidRPr="00BE513B" w:rsidRDefault="00FC054E" w:rsidP="00FC054E">
      <w:pPr>
        <w:tabs>
          <w:tab w:val="left" w:pos="426"/>
        </w:tabs>
        <w:jc w:val="both"/>
        <w:rPr>
          <w:rFonts w:ascii="Verdana" w:eastAsia="Calibri" w:hAnsi="Verdana" w:cs="Arial"/>
          <w:noProof/>
          <w:sz w:val="20"/>
          <w:szCs w:val="20"/>
        </w:rPr>
      </w:pPr>
    </w:p>
    <w:p w14:paraId="143A0CBA" w14:textId="77777777" w:rsidR="00FC054E" w:rsidRPr="00BE513B" w:rsidRDefault="00FC054E" w:rsidP="00FC054E">
      <w:pPr>
        <w:tabs>
          <w:tab w:val="left" w:pos="426"/>
        </w:tabs>
        <w:jc w:val="both"/>
        <w:rPr>
          <w:rFonts w:ascii="Verdana" w:eastAsia="Calibri" w:hAnsi="Verdana" w:cs="Arial"/>
          <w:noProof/>
          <w:sz w:val="20"/>
          <w:szCs w:val="20"/>
        </w:rPr>
      </w:pPr>
      <w:r w:rsidRPr="00BE513B">
        <w:rPr>
          <w:rFonts w:ascii="Verdana" w:eastAsia="Calibri" w:hAnsi="Verdana" w:cs="Arial"/>
          <w:noProof/>
          <w:sz w:val="20"/>
          <w:szCs w:val="20"/>
        </w:rPr>
        <w:t>[…] para determinar el alcance de la prohibición consagrada por la Ley de Garantías Electorales, conviene precisar la tipología de convenios o contratos interadministrativos. Aunque la ley no la definió ni desarrolló, el Decreto 1082 de 2015 califica a los convenios o contratos interadministrativos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1206FB90" w14:textId="77777777" w:rsidR="00FC054E" w:rsidRPr="004D4DED" w:rsidRDefault="00FC054E" w:rsidP="00FC054E">
      <w:pPr>
        <w:tabs>
          <w:tab w:val="left" w:pos="426"/>
        </w:tabs>
        <w:jc w:val="both"/>
        <w:rPr>
          <w:rFonts w:ascii="Verdana" w:eastAsia="Calibri" w:hAnsi="Verdana" w:cs="Arial"/>
          <w:noProof/>
        </w:rPr>
      </w:pPr>
    </w:p>
    <w:p w14:paraId="44BC0576" w14:textId="77777777" w:rsidR="00871B59" w:rsidRPr="004D4DED" w:rsidRDefault="00871B59" w:rsidP="00871B59">
      <w:pPr>
        <w:spacing w:after="0" w:line="240" w:lineRule="auto"/>
        <w:rPr>
          <w:rFonts w:ascii="Verdana" w:eastAsia="Geomanist Light" w:hAnsi="Verdana" w:cs="Arial"/>
          <w:lang w:val="es-MX"/>
        </w:rPr>
      </w:pPr>
    </w:p>
    <w:p w14:paraId="7C2A5907" w14:textId="77777777" w:rsidR="00871B59" w:rsidRPr="004D4DED" w:rsidRDefault="00871B59" w:rsidP="00871B59">
      <w:pPr>
        <w:spacing w:after="0" w:line="240" w:lineRule="auto"/>
        <w:rPr>
          <w:rFonts w:ascii="Verdana" w:eastAsia="Geomanist Light" w:hAnsi="Verdana" w:cs="Arial"/>
          <w:lang w:val="es-MX"/>
        </w:rPr>
      </w:pPr>
    </w:p>
    <w:p w14:paraId="7FA66796" w14:textId="77777777" w:rsidR="00871B59" w:rsidRPr="004D4DED" w:rsidRDefault="00871B59" w:rsidP="00871B59">
      <w:pPr>
        <w:spacing w:after="0" w:line="240" w:lineRule="auto"/>
        <w:rPr>
          <w:rFonts w:ascii="Verdana" w:eastAsia="Geomanist Light" w:hAnsi="Verdana" w:cs="Arial"/>
          <w:lang w:val="es-MX"/>
        </w:rPr>
      </w:pPr>
    </w:p>
    <w:p w14:paraId="2DE0E40C" w14:textId="77777777" w:rsidR="00871B59" w:rsidRPr="004D4DED" w:rsidRDefault="00871B59" w:rsidP="00871B59">
      <w:pPr>
        <w:spacing w:after="0" w:line="240" w:lineRule="auto"/>
        <w:rPr>
          <w:rFonts w:ascii="Verdana" w:eastAsia="Geomanist Light" w:hAnsi="Verdana" w:cs="Arial"/>
          <w:lang w:val="es-MX"/>
        </w:rPr>
      </w:pPr>
    </w:p>
    <w:p w14:paraId="27997242" w14:textId="77777777" w:rsidR="00871B59" w:rsidRPr="004D4DED" w:rsidRDefault="00871B59" w:rsidP="00871B59">
      <w:pPr>
        <w:spacing w:after="0" w:line="240" w:lineRule="auto"/>
        <w:rPr>
          <w:rFonts w:ascii="Verdana" w:eastAsia="Geomanist Light" w:hAnsi="Verdana" w:cs="Arial"/>
          <w:lang w:val="es-MX"/>
        </w:rPr>
      </w:pPr>
    </w:p>
    <w:p w14:paraId="44C115E8" w14:textId="77777777" w:rsidR="00871B59" w:rsidRPr="004D4DED" w:rsidRDefault="00871B59" w:rsidP="00871B59">
      <w:pPr>
        <w:spacing w:after="0" w:line="240" w:lineRule="auto"/>
        <w:rPr>
          <w:rFonts w:ascii="Verdana" w:eastAsia="Geomanist Light" w:hAnsi="Verdana" w:cs="Arial"/>
          <w:lang w:val="es-MX"/>
        </w:rPr>
      </w:pPr>
    </w:p>
    <w:p w14:paraId="3E724D82" w14:textId="77777777" w:rsidR="00871B59" w:rsidRPr="004D4DED" w:rsidRDefault="00871B59" w:rsidP="00871B59">
      <w:pPr>
        <w:spacing w:after="0" w:line="240" w:lineRule="auto"/>
        <w:rPr>
          <w:rFonts w:ascii="Verdana" w:eastAsia="Geomanist Light" w:hAnsi="Verdana" w:cs="Arial"/>
          <w:lang w:val="es-MX"/>
        </w:rPr>
      </w:pPr>
    </w:p>
    <w:p w14:paraId="4214411A" w14:textId="77777777" w:rsidR="00871B59" w:rsidRPr="004D4DED" w:rsidRDefault="00871B59" w:rsidP="00871B59">
      <w:pPr>
        <w:spacing w:after="0" w:line="240" w:lineRule="auto"/>
        <w:rPr>
          <w:rFonts w:ascii="Verdana" w:eastAsia="Geomanist Light" w:hAnsi="Verdana" w:cs="Arial"/>
          <w:lang w:val="es-MX"/>
        </w:rPr>
      </w:pPr>
    </w:p>
    <w:p w14:paraId="1E126A39" w14:textId="32897D63" w:rsidR="00871B59" w:rsidRPr="004D4DED" w:rsidRDefault="00871B59" w:rsidP="00871B59">
      <w:pPr>
        <w:spacing w:after="0" w:line="240" w:lineRule="auto"/>
        <w:rPr>
          <w:rFonts w:ascii="Verdana" w:eastAsia="Geomanist Light" w:hAnsi="Verdana" w:cs="Arial"/>
          <w:lang w:val="es-MX"/>
        </w:rPr>
      </w:pPr>
    </w:p>
    <w:p w14:paraId="4381D623" w14:textId="13E55591" w:rsidR="00871B59" w:rsidRPr="004D4DED" w:rsidRDefault="00871B59" w:rsidP="00871B59">
      <w:pPr>
        <w:spacing w:after="0" w:line="240" w:lineRule="auto"/>
        <w:rPr>
          <w:rFonts w:ascii="Verdana" w:eastAsia="Geomanist Light" w:hAnsi="Verdana" w:cs="Arial"/>
          <w:lang w:val="es-MX"/>
        </w:rPr>
      </w:pPr>
    </w:p>
    <w:p w14:paraId="7376894F" w14:textId="77777777" w:rsidR="00BE513B" w:rsidRDefault="00BE513B" w:rsidP="00871B59">
      <w:pPr>
        <w:spacing w:after="0" w:line="240" w:lineRule="auto"/>
        <w:jc w:val="both"/>
        <w:rPr>
          <w:rFonts w:ascii="Verdana" w:eastAsia="Geomanist Light" w:hAnsi="Verdana" w:cs="Arial"/>
        </w:rPr>
      </w:pPr>
    </w:p>
    <w:p w14:paraId="0435A9D8" w14:textId="77777777" w:rsidR="00BE513B" w:rsidRDefault="00BE513B" w:rsidP="00871B59">
      <w:pPr>
        <w:spacing w:after="0" w:line="240" w:lineRule="auto"/>
        <w:jc w:val="both"/>
        <w:rPr>
          <w:rFonts w:ascii="Verdana" w:eastAsia="Geomanist Light" w:hAnsi="Verdana" w:cs="Arial"/>
        </w:rPr>
      </w:pPr>
    </w:p>
    <w:p w14:paraId="2FE87D79" w14:textId="77777777" w:rsidR="00BE513B" w:rsidRDefault="00BE513B" w:rsidP="00871B59">
      <w:pPr>
        <w:spacing w:after="0" w:line="240" w:lineRule="auto"/>
        <w:jc w:val="both"/>
        <w:rPr>
          <w:rFonts w:ascii="Verdana" w:eastAsia="Geomanist Light" w:hAnsi="Verdana" w:cs="Arial"/>
        </w:rPr>
      </w:pPr>
    </w:p>
    <w:p w14:paraId="263F56BE" w14:textId="19C183C3" w:rsidR="00871B59" w:rsidRDefault="001801A4" w:rsidP="00871B59">
      <w:pPr>
        <w:spacing w:after="0" w:line="240" w:lineRule="auto"/>
        <w:jc w:val="both"/>
        <w:rPr>
          <w:rFonts w:ascii="Verdana" w:eastAsia="Geomanist Light" w:hAnsi="Verdana" w:cs="Arial"/>
        </w:rPr>
      </w:pPr>
      <w:r w:rsidRPr="001801A4">
        <w:rPr>
          <w:rFonts w:ascii="Verdana" w:eastAsia="Geomanist Light" w:hAnsi="Verdana" w:cs="Arial"/>
        </w:rPr>
        <w:lastRenderedPageBreak/>
        <w:t>Bogotá D.C., 09 de Abril de 2025</w:t>
      </w:r>
    </w:p>
    <w:p w14:paraId="6769ED60" w14:textId="0B988017" w:rsidR="001801A4" w:rsidRDefault="001801A4" w:rsidP="00871B59">
      <w:pPr>
        <w:spacing w:after="0" w:line="240" w:lineRule="auto"/>
        <w:jc w:val="both"/>
        <w:rPr>
          <w:rFonts w:ascii="Verdana" w:eastAsia="Geomanist Light" w:hAnsi="Verdana" w:cs="Arial"/>
        </w:rPr>
      </w:pPr>
      <w:r w:rsidRPr="001801A4">
        <w:rPr>
          <w:rFonts w:ascii="Verdana" w:eastAsia="Calibri" w:hAnsi="Verdana" w:cs="Arial"/>
          <w:b/>
          <w:noProof/>
          <w:lang w:val="es-ES_tradnl" w:eastAsia="es-ES_tradnl"/>
        </w:rPr>
        <w:drawing>
          <wp:anchor distT="0" distB="0" distL="114300" distR="114300" simplePos="0" relativeHeight="251658240" behindDoc="1" locked="0" layoutInCell="1" allowOverlap="1" wp14:anchorId="33A9FF56" wp14:editId="250E6C54">
            <wp:simplePos x="0" y="0"/>
            <wp:positionH relativeFrom="column">
              <wp:posOffset>3221355</wp:posOffset>
            </wp:positionH>
            <wp:positionV relativeFrom="paragraph">
              <wp:posOffset>101600</wp:posOffset>
            </wp:positionV>
            <wp:extent cx="2889250" cy="950595"/>
            <wp:effectExtent l="0" t="0" r="6350" b="1905"/>
            <wp:wrapTight wrapText="bothSides">
              <wp:wrapPolygon edited="0">
                <wp:start x="0" y="0"/>
                <wp:lineTo x="0" y="21210"/>
                <wp:lineTo x="21505" y="21210"/>
                <wp:lineTo x="21505" y="0"/>
                <wp:lineTo x="0" y="0"/>
              </wp:wrapPolygon>
            </wp:wrapTight>
            <wp:docPr id="15676610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661001" name=""/>
                    <pic:cNvPicPr/>
                  </pic:nvPicPr>
                  <pic:blipFill>
                    <a:blip r:embed="rId11">
                      <a:extLst>
                        <a:ext uri="{28A0092B-C50C-407E-A947-70E740481C1C}">
                          <a14:useLocalDpi xmlns:a14="http://schemas.microsoft.com/office/drawing/2010/main" val="0"/>
                        </a:ext>
                      </a:extLst>
                    </a:blip>
                    <a:stretch>
                      <a:fillRect/>
                    </a:stretch>
                  </pic:blipFill>
                  <pic:spPr>
                    <a:xfrm>
                      <a:off x="0" y="0"/>
                      <a:ext cx="2889250" cy="950595"/>
                    </a:xfrm>
                    <a:prstGeom prst="rect">
                      <a:avLst/>
                    </a:prstGeom>
                  </pic:spPr>
                </pic:pic>
              </a:graphicData>
            </a:graphic>
            <wp14:sizeRelH relativeFrom="page">
              <wp14:pctWidth>0</wp14:pctWidth>
            </wp14:sizeRelH>
            <wp14:sizeRelV relativeFrom="page">
              <wp14:pctHeight>0</wp14:pctHeight>
            </wp14:sizeRelV>
          </wp:anchor>
        </w:drawing>
      </w:r>
    </w:p>
    <w:p w14:paraId="3D4C0346" w14:textId="6156909C" w:rsidR="001801A4" w:rsidRPr="004D4DED" w:rsidRDefault="001801A4" w:rsidP="00871B59">
      <w:pPr>
        <w:spacing w:after="0" w:line="240" w:lineRule="auto"/>
        <w:jc w:val="both"/>
        <w:rPr>
          <w:rFonts w:ascii="Verdana" w:eastAsia="Calibri" w:hAnsi="Verdana" w:cs="Arial"/>
          <w:lang w:val="es-ES"/>
        </w:rPr>
      </w:pPr>
    </w:p>
    <w:p w14:paraId="66EF7FED" w14:textId="7B5F2196" w:rsidR="00871B59" w:rsidRPr="004D4DED" w:rsidRDefault="00871B59" w:rsidP="00871B59">
      <w:pPr>
        <w:spacing w:after="0" w:line="240" w:lineRule="auto"/>
        <w:jc w:val="both"/>
        <w:rPr>
          <w:rFonts w:ascii="Verdana" w:eastAsia="Calibri" w:hAnsi="Verdana" w:cs="Arial"/>
          <w:lang w:val="es-ES" w:eastAsia="es-ES"/>
        </w:rPr>
      </w:pPr>
      <w:r w:rsidRPr="004D4DED">
        <w:rPr>
          <w:rFonts w:ascii="Verdana" w:eastAsia="Calibri" w:hAnsi="Verdana" w:cs="Arial"/>
          <w:lang w:val="es-ES" w:eastAsia="es-ES"/>
        </w:rPr>
        <w:t>Señor</w:t>
      </w:r>
      <w:r w:rsidR="002B6204" w:rsidRPr="004D4DED">
        <w:rPr>
          <w:rFonts w:ascii="Verdana" w:eastAsia="Calibri" w:hAnsi="Verdana" w:cs="Arial"/>
          <w:lang w:val="es-ES" w:eastAsia="es-ES"/>
        </w:rPr>
        <w:t>a</w:t>
      </w:r>
    </w:p>
    <w:p w14:paraId="0D0B9D30" w14:textId="48D677EA" w:rsidR="00871B59" w:rsidRPr="004D4DED" w:rsidRDefault="002B6204" w:rsidP="033403DE">
      <w:pPr>
        <w:spacing w:after="0" w:line="240" w:lineRule="auto"/>
        <w:rPr>
          <w:rFonts w:ascii="Verdana" w:eastAsia="Calibri" w:hAnsi="Verdana" w:cs="Arial"/>
          <w:b/>
          <w:bCs/>
          <w:lang w:val="es-ES" w:eastAsia="es-ES"/>
        </w:rPr>
      </w:pPr>
      <w:r w:rsidRPr="033403DE">
        <w:rPr>
          <w:rFonts w:ascii="Verdana" w:eastAsia="Calibri" w:hAnsi="Verdana" w:cs="Arial"/>
          <w:b/>
          <w:bCs/>
          <w:lang w:val="es-ES" w:eastAsia="es-ES"/>
        </w:rPr>
        <w:t>Kateryne Yulieth León Miranda</w:t>
      </w:r>
    </w:p>
    <w:p w14:paraId="614B2483" w14:textId="669B26BE" w:rsidR="00886856" w:rsidRPr="004D4DED" w:rsidRDefault="00886856" w:rsidP="00871B59">
      <w:pPr>
        <w:spacing w:after="0" w:line="240" w:lineRule="auto"/>
        <w:rPr>
          <w:rFonts w:ascii="Verdana" w:eastAsia="Calibri" w:hAnsi="Verdana" w:cs="Arial"/>
          <w:b/>
          <w:lang w:val="es-ES_tradnl" w:eastAsia="es-ES_tradnl"/>
        </w:rPr>
      </w:pPr>
      <w:r w:rsidRPr="004D4DED">
        <w:rPr>
          <w:rFonts w:ascii="Verdana" w:eastAsia="Calibri" w:hAnsi="Verdana" w:cs="Arial"/>
          <w:b/>
          <w:lang w:val="es-ES_tradnl" w:eastAsia="es-ES_tradnl"/>
        </w:rPr>
        <w:t>Directora de Contratación</w:t>
      </w:r>
    </w:p>
    <w:p w14:paraId="3BC165C6" w14:textId="2A0BA945" w:rsidR="00181450" w:rsidRPr="004D4DED" w:rsidRDefault="00CD54AF" w:rsidP="00871B59">
      <w:pPr>
        <w:spacing w:after="0" w:line="240" w:lineRule="auto"/>
        <w:rPr>
          <w:rFonts w:ascii="Verdana" w:eastAsia="Calibri" w:hAnsi="Verdana" w:cs="Arial"/>
          <w:b/>
          <w:lang w:val="es-ES_tradnl" w:eastAsia="es-ES_tradnl"/>
        </w:rPr>
      </w:pPr>
      <w:r w:rsidRPr="004D4DED">
        <w:rPr>
          <w:rFonts w:ascii="Verdana" w:eastAsia="Calibri" w:hAnsi="Verdana" w:cs="Arial"/>
          <w:b/>
          <w:lang w:val="es-ES_tradnl" w:eastAsia="es-ES_tradnl"/>
        </w:rPr>
        <w:t>Gobernación del Tolima</w:t>
      </w:r>
    </w:p>
    <w:p w14:paraId="1199F81B" w14:textId="51A0F44D" w:rsidR="00871B59" w:rsidRPr="004D4DED" w:rsidRDefault="002B6204" w:rsidP="00871B59">
      <w:pPr>
        <w:spacing w:after="0" w:line="240" w:lineRule="auto"/>
        <w:rPr>
          <w:rFonts w:ascii="Verdana" w:eastAsia="Calibri" w:hAnsi="Verdana" w:cs="Arial"/>
          <w:u w:val="single"/>
          <w:lang w:val="es-ES" w:eastAsia="es-ES"/>
        </w:rPr>
      </w:pPr>
      <w:r w:rsidRPr="004D4DED">
        <w:rPr>
          <w:rFonts w:ascii="Verdana" w:eastAsia="Calibri" w:hAnsi="Verdana" w:cs="Arial"/>
          <w:u w:val="single"/>
          <w:lang w:val="es-ES" w:eastAsia="es-ES"/>
        </w:rPr>
        <w:t>direccion</w:t>
      </w:r>
      <w:r w:rsidR="005F6A99" w:rsidRPr="004D4DED">
        <w:rPr>
          <w:rFonts w:ascii="Verdana" w:eastAsia="Calibri" w:hAnsi="Verdana" w:cs="Arial"/>
          <w:u w:val="single"/>
          <w:lang w:val="es-ES" w:eastAsia="es-ES"/>
        </w:rPr>
        <w:t>contratacion</w:t>
      </w:r>
      <w:r w:rsidR="00871B59" w:rsidRPr="004D4DED">
        <w:rPr>
          <w:rFonts w:ascii="Verdana" w:eastAsia="Calibri" w:hAnsi="Verdana" w:cs="Arial"/>
          <w:u w:val="single"/>
          <w:lang w:val="es-ES" w:eastAsia="es-ES"/>
        </w:rPr>
        <w:t>@</w:t>
      </w:r>
      <w:r w:rsidR="005F6A99" w:rsidRPr="004D4DED">
        <w:rPr>
          <w:rFonts w:ascii="Verdana" w:eastAsia="Calibri" w:hAnsi="Verdana" w:cs="Arial"/>
          <w:u w:val="single"/>
          <w:lang w:val="es-ES" w:eastAsia="es-ES"/>
        </w:rPr>
        <w:t>tolima</w:t>
      </w:r>
      <w:r w:rsidR="00871B59" w:rsidRPr="004D4DED">
        <w:rPr>
          <w:rFonts w:ascii="Verdana" w:eastAsia="Calibri" w:hAnsi="Verdana" w:cs="Arial"/>
          <w:u w:val="single"/>
          <w:lang w:val="es-ES" w:eastAsia="es-ES"/>
        </w:rPr>
        <w:t>.gov.co</w:t>
      </w:r>
    </w:p>
    <w:p w14:paraId="5ACFEA17" w14:textId="42008873" w:rsidR="00871B59" w:rsidRPr="004D4DED" w:rsidRDefault="00616904" w:rsidP="00871B59">
      <w:pPr>
        <w:spacing w:after="0" w:line="240" w:lineRule="auto"/>
        <w:rPr>
          <w:rFonts w:ascii="Verdana" w:eastAsia="Calibri" w:hAnsi="Verdana" w:cs="Arial"/>
          <w:b/>
          <w:bCs/>
          <w:lang w:val="es-ES" w:eastAsia="es-ES"/>
        </w:rPr>
      </w:pPr>
      <w:r w:rsidRPr="004D4DED">
        <w:rPr>
          <w:rFonts w:ascii="Verdana" w:eastAsia="Calibri" w:hAnsi="Verdana" w:cs="Arial"/>
          <w:lang w:val="es-ES" w:eastAsia="es-ES"/>
        </w:rPr>
        <w:t>Ibagué, Tolima</w:t>
      </w:r>
    </w:p>
    <w:p w14:paraId="75545CBA" w14:textId="77777777" w:rsidR="00871B59" w:rsidRPr="004D4DED" w:rsidRDefault="00871B59" w:rsidP="00871B59">
      <w:pPr>
        <w:spacing w:after="0" w:line="240" w:lineRule="auto"/>
        <w:rPr>
          <w:rFonts w:ascii="Verdana" w:eastAsia="Calibri" w:hAnsi="Verdana" w:cs="Arial"/>
          <w:b/>
          <w:bCs/>
          <w:lang w:val="es-ES_tradnl" w:eastAsia="es-ES_tradnl"/>
        </w:rPr>
      </w:pPr>
    </w:p>
    <w:p w14:paraId="40764CBF" w14:textId="77777777" w:rsidR="00871B59" w:rsidRPr="004D4DED" w:rsidRDefault="00871B59" w:rsidP="00871B5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5954"/>
      </w:tblGrid>
      <w:tr w:rsidR="004D4DED" w:rsidRPr="004D4DED" w14:paraId="6AC1791A" w14:textId="77777777" w:rsidTr="1FE3C1FF">
        <w:trPr>
          <w:trHeight w:val="884"/>
        </w:trPr>
        <w:tc>
          <w:tcPr>
            <w:tcW w:w="2835" w:type="dxa"/>
          </w:tcPr>
          <w:p w14:paraId="156B1AEC" w14:textId="77777777" w:rsidR="00871B59" w:rsidRPr="004D4DED" w:rsidRDefault="00871B59">
            <w:pPr>
              <w:jc w:val="both"/>
              <w:rPr>
                <w:rFonts w:ascii="Verdana" w:eastAsia="Calibri" w:hAnsi="Verdana" w:cs="Arial"/>
                <w:b/>
                <w:bCs/>
                <w:lang w:val="es-ES_tradnl" w:eastAsia="es-ES_tradnl"/>
              </w:rPr>
            </w:pPr>
          </w:p>
        </w:tc>
        <w:tc>
          <w:tcPr>
            <w:tcW w:w="5954" w:type="dxa"/>
          </w:tcPr>
          <w:p w14:paraId="48F499EA" w14:textId="48BAF0DB" w:rsidR="00871B59" w:rsidRPr="004D4DED" w:rsidRDefault="00871B59">
            <w:pPr>
              <w:jc w:val="both"/>
              <w:rPr>
                <w:rFonts w:ascii="Verdana" w:eastAsia="Calibri" w:hAnsi="Verdana" w:cs="Arial"/>
                <w:b/>
                <w:bCs/>
                <w:lang w:val="es-ES" w:eastAsia="es-ES"/>
              </w:rPr>
            </w:pPr>
            <w:r w:rsidRPr="004D4DED">
              <w:rPr>
                <w:rFonts w:ascii="Verdana" w:eastAsia="Calibri" w:hAnsi="Verdana" w:cs="Arial"/>
                <w:b/>
                <w:bCs/>
                <w:lang w:val="es-ES" w:eastAsia="es-ES"/>
              </w:rPr>
              <w:t>Concepto C-</w:t>
            </w:r>
            <w:r w:rsidR="00726051">
              <w:rPr>
                <w:rFonts w:ascii="Verdana" w:eastAsia="Calibri" w:hAnsi="Verdana" w:cs="Arial"/>
                <w:b/>
                <w:bCs/>
                <w:lang w:val="es-ES" w:eastAsia="es-ES"/>
              </w:rPr>
              <w:t>273</w:t>
            </w:r>
            <w:r w:rsidRPr="004D4DED">
              <w:rPr>
                <w:rFonts w:ascii="Verdana" w:eastAsia="Calibri" w:hAnsi="Verdana" w:cs="Arial"/>
                <w:b/>
                <w:bCs/>
                <w:lang w:val="es-ES" w:eastAsia="es-ES"/>
              </w:rPr>
              <w:t xml:space="preserve"> de 202</w:t>
            </w:r>
            <w:r w:rsidR="00726051">
              <w:rPr>
                <w:rFonts w:ascii="Verdana" w:eastAsia="Calibri" w:hAnsi="Verdana" w:cs="Arial"/>
                <w:b/>
                <w:bCs/>
                <w:lang w:val="es-ES" w:eastAsia="es-ES"/>
              </w:rPr>
              <w:t>5</w:t>
            </w:r>
          </w:p>
        </w:tc>
      </w:tr>
      <w:tr w:rsidR="004D4DED" w:rsidRPr="004D4DED" w14:paraId="0DD246A7" w14:textId="77777777" w:rsidTr="1FE3C1FF">
        <w:trPr>
          <w:trHeight w:val="884"/>
        </w:trPr>
        <w:tc>
          <w:tcPr>
            <w:tcW w:w="2835" w:type="dxa"/>
          </w:tcPr>
          <w:p w14:paraId="1B4FC525" w14:textId="77777777" w:rsidR="00871B59" w:rsidRPr="004D4DED" w:rsidRDefault="00871B59">
            <w:pPr>
              <w:jc w:val="both"/>
              <w:rPr>
                <w:rFonts w:ascii="Verdana" w:eastAsia="Calibri" w:hAnsi="Verdana" w:cs="Arial"/>
                <w:lang w:val="es-ES_tradnl" w:eastAsia="es-ES_tradnl"/>
              </w:rPr>
            </w:pPr>
            <w:r w:rsidRPr="004D4DED">
              <w:rPr>
                <w:rFonts w:ascii="Verdana" w:eastAsia="Calibri" w:hAnsi="Verdana" w:cs="Arial"/>
                <w:b/>
                <w:lang w:val="es-ES_tradnl" w:eastAsia="es-ES_tradnl"/>
              </w:rPr>
              <w:t>Temas:</w:t>
            </w:r>
            <w:r w:rsidRPr="004D4DED">
              <w:rPr>
                <w:rFonts w:ascii="Verdana" w:eastAsia="Calibri" w:hAnsi="Verdana" w:cs="Arial"/>
                <w:lang w:val="es-ES_tradnl" w:eastAsia="es-ES_tradnl"/>
              </w:rPr>
              <w:t xml:space="preserve">                   </w:t>
            </w:r>
          </w:p>
        </w:tc>
        <w:tc>
          <w:tcPr>
            <w:tcW w:w="5954" w:type="dxa"/>
          </w:tcPr>
          <w:p w14:paraId="5E4AE917" w14:textId="526411E7" w:rsidR="00871B59" w:rsidRPr="004D4DED" w:rsidRDefault="00CD54AF">
            <w:pPr>
              <w:spacing w:line="276" w:lineRule="auto"/>
              <w:jc w:val="both"/>
              <w:rPr>
                <w:rFonts w:ascii="Verdana" w:eastAsia="Calibri" w:hAnsi="Verdana" w:cs="Arial"/>
                <w:lang w:val="es-ES" w:eastAsia="es-ES"/>
              </w:rPr>
            </w:pPr>
            <w:r w:rsidRPr="004D4DED">
              <w:rPr>
                <w:rFonts w:ascii="Verdana" w:eastAsia="Calibri" w:hAnsi="Verdana" w:cs="Arial"/>
                <w:lang w:val="es-ES" w:eastAsia="es-ES"/>
              </w:rPr>
              <w:t>LEY DE GARANTÍAS ELECTORALES</w:t>
            </w:r>
            <w:r w:rsidR="00871B59" w:rsidRPr="004D4DED">
              <w:rPr>
                <w:rFonts w:ascii="Verdana" w:eastAsia="Calibri" w:hAnsi="Verdana" w:cs="Arial"/>
                <w:lang w:val="es-ES" w:eastAsia="es-ES"/>
              </w:rPr>
              <w:t xml:space="preserve"> – </w:t>
            </w:r>
            <w:r w:rsidRPr="004D4DED">
              <w:rPr>
                <w:rFonts w:ascii="Verdana" w:eastAsia="Calibri" w:hAnsi="Verdana" w:cs="Arial"/>
                <w:lang w:val="es-ES" w:eastAsia="es-ES"/>
              </w:rPr>
              <w:t xml:space="preserve">Prohibición del artículo 33 ‒ Destinatarios ‒Excepciones </w:t>
            </w:r>
            <w:r w:rsidR="00871B59" w:rsidRPr="004D4DED">
              <w:rPr>
                <w:rFonts w:ascii="Verdana" w:eastAsia="Calibri" w:hAnsi="Verdana" w:cs="Arial"/>
                <w:lang w:val="es-ES" w:eastAsia="es-ES"/>
              </w:rPr>
              <w:t xml:space="preserve">/ </w:t>
            </w:r>
            <w:r w:rsidRPr="004D4DED">
              <w:rPr>
                <w:rFonts w:ascii="Verdana" w:eastAsia="Calibri" w:hAnsi="Verdana" w:cs="Arial"/>
                <w:lang w:val="es-ES" w:eastAsia="es-ES"/>
              </w:rPr>
              <w:t>Prohibición por elección de cargos populares – Convenios y contratos interadministrativos – Definición – Criterio orgánico</w:t>
            </w:r>
          </w:p>
          <w:p w14:paraId="7ADD1096" w14:textId="77777777" w:rsidR="00871B59" w:rsidRPr="004D4DED" w:rsidRDefault="00871B59">
            <w:pPr>
              <w:spacing w:line="276" w:lineRule="auto"/>
              <w:jc w:val="both"/>
              <w:rPr>
                <w:rFonts w:ascii="Verdana" w:eastAsia="Calibri" w:hAnsi="Verdana" w:cs="Arial"/>
                <w:lang w:val="es-ES" w:eastAsia="es-ES"/>
              </w:rPr>
            </w:pPr>
          </w:p>
        </w:tc>
      </w:tr>
      <w:tr w:rsidR="00871B59" w:rsidRPr="004D4DED" w14:paraId="0A874006" w14:textId="77777777" w:rsidTr="1FE3C1FF">
        <w:tc>
          <w:tcPr>
            <w:tcW w:w="2835" w:type="dxa"/>
          </w:tcPr>
          <w:p w14:paraId="56ED2765" w14:textId="77777777" w:rsidR="00871B59" w:rsidRPr="004D4DED" w:rsidRDefault="00871B59">
            <w:pPr>
              <w:jc w:val="both"/>
              <w:rPr>
                <w:rFonts w:ascii="Verdana" w:eastAsia="Calibri" w:hAnsi="Verdana" w:cs="Arial"/>
                <w:b/>
                <w:lang w:val="es-ES_tradnl" w:eastAsia="es-ES_tradnl"/>
              </w:rPr>
            </w:pPr>
            <w:r w:rsidRPr="004D4DED">
              <w:rPr>
                <w:rFonts w:ascii="Verdana" w:eastAsia="Calibri" w:hAnsi="Verdana" w:cs="Arial"/>
                <w:b/>
                <w:lang w:val="es-ES_tradnl" w:eastAsia="es-ES_tradnl"/>
              </w:rPr>
              <w:t>Radicación:</w:t>
            </w:r>
            <w:r w:rsidRPr="004D4DED">
              <w:rPr>
                <w:rFonts w:ascii="Verdana" w:eastAsia="Calibri" w:hAnsi="Verdana" w:cs="Arial"/>
                <w:lang w:val="es-ES_tradnl" w:eastAsia="es-ES_tradnl"/>
              </w:rPr>
              <w:t xml:space="preserve">               </w:t>
            </w:r>
          </w:p>
        </w:tc>
        <w:tc>
          <w:tcPr>
            <w:tcW w:w="5954" w:type="dxa"/>
          </w:tcPr>
          <w:p w14:paraId="630D2668" w14:textId="7BE5BC57" w:rsidR="00871B59" w:rsidRPr="004D4DED" w:rsidRDefault="00871B59">
            <w:pPr>
              <w:jc w:val="both"/>
              <w:rPr>
                <w:rFonts w:ascii="Verdana" w:eastAsia="Calibri" w:hAnsi="Verdana" w:cs="Arial"/>
                <w:lang w:val="es-ES_tradnl" w:eastAsia="es-ES_tradnl"/>
              </w:rPr>
            </w:pPr>
            <w:r w:rsidRPr="004D4DED">
              <w:rPr>
                <w:rFonts w:ascii="Verdana" w:eastAsia="Calibri" w:hAnsi="Verdana" w:cs="Arial"/>
                <w:lang w:val="es-ES_tradnl" w:eastAsia="es-ES_tradnl"/>
              </w:rPr>
              <w:t>Respuesta a consulta con radicado No. P202</w:t>
            </w:r>
            <w:r w:rsidR="00CD54AF" w:rsidRPr="004D4DED">
              <w:rPr>
                <w:rFonts w:ascii="Verdana" w:eastAsia="Calibri" w:hAnsi="Verdana" w:cs="Arial"/>
                <w:lang w:val="es-ES_tradnl" w:eastAsia="es-ES_tradnl"/>
              </w:rPr>
              <w:t>50305002136</w:t>
            </w:r>
            <w:r w:rsidR="008A21A8" w:rsidRPr="004D4DED">
              <w:rPr>
                <w:rFonts w:ascii="Verdana" w:eastAsia="Calibri" w:hAnsi="Verdana" w:cs="Arial"/>
                <w:lang w:val="es-ES_tradnl" w:eastAsia="es-ES_tradnl"/>
              </w:rPr>
              <w:t xml:space="preserve"> y P20250305002137 (Acumuladas)</w:t>
            </w:r>
          </w:p>
        </w:tc>
      </w:tr>
    </w:tbl>
    <w:p w14:paraId="01AFCA4D" w14:textId="77777777" w:rsidR="00871B59" w:rsidRPr="004D4DED" w:rsidRDefault="00871B59" w:rsidP="00871B59">
      <w:pPr>
        <w:spacing w:after="0" w:line="240" w:lineRule="auto"/>
        <w:jc w:val="both"/>
        <w:rPr>
          <w:rFonts w:ascii="Verdana" w:eastAsia="Calibri" w:hAnsi="Verdana" w:cs="Arial"/>
          <w:lang w:val="es-ES_tradnl" w:eastAsia="es-ES_tradnl"/>
        </w:rPr>
      </w:pPr>
    </w:p>
    <w:p w14:paraId="4FF08E37" w14:textId="77777777" w:rsidR="00871B59" w:rsidRPr="004D4DED" w:rsidRDefault="00871B59" w:rsidP="00871B59">
      <w:pPr>
        <w:spacing w:after="0" w:line="240" w:lineRule="auto"/>
        <w:jc w:val="both"/>
        <w:rPr>
          <w:rFonts w:ascii="Verdana" w:eastAsia="Calibri" w:hAnsi="Verdana" w:cs="Arial"/>
          <w:lang w:val="es-ES_tradnl" w:eastAsia="es-ES_tradnl"/>
        </w:rPr>
      </w:pPr>
    </w:p>
    <w:p w14:paraId="5A8CAE32" w14:textId="1413CB19" w:rsidR="00871B59" w:rsidRPr="004D4DED" w:rsidRDefault="00871B59" w:rsidP="00871B59">
      <w:pPr>
        <w:spacing w:after="0" w:line="276" w:lineRule="auto"/>
        <w:jc w:val="both"/>
        <w:rPr>
          <w:rFonts w:ascii="Verdana" w:eastAsia="Calibri" w:hAnsi="Verdana" w:cs="Arial"/>
          <w:lang w:val="es-ES" w:eastAsia="es-ES"/>
        </w:rPr>
      </w:pPr>
      <w:r w:rsidRPr="004D4DED">
        <w:rPr>
          <w:rFonts w:ascii="Verdana" w:eastAsia="Calibri" w:hAnsi="Verdana" w:cs="Arial"/>
          <w:lang w:val="es-ES" w:eastAsia="es-ES"/>
        </w:rPr>
        <w:t>Estimad</w:t>
      </w:r>
      <w:r w:rsidR="008A21A8" w:rsidRPr="004D4DED">
        <w:rPr>
          <w:rFonts w:ascii="Verdana" w:eastAsia="Calibri" w:hAnsi="Verdana" w:cs="Arial"/>
          <w:lang w:val="es-ES" w:eastAsia="es-ES"/>
        </w:rPr>
        <w:t>a</w:t>
      </w:r>
      <w:r w:rsidRPr="004D4DED">
        <w:rPr>
          <w:rFonts w:ascii="Verdana" w:eastAsia="Calibri" w:hAnsi="Verdana" w:cs="Arial"/>
          <w:lang w:val="es-ES" w:eastAsia="es-ES"/>
        </w:rPr>
        <w:t xml:space="preserve"> señor</w:t>
      </w:r>
      <w:r w:rsidR="008A21A8" w:rsidRPr="004D4DED">
        <w:rPr>
          <w:rFonts w:ascii="Verdana" w:eastAsia="Calibri" w:hAnsi="Verdana" w:cs="Arial"/>
          <w:lang w:val="es-ES" w:eastAsia="es-ES"/>
        </w:rPr>
        <w:t>a</w:t>
      </w:r>
      <w:r w:rsidRPr="004D4DED">
        <w:rPr>
          <w:rFonts w:ascii="Verdana" w:eastAsia="Calibri" w:hAnsi="Verdana" w:cs="Arial"/>
          <w:lang w:val="es-ES" w:eastAsia="es-ES"/>
        </w:rPr>
        <w:t xml:space="preserve"> </w:t>
      </w:r>
      <w:r w:rsidR="008A21A8" w:rsidRPr="004D4DED">
        <w:rPr>
          <w:rFonts w:ascii="Verdana" w:eastAsia="Calibri" w:hAnsi="Verdana" w:cs="Arial"/>
          <w:lang w:val="es-ES" w:eastAsia="es-ES"/>
        </w:rPr>
        <w:t>León</w:t>
      </w:r>
      <w:r w:rsidRPr="004D4DED">
        <w:rPr>
          <w:rFonts w:ascii="Verdana" w:eastAsia="Calibri" w:hAnsi="Verdana" w:cs="Arial"/>
          <w:lang w:val="es-ES" w:eastAsia="es-ES"/>
        </w:rPr>
        <w:t xml:space="preserve">: </w:t>
      </w:r>
    </w:p>
    <w:p w14:paraId="62039951" w14:textId="77777777" w:rsidR="00871B59" w:rsidRPr="004D4DED" w:rsidRDefault="00871B59" w:rsidP="00871B59">
      <w:pPr>
        <w:tabs>
          <w:tab w:val="left" w:pos="3768"/>
        </w:tabs>
        <w:spacing w:after="0" w:line="276" w:lineRule="auto"/>
        <w:jc w:val="both"/>
        <w:rPr>
          <w:rFonts w:ascii="Verdana" w:eastAsia="Calibri" w:hAnsi="Verdana" w:cs="Arial"/>
          <w:lang w:val="es-ES" w:eastAsia="es-ES"/>
        </w:rPr>
      </w:pPr>
      <w:r w:rsidRPr="004D4DED">
        <w:rPr>
          <w:rFonts w:ascii="Verdana" w:eastAsia="Calibri" w:hAnsi="Verdana" w:cs="Arial"/>
          <w:lang w:val="es-ES" w:eastAsia="es-ES"/>
        </w:rPr>
        <w:tab/>
      </w:r>
    </w:p>
    <w:p w14:paraId="3F1D9A82" w14:textId="195917D6" w:rsidR="00871B59" w:rsidRPr="004D4DED" w:rsidRDefault="00871B59" w:rsidP="00871B59">
      <w:pPr>
        <w:spacing w:after="0" w:line="276" w:lineRule="auto"/>
        <w:jc w:val="both"/>
        <w:rPr>
          <w:rFonts w:ascii="Verdana" w:eastAsia="Calibri" w:hAnsi="Verdana" w:cs="Arial"/>
          <w:lang w:val="es-ES" w:eastAsia="es-ES"/>
        </w:rPr>
      </w:pPr>
      <w:r w:rsidRPr="004D4DED">
        <w:rPr>
          <w:rFonts w:ascii="Verdana" w:eastAsia="Calibri" w:hAnsi="Verdana" w:cs="Arial"/>
          <w:lang w:val="es-ES" w:eastAsia="es-ES"/>
        </w:rPr>
        <w:t>En ejercicio de la competencia otorgada por los artículos 3, numeral 5º, y 11, numeral 8º, del Decreto Ley 4170 de 2011,</w:t>
      </w:r>
      <w:r w:rsidRPr="004D4DED">
        <w:rPr>
          <w:rFonts w:ascii="Verdana" w:eastAsia="Arial MT" w:hAnsi="Verdana" w:cs="Arial MT"/>
          <w:lang w:val="es-ES" w:eastAsia="es-ES"/>
        </w:rPr>
        <w:t xml:space="preserve"> </w:t>
      </w:r>
      <w:r w:rsidRPr="004D4DED">
        <w:rPr>
          <w:rFonts w:ascii="Verdana" w:hAnsi="Verdana" w:cs="Arial"/>
        </w:rPr>
        <w:t xml:space="preserve">así como lo establecido en el artículo 4 de la Resolución 1707 de 2018 expedida por esta Entidad, </w:t>
      </w:r>
      <w:r w:rsidRPr="004D4DED">
        <w:rPr>
          <w:rFonts w:ascii="Verdana" w:eastAsia="Calibri" w:hAnsi="Verdana" w:cs="Arial"/>
          <w:lang w:val="es-ES" w:eastAsia="es-ES"/>
        </w:rPr>
        <w:t>la Agencia Nacional de Contratación Pública – Colombia Compra Eficiente– responde su</w:t>
      </w:r>
      <w:r w:rsidR="008A21A8" w:rsidRPr="004D4DED">
        <w:rPr>
          <w:rFonts w:ascii="Verdana" w:eastAsia="Calibri" w:hAnsi="Verdana" w:cs="Arial"/>
          <w:lang w:val="es-ES" w:eastAsia="es-ES"/>
        </w:rPr>
        <w:t>s</w:t>
      </w:r>
      <w:r w:rsidRPr="004D4DED">
        <w:rPr>
          <w:rFonts w:ascii="Verdana" w:eastAsia="Calibri" w:hAnsi="Verdana" w:cs="Arial"/>
          <w:lang w:val="es-ES" w:eastAsia="es-ES"/>
        </w:rPr>
        <w:t xml:space="preserve"> solicitud</w:t>
      </w:r>
      <w:r w:rsidR="008A21A8" w:rsidRPr="004D4DED">
        <w:rPr>
          <w:rFonts w:ascii="Verdana" w:eastAsia="Calibri" w:hAnsi="Verdana" w:cs="Arial"/>
          <w:lang w:val="es-ES" w:eastAsia="es-ES"/>
        </w:rPr>
        <w:t>es</w:t>
      </w:r>
      <w:r w:rsidRPr="004D4DED">
        <w:rPr>
          <w:rFonts w:ascii="Verdana" w:eastAsia="Calibri" w:hAnsi="Verdana" w:cs="Arial"/>
          <w:lang w:val="es-ES" w:eastAsia="es-ES"/>
        </w:rPr>
        <w:t xml:space="preserve"> de consulta de fecha </w:t>
      </w:r>
      <w:r w:rsidR="008A21A8" w:rsidRPr="004D4DED">
        <w:rPr>
          <w:rFonts w:ascii="Verdana" w:eastAsia="Calibri" w:hAnsi="Verdana" w:cs="Arial"/>
          <w:lang w:val="es-ES" w:eastAsia="es-ES"/>
        </w:rPr>
        <w:t>5</w:t>
      </w:r>
      <w:r w:rsidRPr="004D4DED">
        <w:rPr>
          <w:rFonts w:ascii="Verdana" w:eastAsia="Calibri" w:hAnsi="Verdana" w:cs="Arial"/>
          <w:lang w:val="es-ES" w:eastAsia="es-ES"/>
        </w:rPr>
        <w:t xml:space="preserve"> de </w:t>
      </w:r>
      <w:r w:rsidR="008A21A8" w:rsidRPr="004D4DED">
        <w:rPr>
          <w:rFonts w:ascii="Verdana" w:eastAsia="Calibri" w:hAnsi="Verdana" w:cs="Arial"/>
          <w:lang w:val="es-ES" w:eastAsia="es-ES"/>
        </w:rPr>
        <w:t>marzo</w:t>
      </w:r>
      <w:r w:rsidRPr="004D4DED">
        <w:rPr>
          <w:rFonts w:ascii="Verdana" w:eastAsia="Calibri" w:hAnsi="Verdana" w:cs="Arial"/>
          <w:lang w:val="es-ES" w:eastAsia="es-ES"/>
        </w:rPr>
        <w:t xml:space="preserve"> de 20</w:t>
      </w:r>
      <w:r w:rsidR="008A21A8" w:rsidRPr="004D4DED">
        <w:rPr>
          <w:rFonts w:ascii="Verdana" w:eastAsia="Calibri" w:hAnsi="Verdana" w:cs="Arial"/>
          <w:lang w:val="es-ES" w:eastAsia="es-ES"/>
        </w:rPr>
        <w:t>25</w:t>
      </w:r>
      <w:r w:rsidRPr="004D4DED">
        <w:rPr>
          <w:rFonts w:ascii="Verdana" w:eastAsia="Calibri" w:hAnsi="Verdana" w:cs="Arial"/>
          <w:lang w:val="es-ES" w:eastAsia="es-ES"/>
        </w:rPr>
        <w:t>, en la</w:t>
      </w:r>
      <w:r w:rsidR="008A21A8" w:rsidRPr="004D4DED">
        <w:rPr>
          <w:rFonts w:ascii="Verdana" w:eastAsia="Calibri" w:hAnsi="Verdana" w:cs="Arial"/>
          <w:lang w:val="es-ES" w:eastAsia="es-ES"/>
        </w:rPr>
        <w:t>s</w:t>
      </w:r>
      <w:r w:rsidRPr="004D4DED">
        <w:rPr>
          <w:rFonts w:ascii="Verdana" w:eastAsia="Calibri" w:hAnsi="Verdana" w:cs="Arial"/>
          <w:lang w:val="es-ES" w:eastAsia="es-ES"/>
        </w:rPr>
        <w:t xml:space="preserve"> cual</w:t>
      </w:r>
      <w:r w:rsidR="008A21A8" w:rsidRPr="004D4DED">
        <w:rPr>
          <w:rFonts w:ascii="Verdana" w:eastAsia="Calibri" w:hAnsi="Verdana" w:cs="Arial"/>
          <w:lang w:val="es-ES" w:eastAsia="es-ES"/>
        </w:rPr>
        <w:t xml:space="preserve">es </w:t>
      </w:r>
      <w:r w:rsidRPr="004D4DED">
        <w:rPr>
          <w:rFonts w:ascii="Verdana" w:eastAsia="Calibri" w:hAnsi="Verdana" w:cs="Arial"/>
          <w:lang w:val="es-ES" w:eastAsia="es-ES"/>
        </w:rPr>
        <w:t xml:space="preserve">manifiesta lo siguiente: </w:t>
      </w:r>
    </w:p>
    <w:p w14:paraId="6DBD3E26" w14:textId="77777777" w:rsidR="00871B59" w:rsidRPr="004D4DED"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1006183E" w14:textId="5899CECD" w:rsidR="00871B59" w:rsidRPr="004D4DED" w:rsidRDefault="00871B59" w:rsidP="00C02E11">
      <w:pPr>
        <w:tabs>
          <w:tab w:val="left" w:pos="851"/>
        </w:tabs>
        <w:spacing w:after="0" w:line="240" w:lineRule="auto"/>
        <w:ind w:left="709" w:right="709"/>
        <w:jc w:val="both"/>
        <w:rPr>
          <w:rFonts w:ascii="Verdana" w:eastAsia="Century Gothic" w:hAnsi="Verdana" w:cs="Century Gothic"/>
          <w:sz w:val="20"/>
          <w:szCs w:val="20"/>
          <w:lang w:val="es-ES"/>
        </w:rPr>
      </w:pPr>
      <w:bookmarkStart w:id="3" w:name="_Hlk95313578"/>
      <w:r w:rsidRPr="004D4DED">
        <w:rPr>
          <w:rFonts w:ascii="Verdana" w:eastAsia="Century Gothic" w:hAnsi="Verdana" w:cs="Century Gothic"/>
          <w:sz w:val="20"/>
          <w:szCs w:val="20"/>
          <w:lang w:val="es-ES"/>
        </w:rPr>
        <w:t>“</w:t>
      </w:r>
      <w:r w:rsidR="008A21A8" w:rsidRPr="004D4DED">
        <w:rPr>
          <w:rStyle w:val="normaltextrun"/>
          <w:rFonts w:ascii="Verdana" w:hAnsi="Verdana" w:cs="Arial"/>
          <w:sz w:val="20"/>
          <w:szCs w:val="20"/>
          <w:shd w:val="clear" w:color="auto" w:fill="FFFFFF"/>
          <w:lang w:val="es-ES"/>
        </w:rPr>
        <w:t>En el marco de lo establecido en el parágrafo del artículo 33 de la Ley 996 de 2005 por medio de la cual se establece que “</w:t>
      </w:r>
      <w:r w:rsidR="008A21A8" w:rsidRPr="004D4DED">
        <w:rPr>
          <w:rStyle w:val="normaltextrun"/>
          <w:rFonts w:ascii="Verdana" w:hAnsi="Verdana" w:cs="Arial"/>
          <w:i/>
          <w:iCs/>
          <w:sz w:val="20"/>
          <w:szCs w:val="20"/>
          <w:shd w:val="clear" w:color="auto" w:fill="FFFFFF"/>
          <w:lang w:val="es-ES"/>
        </w:rPr>
        <w:t xml:space="preserve">Durante los cuatro (4) meses anteriores a la elección presidencial y hasta la realización de la </w:t>
      </w:r>
      <w:r w:rsidR="008A21A8" w:rsidRPr="004D4DED">
        <w:rPr>
          <w:rStyle w:val="normaltextrun"/>
          <w:rFonts w:ascii="Verdana" w:hAnsi="Verdana" w:cs="Arial"/>
          <w:i/>
          <w:iCs/>
          <w:sz w:val="20"/>
          <w:szCs w:val="20"/>
          <w:shd w:val="clear" w:color="auto" w:fill="FFFFFF"/>
          <w:lang w:val="es-ES"/>
        </w:rPr>
        <w:lastRenderedPageBreak/>
        <w:t xml:space="preserve">elección de segunda vuelta, si fuere el caso, queda prohibido la contratación directa por parte de todos los entes del Estado”, </w:t>
      </w:r>
      <w:r w:rsidR="008A21A8" w:rsidRPr="004D4DED">
        <w:rPr>
          <w:rStyle w:val="normaltextrun"/>
          <w:rFonts w:ascii="Verdana" w:hAnsi="Verdana" w:cs="Arial"/>
          <w:sz w:val="20"/>
          <w:szCs w:val="20"/>
          <w:shd w:val="clear" w:color="auto" w:fill="FFFFFF"/>
          <w:lang w:val="es-ES"/>
        </w:rPr>
        <w:t xml:space="preserve">y teniendo en cuenta la aproximación de las elecciones para la vigencia 2026, comedidamente nos permitimos solicitar se emita concepto respecto </w:t>
      </w:r>
      <w:r w:rsidR="00196462" w:rsidRPr="004D4DED">
        <w:rPr>
          <w:rStyle w:val="normaltextrun"/>
          <w:rFonts w:ascii="Verdana" w:hAnsi="Verdana" w:cs="Arial"/>
          <w:sz w:val="20"/>
          <w:szCs w:val="20"/>
          <w:shd w:val="clear" w:color="auto" w:fill="FFFFFF"/>
          <w:lang w:val="es-ES"/>
        </w:rPr>
        <w:t>de si dicha restricción aplica también para la celebración de Contrato y/o Convenios</w:t>
      </w:r>
      <w:r w:rsidR="00B41662" w:rsidRPr="004D4DED">
        <w:rPr>
          <w:rStyle w:val="normaltextrun"/>
          <w:rFonts w:ascii="Verdana" w:hAnsi="Verdana" w:cs="Arial"/>
          <w:sz w:val="20"/>
          <w:szCs w:val="20"/>
          <w:shd w:val="clear" w:color="auto" w:fill="FFFFFF"/>
          <w:lang w:val="es-ES"/>
        </w:rPr>
        <w:t xml:space="preserve"> Interadministrativos que ejecuten actividades de Salud Pública según lo dispuesto en la Resolución 518 de 2015 modificado por la Resolución 295 de 2023 emitidas por el Ministerio de Salud y Protección Social</w:t>
      </w:r>
      <w:r w:rsidRPr="004D4DED">
        <w:rPr>
          <w:rStyle w:val="normaltextrun"/>
          <w:rFonts w:ascii="Verdana" w:hAnsi="Verdana" w:cs="Arial"/>
          <w:sz w:val="20"/>
          <w:szCs w:val="20"/>
          <w:shd w:val="clear" w:color="auto" w:fill="FFFFFF"/>
          <w:lang w:val="es-ES"/>
        </w:rPr>
        <w:t>[…]</w:t>
      </w:r>
      <w:r w:rsidRPr="004D4DED">
        <w:rPr>
          <w:rFonts w:ascii="Verdana" w:eastAsia="Century Gothic" w:hAnsi="Verdana" w:cs="Century Gothic"/>
          <w:sz w:val="20"/>
          <w:szCs w:val="20"/>
          <w:lang w:val="es-ES"/>
        </w:rPr>
        <w:t>”</w:t>
      </w:r>
      <w:bookmarkEnd w:id="3"/>
      <w:r w:rsidRPr="004D4DED">
        <w:rPr>
          <w:rFonts w:ascii="Verdana" w:eastAsia="Century Gothic" w:hAnsi="Verdana" w:cs="Century Gothic"/>
          <w:sz w:val="20"/>
          <w:szCs w:val="20"/>
          <w:lang w:val="es-ES"/>
        </w:rPr>
        <w:t>.</w:t>
      </w:r>
    </w:p>
    <w:p w14:paraId="677EC6EC" w14:textId="77777777" w:rsidR="00B41662" w:rsidRPr="004D4DED" w:rsidRDefault="00B41662" w:rsidP="00871B59">
      <w:pPr>
        <w:spacing w:after="0" w:line="240" w:lineRule="auto"/>
        <w:ind w:left="709" w:right="709"/>
        <w:jc w:val="both"/>
        <w:rPr>
          <w:rFonts w:ascii="Verdana" w:eastAsia="Century Gothic" w:hAnsi="Verdana" w:cs="Century Gothic"/>
          <w:sz w:val="20"/>
          <w:szCs w:val="20"/>
          <w:lang w:val="es-ES"/>
        </w:rPr>
      </w:pPr>
    </w:p>
    <w:p w14:paraId="3B28EBD0" w14:textId="18C04209" w:rsidR="00B41662" w:rsidRPr="004D4DED" w:rsidRDefault="00B41662" w:rsidP="00871B59">
      <w:pPr>
        <w:spacing w:after="0" w:line="240" w:lineRule="auto"/>
        <w:ind w:left="709" w:right="709"/>
        <w:jc w:val="both"/>
        <w:rPr>
          <w:rFonts w:ascii="Verdana" w:eastAsia="Century Gothic" w:hAnsi="Verdana" w:cs="Century Gothic"/>
          <w:sz w:val="20"/>
          <w:szCs w:val="20"/>
          <w:lang w:val="es-ES"/>
        </w:rPr>
      </w:pPr>
      <w:r w:rsidRPr="004D4DED">
        <w:rPr>
          <w:rFonts w:ascii="Verdana" w:eastAsia="Century Gothic" w:hAnsi="Verdana" w:cs="Century Gothic"/>
          <w:sz w:val="20"/>
          <w:szCs w:val="20"/>
          <w:lang w:val="es-ES"/>
        </w:rPr>
        <w:t>“</w:t>
      </w:r>
      <w:r w:rsidRPr="004D4DED">
        <w:rPr>
          <w:rStyle w:val="normaltextrun"/>
          <w:rFonts w:ascii="Verdana" w:hAnsi="Verdana" w:cs="Arial"/>
          <w:sz w:val="20"/>
          <w:szCs w:val="20"/>
          <w:shd w:val="clear" w:color="auto" w:fill="FFFFFF"/>
          <w:lang w:val="es-ES"/>
        </w:rPr>
        <w:t>En el marco de lo establecido en el parágrafo del artículo 33 de la Ley 996 de 2005 por medio de la cual se establece que “</w:t>
      </w:r>
      <w:r w:rsidRPr="004D4DED">
        <w:rPr>
          <w:rStyle w:val="normaltextrun"/>
          <w:rFonts w:ascii="Verdana" w:hAnsi="Verdana" w:cs="Arial"/>
          <w:i/>
          <w:iCs/>
          <w:sz w:val="20"/>
          <w:szCs w:val="20"/>
          <w:shd w:val="clear" w:color="auto" w:fill="FFFFFF"/>
          <w:lang w:val="es-ES"/>
        </w:rPr>
        <w:t xml:space="preserve">Durante los cuatro (4) meses anteriores a la elección presidencial y hasta la realización de la elección de segunda vuelta, si fuere el caso, queda prohibido la contratación directa por parte de todos los entes del Estado”, </w:t>
      </w:r>
      <w:r w:rsidRPr="004D4DED">
        <w:rPr>
          <w:rStyle w:val="normaltextrun"/>
          <w:rFonts w:ascii="Verdana" w:hAnsi="Verdana" w:cs="Arial"/>
          <w:sz w:val="20"/>
          <w:szCs w:val="20"/>
          <w:shd w:val="clear" w:color="auto" w:fill="FFFFFF"/>
          <w:lang w:val="es-ES"/>
        </w:rPr>
        <w:t>y teniendo en cuenta la aproximación de las elecciones para la vigencia 2026, comedidamente nos permitimos solicitar se emita concepto respecto de si dicha restricción aplica también para la celebración de Convenios Solidarios de conformidad con lo establecido en la Ley 2166 de 2021 y el artículo 6 de la Ley 136 de 1994 modificado por el artículo 6 de la Ley 1551 de 2021.[…]</w:t>
      </w:r>
      <w:r w:rsidRPr="004D4DED">
        <w:rPr>
          <w:rFonts w:ascii="Verdana" w:eastAsia="Century Gothic" w:hAnsi="Verdana" w:cs="Century Gothic"/>
          <w:sz w:val="20"/>
          <w:szCs w:val="20"/>
          <w:lang w:val="es-ES"/>
        </w:rPr>
        <w:t>”</w:t>
      </w:r>
    </w:p>
    <w:p w14:paraId="54DCAD4E" w14:textId="77777777" w:rsidR="00871B59" w:rsidRPr="004D4DED"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F17EAD" w14:textId="77777777" w:rsidR="00871B59" w:rsidRPr="004D4DED" w:rsidRDefault="00871B59" w:rsidP="00871B59">
      <w:pPr>
        <w:spacing w:after="120" w:line="276" w:lineRule="auto"/>
        <w:ind w:firstLine="709"/>
        <w:jc w:val="both"/>
        <w:rPr>
          <w:rFonts w:ascii="Verdana" w:eastAsia="Calibri" w:hAnsi="Verdana" w:cs="Arial"/>
          <w:szCs w:val="24"/>
          <w:lang w:val="es-ES_tradnl" w:eastAsia="es-ES_tradnl"/>
        </w:rPr>
      </w:pPr>
      <w:r w:rsidRPr="004D4DED">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D4DED">
        <w:rPr>
          <w:rFonts w:ascii="Verdana" w:eastAsia="Calibri" w:hAnsi="Verdana" w:cs="Arial"/>
          <w:szCs w:val="24"/>
          <w:lang w:val="es-ES_tradnl" w:eastAsia="es-ES_tradnl"/>
        </w:rPr>
        <w:tab/>
      </w:r>
    </w:p>
    <w:p w14:paraId="3B95778F" w14:textId="19D1B4C3" w:rsidR="00871B59" w:rsidRPr="004D4DED" w:rsidRDefault="00871B59" w:rsidP="00871B59">
      <w:pPr>
        <w:spacing w:after="0" w:line="276" w:lineRule="auto"/>
        <w:ind w:firstLine="709"/>
        <w:jc w:val="both"/>
        <w:rPr>
          <w:rFonts w:ascii="Verdana" w:eastAsia="Calibri" w:hAnsi="Verdana" w:cs="Arial"/>
          <w:lang w:val="es-ES" w:eastAsia="es-ES"/>
        </w:rPr>
      </w:pPr>
      <w:r w:rsidRPr="004D4DED">
        <w:rPr>
          <w:rFonts w:ascii="Verdana" w:eastAsia="Calibri" w:hAnsi="Verdana" w:cs="Arial"/>
          <w:lang w:val="es-ES" w:eastAsia="es-ES"/>
        </w:rPr>
        <w:t>Conforme lo expuesto, en aras de satisfacer el derecho fundamental de petición se resolverá</w:t>
      </w:r>
      <w:r w:rsidR="00C4505F" w:rsidRPr="004D4DED">
        <w:rPr>
          <w:rFonts w:ascii="Verdana" w:eastAsia="Calibri" w:hAnsi="Verdana" w:cs="Arial"/>
          <w:lang w:val="es-ES" w:eastAsia="es-ES"/>
        </w:rPr>
        <w:t>n</w:t>
      </w:r>
      <w:r w:rsidRPr="004D4DED">
        <w:rPr>
          <w:rFonts w:ascii="Verdana" w:eastAsia="Calibri" w:hAnsi="Verdana" w:cs="Arial"/>
          <w:lang w:val="es-ES" w:eastAsia="es-ES"/>
        </w:rPr>
        <w:t xml:space="preserve"> su</w:t>
      </w:r>
      <w:r w:rsidR="00C4505F" w:rsidRPr="004D4DED">
        <w:rPr>
          <w:rFonts w:ascii="Verdana" w:eastAsia="Calibri" w:hAnsi="Verdana" w:cs="Arial"/>
          <w:lang w:val="es-ES" w:eastAsia="es-ES"/>
        </w:rPr>
        <w:t>s</w:t>
      </w:r>
      <w:r w:rsidRPr="004D4DED">
        <w:rPr>
          <w:rFonts w:ascii="Verdana" w:eastAsia="Calibri" w:hAnsi="Verdana" w:cs="Arial"/>
          <w:lang w:val="es-ES" w:eastAsia="es-ES"/>
        </w:rPr>
        <w:t xml:space="preserve"> consulta</w:t>
      </w:r>
      <w:r w:rsidR="00C4505F" w:rsidRPr="004D4DED">
        <w:rPr>
          <w:rFonts w:ascii="Verdana" w:eastAsia="Calibri" w:hAnsi="Verdana" w:cs="Arial"/>
          <w:lang w:val="es-ES" w:eastAsia="es-ES"/>
        </w:rPr>
        <w:t>s</w:t>
      </w:r>
      <w:r w:rsidRPr="004D4DED">
        <w:rPr>
          <w:rFonts w:ascii="Verdana" w:eastAsia="Calibri" w:hAnsi="Verdana" w:cs="Arial"/>
          <w:lang w:val="es-ES" w:eastAsia="es-ES"/>
        </w:rPr>
        <w:t xml:space="preserve"> dentro de los límites de la referida competencia consultiva, esto es, haciendo abstracción de las circunstancias </w:t>
      </w:r>
      <w:r w:rsidRPr="004D4DED">
        <w:rPr>
          <w:rFonts w:ascii="Verdana" w:eastAsia="Calibri" w:hAnsi="Verdana" w:cs="Arial"/>
          <w:lang w:val="es-ES" w:eastAsia="es-ES"/>
        </w:rPr>
        <w:lastRenderedPageBreak/>
        <w:t xml:space="preserve">particulares y concretas mencionadas en su petición, pero haciendo unas consideraciones sobre las normas generales relacionadas con los problemas jurídicos de su consulta. </w:t>
      </w:r>
    </w:p>
    <w:p w14:paraId="70187214" w14:textId="77777777" w:rsidR="00871B59" w:rsidRPr="004D4DED" w:rsidRDefault="00871B59" w:rsidP="00871B59">
      <w:pPr>
        <w:spacing w:after="0" w:line="276" w:lineRule="auto"/>
        <w:ind w:firstLine="709"/>
        <w:jc w:val="both"/>
        <w:rPr>
          <w:rFonts w:ascii="Verdana" w:eastAsia="Calibri" w:hAnsi="Verdana" w:cs="Arial"/>
          <w:lang w:val="es-ES" w:eastAsia="es-ES"/>
        </w:rPr>
      </w:pPr>
    </w:p>
    <w:p w14:paraId="74DD4DE4" w14:textId="77777777" w:rsidR="00871B59" w:rsidRPr="004D4DED"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4D4DED">
        <w:rPr>
          <w:rFonts w:ascii="Verdana" w:eastAsia="Century Gothic" w:hAnsi="Verdana" w:cs="Century Gothic"/>
          <w:b/>
          <w:bCs/>
          <w:lang w:val="es-ES"/>
        </w:rPr>
        <w:t>Problema planteado:</w:t>
      </w:r>
    </w:p>
    <w:p w14:paraId="690221EE" w14:textId="77777777" w:rsidR="00871B59" w:rsidRPr="004D4DED" w:rsidRDefault="00871B59" w:rsidP="00871B59">
      <w:pPr>
        <w:tabs>
          <w:tab w:val="left" w:pos="426"/>
        </w:tabs>
        <w:spacing w:after="0" w:line="276" w:lineRule="auto"/>
        <w:jc w:val="both"/>
        <w:rPr>
          <w:rFonts w:ascii="Verdana" w:eastAsia="Century Gothic" w:hAnsi="Verdana" w:cs="Century Gothic"/>
          <w:lang w:val="es-ES"/>
        </w:rPr>
      </w:pPr>
    </w:p>
    <w:p w14:paraId="11DC9C47" w14:textId="61D2CC34" w:rsidR="00871B59" w:rsidRPr="004D4DED" w:rsidRDefault="00871B59" w:rsidP="00871B59">
      <w:pPr>
        <w:spacing w:after="0" w:line="276" w:lineRule="auto"/>
        <w:jc w:val="both"/>
        <w:rPr>
          <w:rFonts w:ascii="Verdana" w:eastAsia="Century Gothic" w:hAnsi="Verdana" w:cs="Century Gothic"/>
        </w:rPr>
      </w:pPr>
      <w:r w:rsidRPr="004D4DED">
        <w:rPr>
          <w:rFonts w:ascii="Verdana" w:eastAsia="Century Gothic" w:hAnsi="Verdana" w:cs="Century Gothic"/>
        </w:rPr>
        <w:t xml:space="preserve">De acuerdo con el contenido de su solicitud, esta Agencia resolverá los siguientes problemas jurídicos: </w:t>
      </w:r>
      <w:r w:rsidR="00C02E11" w:rsidRPr="004D4DED">
        <w:rPr>
          <w:rFonts w:ascii="Verdana" w:eastAsia="Century Gothic" w:hAnsi="Verdana" w:cs="Century Gothic"/>
        </w:rPr>
        <w:t>¿La prohibición de contratación directa establecida en el parágrafo del artículo 33 de la Ley 996 de 2005, aplicable en los cuatro meses anteriores a la elección presidencial y hasta la realización de la segunda vuelta, incluye también la celebración de Contratos y/o Convenios Interadministrativos para la ejecución de actividades de Salud Pública, así como los Convenios Solidarios regulados por la Ley 2166 de 2021?</w:t>
      </w:r>
      <w:r w:rsidRPr="004D4DED">
        <w:rPr>
          <w:rFonts w:ascii="Verdana" w:eastAsia="Century Gothic" w:hAnsi="Verdana" w:cs="Century Gothic"/>
        </w:rPr>
        <w:t xml:space="preserve"> </w:t>
      </w:r>
    </w:p>
    <w:p w14:paraId="57640A16" w14:textId="77777777" w:rsidR="00871B59" w:rsidRPr="004D4DED" w:rsidRDefault="00871B59" w:rsidP="00871B59">
      <w:pPr>
        <w:spacing w:after="0" w:line="276" w:lineRule="auto"/>
        <w:jc w:val="both"/>
        <w:rPr>
          <w:rFonts w:ascii="Verdana" w:eastAsia="Calibri" w:hAnsi="Verdana" w:cs="Arial"/>
          <w:lang w:val="es-ES"/>
        </w:rPr>
      </w:pPr>
    </w:p>
    <w:p w14:paraId="33E3D3F8" w14:textId="77777777" w:rsidR="00871B59" w:rsidRPr="004D4DED"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4D4DED">
        <w:rPr>
          <w:rFonts w:ascii="Verdana" w:eastAsia="Century Gothic" w:hAnsi="Verdana" w:cs="Century Gothic"/>
          <w:b/>
          <w:bCs/>
          <w:lang w:val="es-ES"/>
        </w:rPr>
        <w:t>Respuesta:</w:t>
      </w:r>
    </w:p>
    <w:p w14:paraId="4647B31A" w14:textId="77777777" w:rsidR="00871B59" w:rsidRPr="004D4DED"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D4DED" w:rsidRPr="004D4DED" w14:paraId="14984B9D" w14:textId="77777777">
        <w:tc>
          <w:tcPr>
            <w:tcW w:w="8828" w:type="dxa"/>
            <w:shd w:val="clear" w:color="auto" w:fill="auto"/>
          </w:tcPr>
          <w:p w14:paraId="32E220EF" w14:textId="77777777" w:rsidR="00F543C2" w:rsidRPr="00507CC7" w:rsidRDefault="00F543C2" w:rsidP="00F543C2">
            <w:pPr>
              <w:spacing w:line="276" w:lineRule="auto"/>
              <w:jc w:val="both"/>
              <w:rPr>
                <w:rFonts w:ascii="Verdana" w:eastAsia="Calibri" w:hAnsi="Verdana" w:cs="Arial"/>
              </w:rPr>
            </w:pPr>
            <w:r w:rsidRPr="00507CC7">
              <w:rPr>
                <w:rFonts w:ascii="Verdana" w:eastAsia="Calibri" w:hAnsi="Verdana" w:cs="Arial"/>
              </w:rPr>
              <w:t>Los contratos y convenios interadministrativos constituyen una modalidad de contratación que permite la celebración de acuerdos entre entidades estatales sin la necesidad de acudir a un proceso de selección objetiva. Sin embargo, en virtud de lo dispuesto en el parágrafo del artículo 33 de la Ley 996 de 2005, durante los cuatro (4) meses anteriores a la elección presidencial y hasta la realización de la segunda vuelta, si fuere el caso, se encuentra prohibida la contratación directa por parte de todos los entes del Estado, restricción que incluye la celebración de este tipo de contratos.</w:t>
            </w:r>
          </w:p>
          <w:p w14:paraId="25804A75" w14:textId="77777777" w:rsidR="00C4505F" w:rsidRPr="00507CC7" w:rsidRDefault="00F543C2">
            <w:pPr>
              <w:spacing w:line="276" w:lineRule="auto"/>
              <w:jc w:val="both"/>
              <w:rPr>
                <w:rFonts w:ascii="Verdana" w:eastAsia="Calibri" w:hAnsi="Verdana" w:cs="Arial"/>
              </w:rPr>
            </w:pPr>
            <w:r w:rsidRPr="00507CC7">
              <w:rPr>
                <w:rFonts w:ascii="Verdana" w:eastAsia="Calibri" w:hAnsi="Verdana" w:cs="Arial"/>
              </w:rPr>
              <w:t xml:space="preserve">En </w:t>
            </w:r>
            <w:r w:rsidR="00DE6779" w:rsidRPr="00507CC7">
              <w:rPr>
                <w:rFonts w:ascii="Verdana" w:eastAsia="Calibri" w:hAnsi="Verdana" w:cs="Arial"/>
              </w:rPr>
              <w:t>atención a lo indicado</w:t>
            </w:r>
            <w:r w:rsidRPr="00507CC7">
              <w:rPr>
                <w:rFonts w:ascii="Verdana" w:eastAsia="Calibri" w:hAnsi="Verdana" w:cs="Arial"/>
              </w:rPr>
              <w:t>, los convenios interadministrativos suscritos para la ejecución de actividades de Salud Pública, regulados en la Resolución 518 de 2015 y modificados por la Resolución 295 de 2023, deben observar la mencionada prohibición, atendiendo a la normativa vigente y a las disposiciones que regulan su ejecución en el marco de la Ley de Garantías.</w:t>
            </w:r>
          </w:p>
          <w:p w14:paraId="47AEB666" w14:textId="4C970B46" w:rsidR="00871B59" w:rsidRPr="004D4DED" w:rsidRDefault="00C4505F">
            <w:pPr>
              <w:spacing w:line="276" w:lineRule="auto"/>
              <w:jc w:val="both"/>
              <w:rPr>
                <w:rFonts w:ascii="Verdana" w:eastAsia="Calibri" w:hAnsi="Verdana" w:cs="Arial"/>
                <w:highlight w:val="yellow"/>
              </w:rPr>
            </w:pPr>
            <w:r w:rsidRPr="00507CC7">
              <w:rPr>
                <w:rFonts w:ascii="Verdana" w:eastAsia="Calibri" w:hAnsi="Verdana" w:cs="Arial"/>
              </w:rPr>
              <w:t xml:space="preserve">Respecto a los </w:t>
            </w:r>
            <w:r w:rsidR="00F543C2" w:rsidRPr="00507CC7">
              <w:rPr>
                <w:rFonts w:ascii="Verdana" w:eastAsia="Calibri" w:hAnsi="Verdana" w:cs="Arial"/>
              </w:rPr>
              <w:t>convenios solidarios previstos en la Ley 2166 de 2021 y el artículo 6 de la Ley 136 de 1994, modificado por la Ley 1551 de 2021</w:t>
            </w:r>
            <w:r w:rsidR="004D4DED" w:rsidRPr="00507CC7">
              <w:rPr>
                <w:rFonts w:ascii="Verdana" w:eastAsia="Calibri" w:hAnsi="Verdana" w:cs="Arial"/>
              </w:rPr>
              <w:t>,</w:t>
            </w:r>
            <w:r w:rsidR="00DE6779" w:rsidRPr="00507CC7">
              <w:rPr>
                <w:rFonts w:ascii="Verdana" w:eastAsia="Calibri" w:hAnsi="Verdana" w:cs="Arial"/>
              </w:rPr>
              <w:t xml:space="preserve"> </w:t>
            </w:r>
            <w:r w:rsidRPr="00507CC7">
              <w:rPr>
                <w:rFonts w:ascii="Verdana" w:eastAsia="Calibri" w:hAnsi="Verdana" w:cs="Arial"/>
              </w:rPr>
              <w:t xml:space="preserve">su naturaleza </w:t>
            </w:r>
            <w:r w:rsidR="00001DB7">
              <w:rPr>
                <w:rFonts w:ascii="Verdana" w:eastAsia="Calibri" w:hAnsi="Verdana" w:cs="Arial"/>
              </w:rPr>
              <w:t xml:space="preserve">legal </w:t>
            </w:r>
            <w:r w:rsidRPr="00507CC7">
              <w:rPr>
                <w:rFonts w:ascii="Verdana" w:eastAsia="Calibri" w:hAnsi="Verdana" w:cs="Arial"/>
              </w:rPr>
              <w:t xml:space="preserve">no corresponde </w:t>
            </w:r>
            <w:r w:rsidR="00001DB7">
              <w:rPr>
                <w:rFonts w:ascii="Verdana" w:eastAsia="Calibri" w:hAnsi="Verdana" w:cs="Arial"/>
              </w:rPr>
              <w:t xml:space="preserve">a la de </w:t>
            </w:r>
            <w:r w:rsidRPr="00507CC7">
              <w:rPr>
                <w:rFonts w:ascii="Verdana" w:eastAsia="Calibri" w:hAnsi="Verdana" w:cs="Arial"/>
              </w:rPr>
              <w:t xml:space="preserve"> los convenios</w:t>
            </w:r>
            <w:r w:rsidR="004D4DED" w:rsidRPr="00507CC7">
              <w:rPr>
                <w:rFonts w:ascii="Verdana" w:eastAsia="Calibri" w:hAnsi="Verdana" w:cs="Arial"/>
              </w:rPr>
              <w:t xml:space="preserve"> y contratos</w:t>
            </w:r>
            <w:r w:rsidRPr="00507CC7">
              <w:rPr>
                <w:rFonts w:ascii="Verdana" w:eastAsia="Calibri" w:hAnsi="Verdana" w:cs="Arial"/>
              </w:rPr>
              <w:t xml:space="preserve"> interadministrativos propiamente dichos, sin embargo, la Entidad deberá </w:t>
            </w:r>
            <w:r w:rsidR="004D4DED" w:rsidRPr="00507CC7">
              <w:rPr>
                <w:rFonts w:ascii="Verdana" w:eastAsia="Calibri" w:hAnsi="Verdana" w:cs="Arial"/>
              </w:rPr>
              <w:lastRenderedPageBreak/>
              <w:t xml:space="preserve">determinar sí en atención a su propósito particular podrían estar incursos en las prohibiciones de la citada Ley de Garantías Electorales. </w:t>
            </w:r>
            <w:r w:rsidRPr="00507CC7">
              <w:rPr>
                <w:rFonts w:ascii="Verdana" w:eastAsia="Calibri" w:hAnsi="Verdana" w:cs="Arial"/>
              </w:rPr>
              <w:t xml:space="preserve"> </w:t>
            </w:r>
          </w:p>
        </w:tc>
      </w:tr>
    </w:tbl>
    <w:p w14:paraId="3199705F" w14:textId="77777777" w:rsidR="00871B59" w:rsidRPr="004D4DED"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4D4DED"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4D4DED">
        <w:rPr>
          <w:rFonts w:ascii="Verdana" w:eastAsia="Century Gothic" w:hAnsi="Verdana" w:cs="Century Gothic"/>
          <w:b/>
          <w:bCs/>
          <w:lang w:val="es-ES"/>
        </w:rPr>
        <w:t>Razones de la respuesta:</w:t>
      </w:r>
    </w:p>
    <w:p w14:paraId="40393512" w14:textId="77777777" w:rsidR="00871B59" w:rsidRPr="004D4DED" w:rsidRDefault="00871B59" w:rsidP="00871B59">
      <w:pPr>
        <w:spacing w:after="0" w:line="276" w:lineRule="auto"/>
        <w:jc w:val="both"/>
        <w:rPr>
          <w:rFonts w:ascii="Verdana" w:eastAsia="Calibri" w:hAnsi="Verdana" w:cs="Arial"/>
          <w:lang w:val="es-ES"/>
        </w:rPr>
      </w:pPr>
    </w:p>
    <w:p w14:paraId="1691D791" w14:textId="04364333" w:rsidR="00983695" w:rsidRPr="004D4DED" w:rsidRDefault="00871B59" w:rsidP="00983695">
      <w:pPr>
        <w:spacing w:after="0" w:line="276" w:lineRule="auto"/>
        <w:jc w:val="both"/>
        <w:rPr>
          <w:rFonts w:ascii="Verdana" w:eastAsia="Calibri" w:hAnsi="Verdana" w:cs="Arial"/>
          <w:lang w:val="es-ES"/>
        </w:rPr>
      </w:pPr>
      <w:r w:rsidRPr="004D4DED">
        <w:rPr>
          <w:rFonts w:ascii="Verdana" w:eastAsia="Calibri" w:hAnsi="Verdana" w:cs="Arial"/>
          <w:lang w:val="es-ES"/>
        </w:rPr>
        <w:t xml:space="preserve">Lo anterior se sustenta en las siguientes consideraciones: </w:t>
      </w:r>
    </w:p>
    <w:p w14:paraId="697E6CF1" w14:textId="77777777" w:rsidR="001F3B6A" w:rsidRPr="004D4DED" w:rsidRDefault="001F3B6A" w:rsidP="001F3B6A">
      <w:pPr>
        <w:tabs>
          <w:tab w:val="left" w:pos="426"/>
        </w:tabs>
        <w:spacing w:before="240" w:line="276" w:lineRule="auto"/>
        <w:jc w:val="both"/>
        <w:rPr>
          <w:rFonts w:ascii="Verdana" w:hAnsi="Verdana" w:cs="Arial"/>
          <w:bCs/>
          <w:lang w:val="es-ES_tradnl" w:eastAsia="es-CO"/>
        </w:rPr>
      </w:pPr>
      <w:r w:rsidRPr="004D4DED">
        <w:rPr>
          <w:rFonts w:ascii="Verdana" w:eastAsia="Calibri" w:hAnsi="Verdana" w:cs="Arial"/>
          <w:bCs/>
          <w:lang w:val="es-ES_tradnl"/>
        </w:rPr>
        <w:t>El ordenamiento jurídico colombiano contempla previsiones claras para evitar la obtención de beneficios personales en asuntos propios de la administración pública</w:t>
      </w:r>
      <w:r w:rsidRPr="004D4DED">
        <w:rPr>
          <w:rFonts w:ascii="Verdana" w:eastAsia="Calibri" w:hAnsi="Verdana" w:cs="Arial"/>
          <w:bCs/>
          <w:i/>
          <w:iCs/>
          <w:lang w:val="es-ES_tradnl"/>
        </w:rPr>
        <w:t xml:space="preserve">. </w:t>
      </w:r>
      <w:r w:rsidRPr="004D4DED">
        <w:rPr>
          <w:rFonts w:ascii="Verdana" w:eastAsia="Calibri" w:hAnsi="Verdana" w:cs="Arial"/>
          <w:bCs/>
          <w:lang w:val="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4D4DED">
        <w:rPr>
          <w:rFonts w:ascii="Verdana" w:eastAsia="Calibri" w:hAnsi="Verdana" w:cs="Arial"/>
          <w:bCs/>
          <w:vertAlign w:val="superscript"/>
          <w:lang w:val="es-ES_tradnl"/>
        </w:rPr>
        <w:footnoteReference w:id="2"/>
      </w:r>
      <w:r w:rsidRPr="004D4DED">
        <w:rPr>
          <w:rFonts w:ascii="Verdana" w:eastAsia="Calibri" w:hAnsi="Verdana" w:cs="Arial"/>
          <w:bCs/>
          <w:lang w:val="es-ES_tradnl"/>
        </w:rPr>
        <w:t xml:space="preserve">. </w:t>
      </w:r>
    </w:p>
    <w:p w14:paraId="322643BA" w14:textId="77777777" w:rsidR="001F3B6A" w:rsidRPr="004D4DED" w:rsidRDefault="001F3B6A" w:rsidP="001F3B6A">
      <w:pPr>
        <w:tabs>
          <w:tab w:val="left" w:pos="426"/>
        </w:tabs>
        <w:spacing w:before="240" w:line="276" w:lineRule="auto"/>
        <w:ind w:firstLine="709"/>
        <w:jc w:val="both"/>
        <w:rPr>
          <w:rFonts w:ascii="Verdana" w:hAnsi="Verdana" w:cs="Arial"/>
          <w:bCs/>
          <w:lang w:val="es-ES_tradnl" w:eastAsia="es-CO"/>
        </w:rPr>
      </w:pPr>
      <w:r w:rsidRPr="004D4DED">
        <w:rPr>
          <w:rFonts w:ascii="Verdana" w:hAnsi="Verdana" w:cs="Arial"/>
          <w:bCs/>
          <w:lang w:val="es-ES_tradnl" w:eastAsia="es-CO"/>
        </w:rPr>
        <w:t>En el mismo sentido, la Ley 996 de 2005, conocida como «Ley de Garantías Electorales», se suma a la normatividad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D4DED">
        <w:rPr>
          <w:rFonts w:ascii="Verdana" w:hAnsi="Verdana" w:cs="Arial"/>
          <w:bCs/>
          <w:vertAlign w:val="superscript"/>
          <w:lang w:val="es-ES_tradnl" w:eastAsia="es-CO"/>
        </w:rPr>
        <w:footnoteReference w:id="3"/>
      </w:r>
      <w:r w:rsidRPr="004D4DED">
        <w:rPr>
          <w:rFonts w:ascii="Verdana"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4D4DED">
        <w:rPr>
          <w:rFonts w:ascii="Verdana" w:eastAsia="Calibri" w:hAnsi="Verdana" w:cs="Arial"/>
          <w:noProof/>
          <w:lang w:val="es-ES_tradnl"/>
        </w:rPr>
        <w:t xml:space="preserve"> </w:t>
      </w:r>
      <w:r w:rsidRPr="004D4DED">
        <w:rPr>
          <w:rFonts w:ascii="Verdana" w:hAnsi="Verdana" w:cs="Arial"/>
          <w:bCs/>
          <w:lang w:val="es-ES_tradnl" w:eastAsia="es-CO"/>
        </w:rPr>
        <w:t xml:space="preserve">En armonía con lo anterior, la Corte Constitucional ha </w:t>
      </w:r>
      <w:r w:rsidRPr="004D4DED">
        <w:rPr>
          <w:rFonts w:ascii="Verdana" w:hAnsi="Verdana" w:cs="Arial"/>
          <w:bCs/>
          <w:lang w:val="es-ES_tradnl" w:eastAsia="es-CO"/>
        </w:rPr>
        <w:lastRenderedPageBreak/>
        <w:t>abordado la definición de la Ley de Garantías Electorales. De esta manera, explica que tiene como propósito:</w:t>
      </w:r>
    </w:p>
    <w:p w14:paraId="0100F8D0" w14:textId="77777777" w:rsidR="001F3B6A" w:rsidRPr="004D4DED" w:rsidRDefault="001F3B6A" w:rsidP="001F3B6A">
      <w:pPr>
        <w:spacing w:before="240"/>
        <w:ind w:left="709" w:right="709"/>
        <w:jc w:val="both"/>
        <w:rPr>
          <w:rFonts w:ascii="Verdana" w:hAnsi="Verdana" w:cs="Arial"/>
          <w:bCs/>
          <w:sz w:val="21"/>
          <w:szCs w:val="21"/>
          <w:lang w:val="es-ES_tradnl" w:eastAsia="es-CO"/>
        </w:rPr>
      </w:pPr>
      <w:r w:rsidRPr="004D4DED">
        <w:rPr>
          <w:rFonts w:ascii="Verdana" w:hAnsi="Verdana" w:cs="Arial"/>
          <w:sz w:val="21"/>
          <w:szCs w:val="21"/>
          <w:lang w:val="es-ES_tradnl" w:eastAsia="es-CO"/>
        </w:rPr>
        <w:t xml:space="preserve">[…] </w:t>
      </w:r>
      <w:r w:rsidRPr="004D4DED">
        <w:rPr>
          <w:rFonts w:ascii="Verdana" w:hAnsi="Verdana" w:cs="Arial"/>
          <w:bCs/>
          <w:sz w:val="21"/>
          <w:szCs w:val="21"/>
          <w:lang w:val="es-ES_tradnl" w:eastAsia="es-CO"/>
        </w:rPr>
        <w:t>la definición de reglas claras que permitan acceder a los canales de expresión democrática de manera efectiva e igualitaria. El objetivo de una ley de garantías es definir esas reglas.</w:t>
      </w:r>
    </w:p>
    <w:p w14:paraId="1D55E68E" w14:textId="77777777" w:rsidR="001F3B6A" w:rsidRPr="004D4DED" w:rsidRDefault="001F3B6A" w:rsidP="001F3B6A">
      <w:pPr>
        <w:spacing w:before="240"/>
        <w:ind w:left="709" w:right="709"/>
        <w:jc w:val="both"/>
        <w:rPr>
          <w:rFonts w:ascii="Verdana" w:hAnsi="Verdana" w:cs="Arial"/>
          <w:bCs/>
          <w:sz w:val="21"/>
          <w:szCs w:val="21"/>
          <w:lang w:val="es-ES_tradnl" w:eastAsia="es-CO"/>
        </w:rPr>
      </w:pPr>
      <w:r w:rsidRPr="004D4DED">
        <w:rPr>
          <w:rFonts w:ascii="Verdana" w:hAnsi="Verdana" w:cs="Arial"/>
          <w:bCs/>
          <w:sz w:val="21"/>
          <w:szCs w:val="21"/>
          <w:lang w:val="es-ES_tradnl" w:eastAsia="es-CO"/>
        </w:rPr>
        <w:t xml:space="preserve">[…] </w:t>
      </w:r>
    </w:p>
    <w:p w14:paraId="037AA8C3" w14:textId="77777777" w:rsidR="001F3B6A" w:rsidRPr="004D4DED" w:rsidRDefault="001F3B6A" w:rsidP="001F3B6A">
      <w:pPr>
        <w:spacing w:before="240"/>
        <w:ind w:left="709" w:right="709"/>
        <w:jc w:val="both"/>
        <w:rPr>
          <w:rFonts w:ascii="Verdana" w:hAnsi="Verdana" w:cs="Arial"/>
          <w:bCs/>
          <w:sz w:val="21"/>
          <w:szCs w:val="21"/>
          <w:lang w:val="es-ES_tradnl" w:eastAsia="es-CO"/>
        </w:rPr>
      </w:pPr>
      <w:r w:rsidRPr="004D4DED">
        <w:rPr>
          <w:rFonts w:ascii="Verdana" w:hAnsi="Verdana" w:cs="Arial"/>
          <w:bCs/>
          <w:sz w:val="21"/>
          <w:szCs w:val="21"/>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D4DED">
        <w:rPr>
          <w:rFonts w:ascii="Verdana" w:hAnsi="Verdana" w:cs="Arial"/>
          <w:sz w:val="20"/>
          <w:szCs w:val="20"/>
          <w:vertAlign w:val="superscript"/>
          <w:lang w:val="es-ES_tradnl"/>
        </w:rPr>
        <w:footnoteReference w:id="4"/>
      </w:r>
    </w:p>
    <w:p w14:paraId="13A8F149" w14:textId="77777777" w:rsidR="001F3B6A" w:rsidRPr="004D4DED" w:rsidRDefault="001F3B6A" w:rsidP="001F3B6A">
      <w:pPr>
        <w:spacing w:before="240" w:line="276" w:lineRule="auto"/>
        <w:ind w:firstLine="709"/>
        <w:jc w:val="both"/>
        <w:rPr>
          <w:rFonts w:ascii="Verdana" w:hAnsi="Verdana" w:cs="Arial"/>
          <w:bCs/>
          <w:lang w:val="es-ES_tradnl" w:eastAsia="es-CO"/>
        </w:rPr>
      </w:pPr>
      <w:r w:rsidRPr="004D4DED">
        <w:rPr>
          <w:rFonts w:ascii="Verdana" w:hAnsi="Verdana" w:cs="Arial"/>
          <w:bCs/>
          <w:lang w:val="es-ES_tradnl" w:eastAsia="es-CO"/>
        </w:rPr>
        <w:t>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533D2E56" w14:textId="31BF2AB8" w:rsidR="001F3B6A" w:rsidRPr="004D4DED" w:rsidRDefault="009C0257" w:rsidP="00FB78B0">
      <w:pPr>
        <w:spacing w:before="240" w:line="240" w:lineRule="auto"/>
        <w:ind w:left="709" w:right="709"/>
        <w:jc w:val="both"/>
        <w:rPr>
          <w:rFonts w:ascii="Verdana" w:hAnsi="Verdana" w:cs="Arial"/>
          <w:sz w:val="20"/>
          <w:szCs w:val="20"/>
          <w:lang w:val="es-ES" w:eastAsia="es-CO"/>
        </w:rPr>
      </w:pPr>
      <w:r w:rsidRPr="004D4DED">
        <w:rPr>
          <w:rFonts w:ascii="Verdana" w:hAnsi="Verdana" w:cs="Arial"/>
          <w:sz w:val="20"/>
          <w:szCs w:val="20"/>
          <w:lang w:val="es-ES" w:eastAsia="es-CO"/>
        </w:rPr>
        <w:t>“</w:t>
      </w:r>
      <w:r w:rsidR="001F3B6A" w:rsidRPr="004D4DED">
        <w:rPr>
          <w:rFonts w:ascii="Verdana"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w:t>
      </w:r>
      <w:r w:rsidR="001F3B6A" w:rsidRPr="004D4DED">
        <w:rPr>
          <w:rFonts w:ascii="Verdana" w:hAnsi="Verdana" w:cs="Arial"/>
          <w:sz w:val="20"/>
          <w:szCs w:val="20"/>
          <w:lang w:val="es-ES" w:eastAsia="es-CO"/>
        </w:rPr>
        <w:lastRenderedPageBreak/>
        <w:t>régimen jurídico imperativo y de orden público, razón por la cual no son disponibles ni pueden ser derogadas, modificadas, ampliadas o adicionadas por acuerdo o convenio o acto unilateral.</w:t>
      </w:r>
    </w:p>
    <w:p w14:paraId="6D276CE6" w14:textId="77777777" w:rsidR="001F3B6A" w:rsidRPr="004D4DED" w:rsidRDefault="001F3B6A" w:rsidP="00FB78B0">
      <w:pPr>
        <w:spacing w:before="240" w:line="240" w:lineRule="auto"/>
        <w:ind w:left="709" w:right="709"/>
        <w:jc w:val="both"/>
        <w:rPr>
          <w:rFonts w:ascii="Verdana" w:hAnsi="Verdana" w:cs="Arial"/>
          <w:bCs/>
          <w:sz w:val="20"/>
          <w:szCs w:val="20"/>
          <w:lang w:val="es-ES_tradnl" w:eastAsia="es-CO"/>
        </w:rPr>
      </w:pPr>
      <w:r w:rsidRPr="004D4DED">
        <w:rPr>
          <w:rFonts w:ascii="Verdana" w:hAnsi="Verdana" w:cs="Arial"/>
          <w:bCs/>
          <w:sz w:val="20"/>
          <w:szCs w:val="20"/>
          <w:lang w:val="es-ES_tradnl" w:eastAsia="es-CO"/>
        </w:rPr>
        <w:t>La jurisprudencia de la Corte Constitucional</w:t>
      </w:r>
      <w:r w:rsidRPr="004D4DED">
        <w:rPr>
          <w:rFonts w:ascii="Verdana" w:hAnsi="Verdana" w:cs="Arial"/>
          <w:bCs/>
          <w:sz w:val="20"/>
          <w:szCs w:val="20"/>
          <w:vertAlign w:val="superscript"/>
          <w:lang w:val="es-ES_tradnl" w:eastAsia="es-CO"/>
        </w:rPr>
        <w:footnoteReference w:id="5"/>
      </w:r>
      <w:r w:rsidRPr="004D4DED">
        <w:rPr>
          <w:rFonts w:ascii="Verdana" w:hAnsi="Verdana" w:cs="Arial"/>
          <w:bCs/>
          <w:sz w:val="20"/>
          <w:szCs w:val="20"/>
          <w:lang w:val="es-ES_tradnl" w:eastAsia="es-CO"/>
        </w:rPr>
        <w:t> y del Consejo de Estado</w:t>
      </w:r>
      <w:r w:rsidRPr="004D4DED">
        <w:rPr>
          <w:rFonts w:ascii="Verdana" w:hAnsi="Verdana" w:cs="Arial"/>
          <w:bCs/>
          <w:sz w:val="20"/>
          <w:szCs w:val="20"/>
          <w:vertAlign w:val="superscript"/>
          <w:lang w:val="es-ES_tradnl" w:eastAsia="es-CO"/>
        </w:rPr>
        <w:footnoteReference w:id="6"/>
      </w:r>
      <w:r w:rsidRPr="004D4DED">
        <w:rPr>
          <w:rFonts w:ascii="Verdana" w:hAnsi="Verdana" w:cs="Arial"/>
          <w:bCs/>
          <w:sz w:val="20"/>
          <w:szCs w:val="20"/>
          <w:lang w:val="es-ES_tradnl"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D4DED">
        <w:rPr>
          <w:rFonts w:ascii="Verdana" w:hAnsi="Verdana" w:cs="Arial"/>
          <w:bCs/>
          <w:sz w:val="20"/>
          <w:szCs w:val="20"/>
          <w:vertAlign w:val="superscript"/>
          <w:lang w:val="es-ES_tradnl" w:eastAsia="es-CO"/>
        </w:rPr>
        <w:footnoteReference w:id="7"/>
      </w:r>
      <w:r w:rsidRPr="004D4DED">
        <w:rPr>
          <w:rFonts w:ascii="Verdana" w:hAnsi="Verdana" w:cs="Arial"/>
          <w:bCs/>
          <w:sz w:val="20"/>
          <w:szCs w:val="20"/>
          <w:lang w:val="es-ES_tradnl" w:eastAsia="es-CO"/>
        </w:rPr>
        <w:t>.</w:t>
      </w:r>
    </w:p>
    <w:p w14:paraId="1C899903" w14:textId="77777777" w:rsidR="001F3B6A" w:rsidRPr="004D4DED" w:rsidRDefault="001F3B6A" w:rsidP="001F3B6A">
      <w:pPr>
        <w:spacing w:before="240" w:line="276" w:lineRule="auto"/>
        <w:jc w:val="both"/>
        <w:rPr>
          <w:rFonts w:ascii="Verdana" w:eastAsia="Arial" w:hAnsi="Verdana" w:cs="Arial"/>
          <w:lang w:val="es-ES" w:eastAsia="es-ES" w:bidi="es-ES"/>
        </w:rPr>
      </w:pPr>
      <w:r w:rsidRPr="004D4DED">
        <w:rPr>
          <w:rFonts w:ascii="Verdana" w:hAnsi="Verdana" w:cs="Arial"/>
          <w:bCs/>
          <w:lang w:val="es-ES_tradnl" w:eastAsia="es-CO"/>
        </w:rPr>
        <w:tab/>
      </w:r>
      <w:r w:rsidRPr="004D4DED">
        <w:rPr>
          <w:rFonts w:ascii="Verdana" w:hAnsi="Verdana" w:cs="Arial"/>
          <w:lang w:val="es-ES" w:eastAsia="es-CO"/>
        </w:rPr>
        <w:t>De</w:t>
      </w:r>
      <w:r w:rsidRPr="004D4DED">
        <w:rPr>
          <w:rFonts w:ascii="Verdana" w:eastAsia="Arial" w:hAnsi="Verdana" w:cs="Arial"/>
          <w:lang w:val="es-ES" w:eastAsia="es-ES" w:bidi="es-ES"/>
        </w:rPr>
        <w:t xml:space="preserv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períodos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65BFB977" w14:textId="481D4A68" w:rsidR="001F3B6A" w:rsidRPr="004D4DED" w:rsidRDefault="001F3B6A" w:rsidP="001F3B6A">
      <w:pPr>
        <w:spacing w:before="240" w:line="276" w:lineRule="auto"/>
        <w:ind w:firstLine="708"/>
        <w:jc w:val="both"/>
        <w:rPr>
          <w:rFonts w:ascii="Verdana" w:eastAsia="Calibri" w:hAnsi="Verdana" w:cs="Arial"/>
          <w:lang w:val="es-ES_tradnl"/>
        </w:rPr>
      </w:pPr>
      <w:r w:rsidRPr="004D4DED">
        <w:rPr>
          <w:rFonts w:ascii="Verdana" w:eastAsia="Calibri" w:hAnsi="Verdana" w:cs="Arial"/>
          <w:lang w:val="es-ES_tradnl"/>
        </w:rPr>
        <w:lastRenderedPageBreak/>
        <w:t xml:space="preserve">Por un lado, el artículo 33 de la Ley 996 de 2005 prohíbe </w:t>
      </w:r>
      <w:r w:rsidRPr="004D4DED">
        <w:rPr>
          <w:rFonts w:ascii="Verdana" w:eastAsia="Calibri" w:hAnsi="Verdana" w:cs="Arial"/>
          <w:bCs/>
          <w:lang w:val="es-ES_tradnl"/>
        </w:rPr>
        <w:t xml:space="preserve">[…] </w:t>
      </w:r>
      <w:r w:rsidRPr="004D4DED">
        <w:rPr>
          <w:rFonts w:ascii="Verdana" w:eastAsia="Calibri" w:hAnsi="Verdana" w:cs="Arial"/>
          <w:lang w:val="es-ES_tradnl"/>
        </w:rPr>
        <w:t xml:space="preserve">la contratación directa por parte de todos los entes del Estado durante los cuatro (4) meses anteriores a las elecciones presidenciales, salvo </w:t>
      </w:r>
      <w:r w:rsidRPr="004D4DED">
        <w:rPr>
          <w:rFonts w:ascii="Verdana" w:eastAsia="Calibri" w:hAnsi="Verdana" w:cs="Arial"/>
          <w:bCs/>
          <w:lang w:val="es-ES_tradnl"/>
        </w:rPr>
        <w:t xml:space="preserve">[…] </w:t>
      </w:r>
      <w:r w:rsidRPr="004D4DED">
        <w:rPr>
          <w:rFonts w:ascii="Verdana" w:eastAsia="Calibri" w:hAnsi="Verdana" w:cs="Arial"/>
          <w:lang w:val="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D4DED">
        <w:rPr>
          <w:rFonts w:ascii="Verdana" w:eastAsia="Calibri" w:hAnsi="Verdana" w:cs="Arial"/>
          <w:bCs/>
          <w:vertAlign w:val="superscript"/>
          <w:lang w:val="es-ES_tradnl"/>
        </w:rPr>
        <w:footnoteReference w:id="8"/>
      </w:r>
      <w:r w:rsidRPr="004D4DED">
        <w:rPr>
          <w:rFonts w:ascii="Verdana" w:eastAsia="Calibri" w:hAnsi="Verdana" w:cs="Arial"/>
          <w:lang w:val="es-ES_tradnl"/>
        </w:rPr>
        <w:t>.</w:t>
      </w:r>
    </w:p>
    <w:p w14:paraId="073AFEF9" w14:textId="5C9BC4A7" w:rsidR="001F3B6A" w:rsidRPr="004D4DED" w:rsidRDefault="001F3B6A" w:rsidP="001F3B6A">
      <w:pPr>
        <w:widowControl w:val="0"/>
        <w:autoSpaceDE w:val="0"/>
        <w:autoSpaceDN w:val="0"/>
        <w:spacing w:before="240" w:line="276" w:lineRule="auto"/>
        <w:ind w:right="113" w:firstLine="708"/>
        <w:jc w:val="both"/>
        <w:rPr>
          <w:rFonts w:ascii="Verdana" w:eastAsia="Arial" w:hAnsi="Verdana" w:cs="Arial"/>
          <w:lang w:val="es-ES_tradnl" w:eastAsia="es-ES" w:bidi="es-ES"/>
        </w:rPr>
      </w:pPr>
      <w:r w:rsidRPr="004D4DED">
        <w:rPr>
          <w:rFonts w:ascii="Verdana" w:eastAsia="Calibri" w:hAnsi="Verdana" w:cs="Arial"/>
          <w:lang w:val="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4D4DED">
        <w:rPr>
          <w:rFonts w:ascii="Verdana" w:eastAsia="Calibri" w:hAnsi="Verdana" w:cs="Arial"/>
          <w:bCs/>
          <w:lang w:val="es-ES_tradnl"/>
        </w:rPr>
        <w:t xml:space="preserve">[…] </w:t>
      </w:r>
      <w:r w:rsidRPr="004D4DED">
        <w:rPr>
          <w:rFonts w:ascii="Verdana" w:eastAsia="Calibri" w:hAnsi="Verdana" w:cs="Arial"/>
          <w:lang w:val="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50110D" w:rsidRPr="004D4DED">
        <w:rPr>
          <w:rFonts w:ascii="Verdana" w:eastAsia="Calibri" w:hAnsi="Verdana" w:cs="Arial"/>
          <w:bCs/>
          <w:lang w:val="es-ES_tradnl"/>
        </w:rPr>
        <w:t>[…]</w:t>
      </w:r>
      <w:r w:rsidRPr="004D4DED">
        <w:rPr>
          <w:rFonts w:ascii="Verdana" w:eastAsia="Calibri" w:hAnsi="Verdana" w:cs="Arial"/>
          <w:bCs/>
          <w:sz w:val="19"/>
          <w:szCs w:val="19"/>
          <w:vertAlign w:val="superscript"/>
          <w:lang w:val="es-ES_tradnl"/>
        </w:rPr>
        <w:footnoteReference w:id="9"/>
      </w:r>
      <w:r w:rsidRPr="004D4DED">
        <w:rPr>
          <w:rFonts w:ascii="Verdana" w:eastAsia="Calibri" w:hAnsi="Verdana" w:cs="Arial"/>
          <w:lang w:val="es-ES_tradnl"/>
        </w:rPr>
        <w:t>.</w:t>
      </w:r>
      <w:r w:rsidRPr="004D4DED">
        <w:rPr>
          <w:rFonts w:ascii="Verdana" w:eastAsia="Arial" w:hAnsi="Verdana" w:cs="Arial"/>
          <w:lang w:val="es-ES_tradnl" w:eastAsia="es-ES" w:bidi="es-ES"/>
        </w:rPr>
        <w:t xml:space="preserve"> La Sala de Consulta y Servicio Civil del Consejo de Estado ha aclarado la distinción en la aplicación de las prohibiciones de la Ley 996 de </w:t>
      </w:r>
      <w:r w:rsidRPr="004D4DED">
        <w:rPr>
          <w:rFonts w:ascii="Verdana" w:eastAsia="Arial" w:hAnsi="Verdana" w:cs="Arial"/>
          <w:lang w:val="es-ES_tradnl" w:eastAsia="es-ES" w:bidi="es-ES"/>
        </w:rPr>
        <w:lastRenderedPageBreak/>
        <w:t>2005, dependiendo del tipo de elección que se trate. Al respecto, considera que:</w:t>
      </w:r>
    </w:p>
    <w:p w14:paraId="7D5449C8" w14:textId="5B6FE948" w:rsidR="001F3B6A" w:rsidRPr="004D4DED" w:rsidRDefault="003445A6" w:rsidP="00FB78B0">
      <w:pPr>
        <w:widowControl w:val="0"/>
        <w:autoSpaceDE w:val="0"/>
        <w:autoSpaceDN w:val="0"/>
        <w:spacing w:before="240" w:line="240" w:lineRule="auto"/>
        <w:ind w:left="709" w:right="709"/>
        <w:jc w:val="both"/>
        <w:rPr>
          <w:rFonts w:ascii="Verdana" w:eastAsia="Arial" w:hAnsi="Verdana" w:cs="Arial"/>
          <w:sz w:val="20"/>
          <w:szCs w:val="20"/>
          <w:lang w:val="es-ES" w:eastAsia="es-ES" w:bidi="es-ES"/>
        </w:rPr>
      </w:pPr>
      <w:r w:rsidRPr="004D4DED">
        <w:rPr>
          <w:rFonts w:ascii="Verdana" w:eastAsia="Arial" w:hAnsi="Verdana" w:cs="Arial"/>
          <w:sz w:val="20"/>
          <w:szCs w:val="20"/>
          <w:lang w:val="es-ES" w:eastAsia="es-ES" w:bidi="es-ES"/>
        </w:rPr>
        <w:t>“</w:t>
      </w:r>
      <w:r w:rsidR="001F3B6A" w:rsidRPr="004D4DED">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períodos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w:t>
      </w:r>
      <w:r w:rsidR="001F3B6A" w:rsidRPr="004D4DED">
        <w:rPr>
          <w:rFonts w:ascii="Verdana" w:eastAsia="Arial" w:hAnsi="Verdana" w:cs="Arial"/>
          <w:sz w:val="21"/>
          <w:szCs w:val="21"/>
          <w:lang w:val="es-ES" w:eastAsia="es-ES" w:bidi="es-ES"/>
        </w:rPr>
        <w:t xml:space="preserve"> restricciones </w:t>
      </w:r>
      <w:r w:rsidR="001F3B6A" w:rsidRPr="004D4DED">
        <w:rPr>
          <w:rFonts w:ascii="Verdana" w:eastAsia="Arial" w:hAnsi="Verdana" w:cs="Arial"/>
          <w:sz w:val="20"/>
          <w:szCs w:val="20"/>
          <w:lang w:val="es-ES" w:eastAsia="es-ES" w:bidi="es-ES"/>
        </w:rPr>
        <w:t>contenidas en el parágrafo del artículo 38</w:t>
      </w:r>
      <w:r w:rsidR="001F3B6A" w:rsidRPr="004D4DED">
        <w:rPr>
          <w:rFonts w:ascii="Verdana" w:eastAsia="Arial" w:hAnsi="Verdana" w:cs="Arial"/>
          <w:sz w:val="20"/>
          <w:szCs w:val="20"/>
          <w:vertAlign w:val="superscript"/>
          <w:lang w:val="es-ES" w:eastAsia="es-ES" w:bidi="es-ES"/>
        </w:rPr>
        <w:footnoteReference w:id="10"/>
      </w:r>
      <w:r w:rsidR="001F3B6A" w:rsidRPr="004D4DED">
        <w:rPr>
          <w:rFonts w:ascii="Verdana" w:eastAsia="Arial" w:hAnsi="Verdana" w:cs="Arial"/>
          <w:sz w:val="20"/>
          <w:szCs w:val="20"/>
          <w:lang w:val="es-ES" w:eastAsia="es-ES" w:bidi="es-ES"/>
        </w:rPr>
        <w:t>.</w:t>
      </w:r>
    </w:p>
    <w:p w14:paraId="259F67C2" w14:textId="77777777" w:rsidR="001F3B6A" w:rsidRPr="004D4DED" w:rsidRDefault="001F3B6A" w:rsidP="001F3B6A">
      <w:pPr>
        <w:spacing w:before="240" w:line="276" w:lineRule="auto"/>
        <w:ind w:firstLine="709"/>
        <w:jc w:val="both"/>
        <w:rPr>
          <w:rFonts w:ascii="Verdana" w:eastAsia="Arial" w:hAnsi="Verdana" w:cs="Arial"/>
          <w:lang w:val="es-ES" w:eastAsia="es-ES" w:bidi="es-ES"/>
        </w:rPr>
      </w:pPr>
      <w:r w:rsidRPr="004D4DED">
        <w:rPr>
          <w:rFonts w:ascii="Verdana" w:eastAsia="Arial" w:hAnsi="Verdana" w:cs="Arial"/>
          <w:lang w:val="es-ES" w:eastAsia="es-ES" w:bidi="es-ES"/>
        </w:rPr>
        <w:t xml:space="preserve">De lo anterior se desprende que la Ley 996 de 2005 establece dos (2) tipos de restricciones en materia de contratación, las cuales coinciden parcialmente. </w:t>
      </w:r>
      <w:r w:rsidRPr="004D4DED">
        <w:rPr>
          <w:rFonts w:ascii="Verdana" w:eastAsia="Arial" w:hAnsi="Verdana" w:cs="Arial"/>
          <w:i/>
          <w:iCs/>
          <w:lang w:val="es-ES" w:eastAsia="es-ES" w:bidi="es-ES"/>
        </w:rPr>
        <w:t>En primer lugar</w:t>
      </w:r>
      <w:r w:rsidRPr="004D4DE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conforme al artículo 190 de la Constitución Política. Para estos efectos, la restricción se extenderá hasta la fecha en la que se realice la segunda vuelta. </w:t>
      </w:r>
      <w:r w:rsidRPr="004D4DED">
        <w:rPr>
          <w:rFonts w:ascii="Verdana" w:eastAsia="Arial" w:hAnsi="Verdana" w:cs="Arial"/>
          <w:i/>
          <w:iCs/>
          <w:lang w:val="es-ES" w:eastAsia="es-ES" w:bidi="es-ES"/>
        </w:rPr>
        <w:t>En segundo lugar</w:t>
      </w:r>
      <w:r w:rsidRPr="004D4DE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w:t>
      </w:r>
      <w:r w:rsidRPr="004D4DED">
        <w:rPr>
          <w:rFonts w:ascii="Verdana" w:eastAsia="Arial" w:hAnsi="Verdana" w:cs="Arial"/>
          <w:lang w:val="es-ES" w:eastAsia="es-ES" w:bidi="es-ES"/>
        </w:rPr>
        <w:lastRenderedPageBreak/>
        <w:t>interadministrativos que impliquen la ejecución de recursos públicos dentro de los cuatro (4) meses anteriores a la respectiva jornada de votaciones.</w:t>
      </w:r>
    </w:p>
    <w:p w14:paraId="6F5C38BE" w14:textId="77777777" w:rsidR="001F3B6A" w:rsidRPr="004D4DED" w:rsidRDefault="001F3B6A" w:rsidP="001F3B6A">
      <w:pPr>
        <w:spacing w:before="240" w:line="276" w:lineRule="auto"/>
        <w:ind w:firstLine="709"/>
        <w:jc w:val="both"/>
        <w:rPr>
          <w:rFonts w:ascii="Verdana" w:eastAsia="Arial" w:hAnsi="Verdana" w:cs="Arial"/>
          <w:lang w:val="es-ES" w:eastAsia="es-ES" w:bidi="es-ES"/>
        </w:rPr>
      </w:pPr>
      <w:r w:rsidRPr="004D4DED">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solo deben aplicar las restricciones contenidas en el parágrafo del artículo 38.</w:t>
      </w:r>
    </w:p>
    <w:p w14:paraId="295B2532" w14:textId="7782EE50" w:rsidR="001F3B6A" w:rsidRPr="004D4DED" w:rsidRDefault="001F3B6A" w:rsidP="0050110D">
      <w:pPr>
        <w:spacing w:before="240" w:line="276" w:lineRule="auto"/>
        <w:ind w:firstLine="708"/>
        <w:jc w:val="both"/>
        <w:rPr>
          <w:rFonts w:ascii="Verdana" w:hAnsi="Verdana" w:cs="Arial"/>
          <w:bCs/>
          <w:lang w:val="es-ES_tradnl" w:eastAsia="es-CO"/>
        </w:rPr>
      </w:pPr>
      <w:r w:rsidRPr="004D4DED">
        <w:rPr>
          <w:rFonts w:ascii="Verdana" w:hAnsi="Verdana" w:cs="Arial"/>
          <w:bCs/>
          <w:lang w:val="es-ES_tradnl" w:eastAsia="x-none"/>
        </w:rPr>
        <w:t xml:space="preserve">El ámbito material de la prohibición contenida </w:t>
      </w:r>
      <w:bookmarkStart w:id="4" w:name="_Hlk75628761"/>
      <w:r w:rsidRPr="004D4DED">
        <w:rPr>
          <w:rFonts w:ascii="Verdana" w:hAnsi="Verdana" w:cs="Arial"/>
          <w:bCs/>
          <w:lang w:val="es-ES_tradnl" w:eastAsia="x-none"/>
        </w:rPr>
        <w:t>en el artículo 33 de la ley 996 de 2005</w:t>
      </w:r>
      <w:bookmarkEnd w:id="4"/>
      <w:r w:rsidRPr="004D4DED">
        <w:rPr>
          <w:rFonts w:ascii="Verdana" w:hAnsi="Verdana" w:cs="Arial"/>
          <w:bCs/>
          <w:lang w:val="es-ES_tradnl" w:eastAsia="x-none"/>
        </w:rPr>
        <w:t xml:space="preserve">, está delimitado por la expresión </w:t>
      </w:r>
      <w:r w:rsidR="0050110D" w:rsidRPr="004D4DED">
        <w:rPr>
          <w:rFonts w:ascii="Verdana" w:eastAsia="Calibri" w:hAnsi="Verdana" w:cs="Arial"/>
          <w:bCs/>
          <w:lang w:val="es-ES_tradnl"/>
        </w:rPr>
        <w:t>“</w:t>
      </w:r>
      <w:r w:rsidRPr="004D4DED">
        <w:rPr>
          <w:rFonts w:ascii="Verdana" w:hAnsi="Verdana" w:cs="Arial"/>
          <w:bCs/>
          <w:lang w:val="es-ES_tradnl" w:eastAsia="x-none"/>
        </w:rPr>
        <w:t>queda prohibida la contratación directa</w:t>
      </w:r>
      <w:r w:rsidR="0050110D" w:rsidRPr="004D4DED">
        <w:rPr>
          <w:rFonts w:ascii="Verdana" w:hAnsi="Verdana" w:cs="Arial"/>
          <w:lang w:val="es-ES_tradnl"/>
        </w:rPr>
        <w:t>”</w:t>
      </w:r>
      <w:r w:rsidRPr="004D4DED">
        <w:rPr>
          <w:rFonts w:ascii="Verdana" w:hAnsi="Verdana" w:cs="Arial"/>
          <w:bCs/>
          <w:lang w:val="es-ES_tradnl" w:eastAsia="x-none"/>
        </w:rPr>
        <w:t xml:space="preserve">. </w:t>
      </w:r>
      <w:r w:rsidRPr="004D4DED">
        <w:rPr>
          <w:rFonts w:ascii="Verdana" w:hAnsi="Verdana" w:cs="Arial"/>
          <w:lang w:val="es-ES_tradnl" w:eastAsia="es-CO"/>
        </w:rPr>
        <w:t>A propósito de esta restricción de la Ley de Garantías Electorales, la Sala de Consulta y Servicio Civil del Consejo de Estado ha considerado que:</w:t>
      </w:r>
    </w:p>
    <w:p w14:paraId="28AEC436" w14:textId="7121D599" w:rsidR="001F3B6A" w:rsidRPr="004D4DED" w:rsidRDefault="003445A6" w:rsidP="003445A6">
      <w:pPr>
        <w:spacing w:before="240" w:line="240" w:lineRule="auto"/>
        <w:ind w:left="709" w:right="709"/>
        <w:jc w:val="both"/>
        <w:rPr>
          <w:rFonts w:ascii="Verdana" w:hAnsi="Verdana" w:cs="Arial"/>
          <w:sz w:val="20"/>
          <w:szCs w:val="20"/>
          <w:lang w:val="es-ES_tradnl"/>
        </w:rPr>
      </w:pPr>
      <w:r w:rsidRPr="004D4DED">
        <w:rPr>
          <w:rFonts w:ascii="Verdana" w:hAnsi="Verdana" w:cs="Arial"/>
          <w:sz w:val="20"/>
          <w:szCs w:val="20"/>
          <w:lang w:val="es-ES_tradnl"/>
        </w:rPr>
        <w:t>“</w:t>
      </w:r>
      <w:r w:rsidR="001F3B6A" w:rsidRPr="004D4DED">
        <w:rPr>
          <w:rFonts w:ascii="Verdana" w:hAnsi="Verdana" w:cs="Arial"/>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001F3B6A" w:rsidRPr="004D4DED">
        <w:rPr>
          <w:rStyle w:val="Refdenotaalpie"/>
          <w:rFonts w:ascii="Verdana" w:hAnsi="Verdana"/>
          <w:sz w:val="20"/>
          <w:szCs w:val="20"/>
        </w:rPr>
        <w:footnoteReference w:id="11"/>
      </w:r>
      <w:r w:rsidR="001F3B6A" w:rsidRPr="004D4DED">
        <w:rPr>
          <w:rFonts w:ascii="Verdana" w:hAnsi="Verdana" w:cs="Arial"/>
          <w:sz w:val="20"/>
          <w:szCs w:val="20"/>
          <w:lang w:val="es-ES_tradnl"/>
        </w:rPr>
        <w:t>.</w:t>
      </w:r>
    </w:p>
    <w:p w14:paraId="53AA0550" w14:textId="1F0B4732" w:rsidR="001F3B6A" w:rsidRPr="004D4DED" w:rsidRDefault="001F3B6A" w:rsidP="003445A6">
      <w:pPr>
        <w:spacing w:before="240" w:line="240" w:lineRule="auto"/>
        <w:ind w:left="709" w:right="709"/>
        <w:jc w:val="both"/>
        <w:rPr>
          <w:rFonts w:ascii="Verdana" w:hAnsi="Verdana" w:cs="Arial"/>
          <w:sz w:val="20"/>
          <w:szCs w:val="20"/>
          <w:lang w:val="es-ES_tradnl"/>
        </w:rPr>
      </w:pPr>
      <w:r w:rsidRPr="004D4DED">
        <w:rPr>
          <w:rFonts w:ascii="Verdana" w:hAnsi="Verdana" w:cs="Arial"/>
          <w:sz w:val="20"/>
          <w:szCs w:val="20"/>
          <w:lang w:val="es-ES_tradnl"/>
        </w:rPr>
        <w:t>Esta Sala ha entendido que</w:t>
      </w:r>
      <w:r w:rsidR="003445A6" w:rsidRPr="004D4DED">
        <w:rPr>
          <w:rFonts w:ascii="Verdana" w:hAnsi="Verdana" w:cs="Arial"/>
          <w:sz w:val="20"/>
          <w:szCs w:val="20"/>
          <w:lang w:val="es-ES_tradnl"/>
        </w:rPr>
        <w:t>,</w:t>
      </w:r>
      <w:r w:rsidRPr="004D4DED">
        <w:rPr>
          <w:rFonts w:ascii="Verdana" w:hAnsi="Verdana" w:cs="Arial"/>
          <w:sz w:val="20"/>
          <w:szCs w:val="20"/>
          <w:lang w:val="es-ES_tradnl"/>
        </w:rPr>
        <w:t xml:space="preserve"> para los efectos de la ley de garantías, y dada su finalidad, el enunciado «contratación directa» es sinónimo </w:t>
      </w:r>
      <w:bookmarkStart w:id="6" w:name="_Hlk75741738"/>
      <w:r w:rsidRPr="004D4DED">
        <w:rPr>
          <w:rFonts w:ascii="Verdana" w:hAnsi="Verdana" w:cs="Arial"/>
          <w:sz w:val="20"/>
          <w:szCs w:val="20"/>
          <w:lang w:val="es-ES_tradnl"/>
        </w:rPr>
        <w:t xml:space="preserve">de cualquier sistema que no implique convocatoria pública y posibilidad de pluralidad de oferentes, </w:t>
      </w:r>
      <w:bookmarkEnd w:id="6"/>
      <w:r w:rsidRPr="004D4DED">
        <w:rPr>
          <w:rFonts w:ascii="Verdana" w:hAnsi="Verdana" w:cs="Arial"/>
          <w:sz w:val="20"/>
          <w:szCs w:val="20"/>
          <w:lang w:val="es-ES_tradnl"/>
        </w:rPr>
        <w:t>y que, además, no necesariamente hace referencia al procedimiento especial regulado por la ley de contratación estatal, sino a cualquier otro que prescinda de un proceso de licitación pública o concurso</w:t>
      </w:r>
      <w:r w:rsidRPr="004D4DED">
        <w:rPr>
          <w:rStyle w:val="Refdenotaalpie"/>
          <w:rFonts w:ascii="Verdana" w:hAnsi="Verdana"/>
          <w:sz w:val="20"/>
          <w:szCs w:val="20"/>
        </w:rPr>
        <w:footnoteReference w:id="12"/>
      </w:r>
      <w:r w:rsidRPr="004D4DED">
        <w:rPr>
          <w:rFonts w:ascii="Verdana" w:hAnsi="Verdana" w:cs="Arial"/>
          <w:sz w:val="20"/>
          <w:szCs w:val="20"/>
          <w:vertAlign w:val="superscript"/>
          <w:lang w:val="es-ES_tradnl"/>
        </w:rPr>
        <w:t>.</w:t>
      </w:r>
      <w:r w:rsidRPr="004D4DED">
        <w:rPr>
          <w:rFonts w:ascii="Verdana" w:hAnsi="Verdana" w:cs="Arial"/>
          <w:sz w:val="20"/>
          <w:szCs w:val="20"/>
          <w:lang w:val="es-ES_tradnl"/>
        </w:rPr>
        <w:t xml:space="preserve"> Por tanto, no son materia de la prohibición las demás modalidades de selección previstas en la ley 1150 de 2007, siendo estas, la licitación pública, el concurso de méritos y la selección abreviada, razón </w:t>
      </w:r>
      <w:r w:rsidRPr="004D4DED">
        <w:rPr>
          <w:rFonts w:ascii="Verdana" w:hAnsi="Verdana" w:cs="Arial"/>
          <w:sz w:val="20"/>
          <w:szCs w:val="20"/>
          <w:lang w:val="es-ES_tradnl"/>
        </w:rPr>
        <w:lastRenderedPageBreak/>
        <w:t>por la cual en ese periodo preelectoral de que trata la disposición pueden las entidades públicas seguir contratando bajo estos sistemas.</w:t>
      </w:r>
      <w:r w:rsidR="003445A6" w:rsidRPr="004D4DED">
        <w:rPr>
          <w:rFonts w:ascii="Verdana" w:hAnsi="Verdana" w:cs="Arial"/>
          <w:sz w:val="20"/>
          <w:szCs w:val="20"/>
          <w:lang w:val="es-ES_tradnl"/>
        </w:rPr>
        <w:t>”</w:t>
      </w:r>
      <w:r w:rsidRPr="004D4DED">
        <w:rPr>
          <w:rStyle w:val="Refdenotaalpie"/>
          <w:rFonts w:ascii="Verdana" w:hAnsi="Verdana"/>
          <w:sz w:val="20"/>
          <w:szCs w:val="20"/>
        </w:rPr>
        <w:footnoteReference w:id="13"/>
      </w:r>
      <w:r w:rsidRPr="004D4DED">
        <w:rPr>
          <w:rFonts w:ascii="Verdana" w:hAnsi="Verdana" w:cs="Arial"/>
          <w:sz w:val="20"/>
          <w:szCs w:val="20"/>
          <w:lang w:val="es-ES_tradnl"/>
        </w:rPr>
        <w:t xml:space="preserve"> </w:t>
      </w:r>
    </w:p>
    <w:p w14:paraId="3C9AA2A8" w14:textId="428CF9EA" w:rsidR="001F3B6A" w:rsidRPr="004D4DED" w:rsidRDefault="001F3B6A" w:rsidP="001F3B6A">
      <w:pPr>
        <w:spacing w:before="240" w:line="276" w:lineRule="auto"/>
        <w:ind w:firstLine="709"/>
        <w:jc w:val="both"/>
        <w:rPr>
          <w:rFonts w:ascii="Verdana" w:hAnsi="Verdana" w:cs="Arial"/>
          <w:lang w:val="es-ES_tradnl" w:eastAsia="x-none"/>
        </w:rPr>
      </w:pPr>
      <w:r w:rsidRPr="004D4DED">
        <w:rPr>
          <w:rFonts w:ascii="Verdana" w:hAnsi="Verdana" w:cs="Arial"/>
          <w:lang w:val="es-ES_tradnl" w:eastAsia="x-none"/>
        </w:rPr>
        <w:t xml:space="preserve">De acuerdo con el citado concepto, la prohibición del artículo 33 de la Ley de Garantías Electorales se refiere a </w:t>
      </w:r>
      <w:r w:rsidR="00B415B6" w:rsidRPr="004D4DED">
        <w:rPr>
          <w:rFonts w:ascii="Verdana" w:hAnsi="Verdana" w:cs="Arial"/>
          <w:sz w:val="19"/>
          <w:szCs w:val="19"/>
          <w:lang w:val="es-ES_tradnl"/>
        </w:rPr>
        <w:t>“</w:t>
      </w:r>
      <w:r w:rsidRPr="004D4DED">
        <w:rPr>
          <w:rFonts w:ascii="Verdana" w:hAnsi="Verdana" w:cs="Arial"/>
          <w:lang w:val="es-ES_tradnl" w:eastAsia="x-none"/>
        </w:rPr>
        <w:t>cualquier sistema que no implique convocatoria pública y posibilidad de pluralidad de oferentes</w:t>
      </w:r>
      <w:r w:rsidR="00B415B6" w:rsidRPr="004D4DED">
        <w:rPr>
          <w:rFonts w:ascii="Verdana" w:hAnsi="Verdana" w:cs="Arial"/>
          <w:lang w:val="es-ES_tradnl"/>
        </w:rPr>
        <w:t>”</w:t>
      </w:r>
      <w:r w:rsidRPr="004D4DED">
        <w:rPr>
          <w:rFonts w:ascii="Verdana" w:hAnsi="Verdana" w:cs="Arial"/>
          <w:lang w:val="es-ES_tradnl" w:eastAsia="x-none"/>
        </w:rPr>
        <w:t>,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w:t>
      </w:r>
      <w:r w:rsidRPr="004D4DED">
        <w:rPr>
          <w:rFonts w:ascii="Verdana" w:hAnsi="Verdana" w:cs="Arial"/>
          <w:vertAlign w:val="superscript"/>
          <w:lang w:val="es-ES_tradnl" w:eastAsia="x-none"/>
        </w:rPr>
        <w:footnoteReference w:id="14"/>
      </w:r>
      <w:r w:rsidRPr="004D4DED">
        <w:rPr>
          <w:rFonts w:ascii="Verdana" w:hAnsi="Verdana" w:cs="Arial"/>
          <w:lang w:val="es-ES_tradnl" w:eastAsia="x-none"/>
        </w:rPr>
        <w:t xml:space="preserve"> y sistematizó las causales de contratación directa</w:t>
      </w:r>
      <w:r w:rsidRPr="004D4DED">
        <w:rPr>
          <w:rFonts w:ascii="Verdana" w:hAnsi="Verdana" w:cs="Arial"/>
          <w:vertAlign w:val="superscript"/>
          <w:lang w:val="es-ES_tradnl" w:eastAsia="x-none"/>
        </w:rPr>
        <w:footnoteReference w:id="15"/>
      </w:r>
      <w:r w:rsidRPr="004D4DED">
        <w:rPr>
          <w:rFonts w:ascii="Verdana" w:hAnsi="Verdana" w:cs="Arial"/>
          <w:lang w:val="es-ES_tradnl" w:eastAsia="x-none"/>
        </w:rPr>
        <w:t xml:space="preserve">, </w:t>
      </w:r>
      <w:r w:rsidRPr="004D4DED">
        <w:rPr>
          <w:rFonts w:ascii="Verdana"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r w:rsidRPr="004D4DED">
        <w:rPr>
          <w:rFonts w:ascii="Verdana" w:hAnsi="Verdana" w:cs="Arial"/>
          <w:lang w:val="es-ES_tradnl" w:eastAsia="x-none"/>
        </w:rPr>
        <w:t xml:space="preserve"> </w:t>
      </w:r>
    </w:p>
    <w:p w14:paraId="05E2BE6A" w14:textId="77777777" w:rsidR="001F3B6A" w:rsidRPr="004D4DED" w:rsidRDefault="001F3B6A" w:rsidP="001F3B6A">
      <w:pPr>
        <w:spacing w:before="240" w:line="276" w:lineRule="auto"/>
        <w:ind w:firstLine="709"/>
        <w:jc w:val="both"/>
        <w:rPr>
          <w:rFonts w:ascii="Verdana" w:hAnsi="Verdana" w:cs="Arial"/>
          <w:lang w:val="es-ES_tradnl" w:eastAsia="x-none"/>
        </w:rPr>
      </w:pPr>
      <w:r w:rsidRPr="004D4DED">
        <w:rPr>
          <w:rFonts w:ascii="Verdana"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4D4DED">
        <w:rPr>
          <w:rFonts w:ascii="Verdana" w:hAnsi="Verdana" w:cs="Arial"/>
          <w:lang w:val="es-ES_tradnl"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7E16EDB" w14:textId="77777777" w:rsidR="001F3B6A" w:rsidRPr="004D4DED" w:rsidRDefault="001F3B6A" w:rsidP="001F3B6A">
      <w:pPr>
        <w:spacing w:before="240" w:line="276" w:lineRule="auto"/>
        <w:ind w:firstLine="709"/>
        <w:jc w:val="both"/>
        <w:rPr>
          <w:rFonts w:ascii="Verdana" w:hAnsi="Verdana" w:cs="Arial"/>
          <w:lang w:eastAsia="x-none"/>
        </w:rPr>
      </w:pPr>
      <w:r w:rsidRPr="004D4DED">
        <w:rPr>
          <w:rFonts w:ascii="Verdana" w:hAnsi="Verdana" w:cs="Arial"/>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w:t>
      </w:r>
      <w:r w:rsidRPr="004D4DED">
        <w:rPr>
          <w:rFonts w:ascii="Verdana" w:hAnsi="Verdana" w:cs="Arial"/>
          <w:lang w:eastAsia="x-none"/>
        </w:rPr>
        <w:lastRenderedPageBreak/>
        <w:t>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E668F43" w14:textId="30E34536" w:rsidR="001F3B6A" w:rsidRPr="004D4DED" w:rsidRDefault="001F3B6A" w:rsidP="001F3B6A">
      <w:pPr>
        <w:spacing w:before="240" w:line="276" w:lineRule="auto"/>
        <w:ind w:firstLine="709"/>
        <w:jc w:val="both"/>
        <w:rPr>
          <w:rFonts w:ascii="Verdana" w:hAnsi="Verdana" w:cs="Arial"/>
          <w:lang w:eastAsia="x-none"/>
        </w:rPr>
      </w:pPr>
      <w:r w:rsidRPr="004D4DED">
        <w:rPr>
          <w:rFonts w:ascii="Verdana" w:hAnsi="Verdana" w:cs="Arial"/>
          <w:lang w:eastAsia="x-none"/>
        </w:rPr>
        <w:t xml:space="preserve">En esta labor es importante tener en cuenta, como lo anotó la Corte Constitucional, en Sentencia C-1153 de noviembre 11 de 2005, que </w:t>
      </w:r>
      <w:r w:rsidR="004A159B" w:rsidRPr="004D4DED">
        <w:rPr>
          <w:rFonts w:ascii="Verdana" w:hAnsi="Verdana" w:cs="Arial"/>
          <w:lang w:eastAsia="x-none"/>
        </w:rPr>
        <w:t>“</w:t>
      </w:r>
      <w:r w:rsidRPr="004D4DED">
        <w:rPr>
          <w:rFonts w:ascii="Verdana" w:hAnsi="Verdana" w:cs="Arial"/>
          <w:lang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004A159B" w:rsidRPr="004D4DED">
        <w:rPr>
          <w:rFonts w:ascii="Verdana" w:hAnsi="Verdana" w:cs="Arial"/>
          <w:lang w:eastAsia="x-none"/>
        </w:rPr>
        <w:t>”</w:t>
      </w:r>
      <w:r w:rsidRPr="004D4DED">
        <w:rPr>
          <w:rFonts w:ascii="Verdana" w:hAnsi="Verdana" w:cs="Arial"/>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F92F707" w14:textId="1A881A28" w:rsidR="001F3B6A" w:rsidRPr="004D4DED" w:rsidRDefault="001F3B6A" w:rsidP="001F3B6A">
      <w:pPr>
        <w:spacing w:before="240" w:line="276" w:lineRule="auto"/>
        <w:ind w:firstLine="708"/>
        <w:jc w:val="both"/>
        <w:rPr>
          <w:rFonts w:ascii="Verdana" w:hAnsi="Verdana" w:cs="Arial"/>
          <w:bCs/>
          <w:lang w:eastAsia="x-none"/>
        </w:rPr>
      </w:pPr>
      <w:r w:rsidRPr="004D4DED">
        <w:rPr>
          <w:rFonts w:ascii="Verdana" w:hAnsi="Verdana" w:cs="Arial"/>
          <w:bCs/>
          <w:lang w:eastAsia="x-none"/>
        </w:rPr>
        <w:t xml:space="preserve">El artículo 33 de la Ley 996 de 2005 señala expresamente a los destinatarios de la prohibición, en el sentido de que son </w:t>
      </w:r>
      <w:r w:rsidR="004A159B" w:rsidRPr="004D4DED">
        <w:rPr>
          <w:rFonts w:ascii="Verdana" w:hAnsi="Verdana" w:cs="Arial"/>
          <w:bCs/>
          <w:lang w:eastAsia="x-none"/>
        </w:rPr>
        <w:t>“</w:t>
      </w:r>
      <w:r w:rsidRPr="004D4DED">
        <w:rPr>
          <w:rFonts w:ascii="Verdana" w:hAnsi="Verdana" w:cs="Arial"/>
          <w:bCs/>
          <w:lang w:eastAsia="x-none"/>
        </w:rPr>
        <w:t>todos los entes del Estado</w:t>
      </w:r>
      <w:r w:rsidR="004A159B" w:rsidRPr="004D4DED">
        <w:rPr>
          <w:rFonts w:ascii="Verdana" w:hAnsi="Verdana" w:cs="Arial"/>
          <w:bCs/>
          <w:lang w:eastAsia="x-none"/>
        </w:rPr>
        <w:t>”</w:t>
      </w:r>
      <w:r w:rsidRPr="004D4DED">
        <w:rPr>
          <w:rFonts w:ascii="Verdana" w:hAnsi="Verdana" w:cs="Arial"/>
          <w:bCs/>
          <w:lang w:eastAsia="x-none"/>
        </w:rPr>
        <w:t>, expresión que contempla a los diferentes organismos o entidades autorizadas por la ley para suscribir contratos.</w:t>
      </w:r>
      <w:r w:rsidRPr="004D4DED">
        <w:rPr>
          <w:rFonts w:ascii="Verdana" w:hAnsi="Verdana"/>
        </w:rPr>
        <w:t xml:space="preserve"> </w:t>
      </w:r>
      <w:r w:rsidRPr="004D4DED">
        <w:rPr>
          <w:rFonts w:ascii="Verdana" w:hAnsi="Verdana" w:cs="Arial"/>
          <w:bCs/>
          <w:lang w:eastAsia="x-none"/>
        </w:rPr>
        <w:t xml:space="preserve">En efecto, tal como lo ha sostenido el Consejo de Estado, el vocablo </w:t>
      </w:r>
      <w:bookmarkStart w:id="8" w:name="_Hlk75632581"/>
      <w:r w:rsidRPr="004D4DED">
        <w:rPr>
          <w:rFonts w:ascii="Verdana" w:hAnsi="Verdana" w:cs="Arial"/>
          <w:bCs/>
          <w:lang w:eastAsia="x-none"/>
        </w:rPr>
        <w:t>«</w:t>
      </w:r>
      <w:bookmarkEnd w:id="8"/>
      <w:r w:rsidRPr="004D4DED">
        <w:rPr>
          <w:rFonts w:ascii="Verdana" w:hAnsi="Verdana" w:cs="Arial"/>
          <w:bCs/>
          <w:lang w:eastAsia="x-none"/>
        </w:rPr>
        <w:t>todos» utilizado por el legislador comprende</w:t>
      </w:r>
      <w:r w:rsidRPr="004D4DED">
        <w:rPr>
          <w:rFonts w:ascii="Verdana" w:hAnsi="Verdana"/>
        </w:rPr>
        <w:t xml:space="preserve"> </w:t>
      </w:r>
      <w:r w:rsidRPr="004D4DED">
        <w:rPr>
          <w:rFonts w:ascii="Verdana" w:hAnsi="Verdana" w:cs="Arial"/>
          <w:bCs/>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w:t>
      </w:r>
      <w:r w:rsidRPr="004D4DED">
        <w:rPr>
          <w:rFonts w:ascii="Verdana" w:hAnsi="Verdana" w:cs="Arial"/>
          <w:bCs/>
          <w:lang w:eastAsia="x-none"/>
        </w:rPr>
        <w:lastRenderedPageBreak/>
        <w:t xml:space="preserve">Estado, en Concepto con radicado 1727 de fecha 20 de febrero de 2006, consideró que: </w:t>
      </w:r>
    </w:p>
    <w:p w14:paraId="641B7A6B" w14:textId="48C8F29E" w:rsidR="001F3B6A" w:rsidRPr="004D4DED" w:rsidRDefault="00454DDE" w:rsidP="00454DDE">
      <w:pPr>
        <w:spacing w:before="240" w:line="240" w:lineRule="auto"/>
        <w:ind w:left="708" w:right="709"/>
        <w:jc w:val="both"/>
        <w:rPr>
          <w:rFonts w:ascii="Verdana" w:hAnsi="Verdana" w:cs="Arial"/>
          <w:bCs/>
          <w:sz w:val="20"/>
          <w:szCs w:val="20"/>
          <w:lang w:eastAsia="es-CO"/>
        </w:rPr>
      </w:pPr>
      <w:r w:rsidRPr="004D4DED">
        <w:rPr>
          <w:rFonts w:ascii="Verdana" w:hAnsi="Verdana" w:cs="Arial"/>
          <w:bCs/>
          <w:sz w:val="20"/>
          <w:szCs w:val="20"/>
          <w:lang w:eastAsia="x-none"/>
        </w:rPr>
        <w:t>“</w:t>
      </w:r>
      <w:r w:rsidR="001F3B6A" w:rsidRPr="004D4DED">
        <w:rPr>
          <w:rFonts w:ascii="Verdana" w:hAnsi="Verdana" w:cs="Arial"/>
          <w:bCs/>
          <w:sz w:val="20"/>
          <w:szCs w:val="20"/>
          <w:lang w:eastAsia="x-none"/>
        </w:rPr>
        <w:t xml:space="preserve">El artículo 33 de la ley 996 de 2005, </w:t>
      </w:r>
      <w:bookmarkStart w:id="9" w:name="_Hlk75787147"/>
      <w:r w:rsidR="001F3B6A" w:rsidRPr="004D4DED">
        <w:rPr>
          <w:rFonts w:ascii="Verdana" w:hAnsi="Verdana" w:cs="Arial"/>
          <w:bCs/>
          <w:sz w:val="20"/>
          <w:szCs w:val="20"/>
          <w:lang w:eastAsia="x-none"/>
        </w:rPr>
        <w:t xml:space="preserve">efectivamente se aplica </w:t>
      </w:r>
      <w:bookmarkStart w:id="10" w:name="_Hlk76074089"/>
      <w:r w:rsidR="001F3B6A" w:rsidRPr="004D4DED">
        <w:rPr>
          <w:rFonts w:ascii="Verdana" w:hAnsi="Verdana" w:cs="Arial"/>
          <w:bCs/>
          <w:sz w:val="20"/>
          <w:szCs w:val="20"/>
          <w:lang w:eastAsia="x-none"/>
        </w:rPr>
        <w:t>incluso a las entidades estatales con régimen especial de contratación y que están exceptuadas del ámbito de aplicación del Estatuto General de Contratación de la Administración Pública</w:t>
      </w:r>
      <w:bookmarkEnd w:id="10"/>
      <w:r w:rsidR="001F3B6A" w:rsidRPr="004D4DED">
        <w:rPr>
          <w:rFonts w:ascii="Verdana" w:hAnsi="Verdana" w:cs="Arial"/>
          <w:bCs/>
          <w:sz w:val="20"/>
          <w:szCs w:val="20"/>
          <w:lang w:eastAsia="x-none"/>
        </w:rPr>
        <w:t>,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001F3B6A" w:rsidRPr="004D4DED">
        <w:rPr>
          <w:rStyle w:val="Refdenotaalpie"/>
          <w:rFonts w:ascii="Verdana" w:hAnsi="Verdana" w:cs="Arial"/>
          <w:bCs/>
          <w:sz w:val="20"/>
          <w:szCs w:val="20"/>
          <w:lang w:eastAsia="x-none"/>
        </w:rPr>
        <w:footnoteReference w:id="16"/>
      </w:r>
      <w:r w:rsidR="001F3B6A" w:rsidRPr="004D4DED">
        <w:rPr>
          <w:rFonts w:ascii="Verdana" w:hAnsi="Verdana" w:cs="Arial"/>
          <w:bCs/>
          <w:sz w:val="20"/>
          <w:szCs w:val="20"/>
          <w:lang w:eastAsia="x-none"/>
        </w:rPr>
        <w:t>.</w:t>
      </w:r>
      <w:r w:rsidRPr="004D4DED">
        <w:rPr>
          <w:rFonts w:ascii="Verdana" w:hAnsi="Verdana" w:cs="Arial"/>
          <w:bCs/>
          <w:sz w:val="20"/>
          <w:szCs w:val="20"/>
          <w:lang w:eastAsia="es-CO"/>
        </w:rPr>
        <w:t>”</w:t>
      </w:r>
    </w:p>
    <w:p w14:paraId="0D344187" w14:textId="35620E55" w:rsidR="001F3B6A" w:rsidRPr="004D4DED" w:rsidRDefault="001F3B6A" w:rsidP="001F3B6A">
      <w:pPr>
        <w:spacing w:before="240" w:line="276" w:lineRule="auto"/>
        <w:ind w:firstLine="708"/>
        <w:jc w:val="both"/>
        <w:rPr>
          <w:rFonts w:ascii="Verdana" w:hAnsi="Verdana" w:cs="Arial"/>
        </w:rPr>
      </w:pPr>
      <w:r w:rsidRPr="004D4DED">
        <w:rPr>
          <w:rFonts w:ascii="Verdana" w:hAnsi="Verdana" w:cs="Arial"/>
          <w:bCs/>
          <w:lang w:eastAsia="x-none"/>
        </w:rPr>
        <w:t xml:space="preserve">En Concepto con radicado 1738 de 6 de abril de 2006, esa misma Corporación manifestó que </w:t>
      </w:r>
      <w:r w:rsidR="004A159B" w:rsidRPr="004D4DED">
        <w:rPr>
          <w:rFonts w:ascii="Verdana" w:hAnsi="Verdana" w:cs="Arial"/>
          <w:bCs/>
          <w:lang w:eastAsia="x-none"/>
        </w:rPr>
        <w:t>“</w:t>
      </w:r>
      <w:r w:rsidRPr="004D4DED">
        <w:rPr>
          <w:rFonts w:ascii="Verdana" w:hAnsi="Verdana" w:cs="Arial"/>
          <w:bCs/>
          <w:lang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1" w:name="_Hlk75758868"/>
      <w:bookmarkStart w:id="12" w:name="_Hlk75741220"/>
      <w:r w:rsidR="004A159B" w:rsidRPr="004D4DED">
        <w:rPr>
          <w:rFonts w:ascii="Verdana" w:hAnsi="Verdana" w:cs="Arial"/>
          <w:bCs/>
          <w:lang w:eastAsia="x-none"/>
        </w:rPr>
        <w:t>”</w:t>
      </w:r>
      <w:r w:rsidRPr="004D4DED">
        <w:rPr>
          <w:rStyle w:val="Refdenotaalpie"/>
          <w:rFonts w:ascii="Verdana" w:hAnsi="Verdana" w:cs="Arial"/>
        </w:rPr>
        <w:footnoteReference w:id="17"/>
      </w:r>
      <w:bookmarkEnd w:id="11"/>
      <w:bookmarkEnd w:id="12"/>
      <w:r w:rsidRPr="004D4DED">
        <w:rPr>
          <w:rFonts w:ascii="Verdana" w:hAnsi="Verdana" w:cs="Arial"/>
          <w:bCs/>
          <w:lang w:eastAsia="x-none"/>
        </w:rPr>
        <w:t>.</w:t>
      </w:r>
      <w:r w:rsidRPr="004D4DED">
        <w:rPr>
          <w:rFonts w:ascii="Verdana" w:hAnsi="Verdana" w:cs="Arial"/>
        </w:rPr>
        <w:t xml:space="preserve"> Sin embargo, debe precisarse el siguiente aspecto que distinguió la Sala de Consulta y Servicio Civil:</w:t>
      </w:r>
    </w:p>
    <w:p w14:paraId="28C285AD" w14:textId="4F0837E8" w:rsidR="001F3B6A" w:rsidRPr="004D4DED" w:rsidRDefault="00454DDE" w:rsidP="00454DDE">
      <w:pPr>
        <w:spacing w:before="240" w:line="240" w:lineRule="auto"/>
        <w:ind w:left="708" w:right="709"/>
        <w:jc w:val="both"/>
        <w:rPr>
          <w:rFonts w:ascii="Verdana" w:hAnsi="Verdana" w:cs="Arial"/>
          <w:sz w:val="20"/>
          <w:szCs w:val="20"/>
        </w:rPr>
      </w:pPr>
      <w:bookmarkStart w:id="14" w:name="_Hlk75811446"/>
      <w:r w:rsidRPr="004D4DED">
        <w:rPr>
          <w:rFonts w:ascii="Verdana" w:hAnsi="Verdana" w:cs="Arial"/>
          <w:sz w:val="21"/>
          <w:szCs w:val="21"/>
        </w:rPr>
        <w:t>“</w:t>
      </w:r>
      <w:r w:rsidR="001F3B6A" w:rsidRPr="004D4DED">
        <w:rPr>
          <w:rFonts w:ascii="Verdana" w:hAnsi="Verdana" w:cs="Arial"/>
          <w:sz w:val="21"/>
          <w:szCs w:val="21"/>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w:t>
      </w:r>
      <w:r w:rsidR="001F3B6A" w:rsidRPr="004D4DED">
        <w:rPr>
          <w:rFonts w:ascii="Verdana" w:hAnsi="Verdana" w:cs="Arial"/>
          <w:sz w:val="20"/>
          <w:szCs w:val="20"/>
        </w:rPr>
        <w:lastRenderedPageBreak/>
        <w:t>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4"/>
      <w:r w:rsidR="001F3B6A" w:rsidRPr="004D4DED">
        <w:rPr>
          <w:rStyle w:val="Refdenotaalpie"/>
          <w:rFonts w:ascii="Verdana" w:hAnsi="Verdana" w:cs="Arial"/>
          <w:sz w:val="20"/>
          <w:szCs w:val="20"/>
        </w:rPr>
        <w:footnoteReference w:id="18"/>
      </w:r>
      <w:r w:rsidR="001F3B6A" w:rsidRPr="004D4DED">
        <w:rPr>
          <w:rFonts w:ascii="Verdana" w:hAnsi="Verdana" w:cs="Arial"/>
          <w:bCs/>
          <w:sz w:val="20"/>
          <w:szCs w:val="20"/>
          <w:lang w:eastAsia="x-none"/>
        </w:rPr>
        <w:t>.</w:t>
      </w:r>
    </w:p>
    <w:p w14:paraId="498F0913" w14:textId="7174371A" w:rsidR="001F3B6A" w:rsidRPr="004D4DED" w:rsidRDefault="001F3B6A" w:rsidP="001F3B6A">
      <w:pPr>
        <w:spacing w:before="240" w:line="276" w:lineRule="auto"/>
        <w:ind w:firstLine="709"/>
        <w:jc w:val="both"/>
        <w:rPr>
          <w:rFonts w:ascii="Verdana" w:hAnsi="Verdana" w:cs="Arial"/>
          <w:bCs/>
          <w:lang w:eastAsia="x-none"/>
        </w:rPr>
      </w:pPr>
      <w:r w:rsidRPr="004D4DED">
        <w:rPr>
          <w:rFonts w:ascii="Verdana" w:hAnsi="Verdana" w:cs="Arial"/>
        </w:rPr>
        <w:t>Aplicando este razonamiento,</w:t>
      </w:r>
      <w:bookmarkStart w:id="15" w:name="_Hlk75811096"/>
      <w:r w:rsidRPr="004D4DED">
        <w:rPr>
          <w:rFonts w:ascii="Verdana" w:hAnsi="Verdana" w:cs="Arial"/>
        </w:rPr>
        <w:t xml:space="preserve"> se tiene que las empresas industriales y comerciales del estado y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sidR="00B415B6" w:rsidRPr="004D4DED">
        <w:rPr>
          <w:rFonts w:ascii="Verdana" w:hAnsi="Verdana" w:cs="Arial"/>
        </w:rPr>
        <w:t>“</w:t>
      </w:r>
      <w:r w:rsidRPr="004D4DED">
        <w:rPr>
          <w:rFonts w:ascii="Verdana" w:hAnsi="Verdana" w:cs="Arial"/>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15"/>
      <w:r w:rsidR="00B415B6" w:rsidRPr="004D4DED">
        <w:rPr>
          <w:rFonts w:ascii="Verdana" w:hAnsi="Verdana" w:cs="Arial"/>
        </w:rPr>
        <w:t>”</w:t>
      </w:r>
      <w:r w:rsidRPr="004D4DED">
        <w:rPr>
          <w:rStyle w:val="Refdenotaalpie"/>
          <w:rFonts w:ascii="Verdana" w:hAnsi="Verdana" w:cs="Arial"/>
        </w:rPr>
        <w:t xml:space="preserve"> </w:t>
      </w:r>
      <w:r w:rsidRPr="004D4DED">
        <w:rPr>
          <w:rStyle w:val="Refdenotaalpie"/>
          <w:rFonts w:ascii="Verdana" w:hAnsi="Verdana" w:cs="Arial"/>
        </w:rPr>
        <w:footnoteReference w:id="19"/>
      </w:r>
      <w:r w:rsidRPr="004D4DED">
        <w:rPr>
          <w:rFonts w:ascii="Verdana" w:hAnsi="Verdana" w:cs="Arial"/>
        </w:rPr>
        <w:t>.</w:t>
      </w:r>
    </w:p>
    <w:p w14:paraId="0F5C05D5" w14:textId="77777777" w:rsidR="001F3B6A" w:rsidRPr="004D4DED" w:rsidRDefault="001F3B6A" w:rsidP="001F3B6A">
      <w:pPr>
        <w:spacing w:before="240" w:line="276" w:lineRule="auto"/>
        <w:ind w:firstLine="708"/>
        <w:jc w:val="both"/>
        <w:rPr>
          <w:rFonts w:ascii="Verdana" w:hAnsi="Verdana" w:cs="Arial"/>
          <w:bCs/>
          <w:lang w:eastAsia="x-none"/>
        </w:rPr>
      </w:pPr>
      <w:bookmarkStart w:id="16" w:name="_Hlk77237229"/>
      <w:bookmarkEnd w:id="9"/>
      <w:r w:rsidRPr="004D4DED">
        <w:rPr>
          <w:rFonts w:ascii="Verdana" w:hAnsi="Verdana" w:cs="Arial"/>
        </w:rPr>
        <w:t>Por lo tanto, la restricción prevista en la Ley 996 de 200</w:t>
      </w:r>
      <w:bookmarkStart w:id="17" w:name="_Hlk75741539"/>
      <w:r w:rsidRPr="004D4DED">
        <w:rPr>
          <w:rFonts w:ascii="Verdana" w:hAnsi="Verdana" w:cs="Arial"/>
        </w:rPr>
        <w:t xml:space="preserve">5, </w:t>
      </w:r>
      <w:r w:rsidRPr="004D4DED">
        <w:rPr>
          <w:rFonts w:ascii="Verdana" w:hAnsi="Verdana" w:cs="Arial"/>
          <w:bCs/>
          <w:lang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58586D61" w14:textId="70B0AA07" w:rsidR="001F3B6A" w:rsidRPr="004D4DED" w:rsidRDefault="001F3B6A" w:rsidP="001F3B6A">
      <w:pPr>
        <w:spacing w:before="240" w:line="276" w:lineRule="auto"/>
        <w:ind w:firstLine="709"/>
        <w:jc w:val="both"/>
        <w:rPr>
          <w:rFonts w:ascii="Verdana" w:eastAsia="Arial" w:hAnsi="Verdana" w:cs="Arial"/>
          <w:bCs/>
        </w:rPr>
      </w:pPr>
      <w:r w:rsidRPr="004D4DED">
        <w:rPr>
          <w:rFonts w:ascii="Verdana" w:eastAsia="Arial" w:hAnsi="Verdana" w:cs="Arial"/>
          <w:bCs/>
        </w:rPr>
        <w:lastRenderedPageBreak/>
        <w:t>No obstante</w:t>
      </w:r>
      <w:r w:rsidR="00054B8F" w:rsidRPr="004D4DED">
        <w:rPr>
          <w:rFonts w:ascii="Verdana" w:eastAsia="Arial" w:hAnsi="Verdana" w:cs="Arial"/>
          <w:bCs/>
        </w:rPr>
        <w:t>,</w:t>
      </w:r>
      <w:r w:rsidRPr="004D4DED">
        <w:rPr>
          <w:rFonts w:ascii="Verdana" w:eastAsia="Arial" w:hAnsi="Verdana" w:cs="Arial"/>
          <w:bCs/>
        </w:rPr>
        <w:t xml:space="preserve"> lo anterior, es necesario señalar que el inciso 2 del mismo artículo consagra excepciones a dicha prohibición sin hacer distingo entre entidades sino como se explicó, atendiendo a la naturaleza de las funciones y actividades que ellas desarrollen. Así las cosas, no es relevante ni la nominación ni el régimen aplicable para la respectiva entidad, sino que basta con que la misma desarrolle cierto tipo de actividades cuya contratación, por su naturaleza especialmente sensible, no admiten postergación, entre ellas las realizadas por entidades sanitarias u hospitalarias.</w:t>
      </w:r>
    </w:p>
    <w:p w14:paraId="53691A7F" w14:textId="77777777" w:rsidR="001F3B6A" w:rsidRPr="004D4DED" w:rsidRDefault="001F3B6A" w:rsidP="001F3B6A">
      <w:pPr>
        <w:tabs>
          <w:tab w:val="left" w:pos="426"/>
        </w:tabs>
        <w:spacing w:before="240" w:line="276" w:lineRule="auto"/>
        <w:jc w:val="both"/>
        <w:rPr>
          <w:rFonts w:ascii="Verdana" w:hAnsi="Verdana" w:cs="Arial"/>
          <w:bCs/>
          <w:lang w:val="es-ES_tradnl"/>
        </w:rPr>
      </w:pPr>
      <w:r w:rsidRPr="004D4DED">
        <w:rPr>
          <w:rFonts w:ascii="Verdana" w:eastAsia="Arial" w:hAnsi="Verdana" w:cs="Arial"/>
          <w:bCs/>
        </w:rPr>
        <w:tab/>
      </w:r>
      <w:r w:rsidRPr="004D4DED">
        <w:rPr>
          <w:rFonts w:ascii="Verdana" w:eastAsia="Arial" w:hAnsi="Verdana" w:cs="Arial"/>
          <w:bCs/>
        </w:rPr>
        <w:tab/>
        <w:t xml:space="preserve">Al respecto, es importante reiterar que </w:t>
      </w:r>
      <w:r w:rsidRPr="004D4DED">
        <w:rPr>
          <w:rFonts w:ascii="Verdana" w:hAnsi="Verdana" w:cs="Arial"/>
          <w:bCs/>
          <w:lang w:val="es-ES_tradnl"/>
        </w:rPr>
        <w:t>el segundo inciso del artículo 33 de la Ley de Garantías Electorales consagró las excepciones aplicables a la prohibición de contratación directa establecida en el mismo artículo. Como se indicó, las excepciones a la prohibición del artículo 33 de la norma mencionada son las siguientes:</w:t>
      </w:r>
    </w:p>
    <w:p w14:paraId="022A686F" w14:textId="77777777" w:rsidR="001F3B6A" w:rsidRPr="004D4DED" w:rsidRDefault="001F3B6A" w:rsidP="001F3B6A">
      <w:pPr>
        <w:tabs>
          <w:tab w:val="left" w:pos="709"/>
        </w:tabs>
        <w:spacing w:before="240" w:line="276" w:lineRule="auto"/>
        <w:jc w:val="both"/>
        <w:rPr>
          <w:rFonts w:ascii="Verdana" w:hAnsi="Verdana" w:cs="Arial"/>
          <w:bCs/>
          <w:lang w:val="es-ES_tradnl"/>
        </w:rPr>
      </w:pPr>
      <w:r w:rsidRPr="004D4DED">
        <w:rPr>
          <w:rFonts w:ascii="Verdana" w:hAnsi="Verdana" w:cs="Arial"/>
          <w:bCs/>
          <w:lang w:val="es-ES_tradnl"/>
        </w:rPr>
        <w:tab/>
        <w:t>i) La contratación referente a la defensa y seguridad del Estado;</w:t>
      </w:r>
    </w:p>
    <w:p w14:paraId="2FF52C30" w14:textId="77777777" w:rsidR="001F3B6A" w:rsidRPr="004D4DED" w:rsidRDefault="001F3B6A" w:rsidP="001F3B6A">
      <w:pPr>
        <w:tabs>
          <w:tab w:val="left" w:pos="709"/>
        </w:tabs>
        <w:spacing w:before="240" w:line="276" w:lineRule="auto"/>
        <w:jc w:val="both"/>
        <w:rPr>
          <w:rFonts w:ascii="Verdana" w:hAnsi="Verdana" w:cs="Arial"/>
          <w:lang w:val="es-ES"/>
        </w:rPr>
      </w:pPr>
      <w:r w:rsidRPr="004D4DED">
        <w:rPr>
          <w:rFonts w:ascii="Verdana" w:hAnsi="Verdana" w:cs="Arial"/>
          <w:bCs/>
          <w:lang w:val="es-ES_tradnl"/>
        </w:rPr>
        <w:tab/>
      </w:r>
      <w:r w:rsidRPr="004D4DED">
        <w:rPr>
          <w:rFonts w:ascii="Verdana" w:hAnsi="Verdana" w:cs="Arial"/>
          <w:lang w:val="es-ES"/>
        </w:rPr>
        <w:t>ii) Los contratos de crédito público;</w:t>
      </w:r>
    </w:p>
    <w:p w14:paraId="6BACFA50" w14:textId="77777777" w:rsidR="001F3B6A" w:rsidRPr="004D4DED" w:rsidRDefault="001F3B6A" w:rsidP="001F3B6A">
      <w:pPr>
        <w:tabs>
          <w:tab w:val="left" w:pos="709"/>
        </w:tabs>
        <w:spacing w:before="240" w:line="276" w:lineRule="auto"/>
        <w:jc w:val="both"/>
        <w:rPr>
          <w:rFonts w:ascii="Verdana" w:hAnsi="Verdana" w:cs="Arial"/>
          <w:lang w:val="es-ES"/>
        </w:rPr>
      </w:pPr>
      <w:r w:rsidRPr="004D4DED">
        <w:rPr>
          <w:rFonts w:ascii="Verdana" w:hAnsi="Verdana" w:cs="Arial"/>
          <w:bCs/>
          <w:lang w:val="es-ES_tradnl"/>
        </w:rPr>
        <w:tab/>
      </w:r>
      <w:r w:rsidRPr="004D4DED">
        <w:rPr>
          <w:rFonts w:ascii="Verdana" w:hAnsi="Verdana" w:cs="Arial"/>
          <w:lang w:val="es-ES"/>
        </w:rPr>
        <w:t xml:space="preserve">iii) Los contratos requeridos para cubrir las emergencias educativas, sanitarias y desastres; </w:t>
      </w:r>
    </w:p>
    <w:p w14:paraId="660BCDD7" w14:textId="77777777" w:rsidR="001F3B6A" w:rsidRPr="004D4DED" w:rsidRDefault="001F3B6A" w:rsidP="001F3B6A">
      <w:pPr>
        <w:tabs>
          <w:tab w:val="left" w:pos="709"/>
        </w:tabs>
        <w:spacing w:before="240" w:line="276" w:lineRule="auto"/>
        <w:jc w:val="both"/>
        <w:rPr>
          <w:rFonts w:ascii="Verdana" w:hAnsi="Verdana" w:cs="Arial"/>
          <w:lang w:val="es-ES"/>
        </w:rPr>
      </w:pPr>
      <w:r w:rsidRPr="004D4DED">
        <w:rPr>
          <w:rFonts w:ascii="Verdana" w:hAnsi="Verdana" w:cs="Arial"/>
          <w:bCs/>
          <w:lang w:val="es-ES_tradnl"/>
        </w:rPr>
        <w:tab/>
      </w:r>
      <w:r w:rsidRPr="004D4DED">
        <w:rPr>
          <w:rFonts w:ascii="Verdana" w:hAnsi="Verdana" w:cs="Arial"/>
          <w:lang w:val="es-ES"/>
        </w:rPr>
        <w:t>iv) La contratación para la reconstrucción de vías, puentes, carreteras, infraestructura energética y de comunicaciones, en caso de que hayan sido objeto de atentados, acciones terroristas, desastres naturales o casos de fuerza mayor y;</w:t>
      </w:r>
    </w:p>
    <w:p w14:paraId="6DE497D4" w14:textId="77777777" w:rsidR="001F3B6A" w:rsidRPr="004D4DED" w:rsidRDefault="001F3B6A" w:rsidP="001F3B6A">
      <w:pPr>
        <w:tabs>
          <w:tab w:val="left" w:pos="709"/>
        </w:tabs>
        <w:spacing w:before="240" w:line="276" w:lineRule="auto"/>
        <w:jc w:val="both"/>
        <w:rPr>
          <w:rFonts w:ascii="Verdana" w:hAnsi="Verdana" w:cs="Arial"/>
          <w:bCs/>
          <w:lang w:val="es-ES_tradnl"/>
        </w:rPr>
      </w:pPr>
      <w:r w:rsidRPr="004D4DED">
        <w:rPr>
          <w:rFonts w:ascii="Verdana" w:hAnsi="Verdana" w:cs="Arial"/>
          <w:bCs/>
          <w:lang w:val="es-ES_tradnl"/>
        </w:rPr>
        <w:tab/>
        <w:t xml:space="preserve">v) La contratación que deban realizar las entidades sanitarias y hospitalarias. </w:t>
      </w:r>
    </w:p>
    <w:p w14:paraId="75A1A157" w14:textId="77777777" w:rsidR="001F3B6A" w:rsidRPr="004D4DED" w:rsidRDefault="001F3B6A" w:rsidP="001F3B6A">
      <w:pPr>
        <w:tabs>
          <w:tab w:val="left" w:pos="426"/>
        </w:tabs>
        <w:spacing w:before="240" w:line="276" w:lineRule="auto"/>
        <w:ind w:firstLine="709"/>
        <w:jc w:val="both"/>
        <w:rPr>
          <w:rFonts w:ascii="Verdana" w:hAnsi="Verdana" w:cs="Arial"/>
          <w:bCs/>
          <w:lang w:val="es-ES_tradnl"/>
        </w:rPr>
      </w:pPr>
      <w:r w:rsidRPr="004D4DED">
        <w:rPr>
          <w:rFonts w:ascii="Verdana" w:hAnsi="Verdana" w:cs="Arial"/>
          <w:bCs/>
          <w:lang w:val="es-ES_tradnl"/>
        </w:rPr>
        <w:t xml:space="preserve">La Sala de Consulta y Servicio Civil del Consejo de Estado, en concepto del 4 de febrero de 2010, se pronunció frente a las razones por las que el legislador consagró excepciones al artículo 33 de la Ley de Garantías Electorales: </w:t>
      </w:r>
    </w:p>
    <w:p w14:paraId="54B7743A" w14:textId="77777777" w:rsidR="001F3B6A" w:rsidRPr="004D4DED" w:rsidRDefault="001F3B6A" w:rsidP="001F3B6A">
      <w:pPr>
        <w:shd w:val="clear" w:color="auto" w:fill="FFFFFF"/>
        <w:spacing w:before="240"/>
        <w:ind w:left="709" w:right="709"/>
        <w:jc w:val="both"/>
        <w:rPr>
          <w:rFonts w:ascii="Verdana" w:hAnsi="Verdana" w:cs="Arial"/>
          <w:sz w:val="21"/>
          <w:szCs w:val="21"/>
          <w:lang w:val="es-ES_tradnl" w:eastAsia="es-CO"/>
        </w:rPr>
      </w:pPr>
      <w:r w:rsidRPr="004D4DED">
        <w:rPr>
          <w:rFonts w:ascii="Verdana" w:hAnsi="Verdana" w:cs="Arial"/>
          <w:sz w:val="21"/>
          <w:szCs w:val="21"/>
          <w:lang w:val="es-ES_tradnl" w:eastAsia="es-CO"/>
        </w:rPr>
        <w:t xml:space="preserve">[…] Las excepciones establecidas en los artículos 32 y 33 en comento, guardan relación, exclusivamente, con algunos servicios públicos que </w:t>
      </w:r>
      <w:r w:rsidRPr="004D4DED">
        <w:rPr>
          <w:rFonts w:ascii="Verdana" w:hAnsi="Verdana" w:cs="Arial"/>
          <w:sz w:val="21"/>
          <w:szCs w:val="21"/>
          <w:lang w:val="es-ES_tradnl" w:eastAsia="es-CO"/>
        </w:rPr>
        <w:lastRenderedPageBreak/>
        <w:t>por su naturaleza no admiten postergaciones en la atención de sus necesidades de personal, bienes y servicios [...]</w:t>
      </w:r>
      <w:r w:rsidRPr="004D4DED">
        <w:rPr>
          <w:rStyle w:val="Refdenotaalpie"/>
          <w:rFonts w:ascii="Verdana" w:hAnsi="Verdana" w:cs="Arial"/>
          <w:sz w:val="21"/>
          <w:szCs w:val="21"/>
          <w:lang w:val="es-ES_tradnl" w:eastAsia="es-CO"/>
        </w:rPr>
        <w:footnoteReference w:id="20"/>
      </w:r>
      <w:r w:rsidRPr="004D4DED">
        <w:rPr>
          <w:rFonts w:ascii="Verdana" w:hAnsi="Verdana" w:cs="Arial"/>
          <w:sz w:val="21"/>
          <w:szCs w:val="21"/>
          <w:lang w:val="es-ES_tradnl" w:eastAsia="es-CO"/>
        </w:rPr>
        <w:t xml:space="preserve">. </w:t>
      </w:r>
    </w:p>
    <w:p w14:paraId="3B9AAAEF" w14:textId="0F928097" w:rsidR="00454DDE" w:rsidRPr="004D4DED" w:rsidRDefault="00454DDE" w:rsidP="033403DE">
      <w:pPr>
        <w:shd w:val="clear" w:color="auto" w:fill="FFFFFF" w:themeFill="background1"/>
        <w:spacing w:before="240" w:line="240" w:lineRule="auto"/>
        <w:ind w:left="709" w:right="709"/>
        <w:jc w:val="both"/>
        <w:rPr>
          <w:rFonts w:ascii="Verdana" w:hAnsi="Verdana" w:cs="Arial"/>
          <w:sz w:val="20"/>
          <w:szCs w:val="20"/>
          <w:lang w:val="es-ES" w:eastAsia="es-CO"/>
        </w:rPr>
      </w:pPr>
      <w:r w:rsidRPr="033403DE">
        <w:rPr>
          <w:rFonts w:ascii="Verdana" w:hAnsi="Verdana" w:cs="Arial"/>
          <w:sz w:val="20"/>
          <w:szCs w:val="20"/>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w:t>
      </w:r>
      <w:r w:rsidR="00B770EC" w:rsidRPr="033403DE">
        <w:rPr>
          <w:rFonts w:ascii="Verdana" w:hAnsi="Verdana" w:cs="Arial"/>
          <w:sz w:val="20"/>
          <w:szCs w:val="20"/>
          <w:lang w:val="es-ES" w:eastAsia="es-CO"/>
        </w:rPr>
        <w:t>la Corte Constitucional explicó que “las excepciones de limitación protegen diversos tipos de urgencias de defensa, salud, educación, infraestructura vial y de servicios públicos y ecológicas que tienden a no limitar desproporcionadamente la acción del Estado en el cumplimiento de sus fines, en procura de la igualdad entre candidatos como garantía electoral”</w:t>
      </w:r>
      <w:r w:rsidR="00B770EC" w:rsidRPr="033403DE">
        <w:rPr>
          <w:rStyle w:val="Refdenotaalpie"/>
          <w:rFonts w:ascii="Verdana" w:hAnsi="Verdana" w:cs="Arial"/>
          <w:sz w:val="20"/>
          <w:szCs w:val="20"/>
          <w:lang w:val="es-ES" w:eastAsia="es-CO"/>
        </w:rPr>
        <w:footnoteReference w:id="21"/>
      </w:r>
    </w:p>
    <w:p w14:paraId="23B18364" w14:textId="77777777" w:rsidR="001F3B6A" w:rsidRPr="004D4DED" w:rsidRDefault="001F3B6A" w:rsidP="001F3B6A">
      <w:pPr>
        <w:tabs>
          <w:tab w:val="left" w:pos="426"/>
        </w:tabs>
        <w:spacing w:before="240" w:line="276" w:lineRule="auto"/>
        <w:ind w:firstLine="709"/>
        <w:jc w:val="both"/>
        <w:rPr>
          <w:rFonts w:ascii="Verdana" w:hAnsi="Verdana" w:cs="Arial"/>
          <w:lang w:val="es-ES" w:eastAsia="es-ES"/>
        </w:rPr>
      </w:pPr>
      <w:r w:rsidRPr="004D4DED">
        <w:rPr>
          <w:rFonts w:ascii="Verdana" w:hAnsi="Verdana" w:cs="Arial"/>
          <w:lang w:val="es-ES"/>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De igual forma, la Sala de Consulta y Servicio Civil del Consejo de Estado, en concepto del 2 de septiembre de 2013, mencionó las excepciones a la prohibición del artículo 33 de la Ley de Garantías Electorales, resaltando el carácter taxativo de la regla de excepción referida, y señalando la independencia de los supuestos establecidos allí, así: </w:t>
      </w:r>
    </w:p>
    <w:p w14:paraId="6C0A4D3F" w14:textId="77777777" w:rsidR="001F3B6A" w:rsidRPr="004D4DED" w:rsidRDefault="001F3B6A" w:rsidP="001F3B6A">
      <w:pPr>
        <w:tabs>
          <w:tab w:val="left" w:pos="426"/>
        </w:tabs>
        <w:spacing w:before="240"/>
        <w:ind w:right="709"/>
        <w:jc w:val="both"/>
        <w:rPr>
          <w:rFonts w:ascii="Verdana" w:hAnsi="Verdana" w:cs="Arial"/>
          <w:sz w:val="21"/>
          <w:szCs w:val="21"/>
          <w:lang w:val="es-ES_tradnl"/>
        </w:rPr>
      </w:pPr>
      <w:r w:rsidRPr="004D4DED">
        <w:rPr>
          <w:rFonts w:ascii="Verdana" w:hAnsi="Verdana" w:cs="Arial"/>
          <w:sz w:val="21"/>
          <w:szCs w:val="21"/>
          <w:lang w:val="es-ES_tradnl"/>
        </w:rPr>
        <w:tab/>
      </w:r>
      <w:r w:rsidRPr="004D4DED">
        <w:rPr>
          <w:rFonts w:ascii="Verdana" w:hAnsi="Verdana" w:cs="Arial"/>
          <w:sz w:val="21"/>
          <w:szCs w:val="21"/>
          <w:lang w:val="es-ES_tradnl"/>
        </w:rPr>
        <w:tab/>
        <w:t>[…]</w:t>
      </w:r>
    </w:p>
    <w:p w14:paraId="62425362" w14:textId="77777777" w:rsidR="001F3B6A" w:rsidRPr="004D4DED" w:rsidRDefault="001F3B6A" w:rsidP="001F3B6A">
      <w:pPr>
        <w:spacing w:before="240"/>
        <w:ind w:left="709" w:right="709"/>
        <w:jc w:val="both"/>
        <w:rPr>
          <w:rFonts w:ascii="Verdana" w:hAnsi="Verdana" w:cs="Arial"/>
          <w:i/>
          <w:sz w:val="21"/>
          <w:szCs w:val="21"/>
          <w:lang w:val="es-ES_tradnl"/>
        </w:rPr>
      </w:pPr>
      <w:r w:rsidRPr="004D4DED">
        <w:rPr>
          <w:rFonts w:ascii="Verdana" w:hAnsi="Verdana" w:cs="Arial"/>
          <w:i/>
          <w:sz w:val="21"/>
          <w:szCs w:val="21"/>
          <w:lang w:val="es-ES_tradnl"/>
        </w:rPr>
        <w:t>Las excepciones aplicables a la restricción de contratación pública</w:t>
      </w:r>
    </w:p>
    <w:p w14:paraId="2585CD37" w14:textId="77777777" w:rsidR="001F3B6A" w:rsidRPr="004D4DED" w:rsidRDefault="001F3B6A" w:rsidP="001F3B6A">
      <w:pPr>
        <w:spacing w:before="240"/>
        <w:ind w:left="709" w:right="709"/>
        <w:jc w:val="both"/>
        <w:rPr>
          <w:rFonts w:ascii="Verdana" w:hAnsi="Verdana" w:cs="Arial"/>
          <w:sz w:val="21"/>
          <w:szCs w:val="21"/>
          <w:shd w:val="clear" w:color="auto" w:fill="FFFFFF"/>
          <w:lang w:val="es-ES_tradnl"/>
        </w:rPr>
      </w:pPr>
      <w:r w:rsidRPr="004D4DED">
        <w:rPr>
          <w:rFonts w:ascii="Verdana" w:hAnsi="Verdana" w:cs="Arial"/>
          <w:sz w:val="21"/>
          <w:szCs w:val="21"/>
          <w:shd w:val="clear" w:color="auto" w:fill="FFFFFF"/>
          <w:lang w:val="es-ES_tradnl"/>
        </w:rPr>
        <w:t>Ahora bien, las únicas excepciones a las disposiciones previstas en la Ley de Garantías se encuentran numeradas taxativamente en el último inciso del artículo 33 de la ley 996 de 2005, dentro de las que se encuentran:</w:t>
      </w:r>
    </w:p>
    <w:p w14:paraId="191E7F10" w14:textId="77777777" w:rsidR="001F3B6A" w:rsidRPr="004D4DED" w:rsidRDefault="001F3B6A" w:rsidP="001F3B6A">
      <w:pPr>
        <w:spacing w:before="240"/>
        <w:ind w:left="709" w:right="709"/>
        <w:jc w:val="both"/>
        <w:rPr>
          <w:rFonts w:ascii="Verdana" w:hAnsi="Verdana" w:cs="Arial"/>
          <w:sz w:val="21"/>
          <w:szCs w:val="21"/>
          <w:shd w:val="clear" w:color="auto" w:fill="FFFFFF"/>
          <w:lang w:val="es-ES_tradnl"/>
        </w:rPr>
      </w:pPr>
      <w:r w:rsidRPr="004D4DED">
        <w:rPr>
          <w:rFonts w:ascii="Verdana" w:hAnsi="Verdana" w:cs="Arial"/>
          <w:sz w:val="21"/>
          <w:szCs w:val="21"/>
          <w:shd w:val="clear" w:color="auto" w:fill="FFFFFF"/>
          <w:lang w:val="es-ES_tradnl"/>
        </w:rPr>
        <w:lastRenderedPageBreak/>
        <w:t xml:space="preserve">[…] </w:t>
      </w:r>
    </w:p>
    <w:p w14:paraId="41FD589D" w14:textId="77777777" w:rsidR="001F3B6A" w:rsidRPr="004D4DED" w:rsidRDefault="001F3B6A" w:rsidP="001F3B6A">
      <w:pPr>
        <w:spacing w:before="240"/>
        <w:ind w:left="709" w:right="709"/>
        <w:jc w:val="both"/>
        <w:rPr>
          <w:rFonts w:ascii="Verdana" w:hAnsi="Verdana" w:cs="Arial"/>
          <w:sz w:val="21"/>
          <w:szCs w:val="21"/>
          <w:shd w:val="clear" w:color="auto" w:fill="FFFFFF"/>
          <w:lang w:val="es-ES_tradnl"/>
        </w:rPr>
      </w:pPr>
      <w:r w:rsidRPr="004D4DED">
        <w:rPr>
          <w:rFonts w:ascii="Verdana" w:hAnsi="Verdana" w:cs="Arial"/>
          <w:sz w:val="21"/>
          <w:szCs w:val="21"/>
          <w:shd w:val="clear" w:color="auto" w:fill="FFFFFF"/>
          <w:lang w:val="es-ES_tradnl"/>
        </w:rPr>
        <w:t>5. Los que deban realizar las entidades sanitarias y hospitalarias […]</w:t>
      </w:r>
      <w:r w:rsidRPr="004D4DED">
        <w:rPr>
          <w:rStyle w:val="Refdenotaalpie"/>
          <w:rFonts w:ascii="Verdana" w:hAnsi="Verdana" w:cs="Arial"/>
          <w:sz w:val="21"/>
          <w:szCs w:val="21"/>
          <w:shd w:val="clear" w:color="auto" w:fill="FFFFFF"/>
          <w:lang w:val="es-ES_tradnl"/>
        </w:rPr>
        <w:footnoteReference w:id="22"/>
      </w:r>
      <w:r w:rsidRPr="004D4DED">
        <w:rPr>
          <w:rFonts w:ascii="Verdana" w:hAnsi="Verdana" w:cs="Arial"/>
          <w:sz w:val="21"/>
          <w:szCs w:val="21"/>
          <w:shd w:val="clear" w:color="auto" w:fill="FFFFFF"/>
          <w:lang w:val="es-ES_tradnl"/>
        </w:rPr>
        <w:t>.</w:t>
      </w:r>
    </w:p>
    <w:p w14:paraId="2F3D43AC" w14:textId="77777777" w:rsidR="001F3B6A" w:rsidRPr="004D4DED" w:rsidRDefault="001F3B6A" w:rsidP="001F3B6A">
      <w:pPr>
        <w:tabs>
          <w:tab w:val="left" w:pos="426"/>
        </w:tabs>
        <w:spacing w:before="240" w:line="276" w:lineRule="auto"/>
        <w:ind w:firstLine="709"/>
        <w:jc w:val="both"/>
        <w:rPr>
          <w:rFonts w:ascii="Verdana" w:hAnsi="Verdana" w:cs="Arial"/>
          <w:bCs/>
          <w:lang w:val="es-ES_tradnl"/>
        </w:rPr>
      </w:pPr>
      <w:r w:rsidRPr="004D4DED">
        <w:rPr>
          <w:rFonts w:ascii="Verdana" w:hAnsi="Verdana" w:cs="Arial"/>
          <w:bCs/>
          <w:lang w:val="es-ES_tradnl"/>
        </w:rPr>
        <w:t>Lo anterior implica que las excepciones al artículo 33 en comento deben interpretarse y aplicarse manera restrictiva. En otras palabras, que no sería factible hacer interpretaciones extensivas</w:t>
      </w:r>
      <w:r w:rsidRPr="004D4DED">
        <w:rPr>
          <w:rFonts w:ascii="Verdana" w:hAnsi="Verdana" w:cs="Arial"/>
          <w:bCs/>
          <w:i/>
          <w:iCs/>
          <w:lang w:val="es-ES_tradnl"/>
        </w:rPr>
        <w:t xml:space="preserve"> </w:t>
      </w:r>
      <w:r w:rsidRPr="004D4DED">
        <w:rPr>
          <w:rFonts w:ascii="Verdana" w:hAnsi="Verdana" w:cs="Arial"/>
          <w:bCs/>
          <w:lang w:val="es-ES_tradnl"/>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C59DFA5" w14:textId="0C64F7AB" w:rsidR="001F3B6A" w:rsidRPr="004D4DED" w:rsidRDefault="001F3B6A" w:rsidP="001F3B6A">
      <w:pPr>
        <w:tabs>
          <w:tab w:val="left" w:pos="426"/>
        </w:tabs>
        <w:spacing w:before="240" w:line="276" w:lineRule="auto"/>
        <w:ind w:firstLine="709"/>
        <w:jc w:val="both"/>
        <w:rPr>
          <w:rFonts w:ascii="Verdana" w:hAnsi="Verdana" w:cs="Arial"/>
          <w:bCs/>
          <w:lang w:val="es-ES_tradnl"/>
        </w:rPr>
      </w:pPr>
      <w:r w:rsidRPr="004D4DED">
        <w:rPr>
          <w:rFonts w:ascii="Verdana" w:hAnsi="Verdana" w:cs="Arial"/>
          <w:bCs/>
          <w:lang w:val="es-ES_tradnl"/>
        </w:rPr>
        <w:t xml:space="preserve">Para efectos de la consulta </w:t>
      </w:r>
      <w:r w:rsidR="00054B8F" w:rsidRPr="004D4DED">
        <w:rPr>
          <w:rFonts w:ascii="Verdana" w:hAnsi="Verdana" w:cs="Arial"/>
          <w:bCs/>
          <w:lang w:val="es-ES_tradnl"/>
        </w:rPr>
        <w:t xml:space="preserve">frente a los convenios para servicios de salud, </w:t>
      </w:r>
      <w:r w:rsidRPr="004D4DED">
        <w:rPr>
          <w:rFonts w:ascii="Verdana" w:hAnsi="Verdana" w:cs="Arial"/>
          <w:bCs/>
          <w:lang w:val="es-ES_tradnl"/>
        </w:rPr>
        <w:t>es relevante el quinto evento</w:t>
      </w:r>
      <w:r w:rsidRPr="004D4DED">
        <w:rPr>
          <w:rFonts w:ascii="Verdana" w:hAnsi="Verdana" w:cs="Arial"/>
          <w:bCs/>
          <w:i/>
          <w:lang w:val="es-ES_tradnl"/>
        </w:rPr>
        <w:t xml:space="preserve"> </w:t>
      </w:r>
      <w:r w:rsidRPr="004D4DED">
        <w:rPr>
          <w:rFonts w:ascii="Verdana" w:hAnsi="Verdana" w:cs="Arial"/>
          <w:bCs/>
          <w:iCs/>
          <w:lang w:val="es-ES_tradnl"/>
        </w:rPr>
        <w:t xml:space="preserve">exceptuado de la prohibición, relacionado con la contratación por parte de las </w:t>
      </w:r>
      <w:r w:rsidRPr="004D4DED">
        <w:rPr>
          <w:rFonts w:ascii="Verdana" w:hAnsi="Verdana" w:cs="Arial"/>
          <w:bCs/>
          <w:i/>
          <w:iCs/>
          <w:lang w:val="es-ES_tradnl"/>
        </w:rPr>
        <w:t>entidades sanitarias y hospitalarias</w:t>
      </w:r>
      <w:r w:rsidRPr="004D4DED">
        <w:rPr>
          <w:rFonts w:ascii="Verdana" w:hAnsi="Verdana" w:cs="Arial"/>
          <w:bCs/>
          <w:lang w:val="es-ES_tradnl"/>
        </w:rPr>
        <w:t xml:space="preserve">. La aplicación de esta excepción a la restricción impuesta como regla general por el primer inciso del artículo 33, permite que las entidades sanitarias y hospitalarias, ante la importancia de los servicios que prestan para el grueso de la ciudadanía, puedan seguir realizando las compras y adquisiciones que requieren para prestarlos, incluso de manera directa, durante los periodos prelectorales, con lo que se busca garantizar que el interés público no se vea afectado por el rigor de la regla general. </w:t>
      </w:r>
    </w:p>
    <w:p w14:paraId="7EE5A5B0" w14:textId="6FD3B43C" w:rsidR="001F3B6A" w:rsidRPr="004D4DED" w:rsidRDefault="001F3B6A" w:rsidP="001F3B6A">
      <w:pPr>
        <w:tabs>
          <w:tab w:val="left" w:pos="426"/>
        </w:tabs>
        <w:spacing w:before="240" w:line="276" w:lineRule="auto"/>
        <w:ind w:firstLine="709"/>
        <w:jc w:val="both"/>
        <w:rPr>
          <w:rFonts w:ascii="Verdana" w:eastAsia="Arial" w:hAnsi="Verdana" w:cs="Arial"/>
          <w:bCs/>
        </w:rPr>
      </w:pPr>
      <w:r w:rsidRPr="004D4DED">
        <w:rPr>
          <w:rFonts w:ascii="Verdana" w:hAnsi="Verdana" w:cs="Arial"/>
          <w:bCs/>
          <w:lang w:val="es-ES_tradnl"/>
        </w:rPr>
        <w:t xml:space="preserve">El alcance de esta excepción está determinado por la prestación de servicios sanitarios y hospitalarios, por lo que son las entidades públicas directamente encargadas de prestar estos servicios quienes estarían cobijadas por la excepción. </w:t>
      </w:r>
      <w:r w:rsidRPr="004D4DED">
        <w:rPr>
          <w:rFonts w:ascii="Verdana" w:eastAsia="Arial" w:hAnsi="Verdana" w:cs="Arial"/>
          <w:bCs/>
        </w:rPr>
        <w:t xml:space="preserve">Al respecto conviene diferenciar los conceptos de entidad sanitaria y autoridad sanitaria, ya que, en efecto, el artículo 2.8.8.1.1.3 del Decreto 780 de 2016, </w:t>
      </w:r>
      <w:r w:rsidR="00B770EC" w:rsidRPr="004D4DED">
        <w:rPr>
          <w:rFonts w:ascii="Verdana" w:eastAsia="Arial" w:hAnsi="Verdana" w:cs="Arial"/>
          <w:bCs/>
        </w:rPr>
        <w:t>“</w:t>
      </w:r>
      <w:r w:rsidRPr="004D4DED">
        <w:rPr>
          <w:rFonts w:ascii="Verdana" w:eastAsia="Arial" w:hAnsi="Verdana" w:cs="Arial"/>
          <w:bCs/>
        </w:rPr>
        <w:t>Por medio del cual se expide el Decreto Único Reglamentario del Sector Salud y Protección Social</w:t>
      </w:r>
      <w:r w:rsidR="00B770EC" w:rsidRPr="004D4DED">
        <w:rPr>
          <w:rFonts w:ascii="Verdana" w:eastAsia="Arial" w:hAnsi="Verdana" w:cs="Arial"/>
          <w:bCs/>
        </w:rPr>
        <w:t>”</w:t>
      </w:r>
      <w:r w:rsidRPr="004D4DED">
        <w:rPr>
          <w:rFonts w:ascii="Verdana" w:eastAsia="Arial" w:hAnsi="Verdana" w:cs="Arial"/>
          <w:bCs/>
        </w:rPr>
        <w:t xml:space="preserve">, define las </w:t>
      </w:r>
      <w:r w:rsidRPr="004D4DED">
        <w:rPr>
          <w:rFonts w:ascii="Verdana" w:eastAsia="Arial" w:hAnsi="Verdana" w:cs="Arial"/>
          <w:bCs/>
          <w:i/>
          <w:iCs/>
        </w:rPr>
        <w:t>entidades sanitarias</w:t>
      </w:r>
      <w:r w:rsidRPr="004D4DED">
        <w:rPr>
          <w:rFonts w:ascii="Verdana" w:eastAsia="Arial" w:hAnsi="Verdana" w:cs="Arial"/>
          <w:bCs/>
        </w:rPr>
        <w:t xml:space="preserve"> como </w:t>
      </w:r>
      <w:r w:rsidR="00B770EC" w:rsidRPr="004D4DED">
        <w:rPr>
          <w:rFonts w:ascii="Verdana" w:eastAsia="Arial" w:hAnsi="Verdana" w:cs="Arial"/>
          <w:bCs/>
        </w:rPr>
        <w:t>“</w:t>
      </w:r>
      <w:r w:rsidRPr="004D4DED">
        <w:rPr>
          <w:rFonts w:ascii="Verdana" w:eastAsia="Arial" w:hAnsi="Verdana" w:cs="Arial"/>
          <w:bCs/>
        </w:rPr>
        <w:t>Entidades del Estado que prestan servicios sanitarios o de sanidad con el propósito de preservar la salud humana y la salud pública</w:t>
      </w:r>
      <w:r w:rsidR="00B770EC" w:rsidRPr="004D4DED">
        <w:rPr>
          <w:rFonts w:ascii="Verdana" w:eastAsia="Arial" w:hAnsi="Verdana" w:cs="Arial"/>
          <w:bCs/>
        </w:rPr>
        <w:t>”</w:t>
      </w:r>
      <w:r w:rsidRPr="004D4DED">
        <w:rPr>
          <w:rFonts w:ascii="Verdana" w:eastAsia="Arial" w:hAnsi="Verdana" w:cs="Arial"/>
          <w:bCs/>
        </w:rPr>
        <w:t xml:space="preserve">, mientras que a las </w:t>
      </w:r>
      <w:r w:rsidRPr="004D4DED">
        <w:rPr>
          <w:rFonts w:ascii="Verdana" w:eastAsia="Arial" w:hAnsi="Verdana" w:cs="Arial"/>
          <w:bCs/>
          <w:i/>
          <w:iCs/>
        </w:rPr>
        <w:t>autoridades sanitarias</w:t>
      </w:r>
      <w:r w:rsidRPr="004D4DED">
        <w:rPr>
          <w:rFonts w:ascii="Verdana" w:eastAsia="Arial" w:hAnsi="Verdana" w:cs="Arial"/>
          <w:bCs/>
        </w:rPr>
        <w:t xml:space="preserve"> como </w:t>
      </w:r>
      <w:r w:rsidR="00B770EC" w:rsidRPr="004D4DED">
        <w:rPr>
          <w:rFonts w:ascii="Verdana" w:eastAsia="Arial" w:hAnsi="Verdana" w:cs="Arial"/>
          <w:bCs/>
        </w:rPr>
        <w:t>“</w:t>
      </w:r>
      <w:r w:rsidRPr="004D4DED">
        <w:rPr>
          <w:rFonts w:ascii="Verdana" w:eastAsia="Arial" w:hAnsi="Verdana" w:cs="Arial"/>
          <w:bCs/>
        </w:rPr>
        <w:t xml:space="preserve">Entidades jurídicas de carácter </w:t>
      </w:r>
      <w:r w:rsidRPr="004D4DED">
        <w:rPr>
          <w:rFonts w:ascii="Verdana" w:eastAsia="Arial" w:hAnsi="Verdana" w:cs="Arial"/>
          <w:bCs/>
        </w:rPr>
        <w:lastRenderedPageBreak/>
        <w:t>público con atribuciones para ejercer funciones de rectoría, regulación, inspección, vigilancia y control de los sectores público y privado en salud y adoptar medidas de prevención y seguimiento que garanticen la protección de la salud pública</w:t>
      </w:r>
      <w:r w:rsidR="00054B8F" w:rsidRPr="004D4DED">
        <w:rPr>
          <w:rFonts w:ascii="Verdana" w:eastAsia="Arial" w:hAnsi="Verdana" w:cs="Arial"/>
          <w:bCs/>
        </w:rPr>
        <w:t>”</w:t>
      </w:r>
      <w:r w:rsidRPr="004D4DED">
        <w:rPr>
          <w:rStyle w:val="Refdenotaalpie"/>
          <w:rFonts w:ascii="Verdana" w:eastAsia="Arial" w:hAnsi="Verdana" w:cs="Arial"/>
          <w:bCs/>
        </w:rPr>
        <w:footnoteReference w:id="23"/>
      </w:r>
      <w:r w:rsidRPr="004D4DED">
        <w:rPr>
          <w:rFonts w:ascii="Verdana" w:eastAsia="Arial" w:hAnsi="Verdana" w:cs="Arial"/>
          <w:bCs/>
        </w:rPr>
        <w:t>.</w:t>
      </w:r>
    </w:p>
    <w:p w14:paraId="4B124E98" w14:textId="77777777" w:rsidR="001F3B6A" w:rsidRPr="004D4DED" w:rsidRDefault="001F3B6A" w:rsidP="001F3B6A">
      <w:pPr>
        <w:tabs>
          <w:tab w:val="left" w:pos="426"/>
        </w:tabs>
        <w:spacing w:before="240" w:line="276" w:lineRule="auto"/>
        <w:ind w:firstLine="709"/>
        <w:jc w:val="both"/>
        <w:rPr>
          <w:rFonts w:ascii="Verdana" w:eastAsia="Arial" w:hAnsi="Verdana" w:cs="Arial"/>
          <w:bCs/>
          <w:lang w:val="es-ES_tradnl"/>
        </w:rPr>
      </w:pPr>
      <w:r w:rsidRPr="004D4DED">
        <w:rPr>
          <w:rFonts w:ascii="Verdana" w:eastAsia="Arial" w:hAnsi="Verdana" w:cs="Arial"/>
          <w:bCs/>
        </w:rPr>
        <w:t xml:space="preserve">Vistas las anteriores definiciones, es necesario tener en cuenta que la excepción del artículo 33 de la Ley de Garantías solo aplica a las </w:t>
      </w:r>
      <w:r w:rsidRPr="004D4DED">
        <w:rPr>
          <w:rFonts w:ascii="Verdana" w:eastAsia="Arial" w:hAnsi="Verdana" w:cs="Arial"/>
          <w:bCs/>
          <w:i/>
          <w:iCs/>
        </w:rPr>
        <w:t>entidades sanitarias</w:t>
      </w:r>
      <w:r w:rsidRPr="004D4DED">
        <w:rPr>
          <w:rFonts w:ascii="Verdana" w:eastAsia="Arial" w:hAnsi="Verdana" w:cs="Arial"/>
          <w:bCs/>
        </w:rPr>
        <w:t xml:space="preserve">, no a las </w:t>
      </w:r>
      <w:r w:rsidRPr="004D4DED">
        <w:rPr>
          <w:rFonts w:ascii="Verdana" w:eastAsia="Arial" w:hAnsi="Verdana" w:cs="Arial"/>
          <w:bCs/>
          <w:i/>
          <w:iCs/>
        </w:rPr>
        <w:t>autoridades sanitarias</w:t>
      </w:r>
      <w:r w:rsidRPr="004D4DED">
        <w:rPr>
          <w:rFonts w:ascii="Verdana" w:eastAsia="Arial" w:hAnsi="Verdana" w:cs="Arial"/>
          <w:bCs/>
        </w:rPr>
        <w:t>. Esto por cuanto,</w:t>
      </w:r>
      <w:r w:rsidRPr="004D4DED">
        <w:rPr>
          <w:rFonts w:ascii="Verdana" w:eastAsia="Arial" w:hAnsi="Verdana" w:cs="Arial"/>
          <w:bCs/>
          <w:lang w:val="es-ES_tradnl"/>
        </w:rPr>
        <w:t xml:space="preserve"> para efectos de la excepción del artículo 33 es indiferente que la entidad estatal tenga funciones de </w:t>
      </w:r>
      <w:r w:rsidRPr="004D4DED">
        <w:rPr>
          <w:rFonts w:ascii="Verdana" w:eastAsia="Arial" w:hAnsi="Verdana" w:cs="Arial"/>
          <w:bCs/>
          <w:i/>
          <w:iCs/>
          <w:lang w:val="es-ES_tradnl"/>
        </w:rPr>
        <w:t>autoridad sanitaria</w:t>
      </w:r>
      <w:r w:rsidRPr="004D4DED">
        <w:rPr>
          <w:rFonts w:ascii="Verdana" w:eastAsia="Arial" w:hAnsi="Verdana" w:cs="Arial"/>
          <w:bCs/>
          <w:lang w:val="es-ES_tradnl"/>
        </w:rPr>
        <w:t xml:space="preserve">, pues lo relevante para determinar si la contratación está exceptuada de la prohibición general no es el carácter de autoridad sanitaria, sino que se trate de una </w:t>
      </w:r>
      <w:r w:rsidRPr="004D4DED">
        <w:rPr>
          <w:rFonts w:ascii="Verdana" w:eastAsia="Arial" w:hAnsi="Verdana" w:cs="Arial"/>
          <w:bCs/>
          <w:i/>
          <w:iCs/>
          <w:lang w:val="es-ES_tradnl"/>
        </w:rPr>
        <w:t>entidad sanitaria</w:t>
      </w:r>
      <w:r w:rsidRPr="004D4DED">
        <w:rPr>
          <w:rFonts w:ascii="Verdana" w:eastAsia="Arial" w:hAnsi="Verdana" w:cs="Arial"/>
          <w:bCs/>
          <w:lang w:val="es-ES_tradnl"/>
        </w:rPr>
        <w:t xml:space="preserve">. </w:t>
      </w:r>
    </w:p>
    <w:p w14:paraId="185DE83A" w14:textId="77777777" w:rsidR="001F3B6A" w:rsidRPr="004D4DED" w:rsidRDefault="001F3B6A" w:rsidP="001F3B6A">
      <w:pPr>
        <w:tabs>
          <w:tab w:val="left" w:pos="426"/>
        </w:tabs>
        <w:spacing w:before="240" w:line="276" w:lineRule="auto"/>
        <w:jc w:val="both"/>
        <w:rPr>
          <w:rFonts w:ascii="Verdana" w:eastAsia="Calibri" w:hAnsi="Verdana" w:cs="Arial"/>
        </w:rPr>
      </w:pPr>
      <w:r w:rsidRPr="004D4DED">
        <w:rPr>
          <w:rFonts w:ascii="Verdana" w:eastAsia="Calibri" w:hAnsi="Verdana" w:cs="Arial"/>
        </w:rPr>
        <w:tab/>
      </w:r>
      <w:r w:rsidRPr="004D4DED">
        <w:rPr>
          <w:rFonts w:ascii="Verdana" w:eastAsia="Calibri" w:hAnsi="Verdana" w:cs="Arial"/>
        </w:rPr>
        <w:tab/>
        <w:t>De acuerdo con esto, esta Agencia ha explicado que entidades como las Empresas Sociales del Estado se encuentran cobijadas por la excepción en comento, en la medida en que por expresa disposición de la ley son entidades encargadas de la prestación de servicios de salud</w:t>
      </w:r>
      <w:r w:rsidRPr="004D4DED">
        <w:rPr>
          <w:rStyle w:val="Refdenotaalpie"/>
          <w:rFonts w:ascii="Verdana" w:eastAsia="Calibri" w:hAnsi="Verdana" w:cs="Arial"/>
        </w:rPr>
        <w:footnoteReference w:id="24"/>
      </w:r>
      <w:r w:rsidRPr="004D4DED">
        <w:rPr>
          <w:rFonts w:ascii="Verdana" w:eastAsia="Calibri" w:hAnsi="Verdana" w:cs="Arial"/>
        </w:rPr>
        <w:t xml:space="preserve">, lo que las ubica dentro de la referida noción de entidad sanitaria. Por el contrario, </w:t>
      </w:r>
      <w:r w:rsidRPr="004D4DED">
        <w:rPr>
          <w:rFonts w:ascii="Verdana" w:eastAsia="Arial" w:hAnsi="Verdana" w:cs="Arial"/>
          <w:bCs/>
        </w:rPr>
        <w:t xml:space="preserve">respecto de los entes territoriales se ha reconocido que, a pesar de jugar un papel importante en la materia a través de sus secretarías de salud, no prestan un servicio directo, sino que coordinan las políticas de esta naturaleza desde un punto de vista </w:t>
      </w:r>
      <w:r w:rsidRPr="004D4DED">
        <w:rPr>
          <w:rFonts w:ascii="Verdana" w:eastAsia="Arial" w:hAnsi="Verdana" w:cs="Arial"/>
          <w:bCs/>
        </w:rPr>
        <w:lastRenderedPageBreak/>
        <w:t>administrativo para efectos del control y vigilancia, por lo que no se encuentran cobijados por la excepción</w:t>
      </w:r>
      <w:r w:rsidRPr="004D4DED">
        <w:rPr>
          <w:rStyle w:val="Refdenotaalpie"/>
          <w:rFonts w:ascii="Verdana" w:eastAsia="Arial" w:hAnsi="Verdana" w:cs="Arial"/>
          <w:bCs/>
        </w:rPr>
        <w:footnoteReference w:id="25"/>
      </w:r>
      <w:r w:rsidRPr="004D4DED">
        <w:rPr>
          <w:rFonts w:ascii="Verdana" w:eastAsia="Arial" w:hAnsi="Verdana" w:cs="Arial"/>
          <w:bCs/>
        </w:rPr>
        <w:t xml:space="preserve">. </w:t>
      </w:r>
    </w:p>
    <w:p w14:paraId="2BBCB44D" w14:textId="351B0C31" w:rsidR="001F3B6A" w:rsidRPr="004D4DED" w:rsidRDefault="001F3B6A" w:rsidP="00B770EC">
      <w:pPr>
        <w:tabs>
          <w:tab w:val="left" w:pos="426"/>
        </w:tabs>
        <w:spacing w:before="240" w:line="276" w:lineRule="auto"/>
        <w:jc w:val="both"/>
        <w:rPr>
          <w:rFonts w:ascii="Verdana" w:hAnsi="Verdana" w:cs="Arial"/>
          <w:lang w:val="es-ES" w:eastAsia="es-CO"/>
        </w:rPr>
      </w:pPr>
      <w:r w:rsidRPr="004D4DED">
        <w:rPr>
          <w:rFonts w:ascii="Verdana" w:eastAsia="Calibri" w:hAnsi="Verdana" w:cs="Arial"/>
        </w:rPr>
        <w:tab/>
      </w:r>
      <w:r w:rsidRPr="004D4DED">
        <w:rPr>
          <w:rFonts w:ascii="Verdana" w:eastAsia="Calibri" w:hAnsi="Verdana" w:cs="Arial"/>
        </w:rPr>
        <w:tab/>
      </w:r>
      <w:r w:rsidR="004A159B" w:rsidRPr="004D4DED">
        <w:rPr>
          <w:rFonts w:ascii="Verdana" w:eastAsia="Calibri" w:hAnsi="Verdana" w:cs="Arial"/>
        </w:rPr>
        <w:t xml:space="preserve">Para establecer la precisión sobre lo consultado respecto de los convenios para servicios de salud, </w:t>
      </w:r>
      <w:r w:rsidR="004A159B" w:rsidRPr="004D4DED">
        <w:rPr>
          <w:rFonts w:ascii="Verdana" w:hAnsi="Verdana" w:cs="Arial"/>
          <w:lang w:val="es-ES"/>
        </w:rPr>
        <w:t>e</w:t>
      </w:r>
      <w:r w:rsidR="00054B8F" w:rsidRPr="004D4DED">
        <w:rPr>
          <w:rFonts w:ascii="Verdana" w:hAnsi="Verdana" w:cs="Arial"/>
          <w:lang w:val="es-ES"/>
        </w:rPr>
        <w:t>s</w:t>
      </w:r>
      <w:r w:rsidRPr="004D4DED">
        <w:rPr>
          <w:rFonts w:ascii="Verdana" w:hAnsi="Verdana" w:cs="Arial"/>
          <w:lang w:val="es-ES"/>
        </w:rPr>
        <w:t xml:space="preserve"> importante advertir que</w:t>
      </w:r>
      <w:r w:rsidRPr="004D4DED">
        <w:rPr>
          <w:rFonts w:ascii="Verdana" w:hAnsi="Verdana" w:cs="Arial"/>
          <w:lang w:val="es-ES" w:eastAsia="es-CO"/>
        </w:rPr>
        <w:t xml:space="preserve">, corresponde a cada entidad estatal realizar el correspondiente análisis para determinar si aplica o no una determinada excepción de acuerdo con la situación fáctica y jurídica particular del caso concreto, para lo cual las consideraciones expuestas en el presente concepto constituyen un instrumento orientador. </w:t>
      </w:r>
      <w:r w:rsidR="00C30ACB" w:rsidRPr="004D4DED">
        <w:rPr>
          <w:rFonts w:ascii="Verdana" w:hAnsi="Verdana" w:cs="Arial"/>
          <w:lang w:val="es-ES" w:eastAsia="es-CO"/>
        </w:rPr>
        <w:t>De ser</w:t>
      </w:r>
      <w:r w:rsidRPr="004D4DED">
        <w:rPr>
          <w:rFonts w:ascii="Verdana" w:hAnsi="Verdana" w:cs="Arial"/>
          <w:lang w:val="es-ES" w:eastAsia="es-CO"/>
        </w:rPr>
        <w:t xml:space="preserve"> es procedente la excepción, podrá la entidad realizar la contratación directa justificando las razones que avalan su procedencia. Por el contrario, si el estudio determina que no aplica excepción alguna estará vedada la celebración de contratos de manera directa, sin perjuicio de la posibilidad aplicar modalidades competitivas, las cuales no se encuentran restringidas por el artículo 33 de la Ley 996 de 2005, que, según lo explicado, solo restringe procesos de selección sin pluralidad de oferentes. Lo anterior, sin perjuicio de la prohibición establecida en el parágrafo del artículo 38 de la Ley de Garantías Electorales, que procede a analizarse.</w:t>
      </w:r>
      <w:bookmarkStart w:id="18" w:name="_Hlk77153296"/>
      <w:bookmarkStart w:id="19" w:name="_Hlk75643279"/>
      <w:bookmarkEnd w:id="16"/>
      <w:bookmarkEnd w:id="17"/>
    </w:p>
    <w:p w14:paraId="015DBEC0" w14:textId="702A0D29" w:rsidR="001F3B6A" w:rsidRPr="004D4DED" w:rsidRDefault="00054B8F" w:rsidP="00295C51">
      <w:pPr>
        <w:spacing w:before="240" w:line="276" w:lineRule="auto"/>
        <w:ind w:firstLine="708"/>
        <w:jc w:val="both"/>
        <w:rPr>
          <w:rFonts w:ascii="Verdana" w:eastAsia="Calibri" w:hAnsi="Verdana" w:cs="Arial"/>
          <w:bCs/>
        </w:rPr>
      </w:pPr>
      <w:bookmarkStart w:id="20" w:name="_Hlk99720150"/>
      <w:bookmarkEnd w:id="18"/>
      <w:bookmarkEnd w:id="19"/>
      <w:r w:rsidRPr="004D4DED">
        <w:rPr>
          <w:rFonts w:ascii="Verdana" w:eastAsia="Calibri" w:hAnsi="Verdana" w:cs="Arial"/>
          <w:bCs/>
        </w:rPr>
        <w:t>Ahora bien, para determinar el alcance de convenios y contratos interadministrativos y abor</w:t>
      </w:r>
      <w:r w:rsidR="00295C51" w:rsidRPr="004D4DED">
        <w:rPr>
          <w:rFonts w:ascii="Verdana" w:eastAsia="Calibri" w:hAnsi="Verdana" w:cs="Arial"/>
          <w:bCs/>
        </w:rPr>
        <w:t xml:space="preserve">dar lo </w:t>
      </w:r>
      <w:r w:rsidRPr="004D4DED">
        <w:rPr>
          <w:rFonts w:ascii="Verdana" w:eastAsia="Calibri" w:hAnsi="Verdana" w:cs="Arial"/>
          <w:bCs/>
        </w:rPr>
        <w:t xml:space="preserve"> correspondiente a los c</w:t>
      </w:r>
      <w:r w:rsidR="00295C51" w:rsidRPr="004D4DED">
        <w:rPr>
          <w:rFonts w:ascii="Verdana" w:eastAsia="Calibri" w:hAnsi="Verdana" w:cs="Arial"/>
          <w:bCs/>
        </w:rPr>
        <w:t>onvenios solidarios, es necesario referirse al</w:t>
      </w:r>
      <w:r w:rsidR="001F3B6A" w:rsidRPr="004D4DED">
        <w:rPr>
          <w:rFonts w:ascii="Verdana" w:eastAsia="Calibri" w:hAnsi="Verdana" w:cs="Arial"/>
          <w:bCs/>
        </w:rPr>
        <w:t xml:space="preserve"> parágrafo del artículo 38 de la Ley 996 de 2005 dispone que </w:t>
      </w:r>
      <w:r w:rsidR="00B770EC" w:rsidRPr="004D4DED">
        <w:rPr>
          <w:rFonts w:ascii="Verdana" w:eastAsia="Calibri" w:hAnsi="Verdana" w:cs="Arial"/>
          <w:bCs/>
        </w:rPr>
        <w:t>“l</w:t>
      </w:r>
      <w:r w:rsidR="001F3B6A" w:rsidRPr="004D4DED">
        <w:rPr>
          <w:rFonts w:ascii="Verdana" w:eastAsia="Calibri" w:hAnsi="Verdana" w:cs="Arial"/>
          <w:bCs/>
        </w:rPr>
        <w:t>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00B770EC" w:rsidRPr="004D4DED">
        <w:rPr>
          <w:rFonts w:ascii="Verdana" w:eastAsia="Calibri" w:hAnsi="Verdana" w:cs="Arial"/>
          <w:bCs/>
        </w:rPr>
        <w:t>”</w:t>
      </w:r>
      <w:r w:rsidR="001F3B6A" w:rsidRPr="004D4DED">
        <w:rPr>
          <w:rFonts w:ascii="Verdana" w:eastAsia="Calibri" w:hAnsi="Verdana" w:cs="Arial"/>
          <w:bCs/>
        </w:rPr>
        <w:t>.</w:t>
      </w:r>
      <w:r w:rsidR="001F3B6A" w:rsidRPr="004D4DED">
        <w:rPr>
          <w:rFonts w:ascii="Verdana" w:hAnsi="Verdana" w:cs="Arial"/>
          <w:bCs/>
          <w:iCs/>
          <w:lang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001F3B6A" w:rsidRPr="004D4DED">
        <w:rPr>
          <w:rStyle w:val="Refdenotaalpie"/>
          <w:rFonts w:ascii="Verdana" w:hAnsi="Verdana" w:cs="Arial"/>
          <w:bCs/>
          <w:iCs/>
          <w:lang w:eastAsia="x-none"/>
        </w:rPr>
        <w:footnoteReference w:id="26"/>
      </w:r>
      <w:r w:rsidR="001F3B6A" w:rsidRPr="004D4DED">
        <w:rPr>
          <w:rFonts w:ascii="Verdana" w:hAnsi="Verdana" w:cs="Arial"/>
          <w:bCs/>
          <w:iCs/>
          <w:lang w:eastAsia="x-none"/>
        </w:rPr>
        <w:t>.</w:t>
      </w:r>
      <w:r w:rsidR="001F3B6A" w:rsidRPr="004D4DED">
        <w:rPr>
          <w:rFonts w:ascii="Verdana" w:hAnsi="Verdana" w:cs="Arial"/>
        </w:rPr>
        <w:t xml:space="preserve"> </w:t>
      </w:r>
    </w:p>
    <w:p w14:paraId="046B77E3" w14:textId="750AC754" w:rsidR="001F3B6A" w:rsidRPr="004D4DED" w:rsidRDefault="00FF311D" w:rsidP="001F3B6A">
      <w:pPr>
        <w:pStyle w:val="Textoindependiente"/>
        <w:spacing w:before="240" w:after="0" w:line="276" w:lineRule="auto"/>
        <w:ind w:firstLine="709"/>
        <w:jc w:val="both"/>
        <w:rPr>
          <w:rFonts w:ascii="Verdana" w:hAnsi="Verdana" w:cs="Arial"/>
        </w:rPr>
      </w:pPr>
      <w:bookmarkStart w:id="21" w:name="_Hlk78820161"/>
      <w:r w:rsidRPr="004D4DED">
        <w:rPr>
          <w:rFonts w:ascii="Verdana" w:eastAsia="Calibri" w:hAnsi="Verdana" w:cs="Arial"/>
          <w:bCs/>
        </w:rPr>
        <w:lastRenderedPageBreak/>
        <w:t xml:space="preserve">Seguidamente, </w:t>
      </w:r>
      <w:r w:rsidR="001F3B6A" w:rsidRPr="004D4DED">
        <w:rPr>
          <w:rFonts w:ascii="Verdana" w:eastAsia="Calibri" w:hAnsi="Verdana" w:cs="Arial"/>
          <w:bCs/>
        </w:rPr>
        <w:t xml:space="preserve">para determinar el alcance de la prohibición consagrada por la Ley de Garantías Electorales, conviene precisar la tipología de convenios o contratos interadministrativos. </w:t>
      </w:r>
      <w:r w:rsidR="001F3B6A" w:rsidRPr="004D4DED">
        <w:rPr>
          <w:rFonts w:ascii="Verdana" w:hAnsi="Verdana" w:cs="Arial"/>
        </w:rPr>
        <w:t>Aunque la ley no la definió ni desarrolló, el Decreto 1082 de 2015 califica a los convenios o contratos interadministrativos como aquella contratación entre entidades estatales</w:t>
      </w:r>
      <w:r w:rsidR="001F3B6A" w:rsidRPr="004D4DED">
        <w:rPr>
          <w:rStyle w:val="Refdenotaalpie"/>
          <w:rFonts w:ascii="Verdana" w:hAnsi="Verdana" w:cs="Arial"/>
        </w:rPr>
        <w:footnoteReference w:id="27"/>
      </w:r>
      <w:r w:rsidR="001F3B6A" w:rsidRPr="004D4DED">
        <w:rPr>
          <w:rFonts w:ascii="Verdana" w:hAnsi="Verdana" w:cs="Arial"/>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001F3B6A" w:rsidRPr="004D4DED">
        <w:rPr>
          <w:rFonts w:ascii="Verdana" w:hAnsi="Verdana" w:cs="Arial"/>
          <w:spacing w:val="-6"/>
        </w:rPr>
        <w:t xml:space="preserve"> </w:t>
      </w:r>
      <w:r w:rsidR="001F3B6A" w:rsidRPr="004D4DED">
        <w:rPr>
          <w:rFonts w:ascii="Verdana" w:hAnsi="Verdana" w:cs="Arial"/>
        </w:rPr>
        <w:t>estatales.</w:t>
      </w:r>
    </w:p>
    <w:p w14:paraId="29E2F26B" w14:textId="77777777" w:rsidR="001F3B6A" w:rsidRPr="004D4DED" w:rsidRDefault="001F3B6A" w:rsidP="001F3B6A">
      <w:pPr>
        <w:pStyle w:val="Textoindependiente"/>
        <w:spacing w:before="240" w:after="0" w:line="276" w:lineRule="auto"/>
        <w:ind w:firstLine="709"/>
        <w:jc w:val="both"/>
        <w:rPr>
          <w:rFonts w:ascii="Verdana" w:hAnsi="Verdana" w:cs="Arial"/>
        </w:rPr>
      </w:pPr>
      <w:bookmarkStart w:id="22" w:name="_Hlk78820654"/>
      <w:bookmarkEnd w:id="21"/>
      <w:r w:rsidRPr="004D4DED">
        <w:rPr>
          <w:rFonts w:ascii="Verdana" w:hAnsi="Verdana" w:cs="Arial"/>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w:t>
      </w:r>
    </w:p>
    <w:bookmarkEnd w:id="22"/>
    <w:p w14:paraId="027AC5A1" w14:textId="77777777" w:rsidR="001F3B6A" w:rsidRPr="004D4DED" w:rsidRDefault="001F3B6A" w:rsidP="001F3B6A">
      <w:pPr>
        <w:pStyle w:val="Textoindependiente"/>
        <w:spacing w:before="240" w:after="0" w:line="276" w:lineRule="auto"/>
        <w:ind w:firstLine="709"/>
        <w:jc w:val="both"/>
        <w:rPr>
          <w:rFonts w:ascii="Verdana" w:hAnsi="Verdana" w:cs="Arial"/>
        </w:rPr>
      </w:pPr>
      <w:r w:rsidRPr="004D4DED">
        <w:rPr>
          <w:rFonts w:ascii="Verdana" w:hAnsi="Verdana" w:cs="Aria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4D4DED">
        <w:rPr>
          <w:rStyle w:val="Refdenotaalpie"/>
          <w:rFonts w:ascii="Verdana" w:hAnsi="Verdana" w:cs="Arial"/>
        </w:rPr>
        <w:footnoteReference w:id="28"/>
      </w:r>
      <w:r w:rsidRPr="004D4DED">
        <w:rPr>
          <w:rFonts w:ascii="Verdana" w:hAnsi="Verdana" w:cs="Arial"/>
        </w:rPr>
        <w:t xml:space="preserve">. </w:t>
      </w:r>
      <w:r w:rsidRPr="004D4DED">
        <w:rPr>
          <w:rFonts w:ascii="Verdana" w:hAnsi="Verdana" w:cs="Arial"/>
        </w:rPr>
        <w:lastRenderedPageBreak/>
        <w:t>Nótese que, en este caso, lo que cambia es la modalidad de selección y no la naturaleza de contrato</w:t>
      </w:r>
      <w:r w:rsidRPr="004D4DED">
        <w:rPr>
          <w:rFonts w:ascii="Verdana" w:hAnsi="Verdana" w:cs="Arial"/>
          <w:spacing w:val="-18"/>
        </w:rPr>
        <w:t xml:space="preserve"> </w:t>
      </w:r>
      <w:r w:rsidRPr="004D4DED">
        <w:rPr>
          <w:rFonts w:ascii="Verdana" w:hAnsi="Verdana" w:cs="Arial"/>
        </w:rPr>
        <w:t>interadministrativo.</w:t>
      </w:r>
    </w:p>
    <w:p w14:paraId="3AFC6201" w14:textId="5F0820FF" w:rsidR="001F3B6A" w:rsidRPr="004D4DED" w:rsidRDefault="001F3B6A" w:rsidP="001F3B6A">
      <w:pPr>
        <w:pStyle w:val="Textoindependiente"/>
        <w:spacing w:before="240" w:after="0" w:line="276" w:lineRule="auto"/>
        <w:ind w:firstLine="709"/>
        <w:jc w:val="both"/>
        <w:rPr>
          <w:rFonts w:ascii="Verdana" w:hAnsi="Verdana" w:cs="Arial"/>
        </w:rPr>
      </w:pPr>
      <w:r w:rsidRPr="004D4DED">
        <w:rPr>
          <w:rFonts w:ascii="Verdana" w:hAnsi="Verdana" w:cs="Arial"/>
        </w:rPr>
        <w:t xml:space="preserve">La Corte Constitucional expresó en la Sentencia C–671 de 2015 que </w:t>
      </w:r>
      <w:r w:rsidR="00385430" w:rsidRPr="004D4DED">
        <w:rPr>
          <w:rFonts w:ascii="Verdana" w:hAnsi="Verdana" w:cs="Arial"/>
        </w:rPr>
        <w:t>“</w:t>
      </w:r>
      <w:r w:rsidRPr="004D4DED">
        <w:rPr>
          <w:rFonts w:ascii="Verdana" w:hAnsi="Verdana" w:cs="Arial"/>
        </w:rPr>
        <w:t>Lo que hace interadministrativo a un contrato o convenio no es el procedimiento de selección aplicable, sino la calidad de los sujetos contratantes, esto es que las dos partes de la relación jurídica contractual formen parte de la administración pública</w:t>
      </w:r>
      <w:r w:rsidR="00C30ACB" w:rsidRPr="004D4DED">
        <w:rPr>
          <w:rFonts w:ascii="Verdana" w:hAnsi="Verdana" w:cs="Arial"/>
        </w:rPr>
        <w:t>”</w:t>
      </w:r>
      <w:r w:rsidRPr="004D4DED">
        <w:rPr>
          <w:rFonts w:ascii="Verdana" w:hAnsi="Verdana" w:cs="Arial"/>
        </w:rPr>
        <w:t>.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w:t>
      </w:r>
      <w:r w:rsidRPr="004D4DED">
        <w:rPr>
          <w:rFonts w:ascii="Verdana" w:hAnsi="Verdana" w:cs="Arial"/>
          <w:spacing w:val="-13"/>
        </w:rPr>
        <w:t xml:space="preserve"> </w:t>
      </w:r>
      <w:r w:rsidRPr="004D4DED">
        <w:rPr>
          <w:rFonts w:ascii="Verdana" w:hAnsi="Verdana" w:cs="Arial"/>
        </w:rPr>
        <w:t>que:</w:t>
      </w:r>
    </w:p>
    <w:p w14:paraId="7F489E82" w14:textId="77777777" w:rsidR="001F3B6A" w:rsidRPr="004D4DED" w:rsidRDefault="001F3B6A" w:rsidP="00385430">
      <w:pPr>
        <w:spacing w:before="240" w:line="240" w:lineRule="auto"/>
        <w:ind w:left="709" w:right="709"/>
        <w:jc w:val="both"/>
        <w:rPr>
          <w:rFonts w:ascii="Verdana" w:hAnsi="Verdana" w:cs="Arial"/>
          <w:sz w:val="20"/>
          <w:szCs w:val="20"/>
        </w:rPr>
      </w:pPr>
      <w:r w:rsidRPr="004D4DED">
        <w:rPr>
          <w:rFonts w:ascii="Verdana" w:hAnsi="Verdana" w:cs="Arial"/>
          <w:sz w:val="20"/>
          <w:szCs w:val="20"/>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4D4DED">
        <w:rPr>
          <w:rStyle w:val="Refdenotaalpie"/>
          <w:rFonts w:ascii="Verdana" w:hAnsi="Verdana" w:cs="Arial"/>
          <w:sz w:val="20"/>
          <w:szCs w:val="20"/>
        </w:rPr>
        <w:footnoteReference w:id="29"/>
      </w:r>
      <w:r w:rsidRPr="004D4DED">
        <w:rPr>
          <w:rFonts w:ascii="Verdana" w:hAnsi="Verdana" w:cs="Arial"/>
          <w:sz w:val="20"/>
          <w:szCs w:val="20"/>
        </w:rPr>
        <w:t>.</w:t>
      </w:r>
    </w:p>
    <w:p w14:paraId="1FF5EE18" w14:textId="77777777" w:rsidR="001F3B6A" w:rsidRPr="004D4DED" w:rsidRDefault="001F3B6A" w:rsidP="001F3B6A">
      <w:pPr>
        <w:pStyle w:val="Textoindependiente"/>
        <w:spacing w:before="240" w:after="0" w:line="276" w:lineRule="auto"/>
        <w:ind w:firstLine="709"/>
        <w:jc w:val="both"/>
        <w:rPr>
          <w:rFonts w:ascii="Verdana" w:hAnsi="Verdana" w:cs="Arial"/>
        </w:rPr>
      </w:pPr>
      <w:r w:rsidRPr="004D4DED">
        <w:rPr>
          <w:rFonts w:ascii="Verdana" w:hAnsi="Verdana" w:cs="Arial"/>
        </w:rPr>
        <w:lastRenderedPageBreak/>
        <w:t>En ese sentido, los convenios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38BBD4C7" w14:textId="77777777" w:rsidR="001F3B6A" w:rsidRPr="004D4DED" w:rsidRDefault="001F3B6A" w:rsidP="001F3B6A">
      <w:pPr>
        <w:pStyle w:val="Textoindependiente"/>
        <w:spacing w:before="240" w:after="0" w:line="276" w:lineRule="auto"/>
        <w:ind w:firstLine="709"/>
        <w:jc w:val="both"/>
        <w:rPr>
          <w:rFonts w:ascii="Verdana" w:hAnsi="Verdana" w:cs="Arial"/>
        </w:rPr>
      </w:pPr>
      <w:r w:rsidRPr="004D4DED">
        <w:rPr>
          <w:rFonts w:ascii="Verdana" w:hAnsi="Verdana" w:cs="Arial"/>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w:t>
      </w:r>
      <w:r w:rsidRPr="004D4DED">
        <w:rPr>
          <w:rFonts w:ascii="Verdana" w:hAnsi="Verdana" w:cs="Arial"/>
          <w:spacing w:val="-3"/>
        </w:rPr>
        <w:t xml:space="preserve"> </w:t>
      </w:r>
      <w:r w:rsidRPr="004D4DED">
        <w:rPr>
          <w:rFonts w:ascii="Verdana" w:hAnsi="Verdana" w:cs="Arial"/>
        </w:rPr>
        <w:t>estatales.</w:t>
      </w:r>
    </w:p>
    <w:p w14:paraId="18DEA9C4" w14:textId="77777777" w:rsidR="001F3B6A" w:rsidRPr="004D4DED" w:rsidRDefault="001F3B6A" w:rsidP="001F3B6A">
      <w:pPr>
        <w:pStyle w:val="Textoindependiente"/>
        <w:spacing w:before="240" w:after="0" w:line="276" w:lineRule="auto"/>
        <w:ind w:firstLine="709"/>
        <w:jc w:val="both"/>
        <w:rPr>
          <w:rFonts w:ascii="Verdana" w:hAnsi="Verdana" w:cs="Arial"/>
        </w:rPr>
      </w:pPr>
      <w:r w:rsidRPr="004D4DED">
        <w:rPr>
          <w:rFonts w:ascii="Verdana" w:hAnsi="Verdana" w:cs="Arial"/>
        </w:rPr>
        <w:t xml:space="preserve">Además, es necesario tener en cuenta que para que un contrato o convenio interadministrativo exista, debe cumplir con los siguientes elementos: acuerdo sobre el objeto y la contraprestación, y que se eleve a escrito. Por otra parte, si bien actualmente el EGCAP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Por este motivo, cuando la Ley 80 de 1993 se refiere a contratos interadministrativos de la misma forma lo hace frente a los convenios, entre otras razones, porque este cuerpo normativo faculta a las entidades públicas a </w:t>
      </w:r>
      <w:r w:rsidRPr="004D4DED">
        <w:rPr>
          <w:rFonts w:ascii="Verdana" w:hAnsi="Verdana" w:cs="Arial"/>
        </w:rPr>
        <w:lastRenderedPageBreak/>
        <w:t>celebrar los demás acuerdos que permitan la autonomía de la voluntad y requieran el cumplimiento de los fines</w:t>
      </w:r>
      <w:r w:rsidRPr="004D4DED">
        <w:rPr>
          <w:rFonts w:ascii="Verdana" w:hAnsi="Verdana" w:cs="Arial"/>
          <w:spacing w:val="-4"/>
        </w:rPr>
        <w:t xml:space="preserve"> </w:t>
      </w:r>
      <w:r w:rsidRPr="004D4DED">
        <w:rPr>
          <w:rFonts w:ascii="Verdana" w:hAnsi="Verdana" w:cs="Arial"/>
        </w:rPr>
        <w:t>estatales.</w:t>
      </w:r>
    </w:p>
    <w:p w14:paraId="3AB2C8DD" w14:textId="58C6CA32" w:rsidR="001F3B6A" w:rsidRPr="004D4DED" w:rsidRDefault="001F3B6A" w:rsidP="001F3B6A">
      <w:pPr>
        <w:pStyle w:val="Textoindependiente"/>
        <w:spacing w:before="240" w:after="0" w:line="276" w:lineRule="auto"/>
        <w:ind w:firstLine="708"/>
        <w:jc w:val="both"/>
        <w:rPr>
          <w:rFonts w:ascii="Verdana" w:eastAsia="Calibri" w:hAnsi="Verdana" w:cs="Arial"/>
          <w:bCs/>
        </w:rPr>
      </w:pPr>
      <w:r w:rsidRPr="004D4DED">
        <w:rPr>
          <w:rFonts w:ascii="Verdana" w:hAnsi="Verdana" w:cs="Arial"/>
        </w:rPr>
        <w:t xml:space="preserve">Por tanto, aunque el artículo 95 de la Ley 489 de 1998 dispone que </w:t>
      </w:r>
      <w:r w:rsidR="00C86BBA" w:rsidRPr="004D4DED">
        <w:rPr>
          <w:rFonts w:ascii="Verdana" w:hAnsi="Verdana" w:cs="Arial"/>
        </w:rPr>
        <w:t>“</w:t>
      </w:r>
      <w:r w:rsidRPr="004D4DED">
        <w:rPr>
          <w:rFonts w:ascii="Verdana" w:hAnsi="Verdana" w:cs="Arial"/>
        </w:rPr>
        <w:t>Las entidades públicas podrán asociarse con el fin de cooperar en el cumplimiento de funciones administrativas o de prestar conjuntamente servicios que se hallen a su cargo, mediante la celebración de convenios interadministrativos […]</w:t>
      </w:r>
      <w:r w:rsidR="00C86BBA" w:rsidRPr="004D4DED">
        <w:rPr>
          <w:rFonts w:ascii="Verdana" w:hAnsi="Verdana" w:cs="Arial"/>
        </w:rPr>
        <w:t>”</w:t>
      </w:r>
      <w:r w:rsidRPr="004D4DED">
        <w:rPr>
          <w:rFonts w:ascii="Verdana" w:hAnsi="Verdana" w:cs="Arial"/>
        </w:rPr>
        <w:t xml:space="preserve">, esto no significa que dichos acuerdos estén exceptuados del Estatuto General de Contratación de la Administración Pública por no tener carácter contractual. Por ello, la jurisprudencia considera que </w:t>
      </w:r>
      <w:r w:rsidR="00C86BBA" w:rsidRPr="004D4DED">
        <w:rPr>
          <w:rFonts w:ascii="Verdana" w:hAnsi="Verdana" w:cs="Arial"/>
        </w:rPr>
        <w:t>“</w:t>
      </w:r>
      <w:r w:rsidRPr="004D4DED">
        <w:rPr>
          <w:rFonts w:ascii="Verdana" w:hAnsi="Verdana" w:cs="Arial"/>
        </w:rPr>
        <w:t>Estos convenios cuentan con las características propias de los contratos, cuando su objeto lo constituyen obligaciones patrimoniales, y las entidades estatales que los conforman están sujetas tanto a la normativa contractual pública, como a las normas del derecho civil</w:t>
      </w:r>
      <w:r w:rsidRPr="004D4DED">
        <w:rPr>
          <w:rFonts w:ascii="Verdana" w:hAnsi="Verdana" w:cs="Arial"/>
          <w:spacing w:val="-4"/>
        </w:rPr>
        <w:t xml:space="preserve"> </w:t>
      </w:r>
      <w:r w:rsidRPr="004D4DED">
        <w:rPr>
          <w:rFonts w:ascii="Verdana" w:hAnsi="Verdana" w:cs="Arial"/>
        </w:rPr>
        <w:t>[…]</w:t>
      </w:r>
      <w:r w:rsidR="00C86BBA" w:rsidRPr="004D4DED">
        <w:rPr>
          <w:rFonts w:ascii="Verdana" w:hAnsi="Verdana" w:cs="Arial"/>
        </w:rPr>
        <w:t>”</w:t>
      </w:r>
      <w:r w:rsidRPr="004D4DED">
        <w:rPr>
          <w:rStyle w:val="Refdenotaalpie"/>
          <w:rFonts w:ascii="Verdana" w:hAnsi="Verdana" w:cs="Arial"/>
        </w:rPr>
        <w:footnoteReference w:id="30"/>
      </w:r>
      <w:r w:rsidRPr="004D4DED">
        <w:rPr>
          <w:rFonts w:ascii="Verdana" w:hAnsi="Verdana" w:cs="Arial"/>
        </w:rPr>
        <w:t>.</w:t>
      </w:r>
      <w:bookmarkStart w:id="23" w:name="_Hlk77171241"/>
    </w:p>
    <w:p w14:paraId="77D09B07" w14:textId="77777777" w:rsidR="001F3B6A" w:rsidRPr="004D4DED" w:rsidRDefault="001F3B6A" w:rsidP="001F3B6A">
      <w:pPr>
        <w:pStyle w:val="Textoindependiente"/>
        <w:spacing w:before="240" w:after="0" w:line="276" w:lineRule="auto"/>
        <w:ind w:firstLine="709"/>
        <w:jc w:val="both"/>
        <w:rPr>
          <w:rFonts w:ascii="Verdana" w:hAnsi="Verdana" w:cs="Arial"/>
        </w:rPr>
      </w:pPr>
      <w:r w:rsidRPr="004D4DED">
        <w:rPr>
          <w:rFonts w:ascii="Verdana" w:hAnsi="Verdana" w:cs="Arial"/>
        </w:rPr>
        <w:t>Sin perjuicio de lo anterior, vale la pena tener en cuenta que cierto sector de la doctrina y la jurisprudencia han establecido algunas diferencias o caracterización de los contratos interadministrativos frente a los convenios interadministrativos de que trata el artículo 95 de la Ley 489 de 1998. Por ejemplo, el Consejo de Estado en sentencia del 14 de junio de 2019 expresó:</w:t>
      </w:r>
    </w:p>
    <w:p w14:paraId="18D84618" w14:textId="7ACA31EE" w:rsidR="001F3B6A" w:rsidRPr="004D4DED" w:rsidRDefault="00385430" w:rsidP="00C30ACB">
      <w:pPr>
        <w:spacing w:before="240" w:line="240" w:lineRule="auto"/>
        <w:ind w:left="709" w:right="709"/>
        <w:jc w:val="both"/>
        <w:rPr>
          <w:rFonts w:ascii="Verdana" w:hAnsi="Verdana" w:cs="Arial"/>
          <w:sz w:val="20"/>
          <w:szCs w:val="20"/>
          <w:lang w:val="es-ES_tradnl"/>
        </w:rPr>
      </w:pPr>
      <w:r w:rsidRPr="004D4DED">
        <w:rPr>
          <w:rFonts w:ascii="Verdana" w:hAnsi="Verdana" w:cs="Arial"/>
          <w:sz w:val="20"/>
          <w:szCs w:val="20"/>
          <w:lang w:val="es-ES_tradnl"/>
        </w:rPr>
        <w:t>“</w:t>
      </w:r>
      <w:r w:rsidR="001F3B6A" w:rsidRPr="004D4DED">
        <w:rPr>
          <w:rFonts w:ascii="Verdana" w:hAnsi="Verdana" w:cs="Arial"/>
          <w:sz w:val="20"/>
          <w:szCs w:val="20"/>
          <w:lang w:val="es-ES_tradnl"/>
        </w:rPr>
        <w:t>La Sala de Consulta y Servicio Civil</w:t>
      </w:r>
      <w:r w:rsidR="001F3B6A" w:rsidRPr="004D4DED">
        <w:rPr>
          <w:rStyle w:val="Refdenotaalpie"/>
          <w:rFonts w:ascii="Verdana" w:hAnsi="Verdana" w:cs="Arial"/>
          <w:sz w:val="20"/>
          <w:szCs w:val="20"/>
          <w:lang w:val="es-ES_tradnl"/>
        </w:rPr>
        <w:footnoteReference w:id="31"/>
      </w:r>
      <w:r w:rsidR="001F3B6A" w:rsidRPr="004D4DED">
        <w:rPr>
          <w:rFonts w:ascii="Verdana" w:hAnsi="Verdana" w:cs="Arial"/>
          <w:sz w:val="20"/>
          <w:szCs w:val="20"/>
          <w:lang w:val="es-ES_tradnl"/>
        </w:rPr>
        <w:t xml:space="preserve"> de esta Corporación se ha referido a los </w:t>
      </w:r>
      <w:r w:rsidR="001F3B6A" w:rsidRPr="004D4DED">
        <w:rPr>
          <w:rFonts w:ascii="Verdana" w:hAnsi="Verdana" w:cs="Arial"/>
          <w:i/>
          <w:sz w:val="20"/>
          <w:szCs w:val="20"/>
          <w:lang w:val="es-ES_tradnl"/>
        </w:rPr>
        <w:t>“convenios interadministrativos”</w:t>
      </w:r>
      <w:r w:rsidR="001F3B6A" w:rsidRPr="004D4DED">
        <w:rPr>
          <w:rFonts w:ascii="Verdana" w:hAnsi="Verdana" w:cs="Arial"/>
          <w:sz w:val="20"/>
          <w:szCs w:val="20"/>
          <w:lang w:val="es-ES_tradnl"/>
        </w:rPr>
        <w:t xml:space="preserve"> a los cuales alude el artículo 95 de la Ley 489 de 1998, calificándolos de </w:t>
      </w:r>
      <w:r w:rsidR="001F3B6A" w:rsidRPr="004D4DED">
        <w:rPr>
          <w:rFonts w:ascii="Verdana" w:hAnsi="Verdana" w:cs="Arial"/>
          <w:i/>
          <w:sz w:val="20"/>
          <w:szCs w:val="20"/>
          <w:lang w:val="es-ES_tradnl"/>
        </w:rPr>
        <w:t xml:space="preserve">“puros” </w:t>
      </w:r>
      <w:r w:rsidR="001F3B6A" w:rsidRPr="004D4DED">
        <w:rPr>
          <w:rFonts w:ascii="Verdana" w:hAnsi="Verdana" w:cs="Arial"/>
          <w:sz w:val="20"/>
          <w:szCs w:val="20"/>
          <w:lang w:val="es-ES_tradnl"/>
        </w:rPr>
        <w:t xml:space="preserve">y entendiendo que estos, además de perseguir la finalidad de cooperación antes indicada, no implican intereses contrapuestos ni tampoco se circunscriben a un </w:t>
      </w:r>
      <w:r w:rsidR="001F3B6A" w:rsidRPr="004D4DED">
        <w:rPr>
          <w:rFonts w:ascii="Verdana" w:hAnsi="Verdana" w:cs="Arial"/>
          <w:i/>
          <w:sz w:val="20"/>
          <w:szCs w:val="20"/>
          <w:lang w:val="es-ES_tradnl"/>
        </w:rPr>
        <w:t>“intercambio patrimonial”</w:t>
      </w:r>
      <w:r w:rsidR="001F3B6A" w:rsidRPr="004D4DED">
        <w:rPr>
          <w:rFonts w:ascii="Verdana" w:hAnsi="Verdana" w:cs="Arial"/>
          <w:sz w:val="20"/>
          <w:szCs w:val="20"/>
          <w:lang w:val="es-ES_tradnl"/>
        </w:rPr>
        <w:t>. Sin perjuicio de lo anterior, en otra oportunidad, la misma Sala</w:t>
      </w:r>
      <w:r w:rsidR="001F3B6A" w:rsidRPr="004D4DED">
        <w:rPr>
          <w:rStyle w:val="Refdenotaalpie"/>
          <w:rFonts w:ascii="Verdana" w:hAnsi="Verdana" w:cs="Arial"/>
          <w:sz w:val="20"/>
          <w:szCs w:val="20"/>
          <w:lang w:val="es-ES_tradnl"/>
        </w:rPr>
        <w:footnoteReference w:id="32"/>
      </w:r>
      <w:r w:rsidR="001F3B6A" w:rsidRPr="004D4DED">
        <w:rPr>
          <w:rFonts w:ascii="Verdana" w:hAnsi="Verdana" w:cs="Arial"/>
          <w:sz w:val="20"/>
          <w:szCs w:val="20"/>
          <w:lang w:val="es-ES_tradnl"/>
        </w:rPr>
        <w:t xml:space="preserve"> había indicado que, si bien en dichos </w:t>
      </w:r>
      <w:r w:rsidR="001F3B6A" w:rsidRPr="004D4DED">
        <w:rPr>
          <w:rFonts w:ascii="Verdana" w:hAnsi="Verdana" w:cs="Arial"/>
          <w:sz w:val="20"/>
          <w:szCs w:val="20"/>
          <w:lang w:val="es-ES_tradnl"/>
        </w:rPr>
        <w:lastRenderedPageBreak/>
        <w:t xml:space="preserve">convenios no se daba un </w:t>
      </w:r>
      <w:r w:rsidR="001F3B6A" w:rsidRPr="004D4DED">
        <w:rPr>
          <w:rFonts w:ascii="Verdana" w:hAnsi="Verdana" w:cs="Arial"/>
          <w:i/>
          <w:sz w:val="20"/>
          <w:szCs w:val="20"/>
          <w:lang w:val="es-ES_tradnl"/>
        </w:rPr>
        <w:t>“verdadero intercambio de bienes o servicios (contrato conmutativo)”</w:t>
      </w:r>
      <w:r w:rsidR="001F3B6A" w:rsidRPr="004D4DED">
        <w:rPr>
          <w:rFonts w:ascii="Verdana" w:hAnsi="Verdana" w:cs="Arial"/>
          <w:sz w:val="20"/>
          <w:szCs w:val="20"/>
          <w:lang w:val="es-ES_tradnl"/>
        </w:rPr>
        <w:t>, ello no impedía que se conviniera una remuneración a cargo de alguna(s) entidad(es).</w:t>
      </w:r>
    </w:p>
    <w:p w14:paraId="3C05C596" w14:textId="77777777" w:rsidR="001F3B6A" w:rsidRPr="004D4DED" w:rsidRDefault="001F3B6A" w:rsidP="00C86BBA">
      <w:pPr>
        <w:pStyle w:val="Textoindependiente"/>
        <w:spacing w:before="240" w:after="0" w:line="240" w:lineRule="auto"/>
        <w:ind w:left="709" w:right="709"/>
        <w:jc w:val="both"/>
        <w:rPr>
          <w:rFonts w:ascii="Verdana" w:hAnsi="Verdana" w:cs="Arial"/>
          <w:sz w:val="20"/>
          <w:szCs w:val="20"/>
        </w:rPr>
      </w:pPr>
      <w:r w:rsidRPr="004D4DED">
        <w:rPr>
          <w:rFonts w:ascii="Verdana" w:hAnsi="Verdana" w:cs="Arial"/>
          <w:sz w:val="20"/>
          <w:szCs w:val="20"/>
          <w:lang w:val="es-ES_tradnl"/>
        </w:rPr>
        <w:t xml:space="preserve">Lo expuesto evidencia que, en general, las interpretaciones en torno a los </w:t>
      </w:r>
      <w:r w:rsidRPr="004D4DED">
        <w:rPr>
          <w:rFonts w:ascii="Verdana" w:hAnsi="Verdana" w:cs="Arial"/>
          <w:i/>
          <w:sz w:val="20"/>
          <w:szCs w:val="20"/>
          <w:lang w:val="es-ES_tradnl"/>
        </w:rPr>
        <w:t>“convenios interadministrativos”</w:t>
      </w:r>
      <w:r w:rsidRPr="004D4DED">
        <w:rPr>
          <w:rFonts w:ascii="Verdana" w:hAnsi="Verdana" w:cs="Arial"/>
          <w:sz w:val="20"/>
          <w:szCs w:val="20"/>
          <w:lang w:val="es-ES_tradnl"/>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4D4DED">
        <w:rPr>
          <w:rStyle w:val="Refdenotaalpie"/>
          <w:rFonts w:ascii="Verdana" w:hAnsi="Verdana" w:cs="Arial"/>
          <w:sz w:val="20"/>
          <w:szCs w:val="20"/>
          <w:lang w:val="es-ES_tradnl"/>
        </w:rPr>
        <w:footnoteReference w:id="33"/>
      </w:r>
      <w:r w:rsidRPr="004D4DED">
        <w:rPr>
          <w:rStyle w:val="Refdenotaalpie"/>
          <w:rFonts w:ascii="Verdana" w:hAnsi="Verdana" w:cs="Arial"/>
          <w:sz w:val="20"/>
          <w:szCs w:val="20"/>
          <w:lang w:val="es-ES_tradnl"/>
        </w:rPr>
        <w:footnoteReference w:id="34"/>
      </w:r>
      <w:r w:rsidRPr="004D4DED">
        <w:rPr>
          <w:rFonts w:ascii="Verdana" w:hAnsi="Verdana" w:cs="Arial"/>
          <w:sz w:val="20"/>
          <w:szCs w:val="20"/>
          <w:lang w:val="es-ES_tradnl"/>
        </w:rPr>
        <w:t>.</w:t>
      </w:r>
    </w:p>
    <w:p w14:paraId="4479CE2E" w14:textId="77777777" w:rsidR="001F3B6A" w:rsidRPr="004D4DED" w:rsidRDefault="001F3B6A" w:rsidP="001F3B6A">
      <w:pPr>
        <w:pStyle w:val="Textoindependiente"/>
        <w:spacing w:before="240" w:after="0" w:line="276" w:lineRule="auto"/>
        <w:jc w:val="both"/>
        <w:rPr>
          <w:rFonts w:ascii="Verdana" w:hAnsi="Verdana" w:cs="Arial"/>
        </w:rPr>
      </w:pPr>
      <w:r w:rsidRPr="004D4DED">
        <w:rPr>
          <w:rFonts w:ascii="Verdana" w:hAnsi="Verdana" w:cs="Arial"/>
        </w:rPr>
        <w:tab/>
        <w:t>Vale la pena reiterar que el ordenamiento jurídico, en distintas ocasiones utiliza de forma indistinta los conceptos de contrato o convenio para referirse a la misma institución jurídica</w:t>
      </w:r>
      <w:r w:rsidRPr="004D4DED">
        <w:rPr>
          <w:rStyle w:val="Refdenotaalpie"/>
          <w:rFonts w:ascii="Verdana" w:hAnsi="Verdana" w:cs="Arial"/>
        </w:rPr>
        <w:footnoteReference w:id="35"/>
      </w:r>
      <w:r w:rsidRPr="004D4DED">
        <w:rPr>
          <w:rFonts w:ascii="Verdana" w:hAnsi="Verdana" w:cs="Arial"/>
        </w:rPr>
        <w:t>. Incluso, la Corte Constitucional fundamenta la posibilidad de celebrar convenios interadministrativos de forma directa, con fundamento en la causal establecida en la Ley 1150 de 2007 respecto a los contratos interadministrativos</w:t>
      </w:r>
      <w:r w:rsidRPr="004D4DED">
        <w:rPr>
          <w:rStyle w:val="Refdenotaalpie"/>
          <w:rFonts w:ascii="Verdana" w:hAnsi="Verdana" w:cs="Arial"/>
        </w:rPr>
        <w:footnoteReference w:id="36"/>
      </w:r>
      <w:r w:rsidRPr="004D4DED">
        <w:rPr>
          <w:rFonts w:ascii="Verdana" w:hAnsi="Verdana" w:cs="Arial"/>
        </w:rPr>
        <w:t>.</w:t>
      </w:r>
    </w:p>
    <w:p w14:paraId="0FE78784" w14:textId="77777777" w:rsidR="001F3B6A" w:rsidRPr="004D4DED" w:rsidRDefault="001F3B6A" w:rsidP="001F3B6A">
      <w:pPr>
        <w:pStyle w:val="Textoindependiente"/>
        <w:spacing w:before="240" w:after="0" w:line="276" w:lineRule="auto"/>
        <w:jc w:val="both"/>
        <w:rPr>
          <w:rFonts w:ascii="Verdana" w:hAnsi="Verdana" w:cs="Arial"/>
        </w:rPr>
      </w:pPr>
      <w:r w:rsidRPr="004D4DED">
        <w:rPr>
          <w:rFonts w:ascii="Verdana" w:hAnsi="Verdana" w:cs="Arial"/>
        </w:rPr>
        <w:lastRenderedPageBreak/>
        <w:tab/>
        <w:t>En desarrollo de lo anterior, se destaca que la Circular Externa Única de Colombia Compra Eficiente, pese a reconocer que se han realizado algunas distinciones jurisprudenciales en torno a los contratos y convenios interadministrativos, relacionados con el alcance de las obligaciones que los caracterizan, señala que no existe una definición legal que diferencie los conceptos de convenio o de contrato. En tal sentido, de acuerdo con las consideraciones expuestas en este numeral los asimila para efectos de aplicar las disposiciones que tangencialmente se refieren a uno u otro vocablo, por ejemplo, lo que resulta bastante relevante para este concepto, para la aplicación de la Ley de Garantías. En este sentido, la Circular, refiriéndose al parágrafo del artículo 38 de la Ley 996 de 2005, expresa:</w:t>
      </w:r>
    </w:p>
    <w:p w14:paraId="40468D66" w14:textId="67A31054" w:rsidR="001F3B6A" w:rsidRPr="004D4DED" w:rsidRDefault="00C30ACB" w:rsidP="00C86BBA">
      <w:pPr>
        <w:spacing w:before="240" w:line="240" w:lineRule="auto"/>
        <w:ind w:left="709" w:right="709"/>
        <w:jc w:val="both"/>
        <w:rPr>
          <w:rFonts w:ascii="Verdana" w:hAnsi="Verdana" w:cs="Arial"/>
          <w:sz w:val="20"/>
          <w:szCs w:val="20"/>
        </w:rPr>
      </w:pPr>
      <w:r w:rsidRPr="004D4DED">
        <w:rPr>
          <w:rFonts w:ascii="Verdana" w:hAnsi="Verdana" w:cs="Arial"/>
          <w:sz w:val="20"/>
          <w:szCs w:val="20"/>
          <w:lang w:val="es-ES_tradnl"/>
        </w:rPr>
        <w:t>“</w:t>
      </w:r>
      <w:r w:rsidR="001F3B6A" w:rsidRPr="004D4DED">
        <w:rPr>
          <w:rFonts w:ascii="Verdana"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001F3B6A" w:rsidRPr="004D4DED">
        <w:rPr>
          <w:rFonts w:ascii="Verdana" w:hAnsi="Verdana" w:cs="Arial"/>
          <w:sz w:val="20"/>
          <w:szCs w:val="20"/>
        </w:rPr>
        <w:t xml:space="preserve">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w:t>
      </w:r>
    </w:p>
    <w:p w14:paraId="6DAB4F9A" w14:textId="77777777" w:rsidR="001F3B6A" w:rsidRPr="004D4DED" w:rsidRDefault="001F3B6A" w:rsidP="00C86BBA">
      <w:pPr>
        <w:spacing w:before="240" w:line="240" w:lineRule="auto"/>
        <w:ind w:left="709" w:right="709"/>
        <w:jc w:val="both"/>
        <w:rPr>
          <w:rFonts w:ascii="Verdana" w:hAnsi="Verdana" w:cs="Arial"/>
          <w:sz w:val="20"/>
          <w:szCs w:val="20"/>
        </w:rPr>
      </w:pPr>
      <w:r w:rsidRPr="004D4DED">
        <w:rPr>
          <w:rFonts w:ascii="Verdana" w:hAnsi="Verdana" w:cs="Arial"/>
          <w:sz w:val="20"/>
          <w:szCs w:val="20"/>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6019C712" w14:textId="07E0FEA7" w:rsidR="001F3B6A" w:rsidRPr="004D4DED" w:rsidRDefault="001F3B6A" w:rsidP="00C86BBA">
      <w:pPr>
        <w:spacing w:before="240" w:line="240" w:lineRule="auto"/>
        <w:ind w:left="709" w:right="709"/>
        <w:jc w:val="both"/>
        <w:rPr>
          <w:rFonts w:ascii="Verdana" w:hAnsi="Verdana" w:cs="Arial"/>
          <w:sz w:val="20"/>
          <w:szCs w:val="20"/>
        </w:rPr>
      </w:pPr>
      <w:r w:rsidRPr="004D4DED">
        <w:rPr>
          <w:rFonts w:ascii="Verdana" w:hAnsi="Verdana" w:cs="Arial"/>
          <w:sz w:val="20"/>
          <w:szCs w:val="20"/>
        </w:rPr>
        <w:t xml:space="preserve">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w:t>
      </w:r>
      <w:r w:rsidRPr="004D4DED">
        <w:rPr>
          <w:rFonts w:ascii="Verdana" w:hAnsi="Verdana" w:cs="Arial"/>
          <w:sz w:val="20"/>
          <w:szCs w:val="20"/>
        </w:rPr>
        <w:lastRenderedPageBreak/>
        <w:t>Garantías consiste en evitar que los recursos del Estado se ejecuten para lograr apoyos indebidos mediante la suscripción de contratos y/o convenios, que para efectos de la Ley de Garantías tienen la misma connotación y propósito.</w:t>
      </w:r>
      <w:r w:rsidR="00C30ACB" w:rsidRPr="004D4DED">
        <w:rPr>
          <w:rFonts w:ascii="Verdana" w:hAnsi="Verdana" w:cs="Arial"/>
          <w:sz w:val="20"/>
          <w:szCs w:val="20"/>
        </w:rPr>
        <w:t>”</w:t>
      </w:r>
    </w:p>
    <w:p w14:paraId="57F6EEC1" w14:textId="77777777" w:rsidR="001F3B6A" w:rsidRPr="004D4DED" w:rsidRDefault="001F3B6A" w:rsidP="001F3B6A">
      <w:pPr>
        <w:pStyle w:val="Textoindependiente"/>
        <w:spacing w:before="240" w:after="0" w:line="276" w:lineRule="auto"/>
        <w:jc w:val="both"/>
        <w:rPr>
          <w:rFonts w:ascii="Verdana" w:eastAsia="Calibri" w:hAnsi="Verdana" w:cs="Arial"/>
          <w:bCs/>
        </w:rPr>
      </w:pPr>
      <w:r w:rsidRPr="004D4DED">
        <w:rPr>
          <w:rFonts w:ascii="Verdana" w:hAnsi="Verdana" w:cs="Arial"/>
          <w:sz w:val="25"/>
        </w:rPr>
        <w:tab/>
      </w:r>
      <w:r w:rsidRPr="004D4DED">
        <w:rPr>
          <w:rFonts w:ascii="Verdana" w:hAnsi="Verdana" w:cs="Arial"/>
        </w:rPr>
        <w:t>Teniendo en cuenta lo anterior, se reitera la conclusión en el sentido de que lo que define los contratos o convenios interadministrativos es la naturaleza de las partes, de manera que están determinados por un criterio orgánico, en el sentido de que lo serán aquellos celebrados entre entidades estatales. Además, como se indicó en la Circular citada, no existe una definición legal que diferencie los conceptos de contrato y convenio, por lo que se asimilaron para la aplicación de la Ley de Garantías. En tal sentido, las referencias realizadas por el legislador a estos términos deben asimilarse, salvo que de su contenido se logre inferir que se le quiere otorgar un contenido en particular, pues como se expresó, el legislador utiliza estos conceptos de forma indistinta.</w:t>
      </w:r>
      <w:bookmarkEnd w:id="23"/>
    </w:p>
    <w:p w14:paraId="7AD88144" w14:textId="780E4CAE" w:rsidR="008947A6" w:rsidRPr="004D4DED" w:rsidRDefault="001F3B6A"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Se observa entonces que 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ibidem, no podrá celebrar tales convenios o contratos durante la aplicación de la ley de garantías, toda vez que la citada disposición hace referencia a dicha tipología contractual sin que el legislador hubiere contemplado excepción alguna frente a la modalidad de selección o naturaleza de su objeto</w:t>
      </w:r>
      <w:r w:rsidRPr="004D4DED">
        <w:rPr>
          <w:rFonts w:ascii="Verdana" w:hAnsi="Verdana" w:cs="Arial"/>
          <w:vertAlign w:val="superscript"/>
        </w:rPr>
        <w:footnoteReference w:id="37"/>
      </w:r>
      <w:r w:rsidRPr="004D4DED">
        <w:rPr>
          <w:rFonts w:ascii="Verdana" w:hAnsi="Verdana" w:cs="Arial"/>
          <w:bCs/>
          <w:lang w:eastAsia="es-CO"/>
        </w:rPr>
        <w:t>. En este sentido, harían parte de la prohibición los municipios y también las Empresas Sociales del Estado del orden territorial.</w:t>
      </w:r>
    </w:p>
    <w:p w14:paraId="7C8C2457" w14:textId="43C1266F"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Ahora bien, respecto de la contratación estatal con entidades privadas sin ánimo de lucro encuentra su fundamento en el artículo 355 de la Constitución Política. Esta norma proscribe cualquier tipo de donación por parte del Estado a personas de derecho privado, y dispone que: “El Gobierno, en los niveles nacional, departamental, distrital y municipal podrá, con recursos de los </w:t>
      </w:r>
      <w:r w:rsidRPr="004D4DED">
        <w:rPr>
          <w:rFonts w:ascii="Verdana" w:hAnsi="Verdana" w:cs="Arial"/>
          <w:bCs/>
          <w:lang w:eastAsia="es-CO"/>
        </w:rPr>
        <w:lastRenderedPageBreak/>
        <w:t>respectivos presupuestos, celebrar contratos con entidades privadas sin ánimo de lucro y de reconocida idoneidad con el fin de impulsar programas y actividades de interés público acordes con el Plan Nacional y los planes seccionales de Desarrollo […]”.</w:t>
      </w:r>
    </w:p>
    <w:p w14:paraId="275B0A41"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Conforme a lo anterior, el artículo 3.16 de la Ley 136 de 1994 –modificado por la Ley 1551 de 2012, artículo 6– prescribe que “En concordancia con lo establecido en el artículo 355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 Además, el parágrafo 3 del artículo 3 ibidem, define los convenios solidarios como “la complementación de esfuerzos institucionales, comunitarios, económicos y sociales para la construcción de obras y la satisfacción de necesidades y aspiraciones de las comunidades”. </w:t>
      </w:r>
    </w:p>
    <w:p w14:paraId="6AA521C6"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De una interpretación armónica entre las normas anteriormente citadas, se desprende que los municipios y distritos pueden celebrar convenios solidarios: i) para el desarrollo conjunto de programas y actividades establecidas en la Ley a los municipios y distritos, acorde con sus planes de desarrollo, ii) para la construcción de obras, y iii) para la satisfacción de necesidades y aspiraciones de las comunidades. Además, la celebración de estos convenios está limitada únicamente a los sujetos allí contemplados, esto es, los municipios y distritos con los cabildos, las autoridades y organizaciones indígenas, los organismos de acción comunal y demás organizaciones civiles y asociaciones residentes en el territorio. Así las cosas, de conformidad con las normas citadas se concluye que es posible celebrar convenios solidarios para ejecutar cualquiera de los objetos antes referidos con los sujetos señalados. </w:t>
      </w:r>
    </w:p>
    <w:p w14:paraId="0F9A9781" w14:textId="45AA385A" w:rsidR="008947A6" w:rsidRPr="004D4DED" w:rsidRDefault="008947A6" w:rsidP="00385430">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El parágrafo 4 del artículo 3 de la Ley 136 de 1994 –modificado por la Ley 1551 de 2012, artículo 6– dispone que “Se autoriza a los entes territoriales del orden departamental y municipal para celebrar directamente convenios solidarios con las juntas de acción comunal con el fin de ejecutar obras hasta </w:t>
      </w:r>
      <w:r w:rsidRPr="004D4DED">
        <w:rPr>
          <w:rFonts w:ascii="Verdana" w:hAnsi="Verdana" w:cs="Arial"/>
          <w:bCs/>
          <w:lang w:eastAsia="es-CO"/>
        </w:rPr>
        <w:lastRenderedPageBreak/>
        <w:t>por la mínima cuantía. Para la ejecución de estas deberán contratar con los habitantes de la comunidad”. Dicho parágrafo establecía una sub-regla en la cual los convenios solidarios solo podían celebrarse de manera directa por los entes del nivel departamental y municipal con las juntas de acción comunal para ejecutar obras hasta por la mínima cuantía. En otras palabras, del contenido del parágrafo 4 se deduce que el legislador estableció un trámite preferencial que no requiere adelantar procedimiento de selección con pluralidad de oferentes para celebrar convenios solidarios cuyo objeto sea ejecutar obras hasta por la mínima cuantía con las juntas de acción comunal. Sin embargo, el artículo 95 de la Ley 2166 de 2021 –posteriormente desarrollado por el artículo 2.2.15.1.2 del Decreto 1082 de 2015 y modificado por el artículo 372 de la Ley 2294 de 2023– amplió esta subregla en cuanto a los sujetos aplicables, condiciones y la cuantía del contrato:</w:t>
      </w:r>
    </w:p>
    <w:p w14:paraId="454C09CC" w14:textId="5792001B" w:rsidR="008947A6" w:rsidRPr="004D4DED" w:rsidRDefault="008947A6" w:rsidP="00A445CC">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304AB3C4" w14:textId="7C82E37E" w:rsidR="008947A6" w:rsidRPr="004D4DED" w:rsidRDefault="008947A6" w:rsidP="00A02C59">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PARÁGRAFO 1. Los entes podrán incluir en el monto total de los Convenios Solidarios los costos directos, los costos administrativos y el Subsidio al dignatario representante legal para transportes de que trata el literal c) del Artículo 38 de la presente ley.</w:t>
      </w:r>
    </w:p>
    <w:p w14:paraId="5B161E43" w14:textId="25383321"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PARÁGRAFO 2. Adicional del monto del Convenio Solidario, los entes deberán contar o disponer de personal técnico y administrativo-contable, para supervisar y apoyar a los Organismos de Acción Comunal en la ejecución de las obras”. </w:t>
      </w:r>
    </w:p>
    <w:p w14:paraId="29EDD8F9" w14:textId="4DE3B1E3"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Igualmente, es necesario destacar que –en desarrollo del artículo 355 de la Constitución– el Gobierno Nacional expidió el Decreto 092 de 2017, el cual dispone las reglas para las contrataciones que realicen las Entidades Estatales con las ESAL. El Decreto regula dos eventos: i) los contratos de colaboración o de interés público con el fin impulsar programas y actividades de interés público </w:t>
      </w:r>
      <w:r w:rsidRPr="004D4DED">
        <w:rPr>
          <w:rFonts w:ascii="Verdana" w:hAnsi="Verdana" w:cs="Arial"/>
          <w:bCs/>
          <w:lang w:eastAsia="es-CO"/>
        </w:rPr>
        <w:lastRenderedPageBreak/>
        <w:t>de acuerdo con el Plan Nacional o los planes seccionales de desarrollo, en los términos del artículo 355 de la Constitución Política; y ii) los convenios de asociación, para el desarrollo conjunto de actividades relacionadas con las funciones de las Entidades Estatales, en desarrollo del artículo 96 de la Ley 489 de 1998. Los primeros están regulados en el artículo 2 del Decreto 092 de 2017, mientras que los segundos en los artículos 5, 6, 7 y 8 ibidem. Es posible diferenciar, pues, los convenios de asociación, regulados en el artículo 5, de los contratos de colaboración, establecidos en el artículo 2 del Decreto 092 de 2017.</w:t>
      </w:r>
    </w:p>
    <w:p w14:paraId="24A99017"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Los contratos de colaboración 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Para celebrar estos contratos, según lo establece el artículo 3 del Decreto 092 de 2017,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esté dirigido al beneficio de la población en general, pues cuando se adquieren bienes o servicios o se ejecutan obras, en una relación conmutativa, las normas aplicables son las del EGCAP. Por ello, solo cuando se reúnan estas condiciones, y se cuente con la autorización previa y escrita del representante legal de la Entidad Estatal, es procedente celebrar contratos de colaboración.</w:t>
      </w:r>
    </w:p>
    <w:p w14:paraId="18098EB6" w14:textId="171B033F"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De otro lado, los convenios de asociación “</w:t>
      </w:r>
      <w:r w:rsidR="00385430" w:rsidRPr="004D4DED">
        <w:rPr>
          <w:rFonts w:ascii="Verdana" w:hAnsi="Verdana" w:cs="Arial"/>
          <w:bCs/>
          <w:lang w:eastAsia="es-CO"/>
        </w:rPr>
        <w:t>t</w:t>
      </w:r>
      <w:r w:rsidRPr="004D4DED">
        <w:rPr>
          <w:rFonts w:ascii="Verdana" w:hAnsi="Verdana" w:cs="Arial"/>
          <w:bCs/>
          <w:lang w:eastAsia="es-CO"/>
        </w:rPr>
        <w:t xml:space="preserve">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no existe contraprestación o pago, sino aportes, los cuales están dirigidos, </w:t>
      </w:r>
      <w:r w:rsidRPr="004D4DED">
        <w:rPr>
          <w:rFonts w:ascii="Verdana" w:hAnsi="Verdana" w:cs="Arial"/>
          <w:bCs/>
          <w:lang w:eastAsia="es-CO"/>
        </w:rPr>
        <w:lastRenderedPageBreak/>
        <w:t xml:space="preserve">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treinta por ciento (30%) del valor total del convenio. </w:t>
      </w:r>
    </w:p>
    <w:p w14:paraId="477CA5D0" w14:textId="445E4678" w:rsidR="008947A6" w:rsidRPr="004D4DED" w:rsidRDefault="008947A6" w:rsidP="00A02C59">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 Esta idea resulta relevante especialmente en lo relativo a la aplicabilidad del Decreto 092 de 2017 relacionado con las entidades sin ánimo de lucro, puesto que, como veremos a continuación, este es uno de los regímenes aplicables a la celebración de convenios solidarios.</w:t>
      </w:r>
    </w:p>
    <w:p w14:paraId="210B3C23"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El artículo 3.16 de la Ley 136 de 1994 se refiere a los convenios solidarios suscritos entre los municipios y distritos con los cabildos, las autoridades y organizaciones indígenas, los organismos de acción comunal y demás organizaciones civiles y asociaciones residentes en el territorio. Además, el artículo 95 de la Ley 2166 de 2021 señala que las entidades del orden nacional, departamental, distrital y municipal podrán celebrar directamente convenios solidarios con organismos de acción comunal para la ejecución de obras hasta por la menor cuantía. Asimismo, el parágrafo 2 del artículo 63 ibidem permite la celebración de convenios solidarios entre entidades del orden nacional, departamental, distrital, local y municipal con los organismos de acción comunal para la ejecución de proyectos incluidos en el respectivo plan nacional de desarrollo o para la ejecución de los proyectos derivados del Acuerdo Final de Paz. </w:t>
      </w:r>
    </w:p>
    <w:p w14:paraId="470ECD53" w14:textId="02584FE6"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Sobre los organismos de acción comunal debe precisarse que, conforme al artículo 6 de la Ley 2166 de 2021, son de primero, segundo, tercero y cuarto grado. Además, el artículo 7 ibidem les asigna a estos organismos la naturaleza de personas jurídicas sin ánimo de lucro. Conforme al recuento normativo expuesto en el apartado anterior se desprende que la legislación vigente establece tres (3) regímenes para celebrar los convenios solidarios. </w:t>
      </w:r>
    </w:p>
    <w:p w14:paraId="1DE7D55A"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El primer régimen encuentra su fundamento en el artículo 95 de la Ley 2166 de 2021. Como se indicó, este determina una sub-regla de contratación prevalente por su especificidad. Para la aplicabilidad de este régimen es </w:t>
      </w:r>
      <w:r w:rsidRPr="004D4DED">
        <w:rPr>
          <w:rFonts w:ascii="Verdana" w:hAnsi="Verdana" w:cs="Arial"/>
          <w:bCs/>
          <w:lang w:eastAsia="es-CO"/>
        </w:rPr>
        <w:lastRenderedPageBreak/>
        <w:t xml:space="preserve">necesario que concurran los siguientes requisitos: i) que las partes intervinientes sean, por un lado, entes del orden nacional, departamental, distrital o municipal y, por otro, organismos de acción comunal; ii) que el objeto contractual consista en la ejecución de obras; y, iii) que el contrato no supere la menor cuantía. De concurrir las anteriores circunstancias, la norma autoriza la contratación directa entre la entidad y el respectivo organismo de acción comunal previamente legalizado y reconocido ante las autoridades competentes. En todo caso, esta contratación debe tomar como personal para la ejecución de la obra a los habitantes de la comunidad. </w:t>
      </w:r>
    </w:p>
    <w:p w14:paraId="61F09C42"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Un segundo régimen o modalidad de contratación se encuentra previsto en el Decreto 092 de 2017, exceptuando lo consignado en su artículo quinto, pues versa sobre convenios de asociación. Este Decreto desarrolla, en términos generales, la contratación autorizada por el artículo 355 de la Constitución Política, la cual puede manifestarse a través de convenios solidarios, en concordancia con lo establecido en el artículo 3.16 de la Ley 136 de 1994, el parágrafo 2 del artículo 63 de la Ley 2166 de 2021 y el artículo 2.2.15.1.3 del Decreto 1082 de 2015.  </w:t>
      </w:r>
    </w:p>
    <w:p w14:paraId="66A78384"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En este sentido, el régimen especial y preferente previsto en el Decreto 092 de 2017 para la celebración de convenios solidarios será aplicable cuando se reúnan los siguientes requisitos: i) que las partes intervinientes sean, de un lado, entidades del nacional, departamental, distrital, local o municipal, y, de otro, organismos de acción comunal y organismos civiles y asociaciones residentes en el territorio de reconocida idoneidad; ii) que el objeto del contrato esté dirigido al impulso de programas y actividades de interés público concordantes con el plan de desarrollo aplicable; iii) que el contrato, dentro del límite de la menor cuantía, no refleje relaciones conmutativas que impliquen contraprestaciones para la entidad del Estado y; iv) que la entidad del Estado no imparta instrucciones precisas para la ejecución del objeto convenido. </w:t>
      </w:r>
    </w:p>
    <w:p w14:paraId="436D3C3D"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Así las cosas, en caso de que concurran los requisitos antes enunciados, se aplicará al proceso de planeación, selección y contratación previsto en el Decreto 092 de 2017. En lo no previsto por esa regulación, se responderá a las </w:t>
      </w:r>
      <w:r w:rsidRPr="004D4DED">
        <w:rPr>
          <w:rFonts w:ascii="Verdana" w:hAnsi="Verdana" w:cs="Arial"/>
          <w:bCs/>
          <w:lang w:eastAsia="es-CO"/>
        </w:rPr>
        <w:lastRenderedPageBreak/>
        <w:t xml:space="preserve">normas previstas en el EGCAP, con base en las remisiones directas de los artículos séptimo y octavo del citado reglamento autónomo. </w:t>
      </w:r>
    </w:p>
    <w:p w14:paraId="50ACCF78"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En tercer lugar, encontramos el régimen que se fundamenta en el precitado artículo 63 de la Ley 2166 de 2021, en armonía con el parágrafo tercero del artículo 3 de la Ley 136 de 1994. Esta norma debe interpretarse armónicamente con lo dispuesto en el artículo 141 ibidem. En virtud de estas disposiciones normativas, los organismos comunales cuentan con la posibilidad de “[…] vincularse al desarrollo y mejoramiento municipal mediante la participación en el ejercicio de las funciones, la prestación de servicios o la ejecución de obras públicas a cargo de la administración central o descentralizada”. Para estos efectos, conforme al parágrafo del artículo 141 de la Ley 136 de 1994, se aplicarán los artículos 375 a 378 del Decreto 1333 de 1986 y al EGCAP. Sin perjuicio de la limitación en la cuantía conforme al parágrafo 1 del artículo 63 de la Ley 2166 de 2021, esta modalidad de contratación resulta aplicable a todos los casos no reglamentados a través de normas específicas en los que: i) se vinculen entidades del orden nacional, departamental, distrital, local o municipal y organismos comunales; ii) se cumpla con el objetivo planteado en el parágrafo tercero del artículo tercero de la Ley 136 de 1994, en consonancia con el artículo 355 constitucional; y iii) no exista otra forma especial de contratación.</w:t>
      </w:r>
    </w:p>
    <w:p w14:paraId="10A00A3C" w14:textId="6FC6E4C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Ahora bien, en armonía con el literal f) del artículo 16 de la Ley 2166 de 2021, el parágrafo primero del artículo 63 ibidem dispone que los organismos de acción comunal podrán contratar con las entidades territoriales hasta por la menor cuantía de dicha entidad de conformidad con la ley. Por su parte, el parágrafo segundo se refiere a la facultad que tienen las entidades del orden nacional, departamental, distrital, local y municipal y los organismos de acción comunal para celebrar convenios solidarios con el fin de ejecutar los proyectos allí señalados. De lo anterior se desprende que los parágrafos primero y segundo dan alcance a lo señalado en el inciso primero del artículo 63 de la Ley 2166 de 2021. De esta manera, esta Agencia considera que cuando el parágrafo segundo extrañamente se refriere a los “contratos interadministrativos de mínima” se hace referencia a los convenios solidarios, precisamente, para destacar que </w:t>
      </w:r>
      <w:r w:rsidRPr="004D4DED">
        <w:rPr>
          <w:rFonts w:ascii="Verdana" w:hAnsi="Verdana" w:cs="Arial"/>
          <w:bCs/>
          <w:lang w:eastAsia="es-CO"/>
        </w:rPr>
        <w:lastRenderedPageBreak/>
        <w:t xml:space="preserve">estos pueden celebrarse con las entidades estatales señaladas en dicho parágrafo. Sin embargo, se aclara que, a juicio de esta Agencia, lo señalado en el parágrafo segundo no se trata de una tipología adicional a las existentes en el ordenamiento jurídico y no se advierte que el legislador hubiese querido crear una tipología o modalidad adicional, máxime cuando el parágrafo se integra al contenido del artículo 63. </w:t>
      </w:r>
    </w:p>
    <w:p w14:paraId="66B558E4" w14:textId="12CE3EE2"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Por ello, considerando la naturaleza jurídica de las partes, los convenios solidarios entre entidades del orden nacional</w:t>
      </w:r>
      <w:r w:rsidR="00A445CC" w:rsidRPr="004D4DED">
        <w:rPr>
          <w:rFonts w:ascii="Verdana" w:hAnsi="Verdana" w:cs="Arial"/>
          <w:bCs/>
          <w:lang w:eastAsia="es-CO"/>
        </w:rPr>
        <w:t>, Departamental, Distrital y municipal</w:t>
      </w:r>
      <w:r w:rsidRPr="004D4DED">
        <w:rPr>
          <w:rFonts w:ascii="Verdana" w:hAnsi="Verdana" w:cs="Arial"/>
          <w:bCs/>
          <w:lang w:eastAsia="es-CO"/>
        </w:rPr>
        <w:t xml:space="preserve"> y los organismos de acción comunal no se calificarían como contratos interadministrativos. Al respecto, tal y como se expuso en</w:t>
      </w:r>
      <w:r w:rsidR="00A445CC" w:rsidRPr="004D4DED">
        <w:rPr>
          <w:rFonts w:ascii="Verdana" w:hAnsi="Verdana" w:cs="Arial"/>
          <w:bCs/>
          <w:lang w:eastAsia="es-CO"/>
        </w:rPr>
        <w:t xml:space="preserve"> </w:t>
      </w:r>
      <w:r w:rsidRPr="004D4DED">
        <w:rPr>
          <w:rFonts w:ascii="Verdana" w:hAnsi="Verdana" w:cs="Arial"/>
          <w:bCs/>
          <w:lang w:eastAsia="es-CO"/>
        </w:rPr>
        <w:t>este concepto, esta última tipología contractual fue creada en la Ley 80 de 1993 y, aunque no la definió ni desarrolló, el Decreto 1082 de 2015 califica a los convenios o contratos interadministrativos como aquella contratación entre Entidades Estatales. De acuerdo con esto,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w:t>
      </w:r>
    </w:p>
    <w:p w14:paraId="56200C67" w14:textId="6556AC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En este sentido, dichos convenios no corresponden a la categoría definida en el 2.2.1.2.1.4.4 del Decreto 1082 de 2015, pues –tomando en consideración el citado artículo 7 de la Ley 2166 de 2021– no implica una contratación entre autoridades del Estado sino un negocio jurídico entre una entidad territorial y una persona jurídica de derecho privado sin ánimo de lucro. Por tanto, los convenios solidarios entre las entidades nacionales</w:t>
      </w:r>
      <w:r w:rsidR="00BC2081" w:rsidRPr="004D4DED">
        <w:rPr>
          <w:rFonts w:ascii="Verdana" w:hAnsi="Verdana" w:cs="Arial"/>
          <w:bCs/>
          <w:lang w:eastAsia="es-CO"/>
        </w:rPr>
        <w:t xml:space="preserve">, Departamental, Distrital y municipal </w:t>
      </w:r>
      <w:r w:rsidRPr="004D4DED">
        <w:rPr>
          <w:rFonts w:ascii="Verdana" w:hAnsi="Verdana" w:cs="Arial"/>
          <w:bCs/>
          <w:lang w:eastAsia="es-CO"/>
        </w:rPr>
        <w:t xml:space="preserve">y los organismos de acción comunal no están dentro de la restricción del artículo 38 de la Ley de Garantías, ya que –de acuerdo con la calidad de las partes– no corresponden a la tipología de contratos o convenios interadministrativos. </w:t>
      </w:r>
    </w:p>
    <w:p w14:paraId="2688A2A3" w14:textId="77777777"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La misma conclusión aplica a los convenios solidarios que, conforme al artículo 3.16 de la Ley 136 de 1994, suscriban los municipios y distritos con las </w:t>
      </w:r>
      <w:r w:rsidRPr="004D4DED">
        <w:rPr>
          <w:rFonts w:ascii="Verdana" w:hAnsi="Verdana" w:cs="Arial"/>
          <w:bCs/>
          <w:lang w:eastAsia="es-CO"/>
        </w:rPr>
        <w:lastRenderedPageBreak/>
        <w:t xml:space="preserve">organizaciones civiles y demás asociaciones residentes en el territorio. Ambas encuentran su fundamento constitucional en el artículo 38 de la Constitución Política en virtud del cual se garantiza el derecho de libre asociación para el desarrollo de las distintas actividades que las personas realizan en sociedad. Asimismo, conforme con el artículo 103 de la Constitución Política son consideradas un mecanismo democrático de representación: “El Estado contribuirá a la organización, promoción y capacitación de las asociaciones profesionales, cívicas, sindicales, comunitarias, juveniles, benéficas o de utilidad común no gubernamentales, sin detrimento de su autonomía con el objeto de que constituyan mecanismos democráticos de representación en las diferentes instancias de participación, concertación, control y vigilancia de la gestión pública que se establezcan”. </w:t>
      </w:r>
    </w:p>
    <w:p w14:paraId="62D40B2C" w14:textId="49234332"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Al respecto, la Corte Constitucional en Sentencia C-580 de 2001, sobre el artículo 103 de la Constitución Política indicó que “De la lectura de este precepto superior no queda la menor duda de que las organizaciones civiles allí enunciadas -entre las cuales se encuentran las asociaciones cívicas y comunales, son auténticos mecanismos de participación de la ciudadanía que proyectan  su objeto en diferentes áreas  del que hacer social, en cuanto constituyen mecanismos democráticos de representación en las distintas instancias de participación, control y vigilancia de la gestión pública” . A diferencia de las sociedades comerciales, estas organizaciones civiles y asociaciones se caracterizan por no tener fines de lucro, en la medida en que el motivo de su constitución está relacionado con actividades para el beneficio colectivo. De esta manera, pueden celebrar convenios en los términos del artículo 355 de la Constitución Política de Colombia y de conformidad con la normativa que reglamenta el mencionado artículo. </w:t>
      </w:r>
    </w:p>
    <w:p w14:paraId="7BBD8D85" w14:textId="6A3CD8CC"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 xml:space="preserve">Para estos efectos, el concepto de organizaciones civiles y asociaciones residentes en el territorio excluye las sociedades comerciales. De acuerdo con el inciso primero del artículo 100 del Código Comercio, “Se tendrán como comerciales, para todos los efectos legales las sociedades que se formen para la ejecución de actos o empresas mercantiles. Si la empresa social comprende actos mercantiles y actos que no tengan esa calidad, la sociedad será comercial. </w:t>
      </w:r>
      <w:r w:rsidRPr="004D4DED">
        <w:rPr>
          <w:rFonts w:ascii="Verdana" w:hAnsi="Verdana" w:cs="Arial"/>
          <w:bCs/>
          <w:lang w:eastAsia="es-CO"/>
        </w:rPr>
        <w:lastRenderedPageBreak/>
        <w:t>Las sociedades que no contemplen en su objeto social actos mercantiles, serán civiles”. Esto significa que dentro del concepto de organizaciones civiles y asociaciones se circunscribe, por ejemplo, a las personas jurídicas de derecho privado sin ánimo de lucro previstas en los artículos 633 y siguientes del Código Civil, esto es, las corporaciones y fundaciones de beneficencia pública. Incluso, se extiende de los organismos de la economía solidaria de la Ley 454 de 1998 conformadas por particulares, pues también son sujetos de derecho privado sin ánimo de lucro. Desde esta perspectiva, estas organizaciones y asociaciones civiles tampoco tienen la naturaleza de entidades públicas y, por tanto, los convenios celebrados no serían interadministrativos.</w:t>
      </w:r>
    </w:p>
    <w:p w14:paraId="1949CF62" w14:textId="3B56043E" w:rsidR="008947A6" w:rsidRPr="004D4DED" w:rsidRDefault="008947A6" w:rsidP="00BC2081">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En consecuencia, 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ibidem, 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p>
    <w:p w14:paraId="23B624A1" w14:textId="47EAAB16" w:rsidR="008947A6" w:rsidRPr="004D4DED" w:rsidRDefault="008947A6" w:rsidP="008947A6">
      <w:pPr>
        <w:tabs>
          <w:tab w:val="left" w:pos="426"/>
        </w:tabs>
        <w:spacing w:before="240" w:line="276" w:lineRule="auto"/>
        <w:ind w:firstLine="709"/>
        <w:jc w:val="both"/>
        <w:rPr>
          <w:rFonts w:ascii="Verdana" w:hAnsi="Verdana" w:cs="Arial"/>
          <w:bCs/>
          <w:lang w:eastAsia="es-CO"/>
        </w:rPr>
      </w:pPr>
      <w:r w:rsidRPr="004D4DED">
        <w:rPr>
          <w:rFonts w:ascii="Verdana" w:hAnsi="Verdana" w:cs="Arial"/>
          <w:bCs/>
          <w:lang w:eastAsia="es-CO"/>
        </w:rPr>
        <w:t>En consecuencia, 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ibidem, 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r w:rsidR="00BC2081" w:rsidRPr="004D4DED">
        <w:rPr>
          <w:rFonts w:ascii="Verdana" w:hAnsi="Verdana" w:cs="Arial"/>
          <w:bCs/>
          <w:lang w:eastAsia="es-CO"/>
        </w:rPr>
        <w:t xml:space="preserve">, por ello, deberá la Entidad verificar la naturaleza del convenio o contrato interadministrativo a celebrar para identificar sí es de los que se encuentra incurso en la prohibición legal establecida en la Ley </w:t>
      </w:r>
      <w:r w:rsidR="00BC2081" w:rsidRPr="004D4DED">
        <w:rPr>
          <w:rFonts w:ascii="Verdana" w:hAnsi="Verdana" w:cs="Arial"/>
          <w:bCs/>
          <w:lang w:eastAsia="es-CO"/>
        </w:rPr>
        <w:lastRenderedPageBreak/>
        <w:t xml:space="preserve">de Garantías Electorales, atendiendo a las precisiones y normas indicadas en este concepto. </w:t>
      </w:r>
    </w:p>
    <w:bookmarkEnd w:id="20"/>
    <w:p w14:paraId="1D549E5E" w14:textId="260903F1" w:rsidR="00871B59" w:rsidRPr="004D4DED" w:rsidRDefault="00871B59" w:rsidP="00983695">
      <w:pPr>
        <w:spacing w:after="0" w:line="276" w:lineRule="auto"/>
        <w:ind w:firstLine="708"/>
        <w:jc w:val="both"/>
        <w:rPr>
          <w:rFonts w:ascii="Verdana" w:eastAsia="Calibri" w:hAnsi="Verdana" w:cs="Arial"/>
          <w:lang w:val="es-ES"/>
        </w:rPr>
      </w:pPr>
      <w:r w:rsidRPr="004D4DED">
        <w:rPr>
          <w:rFonts w:ascii="Verdana" w:eastAsia="Times New Roman" w:hAnsi="Verdana" w:cs="Arial"/>
          <w:lang w:val="es-ES" w:eastAsia="es-ES"/>
        </w:rPr>
        <w:t xml:space="preserve">Sin perjuicio de lo anterior debe advertirse que el análisis requerido para establecer si a determinado objeto contractual le aplica o no un documento tipo debe ser realizado por la entidad contratante en consideración a las particularidades y especificaciones del respectivo objeto contractual, de acuerdo con lo explicado </w:t>
      </w:r>
      <w:r w:rsidRPr="004D4DED">
        <w:rPr>
          <w:rFonts w:ascii="Verdana" w:eastAsia="Times New Roman" w:hAnsi="Verdana" w:cs="Arial"/>
          <w:i/>
          <w:iCs/>
          <w:lang w:val="es-ES" w:eastAsia="es-ES"/>
        </w:rPr>
        <w:t>supra</w:t>
      </w:r>
      <w:r w:rsidRPr="004D4DED">
        <w:rPr>
          <w:rFonts w:ascii="Verdana" w:eastAsia="Times New Roman" w:hAnsi="Verdana" w:cs="Arial"/>
          <w:lang w:val="es-ES" w:eastAsia="es-ES"/>
        </w:rPr>
        <w:t xml:space="preserve">. De esta manera, lo explicado en el presente concepto no puede ser interpretado como un pronunciamiento respecto del objeto contractual aludido en la petición, ni las afirmaciones aquí realizadas pueden ser interpretadas como juicios de valor sobre circunstancias relacionadas con los hechos que motivan la petición. </w:t>
      </w:r>
    </w:p>
    <w:p w14:paraId="524C4581" w14:textId="77777777" w:rsidR="00871B59" w:rsidRDefault="00871B59" w:rsidP="00871B59">
      <w:pPr>
        <w:widowControl w:val="0"/>
        <w:autoSpaceDE w:val="0"/>
        <w:autoSpaceDN w:val="0"/>
        <w:spacing w:after="0" w:line="276" w:lineRule="auto"/>
        <w:jc w:val="both"/>
        <w:rPr>
          <w:rFonts w:ascii="Verdana" w:hAnsi="Verdana" w:cs="Arial"/>
        </w:rPr>
      </w:pPr>
    </w:p>
    <w:p w14:paraId="022D8203" w14:textId="77777777" w:rsidR="001801A4" w:rsidRPr="004D4DED" w:rsidRDefault="001801A4" w:rsidP="00871B59">
      <w:pPr>
        <w:widowControl w:val="0"/>
        <w:autoSpaceDE w:val="0"/>
        <w:autoSpaceDN w:val="0"/>
        <w:spacing w:after="0" w:line="276" w:lineRule="auto"/>
        <w:jc w:val="both"/>
        <w:rPr>
          <w:rFonts w:ascii="Verdana" w:hAnsi="Verdana" w:cs="Arial"/>
        </w:rPr>
      </w:pPr>
    </w:p>
    <w:p w14:paraId="53133908" w14:textId="6530669E" w:rsidR="00871B59" w:rsidRDefault="00871B59" w:rsidP="001801A4">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4D4DED">
        <w:rPr>
          <w:rFonts w:ascii="Verdana" w:eastAsia="Century Gothic" w:hAnsi="Verdana" w:cs="Century Gothic"/>
          <w:b/>
          <w:bCs/>
          <w:lang w:val="es-ES"/>
        </w:rPr>
        <w:t>Referencias</w:t>
      </w:r>
      <w:r w:rsidRPr="001801A4">
        <w:rPr>
          <w:rFonts w:ascii="Verdana" w:eastAsia="Century Gothic" w:hAnsi="Verdana" w:cs="Century Gothic"/>
          <w:b/>
          <w:bCs/>
          <w:lang w:val="es-ES"/>
        </w:rPr>
        <w:t xml:space="preserve"> normativas, jurisprudenciales y otras fuentes:</w:t>
      </w:r>
    </w:p>
    <w:p w14:paraId="2D5C83B1" w14:textId="77777777" w:rsidR="001801A4" w:rsidRPr="001801A4" w:rsidRDefault="001801A4" w:rsidP="001801A4">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237FD993" w14:textId="77777777" w:rsidR="00871B59" w:rsidRPr="004D4DED"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D4DED" w:rsidRPr="004D4DED" w14:paraId="150F7C2A" w14:textId="77777777">
        <w:trPr>
          <w:trHeight w:val="870"/>
        </w:trPr>
        <w:tc>
          <w:tcPr>
            <w:tcW w:w="8647" w:type="dxa"/>
          </w:tcPr>
          <w:p w14:paraId="725EB65A" w14:textId="77777777" w:rsidR="009B7F80" w:rsidRPr="009B7F80"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Constitución Política de Colombia, artículo 190.</w:t>
            </w:r>
          </w:p>
          <w:p w14:paraId="2EDAA51C" w14:textId="6EE2216F" w:rsidR="009B7F80" w:rsidRPr="004D4DED"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4D4DED">
              <w:rPr>
                <w:rFonts w:ascii="Verdana" w:hAnsi="Verdana" w:cs="Arial"/>
              </w:rPr>
              <w:t>Ley 996 de 2005, artículos 33 y 38.</w:t>
            </w:r>
          </w:p>
          <w:p w14:paraId="473E5C60" w14:textId="77777777" w:rsidR="009B7F80" w:rsidRPr="009B7F80"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Decreto 1082 de 2015.</w:t>
            </w:r>
          </w:p>
          <w:p w14:paraId="3E6AAD96" w14:textId="77777777" w:rsidR="009B7F80" w:rsidRPr="009B7F80"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Ley 2166 de 2021, artículo 95.</w:t>
            </w:r>
          </w:p>
          <w:p w14:paraId="1D921DC0" w14:textId="77777777" w:rsidR="009B7F80" w:rsidRPr="004D4DED"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Ley 136 de 1994, artículo 6, modificado por el artículo 6 de la Ley 1551 de 2021.</w:t>
            </w:r>
          </w:p>
          <w:p w14:paraId="35DA9F20" w14:textId="77777777" w:rsidR="009B7F80" w:rsidRPr="009B7F80"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Sentencia C-1153 de 2005 de la Corte Constitucional.</w:t>
            </w:r>
          </w:p>
          <w:p w14:paraId="1F175655" w14:textId="77777777" w:rsidR="009B7F80" w:rsidRPr="009B7F80"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Sentencia C-671 de 2015 de la Corte Constitucional.</w:t>
            </w:r>
          </w:p>
          <w:p w14:paraId="5D57CE33" w14:textId="77777777" w:rsidR="009B7F80" w:rsidRPr="009B7F80"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Sentencia C-580 de 2001 de la Corte Constitucional.</w:t>
            </w:r>
          </w:p>
          <w:p w14:paraId="159CA7B6" w14:textId="1BCCE18E" w:rsidR="009B7F80" w:rsidRPr="009B7F80"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Conceptos de la Sala de Consulta y Servicio Civil del Consejo de Estado: Radicación 1727 de 2006, Radicación 1738 de 2006, 4 de febrero de 2010, 2 de septiembre de 2013</w:t>
            </w:r>
            <w:r w:rsidRPr="004D4DED">
              <w:rPr>
                <w:rFonts w:ascii="Verdana" w:hAnsi="Verdana" w:cs="Arial"/>
              </w:rPr>
              <w:t>.</w:t>
            </w:r>
          </w:p>
          <w:p w14:paraId="0C43A579" w14:textId="010E7358" w:rsidR="009B7F80" w:rsidRPr="004D4DED"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 xml:space="preserve">Circular Externa Única del 27 de diciembre de 2023. Disponible en: </w:t>
            </w:r>
            <w:r w:rsidRPr="004D4DED">
              <w:rPr>
                <w:rFonts w:ascii="Verdana" w:hAnsi="Verdana" w:cs="Arial"/>
              </w:rPr>
              <w:t>https://www.colombiacompra.gov.co/sites/cce_public/files/cce_circulares/circular_externa_unica_version_3_vf49.pdf</w:t>
            </w:r>
          </w:p>
          <w:p w14:paraId="5B8C9DE1" w14:textId="77777777" w:rsidR="009B7F80" w:rsidRPr="004D4DED"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 xml:space="preserve">Jurisprudencia del Consejo de Estado. Disponible en: </w:t>
            </w:r>
            <w:r w:rsidRPr="004D4DED">
              <w:rPr>
                <w:rFonts w:ascii="Verdana" w:hAnsi="Verdana" w:cs="Arial"/>
              </w:rPr>
              <w:t>https://relatoria.colombiacompra.gov.co/providencias-consejo-de-</w:t>
            </w:r>
            <w:r w:rsidRPr="004D4DED">
              <w:rPr>
                <w:rFonts w:ascii="Verdana" w:hAnsi="Verdana" w:cs="Arial"/>
              </w:rPr>
              <w:lastRenderedPageBreak/>
              <w:t xml:space="preserve">estado/ </w:t>
            </w:r>
          </w:p>
          <w:p w14:paraId="6ACEA7FD" w14:textId="3E264C0E" w:rsidR="009B7F80" w:rsidRPr="004D4DED" w:rsidRDefault="009B7F80" w:rsidP="009B7F80">
            <w:pPr>
              <w:pStyle w:val="Prrafodelista"/>
              <w:widowControl w:val="0"/>
              <w:numPr>
                <w:ilvl w:val="0"/>
                <w:numId w:val="10"/>
              </w:numPr>
              <w:autoSpaceDE w:val="0"/>
              <w:autoSpaceDN w:val="0"/>
              <w:spacing w:after="120" w:line="276" w:lineRule="auto"/>
              <w:jc w:val="both"/>
              <w:rPr>
                <w:rFonts w:ascii="Verdana" w:hAnsi="Verdana" w:cs="Arial"/>
              </w:rPr>
            </w:pPr>
            <w:r w:rsidRPr="009B7F80">
              <w:rPr>
                <w:rFonts w:ascii="Verdana" w:hAnsi="Verdana" w:cs="Arial"/>
              </w:rPr>
              <w:t xml:space="preserve">Guías y manuales expedidos por la Agencia Nacional de Contratación Pública – Colombia Compra Eficiente. Disponible en: </w:t>
            </w:r>
            <w:hyperlink r:id="rId12" w:history="1">
              <w:r w:rsidRPr="004D4DED">
                <w:rPr>
                  <w:rStyle w:val="Hipervnculo"/>
                  <w:rFonts w:ascii="Verdana" w:hAnsi="Verdana" w:cs="Arial"/>
                  <w:color w:val="auto"/>
                </w:rPr>
                <w:t>https://www.colombiacompra.gov.co/manuales-guias-y-pliegos-tipo/manuales-y-guias</w:t>
              </w:r>
            </w:hyperlink>
          </w:p>
        </w:tc>
      </w:tr>
    </w:tbl>
    <w:p w14:paraId="0E1B166D" w14:textId="77777777" w:rsidR="00871B59" w:rsidRPr="004D4DED"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4D4DED"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4D4DED">
        <w:rPr>
          <w:rFonts w:ascii="Verdana" w:eastAsia="Century Gothic" w:hAnsi="Verdana" w:cs="Century Gothic"/>
          <w:b/>
          <w:bCs/>
          <w:lang w:val="es-ES"/>
        </w:rPr>
        <w:t>Doctrina de la Agencia Nacional de Contratación Pública:</w:t>
      </w:r>
    </w:p>
    <w:p w14:paraId="41294D6D" w14:textId="77777777" w:rsidR="00871B59" w:rsidRPr="004D4DED" w:rsidRDefault="00871B59" w:rsidP="00871B59">
      <w:pPr>
        <w:widowControl w:val="0"/>
        <w:autoSpaceDE w:val="0"/>
        <w:autoSpaceDN w:val="0"/>
        <w:spacing w:after="0" w:line="276" w:lineRule="auto"/>
        <w:jc w:val="both"/>
        <w:rPr>
          <w:rFonts w:ascii="Verdana" w:hAnsi="Verdana" w:cs="Arial"/>
        </w:rPr>
      </w:pPr>
    </w:p>
    <w:p w14:paraId="688C30E7" w14:textId="7316F4AA" w:rsidR="00871B59" w:rsidRPr="004D4DED" w:rsidRDefault="00871B59" w:rsidP="00871B59">
      <w:pPr>
        <w:widowControl w:val="0"/>
        <w:autoSpaceDE w:val="0"/>
        <w:autoSpaceDN w:val="0"/>
        <w:spacing w:after="0" w:line="276" w:lineRule="auto"/>
        <w:jc w:val="both"/>
        <w:rPr>
          <w:rStyle w:val="normaltextrun"/>
          <w:rFonts w:ascii="Verdana" w:hAnsi="Verdana" w:cs="Arial"/>
          <w:shd w:val="clear" w:color="auto" w:fill="FFFFFF"/>
          <w:lang w:val="es-ES"/>
        </w:rPr>
      </w:pPr>
      <w:r w:rsidRPr="004D4DED">
        <w:rPr>
          <w:rStyle w:val="normaltextrun"/>
          <w:rFonts w:ascii="Verdana" w:hAnsi="Verdana" w:cs="Arial"/>
          <w:shd w:val="clear" w:color="auto" w:fill="FFFFFF"/>
          <w:lang w:val="es-ES"/>
        </w:rPr>
        <w:t xml:space="preserve">Sobre </w:t>
      </w:r>
      <w:r w:rsidR="005F61B2">
        <w:rPr>
          <w:rStyle w:val="normaltextrun"/>
          <w:rFonts w:ascii="Verdana" w:hAnsi="Verdana" w:cs="Arial"/>
          <w:shd w:val="clear" w:color="auto" w:fill="FFFFFF"/>
          <w:lang w:val="es-ES"/>
        </w:rPr>
        <w:t xml:space="preserve">las restricciones de la contratación directa y los convenios y contratos interadministrativos en vigencia de la Ley de Garantías Electorales </w:t>
      </w:r>
      <w:r w:rsidRPr="004D4DED">
        <w:rPr>
          <w:rStyle w:val="normaltextrun"/>
          <w:rFonts w:ascii="Verdana" w:hAnsi="Verdana" w:cs="Arial"/>
          <w:shd w:val="clear" w:color="auto" w:fill="FFFFFF"/>
          <w:lang w:val="es-ES"/>
        </w:rPr>
        <w:t>se pronunció esta Subdirección en los conceptos</w:t>
      </w:r>
      <w:r w:rsidRPr="004D4DED">
        <w:rPr>
          <w:rStyle w:val="normaltextrun"/>
          <w:rFonts w:ascii="Verdana" w:hAnsi="Verdana" w:cs="Calibri"/>
          <w:shd w:val="clear" w:color="auto" w:fill="FFFFFF"/>
        </w:rPr>
        <w:t xml:space="preserve"> </w:t>
      </w:r>
      <w:r w:rsidRPr="004D4DED">
        <w:rPr>
          <w:rStyle w:val="normaltextrun"/>
          <w:rFonts w:ascii="Verdana" w:hAnsi="Verdana" w:cs="Arial"/>
          <w:shd w:val="clear" w:color="auto" w:fill="FFFFFF"/>
          <w:lang w:val="es-ES"/>
        </w:rPr>
        <w:t>C</w:t>
      </w:r>
      <w:r w:rsidR="009B7F80" w:rsidRPr="004D4DED">
        <w:rPr>
          <w:rFonts w:ascii="Arial" w:eastAsia="Calibri" w:hAnsi="Arial" w:cs="Arial"/>
          <w:lang w:eastAsia="en-GB"/>
        </w:rPr>
        <w:t xml:space="preserve"> C-168 del 14 de abril de 2021, </w:t>
      </w:r>
      <w:r w:rsidR="009B7F80" w:rsidRPr="004D4DED">
        <w:rPr>
          <w:rFonts w:ascii="Arial" w:eastAsia="Calibri" w:hAnsi="Arial" w:cs="Arial"/>
          <w:lang w:val="es-ES" w:eastAsia="es-ES_tradnl"/>
        </w:rPr>
        <w:t xml:space="preserve">C-585 de 15 de octubre de 2021, C-639 del 14 de marzo de 2021, </w:t>
      </w:r>
      <w:r w:rsidR="009B7F80" w:rsidRPr="004D4DED">
        <w:rPr>
          <w:rFonts w:ascii="Arial" w:eastAsia="Calibri" w:hAnsi="Arial" w:cs="Arial"/>
          <w:lang w:eastAsia="en-GB"/>
        </w:rPr>
        <w:t xml:space="preserve">C-664 del 1° de septiembre de 2022, </w:t>
      </w:r>
      <w:r w:rsidR="009B7F80" w:rsidRPr="004D4DED">
        <w:rPr>
          <w:rFonts w:ascii="Arial" w:eastAsia="Calibri" w:hAnsi="Arial" w:cs="Arial"/>
          <w:lang w:val="es-ES" w:eastAsia="es-ES_tradnl"/>
        </w:rPr>
        <w:t>C-771 del 29 de diciembre de 2022, analizó el régimen de los contratos y los convenios. Por otra parte, en los Conceptos No. 4201913000006135 del 10 de septiembre de 2019,</w:t>
      </w:r>
      <w:r w:rsidR="009B7F80" w:rsidRPr="004D4DED">
        <w:rPr>
          <w:rFonts w:ascii="Arial" w:eastAsia="Times New Roman" w:hAnsi="Arial" w:cs="Arial"/>
          <w:lang w:eastAsia="es-ES_tradnl"/>
        </w:rPr>
        <w:t xml:space="preserve"> </w:t>
      </w:r>
      <w:r w:rsidR="009B7F80" w:rsidRPr="004D4DED">
        <w:rPr>
          <w:rFonts w:ascii="Arial" w:eastAsia="Calibri" w:hAnsi="Arial" w:cs="Arial"/>
          <w:lang w:val="es-ES" w:eastAsia="es-ES_tradnl"/>
        </w:rPr>
        <w:t xml:space="preserve">4201912000004117 del 17 de septiembre de 2019, C-140 del 31 de abril de 2020, C-223 del 29 de abril de 2020, C-477 del 27 de julio de 2020, C-656 del 17 de noviembre de 2020, C-763 del 7 de enero de 2021, C-785 del 18 de enero de 2021, C-155 del 14 de abril de 2021, C-364 del 28 de julio de 2021, C-394 del 17 de septiembre de 2021, C-627 del 25 de octubre de 2021, C-002 del 15 de febrero de 2022, C-008 del 25 de febrero de 2022, C-079 del 18 de marzo de 2022, C-092 del 16 de marzo de 2022, C-107 del 18 de marzo de 2022, C-116 del 18 de febrero de 2022, C-119 del 25 de marzo de 2022, C-177 del 8 de abril de 2022, C-185 del 12 de abril de 2022, C-333 del 24 de mayo de 2022, C-390 del 21 de junio de 2022, C-404 del 26 de mayo de 2022, C-435 del 6 de julio de 2022, C-455 del 15 de julio de 2022, C-465 del 21 de julio de 2022, C-559 del 2 de septiembre de 2022, 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 y C-068 del 9 de marzo de 2023 y C-40 del 22 de marzo de 2023 </w:t>
      </w:r>
      <w:r w:rsidR="005F61B2">
        <w:rPr>
          <w:rStyle w:val="normaltextrun"/>
          <w:rFonts w:ascii="Verdana" w:hAnsi="Verdana" w:cs="Arial"/>
          <w:shd w:val="clear" w:color="auto" w:fill="FFFFFF"/>
          <w:lang w:val="es-ES"/>
        </w:rPr>
        <w:t xml:space="preserve">, </w:t>
      </w:r>
      <w:r w:rsidR="004D4DED" w:rsidRPr="004D4DED">
        <w:rPr>
          <w:rFonts w:ascii="Arial" w:eastAsia="Arial" w:hAnsi="Arial" w:cs="Arial"/>
          <w:lang w:val="es-ES_tradnl"/>
        </w:rPr>
        <w:t xml:space="preserve">4201912000004632 del 6 de agosto de 2019, 2201913000005655 del 8 de agosto de 2019, 2201913000006283 del 27 de agosto de 2019, 2201913000006521 del 3 de septiembre de 2019, 2201913000006634 del 6 de septiembre de 2019, 2201913000006639 del 9 de septiembre de 2019, 2201913000007430 del 7 de octubre de 2019, 2201913000007565 del 10 de octubre de 2019, 2201913000008259 del 6 de noviembre de 2019, 2201913000009312 del 17 de diciembre de 2019, </w:t>
      </w:r>
      <w:r w:rsidR="004D4DED" w:rsidRPr="004D4DED">
        <w:rPr>
          <w:rFonts w:ascii="Arial" w:eastAsia="Calibri" w:hAnsi="Arial" w:cs="Arial"/>
          <w:bCs/>
          <w:lang w:val="es-ES_tradnl"/>
        </w:rPr>
        <w:t xml:space="preserve">C-074 del 17 de marzo de 2021, C-075 </w:t>
      </w:r>
      <w:r w:rsidR="004D4DED" w:rsidRPr="004D4DED">
        <w:rPr>
          <w:rFonts w:ascii="Arial" w:eastAsia="Calibri" w:hAnsi="Arial" w:cs="Arial"/>
          <w:bCs/>
          <w:lang w:val="es-ES_tradnl"/>
        </w:rPr>
        <w:lastRenderedPageBreak/>
        <w:t xml:space="preserve">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C-677 del 4 de diciembre de 2021, C-695 del 22 de diciembre de 2021, </w:t>
      </w:r>
      <w:r w:rsidR="004D4DED" w:rsidRPr="004D4DED">
        <w:rPr>
          <w:rFonts w:ascii="Arial" w:eastAsia="Calibri" w:hAnsi="Arial" w:cs="Arial"/>
          <w:bCs/>
        </w:rPr>
        <w:t xml:space="preserve">C-015 del 12 de enero de 2022, C-037 del 21 de enero de 2022, </w:t>
      </w:r>
      <w:r w:rsidR="004D4DED" w:rsidRPr="004D4DED">
        <w:rPr>
          <w:rFonts w:ascii="Arial" w:eastAsia="Calibri" w:hAnsi="Arial" w:cs="Arial"/>
          <w:lang w:val="es-ES_tradnl"/>
        </w:rPr>
        <w:t xml:space="preserve">C-715 del 21 de enero de 2022, C-718 del 24 de enero de 2022, C-726 del 24 de enero de 2022, C-014 de 18 de febrero de 2022, C- 023 del 22 de febrero de 2022, </w:t>
      </w:r>
      <w:r w:rsidR="004D4DED" w:rsidRPr="004D4DED">
        <w:rPr>
          <w:rFonts w:ascii="Arial" w:eastAsia="Calibri" w:hAnsi="Arial" w:cs="Arial"/>
          <w:bCs/>
        </w:rPr>
        <w:t xml:space="preserve">C-107 del 18 de marzo de 2022, C-122 del 18 de marzo de 2022, C-156 del 28 de marzo de 2022 y C-183 del 7 de abril de 2022. </w:t>
      </w:r>
      <w:r w:rsidRPr="004D4DED">
        <w:rPr>
          <w:rStyle w:val="normaltextrun"/>
          <w:rFonts w:ascii="Verdana" w:hAnsi="Verdana" w:cs="Arial"/>
          <w:shd w:val="clear" w:color="auto" w:fill="FFFFFF"/>
          <w:lang w:val="es-ES"/>
        </w:rPr>
        <w:t xml:space="preserve"> Es</w:t>
      </w:r>
      <w:r w:rsidRPr="004D4DED">
        <w:rPr>
          <w:rFonts w:ascii="Verdana" w:hAnsi="Verdana"/>
        </w:rPr>
        <w:t>tos y otros conceptos se encuentran disponibles para consulta en el Sistema de relatoría de la Agencia, al cual se puede acceder a través del siguiente enlace:</w:t>
      </w:r>
      <w:r w:rsidRPr="004D4DED">
        <w:rPr>
          <w:rStyle w:val="normaltextrun"/>
          <w:rFonts w:ascii="Verdana" w:hAnsi="Verdana" w:cs="Arial"/>
          <w:shd w:val="clear" w:color="auto" w:fill="FFFFFF"/>
          <w:lang w:val="es-ES"/>
        </w:rPr>
        <w:t xml:space="preserve"> </w:t>
      </w:r>
      <w:hyperlink r:id="rId13" w:history="1">
        <w:r w:rsidRPr="004D4DED">
          <w:rPr>
            <w:rStyle w:val="Hipervnculo"/>
            <w:rFonts w:ascii="Verdana" w:hAnsi="Verdana" w:cs="Arial"/>
            <w:color w:val="auto"/>
            <w:shd w:val="clear" w:color="auto" w:fill="FFFFFF"/>
            <w:lang w:val="es-ES"/>
          </w:rPr>
          <w:t>https://relatoria.colombiacompra.gov.co/busqueda/conceptos</w:t>
        </w:r>
      </w:hyperlink>
      <w:r w:rsidRPr="004D4DED">
        <w:rPr>
          <w:rStyle w:val="normaltextrun"/>
          <w:rFonts w:ascii="Verdana" w:hAnsi="Verdana" w:cs="Arial"/>
          <w:shd w:val="clear" w:color="auto" w:fill="FFFFFF"/>
          <w:lang w:val="es-ES"/>
        </w:rPr>
        <w:t xml:space="preserve">. </w:t>
      </w:r>
    </w:p>
    <w:p w14:paraId="653CF3BE" w14:textId="77777777" w:rsidR="00871B59" w:rsidRPr="004D4DED" w:rsidRDefault="00871B59" w:rsidP="00871B59">
      <w:pPr>
        <w:widowControl w:val="0"/>
        <w:autoSpaceDE w:val="0"/>
        <w:autoSpaceDN w:val="0"/>
        <w:spacing w:after="0" w:line="276" w:lineRule="auto"/>
        <w:jc w:val="both"/>
        <w:rPr>
          <w:rStyle w:val="normaltextrun"/>
          <w:rFonts w:ascii="Verdana" w:hAnsi="Verdana" w:cs="Arial"/>
          <w:shd w:val="clear" w:color="auto" w:fill="FFFFFF"/>
          <w:lang w:val="es-ES"/>
        </w:rPr>
      </w:pPr>
    </w:p>
    <w:p w14:paraId="787E2BCC" w14:textId="77777777" w:rsidR="001801A4" w:rsidRDefault="001801A4" w:rsidP="00871B59">
      <w:pPr>
        <w:widowControl w:val="0"/>
        <w:autoSpaceDE w:val="0"/>
        <w:autoSpaceDN w:val="0"/>
        <w:spacing w:after="0" w:line="276" w:lineRule="auto"/>
        <w:jc w:val="both"/>
        <w:rPr>
          <w:rStyle w:val="normaltextrun"/>
          <w:rFonts w:ascii="Verdana" w:hAnsi="Verdana" w:cs="Arial"/>
          <w:shd w:val="clear" w:color="auto" w:fill="FFFFFF"/>
          <w:lang w:val="es-ES"/>
        </w:rPr>
      </w:pPr>
    </w:p>
    <w:p w14:paraId="6E5FBA74" w14:textId="5134FA96" w:rsidR="00871B59" w:rsidRPr="004D4DED" w:rsidRDefault="00871B59" w:rsidP="00871B59">
      <w:pPr>
        <w:widowControl w:val="0"/>
        <w:autoSpaceDE w:val="0"/>
        <w:autoSpaceDN w:val="0"/>
        <w:spacing w:after="0" w:line="276" w:lineRule="auto"/>
        <w:jc w:val="both"/>
        <w:rPr>
          <w:rStyle w:val="normaltextrun"/>
          <w:rFonts w:ascii="Verdana" w:hAnsi="Verdana" w:cs="Arial"/>
          <w:shd w:val="clear" w:color="auto" w:fill="FFFFFF"/>
          <w:lang w:val="es-ES"/>
        </w:rPr>
      </w:pPr>
      <w:r w:rsidRPr="004D4DED">
        <w:rPr>
          <w:rStyle w:val="normaltextrun"/>
          <w:rFonts w:ascii="Verdana" w:hAnsi="Verdana" w:cs="Arial"/>
          <w:shd w:val="clear" w:color="auto" w:fill="FFFFFF"/>
          <w:lang w:val="es-ES"/>
        </w:rPr>
        <w:t xml:space="preserve">También le invitamos a consultar las versiones I y II de 2024 del Boletín de Relatoría de la Subdirección de Gestión Contractual, las cuales puede descargar en la página web de la Agencia: </w:t>
      </w:r>
      <w:hyperlink r:id="rId14" w:history="1">
        <w:r w:rsidRPr="004D4DED">
          <w:rPr>
            <w:rStyle w:val="Hipervnculo"/>
            <w:rFonts w:ascii="Verdana" w:hAnsi="Verdana" w:cs="Arial"/>
            <w:color w:val="auto"/>
            <w:shd w:val="clear" w:color="auto" w:fill="FFFFFF"/>
            <w:lang w:val="es-ES"/>
          </w:rPr>
          <w:t>https://www.colombiacompra.gov.co/sala-de-prensa/boletin-digital</w:t>
        </w:r>
      </w:hyperlink>
      <w:r w:rsidRPr="004D4DED">
        <w:rPr>
          <w:rStyle w:val="normaltextrun"/>
          <w:rFonts w:ascii="Verdana" w:hAnsi="Verdana" w:cs="Arial"/>
          <w:shd w:val="clear" w:color="auto" w:fill="FFFFFF"/>
          <w:lang w:val="es-ES"/>
        </w:rPr>
        <w:t xml:space="preserve">      </w:t>
      </w:r>
    </w:p>
    <w:p w14:paraId="1570ED43" w14:textId="77777777" w:rsidR="008815E5" w:rsidRPr="004D4DED" w:rsidRDefault="008815E5" w:rsidP="008815E5">
      <w:pPr>
        <w:spacing w:after="0" w:line="240" w:lineRule="auto"/>
        <w:jc w:val="both"/>
        <w:rPr>
          <w:rFonts w:ascii="Verdana" w:hAnsi="Verdana"/>
        </w:rPr>
      </w:pPr>
      <w:r w:rsidRPr="004D4DED">
        <w:rPr>
          <w:rFonts w:ascii="Verdana" w:hAnsi="Verdana"/>
        </w:rPr>
        <w:t xml:space="preserve">Por último, lo invitamos a seguirnos en las redes sociales en las cuales se difunde información institucional: </w:t>
      </w:r>
    </w:p>
    <w:p w14:paraId="284AF384" w14:textId="77777777" w:rsidR="008815E5" w:rsidRPr="004D4DED" w:rsidRDefault="008815E5" w:rsidP="008815E5">
      <w:pPr>
        <w:spacing w:after="0" w:line="240" w:lineRule="auto"/>
        <w:jc w:val="both"/>
        <w:rPr>
          <w:rFonts w:ascii="Verdana" w:hAnsi="Verdana"/>
        </w:rPr>
      </w:pPr>
    </w:p>
    <w:p w14:paraId="47AC98B5" w14:textId="77777777" w:rsidR="001801A4" w:rsidRDefault="001801A4" w:rsidP="008815E5">
      <w:pPr>
        <w:spacing w:after="0" w:line="240" w:lineRule="auto"/>
        <w:jc w:val="both"/>
        <w:rPr>
          <w:rFonts w:ascii="Verdana" w:hAnsi="Verdana"/>
        </w:rPr>
      </w:pPr>
    </w:p>
    <w:p w14:paraId="5E6CD010" w14:textId="1B63331D" w:rsidR="008815E5" w:rsidRPr="004D4DED" w:rsidRDefault="008815E5" w:rsidP="008815E5">
      <w:pPr>
        <w:spacing w:after="0" w:line="240" w:lineRule="auto"/>
        <w:jc w:val="both"/>
        <w:rPr>
          <w:rFonts w:ascii="Verdana" w:hAnsi="Verdana"/>
        </w:rPr>
      </w:pPr>
      <w:r w:rsidRPr="004D4DED">
        <w:rPr>
          <w:rFonts w:ascii="Verdana" w:hAnsi="Verdana"/>
        </w:rPr>
        <w:t xml:space="preserve">Twitter: </w:t>
      </w:r>
      <w:r w:rsidRPr="004D4DED">
        <w:rPr>
          <w:rStyle w:val="Hipervnculo"/>
          <w:rFonts w:ascii="Verdana" w:hAnsi="Verdana"/>
          <w:color w:val="auto"/>
        </w:rPr>
        <w:t>@colombiacompra</w:t>
      </w:r>
      <w:r w:rsidRPr="004D4DED">
        <w:rPr>
          <w:rFonts w:ascii="Verdana" w:hAnsi="Verdana"/>
        </w:rPr>
        <w:t xml:space="preserve"> </w:t>
      </w:r>
    </w:p>
    <w:p w14:paraId="0F76F019" w14:textId="77777777" w:rsidR="008815E5" w:rsidRPr="004D4DED" w:rsidRDefault="008815E5" w:rsidP="008815E5">
      <w:pPr>
        <w:spacing w:after="0" w:line="240" w:lineRule="auto"/>
        <w:jc w:val="both"/>
        <w:rPr>
          <w:rFonts w:ascii="Verdana" w:hAnsi="Verdana"/>
        </w:rPr>
      </w:pPr>
      <w:r w:rsidRPr="004D4DED">
        <w:rPr>
          <w:rFonts w:ascii="Verdana" w:hAnsi="Verdana"/>
        </w:rPr>
        <w:t xml:space="preserve">Facebook: </w:t>
      </w:r>
      <w:r w:rsidRPr="004D4DED">
        <w:rPr>
          <w:rStyle w:val="Hipervnculo"/>
          <w:rFonts w:ascii="Verdana" w:hAnsi="Verdana"/>
          <w:color w:val="auto"/>
        </w:rPr>
        <w:t>ColombiaCompraEficiente</w:t>
      </w:r>
    </w:p>
    <w:p w14:paraId="60E5B357" w14:textId="77777777" w:rsidR="008815E5" w:rsidRPr="004D4DED" w:rsidRDefault="008815E5" w:rsidP="008815E5">
      <w:pPr>
        <w:spacing w:after="0" w:line="240" w:lineRule="auto"/>
        <w:jc w:val="both"/>
        <w:rPr>
          <w:rFonts w:ascii="Verdana" w:hAnsi="Verdana"/>
        </w:rPr>
      </w:pPr>
      <w:r w:rsidRPr="004D4DED">
        <w:rPr>
          <w:rFonts w:ascii="Verdana" w:hAnsi="Verdana"/>
        </w:rPr>
        <w:t xml:space="preserve">LinkedIn: </w:t>
      </w:r>
      <w:r w:rsidRPr="004D4DED">
        <w:rPr>
          <w:rStyle w:val="Hipervnculo"/>
          <w:rFonts w:ascii="Verdana" w:hAnsi="Verdana"/>
          <w:color w:val="auto"/>
        </w:rPr>
        <w:t>Agencia Nacional de Contratación Pública - Colombia Compra Eficiente</w:t>
      </w:r>
      <w:r w:rsidRPr="004D4DED">
        <w:rPr>
          <w:rFonts w:ascii="Verdana" w:hAnsi="Verdana"/>
        </w:rPr>
        <w:t xml:space="preserve"> Instagram: </w:t>
      </w:r>
      <w:r w:rsidRPr="004D4DED">
        <w:rPr>
          <w:rStyle w:val="Hipervnculo"/>
          <w:rFonts w:ascii="Verdana" w:hAnsi="Verdana"/>
          <w:color w:val="auto"/>
        </w:rPr>
        <w:t>@colombiacompraeficiente_cce</w:t>
      </w:r>
    </w:p>
    <w:p w14:paraId="6980ECB3" w14:textId="77777777" w:rsidR="00871B59" w:rsidRPr="004D4DED"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4D4DED" w:rsidRDefault="00871B59" w:rsidP="00871B59">
      <w:pPr>
        <w:widowControl w:val="0"/>
        <w:autoSpaceDE w:val="0"/>
        <w:autoSpaceDN w:val="0"/>
        <w:spacing w:after="0" w:line="276" w:lineRule="auto"/>
        <w:jc w:val="both"/>
        <w:rPr>
          <w:rFonts w:ascii="Verdana" w:hAnsi="Verdana" w:cs="Arial"/>
          <w:lang w:val="es-ES_tradnl"/>
        </w:rPr>
      </w:pPr>
      <w:r w:rsidRPr="004D4DED">
        <w:rPr>
          <w:rFonts w:ascii="Verdana" w:hAnsi="Verdana" w:cs="Arial"/>
        </w:rPr>
        <w:t xml:space="preserve">Este concepto tiene el alcance previsto en el artículo 28 del Código de </w:t>
      </w:r>
      <w:r w:rsidRPr="004D4DED">
        <w:rPr>
          <w:rFonts w:ascii="Verdana" w:hAnsi="Verdana" w:cs="Arial"/>
        </w:rPr>
        <w:lastRenderedPageBreak/>
        <w:t xml:space="preserve">Procedimiento Administrativo y de lo Contencioso Administrativo </w:t>
      </w:r>
      <w:r w:rsidRPr="004D4DED">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4D4DED"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4D4DED" w:rsidRDefault="00871B59" w:rsidP="00871B59">
      <w:pPr>
        <w:spacing w:after="0" w:line="240" w:lineRule="auto"/>
        <w:rPr>
          <w:rFonts w:ascii="Verdana" w:hAnsi="Verdana" w:cs="Arial"/>
          <w:lang w:eastAsia="es-CO"/>
        </w:rPr>
      </w:pPr>
      <w:r w:rsidRPr="004D4DED">
        <w:rPr>
          <w:rFonts w:ascii="Verdana" w:eastAsia="Times New Roman" w:hAnsi="Verdana" w:cs="Arial"/>
          <w:lang w:eastAsia="es-CO"/>
        </w:rPr>
        <w:t>Atentamente,</w:t>
      </w:r>
      <w:r w:rsidRPr="004D4DED">
        <w:rPr>
          <w:rFonts w:ascii="Verdana" w:hAnsi="Verdana" w:cs="Arial"/>
          <w:lang w:eastAsia="es-CO"/>
        </w:rPr>
        <w:t xml:space="preserve"> </w:t>
      </w:r>
    </w:p>
    <w:p w14:paraId="7B21B32E" w14:textId="3A8A8304" w:rsidR="00871B59" w:rsidRPr="004D4DED" w:rsidRDefault="001801A4" w:rsidP="00871B59">
      <w:pPr>
        <w:spacing w:line="276" w:lineRule="auto"/>
        <w:jc w:val="center"/>
        <w:rPr>
          <w:rFonts w:ascii="Verdana" w:hAnsi="Verdana" w:cs="Arial"/>
          <w:lang w:val="es-ES_tradnl" w:eastAsia="es-CO"/>
        </w:rPr>
      </w:pPr>
      <w:r>
        <w:rPr>
          <w:rFonts w:ascii="Verdana" w:hAnsi="Verdana" w:cs="Arial"/>
          <w:noProof/>
          <w:lang w:val="es-ES_tradnl" w:eastAsia="es-CO"/>
        </w:rPr>
        <w:drawing>
          <wp:inline distT="0" distB="0" distL="0" distR="0" wp14:anchorId="6ED10917" wp14:editId="02A5C216">
            <wp:extent cx="3639058" cy="1343212"/>
            <wp:effectExtent l="0" t="0" r="0" b="0"/>
            <wp:docPr id="157238111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381115"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D4DED" w:rsidRPr="004D4DED" w14:paraId="2A20789D" w14:textId="77777777">
        <w:trPr>
          <w:trHeight w:val="315"/>
        </w:trPr>
        <w:tc>
          <w:tcPr>
            <w:tcW w:w="893" w:type="dxa"/>
            <w:vAlign w:val="center"/>
            <w:hideMark/>
          </w:tcPr>
          <w:p w14:paraId="56E3D941" w14:textId="77777777" w:rsidR="00871B59" w:rsidRPr="004D4DED" w:rsidRDefault="00871B59">
            <w:pPr>
              <w:contextualSpacing/>
              <w:rPr>
                <w:rFonts w:ascii="Verdana" w:hAnsi="Verdana" w:cs="Arial"/>
                <w:sz w:val="16"/>
                <w:szCs w:val="16"/>
                <w:lang w:val="es-ES" w:eastAsia="es-ES"/>
              </w:rPr>
            </w:pPr>
            <w:r w:rsidRPr="004D4DE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124FBD39" w:rsidR="00871B59" w:rsidRPr="004D4DED" w:rsidRDefault="004D4DED">
            <w:pPr>
              <w:contextualSpacing/>
              <w:rPr>
                <w:rFonts w:ascii="Verdana" w:eastAsia="Arial" w:hAnsi="Verdana" w:cs="Arial"/>
                <w:sz w:val="16"/>
                <w:szCs w:val="16"/>
              </w:rPr>
            </w:pPr>
            <w:r w:rsidRPr="004D4DED">
              <w:rPr>
                <w:rFonts w:ascii="Verdana" w:eastAsia="Arial" w:hAnsi="Verdana" w:cs="Arial"/>
                <w:sz w:val="16"/>
                <w:szCs w:val="16"/>
              </w:rPr>
              <w:t>Gloria Elizabeth Arango Builes</w:t>
            </w:r>
          </w:p>
          <w:p w14:paraId="27134A92" w14:textId="07A23443" w:rsidR="00871B59" w:rsidRPr="004D4DED" w:rsidRDefault="004D4DED">
            <w:pPr>
              <w:contextualSpacing/>
              <w:rPr>
                <w:rFonts w:ascii="Verdana" w:eastAsia="Arial" w:hAnsi="Verdana" w:cs="Arial"/>
                <w:sz w:val="16"/>
                <w:szCs w:val="16"/>
              </w:rPr>
            </w:pPr>
            <w:r w:rsidRPr="004D4DED">
              <w:rPr>
                <w:rStyle w:val="normaltextrun"/>
                <w:rFonts w:ascii="Verdana" w:eastAsia="Arial" w:hAnsi="Verdana" w:cs="Arial"/>
                <w:sz w:val="16"/>
                <w:szCs w:val="16"/>
              </w:rPr>
              <w:t>Contratista</w:t>
            </w:r>
            <w:r w:rsidR="00871B59" w:rsidRPr="004D4DED">
              <w:rPr>
                <w:rStyle w:val="normaltextrun"/>
                <w:rFonts w:ascii="Verdana" w:eastAsia="Arial" w:hAnsi="Verdana" w:cs="Arial"/>
                <w:sz w:val="16"/>
                <w:szCs w:val="16"/>
              </w:rPr>
              <w:t xml:space="preserve"> de la Subdirección de Gestión Contractual</w:t>
            </w:r>
          </w:p>
        </w:tc>
      </w:tr>
      <w:tr w:rsidR="004D4DED" w:rsidRPr="004D4DED" w14:paraId="409BBACC" w14:textId="77777777">
        <w:trPr>
          <w:trHeight w:val="330"/>
        </w:trPr>
        <w:tc>
          <w:tcPr>
            <w:tcW w:w="893" w:type="dxa"/>
            <w:vAlign w:val="center"/>
            <w:hideMark/>
          </w:tcPr>
          <w:p w14:paraId="3ABFF401" w14:textId="77777777" w:rsidR="00871B59" w:rsidRPr="004D4DED" w:rsidRDefault="00871B59">
            <w:pPr>
              <w:contextualSpacing/>
              <w:rPr>
                <w:rFonts w:ascii="Verdana" w:hAnsi="Verdana" w:cs="Arial"/>
                <w:sz w:val="16"/>
                <w:szCs w:val="16"/>
                <w:lang w:val="es-ES" w:eastAsia="es-ES"/>
              </w:rPr>
            </w:pPr>
            <w:r w:rsidRPr="004D4DE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0A373" w14:textId="6DDB7820" w:rsidR="00871B59" w:rsidRPr="004D4DED" w:rsidRDefault="004D4DED">
            <w:pPr>
              <w:pStyle w:val="paragraph"/>
              <w:spacing w:before="0" w:beforeAutospacing="0" w:after="0" w:afterAutospacing="0"/>
              <w:contextualSpacing/>
              <w:textAlignment w:val="baseline"/>
              <w:rPr>
                <w:rFonts w:ascii="Verdana" w:hAnsi="Verdana" w:cs="Segoe UI"/>
                <w:sz w:val="16"/>
                <w:szCs w:val="16"/>
              </w:rPr>
            </w:pPr>
            <w:r w:rsidRPr="004D4DED">
              <w:rPr>
                <w:rFonts w:ascii="Verdana" w:hAnsi="Verdana" w:cs="Segoe UI"/>
                <w:sz w:val="16"/>
                <w:szCs w:val="16"/>
              </w:rPr>
              <w:t>Adriana Katerine López Rodríguez</w:t>
            </w:r>
          </w:p>
          <w:p w14:paraId="408B71DB" w14:textId="5E62976D" w:rsidR="00871B59" w:rsidRPr="004D4DED" w:rsidRDefault="004D4DED">
            <w:pPr>
              <w:pStyle w:val="paragraph"/>
              <w:spacing w:before="0" w:beforeAutospacing="0" w:after="0" w:afterAutospacing="0"/>
              <w:contextualSpacing/>
              <w:textAlignment w:val="baseline"/>
              <w:rPr>
                <w:rFonts w:ascii="Verdana" w:hAnsi="Verdana" w:cs="Segoe UI"/>
                <w:sz w:val="16"/>
                <w:szCs w:val="16"/>
              </w:rPr>
            </w:pPr>
            <w:r w:rsidRPr="004D4DED">
              <w:rPr>
                <w:rStyle w:val="normaltextrun"/>
                <w:rFonts w:ascii="Verdana" w:hAnsi="Verdana" w:cs="Arial"/>
                <w:sz w:val="16"/>
                <w:szCs w:val="16"/>
                <w:lang w:val="es-ES"/>
              </w:rPr>
              <w:t>Contratista</w:t>
            </w:r>
            <w:r w:rsidR="00871B59" w:rsidRPr="004D4DED">
              <w:rPr>
                <w:rStyle w:val="normaltextrun"/>
                <w:rFonts w:ascii="Verdana" w:hAnsi="Verdana" w:cs="Arial"/>
                <w:sz w:val="16"/>
                <w:szCs w:val="16"/>
                <w:lang w:val="es-ES"/>
              </w:rPr>
              <w:t xml:space="preserve"> de la Subdirección de Gestión Contractual</w:t>
            </w:r>
            <w:r w:rsidR="00871B59" w:rsidRPr="004D4DED">
              <w:rPr>
                <w:rStyle w:val="eop"/>
                <w:rFonts w:ascii="Verdana" w:hAnsi="Verdana" w:cs="Arial"/>
                <w:sz w:val="16"/>
                <w:szCs w:val="16"/>
              </w:rPr>
              <w:t> </w:t>
            </w:r>
          </w:p>
        </w:tc>
      </w:tr>
      <w:tr w:rsidR="00871B59" w:rsidRPr="004D4DED" w14:paraId="2A81CFC8" w14:textId="77777777">
        <w:trPr>
          <w:trHeight w:val="300"/>
        </w:trPr>
        <w:tc>
          <w:tcPr>
            <w:tcW w:w="893" w:type="dxa"/>
            <w:vAlign w:val="center"/>
          </w:tcPr>
          <w:p w14:paraId="3159EE97" w14:textId="77777777" w:rsidR="00871B59" w:rsidRPr="004D4DED" w:rsidRDefault="00871B59">
            <w:pPr>
              <w:contextualSpacing/>
              <w:rPr>
                <w:rFonts w:ascii="Verdana" w:hAnsi="Verdana" w:cs="Arial"/>
                <w:sz w:val="16"/>
                <w:szCs w:val="16"/>
                <w:lang w:val="es-ES" w:eastAsia="es-ES"/>
              </w:rPr>
            </w:pPr>
            <w:r w:rsidRPr="004D4DE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4D4DED" w:rsidRDefault="00871B59">
            <w:pPr>
              <w:contextualSpacing/>
              <w:rPr>
                <w:rFonts w:ascii="Verdana" w:eastAsia="Calibri" w:hAnsi="Verdana" w:cs="Arial"/>
                <w:sz w:val="16"/>
                <w:szCs w:val="16"/>
                <w:lang w:val="pt-BR" w:eastAsia="es-ES"/>
              </w:rPr>
            </w:pPr>
            <w:r w:rsidRPr="004D4DED">
              <w:rPr>
                <w:rFonts w:ascii="Verdana" w:eastAsia="Calibri" w:hAnsi="Verdana" w:cs="Arial"/>
                <w:sz w:val="16"/>
                <w:szCs w:val="16"/>
                <w:lang w:val="pt-BR" w:eastAsia="es-ES"/>
              </w:rPr>
              <w:t>Carolina Quintero Gacharná</w:t>
            </w:r>
          </w:p>
          <w:p w14:paraId="6EE38C14" w14:textId="77777777" w:rsidR="00871B59" w:rsidRPr="004D4DED" w:rsidRDefault="00871B59">
            <w:pPr>
              <w:contextualSpacing/>
              <w:rPr>
                <w:rFonts w:ascii="Verdana" w:eastAsia="Calibri" w:hAnsi="Verdana" w:cs="Arial"/>
                <w:sz w:val="16"/>
                <w:szCs w:val="16"/>
                <w:lang w:val="pt-BR" w:eastAsia="es-ES"/>
              </w:rPr>
            </w:pPr>
            <w:r w:rsidRPr="004D4DED">
              <w:rPr>
                <w:rFonts w:ascii="Verdana" w:eastAsia="Calibri" w:hAnsi="Verdana" w:cs="Arial"/>
                <w:sz w:val="16"/>
                <w:szCs w:val="16"/>
                <w:lang w:eastAsia="es-ES"/>
              </w:rPr>
              <w:t>Subdirectora</w:t>
            </w:r>
            <w:r w:rsidRPr="004D4DED">
              <w:rPr>
                <w:rFonts w:ascii="Verdana" w:eastAsia="Calibri" w:hAnsi="Verdana" w:cs="Arial"/>
                <w:sz w:val="16"/>
                <w:szCs w:val="16"/>
                <w:lang w:val="pt-BR" w:eastAsia="es-ES"/>
              </w:rPr>
              <w:t xml:space="preserve"> de Gestión Contractual ANCP – CCE</w:t>
            </w:r>
          </w:p>
        </w:tc>
      </w:tr>
    </w:tbl>
    <w:p w14:paraId="510CF084" w14:textId="77777777" w:rsidR="00871B59" w:rsidRPr="004D4DED" w:rsidRDefault="00871B59" w:rsidP="00871B59">
      <w:pPr>
        <w:spacing w:after="0" w:line="240" w:lineRule="auto"/>
        <w:rPr>
          <w:rFonts w:ascii="Verdana" w:eastAsia="Times New Roman" w:hAnsi="Verdana" w:cs="Arial"/>
          <w:sz w:val="24"/>
          <w:szCs w:val="24"/>
          <w:lang w:eastAsia="es-ES"/>
        </w:rPr>
      </w:pPr>
    </w:p>
    <w:p w14:paraId="0083C991" w14:textId="5C765C2F" w:rsidR="5D8505AD" w:rsidRPr="004D4DED" w:rsidRDefault="5D8505AD" w:rsidP="00871B59">
      <w:pPr>
        <w:rPr>
          <w:rFonts w:ascii="Verdana" w:hAnsi="Verdana"/>
        </w:rPr>
      </w:pPr>
    </w:p>
    <w:sectPr w:rsidR="5D8505AD" w:rsidRPr="004D4DED" w:rsidSect="00E45F4B">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35A0B" w14:textId="77777777" w:rsidR="008F049B" w:rsidRDefault="008F049B" w:rsidP="00B30448">
      <w:pPr>
        <w:spacing w:after="0" w:line="240" w:lineRule="auto"/>
      </w:pPr>
      <w:r>
        <w:separator/>
      </w:r>
    </w:p>
  </w:endnote>
  <w:endnote w:type="continuationSeparator" w:id="0">
    <w:p w14:paraId="6B7C2790" w14:textId="77777777" w:rsidR="008F049B" w:rsidRDefault="008F049B" w:rsidP="00B30448">
      <w:pPr>
        <w:spacing w:after="0" w:line="240" w:lineRule="auto"/>
      </w:pPr>
      <w:r>
        <w:continuationSeparator/>
      </w:r>
    </w:p>
  </w:endnote>
  <w:endnote w:type="continuationNotice" w:id="1">
    <w:p w14:paraId="3A6D50A3" w14:textId="77777777" w:rsidR="008F049B" w:rsidRDefault="008F04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47BA3" w14:textId="77777777" w:rsidR="008F049B" w:rsidRDefault="008F049B" w:rsidP="00B30448">
      <w:pPr>
        <w:spacing w:after="0" w:line="240" w:lineRule="auto"/>
      </w:pPr>
      <w:r>
        <w:separator/>
      </w:r>
    </w:p>
  </w:footnote>
  <w:footnote w:type="continuationSeparator" w:id="0">
    <w:p w14:paraId="3A430DCC" w14:textId="77777777" w:rsidR="008F049B" w:rsidRDefault="008F049B" w:rsidP="00B30448">
      <w:pPr>
        <w:spacing w:after="0" w:line="240" w:lineRule="auto"/>
      </w:pPr>
      <w:r>
        <w:continuationSeparator/>
      </w:r>
    </w:p>
  </w:footnote>
  <w:footnote w:type="continuationNotice" w:id="1">
    <w:p w14:paraId="5A6B5A3D" w14:textId="77777777" w:rsidR="008F049B" w:rsidRDefault="008F049B">
      <w:pPr>
        <w:spacing w:after="0" w:line="240" w:lineRule="auto"/>
      </w:pPr>
    </w:p>
  </w:footnote>
  <w:footnote w:id="2">
    <w:p w14:paraId="4EF422BC" w14:textId="77777777" w:rsidR="001F3B6A" w:rsidRPr="00E80894" w:rsidRDefault="001F3B6A" w:rsidP="001F3B6A">
      <w:pPr>
        <w:pStyle w:val="Textonotapie"/>
        <w:ind w:firstLine="709"/>
        <w:rPr>
          <w:rFonts w:ascii="Arial" w:hAnsi="Arial" w:cs="Arial"/>
          <w:color w:val="000000" w:themeColor="text1"/>
          <w:sz w:val="19"/>
          <w:szCs w:val="19"/>
        </w:rPr>
      </w:pPr>
    </w:p>
    <w:p w14:paraId="06E57173" w14:textId="77777777" w:rsidR="001F3B6A" w:rsidRPr="00F93814" w:rsidRDefault="001F3B6A" w:rsidP="00EE57FB">
      <w:pPr>
        <w:pStyle w:val="Textonotapie"/>
        <w:ind w:firstLine="708"/>
        <w:jc w:val="both"/>
        <w:rPr>
          <w:rFonts w:ascii="Verdana" w:hAnsi="Verdana" w:cs="Arial"/>
          <w:color w:val="000000" w:themeColor="text1"/>
          <w:sz w:val="16"/>
          <w:szCs w:val="16"/>
        </w:rPr>
      </w:pPr>
      <w:r w:rsidRPr="00F93814">
        <w:rPr>
          <w:rStyle w:val="Refdenotaalpie"/>
          <w:rFonts w:ascii="Verdana" w:hAnsi="Verdana" w:cs="Arial"/>
          <w:color w:val="000000" w:themeColor="text1"/>
          <w:sz w:val="16"/>
          <w:szCs w:val="16"/>
        </w:rPr>
        <w:footnoteRef/>
      </w:r>
      <w:r w:rsidRPr="00F93814">
        <w:rPr>
          <w:rFonts w:ascii="Verdana" w:hAnsi="Verdana" w:cs="Arial"/>
          <w:color w:val="000000" w:themeColor="text1"/>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B3DF284" w14:textId="0E1036BD" w:rsidR="001F3B6A" w:rsidRPr="00AE12F6" w:rsidRDefault="001F3B6A" w:rsidP="00F93814">
      <w:pPr>
        <w:pStyle w:val="Textonotapie"/>
        <w:jc w:val="both"/>
        <w:rPr>
          <w:rFonts w:ascii="Verdana" w:hAnsi="Verdana" w:cs="Arial"/>
          <w:color w:val="000000" w:themeColor="text1"/>
          <w:sz w:val="16"/>
          <w:szCs w:val="16"/>
        </w:rPr>
      </w:pPr>
      <w:r w:rsidRPr="00F93814">
        <w:rPr>
          <w:rFonts w:ascii="Verdana" w:hAnsi="Verdana" w:cs="Arial"/>
          <w:color w:val="000000" w:themeColor="text1"/>
          <w:sz w:val="16"/>
          <w:szCs w:val="16"/>
        </w:rPr>
        <w:t xml:space="preserve">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w:t>
      </w:r>
      <w:r w:rsidRPr="00AE12F6">
        <w:rPr>
          <w:rFonts w:ascii="Verdana" w:hAnsi="Verdana" w:cs="Arial"/>
          <w:color w:val="000000" w:themeColor="text1"/>
          <w:sz w:val="16"/>
          <w:szCs w:val="16"/>
        </w:rPr>
        <w:t>empleados no contemplados en esta prohibición solo podrán participar en dichas actividades y controversias en las condiciones que señale la Ley Estatutaria».</w:t>
      </w:r>
    </w:p>
  </w:footnote>
  <w:footnote w:id="3">
    <w:p w14:paraId="5AC66A6A" w14:textId="77777777" w:rsidR="00F93814" w:rsidRPr="00AE12F6" w:rsidRDefault="00F93814" w:rsidP="00F93814">
      <w:pPr>
        <w:pStyle w:val="Textonotapie"/>
        <w:jc w:val="both"/>
        <w:rPr>
          <w:rFonts w:ascii="Verdana" w:hAnsi="Verdana" w:cs="Arial"/>
          <w:color w:val="000000" w:themeColor="text1"/>
          <w:sz w:val="16"/>
          <w:szCs w:val="16"/>
        </w:rPr>
      </w:pPr>
    </w:p>
    <w:p w14:paraId="028D6C1A" w14:textId="70A3E649" w:rsidR="001F3B6A" w:rsidRPr="00AE12F6" w:rsidRDefault="001F3B6A" w:rsidP="00EE57FB">
      <w:pPr>
        <w:pStyle w:val="Textonotapie"/>
        <w:ind w:firstLine="708"/>
        <w:jc w:val="both"/>
        <w:rPr>
          <w:rFonts w:ascii="Verdana" w:hAnsi="Verdana" w:cs="Arial"/>
          <w:color w:val="000000" w:themeColor="text1"/>
          <w:sz w:val="16"/>
          <w:szCs w:val="16"/>
        </w:rPr>
      </w:pPr>
      <w:r w:rsidRPr="00AE12F6">
        <w:rPr>
          <w:rStyle w:val="Refdenotaalpie"/>
          <w:rFonts w:ascii="Verdana" w:hAnsi="Verdana" w:cs="Arial"/>
          <w:color w:val="000000" w:themeColor="text1"/>
          <w:sz w:val="16"/>
          <w:szCs w:val="16"/>
        </w:rPr>
        <w:footnoteRef/>
      </w:r>
      <w:r w:rsidRPr="00AE12F6">
        <w:rPr>
          <w:rFonts w:ascii="Verdana" w:hAnsi="Verdana" w:cs="Arial"/>
          <w:color w:val="000000" w:themeColor="text1"/>
          <w:sz w:val="16"/>
          <w:szCs w:val="16"/>
        </w:rPr>
        <w:t xml:space="preserve"> Gaceta del Congreso de la República No. 71 del 2005.</w:t>
      </w:r>
    </w:p>
    <w:p w14:paraId="6556F393" w14:textId="77777777" w:rsidR="00EE57FB" w:rsidRPr="00AE12F6" w:rsidRDefault="00EE57FB" w:rsidP="00EE57FB">
      <w:pPr>
        <w:pStyle w:val="Textonotapie"/>
        <w:ind w:firstLine="708"/>
        <w:jc w:val="both"/>
        <w:rPr>
          <w:rFonts w:ascii="Verdana" w:hAnsi="Verdana" w:cs="Arial"/>
          <w:color w:val="000000" w:themeColor="text1"/>
          <w:sz w:val="16"/>
          <w:szCs w:val="16"/>
        </w:rPr>
      </w:pPr>
    </w:p>
  </w:footnote>
  <w:footnote w:id="4">
    <w:p w14:paraId="0678D320" w14:textId="77777777" w:rsidR="001F3B6A" w:rsidRPr="00E80894" w:rsidRDefault="001F3B6A" w:rsidP="001F3B6A">
      <w:pPr>
        <w:pStyle w:val="Textonotapie"/>
        <w:ind w:firstLine="709"/>
        <w:rPr>
          <w:rFonts w:ascii="Arial" w:hAnsi="Arial" w:cs="Arial"/>
          <w:color w:val="000000" w:themeColor="text1"/>
          <w:sz w:val="19"/>
          <w:szCs w:val="19"/>
        </w:rPr>
      </w:pPr>
      <w:r w:rsidRPr="00AE12F6">
        <w:rPr>
          <w:rStyle w:val="Refdenotaalpie"/>
          <w:rFonts w:ascii="Verdana" w:hAnsi="Verdana" w:cs="Arial"/>
          <w:color w:val="000000" w:themeColor="text1"/>
          <w:sz w:val="16"/>
          <w:szCs w:val="16"/>
        </w:rPr>
        <w:footnoteRef/>
      </w:r>
      <w:r w:rsidRPr="00AE12F6">
        <w:rPr>
          <w:rFonts w:ascii="Verdana" w:hAnsi="Verdana" w:cs="Arial"/>
          <w:color w:val="000000" w:themeColor="text1"/>
          <w:sz w:val="16"/>
          <w:szCs w:val="16"/>
        </w:rPr>
        <w:t xml:space="preserve"> Corte Constitucional. Sentencia C-1153 de 2005, M.P. Marco Gerardo Monroy Cabra</w:t>
      </w:r>
      <w:r w:rsidRPr="00E80894">
        <w:rPr>
          <w:rFonts w:ascii="Arial" w:hAnsi="Arial" w:cs="Arial"/>
          <w:color w:val="000000" w:themeColor="text1"/>
          <w:sz w:val="19"/>
          <w:szCs w:val="19"/>
        </w:rPr>
        <w:t>.</w:t>
      </w:r>
    </w:p>
  </w:footnote>
  <w:footnote w:id="5">
    <w:p w14:paraId="64483683" w14:textId="77777777" w:rsidR="001F3B6A" w:rsidRPr="009C0257" w:rsidRDefault="001F3B6A" w:rsidP="001F3B6A">
      <w:pPr>
        <w:pStyle w:val="Textonotapie"/>
        <w:ind w:firstLine="709"/>
        <w:rPr>
          <w:rFonts w:ascii="Verdana" w:hAnsi="Verdana" w:cs="Arial"/>
          <w:color w:val="000000" w:themeColor="text1"/>
          <w:sz w:val="16"/>
          <w:szCs w:val="16"/>
        </w:rPr>
      </w:pPr>
      <w:r w:rsidRPr="009C0257">
        <w:rPr>
          <w:rStyle w:val="Refdenotaalpie"/>
          <w:rFonts w:ascii="Verdana" w:hAnsi="Verdana" w:cs="Arial"/>
          <w:color w:val="000000" w:themeColor="text1"/>
          <w:sz w:val="16"/>
          <w:szCs w:val="16"/>
        </w:rPr>
        <w:footnoteRef/>
      </w:r>
      <w:r w:rsidRPr="009C0257">
        <w:rPr>
          <w:rFonts w:ascii="Verdana" w:hAnsi="Verdana" w:cs="Arial"/>
          <w:color w:val="000000" w:themeColor="text1"/>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41601FCA" w14:textId="77777777" w:rsidR="001F3B6A" w:rsidRPr="009C0257" w:rsidRDefault="001F3B6A" w:rsidP="001F3B6A">
      <w:pPr>
        <w:pStyle w:val="Textonotapie"/>
        <w:ind w:firstLine="709"/>
        <w:rPr>
          <w:rFonts w:ascii="Verdana" w:hAnsi="Verdana" w:cs="Arial"/>
          <w:color w:val="000000" w:themeColor="text1"/>
          <w:sz w:val="16"/>
          <w:szCs w:val="16"/>
        </w:rPr>
      </w:pPr>
    </w:p>
  </w:footnote>
  <w:footnote w:id="6">
    <w:p w14:paraId="1FB05BA1" w14:textId="77777777" w:rsidR="001F3B6A" w:rsidRPr="009C0257" w:rsidRDefault="001F3B6A" w:rsidP="001F3B6A">
      <w:pPr>
        <w:pStyle w:val="Textonotapie"/>
        <w:ind w:firstLine="709"/>
        <w:rPr>
          <w:rFonts w:ascii="Verdana" w:hAnsi="Verdana" w:cs="Arial"/>
          <w:color w:val="000000" w:themeColor="text1"/>
          <w:sz w:val="16"/>
          <w:szCs w:val="16"/>
          <w:lang w:val="es-CO"/>
        </w:rPr>
      </w:pPr>
      <w:r w:rsidRPr="009C0257">
        <w:rPr>
          <w:rStyle w:val="Refdenotaalpie"/>
          <w:rFonts w:ascii="Verdana" w:hAnsi="Verdana" w:cs="Arial"/>
          <w:color w:val="000000" w:themeColor="text1"/>
          <w:sz w:val="16"/>
          <w:szCs w:val="16"/>
        </w:rPr>
        <w:footnoteRef/>
      </w:r>
      <w:r w:rsidRPr="009C0257">
        <w:rPr>
          <w:rFonts w:ascii="Verdana" w:hAnsi="Verdana" w:cs="Arial"/>
          <w:color w:val="000000" w:themeColor="text1"/>
          <w:sz w:val="16"/>
          <w:szCs w:val="16"/>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4BB801C2" w14:textId="77777777" w:rsidR="001F3B6A" w:rsidRPr="00E80894" w:rsidRDefault="001F3B6A" w:rsidP="001F3B6A">
      <w:pPr>
        <w:pStyle w:val="Textonotapie"/>
        <w:ind w:firstLine="709"/>
        <w:rPr>
          <w:rFonts w:ascii="Arial" w:hAnsi="Arial" w:cs="Arial"/>
          <w:color w:val="000000" w:themeColor="text1"/>
          <w:sz w:val="19"/>
          <w:szCs w:val="19"/>
          <w:lang w:val="es-CO"/>
        </w:rPr>
      </w:pPr>
    </w:p>
  </w:footnote>
  <w:footnote w:id="7">
    <w:p w14:paraId="6D285A3F" w14:textId="77777777" w:rsidR="001F3B6A" w:rsidRPr="00FB78B0" w:rsidRDefault="001F3B6A" w:rsidP="001F3B6A">
      <w:pPr>
        <w:pStyle w:val="Textonotapie"/>
        <w:ind w:firstLine="709"/>
        <w:rPr>
          <w:rFonts w:ascii="Verdana" w:hAnsi="Verdana" w:cs="Arial"/>
          <w:color w:val="000000" w:themeColor="text1"/>
          <w:sz w:val="16"/>
          <w:szCs w:val="16"/>
        </w:rPr>
      </w:pPr>
      <w:r w:rsidRPr="00FB78B0">
        <w:rPr>
          <w:rStyle w:val="Refdenotaalpie"/>
          <w:rFonts w:ascii="Arial" w:hAnsi="Arial" w:cs="Arial"/>
          <w:color w:val="000000" w:themeColor="text1"/>
          <w:sz w:val="16"/>
          <w:szCs w:val="16"/>
        </w:rPr>
        <w:footnoteRef/>
      </w:r>
      <w:r w:rsidRPr="00FB78B0">
        <w:rPr>
          <w:rFonts w:ascii="Arial" w:hAnsi="Arial" w:cs="Arial"/>
          <w:color w:val="000000" w:themeColor="text1"/>
          <w:sz w:val="16"/>
          <w:szCs w:val="16"/>
        </w:rPr>
        <w:t xml:space="preserve"> </w:t>
      </w:r>
      <w:r w:rsidRPr="00FB78B0">
        <w:rPr>
          <w:rFonts w:ascii="Verdana" w:hAnsi="Verdana" w:cs="Arial"/>
          <w:color w:val="000000" w:themeColor="text1"/>
          <w:sz w:val="16"/>
          <w:szCs w:val="16"/>
        </w:rPr>
        <w:t xml:space="preserve">Consejo de Estado, Sala de Consulta y Servicio Civil de fecha 24 de julio de 2013, radicado 2166, Consejero Ponente: Álvaro Namén Vargas.  </w:t>
      </w:r>
    </w:p>
    <w:p w14:paraId="35D34D2D" w14:textId="77777777" w:rsidR="00EE57FB" w:rsidRPr="00FB78B0" w:rsidRDefault="00EE57FB" w:rsidP="001F3B6A">
      <w:pPr>
        <w:pStyle w:val="Textonotapie"/>
        <w:ind w:firstLine="709"/>
        <w:rPr>
          <w:rFonts w:ascii="Verdana" w:hAnsi="Verdana" w:cs="Arial"/>
          <w:color w:val="000000" w:themeColor="text1"/>
          <w:sz w:val="16"/>
          <w:szCs w:val="16"/>
        </w:rPr>
      </w:pPr>
    </w:p>
  </w:footnote>
  <w:footnote w:id="8">
    <w:p w14:paraId="56A9522D" w14:textId="38C2602A" w:rsidR="0050110D" w:rsidRDefault="001F3B6A" w:rsidP="0050110D">
      <w:pPr>
        <w:ind w:firstLine="709"/>
        <w:jc w:val="both"/>
        <w:rPr>
          <w:rFonts w:ascii="Verdana" w:hAnsi="Verdana" w:cs="Arial"/>
          <w:color w:val="000000" w:themeColor="text1"/>
          <w:sz w:val="16"/>
          <w:szCs w:val="16"/>
        </w:rPr>
      </w:pPr>
      <w:r w:rsidRPr="00FB78B0">
        <w:rPr>
          <w:rStyle w:val="Refdenotaalpie"/>
          <w:rFonts w:ascii="Verdana" w:hAnsi="Verdana" w:cs="Arial"/>
          <w:color w:val="000000" w:themeColor="text1"/>
          <w:sz w:val="16"/>
          <w:szCs w:val="16"/>
        </w:rPr>
        <w:footnoteRef/>
      </w:r>
      <w:r w:rsidRPr="00FB78B0">
        <w:rPr>
          <w:rFonts w:ascii="Verdana" w:hAnsi="Verdana" w:cs="Arial"/>
          <w:color w:val="000000" w:themeColor="text1"/>
          <w:sz w:val="16"/>
          <w:szCs w:val="16"/>
        </w:rPr>
        <w:t xml:space="preserve"> 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45FC003" w14:textId="14041A3F" w:rsidR="001F3B6A" w:rsidRPr="0050110D" w:rsidRDefault="001F3B6A" w:rsidP="0050110D">
      <w:pPr>
        <w:ind w:firstLine="709"/>
        <w:jc w:val="both"/>
        <w:rPr>
          <w:rFonts w:ascii="Verdana" w:hAnsi="Verdana" w:cs="Arial"/>
          <w:color w:val="000000" w:themeColor="text1"/>
          <w:sz w:val="16"/>
          <w:szCs w:val="16"/>
        </w:rPr>
      </w:pPr>
      <w:r w:rsidRPr="00FB78B0">
        <w:rPr>
          <w:rFonts w:ascii="Verdana" w:hAnsi="Verdana" w:cs="Arial"/>
          <w:color w:val="000000" w:themeColor="text1"/>
          <w:sz w:val="16"/>
          <w:szCs w:val="16"/>
        </w:rPr>
        <w:t xml:space="preserve">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w:t>
      </w:r>
      <w:r w:rsidRPr="0050110D">
        <w:rPr>
          <w:rFonts w:ascii="Verdana" w:hAnsi="Verdana" w:cs="Arial"/>
          <w:color w:val="000000" w:themeColor="text1"/>
          <w:sz w:val="16"/>
          <w:szCs w:val="16"/>
        </w:rPr>
        <w:t>de que hayan sido objeto de atentados, acciones terroristas, desastres naturales o casos de fuerza mayor, y los que deban realizar las entidades sanitarias y hospitalarias</w:t>
      </w:r>
      <w:r w:rsidRPr="0050110D">
        <w:rPr>
          <w:rFonts w:ascii="Verdana" w:eastAsia="Calibri" w:hAnsi="Verdana" w:cs="Arial"/>
          <w:bCs/>
          <w:color w:val="000000" w:themeColor="text1"/>
          <w:sz w:val="16"/>
          <w:szCs w:val="16"/>
        </w:rPr>
        <w:t>»</w:t>
      </w:r>
      <w:r w:rsidRPr="0050110D">
        <w:rPr>
          <w:rFonts w:ascii="Verdana" w:hAnsi="Verdana" w:cs="Arial"/>
          <w:color w:val="000000" w:themeColor="text1"/>
          <w:sz w:val="16"/>
          <w:szCs w:val="16"/>
        </w:rPr>
        <w:t>.</w:t>
      </w:r>
    </w:p>
  </w:footnote>
  <w:footnote w:id="9">
    <w:p w14:paraId="3855E25F" w14:textId="77777777" w:rsidR="001F3B6A" w:rsidRPr="0050110D" w:rsidRDefault="001F3B6A" w:rsidP="001F3B6A">
      <w:pPr>
        <w:pStyle w:val="NormalWeb"/>
        <w:spacing w:after="0" w:line="240" w:lineRule="auto"/>
        <w:ind w:firstLine="709"/>
        <w:rPr>
          <w:rFonts w:ascii="Verdana" w:hAnsi="Verdana" w:cs="Arial"/>
          <w:color w:val="000000" w:themeColor="text1"/>
          <w:sz w:val="16"/>
          <w:szCs w:val="16"/>
          <w:lang w:val="es-MX"/>
        </w:rPr>
      </w:pPr>
      <w:r w:rsidRPr="0050110D">
        <w:rPr>
          <w:rStyle w:val="Refdenotaalpie"/>
          <w:rFonts w:ascii="Verdana" w:hAnsi="Verdana" w:cs="Arial"/>
          <w:color w:val="000000" w:themeColor="text1"/>
          <w:sz w:val="16"/>
          <w:szCs w:val="16"/>
        </w:rPr>
        <w:footnoteRef/>
      </w:r>
      <w:r w:rsidRPr="0050110D">
        <w:rPr>
          <w:rFonts w:ascii="Verdana" w:hAnsi="Verdana" w:cs="Arial"/>
          <w:color w:val="000000" w:themeColor="text1"/>
          <w:sz w:val="16"/>
          <w:szCs w:val="16"/>
        </w:rPr>
        <w:t xml:space="preserve"> </w:t>
      </w:r>
      <w:r w:rsidRPr="0050110D">
        <w:rPr>
          <w:rFonts w:ascii="Verdana" w:eastAsia="Calibri" w:hAnsi="Verdana" w:cs="Arial"/>
          <w:bCs/>
          <w:color w:val="000000" w:themeColor="text1"/>
          <w:sz w:val="16"/>
          <w:szCs w:val="16"/>
        </w:rPr>
        <w:t>«</w:t>
      </w:r>
      <w:r w:rsidRPr="0050110D">
        <w:rPr>
          <w:rFonts w:ascii="Verdana" w:hAnsi="Verdana" w:cs="Arial"/>
          <w:color w:val="000000" w:themeColor="text1"/>
          <w:sz w:val="16"/>
          <w:szCs w:val="16"/>
          <w:lang w:val="es-MX"/>
        </w:rPr>
        <w:t>Artículo 38. Prohibiciones para los servidores públicos. A los empleados del Estado les está prohibido:</w:t>
      </w:r>
    </w:p>
    <w:p w14:paraId="51DA2197" w14:textId="5ED41EB2" w:rsidR="001F3B6A" w:rsidRPr="0050110D" w:rsidRDefault="001F3B6A" w:rsidP="001F3B6A">
      <w:pPr>
        <w:pStyle w:val="NormalWeb"/>
        <w:spacing w:after="0" w:line="240" w:lineRule="auto"/>
        <w:ind w:firstLine="709"/>
        <w:rPr>
          <w:rFonts w:ascii="Verdana" w:hAnsi="Verdana" w:cs="Arial"/>
          <w:color w:val="000000" w:themeColor="text1"/>
          <w:sz w:val="16"/>
          <w:szCs w:val="16"/>
          <w:lang w:val="es-MX"/>
        </w:rPr>
      </w:pPr>
      <w:r w:rsidRPr="0050110D">
        <w:rPr>
          <w:rFonts w:ascii="Verdana" w:hAnsi="Verdana" w:cs="Arial"/>
          <w:color w:val="000000" w:themeColor="text1"/>
          <w:sz w:val="16"/>
          <w:szCs w:val="16"/>
          <w:lang w:val="es-MX"/>
        </w:rPr>
        <w:t xml:space="preserve"> […]</w:t>
      </w:r>
    </w:p>
    <w:p w14:paraId="384777D8" w14:textId="2007CDB8" w:rsidR="001F3B6A" w:rsidRPr="0050110D" w:rsidRDefault="001F3B6A" w:rsidP="001F3B6A">
      <w:pPr>
        <w:ind w:firstLine="709"/>
        <w:jc w:val="both"/>
        <w:rPr>
          <w:rFonts w:ascii="Verdana" w:hAnsi="Verdana" w:cs="Arial"/>
          <w:color w:val="000000" w:themeColor="text1"/>
          <w:sz w:val="16"/>
          <w:szCs w:val="16"/>
          <w:lang w:val="es-MX"/>
        </w:rPr>
      </w:pPr>
      <w:r w:rsidRPr="0050110D">
        <w:rPr>
          <w:rStyle w:val="baj"/>
          <w:rFonts w:ascii="Verdana" w:hAnsi="Verdana" w:cs="Arial"/>
          <w:color w:val="000000" w:themeColor="text1"/>
          <w:sz w:val="16"/>
          <w:szCs w:val="16"/>
          <w:lang w:val="es-MX"/>
        </w:rPr>
        <w:t>Parágrafo.</w:t>
      </w:r>
      <w:r w:rsidRPr="0050110D">
        <w:rPr>
          <w:rFonts w:ascii="Verdana" w:hAnsi="Verdana" w:cs="Arial"/>
          <w:color w:val="000000" w:themeColor="text1"/>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8CD7914" w14:textId="77777777" w:rsidR="001F3B6A" w:rsidRPr="00E80894" w:rsidRDefault="001F3B6A" w:rsidP="001F3B6A">
      <w:pPr>
        <w:ind w:firstLine="709"/>
        <w:jc w:val="both"/>
        <w:rPr>
          <w:rFonts w:ascii="Arial" w:hAnsi="Arial" w:cs="Arial"/>
          <w:color w:val="000000" w:themeColor="text1"/>
          <w:sz w:val="19"/>
          <w:szCs w:val="19"/>
          <w:lang w:val="es-MX"/>
        </w:rPr>
      </w:pPr>
    </w:p>
  </w:footnote>
  <w:footnote w:id="10">
    <w:p w14:paraId="6DAAC569" w14:textId="77777777" w:rsidR="001F3B6A" w:rsidRPr="0050110D" w:rsidRDefault="001F3B6A" w:rsidP="001F3B6A">
      <w:pPr>
        <w:ind w:firstLine="709"/>
        <w:jc w:val="both"/>
        <w:rPr>
          <w:rFonts w:ascii="Verdana" w:hAnsi="Verdana" w:cs="Arial"/>
          <w:color w:val="000000" w:themeColor="text1"/>
          <w:sz w:val="16"/>
          <w:szCs w:val="16"/>
          <w:lang w:val="es-ES"/>
        </w:rPr>
      </w:pPr>
      <w:r w:rsidRPr="00E80894">
        <w:rPr>
          <w:rStyle w:val="Refdenotaalpie"/>
          <w:rFonts w:ascii="Arial" w:hAnsi="Arial" w:cs="Arial"/>
          <w:color w:val="000000" w:themeColor="text1"/>
          <w:sz w:val="19"/>
          <w:szCs w:val="19"/>
        </w:rPr>
        <w:footnoteRef/>
      </w:r>
      <w:r w:rsidRPr="00E80894">
        <w:rPr>
          <w:rFonts w:ascii="Arial" w:hAnsi="Arial" w:cs="Arial"/>
          <w:color w:val="000000" w:themeColor="text1"/>
          <w:sz w:val="19"/>
          <w:szCs w:val="19"/>
        </w:rPr>
        <w:t xml:space="preserve"> </w:t>
      </w:r>
      <w:r w:rsidRPr="0050110D">
        <w:rPr>
          <w:rFonts w:ascii="Verdana" w:hAnsi="Verdana" w:cs="Arial"/>
          <w:color w:val="000000" w:themeColor="text1"/>
          <w:sz w:val="16"/>
          <w:szCs w:val="16"/>
        </w:rPr>
        <w:t>Consejo de Estado. Sala de Consulta y Servicio Civil. Concepto del 17 de febrero de 2015. C.P. William Zambrano Cetina. Radicación No. 11001-03-06-000-2015-00164-00(2269).</w:t>
      </w:r>
    </w:p>
  </w:footnote>
  <w:footnote w:id="11">
    <w:p w14:paraId="4B64427B" w14:textId="4D6560A3" w:rsidR="001F3B6A" w:rsidRDefault="001F3B6A" w:rsidP="001F3B6A">
      <w:pPr>
        <w:pStyle w:val="Textonotapie"/>
        <w:ind w:firstLine="709"/>
        <w:rPr>
          <w:rFonts w:ascii="Verdana" w:hAnsi="Verdana" w:cs="Arial"/>
          <w:color w:val="000000" w:themeColor="text1"/>
          <w:sz w:val="16"/>
          <w:szCs w:val="16"/>
        </w:rPr>
      </w:pPr>
      <w:r w:rsidRPr="003445A6">
        <w:rPr>
          <w:rStyle w:val="Refdenotaalpie"/>
          <w:rFonts w:ascii="Verdana" w:hAnsi="Verdana" w:cs="Arial"/>
          <w:color w:val="000000" w:themeColor="text1"/>
          <w:sz w:val="16"/>
          <w:szCs w:val="16"/>
        </w:rPr>
        <w:footnoteRef/>
      </w:r>
      <w:r w:rsidRPr="003445A6">
        <w:rPr>
          <w:rFonts w:ascii="Verdana" w:hAnsi="Verdana" w:cs="Arial"/>
          <w:color w:val="000000" w:themeColor="text1"/>
          <w:sz w:val="16"/>
          <w:szCs w:val="16"/>
        </w:rPr>
        <w:t xml:space="preserve"> </w:t>
      </w:r>
      <w:r w:rsidRPr="003445A6">
        <w:rPr>
          <w:rFonts w:ascii="Verdana" w:hAnsi="Verdana" w:cs="Arial"/>
          <w:color w:val="000000" w:themeColor="text1"/>
          <w:sz w:val="16"/>
          <w:szCs w:val="16"/>
          <w:lang w:val="es-ES"/>
        </w:rPr>
        <w:t xml:space="preserve"> </w:t>
      </w:r>
      <w:r w:rsidRPr="003445A6">
        <w:rPr>
          <w:rFonts w:ascii="Verdana" w:hAnsi="Verdana" w:cs="Arial"/>
          <w:color w:val="000000" w:themeColor="text1"/>
          <w:sz w:val="16"/>
          <w:szCs w:val="16"/>
        </w:rPr>
        <w:t>Cfr. Consejo de Estado. Sección Tercera. Sentencia de 3 de diciembre de 2007. Radicados: 24.715, 25.206, 25.409, 24.524, 27.834, 25.410, 26.105, 28.244, 31.447 -acumulados-</w:t>
      </w:r>
      <w:bookmarkStart w:id="5" w:name="_Hlk74271358"/>
      <w:r w:rsidRPr="003445A6">
        <w:rPr>
          <w:rFonts w:ascii="Verdana" w:hAnsi="Verdana" w:cs="Arial"/>
          <w:color w:val="000000" w:themeColor="text1"/>
          <w:sz w:val="16"/>
          <w:szCs w:val="16"/>
        </w:rPr>
        <w:t>»</w:t>
      </w:r>
      <w:bookmarkEnd w:id="5"/>
      <w:r w:rsidRPr="003445A6">
        <w:rPr>
          <w:rFonts w:ascii="Verdana" w:hAnsi="Verdana" w:cs="Arial"/>
          <w:color w:val="000000" w:themeColor="text1"/>
          <w:sz w:val="16"/>
          <w:szCs w:val="16"/>
        </w:rPr>
        <w:t>.</w:t>
      </w:r>
    </w:p>
    <w:p w14:paraId="0CD4DEA5" w14:textId="77777777" w:rsidR="003445A6" w:rsidRPr="003445A6" w:rsidRDefault="003445A6" w:rsidP="001F3B6A">
      <w:pPr>
        <w:pStyle w:val="Textonotapie"/>
        <w:ind w:firstLine="709"/>
        <w:rPr>
          <w:rFonts w:ascii="Verdana" w:hAnsi="Verdana" w:cs="Arial"/>
          <w:color w:val="000000" w:themeColor="text1"/>
          <w:sz w:val="16"/>
          <w:szCs w:val="16"/>
        </w:rPr>
      </w:pPr>
    </w:p>
  </w:footnote>
  <w:footnote w:id="12">
    <w:p w14:paraId="605753E8" w14:textId="453927CE" w:rsidR="001F3B6A" w:rsidRDefault="001F3B6A" w:rsidP="001F3B6A">
      <w:pPr>
        <w:pStyle w:val="Textonotapie"/>
        <w:ind w:firstLine="709"/>
        <w:rPr>
          <w:rFonts w:ascii="Verdana" w:hAnsi="Verdana" w:cs="Arial"/>
          <w:color w:val="000000" w:themeColor="text1"/>
          <w:sz w:val="16"/>
          <w:szCs w:val="16"/>
        </w:rPr>
      </w:pPr>
      <w:r w:rsidRPr="003445A6">
        <w:rPr>
          <w:rStyle w:val="Refdenotaalpie"/>
          <w:rFonts w:ascii="Verdana" w:hAnsi="Verdana" w:cs="Arial"/>
          <w:color w:val="000000" w:themeColor="text1"/>
          <w:sz w:val="16"/>
          <w:szCs w:val="16"/>
        </w:rPr>
        <w:footnoteRef/>
      </w:r>
      <w:r w:rsidRPr="003445A6">
        <w:rPr>
          <w:rFonts w:ascii="Verdana" w:hAnsi="Verdana" w:cs="Arial"/>
          <w:color w:val="000000" w:themeColor="text1"/>
          <w:sz w:val="16"/>
          <w:szCs w:val="16"/>
        </w:rPr>
        <w:t xml:space="preserve"> </w:t>
      </w:r>
      <w:bookmarkStart w:id="7" w:name="_Hlk74294506"/>
      <w:r w:rsidRPr="003445A6">
        <w:rPr>
          <w:rFonts w:ascii="Verdana" w:hAnsi="Verdana" w:cs="Arial"/>
          <w:color w:val="000000" w:themeColor="text1"/>
          <w:sz w:val="16"/>
          <w:szCs w:val="16"/>
          <w:lang w:val="es-ES"/>
        </w:rPr>
        <w:t xml:space="preserve"> </w:t>
      </w:r>
      <w:bookmarkEnd w:id="7"/>
      <w:r w:rsidRPr="003445A6">
        <w:rPr>
          <w:rFonts w:ascii="Verdana" w:hAnsi="Verdana" w:cs="Arial"/>
          <w:color w:val="000000" w:themeColor="text1"/>
          <w:sz w:val="16"/>
          <w:szCs w:val="16"/>
        </w:rPr>
        <w:t>Al respecto ver el concepto 1712 de 2 de febrero de 2006. Consejo de Estado Sala de Consulta y Servicio Civil.</w:t>
      </w:r>
    </w:p>
    <w:p w14:paraId="19BBAFC6" w14:textId="77777777" w:rsidR="0050110D" w:rsidRPr="003445A6" w:rsidRDefault="0050110D" w:rsidP="001F3B6A">
      <w:pPr>
        <w:pStyle w:val="Textonotapie"/>
        <w:ind w:firstLine="709"/>
        <w:rPr>
          <w:rFonts w:ascii="Verdana" w:hAnsi="Verdana" w:cs="Arial"/>
          <w:color w:val="000000" w:themeColor="text1"/>
          <w:sz w:val="16"/>
          <w:szCs w:val="16"/>
        </w:rPr>
      </w:pPr>
    </w:p>
  </w:footnote>
  <w:footnote w:id="13">
    <w:p w14:paraId="113AC25A" w14:textId="77777777" w:rsidR="001F3B6A" w:rsidRPr="003445A6" w:rsidRDefault="001F3B6A" w:rsidP="001F3B6A">
      <w:pPr>
        <w:pStyle w:val="Textonotapie"/>
        <w:ind w:firstLine="709"/>
        <w:rPr>
          <w:rFonts w:ascii="Verdana" w:hAnsi="Verdana" w:cs="Arial"/>
          <w:color w:val="000000" w:themeColor="text1"/>
          <w:sz w:val="16"/>
          <w:szCs w:val="16"/>
        </w:rPr>
      </w:pPr>
      <w:r w:rsidRPr="003445A6">
        <w:rPr>
          <w:rStyle w:val="Refdenotaalpie"/>
          <w:rFonts w:ascii="Verdana" w:hAnsi="Verdana" w:cs="Arial"/>
          <w:color w:val="000000" w:themeColor="text1"/>
          <w:sz w:val="16"/>
          <w:szCs w:val="16"/>
        </w:rPr>
        <w:footnoteRef/>
      </w:r>
      <w:r w:rsidRPr="003445A6">
        <w:rPr>
          <w:rFonts w:ascii="Verdana" w:hAnsi="Verdana" w:cs="Arial"/>
          <w:color w:val="000000" w:themeColor="text1"/>
          <w:sz w:val="16"/>
          <w:szCs w:val="16"/>
        </w:rPr>
        <w:t xml:space="preserve"> Consejo de Estado. Sala de Consulta y Servicio Civil. Concepto del 2 de septiembre de 2013. Radicación número: 11001-03-06-000-2013-00412-00 (2168). Consejero Ponente: Álvaro Namén Vargas.</w:t>
      </w:r>
    </w:p>
  </w:footnote>
  <w:footnote w:id="14">
    <w:p w14:paraId="1DBC3CD2" w14:textId="77777777" w:rsidR="0050110D" w:rsidRDefault="0050110D" w:rsidP="001F3B6A">
      <w:pPr>
        <w:pStyle w:val="Textonotapie"/>
        <w:ind w:firstLine="709"/>
        <w:rPr>
          <w:rFonts w:ascii="Verdana" w:hAnsi="Verdana" w:cs="Arial"/>
          <w:color w:val="000000" w:themeColor="text1"/>
          <w:sz w:val="16"/>
          <w:szCs w:val="16"/>
        </w:rPr>
      </w:pPr>
    </w:p>
    <w:p w14:paraId="163EACB9" w14:textId="505310E7" w:rsidR="001F3B6A" w:rsidRPr="003445A6" w:rsidRDefault="001F3B6A" w:rsidP="001F3B6A">
      <w:pPr>
        <w:pStyle w:val="Textonotapie"/>
        <w:ind w:firstLine="709"/>
        <w:rPr>
          <w:rFonts w:ascii="Verdana" w:hAnsi="Verdana" w:cs="Arial"/>
          <w:color w:val="000000" w:themeColor="text1"/>
          <w:sz w:val="16"/>
          <w:szCs w:val="16"/>
          <w:lang w:val="es-ES"/>
        </w:rPr>
      </w:pPr>
      <w:r w:rsidRPr="003445A6">
        <w:rPr>
          <w:rStyle w:val="Refdenotaalpie"/>
          <w:rFonts w:ascii="Verdana" w:hAnsi="Verdana" w:cs="Arial"/>
          <w:color w:val="000000" w:themeColor="text1"/>
          <w:sz w:val="16"/>
          <w:szCs w:val="16"/>
        </w:rPr>
        <w:footnoteRef/>
      </w:r>
      <w:r w:rsidRPr="003445A6">
        <w:rPr>
          <w:rFonts w:ascii="Verdana" w:hAnsi="Verdana" w:cs="Arial"/>
          <w:color w:val="000000" w:themeColor="text1"/>
          <w:sz w:val="16"/>
          <w:szCs w:val="16"/>
        </w:rPr>
        <w:t xml:space="preserve"> </w:t>
      </w:r>
      <w:r w:rsidRPr="003445A6">
        <w:rPr>
          <w:rFonts w:ascii="Verdana" w:hAnsi="Verdana" w:cs="Arial"/>
          <w:color w:val="000000" w:themeColor="text1"/>
          <w:sz w:val="16"/>
          <w:szCs w:val="16"/>
          <w:lang w:val="es-ES"/>
        </w:rPr>
        <w:t xml:space="preserve">Artículo 2. </w:t>
      </w:r>
    </w:p>
    <w:p w14:paraId="7D74E741" w14:textId="77777777" w:rsidR="001F3B6A" w:rsidRPr="003445A6" w:rsidRDefault="001F3B6A" w:rsidP="001F3B6A">
      <w:pPr>
        <w:pStyle w:val="Textonotapie"/>
        <w:ind w:firstLine="709"/>
        <w:rPr>
          <w:rFonts w:ascii="Verdana" w:hAnsi="Verdana" w:cs="Arial"/>
          <w:color w:val="000000" w:themeColor="text1"/>
          <w:sz w:val="16"/>
          <w:szCs w:val="16"/>
          <w:lang w:val="es-ES"/>
        </w:rPr>
      </w:pPr>
    </w:p>
  </w:footnote>
  <w:footnote w:id="15">
    <w:p w14:paraId="08D8B5B5" w14:textId="77777777" w:rsidR="001F3B6A" w:rsidRPr="003445A6" w:rsidRDefault="001F3B6A" w:rsidP="001F3B6A">
      <w:pPr>
        <w:pStyle w:val="Textonotapie"/>
        <w:ind w:firstLine="709"/>
        <w:rPr>
          <w:rFonts w:ascii="Verdana" w:hAnsi="Verdana" w:cs="Arial"/>
          <w:color w:val="000000" w:themeColor="text1"/>
          <w:sz w:val="16"/>
          <w:szCs w:val="16"/>
          <w:lang w:val="es-ES"/>
        </w:rPr>
      </w:pPr>
      <w:r w:rsidRPr="003445A6">
        <w:rPr>
          <w:rStyle w:val="Refdenotaalpie"/>
          <w:rFonts w:ascii="Verdana" w:hAnsi="Verdana" w:cs="Arial"/>
          <w:color w:val="000000" w:themeColor="text1"/>
          <w:sz w:val="16"/>
          <w:szCs w:val="16"/>
        </w:rPr>
        <w:footnoteRef/>
      </w:r>
      <w:r w:rsidRPr="003445A6">
        <w:rPr>
          <w:rFonts w:ascii="Verdana" w:hAnsi="Verdana" w:cs="Arial"/>
          <w:color w:val="000000" w:themeColor="text1"/>
          <w:sz w:val="16"/>
          <w:szCs w:val="16"/>
        </w:rPr>
        <w:t xml:space="preserve"> </w:t>
      </w:r>
      <w:r w:rsidRPr="003445A6">
        <w:rPr>
          <w:rFonts w:ascii="Verdana" w:hAnsi="Verdana" w:cs="Arial"/>
          <w:i/>
          <w:color w:val="000000" w:themeColor="text1"/>
          <w:sz w:val="16"/>
          <w:szCs w:val="16"/>
          <w:lang w:val="es-ES"/>
        </w:rPr>
        <w:t>Ídem</w:t>
      </w:r>
      <w:r w:rsidRPr="003445A6">
        <w:rPr>
          <w:rFonts w:ascii="Verdana" w:hAnsi="Verdana" w:cs="Arial"/>
          <w:color w:val="000000" w:themeColor="text1"/>
          <w:sz w:val="16"/>
          <w:szCs w:val="16"/>
          <w:lang w:val="es-ES"/>
        </w:rPr>
        <w:t>.</w:t>
      </w:r>
    </w:p>
    <w:p w14:paraId="7CBF956D" w14:textId="77777777" w:rsidR="001F3B6A" w:rsidRPr="003445A6" w:rsidRDefault="001F3B6A" w:rsidP="001F3B6A">
      <w:pPr>
        <w:pStyle w:val="Textonotapie"/>
        <w:ind w:firstLine="709"/>
        <w:rPr>
          <w:rFonts w:ascii="Verdana" w:hAnsi="Verdana" w:cs="Arial"/>
          <w:color w:val="000000" w:themeColor="text1"/>
          <w:sz w:val="16"/>
          <w:szCs w:val="16"/>
          <w:lang w:val="es-ES"/>
        </w:rPr>
      </w:pPr>
    </w:p>
  </w:footnote>
  <w:footnote w:id="16">
    <w:p w14:paraId="06ACEB4C" w14:textId="77777777" w:rsidR="001F3B6A" w:rsidRPr="00454DDE" w:rsidRDefault="001F3B6A" w:rsidP="00454DDE">
      <w:pPr>
        <w:spacing w:line="240" w:lineRule="auto"/>
        <w:ind w:firstLine="709"/>
        <w:jc w:val="both"/>
        <w:rPr>
          <w:rFonts w:ascii="Verdana" w:hAnsi="Verdana" w:cs="Arial"/>
          <w:color w:val="000000" w:themeColor="text1"/>
          <w:sz w:val="16"/>
          <w:szCs w:val="16"/>
        </w:rPr>
      </w:pPr>
      <w:r w:rsidRPr="00454DDE">
        <w:rPr>
          <w:rStyle w:val="Refdenotaalpie"/>
          <w:rFonts w:ascii="Verdana" w:hAnsi="Verdana" w:cs="Arial"/>
          <w:color w:val="000000" w:themeColor="text1"/>
          <w:sz w:val="16"/>
          <w:szCs w:val="16"/>
        </w:rPr>
        <w:footnoteRef/>
      </w:r>
      <w:r w:rsidRPr="00454DDE">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32CB6ED1" w14:textId="77777777" w:rsidR="001F3B6A" w:rsidRPr="00E80894" w:rsidRDefault="001F3B6A" w:rsidP="00454DDE">
      <w:pPr>
        <w:pStyle w:val="Textonotapie"/>
        <w:ind w:firstLine="709"/>
        <w:jc w:val="both"/>
        <w:rPr>
          <w:rFonts w:ascii="Arial" w:hAnsi="Arial" w:cs="Arial"/>
          <w:color w:val="000000" w:themeColor="text1"/>
          <w:sz w:val="19"/>
          <w:szCs w:val="19"/>
        </w:rPr>
      </w:pPr>
      <w:r w:rsidRPr="00454DDE">
        <w:rPr>
          <w:rStyle w:val="Refdenotaalpie"/>
          <w:rFonts w:ascii="Verdana" w:hAnsi="Verdana" w:cs="Arial"/>
          <w:color w:val="000000" w:themeColor="text1"/>
          <w:sz w:val="16"/>
          <w:szCs w:val="16"/>
        </w:rPr>
        <w:footnoteRef/>
      </w:r>
      <w:r w:rsidRPr="00454DDE">
        <w:rPr>
          <w:rFonts w:ascii="Verdana" w:hAnsi="Verdana" w:cs="Arial"/>
          <w:color w:val="000000" w:themeColor="text1"/>
          <w:sz w:val="16"/>
          <w:szCs w:val="16"/>
        </w:rPr>
        <w:t xml:space="preserve"> </w:t>
      </w:r>
      <w:bookmarkStart w:id="13" w:name="_Hlk75633115"/>
      <w:r w:rsidRPr="00454DDE">
        <w:rPr>
          <w:rFonts w:ascii="Verdana" w:hAnsi="Verdana" w:cs="Arial"/>
          <w:color w:val="000000" w:themeColor="text1"/>
          <w:sz w:val="16"/>
          <w:szCs w:val="16"/>
        </w:rPr>
        <w:t xml:space="preserve">Consejo de Estado. Sala de Consulta y Servicio Civil. Concepto </w:t>
      </w:r>
      <w:bookmarkEnd w:id="13"/>
      <w:r w:rsidRPr="00454DDE">
        <w:rPr>
          <w:rFonts w:ascii="Verdana" w:hAnsi="Verdana" w:cs="Arial"/>
          <w:color w:val="000000" w:themeColor="text1"/>
          <w:sz w:val="16"/>
          <w:szCs w:val="16"/>
        </w:rPr>
        <w:t>de 6 de abril de 2006. Radicación Número: 11001-03-06-000-2006-00038-00(1738). Consejero Ponente: Enrique José Arboleda Perdomo:</w:t>
      </w:r>
      <w:r w:rsidRPr="00454DDE">
        <w:rPr>
          <w:rFonts w:ascii="Verdana" w:eastAsia="Times New Roman" w:hAnsi="Verdana" w:cs="Arial"/>
          <w:bCs/>
          <w:color w:val="000000" w:themeColor="text1"/>
          <w:sz w:val="16"/>
          <w:szCs w:val="16"/>
          <w:lang w:eastAsia="x-none"/>
        </w:rPr>
        <w:t xml:space="preserve"> «</w:t>
      </w:r>
      <w:r w:rsidRPr="00454DDE">
        <w:rPr>
          <w:rFonts w:ascii="Verdana" w:hAnsi="Verdana" w:cs="Arial"/>
          <w:color w:val="000000" w:themeColor="text1"/>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54DDE">
        <w:rPr>
          <w:rFonts w:ascii="Verdana" w:eastAsia="Times New Roman" w:hAnsi="Verdana" w:cs="Arial"/>
          <w:bCs/>
          <w:color w:val="000000" w:themeColor="text1"/>
          <w:sz w:val="16"/>
          <w:szCs w:val="16"/>
          <w:lang w:eastAsia="x-none"/>
        </w:rPr>
        <w:t>».</w:t>
      </w:r>
    </w:p>
  </w:footnote>
  <w:footnote w:id="18">
    <w:p w14:paraId="41672835" w14:textId="77777777" w:rsidR="001F3B6A" w:rsidRDefault="001F3B6A" w:rsidP="00454DDE">
      <w:pPr>
        <w:pStyle w:val="Textonotapie"/>
        <w:ind w:firstLine="709"/>
        <w:jc w:val="both"/>
        <w:rPr>
          <w:rFonts w:ascii="Verdana" w:hAnsi="Verdana" w:cs="Arial"/>
          <w:color w:val="000000" w:themeColor="text1"/>
          <w:sz w:val="16"/>
          <w:szCs w:val="16"/>
        </w:rPr>
      </w:pPr>
      <w:r w:rsidRPr="00454DDE">
        <w:rPr>
          <w:rStyle w:val="Refdenotaalpie"/>
          <w:rFonts w:ascii="Verdana" w:hAnsi="Verdana" w:cs="Arial"/>
          <w:color w:val="000000" w:themeColor="text1"/>
          <w:sz w:val="16"/>
          <w:szCs w:val="16"/>
        </w:rPr>
        <w:footnoteRef/>
      </w:r>
      <w:r w:rsidRPr="00454DDE">
        <w:rPr>
          <w:rFonts w:ascii="Verdana" w:hAnsi="Verdana" w:cs="Arial"/>
          <w:color w:val="000000" w:themeColor="text1"/>
          <w:sz w:val="16"/>
          <w:szCs w:val="16"/>
        </w:rPr>
        <w:t xml:space="preserve"> Consejo de Estado. Sala de Consulta y Servicio Civil. Concepto de 6 de abril de 2006. Radicación Número: 11001-03-06-000-2006-00038-00(1738). Consejero Ponente: Enrique José Arboleda Perdomo.</w:t>
      </w:r>
    </w:p>
    <w:p w14:paraId="5BB3D6F7" w14:textId="77777777" w:rsidR="00B415B6" w:rsidRPr="00454DDE" w:rsidRDefault="00B415B6" w:rsidP="00454DDE">
      <w:pPr>
        <w:pStyle w:val="Textonotapie"/>
        <w:ind w:firstLine="709"/>
        <w:jc w:val="both"/>
        <w:rPr>
          <w:rFonts w:ascii="Verdana" w:hAnsi="Verdana" w:cs="Arial"/>
          <w:color w:val="000000" w:themeColor="text1"/>
          <w:sz w:val="16"/>
          <w:szCs w:val="16"/>
        </w:rPr>
      </w:pPr>
    </w:p>
  </w:footnote>
  <w:footnote w:id="19">
    <w:p w14:paraId="2D7E62C1" w14:textId="77777777" w:rsidR="001F3B6A" w:rsidRPr="00454DDE" w:rsidRDefault="001F3B6A" w:rsidP="00454DDE">
      <w:pPr>
        <w:pStyle w:val="Textonotapie"/>
        <w:ind w:firstLine="709"/>
        <w:jc w:val="both"/>
        <w:rPr>
          <w:rFonts w:ascii="Verdana" w:hAnsi="Verdana" w:cs="Arial"/>
          <w:color w:val="000000" w:themeColor="text1"/>
          <w:sz w:val="16"/>
          <w:szCs w:val="16"/>
        </w:rPr>
      </w:pPr>
      <w:r w:rsidRPr="00454DDE">
        <w:rPr>
          <w:rStyle w:val="Refdenotaalpie"/>
          <w:rFonts w:ascii="Verdana" w:hAnsi="Verdana" w:cs="Arial"/>
          <w:color w:val="000000" w:themeColor="text1"/>
          <w:sz w:val="16"/>
          <w:szCs w:val="16"/>
        </w:rPr>
        <w:footnoteRef/>
      </w:r>
      <w:r w:rsidRPr="00454DDE">
        <w:rPr>
          <w:rFonts w:ascii="Verdana" w:hAnsi="Verdana" w:cs="Arial"/>
          <w:color w:val="000000" w:themeColor="text1"/>
          <w:sz w:val="16"/>
          <w:szCs w:val="16"/>
        </w:rPr>
        <w:t xml:space="preserve"> Consejo de Estado. Sala de Consulta y Servicio Civil, ídem.</w:t>
      </w:r>
    </w:p>
  </w:footnote>
  <w:footnote w:id="20">
    <w:p w14:paraId="649F565C" w14:textId="77777777" w:rsidR="001F3B6A" w:rsidRPr="00B770EC"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p w14:paraId="4FC0F5DE" w14:textId="77777777" w:rsidR="001F3B6A" w:rsidRPr="00B770EC" w:rsidRDefault="001F3B6A" w:rsidP="00B770EC">
      <w:pPr>
        <w:pStyle w:val="Textonotapie"/>
        <w:ind w:firstLine="708"/>
        <w:jc w:val="both"/>
        <w:rPr>
          <w:rFonts w:ascii="Verdana" w:hAnsi="Verdana" w:cs="Arial"/>
          <w:color w:val="000000" w:themeColor="text1"/>
          <w:sz w:val="16"/>
          <w:szCs w:val="16"/>
        </w:rPr>
      </w:pPr>
    </w:p>
  </w:footnote>
  <w:footnote w:id="21">
    <w:p w14:paraId="3CBECC48" w14:textId="77777777" w:rsidR="00B770EC" w:rsidRPr="00B770EC" w:rsidRDefault="00B770EC"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sz w:val="16"/>
          <w:szCs w:val="16"/>
        </w:rPr>
        <w:footnoteRef/>
      </w:r>
      <w:r w:rsidRPr="00B770EC">
        <w:rPr>
          <w:rFonts w:ascii="Verdana" w:hAnsi="Verdana"/>
          <w:sz w:val="16"/>
          <w:szCs w:val="16"/>
        </w:rPr>
        <w:t xml:space="preserve"> </w:t>
      </w:r>
      <w:r w:rsidRPr="00B770EC">
        <w:rPr>
          <w:rFonts w:ascii="Verdana" w:hAnsi="Verdana" w:cs="Arial"/>
          <w:color w:val="000000" w:themeColor="text1"/>
          <w:sz w:val="16"/>
          <w:szCs w:val="16"/>
        </w:rPr>
        <w:t xml:space="preserve">Corte Constitucional. Sentencia C-1153 de 2005 M.P. Marco Gerardo Monroy Cabra. </w:t>
      </w:r>
    </w:p>
    <w:p w14:paraId="5A45CDC6" w14:textId="7EAFC46A" w:rsidR="00B770EC" w:rsidRPr="00B770EC" w:rsidRDefault="00B770EC" w:rsidP="00B770EC">
      <w:pPr>
        <w:pStyle w:val="Textonotapie"/>
        <w:jc w:val="both"/>
        <w:rPr>
          <w:rFonts w:ascii="Verdana" w:hAnsi="Verdana"/>
          <w:sz w:val="16"/>
          <w:szCs w:val="16"/>
          <w:lang w:val="es-ES"/>
        </w:rPr>
      </w:pPr>
    </w:p>
  </w:footnote>
  <w:footnote w:id="22">
    <w:p w14:paraId="3034A16A" w14:textId="77777777" w:rsidR="001F3B6A" w:rsidRPr="00B770EC" w:rsidRDefault="001F3B6A" w:rsidP="001F3B6A">
      <w:pPr>
        <w:pStyle w:val="Textonotapie"/>
        <w:ind w:firstLine="708"/>
        <w:rPr>
          <w:rFonts w:ascii="Verdana" w:hAnsi="Verdana" w:cs="Arial"/>
          <w:color w:val="000000" w:themeColor="text1"/>
          <w:sz w:val="16"/>
          <w:szCs w:val="16"/>
        </w:rPr>
      </w:pPr>
      <w:r w:rsidRPr="00E80894">
        <w:rPr>
          <w:rStyle w:val="Refdenotaalpie"/>
          <w:rFonts w:ascii="Arial" w:hAnsi="Arial" w:cs="Arial"/>
          <w:color w:val="000000" w:themeColor="text1"/>
          <w:sz w:val="19"/>
          <w:szCs w:val="19"/>
        </w:rPr>
        <w:footnoteRef/>
      </w:r>
      <w:r w:rsidRPr="00E80894">
        <w:rPr>
          <w:rFonts w:ascii="Arial" w:hAnsi="Arial" w:cs="Arial"/>
          <w:color w:val="000000" w:themeColor="text1"/>
          <w:sz w:val="19"/>
          <w:szCs w:val="19"/>
        </w:rPr>
        <w:t xml:space="preserve"> </w:t>
      </w:r>
      <w:r w:rsidRPr="00B770EC">
        <w:rPr>
          <w:rFonts w:ascii="Verdana" w:hAnsi="Verdana" w:cs="Arial"/>
          <w:color w:val="000000" w:themeColor="text1"/>
          <w:sz w:val="16"/>
          <w:szCs w:val="16"/>
        </w:rPr>
        <w:t>Consejo de Estado. Sala de Consulta y Servicio Civil. Concepto del 02 de septiembre de 2013. Rad. 11001-03-06-000-2013-00412-00 (2168). C.P. Álvaro Namén Vargas.</w:t>
      </w:r>
    </w:p>
    <w:p w14:paraId="6E2121AB" w14:textId="77777777" w:rsidR="001F3B6A" w:rsidRPr="00B770EC" w:rsidRDefault="001F3B6A" w:rsidP="001F3B6A">
      <w:pPr>
        <w:pStyle w:val="Textonotapie"/>
        <w:rPr>
          <w:rFonts w:ascii="Verdana" w:hAnsi="Verdana" w:cs="Arial"/>
          <w:color w:val="000000" w:themeColor="text1"/>
          <w:sz w:val="16"/>
          <w:szCs w:val="16"/>
        </w:rPr>
      </w:pPr>
    </w:p>
  </w:footnote>
  <w:footnote w:id="23">
    <w:p w14:paraId="081585E0" w14:textId="77777777" w:rsidR="001F3B6A"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B770EC">
        <w:rPr>
          <w:rFonts w:ascii="Verdana" w:hAnsi="Verdana" w:cs="Arial"/>
          <w:i/>
          <w:iCs/>
          <w:color w:val="000000" w:themeColor="text1"/>
          <w:sz w:val="16"/>
          <w:szCs w:val="16"/>
        </w:rPr>
        <w:t>y todas aquellas entidades que de acuerdo con la ley ejerzan funciones de vigilancia y control sanitario</w:t>
      </w:r>
      <w:r w:rsidRPr="00B770EC">
        <w:rPr>
          <w:rFonts w:ascii="Verdana" w:hAnsi="Verdana" w:cs="Arial"/>
          <w:color w:val="000000" w:themeColor="text1"/>
          <w:sz w:val="16"/>
          <w:szCs w:val="16"/>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5EC0BF0F" w14:textId="77777777" w:rsidR="00B770EC" w:rsidRPr="00B770EC" w:rsidRDefault="00B770EC" w:rsidP="00B770EC">
      <w:pPr>
        <w:pStyle w:val="Textonotapie"/>
        <w:ind w:firstLine="708"/>
        <w:jc w:val="both"/>
        <w:rPr>
          <w:rFonts w:ascii="Verdana" w:hAnsi="Verdana" w:cs="Arial"/>
          <w:color w:val="000000" w:themeColor="text1"/>
          <w:sz w:val="16"/>
          <w:szCs w:val="16"/>
        </w:rPr>
      </w:pPr>
    </w:p>
  </w:footnote>
  <w:footnote w:id="24">
    <w:p w14:paraId="3CBD9374" w14:textId="77777777" w:rsidR="001F3B6A" w:rsidRPr="00B770EC"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Ley 100 de 1993: «Artículo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p>
    <w:p w14:paraId="4FCEA201" w14:textId="77777777" w:rsidR="001F3B6A" w:rsidRPr="00E80894" w:rsidRDefault="001F3B6A" w:rsidP="00B770EC">
      <w:pPr>
        <w:pStyle w:val="Textonotapie"/>
        <w:ind w:firstLine="708"/>
        <w:rPr>
          <w:rFonts w:ascii="Arial" w:hAnsi="Arial" w:cs="Arial"/>
          <w:color w:val="000000" w:themeColor="text1"/>
          <w:sz w:val="19"/>
          <w:szCs w:val="19"/>
        </w:rPr>
      </w:pPr>
    </w:p>
  </w:footnote>
  <w:footnote w:id="25">
    <w:p w14:paraId="4529EA89" w14:textId="77777777" w:rsidR="001F3B6A" w:rsidRPr="00295C51" w:rsidRDefault="001F3B6A" w:rsidP="00295C51">
      <w:pPr>
        <w:pStyle w:val="Textonotapie"/>
        <w:ind w:firstLine="708"/>
        <w:jc w:val="both"/>
        <w:rPr>
          <w:rFonts w:ascii="Verdana" w:hAnsi="Verdana" w:cs="Arial"/>
          <w:color w:val="000000" w:themeColor="text1"/>
          <w:sz w:val="16"/>
          <w:szCs w:val="16"/>
        </w:rPr>
      </w:pPr>
      <w:r w:rsidRPr="00295C51">
        <w:rPr>
          <w:rStyle w:val="Refdenotaalpie"/>
          <w:rFonts w:ascii="Verdana" w:hAnsi="Verdana" w:cs="Arial"/>
          <w:color w:val="000000" w:themeColor="text1"/>
          <w:sz w:val="16"/>
          <w:szCs w:val="16"/>
        </w:rPr>
        <w:footnoteRef/>
      </w:r>
      <w:r w:rsidRPr="00295C51">
        <w:rPr>
          <w:rFonts w:ascii="Verdana" w:hAnsi="Verdana" w:cs="Arial"/>
          <w:color w:val="000000" w:themeColor="text1"/>
          <w:sz w:val="16"/>
          <w:szCs w:val="16"/>
        </w:rPr>
        <w:t xml:space="preserve"> Agencia Nacional de Contratación Pública – Colombia Compra Eficiente. Concepto C-014 del 18 de febrero de 2022. Radicado de entrada No. P20220106000098. Radicado de salida No. RS20220218001642</w:t>
      </w:r>
    </w:p>
    <w:p w14:paraId="7417725E" w14:textId="77777777" w:rsidR="001F3B6A" w:rsidRPr="00E80894" w:rsidRDefault="001F3B6A" w:rsidP="00295C51">
      <w:pPr>
        <w:pStyle w:val="Textonotapie"/>
        <w:ind w:firstLine="708"/>
        <w:rPr>
          <w:rFonts w:ascii="Arial" w:hAnsi="Arial" w:cs="Arial"/>
          <w:color w:val="000000" w:themeColor="text1"/>
          <w:sz w:val="19"/>
          <w:szCs w:val="19"/>
        </w:rPr>
      </w:pPr>
    </w:p>
  </w:footnote>
  <w:footnote w:id="26">
    <w:p w14:paraId="428B6FDE" w14:textId="77777777" w:rsidR="001F3B6A" w:rsidRPr="00295C51" w:rsidRDefault="001F3B6A" w:rsidP="00295C51">
      <w:pPr>
        <w:pStyle w:val="Textonotapie"/>
        <w:ind w:firstLine="709"/>
        <w:jc w:val="both"/>
        <w:rPr>
          <w:rFonts w:ascii="Verdana" w:hAnsi="Verdana" w:cs="Arial"/>
          <w:color w:val="000000" w:themeColor="text1"/>
          <w:sz w:val="16"/>
          <w:szCs w:val="16"/>
        </w:rPr>
      </w:pPr>
      <w:r w:rsidRPr="00295C51">
        <w:rPr>
          <w:rStyle w:val="Refdenotaalpie"/>
          <w:rFonts w:ascii="Verdana" w:hAnsi="Verdana" w:cs="Arial"/>
          <w:color w:val="000000" w:themeColor="text1"/>
          <w:sz w:val="16"/>
          <w:szCs w:val="16"/>
        </w:rPr>
        <w:footnoteRef/>
      </w:r>
      <w:r w:rsidRPr="00295C51">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27">
    <w:p w14:paraId="7481A4A6" w14:textId="77777777" w:rsidR="00C30ACB" w:rsidRDefault="001F3B6A" w:rsidP="00C30ACB">
      <w:pPr>
        <w:spacing w:line="240" w:lineRule="auto"/>
        <w:ind w:firstLine="709"/>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3C4A576" w14:textId="3FC49B2B" w:rsidR="001F3B6A" w:rsidRPr="00B770EC" w:rsidRDefault="001F3B6A" w:rsidP="00C30ACB">
      <w:pPr>
        <w:spacing w:line="240" w:lineRule="auto"/>
        <w:ind w:firstLine="709"/>
        <w:jc w:val="both"/>
        <w:rPr>
          <w:rFonts w:ascii="Verdana" w:hAnsi="Verdana" w:cs="Arial"/>
          <w:color w:val="000000" w:themeColor="text1"/>
          <w:sz w:val="16"/>
          <w:szCs w:val="16"/>
        </w:rPr>
      </w:pPr>
      <w:r w:rsidRPr="00B770EC">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B770EC">
        <w:rPr>
          <w:rFonts w:ascii="Verdana" w:hAnsi="Verdana" w:cs="Arial"/>
          <w:color w:val="000000" w:themeColor="text1"/>
          <w:spacing w:val="-1"/>
          <w:sz w:val="16"/>
          <w:szCs w:val="16"/>
        </w:rPr>
        <w:t xml:space="preserve"> </w:t>
      </w:r>
      <w:r w:rsidRPr="00B770EC">
        <w:rPr>
          <w:rFonts w:ascii="Verdana" w:hAnsi="Verdana" w:cs="Arial"/>
          <w:color w:val="000000" w:themeColor="text1"/>
          <w:sz w:val="16"/>
          <w:szCs w:val="16"/>
        </w:rPr>
        <w:t>Estatales».</w:t>
      </w:r>
    </w:p>
  </w:footnote>
  <w:footnote w:id="28">
    <w:p w14:paraId="3A0C8ACA" w14:textId="77777777" w:rsidR="001F3B6A" w:rsidRPr="00B770EC" w:rsidRDefault="001F3B6A" w:rsidP="00B770EC">
      <w:pPr>
        <w:spacing w:line="240" w:lineRule="auto"/>
        <w:ind w:firstLine="709"/>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B770EC">
        <w:rPr>
          <w:rFonts w:ascii="Verdana" w:hAnsi="Verdana" w:cs="Arial"/>
          <w:color w:val="000000" w:themeColor="text1"/>
          <w:spacing w:val="-6"/>
          <w:sz w:val="16"/>
          <w:szCs w:val="16"/>
        </w:rPr>
        <w:t xml:space="preserve"> </w:t>
      </w:r>
      <w:r w:rsidRPr="00B770EC">
        <w:rPr>
          <w:rFonts w:ascii="Verdana" w:hAnsi="Verdana" w:cs="Arial"/>
          <w:color w:val="000000" w:themeColor="text1"/>
          <w:sz w:val="16"/>
          <w:szCs w:val="16"/>
        </w:rPr>
        <w:t>artículo».</w:t>
      </w:r>
    </w:p>
  </w:footnote>
  <w:footnote w:id="29">
    <w:p w14:paraId="0E3548F1" w14:textId="77777777" w:rsidR="001F3B6A" w:rsidRPr="00B770EC" w:rsidRDefault="001F3B6A" w:rsidP="00B770EC">
      <w:pPr>
        <w:spacing w:line="240" w:lineRule="auto"/>
        <w:ind w:firstLine="709"/>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position w:val="7"/>
          <w:sz w:val="16"/>
          <w:szCs w:val="16"/>
        </w:rPr>
        <w:t xml:space="preserve"> </w:t>
      </w:r>
      <w:r w:rsidRPr="00B770EC">
        <w:rPr>
          <w:rFonts w:ascii="Verdana" w:hAnsi="Verdana" w:cs="Arial"/>
          <w:color w:val="000000" w:themeColor="text1"/>
          <w:sz w:val="16"/>
          <w:szCs w:val="16"/>
        </w:rPr>
        <w:t>Consejo de Estado. Sección Tercera. Sentencia del 23 de junio de 2010. Radicación No. 66001-23-31-000-1998-00261-01(17.860). Consejero Ponente: Mauricio Fajardo Gómez.</w:t>
      </w:r>
    </w:p>
  </w:footnote>
  <w:footnote w:id="30">
    <w:p w14:paraId="2D3C0C0F" w14:textId="77777777" w:rsidR="001F3B6A" w:rsidRPr="00B770EC" w:rsidRDefault="001F3B6A" w:rsidP="00B770EC">
      <w:pPr>
        <w:spacing w:line="240" w:lineRule="auto"/>
        <w:ind w:firstLine="709"/>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Consejo de Estado. Sección Tercera. Subsección C. Sentencia del 11 de diciembre de 2019. Exp. 46.986. C.P. Jaime Enrique Rodríguez Navas.</w:t>
      </w:r>
    </w:p>
  </w:footnote>
  <w:footnote w:id="31">
    <w:p w14:paraId="73A7725D" w14:textId="77777777" w:rsidR="001F3B6A"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[Referencia propia de la cita] «CE. SCSC. Concepto de 1 de noviembre de 2016 [Rad. 11001-03-06-000-2016-00125-00(2305)]. MP. Germán Alberto Bula Escobar».</w:t>
      </w:r>
    </w:p>
    <w:p w14:paraId="4AD035FB" w14:textId="77777777" w:rsidR="00B770EC" w:rsidRPr="00B770EC" w:rsidRDefault="00B770EC" w:rsidP="00B770EC">
      <w:pPr>
        <w:pStyle w:val="Textonotapie"/>
        <w:jc w:val="both"/>
        <w:rPr>
          <w:rFonts w:ascii="Verdana" w:hAnsi="Verdana" w:cs="Arial"/>
          <w:color w:val="000000" w:themeColor="text1"/>
          <w:sz w:val="16"/>
          <w:szCs w:val="16"/>
        </w:rPr>
      </w:pPr>
    </w:p>
  </w:footnote>
  <w:footnote w:id="32">
    <w:p w14:paraId="79DB4E98" w14:textId="77777777" w:rsidR="001F3B6A"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[Referencia propia de la cita] «CE. SCSC. Concepto de 30 de abril de 2008 [Rad. 11001-03-06-000-2008-00013-00(1881)]. MP. Enrique José Arboleda Perdomo. En esta oportunidad, la Sala indicó que el contenido </w:t>
      </w:r>
      <w:r w:rsidRPr="00B770EC">
        <w:rPr>
          <w:rFonts w:ascii="Verdana" w:hAnsi="Verdana" w:cs="Arial"/>
          <w:i/>
          <w:color w:val="000000" w:themeColor="text1"/>
          <w:sz w:val="16"/>
          <w:szCs w:val="16"/>
        </w:rPr>
        <w:t>“obligacional”</w:t>
      </w:r>
      <w:r w:rsidRPr="00B770EC">
        <w:rPr>
          <w:rFonts w:ascii="Verdana" w:hAnsi="Verdana" w:cs="Arial"/>
          <w:color w:val="000000" w:themeColor="text1"/>
          <w:sz w:val="16"/>
          <w:szCs w:val="16"/>
        </w:rPr>
        <w:t xml:space="preserve"> de los convenios se estructura definiendo el resultado querido por las partes y los medios que cada entidad despliega para la obtención del respectivo objeto».</w:t>
      </w:r>
    </w:p>
    <w:p w14:paraId="7AC702EA" w14:textId="77777777" w:rsidR="00B770EC" w:rsidRPr="00B770EC" w:rsidRDefault="00B770EC" w:rsidP="00B770EC">
      <w:pPr>
        <w:pStyle w:val="Textonotapie"/>
        <w:jc w:val="both"/>
        <w:rPr>
          <w:rFonts w:ascii="Verdana" w:hAnsi="Verdana" w:cs="Arial"/>
          <w:color w:val="000000" w:themeColor="text1"/>
          <w:sz w:val="16"/>
          <w:szCs w:val="16"/>
        </w:rPr>
      </w:pPr>
    </w:p>
  </w:footnote>
  <w:footnote w:id="33">
    <w:p w14:paraId="6D632450" w14:textId="77777777" w:rsidR="001F3B6A"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[Referencia propia de la cita] «La normativa vigente del EGCAP </w:t>
      </w:r>
      <w:r w:rsidRPr="00B770EC">
        <w:rPr>
          <w:rFonts w:ascii="Verdana" w:hAnsi="Verdana" w:cs="Arial"/>
          <w:i/>
          <w:color w:val="000000" w:themeColor="text1"/>
          <w:sz w:val="16"/>
          <w:szCs w:val="16"/>
        </w:rPr>
        <w:t>[literal c) del numeral 4. del artículo 2 de la Ley 1150/07]</w:t>
      </w:r>
      <w:r w:rsidRPr="00B770EC">
        <w:rPr>
          <w:rFonts w:ascii="Verdana" w:hAnsi="Verdana" w:cs="Arial"/>
          <w:color w:val="000000" w:themeColor="text1"/>
          <w:sz w:val="16"/>
          <w:szCs w:val="16"/>
        </w:rPr>
        <w:t xml:space="preserve"> se refiere a </w:t>
      </w:r>
      <w:r w:rsidRPr="00B770EC">
        <w:rPr>
          <w:rFonts w:ascii="Verdana" w:hAnsi="Verdana" w:cs="Arial"/>
          <w:i/>
          <w:color w:val="000000" w:themeColor="text1"/>
          <w:sz w:val="16"/>
          <w:szCs w:val="16"/>
        </w:rPr>
        <w:t>“contratos interadministrativos”</w:t>
      </w:r>
      <w:r w:rsidRPr="00B770EC">
        <w:rPr>
          <w:rFonts w:ascii="Verdana" w:hAnsi="Verdana" w:cs="Arial"/>
          <w:color w:val="000000" w:themeColor="text1"/>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p w14:paraId="7035D811" w14:textId="77777777" w:rsidR="00B770EC" w:rsidRPr="00B770EC" w:rsidRDefault="00B770EC" w:rsidP="00B770EC">
      <w:pPr>
        <w:pStyle w:val="Textonotapie"/>
        <w:jc w:val="both"/>
        <w:rPr>
          <w:rFonts w:ascii="Verdana" w:hAnsi="Verdana" w:cs="Arial"/>
          <w:color w:val="000000" w:themeColor="text1"/>
          <w:sz w:val="16"/>
          <w:szCs w:val="16"/>
        </w:rPr>
      </w:pPr>
    </w:p>
  </w:footnote>
  <w:footnote w:id="34">
    <w:p w14:paraId="0F74FE16" w14:textId="77777777" w:rsidR="001F3B6A" w:rsidRPr="00B770EC"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En línea con lo anterior, la Sala de Consulta y Servicio Civil del Consejo de Estado expresó lo siguiente: «La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 (Consejo de Estado. Sala de Consulta y Servicio Civil. Concepto 26 de julio de 2016. Exp. 2.257. M.P. Álvaro Namén Vargas).</w:t>
      </w:r>
    </w:p>
  </w:footnote>
  <w:footnote w:id="35">
    <w:p w14:paraId="1644508F" w14:textId="77777777" w:rsidR="001F3B6A" w:rsidRPr="00B770EC"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Es lo que sucede, por ejemplo, con el Decreto 092 de 2017, que en su desarrollo hace referencia tanto a los «contratos» como a los «convenios». </w:t>
      </w:r>
    </w:p>
  </w:footnote>
  <w:footnote w:id="36">
    <w:p w14:paraId="55D34B20" w14:textId="77777777" w:rsidR="001F3B6A" w:rsidRPr="00B770EC" w:rsidRDefault="001F3B6A" w:rsidP="00B770EC">
      <w:pPr>
        <w:pStyle w:val="Textonotapie"/>
        <w:ind w:firstLine="708"/>
        <w:jc w:val="both"/>
        <w:rPr>
          <w:rFonts w:ascii="Verdana" w:hAnsi="Verdana" w:cs="Arial"/>
          <w:color w:val="000000" w:themeColor="text1"/>
          <w:sz w:val="16"/>
          <w:szCs w:val="16"/>
          <w:lang w:val="es-CO"/>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(Corte Constitucional. Sentencia C-671 de 2015. M.P. Alberto Rojas Ríos).</w:t>
      </w:r>
    </w:p>
  </w:footnote>
  <w:footnote w:id="37">
    <w:p w14:paraId="25F5E7EA" w14:textId="77777777" w:rsidR="001F3B6A" w:rsidRPr="00B770EC" w:rsidRDefault="001F3B6A" w:rsidP="00B770EC">
      <w:pPr>
        <w:pStyle w:val="Textonotapie"/>
        <w:ind w:firstLine="708"/>
        <w:jc w:val="both"/>
        <w:rPr>
          <w:rFonts w:ascii="Verdana" w:hAnsi="Verdana" w:cs="Arial"/>
          <w:color w:val="000000" w:themeColor="text1"/>
          <w:sz w:val="16"/>
          <w:szCs w:val="16"/>
        </w:rPr>
      </w:pPr>
      <w:r w:rsidRPr="00B770EC">
        <w:rPr>
          <w:rStyle w:val="Refdenotaalpie"/>
          <w:rFonts w:ascii="Verdana" w:hAnsi="Verdana" w:cs="Arial"/>
          <w:color w:val="000000" w:themeColor="text1"/>
          <w:sz w:val="16"/>
          <w:szCs w:val="16"/>
        </w:rPr>
        <w:footnoteRef/>
      </w:r>
      <w:r w:rsidRPr="00B770EC">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BE9147D"/>
    <w:multiLevelType w:val="hybridMultilevel"/>
    <w:tmpl w:val="88162DB6"/>
    <w:lvl w:ilvl="0" w:tplc="586EE06E">
      <w:numFmt w:val="bullet"/>
      <w:lvlText w:val=""/>
      <w:lvlJc w:val="left"/>
      <w:pPr>
        <w:ind w:left="1080" w:hanging="360"/>
      </w:pPr>
      <w:rPr>
        <w:rFonts w:ascii="Symbol" w:eastAsiaTheme="minorHAnsi" w:hAnsi="Symbo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4"/>
  </w:num>
  <w:num w:numId="8" w16cid:durableId="679089576">
    <w:abstractNumId w:val="6"/>
  </w:num>
  <w:num w:numId="9" w16cid:durableId="1071657891">
    <w:abstractNumId w:val="7"/>
  </w:num>
  <w:num w:numId="10" w16cid:durableId="10178498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138"/>
    <w:rsid w:val="000016F3"/>
    <w:rsid w:val="00001DB7"/>
    <w:rsid w:val="000037AE"/>
    <w:rsid w:val="00005BB0"/>
    <w:rsid w:val="0001025F"/>
    <w:rsid w:val="0001222D"/>
    <w:rsid w:val="000135EB"/>
    <w:rsid w:val="00015D2B"/>
    <w:rsid w:val="00021DFE"/>
    <w:rsid w:val="00031584"/>
    <w:rsid w:val="00032A0E"/>
    <w:rsid w:val="00037347"/>
    <w:rsid w:val="000442CC"/>
    <w:rsid w:val="00045FC0"/>
    <w:rsid w:val="00054B8F"/>
    <w:rsid w:val="000556D4"/>
    <w:rsid w:val="000716AB"/>
    <w:rsid w:val="00082E4C"/>
    <w:rsid w:val="000849D5"/>
    <w:rsid w:val="0008528F"/>
    <w:rsid w:val="00086B41"/>
    <w:rsid w:val="000A6E0C"/>
    <w:rsid w:val="000A7A56"/>
    <w:rsid w:val="000B1FF7"/>
    <w:rsid w:val="000B2513"/>
    <w:rsid w:val="000B4024"/>
    <w:rsid w:val="000C3C51"/>
    <w:rsid w:val="000C7262"/>
    <w:rsid w:val="000D2A7F"/>
    <w:rsid w:val="000D4FCE"/>
    <w:rsid w:val="0011037E"/>
    <w:rsid w:val="00124F25"/>
    <w:rsid w:val="001363C7"/>
    <w:rsid w:val="00141AC5"/>
    <w:rsid w:val="00146B11"/>
    <w:rsid w:val="00147A04"/>
    <w:rsid w:val="0015476D"/>
    <w:rsid w:val="00161E13"/>
    <w:rsid w:val="00164AE0"/>
    <w:rsid w:val="00165E83"/>
    <w:rsid w:val="00166CD7"/>
    <w:rsid w:val="0017120C"/>
    <w:rsid w:val="00172F3A"/>
    <w:rsid w:val="001801A4"/>
    <w:rsid w:val="00181450"/>
    <w:rsid w:val="0019532A"/>
    <w:rsid w:val="00196462"/>
    <w:rsid w:val="0019670E"/>
    <w:rsid w:val="00196CA8"/>
    <w:rsid w:val="00197205"/>
    <w:rsid w:val="001A5DD4"/>
    <w:rsid w:val="001A67E9"/>
    <w:rsid w:val="001B143B"/>
    <w:rsid w:val="001B21CA"/>
    <w:rsid w:val="001C04FC"/>
    <w:rsid w:val="001C25A3"/>
    <w:rsid w:val="001C5D03"/>
    <w:rsid w:val="001C7771"/>
    <w:rsid w:val="001D62FF"/>
    <w:rsid w:val="001F3B6A"/>
    <w:rsid w:val="001F3F48"/>
    <w:rsid w:val="002000AA"/>
    <w:rsid w:val="00204109"/>
    <w:rsid w:val="00211E6E"/>
    <w:rsid w:val="00212A46"/>
    <w:rsid w:val="0021401D"/>
    <w:rsid w:val="002146B8"/>
    <w:rsid w:val="00215516"/>
    <w:rsid w:val="00243D56"/>
    <w:rsid w:val="002527C2"/>
    <w:rsid w:val="00270443"/>
    <w:rsid w:val="00270EE2"/>
    <w:rsid w:val="00272972"/>
    <w:rsid w:val="00286491"/>
    <w:rsid w:val="00295C51"/>
    <w:rsid w:val="002A0F8D"/>
    <w:rsid w:val="002B0F37"/>
    <w:rsid w:val="002B6204"/>
    <w:rsid w:val="002B6E44"/>
    <w:rsid w:val="002B74B1"/>
    <w:rsid w:val="002D3C22"/>
    <w:rsid w:val="002D54AB"/>
    <w:rsid w:val="002E1DB5"/>
    <w:rsid w:val="002F6CCB"/>
    <w:rsid w:val="0030461E"/>
    <w:rsid w:val="00307AFE"/>
    <w:rsid w:val="0032756A"/>
    <w:rsid w:val="00334EF8"/>
    <w:rsid w:val="00336408"/>
    <w:rsid w:val="00340DFB"/>
    <w:rsid w:val="0034404F"/>
    <w:rsid w:val="003445A6"/>
    <w:rsid w:val="00356980"/>
    <w:rsid w:val="00367462"/>
    <w:rsid w:val="00371ECA"/>
    <w:rsid w:val="00372748"/>
    <w:rsid w:val="0037332A"/>
    <w:rsid w:val="0038151A"/>
    <w:rsid w:val="00385430"/>
    <w:rsid w:val="0039082A"/>
    <w:rsid w:val="00390C21"/>
    <w:rsid w:val="00396B57"/>
    <w:rsid w:val="00397EA2"/>
    <w:rsid w:val="003A37BD"/>
    <w:rsid w:val="003A3D8A"/>
    <w:rsid w:val="003A42CD"/>
    <w:rsid w:val="003B6D94"/>
    <w:rsid w:val="003C4C96"/>
    <w:rsid w:val="003C55E0"/>
    <w:rsid w:val="003E5511"/>
    <w:rsid w:val="003F519B"/>
    <w:rsid w:val="003F644D"/>
    <w:rsid w:val="0040544F"/>
    <w:rsid w:val="00406A19"/>
    <w:rsid w:val="0041222D"/>
    <w:rsid w:val="0041483E"/>
    <w:rsid w:val="00415369"/>
    <w:rsid w:val="00430492"/>
    <w:rsid w:val="004330F8"/>
    <w:rsid w:val="00450BE7"/>
    <w:rsid w:val="00454DDE"/>
    <w:rsid w:val="00456C92"/>
    <w:rsid w:val="0046741E"/>
    <w:rsid w:val="0047058E"/>
    <w:rsid w:val="00472CC6"/>
    <w:rsid w:val="0048026E"/>
    <w:rsid w:val="004807A9"/>
    <w:rsid w:val="004813EE"/>
    <w:rsid w:val="00484970"/>
    <w:rsid w:val="00493278"/>
    <w:rsid w:val="004943D9"/>
    <w:rsid w:val="004A0E7B"/>
    <w:rsid w:val="004A159B"/>
    <w:rsid w:val="004A3498"/>
    <w:rsid w:val="004B0C45"/>
    <w:rsid w:val="004C0AB2"/>
    <w:rsid w:val="004C1619"/>
    <w:rsid w:val="004C1A26"/>
    <w:rsid w:val="004C1CC9"/>
    <w:rsid w:val="004C3755"/>
    <w:rsid w:val="004C4485"/>
    <w:rsid w:val="004D11AF"/>
    <w:rsid w:val="004D4DED"/>
    <w:rsid w:val="004D69D1"/>
    <w:rsid w:val="00500DFA"/>
    <w:rsid w:val="0050110D"/>
    <w:rsid w:val="005019AA"/>
    <w:rsid w:val="005021BB"/>
    <w:rsid w:val="00507CC7"/>
    <w:rsid w:val="005139E7"/>
    <w:rsid w:val="005147DA"/>
    <w:rsid w:val="00515FB5"/>
    <w:rsid w:val="0052365C"/>
    <w:rsid w:val="005271EB"/>
    <w:rsid w:val="005426DB"/>
    <w:rsid w:val="0055082B"/>
    <w:rsid w:val="00552503"/>
    <w:rsid w:val="00552B57"/>
    <w:rsid w:val="00557DA1"/>
    <w:rsid w:val="00560EAC"/>
    <w:rsid w:val="0056322C"/>
    <w:rsid w:val="00565A81"/>
    <w:rsid w:val="0058743A"/>
    <w:rsid w:val="005A4DB0"/>
    <w:rsid w:val="005A7B8E"/>
    <w:rsid w:val="005B012B"/>
    <w:rsid w:val="005B0C87"/>
    <w:rsid w:val="005D23F6"/>
    <w:rsid w:val="005D2FA8"/>
    <w:rsid w:val="005E2281"/>
    <w:rsid w:val="005E667C"/>
    <w:rsid w:val="005F077C"/>
    <w:rsid w:val="005F367F"/>
    <w:rsid w:val="005F61B2"/>
    <w:rsid w:val="005F63D0"/>
    <w:rsid w:val="005F6A99"/>
    <w:rsid w:val="005F7973"/>
    <w:rsid w:val="00616904"/>
    <w:rsid w:val="0061690E"/>
    <w:rsid w:val="00624645"/>
    <w:rsid w:val="00627361"/>
    <w:rsid w:val="0063017E"/>
    <w:rsid w:val="00631B28"/>
    <w:rsid w:val="00645660"/>
    <w:rsid w:val="00645B90"/>
    <w:rsid w:val="00650991"/>
    <w:rsid w:val="006511D7"/>
    <w:rsid w:val="00663D75"/>
    <w:rsid w:val="00670AEF"/>
    <w:rsid w:val="00672A77"/>
    <w:rsid w:val="00675678"/>
    <w:rsid w:val="00677012"/>
    <w:rsid w:val="006825B4"/>
    <w:rsid w:val="00682AF2"/>
    <w:rsid w:val="006864DF"/>
    <w:rsid w:val="006A3C8A"/>
    <w:rsid w:val="006A7552"/>
    <w:rsid w:val="006B5953"/>
    <w:rsid w:val="006B7A81"/>
    <w:rsid w:val="006C2499"/>
    <w:rsid w:val="006C4BAC"/>
    <w:rsid w:val="006C52F3"/>
    <w:rsid w:val="006C718E"/>
    <w:rsid w:val="006D03C0"/>
    <w:rsid w:val="006E7F37"/>
    <w:rsid w:val="006F3B81"/>
    <w:rsid w:val="006F4F79"/>
    <w:rsid w:val="00702B00"/>
    <w:rsid w:val="00705B37"/>
    <w:rsid w:val="00711FD9"/>
    <w:rsid w:val="00726051"/>
    <w:rsid w:val="00735062"/>
    <w:rsid w:val="00746BA5"/>
    <w:rsid w:val="00751D23"/>
    <w:rsid w:val="00770577"/>
    <w:rsid w:val="00777666"/>
    <w:rsid w:val="0078159B"/>
    <w:rsid w:val="00782E10"/>
    <w:rsid w:val="0078646F"/>
    <w:rsid w:val="00786B41"/>
    <w:rsid w:val="0078706B"/>
    <w:rsid w:val="00790836"/>
    <w:rsid w:val="00797131"/>
    <w:rsid w:val="007A3C1D"/>
    <w:rsid w:val="007B285D"/>
    <w:rsid w:val="007C6BC6"/>
    <w:rsid w:val="007D4943"/>
    <w:rsid w:val="00807D79"/>
    <w:rsid w:val="00813634"/>
    <w:rsid w:val="00822821"/>
    <w:rsid w:val="00831C29"/>
    <w:rsid w:val="008431EF"/>
    <w:rsid w:val="008468E0"/>
    <w:rsid w:val="008526E9"/>
    <w:rsid w:val="00871B59"/>
    <w:rsid w:val="00877D03"/>
    <w:rsid w:val="00877E96"/>
    <w:rsid w:val="008806CA"/>
    <w:rsid w:val="008815E5"/>
    <w:rsid w:val="00886672"/>
    <w:rsid w:val="00886856"/>
    <w:rsid w:val="00887B37"/>
    <w:rsid w:val="008909B9"/>
    <w:rsid w:val="00891DFC"/>
    <w:rsid w:val="008947A6"/>
    <w:rsid w:val="008A21A8"/>
    <w:rsid w:val="008B12B4"/>
    <w:rsid w:val="008B7914"/>
    <w:rsid w:val="008C5D2A"/>
    <w:rsid w:val="008C7AF4"/>
    <w:rsid w:val="008D529F"/>
    <w:rsid w:val="008F049B"/>
    <w:rsid w:val="008F5CC8"/>
    <w:rsid w:val="009061B8"/>
    <w:rsid w:val="0091008B"/>
    <w:rsid w:val="00911EA2"/>
    <w:rsid w:val="00916C7D"/>
    <w:rsid w:val="0092575D"/>
    <w:rsid w:val="009341DA"/>
    <w:rsid w:val="009430F9"/>
    <w:rsid w:val="009442E8"/>
    <w:rsid w:val="00946BD0"/>
    <w:rsid w:val="00954219"/>
    <w:rsid w:val="0095426C"/>
    <w:rsid w:val="00970087"/>
    <w:rsid w:val="00971074"/>
    <w:rsid w:val="00983695"/>
    <w:rsid w:val="00993A6B"/>
    <w:rsid w:val="00995D86"/>
    <w:rsid w:val="009963C4"/>
    <w:rsid w:val="009A497F"/>
    <w:rsid w:val="009A5453"/>
    <w:rsid w:val="009B4D94"/>
    <w:rsid w:val="009B5C09"/>
    <w:rsid w:val="009B7F80"/>
    <w:rsid w:val="009C0257"/>
    <w:rsid w:val="009C2871"/>
    <w:rsid w:val="009D3C33"/>
    <w:rsid w:val="009D7F3A"/>
    <w:rsid w:val="009E4885"/>
    <w:rsid w:val="00A02C59"/>
    <w:rsid w:val="00A07DB6"/>
    <w:rsid w:val="00A10A73"/>
    <w:rsid w:val="00A1580E"/>
    <w:rsid w:val="00A170B3"/>
    <w:rsid w:val="00A223D5"/>
    <w:rsid w:val="00A37D1C"/>
    <w:rsid w:val="00A4062B"/>
    <w:rsid w:val="00A445CC"/>
    <w:rsid w:val="00A5453E"/>
    <w:rsid w:val="00A56F6C"/>
    <w:rsid w:val="00A72687"/>
    <w:rsid w:val="00A76C8C"/>
    <w:rsid w:val="00A84C9B"/>
    <w:rsid w:val="00A85F30"/>
    <w:rsid w:val="00A9099E"/>
    <w:rsid w:val="00A91FB7"/>
    <w:rsid w:val="00A9298F"/>
    <w:rsid w:val="00AA0351"/>
    <w:rsid w:val="00AA05ED"/>
    <w:rsid w:val="00AA5F4A"/>
    <w:rsid w:val="00AB13F4"/>
    <w:rsid w:val="00AB1984"/>
    <w:rsid w:val="00AB52B1"/>
    <w:rsid w:val="00AC4CB3"/>
    <w:rsid w:val="00AC780D"/>
    <w:rsid w:val="00AD036B"/>
    <w:rsid w:val="00AD1996"/>
    <w:rsid w:val="00AD4099"/>
    <w:rsid w:val="00AD4901"/>
    <w:rsid w:val="00AE12F6"/>
    <w:rsid w:val="00B02FE0"/>
    <w:rsid w:val="00B03B90"/>
    <w:rsid w:val="00B057B6"/>
    <w:rsid w:val="00B06936"/>
    <w:rsid w:val="00B2575B"/>
    <w:rsid w:val="00B30448"/>
    <w:rsid w:val="00B34786"/>
    <w:rsid w:val="00B400EC"/>
    <w:rsid w:val="00B40162"/>
    <w:rsid w:val="00B415B6"/>
    <w:rsid w:val="00B41662"/>
    <w:rsid w:val="00B41ACE"/>
    <w:rsid w:val="00B50156"/>
    <w:rsid w:val="00B518AD"/>
    <w:rsid w:val="00B60A96"/>
    <w:rsid w:val="00B6656C"/>
    <w:rsid w:val="00B678EC"/>
    <w:rsid w:val="00B76C94"/>
    <w:rsid w:val="00B770EC"/>
    <w:rsid w:val="00B772D0"/>
    <w:rsid w:val="00B836EA"/>
    <w:rsid w:val="00B84C05"/>
    <w:rsid w:val="00B91B81"/>
    <w:rsid w:val="00B97135"/>
    <w:rsid w:val="00BA5C99"/>
    <w:rsid w:val="00BB3072"/>
    <w:rsid w:val="00BC2081"/>
    <w:rsid w:val="00BC7632"/>
    <w:rsid w:val="00BD145E"/>
    <w:rsid w:val="00BD48A9"/>
    <w:rsid w:val="00BD630F"/>
    <w:rsid w:val="00BD7EC6"/>
    <w:rsid w:val="00BE513B"/>
    <w:rsid w:val="00BE73FA"/>
    <w:rsid w:val="00BF6B4B"/>
    <w:rsid w:val="00C02E11"/>
    <w:rsid w:val="00C0511C"/>
    <w:rsid w:val="00C1506A"/>
    <w:rsid w:val="00C20ACF"/>
    <w:rsid w:val="00C22307"/>
    <w:rsid w:val="00C23469"/>
    <w:rsid w:val="00C30ACB"/>
    <w:rsid w:val="00C30C62"/>
    <w:rsid w:val="00C371DF"/>
    <w:rsid w:val="00C42055"/>
    <w:rsid w:val="00C44B4C"/>
    <w:rsid w:val="00C4505F"/>
    <w:rsid w:val="00C46734"/>
    <w:rsid w:val="00C47A86"/>
    <w:rsid w:val="00C53220"/>
    <w:rsid w:val="00C86BBA"/>
    <w:rsid w:val="00C90E92"/>
    <w:rsid w:val="00CA3347"/>
    <w:rsid w:val="00CC299A"/>
    <w:rsid w:val="00CD03E3"/>
    <w:rsid w:val="00CD54AF"/>
    <w:rsid w:val="00CE6BDA"/>
    <w:rsid w:val="00D03DBE"/>
    <w:rsid w:val="00D052B0"/>
    <w:rsid w:val="00D072C0"/>
    <w:rsid w:val="00D144CE"/>
    <w:rsid w:val="00D34C82"/>
    <w:rsid w:val="00D3757A"/>
    <w:rsid w:val="00D459A3"/>
    <w:rsid w:val="00D47CD4"/>
    <w:rsid w:val="00D504A9"/>
    <w:rsid w:val="00D5206D"/>
    <w:rsid w:val="00D7177D"/>
    <w:rsid w:val="00D81311"/>
    <w:rsid w:val="00D82373"/>
    <w:rsid w:val="00DB201E"/>
    <w:rsid w:val="00DC0E68"/>
    <w:rsid w:val="00DD06B2"/>
    <w:rsid w:val="00DD25ED"/>
    <w:rsid w:val="00DE0D6E"/>
    <w:rsid w:val="00DE6779"/>
    <w:rsid w:val="00E1610C"/>
    <w:rsid w:val="00E16D73"/>
    <w:rsid w:val="00E23E9E"/>
    <w:rsid w:val="00E25722"/>
    <w:rsid w:val="00E27F0A"/>
    <w:rsid w:val="00E309CC"/>
    <w:rsid w:val="00E4231E"/>
    <w:rsid w:val="00E4302C"/>
    <w:rsid w:val="00E44AC7"/>
    <w:rsid w:val="00E45F4B"/>
    <w:rsid w:val="00E60A16"/>
    <w:rsid w:val="00E72D20"/>
    <w:rsid w:val="00E77F73"/>
    <w:rsid w:val="00E82B6E"/>
    <w:rsid w:val="00E94258"/>
    <w:rsid w:val="00E96C18"/>
    <w:rsid w:val="00EA2E61"/>
    <w:rsid w:val="00EA7D7F"/>
    <w:rsid w:val="00EB02F4"/>
    <w:rsid w:val="00EB2FA2"/>
    <w:rsid w:val="00EB769A"/>
    <w:rsid w:val="00EC08F1"/>
    <w:rsid w:val="00EC3A35"/>
    <w:rsid w:val="00EE17F2"/>
    <w:rsid w:val="00EE3138"/>
    <w:rsid w:val="00EE57FB"/>
    <w:rsid w:val="00EF2AC7"/>
    <w:rsid w:val="00EF400A"/>
    <w:rsid w:val="00EF6BE4"/>
    <w:rsid w:val="00EF6E5D"/>
    <w:rsid w:val="00F0322D"/>
    <w:rsid w:val="00F07764"/>
    <w:rsid w:val="00F12517"/>
    <w:rsid w:val="00F131DD"/>
    <w:rsid w:val="00F16BA1"/>
    <w:rsid w:val="00F24435"/>
    <w:rsid w:val="00F30C0F"/>
    <w:rsid w:val="00F314E8"/>
    <w:rsid w:val="00F323A2"/>
    <w:rsid w:val="00F33B57"/>
    <w:rsid w:val="00F33D5C"/>
    <w:rsid w:val="00F34E90"/>
    <w:rsid w:val="00F356D6"/>
    <w:rsid w:val="00F53BE2"/>
    <w:rsid w:val="00F543C2"/>
    <w:rsid w:val="00F55684"/>
    <w:rsid w:val="00F64D5A"/>
    <w:rsid w:val="00F709CD"/>
    <w:rsid w:val="00F75BBA"/>
    <w:rsid w:val="00F906F4"/>
    <w:rsid w:val="00F93814"/>
    <w:rsid w:val="00FA0716"/>
    <w:rsid w:val="00FB4629"/>
    <w:rsid w:val="00FB6FB1"/>
    <w:rsid w:val="00FB7063"/>
    <w:rsid w:val="00FB78B0"/>
    <w:rsid w:val="00FC054E"/>
    <w:rsid w:val="00FC7056"/>
    <w:rsid w:val="00FD4D94"/>
    <w:rsid w:val="00FE1A00"/>
    <w:rsid w:val="00FF311D"/>
    <w:rsid w:val="024D7E2C"/>
    <w:rsid w:val="033403DE"/>
    <w:rsid w:val="0D2EB883"/>
    <w:rsid w:val="0D8163B6"/>
    <w:rsid w:val="13A69650"/>
    <w:rsid w:val="1BB32F19"/>
    <w:rsid w:val="1F2C3AF5"/>
    <w:rsid w:val="1FE3C1FF"/>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26512C46-959C-4C7E-AF5B-67E391CAF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baj">
    <w:name w:val="b_aj"/>
    <w:basedOn w:val="Fuentedeprrafopredeter"/>
    <w:rsid w:val="001F3B6A"/>
  </w:style>
  <w:style w:type="character" w:customStyle="1" w:styleId="NormalWebCar">
    <w:name w:val="Normal (Web) Car"/>
    <w:link w:val="NormalWeb"/>
    <w:uiPriority w:val="99"/>
    <w:rsid w:val="001F3B6A"/>
    <w:rPr>
      <w:rFonts w:ascii="Times New Roman" w:hAnsi="Times New Roman" w:cs="Times New Roman"/>
      <w:sz w:val="24"/>
      <w:szCs w:val="24"/>
    </w:rPr>
  </w:style>
  <w:style w:type="table" w:customStyle="1" w:styleId="TableNormal1">
    <w:name w:val="Table Normal1"/>
    <w:uiPriority w:val="2"/>
    <w:semiHidden/>
    <w:unhideWhenUsed/>
    <w:qFormat/>
    <w:rsid w:val="0088667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150102692">
      <w:bodyDiv w:val="1"/>
      <w:marLeft w:val="0"/>
      <w:marRight w:val="0"/>
      <w:marTop w:val="0"/>
      <w:marBottom w:val="0"/>
      <w:divBdr>
        <w:top w:val="none" w:sz="0" w:space="0" w:color="auto"/>
        <w:left w:val="none" w:sz="0" w:space="0" w:color="auto"/>
        <w:bottom w:val="none" w:sz="0" w:space="0" w:color="auto"/>
        <w:right w:val="none" w:sz="0" w:space="0" w:color="auto"/>
      </w:divBdr>
    </w:div>
    <w:div w:id="37416372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820198107">
      <w:bodyDiv w:val="1"/>
      <w:marLeft w:val="0"/>
      <w:marRight w:val="0"/>
      <w:marTop w:val="0"/>
      <w:marBottom w:val="0"/>
      <w:divBdr>
        <w:top w:val="none" w:sz="0" w:space="0" w:color="auto"/>
        <w:left w:val="none" w:sz="0" w:space="0" w:color="auto"/>
        <w:bottom w:val="none" w:sz="0" w:space="0" w:color="auto"/>
        <w:right w:val="none" w:sz="0" w:space="0" w:color="auto"/>
      </w:divBdr>
      <w:divsChild>
        <w:div w:id="398091974">
          <w:marLeft w:val="0"/>
          <w:marRight w:val="0"/>
          <w:marTop w:val="0"/>
          <w:marBottom w:val="0"/>
          <w:divBdr>
            <w:top w:val="none" w:sz="0" w:space="0" w:color="auto"/>
            <w:left w:val="none" w:sz="0" w:space="0" w:color="auto"/>
            <w:bottom w:val="none" w:sz="0" w:space="0" w:color="auto"/>
            <w:right w:val="none" w:sz="0" w:space="0" w:color="auto"/>
          </w:divBdr>
          <w:divsChild>
            <w:div w:id="284501859">
              <w:marLeft w:val="0"/>
              <w:marRight w:val="0"/>
              <w:marTop w:val="0"/>
              <w:marBottom w:val="0"/>
              <w:divBdr>
                <w:top w:val="none" w:sz="0" w:space="0" w:color="auto"/>
                <w:left w:val="none" w:sz="0" w:space="0" w:color="auto"/>
                <w:bottom w:val="none" w:sz="0" w:space="0" w:color="auto"/>
                <w:right w:val="none" w:sz="0" w:space="0" w:color="auto"/>
              </w:divBdr>
              <w:divsChild>
                <w:div w:id="1121148768">
                  <w:marLeft w:val="0"/>
                  <w:marRight w:val="0"/>
                  <w:marTop w:val="0"/>
                  <w:marBottom w:val="0"/>
                  <w:divBdr>
                    <w:top w:val="none" w:sz="0" w:space="0" w:color="auto"/>
                    <w:left w:val="none" w:sz="0" w:space="0" w:color="auto"/>
                    <w:bottom w:val="none" w:sz="0" w:space="0" w:color="auto"/>
                    <w:right w:val="none" w:sz="0" w:space="0" w:color="auto"/>
                  </w:divBdr>
                  <w:divsChild>
                    <w:div w:id="142792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765834">
          <w:marLeft w:val="0"/>
          <w:marRight w:val="0"/>
          <w:marTop w:val="0"/>
          <w:marBottom w:val="0"/>
          <w:divBdr>
            <w:top w:val="none" w:sz="0" w:space="0" w:color="auto"/>
            <w:left w:val="none" w:sz="0" w:space="0" w:color="auto"/>
            <w:bottom w:val="none" w:sz="0" w:space="0" w:color="auto"/>
            <w:right w:val="none" w:sz="0" w:space="0" w:color="auto"/>
          </w:divBdr>
          <w:divsChild>
            <w:div w:id="104691808">
              <w:marLeft w:val="0"/>
              <w:marRight w:val="0"/>
              <w:marTop w:val="0"/>
              <w:marBottom w:val="0"/>
              <w:divBdr>
                <w:top w:val="none" w:sz="0" w:space="0" w:color="auto"/>
                <w:left w:val="none" w:sz="0" w:space="0" w:color="auto"/>
                <w:bottom w:val="none" w:sz="0" w:space="0" w:color="auto"/>
                <w:right w:val="none" w:sz="0" w:space="0" w:color="auto"/>
              </w:divBdr>
              <w:divsChild>
                <w:div w:id="33115552">
                  <w:marLeft w:val="0"/>
                  <w:marRight w:val="0"/>
                  <w:marTop w:val="0"/>
                  <w:marBottom w:val="0"/>
                  <w:divBdr>
                    <w:top w:val="none" w:sz="0" w:space="0" w:color="auto"/>
                    <w:left w:val="none" w:sz="0" w:space="0" w:color="auto"/>
                    <w:bottom w:val="none" w:sz="0" w:space="0" w:color="auto"/>
                    <w:right w:val="none" w:sz="0" w:space="0" w:color="auto"/>
                  </w:divBdr>
                  <w:divsChild>
                    <w:div w:id="473717423">
                      <w:marLeft w:val="0"/>
                      <w:marRight w:val="0"/>
                      <w:marTop w:val="0"/>
                      <w:marBottom w:val="0"/>
                      <w:divBdr>
                        <w:top w:val="none" w:sz="0" w:space="0" w:color="auto"/>
                        <w:left w:val="none" w:sz="0" w:space="0" w:color="auto"/>
                        <w:bottom w:val="none" w:sz="0" w:space="0" w:color="auto"/>
                        <w:right w:val="none" w:sz="0" w:space="0" w:color="auto"/>
                      </w:divBdr>
                      <w:divsChild>
                        <w:div w:id="189801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4657852">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929044390">
      <w:bodyDiv w:val="1"/>
      <w:marLeft w:val="0"/>
      <w:marRight w:val="0"/>
      <w:marTop w:val="0"/>
      <w:marBottom w:val="0"/>
      <w:divBdr>
        <w:top w:val="none" w:sz="0" w:space="0" w:color="auto"/>
        <w:left w:val="none" w:sz="0" w:space="0" w:color="auto"/>
        <w:bottom w:val="none" w:sz="0" w:space="0" w:color="auto"/>
        <w:right w:val="none" w:sz="0" w:space="0" w:color="auto"/>
      </w:divBdr>
    </w:div>
    <w:div w:id="1083572506">
      <w:bodyDiv w:val="1"/>
      <w:marLeft w:val="0"/>
      <w:marRight w:val="0"/>
      <w:marTop w:val="0"/>
      <w:marBottom w:val="0"/>
      <w:divBdr>
        <w:top w:val="none" w:sz="0" w:space="0" w:color="auto"/>
        <w:left w:val="none" w:sz="0" w:space="0" w:color="auto"/>
        <w:bottom w:val="none" w:sz="0" w:space="0" w:color="auto"/>
        <w:right w:val="none" w:sz="0" w:space="0" w:color="auto"/>
      </w:divBdr>
    </w:div>
    <w:div w:id="1110587892">
      <w:bodyDiv w:val="1"/>
      <w:marLeft w:val="0"/>
      <w:marRight w:val="0"/>
      <w:marTop w:val="0"/>
      <w:marBottom w:val="0"/>
      <w:divBdr>
        <w:top w:val="none" w:sz="0" w:space="0" w:color="auto"/>
        <w:left w:val="none" w:sz="0" w:space="0" w:color="auto"/>
        <w:bottom w:val="none" w:sz="0" w:space="0" w:color="auto"/>
        <w:right w:val="none" w:sz="0" w:space="0" w:color="auto"/>
      </w:divBdr>
      <w:divsChild>
        <w:div w:id="218057635">
          <w:marLeft w:val="0"/>
          <w:marRight w:val="0"/>
          <w:marTop w:val="0"/>
          <w:marBottom w:val="0"/>
          <w:divBdr>
            <w:top w:val="none" w:sz="0" w:space="0" w:color="auto"/>
            <w:left w:val="none" w:sz="0" w:space="0" w:color="auto"/>
            <w:bottom w:val="none" w:sz="0" w:space="0" w:color="auto"/>
            <w:right w:val="none" w:sz="0" w:space="0" w:color="auto"/>
          </w:divBdr>
          <w:divsChild>
            <w:div w:id="116874604">
              <w:marLeft w:val="0"/>
              <w:marRight w:val="0"/>
              <w:marTop w:val="0"/>
              <w:marBottom w:val="0"/>
              <w:divBdr>
                <w:top w:val="none" w:sz="0" w:space="0" w:color="auto"/>
                <w:left w:val="none" w:sz="0" w:space="0" w:color="auto"/>
                <w:bottom w:val="none" w:sz="0" w:space="0" w:color="auto"/>
                <w:right w:val="none" w:sz="0" w:space="0" w:color="auto"/>
              </w:divBdr>
              <w:divsChild>
                <w:div w:id="609823210">
                  <w:marLeft w:val="0"/>
                  <w:marRight w:val="0"/>
                  <w:marTop w:val="0"/>
                  <w:marBottom w:val="0"/>
                  <w:divBdr>
                    <w:top w:val="none" w:sz="0" w:space="0" w:color="auto"/>
                    <w:left w:val="none" w:sz="0" w:space="0" w:color="auto"/>
                    <w:bottom w:val="none" w:sz="0" w:space="0" w:color="auto"/>
                    <w:right w:val="none" w:sz="0" w:space="0" w:color="auto"/>
                  </w:divBdr>
                  <w:divsChild>
                    <w:div w:id="502279903">
                      <w:marLeft w:val="0"/>
                      <w:marRight w:val="0"/>
                      <w:marTop w:val="0"/>
                      <w:marBottom w:val="0"/>
                      <w:divBdr>
                        <w:top w:val="none" w:sz="0" w:space="0" w:color="auto"/>
                        <w:left w:val="none" w:sz="0" w:space="0" w:color="auto"/>
                        <w:bottom w:val="none" w:sz="0" w:space="0" w:color="auto"/>
                        <w:right w:val="none" w:sz="0" w:space="0" w:color="auto"/>
                      </w:divBdr>
                      <w:divsChild>
                        <w:div w:id="150104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762840">
          <w:marLeft w:val="0"/>
          <w:marRight w:val="0"/>
          <w:marTop w:val="0"/>
          <w:marBottom w:val="0"/>
          <w:divBdr>
            <w:top w:val="none" w:sz="0" w:space="0" w:color="auto"/>
            <w:left w:val="none" w:sz="0" w:space="0" w:color="auto"/>
            <w:bottom w:val="none" w:sz="0" w:space="0" w:color="auto"/>
            <w:right w:val="none" w:sz="0" w:space="0" w:color="auto"/>
          </w:divBdr>
          <w:divsChild>
            <w:div w:id="1552158551">
              <w:marLeft w:val="0"/>
              <w:marRight w:val="0"/>
              <w:marTop w:val="0"/>
              <w:marBottom w:val="0"/>
              <w:divBdr>
                <w:top w:val="none" w:sz="0" w:space="0" w:color="auto"/>
                <w:left w:val="none" w:sz="0" w:space="0" w:color="auto"/>
                <w:bottom w:val="none" w:sz="0" w:space="0" w:color="auto"/>
                <w:right w:val="none" w:sz="0" w:space="0" w:color="auto"/>
              </w:divBdr>
              <w:divsChild>
                <w:div w:id="76100297">
                  <w:marLeft w:val="0"/>
                  <w:marRight w:val="0"/>
                  <w:marTop w:val="0"/>
                  <w:marBottom w:val="0"/>
                  <w:divBdr>
                    <w:top w:val="none" w:sz="0" w:space="0" w:color="auto"/>
                    <w:left w:val="none" w:sz="0" w:space="0" w:color="auto"/>
                    <w:bottom w:val="none" w:sz="0" w:space="0" w:color="auto"/>
                    <w:right w:val="none" w:sz="0" w:space="0" w:color="auto"/>
                  </w:divBdr>
                  <w:divsChild>
                    <w:div w:id="3522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91443118">
      <w:bodyDiv w:val="1"/>
      <w:marLeft w:val="0"/>
      <w:marRight w:val="0"/>
      <w:marTop w:val="0"/>
      <w:marBottom w:val="0"/>
      <w:divBdr>
        <w:top w:val="none" w:sz="0" w:space="0" w:color="auto"/>
        <w:left w:val="none" w:sz="0" w:space="0" w:color="auto"/>
        <w:bottom w:val="none" w:sz="0" w:space="0" w:color="auto"/>
        <w:right w:val="none" w:sz="0" w:space="0" w:color="auto"/>
      </w:divBdr>
    </w:div>
    <w:div w:id="1715697003">
      <w:bodyDiv w:val="1"/>
      <w:marLeft w:val="0"/>
      <w:marRight w:val="0"/>
      <w:marTop w:val="0"/>
      <w:marBottom w:val="0"/>
      <w:divBdr>
        <w:top w:val="none" w:sz="0" w:space="0" w:color="auto"/>
        <w:left w:val="none" w:sz="0" w:space="0" w:color="auto"/>
        <w:bottom w:val="none" w:sz="0" w:space="0" w:color="auto"/>
        <w:right w:val="none" w:sz="0" w:space="0" w:color="auto"/>
      </w:divBdr>
    </w:div>
    <w:div w:id="1973250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manuales-guias-y-pliegos-tipo/manuales-y-guia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ala-de-prensa/boletin-digit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40</Pages>
  <Words>12361</Words>
  <Characters>67991</Characters>
  <Application>Microsoft Office Word</Application>
  <DocSecurity>0</DocSecurity>
  <Lines>566</Lines>
  <Paragraphs>160</Paragraphs>
  <ScaleCrop>false</ScaleCrop>
  <Company/>
  <LinksUpToDate>false</LinksUpToDate>
  <CharactersWithSpaces>80192</CharactersWithSpaces>
  <SharedDoc>false</SharedDoc>
  <HLinks>
    <vt:vector size="18" baseType="variant">
      <vt:variant>
        <vt:i4>5439494</vt:i4>
      </vt:variant>
      <vt:variant>
        <vt:i4>6</vt:i4>
      </vt:variant>
      <vt:variant>
        <vt:i4>0</vt:i4>
      </vt:variant>
      <vt:variant>
        <vt:i4>5</vt:i4>
      </vt:variant>
      <vt:variant>
        <vt:lpwstr>https://www.colombiacompra.gov.co/sala-de-prensa/boletin-digital</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Andreina Cerpa Muñoz</cp:lastModifiedBy>
  <cp:revision>15</cp:revision>
  <dcterms:created xsi:type="dcterms:W3CDTF">2025-04-09T00:30:00Z</dcterms:created>
  <dcterms:modified xsi:type="dcterms:W3CDTF">2025-06-18T21:42:00Z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