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CEBB8" w14:textId="77777777" w:rsidR="00BB63BB" w:rsidRPr="00A44AB5" w:rsidRDefault="00BB63BB" w:rsidP="00BB63BB">
      <w:pPr>
        <w:spacing w:after="0" w:line="240" w:lineRule="auto"/>
        <w:rPr>
          <w:rFonts w:ascii="Verdana" w:hAnsi="Verdana" w:cs="Arial"/>
        </w:rPr>
      </w:pPr>
      <w:r w:rsidRPr="00A44AB5">
        <w:rPr>
          <w:rFonts w:ascii="Verdana" w:eastAsia="Calibri" w:hAnsi="Verdana" w:cs="Arial"/>
          <w:b/>
          <w:bCs/>
          <w:lang w:val="es-ES"/>
        </w:rPr>
        <w:t>PRINCIPIO DE PUBLICIDAD - Naturaleza</w:t>
      </w:r>
      <w:r w:rsidRPr="00A44AB5">
        <w:rPr>
          <w:rFonts w:ascii="Verdana" w:hAnsi="Verdana" w:cs="Arial"/>
        </w:rPr>
        <w:t xml:space="preserve"> </w:t>
      </w:r>
    </w:p>
    <w:p w14:paraId="5FCBB56D" w14:textId="77777777" w:rsidR="00BB63BB" w:rsidRPr="00A44AB5" w:rsidRDefault="00BB63BB" w:rsidP="00BB63BB">
      <w:pPr>
        <w:spacing w:after="0" w:line="240" w:lineRule="auto"/>
        <w:rPr>
          <w:rFonts w:ascii="Verdana" w:hAnsi="Verdana" w:cs="Arial"/>
          <w:sz w:val="20"/>
          <w:szCs w:val="20"/>
        </w:rPr>
      </w:pPr>
    </w:p>
    <w:p w14:paraId="24FC10A8" w14:textId="77777777" w:rsidR="00BB63BB" w:rsidRPr="00A44AB5" w:rsidRDefault="00BB63BB" w:rsidP="00BB63BB">
      <w:pPr>
        <w:spacing w:after="0" w:line="240" w:lineRule="auto"/>
        <w:jc w:val="both"/>
        <w:rPr>
          <w:rFonts w:ascii="Verdana" w:eastAsia="Calibri" w:hAnsi="Verdana" w:cs="Arial"/>
          <w:color w:val="000000" w:themeColor="text1"/>
          <w:sz w:val="20"/>
          <w:szCs w:val="20"/>
          <w:lang w:val="es-ES_tradnl" w:eastAsia="es-ES_tradnl"/>
        </w:rPr>
      </w:pPr>
      <w:r w:rsidRPr="00A44AB5">
        <w:rPr>
          <w:rFonts w:ascii="Verdana" w:eastAsia="Calibri" w:hAnsi="Verdana" w:cs="Arial"/>
          <w:sz w:val="20"/>
          <w:szCs w:val="20"/>
          <w:lang w:val="es-ES_tradnl" w:eastAsia="es-ES_tradnl"/>
        </w:rPr>
        <w:t xml:space="preserve">Uno de los postulados más importantes de un Estado Social y Democrático de Derecho es el principio de </w:t>
      </w:r>
      <w:r w:rsidRPr="00A44AB5">
        <w:rPr>
          <w:rFonts w:ascii="Verdana" w:eastAsia="Calibri" w:hAnsi="Verdana" w:cs="Arial"/>
          <w:i/>
          <w:iCs/>
          <w:sz w:val="20"/>
          <w:szCs w:val="20"/>
          <w:lang w:val="es-ES_tradnl" w:eastAsia="es-ES_tradnl"/>
        </w:rPr>
        <w:t>publicidad</w:t>
      </w:r>
      <w:r w:rsidRPr="00A44AB5">
        <w:rPr>
          <w:rFonts w:ascii="Verdana" w:eastAsia="Calibri" w:hAnsi="Verdana" w:cs="Arial"/>
          <w:sz w:val="20"/>
          <w:szCs w:val="20"/>
          <w:lang w:val="es-ES_tradnl" w:eastAsia="es-ES_tradnl"/>
        </w:rPr>
        <w:t xml:space="preserve">, pues este permite que las actuaciones de las autoridades gocen de visibilidad. La Constitución Política de 1991 consagra en varios artículos la publicidad como un principio rector del Estado colombiano. Entre </w:t>
      </w:r>
      <w:r w:rsidRPr="00A44AB5">
        <w:rPr>
          <w:rFonts w:ascii="Verdana" w:eastAsia="Calibri" w:hAnsi="Verdana" w:cs="Arial"/>
          <w:color w:val="000000" w:themeColor="text1"/>
          <w:sz w:val="20"/>
          <w:szCs w:val="20"/>
          <w:lang w:val="es-ES_tradnl" w:eastAsia="es-ES_tradnl"/>
        </w:rPr>
        <w:t xml:space="preserve">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7517D2BF" w14:textId="77777777" w:rsidR="00BB63BB" w:rsidRPr="00A44AB5" w:rsidRDefault="00BB63BB" w:rsidP="00BB63BB">
      <w:pPr>
        <w:spacing w:after="0" w:line="240" w:lineRule="auto"/>
        <w:jc w:val="both"/>
        <w:rPr>
          <w:rFonts w:ascii="Verdana" w:eastAsia="Calibri" w:hAnsi="Verdana" w:cs="Arial"/>
          <w:color w:val="000000" w:themeColor="text1"/>
          <w:sz w:val="20"/>
          <w:szCs w:val="20"/>
          <w:lang w:val="es-ES_tradnl"/>
        </w:rPr>
      </w:pPr>
    </w:p>
    <w:p w14:paraId="2DFCE1CC" w14:textId="77777777" w:rsidR="00BB63BB" w:rsidRPr="00A44AB5" w:rsidRDefault="00BB63BB" w:rsidP="00BB63BB">
      <w:pPr>
        <w:spacing w:after="0" w:line="240" w:lineRule="auto"/>
        <w:jc w:val="both"/>
        <w:rPr>
          <w:rFonts w:ascii="Verdana" w:eastAsia="Calibri" w:hAnsi="Verdana" w:cs="Arial"/>
          <w:b/>
          <w:color w:val="000000"/>
        </w:rPr>
      </w:pPr>
      <w:r w:rsidRPr="00A44AB5">
        <w:rPr>
          <w:rFonts w:ascii="Verdana" w:eastAsia="Calibri" w:hAnsi="Verdana" w:cs="Arial"/>
          <w:b/>
          <w:color w:val="000000"/>
        </w:rPr>
        <w:t xml:space="preserve">ACCESO A DOCUMENTACIÓN PÚBLICA – Derecho fundamental – Transparencia – Información contractual </w:t>
      </w:r>
    </w:p>
    <w:p w14:paraId="596F250D" w14:textId="77777777" w:rsidR="00BB63BB" w:rsidRPr="00A44AB5" w:rsidRDefault="00BB63BB" w:rsidP="00BB63BB">
      <w:pPr>
        <w:tabs>
          <w:tab w:val="left" w:pos="1816"/>
        </w:tabs>
        <w:spacing w:after="0" w:line="240" w:lineRule="auto"/>
        <w:jc w:val="both"/>
        <w:rPr>
          <w:rFonts w:ascii="Verdana" w:eastAsia="Calibri" w:hAnsi="Verdana" w:cs="Arial"/>
          <w:b/>
          <w:color w:val="000000"/>
          <w:sz w:val="20"/>
          <w:szCs w:val="20"/>
        </w:rPr>
      </w:pPr>
      <w:r w:rsidRPr="00A44AB5">
        <w:rPr>
          <w:rFonts w:ascii="Verdana" w:eastAsia="Calibri" w:hAnsi="Verdana" w:cs="Arial"/>
          <w:b/>
          <w:color w:val="000000"/>
          <w:sz w:val="20"/>
          <w:szCs w:val="20"/>
        </w:rPr>
        <w:t xml:space="preserve"> </w:t>
      </w:r>
      <w:r w:rsidRPr="00A44AB5">
        <w:rPr>
          <w:rFonts w:ascii="Verdana" w:eastAsia="Calibri" w:hAnsi="Verdana" w:cs="Arial"/>
          <w:b/>
          <w:color w:val="000000"/>
          <w:sz w:val="20"/>
          <w:szCs w:val="20"/>
        </w:rPr>
        <w:tab/>
      </w:r>
      <w:r w:rsidRPr="00A44AB5">
        <w:rPr>
          <w:rFonts w:ascii="Verdana" w:eastAsia="Calibri" w:hAnsi="Verdana" w:cs="Arial"/>
          <w:color w:val="000000"/>
          <w:sz w:val="20"/>
          <w:szCs w:val="20"/>
        </w:rPr>
        <w:t xml:space="preserve"> </w:t>
      </w:r>
    </w:p>
    <w:p w14:paraId="17ED4AAD" w14:textId="77777777" w:rsidR="00BB63BB" w:rsidRPr="00A44AB5" w:rsidRDefault="00BB63BB" w:rsidP="00BB63BB">
      <w:pPr>
        <w:spacing w:after="0" w:line="240" w:lineRule="auto"/>
        <w:jc w:val="both"/>
        <w:rPr>
          <w:rFonts w:ascii="Verdana" w:eastAsia="Calibri" w:hAnsi="Verdana" w:cs="Arial"/>
          <w:color w:val="000000" w:themeColor="text1"/>
          <w:sz w:val="20"/>
          <w:szCs w:val="20"/>
          <w:lang w:val="es-ES_tradnl"/>
        </w:rPr>
      </w:pPr>
      <w:r w:rsidRPr="00A44AB5">
        <w:rPr>
          <w:rFonts w:ascii="Verdana" w:eastAsia="Calibri" w:hAnsi="Verdana" w:cs="Arial"/>
          <w:color w:val="000000" w:themeColor="text1"/>
          <w:sz w:val="20"/>
          <w:szCs w:val="20"/>
          <w:lang w:val="es-ES_tradnl" w:eastAsia="es-ES_tradnl"/>
        </w:rPr>
        <w:t>El principio de publicidad impone a las autoridades administrativas el deber de dar a conocer sus actos, contratos y decisiones, para que se divulguen y, eventualmente, se controlen dichas actuaciones. Es por eso que, en la contratación estatal, el literal c) del artículo 3 de la Ley 1150 de 2007 establece el Sistema Electrónico para la Contratación Pública – en adelante SECOP– como un mecanismo que “contará con la información oficial de la contratación realizada con dineros públicos, para lo cual establecerá los patrones a que haya lugar y se encargará de su difusión a través de canales electrónicos”</w:t>
      </w:r>
      <w:r w:rsidRPr="00A44AB5">
        <w:rPr>
          <w:rFonts w:ascii="Verdana" w:eastAsia="Calibri" w:hAnsi="Verdana" w:cs="Arial"/>
          <w:color w:val="000000" w:themeColor="text1"/>
          <w:sz w:val="20"/>
          <w:szCs w:val="20"/>
          <w:lang w:val="es-ES_tradnl"/>
        </w:rPr>
        <w:t xml:space="preserve">. </w:t>
      </w:r>
    </w:p>
    <w:p w14:paraId="0556985B" w14:textId="77777777" w:rsidR="00BB63BB" w:rsidRPr="00A44AB5" w:rsidRDefault="00BB63BB" w:rsidP="00BB63BB">
      <w:pPr>
        <w:spacing w:after="0" w:line="240" w:lineRule="auto"/>
        <w:jc w:val="both"/>
        <w:rPr>
          <w:rStyle w:val="Textoennegrita"/>
          <w:rFonts w:ascii="Verdana" w:hAnsi="Verdana" w:cs="Arial"/>
          <w:b w:val="0"/>
          <w:bCs w:val="0"/>
          <w:sz w:val="20"/>
          <w:szCs w:val="20"/>
          <w:lang w:val="es-ES"/>
        </w:rPr>
      </w:pPr>
    </w:p>
    <w:p w14:paraId="661F95CD" w14:textId="77777777" w:rsidR="00BB63BB" w:rsidRPr="00A44AB5" w:rsidRDefault="00BB63BB" w:rsidP="00BB63BB">
      <w:pPr>
        <w:spacing w:after="0" w:line="240" w:lineRule="auto"/>
        <w:jc w:val="both"/>
        <w:rPr>
          <w:rStyle w:val="Textoennegrita"/>
          <w:rFonts w:ascii="Verdana" w:hAnsi="Verdana" w:cs="Arial"/>
          <w:lang w:val="es-ES"/>
        </w:rPr>
      </w:pPr>
      <w:r w:rsidRPr="00A44AB5">
        <w:rPr>
          <w:rStyle w:val="Textoennegrita"/>
          <w:rFonts w:ascii="Verdana" w:hAnsi="Verdana" w:cs="Arial"/>
          <w:lang w:val="es-ES"/>
        </w:rPr>
        <w:t>RESERVA DE INFORMACIÓN PÚBLICA – Fundamento – Constitución – Ley – Aplicación – Procesos contractuales</w:t>
      </w:r>
    </w:p>
    <w:p w14:paraId="64C2C2E5" w14:textId="77777777" w:rsidR="00BB63BB" w:rsidRPr="00A44AB5" w:rsidRDefault="00BB63BB" w:rsidP="00BB63BB">
      <w:pPr>
        <w:tabs>
          <w:tab w:val="left" w:pos="426"/>
        </w:tabs>
        <w:spacing w:after="0" w:line="240" w:lineRule="auto"/>
        <w:jc w:val="both"/>
        <w:rPr>
          <w:rFonts w:ascii="Verdana" w:eastAsia="Calibri" w:hAnsi="Verdana" w:cs="Arial"/>
          <w:color w:val="000000"/>
          <w:sz w:val="20"/>
          <w:szCs w:val="20"/>
          <w:lang w:val="es-ES_tradnl" w:eastAsia="en-GB"/>
        </w:rPr>
      </w:pPr>
    </w:p>
    <w:p w14:paraId="1EBBBAD6" w14:textId="77777777" w:rsidR="00BB63BB" w:rsidRPr="00A44AB5" w:rsidRDefault="00BB63BB" w:rsidP="00BB63BB">
      <w:pPr>
        <w:tabs>
          <w:tab w:val="left" w:pos="426"/>
        </w:tabs>
        <w:spacing w:after="0" w:line="240" w:lineRule="auto"/>
        <w:jc w:val="both"/>
        <w:rPr>
          <w:rFonts w:ascii="Verdana" w:eastAsia="Calibri" w:hAnsi="Verdana" w:cs="Arial"/>
          <w:color w:val="000000"/>
          <w:sz w:val="20"/>
          <w:szCs w:val="20"/>
          <w:lang w:val="es-ES_tradnl" w:eastAsia="en-GB"/>
        </w:rPr>
      </w:pPr>
      <w:r w:rsidRPr="00A44AB5">
        <w:rPr>
          <w:rFonts w:ascii="Verdana" w:eastAsia="Calibri" w:hAnsi="Verdana" w:cs="Arial"/>
          <w:color w:val="000000"/>
          <w:sz w:val="20"/>
          <w:szCs w:val="20"/>
          <w:lang w:val="es-ES_tradnl" w:eastAsia="en-GB"/>
        </w:rPr>
        <w:t>Cuando el documento contractual tenga información sensible, clasificada o reservada, para proteger la reserva de información, las autoridades deben abstenerse de publicar en el SECOP la información que tiene protección especial o está sometida a reserva. Sin embargo, de acuerdo con el segundo inciso del artículo 25 de la Ley 1437 de 2011 “La restricción por reserva legal no se extenderá a otras piezas del respectivo expediente o actuación que no estén cubiertas por ella”. Por ello, la Entidad Estatal puede dejar de publicar algún documento del proceso o aparte del mismo que contenga datos sensibles, clasificados o reservados, para no divulgarla, pero debe publicar los demás documentos o los apartados de estos, en caso de que estos no gocen de reserva. Lo anterior, sin perjuicio de que dependiendo de la información en específico todo el documento o expediente deba dejar de publicarse, por ampararse en su integridad en alguna causal de reserva, dada la conexión de su contenido con la información que el constituyente o el legislador decidió limitar en cuanto a su publicidad.</w:t>
      </w:r>
    </w:p>
    <w:p w14:paraId="21DE0852" w14:textId="77777777" w:rsidR="005D1DA0" w:rsidRDefault="005D1DA0" w:rsidP="005D1DA0">
      <w:pPr>
        <w:spacing w:after="0" w:line="240" w:lineRule="auto"/>
        <w:jc w:val="both"/>
        <w:rPr>
          <w:rFonts w:ascii="Verdana" w:eastAsia="Aptos" w:hAnsi="Verdana" w:cs="Times New Roman"/>
          <w:sz w:val="20"/>
          <w:szCs w:val="20"/>
          <w:shd w:val="clear" w:color="auto" w:fill="FFFFFF"/>
          <w:lang w:val="es-ES"/>
        </w:rPr>
      </w:pPr>
    </w:p>
    <w:p w14:paraId="200A8E81" w14:textId="77777777" w:rsidR="00BB63BB" w:rsidRDefault="00BB63BB" w:rsidP="005D1DA0">
      <w:pPr>
        <w:spacing w:after="0" w:line="240" w:lineRule="auto"/>
        <w:jc w:val="both"/>
        <w:rPr>
          <w:rFonts w:ascii="Verdana" w:eastAsia="Aptos" w:hAnsi="Verdana" w:cs="Times New Roman"/>
          <w:sz w:val="20"/>
          <w:szCs w:val="20"/>
          <w:shd w:val="clear" w:color="auto" w:fill="FFFFFF"/>
          <w:lang w:val="es-ES"/>
        </w:rPr>
      </w:pPr>
    </w:p>
    <w:p w14:paraId="20C0AB18" w14:textId="77777777" w:rsidR="00BB63BB" w:rsidRDefault="00BB63BB" w:rsidP="005D1DA0">
      <w:pPr>
        <w:spacing w:after="0" w:line="240" w:lineRule="auto"/>
        <w:jc w:val="both"/>
        <w:rPr>
          <w:rFonts w:ascii="Verdana" w:eastAsia="Aptos" w:hAnsi="Verdana" w:cs="Times New Roman"/>
          <w:sz w:val="20"/>
          <w:szCs w:val="20"/>
          <w:shd w:val="clear" w:color="auto" w:fill="FFFFFF"/>
          <w:lang w:val="es-ES"/>
        </w:rPr>
      </w:pPr>
    </w:p>
    <w:p w14:paraId="6700D6DA" w14:textId="7F225E64" w:rsidR="00871B59" w:rsidRDefault="00871B59" w:rsidP="005D1DA0">
      <w:pPr>
        <w:spacing w:after="0" w:line="240" w:lineRule="auto"/>
        <w:jc w:val="both"/>
        <w:rPr>
          <w:rFonts w:ascii="Verdana" w:eastAsia="Geomanist Light" w:hAnsi="Verdana" w:cs="Arial"/>
          <w:lang w:val="es-MX"/>
        </w:rPr>
      </w:pPr>
      <w:r w:rsidRPr="007C1C94">
        <w:rPr>
          <w:rFonts w:ascii="Verdana" w:eastAsia="Geomanist Light" w:hAnsi="Verdana" w:cs="Arial"/>
          <w:lang w:val="es-MX"/>
        </w:rPr>
        <w:lastRenderedPageBreak/>
        <w:t>Bogotá D.C., </w:t>
      </w:r>
      <w:r w:rsidR="003244DC">
        <w:rPr>
          <w:rFonts w:ascii="Verdana" w:eastAsia="Geomanist Light" w:hAnsi="Verdana" w:cs="Arial"/>
          <w:lang w:val="es-MX"/>
        </w:rPr>
        <w:t>30 de abril de 2025</w:t>
      </w:r>
    </w:p>
    <w:p w14:paraId="6F5D69D8" w14:textId="77777777" w:rsidR="003244DC" w:rsidRDefault="003244DC" w:rsidP="005D1DA0">
      <w:pPr>
        <w:spacing w:after="0" w:line="240" w:lineRule="auto"/>
        <w:jc w:val="both"/>
        <w:rPr>
          <w:rFonts w:ascii="Verdana" w:eastAsia="Geomanist Light" w:hAnsi="Verdana" w:cs="Arial"/>
          <w:lang w:val="es-MX"/>
        </w:rPr>
      </w:pPr>
    </w:p>
    <w:p w14:paraId="706FFD79" w14:textId="05429AAF" w:rsidR="003244DC" w:rsidRPr="005D1DA0" w:rsidRDefault="003244DC" w:rsidP="003244DC">
      <w:pPr>
        <w:spacing w:after="0" w:line="240" w:lineRule="auto"/>
        <w:jc w:val="right"/>
        <w:rPr>
          <w:rFonts w:ascii="Verdana" w:eastAsia="Aptos" w:hAnsi="Verdana" w:cs="Times New Roman"/>
          <w:sz w:val="20"/>
          <w:szCs w:val="20"/>
          <w:shd w:val="clear" w:color="auto" w:fill="FFFFFF"/>
          <w:lang w:val="es-ES"/>
        </w:rPr>
      </w:pPr>
      <w:r w:rsidRPr="003244DC">
        <w:rPr>
          <w:rFonts w:ascii="Verdana" w:eastAsia="Aptos" w:hAnsi="Verdana" w:cs="Times New Roman"/>
          <w:sz w:val="20"/>
          <w:szCs w:val="20"/>
          <w:shd w:val="clear" w:color="auto" w:fill="FFFFFF"/>
          <w:lang w:val="es-ES"/>
        </w:rPr>
        <w:drawing>
          <wp:inline distT="0" distB="0" distL="0" distR="0" wp14:anchorId="6734D29C" wp14:editId="70809CDC">
            <wp:extent cx="3572374" cy="933580"/>
            <wp:effectExtent l="0" t="0" r="9525" b="0"/>
            <wp:docPr id="12367178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717889" name=""/>
                    <pic:cNvPicPr/>
                  </pic:nvPicPr>
                  <pic:blipFill>
                    <a:blip r:embed="rId11"/>
                    <a:stretch>
                      <a:fillRect/>
                    </a:stretch>
                  </pic:blipFill>
                  <pic:spPr>
                    <a:xfrm>
                      <a:off x="0" y="0"/>
                      <a:ext cx="3572374" cy="933580"/>
                    </a:xfrm>
                    <a:prstGeom prst="rect">
                      <a:avLst/>
                    </a:prstGeom>
                  </pic:spPr>
                </pic:pic>
              </a:graphicData>
            </a:graphic>
          </wp:inline>
        </w:drawing>
      </w:r>
    </w:p>
    <w:p w14:paraId="263F56BE" w14:textId="77777777" w:rsidR="00871B59" w:rsidRDefault="00871B59" w:rsidP="00871B59">
      <w:pPr>
        <w:spacing w:after="0" w:line="240" w:lineRule="auto"/>
        <w:jc w:val="both"/>
        <w:rPr>
          <w:rFonts w:ascii="Verdana" w:eastAsia="Calibri" w:hAnsi="Verdana" w:cs="Arial"/>
          <w:lang w:val="es-ES"/>
        </w:rPr>
      </w:pPr>
    </w:p>
    <w:p w14:paraId="7243E322" w14:textId="77777777" w:rsidR="00F90BE4" w:rsidRPr="007C1C94" w:rsidRDefault="00F90BE4" w:rsidP="00871B59">
      <w:pPr>
        <w:spacing w:after="0" w:line="240" w:lineRule="auto"/>
        <w:jc w:val="both"/>
        <w:rPr>
          <w:rFonts w:ascii="Verdana" w:eastAsia="Calibri" w:hAnsi="Verdana" w:cs="Arial"/>
          <w:lang w:val="es-ES"/>
        </w:rPr>
      </w:pPr>
    </w:p>
    <w:p w14:paraId="66EF7FED" w14:textId="0E01C734" w:rsidR="00871B59" w:rsidRPr="00D20089" w:rsidRDefault="00871B59" w:rsidP="00871B59">
      <w:pPr>
        <w:spacing w:after="0" w:line="240" w:lineRule="auto"/>
        <w:jc w:val="both"/>
        <w:rPr>
          <w:rFonts w:ascii="Verdana" w:eastAsia="Calibri" w:hAnsi="Verdana" w:cs="Arial"/>
          <w:lang w:val="es-ES" w:eastAsia="es-ES"/>
        </w:rPr>
      </w:pPr>
      <w:r w:rsidRPr="00D20089">
        <w:rPr>
          <w:rFonts w:ascii="Verdana" w:eastAsia="Calibri" w:hAnsi="Verdana" w:cs="Arial"/>
          <w:lang w:val="es-ES" w:eastAsia="es-ES"/>
        </w:rPr>
        <w:t>Señor</w:t>
      </w:r>
    </w:p>
    <w:p w14:paraId="1FCD5A3D" w14:textId="0E7386CF" w:rsidR="00231C15" w:rsidRPr="00D20089" w:rsidRDefault="007979D3"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Oscar Ovidio Muñoz Campo</w:t>
      </w:r>
    </w:p>
    <w:p w14:paraId="47447158" w14:textId="0D432E62" w:rsidR="007979D3" w:rsidRPr="007979D3" w:rsidRDefault="007979D3" w:rsidP="00D43FB7">
      <w:pPr>
        <w:spacing w:after="0" w:line="240" w:lineRule="auto"/>
        <w:rPr>
          <w:rFonts w:ascii="Verdana" w:hAnsi="Verdana"/>
        </w:rPr>
      </w:pPr>
      <w:hyperlink r:id="rId12" w:history="1">
        <w:r w:rsidRPr="007979D3">
          <w:rPr>
            <w:rStyle w:val="Hipervnculo"/>
            <w:rFonts w:ascii="Verdana" w:hAnsi="Verdana"/>
          </w:rPr>
          <w:t>abogado.oscar.munoz@gmail.com</w:t>
        </w:r>
      </w:hyperlink>
    </w:p>
    <w:p w14:paraId="5ACFEA17" w14:textId="7E70C50D" w:rsidR="00871B59" w:rsidRPr="00D20089" w:rsidRDefault="00231C15" w:rsidP="00D43FB7">
      <w:pPr>
        <w:spacing w:after="0" w:line="240" w:lineRule="auto"/>
        <w:rPr>
          <w:rFonts w:ascii="Verdana" w:eastAsia="Calibri" w:hAnsi="Verdana" w:cs="Arial"/>
          <w:b/>
          <w:bCs/>
          <w:lang w:val="es-ES" w:eastAsia="es-ES"/>
        </w:rPr>
      </w:pPr>
      <w:r w:rsidRPr="00D20089">
        <w:rPr>
          <w:rFonts w:ascii="Verdana" w:eastAsia="Calibri" w:hAnsi="Verdana" w:cs="Arial"/>
          <w:lang w:val="es-ES" w:eastAsia="es-ES"/>
        </w:rPr>
        <w:t>Ciudad</w:t>
      </w:r>
    </w:p>
    <w:p w14:paraId="75545CBA" w14:textId="77777777" w:rsidR="00871B59" w:rsidRPr="007C1C94" w:rsidRDefault="00871B59" w:rsidP="00871B59">
      <w:pPr>
        <w:spacing w:after="0" w:line="240" w:lineRule="auto"/>
        <w:rPr>
          <w:rFonts w:ascii="Verdana" w:eastAsia="Calibri" w:hAnsi="Verdana" w:cs="Arial"/>
          <w:b/>
          <w:bCs/>
          <w:lang w:val="es-ES_tradnl" w:eastAsia="es-ES_tradnl"/>
        </w:rPr>
      </w:pPr>
    </w:p>
    <w:p w14:paraId="40764CBF" w14:textId="77777777" w:rsidR="00871B59" w:rsidRPr="007C1C94" w:rsidRDefault="00871B59" w:rsidP="00871B5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C1C94" w:rsidRPr="007C1C94" w14:paraId="6AC1791A" w14:textId="77777777" w:rsidTr="002607A7">
        <w:trPr>
          <w:trHeight w:val="884"/>
        </w:trPr>
        <w:tc>
          <w:tcPr>
            <w:tcW w:w="2689" w:type="dxa"/>
          </w:tcPr>
          <w:p w14:paraId="156B1AEC" w14:textId="77777777" w:rsidR="00871B59" w:rsidRPr="007C1C94" w:rsidRDefault="00871B59" w:rsidP="002607A7">
            <w:pPr>
              <w:jc w:val="both"/>
              <w:rPr>
                <w:rFonts w:ascii="Verdana" w:eastAsia="Calibri" w:hAnsi="Verdana" w:cs="Arial"/>
                <w:b/>
                <w:bCs/>
                <w:lang w:val="es-ES_tradnl" w:eastAsia="es-ES_tradnl"/>
              </w:rPr>
            </w:pPr>
          </w:p>
        </w:tc>
        <w:tc>
          <w:tcPr>
            <w:tcW w:w="6100" w:type="dxa"/>
          </w:tcPr>
          <w:p w14:paraId="48F499EA" w14:textId="20CD0C19" w:rsidR="00871B59" w:rsidRPr="007C1C94" w:rsidRDefault="00871B59" w:rsidP="002607A7">
            <w:pPr>
              <w:jc w:val="both"/>
              <w:rPr>
                <w:rFonts w:ascii="Verdana" w:eastAsia="Calibri" w:hAnsi="Verdana" w:cs="Arial"/>
                <w:b/>
                <w:bCs/>
                <w:lang w:val="es-ES" w:eastAsia="es-ES"/>
              </w:rPr>
            </w:pPr>
            <w:r w:rsidRPr="007C1C94">
              <w:rPr>
                <w:rFonts w:ascii="Verdana" w:eastAsia="Calibri" w:hAnsi="Verdana" w:cs="Arial"/>
                <w:b/>
                <w:bCs/>
                <w:lang w:val="es-ES" w:eastAsia="es-ES"/>
              </w:rPr>
              <w:t xml:space="preserve">Concepto C- </w:t>
            </w:r>
            <w:r w:rsidR="008F597B">
              <w:rPr>
                <w:rFonts w:ascii="Verdana" w:eastAsia="Calibri" w:hAnsi="Verdana" w:cs="Arial"/>
                <w:b/>
                <w:bCs/>
                <w:lang w:val="es-ES" w:eastAsia="es-ES"/>
              </w:rPr>
              <w:t>27</w:t>
            </w:r>
            <w:r w:rsidR="002759A5">
              <w:rPr>
                <w:rFonts w:ascii="Verdana" w:eastAsia="Calibri" w:hAnsi="Verdana" w:cs="Arial"/>
                <w:b/>
                <w:bCs/>
                <w:lang w:val="es-ES" w:eastAsia="es-ES"/>
              </w:rPr>
              <w:t>3</w:t>
            </w:r>
            <w:r w:rsidRPr="007C1C94">
              <w:rPr>
                <w:rFonts w:ascii="Verdana" w:eastAsia="Calibri" w:hAnsi="Verdana" w:cs="Arial"/>
                <w:b/>
                <w:bCs/>
                <w:lang w:val="es-ES" w:eastAsia="es-ES"/>
              </w:rPr>
              <w:t xml:space="preserve"> de 202</w:t>
            </w:r>
            <w:r w:rsidR="002759A5">
              <w:rPr>
                <w:rFonts w:ascii="Verdana" w:eastAsia="Calibri" w:hAnsi="Verdana" w:cs="Arial"/>
                <w:b/>
                <w:bCs/>
                <w:lang w:val="es-ES" w:eastAsia="es-ES"/>
              </w:rPr>
              <w:t>5</w:t>
            </w:r>
          </w:p>
        </w:tc>
      </w:tr>
      <w:tr w:rsidR="007C1C94" w:rsidRPr="007C1C94" w14:paraId="0DD246A7" w14:textId="77777777" w:rsidTr="002607A7">
        <w:trPr>
          <w:trHeight w:val="884"/>
        </w:trPr>
        <w:tc>
          <w:tcPr>
            <w:tcW w:w="2689" w:type="dxa"/>
          </w:tcPr>
          <w:p w14:paraId="1B4FC525" w14:textId="77777777" w:rsidR="00871B59" w:rsidRPr="00D37CA7" w:rsidRDefault="00871B59" w:rsidP="00643C7B">
            <w:pPr>
              <w:jc w:val="both"/>
              <w:rPr>
                <w:rFonts w:ascii="Verdana" w:eastAsia="Calibri" w:hAnsi="Verdana" w:cs="Arial"/>
                <w:lang w:val="es-ES_tradnl" w:eastAsia="es-ES_tradnl"/>
              </w:rPr>
            </w:pPr>
            <w:r w:rsidRPr="00D37CA7">
              <w:rPr>
                <w:rFonts w:ascii="Verdana" w:eastAsia="Calibri" w:hAnsi="Verdana" w:cs="Arial"/>
                <w:b/>
                <w:lang w:val="es-ES_tradnl" w:eastAsia="es-ES_tradnl"/>
              </w:rPr>
              <w:t>Temas:</w:t>
            </w:r>
            <w:r w:rsidRPr="00D37CA7">
              <w:rPr>
                <w:rFonts w:ascii="Verdana" w:eastAsia="Calibri" w:hAnsi="Verdana" w:cs="Arial"/>
                <w:lang w:val="es-ES_tradnl" w:eastAsia="es-ES_tradnl"/>
              </w:rPr>
              <w:t xml:space="preserve">                   </w:t>
            </w:r>
          </w:p>
        </w:tc>
        <w:tc>
          <w:tcPr>
            <w:tcW w:w="6100" w:type="dxa"/>
          </w:tcPr>
          <w:p w14:paraId="7ADD1096" w14:textId="0512194D" w:rsidR="00871B59" w:rsidRPr="00D37CA7" w:rsidRDefault="00BB63BB" w:rsidP="00643C7B">
            <w:pPr>
              <w:jc w:val="both"/>
              <w:rPr>
                <w:rFonts w:ascii="Verdana" w:eastAsia="Calibri" w:hAnsi="Verdana" w:cs="Arial"/>
                <w:lang w:val="es-ES" w:eastAsia="es-ES"/>
              </w:rPr>
            </w:pPr>
            <w:r w:rsidRPr="00BB63BB">
              <w:rPr>
                <w:rFonts w:ascii="Verdana" w:eastAsia="Calibri" w:hAnsi="Verdana" w:cs="Arial"/>
                <w:lang w:val="es-ES" w:eastAsia="es-ES"/>
              </w:rPr>
              <w:t xml:space="preserve">PRINCIPIO DE PUBLICIDAD - Naturaleza </w:t>
            </w:r>
            <w:r w:rsidR="008772DE">
              <w:rPr>
                <w:rFonts w:ascii="Verdana" w:eastAsia="Calibri" w:hAnsi="Verdana" w:cs="Arial"/>
                <w:lang w:val="es-ES" w:eastAsia="es-ES"/>
              </w:rPr>
              <w:t xml:space="preserve">/ </w:t>
            </w:r>
            <w:r w:rsidRPr="00BB63BB">
              <w:rPr>
                <w:rFonts w:ascii="Verdana" w:eastAsia="Calibri" w:hAnsi="Verdana" w:cs="Arial"/>
                <w:lang w:val="es-ES" w:eastAsia="es-ES"/>
              </w:rPr>
              <w:t xml:space="preserve">ACCESO A DOCUMENTACIÓN PÚBLICA – Derecho fundamental – Transparencia – Información contractual </w:t>
            </w:r>
            <w:r w:rsidR="008772DE">
              <w:rPr>
                <w:rFonts w:ascii="Verdana" w:eastAsia="Calibri" w:hAnsi="Verdana" w:cs="Arial"/>
                <w:lang w:val="es-ES" w:eastAsia="es-ES"/>
              </w:rPr>
              <w:t xml:space="preserve">/ </w:t>
            </w:r>
            <w:r w:rsidRPr="00BB63BB">
              <w:rPr>
                <w:rFonts w:ascii="Verdana" w:eastAsia="Calibri" w:hAnsi="Verdana" w:cs="Arial"/>
                <w:lang w:val="es-ES" w:eastAsia="es-ES"/>
              </w:rPr>
              <w:t>RESERVA DE INFORMACIÓN PÚBLICA – Fundamento – Constitución – Ley – Aplicación – Procesos contractuales</w:t>
            </w:r>
          </w:p>
        </w:tc>
      </w:tr>
      <w:tr w:rsidR="00871B59" w:rsidRPr="007C1C94" w14:paraId="0A874006" w14:textId="77777777" w:rsidTr="002607A7">
        <w:tc>
          <w:tcPr>
            <w:tcW w:w="2689" w:type="dxa"/>
          </w:tcPr>
          <w:p w14:paraId="56ED2765" w14:textId="77777777" w:rsidR="00871B59" w:rsidRPr="007C1C94" w:rsidRDefault="00871B59" w:rsidP="002607A7">
            <w:pPr>
              <w:jc w:val="both"/>
              <w:rPr>
                <w:rFonts w:ascii="Verdana" w:eastAsia="Calibri" w:hAnsi="Verdana" w:cs="Arial"/>
                <w:b/>
                <w:lang w:val="es-ES_tradnl" w:eastAsia="es-ES_tradnl"/>
              </w:rPr>
            </w:pPr>
            <w:r w:rsidRPr="007C1C94">
              <w:rPr>
                <w:rFonts w:ascii="Verdana" w:eastAsia="Calibri" w:hAnsi="Verdana" w:cs="Arial"/>
                <w:b/>
                <w:lang w:val="es-ES_tradnl" w:eastAsia="es-ES_tradnl"/>
              </w:rPr>
              <w:t>Radicación:</w:t>
            </w:r>
            <w:r w:rsidRPr="007C1C94">
              <w:rPr>
                <w:rFonts w:ascii="Verdana" w:eastAsia="Calibri" w:hAnsi="Verdana" w:cs="Arial"/>
                <w:lang w:val="es-ES_tradnl" w:eastAsia="es-ES_tradnl"/>
              </w:rPr>
              <w:t xml:space="preserve">               </w:t>
            </w:r>
          </w:p>
        </w:tc>
        <w:tc>
          <w:tcPr>
            <w:tcW w:w="6100" w:type="dxa"/>
          </w:tcPr>
          <w:p w14:paraId="630D2668" w14:textId="3D495ACB" w:rsidR="00871B59" w:rsidRPr="007C1C94" w:rsidRDefault="00871B59" w:rsidP="002607A7">
            <w:pPr>
              <w:jc w:val="both"/>
              <w:rPr>
                <w:rFonts w:ascii="Verdana" w:eastAsia="Calibri" w:hAnsi="Verdana" w:cs="Arial"/>
                <w:lang w:val="es-ES_tradnl" w:eastAsia="es-ES_tradnl"/>
              </w:rPr>
            </w:pPr>
            <w:r w:rsidRPr="007C1C94">
              <w:rPr>
                <w:rFonts w:ascii="Verdana" w:eastAsia="Calibri" w:hAnsi="Verdana" w:cs="Arial"/>
                <w:lang w:val="es-ES_tradnl" w:eastAsia="es-ES_tradnl"/>
              </w:rPr>
              <w:t xml:space="preserve">Respuesta a consulta con radicado No. </w:t>
            </w:r>
            <w:r w:rsidR="008F597B" w:rsidRPr="008F597B">
              <w:rPr>
                <w:rFonts w:ascii="Verdana" w:eastAsia="Calibri" w:hAnsi="Verdana" w:cs="Arial"/>
                <w:lang w:val="es-ES_tradnl" w:eastAsia="es-ES_tradnl"/>
              </w:rPr>
              <w:t>P20250327002943</w:t>
            </w:r>
          </w:p>
        </w:tc>
      </w:tr>
    </w:tbl>
    <w:p w14:paraId="01AFCA4D" w14:textId="77777777" w:rsidR="00871B59" w:rsidRPr="007C1C94" w:rsidRDefault="00871B59" w:rsidP="00871B59">
      <w:pPr>
        <w:spacing w:after="0" w:line="240" w:lineRule="auto"/>
        <w:jc w:val="both"/>
        <w:rPr>
          <w:rFonts w:ascii="Verdana" w:eastAsia="Calibri" w:hAnsi="Verdana" w:cs="Arial"/>
          <w:lang w:val="es-ES_tradnl" w:eastAsia="es-ES_tradnl"/>
        </w:rPr>
      </w:pPr>
    </w:p>
    <w:p w14:paraId="4FF08E37" w14:textId="77777777" w:rsidR="00871B59" w:rsidRPr="007C1C94" w:rsidRDefault="00871B59" w:rsidP="00871B59">
      <w:pPr>
        <w:spacing w:after="0" w:line="240" w:lineRule="auto"/>
        <w:jc w:val="both"/>
        <w:rPr>
          <w:rFonts w:ascii="Verdana" w:eastAsia="Calibri" w:hAnsi="Verdana" w:cs="Arial"/>
          <w:lang w:val="es-ES_tradnl" w:eastAsia="es-ES_tradnl"/>
        </w:rPr>
      </w:pPr>
    </w:p>
    <w:p w14:paraId="5A8CAE32" w14:textId="4E054A70" w:rsidR="00871B59" w:rsidRPr="007C1C94" w:rsidRDefault="00871B59" w:rsidP="00871B59">
      <w:pPr>
        <w:spacing w:after="0" w:line="276" w:lineRule="auto"/>
        <w:jc w:val="both"/>
        <w:rPr>
          <w:rFonts w:ascii="Verdana" w:eastAsia="Calibri" w:hAnsi="Verdana" w:cs="Arial"/>
          <w:lang w:val="es-ES" w:eastAsia="es-ES"/>
        </w:rPr>
      </w:pPr>
      <w:r w:rsidRPr="007C1C94">
        <w:rPr>
          <w:rFonts w:ascii="Verdana" w:eastAsia="Calibri" w:hAnsi="Verdana" w:cs="Arial"/>
          <w:lang w:val="es-ES" w:eastAsia="es-ES"/>
        </w:rPr>
        <w:t>Estimad</w:t>
      </w:r>
      <w:r w:rsidR="00771C9B">
        <w:rPr>
          <w:rFonts w:ascii="Verdana" w:eastAsia="Calibri" w:hAnsi="Verdana" w:cs="Arial"/>
          <w:lang w:val="es-ES" w:eastAsia="es-ES"/>
        </w:rPr>
        <w:t>o</w:t>
      </w:r>
      <w:r w:rsidRPr="007C1C94">
        <w:rPr>
          <w:rFonts w:ascii="Verdana" w:eastAsia="Calibri" w:hAnsi="Verdana" w:cs="Arial"/>
          <w:lang w:val="es-ES" w:eastAsia="es-ES"/>
        </w:rPr>
        <w:t xml:space="preserve"> señor </w:t>
      </w:r>
      <w:r w:rsidR="007979D3">
        <w:rPr>
          <w:rFonts w:ascii="Verdana" w:eastAsia="Calibri" w:hAnsi="Verdana" w:cs="Arial"/>
          <w:lang w:val="es-ES" w:eastAsia="es-ES"/>
        </w:rPr>
        <w:t>Muñoz</w:t>
      </w:r>
      <w:r w:rsidRPr="007C1C94">
        <w:rPr>
          <w:rFonts w:ascii="Verdana" w:eastAsia="Calibri" w:hAnsi="Verdana" w:cs="Arial"/>
          <w:lang w:val="es-ES" w:eastAsia="es-ES"/>
        </w:rPr>
        <w:t xml:space="preserve">: </w:t>
      </w:r>
    </w:p>
    <w:p w14:paraId="62039951" w14:textId="77777777" w:rsidR="00871B59" w:rsidRPr="007C1C94" w:rsidRDefault="00871B59" w:rsidP="00871B59">
      <w:pPr>
        <w:tabs>
          <w:tab w:val="left" w:pos="3768"/>
        </w:tabs>
        <w:spacing w:after="0" w:line="276" w:lineRule="auto"/>
        <w:jc w:val="both"/>
        <w:rPr>
          <w:rFonts w:ascii="Verdana" w:eastAsia="Calibri" w:hAnsi="Verdana" w:cs="Arial"/>
          <w:lang w:val="es-ES" w:eastAsia="es-ES"/>
        </w:rPr>
      </w:pPr>
      <w:r w:rsidRPr="007C1C94">
        <w:rPr>
          <w:rFonts w:ascii="Verdana" w:eastAsia="Calibri" w:hAnsi="Verdana" w:cs="Arial"/>
          <w:lang w:val="es-ES" w:eastAsia="es-ES"/>
        </w:rPr>
        <w:tab/>
      </w:r>
    </w:p>
    <w:p w14:paraId="3F1D9A82" w14:textId="7757366C" w:rsidR="00871B59" w:rsidRPr="007C1C94" w:rsidRDefault="00871B59" w:rsidP="00871B59">
      <w:pPr>
        <w:spacing w:after="0" w:line="276" w:lineRule="auto"/>
        <w:jc w:val="both"/>
        <w:rPr>
          <w:rFonts w:ascii="Verdana" w:eastAsia="Calibri" w:hAnsi="Verdana" w:cs="Arial"/>
          <w:lang w:val="es-ES" w:eastAsia="es-ES"/>
        </w:rPr>
      </w:pPr>
      <w:r w:rsidRPr="007C1C94">
        <w:rPr>
          <w:rFonts w:ascii="Verdana" w:eastAsia="Calibri" w:hAnsi="Verdana" w:cs="Arial"/>
          <w:lang w:val="es-ES" w:eastAsia="es-ES"/>
        </w:rPr>
        <w:t>En ejercicio de la competencia otorgada por los artículos 3, numeral 5º, y 11, numeral 8º, del Decreto Ley 4170 de 2011,</w:t>
      </w:r>
      <w:r w:rsidRPr="007C1C94">
        <w:rPr>
          <w:rFonts w:ascii="Verdana" w:eastAsia="Arial MT" w:hAnsi="Verdana" w:cs="Arial MT"/>
          <w:lang w:val="es-ES" w:eastAsia="es-ES"/>
        </w:rPr>
        <w:t xml:space="preserve"> </w:t>
      </w:r>
      <w:r w:rsidRPr="007C1C94">
        <w:rPr>
          <w:rFonts w:ascii="Verdana" w:hAnsi="Verdana" w:cs="Arial"/>
        </w:rPr>
        <w:t xml:space="preserve">así como lo establecido en el artículo 4 de la Resolución 1707 de 2018 expedida por esta Entidad, </w:t>
      </w:r>
      <w:r w:rsidRPr="007C1C94">
        <w:rPr>
          <w:rFonts w:ascii="Verdana" w:eastAsia="Calibri" w:hAnsi="Verdana" w:cs="Arial"/>
          <w:lang w:val="es-ES" w:eastAsia="es-ES"/>
        </w:rPr>
        <w:t xml:space="preserve">la Agencia Nacional de Contratación Pública – Colombia Compra Eficiente– responde su solicitud de consulta de fecha </w:t>
      </w:r>
      <w:r w:rsidR="00771C9B">
        <w:rPr>
          <w:rFonts w:ascii="Verdana" w:eastAsia="Calibri" w:hAnsi="Verdana" w:cs="Arial"/>
          <w:lang w:val="es-ES" w:eastAsia="es-ES"/>
        </w:rPr>
        <w:t>2</w:t>
      </w:r>
      <w:r w:rsidR="00A5764B">
        <w:rPr>
          <w:rFonts w:ascii="Verdana" w:eastAsia="Calibri" w:hAnsi="Verdana" w:cs="Arial"/>
          <w:lang w:val="es-ES" w:eastAsia="es-ES"/>
        </w:rPr>
        <w:t>7</w:t>
      </w:r>
      <w:r w:rsidRPr="007C1C94">
        <w:rPr>
          <w:rFonts w:ascii="Verdana" w:eastAsia="Calibri" w:hAnsi="Verdana" w:cs="Arial"/>
          <w:lang w:val="es-ES" w:eastAsia="es-ES"/>
        </w:rPr>
        <w:t xml:space="preserve"> de </w:t>
      </w:r>
      <w:r w:rsidR="00671241">
        <w:rPr>
          <w:rFonts w:ascii="Verdana" w:eastAsia="Calibri" w:hAnsi="Verdana" w:cs="Arial"/>
          <w:lang w:val="es-ES" w:eastAsia="es-ES"/>
        </w:rPr>
        <w:t>marzo</w:t>
      </w:r>
      <w:r w:rsidRPr="007C1C94">
        <w:rPr>
          <w:rFonts w:ascii="Verdana" w:eastAsia="Calibri" w:hAnsi="Verdana" w:cs="Arial"/>
          <w:lang w:val="es-ES" w:eastAsia="es-ES"/>
        </w:rPr>
        <w:t xml:space="preserve"> de 20</w:t>
      </w:r>
      <w:r w:rsidR="00671241">
        <w:rPr>
          <w:rFonts w:ascii="Verdana" w:eastAsia="Calibri" w:hAnsi="Verdana" w:cs="Arial"/>
          <w:lang w:val="es-ES" w:eastAsia="es-ES"/>
        </w:rPr>
        <w:t>25</w:t>
      </w:r>
      <w:r w:rsidRPr="007C1C94">
        <w:rPr>
          <w:rFonts w:ascii="Verdana" w:eastAsia="Calibri" w:hAnsi="Verdana" w:cs="Arial"/>
          <w:lang w:val="es-ES" w:eastAsia="es-ES"/>
        </w:rPr>
        <w:t xml:space="preserve">, en la cual manifiesta lo siguiente: </w:t>
      </w:r>
    </w:p>
    <w:p w14:paraId="6DBD3E26" w14:textId="77777777" w:rsidR="00871B59" w:rsidRPr="007C1C94"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68781F03" w14:textId="77777777" w:rsidR="009F61F9" w:rsidRPr="009F61F9" w:rsidRDefault="00871B59" w:rsidP="009F61F9">
      <w:pPr>
        <w:spacing w:after="0" w:line="240" w:lineRule="auto"/>
        <w:ind w:left="709" w:right="709"/>
        <w:jc w:val="both"/>
        <w:rPr>
          <w:rStyle w:val="normaltextrun"/>
          <w:rFonts w:ascii="Verdana" w:hAnsi="Verdana" w:cs="Arial"/>
          <w:sz w:val="20"/>
          <w:szCs w:val="20"/>
          <w:shd w:val="clear" w:color="auto" w:fill="FFFFFF"/>
          <w:lang w:val="es-MX"/>
        </w:rPr>
      </w:pPr>
      <w:bookmarkStart w:id="0" w:name="_Hlk95313578"/>
      <w:r w:rsidRPr="007C1C94">
        <w:rPr>
          <w:rFonts w:ascii="Verdana" w:eastAsia="Century Gothic" w:hAnsi="Verdana" w:cs="Century Gothic"/>
          <w:sz w:val="20"/>
          <w:szCs w:val="20"/>
          <w:lang w:val="es-ES"/>
        </w:rPr>
        <w:t>“</w:t>
      </w:r>
      <w:r w:rsidR="009F61F9" w:rsidRPr="009F61F9">
        <w:rPr>
          <w:rStyle w:val="normaltextrun"/>
          <w:rFonts w:ascii="Verdana" w:hAnsi="Verdana" w:cs="Arial"/>
          <w:sz w:val="20"/>
          <w:szCs w:val="20"/>
          <w:shd w:val="clear" w:color="auto" w:fill="FFFFFF"/>
          <w:lang w:val="es-MX"/>
        </w:rPr>
        <w:t>a) Indicar si los documentos enunciados tienen carácter reservado conforme a la ley y la jurisprudencia aplicable.</w:t>
      </w:r>
    </w:p>
    <w:p w14:paraId="3F58056F" w14:textId="5FA108C3" w:rsidR="009F61F9" w:rsidRPr="009F61F9" w:rsidRDefault="009F61F9" w:rsidP="009F61F9">
      <w:pPr>
        <w:spacing w:after="0" w:line="240" w:lineRule="auto"/>
        <w:ind w:left="709" w:right="709"/>
        <w:jc w:val="both"/>
        <w:rPr>
          <w:rStyle w:val="normaltextrun"/>
          <w:rFonts w:ascii="Verdana" w:hAnsi="Verdana" w:cs="Arial"/>
          <w:sz w:val="20"/>
          <w:szCs w:val="20"/>
          <w:shd w:val="clear" w:color="auto" w:fill="FFFFFF"/>
          <w:lang w:val="es-MX"/>
        </w:rPr>
      </w:pPr>
      <w:r w:rsidRPr="009F61F9">
        <w:rPr>
          <w:rStyle w:val="normaltextrun"/>
          <w:rFonts w:ascii="Verdana" w:hAnsi="Verdana" w:cs="Arial"/>
          <w:sz w:val="20"/>
          <w:szCs w:val="20"/>
          <w:shd w:val="clear" w:color="auto" w:fill="FFFFFF"/>
          <w:lang w:val="es-MX"/>
        </w:rPr>
        <w:lastRenderedPageBreak/>
        <w:t>b) Especificar si alguno de estos documentos puede ser considerado como información con datos sensibles, según la definición contenida en la Ley 1581 de 2012 y sus decretos reglamentarios.</w:t>
      </w:r>
    </w:p>
    <w:p w14:paraId="47997A75" w14:textId="4F9498EF" w:rsidR="009F61F9" w:rsidRPr="009F61F9" w:rsidRDefault="009F61F9" w:rsidP="009F61F9">
      <w:pPr>
        <w:spacing w:after="0" w:line="240" w:lineRule="auto"/>
        <w:ind w:left="709" w:right="709"/>
        <w:jc w:val="both"/>
        <w:rPr>
          <w:rStyle w:val="normaltextrun"/>
          <w:rFonts w:ascii="Verdana" w:hAnsi="Verdana" w:cs="Arial"/>
          <w:sz w:val="20"/>
          <w:szCs w:val="20"/>
          <w:shd w:val="clear" w:color="auto" w:fill="FFFFFF"/>
          <w:lang w:val="es-MX"/>
        </w:rPr>
      </w:pPr>
      <w:r w:rsidRPr="009F61F9">
        <w:rPr>
          <w:rStyle w:val="normaltextrun"/>
          <w:rFonts w:ascii="Verdana" w:hAnsi="Verdana" w:cs="Arial"/>
          <w:sz w:val="20"/>
          <w:szCs w:val="20"/>
          <w:shd w:val="clear" w:color="auto" w:fill="FFFFFF"/>
          <w:lang w:val="es-MX"/>
        </w:rPr>
        <w:t>c) En caso de que alguno de estos documentos sea considerado reservado o contenga datos sensibles, indicar el fundamento</w:t>
      </w:r>
      <w:r>
        <w:rPr>
          <w:rStyle w:val="normaltextrun"/>
          <w:rFonts w:ascii="Verdana" w:hAnsi="Verdana" w:cs="Arial"/>
          <w:sz w:val="20"/>
          <w:szCs w:val="20"/>
          <w:shd w:val="clear" w:color="auto" w:fill="FFFFFF"/>
          <w:lang w:val="es-MX"/>
        </w:rPr>
        <w:t xml:space="preserve"> </w:t>
      </w:r>
      <w:r w:rsidRPr="009F61F9">
        <w:rPr>
          <w:rStyle w:val="normaltextrun"/>
          <w:rFonts w:ascii="Verdana" w:hAnsi="Verdana" w:cs="Arial"/>
          <w:sz w:val="20"/>
          <w:szCs w:val="20"/>
          <w:shd w:val="clear" w:color="auto" w:fill="FFFFFF"/>
          <w:lang w:val="es-MX"/>
        </w:rPr>
        <w:t>normativo que sustente dicha clasificación.</w:t>
      </w:r>
    </w:p>
    <w:p w14:paraId="02CF9654" w14:textId="12BBF71F" w:rsidR="009F61F9" w:rsidRPr="009F61F9" w:rsidRDefault="009F61F9" w:rsidP="009F61F9">
      <w:pPr>
        <w:spacing w:after="0" w:line="240" w:lineRule="auto"/>
        <w:ind w:left="709" w:right="709"/>
        <w:jc w:val="both"/>
        <w:rPr>
          <w:rStyle w:val="normaltextrun"/>
          <w:rFonts w:ascii="Verdana" w:hAnsi="Verdana" w:cs="Arial"/>
          <w:sz w:val="20"/>
          <w:szCs w:val="20"/>
          <w:shd w:val="clear" w:color="auto" w:fill="FFFFFF"/>
          <w:lang w:val="es-MX"/>
        </w:rPr>
      </w:pPr>
      <w:r w:rsidRPr="009F61F9">
        <w:rPr>
          <w:rStyle w:val="normaltextrun"/>
          <w:rFonts w:ascii="Verdana" w:hAnsi="Verdana" w:cs="Arial"/>
          <w:sz w:val="20"/>
          <w:szCs w:val="20"/>
          <w:shd w:val="clear" w:color="auto" w:fill="FFFFFF"/>
          <w:lang w:val="es-MX"/>
        </w:rPr>
        <w:t>d) Explicar el procedimiento a seguir para solicitar la clasificación de un documento como reservado dentro de un proceso de contratación en SECOP II.</w:t>
      </w:r>
    </w:p>
    <w:p w14:paraId="1410172B" w14:textId="5004221F" w:rsidR="009F61F9" w:rsidRPr="009F61F9" w:rsidRDefault="009F61F9" w:rsidP="009F61F9">
      <w:pPr>
        <w:spacing w:after="0" w:line="240" w:lineRule="auto"/>
        <w:ind w:left="709" w:right="709"/>
        <w:jc w:val="both"/>
        <w:rPr>
          <w:rStyle w:val="normaltextrun"/>
          <w:rFonts w:ascii="Verdana" w:hAnsi="Verdana" w:cs="Arial"/>
          <w:sz w:val="20"/>
          <w:szCs w:val="20"/>
          <w:shd w:val="clear" w:color="auto" w:fill="FFFFFF"/>
          <w:lang w:val="es-MX"/>
        </w:rPr>
      </w:pPr>
      <w:r w:rsidRPr="009F61F9">
        <w:rPr>
          <w:rStyle w:val="normaltextrun"/>
          <w:rFonts w:ascii="Verdana" w:hAnsi="Verdana" w:cs="Arial"/>
          <w:sz w:val="20"/>
          <w:szCs w:val="20"/>
          <w:shd w:val="clear" w:color="auto" w:fill="FFFFFF"/>
          <w:lang w:val="es-MX"/>
        </w:rPr>
        <w:t>e) En caso de que estos documentos no sean considerados reservados o con datos sensibles, indicar el fundamento normativo que respalde su publicidad y acceso por parte de terceros.</w:t>
      </w:r>
    </w:p>
    <w:p w14:paraId="138D4BD8" w14:textId="1B67291D" w:rsidR="009F61F9" w:rsidRPr="009F61F9" w:rsidRDefault="009F61F9" w:rsidP="009F61F9">
      <w:pPr>
        <w:spacing w:after="0" w:line="240" w:lineRule="auto"/>
        <w:ind w:left="709" w:right="709"/>
        <w:jc w:val="both"/>
        <w:rPr>
          <w:rStyle w:val="normaltextrun"/>
          <w:rFonts w:ascii="Verdana" w:hAnsi="Verdana" w:cs="Arial"/>
          <w:sz w:val="20"/>
          <w:szCs w:val="20"/>
          <w:shd w:val="clear" w:color="auto" w:fill="FFFFFF"/>
          <w:lang w:val="es-MX"/>
        </w:rPr>
      </w:pPr>
      <w:r w:rsidRPr="009F61F9">
        <w:rPr>
          <w:rStyle w:val="normaltextrun"/>
          <w:rFonts w:ascii="Verdana" w:hAnsi="Verdana" w:cs="Arial"/>
          <w:sz w:val="20"/>
          <w:szCs w:val="20"/>
          <w:shd w:val="clear" w:color="auto" w:fill="FFFFFF"/>
          <w:lang w:val="es-MX"/>
        </w:rPr>
        <w:t>f) Especificar qué documentos de común utilización en procesos de contratación pública tienen carácter reservado o</w:t>
      </w:r>
      <w:r>
        <w:rPr>
          <w:rStyle w:val="normaltextrun"/>
          <w:rFonts w:ascii="Verdana" w:hAnsi="Verdana" w:cs="Arial"/>
          <w:sz w:val="20"/>
          <w:szCs w:val="20"/>
          <w:shd w:val="clear" w:color="auto" w:fill="FFFFFF"/>
          <w:lang w:val="es-MX"/>
        </w:rPr>
        <w:t xml:space="preserve"> </w:t>
      </w:r>
      <w:r w:rsidRPr="009F61F9">
        <w:rPr>
          <w:rStyle w:val="normaltextrun"/>
          <w:rFonts w:ascii="Verdana" w:hAnsi="Verdana" w:cs="Arial"/>
          <w:sz w:val="20"/>
          <w:szCs w:val="20"/>
          <w:shd w:val="clear" w:color="auto" w:fill="FFFFFF"/>
          <w:lang w:val="es-MX"/>
        </w:rPr>
        <w:t>contienen datos sensibles conforme a la normativa vigente.</w:t>
      </w:r>
    </w:p>
    <w:p w14:paraId="49DB2BCB" w14:textId="0EAFA920" w:rsidR="009F61F9" w:rsidRPr="009F61F9" w:rsidRDefault="009F61F9" w:rsidP="009F61F9">
      <w:pPr>
        <w:spacing w:after="0" w:line="240" w:lineRule="auto"/>
        <w:ind w:left="709" w:right="709"/>
        <w:jc w:val="both"/>
        <w:rPr>
          <w:rStyle w:val="normaltextrun"/>
          <w:rFonts w:ascii="Verdana" w:hAnsi="Verdana" w:cs="Arial"/>
          <w:sz w:val="20"/>
          <w:szCs w:val="20"/>
          <w:shd w:val="clear" w:color="auto" w:fill="FFFFFF"/>
          <w:lang w:val="es-MX"/>
        </w:rPr>
      </w:pPr>
      <w:r w:rsidRPr="009F61F9">
        <w:rPr>
          <w:rStyle w:val="normaltextrun"/>
          <w:rFonts w:ascii="Verdana" w:hAnsi="Verdana" w:cs="Arial"/>
          <w:sz w:val="20"/>
          <w:szCs w:val="20"/>
          <w:shd w:val="clear" w:color="auto" w:fill="FFFFFF"/>
          <w:lang w:val="es-MX"/>
        </w:rPr>
        <w:t>g) Indicar si los documentos mencionados deben publicarse con acceso para el público en general o si su acceso está restringido únicamente a la entidad estatal.</w:t>
      </w:r>
    </w:p>
    <w:p w14:paraId="1006183E" w14:textId="028DA2EA" w:rsidR="00871B59" w:rsidRPr="00517373" w:rsidRDefault="009F61F9" w:rsidP="009F61F9">
      <w:pPr>
        <w:spacing w:after="0" w:line="240" w:lineRule="auto"/>
        <w:ind w:left="709" w:right="709"/>
        <w:jc w:val="both"/>
        <w:rPr>
          <w:rFonts w:ascii="Verdana" w:hAnsi="Verdana" w:cs="Arial"/>
          <w:sz w:val="20"/>
          <w:szCs w:val="20"/>
          <w:shd w:val="clear" w:color="auto" w:fill="FFFFFF"/>
          <w:lang w:val="es-MX"/>
        </w:rPr>
      </w:pPr>
      <w:r w:rsidRPr="009F61F9">
        <w:rPr>
          <w:rStyle w:val="normaltextrun"/>
          <w:rFonts w:ascii="Verdana" w:hAnsi="Verdana" w:cs="Arial"/>
          <w:sz w:val="20"/>
          <w:szCs w:val="20"/>
          <w:shd w:val="clear" w:color="auto" w:fill="FFFFFF"/>
          <w:lang w:val="es-MX"/>
        </w:rPr>
        <w:t>h) Indicar si existen consecuencias para el servidor público, contratista de la entidad estatal o para la entidad estatal en cabeza del ordenador del gasto, en caso de que se publiquen documentos con reserva legal y cuáles serían esas</w:t>
      </w:r>
      <w:r>
        <w:rPr>
          <w:rStyle w:val="normaltextrun"/>
          <w:rFonts w:ascii="Verdana" w:hAnsi="Verdana" w:cs="Arial"/>
          <w:sz w:val="20"/>
          <w:szCs w:val="20"/>
          <w:shd w:val="clear" w:color="auto" w:fill="FFFFFF"/>
          <w:lang w:val="es-MX"/>
        </w:rPr>
        <w:t xml:space="preserve"> </w:t>
      </w:r>
      <w:r w:rsidRPr="009F61F9">
        <w:rPr>
          <w:rStyle w:val="normaltextrun"/>
          <w:rFonts w:ascii="Verdana" w:hAnsi="Verdana" w:cs="Arial"/>
          <w:sz w:val="20"/>
          <w:szCs w:val="20"/>
          <w:shd w:val="clear" w:color="auto" w:fill="FFFFFF"/>
          <w:lang w:val="es-MX"/>
        </w:rPr>
        <w:t>consecuencias si existen</w:t>
      </w:r>
      <w:r w:rsidR="00871B59" w:rsidRPr="006C632C">
        <w:rPr>
          <w:rFonts w:ascii="Verdana" w:eastAsia="Century Gothic" w:hAnsi="Verdana" w:cs="Century Gothic"/>
          <w:sz w:val="20"/>
          <w:szCs w:val="20"/>
          <w:lang w:val="es-ES"/>
        </w:rPr>
        <w:t>”</w:t>
      </w:r>
      <w:bookmarkEnd w:id="0"/>
      <w:r w:rsidR="00871B59" w:rsidRPr="006C632C">
        <w:rPr>
          <w:rFonts w:ascii="Verdana" w:eastAsia="Century Gothic" w:hAnsi="Verdana" w:cs="Century Gothic"/>
          <w:sz w:val="20"/>
          <w:szCs w:val="20"/>
          <w:lang w:val="es-ES"/>
        </w:rPr>
        <w:t>.</w:t>
      </w:r>
    </w:p>
    <w:p w14:paraId="54DCAD4E" w14:textId="77777777" w:rsidR="00871B59" w:rsidRPr="00BA7808"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MX"/>
        </w:rPr>
      </w:pPr>
    </w:p>
    <w:p w14:paraId="30F17EAD" w14:textId="77777777" w:rsidR="00871B59" w:rsidRPr="007C1C94" w:rsidRDefault="00871B59" w:rsidP="00871B59">
      <w:pPr>
        <w:spacing w:after="120" w:line="276" w:lineRule="auto"/>
        <w:ind w:firstLine="709"/>
        <w:jc w:val="both"/>
        <w:rPr>
          <w:rFonts w:ascii="Verdana" w:eastAsia="Calibri" w:hAnsi="Verdana" w:cs="Arial"/>
          <w:szCs w:val="24"/>
          <w:lang w:val="es-ES_tradnl" w:eastAsia="es-ES_tradnl"/>
        </w:rPr>
      </w:pPr>
      <w:r w:rsidRPr="007C1C9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C1C94">
        <w:rPr>
          <w:rFonts w:ascii="Verdana" w:eastAsia="Calibri" w:hAnsi="Verdana" w:cs="Arial"/>
          <w:szCs w:val="24"/>
          <w:lang w:val="es-ES_tradnl" w:eastAsia="es-ES_tradnl"/>
        </w:rPr>
        <w:tab/>
      </w:r>
    </w:p>
    <w:p w14:paraId="3B95778F" w14:textId="77777777" w:rsidR="00871B59" w:rsidRPr="007C1C94" w:rsidRDefault="00871B59" w:rsidP="00871B59">
      <w:pPr>
        <w:spacing w:after="0" w:line="276" w:lineRule="auto"/>
        <w:ind w:firstLine="709"/>
        <w:jc w:val="both"/>
        <w:rPr>
          <w:rFonts w:ascii="Verdana" w:eastAsia="Calibri" w:hAnsi="Verdana" w:cs="Arial"/>
          <w:lang w:val="es-ES" w:eastAsia="es-ES"/>
        </w:rPr>
      </w:pPr>
      <w:r w:rsidRPr="007C1C94">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w:t>
      </w:r>
      <w:r w:rsidRPr="007C1C94">
        <w:rPr>
          <w:rFonts w:ascii="Verdana" w:eastAsia="Calibri" w:hAnsi="Verdana" w:cs="Arial"/>
          <w:lang w:val="es-ES" w:eastAsia="es-ES"/>
        </w:rPr>
        <w:lastRenderedPageBreak/>
        <w:t xml:space="preserve">concretas mencionadas en su petición, pero haciendo unas consideraciones sobre las normas generales relacionadas con el (los) problema(s) jurídico(s) de su consulta. </w:t>
      </w:r>
    </w:p>
    <w:p w14:paraId="70187214" w14:textId="77777777" w:rsidR="00871B59" w:rsidRPr="007C1C94" w:rsidRDefault="00871B59" w:rsidP="00871B59">
      <w:pPr>
        <w:spacing w:after="0" w:line="276" w:lineRule="auto"/>
        <w:ind w:firstLine="709"/>
        <w:jc w:val="both"/>
        <w:rPr>
          <w:rFonts w:ascii="Verdana" w:eastAsia="Calibri" w:hAnsi="Verdana" w:cs="Arial"/>
          <w:lang w:val="es-ES" w:eastAsia="es-ES"/>
        </w:rPr>
      </w:pPr>
    </w:p>
    <w:p w14:paraId="74DD4DE4" w14:textId="1D86FBAB" w:rsidR="00871B59" w:rsidRPr="007C1C94"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7C1C94">
        <w:rPr>
          <w:rFonts w:ascii="Verdana" w:eastAsia="Century Gothic" w:hAnsi="Verdana" w:cs="Century Gothic"/>
          <w:b/>
          <w:bCs/>
          <w:lang w:val="es-ES"/>
        </w:rPr>
        <w:t>Problema planteado:</w:t>
      </w:r>
    </w:p>
    <w:p w14:paraId="690221EE" w14:textId="77777777" w:rsidR="00871B59" w:rsidRPr="007C1C94" w:rsidRDefault="00871B59" w:rsidP="00871B59">
      <w:pPr>
        <w:tabs>
          <w:tab w:val="left" w:pos="426"/>
        </w:tabs>
        <w:spacing w:after="0" w:line="276" w:lineRule="auto"/>
        <w:jc w:val="both"/>
        <w:rPr>
          <w:rFonts w:ascii="Verdana" w:eastAsia="Century Gothic" w:hAnsi="Verdana" w:cs="Century Gothic"/>
          <w:lang w:val="es-ES"/>
        </w:rPr>
      </w:pPr>
    </w:p>
    <w:p w14:paraId="11DC9C47" w14:textId="65C496C1" w:rsidR="00871B59" w:rsidRPr="00E31906" w:rsidRDefault="00871B59" w:rsidP="00871B59">
      <w:pPr>
        <w:spacing w:after="0" w:line="276" w:lineRule="auto"/>
        <w:jc w:val="both"/>
        <w:rPr>
          <w:rFonts w:ascii="Verdana" w:eastAsia="Century Gothic" w:hAnsi="Verdana" w:cs="Century Gothic"/>
        </w:rPr>
      </w:pPr>
      <w:r w:rsidRPr="007C1C94">
        <w:rPr>
          <w:rFonts w:ascii="Verdana" w:eastAsia="Century Gothic" w:hAnsi="Verdana" w:cs="Century Gothic"/>
        </w:rPr>
        <w:t>De acuerdo con el contenido de su solicitud, esta Agencia resolverá</w:t>
      </w:r>
      <w:r w:rsidR="00C94F75">
        <w:rPr>
          <w:rFonts w:ascii="Verdana" w:eastAsia="Century Gothic" w:hAnsi="Verdana" w:cs="Century Gothic"/>
        </w:rPr>
        <w:t xml:space="preserve"> </w:t>
      </w:r>
      <w:r w:rsidR="00240D33">
        <w:rPr>
          <w:rFonts w:ascii="Verdana" w:eastAsia="Century Gothic" w:hAnsi="Verdana" w:cs="Century Gothic"/>
        </w:rPr>
        <w:t>el</w:t>
      </w:r>
      <w:r w:rsidRPr="007C1C94">
        <w:rPr>
          <w:rFonts w:ascii="Verdana" w:eastAsia="Century Gothic" w:hAnsi="Verdana" w:cs="Century Gothic"/>
        </w:rPr>
        <w:t xml:space="preserve"> siguiente problema jurídico:</w:t>
      </w:r>
      <w:r w:rsidR="00240D33">
        <w:rPr>
          <w:rFonts w:ascii="Verdana" w:eastAsia="Century Gothic" w:hAnsi="Verdana" w:cs="Century Gothic"/>
        </w:rPr>
        <w:t xml:space="preserve"> </w:t>
      </w:r>
      <w:r w:rsidR="009D00EF">
        <w:rPr>
          <w:rFonts w:ascii="Verdana" w:eastAsia="Century Gothic" w:hAnsi="Verdana" w:cs="Century Gothic"/>
        </w:rPr>
        <w:t>¿</w:t>
      </w:r>
      <w:r w:rsidR="00A07DE1">
        <w:rPr>
          <w:rFonts w:ascii="Verdana" w:eastAsia="Century Gothic" w:hAnsi="Verdana" w:cs="Century Gothic"/>
        </w:rPr>
        <w:t>Cómo se maneja la información reservada o con datos sensibles en la contratación pública</w:t>
      </w:r>
      <w:r w:rsidR="003B07D1">
        <w:rPr>
          <w:rFonts w:ascii="Verdana" w:eastAsia="Century Gothic" w:hAnsi="Verdana" w:cs="Century Gothic"/>
        </w:rPr>
        <w:t>?</w:t>
      </w:r>
    </w:p>
    <w:p w14:paraId="57640A16" w14:textId="77777777" w:rsidR="00871B59" w:rsidRPr="007C1C94" w:rsidRDefault="00871B59" w:rsidP="00871B59">
      <w:pPr>
        <w:spacing w:after="0" w:line="276" w:lineRule="auto"/>
        <w:jc w:val="both"/>
        <w:rPr>
          <w:rFonts w:ascii="Verdana" w:eastAsia="Calibri" w:hAnsi="Verdana" w:cs="Arial"/>
          <w:lang w:val="es-ES"/>
        </w:rPr>
      </w:pPr>
    </w:p>
    <w:p w14:paraId="33E3D3F8" w14:textId="07998D1D" w:rsidR="00871B59" w:rsidRPr="007C1C94"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7C1C94">
        <w:rPr>
          <w:rFonts w:ascii="Verdana" w:eastAsia="Century Gothic" w:hAnsi="Verdana" w:cs="Century Gothic"/>
          <w:b/>
          <w:bCs/>
          <w:lang w:val="es-ES"/>
        </w:rPr>
        <w:t>Respuesta:</w:t>
      </w:r>
    </w:p>
    <w:p w14:paraId="4647B31A" w14:textId="77777777" w:rsidR="00871B59" w:rsidRPr="007C1C94"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67EFD" w14:paraId="14984B9D" w14:textId="77777777" w:rsidTr="002607A7">
        <w:tc>
          <w:tcPr>
            <w:tcW w:w="8828" w:type="dxa"/>
            <w:shd w:val="clear" w:color="auto" w:fill="auto"/>
          </w:tcPr>
          <w:p w14:paraId="7A6A72B7" w14:textId="6191CFAB" w:rsidR="004F182B" w:rsidRDefault="00F41368" w:rsidP="00DA1D81">
            <w:pPr>
              <w:spacing w:line="276" w:lineRule="auto"/>
              <w:jc w:val="both"/>
              <w:rPr>
                <w:rFonts w:ascii="Verdana" w:eastAsia="Calibri" w:hAnsi="Verdana" w:cs="Arial"/>
                <w:lang w:val="es-ES_tradnl" w:eastAsia="es-ES"/>
              </w:rPr>
            </w:pPr>
            <w:r>
              <w:rPr>
                <w:rFonts w:ascii="Verdana" w:eastAsia="Calibri" w:hAnsi="Verdana" w:cs="Arial"/>
                <w:lang w:val="es-ES_tradnl" w:eastAsia="es-ES"/>
              </w:rPr>
              <w:t>E</w:t>
            </w:r>
            <w:r w:rsidRPr="00F41368">
              <w:rPr>
                <w:rFonts w:ascii="Verdana" w:eastAsia="Calibri" w:hAnsi="Verdana" w:cs="Arial"/>
                <w:lang w:val="es-ES_tradnl" w:eastAsia="es-ES"/>
              </w:rPr>
              <w:t xml:space="preserve">s posible que el constituyente o el legislador establezcan reservas de cierta información pública. En este sentido, en desarrollo de cualquier proceso contractual, independientemente de la modalidad de selección, es posible que los documentos del proceso contengan información sometida a reserva, de acuerdo con las causales establecidas en la Constitución o en la ley, caso en el cual dicha información no debe publicarse en el SECOP, precisamente por tratarse de información reservada. En estos casos, debe procederse conforme lo establecido en la Ley 1712 de 2014, particularmente, cumpliendo las obligaciones y los deberes establecidos en el título III </w:t>
            </w:r>
            <w:r>
              <w:rPr>
                <w:rFonts w:ascii="Verdana" w:eastAsia="Calibri" w:hAnsi="Verdana" w:cs="Arial"/>
                <w:lang w:val="es-ES_tradnl" w:eastAsia="es-ES"/>
              </w:rPr>
              <w:t>“</w:t>
            </w:r>
            <w:r w:rsidRPr="00F41368">
              <w:rPr>
                <w:rFonts w:ascii="Verdana" w:eastAsia="Calibri" w:hAnsi="Verdana" w:cs="Arial"/>
                <w:lang w:val="es-ES_tradnl" w:eastAsia="es-ES"/>
              </w:rPr>
              <w:t>Excepciones acceso a la información</w:t>
            </w:r>
            <w:r>
              <w:rPr>
                <w:rFonts w:ascii="Verdana" w:eastAsia="Calibri" w:hAnsi="Verdana" w:cs="Arial"/>
                <w:lang w:val="es-ES_tradnl" w:eastAsia="es-ES"/>
              </w:rPr>
              <w:t>”</w:t>
            </w:r>
            <w:r w:rsidRPr="00F41368">
              <w:rPr>
                <w:rFonts w:ascii="Verdana" w:eastAsia="Calibri" w:hAnsi="Verdana" w:cs="Arial"/>
                <w:lang w:val="es-ES_tradnl" w:eastAsia="es-ES"/>
              </w:rPr>
              <w:t>.</w:t>
            </w:r>
          </w:p>
          <w:p w14:paraId="680BFC7E" w14:textId="77777777" w:rsidR="00F41368" w:rsidRDefault="00F41368" w:rsidP="00DA1D81">
            <w:pPr>
              <w:spacing w:line="276" w:lineRule="auto"/>
              <w:jc w:val="both"/>
              <w:rPr>
                <w:rFonts w:ascii="Verdana" w:eastAsia="Calibri" w:hAnsi="Verdana" w:cs="Arial"/>
                <w:lang w:val="es-ES_tradnl" w:eastAsia="es-ES"/>
              </w:rPr>
            </w:pPr>
          </w:p>
          <w:p w14:paraId="47AEB666" w14:textId="608CC07E" w:rsidR="00AF36DC" w:rsidRPr="007C1C94" w:rsidRDefault="00240D33" w:rsidP="00537366">
            <w:pPr>
              <w:spacing w:line="276" w:lineRule="auto"/>
              <w:jc w:val="both"/>
              <w:rPr>
                <w:rFonts w:ascii="Verdana" w:eastAsia="Calibri" w:hAnsi="Verdana" w:cs="Arial"/>
                <w:lang w:val="es-ES"/>
              </w:rPr>
            </w:pPr>
            <w:r>
              <w:rPr>
                <w:rFonts w:ascii="Verdana" w:eastAsia="Calibri" w:hAnsi="Verdana" w:cs="Arial"/>
                <w:lang w:val="es-ES_tradnl" w:eastAsia="es-ES"/>
              </w:rPr>
              <w:t>Finalmente, r</w:t>
            </w:r>
            <w:r w:rsidR="00CE034A">
              <w:rPr>
                <w:rFonts w:ascii="Verdana" w:eastAsia="Calibri" w:hAnsi="Verdana" w:cs="Arial"/>
                <w:lang w:val="es-ES_tradnl" w:eastAsia="es-ES"/>
              </w:rPr>
              <w:t>especto de su pregunta</w:t>
            </w:r>
            <w:r>
              <w:rPr>
                <w:rFonts w:ascii="Verdana" w:eastAsia="Calibri" w:hAnsi="Verdana" w:cs="Arial"/>
                <w:lang w:val="es-ES_tradnl" w:eastAsia="es-ES"/>
              </w:rPr>
              <w:t xml:space="preserve"> del</w:t>
            </w:r>
            <w:r w:rsidR="00CE034A">
              <w:rPr>
                <w:rFonts w:ascii="Verdana" w:eastAsia="Calibri" w:hAnsi="Verdana" w:cs="Arial"/>
                <w:lang w:val="es-ES_tradnl" w:eastAsia="es-ES"/>
              </w:rPr>
              <w:t xml:space="preserve"> </w:t>
            </w:r>
            <w:r>
              <w:rPr>
                <w:rFonts w:ascii="Verdana" w:eastAsia="Calibri" w:hAnsi="Verdana" w:cs="Arial"/>
                <w:lang w:val="es-ES_tradnl" w:eastAsia="es-ES"/>
              </w:rPr>
              <w:t>literal d)</w:t>
            </w:r>
            <w:r w:rsidR="00CE034A">
              <w:rPr>
                <w:rFonts w:ascii="Verdana" w:eastAsia="Calibri" w:hAnsi="Verdana" w:cs="Arial"/>
                <w:lang w:val="es-ES_tradnl" w:eastAsia="es-ES"/>
              </w:rPr>
              <w:t>, adjuntamos respuesta emitida por la Subdirección de Información y Desarrollo Tecnológico</w:t>
            </w:r>
            <w:r w:rsidR="00BF039E">
              <w:rPr>
                <w:rFonts w:ascii="Verdana" w:eastAsia="Calibri" w:hAnsi="Verdana" w:cs="Arial"/>
                <w:lang w:val="es-ES_tradnl" w:eastAsia="es-ES"/>
              </w:rPr>
              <w:t xml:space="preserve"> de esta Agencia</w:t>
            </w:r>
            <w:r w:rsidR="00CE034A">
              <w:rPr>
                <w:rFonts w:ascii="Verdana" w:eastAsia="Calibri" w:hAnsi="Verdana" w:cs="Arial"/>
                <w:lang w:val="es-ES_tradnl" w:eastAsia="es-ES"/>
              </w:rPr>
              <w:t>.</w:t>
            </w:r>
            <w:r w:rsidR="00537366">
              <w:rPr>
                <w:rFonts w:ascii="Verdana" w:eastAsia="Calibri" w:hAnsi="Verdana" w:cs="Arial"/>
                <w:lang w:val="es-ES_tradnl" w:eastAsia="es-ES"/>
              </w:rPr>
              <w:t xml:space="preserve"> También se debe tener en cuenta que sus preguntas de los literales a), b), c), e), g) y h) fueron remitidos por esta Subdirección a la Superintendencia de Industria y Comercio.</w:t>
            </w:r>
          </w:p>
        </w:tc>
      </w:tr>
    </w:tbl>
    <w:p w14:paraId="3199705F" w14:textId="77777777" w:rsidR="00871B59" w:rsidRPr="00567EFD" w:rsidRDefault="00871B59" w:rsidP="00871B59">
      <w:pPr>
        <w:tabs>
          <w:tab w:val="left" w:pos="142"/>
          <w:tab w:val="left" w:pos="284"/>
        </w:tabs>
        <w:spacing w:after="0" w:line="276" w:lineRule="auto"/>
        <w:jc w:val="both"/>
        <w:rPr>
          <w:rFonts w:ascii="Verdana" w:eastAsia="Century Gothic" w:hAnsi="Verdana" w:cs="Century Gothic"/>
          <w:b/>
          <w:bCs/>
        </w:rPr>
      </w:pPr>
    </w:p>
    <w:p w14:paraId="6678B80A" w14:textId="20A5C324" w:rsidR="00871B59" w:rsidRPr="007C1C94"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7C1C94">
        <w:rPr>
          <w:rFonts w:ascii="Verdana" w:eastAsia="Century Gothic" w:hAnsi="Verdana" w:cs="Century Gothic"/>
          <w:b/>
          <w:bCs/>
          <w:lang w:val="es-ES"/>
        </w:rPr>
        <w:t>Razones de la</w:t>
      </w:r>
      <w:r w:rsidR="008C2AB1">
        <w:rPr>
          <w:rFonts w:ascii="Verdana" w:eastAsia="Century Gothic" w:hAnsi="Verdana" w:cs="Century Gothic"/>
          <w:b/>
          <w:bCs/>
          <w:lang w:val="es-ES"/>
        </w:rPr>
        <w:t xml:space="preserve"> </w:t>
      </w:r>
      <w:r w:rsidRPr="007C1C94">
        <w:rPr>
          <w:rFonts w:ascii="Verdana" w:eastAsia="Century Gothic" w:hAnsi="Verdana" w:cs="Century Gothic"/>
          <w:b/>
          <w:bCs/>
          <w:lang w:val="es-ES"/>
        </w:rPr>
        <w:t>respuesta:</w:t>
      </w:r>
    </w:p>
    <w:p w14:paraId="40393512" w14:textId="77777777" w:rsidR="00871B59" w:rsidRPr="007C1C94" w:rsidRDefault="00871B59" w:rsidP="00871B59">
      <w:pPr>
        <w:spacing w:after="0" w:line="276" w:lineRule="auto"/>
        <w:jc w:val="both"/>
        <w:rPr>
          <w:rFonts w:ascii="Verdana" w:eastAsia="Calibri" w:hAnsi="Verdana" w:cs="Arial"/>
          <w:lang w:val="es-ES"/>
        </w:rPr>
      </w:pPr>
    </w:p>
    <w:p w14:paraId="6DB5BA6B" w14:textId="77777777" w:rsidR="00871B59" w:rsidRPr="007C1C94" w:rsidRDefault="00871B59" w:rsidP="00871B59">
      <w:pPr>
        <w:spacing w:after="0" w:line="276" w:lineRule="auto"/>
        <w:jc w:val="both"/>
        <w:rPr>
          <w:rFonts w:ascii="Verdana" w:eastAsia="Calibri" w:hAnsi="Verdana" w:cs="Arial"/>
          <w:lang w:val="es-ES"/>
        </w:rPr>
      </w:pPr>
      <w:r w:rsidRPr="007C1C94">
        <w:rPr>
          <w:rFonts w:ascii="Verdana" w:eastAsia="Calibri" w:hAnsi="Verdana" w:cs="Arial"/>
          <w:lang w:val="es-ES"/>
        </w:rPr>
        <w:t xml:space="preserve">Lo anterior se sustenta en las siguientes consideraciones: </w:t>
      </w:r>
    </w:p>
    <w:p w14:paraId="524C4581" w14:textId="77777777" w:rsidR="00871B59" w:rsidRDefault="00871B59" w:rsidP="00871B59">
      <w:pPr>
        <w:widowControl w:val="0"/>
        <w:autoSpaceDE w:val="0"/>
        <w:autoSpaceDN w:val="0"/>
        <w:spacing w:after="0" w:line="276" w:lineRule="auto"/>
        <w:jc w:val="both"/>
        <w:rPr>
          <w:rFonts w:ascii="Verdana" w:eastAsia="Calibri" w:hAnsi="Verdana" w:cs="Arial"/>
          <w:lang w:val="es-ES"/>
        </w:rPr>
      </w:pPr>
    </w:p>
    <w:p w14:paraId="1CB2D22A" w14:textId="77777777" w:rsidR="00FD3670" w:rsidRPr="00A9405A" w:rsidRDefault="00FD3670" w:rsidP="00FD3670">
      <w:pPr>
        <w:spacing w:after="120" w:line="276" w:lineRule="auto"/>
        <w:jc w:val="both"/>
        <w:rPr>
          <w:rFonts w:ascii="Verdana" w:eastAsia="Calibri" w:hAnsi="Verdana" w:cs="Arial"/>
          <w:color w:val="000000" w:themeColor="text1"/>
          <w:lang w:val="es-ES_tradnl" w:eastAsia="es-ES_tradnl"/>
        </w:rPr>
      </w:pPr>
      <w:r w:rsidRPr="00A9405A">
        <w:rPr>
          <w:rFonts w:ascii="Verdana" w:eastAsia="Calibri" w:hAnsi="Verdana" w:cs="Arial"/>
          <w:lang w:val="es-ES_tradnl" w:eastAsia="es-ES_tradnl"/>
        </w:rPr>
        <w:lastRenderedPageBreak/>
        <w:t xml:space="preserve">Uno de los postulados más importantes de un Estado Social y Democrático de Derecho es el principio de </w:t>
      </w:r>
      <w:r w:rsidRPr="00A9405A">
        <w:rPr>
          <w:rFonts w:ascii="Verdana" w:eastAsia="Calibri" w:hAnsi="Verdana" w:cs="Arial"/>
          <w:i/>
          <w:iCs/>
          <w:lang w:val="es-ES_tradnl" w:eastAsia="es-ES_tradnl"/>
        </w:rPr>
        <w:t>publicidad</w:t>
      </w:r>
      <w:r w:rsidRPr="00A9405A">
        <w:rPr>
          <w:rFonts w:ascii="Verdana" w:eastAsia="Calibri" w:hAnsi="Verdana" w:cs="Arial"/>
          <w:lang w:val="es-ES_tradnl" w:eastAsia="es-ES_tradnl"/>
        </w:rPr>
        <w:t xml:space="preserve">, pues este permite que las actuaciones de las autoridades gocen de visibilidad. La Constitución Política de 1991 consagra en varios artículos la publicidad como un principio rector del Estado colombiano. Entre </w:t>
      </w:r>
      <w:r w:rsidRPr="00A9405A">
        <w:rPr>
          <w:rFonts w:ascii="Verdana" w:eastAsia="Calibri" w:hAnsi="Verdana" w:cs="Arial"/>
          <w:color w:val="000000" w:themeColor="text1"/>
          <w:lang w:val="es-ES_tradnl" w:eastAsia="es-ES_tradnl"/>
        </w:rPr>
        <w:t xml:space="preserve">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13355D1E" w14:textId="77777777" w:rsidR="00FD3670" w:rsidRPr="00A9405A" w:rsidRDefault="00FD3670" w:rsidP="00FD3670">
      <w:pPr>
        <w:spacing w:after="0" w:line="276" w:lineRule="auto"/>
        <w:ind w:firstLine="708"/>
        <w:jc w:val="both"/>
        <w:rPr>
          <w:rFonts w:ascii="Verdana" w:eastAsia="Calibri" w:hAnsi="Verdana" w:cs="Arial"/>
          <w:color w:val="000000" w:themeColor="text1"/>
          <w:lang w:val="es-ES_tradnl" w:eastAsia="es-ES_tradnl"/>
        </w:rPr>
      </w:pPr>
      <w:r w:rsidRPr="00A9405A">
        <w:rPr>
          <w:rFonts w:ascii="Verdana" w:eastAsia="Calibri" w:hAnsi="Verdana" w:cs="Arial"/>
          <w:color w:val="000000" w:themeColor="text1"/>
          <w:lang w:val="es-ES_tradnl" w:eastAsia="es-ES_tradnl"/>
        </w:rPr>
        <w:t>En tal perspectiva, la Corte Constitucional ha señalado que el principio de publicidad es la garantía que tienen las personas de conocer las actuaciones judiciales y administrativas. De este modo, explica:</w:t>
      </w:r>
    </w:p>
    <w:p w14:paraId="014202CC" w14:textId="77777777" w:rsidR="00FD3670" w:rsidRPr="00A9405A" w:rsidRDefault="00FD3670" w:rsidP="00FD3670">
      <w:pPr>
        <w:spacing w:after="0" w:line="276" w:lineRule="auto"/>
        <w:ind w:firstLine="709"/>
        <w:jc w:val="both"/>
        <w:rPr>
          <w:rFonts w:ascii="Verdana" w:eastAsia="Calibri" w:hAnsi="Verdana" w:cs="Arial"/>
          <w:color w:val="000000" w:themeColor="text1"/>
          <w:lang w:val="es-ES_tradnl" w:eastAsia="es-ES_tradnl"/>
        </w:rPr>
      </w:pPr>
    </w:p>
    <w:p w14:paraId="5C71F6BE" w14:textId="77777777" w:rsidR="00FD3670" w:rsidRPr="00A9405A" w:rsidRDefault="00FD3670" w:rsidP="00FD3670">
      <w:pPr>
        <w:tabs>
          <w:tab w:val="left" w:pos="3885"/>
        </w:tabs>
        <w:spacing w:after="0" w:line="240" w:lineRule="auto"/>
        <w:ind w:left="709" w:right="709"/>
        <w:jc w:val="both"/>
        <w:rPr>
          <w:rFonts w:ascii="Verdana" w:eastAsia="Times New Roman" w:hAnsi="Verdana" w:cs="Arial"/>
          <w:color w:val="000000" w:themeColor="text1"/>
          <w:sz w:val="20"/>
          <w:szCs w:val="20"/>
          <w:lang w:val="es-ES_tradnl" w:eastAsia="es-ES_tradnl"/>
        </w:rPr>
      </w:pPr>
      <w:r w:rsidRPr="00A9405A">
        <w:rPr>
          <w:rFonts w:ascii="Verdana" w:eastAsia="Times New Roman" w:hAnsi="Verdana" w:cs="Arial"/>
          <w:color w:val="000000" w:themeColor="text1"/>
          <w:sz w:val="20"/>
          <w:szCs w:val="20"/>
          <w:lang w:val="es-ES_tradnl" w:eastAsia="es-ES_tradnl"/>
        </w:rPr>
        <w:t>“El principio de publicidad se encuentra consagrado en el artículo 209 de la Constitución Política, que señala que la función administrativa está al servicio de los intereses generales y se desarrolla con fundamento entre otros, en el «principio de publicidad», el cual se evidencia en dos dimensiones.</w:t>
      </w:r>
    </w:p>
    <w:p w14:paraId="1B13BE6E" w14:textId="77777777" w:rsidR="00FD3670" w:rsidRPr="00A9405A" w:rsidRDefault="00FD3670" w:rsidP="00FD3670">
      <w:pPr>
        <w:tabs>
          <w:tab w:val="left" w:pos="3885"/>
        </w:tabs>
        <w:spacing w:after="0" w:line="240" w:lineRule="auto"/>
        <w:ind w:left="709" w:right="709"/>
        <w:jc w:val="both"/>
        <w:rPr>
          <w:rFonts w:ascii="Verdana" w:eastAsia="Times New Roman" w:hAnsi="Verdana" w:cs="Arial"/>
          <w:color w:val="000000" w:themeColor="text1"/>
          <w:sz w:val="20"/>
          <w:szCs w:val="20"/>
          <w:lang w:val="es-ES_tradnl" w:eastAsia="es-ES_tradnl"/>
        </w:rPr>
      </w:pPr>
    </w:p>
    <w:p w14:paraId="5F7D3403" w14:textId="77777777" w:rsidR="00FD3670" w:rsidRPr="00A9405A" w:rsidRDefault="00FD3670" w:rsidP="00FD3670">
      <w:pPr>
        <w:tabs>
          <w:tab w:val="left" w:pos="3885"/>
          <w:tab w:val="left" w:pos="8222"/>
        </w:tabs>
        <w:spacing w:after="0" w:line="240" w:lineRule="auto"/>
        <w:ind w:left="709" w:right="709"/>
        <w:jc w:val="both"/>
        <w:rPr>
          <w:rFonts w:ascii="Verdana" w:eastAsia="Times New Roman" w:hAnsi="Verdana" w:cs="Arial"/>
          <w:color w:val="000000" w:themeColor="text1"/>
          <w:sz w:val="20"/>
          <w:szCs w:val="20"/>
          <w:lang w:val="es-ES_tradnl" w:eastAsia="es-ES_tradnl"/>
        </w:rPr>
      </w:pPr>
      <w:r w:rsidRPr="00A9405A">
        <w:rPr>
          <w:rFonts w:ascii="Verdana" w:eastAsia="Times New Roman" w:hAnsi="Verdana" w:cs="Arial"/>
          <w:color w:val="000000" w:themeColor="text1"/>
          <w:sz w:val="20"/>
          <w:szCs w:val="20"/>
          <w:lang w:val="es-ES_tradnl" w:eastAsia="es-ES_tradnl"/>
        </w:rPr>
        <w:t>La primera de ellas, como el derecho que tienen las personas directamente involucradas, al conocimiento de las actuaciones judiciales y administrativas, la cual se concreta a través de los mecanismos de comunicación y la segunda, como el reconocimiento del derecho que tiene la comunidad de conocer las actuaciones de las autoridades públicas y, a través de ese conocimiento, a exigir que ellas se surtan conforme a la ley”</w:t>
      </w:r>
      <w:r w:rsidRPr="00A9405A">
        <w:rPr>
          <w:rFonts w:ascii="Verdana" w:eastAsia="Calibri" w:hAnsi="Verdana" w:cs="Arial"/>
          <w:color w:val="000000" w:themeColor="text1"/>
          <w:sz w:val="20"/>
          <w:szCs w:val="20"/>
          <w:vertAlign w:val="superscript"/>
          <w:lang w:val="es-ES_tradnl" w:eastAsia="es-ES_tradnl"/>
        </w:rPr>
        <w:footnoteReference w:id="2"/>
      </w:r>
      <w:r w:rsidRPr="00A9405A">
        <w:rPr>
          <w:rFonts w:ascii="Verdana" w:eastAsia="Calibri" w:hAnsi="Verdana" w:cs="Arial"/>
          <w:color w:val="000000" w:themeColor="text1"/>
          <w:sz w:val="20"/>
          <w:szCs w:val="20"/>
          <w:lang w:val="es-ES_tradnl" w:eastAsia="es-ES_tradnl"/>
        </w:rPr>
        <w:t>.</w:t>
      </w:r>
    </w:p>
    <w:p w14:paraId="61413DD1" w14:textId="77777777" w:rsidR="00FD3670" w:rsidRPr="00A9405A" w:rsidRDefault="00FD3670" w:rsidP="00FD3670">
      <w:pPr>
        <w:spacing w:after="0" w:line="276" w:lineRule="auto"/>
        <w:jc w:val="both"/>
        <w:rPr>
          <w:rFonts w:ascii="Verdana" w:eastAsia="Calibri" w:hAnsi="Verdana" w:cs="Arial"/>
          <w:color w:val="000000" w:themeColor="text1"/>
          <w:lang w:val="es-ES_tradnl" w:eastAsia="es-ES_tradnl"/>
        </w:rPr>
      </w:pPr>
    </w:p>
    <w:p w14:paraId="1EED55E4" w14:textId="77777777" w:rsidR="00FD3670" w:rsidRPr="00A9405A" w:rsidRDefault="00FD3670" w:rsidP="00FD3670">
      <w:pPr>
        <w:spacing w:after="120" w:line="276" w:lineRule="auto"/>
        <w:ind w:firstLine="709"/>
        <w:jc w:val="both"/>
        <w:rPr>
          <w:rFonts w:ascii="Verdana" w:eastAsia="Calibri" w:hAnsi="Verdana" w:cs="Arial"/>
          <w:color w:val="000000" w:themeColor="text1"/>
          <w:lang w:val="es-ES_tradnl" w:eastAsia="es-ES_tradnl"/>
        </w:rPr>
      </w:pPr>
      <w:r w:rsidRPr="00A9405A">
        <w:rPr>
          <w:rFonts w:ascii="Verdana" w:eastAsia="Calibri" w:hAnsi="Verdana" w:cs="Arial"/>
          <w:color w:val="000000" w:themeColor="text1"/>
          <w:lang w:val="es-ES_tradnl" w:eastAsia="es-ES_tradnl"/>
        </w:rPr>
        <w:t xml:space="preserve">El principio de publicidad impone a las autoridades administrativas el deber de dar a conocer sus actos, contratos y decisiones, para que se divulguen y, eventualmente, se controlen dichas actuaciones. Es por eso que, en la contratación estatal, el literal c) del artículo 3 de la Ley 1150 de 2007 establece el Sistema Electrónico para la Contratación Pública – en adelante SECOP– como un mecanismo que “contará con la información oficial de la contratación </w:t>
      </w:r>
      <w:r w:rsidRPr="00A9405A">
        <w:rPr>
          <w:rFonts w:ascii="Verdana" w:eastAsia="Calibri" w:hAnsi="Verdana" w:cs="Arial"/>
          <w:color w:val="000000" w:themeColor="text1"/>
          <w:lang w:val="es-ES_tradnl" w:eastAsia="es-ES_tradnl"/>
        </w:rPr>
        <w:lastRenderedPageBreak/>
        <w:t>realizada con dineros públicos, para lo cual establecerá los patrones a que haya lugar y se encargará de su difusión a través de canales electrónicos”</w:t>
      </w:r>
      <w:r w:rsidRPr="00A9405A">
        <w:rPr>
          <w:rFonts w:ascii="Verdana" w:eastAsia="Calibri" w:hAnsi="Verdana" w:cs="Arial"/>
          <w:color w:val="000000" w:themeColor="text1"/>
          <w:vertAlign w:val="superscript"/>
          <w:lang w:val="es-ES_tradnl" w:eastAsia="es-ES_tradnl"/>
        </w:rPr>
        <w:footnoteReference w:id="3"/>
      </w:r>
      <w:r w:rsidRPr="00A9405A">
        <w:rPr>
          <w:rFonts w:ascii="Verdana" w:eastAsia="Calibri" w:hAnsi="Verdana" w:cs="Arial"/>
          <w:color w:val="000000" w:themeColor="text1"/>
          <w:lang w:val="es-ES_tradnl" w:eastAsia="es-ES_tradnl"/>
        </w:rPr>
        <w:t xml:space="preserve">. </w:t>
      </w:r>
    </w:p>
    <w:p w14:paraId="1204D2F0" w14:textId="77777777" w:rsidR="00FD3670" w:rsidRPr="00A9405A" w:rsidRDefault="00FD3670" w:rsidP="00FD3670">
      <w:pPr>
        <w:spacing w:after="120" w:line="276" w:lineRule="auto"/>
        <w:ind w:firstLine="708"/>
        <w:jc w:val="both"/>
        <w:rPr>
          <w:rFonts w:ascii="Verdana" w:eastAsia="Times New Roman" w:hAnsi="Verdana" w:cs="Arial"/>
          <w:lang w:eastAsia="es-CO"/>
        </w:rPr>
      </w:pPr>
      <w:r w:rsidRPr="00A9405A">
        <w:rPr>
          <w:rFonts w:ascii="Verdana" w:eastAsia="Times New Roman" w:hAnsi="Verdana" w:cs="Arial"/>
          <w:lang w:eastAsia="es-CO"/>
        </w:rPr>
        <w:t xml:space="preserve">De otra parte, la Ley 1712 de 2014, </w:t>
      </w:r>
      <w:r w:rsidRPr="00A9405A">
        <w:rPr>
          <w:rFonts w:ascii="Verdana" w:eastAsia="Calibri" w:hAnsi="Verdana" w:cs="Arial"/>
          <w:lang w:eastAsia="es-ES_tradnl"/>
        </w:rPr>
        <w:t>“P</w:t>
      </w:r>
      <w:r w:rsidRPr="00A9405A">
        <w:rPr>
          <w:rFonts w:ascii="Verdana" w:eastAsia="Times New Roman" w:hAnsi="Verdana" w:cs="Arial"/>
          <w:lang w:eastAsia="es-CO"/>
        </w:rPr>
        <w:t>or medio de la cual se crea la Ley de Transparencia y del Derecho de Acceso a la Información Pública Nacional y se dictan otras disposiciones</w:t>
      </w:r>
      <w:r w:rsidRPr="00A9405A">
        <w:rPr>
          <w:rFonts w:ascii="Verdana" w:eastAsia="Calibri" w:hAnsi="Verdana" w:cs="Arial"/>
          <w:lang w:eastAsia="es-ES_tradnl"/>
        </w:rPr>
        <w:t>”</w:t>
      </w:r>
      <w:r w:rsidRPr="00A9405A">
        <w:rPr>
          <w:rFonts w:ascii="Verdana" w:eastAsia="Times New Roman" w:hAnsi="Verdana" w:cs="Arial"/>
          <w:lang w:eastAsia="es-CO"/>
        </w:rPr>
        <w:t>, identifica, como principios que orientan el derecho de acceso a la información pública, el principio de máxima publicidad, el principio de transparencia en la información y el principio de buena fe. El principio de máxima publicidad establece que “toda información en posesión, bajo control o custodia de un sujeto obligado es pública y no podrá ser reservada o limitada sino por disposición constitucional o legal”</w:t>
      </w:r>
      <w:r w:rsidRPr="00A9405A">
        <w:rPr>
          <w:rFonts w:ascii="Verdana" w:eastAsia="Times New Roman" w:hAnsi="Verdana" w:cs="Arial"/>
          <w:vertAlign w:val="superscript"/>
          <w:lang w:eastAsia="es-CO"/>
        </w:rPr>
        <w:footnoteReference w:id="4"/>
      </w:r>
      <w:r w:rsidRPr="00A9405A">
        <w:rPr>
          <w:rFonts w:ascii="Verdana" w:eastAsia="Times New Roman" w:hAnsi="Verdana" w:cs="Arial"/>
          <w:lang w:eastAsia="es-CO"/>
        </w:rPr>
        <w:t>. El principio de transparencia en la información alude al deber de los sujetos de proporcionar y facilitar el acceso a la misma en los términos más amplios posibles, a través de los medios y procedimientos que establezca la</w:t>
      </w:r>
      <w:r w:rsidRPr="00A9405A">
        <w:rPr>
          <w:rFonts w:ascii="Verdana" w:eastAsia="Times New Roman" w:hAnsi="Verdana" w:cs="Arial"/>
          <w:spacing w:val="-2"/>
          <w:lang w:eastAsia="es-CO"/>
        </w:rPr>
        <w:t xml:space="preserve"> </w:t>
      </w:r>
      <w:r w:rsidRPr="00A9405A">
        <w:rPr>
          <w:rFonts w:ascii="Verdana" w:eastAsia="Times New Roman" w:hAnsi="Verdana" w:cs="Arial"/>
          <w:lang w:eastAsia="es-CO"/>
        </w:rPr>
        <w:t>ley</w:t>
      </w:r>
      <w:r w:rsidRPr="00A9405A">
        <w:rPr>
          <w:rFonts w:ascii="Verdana" w:eastAsia="Times New Roman" w:hAnsi="Verdana" w:cs="Arial"/>
          <w:vertAlign w:val="superscript"/>
          <w:lang w:eastAsia="es-CO"/>
        </w:rPr>
        <w:footnoteReference w:id="5"/>
      </w:r>
      <w:r w:rsidRPr="00A9405A">
        <w:rPr>
          <w:rFonts w:ascii="Verdana" w:eastAsia="Times New Roman" w:hAnsi="Verdana" w:cs="Arial"/>
          <w:lang w:eastAsia="es-CO"/>
        </w:rPr>
        <w:t xml:space="preserve">. Finalmente, el principio de buena fe hace </w:t>
      </w:r>
      <w:r w:rsidRPr="00A9405A">
        <w:rPr>
          <w:rFonts w:ascii="Verdana" w:eastAsia="Times New Roman" w:hAnsi="Verdana" w:cs="Arial"/>
          <w:lang w:eastAsia="es-CO"/>
        </w:rPr>
        <w:lastRenderedPageBreak/>
        <w:t>referencia al deber de todo sujeto obligado de cumplir con las obligaciones derivadas del derecho de acceso a la información pública con motivación honesta, leal y desprovista de cualquier intención dolosa o culposa</w:t>
      </w:r>
      <w:r w:rsidRPr="00A9405A">
        <w:rPr>
          <w:rFonts w:ascii="Verdana" w:eastAsia="Times New Roman" w:hAnsi="Verdana" w:cs="Arial"/>
          <w:vertAlign w:val="superscript"/>
          <w:lang w:eastAsia="es-CO"/>
        </w:rPr>
        <w:footnoteReference w:id="6"/>
      </w:r>
      <w:r w:rsidRPr="00A9405A">
        <w:rPr>
          <w:rFonts w:ascii="Verdana" w:eastAsia="Times New Roman" w:hAnsi="Verdana" w:cs="Arial"/>
          <w:lang w:eastAsia="es-CO"/>
        </w:rPr>
        <w:t xml:space="preserve">. </w:t>
      </w:r>
    </w:p>
    <w:p w14:paraId="5E1D031F" w14:textId="77777777" w:rsidR="00FD3670" w:rsidRPr="00A9405A" w:rsidRDefault="00FD3670" w:rsidP="00FD3670">
      <w:pPr>
        <w:spacing w:after="120" w:line="276" w:lineRule="auto"/>
        <w:ind w:firstLine="709"/>
        <w:jc w:val="both"/>
        <w:rPr>
          <w:rFonts w:ascii="Verdana" w:eastAsia="Times New Roman" w:hAnsi="Verdana" w:cs="Arial"/>
          <w:lang w:eastAsia="es-CO"/>
        </w:rPr>
      </w:pPr>
      <w:r w:rsidRPr="00A9405A">
        <w:rPr>
          <w:rFonts w:ascii="Verdana" w:eastAsia="Times New Roman" w:hAnsi="Verdana" w:cs="Arial"/>
          <w:lang w:eastAsia="es-CO"/>
        </w:rPr>
        <w:t xml:space="preserve">La citada ley establece, en el literal e) del artículo 9, que los </w:t>
      </w:r>
      <w:r w:rsidRPr="00A9405A">
        <w:rPr>
          <w:rFonts w:ascii="Verdana" w:eastAsia="Times New Roman" w:hAnsi="Verdana" w:cs="Arial"/>
          <w:i/>
          <w:iCs/>
          <w:lang w:eastAsia="es-CO"/>
        </w:rPr>
        <w:t xml:space="preserve">sujetos obligados </w:t>
      </w:r>
      <w:r w:rsidRPr="00A9405A">
        <w:rPr>
          <w:rFonts w:ascii="Verdana" w:eastAsia="Times New Roman" w:hAnsi="Verdana" w:cs="Arial"/>
          <w:lang w:eastAsia="es-CO"/>
        </w:rPr>
        <w:t>deben publicar la información relativa a su contratación</w:t>
      </w:r>
      <w:r w:rsidRPr="00A9405A">
        <w:rPr>
          <w:rFonts w:ascii="Verdana" w:eastAsia="Times New Roman" w:hAnsi="Verdana" w:cs="Arial"/>
          <w:vertAlign w:val="superscript"/>
          <w:lang w:eastAsia="es-CO"/>
        </w:rPr>
        <w:footnoteReference w:id="7"/>
      </w:r>
      <w:r w:rsidRPr="00A9405A">
        <w:rPr>
          <w:rFonts w:ascii="Verdana" w:eastAsia="Times New Roman" w:hAnsi="Verdana" w:cs="Arial"/>
          <w:lang w:eastAsia="es-CO"/>
        </w:rPr>
        <w:t xml:space="preserve">. </w:t>
      </w:r>
      <w:r w:rsidRPr="00A9405A">
        <w:rPr>
          <w:rFonts w:ascii="Verdana" w:eastAsia="Arial MT" w:hAnsi="Verdana" w:cs="Arial"/>
          <w:lang w:val="es-ES" w:eastAsia="es-ES_tradnl"/>
        </w:rPr>
        <w:t xml:space="preserve">El artículo 5 </w:t>
      </w:r>
      <w:r w:rsidRPr="00A9405A">
        <w:rPr>
          <w:rFonts w:ascii="Verdana" w:eastAsia="Arial MT" w:hAnsi="Verdana" w:cs="Arial"/>
          <w:i/>
          <w:iCs/>
          <w:lang w:val="es-ES" w:eastAsia="es-ES_tradnl"/>
        </w:rPr>
        <w:t>ibidem</w:t>
      </w:r>
      <w:r w:rsidRPr="00A9405A">
        <w:rPr>
          <w:rFonts w:ascii="Verdana" w:eastAsia="Arial MT" w:hAnsi="Verdana" w:cs="Arial"/>
          <w:lang w:val="es-ES" w:eastAsia="es-ES_tradnl"/>
        </w:rPr>
        <w:t>, al describir qué se entiende por sujetos obligados, consagra una lista cuyo propósito es incluir a cualquier entidad, órgano, organismo, o persona natural que desempeñe funciones públicas o administre recursos públicos. Igualmente, establece que son sujetos obligados las empresas públicas, las empresas del Estado y las sociedades en las que el Estado tenga participación, sin que importe su monto</w:t>
      </w:r>
      <w:r w:rsidRPr="00A9405A">
        <w:rPr>
          <w:rFonts w:ascii="Verdana" w:eastAsia="Times New Roman" w:hAnsi="Verdana" w:cs="Arial"/>
          <w:vertAlign w:val="superscript"/>
          <w:lang w:eastAsia="es-CO"/>
        </w:rPr>
        <w:footnoteReference w:id="8"/>
      </w:r>
      <w:r w:rsidRPr="00A9405A">
        <w:rPr>
          <w:rFonts w:ascii="Verdana" w:eastAsia="Arial MT" w:hAnsi="Verdana" w:cs="Arial"/>
          <w:lang w:val="es-ES" w:eastAsia="es-ES_tradnl"/>
        </w:rPr>
        <w:t>.</w:t>
      </w:r>
      <w:r w:rsidRPr="00A9405A">
        <w:rPr>
          <w:rFonts w:ascii="Verdana" w:eastAsia="Times New Roman" w:hAnsi="Verdana" w:cs="Arial"/>
          <w:lang w:eastAsia="es-CO"/>
        </w:rPr>
        <w:t xml:space="preserve"> Asimismo, de acuerdo con el literal g) del artículo 11 </w:t>
      </w:r>
      <w:r w:rsidRPr="00A9405A">
        <w:rPr>
          <w:rFonts w:ascii="Verdana" w:eastAsia="Times New Roman" w:hAnsi="Verdana" w:cs="Arial"/>
          <w:lang w:eastAsia="es-CO"/>
        </w:rPr>
        <w:lastRenderedPageBreak/>
        <w:t xml:space="preserve">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1A0DB679" w14:textId="77777777" w:rsidR="00FD3670" w:rsidRPr="00A9405A" w:rsidRDefault="00FD3670" w:rsidP="00FD3670">
      <w:pPr>
        <w:spacing w:after="120" w:line="276" w:lineRule="auto"/>
        <w:ind w:firstLine="709"/>
        <w:jc w:val="both"/>
        <w:rPr>
          <w:rFonts w:ascii="Verdana" w:eastAsia="Calibri" w:hAnsi="Verdana" w:cs="Arial"/>
          <w:lang w:val="es-ES_tradnl" w:eastAsia="es-ES_tradnl"/>
        </w:rPr>
      </w:pPr>
      <w:r w:rsidRPr="00A9405A">
        <w:rPr>
          <w:rFonts w:ascii="Verdana" w:eastAsia="Times New Roman" w:hAnsi="Verdana" w:cs="Arial"/>
          <w:lang w:eastAsia="es-CO"/>
        </w:rPr>
        <w:t>La obligación de publicidad antes mencionada fue desarrollada a través del Decreto Reglamentario 103 de 2015</w:t>
      </w:r>
      <w:r w:rsidRPr="00A9405A">
        <w:rPr>
          <w:rFonts w:ascii="Verdana" w:eastAsia="Calibri" w:hAnsi="Verdana" w:cs="Arial"/>
          <w:lang w:val="es-ES_tradnl" w:eastAsia="es-ES_tradnl"/>
        </w:rPr>
        <w:t xml:space="preserve">– “Por el cual se reglamenta parcialmente la Ley 1712 de 2014 y se dictan otras disposiciones”–, el cual fue recopilado en el </w:t>
      </w:r>
      <w:r w:rsidRPr="00A9405A">
        <w:rPr>
          <w:rFonts w:ascii="Verdana" w:eastAsia="Times New Roman" w:hAnsi="Verdana" w:cs="Arial"/>
          <w:lang w:eastAsia="es-CO"/>
        </w:rPr>
        <w:t>Decreto Único Reglamentario 1081 de 2015</w:t>
      </w:r>
      <w:r w:rsidRPr="00A9405A">
        <w:rPr>
          <w:rFonts w:ascii="Verdana" w:eastAsia="Calibri" w:hAnsi="Verdana" w:cs="Arial"/>
          <w:lang w:val="es-ES_tradnl" w:eastAsia="es-ES_tradnl"/>
        </w:rPr>
        <w:t>. Puntualmente, el artículo 7 –</w:t>
      </w:r>
      <w:r w:rsidRPr="00A9405A">
        <w:rPr>
          <w:rFonts w:ascii="Verdana" w:eastAsia="Times New Roman" w:hAnsi="Verdana" w:cs="Arial"/>
          <w:lang w:eastAsia="es-CO"/>
        </w:rPr>
        <w:t>artículo 2.1.1.2.1.7. del Decreto 1081 de 2015</w:t>
      </w:r>
      <w:r w:rsidRPr="00A9405A">
        <w:rPr>
          <w:rFonts w:ascii="Verdana" w:eastAsia="Times New Roman" w:hAnsi="Verdana" w:cs="Arial"/>
          <w:vertAlign w:val="superscript"/>
          <w:lang w:eastAsia="es-CO"/>
        </w:rPr>
        <w:footnoteReference w:id="9"/>
      </w:r>
      <w:r w:rsidRPr="00A9405A">
        <w:rPr>
          <w:rFonts w:ascii="Verdana" w:eastAsia="Calibri" w:hAnsi="Verdana" w:cs="Arial"/>
          <w:lang w:val="es-ES_tradnl" w:eastAsia="es-ES_tradnl"/>
        </w:rPr>
        <w:t>–</w:t>
      </w:r>
      <w:r w:rsidRPr="00A9405A">
        <w:rPr>
          <w:rFonts w:ascii="Verdana" w:eastAsia="Times New Roman" w:hAnsi="Verdana" w:cs="Arial"/>
          <w:lang w:eastAsia="es-CO"/>
        </w:rPr>
        <w:t>, dispone que la publicación de la información de la gestión contractual de los sujetos obligados,</w:t>
      </w:r>
      <w:r w:rsidRPr="00A9405A">
        <w:rPr>
          <w:rFonts w:ascii="Verdana" w:eastAsia="Times New Roman" w:hAnsi="Verdana" w:cs="Arial"/>
          <w:spacing w:val="3"/>
          <w:lang w:eastAsia="es-CO"/>
        </w:rPr>
        <w:t xml:space="preserve"> </w:t>
      </w:r>
      <w:r w:rsidRPr="00A9405A">
        <w:rPr>
          <w:rFonts w:ascii="Verdana" w:eastAsia="Times New Roman" w:hAnsi="Verdana" w:cs="Arial"/>
          <w:lang w:eastAsia="es-CO"/>
        </w:rPr>
        <w:t>que contratan con cargo a recursos públicos, debe hacerse en el Sistema Electrónico de Contratación Pública ─ SECOP. Asimismo,</w:t>
      </w:r>
      <w:r w:rsidRPr="00A9405A">
        <w:rPr>
          <w:rFonts w:ascii="Verdana" w:eastAsia="Calibri" w:hAnsi="Verdana" w:cs="Arial"/>
          <w:lang w:val="es-ES_tradnl" w:eastAsia="es-ES_tradnl"/>
        </w:rPr>
        <w:t xml:space="preserve"> el artículo 8 –artículo 2.1.1.2.1.8. del Decreto 1081 de 2015–, de forma enunciativa, señala que se debe publicar la información relativa a la ejecución del contrato, como las aprobaciones, autorizaciones, requerimientos o informes del supervisor o interventor, que aprueben la ejecución del contrato</w:t>
      </w:r>
      <w:r w:rsidRPr="00A9405A">
        <w:rPr>
          <w:rFonts w:ascii="Verdana" w:eastAsia="Calibri" w:hAnsi="Verdana" w:cs="Arial"/>
          <w:vertAlign w:val="superscript"/>
          <w:lang w:val="es-ES_tradnl" w:eastAsia="es-ES_tradnl"/>
        </w:rPr>
        <w:footnoteReference w:id="10"/>
      </w:r>
      <w:r w:rsidRPr="00A9405A">
        <w:rPr>
          <w:rFonts w:ascii="Verdana" w:eastAsia="Calibri" w:hAnsi="Verdana" w:cs="Arial"/>
          <w:lang w:val="es-ES_tradnl" w:eastAsia="es-ES_tradnl"/>
        </w:rPr>
        <w:t xml:space="preserve">. Más adelante, el artículo 9 del Decreto 103 de 2015 –artículo 2.1.1.2.1.9. del Decreto 1081 de 2015– indica que las entidades deberán publicar los procedimientos, lineamientos y políticas en materia de adquisición, que no son otros que los previstos en el manual de contratación, que se haya expedido de acuerdo con los lineamientos de la </w:t>
      </w:r>
      <w:r w:rsidRPr="00A9405A">
        <w:rPr>
          <w:rFonts w:ascii="Verdana" w:eastAsia="Calibri" w:hAnsi="Verdana" w:cs="Arial"/>
          <w:lang w:val="es-ES_tradnl" w:eastAsia="es-ES_tradnl"/>
        </w:rPr>
        <w:lastRenderedPageBreak/>
        <w:t>Agencia Nacional de Contratación Pública – Colombia Compra Eficiente, el cual debe publicarse en el sitio web del sujeto obligado</w:t>
      </w:r>
      <w:r w:rsidRPr="00A9405A">
        <w:rPr>
          <w:rFonts w:ascii="Verdana" w:eastAsia="Calibri" w:hAnsi="Verdana" w:cs="Arial"/>
          <w:vertAlign w:val="superscript"/>
          <w:lang w:val="es-ES_tradnl" w:eastAsia="es-ES_tradnl"/>
        </w:rPr>
        <w:footnoteReference w:id="11"/>
      </w:r>
      <w:r w:rsidRPr="00A9405A">
        <w:rPr>
          <w:rFonts w:ascii="Verdana" w:eastAsia="Calibri" w:hAnsi="Verdana" w:cs="Arial"/>
          <w:lang w:val="es-ES_tradnl" w:eastAsia="es-ES_tradnl"/>
        </w:rPr>
        <w:t>. Finalmente, el artículo 10 del Decreto 103 de 2015 –</w:t>
      </w:r>
      <w:r w:rsidRPr="00A9405A">
        <w:rPr>
          <w:rFonts w:ascii="Verdana" w:eastAsia="Times New Roman" w:hAnsi="Verdana" w:cs="Arial"/>
          <w:lang w:val="es-ES_tradnl" w:eastAsia="es-ES_tradnl"/>
        </w:rPr>
        <w:t xml:space="preserve">artículo </w:t>
      </w:r>
      <w:r w:rsidRPr="00A9405A">
        <w:rPr>
          <w:rFonts w:ascii="Verdana" w:eastAsia="Calibri" w:hAnsi="Verdana" w:cs="Arial"/>
          <w:lang w:val="es-ES_tradnl" w:eastAsia="es-ES_tradnl"/>
        </w:rPr>
        <w:t>2.1.1.2.1.10. del Decreto 1081 de 2015– consagra la obligación que tienen las Entidades Estatales de publicar en el SECOP el Plan Anual de Adquisiciones</w:t>
      </w:r>
      <w:r w:rsidRPr="00A9405A">
        <w:rPr>
          <w:rFonts w:ascii="Verdana" w:eastAsia="Calibri" w:hAnsi="Verdana" w:cs="Arial"/>
          <w:vertAlign w:val="superscript"/>
          <w:lang w:val="es-ES_tradnl" w:eastAsia="es-ES_tradnl"/>
        </w:rPr>
        <w:footnoteReference w:id="12"/>
      </w:r>
      <w:r w:rsidRPr="00A9405A">
        <w:rPr>
          <w:rFonts w:ascii="Verdana" w:eastAsia="Calibri" w:hAnsi="Verdana" w:cs="Arial"/>
          <w:lang w:val="es-ES_tradnl" w:eastAsia="es-ES_tradnl"/>
        </w:rPr>
        <w:t>.</w:t>
      </w:r>
    </w:p>
    <w:p w14:paraId="1B1DFD40" w14:textId="77777777" w:rsidR="00FD3670" w:rsidRPr="00A9405A" w:rsidRDefault="00FD3670" w:rsidP="00FD3670">
      <w:pPr>
        <w:tabs>
          <w:tab w:val="left" w:pos="426"/>
        </w:tabs>
        <w:spacing w:after="120" w:line="276" w:lineRule="auto"/>
        <w:jc w:val="both"/>
        <w:rPr>
          <w:rFonts w:ascii="Verdana" w:eastAsia="Arial" w:hAnsi="Verdana" w:cs="Arial"/>
          <w:lang w:val="es-ES" w:eastAsia="es-ES_tradnl"/>
        </w:rPr>
      </w:pPr>
      <w:r w:rsidRPr="00A9405A">
        <w:rPr>
          <w:rFonts w:ascii="Verdana" w:eastAsia="Arial" w:hAnsi="Verdana" w:cs="Arial"/>
          <w:lang w:val="es-ES" w:eastAsia="es-ES_tradnl"/>
        </w:rPr>
        <w:tab/>
      </w:r>
      <w:r w:rsidRPr="00A9405A">
        <w:rPr>
          <w:rFonts w:ascii="Verdana" w:eastAsia="Arial" w:hAnsi="Verdana" w:cs="Arial"/>
          <w:lang w:val="es-ES" w:eastAsia="es-ES_tradnl"/>
        </w:rPr>
        <w:tab/>
        <w:t xml:space="preserve">Ahora bien, las Entidades Estatales, conforme al artículo 2.2.1.1.1.7.1. del Decreto 1082 de 2015, tienen la obligación de publicar en el SECOP “[…] los Documentos del Proceso y los actos administrativos del Proceso de Contratación, dentro de los tres (3) días siguientes a su expedición […]”. La expresión </w:t>
      </w:r>
      <w:r w:rsidRPr="00A9405A">
        <w:rPr>
          <w:rFonts w:ascii="Verdana" w:eastAsia="Arial" w:hAnsi="Verdana" w:cs="Arial"/>
          <w:i/>
          <w:iCs/>
          <w:lang w:val="es-ES" w:eastAsia="es-ES_tradnl"/>
        </w:rPr>
        <w:t>Documentos del Proceso</w:t>
      </w:r>
      <w:r w:rsidRPr="00A9405A">
        <w:rPr>
          <w:rFonts w:ascii="Verdana" w:eastAsia="Arial" w:hAnsi="Verdana" w:cs="Arial"/>
          <w:lang w:val="es-ES" w:eastAsia="es-ES_tradnl"/>
        </w:rPr>
        <w:t xml:space="preserve">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 </w:t>
      </w:r>
    </w:p>
    <w:p w14:paraId="68894A0D" w14:textId="77777777" w:rsidR="00FD3670" w:rsidRPr="00A9405A" w:rsidRDefault="00FD3670" w:rsidP="00FD3670">
      <w:pPr>
        <w:widowControl w:val="0"/>
        <w:autoSpaceDE w:val="0"/>
        <w:autoSpaceDN w:val="0"/>
        <w:spacing w:after="120" w:line="276" w:lineRule="auto"/>
        <w:ind w:firstLine="709"/>
        <w:jc w:val="both"/>
        <w:rPr>
          <w:rFonts w:ascii="Verdana" w:eastAsia="Arial" w:hAnsi="Verdana" w:cs="Arial"/>
          <w:lang w:val="es-ES" w:eastAsia="es-ES_tradnl"/>
        </w:rPr>
      </w:pPr>
      <w:r w:rsidRPr="00A9405A">
        <w:rPr>
          <w:rFonts w:ascii="Verdana" w:eastAsia="Arial" w:hAnsi="Verdana" w:cs="Arial"/>
          <w:lang w:val="es-ES" w:eastAsia="es-ES_tradnl"/>
        </w:rPr>
        <w:t xml:space="preserve">No obstante, para identificar los documentos que deben publicarse, es </w:t>
      </w:r>
      <w:r w:rsidRPr="00A9405A">
        <w:rPr>
          <w:rFonts w:ascii="Verdana" w:eastAsia="Arial" w:hAnsi="Verdana" w:cs="Arial"/>
          <w:lang w:val="es-ES" w:eastAsia="es-ES_tradnl"/>
        </w:rPr>
        <w:lastRenderedPageBreak/>
        <w:t xml:space="preserve">necesario realizar una interpretación sistemática de las disposiciones del Decreto 1082 del 2015, ya que el anterior no es un listado taxativo, sino enunciativo, porque además de los documentos enlistados, el artículo 2.2.1.1.1.3.1 </w:t>
      </w:r>
      <w:r w:rsidRPr="00A9405A">
        <w:rPr>
          <w:rFonts w:ascii="Verdana" w:eastAsia="Arial" w:hAnsi="Verdana" w:cs="Arial"/>
          <w:i/>
          <w:iCs/>
          <w:lang w:val="es-ES" w:eastAsia="es-ES_tradnl"/>
        </w:rPr>
        <w:t>Ibidem</w:t>
      </w:r>
      <w:r w:rsidRPr="00A9405A">
        <w:rPr>
          <w:rFonts w:ascii="Verdana" w:eastAsia="Arial" w:hAnsi="Verdana" w:cs="Arial"/>
          <w:lang w:val="es-ES" w:eastAsia="es-ES_tradnl"/>
        </w:rPr>
        <w:t xml:space="preserve"> recoge en la noción de </w:t>
      </w:r>
      <w:r w:rsidRPr="00A9405A">
        <w:rPr>
          <w:rFonts w:ascii="Verdana" w:eastAsia="Arial" w:hAnsi="Verdana" w:cs="Arial"/>
          <w:i/>
          <w:iCs/>
          <w:lang w:val="es-ES" w:eastAsia="es-ES_tradnl"/>
        </w:rPr>
        <w:t>Documentos del Proceso</w:t>
      </w:r>
      <w:r w:rsidRPr="00A9405A">
        <w:rPr>
          <w:rFonts w:ascii="Verdana" w:eastAsia="Arial" w:hAnsi="Verdana" w:cs="Arial"/>
          <w:lang w:val="es-ES" w:eastAsia="es-ES_tradnl"/>
        </w:rPr>
        <w:t xml:space="preserve"> “cualquier otro documento expedido por la Entidad Estatal durante el </w:t>
      </w:r>
      <w:r w:rsidRPr="00A9405A">
        <w:rPr>
          <w:rFonts w:ascii="Verdana" w:eastAsia="Arial" w:hAnsi="Verdana" w:cs="Arial"/>
          <w:i/>
          <w:iCs/>
          <w:lang w:val="es-ES" w:eastAsia="es-ES_tradnl"/>
        </w:rPr>
        <w:t>Proceso de Contratación”</w:t>
      </w:r>
      <w:r w:rsidRPr="00A9405A">
        <w:rPr>
          <w:rFonts w:ascii="Verdana" w:eastAsia="Arial" w:hAnsi="Verdana" w:cs="Arial"/>
          <w:lang w:val="es-ES" w:eastAsia="es-ES_tradnl"/>
        </w:rPr>
        <w:t xml:space="preserve">. Este mismo artículo define la expresión </w:t>
      </w:r>
      <w:r w:rsidRPr="00A9405A">
        <w:rPr>
          <w:rFonts w:ascii="Verdana" w:eastAsia="Arial" w:hAnsi="Verdana" w:cs="Arial"/>
          <w:i/>
          <w:iCs/>
          <w:lang w:val="es-ES" w:eastAsia="es-ES_tradnl"/>
        </w:rPr>
        <w:t>Proceso de Contratación</w:t>
      </w:r>
      <w:r w:rsidRPr="00A9405A">
        <w:rPr>
          <w:rFonts w:ascii="Verdana" w:eastAsia="Arial" w:hAnsi="Verdana" w:cs="Arial"/>
          <w:lang w:val="es-ES" w:eastAsia="es-ES_tradnl"/>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75EAD1B3" w14:textId="77777777" w:rsidR="00FD3670" w:rsidRPr="00A9405A" w:rsidRDefault="00FD3670" w:rsidP="00FD3670">
      <w:pPr>
        <w:widowControl w:val="0"/>
        <w:autoSpaceDE w:val="0"/>
        <w:autoSpaceDN w:val="0"/>
        <w:spacing w:after="120" w:line="276" w:lineRule="auto"/>
        <w:ind w:firstLine="709"/>
        <w:jc w:val="both"/>
        <w:rPr>
          <w:rFonts w:ascii="Verdana" w:eastAsia="Arial" w:hAnsi="Verdana" w:cs="Arial"/>
          <w:lang w:val="es-ES" w:eastAsia="es-ES_tradnl"/>
        </w:rPr>
      </w:pPr>
      <w:r w:rsidRPr="00A9405A">
        <w:rPr>
          <w:rFonts w:ascii="Verdana" w:eastAsia="Arial" w:hAnsi="Verdana" w:cs="Arial"/>
          <w:lang w:val="es-ES" w:eastAsia="es-ES_tradnl"/>
        </w:rPr>
        <w:t xml:space="preserve">Nótese que la norma hace referencia a los documentos “expedidos por la entidad estatal” durante el proceso de contratación, excluyendo de la noción de </w:t>
      </w:r>
      <w:r w:rsidRPr="00A9405A">
        <w:rPr>
          <w:rFonts w:ascii="Verdana" w:eastAsia="Arial" w:hAnsi="Verdana" w:cs="Arial"/>
          <w:i/>
          <w:iCs/>
          <w:lang w:val="es-ES" w:eastAsia="es-ES_tradnl"/>
        </w:rPr>
        <w:t>Documentos de” Proceso</w:t>
      </w:r>
      <w:r w:rsidRPr="00A9405A">
        <w:rPr>
          <w:rFonts w:ascii="Verdana" w:eastAsia="Arial" w:hAnsi="Verdana" w:cs="Arial"/>
          <w:lang w:val="es-ES" w:eastAsia="es-ES_tradnl"/>
        </w:rPr>
        <w:t xml:space="preserve"> los expedidos por un sujeto distinto a la entidad, salvo la oferta, la cual se incluye expresamente en el artículo 2.2.1.1.1.3.1. </w:t>
      </w:r>
    </w:p>
    <w:p w14:paraId="4C7BBF55" w14:textId="77777777" w:rsidR="00FD3670" w:rsidRPr="00A9405A" w:rsidRDefault="00FD3670" w:rsidP="00FD3670">
      <w:pPr>
        <w:widowControl w:val="0"/>
        <w:autoSpaceDE w:val="0"/>
        <w:autoSpaceDN w:val="0"/>
        <w:spacing w:after="120" w:line="276" w:lineRule="auto"/>
        <w:ind w:firstLine="708"/>
        <w:jc w:val="both"/>
        <w:rPr>
          <w:rFonts w:ascii="Verdana" w:eastAsia="Arial" w:hAnsi="Verdana" w:cs="Arial"/>
          <w:lang w:val="es-ES" w:eastAsia="es-ES_tradnl"/>
        </w:rPr>
      </w:pPr>
      <w:r w:rsidRPr="00A9405A">
        <w:rPr>
          <w:rFonts w:ascii="Verdana" w:eastAsia="Arial" w:hAnsi="Verdana" w:cs="Arial"/>
          <w:lang w:val="es-ES" w:eastAsia="es-ES_tradnl"/>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w:t>
      </w:r>
      <w:r w:rsidRPr="00A9405A">
        <w:rPr>
          <w:rFonts w:ascii="Verdana" w:eastAsia="Arial" w:hAnsi="Verdana" w:cs="Arial"/>
          <w:i/>
          <w:iCs/>
          <w:lang w:val="es-ES" w:eastAsia="es-ES_tradnl"/>
        </w:rPr>
        <w:t>Proceso de Contratación</w:t>
      </w:r>
      <w:r w:rsidRPr="00A9405A">
        <w:rPr>
          <w:rFonts w:ascii="Verdana" w:eastAsia="Arial" w:hAnsi="Verdana" w:cs="Arial"/>
          <w:lang w:val="es-ES" w:eastAsia="es-ES_tradnl"/>
        </w:rPr>
        <w:t>. Así, desde la fase de planeación hasta “el vencimiento de las garantías de calidad, estabilidad y mantenimiento, o las condiciones de disposición final o recuperación ambiental de las obras o bienes o el vencimiento del plazo, lo que ocurra más tarde”, lo que significa que todos los documentos expedidos por la entidad durante las etapas precontractual, de ejecución y postcontractual deberán ser publicados en SECOP dentro de los tres (3) días siguientes a su expedición, para  cumplir el deber de publicidad regulado por el artículo 2.2.1.1.1.7.1. del Decreto 1082 de 2015.</w:t>
      </w:r>
    </w:p>
    <w:p w14:paraId="658EAEED" w14:textId="17C67738" w:rsidR="008F1F1A" w:rsidRPr="00A9405A" w:rsidRDefault="00FD3670" w:rsidP="008F1F1A">
      <w:pPr>
        <w:spacing w:after="120" w:line="276" w:lineRule="auto"/>
        <w:ind w:firstLine="709"/>
        <w:jc w:val="both"/>
        <w:rPr>
          <w:rFonts w:ascii="Verdana" w:eastAsia="Times New Roman" w:hAnsi="Verdana" w:cs="Arial"/>
          <w:lang w:val="es-ES" w:eastAsia="es-ES_tradnl"/>
        </w:rPr>
      </w:pPr>
      <w:r w:rsidRPr="00A9405A">
        <w:rPr>
          <w:rFonts w:ascii="Verdana" w:eastAsia="Times New Roman" w:hAnsi="Verdana" w:cs="Arial"/>
          <w:lang w:val="es-ES" w:eastAsia="es-ES_tradnl"/>
        </w:rPr>
        <w:t>Sin perjuicio de lo anterior, no debe perderse de vista que, en virtud del principio de transparencia, específicamente por cuenta de lo dispuesto en el numeral 4 del artículo 24 de la Ley 80 de 1993</w:t>
      </w:r>
      <w:r w:rsidRPr="00A9405A">
        <w:rPr>
          <w:rFonts w:ascii="Verdana" w:eastAsia="Times New Roman" w:hAnsi="Verdana" w:cs="Arial"/>
          <w:vertAlign w:val="superscript"/>
          <w:lang w:val="es-ES" w:eastAsia="es-ES_tradnl"/>
        </w:rPr>
        <w:footnoteReference w:id="13"/>
      </w:r>
      <w:r w:rsidRPr="00A9405A">
        <w:rPr>
          <w:rFonts w:ascii="Verdana" w:eastAsia="Times New Roman" w:hAnsi="Verdana" w:cs="Arial"/>
          <w:lang w:val="es-ES" w:eastAsia="es-ES_tradnl"/>
        </w:rPr>
        <w:t xml:space="preserve">, así como por el principio de </w:t>
      </w:r>
      <w:r w:rsidRPr="00A9405A">
        <w:rPr>
          <w:rFonts w:ascii="Verdana" w:eastAsia="Times New Roman" w:hAnsi="Verdana" w:cs="Arial"/>
          <w:lang w:val="es-ES" w:eastAsia="es-ES_tradnl"/>
        </w:rPr>
        <w:lastRenderedPageBreak/>
        <w:t>máxima publicidad establecido en el artículo 2 de la Ley 1712 de 2014</w:t>
      </w:r>
      <w:r w:rsidRPr="00A9405A">
        <w:rPr>
          <w:rFonts w:ascii="Verdana" w:eastAsia="Times New Roman" w:hAnsi="Verdana" w:cs="Arial"/>
          <w:vertAlign w:val="superscript"/>
          <w:lang w:val="es-ES" w:eastAsia="es-ES_tradnl"/>
        </w:rPr>
        <w:footnoteReference w:id="14"/>
      </w:r>
      <w:r w:rsidRPr="00A9405A">
        <w:rPr>
          <w:rFonts w:ascii="Verdana" w:eastAsia="Times New Roman" w:hAnsi="Verdana" w:cs="Arial"/>
          <w:lang w:val="es-ES" w:eastAsia="es-ES_tradnl"/>
        </w:rPr>
        <w:t>, el contenido del expediente en el que reposa la actuación es información pública, independientemente de si se trata de documentos que deban ser publicados en SECOP. Por lo anterior, el contenido del expediente puede ser objeto de solicitud de copias, en ejercicio del derecho de petición, en cualquier momento del proceso de selección, en la medida en que las normas señaladas no imponen ningún condicionamiento, así que podrá solicitarlas cualquier persona, en desarrollo de la vigilancia de la contratación pública, cuestión que podría interesar a cualquier ciudadano</w:t>
      </w:r>
      <w:r w:rsidRPr="00A9405A">
        <w:rPr>
          <w:rFonts w:ascii="Verdana" w:eastAsia="Times New Roman" w:hAnsi="Verdana" w:cs="Arial"/>
          <w:vertAlign w:val="superscript"/>
          <w:lang w:val="es-ES" w:eastAsia="es-ES_tradnl"/>
        </w:rPr>
        <w:footnoteReference w:id="15"/>
      </w:r>
      <w:r w:rsidRPr="00A9405A">
        <w:rPr>
          <w:rFonts w:ascii="Verdana" w:eastAsia="Times New Roman" w:hAnsi="Verdana" w:cs="Arial"/>
          <w:lang w:val="es-ES" w:eastAsia="es-ES_tradnl"/>
        </w:rPr>
        <w:t>. Esta posibilidad solo se encuentra limitada respecto de la documentación que tenga la calidad de reservada</w:t>
      </w:r>
      <w:r w:rsidRPr="00A9405A">
        <w:rPr>
          <w:rFonts w:ascii="Verdana" w:eastAsia="Times New Roman" w:hAnsi="Verdana" w:cs="Arial"/>
          <w:vertAlign w:val="superscript"/>
          <w:lang w:val="es-ES" w:eastAsia="es-ES_tradnl"/>
        </w:rPr>
        <w:footnoteReference w:id="16"/>
      </w:r>
      <w:r w:rsidRPr="00A9405A">
        <w:rPr>
          <w:rFonts w:ascii="Verdana" w:eastAsia="Times New Roman" w:hAnsi="Verdana" w:cs="Arial"/>
          <w:lang w:val="es-ES" w:eastAsia="es-ES_tradnl"/>
        </w:rPr>
        <w:t xml:space="preserve">, que deberá </w:t>
      </w:r>
      <w:r w:rsidRPr="00A9405A">
        <w:rPr>
          <w:rFonts w:ascii="Verdana" w:eastAsia="Times New Roman" w:hAnsi="Verdana" w:cs="Arial"/>
          <w:lang w:val="es-ES" w:eastAsia="es-ES_tradnl"/>
        </w:rPr>
        <w:lastRenderedPageBreak/>
        <w:t>someterse al tratamiento establecido en el artículo 36 del CPACA, en lo relativo a la formación de cuadernos separados</w:t>
      </w:r>
      <w:r w:rsidRPr="00A9405A">
        <w:rPr>
          <w:rFonts w:ascii="Verdana" w:eastAsia="Times New Roman" w:hAnsi="Verdana" w:cs="Arial"/>
          <w:vertAlign w:val="superscript"/>
          <w:lang w:val="es-ES" w:eastAsia="es-ES_tradnl"/>
        </w:rPr>
        <w:footnoteReference w:id="17"/>
      </w:r>
      <w:r w:rsidR="008F1F1A">
        <w:rPr>
          <w:rFonts w:ascii="Verdana" w:eastAsia="Times New Roman" w:hAnsi="Verdana" w:cs="Arial"/>
          <w:lang w:val="es-ES" w:eastAsia="es-ES_tradnl"/>
        </w:rPr>
        <w:t>.</w:t>
      </w:r>
    </w:p>
    <w:p w14:paraId="162CFF10" w14:textId="08452B8B" w:rsidR="00FD3670" w:rsidRPr="00A9405A" w:rsidRDefault="00A82E6D" w:rsidP="00FD3670">
      <w:pPr>
        <w:tabs>
          <w:tab w:val="left" w:pos="426"/>
        </w:tabs>
        <w:spacing w:after="120" w:line="276" w:lineRule="auto"/>
        <w:jc w:val="both"/>
        <w:rPr>
          <w:rFonts w:ascii="Verdana" w:eastAsia="Calibri" w:hAnsi="Verdana" w:cs="Arial"/>
          <w:color w:val="000000"/>
          <w:lang w:val="es-ES_tradnl" w:eastAsia="en-GB"/>
        </w:rPr>
      </w:pPr>
      <w:bookmarkStart w:id="2" w:name="_Hlk150762861"/>
      <w:r>
        <w:rPr>
          <w:rFonts w:ascii="Verdana" w:eastAsia="Calibri" w:hAnsi="Verdana" w:cs="Arial"/>
          <w:szCs w:val="24"/>
          <w:lang w:eastAsia="es-ES_tradnl"/>
        </w:rPr>
        <w:tab/>
      </w:r>
      <w:r>
        <w:rPr>
          <w:rFonts w:ascii="Verdana" w:eastAsia="Calibri" w:hAnsi="Verdana" w:cs="Arial"/>
          <w:szCs w:val="24"/>
          <w:lang w:eastAsia="es-ES_tradnl"/>
        </w:rPr>
        <w:tab/>
      </w:r>
      <w:bookmarkEnd w:id="2"/>
      <w:r w:rsidR="00FD3670" w:rsidRPr="00A9405A">
        <w:rPr>
          <w:rFonts w:ascii="Verdana" w:eastAsia="Calibri" w:hAnsi="Verdana" w:cs="Arial"/>
          <w:lang w:val="es-ES" w:eastAsia="es-ES_tradnl"/>
        </w:rPr>
        <w:t xml:space="preserve">No obstante, lo expresado, vale la pena aclarar que el cumplimiento del deber de publicación de la documentación contractual debe armonizarse con las normas aplicables al tipo de información que estas contienen. Lo anterior significa que, respecto de la información sometida a reserva o de la cual proceda un tratamiento especial que impida su publicidad, las entidades deberán actuar de conformidad con el tratamiento que impongan tales normas, absteniéndose, de ser el caso, de publicar los documentos del proceso, algunos de ellos o algunos apartes de dichos documentos en los que se evidencie este tipo de información. </w:t>
      </w:r>
    </w:p>
    <w:p w14:paraId="5741CC52" w14:textId="77777777" w:rsidR="00FD3670" w:rsidRPr="00A9405A" w:rsidRDefault="00FD3670" w:rsidP="00FD3670">
      <w:pPr>
        <w:spacing w:after="120" w:line="276" w:lineRule="auto"/>
        <w:ind w:firstLine="709"/>
        <w:jc w:val="both"/>
        <w:rPr>
          <w:rFonts w:ascii="Verdana" w:eastAsia="Calibri" w:hAnsi="Verdana" w:cs="Arial"/>
          <w:color w:val="000000"/>
          <w:lang w:val="es-ES_tradnl" w:eastAsia="en-GB"/>
        </w:rPr>
      </w:pPr>
      <w:r w:rsidRPr="00A9405A">
        <w:rPr>
          <w:rFonts w:ascii="Verdana" w:eastAsia="Calibri" w:hAnsi="Verdana" w:cs="Arial"/>
          <w:color w:val="000000"/>
          <w:lang w:val="es-ES_tradnl" w:eastAsia="en-GB"/>
        </w:rPr>
        <w:t xml:space="preserve">En otras palabras, aunque el artículo 74 de la Constitución establezca que la información pública debe ser dada a conocer a la ciudadanía y así los documentos que hagan parte de la actividad contractual puedan catalogarse, </w:t>
      </w:r>
      <w:r w:rsidRPr="00A9405A">
        <w:rPr>
          <w:rFonts w:ascii="Verdana" w:eastAsia="Calibri" w:hAnsi="Verdana" w:cs="Arial"/>
          <w:i/>
          <w:iCs/>
          <w:color w:val="000000"/>
          <w:lang w:val="es-ES_tradnl" w:eastAsia="en-GB"/>
        </w:rPr>
        <w:t>prima facie,</w:t>
      </w:r>
      <w:r w:rsidRPr="00A9405A">
        <w:rPr>
          <w:rFonts w:ascii="Verdana" w:eastAsia="Calibri" w:hAnsi="Verdana" w:cs="Arial"/>
          <w:color w:val="000000"/>
          <w:lang w:val="es-ES_tradnl" w:eastAsia="en-GB"/>
        </w:rPr>
        <w:t xml:space="preserve"> como información pública, cuando dicha documentación contenga información sometida a alguna reserva, que establezca la Constitución o la ley, operan algunas restricciones a su publicidad. Sin embargo, esto no necesariamente convierte el documento completo en reservado, es decir, en un documento que no puede publicarse. </w:t>
      </w:r>
    </w:p>
    <w:p w14:paraId="124858E2" w14:textId="77777777" w:rsidR="00FD3670" w:rsidRPr="00A9405A" w:rsidRDefault="00FD3670" w:rsidP="00FD3670">
      <w:pPr>
        <w:spacing w:after="120" w:line="276" w:lineRule="auto"/>
        <w:ind w:firstLine="709"/>
        <w:jc w:val="both"/>
        <w:rPr>
          <w:rFonts w:ascii="Verdana" w:eastAsia="Calibri" w:hAnsi="Verdana" w:cs="Arial"/>
          <w:color w:val="000000"/>
          <w:lang w:val="es-ES_tradnl" w:eastAsia="en-GB"/>
        </w:rPr>
      </w:pPr>
      <w:r w:rsidRPr="00A9405A">
        <w:rPr>
          <w:rFonts w:ascii="Verdana" w:eastAsia="Calibri" w:hAnsi="Verdana" w:cs="Arial"/>
          <w:color w:val="000000"/>
          <w:lang w:val="es-ES_tradnl" w:eastAsia="en-GB"/>
        </w:rPr>
        <w:t xml:space="preserve">En efecto, el principio o regla general consiste en la máxima publicidad de la información pública y lo excepcional es la reserva, razón por la cual el artículo 21 de la Ley 1712 de 2014 incluso exige la divulgación parcial de la información contenida en un documento, cuando este contenga parte de información </w:t>
      </w:r>
      <w:r w:rsidRPr="00A9405A">
        <w:rPr>
          <w:rFonts w:ascii="Verdana" w:eastAsia="Calibri" w:hAnsi="Verdana" w:cs="Arial"/>
          <w:color w:val="000000"/>
          <w:lang w:val="es-ES_tradnl" w:eastAsia="en-GB"/>
        </w:rPr>
        <w:lastRenderedPageBreak/>
        <w:t>sometida a reserva, pero también incluya información que no esté afectada por la reserva. Además, dicha disposición establece que la reserva de acceso a la información opera respecto al contenido de un documento público, pero no respecto de su existencia</w:t>
      </w:r>
      <w:r w:rsidRPr="00A9405A">
        <w:rPr>
          <w:rFonts w:ascii="Verdana" w:eastAsia="Calibri" w:hAnsi="Verdana" w:cs="Arial"/>
          <w:color w:val="000000"/>
          <w:vertAlign w:val="superscript"/>
          <w:lang w:val="es-ES_tradnl" w:eastAsia="en-GB"/>
        </w:rPr>
        <w:footnoteReference w:id="18"/>
      </w:r>
      <w:r w:rsidRPr="00A9405A">
        <w:rPr>
          <w:rFonts w:ascii="Verdana" w:eastAsia="Calibri" w:hAnsi="Verdana" w:cs="Arial"/>
          <w:color w:val="000000"/>
          <w:lang w:val="es-ES_tradnl" w:eastAsia="en-GB"/>
        </w:rPr>
        <w:t>. Sin perjuicio de lo anterior, es posible que el contenido de todo el documento o expediente no deba ser objeto de publicidad por estar amparado de forma íntegra por la reserva, dada su conexión con las causales establecidas en la Constitución o la ley.</w:t>
      </w:r>
    </w:p>
    <w:p w14:paraId="7C868993" w14:textId="77777777" w:rsidR="00FD3670" w:rsidRPr="00A9405A" w:rsidRDefault="00FD3670" w:rsidP="00FD3670">
      <w:pPr>
        <w:tabs>
          <w:tab w:val="left" w:pos="426"/>
        </w:tabs>
        <w:spacing w:after="120" w:line="276" w:lineRule="auto"/>
        <w:ind w:firstLine="709"/>
        <w:jc w:val="both"/>
        <w:rPr>
          <w:rFonts w:ascii="Verdana" w:eastAsia="Calibri" w:hAnsi="Verdana" w:cs="Arial"/>
          <w:color w:val="000000"/>
          <w:lang w:val="es-ES_tradnl" w:eastAsia="en-GB"/>
        </w:rPr>
      </w:pPr>
      <w:r w:rsidRPr="00A9405A">
        <w:rPr>
          <w:rFonts w:ascii="Verdana" w:eastAsia="Calibri" w:hAnsi="Verdana" w:cs="Arial"/>
          <w:color w:val="000000"/>
          <w:lang w:val="es-ES_tradnl" w:eastAsia="en-GB"/>
        </w:rPr>
        <w:t>Por ello, el artículo 74 de la Constitución, en armonía con los artículos 18 y 19 de la Ley 1712 de 2014 y los artículos 24 y 25 de la Ley 1437 de 2011 –de acuerdo con la modificación realizada por la Ley 1755 de 2015–, establecen que el derecho de acceso a la información o documentación pública no es absoluto, sino que puede exceptuarse cuando se configuren causales de reserva. Así mismo, hay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de 2012 y en el artículo 2.2.2.25.1.3., numeral 3 –que compiló al Decreto 1377 de 2013 (art. 3)–, solo podrá divulgarse según las reglas establecidas en dichas normas.</w:t>
      </w:r>
    </w:p>
    <w:p w14:paraId="5058C470" w14:textId="77777777" w:rsidR="00FD3670" w:rsidRPr="00A9405A" w:rsidRDefault="00FD3670" w:rsidP="00FD3670">
      <w:pPr>
        <w:tabs>
          <w:tab w:val="left" w:pos="426"/>
        </w:tabs>
        <w:spacing w:after="120" w:line="276" w:lineRule="auto"/>
        <w:ind w:firstLine="709"/>
        <w:jc w:val="both"/>
        <w:rPr>
          <w:rFonts w:ascii="Verdana" w:eastAsia="Calibri" w:hAnsi="Verdana" w:cs="Arial"/>
          <w:color w:val="000000"/>
          <w:lang w:val="es-ES_tradnl" w:eastAsia="en-GB"/>
        </w:rPr>
      </w:pPr>
      <w:r w:rsidRPr="00A9405A">
        <w:rPr>
          <w:rFonts w:ascii="Verdana" w:eastAsia="Calibri" w:hAnsi="Verdana" w:cs="Arial"/>
          <w:color w:val="000000"/>
          <w:lang w:val="es-ES_tradnl" w:eastAsia="en-GB"/>
        </w:rPr>
        <w:t xml:space="preserve">Cuando el documento contractual tenga información sensible, clasificada o reservada, para proteger la reserva de información, las autoridades deben abstenerse de publicar en el SECOP la información que tiene protección especial </w:t>
      </w:r>
      <w:r w:rsidRPr="00A9405A">
        <w:rPr>
          <w:rFonts w:ascii="Verdana" w:eastAsia="Calibri" w:hAnsi="Verdana" w:cs="Arial"/>
          <w:color w:val="000000"/>
          <w:lang w:val="es-ES_tradnl" w:eastAsia="en-GB"/>
        </w:rPr>
        <w:lastRenderedPageBreak/>
        <w:t>o está sometida a reserva. Sin embargo, de acuerdo con el segundo inciso del artículo 25 de la Ley 1437 de 2011 “La restricción por reserva legal no se extenderá a otras piezas del respectivo expediente o actuación que no estén cubiertas por ella”. Por ello, la Entidad Estatal puede dejar de publicar algún documento del proceso o aparte del mismo que contenga datos sensibles, clasificados o reservados, para no divulgarla, pero debe publicar los demás documentos o los apartados de estos, en caso de que estos no gocen de reserva. Lo anterior, sin perjuicio de que dependiendo de la información en específico todo el documento o expediente deba dejar de publicarse, por ampararse en su integridad en alguna causal de reserva, dada la conexión de su contenido con la información que el constituyente o el legislador decidió limitar en cuanto a su publicidad.</w:t>
      </w:r>
    </w:p>
    <w:p w14:paraId="7874D639" w14:textId="77777777" w:rsidR="00FD3670" w:rsidRPr="00A9405A" w:rsidRDefault="00FD3670" w:rsidP="00FD3670">
      <w:pPr>
        <w:tabs>
          <w:tab w:val="left" w:pos="426"/>
        </w:tabs>
        <w:spacing w:after="0" w:line="276" w:lineRule="auto"/>
        <w:ind w:firstLine="709"/>
        <w:jc w:val="both"/>
        <w:rPr>
          <w:rFonts w:ascii="Verdana" w:eastAsia="Calibri" w:hAnsi="Verdana" w:cs="Arial"/>
          <w:color w:val="000000"/>
          <w:lang w:val="es-ES_tradnl" w:eastAsia="en-GB"/>
        </w:rPr>
      </w:pPr>
      <w:r w:rsidRPr="00A9405A">
        <w:rPr>
          <w:rFonts w:ascii="Verdana" w:eastAsia="Calibri" w:hAnsi="Verdana" w:cs="Arial"/>
          <w:color w:val="000000"/>
          <w:lang w:val="es-ES_tradnl" w:eastAsia="en-GB"/>
        </w:rPr>
        <w:t xml:space="preserve">En efecto, de conformidad con la Constitución y la jurisprudencia de las altas cortes, la reserva de información pública solo puede crearla el constituyente o el legislador. Además, como se viene explicando, para efectos de la consulta realizada a la Agencia, las Leyes estatutarias 1712 de 2014 y la 1755 de 2015 –que sustituyó los artículos 13 a 33 de la Ley 1437 de 2011– establecen reservas particulares de información pública. En armonía con lo anterior, cabe reiterar lo que se afirmó anteriormente en el sentido de que la creación de reservas de información pública es un asunto reservado al constituyente o al legislador. </w:t>
      </w:r>
    </w:p>
    <w:p w14:paraId="7391D61A" w14:textId="77777777" w:rsidR="005514B7" w:rsidRPr="00FD3670" w:rsidRDefault="005514B7" w:rsidP="00871B59">
      <w:pPr>
        <w:widowControl w:val="0"/>
        <w:autoSpaceDE w:val="0"/>
        <w:autoSpaceDN w:val="0"/>
        <w:spacing w:after="0" w:line="276" w:lineRule="auto"/>
        <w:jc w:val="both"/>
        <w:rPr>
          <w:rFonts w:ascii="Verdana" w:hAnsi="Verdana" w:cs="Arial"/>
          <w:lang w:val="es-ES_tradnl"/>
        </w:rPr>
      </w:pPr>
    </w:p>
    <w:p w14:paraId="53133908" w14:textId="77777777" w:rsidR="00871B59" w:rsidRPr="007C1C94"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7C1C94">
        <w:rPr>
          <w:rFonts w:ascii="Verdana" w:eastAsia="Century Gothic" w:hAnsi="Verdana" w:cs="Century Gothic"/>
          <w:b/>
          <w:bCs/>
          <w:lang w:val="es-ES"/>
        </w:rPr>
        <w:t>Referencias normativas, jurisprudenciales y otras fuentes:</w:t>
      </w:r>
    </w:p>
    <w:p w14:paraId="237FD993" w14:textId="77777777" w:rsidR="00871B59" w:rsidRPr="007C1C94"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7C1C94" w14:paraId="150F7C2A" w14:textId="77777777" w:rsidTr="00A57D9A">
        <w:trPr>
          <w:trHeight w:val="650"/>
        </w:trPr>
        <w:tc>
          <w:tcPr>
            <w:tcW w:w="8647" w:type="dxa"/>
          </w:tcPr>
          <w:p w14:paraId="2A818FB8" w14:textId="285B44DE" w:rsidR="00183146" w:rsidRDefault="00183146" w:rsidP="00BC0378">
            <w:pPr>
              <w:pStyle w:val="Prrafodelista"/>
              <w:widowControl w:val="0"/>
              <w:numPr>
                <w:ilvl w:val="0"/>
                <w:numId w:val="8"/>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Ley 80 de 1993. Artículo 24.</w:t>
            </w:r>
          </w:p>
          <w:p w14:paraId="1173FC51" w14:textId="06634CAF" w:rsidR="00BC0378" w:rsidRPr="00912093" w:rsidRDefault="00BC0378" w:rsidP="00BC0378">
            <w:pPr>
              <w:pStyle w:val="Prrafodelista"/>
              <w:widowControl w:val="0"/>
              <w:numPr>
                <w:ilvl w:val="0"/>
                <w:numId w:val="8"/>
              </w:numPr>
              <w:autoSpaceDE w:val="0"/>
              <w:autoSpaceDN w:val="0"/>
              <w:spacing w:after="120" w:line="276" w:lineRule="auto"/>
              <w:jc w:val="both"/>
              <w:rPr>
                <w:rFonts w:ascii="Verdana" w:hAnsi="Verdana" w:cs="Arial"/>
                <w:color w:val="000000" w:themeColor="text1"/>
              </w:rPr>
            </w:pPr>
            <w:r w:rsidRPr="00912093">
              <w:rPr>
                <w:rFonts w:ascii="Verdana" w:hAnsi="Verdana" w:cs="Arial"/>
                <w:color w:val="000000" w:themeColor="text1"/>
              </w:rPr>
              <w:t>Ley 1150 de 2007. Artículo</w:t>
            </w:r>
            <w:r w:rsidR="00455E54">
              <w:rPr>
                <w:rFonts w:ascii="Verdana" w:hAnsi="Verdana" w:cs="Arial"/>
                <w:color w:val="000000" w:themeColor="text1"/>
              </w:rPr>
              <w:t xml:space="preserve"> 3.</w:t>
            </w:r>
          </w:p>
          <w:p w14:paraId="29A37184" w14:textId="4A257ADD" w:rsidR="00BC0378" w:rsidRDefault="007F672D" w:rsidP="00BC0378">
            <w:pPr>
              <w:pStyle w:val="Prrafodelista"/>
              <w:widowControl w:val="0"/>
              <w:numPr>
                <w:ilvl w:val="0"/>
                <w:numId w:val="8"/>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Ley 1712 de 2015. Artículos 2, 3 y 9.</w:t>
            </w:r>
          </w:p>
          <w:p w14:paraId="34EE4C7D" w14:textId="2B3C0806" w:rsidR="007F672D" w:rsidRDefault="007F672D" w:rsidP="00BC0378">
            <w:pPr>
              <w:pStyle w:val="Prrafodelista"/>
              <w:widowControl w:val="0"/>
              <w:numPr>
                <w:ilvl w:val="0"/>
                <w:numId w:val="8"/>
              </w:numPr>
              <w:autoSpaceDE w:val="0"/>
              <w:autoSpaceDN w:val="0"/>
              <w:spacing w:after="120" w:line="276" w:lineRule="auto"/>
              <w:jc w:val="both"/>
              <w:rPr>
                <w:rFonts w:ascii="Verdana" w:hAnsi="Verdana" w:cs="Arial"/>
                <w:color w:val="000000" w:themeColor="text1"/>
              </w:rPr>
            </w:pPr>
            <w:r w:rsidRPr="007F672D">
              <w:rPr>
                <w:rFonts w:ascii="Verdana" w:hAnsi="Verdana" w:cs="Arial"/>
                <w:color w:val="000000" w:themeColor="text1"/>
              </w:rPr>
              <w:t>Decreto 103 de 2015</w:t>
            </w:r>
            <w:r>
              <w:rPr>
                <w:rFonts w:ascii="Verdana" w:hAnsi="Verdana" w:cs="Arial"/>
                <w:color w:val="000000" w:themeColor="text1"/>
              </w:rPr>
              <w:t xml:space="preserve">. </w:t>
            </w:r>
            <w:r w:rsidRPr="007F672D">
              <w:rPr>
                <w:rFonts w:ascii="Verdana" w:hAnsi="Verdana" w:cs="Arial"/>
                <w:color w:val="000000" w:themeColor="text1"/>
              </w:rPr>
              <w:t>Artículo 8.</w:t>
            </w:r>
          </w:p>
          <w:p w14:paraId="4DE09C5F" w14:textId="2A092C6C" w:rsidR="00183146" w:rsidRPr="00183146" w:rsidRDefault="00183146" w:rsidP="00183146">
            <w:pPr>
              <w:pStyle w:val="Prrafodelista"/>
              <w:widowControl w:val="0"/>
              <w:numPr>
                <w:ilvl w:val="0"/>
                <w:numId w:val="8"/>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Ley 1437 de 2011. Artículo 24.</w:t>
            </w:r>
          </w:p>
          <w:p w14:paraId="6DF122EF" w14:textId="072F38FF" w:rsidR="00AD247D" w:rsidRDefault="00AD247D" w:rsidP="00BC0378">
            <w:pPr>
              <w:pStyle w:val="Prrafodelista"/>
              <w:widowControl w:val="0"/>
              <w:numPr>
                <w:ilvl w:val="0"/>
                <w:numId w:val="8"/>
              </w:numPr>
              <w:autoSpaceDE w:val="0"/>
              <w:autoSpaceDN w:val="0"/>
              <w:spacing w:after="120" w:line="276" w:lineRule="auto"/>
              <w:jc w:val="both"/>
              <w:rPr>
                <w:rFonts w:ascii="Verdana" w:hAnsi="Verdana" w:cs="Arial"/>
                <w:color w:val="000000" w:themeColor="text1"/>
              </w:rPr>
            </w:pPr>
            <w:r w:rsidRPr="00AD247D">
              <w:rPr>
                <w:rFonts w:ascii="Verdana" w:hAnsi="Verdana" w:cs="Arial"/>
                <w:color w:val="000000" w:themeColor="text1"/>
              </w:rPr>
              <w:t>MATALLANA CAMACHO Ernesto. Manual de Contratación de la Administración Pública. Reforma a la Ley 80 de 1993. Universidad Externado de Colombia, Cuarta edición, 2015</w:t>
            </w:r>
          </w:p>
          <w:p w14:paraId="6ACEA7FD" w14:textId="0268AA0D" w:rsidR="008B0CAA" w:rsidRPr="00AB564D" w:rsidRDefault="00455E54" w:rsidP="00AB564D">
            <w:pPr>
              <w:pStyle w:val="Prrafodelista"/>
              <w:widowControl w:val="0"/>
              <w:numPr>
                <w:ilvl w:val="0"/>
                <w:numId w:val="8"/>
              </w:numPr>
              <w:autoSpaceDE w:val="0"/>
              <w:autoSpaceDN w:val="0"/>
              <w:spacing w:after="120" w:line="276" w:lineRule="auto"/>
              <w:contextualSpacing w:val="0"/>
              <w:jc w:val="both"/>
              <w:rPr>
                <w:rFonts w:ascii="Verdana" w:hAnsi="Verdana" w:cs="Arial"/>
                <w:color w:val="000000" w:themeColor="text1"/>
              </w:rPr>
            </w:pPr>
            <w:r w:rsidRPr="00455E54">
              <w:rPr>
                <w:rFonts w:ascii="Verdana" w:hAnsi="Verdana" w:cs="Arial"/>
                <w:color w:val="000000" w:themeColor="text1"/>
              </w:rPr>
              <w:t xml:space="preserve">Corte Constitucional. Sentencia C- 341 del 4 de junio de 2014. M. P. </w:t>
            </w:r>
            <w:r w:rsidRPr="00455E54">
              <w:rPr>
                <w:rFonts w:ascii="Verdana" w:hAnsi="Verdana" w:cs="Arial"/>
                <w:color w:val="000000" w:themeColor="text1"/>
              </w:rPr>
              <w:lastRenderedPageBreak/>
              <w:t>Mauricio González Cuervo.</w:t>
            </w:r>
          </w:p>
        </w:tc>
      </w:tr>
    </w:tbl>
    <w:p w14:paraId="0E1B166D" w14:textId="77777777" w:rsidR="00871B59" w:rsidRPr="007C1C94" w:rsidRDefault="00871B59" w:rsidP="00871B59">
      <w:pPr>
        <w:widowControl w:val="0"/>
        <w:autoSpaceDE w:val="0"/>
        <w:autoSpaceDN w:val="0"/>
        <w:spacing w:after="0" w:line="276" w:lineRule="auto"/>
        <w:jc w:val="both"/>
        <w:rPr>
          <w:rFonts w:ascii="Verdana" w:hAnsi="Verdana" w:cs="Arial"/>
        </w:rPr>
      </w:pPr>
    </w:p>
    <w:p w14:paraId="40380BCB" w14:textId="77777777" w:rsidR="00871B59" w:rsidRPr="007C1C94"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7C1C94">
        <w:rPr>
          <w:rFonts w:ascii="Verdana" w:eastAsia="Century Gothic" w:hAnsi="Verdana" w:cs="Century Gothic"/>
          <w:b/>
          <w:bCs/>
          <w:lang w:val="es-ES"/>
        </w:rPr>
        <w:t>Doctrina de la Agencia Nacional de Contratación Pública:</w:t>
      </w:r>
    </w:p>
    <w:p w14:paraId="41294D6D" w14:textId="77777777" w:rsidR="00871B59" w:rsidRPr="007C1C94" w:rsidRDefault="00871B59" w:rsidP="00871B59">
      <w:pPr>
        <w:widowControl w:val="0"/>
        <w:autoSpaceDE w:val="0"/>
        <w:autoSpaceDN w:val="0"/>
        <w:spacing w:after="0" w:line="276" w:lineRule="auto"/>
        <w:jc w:val="both"/>
        <w:rPr>
          <w:rFonts w:ascii="Verdana" w:hAnsi="Verdana" w:cs="Arial"/>
        </w:rPr>
      </w:pPr>
    </w:p>
    <w:p w14:paraId="688C30E7" w14:textId="5B30492B" w:rsidR="00871B59" w:rsidRPr="007C1C94" w:rsidRDefault="00BC0378" w:rsidP="00871B59">
      <w:pPr>
        <w:widowControl w:val="0"/>
        <w:autoSpaceDE w:val="0"/>
        <w:autoSpaceDN w:val="0"/>
        <w:spacing w:after="0" w:line="276" w:lineRule="auto"/>
        <w:jc w:val="both"/>
        <w:rPr>
          <w:rStyle w:val="normaltextrun"/>
          <w:rFonts w:ascii="Verdana" w:hAnsi="Verdana" w:cs="Arial"/>
          <w:shd w:val="clear" w:color="auto" w:fill="FFFFFF"/>
          <w:lang w:val="es-ES"/>
        </w:rPr>
      </w:pPr>
      <w:r w:rsidRPr="00BC0378">
        <w:rPr>
          <w:rFonts w:ascii="Verdana" w:eastAsia="Calibri" w:hAnsi="Verdana" w:cs="Arial"/>
          <w:lang w:val="es-ES_tradnl" w:eastAsia="es-ES_tradnl"/>
        </w:rPr>
        <w:t xml:space="preserve">Sobre </w:t>
      </w:r>
      <w:r w:rsidR="00F04963" w:rsidRPr="00F04963">
        <w:rPr>
          <w:rFonts w:ascii="Verdana" w:eastAsia="Calibri" w:hAnsi="Verdana" w:cs="Arial"/>
          <w:lang w:val="es-ES_tradnl" w:eastAsia="es-ES_tradnl"/>
        </w:rPr>
        <w:t>la publicación de documentación contractual en las plataformas SECOP I y SECOP II</w:t>
      </w:r>
      <w:r w:rsidRPr="00BC0378">
        <w:rPr>
          <w:rFonts w:ascii="Verdana" w:eastAsia="Calibri" w:hAnsi="Verdana" w:cs="Arial"/>
          <w:lang w:val="es-ES_tradnl" w:eastAsia="es-ES_tradnl"/>
        </w:rPr>
        <w:t xml:space="preserve">, esta Subdirección se ha referido en los Conceptos radicado </w:t>
      </w:r>
      <w:r w:rsidR="00F04963" w:rsidRPr="00F04963">
        <w:rPr>
          <w:rFonts w:ascii="Verdana" w:eastAsia="Calibri" w:hAnsi="Verdana" w:cs="Arial"/>
          <w:lang w:val="es-ES_tradnl" w:eastAsia="es-ES_tradnl"/>
        </w:rPr>
        <w:t>4201912000007253 del 4 de diciembre de 2019, reiterado en el concepto con radicado No. 4201912000007289 de la misma fecha, así como en el C-336 del 2 de junio de 2020, donde se estudió la publicidad de los procedimientos contractuales en el SECOP I y SECOP II, respecto de entidades regidas por el Estatuto General de Contratación de la Administración Pública. En los conceptos C-046 del 19 de febrero de 2020, C-095 del 16 de marzo de 2020, C-197 del 26 de marzo de 2020, C-170 del 6 de abril de 2020, C-172 del 6 de abril de 2020, C-176 del 6 de abril de 2020, C-009 del 27 de abril de 2020, C-009 del 27 de abril de 2020 y C-015 del 29 de abril de 2020, se analizó el SECOP I como medio de publicidad de las actuaciones contractuales, la naturaleza transaccional y obligatoriedad de SECOP II y los documentos que deben publicarse en estas plataformas. Dichas ideas se unificaron en el concepto CU-367 del 23 de julio de 2020, reiterado en el C-672 del 11 de noviembre de 2020. Asimismo, en el concepto C-104 del 6 de abril de 2021, C-005 del 21 de febrero de 2023, C-230 del 28 de junio de 2023, C-649 del 9 de septiembre de 2022,</w:t>
      </w:r>
      <w:r w:rsidR="00F04963">
        <w:rPr>
          <w:rFonts w:ascii="Verdana" w:eastAsia="Calibri" w:hAnsi="Verdana" w:cs="Arial"/>
          <w:lang w:val="es-ES_tradnl" w:eastAsia="es-ES_tradnl"/>
        </w:rPr>
        <w:t xml:space="preserve"> C-391 del 14 de noviembre de 2023,</w:t>
      </w:r>
      <w:r w:rsidR="00F04963" w:rsidRPr="00F04963">
        <w:rPr>
          <w:rFonts w:ascii="Verdana" w:eastAsia="Calibri" w:hAnsi="Verdana" w:cs="Arial"/>
          <w:lang w:val="es-ES_tradnl" w:eastAsia="es-ES_tradnl"/>
        </w:rPr>
        <w:t xml:space="preserve"> se estudió la existencia de reservas como excepción al deber de publicar la información contractual en el SECOP</w:t>
      </w:r>
      <w:r w:rsidRPr="00BC0378">
        <w:rPr>
          <w:rFonts w:ascii="Verdana" w:eastAsia="Calibri" w:hAnsi="Verdana" w:cs="Arial"/>
          <w:lang w:val="es-ES_tradnl" w:eastAsia="es-ES_tradnl"/>
        </w:rPr>
        <w:t>, entre otros</w:t>
      </w:r>
      <w:r w:rsidR="00871B59" w:rsidRPr="007C1C94">
        <w:rPr>
          <w:rStyle w:val="normaltextrun"/>
          <w:rFonts w:ascii="Verdana" w:hAnsi="Verdana" w:cs="Arial"/>
          <w:shd w:val="clear" w:color="auto" w:fill="FFFFFF"/>
          <w:lang w:val="es-ES"/>
        </w:rPr>
        <w:t>. Es</w:t>
      </w:r>
      <w:r w:rsidR="00871B59" w:rsidRPr="007C1C94">
        <w:rPr>
          <w:rFonts w:ascii="Verdana" w:hAnsi="Verdana"/>
        </w:rPr>
        <w:t>tos y otros conceptos se encuentran disponibles para consulta en el Sistema de relatoría de la Agencia, al cual se puede acceder a través del siguiente enlace:</w:t>
      </w:r>
      <w:r w:rsidR="00871B59" w:rsidRPr="007C1C94">
        <w:rPr>
          <w:rStyle w:val="normaltextrun"/>
          <w:rFonts w:ascii="Verdana" w:hAnsi="Verdana" w:cs="Arial"/>
          <w:shd w:val="clear" w:color="auto" w:fill="FFFFFF"/>
          <w:lang w:val="es-ES"/>
        </w:rPr>
        <w:t xml:space="preserve"> </w:t>
      </w:r>
      <w:hyperlink r:id="rId13" w:history="1">
        <w:r w:rsidR="00871B59" w:rsidRPr="007C1C94">
          <w:rPr>
            <w:rStyle w:val="Hipervnculo"/>
            <w:rFonts w:ascii="Verdana" w:hAnsi="Verdana" w:cs="Arial"/>
            <w:color w:val="auto"/>
            <w:shd w:val="clear" w:color="auto" w:fill="FFFFFF"/>
            <w:lang w:val="es-ES"/>
          </w:rPr>
          <w:t>https://relatoria.colombiacompra.gov.co/busqueda/conceptos</w:t>
        </w:r>
      </w:hyperlink>
    </w:p>
    <w:p w14:paraId="653CF3BE" w14:textId="77777777" w:rsidR="00871B59" w:rsidRPr="007C1C94" w:rsidRDefault="00871B59" w:rsidP="00871B59">
      <w:pPr>
        <w:widowControl w:val="0"/>
        <w:autoSpaceDE w:val="0"/>
        <w:autoSpaceDN w:val="0"/>
        <w:spacing w:after="0" w:line="276" w:lineRule="auto"/>
        <w:jc w:val="both"/>
        <w:rPr>
          <w:rStyle w:val="normaltextrun"/>
          <w:rFonts w:ascii="Verdana" w:hAnsi="Verdana" w:cs="Arial"/>
          <w:shd w:val="clear" w:color="auto" w:fill="FFFFFF"/>
          <w:lang w:val="es-ES"/>
        </w:rPr>
      </w:pPr>
    </w:p>
    <w:p w14:paraId="34210AFF" w14:textId="77777777" w:rsidR="00AD423B" w:rsidRPr="00F12E6B" w:rsidRDefault="00AD423B" w:rsidP="00F12E6B">
      <w:pPr>
        <w:spacing w:after="0" w:line="276" w:lineRule="auto"/>
        <w:jc w:val="both"/>
        <w:rPr>
          <w:rFonts w:ascii="Verdana" w:hAnsi="Verdana" w:cs="Arial"/>
          <w:shd w:val="clear" w:color="auto" w:fill="FFFFFF"/>
        </w:rPr>
      </w:pPr>
      <w:r w:rsidRPr="00F12E6B">
        <w:rPr>
          <w:rFonts w:ascii="Verdana" w:hAnsi="Verdana" w:cs="Arial"/>
          <w:shd w:val="clear" w:color="auto" w:fill="FFFFFF"/>
        </w:rPr>
        <w:t>Te informamos que ya se encuentra disponible la </w:t>
      </w:r>
      <w:r w:rsidRPr="00F12E6B">
        <w:rPr>
          <w:rFonts w:ascii="Verdana" w:hAnsi="Verdana" w:cs="Arial"/>
          <w:b/>
          <w:bCs/>
          <w:shd w:val="clear" w:color="auto" w:fill="FFFFFF"/>
        </w:rPr>
        <w:t>Cartilla para incentivar y fortalecer el acceso a las compras y contratación pública de los pueblos y comunidades étnicas en Colombia.</w:t>
      </w:r>
      <w:r w:rsidRPr="00F12E6B">
        <w:rPr>
          <w:rFonts w:ascii="Verdana" w:hAnsi="Verdana" w:cs="Arial"/>
          <w:shd w:val="clear" w:color="auto" w:fill="FFFFFF"/>
        </w:rPr>
        <w:t xml:space="preserve"> Esta cartilla es una apuesta de la Agencia Nacional de Contratación Pública – Colombia Compra Eficiente, para incentivar la participación de los pueblos y comunidades étnicas en las compras y contratación pública, mediante el desarrollo de los principios de igualdad, </w:t>
      </w:r>
      <w:r w:rsidRPr="00F12E6B">
        <w:rPr>
          <w:rFonts w:ascii="Verdana" w:hAnsi="Verdana" w:cs="Arial"/>
          <w:shd w:val="clear" w:color="auto" w:fill="FFFFFF"/>
        </w:rPr>
        <w:lastRenderedPageBreak/>
        <w:t>equidad e inclusión social. Puede consultar la versión actualizada en el siguiente enlace: </w:t>
      </w:r>
      <w:hyperlink r:id="rId14" w:tgtFrame="_blank" w:tooltip="Dirección URL original: https://www.colombiacompra.gov.co/manuales-guias-y-pliegos-tipo/manuales-y-guias/cartilla-para-incentivar-y-fortalecer-el-acceso-las. Haga clic o pulse si confía en este vínculo." w:history="1">
        <w:r w:rsidRPr="00F12E6B">
          <w:rPr>
            <w:rStyle w:val="Hipervnculo"/>
            <w:rFonts w:ascii="Verdana"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40386D79" w14:textId="77777777" w:rsidR="00AD423B" w:rsidRPr="00F12E6B" w:rsidRDefault="00AD423B" w:rsidP="00F12E6B">
      <w:pPr>
        <w:spacing w:after="0" w:line="276" w:lineRule="auto"/>
        <w:jc w:val="both"/>
        <w:rPr>
          <w:rFonts w:ascii="Verdana" w:hAnsi="Verdana" w:cs="Arial"/>
          <w:shd w:val="clear" w:color="auto" w:fill="FFFFFF"/>
        </w:rPr>
      </w:pPr>
    </w:p>
    <w:p w14:paraId="72AF988C" w14:textId="7F677D22" w:rsidR="00AD423B" w:rsidRPr="00F12E6B" w:rsidRDefault="00AD423B" w:rsidP="00F12E6B">
      <w:pPr>
        <w:spacing w:after="0" w:line="276" w:lineRule="auto"/>
        <w:jc w:val="both"/>
        <w:rPr>
          <w:rFonts w:ascii="Verdana" w:hAnsi="Verdana" w:cs="Arial"/>
          <w:shd w:val="clear" w:color="auto" w:fill="FFFFFF"/>
        </w:rPr>
      </w:pPr>
      <w:r w:rsidRPr="00F12E6B">
        <w:rPr>
          <w:rFonts w:ascii="Verdana" w:hAnsi="Verdana" w:cs="Arial"/>
          <w:shd w:val="clear" w:color="auto" w:fill="FFFFFF"/>
        </w:rPr>
        <w:t>De otra parte, te informamos que, con el objetivo de garantizar un conocimiento adecuado de las </w:t>
      </w:r>
      <w:r w:rsidRPr="00F12E6B">
        <w:rPr>
          <w:rFonts w:ascii="Verdana" w:hAnsi="Verdana" w:cs="Arial"/>
          <w:b/>
          <w:bCs/>
          <w:shd w:val="clear" w:color="auto" w:fill="FFFFFF"/>
        </w:rPr>
        <w:t>modificaciones y/o actualizaciones realizadas a los Documentos Tipo</w:t>
      </w:r>
      <w:r w:rsidRPr="00F12E6B">
        <w:rPr>
          <w:rFonts w:ascii="Verdana" w:hAnsi="Verdana" w:cs="Arial"/>
          <w:shd w:val="clear" w:color="auto" w:fill="FFFFFF"/>
        </w:rPr>
        <w:t>, hemos programado una serie de </w:t>
      </w:r>
      <w:r w:rsidRPr="00F12E6B">
        <w:rPr>
          <w:rFonts w:ascii="Verdana" w:hAnsi="Verdana" w:cs="Arial"/>
          <w:b/>
          <w:bCs/>
          <w:shd w:val="clear" w:color="auto" w:fill="FFFFFF"/>
        </w:rPr>
        <w:t>capacitaciones </w:t>
      </w:r>
      <w:r w:rsidRPr="00F12E6B">
        <w:rPr>
          <w:rFonts w:ascii="Verdana" w:hAnsi="Verdana" w:cs="Arial"/>
          <w:shd w:val="clear" w:color="auto" w:fill="FFFFFF"/>
        </w:rPr>
        <w:t>dirigidas a todos los actores involucrados en los procesos de selección. Podrás conocer la programación y realizar tu inscripción a estas capacitaciones a través del siguiente enlace: </w:t>
      </w:r>
      <w:hyperlink r:id="rId15" w:tgtFrame="_blank" w:tooltip="Dirección URL original: https://www.colombiacompra.gov.co/ciudadanos/calendario. Haga clic o pulse si confía en este vínculo." w:history="1">
        <w:r w:rsidRPr="00F12E6B">
          <w:rPr>
            <w:rStyle w:val="Hipervnculo"/>
            <w:rFonts w:ascii="Verdana" w:hAnsi="Verdana" w:cs="Arial"/>
            <w:shd w:val="clear" w:color="auto" w:fill="FFFFFF"/>
          </w:rPr>
          <w:t>Calendario | Colombia Compra Eficiente | Agencia Nacional de Contratación Pública</w:t>
        </w:r>
      </w:hyperlink>
    </w:p>
    <w:p w14:paraId="794C4E5F" w14:textId="77777777" w:rsidR="00AD423B" w:rsidRPr="00F12E6B" w:rsidRDefault="00AD423B" w:rsidP="00F12E6B">
      <w:pPr>
        <w:spacing w:after="0" w:line="276" w:lineRule="auto"/>
        <w:jc w:val="both"/>
        <w:rPr>
          <w:rFonts w:ascii="Verdana" w:hAnsi="Verdana" w:cs="Arial"/>
          <w:shd w:val="clear" w:color="auto" w:fill="FFFFFF"/>
        </w:rPr>
      </w:pPr>
    </w:p>
    <w:p w14:paraId="557C30BD" w14:textId="3B6A5504" w:rsidR="00AD423B" w:rsidRPr="00F12E6B" w:rsidRDefault="00AD423B" w:rsidP="00F12E6B">
      <w:pPr>
        <w:spacing w:after="0" w:line="276" w:lineRule="auto"/>
        <w:jc w:val="both"/>
        <w:rPr>
          <w:rFonts w:ascii="Verdana" w:hAnsi="Verdana" w:cs="Arial"/>
          <w:shd w:val="clear" w:color="auto" w:fill="FFFFFF"/>
        </w:rPr>
      </w:pPr>
      <w:r w:rsidRPr="00F12E6B">
        <w:rPr>
          <w:rFonts w:ascii="Verdana" w:hAnsi="Verdana" w:cs="Arial"/>
          <w:shd w:val="clear" w:color="auto" w:fill="FFFFFF"/>
        </w:rPr>
        <w:t>También, te contamos que ya publicamos </w:t>
      </w:r>
      <w:r w:rsidRPr="00F12E6B">
        <w:rPr>
          <w:rFonts w:ascii="Verdana" w:hAnsi="Verdana" w:cs="Arial"/>
          <w:b/>
          <w:bCs/>
          <w:shd w:val="clear" w:color="auto" w:fill="FFFFFF"/>
        </w:rPr>
        <w:t>la nueva Guía de Contratación Pública Sostenible y Socialmente Responsable</w:t>
      </w:r>
      <w:r w:rsidRPr="00F12E6B">
        <w:rPr>
          <w:rFonts w:ascii="Verdana" w:hAnsi="Verdana" w:cs="Arial"/>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F12E6B">
          <w:rPr>
            <w:rStyle w:val="Hipervnculo"/>
            <w:rFonts w:ascii="Verdana" w:hAnsi="Verdana" w:cs="Arial"/>
            <w:shd w:val="clear" w:color="auto" w:fill="FFFFFF"/>
          </w:rPr>
          <w:t>Guía de Contratación Pública Sostenible y Socialmente Responsable | Colombia Compra Eficiente | Agencia Nacional de Contratación Pública</w:t>
        </w:r>
      </w:hyperlink>
    </w:p>
    <w:p w14:paraId="2543F713" w14:textId="77777777" w:rsidR="00AD423B" w:rsidRPr="00F12E6B" w:rsidRDefault="00AD423B" w:rsidP="00F12E6B">
      <w:pPr>
        <w:spacing w:after="0" w:line="276" w:lineRule="auto"/>
        <w:jc w:val="both"/>
        <w:rPr>
          <w:rFonts w:ascii="Verdana" w:hAnsi="Verdana"/>
        </w:rPr>
      </w:pPr>
    </w:p>
    <w:p w14:paraId="1570ED43" w14:textId="2582C81E" w:rsidR="008815E5" w:rsidRPr="00F12E6B" w:rsidRDefault="008815E5" w:rsidP="00F12E6B">
      <w:pPr>
        <w:spacing w:after="0" w:line="276" w:lineRule="auto"/>
        <w:jc w:val="both"/>
        <w:rPr>
          <w:rFonts w:ascii="Verdana" w:hAnsi="Verdana"/>
        </w:rPr>
      </w:pPr>
      <w:r w:rsidRPr="00F12E6B">
        <w:rPr>
          <w:rFonts w:ascii="Verdana" w:hAnsi="Verdana"/>
        </w:rPr>
        <w:t xml:space="preserve">Por último, lo invitamos a seguirnos en las redes sociales en las cuales se difunde información institucional: </w:t>
      </w:r>
    </w:p>
    <w:p w14:paraId="284AF384" w14:textId="77777777" w:rsidR="008815E5" w:rsidRPr="00F12E6B" w:rsidRDefault="008815E5" w:rsidP="00F12E6B">
      <w:pPr>
        <w:spacing w:after="0" w:line="276" w:lineRule="auto"/>
        <w:jc w:val="both"/>
        <w:rPr>
          <w:rFonts w:ascii="Verdana" w:hAnsi="Verdana"/>
        </w:rPr>
      </w:pPr>
    </w:p>
    <w:p w14:paraId="5E6CD010" w14:textId="77777777" w:rsidR="008815E5" w:rsidRPr="00F12E6B" w:rsidRDefault="008815E5" w:rsidP="00F12E6B">
      <w:pPr>
        <w:spacing w:after="0" w:line="276" w:lineRule="auto"/>
        <w:jc w:val="both"/>
        <w:rPr>
          <w:rFonts w:ascii="Verdana" w:hAnsi="Verdana"/>
        </w:rPr>
      </w:pPr>
      <w:r w:rsidRPr="00F12E6B">
        <w:rPr>
          <w:rFonts w:ascii="Verdana" w:hAnsi="Verdana"/>
        </w:rPr>
        <w:t xml:space="preserve">Twitter: </w:t>
      </w:r>
      <w:r w:rsidRPr="00F12E6B">
        <w:rPr>
          <w:rStyle w:val="Hipervnculo"/>
          <w:rFonts w:ascii="Verdana" w:hAnsi="Verdana"/>
          <w:color w:val="auto"/>
        </w:rPr>
        <w:t>@colombiacompra</w:t>
      </w:r>
      <w:r w:rsidRPr="00F12E6B">
        <w:rPr>
          <w:rFonts w:ascii="Verdana" w:hAnsi="Verdana"/>
        </w:rPr>
        <w:t xml:space="preserve"> </w:t>
      </w:r>
    </w:p>
    <w:p w14:paraId="0F76F019" w14:textId="77777777" w:rsidR="008815E5" w:rsidRPr="00F12E6B" w:rsidRDefault="008815E5" w:rsidP="00F12E6B">
      <w:pPr>
        <w:spacing w:after="0" w:line="276" w:lineRule="auto"/>
        <w:jc w:val="both"/>
        <w:rPr>
          <w:rFonts w:ascii="Verdana" w:hAnsi="Verdana"/>
        </w:rPr>
      </w:pPr>
      <w:r w:rsidRPr="00F12E6B">
        <w:rPr>
          <w:rFonts w:ascii="Verdana" w:hAnsi="Verdana"/>
        </w:rPr>
        <w:t xml:space="preserve">Facebook: </w:t>
      </w:r>
      <w:r w:rsidRPr="00F12E6B">
        <w:rPr>
          <w:rStyle w:val="Hipervnculo"/>
          <w:rFonts w:ascii="Verdana" w:hAnsi="Verdana"/>
          <w:color w:val="auto"/>
        </w:rPr>
        <w:t>ColombiaCompraEficiente</w:t>
      </w:r>
    </w:p>
    <w:p w14:paraId="60E5B357" w14:textId="77777777" w:rsidR="008815E5" w:rsidRPr="00F12E6B" w:rsidRDefault="008815E5" w:rsidP="00F12E6B">
      <w:pPr>
        <w:spacing w:after="0" w:line="276" w:lineRule="auto"/>
        <w:jc w:val="both"/>
        <w:rPr>
          <w:rFonts w:ascii="Verdana" w:hAnsi="Verdana"/>
        </w:rPr>
      </w:pPr>
      <w:r w:rsidRPr="00F12E6B">
        <w:rPr>
          <w:rFonts w:ascii="Verdana" w:hAnsi="Verdana"/>
        </w:rPr>
        <w:t xml:space="preserve">LinkedIn: </w:t>
      </w:r>
      <w:r w:rsidRPr="00F12E6B">
        <w:rPr>
          <w:rStyle w:val="Hipervnculo"/>
          <w:rFonts w:ascii="Verdana" w:hAnsi="Verdana"/>
          <w:color w:val="auto"/>
        </w:rPr>
        <w:t>Agencia Nacional de Contratación Pública - Colombia Compra Eficiente</w:t>
      </w:r>
      <w:r w:rsidRPr="00F12E6B">
        <w:rPr>
          <w:rFonts w:ascii="Verdana" w:hAnsi="Verdana"/>
        </w:rPr>
        <w:t xml:space="preserve"> Instagram: </w:t>
      </w:r>
      <w:r w:rsidRPr="00F12E6B">
        <w:rPr>
          <w:rStyle w:val="Hipervnculo"/>
          <w:rFonts w:ascii="Verdana" w:hAnsi="Verdana"/>
          <w:color w:val="auto"/>
        </w:rPr>
        <w:t>@colombiacompraeficiente_cce</w:t>
      </w:r>
    </w:p>
    <w:p w14:paraId="6980ECB3" w14:textId="77777777" w:rsidR="00871B59" w:rsidRPr="007C1C94"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7C1C94" w:rsidRDefault="00871B59" w:rsidP="00871B59">
      <w:pPr>
        <w:widowControl w:val="0"/>
        <w:autoSpaceDE w:val="0"/>
        <w:autoSpaceDN w:val="0"/>
        <w:spacing w:after="0" w:line="276" w:lineRule="auto"/>
        <w:jc w:val="both"/>
        <w:rPr>
          <w:rFonts w:ascii="Verdana" w:hAnsi="Verdana" w:cs="Arial"/>
          <w:lang w:val="es-ES_tradnl"/>
        </w:rPr>
      </w:pPr>
      <w:r w:rsidRPr="007C1C94">
        <w:rPr>
          <w:rFonts w:ascii="Verdana" w:hAnsi="Verdana" w:cs="Arial"/>
        </w:rPr>
        <w:t xml:space="preserve">Este concepto tiene el alcance previsto en el artículo 28 del Código de Procedimiento Administrativo y de lo Contencioso Administrativo </w:t>
      </w:r>
      <w:r w:rsidRPr="007C1C94">
        <w:rPr>
          <w:rFonts w:ascii="Verdana" w:hAnsi="Verdana" w:cs="Arial"/>
          <w:lang w:val="es-ES_tradnl"/>
        </w:rPr>
        <w:t>y las expresiones aquí utilizadas con mayúscula inicial deben ser entendidas con el significado que les otorga el artículo 2.2.1.1.1.3.1. del Decreto 1082 de 2015.</w:t>
      </w:r>
    </w:p>
    <w:p w14:paraId="76160CFD" w14:textId="77777777" w:rsidR="00871B59" w:rsidRPr="007C1C94"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7C1C94" w:rsidRDefault="00871B59" w:rsidP="00871B59">
      <w:pPr>
        <w:spacing w:after="0" w:line="240" w:lineRule="auto"/>
        <w:rPr>
          <w:rFonts w:ascii="Verdana" w:hAnsi="Verdana" w:cs="Arial"/>
          <w:lang w:eastAsia="es-CO"/>
        </w:rPr>
      </w:pPr>
      <w:r w:rsidRPr="007C1C94">
        <w:rPr>
          <w:rFonts w:ascii="Verdana" w:eastAsia="Times New Roman" w:hAnsi="Verdana" w:cs="Arial"/>
          <w:lang w:eastAsia="es-CO"/>
        </w:rPr>
        <w:t>Atentamente,</w:t>
      </w:r>
      <w:r w:rsidRPr="007C1C94">
        <w:rPr>
          <w:rFonts w:ascii="Verdana" w:hAnsi="Verdana" w:cs="Arial"/>
          <w:lang w:eastAsia="es-CO"/>
        </w:rPr>
        <w:t xml:space="preserve"> </w:t>
      </w:r>
    </w:p>
    <w:p w14:paraId="7B21B32E" w14:textId="5ABF2E38" w:rsidR="00871B59" w:rsidRPr="007C1C94" w:rsidRDefault="00243117" w:rsidP="00871B59">
      <w:pPr>
        <w:spacing w:line="276" w:lineRule="auto"/>
        <w:jc w:val="center"/>
        <w:rPr>
          <w:rFonts w:ascii="Verdana" w:hAnsi="Verdana" w:cs="Arial"/>
          <w:lang w:val="es-ES_tradnl" w:eastAsia="es-CO"/>
        </w:rPr>
      </w:pPr>
      <w:r>
        <w:rPr>
          <w:noProof/>
        </w:rPr>
        <w:drawing>
          <wp:inline distT="0" distB="0" distL="0" distR="0" wp14:anchorId="735D13BA" wp14:editId="54CAAA4D">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C1C94" w:rsidRPr="007C1C94" w14:paraId="2A20789D" w14:textId="77777777" w:rsidTr="002607A7">
        <w:trPr>
          <w:trHeight w:val="315"/>
        </w:trPr>
        <w:tc>
          <w:tcPr>
            <w:tcW w:w="893" w:type="dxa"/>
            <w:vAlign w:val="center"/>
            <w:hideMark/>
          </w:tcPr>
          <w:p w14:paraId="56E3D941" w14:textId="77777777" w:rsidR="00871B59" w:rsidRPr="007C1C94" w:rsidRDefault="00871B59" w:rsidP="002607A7">
            <w:pPr>
              <w:contextualSpacing/>
              <w:rPr>
                <w:rFonts w:ascii="Verdana" w:hAnsi="Verdana" w:cs="Arial"/>
                <w:sz w:val="16"/>
                <w:szCs w:val="16"/>
                <w:lang w:val="es-ES" w:eastAsia="es-ES"/>
              </w:rPr>
            </w:pPr>
            <w:r w:rsidRPr="007C1C9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28207" w14:textId="50E4DD2D" w:rsidR="00871B59" w:rsidRPr="00F12E6B" w:rsidRDefault="007C1C94" w:rsidP="002607A7">
            <w:pPr>
              <w:contextualSpacing/>
              <w:rPr>
                <w:rStyle w:val="normaltextrun"/>
              </w:rPr>
            </w:pPr>
            <w:r w:rsidRPr="00F12E6B">
              <w:rPr>
                <w:rStyle w:val="normaltextrun"/>
                <w:rFonts w:ascii="Verdana" w:hAnsi="Verdana"/>
                <w:sz w:val="16"/>
                <w:szCs w:val="16"/>
              </w:rPr>
              <w:t>Ximena Ríos López</w:t>
            </w:r>
          </w:p>
          <w:p w14:paraId="27134A92" w14:textId="1220420E" w:rsidR="00871B59" w:rsidRPr="007C1C94" w:rsidRDefault="007C1C94" w:rsidP="002607A7">
            <w:pPr>
              <w:contextualSpacing/>
              <w:rPr>
                <w:rFonts w:ascii="Verdana" w:eastAsia="Arial" w:hAnsi="Verdana" w:cs="Arial"/>
                <w:sz w:val="16"/>
                <w:szCs w:val="16"/>
              </w:rPr>
            </w:pPr>
            <w:r>
              <w:rPr>
                <w:rStyle w:val="normaltextrun"/>
                <w:rFonts w:ascii="Verdana" w:eastAsia="Arial" w:hAnsi="Verdana" w:cs="Arial"/>
                <w:sz w:val="16"/>
                <w:szCs w:val="16"/>
              </w:rPr>
              <w:t xml:space="preserve">Gestor T1-11 </w:t>
            </w:r>
            <w:r w:rsidR="00871B59" w:rsidRPr="007C1C94">
              <w:rPr>
                <w:rStyle w:val="normaltextrun"/>
                <w:rFonts w:ascii="Verdana" w:eastAsia="Arial" w:hAnsi="Verdana" w:cs="Arial"/>
                <w:sz w:val="16"/>
                <w:szCs w:val="16"/>
              </w:rPr>
              <w:t>de la Subdirección de Gestión Contractual</w:t>
            </w:r>
          </w:p>
        </w:tc>
      </w:tr>
      <w:tr w:rsidR="007C1C94" w:rsidRPr="007C1C94" w14:paraId="409BBACC" w14:textId="77777777" w:rsidTr="002607A7">
        <w:trPr>
          <w:trHeight w:val="330"/>
        </w:trPr>
        <w:tc>
          <w:tcPr>
            <w:tcW w:w="893" w:type="dxa"/>
            <w:vAlign w:val="center"/>
            <w:hideMark/>
          </w:tcPr>
          <w:p w14:paraId="3ABFF401" w14:textId="77777777" w:rsidR="00871B59" w:rsidRPr="007C1C94" w:rsidRDefault="00871B59" w:rsidP="002607A7">
            <w:pPr>
              <w:contextualSpacing/>
              <w:rPr>
                <w:rFonts w:ascii="Verdana" w:hAnsi="Verdana" w:cs="Arial"/>
                <w:sz w:val="16"/>
                <w:szCs w:val="16"/>
                <w:lang w:val="es-ES" w:eastAsia="es-ES"/>
              </w:rPr>
            </w:pPr>
            <w:r w:rsidRPr="007C1C9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00A373" w14:textId="265CA446" w:rsidR="00871B59" w:rsidRPr="00184489" w:rsidRDefault="00184489" w:rsidP="002607A7">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Diana Saavedra</w:t>
            </w:r>
          </w:p>
          <w:p w14:paraId="408B71DB" w14:textId="2CE0CEAA" w:rsidR="00871B59" w:rsidRPr="007C1C94" w:rsidRDefault="007C1C94" w:rsidP="002607A7">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 xml:space="preserve">Contratista </w:t>
            </w:r>
            <w:r w:rsidR="00871B59" w:rsidRPr="007C1C94">
              <w:rPr>
                <w:rStyle w:val="normaltextrun"/>
                <w:rFonts w:ascii="Verdana" w:hAnsi="Verdana" w:cs="Arial"/>
                <w:sz w:val="16"/>
                <w:szCs w:val="16"/>
                <w:lang w:val="es-ES"/>
              </w:rPr>
              <w:t>de la Subdirección de Gestión Contractual</w:t>
            </w:r>
            <w:r w:rsidR="00871B59" w:rsidRPr="007C1C94">
              <w:rPr>
                <w:rStyle w:val="eop"/>
                <w:rFonts w:ascii="Verdana" w:hAnsi="Verdana" w:cs="Arial"/>
                <w:sz w:val="16"/>
                <w:szCs w:val="16"/>
              </w:rPr>
              <w:t> </w:t>
            </w:r>
          </w:p>
        </w:tc>
      </w:tr>
      <w:tr w:rsidR="00871B59" w:rsidRPr="007C1C94" w14:paraId="2A81CFC8" w14:textId="77777777" w:rsidTr="002607A7">
        <w:trPr>
          <w:trHeight w:val="300"/>
        </w:trPr>
        <w:tc>
          <w:tcPr>
            <w:tcW w:w="893" w:type="dxa"/>
            <w:vAlign w:val="center"/>
          </w:tcPr>
          <w:p w14:paraId="3159EE97" w14:textId="77777777" w:rsidR="00871B59" w:rsidRPr="007C1C94" w:rsidRDefault="00871B59" w:rsidP="002607A7">
            <w:pPr>
              <w:contextualSpacing/>
              <w:rPr>
                <w:rFonts w:ascii="Verdana" w:hAnsi="Verdana" w:cs="Arial"/>
                <w:sz w:val="16"/>
                <w:szCs w:val="16"/>
                <w:lang w:val="es-ES" w:eastAsia="es-ES"/>
              </w:rPr>
            </w:pPr>
            <w:r w:rsidRPr="007C1C9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7C1C94" w:rsidRDefault="00871B59" w:rsidP="002607A7">
            <w:pPr>
              <w:contextualSpacing/>
              <w:rPr>
                <w:rFonts w:ascii="Verdana" w:eastAsia="Calibri" w:hAnsi="Verdana" w:cs="Arial"/>
                <w:sz w:val="16"/>
                <w:szCs w:val="16"/>
                <w:lang w:val="pt-BR" w:eastAsia="es-ES"/>
              </w:rPr>
            </w:pPr>
            <w:r w:rsidRPr="007C1C94">
              <w:rPr>
                <w:rFonts w:ascii="Verdana" w:eastAsia="Calibri" w:hAnsi="Verdana" w:cs="Arial"/>
                <w:sz w:val="16"/>
                <w:szCs w:val="16"/>
                <w:lang w:val="pt-BR" w:eastAsia="es-ES"/>
              </w:rPr>
              <w:t>Carolina Quintero Gacharná</w:t>
            </w:r>
          </w:p>
          <w:p w14:paraId="6EE38C14" w14:textId="77777777" w:rsidR="00871B59" w:rsidRPr="007C1C94" w:rsidRDefault="00871B59" w:rsidP="002607A7">
            <w:pPr>
              <w:contextualSpacing/>
              <w:rPr>
                <w:rFonts w:ascii="Verdana" w:eastAsia="Calibri" w:hAnsi="Verdana" w:cs="Arial"/>
                <w:sz w:val="16"/>
                <w:szCs w:val="16"/>
                <w:lang w:val="pt-BR" w:eastAsia="es-ES"/>
              </w:rPr>
            </w:pPr>
            <w:r w:rsidRPr="007C1C94">
              <w:rPr>
                <w:rFonts w:ascii="Verdana" w:eastAsia="Calibri" w:hAnsi="Verdana" w:cs="Arial"/>
                <w:sz w:val="16"/>
                <w:szCs w:val="16"/>
                <w:lang w:eastAsia="es-ES"/>
              </w:rPr>
              <w:t>Subdirectora</w:t>
            </w:r>
            <w:r w:rsidRPr="007C1C94">
              <w:rPr>
                <w:rFonts w:ascii="Verdana" w:eastAsia="Calibri" w:hAnsi="Verdana" w:cs="Arial"/>
                <w:sz w:val="16"/>
                <w:szCs w:val="16"/>
                <w:lang w:val="pt-BR" w:eastAsia="es-ES"/>
              </w:rPr>
              <w:t xml:space="preserve"> de Gestión Contractual ANCP – CCE</w:t>
            </w:r>
          </w:p>
        </w:tc>
      </w:tr>
      <w:tr w:rsidR="00CE034A" w:rsidRPr="007C1C94" w14:paraId="54F16F13" w14:textId="77777777" w:rsidTr="002607A7">
        <w:trPr>
          <w:trHeight w:val="300"/>
        </w:trPr>
        <w:tc>
          <w:tcPr>
            <w:tcW w:w="893" w:type="dxa"/>
            <w:vAlign w:val="center"/>
          </w:tcPr>
          <w:p w14:paraId="56B00416" w14:textId="4B7D9C6F" w:rsidR="00CE034A" w:rsidRPr="007C1C94" w:rsidRDefault="00CE034A" w:rsidP="002607A7">
            <w:pPr>
              <w:contextualSpacing/>
              <w:rPr>
                <w:rFonts w:ascii="Verdana" w:hAnsi="Verdana" w:cs="Arial"/>
                <w:sz w:val="16"/>
                <w:szCs w:val="16"/>
                <w:lang w:val="es-ES" w:eastAsia="es-ES"/>
              </w:rPr>
            </w:pPr>
            <w:r>
              <w:rPr>
                <w:rFonts w:ascii="Verdana" w:hAnsi="Verdana" w:cs="Arial"/>
                <w:sz w:val="16"/>
                <w:szCs w:val="16"/>
                <w:lang w:val="es-ES" w:eastAsia="es-ES"/>
              </w:rPr>
              <w:t>Anexo:</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9999B8E" w14:textId="3DFF1AAA" w:rsidR="00CE034A" w:rsidRPr="007C1C94" w:rsidRDefault="00CE034A" w:rsidP="002607A7">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Respuesta IDT.</w:t>
            </w:r>
          </w:p>
        </w:tc>
      </w:tr>
    </w:tbl>
    <w:p w14:paraId="510CF084" w14:textId="77777777" w:rsidR="00871B59" w:rsidRPr="007C1C94" w:rsidRDefault="00871B59" w:rsidP="00871B59">
      <w:pPr>
        <w:spacing w:after="0" w:line="240" w:lineRule="auto"/>
        <w:rPr>
          <w:rFonts w:ascii="Verdana" w:eastAsia="Times New Roman" w:hAnsi="Verdana" w:cs="Arial"/>
          <w:sz w:val="24"/>
          <w:szCs w:val="24"/>
          <w:lang w:eastAsia="es-ES"/>
        </w:rPr>
      </w:pPr>
    </w:p>
    <w:p w14:paraId="0083C991" w14:textId="5C765C2F" w:rsidR="5D8505AD" w:rsidRPr="007C1C94" w:rsidRDefault="5D8505AD" w:rsidP="00871B59"/>
    <w:sectPr w:rsidR="5D8505AD" w:rsidRPr="007C1C94" w:rsidSect="00E45F4B">
      <w:headerReference w:type="default" r:id="rId18"/>
      <w:footerReference w:type="default" r:id="rId1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2EDBA" w14:textId="77777777" w:rsidR="008362C8" w:rsidRDefault="008362C8" w:rsidP="00B30448">
      <w:pPr>
        <w:spacing w:after="0" w:line="240" w:lineRule="auto"/>
      </w:pPr>
      <w:r>
        <w:separator/>
      </w:r>
    </w:p>
  </w:endnote>
  <w:endnote w:type="continuationSeparator" w:id="0">
    <w:p w14:paraId="279F66C3" w14:textId="77777777" w:rsidR="008362C8" w:rsidRDefault="008362C8" w:rsidP="00B30448">
      <w:pPr>
        <w:spacing w:after="0" w:line="240" w:lineRule="auto"/>
      </w:pPr>
      <w:r>
        <w:continuationSeparator/>
      </w:r>
    </w:p>
  </w:endnote>
  <w:endnote w:type="continuationNotice" w:id="1">
    <w:p w14:paraId="1C76A60D" w14:textId="77777777" w:rsidR="008362C8" w:rsidRDefault="008362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Aptos">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C803DD" w14:textId="77777777" w:rsidR="008362C8" w:rsidRDefault="008362C8" w:rsidP="00B30448">
      <w:pPr>
        <w:spacing w:after="0" w:line="240" w:lineRule="auto"/>
      </w:pPr>
      <w:r>
        <w:separator/>
      </w:r>
    </w:p>
  </w:footnote>
  <w:footnote w:type="continuationSeparator" w:id="0">
    <w:p w14:paraId="591A5F3A" w14:textId="77777777" w:rsidR="008362C8" w:rsidRDefault="008362C8" w:rsidP="00B30448">
      <w:pPr>
        <w:spacing w:after="0" w:line="240" w:lineRule="auto"/>
      </w:pPr>
      <w:r>
        <w:continuationSeparator/>
      </w:r>
    </w:p>
  </w:footnote>
  <w:footnote w:type="continuationNotice" w:id="1">
    <w:p w14:paraId="755BDE09" w14:textId="77777777" w:rsidR="008362C8" w:rsidRDefault="008362C8">
      <w:pPr>
        <w:spacing w:after="0" w:line="240" w:lineRule="auto"/>
      </w:pPr>
    </w:p>
  </w:footnote>
  <w:footnote w:id="2">
    <w:p w14:paraId="354B4B3C" w14:textId="77777777" w:rsidR="00FD3670" w:rsidRDefault="00FD3670" w:rsidP="00FD3670">
      <w:pPr>
        <w:pStyle w:val="Textonotapie"/>
        <w:ind w:firstLine="709"/>
        <w:contextualSpacing/>
        <w:jc w:val="both"/>
        <w:rPr>
          <w:rFonts w:ascii="Verdana" w:hAnsi="Verdana" w:cs="Arial"/>
          <w:color w:val="000000" w:themeColor="text1"/>
          <w:sz w:val="18"/>
          <w:szCs w:val="18"/>
        </w:rPr>
      </w:pPr>
      <w:r w:rsidRPr="00424097">
        <w:rPr>
          <w:rStyle w:val="Refdenotaalpie"/>
          <w:rFonts w:ascii="Verdana" w:hAnsi="Verdana" w:cs="Arial"/>
          <w:color w:val="000000" w:themeColor="text1"/>
          <w:sz w:val="18"/>
          <w:szCs w:val="18"/>
        </w:rPr>
        <w:footnoteRef/>
      </w:r>
      <w:r w:rsidRPr="00424097">
        <w:rPr>
          <w:rFonts w:ascii="Verdana" w:hAnsi="Verdana" w:cs="Arial"/>
          <w:color w:val="000000" w:themeColor="text1"/>
          <w:sz w:val="18"/>
          <w:szCs w:val="18"/>
        </w:rPr>
        <w:t xml:space="preserve"> Corte Constitucional. Sentencia C- 341 del 4 de junio de 2014. M. P. Mauricio González Cuervo.</w:t>
      </w:r>
    </w:p>
    <w:p w14:paraId="3E410464" w14:textId="77777777" w:rsidR="00424097" w:rsidRPr="00424097" w:rsidRDefault="00424097" w:rsidP="00FD3670">
      <w:pPr>
        <w:pStyle w:val="Textonotapie"/>
        <w:ind w:firstLine="709"/>
        <w:contextualSpacing/>
        <w:jc w:val="both"/>
        <w:rPr>
          <w:rFonts w:ascii="Verdana" w:hAnsi="Verdana" w:cs="Arial"/>
          <w:color w:val="000000" w:themeColor="text1"/>
          <w:sz w:val="18"/>
          <w:szCs w:val="18"/>
        </w:rPr>
      </w:pPr>
    </w:p>
  </w:footnote>
  <w:footnote w:id="3">
    <w:p w14:paraId="24920076" w14:textId="77777777" w:rsidR="00FD3670" w:rsidRPr="00424097" w:rsidRDefault="00FD3670" w:rsidP="00FD3670">
      <w:pPr>
        <w:pStyle w:val="Textonotapie"/>
        <w:ind w:firstLine="709"/>
        <w:contextualSpacing/>
        <w:jc w:val="both"/>
        <w:rPr>
          <w:rFonts w:ascii="Verdana" w:hAnsi="Verdana" w:cs="Arial"/>
          <w:color w:val="000000" w:themeColor="text1"/>
          <w:sz w:val="18"/>
          <w:szCs w:val="18"/>
        </w:rPr>
      </w:pPr>
      <w:r w:rsidRPr="00424097">
        <w:rPr>
          <w:rStyle w:val="Refdenotaalpie"/>
          <w:rFonts w:ascii="Verdana" w:hAnsi="Verdana" w:cs="Arial"/>
          <w:color w:val="000000" w:themeColor="text1"/>
          <w:sz w:val="18"/>
          <w:szCs w:val="18"/>
        </w:rPr>
        <w:footnoteRef/>
      </w:r>
      <w:r w:rsidRPr="00424097">
        <w:rPr>
          <w:rFonts w:ascii="Verdana" w:hAnsi="Verdana" w:cs="Arial"/>
          <w:color w:val="000000" w:themeColor="text1"/>
          <w:sz w:val="18"/>
          <w:szCs w:val="18"/>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1028632C" w14:textId="77777777" w:rsidR="00FD3670" w:rsidRPr="00424097" w:rsidRDefault="00FD3670" w:rsidP="00FD3670">
      <w:pPr>
        <w:pStyle w:val="Textonotapie"/>
        <w:ind w:firstLine="709"/>
        <w:contextualSpacing/>
        <w:jc w:val="both"/>
        <w:rPr>
          <w:rFonts w:ascii="Verdana" w:hAnsi="Verdana" w:cs="Arial"/>
          <w:color w:val="000000" w:themeColor="text1"/>
          <w:sz w:val="18"/>
          <w:szCs w:val="18"/>
        </w:rPr>
      </w:pPr>
      <w:r w:rsidRPr="00424097">
        <w:rPr>
          <w:rFonts w:ascii="Verdana" w:hAnsi="Verdana" w:cs="Arial"/>
          <w:color w:val="000000" w:themeColor="text1"/>
          <w:sz w:val="18"/>
          <w:szCs w:val="18"/>
        </w:rPr>
        <w:t>Lo anterior, sin perjuicio de las publicaciones previstas en el numeral 3 del artículo 30 de la Ley 80 de 1993.</w:t>
      </w:r>
    </w:p>
    <w:p w14:paraId="78713A37" w14:textId="77777777" w:rsidR="00FD3670" w:rsidRPr="00424097" w:rsidRDefault="00FD3670" w:rsidP="00FD3670">
      <w:pPr>
        <w:pStyle w:val="Textonotapie"/>
        <w:ind w:firstLine="709"/>
        <w:contextualSpacing/>
        <w:jc w:val="both"/>
        <w:rPr>
          <w:rFonts w:ascii="Verdana" w:hAnsi="Verdana" w:cs="Arial"/>
          <w:color w:val="000000" w:themeColor="text1"/>
          <w:sz w:val="18"/>
          <w:szCs w:val="18"/>
        </w:rPr>
      </w:pPr>
      <w:r w:rsidRPr="00424097">
        <w:rPr>
          <w:rFonts w:ascii="Verdana" w:hAnsi="Verdana" w:cs="Arial"/>
          <w:color w:val="000000" w:themeColor="text1"/>
          <w:sz w:val="18"/>
          <w:szCs w:val="18"/>
        </w:rPr>
        <w:t xml:space="preserve">Con el fin de materializar los objetivos a que se refiere el inciso anterior, el Gobierno Nacional desarrollará el Sistema Electrónico para la Contratación Pública, Secop, el cual: </w:t>
      </w:r>
    </w:p>
    <w:p w14:paraId="2AD348C4" w14:textId="77777777" w:rsidR="00FD3670" w:rsidRPr="00424097" w:rsidRDefault="00FD3670" w:rsidP="00FD3670">
      <w:pPr>
        <w:pStyle w:val="Textonotapie"/>
        <w:ind w:firstLine="709"/>
        <w:contextualSpacing/>
        <w:jc w:val="both"/>
        <w:rPr>
          <w:rFonts w:ascii="Verdana" w:hAnsi="Verdana" w:cs="Arial"/>
          <w:color w:val="000000" w:themeColor="text1"/>
          <w:sz w:val="18"/>
          <w:szCs w:val="18"/>
        </w:rPr>
      </w:pPr>
      <w:r w:rsidRPr="00424097">
        <w:rPr>
          <w:rFonts w:ascii="Verdana" w:hAnsi="Verdana" w:cs="Arial"/>
          <w:color w:val="000000" w:themeColor="text1"/>
          <w:sz w:val="18"/>
          <w:szCs w:val="18"/>
        </w:rPr>
        <w:t>[…]</w:t>
      </w:r>
    </w:p>
    <w:p w14:paraId="069B598E" w14:textId="77777777" w:rsidR="00FD3670" w:rsidRDefault="00FD3670" w:rsidP="00FD3670">
      <w:pPr>
        <w:pStyle w:val="Textonotapie"/>
        <w:ind w:firstLine="709"/>
        <w:contextualSpacing/>
        <w:jc w:val="both"/>
        <w:rPr>
          <w:rFonts w:ascii="Verdana" w:hAnsi="Verdana" w:cs="Arial"/>
          <w:color w:val="000000" w:themeColor="text1"/>
          <w:sz w:val="18"/>
          <w:szCs w:val="18"/>
        </w:rPr>
      </w:pPr>
      <w:r w:rsidRPr="00424097">
        <w:rPr>
          <w:rFonts w:ascii="Verdana" w:hAnsi="Verdana" w:cs="Arial"/>
          <w:color w:val="000000" w:themeColor="text1"/>
          <w:sz w:val="18"/>
          <w:szCs w:val="18"/>
        </w:rPr>
        <w:t xml:space="preserve">c) Contará con la información oficial de la contratación realizada con dineros públicos, para lo cual establecerá los patrones a que haya lugar y se encargará de su difusión a través de canales electrónico”. </w:t>
      </w:r>
    </w:p>
    <w:p w14:paraId="7153580B" w14:textId="77777777" w:rsidR="00424097" w:rsidRPr="00424097" w:rsidRDefault="00424097" w:rsidP="00FD3670">
      <w:pPr>
        <w:pStyle w:val="Textonotapie"/>
        <w:ind w:firstLine="709"/>
        <w:contextualSpacing/>
        <w:jc w:val="both"/>
        <w:rPr>
          <w:rFonts w:ascii="Verdana" w:hAnsi="Verdana" w:cs="Arial"/>
          <w:color w:val="000000" w:themeColor="text1"/>
          <w:sz w:val="18"/>
          <w:szCs w:val="18"/>
        </w:rPr>
      </w:pPr>
    </w:p>
  </w:footnote>
  <w:footnote w:id="4">
    <w:p w14:paraId="10C7419B" w14:textId="77777777" w:rsidR="00FD3670" w:rsidRPr="00424097" w:rsidRDefault="00FD3670" w:rsidP="00FD3670">
      <w:pPr>
        <w:spacing w:after="0" w:line="240" w:lineRule="auto"/>
        <w:ind w:firstLine="707"/>
        <w:contextualSpacing/>
        <w:jc w:val="both"/>
        <w:rPr>
          <w:rFonts w:ascii="Verdana" w:hAnsi="Verdana" w:cs="Arial"/>
          <w:sz w:val="18"/>
          <w:szCs w:val="18"/>
        </w:rPr>
      </w:pPr>
      <w:r w:rsidRPr="00424097">
        <w:rPr>
          <w:rStyle w:val="Refdenotaalpie"/>
          <w:rFonts w:ascii="Verdana" w:hAnsi="Verdana" w:cs="Arial"/>
          <w:sz w:val="18"/>
          <w:szCs w:val="18"/>
        </w:rPr>
        <w:footnoteRef/>
      </w:r>
      <w:r w:rsidRPr="00424097">
        <w:rPr>
          <w:rFonts w:ascii="Verdana" w:hAnsi="Verdana" w:cs="Arial"/>
          <w:sz w:val="18"/>
          <w:szCs w:val="18"/>
          <w:vertAlign w:val="superscript"/>
        </w:rPr>
        <w:t xml:space="preserve"> </w:t>
      </w:r>
      <w:r w:rsidRPr="00424097">
        <w:rPr>
          <w:rFonts w:ascii="Verdana" w:hAnsi="Verdana" w:cs="Arial"/>
          <w:sz w:val="18"/>
          <w:szCs w:val="18"/>
        </w:rPr>
        <w:t>Ley 1712 de 2014: “Artículo 2. Toda información en posesión, bajo control o custodia de un sujeto obligado es pública y no podrá ser reservada o limitada sino por disposición constitucional o legal, de conformidad con la presente ley”.</w:t>
      </w:r>
    </w:p>
  </w:footnote>
  <w:footnote w:id="5">
    <w:p w14:paraId="43F1D90A" w14:textId="77777777" w:rsidR="00424097" w:rsidRDefault="00424097" w:rsidP="00FD3670">
      <w:pPr>
        <w:pStyle w:val="Textonotapie"/>
        <w:ind w:firstLine="707"/>
        <w:contextualSpacing/>
        <w:jc w:val="both"/>
        <w:rPr>
          <w:rFonts w:ascii="Verdana" w:hAnsi="Verdana" w:cs="Arial"/>
          <w:sz w:val="18"/>
          <w:szCs w:val="18"/>
          <w:vertAlign w:val="superscript"/>
        </w:rPr>
      </w:pPr>
    </w:p>
    <w:p w14:paraId="472C8072" w14:textId="25658D7E" w:rsidR="00FD3670" w:rsidRPr="00424097" w:rsidRDefault="00FD3670" w:rsidP="00FD3670">
      <w:pPr>
        <w:pStyle w:val="Textonotapie"/>
        <w:ind w:firstLine="707"/>
        <w:contextualSpacing/>
        <w:jc w:val="both"/>
        <w:rPr>
          <w:rFonts w:ascii="Verdana" w:hAnsi="Verdana" w:cs="Arial"/>
          <w:sz w:val="18"/>
          <w:szCs w:val="18"/>
          <w:lang w:val="es-CO"/>
        </w:rPr>
      </w:pPr>
      <w:r w:rsidRPr="00424097">
        <w:rPr>
          <w:rStyle w:val="Refdenotaalpie"/>
          <w:rFonts w:ascii="Verdana" w:hAnsi="Verdana" w:cs="Arial"/>
          <w:sz w:val="18"/>
          <w:szCs w:val="18"/>
        </w:rPr>
        <w:footnoteRef/>
      </w:r>
      <w:r w:rsidRPr="00424097">
        <w:rPr>
          <w:rFonts w:ascii="Verdana" w:hAnsi="Verdana" w:cs="Arial"/>
          <w:sz w:val="18"/>
          <w:szCs w:val="18"/>
          <w:vertAlign w:val="superscript"/>
        </w:rPr>
        <w:t xml:space="preserve"> </w:t>
      </w:r>
      <w:r w:rsidRPr="00424097">
        <w:rPr>
          <w:rFonts w:ascii="Verdana" w:hAnsi="Verdana" w:cs="Arial"/>
          <w:sz w:val="18"/>
          <w:szCs w:val="18"/>
        </w:rPr>
        <w:t xml:space="preserve">Ley 1712 de 2014: “Artículo 3. </w:t>
      </w:r>
      <w:bookmarkStart w:id="1" w:name="3"/>
      <w:r w:rsidRPr="00424097">
        <w:rPr>
          <w:rFonts w:ascii="Verdana" w:hAnsi="Verdana" w:cs="Arial"/>
          <w:sz w:val="18"/>
          <w:szCs w:val="18"/>
          <w:lang w:val="es-CO"/>
        </w:rPr>
        <w:t>Otros principios de la transparencia y acceso a la información pública.</w:t>
      </w:r>
      <w:bookmarkEnd w:id="1"/>
      <w:r w:rsidRPr="00424097">
        <w:rPr>
          <w:rFonts w:ascii="Verdana" w:hAnsi="Verdana" w:cs="Arial"/>
          <w:sz w:val="18"/>
          <w:szCs w:val="18"/>
          <w:lang w:val="es-CO"/>
        </w:rPr>
        <w:t> </w:t>
      </w:r>
    </w:p>
    <w:p w14:paraId="1148648B" w14:textId="77777777" w:rsidR="00FD3670" w:rsidRPr="00424097" w:rsidRDefault="00FD3670" w:rsidP="00FD3670">
      <w:pPr>
        <w:pStyle w:val="Textonotapie"/>
        <w:ind w:firstLine="707"/>
        <w:contextualSpacing/>
        <w:jc w:val="both"/>
        <w:rPr>
          <w:rFonts w:ascii="Verdana" w:hAnsi="Verdana" w:cs="Arial"/>
          <w:sz w:val="18"/>
          <w:szCs w:val="18"/>
          <w:lang w:val="es-CO"/>
        </w:rPr>
      </w:pPr>
      <w:r w:rsidRPr="00424097">
        <w:rPr>
          <w:rFonts w:ascii="Verdana" w:hAnsi="Verdana" w:cs="Arial"/>
          <w:sz w:val="18"/>
          <w:szCs w:val="18"/>
          <w:lang w:val="es-CO"/>
        </w:rPr>
        <w:t>[…]</w:t>
      </w:r>
    </w:p>
    <w:p w14:paraId="2145D4C8" w14:textId="77777777" w:rsidR="00FD3670" w:rsidRDefault="00FD3670" w:rsidP="00FD3670">
      <w:pPr>
        <w:pStyle w:val="Textonotapie"/>
        <w:ind w:firstLine="707"/>
        <w:contextualSpacing/>
        <w:jc w:val="both"/>
        <w:rPr>
          <w:rFonts w:ascii="Verdana" w:hAnsi="Verdana" w:cs="Arial"/>
          <w:sz w:val="18"/>
          <w:szCs w:val="18"/>
        </w:rPr>
      </w:pPr>
      <w:r w:rsidRPr="00424097">
        <w:rPr>
          <w:rStyle w:val="baj"/>
          <w:rFonts w:ascii="Verdana" w:hAnsi="Verdana" w:cs="Arial"/>
          <w:sz w:val="18"/>
          <w:szCs w:val="18"/>
        </w:rPr>
        <w:t>Principio de transparencia</w:t>
      </w:r>
      <w:r w:rsidRPr="00424097">
        <w:rPr>
          <w:rFonts w:ascii="Verdana" w:hAnsi="Verdana" w:cs="Arial"/>
          <w:sz w:val="18"/>
          <w:szCs w:val="18"/>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14:paraId="28F3229C" w14:textId="77777777" w:rsidR="00424097" w:rsidRPr="00424097" w:rsidRDefault="00424097" w:rsidP="00FD3670">
      <w:pPr>
        <w:pStyle w:val="Textonotapie"/>
        <w:ind w:firstLine="707"/>
        <w:contextualSpacing/>
        <w:jc w:val="both"/>
        <w:rPr>
          <w:rFonts w:ascii="Verdana" w:hAnsi="Verdana" w:cs="Arial"/>
          <w:sz w:val="18"/>
          <w:szCs w:val="18"/>
        </w:rPr>
      </w:pPr>
    </w:p>
  </w:footnote>
  <w:footnote w:id="6">
    <w:p w14:paraId="0F00BD8C" w14:textId="77777777" w:rsidR="00FD3670" w:rsidRPr="00424097" w:rsidRDefault="00FD3670" w:rsidP="00FD3670">
      <w:pPr>
        <w:pStyle w:val="Textonotapie"/>
        <w:ind w:firstLine="707"/>
        <w:contextualSpacing/>
        <w:jc w:val="both"/>
        <w:rPr>
          <w:rFonts w:ascii="Verdana" w:hAnsi="Verdana" w:cs="Arial"/>
          <w:sz w:val="18"/>
          <w:szCs w:val="18"/>
          <w:lang w:val="es-CO"/>
        </w:rPr>
      </w:pPr>
      <w:r w:rsidRPr="00424097">
        <w:rPr>
          <w:rStyle w:val="Refdenotaalpie"/>
          <w:rFonts w:ascii="Verdana" w:hAnsi="Verdana" w:cs="Arial"/>
          <w:sz w:val="18"/>
          <w:szCs w:val="18"/>
        </w:rPr>
        <w:footnoteRef/>
      </w:r>
      <w:r w:rsidRPr="00424097">
        <w:rPr>
          <w:rFonts w:ascii="Verdana" w:hAnsi="Verdana" w:cs="Arial"/>
          <w:sz w:val="18"/>
          <w:szCs w:val="18"/>
          <w:vertAlign w:val="superscript"/>
        </w:rPr>
        <w:t xml:space="preserve"> </w:t>
      </w:r>
      <w:r w:rsidRPr="00424097">
        <w:rPr>
          <w:rFonts w:ascii="Verdana" w:hAnsi="Verdana" w:cs="Arial"/>
          <w:sz w:val="18"/>
          <w:szCs w:val="18"/>
        </w:rPr>
        <w:t xml:space="preserve">Ley 1712 de 2014: “Artículo 3. </w:t>
      </w:r>
      <w:r w:rsidRPr="00424097">
        <w:rPr>
          <w:rFonts w:ascii="Verdana" w:hAnsi="Verdana" w:cs="Arial"/>
          <w:sz w:val="18"/>
          <w:szCs w:val="18"/>
          <w:lang w:val="es-CO"/>
        </w:rPr>
        <w:t>Otros principios de la transparencia y acceso a la información pública. </w:t>
      </w:r>
    </w:p>
    <w:p w14:paraId="2A7462E0" w14:textId="77777777" w:rsidR="00FD3670" w:rsidRPr="00424097" w:rsidRDefault="00FD3670" w:rsidP="00FD3670">
      <w:pPr>
        <w:pStyle w:val="Textonotapie"/>
        <w:ind w:firstLine="707"/>
        <w:contextualSpacing/>
        <w:jc w:val="both"/>
        <w:rPr>
          <w:rStyle w:val="baj"/>
          <w:rFonts w:ascii="Verdana" w:hAnsi="Verdana" w:cs="Arial"/>
          <w:sz w:val="18"/>
          <w:szCs w:val="18"/>
          <w:lang w:val="es-ES"/>
        </w:rPr>
      </w:pPr>
      <w:r w:rsidRPr="00424097">
        <w:rPr>
          <w:rFonts w:ascii="Verdana" w:hAnsi="Verdana" w:cs="Arial"/>
          <w:sz w:val="18"/>
          <w:szCs w:val="18"/>
          <w:lang w:val="es-ES"/>
        </w:rPr>
        <w:t>[…]</w:t>
      </w:r>
    </w:p>
    <w:p w14:paraId="4E01FBFF" w14:textId="77777777" w:rsidR="00FD3670" w:rsidRDefault="00FD3670" w:rsidP="00FD3670">
      <w:pPr>
        <w:pStyle w:val="Textonotapie"/>
        <w:ind w:firstLine="707"/>
        <w:contextualSpacing/>
        <w:jc w:val="both"/>
        <w:rPr>
          <w:rFonts w:ascii="Verdana" w:hAnsi="Verdana" w:cs="Arial"/>
          <w:sz w:val="18"/>
          <w:szCs w:val="18"/>
        </w:rPr>
      </w:pPr>
      <w:r w:rsidRPr="00424097">
        <w:rPr>
          <w:rStyle w:val="baj"/>
          <w:rFonts w:ascii="Verdana" w:hAnsi="Verdana" w:cs="Arial"/>
          <w:sz w:val="18"/>
          <w:szCs w:val="18"/>
        </w:rPr>
        <w:t>Principio de buena fe</w:t>
      </w:r>
      <w:r w:rsidRPr="00424097">
        <w:rPr>
          <w:rFonts w:ascii="Verdana" w:hAnsi="Verdana" w:cs="Arial"/>
          <w:sz w:val="18"/>
          <w:szCs w:val="18"/>
        </w:rPr>
        <w:t>. En virtud del cual todo sujeto obligado, al cumplir con las obligaciones derivadas del derecho de acceso a la información pública, lo hará con motivación honesta, leal y desprovista de cualquier intención dolosa o culposa.</w:t>
      </w:r>
    </w:p>
    <w:p w14:paraId="5D504D61" w14:textId="77777777" w:rsidR="00424097" w:rsidRPr="00424097" w:rsidRDefault="00424097" w:rsidP="00FD3670">
      <w:pPr>
        <w:pStyle w:val="Textonotapie"/>
        <w:ind w:firstLine="707"/>
        <w:contextualSpacing/>
        <w:jc w:val="both"/>
        <w:rPr>
          <w:rFonts w:ascii="Verdana" w:hAnsi="Verdana" w:cs="Arial"/>
          <w:sz w:val="18"/>
          <w:szCs w:val="18"/>
          <w:lang w:val="es-ES"/>
        </w:rPr>
      </w:pPr>
    </w:p>
  </w:footnote>
  <w:footnote w:id="7">
    <w:p w14:paraId="3D2D508F" w14:textId="77777777" w:rsidR="00FD3670" w:rsidRPr="00424097" w:rsidRDefault="00FD3670" w:rsidP="00FD3670">
      <w:pPr>
        <w:pStyle w:val="Textonotapie"/>
        <w:ind w:firstLine="707"/>
        <w:contextualSpacing/>
        <w:jc w:val="both"/>
        <w:rPr>
          <w:rFonts w:ascii="Verdana" w:hAnsi="Verdana" w:cs="Arial"/>
          <w:sz w:val="18"/>
          <w:szCs w:val="18"/>
          <w:shd w:val="clear" w:color="auto" w:fill="FFFFFF"/>
        </w:rPr>
      </w:pPr>
      <w:r w:rsidRPr="00424097">
        <w:rPr>
          <w:rStyle w:val="Refdenotaalpie"/>
          <w:rFonts w:ascii="Verdana" w:hAnsi="Verdana" w:cs="Arial"/>
          <w:sz w:val="18"/>
          <w:szCs w:val="18"/>
        </w:rPr>
        <w:footnoteRef/>
      </w:r>
      <w:r w:rsidRPr="00424097">
        <w:rPr>
          <w:rFonts w:ascii="Verdana" w:hAnsi="Verdana" w:cs="Arial"/>
          <w:sz w:val="18"/>
          <w:szCs w:val="18"/>
        </w:rPr>
        <w:t xml:space="preserve"> Ley 1712 de 2014: “Artículo 9. </w:t>
      </w:r>
      <w:r w:rsidRPr="00424097">
        <w:rPr>
          <w:rFonts w:ascii="Verdana" w:hAnsi="Verdana" w:cs="Arial"/>
          <w:sz w:val="18"/>
          <w:szCs w:val="18"/>
          <w:shd w:val="clear" w:color="auto" w:fill="FFFFFF"/>
        </w:rPr>
        <w:t> </w:t>
      </w:r>
      <w:r w:rsidRPr="00424097">
        <w:rPr>
          <w:rStyle w:val="nfasis"/>
          <w:rFonts w:ascii="Verdana" w:hAnsi="Verdana" w:cs="Arial"/>
          <w:sz w:val="18"/>
          <w:szCs w:val="18"/>
          <w:shd w:val="clear" w:color="auto" w:fill="FFFFFF"/>
        </w:rPr>
        <w:t>Información mínima obligatoria respecto a la estructura del sujeto obligado. </w:t>
      </w:r>
      <w:r w:rsidRPr="00424097">
        <w:rPr>
          <w:rFonts w:ascii="Verdana" w:hAnsi="Verdana" w:cs="Arial"/>
          <w:sz w:val="18"/>
          <w:szCs w:val="18"/>
          <w:shd w:val="clear" w:color="auto" w:fill="FFFFFF"/>
        </w:rPr>
        <w:t>Todo sujeto obligado deberá publicar la siguiente información mínima obligatoria de manera proactiva en los sistemas de información del Estado o herramientas que lo sustituyan:</w:t>
      </w:r>
    </w:p>
    <w:p w14:paraId="0E785F82" w14:textId="77777777" w:rsidR="00FD3670" w:rsidRPr="00424097" w:rsidRDefault="00FD3670" w:rsidP="00FD3670">
      <w:pPr>
        <w:pStyle w:val="Textonotapie"/>
        <w:ind w:firstLine="707"/>
        <w:contextualSpacing/>
        <w:jc w:val="both"/>
        <w:rPr>
          <w:rFonts w:ascii="Verdana" w:hAnsi="Verdana" w:cs="Arial"/>
          <w:sz w:val="18"/>
          <w:szCs w:val="18"/>
          <w:shd w:val="clear" w:color="auto" w:fill="FFFFFF"/>
        </w:rPr>
      </w:pPr>
      <w:r w:rsidRPr="00424097">
        <w:rPr>
          <w:rFonts w:ascii="Verdana" w:hAnsi="Verdana" w:cs="Arial"/>
          <w:sz w:val="18"/>
          <w:szCs w:val="18"/>
          <w:shd w:val="clear" w:color="auto" w:fill="FFFFFF"/>
        </w:rPr>
        <w:t>[…]</w:t>
      </w:r>
    </w:p>
    <w:p w14:paraId="3AF4C4BC" w14:textId="77777777" w:rsidR="00FD3670" w:rsidRPr="00424097" w:rsidRDefault="00FD3670" w:rsidP="00FD3670">
      <w:pPr>
        <w:pStyle w:val="Textonotapie"/>
        <w:ind w:firstLine="707"/>
        <w:contextualSpacing/>
        <w:jc w:val="both"/>
        <w:rPr>
          <w:rFonts w:ascii="Verdana" w:hAnsi="Verdana" w:cs="Arial"/>
          <w:sz w:val="18"/>
          <w:szCs w:val="18"/>
        </w:rPr>
      </w:pPr>
      <w:r w:rsidRPr="00424097">
        <w:rPr>
          <w:rFonts w:ascii="Verdana" w:hAnsi="Verdana" w:cs="Arial"/>
          <w:sz w:val="18"/>
          <w:szCs w:val="18"/>
          <w:shd w:val="clear" w:color="auto" w:fill="FFFFFF"/>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w:t>
      </w:r>
      <w:r w:rsidRPr="00424097">
        <w:rPr>
          <w:rFonts w:ascii="Verdana" w:hAnsi="Verdana" w:cs="Arial"/>
          <w:sz w:val="18"/>
          <w:szCs w:val="18"/>
        </w:rPr>
        <w:t xml:space="preserve"> </w:t>
      </w:r>
      <w:r w:rsidRPr="00424097">
        <w:rPr>
          <w:rFonts w:ascii="Verdana" w:hAnsi="Verdana" w:cs="Arial"/>
          <w:sz w:val="18"/>
          <w:szCs w:val="18"/>
          <w:shd w:val="clear" w:color="auto" w:fill="FFFFFF"/>
        </w:rPr>
        <w:t>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r w:rsidRPr="00424097">
        <w:rPr>
          <w:rFonts w:ascii="Verdana" w:hAnsi="Verdana" w:cs="Arial"/>
          <w:sz w:val="18"/>
          <w:szCs w:val="18"/>
        </w:rPr>
        <w:t>”.</w:t>
      </w:r>
    </w:p>
  </w:footnote>
  <w:footnote w:id="8">
    <w:p w14:paraId="05329616" w14:textId="77777777" w:rsidR="00424097" w:rsidRDefault="00424097" w:rsidP="00FD3670">
      <w:pPr>
        <w:spacing w:after="0" w:line="240" w:lineRule="auto"/>
        <w:ind w:firstLine="707"/>
        <w:contextualSpacing/>
        <w:jc w:val="both"/>
        <w:rPr>
          <w:rFonts w:ascii="Verdana" w:hAnsi="Verdana" w:cs="Arial"/>
          <w:sz w:val="18"/>
          <w:szCs w:val="18"/>
        </w:rPr>
      </w:pPr>
    </w:p>
    <w:p w14:paraId="5B2C3736" w14:textId="6CB5600C" w:rsidR="00FD3670" w:rsidRPr="00424097" w:rsidRDefault="00FD3670" w:rsidP="00FD3670">
      <w:pPr>
        <w:spacing w:after="0" w:line="240" w:lineRule="auto"/>
        <w:ind w:firstLine="707"/>
        <w:contextualSpacing/>
        <w:jc w:val="both"/>
        <w:rPr>
          <w:rFonts w:ascii="Verdana" w:hAnsi="Verdana" w:cs="Arial"/>
          <w:sz w:val="18"/>
          <w:szCs w:val="18"/>
        </w:rPr>
      </w:pPr>
      <w:r w:rsidRPr="00424097">
        <w:rPr>
          <w:rStyle w:val="Refdenotaalpie"/>
          <w:rFonts w:ascii="Verdana" w:hAnsi="Verdana" w:cs="Arial"/>
          <w:sz w:val="18"/>
          <w:szCs w:val="18"/>
        </w:rPr>
        <w:footnoteRef/>
      </w:r>
      <w:r w:rsidRPr="00424097">
        <w:rPr>
          <w:rFonts w:ascii="Verdana" w:hAnsi="Verdana" w:cs="Arial"/>
          <w:sz w:val="18"/>
          <w:szCs w:val="18"/>
        </w:rPr>
        <w:t xml:space="preserve"> Ley 1712 de 2014: “Artículo 5. Ámbito de aplicación. Las disposiciones de esta ley serán aplicables a las siguientes personas en calidad de sujetos obligados:</w:t>
      </w:r>
    </w:p>
    <w:p w14:paraId="4A4F076E" w14:textId="77777777" w:rsidR="00FD3670" w:rsidRDefault="00FD3670" w:rsidP="00FD3670">
      <w:pPr>
        <w:spacing w:after="0" w:line="240" w:lineRule="auto"/>
        <w:ind w:firstLine="707"/>
        <w:contextualSpacing/>
        <w:jc w:val="both"/>
        <w:rPr>
          <w:rFonts w:ascii="Verdana" w:hAnsi="Verdana" w:cs="Arial"/>
          <w:sz w:val="18"/>
          <w:szCs w:val="18"/>
        </w:rPr>
      </w:pPr>
      <w:r w:rsidRPr="00424097">
        <w:rPr>
          <w:rFonts w:ascii="Verdana" w:hAnsi="Verdana" w:cs="Arial"/>
          <w:sz w:val="18"/>
          <w:szCs w:val="18"/>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5AF11944" w14:textId="77777777" w:rsidR="00424097" w:rsidRPr="00424097" w:rsidRDefault="00424097" w:rsidP="00FD3670">
      <w:pPr>
        <w:spacing w:after="0" w:line="240" w:lineRule="auto"/>
        <w:ind w:firstLine="707"/>
        <w:contextualSpacing/>
        <w:jc w:val="both"/>
        <w:rPr>
          <w:rFonts w:ascii="Verdana" w:hAnsi="Verdana" w:cs="Arial"/>
          <w:sz w:val="18"/>
          <w:szCs w:val="18"/>
        </w:rPr>
      </w:pPr>
    </w:p>
  </w:footnote>
  <w:footnote w:id="9">
    <w:p w14:paraId="54DCE79E" w14:textId="77777777" w:rsidR="00FD3670" w:rsidRPr="00424097" w:rsidRDefault="00FD3670" w:rsidP="00FD3670">
      <w:pPr>
        <w:ind w:firstLine="709"/>
        <w:contextualSpacing/>
        <w:jc w:val="both"/>
        <w:rPr>
          <w:rFonts w:ascii="Verdana" w:hAnsi="Verdana" w:cs="Arial"/>
          <w:sz w:val="18"/>
          <w:szCs w:val="18"/>
        </w:rPr>
      </w:pPr>
      <w:r w:rsidRPr="00424097">
        <w:rPr>
          <w:rStyle w:val="Refdenotaalpie"/>
          <w:rFonts w:ascii="Verdana" w:hAnsi="Verdana" w:cs="Arial"/>
          <w:sz w:val="18"/>
          <w:szCs w:val="18"/>
        </w:rPr>
        <w:footnoteRef/>
      </w:r>
      <w:r w:rsidRPr="00424097">
        <w:rPr>
          <w:rFonts w:ascii="Verdana" w:hAnsi="Verdana" w:cs="Arial"/>
          <w:sz w:val="18"/>
          <w:szCs w:val="18"/>
        </w:rPr>
        <w:t xml:space="preserve"> “Artículo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w:t>
      </w:r>
    </w:p>
    <w:p w14:paraId="39AE7E60" w14:textId="77777777" w:rsidR="00FD3670" w:rsidRPr="00424097" w:rsidRDefault="00FD3670" w:rsidP="00FD3670">
      <w:pPr>
        <w:spacing w:after="0" w:line="240" w:lineRule="auto"/>
        <w:ind w:firstLine="708"/>
        <w:contextualSpacing/>
        <w:jc w:val="both"/>
        <w:rPr>
          <w:rFonts w:ascii="Verdana" w:hAnsi="Verdana" w:cs="Arial"/>
          <w:sz w:val="18"/>
          <w:szCs w:val="18"/>
        </w:rPr>
      </w:pPr>
      <w:r w:rsidRPr="00424097">
        <w:rPr>
          <w:rFonts w:ascii="Verdana" w:hAnsi="Verdana" w:cs="Arial"/>
          <w:sz w:val="18"/>
          <w:szCs w:val="18"/>
        </w:rPr>
        <w:t>[…].</w:t>
      </w:r>
    </w:p>
    <w:p w14:paraId="76330AE1" w14:textId="77777777" w:rsidR="00FD3670" w:rsidRDefault="00FD3670" w:rsidP="00FD3670">
      <w:pPr>
        <w:spacing w:after="0" w:line="240" w:lineRule="auto"/>
        <w:ind w:firstLine="709"/>
        <w:contextualSpacing/>
        <w:jc w:val="both"/>
        <w:rPr>
          <w:rFonts w:ascii="Verdana" w:hAnsi="Verdana" w:cs="Arial"/>
          <w:sz w:val="18"/>
          <w:szCs w:val="18"/>
        </w:rPr>
      </w:pPr>
      <w:r w:rsidRPr="00424097">
        <w:rPr>
          <w:rFonts w:ascii="Verdana" w:hAnsi="Verdana" w:cs="Arial"/>
          <w:sz w:val="18"/>
          <w:szCs w:val="18"/>
        </w:rPr>
        <w:t>Los sujetos obligados que contratan con recursos públicos y recursos privados, deben publicar la información de su gestión contractual con cargo a recursos públicos en el Sistema Electrónico para la Contratación Pública [SECOP]”.</w:t>
      </w:r>
    </w:p>
    <w:p w14:paraId="313EA30A" w14:textId="77777777" w:rsidR="00424097" w:rsidRPr="00424097" w:rsidRDefault="00424097" w:rsidP="00FD3670">
      <w:pPr>
        <w:spacing w:after="0" w:line="240" w:lineRule="auto"/>
        <w:ind w:firstLine="709"/>
        <w:contextualSpacing/>
        <w:jc w:val="both"/>
        <w:rPr>
          <w:rFonts w:ascii="Verdana" w:hAnsi="Verdana" w:cs="Arial"/>
          <w:sz w:val="18"/>
          <w:szCs w:val="18"/>
        </w:rPr>
      </w:pPr>
    </w:p>
  </w:footnote>
  <w:footnote w:id="10">
    <w:p w14:paraId="1F354A0F" w14:textId="77777777" w:rsidR="00FD3670" w:rsidRDefault="00FD3670" w:rsidP="00FD3670">
      <w:pPr>
        <w:pStyle w:val="Textonotapie"/>
        <w:ind w:firstLine="709"/>
        <w:contextualSpacing/>
        <w:jc w:val="both"/>
        <w:rPr>
          <w:rFonts w:ascii="Verdana" w:hAnsi="Verdana" w:cs="Arial"/>
          <w:color w:val="000000" w:themeColor="text1"/>
          <w:sz w:val="18"/>
          <w:szCs w:val="18"/>
        </w:rPr>
      </w:pPr>
      <w:r w:rsidRPr="00424097">
        <w:rPr>
          <w:rStyle w:val="Refdenotaalpie"/>
          <w:rFonts w:ascii="Verdana" w:hAnsi="Verdana" w:cs="Arial"/>
          <w:color w:val="000000" w:themeColor="text1"/>
          <w:sz w:val="18"/>
          <w:szCs w:val="18"/>
        </w:rPr>
        <w:footnoteRef/>
      </w:r>
      <w:r w:rsidRPr="00424097">
        <w:rPr>
          <w:rFonts w:ascii="Verdana" w:hAnsi="Verdana" w:cs="Arial"/>
          <w:color w:val="000000" w:themeColor="text1"/>
          <w:sz w:val="18"/>
          <w:szCs w:val="18"/>
        </w:rPr>
        <w:t xml:space="preserve"> Decreto 103 de 2015: “Artículo 8°. Publicación de la ejecución de contratos. Para efectos del cumplimiento de la obligación contenida en el literal g) del artículo 11 de la Ley 1712 de 2014, relativa a la información sobre la ejecución de contratos, el sujeto obligado debe publicar las aprobaciones, autorizaciones, requerimientos o informes del supervisor o del interventor, que prueben la ejecución del contrato”.</w:t>
      </w:r>
    </w:p>
    <w:p w14:paraId="134A4393" w14:textId="77777777" w:rsidR="00424097" w:rsidRPr="00424097" w:rsidRDefault="00424097" w:rsidP="00FD3670">
      <w:pPr>
        <w:pStyle w:val="Textonotapie"/>
        <w:ind w:firstLine="709"/>
        <w:contextualSpacing/>
        <w:jc w:val="both"/>
        <w:rPr>
          <w:rFonts w:ascii="Verdana" w:hAnsi="Verdana" w:cs="Arial"/>
          <w:color w:val="000000" w:themeColor="text1"/>
          <w:sz w:val="18"/>
          <w:szCs w:val="18"/>
        </w:rPr>
      </w:pPr>
    </w:p>
  </w:footnote>
  <w:footnote w:id="11">
    <w:p w14:paraId="5A66DFB7" w14:textId="77777777" w:rsidR="00FD3670" w:rsidRDefault="00FD3670" w:rsidP="00FD3670">
      <w:pPr>
        <w:pStyle w:val="Textonotapie"/>
        <w:ind w:firstLine="709"/>
        <w:contextualSpacing/>
        <w:jc w:val="both"/>
        <w:rPr>
          <w:rFonts w:ascii="Verdana" w:hAnsi="Verdana" w:cs="Arial"/>
          <w:color w:val="000000" w:themeColor="text1"/>
          <w:sz w:val="18"/>
          <w:szCs w:val="18"/>
        </w:rPr>
      </w:pPr>
      <w:r w:rsidRPr="00424097">
        <w:rPr>
          <w:rStyle w:val="Refdenotaalpie"/>
          <w:rFonts w:ascii="Verdana" w:hAnsi="Verdana" w:cs="Arial"/>
          <w:color w:val="000000" w:themeColor="text1"/>
          <w:sz w:val="18"/>
          <w:szCs w:val="18"/>
        </w:rPr>
        <w:footnoteRef/>
      </w:r>
      <w:r w:rsidRPr="00424097">
        <w:rPr>
          <w:rFonts w:ascii="Verdana" w:hAnsi="Verdana" w:cs="Arial"/>
          <w:color w:val="000000" w:themeColor="text1"/>
          <w:sz w:val="18"/>
          <w:szCs w:val="18"/>
        </w:rPr>
        <w:t xml:space="preserve"> Decreto 103 de 2015: “Artículo 9°. Publicación de procedimientos, lineamientos y políticas en materia de adquisición y compras. Para los sujetos obligados que contratan con cargo a recursos públicos, los procedimientos, lineamientos y políticas en materia de adquisición y compras de los que trata el literal g) del artículo 11 de la Ley 1712 de 2014 son los previstos en el manual de contratación expedido conforme a las directrices señaladas por la Agencia Nacional de Contratación Pública ─ Colombia Compra Eficiente, el cual debe estar publicado en el sitio web oficial del sujeto obligado”.</w:t>
      </w:r>
    </w:p>
    <w:p w14:paraId="172D33E2" w14:textId="77777777" w:rsidR="00424097" w:rsidRPr="00424097" w:rsidRDefault="00424097" w:rsidP="00FD3670">
      <w:pPr>
        <w:pStyle w:val="Textonotapie"/>
        <w:ind w:firstLine="709"/>
        <w:contextualSpacing/>
        <w:jc w:val="both"/>
        <w:rPr>
          <w:rFonts w:ascii="Verdana" w:hAnsi="Verdana" w:cs="Arial"/>
          <w:color w:val="000000" w:themeColor="text1"/>
          <w:sz w:val="18"/>
          <w:szCs w:val="18"/>
        </w:rPr>
      </w:pPr>
    </w:p>
  </w:footnote>
  <w:footnote w:id="12">
    <w:p w14:paraId="37A14726" w14:textId="77777777" w:rsidR="00FD3670" w:rsidRPr="00424097" w:rsidRDefault="00FD3670" w:rsidP="00FD3670">
      <w:pPr>
        <w:pStyle w:val="Textonotapie"/>
        <w:ind w:firstLine="709"/>
        <w:contextualSpacing/>
        <w:jc w:val="both"/>
        <w:rPr>
          <w:rFonts w:ascii="Verdana" w:hAnsi="Verdana" w:cs="Arial"/>
          <w:color w:val="000000" w:themeColor="text1"/>
          <w:sz w:val="18"/>
          <w:szCs w:val="18"/>
        </w:rPr>
      </w:pPr>
      <w:r w:rsidRPr="00424097">
        <w:rPr>
          <w:rStyle w:val="Refdenotaalpie"/>
          <w:rFonts w:ascii="Verdana" w:hAnsi="Verdana" w:cs="Arial"/>
          <w:color w:val="000000" w:themeColor="text1"/>
          <w:sz w:val="18"/>
          <w:szCs w:val="18"/>
        </w:rPr>
        <w:footnoteRef/>
      </w:r>
      <w:r w:rsidRPr="00424097">
        <w:rPr>
          <w:rFonts w:ascii="Verdana" w:hAnsi="Verdana" w:cs="Arial"/>
          <w:color w:val="000000" w:themeColor="text1"/>
          <w:sz w:val="18"/>
          <w:szCs w:val="18"/>
        </w:rPr>
        <w:t xml:space="preserve"> Decreto 103 de 2015: “Artículo 10. Publicación del Plan Anual de Adquisiciones. Los sujetos obligados que contratan con cargo a recursos públicos deben publicar en su página web y en el Secop el Plan Anual de Adquisiciones, de acuerdo con lo previsto en el artículo 74 de la Ley 1474 de 2011, el literal e) del artículo 9° de la Ley 1712 de 2014 y el Decreto 1510 de 2013, o el que lo modifique, sustituya o adicione.</w:t>
      </w:r>
    </w:p>
    <w:p w14:paraId="41334436" w14:textId="77777777" w:rsidR="00FD3670" w:rsidRPr="00424097" w:rsidRDefault="00FD3670" w:rsidP="00FD3670">
      <w:pPr>
        <w:pStyle w:val="Textonotapie"/>
        <w:ind w:firstLine="709"/>
        <w:contextualSpacing/>
        <w:jc w:val="both"/>
        <w:rPr>
          <w:rFonts w:ascii="Verdana" w:hAnsi="Verdana" w:cs="Arial"/>
          <w:color w:val="000000" w:themeColor="text1"/>
          <w:sz w:val="18"/>
          <w:szCs w:val="18"/>
        </w:rPr>
      </w:pPr>
      <w:r w:rsidRPr="00424097">
        <w:rPr>
          <w:rFonts w:ascii="Verdana" w:hAnsi="Verdana" w:cs="Arial"/>
          <w:color w:val="000000" w:themeColor="text1"/>
          <w:sz w:val="18"/>
          <w:szCs w:val="18"/>
        </w:rPr>
        <w:t>Los sujetos obligados que no contratan con cargo a recursos públicos no están obligados a publicar su Plan Anual de Adquisiciones.</w:t>
      </w:r>
    </w:p>
    <w:p w14:paraId="66CCA96D" w14:textId="77777777" w:rsidR="00FD3670" w:rsidRPr="00424097" w:rsidRDefault="00FD3670" w:rsidP="00FD3670">
      <w:pPr>
        <w:pStyle w:val="Textonotapie"/>
        <w:ind w:firstLine="709"/>
        <w:contextualSpacing/>
        <w:jc w:val="both"/>
        <w:rPr>
          <w:rFonts w:ascii="Verdana" w:hAnsi="Verdana" w:cs="Arial"/>
          <w:color w:val="000000" w:themeColor="text1"/>
          <w:sz w:val="18"/>
          <w:szCs w:val="18"/>
        </w:rPr>
      </w:pPr>
      <w:r w:rsidRPr="00424097">
        <w:rPr>
          <w:rFonts w:ascii="Verdana" w:hAnsi="Verdana" w:cs="Arial"/>
          <w:color w:val="000000" w:themeColor="text1"/>
          <w:sz w:val="18"/>
          <w:szCs w:val="18"/>
        </w:rPr>
        <w:t>Los sujetos obligados que contratan con cargo a recursos públicos y recursos privados, deben publicar en su página web y en el SECOP el Plan Anual de Adquisiciones para los recursos de carácter público que ejecutarán en el año.</w:t>
      </w:r>
    </w:p>
    <w:p w14:paraId="548CA452" w14:textId="77777777" w:rsidR="00FD3670" w:rsidRDefault="00FD3670" w:rsidP="00FD3670">
      <w:pPr>
        <w:pStyle w:val="Textonotapie"/>
        <w:ind w:firstLine="709"/>
        <w:contextualSpacing/>
        <w:jc w:val="both"/>
        <w:rPr>
          <w:rFonts w:ascii="Verdana" w:hAnsi="Verdana" w:cs="Arial"/>
          <w:color w:val="000000" w:themeColor="text1"/>
          <w:sz w:val="18"/>
          <w:szCs w:val="18"/>
        </w:rPr>
      </w:pPr>
      <w:r w:rsidRPr="00424097">
        <w:rPr>
          <w:rFonts w:ascii="Verdana" w:hAnsi="Verdana" w:cs="Arial"/>
          <w:color w:val="000000" w:themeColor="text1"/>
          <w:sz w:val="18"/>
          <w:szCs w:val="18"/>
        </w:rPr>
        <w:t>Se entenderá como definición de Plan Anual de Adquisiciones respecto a todos los sujetos obligados que contratan con recursos públicos, la prevista en el artículo 3° del Decreto 1510 de 2013, o el que lo modifique, sustituya o adicione”.</w:t>
      </w:r>
    </w:p>
    <w:p w14:paraId="047B0323" w14:textId="77777777" w:rsidR="00424097" w:rsidRPr="00424097" w:rsidRDefault="00424097" w:rsidP="00FD3670">
      <w:pPr>
        <w:pStyle w:val="Textonotapie"/>
        <w:ind w:firstLine="709"/>
        <w:contextualSpacing/>
        <w:jc w:val="both"/>
        <w:rPr>
          <w:rFonts w:ascii="Verdana" w:hAnsi="Verdana" w:cs="Arial"/>
          <w:color w:val="000000" w:themeColor="text1"/>
          <w:sz w:val="18"/>
          <w:szCs w:val="18"/>
        </w:rPr>
      </w:pPr>
    </w:p>
  </w:footnote>
  <w:footnote w:id="13">
    <w:p w14:paraId="3288C2F2"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Style w:val="Refdenotaalpie"/>
          <w:rFonts w:ascii="Verdana" w:hAnsi="Verdana" w:cs="Arial"/>
          <w:sz w:val="18"/>
          <w:szCs w:val="18"/>
        </w:rPr>
        <w:footnoteRef/>
      </w:r>
      <w:r w:rsidRPr="00424097">
        <w:rPr>
          <w:rFonts w:ascii="Verdana" w:hAnsi="Verdana" w:cs="Arial"/>
          <w:sz w:val="18"/>
          <w:szCs w:val="18"/>
        </w:rPr>
        <w:t xml:space="preserve"> Ley 80 de 1993 “Artículo 24. Del principio de transparencia. En virtud de este principio: </w:t>
      </w:r>
    </w:p>
    <w:p w14:paraId="43AB79A2"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Fonts w:ascii="Verdana" w:hAnsi="Verdana" w:cs="Arial"/>
          <w:sz w:val="18"/>
          <w:szCs w:val="18"/>
        </w:rPr>
        <w:t>[…]</w:t>
      </w:r>
    </w:p>
    <w:p w14:paraId="24660CC7" w14:textId="77777777" w:rsidR="00FD3670" w:rsidRDefault="00FD3670" w:rsidP="00FD3670">
      <w:pPr>
        <w:pStyle w:val="Textonotapie"/>
        <w:ind w:firstLine="708"/>
        <w:contextualSpacing/>
        <w:jc w:val="both"/>
        <w:rPr>
          <w:rFonts w:ascii="Verdana" w:hAnsi="Verdana" w:cs="Arial"/>
          <w:sz w:val="18"/>
          <w:szCs w:val="18"/>
        </w:rPr>
      </w:pPr>
      <w:r w:rsidRPr="00424097">
        <w:rPr>
          <w:rFonts w:ascii="Verdana" w:hAnsi="Verdana" w:cs="Arial"/>
          <w:sz w:val="18"/>
          <w:szCs w:val="18"/>
        </w:rPr>
        <w:t>4o. Las autoridades expedirán a costa de aquellas personas que demuestren interés legítimo, copias de las actuaciones y propuestas recibidas, respetando la reserva de que gocen legalmente las patentes, procedimientos y privilegios”.</w:t>
      </w:r>
    </w:p>
    <w:p w14:paraId="1BC815A5" w14:textId="77777777" w:rsidR="00424097" w:rsidRPr="00424097" w:rsidRDefault="00424097" w:rsidP="00FD3670">
      <w:pPr>
        <w:pStyle w:val="Textonotapie"/>
        <w:ind w:firstLine="708"/>
        <w:contextualSpacing/>
        <w:jc w:val="both"/>
        <w:rPr>
          <w:rFonts w:ascii="Verdana" w:hAnsi="Verdana" w:cs="Arial"/>
          <w:sz w:val="18"/>
          <w:szCs w:val="18"/>
          <w:lang w:val="es-CO"/>
        </w:rPr>
      </w:pPr>
    </w:p>
  </w:footnote>
  <w:footnote w:id="14">
    <w:p w14:paraId="7A04E85C" w14:textId="0CBDB403" w:rsidR="00FD3670" w:rsidRPr="00424097" w:rsidRDefault="00FD3670" w:rsidP="00FD3670">
      <w:pPr>
        <w:pStyle w:val="Textonotapie"/>
        <w:ind w:firstLine="708"/>
        <w:contextualSpacing/>
        <w:jc w:val="both"/>
        <w:rPr>
          <w:rFonts w:ascii="Verdana" w:hAnsi="Verdana" w:cs="Arial"/>
          <w:sz w:val="18"/>
          <w:szCs w:val="18"/>
        </w:rPr>
      </w:pPr>
      <w:r w:rsidRPr="00424097">
        <w:rPr>
          <w:rStyle w:val="Refdenotaalpie"/>
          <w:rFonts w:ascii="Verdana" w:hAnsi="Verdana" w:cs="Arial"/>
          <w:sz w:val="18"/>
          <w:szCs w:val="18"/>
        </w:rPr>
        <w:footnoteRef/>
      </w:r>
      <w:r w:rsidRPr="00424097">
        <w:rPr>
          <w:rFonts w:ascii="Verdana" w:hAnsi="Verdana" w:cs="Arial"/>
          <w:sz w:val="18"/>
          <w:szCs w:val="18"/>
        </w:rPr>
        <w:t xml:space="preserve">  Ley 1712 de 2014 “Artículo 2</w:t>
      </w:r>
      <w:r w:rsidR="00424097" w:rsidRPr="00424097">
        <w:rPr>
          <w:rFonts w:ascii="Verdana" w:hAnsi="Verdana" w:cs="Arial"/>
          <w:sz w:val="18"/>
          <w:szCs w:val="18"/>
        </w:rPr>
        <w:t>°. Principio</w:t>
      </w:r>
      <w:r w:rsidRPr="00424097">
        <w:rPr>
          <w:rFonts w:ascii="Verdana" w:hAnsi="Verdana" w:cs="Arial"/>
          <w:sz w:val="18"/>
          <w:szCs w:val="18"/>
        </w:rPr>
        <w:t xml:space="preserve"> de máxima publicidad para titular universal. Toda información en posesión, bajo control o custodia de un sujeto obligado es pública y no podrá ser reservada o limitada sino por disposición constitucional o legal, de conformidad con la presente ley”</w:t>
      </w:r>
    </w:p>
  </w:footnote>
  <w:footnote w:id="15">
    <w:p w14:paraId="295308DC"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Style w:val="Refdenotaalpie"/>
          <w:rFonts w:ascii="Verdana" w:hAnsi="Verdana" w:cs="Arial"/>
          <w:sz w:val="18"/>
          <w:szCs w:val="18"/>
        </w:rPr>
        <w:footnoteRef/>
      </w:r>
      <w:r w:rsidRPr="00424097">
        <w:rPr>
          <w:rFonts w:ascii="Verdana" w:hAnsi="Verdana" w:cs="Arial"/>
          <w:sz w:val="18"/>
          <w:szCs w:val="18"/>
        </w:rPr>
        <w:t xml:space="preserve"> MATALLANA CAMACHO Ernesto. Manual de Contratación de la Administración Pública. Reforma a la Ley 80 de 1993. Universidad Externado de Colombia, Cuarta edición, 2015, pp 139.</w:t>
      </w:r>
    </w:p>
  </w:footnote>
  <w:footnote w:id="16">
    <w:p w14:paraId="2E068654" w14:textId="77777777" w:rsidR="00424097" w:rsidRDefault="00424097" w:rsidP="00FD3670">
      <w:pPr>
        <w:pStyle w:val="Textonotapie"/>
        <w:ind w:firstLine="708"/>
        <w:contextualSpacing/>
        <w:jc w:val="both"/>
        <w:rPr>
          <w:rFonts w:ascii="Verdana" w:hAnsi="Verdana" w:cs="Arial"/>
          <w:sz w:val="18"/>
          <w:szCs w:val="18"/>
        </w:rPr>
      </w:pPr>
    </w:p>
    <w:p w14:paraId="7187A813" w14:textId="7E340DE8" w:rsidR="00FD3670" w:rsidRPr="00424097" w:rsidRDefault="00FD3670" w:rsidP="00FD3670">
      <w:pPr>
        <w:pStyle w:val="Textonotapie"/>
        <w:ind w:firstLine="708"/>
        <w:contextualSpacing/>
        <w:jc w:val="both"/>
        <w:rPr>
          <w:rFonts w:ascii="Verdana" w:hAnsi="Verdana" w:cs="Arial"/>
          <w:sz w:val="18"/>
          <w:szCs w:val="18"/>
        </w:rPr>
      </w:pPr>
      <w:r w:rsidRPr="00424097">
        <w:rPr>
          <w:rStyle w:val="Refdenotaalpie"/>
          <w:rFonts w:ascii="Verdana" w:hAnsi="Verdana" w:cs="Arial"/>
          <w:sz w:val="18"/>
          <w:szCs w:val="18"/>
        </w:rPr>
        <w:footnoteRef/>
      </w:r>
      <w:r w:rsidRPr="00424097">
        <w:rPr>
          <w:rFonts w:ascii="Verdana" w:hAnsi="Verdana" w:cs="Arial"/>
          <w:sz w:val="18"/>
          <w:szCs w:val="18"/>
        </w:rPr>
        <w:t xml:space="preserve"> Ley 1437 de 2011 “Artículo 24. Informaciones y documentos reservados. Solo tendrán carácter reservado las informaciones y documentos expresamente sometidos a reserva por la Constitución Política o la ley, y en especial:  </w:t>
      </w:r>
    </w:p>
    <w:p w14:paraId="7C47DE07"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Fonts w:ascii="Verdana" w:hAnsi="Verdana" w:cs="Arial"/>
          <w:sz w:val="18"/>
          <w:szCs w:val="18"/>
        </w:rPr>
        <w:t xml:space="preserve">1. Los relacionados con la defensa o seguridad nacionales.  </w:t>
      </w:r>
    </w:p>
    <w:p w14:paraId="6C1DBFEE"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Fonts w:ascii="Verdana" w:hAnsi="Verdana" w:cs="Arial"/>
          <w:sz w:val="18"/>
          <w:szCs w:val="18"/>
        </w:rPr>
        <w:t xml:space="preserve">2. Las instrucciones en materia diplomática o sobre negociaciones reservadas.  </w:t>
      </w:r>
    </w:p>
    <w:p w14:paraId="4C59045F"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Fonts w:ascii="Verdana" w:hAnsi="Verdana" w:cs="Arial"/>
          <w:sz w:val="18"/>
          <w:szCs w:val="18"/>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0E09948B"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Fonts w:ascii="Verdana" w:hAnsi="Verdana" w:cs="Arial"/>
          <w:sz w:val="18"/>
          <w:szCs w:val="18"/>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20945EC8"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Fonts w:ascii="Verdana" w:hAnsi="Verdana" w:cs="Arial"/>
          <w:sz w:val="18"/>
          <w:szCs w:val="18"/>
        </w:rPr>
        <w:t xml:space="preserve">5. Los datos referentes a la información financiera y comercial, en los términos de la Ley Estatutaria 1266 de 2008.  </w:t>
      </w:r>
    </w:p>
    <w:p w14:paraId="7704E0AA"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Fonts w:ascii="Verdana" w:hAnsi="Verdana" w:cs="Arial"/>
          <w:sz w:val="18"/>
          <w:szCs w:val="18"/>
        </w:rPr>
        <w:t xml:space="preserve">6. Los protegidos por el secreto comercial o industrial, así como los planes estratégicos de las empresas públicas de servicios públicos.  </w:t>
      </w:r>
    </w:p>
    <w:p w14:paraId="112BDAF0"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Fonts w:ascii="Verdana" w:hAnsi="Verdana" w:cs="Arial"/>
          <w:sz w:val="18"/>
          <w:szCs w:val="18"/>
        </w:rPr>
        <w:t xml:space="preserve">7. Los amparados por el secreto profesional.  </w:t>
      </w:r>
    </w:p>
    <w:p w14:paraId="5A7AE25B"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Fonts w:ascii="Verdana" w:hAnsi="Verdana" w:cs="Arial"/>
          <w:sz w:val="18"/>
          <w:szCs w:val="18"/>
        </w:rPr>
        <w:t xml:space="preserve">8. Los datos genéticos humanos.  </w:t>
      </w:r>
    </w:p>
    <w:p w14:paraId="374AAD9A"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Fonts w:ascii="Verdana" w:hAnsi="Verdana" w:cs="Arial"/>
          <w:sz w:val="18"/>
          <w:szCs w:val="18"/>
        </w:rPr>
        <w:t xml:space="preserve">Parágrafo. Para efecto de la solicitud de información de carácter reservado, enunciada en los numerales 3, 5, 6 y 7 solo podrá ser solicitada por el titular de la información, por sus apoderados o por personas autorizadas con facultad expresa para acceder a esa información”.  </w:t>
      </w:r>
    </w:p>
  </w:footnote>
  <w:footnote w:id="17">
    <w:p w14:paraId="238D4E34" w14:textId="77777777" w:rsidR="00424097" w:rsidRDefault="00424097" w:rsidP="00FD3670">
      <w:pPr>
        <w:pStyle w:val="Textonotapie"/>
        <w:ind w:firstLine="708"/>
        <w:contextualSpacing/>
        <w:jc w:val="both"/>
        <w:rPr>
          <w:rFonts w:ascii="Verdana" w:hAnsi="Verdana" w:cs="Arial"/>
          <w:sz w:val="18"/>
          <w:szCs w:val="18"/>
        </w:rPr>
      </w:pPr>
    </w:p>
    <w:p w14:paraId="46F2C00A" w14:textId="4B5C0088" w:rsidR="00FD3670" w:rsidRPr="00424097" w:rsidRDefault="00FD3670" w:rsidP="00FD3670">
      <w:pPr>
        <w:pStyle w:val="Textonotapie"/>
        <w:ind w:firstLine="708"/>
        <w:contextualSpacing/>
        <w:jc w:val="both"/>
        <w:rPr>
          <w:rFonts w:ascii="Verdana" w:eastAsia="Calibri" w:hAnsi="Verdana" w:cs="Arial"/>
          <w:sz w:val="18"/>
          <w:szCs w:val="18"/>
        </w:rPr>
      </w:pPr>
      <w:r w:rsidRPr="00424097">
        <w:rPr>
          <w:rStyle w:val="Refdenotaalpie"/>
          <w:rFonts w:ascii="Verdana" w:hAnsi="Verdana" w:cs="Arial"/>
          <w:sz w:val="18"/>
          <w:szCs w:val="18"/>
        </w:rPr>
        <w:footnoteRef/>
      </w:r>
      <w:r w:rsidRPr="00424097">
        <w:rPr>
          <w:rFonts w:ascii="Verdana" w:hAnsi="Verdana" w:cs="Arial"/>
          <w:sz w:val="18"/>
          <w:szCs w:val="18"/>
        </w:rPr>
        <w:t xml:space="preserve"> Resultan relevantes las consideraciones expuestas en el concepto C- 322 del 16 de junio de 2020 –radicado No. 2202013000005088–, sobre la aplicación del artículo 36 del CPACA en torno al manejo de información reservada en cuadernos separados: “</w:t>
      </w:r>
      <w:r w:rsidRPr="00424097">
        <w:rPr>
          <w:rFonts w:ascii="Verdana" w:eastAsia="Calibri" w:hAnsi="Verdana" w:cs="Arial"/>
          <w:sz w:val="18"/>
          <w:szCs w:val="18"/>
        </w:rPr>
        <w:t>tratándose de información sometida a reserva, considera esta Agencia que el tratamiento que corresponde a esta información es el procedente a partir de lo dispuesto en el artículo 36 del CPACA sobre la formación y examen de expedientes, en el que se establece que los documentos sometidos a reserva deberán insertarse en un cuaderno separado del expediente principal, el cual no podrá ser consultado por la ciudadanía o interesados en general. El manejo de estos documentos conforme lo indica esta norma, permite guardar la reserva a la que están sometidos dichos documentos en el marco de procesos de contratación, sin que se vean lesionados los intereses de los titulares de la información o contrariadas las normas del régimen de protección de datos personales”.</w:t>
      </w:r>
    </w:p>
  </w:footnote>
  <w:footnote w:id="18">
    <w:p w14:paraId="69BE2A54"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Style w:val="Refdenotaalpie"/>
          <w:rFonts w:ascii="Verdana" w:hAnsi="Verdana" w:cs="Arial"/>
          <w:sz w:val="18"/>
          <w:szCs w:val="18"/>
        </w:rPr>
        <w:footnoteRef/>
      </w:r>
      <w:r w:rsidRPr="00424097">
        <w:rPr>
          <w:rFonts w:ascii="Verdana" w:hAnsi="Verdana" w:cs="Arial"/>
          <w:sz w:val="18"/>
          <w:szCs w:val="18"/>
        </w:rPr>
        <w:t xml:space="preserve"> “Artículo 21. DIVULGACIÓN PARCIAL Y OTRAS REGLAS. En aquellas circunstancias en que la totalidad de la información contenida en un documento no esté protegida por una excepción contenida en la presente ley, debe hacerse una versión pública que mantenga la reserva únicamente de la parte indispensable. La información pública que no cae en ningún supuesto de excepción deberá ser entregada a la parte solicitante, así como ser de conocimiento público. La reserva de acceso a la información opera respecto del contenido de un documento público pero no de su existencia.</w:t>
      </w:r>
    </w:p>
    <w:p w14:paraId="3F6ACB88" w14:textId="77777777" w:rsidR="00FD3670" w:rsidRPr="00424097" w:rsidRDefault="00FD3670" w:rsidP="00FD3670">
      <w:pPr>
        <w:pStyle w:val="Textonotapie"/>
        <w:ind w:firstLine="708"/>
        <w:contextualSpacing/>
        <w:jc w:val="both"/>
        <w:rPr>
          <w:rFonts w:ascii="Verdana" w:hAnsi="Verdana" w:cs="Arial"/>
          <w:sz w:val="18"/>
          <w:szCs w:val="18"/>
        </w:rPr>
      </w:pPr>
      <w:r w:rsidRPr="00424097">
        <w:rPr>
          <w:rFonts w:ascii="Verdana" w:hAnsi="Verdana" w:cs="Arial"/>
          <w:sz w:val="18"/>
          <w:szCs w:val="18"/>
        </w:rPr>
        <w:t>Ninguna autoridad pública puede negarse a indicar si un documento obra o no en su poder o negar la divulgación de un documento, salvo que el daño causado al interés protegido sea mayor al interés público de obtener acceso a la información.</w:t>
      </w:r>
    </w:p>
    <w:p w14:paraId="7F0EF346" w14:textId="77777777" w:rsidR="00FD3670" w:rsidRPr="00424097" w:rsidRDefault="00FD3670" w:rsidP="00FD3670">
      <w:pPr>
        <w:pStyle w:val="Textonotapie"/>
        <w:ind w:firstLine="708"/>
        <w:contextualSpacing/>
        <w:jc w:val="both"/>
        <w:rPr>
          <w:rFonts w:ascii="Verdana" w:hAnsi="Verdana" w:cs="Arial"/>
          <w:sz w:val="18"/>
          <w:szCs w:val="18"/>
          <w:lang w:val="es-CO"/>
        </w:rPr>
      </w:pPr>
      <w:r w:rsidRPr="00424097">
        <w:rPr>
          <w:rFonts w:ascii="Verdana" w:hAnsi="Verdana" w:cs="Arial"/>
          <w:sz w:val="18"/>
          <w:szCs w:val="18"/>
        </w:rPr>
        <w:t>Las excepciones de acceso a la información contenidas en la presente ley no aplican en casos de violación de derechos humanos o delitos de lesa humanidad, y en todo caso deberán protegerse los derechos de las víctimas de dichas violaciones”.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671276C"/>
    <w:multiLevelType w:val="hybridMultilevel"/>
    <w:tmpl w:val="BB5AEB2E"/>
    <w:lvl w:ilvl="0" w:tplc="3724E7CA">
      <w:numFmt w:val="bullet"/>
      <w:lvlText w:val="-"/>
      <w:lvlJc w:val="left"/>
      <w:pPr>
        <w:ind w:left="1069" w:hanging="360"/>
      </w:pPr>
      <w:rPr>
        <w:rFonts w:ascii="Verdana" w:eastAsiaTheme="minorHAns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5" w15:restartNumberingAfterBreak="0">
    <w:nsid w:val="2E4F585B"/>
    <w:multiLevelType w:val="hybridMultilevel"/>
    <w:tmpl w:val="9B64DD2C"/>
    <w:lvl w:ilvl="0" w:tplc="B0B4764C">
      <w:numFmt w:val="bullet"/>
      <w:lvlText w:val="-"/>
      <w:lvlJc w:val="left"/>
      <w:pPr>
        <w:ind w:left="1069" w:hanging="360"/>
      </w:pPr>
      <w:rPr>
        <w:rFonts w:ascii="Verdana" w:eastAsiaTheme="minorHAns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90670214">
    <w:abstractNumId w:val="7"/>
  </w:num>
  <w:num w:numId="2" w16cid:durableId="4285022">
    <w:abstractNumId w:val="2"/>
  </w:num>
  <w:num w:numId="3" w16cid:durableId="881983949">
    <w:abstractNumId w:val="3"/>
  </w:num>
  <w:num w:numId="4" w16cid:durableId="341274352">
    <w:abstractNumId w:val="0"/>
  </w:num>
  <w:num w:numId="5" w16cid:durableId="1887524674">
    <w:abstractNumId w:val="9"/>
  </w:num>
  <w:num w:numId="6" w16cid:durableId="1082990391">
    <w:abstractNumId w:val="1"/>
  </w:num>
  <w:num w:numId="7" w16cid:durableId="1492209491">
    <w:abstractNumId w:val="6"/>
  </w:num>
  <w:num w:numId="8" w16cid:durableId="679089576">
    <w:abstractNumId w:val="8"/>
  </w:num>
  <w:num w:numId="9" w16cid:durableId="1971126687">
    <w:abstractNumId w:val="5"/>
  </w:num>
  <w:num w:numId="10" w16cid:durableId="560406513">
    <w:abstractNumId w:val="4"/>
  </w:num>
  <w:num w:numId="11" w16cid:durableId="15264468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4C75"/>
    <w:rsid w:val="00005BB0"/>
    <w:rsid w:val="0001025F"/>
    <w:rsid w:val="0001222D"/>
    <w:rsid w:val="000135EB"/>
    <w:rsid w:val="00015D2B"/>
    <w:rsid w:val="0002334C"/>
    <w:rsid w:val="00031584"/>
    <w:rsid w:val="00032A0E"/>
    <w:rsid w:val="00037347"/>
    <w:rsid w:val="000442CC"/>
    <w:rsid w:val="00053D8C"/>
    <w:rsid w:val="000556D4"/>
    <w:rsid w:val="000716AB"/>
    <w:rsid w:val="00082E4C"/>
    <w:rsid w:val="000849D5"/>
    <w:rsid w:val="0008528F"/>
    <w:rsid w:val="000A6E0C"/>
    <w:rsid w:val="000A7A56"/>
    <w:rsid w:val="000B0DC3"/>
    <w:rsid w:val="000B1FF7"/>
    <w:rsid w:val="000B2513"/>
    <w:rsid w:val="000B4024"/>
    <w:rsid w:val="000C3C51"/>
    <w:rsid w:val="000C7262"/>
    <w:rsid w:val="000D0508"/>
    <w:rsid w:val="000D2A7F"/>
    <w:rsid w:val="000D4FCE"/>
    <w:rsid w:val="000E3B29"/>
    <w:rsid w:val="000F3C7B"/>
    <w:rsid w:val="001039E1"/>
    <w:rsid w:val="0011037E"/>
    <w:rsid w:val="0011183E"/>
    <w:rsid w:val="00111990"/>
    <w:rsid w:val="001363C7"/>
    <w:rsid w:val="001372AD"/>
    <w:rsid w:val="00141AC5"/>
    <w:rsid w:val="00146B11"/>
    <w:rsid w:val="00147A04"/>
    <w:rsid w:val="0015476D"/>
    <w:rsid w:val="001559F6"/>
    <w:rsid w:val="00161E13"/>
    <w:rsid w:val="00164AE0"/>
    <w:rsid w:val="00165E83"/>
    <w:rsid w:val="00166CD7"/>
    <w:rsid w:val="0017120C"/>
    <w:rsid w:val="00172F3A"/>
    <w:rsid w:val="00180E53"/>
    <w:rsid w:val="00183146"/>
    <w:rsid w:val="00184489"/>
    <w:rsid w:val="0019532A"/>
    <w:rsid w:val="0019670E"/>
    <w:rsid w:val="00197205"/>
    <w:rsid w:val="001A5DD4"/>
    <w:rsid w:val="001A67E9"/>
    <w:rsid w:val="001B143B"/>
    <w:rsid w:val="001B21CA"/>
    <w:rsid w:val="001B6507"/>
    <w:rsid w:val="001C04FC"/>
    <w:rsid w:val="001C25A3"/>
    <w:rsid w:val="001C5D03"/>
    <w:rsid w:val="001C7771"/>
    <w:rsid w:val="001D0E21"/>
    <w:rsid w:val="001D62FF"/>
    <w:rsid w:val="001F3F48"/>
    <w:rsid w:val="001F7239"/>
    <w:rsid w:val="002000AA"/>
    <w:rsid w:val="00204109"/>
    <w:rsid w:val="002058DA"/>
    <w:rsid w:val="002059F4"/>
    <w:rsid w:val="002069EC"/>
    <w:rsid w:val="00211E6E"/>
    <w:rsid w:val="00212A46"/>
    <w:rsid w:val="0021401D"/>
    <w:rsid w:val="002146B8"/>
    <w:rsid w:val="00215516"/>
    <w:rsid w:val="00215B77"/>
    <w:rsid w:val="00231C15"/>
    <w:rsid w:val="00240113"/>
    <w:rsid w:val="00240D33"/>
    <w:rsid w:val="00243117"/>
    <w:rsid w:val="00243AD9"/>
    <w:rsid w:val="0025087B"/>
    <w:rsid w:val="002508EA"/>
    <w:rsid w:val="002527C2"/>
    <w:rsid w:val="00253C3A"/>
    <w:rsid w:val="00254CA5"/>
    <w:rsid w:val="002631A9"/>
    <w:rsid w:val="00270443"/>
    <w:rsid w:val="00270EE2"/>
    <w:rsid w:val="00271AA0"/>
    <w:rsid w:val="00272972"/>
    <w:rsid w:val="002759A5"/>
    <w:rsid w:val="00286491"/>
    <w:rsid w:val="002A0F8D"/>
    <w:rsid w:val="002B6E44"/>
    <w:rsid w:val="002C3A76"/>
    <w:rsid w:val="002C46CC"/>
    <w:rsid w:val="002D473B"/>
    <w:rsid w:val="002D4880"/>
    <w:rsid w:val="002D7776"/>
    <w:rsid w:val="002E1DB5"/>
    <w:rsid w:val="002E26D9"/>
    <w:rsid w:val="002E7C82"/>
    <w:rsid w:val="002F0E85"/>
    <w:rsid w:val="002F6CCB"/>
    <w:rsid w:val="0030461E"/>
    <w:rsid w:val="003067E6"/>
    <w:rsid w:val="00307DE6"/>
    <w:rsid w:val="0031541E"/>
    <w:rsid w:val="00315721"/>
    <w:rsid w:val="0032394B"/>
    <w:rsid w:val="003244DC"/>
    <w:rsid w:val="0032756A"/>
    <w:rsid w:val="003324BA"/>
    <w:rsid w:val="00334EF8"/>
    <w:rsid w:val="00336408"/>
    <w:rsid w:val="00340DFB"/>
    <w:rsid w:val="0034404F"/>
    <w:rsid w:val="00356980"/>
    <w:rsid w:val="00366D54"/>
    <w:rsid w:val="00367462"/>
    <w:rsid w:val="00371ECA"/>
    <w:rsid w:val="00372748"/>
    <w:rsid w:val="0037332A"/>
    <w:rsid w:val="0038151A"/>
    <w:rsid w:val="0039082A"/>
    <w:rsid w:val="00390C21"/>
    <w:rsid w:val="003A0FEB"/>
    <w:rsid w:val="003A37BD"/>
    <w:rsid w:val="003B07D1"/>
    <w:rsid w:val="003B6D94"/>
    <w:rsid w:val="003C4C96"/>
    <w:rsid w:val="003C55E0"/>
    <w:rsid w:val="003D7A8B"/>
    <w:rsid w:val="003E4ED6"/>
    <w:rsid w:val="003F31B5"/>
    <w:rsid w:val="003F519B"/>
    <w:rsid w:val="00400755"/>
    <w:rsid w:val="00401284"/>
    <w:rsid w:val="0040544F"/>
    <w:rsid w:val="00406A19"/>
    <w:rsid w:val="00406EA9"/>
    <w:rsid w:val="0041222D"/>
    <w:rsid w:val="0041483E"/>
    <w:rsid w:val="00415369"/>
    <w:rsid w:val="00424097"/>
    <w:rsid w:val="00430492"/>
    <w:rsid w:val="00434A48"/>
    <w:rsid w:val="00450358"/>
    <w:rsid w:val="00450BE7"/>
    <w:rsid w:val="00455E54"/>
    <w:rsid w:val="0046741E"/>
    <w:rsid w:val="00472CC6"/>
    <w:rsid w:val="00477D16"/>
    <w:rsid w:val="0048026E"/>
    <w:rsid w:val="004807A9"/>
    <w:rsid w:val="004813EE"/>
    <w:rsid w:val="00484A92"/>
    <w:rsid w:val="004863DE"/>
    <w:rsid w:val="00493278"/>
    <w:rsid w:val="004943D9"/>
    <w:rsid w:val="004A0E7B"/>
    <w:rsid w:val="004A3498"/>
    <w:rsid w:val="004B0C45"/>
    <w:rsid w:val="004C0AB2"/>
    <w:rsid w:val="004C1619"/>
    <w:rsid w:val="004C1A26"/>
    <w:rsid w:val="004C1CC9"/>
    <w:rsid w:val="004C3755"/>
    <w:rsid w:val="004C4485"/>
    <w:rsid w:val="004C4B97"/>
    <w:rsid w:val="004D11AF"/>
    <w:rsid w:val="004D179A"/>
    <w:rsid w:val="004D5980"/>
    <w:rsid w:val="004F182B"/>
    <w:rsid w:val="00500DFA"/>
    <w:rsid w:val="005019AA"/>
    <w:rsid w:val="005021BB"/>
    <w:rsid w:val="005139E7"/>
    <w:rsid w:val="005147DA"/>
    <w:rsid w:val="00515FB5"/>
    <w:rsid w:val="00517373"/>
    <w:rsid w:val="0052365C"/>
    <w:rsid w:val="0052420D"/>
    <w:rsid w:val="005271EB"/>
    <w:rsid w:val="00536529"/>
    <w:rsid w:val="00537366"/>
    <w:rsid w:val="005426DB"/>
    <w:rsid w:val="0055082B"/>
    <w:rsid w:val="005514B7"/>
    <w:rsid w:val="00552503"/>
    <w:rsid w:val="00552B57"/>
    <w:rsid w:val="00557167"/>
    <w:rsid w:val="00557DA1"/>
    <w:rsid w:val="0056322C"/>
    <w:rsid w:val="00567EFD"/>
    <w:rsid w:val="0058743A"/>
    <w:rsid w:val="005A0B0A"/>
    <w:rsid w:val="005A4DB0"/>
    <w:rsid w:val="005A51AC"/>
    <w:rsid w:val="005A7B8E"/>
    <w:rsid w:val="005B012B"/>
    <w:rsid w:val="005B0C87"/>
    <w:rsid w:val="005D1DA0"/>
    <w:rsid w:val="005D23F6"/>
    <w:rsid w:val="005D2FA8"/>
    <w:rsid w:val="005E2281"/>
    <w:rsid w:val="005E649C"/>
    <w:rsid w:val="005E667C"/>
    <w:rsid w:val="005F077C"/>
    <w:rsid w:val="005F63D0"/>
    <w:rsid w:val="005F7973"/>
    <w:rsid w:val="00602A4D"/>
    <w:rsid w:val="006035A0"/>
    <w:rsid w:val="00614423"/>
    <w:rsid w:val="006155E0"/>
    <w:rsid w:val="0061690E"/>
    <w:rsid w:val="00626D61"/>
    <w:rsid w:val="00627361"/>
    <w:rsid w:val="0063017E"/>
    <w:rsid w:val="00631B28"/>
    <w:rsid w:val="006343BF"/>
    <w:rsid w:val="00643C7B"/>
    <w:rsid w:val="00645882"/>
    <w:rsid w:val="00645B90"/>
    <w:rsid w:val="00650991"/>
    <w:rsid w:val="006511D7"/>
    <w:rsid w:val="00663D75"/>
    <w:rsid w:val="00670AEF"/>
    <w:rsid w:val="00671241"/>
    <w:rsid w:val="00671CEA"/>
    <w:rsid w:val="00675678"/>
    <w:rsid w:val="00677012"/>
    <w:rsid w:val="00680E89"/>
    <w:rsid w:val="006825B4"/>
    <w:rsid w:val="00682AF2"/>
    <w:rsid w:val="006864DF"/>
    <w:rsid w:val="00690232"/>
    <w:rsid w:val="006917EE"/>
    <w:rsid w:val="006A3C8A"/>
    <w:rsid w:val="006A7552"/>
    <w:rsid w:val="006A7E89"/>
    <w:rsid w:val="006B45DF"/>
    <w:rsid w:val="006B5953"/>
    <w:rsid w:val="006B7A81"/>
    <w:rsid w:val="006C4BAC"/>
    <w:rsid w:val="006C52F3"/>
    <w:rsid w:val="006C632C"/>
    <w:rsid w:val="006E7F37"/>
    <w:rsid w:val="006F3B81"/>
    <w:rsid w:val="006F4F79"/>
    <w:rsid w:val="00705B37"/>
    <w:rsid w:val="00711FD9"/>
    <w:rsid w:val="00713AAD"/>
    <w:rsid w:val="007154D8"/>
    <w:rsid w:val="00720326"/>
    <w:rsid w:val="00723CC6"/>
    <w:rsid w:val="00725C7C"/>
    <w:rsid w:val="00731EDF"/>
    <w:rsid w:val="00735062"/>
    <w:rsid w:val="00735F20"/>
    <w:rsid w:val="00746BA5"/>
    <w:rsid w:val="00751D23"/>
    <w:rsid w:val="0076762D"/>
    <w:rsid w:val="00770577"/>
    <w:rsid w:val="00771C9B"/>
    <w:rsid w:val="00774D15"/>
    <w:rsid w:val="00777666"/>
    <w:rsid w:val="00777DE8"/>
    <w:rsid w:val="0078072A"/>
    <w:rsid w:val="0078159B"/>
    <w:rsid w:val="00782E10"/>
    <w:rsid w:val="0078706B"/>
    <w:rsid w:val="00790836"/>
    <w:rsid w:val="0079331A"/>
    <w:rsid w:val="00796AB7"/>
    <w:rsid w:val="00797131"/>
    <w:rsid w:val="007979D3"/>
    <w:rsid w:val="007A3C1D"/>
    <w:rsid w:val="007B285D"/>
    <w:rsid w:val="007C0F6A"/>
    <w:rsid w:val="007C1C94"/>
    <w:rsid w:val="007C27BE"/>
    <w:rsid w:val="007C6BC6"/>
    <w:rsid w:val="007D2D30"/>
    <w:rsid w:val="007D7932"/>
    <w:rsid w:val="007F4658"/>
    <w:rsid w:val="007F672D"/>
    <w:rsid w:val="00807D79"/>
    <w:rsid w:val="00813634"/>
    <w:rsid w:val="00822821"/>
    <w:rsid w:val="00826562"/>
    <w:rsid w:val="00831C29"/>
    <w:rsid w:val="008362C8"/>
    <w:rsid w:val="008431EF"/>
    <w:rsid w:val="008468E0"/>
    <w:rsid w:val="00855C18"/>
    <w:rsid w:val="00867417"/>
    <w:rsid w:val="008715B2"/>
    <w:rsid w:val="00871B59"/>
    <w:rsid w:val="00873D26"/>
    <w:rsid w:val="008772DE"/>
    <w:rsid w:val="00877D03"/>
    <w:rsid w:val="00877E96"/>
    <w:rsid w:val="008806CA"/>
    <w:rsid w:val="008815E5"/>
    <w:rsid w:val="00887B37"/>
    <w:rsid w:val="008909B9"/>
    <w:rsid w:val="00891DFC"/>
    <w:rsid w:val="008A1B16"/>
    <w:rsid w:val="008A280E"/>
    <w:rsid w:val="008B0CAA"/>
    <w:rsid w:val="008B12B4"/>
    <w:rsid w:val="008B7914"/>
    <w:rsid w:val="008C2AB1"/>
    <w:rsid w:val="008C5D2A"/>
    <w:rsid w:val="008C7AF4"/>
    <w:rsid w:val="008D01DE"/>
    <w:rsid w:val="008D529F"/>
    <w:rsid w:val="008E5FCB"/>
    <w:rsid w:val="008F1F1A"/>
    <w:rsid w:val="008F597B"/>
    <w:rsid w:val="008F5CC8"/>
    <w:rsid w:val="009061B8"/>
    <w:rsid w:val="00906FBC"/>
    <w:rsid w:val="0091008B"/>
    <w:rsid w:val="00911EA2"/>
    <w:rsid w:val="00916C7D"/>
    <w:rsid w:val="0092575D"/>
    <w:rsid w:val="009341DA"/>
    <w:rsid w:val="00942FAB"/>
    <w:rsid w:val="009430F9"/>
    <w:rsid w:val="009442E8"/>
    <w:rsid w:val="00944419"/>
    <w:rsid w:val="00946BD0"/>
    <w:rsid w:val="0095426C"/>
    <w:rsid w:val="00965A4B"/>
    <w:rsid w:val="00970087"/>
    <w:rsid w:val="00971074"/>
    <w:rsid w:val="00972F99"/>
    <w:rsid w:val="00973D41"/>
    <w:rsid w:val="0098475F"/>
    <w:rsid w:val="00995D86"/>
    <w:rsid w:val="009A5453"/>
    <w:rsid w:val="009B4B18"/>
    <w:rsid w:val="009B4D94"/>
    <w:rsid w:val="009B7F02"/>
    <w:rsid w:val="009C2871"/>
    <w:rsid w:val="009D00EF"/>
    <w:rsid w:val="009D075E"/>
    <w:rsid w:val="009D3C33"/>
    <w:rsid w:val="009D7F3A"/>
    <w:rsid w:val="009E4885"/>
    <w:rsid w:val="009F5D80"/>
    <w:rsid w:val="009F61F9"/>
    <w:rsid w:val="00A0692F"/>
    <w:rsid w:val="00A07DB6"/>
    <w:rsid w:val="00A07DE1"/>
    <w:rsid w:val="00A10A73"/>
    <w:rsid w:val="00A15B9D"/>
    <w:rsid w:val="00A170B3"/>
    <w:rsid w:val="00A223D5"/>
    <w:rsid w:val="00A22E4F"/>
    <w:rsid w:val="00A3719C"/>
    <w:rsid w:val="00A37D1C"/>
    <w:rsid w:val="00A42A2D"/>
    <w:rsid w:val="00A5453E"/>
    <w:rsid w:val="00A56F6C"/>
    <w:rsid w:val="00A5764B"/>
    <w:rsid w:val="00A57D9A"/>
    <w:rsid w:val="00A76C8C"/>
    <w:rsid w:val="00A82E6D"/>
    <w:rsid w:val="00A85F30"/>
    <w:rsid w:val="00A9099E"/>
    <w:rsid w:val="00A91FB7"/>
    <w:rsid w:val="00A9298F"/>
    <w:rsid w:val="00AA0222"/>
    <w:rsid w:val="00AA0351"/>
    <w:rsid w:val="00AA5F4A"/>
    <w:rsid w:val="00AB1984"/>
    <w:rsid w:val="00AB52B1"/>
    <w:rsid w:val="00AB564D"/>
    <w:rsid w:val="00AC3D2A"/>
    <w:rsid w:val="00AC4CB3"/>
    <w:rsid w:val="00AC778B"/>
    <w:rsid w:val="00AC780D"/>
    <w:rsid w:val="00AD036B"/>
    <w:rsid w:val="00AD1996"/>
    <w:rsid w:val="00AD247D"/>
    <w:rsid w:val="00AD4099"/>
    <w:rsid w:val="00AD423B"/>
    <w:rsid w:val="00AD4901"/>
    <w:rsid w:val="00AF36DC"/>
    <w:rsid w:val="00B02FE0"/>
    <w:rsid w:val="00B057B6"/>
    <w:rsid w:val="00B1527C"/>
    <w:rsid w:val="00B26C79"/>
    <w:rsid w:val="00B30448"/>
    <w:rsid w:val="00B34786"/>
    <w:rsid w:val="00B400EC"/>
    <w:rsid w:val="00B40162"/>
    <w:rsid w:val="00B40297"/>
    <w:rsid w:val="00B41ACE"/>
    <w:rsid w:val="00B47142"/>
    <w:rsid w:val="00B50156"/>
    <w:rsid w:val="00B518AD"/>
    <w:rsid w:val="00B60A96"/>
    <w:rsid w:val="00B678EC"/>
    <w:rsid w:val="00B76C94"/>
    <w:rsid w:val="00B772D0"/>
    <w:rsid w:val="00B836EA"/>
    <w:rsid w:val="00B84C05"/>
    <w:rsid w:val="00B91B81"/>
    <w:rsid w:val="00B97135"/>
    <w:rsid w:val="00BA4896"/>
    <w:rsid w:val="00BA7808"/>
    <w:rsid w:val="00BB3072"/>
    <w:rsid w:val="00BB63BB"/>
    <w:rsid w:val="00BC0378"/>
    <w:rsid w:val="00BC7632"/>
    <w:rsid w:val="00BC77AE"/>
    <w:rsid w:val="00BD48A9"/>
    <w:rsid w:val="00BD630F"/>
    <w:rsid w:val="00BD68DD"/>
    <w:rsid w:val="00BD7EC6"/>
    <w:rsid w:val="00BE2F5C"/>
    <w:rsid w:val="00BE73FA"/>
    <w:rsid w:val="00BF039E"/>
    <w:rsid w:val="00BF61BA"/>
    <w:rsid w:val="00BF6B4B"/>
    <w:rsid w:val="00C03E19"/>
    <w:rsid w:val="00C0511C"/>
    <w:rsid w:val="00C163BA"/>
    <w:rsid w:val="00C20ACF"/>
    <w:rsid w:val="00C22307"/>
    <w:rsid w:val="00C228C1"/>
    <w:rsid w:val="00C23469"/>
    <w:rsid w:val="00C276BF"/>
    <w:rsid w:val="00C30C62"/>
    <w:rsid w:val="00C371DF"/>
    <w:rsid w:val="00C42055"/>
    <w:rsid w:val="00C44B4C"/>
    <w:rsid w:val="00C46734"/>
    <w:rsid w:val="00C47A86"/>
    <w:rsid w:val="00C53220"/>
    <w:rsid w:val="00C66E0A"/>
    <w:rsid w:val="00C764BD"/>
    <w:rsid w:val="00C85D7E"/>
    <w:rsid w:val="00C94F75"/>
    <w:rsid w:val="00CA3347"/>
    <w:rsid w:val="00CC125C"/>
    <w:rsid w:val="00CC299A"/>
    <w:rsid w:val="00CC54CE"/>
    <w:rsid w:val="00CD03E3"/>
    <w:rsid w:val="00CD060A"/>
    <w:rsid w:val="00CE034A"/>
    <w:rsid w:val="00CE6BDA"/>
    <w:rsid w:val="00CF21BD"/>
    <w:rsid w:val="00D036BA"/>
    <w:rsid w:val="00D03DBE"/>
    <w:rsid w:val="00D072C0"/>
    <w:rsid w:val="00D20089"/>
    <w:rsid w:val="00D201E9"/>
    <w:rsid w:val="00D23B2E"/>
    <w:rsid w:val="00D306B3"/>
    <w:rsid w:val="00D30F09"/>
    <w:rsid w:val="00D33B37"/>
    <w:rsid w:val="00D34C82"/>
    <w:rsid w:val="00D3757A"/>
    <w:rsid w:val="00D37CA7"/>
    <w:rsid w:val="00D43FB7"/>
    <w:rsid w:val="00D45B2C"/>
    <w:rsid w:val="00D47F7E"/>
    <w:rsid w:val="00D504A9"/>
    <w:rsid w:val="00D5206D"/>
    <w:rsid w:val="00D706DB"/>
    <w:rsid w:val="00D7177D"/>
    <w:rsid w:val="00D72323"/>
    <w:rsid w:val="00D81311"/>
    <w:rsid w:val="00D816A1"/>
    <w:rsid w:val="00D84E65"/>
    <w:rsid w:val="00D9324A"/>
    <w:rsid w:val="00D93DD1"/>
    <w:rsid w:val="00D9778E"/>
    <w:rsid w:val="00DA10AD"/>
    <w:rsid w:val="00DA1D81"/>
    <w:rsid w:val="00DA2916"/>
    <w:rsid w:val="00DB201E"/>
    <w:rsid w:val="00DC0932"/>
    <w:rsid w:val="00DC0E68"/>
    <w:rsid w:val="00DC525D"/>
    <w:rsid w:val="00DD25ED"/>
    <w:rsid w:val="00DD681A"/>
    <w:rsid w:val="00DE0D6E"/>
    <w:rsid w:val="00E05873"/>
    <w:rsid w:val="00E12CBF"/>
    <w:rsid w:val="00E1610C"/>
    <w:rsid w:val="00E16D73"/>
    <w:rsid w:val="00E16DC5"/>
    <w:rsid w:val="00E2231F"/>
    <w:rsid w:val="00E23E9E"/>
    <w:rsid w:val="00E25722"/>
    <w:rsid w:val="00E27F0A"/>
    <w:rsid w:val="00E31906"/>
    <w:rsid w:val="00E37D5E"/>
    <w:rsid w:val="00E4231E"/>
    <w:rsid w:val="00E4302C"/>
    <w:rsid w:val="00E44AC7"/>
    <w:rsid w:val="00E45F4B"/>
    <w:rsid w:val="00E46101"/>
    <w:rsid w:val="00E60A16"/>
    <w:rsid w:val="00E60BC5"/>
    <w:rsid w:val="00E616FF"/>
    <w:rsid w:val="00E62173"/>
    <w:rsid w:val="00E64869"/>
    <w:rsid w:val="00E82B6E"/>
    <w:rsid w:val="00E94258"/>
    <w:rsid w:val="00E96C18"/>
    <w:rsid w:val="00EA0330"/>
    <w:rsid w:val="00EA2E61"/>
    <w:rsid w:val="00EA7D7F"/>
    <w:rsid w:val="00EB02F4"/>
    <w:rsid w:val="00EB2FA2"/>
    <w:rsid w:val="00EB6E14"/>
    <w:rsid w:val="00EB769A"/>
    <w:rsid w:val="00EC3A35"/>
    <w:rsid w:val="00ED0764"/>
    <w:rsid w:val="00EE17F2"/>
    <w:rsid w:val="00EE3138"/>
    <w:rsid w:val="00EF2AC7"/>
    <w:rsid w:val="00EF400A"/>
    <w:rsid w:val="00EF6BE4"/>
    <w:rsid w:val="00EF6E5D"/>
    <w:rsid w:val="00EF7F12"/>
    <w:rsid w:val="00F04963"/>
    <w:rsid w:val="00F07764"/>
    <w:rsid w:val="00F12517"/>
    <w:rsid w:val="00F1265A"/>
    <w:rsid w:val="00F12E6B"/>
    <w:rsid w:val="00F131DD"/>
    <w:rsid w:val="00F16BA1"/>
    <w:rsid w:val="00F24435"/>
    <w:rsid w:val="00F27076"/>
    <w:rsid w:val="00F30C0F"/>
    <w:rsid w:val="00F314E8"/>
    <w:rsid w:val="00F323A2"/>
    <w:rsid w:val="00F33B57"/>
    <w:rsid w:val="00F33D5C"/>
    <w:rsid w:val="00F34E90"/>
    <w:rsid w:val="00F356D6"/>
    <w:rsid w:val="00F41368"/>
    <w:rsid w:val="00F53BE2"/>
    <w:rsid w:val="00F54E52"/>
    <w:rsid w:val="00F55684"/>
    <w:rsid w:val="00F64D5A"/>
    <w:rsid w:val="00F67F58"/>
    <w:rsid w:val="00F709CD"/>
    <w:rsid w:val="00F87769"/>
    <w:rsid w:val="00F906F4"/>
    <w:rsid w:val="00F90BE4"/>
    <w:rsid w:val="00FA0716"/>
    <w:rsid w:val="00FA7463"/>
    <w:rsid w:val="00FB4629"/>
    <w:rsid w:val="00FB6FB1"/>
    <w:rsid w:val="00FB7063"/>
    <w:rsid w:val="00FC273C"/>
    <w:rsid w:val="00FC7056"/>
    <w:rsid w:val="00FD1D12"/>
    <w:rsid w:val="00FD3670"/>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link w:val="NormalWebCar"/>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NormalWebCar">
    <w:name w:val="Normal (Web) Car"/>
    <w:link w:val="NormalWeb"/>
    <w:uiPriority w:val="99"/>
    <w:rsid w:val="00D84E65"/>
    <w:rPr>
      <w:rFonts w:ascii="Times New Roman" w:hAnsi="Times New Roman" w:cs="Times New Roman"/>
      <w:sz w:val="24"/>
      <w:szCs w:val="24"/>
    </w:rPr>
  </w:style>
  <w:style w:type="character" w:customStyle="1" w:styleId="baj">
    <w:name w:val="b_aj"/>
    <w:basedOn w:val="Fuentedeprrafopredeter"/>
    <w:rsid w:val="00FD36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371807702">
      <w:bodyDiv w:val="1"/>
      <w:marLeft w:val="0"/>
      <w:marRight w:val="0"/>
      <w:marTop w:val="0"/>
      <w:marBottom w:val="0"/>
      <w:divBdr>
        <w:top w:val="none" w:sz="0" w:space="0" w:color="auto"/>
        <w:left w:val="none" w:sz="0" w:space="0" w:color="auto"/>
        <w:bottom w:val="none" w:sz="0" w:space="0" w:color="auto"/>
        <w:right w:val="none" w:sz="0" w:space="0" w:color="auto"/>
      </w:divBdr>
      <w:divsChild>
        <w:div w:id="534849979">
          <w:marLeft w:val="0"/>
          <w:marRight w:val="0"/>
          <w:marTop w:val="0"/>
          <w:marBottom w:val="160"/>
          <w:divBdr>
            <w:top w:val="none" w:sz="0" w:space="0" w:color="auto"/>
            <w:left w:val="none" w:sz="0" w:space="0" w:color="auto"/>
            <w:bottom w:val="none" w:sz="0" w:space="0" w:color="auto"/>
            <w:right w:val="none" w:sz="0" w:space="0" w:color="auto"/>
          </w:divBdr>
        </w:div>
        <w:div w:id="116726877">
          <w:marLeft w:val="0"/>
          <w:marRight w:val="0"/>
          <w:marTop w:val="0"/>
          <w:marBottom w:val="160"/>
          <w:divBdr>
            <w:top w:val="none" w:sz="0" w:space="0" w:color="auto"/>
            <w:left w:val="none" w:sz="0" w:space="0" w:color="auto"/>
            <w:bottom w:val="none" w:sz="0" w:space="0" w:color="auto"/>
            <w:right w:val="none" w:sz="0" w:space="0" w:color="auto"/>
          </w:divBdr>
        </w:div>
        <w:div w:id="962661507">
          <w:marLeft w:val="0"/>
          <w:marRight w:val="0"/>
          <w:marTop w:val="0"/>
          <w:marBottom w:val="160"/>
          <w:divBdr>
            <w:top w:val="none" w:sz="0" w:space="0" w:color="auto"/>
            <w:left w:val="none" w:sz="0" w:space="0" w:color="auto"/>
            <w:bottom w:val="none" w:sz="0" w:space="0" w:color="auto"/>
            <w:right w:val="none" w:sz="0" w:space="0" w:color="auto"/>
          </w:divBdr>
        </w:div>
      </w:divsChild>
    </w:div>
    <w:div w:id="486215157">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17337362">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2031449879">
      <w:bodyDiv w:val="1"/>
      <w:marLeft w:val="0"/>
      <w:marRight w:val="0"/>
      <w:marTop w:val="0"/>
      <w:marBottom w:val="0"/>
      <w:divBdr>
        <w:top w:val="none" w:sz="0" w:space="0" w:color="auto"/>
        <w:left w:val="none" w:sz="0" w:space="0" w:color="auto"/>
        <w:bottom w:val="none" w:sz="0" w:space="0" w:color="auto"/>
        <w:right w:val="none" w:sz="0" w:space="0" w:color="auto"/>
      </w:divBdr>
      <w:divsChild>
        <w:div w:id="1111776607">
          <w:marLeft w:val="0"/>
          <w:marRight w:val="0"/>
          <w:marTop w:val="0"/>
          <w:marBottom w:val="160"/>
          <w:divBdr>
            <w:top w:val="none" w:sz="0" w:space="0" w:color="auto"/>
            <w:left w:val="none" w:sz="0" w:space="0" w:color="auto"/>
            <w:bottom w:val="none" w:sz="0" w:space="0" w:color="auto"/>
            <w:right w:val="none" w:sz="0" w:space="0" w:color="auto"/>
          </w:divBdr>
        </w:div>
        <w:div w:id="953171072">
          <w:marLeft w:val="0"/>
          <w:marRight w:val="0"/>
          <w:marTop w:val="0"/>
          <w:marBottom w:val="160"/>
          <w:divBdr>
            <w:top w:val="none" w:sz="0" w:space="0" w:color="auto"/>
            <w:left w:val="none" w:sz="0" w:space="0" w:color="auto"/>
            <w:bottom w:val="none" w:sz="0" w:space="0" w:color="auto"/>
            <w:right w:val="none" w:sz="0" w:space="0" w:color="auto"/>
          </w:divBdr>
        </w:div>
        <w:div w:id="386875943">
          <w:marLeft w:val="0"/>
          <w:marRight w:val="0"/>
          <w:marTop w:val="0"/>
          <w:marBottom w:val="16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bogado.oscar.munoz@gmail.com"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ximena.rios%40colombiacompra.gov.co%7Ceb0fd05604104aa4d3bc08dd4c4ad35e%7C7b09041e245149d08cb179d5e3d8c1be%7C0%7C0%7C638750606446862549%7CUnknown%7CTWFpbGZsb3d8eyJFbXB0eU1hcGkiOnRydWUsIlYiOiIwLjAuMDAwMCIsIlAiOiJXaW4zMiIsIkFOIjoiTWFpbCIsIldUIjoyfQ%3D%3D%7C0%7C%7C%7C&amp;sdata=sCdDQff%2B7cq%2Bu3mPTlvG1b%2FR1UY0wqU0fcHRpDbcUW4%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iudadanos%2Fcalendario&amp;data=05%7C02%7Cximena.rios%40colombiacompra.gov.co%7Ceb0fd05604104aa4d3bc08dd4c4ad35e%7C7b09041e245149d08cb179d5e3d8c1be%7C0%7C0%7C638750606446844510%7CUnknown%7CTWFpbGZsb3d8eyJFbXB0eU1hcGkiOnRydWUsIlYiOiIwLjAuMDAwMCIsIlAiOiJXaW4zMiIsIkFOIjoiTWFpbCIsIldUIjoyfQ%3D%3D%7C0%7C%7C%7C&amp;sdata=LZuyZSEh%2FpbQDy0o0xmRCkZYCN0vaW%2FGkYkUsWy3v18%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cartilla-para-incentivar-y-fortalecer-el-acceso-las&amp;data=05%7C02%7Cximena.rios%40colombiacompra.gov.co%7Ceb0fd05604104aa4d3bc08dd4c4ad35e%7C7b09041e245149d08cb179d5e3d8c1be%7C0%7C0%7C638750606446821386%7CUnknown%7CTWFpbGZsb3d8eyJFbXB0eU1hcGkiOnRydWUsIlYiOiIwLjAuMDAwMCIsIlAiOiJXaW4zMiIsIkFOIjoiTWFpbCIsIldUIjoyfQ%3D%3D%7C0%7C%7C%7C&amp;sdata=W%2Fk14yMQuRl%2BxOXtgXkYqvRvU0sNxDeKufexVKwz2Jw%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17</Pages>
  <Words>4483</Words>
  <Characters>24660</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Ximena Ríos López</cp:lastModifiedBy>
  <cp:revision>40</cp:revision>
  <dcterms:created xsi:type="dcterms:W3CDTF">2025-04-22T04:02:00Z</dcterms:created>
  <dcterms:modified xsi:type="dcterms:W3CDTF">2025-05-06T17:03:00Z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