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48690C" w:rsidR="004E15ED" w:rsidP="004E15ED" w:rsidRDefault="004E15ED" w14:paraId="4E8CF2D0" w14:textId="77777777">
      <w:pPr>
        <w:spacing w:after="0"/>
        <w:jc w:val="both"/>
        <w:rPr>
          <w:rFonts w:ascii="Verdana" w:hAnsi="Verdana" w:eastAsia="Calibri" w:cs="Arial"/>
          <w:b/>
          <w:bCs/>
          <w:color w:val="000000" w:themeColor="text1"/>
          <w:lang w:val="es-ES" w:eastAsia="es-ES"/>
        </w:rPr>
      </w:pPr>
      <w:r w:rsidRPr="00B01C98">
        <w:rPr>
          <w:rFonts w:ascii="Verdana" w:hAnsi="Verdana" w:eastAsia="Calibri" w:cs="Arial"/>
          <w:b/>
          <w:bCs/>
          <w:color w:val="000000" w:themeColor="text1"/>
          <w:lang w:val="es-ES" w:eastAsia="es-ES"/>
        </w:rPr>
        <w:t>CONSORCIOS Y UNIONES TEMPORALES – Constitución</w:t>
      </w:r>
    </w:p>
    <w:p w:rsidR="004E15ED" w:rsidP="004E15ED" w:rsidRDefault="004E15ED" w14:paraId="104BEE95" w14:textId="77777777">
      <w:pPr>
        <w:spacing w:after="0" w:line="276" w:lineRule="auto"/>
        <w:contextualSpacing/>
        <w:jc w:val="both"/>
        <w:rPr>
          <w:rFonts w:ascii="Verdana" w:hAnsi="Verdana" w:eastAsia="Calibri" w:cs="Arial"/>
          <w:color w:val="000000" w:themeColor="text1"/>
          <w:lang w:val="es-ES" w:eastAsia="es-ES"/>
        </w:rPr>
      </w:pPr>
    </w:p>
    <w:p w:rsidR="004E15ED" w:rsidP="004E15ED" w:rsidRDefault="004E15ED" w14:paraId="4C0C8C84" w14:textId="77777777">
      <w:pPr>
        <w:spacing w:after="0" w:line="240" w:lineRule="auto"/>
        <w:contextualSpacing/>
        <w:jc w:val="both"/>
        <w:rPr>
          <w:rFonts w:ascii="Verdana" w:hAnsi="Verdana" w:eastAsia="Calibri" w:cs="Arial"/>
        </w:rPr>
      </w:pPr>
      <w:r w:rsidRPr="0048690C">
        <w:rPr>
          <w:rFonts w:ascii="Verdana" w:hAnsi="Verdana" w:eastAsia="Calibri" w:cs="Arial"/>
          <w:color w:val="000000" w:themeColor="text1"/>
          <w:lang w:val="es-ES" w:eastAsia="es-ES"/>
        </w:rPr>
        <w:t>[…]</w:t>
      </w:r>
      <w:r>
        <w:rPr>
          <w:rFonts w:ascii="Verdana" w:hAnsi="Verdana" w:eastAsia="Calibri" w:cs="Arial"/>
          <w:color w:val="000000" w:themeColor="text1"/>
          <w:lang w:val="es-ES" w:eastAsia="es-ES"/>
        </w:rPr>
        <w:t xml:space="preserve"> </w:t>
      </w:r>
      <w:r w:rsidRPr="00162725">
        <w:rPr>
          <w:rFonts w:ascii="Verdana" w:hAnsi="Verdana" w:eastAsia="Calibri" w:cs="Arial"/>
        </w:rPr>
        <w:t>Como se observa, el artículo citado señala que el consorcio o la unión temporal se da “[c]</w:t>
      </w:r>
      <w:proofErr w:type="spellStart"/>
      <w:r w:rsidRPr="00162725">
        <w:rPr>
          <w:rFonts w:ascii="Verdana" w:hAnsi="Verdana" w:eastAsia="Calibri" w:cs="Arial"/>
        </w:rPr>
        <w:t>uando</w:t>
      </w:r>
      <w:proofErr w:type="spellEnd"/>
      <w:r w:rsidRPr="00162725">
        <w:rPr>
          <w:rFonts w:ascii="Verdana" w:hAnsi="Verdana" w:eastAsia="Calibri" w:cs="Arial"/>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w:t>
      </w:r>
      <w:r>
        <w:rPr>
          <w:rFonts w:ascii="Verdana" w:hAnsi="Verdana" w:eastAsia="Calibri" w:cs="Arial"/>
        </w:rPr>
        <w:t>(</w:t>
      </w:r>
      <w:r w:rsidRPr="00162725">
        <w:rPr>
          <w:rFonts w:ascii="Verdana" w:hAnsi="Verdana" w:eastAsia="Calibri" w:cs="Arial"/>
        </w:rPr>
        <w:t>i) que los integrantes de la estructural plural adopten la decisión conjunta de presentar una misma propuesta al proceso de selección</w:t>
      </w:r>
      <w:r>
        <w:rPr>
          <w:rFonts w:ascii="Verdana" w:hAnsi="Verdana" w:eastAsia="Calibri" w:cs="Arial"/>
        </w:rPr>
        <w:t>,</w:t>
      </w:r>
      <w:r w:rsidRPr="00162725">
        <w:rPr>
          <w:rFonts w:ascii="Verdana" w:hAnsi="Verdana" w:eastAsia="Calibri" w:cs="Arial"/>
        </w:rPr>
        <w:t xml:space="preserve"> y </w:t>
      </w:r>
      <w:r>
        <w:rPr>
          <w:rFonts w:ascii="Verdana" w:hAnsi="Verdana" w:eastAsia="Calibri" w:cs="Arial"/>
        </w:rPr>
        <w:t>(</w:t>
      </w:r>
      <w:proofErr w:type="spellStart"/>
      <w:r w:rsidRPr="00162725">
        <w:rPr>
          <w:rFonts w:ascii="Verdana" w:hAnsi="Verdana" w:eastAsia="Calibri" w:cs="Arial"/>
        </w:rPr>
        <w:t>ii</w:t>
      </w:r>
      <w:proofErr w:type="spellEnd"/>
      <w:r w:rsidRPr="00162725">
        <w:rPr>
          <w:rFonts w:ascii="Verdana" w:hAnsi="Verdana" w:eastAsia="Calibri" w:cs="Arial"/>
        </w:rPr>
        <w:t>) que el objeto del consorcio o unión temporal se encuentre alineado con las actividades a desarrollar en un determinado proceso</w:t>
      </w:r>
      <w:r>
        <w:rPr>
          <w:rFonts w:ascii="Verdana" w:hAnsi="Verdana" w:eastAsia="Calibri" w:cs="Arial"/>
        </w:rPr>
        <w:t>, de manera que les permita ejecutar el respectivo contrato</w:t>
      </w:r>
      <w:r w:rsidRPr="00162725">
        <w:rPr>
          <w:rFonts w:ascii="Verdana" w:hAnsi="Verdana" w:eastAsia="Calibri" w:cs="Arial"/>
        </w:rPr>
        <w:t>.</w:t>
      </w:r>
    </w:p>
    <w:p w:rsidRPr="00B85F0E" w:rsidR="004E15ED" w:rsidP="004E15ED" w:rsidRDefault="004E15ED" w14:paraId="32DE83C0" w14:textId="77777777">
      <w:pPr>
        <w:spacing w:after="0" w:line="240" w:lineRule="auto"/>
        <w:contextualSpacing/>
        <w:jc w:val="both"/>
        <w:rPr>
          <w:rFonts w:ascii="Verdana" w:hAnsi="Verdana" w:eastAsia="Calibri" w:cs="Arial"/>
        </w:rPr>
      </w:pPr>
    </w:p>
    <w:p w:rsidR="004E15ED" w:rsidP="004E15ED" w:rsidRDefault="004E15ED" w14:paraId="18777B3F" w14:textId="77777777">
      <w:pPr>
        <w:spacing w:after="0" w:line="240" w:lineRule="auto"/>
        <w:jc w:val="both"/>
        <w:rPr>
          <w:rFonts w:ascii="Verdana" w:hAnsi="Verdana" w:cs="Arial"/>
          <w:color w:val="000000" w:themeColor="text1"/>
        </w:rPr>
      </w:pPr>
      <w:r>
        <w:rPr>
          <w:rFonts w:ascii="Verdana" w:hAnsi="Verdana" w:eastAsia="Calibri" w:cs="Arial"/>
        </w:rPr>
        <w:t>En este sentido, las estructuras plurales</w:t>
      </w:r>
      <w:r w:rsidRPr="003734FE">
        <w:rPr>
          <w:rFonts w:ascii="Verdana" w:hAnsi="Verdana" w:eastAsia="Calibri" w:cs="Arial"/>
        </w:rPr>
        <w:t xml:space="preserve">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w:t>
      </w:r>
      <w:r>
        <w:rPr>
          <w:rFonts w:ascii="Verdana" w:hAnsi="Verdana" w:eastAsia="Calibri" w:cs="Arial"/>
        </w:rPr>
        <w:t>o</w:t>
      </w:r>
      <w:r w:rsidRPr="003734FE">
        <w:rPr>
          <w:rFonts w:ascii="Verdana" w:hAnsi="Verdana" w:eastAsia="Calibri" w:cs="Arial"/>
        </w:rPr>
        <w:t xml:space="preserve"> o varios contratos estatales, compartiendo recursos, de toda índole, para su ejecución, así como las utilidades y los riesgos.</w:t>
      </w:r>
      <w:r>
        <w:rPr>
          <w:rFonts w:ascii="Verdana" w:hAnsi="Verdana" w:eastAsia="Calibri" w:cs="Arial"/>
        </w:rPr>
        <w:t xml:space="preserve"> </w:t>
      </w:r>
      <w:r w:rsidRPr="007D6693">
        <w:rPr>
          <w:rFonts w:ascii="Verdana" w:hAnsi="Verdana" w:cs="Arial"/>
          <w:color w:val="000000" w:themeColor="text1"/>
        </w:rPr>
        <w:t>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w:t>
      </w:r>
    </w:p>
    <w:p w:rsidR="00F3795C" w:rsidP="004E15ED" w:rsidRDefault="00F3795C" w14:paraId="32E22612" w14:textId="77777777">
      <w:pPr>
        <w:spacing w:after="0"/>
        <w:jc w:val="both"/>
        <w:rPr>
          <w:rFonts w:ascii="Verdana" w:hAnsi="Verdana" w:eastAsia="Calibri" w:cs="Arial"/>
        </w:rPr>
      </w:pPr>
    </w:p>
    <w:p w:rsidR="00F3795C" w:rsidP="004E15ED" w:rsidRDefault="00F3795C" w14:paraId="6AC8C078" w14:textId="32E9974E">
      <w:pPr>
        <w:spacing w:after="0"/>
        <w:jc w:val="both"/>
        <w:rPr>
          <w:rFonts w:ascii="Verdana" w:hAnsi="Verdana" w:eastAsia="Calibri" w:cs="Arial"/>
          <w:b/>
          <w:bCs/>
        </w:rPr>
      </w:pPr>
      <w:r w:rsidRPr="00F3795C">
        <w:rPr>
          <w:rFonts w:ascii="Verdana" w:hAnsi="Verdana" w:eastAsia="Calibri" w:cs="Arial"/>
          <w:b/>
          <w:bCs/>
        </w:rPr>
        <w:t xml:space="preserve">CONTRATO </w:t>
      </w:r>
      <w:r w:rsidRPr="00F3795C">
        <w:rPr>
          <w:rFonts w:ascii="Verdana" w:hAnsi="Verdana" w:eastAsia="Calibri" w:cs="Arial"/>
          <w:b/>
          <w:bCs/>
        </w:rPr>
        <w:t>INTERADMINISTR</w:t>
      </w:r>
      <w:r w:rsidRPr="00F3795C">
        <w:rPr>
          <w:rFonts w:ascii="Verdana" w:hAnsi="Verdana" w:eastAsia="Calibri" w:cs="Arial"/>
          <w:b/>
          <w:bCs/>
        </w:rPr>
        <w:t>A</w:t>
      </w:r>
      <w:r w:rsidRPr="00F3795C">
        <w:rPr>
          <w:rFonts w:ascii="Verdana" w:hAnsi="Verdana" w:eastAsia="Calibri" w:cs="Arial"/>
          <w:b/>
          <w:bCs/>
        </w:rPr>
        <w:t>TIVO</w:t>
      </w:r>
      <w:r w:rsidRPr="00F3795C">
        <w:rPr>
          <w:rFonts w:ascii="Verdana" w:hAnsi="Verdana" w:eastAsia="Calibri" w:cs="Arial"/>
          <w:b/>
          <w:bCs/>
        </w:rPr>
        <w:t xml:space="preserve"> </w:t>
      </w:r>
      <w:r>
        <w:rPr>
          <w:rFonts w:ascii="Verdana" w:hAnsi="Verdana" w:eastAsia="Calibri" w:cs="Arial"/>
          <w:b/>
          <w:bCs/>
        </w:rPr>
        <w:t>– Vs UNION TEMPORAL -</w:t>
      </w:r>
      <w:r w:rsidRPr="00F3795C">
        <w:rPr>
          <w:rFonts w:ascii="Verdana" w:hAnsi="Verdana" w:eastAsia="Calibri" w:cs="Arial"/>
          <w:b/>
          <w:bCs/>
        </w:rPr>
        <w:t>Naturaleza</w:t>
      </w:r>
    </w:p>
    <w:p w:rsidR="00F3795C" w:rsidP="004E15ED" w:rsidRDefault="00F3795C" w14:paraId="3DB0DB93" w14:textId="77777777">
      <w:pPr>
        <w:spacing w:after="0"/>
        <w:jc w:val="both"/>
        <w:rPr>
          <w:rFonts w:ascii="Verdana" w:hAnsi="Verdana" w:eastAsia="Calibri" w:cs="Arial"/>
          <w:b/>
          <w:bCs/>
        </w:rPr>
      </w:pPr>
    </w:p>
    <w:p w:rsidR="00F3795C" w:rsidP="00F3795C" w:rsidRDefault="00F3795C" w14:paraId="7CE402BA" w14:textId="593FA8B1">
      <w:pPr>
        <w:spacing w:after="120" w:line="276" w:lineRule="auto"/>
        <w:ind w:right="49"/>
        <w:jc w:val="both"/>
        <w:rPr>
          <w:rFonts w:ascii="Verdana" w:hAnsi="Verdana" w:eastAsia="Times New Roman" w:cs="Times New Roman"/>
          <w:color w:val="000000"/>
          <w:lang w:eastAsia="es-MX"/>
        </w:rPr>
      </w:pPr>
      <w:r>
        <w:rPr>
          <w:rFonts w:ascii="Verdana" w:hAnsi="Verdana" w:eastAsia="Times New Roman" w:cs="Times New Roman"/>
          <w:color w:val="000000"/>
          <w:lang w:eastAsia="es-MX"/>
        </w:rPr>
        <w:t>E</w:t>
      </w:r>
      <w:r>
        <w:rPr>
          <w:rFonts w:ascii="Verdana" w:hAnsi="Verdana" w:eastAsia="Times New Roman" w:cs="Times New Roman"/>
          <w:color w:val="000000"/>
          <w:lang w:eastAsia="es-MX"/>
        </w:rPr>
        <w:t>l</w:t>
      </w:r>
      <w:r w:rsidRPr="00943249">
        <w:rPr>
          <w:rFonts w:ascii="Verdana" w:hAnsi="Verdana" w:eastAsia="Times New Roman" w:cs="Times New Roman"/>
          <w:color w:val="000000"/>
          <w:lang w:eastAsia="es-MX"/>
        </w:rPr>
        <w:t xml:space="preserve"> artículo 96 de la Ley 489 de 1998 y el artículo 2.2.1.1.2.1 del Decreto 1082 de 2015</w:t>
      </w:r>
      <w:r>
        <w:rPr>
          <w:rFonts w:ascii="Verdana" w:hAnsi="Verdana" w:eastAsia="Times New Roman" w:cs="Times New Roman"/>
          <w:color w:val="000000"/>
          <w:lang w:eastAsia="es-MX"/>
        </w:rPr>
        <w:t>,</w:t>
      </w:r>
      <w:r w:rsidRPr="00943249">
        <w:rPr>
          <w:rFonts w:ascii="Verdana" w:hAnsi="Verdana" w:eastAsia="Times New Roman" w:cs="Times New Roman"/>
          <w:color w:val="000000"/>
          <w:lang w:eastAsia="es-MX"/>
        </w:rPr>
        <w:t xml:space="preserve"> definen los contratos interadministrativos como aquellos celebrados directamente entre entidades estatales para el desarrollo de funciones constitucionales o legales propias de cada una. La característica esencial de estos contratos radica en la ausencia de un proceso de selección competitivo y la colaboración directa entre entidades para el cumplimiento de sus fines misionales.</w:t>
      </w:r>
    </w:p>
    <w:p w:rsidR="00F3795C" w:rsidP="00F3795C" w:rsidRDefault="00F3795C" w14:paraId="2D0BF027" w14:textId="77777777">
      <w:pPr>
        <w:spacing w:after="120" w:line="276" w:lineRule="auto"/>
        <w:ind w:right="49"/>
        <w:jc w:val="both"/>
        <w:rPr>
          <w:rFonts w:ascii="Verdana" w:hAnsi="Verdana" w:eastAsia="Times New Roman" w:cs="Times New Roman"/>
          <w:color w:val="000000"/>
          <w:lang w:eastAsia="es-MX"/>
        </w:rPr>
      </w:pPr>
    </w:p>
    <w:p w:rsidR="00F3795C" w:rsidP="00F3795C" w:rsidRDefault="00F3795C" w14:paraId="423A2E73" w14:textId="77777777">
      <w:pPr>
        <w:spacing w:after="120" w:line="276" w:lineRule="auto"/>
        <w:ind w:right="49"/>
        <w:jc w:val="both"/>
        <w:rPr>
          <w:rFonts w:ascii="Verdana" w:hAnsi="Verdana" w:eastAsia="Times New Roman" w:cs="Times New Roman"/>
          <w:color w:val="000000"/>
          <w:lang w:eastAsia="es-MX"/>
        </w:rPr>
      </w:pPr>
      <w:r>
        <w:rPr>
          <w:rFonts w:ascii="Verdana" w:hAnsi="Verdana" w:eastAsia="Times New Roman" w:cs="Times New Roman"/>
          <w:color w:val="000000"/>
          <w:lang w:eastAsia="es-MX"/>
        </w:rPr>
        <w:lastRenderedPageBreak/>
        <w:t>N</w:t>
      </w:r>
      <w:r w:rsidRPr="00DB555B">
        <w:rPr>
          <w:rFonts w:ascii="Verdana" w:hAnsi="Verdana" w:eastAsia="Times New Roman" w:cs="Times New Roman"/>
          <w:color w:val="000000"/>
          <w:lang w:eastAsia="es-MX"/>
        </w:rPr>
        <w:t xml:space="preserve">ótese entonces </w:t>
      </w:r>
      <w:r>
        <w:rPr>
          <w:rFonts w:ascii="Verdana" w:hAnsi="Verdana" w:eastAsia="Times New Roman" w:cs="Times New Roman"/>
          <w:color w:val="000000"/>
          <w:lang w:eastAsia="es-MX"/>
        </w:rPr>
        <w:t>que</w:t>
      </w:r>
      <w:r w:rsidRPr="00DB555B">
        <w:rPr>
          <w:rFonts w:ascii="Verdana" w:hAnsi="Verdana" w:eastAsia="Times New Roman" w:cs="Times New Roman"/>
          <w:color w:val="000000"/>
          <w:lang w:eastAsia="es-MX"/>
        </w:rPr>
        <w:t xml:space="preserve"> para que se configure una relación interadministrativa, es necesario que sean dos o más entidades de derecho público las que decidan colaborar </w:t>
      </w:r>
      <w:r>
        <w:rPr>
          <w:rFonts w:ascii="Verdana" w:hAnsi="Verdana" w:eastAsia="Times New Roman" w:cs="Times New Roman"/>
          <w:color w:val="000000"/>
          <w:lang w:eastAsia="es-MX"/>
        </w:rPr>
        <w:t xml:space="preserve">estableciendo de forma directa las condiciones de dicho acuerdo, </w:t>
      </w:r>
      <w:r w:rsidRPr="00DB555B">
        <w:rPr>
          <w:rFonts w:ascii="Verdana" w:hAnsi="Verdana" w:eastAsia="Times New Roman" w:cs="Times New Roman"/>
          <w:color w:val="000000"/>
          <w:lang w:eastAsia="es-MX"/>
        </w:rPr>
        <w:t xml:space="preserve">sin que </w:t>
      </w:r>
      <w:r>
        <w:rPr>
          <w:rFonts w:ascii="Verdana" w:hAnsi="Verdana" w:eastAsia="Times New Roman" w:cs="Times New Roman"/>
          <w:color w:val="000000"/>
          <w:lang w:eastAsia="es-MX"/>
        </w:rPr>
        <w:t>haya</w:t>
      </w:r>
      <w:r w:rsidRPr="00DB555B">
        <w:rPr>
          <w:rFonts w:ascii="Verdana" w:hAnsi="Verdana" w:eastAsia="Times New Roman" w:cs="Times New Roman"/>
          <w:color w:val="000000"/>
          <w:lang w:eastAsia="es-MX"/>
        </w:rPr>
        <w:t xml:space="preserve"> un proceso de contratación </w:t>
      </w:r>
      <w:r>
        <w:rPr>
          <w:rFonts w:ascii="Verdana" w:hAnsi="Verdana" w:eastAsia="Times New Roman" w:cs="Times New Roman"/>
          <w:color w:val="000000"/>
          <w:lang w:eastAsia="es-MX"/>
        </w:rPr>
        <w:t xml:space="preserve">establecido por un tercero (la entidad contratante), que intermedie </w:t>
      </w:r>
      <w:r w:rsidRPr="00DB555B">
        <w:rPr>
          <w:rFonts w:ascii="Verdana" w:hAnsi="Verdana" w:eastAsia="Times New Roman" w:cs="Times New Roman"/>
          <w:color w:val="000000"/>
          <w:lang w:eastAsia="es-MX"/>
        </w:rPr>
        <w:t>la relación que se piensa llevar a cabo, para que se pueda determinar la existencia de esa relación interadministrativa</w:t>
      </w:r>
      <w:r>
        <w:rPr>
          <w:rFonts w:ascii="Verdana" w:hAnsi="Verdana" w:eastAsia="Times New Roman" w:cs="Times New Roman"/>
          <w:color w:val="000000"/>
          <w:lang w:eastAsia="es-MX"/>
        </w:rPr>
        <w:t xml:space="preserve">, sea a través de la figura del convenio o del contrato, aduciendo a las características propias enunciadas de forma precedente. </w:t>
      </w:r>
      <w:r w:rsidRPr="00DB555B">
        <w:rPr>
          <w:rFonts w:ascii="Verdana" w:hAnsi="Verdana" w:eastAsia="Times New Roman" w:cs="Times New Roman"/>
          <w:color w:val="000000"/>
          <w:lang w:eastAsia="es-MX"/>
        </w:rPr>
        <w:t xml:space="preserve"> </w:t>
      </w:r>
    </w:p>
    <w:p w:rsidRPr="00F3795C" w:rsidR="00F3795C" w:rsidP="00F3795C" w:rsidRDefault="00F3795C" w14:paraId="0B2A9D5F" w14:textId="130BA0A6">
      <w:pPr>
        <w:spacing w:after="120" w:line="276" w:lineRule="auto"/>
        <w:ind w:right="49"/>
        <w:jc w:val="both"/>
        <w:rPr>
          <w:rFonts w:ascii="Verdana" w:hAnsi="Verdana" w:eastAsia="Calibri" w:cs="Arial"/>
          <w:b/>
          <w:bCs/>
        </w:rPr>
      </w:pPr>
      <w:r>
        <w:rPr>
          <w:rFonts w:ascii="Verdana" w:hAnsi="Verdana" w:eastAsia="Times New Roman" w:cs="Times New Roman"/>
          <w:color w:val="000000"/>
          <w:lang w:eastAsia="es-MX"/>
        </w:rPr>
        <w:t>P</w:t>
      </w:r>
      <w:r>
        <w:rPr>
          <w:rFonts w:ascii="Verdana" w:hAnsi="Verdana" w:eastAsia="Times New Roman" w:cs="Times New Roman"/>
          <w:color w:val="000000"/>
          <w:lang w:eastAsia="es-MX"/>
        </w:rPr>
        <w:t>or</w:t>
      </w:r>
      <w:r w:rsidRPr="00DB555B">
        <w:rPr>
          <w:rFonts w:ascii="Verdana" w:hAnsi="Verdana" w:eastAsia="Times New Roman" w:cs="Times New Roman"/>
          <w:color w:val="000000"/>
          <w:lang w:eastAsia="es-MX"/>
        </w:rPr>
        <w:t xml:space="preserve"> su parte </w:t>
      </w:r>
      <w:r w:rsidRPr="00DB555B">
        <w:rPr>
          <w:rFonts w:ascii="Verdana" w:hAnsi="Verdana"/>
          <w:color w:val="000000"/>
        </w:rPr>
        <w:t>la Unión Temporal se da como resultado de un</w:t>
      </w:r>
      <w:r w:rsidRPr="00DB555B">
        <w:rPr>
          <w:rStyle w:val="apple-converted-space"/>
          <w:rFonts w:ascii="Verdana" w:hAnsi="Verdana"/>
          <w:color w:val="000000"/>
        </w:rPr>
        <w:t> </w:t>
      </w:r>
      <w:r w:rsidRPr="00DB555B">
        <w:rPr>
          <w:rStyle w:val="Textoennegrita"/>
          <w:rFonts w:ascii="Verdana" w:hAnsi="Verdana"/>
          <w:b w:val="0"/>
          <w:bCs w:val="0"/>
          <w:color w:val="000000"/>
        </w:rPr>
        <w:t>proceso de selección abierto y competitivo</w:t>
      </w:r>
      <w:r w:rsidRPr="00DB555B">
        <w:rPr>
          <w:rFonts w:ascii="Verdana" w:hAnsi="Verdana"/>
          <w:color w:val="000000"/>
        </w:rPr>
        <w:t>, en el cual participa en igualdad de condiciones con otros posibles oferentes. Esta circunstancia excluye la naturaleza de contrato interadministrativo, ya que la selección no se realizó de manera directa entre entidades estatales para la ejecución de sus funciones conjuntas, sino a través de un procedimiento reglado y con pluralidad de proponentes. Así las cosas, el contrato estatal resultante de un proceso de selección adjudicado a una Unión Temporal en la que participa otra entidad estatal</w:t>
      </w:r>
      <w:r w:rsidRPr="00DB555B">
        <w:rPr>
          <w:rStyle w:val="apple-converted-space"/>
          <w:rFonts w:ascii="Verdana" w:hAnsi="Verdana"/>
          <w:color w:val="000000"/>
        </w:rPr>
        <w:t> </w:t>
      </w:r>
      <w:r w:rsidRPr="00DB555B">
        <w:rPr>
          <w:rStyle w:val="Textoennegrita"/>
          <w:rFonts w:ascii="Verdana" w:hAnsi="Verdana"/>
          <w:b w:val="0"/>
          <w:bCs w:val="0"/>
          <w:color w:val="000000"/>
        </w:rPr>
        <w:t>no se considera</w:t>
      </w:r>
      <w:r w:rsidRPr="00DB555B">
        <w:rPr>
          <w:rStyle w:val="Textoennegrita"/>
          <w:rFonts w:ascii="Verdana" w:hAnsi="Verdana"/>
          <w:color w:val="000000"/>
        </w:rPr>
        <w:t xml:space="preserve"> </w:t>
      </w:r>
      <w:r w:rsidRPr="00DB555B">
        <w:rPr>
          <w:rStyle w:val="Textoennegrita"/>
          <w:rFonts w:ascii="Verdana" w:hAnsi="Verdana"/>
          <w:b w:val="0"/>
          <w:bCs w:val="0"/>
          <w:color w:val="000000"/>
        </w:rPr>
        <w:t xml:space="preserve">un </w:t>
      </w:r>
      <w:r w:rsidRPr="00881E88">
        <w:rPr>
          <w:rStyle w:val="Textoennegrita"/>
          <w:rFonts w:ascii="Verdana" w:hAnsi="Verdana"/>
          <w:b w:val="0"/>
          <w:bCs w:val="0"/>
          <w:color w:val="000000"/>
        </w:rPr>
        <w:t>contrato interadministrativo</w:t>
      </w:r>
      <w:r>
        <w:rPr>
          <w:rFonts w:ascii="Verdana" w:hAnsi="Verdana"/>
          <w:b/>
          <w:bCs/>
          <w:color w:val="000000"/>
        </w:rPr>
        <w:t>.</w:t>
      </w:r>
    </w:p>
    <w:p w:rsidR="004E15ED" w:rsidP="004E15ED" w:rsidRDefault="004E15ED" w14:paraId="48BBA3AE" w14:textId="77777777">
      <w:pPr>
        <w:spacing w:after="0"/>
        <w:jc w:val="both"/>
        <w:rPr>
          <w:rFonts w:ascii="Verdana" w:hAnsi="Verdana" w:eastAsia="Calibri" w:cs="Arial"/>
        </w:rPr>
      </w:pPr>
    </w:p>
    <w:p w:rsidR="004E15ED" w:rsidP="00881E88" w:rsidRDefault="004E15ED" w14:paraId="0B84986E" w14:textId="77777777">
      <w:pPr>
        <w:spacing w:after="0" w:line="276" w:lineRule="auto"/>
        <w:rPr>
          <w:rFonts w:ascii="Verdana" w:hAnsi="Verdana" w:eastAsia="Geomanist Light" w:cs="Arial"/>
          <w:color w:val="000000" w:themeColor="text1"/>
          <w:lang w:val="es-MX"/>
        </w:rPr>
      </w:pPr>
    </w:p>
    <w:p w:rsidR="004E15ED" w:rsidP="00881E88" w:rsidRDefault="004E15ED" w14:paraId="20A629A1" w14:textId="77777777">
      <w:pPr>
        <w:spacing w:after="0" w:line="276" w:lineRule="auto"/>
        <w:rPr>
          <w:rFonts w:ascii="Verdana" w:hAnsi="Verdana" w:eastAsia="Geomanist Light" w:cs="Arial"/>
          <w:color w:val="000000" w:themeColor="text1"/>
          <w:lang w:val="es-MX"/>
        </w:rPr>
      </w:pPr>
    </w:p>
    <w:p w:rsidR="004E15ED" w:rsidP="00881E88" w:rsidRDefault="004E15ED" w14:paraId="57B349F7" w14:textId="77777777">
      <w:pPr>
        <w:spacing w:after="0" w:line="276" w:lineRule="auto"/>
        <w:rPr>
          <w:rFonts w:ascii="Verdana" w:hAnsi="Verdana" w:eastAsia="Geomanist Light" w:cs="Arial"/>
          <w:color w:val="000000" w:themeColor="text1"/>
          <w:lang w:val="es-MX"/>
        </w:rPr>
      </w:pPr>
    </w:p>
    <w:p w:rsidR="004E15ED" w:rsidP="00881E88" w:rsidRDefault="004E15ED" w14:paraId="15E7A7FC" w14:textId="77777777">
      <w:pPr>
        <w:spacing w:after="0" w:line="276" w:lineRule="auto"/>
        <w:rPr>
          <w:rFonts w:ascii="Verdana" w:hAnsi="Verdana" w:eastAsia="Geomanist Light" w:cs="Arial"/>
          <w:color w:val="000000" w:themeColor="text1"/>
          <w:lang w:val="es-MX"/>
        </w:rPr>
      </w:pPr>
    </w:p>
    <w:p w:rsidR="004E15ED" w:rsidP="00881E88" w:rsidRDefault="004E15ED" w14:paraId="4EFD3209" w14:textId="77777777">
      <w:pPr>
        <w:spacing w:after="0" w:line="276" w:lineRule="auto"/>
        <w:rPr>
          <w:rFonts w:ascii="Verdana" w:hAnsi="Verdana" w:eastAsia="Geomanist Light" w:cs="Arial"/>
          <w:color w:val="000000" w:themeColor="text1"/>
          <w:lang w:val="es-MX"/>
        </w:rPr>
      </w:pPr>
    </w:p>
    <w:p w:rsidR="004E15ED" w:rsidP="00881E88" w:rsidRDefault="004E15ED" w14:paraId="2B45CAC7" w14:textId="77777777">
      <w:pPr>
        <w:spacing w:after="0" w:line="276" w:lineRule="auto"/>
        <w:rPr>
          <w:rFonts w:ascii="Verdana" w:hAnsi="Verdana" w:eastAsia="Geomanist Light" w:cs="Arial"/>
          <w:color w:val="000000" w:themeColor="text1"/>
          <w:lang w:val="es-MX"/>
        </w:rPr>
      </w:pPr>
    </w:p>
    <w:p w:rsidR="00F3795C" w:rsidP="00881E88" w:rsidRDefault="00F3795C" w14:paraId="7411FAC4" w14:textId="77777777">
      <w:pPr>
        <w:spacing w:after="0" w:line="276" w:lineRule="auto"/>
        <w:rPr>
          <w:rFonts w:ascii="Verdana" w:hAnsi="Verdana" w:eastAsia="Geomanist Light" w:cs="Arial"/>
          <w:color w:val="000000" w:themeColor="text1"/>
          <w:lang w:val="es-MX"/>
        </w:rPr>
      </w:pPr>
    </w:p>
    <w:p w:rsidR="00F3795C" w:rsidP="00881E88" w:rsidRDefault="00F3795C" w14:paraId="30501FB5" w14:textId="77777777">
      <w:pPr>
        <w:spacing w:after="0" w:line="276" w:lineRule="auto"/>
        <w:rPr>
          <w:rFonts w:ascii="Verdana" w:hAnsi="Verdana" w:eastAsia="Geomanist Light" w:cs="Arial"/>
          <w:color w:val="000000" w:themeColor="text1"/>
          <w:lang w:val="es-MX"/>
        </w:rPr>
      </w:pPr>
    </w:p>
    <w:p w:rsidR="00F3795C" w:rsidP="00881E88" w:rsidRDefault="00F3795C" w14:paraId="1A9910DD" w14:textId="77777777">
      <w:pPr>
        <w:spacing w:after="0" w:line="276" w:lineRule="auto"/>
        <w:rPr>
          <w:rFonts w:ascii="Verdana" w:hAnsi="Verdana" w:eastAsia="Geomanist Light" w:cs="Arial"/>
          <w:color w:val="000000" w:themeColor="text1"/>
          <w:lang w:val="es-MX"/>
        </w:rPr>
      </w:pPr>
    </w:p>
    <w:p w:rsidR="00F3795C" w:rsidP="00881E88" w:rsidRDefault="00F3795C" w14:paraId="1DC3A5A1" w14:textId="77777777">
      <w:pPr>
        <w:spacing w:after="0" w:line="276" w:lineRule="auto"/>
        <w:rPr>
          <w:rFonts w:ascii="Verdana" w:hAnsi="Verdana" w:eastAsia="Geomanist Light" w:cs="Arial"/>
          <w:color w:val="000000" w:themeColor="text1"/>
          <w:lang w:val="es-MX"/>
        </w:rPr>
      </w:pPr>
    </w:p>
    <w:p w:rsidR="00F3795C" w:rsidP="00881E88" w:rsidRDefault="00F3795C" w14:paraId="5E2BD188" w14:textId="77777777">
      <w:pPr>
        <w:spacing w:after="0" w:line="276" w:lineRule="auto"/>
        <w:rPr>
          <w:rFonts w:ascii="Verdana" w:hAnsi="Verdana" w:eastAsia="Geomanist Light" w:cs="Arial"/>
          <w:color w:val="000000" w:themeColor="text1"/>
          <w:lang w:val="es-MX"/>
        </w:rPr>
      </w:pPr>
    </w:p>
    <w:p w:rsidR="00F3795C" w:rsidP="00881E88" w:rsidRDefault="00F3795C" w14:paraId="20F76406" w14:textId="77777777">
      <w:pPr>
        <w:spacing w:after="0" w:line="276" w:lineRule="auto"/>
        <w:rPr>
          <w:rFonts w:ascii="Verdana" w:hAnsi="Verdana" w:eastAsia="Geomanist Light" w:cs="Arial"/>
          <w:color w:val="000000" w:themeColor="text1"/>
          <w:lang w:val="es-MX"/>
        </w:rPr>
      </w:pPr>
    </w:p>
    <w:p w:rsidR="00F3795C" w:rsidP="00881E88" w:rsidRDefault="00F3795C" w14:paraId="16BB9942" w14:textId="77777777">
      <w:pPr>
        <w:spacing w:after="0" w:line="276" w:lineRule="auto"/>
        <w:rPr>
          <w:rFonts w:ascii="Verdana" w:hAnsi="Verdana" w:eastAsia="Geomanist Light" w:cs="Arial"/>
          <w:color w:val="000000" w:themeColor="text1"/>
          <w:lang w:val="es-MX"/>
        </w:rPr>
      </w:pPr>
    </w:p>
    <w:p w:rsidR="00F3795C" w:rsidP="00881E88" w:rsidRDefault="00F3795C" w14:paraId="4E955D73" w14:textId="77777777">
      <w:pPr>
        <w:spacing w:after="0" w:line="276" w:lineRule="auto"/>
        <w:rPr>
          <w:rFonts w:ascii="Verdana" w:hAnsi="Verdana" w:eastAsia="Geomanist Light" w:cs="Arial"/>
          <w:color w:val="000000" w:themeColor="text1"/>
          <w:lang w:val="es-MX"/>
        </w:rPr>
      </w:pPr>
    </w:p>
    <w:p w:rsidR="004E15ED" w:rsidP="00881E88" w:rsidRDefault="004E15ED" w14:paraId="030E16CA" w14:textId="77777777">
      <w:pPr>
        <w:spacing w:after="0" w:line="276" w:lineRule="auto"/>
        <w:rPr>
          <w:rFonts w:ascii="Verdana" w:hAnsi="Verdana" w:eastAsia="Geomanist Light" w:cs="Arial"/>
          <w:color w:val="000000" w:themeColor="text1"/>
          <w:lang w:val="es-MX"/>
        </w:rPr>
      </w:pPr>
    </w:p>
    <w:p w:rsidR="00871B59" w:rsidP="00881E88" w:rsidRDefault="004E15ED" w14:paraId="27AC7C58" w14:textId="2F8100F2">
      <w:pPr>
        <w:spacing w:after="0" w:line="276" w:lineRule="auto"/>
        <w:rPr>
          <w:rFonts w:ascii="Verdana" w:hAnsi="Verdana" w:eastAsia="Geomanist Light" w:cs="Arial"/>
          <w:color w:val="000000" w:themeColor="text1"/>
          <w:lang w:val="es-MX"/>
        </w:rPr>
      </w:pPr>
      <w:r>
        <w:rPr>
          <w:noProof/>
        </w:rPr>
        <w:lastRenderedPageBreak/>
        <w:drawing>
          <wp:anchor distT="0" distB="0" distL="0" distR="0" simplePos="0" relativeHeight="251659264" behindDoc="0" locked="0" layoutInCell="1" allowOverlap="1" wp14:anchorId="7C61E851" wp14:editId="7C0DBD5C">
            <wp:simplePos x="0" y="0"/>
            <wp:positionH relativeFrom="page">
              <wp:posOffset>4356135</wp:posOffset>
            </wp:positionH>
            <wp:positionV relativeFrom="paragraph">
              <wp:posOffset>79745</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p>
    <w:p w:rsidRPr="00593A5F" w:rsidR="00871B59" w:rsidP="00881E88" w:rsidRDefault="00871B59" w14:paraId="46F5F195" w14:textId="215EE5D9">
      <w:pPr>
        <w:spacing w:after="0" w:line="276" w:lineRule="auto"/>
        <w:jc w:val="both"/>
        <w:rPr>
          <w:rFonts w:ascii="Verdana" w:hAnsi="Verdana" w:eastAsia="Calibri" w:cs="Arial"/>
          <w:color w:val="000000"/>
          <w:lang w:val="es-ES"/>
        </w:rPr>
      </w:pPr>
    </w:p>
    <w:p w:rsidRPr="00B96799" w:rsidR="00871B59" w:rsidP="00881E88" w:rsidRDefault="00871B59" w14:paraId="6441C202" w14:textId="75511136">
      <w:pPr>
        <w:spacing w:after="0" w:line="276" w:lineRule="auto"/>
        <w:jc w:val="both"/>
        <w:rPr>
          <w:rFonts w:ascii="Verdana" w:hAnsi="Verdana" w:eastAsia="Calibri" w:cs="Arial"/>
          <w:lang w:val="es-ES" w:eastAsia="es-ES"/>
        </w:rPr>
      </w:pPr>
      <w:r w:rsidRPr="00B96799">
        <w:rPr>
          <w:rFonts w:ascii="Verdana" w:hAnsi="Verdana" w:eastAsia="Calibri" w:cs="Arial"/>
          <w:lang w:val="es-ES" w:eastAsia="es-ES"/>
        </w:rPr>
        <w:t>Señor</w:t>
      </w:r>
    </w:p>
    <w:p w:rsidRPr="00B96799" w:rsidR="00871B59" w:rsidP="00881E88" w:rsidRDefault="00CD269E" w14:paraId="49BCC19C" w14:textId="6262D773">
      <w:pPr>
        <w:spacing w:after="0" w:line="276" w:lineRule="auto"/>
        <w:rPr>
          <w:rFonts w:ascii="Verdana" w:hAnsi="Verdana" w:eastAsia="Calibri" w:cs="Arial"/>
          <w:b/>
          <w:lang w:val="es-ES_tradnl" w:eastAsia="es-ES_tradnl"/>
        </w:rPr>
      </w:pPr>
      <w:r>
        <w:rPr>
          <w:rFonts w:ascii="Verdana" w:hAnsi="Verdana" w:eastAsia="Calibri" w:cs="Arial"/>
          <w:b/>
          <w:lang w:val="es-ES_tradnl" w:eastAsia="es-ES_tradnl"/>
        </w:rPr>
        <w:t>Nicolas Vargas Esteban</w:t>
      </w:r>
    </w:p>
    <w:p w:rsidRPr="00B96799" w:rsidR="00871B59" w:rsidP="00881E88" w:rsidRDefault="00CD269E" w14:paraId="695C5350" w14:textId="640E7912">
      <w:pPr>
        <w:spacing w:after="0" w:line="276" w:lineRule="auto"/>
        <w:rPr>
          <w:rFonts w:ascii="Verdana" w:hAnsi="Verdana" w:eastAsia="Calibri" w:cs="Arial"/>
          <w:u w:val="single"/>
          <w:lang w:val="es-ES" w:eastAsia="es-ES"/>
        </w:rPr>
      </w:pPr>
      <w:r>
        <w:rPr>
          <w:rFonts w:ascii="Verdana" w:hAnsi="Verdana" w:eastAsia="Calibri" w:cs="Arial"/>
          <w:u w:val="single"/>
          <w:lang w:val="es-ES" w:eastAsia="es-ES"/>
        </w:rPr>
        <w:t>Kevinvargas22</w:t>
      </w:r>
      <w:r w:rsidR="00B31B94">
        <w:rPr>
          <w:rFonts w:ascii="Verdana" w:hAnsi="Verdana" w:eastAsia="Calibri" w:cs="Arial"/>
          <w:u w:val="single"/>
          <w:lang w:val="es-ES" w:eastAsia="es-ES"/>
        </w:rPr>
        <w:t>1418</w:t>
      </w:r>
      <w:r w:rsidRPr="00B96799" w:rsidR="00871B59">
        <w:rPr>
          <w:rFonts w:ascii="Verdana" w:hAnsi="Verdana" w:eastAsia="Calibri" w:cs="Arial"/>
          <w:u w:val="single"/>
          <w:lang w:val="es-ES" w:eastAsia="es-ES"/>
        </w:rPr>
        <w:t>@</w:t>
      </w:r>
      <w:r w:rsidR="00B31B94">
        <w:rPr>
          <w:rFonts w:ascii="Verdana" w:hAnsi="Verdana" w:eastAsia="Calibri" w:cs="Arial"/>
          <w:u w:val="single"/>
          <w:lang w:val="es-ES" w:eastAsia="es-ES"/>
        </w:rPr>
        <w:t>gmail.com</w:t>
      </w:r>
    </w:p>
    <w:p w:rsidRPr="00B96799" w:rsidR="00871B59" w:rsidP="00881E88" w:rsidRDefault="00B31B94" w14:paraId="15F51582" w14:textId="0D54C491">
      <w:pPr>
        <w:spacing w:after="0" w:line="276" w:lineRule="auto"/>
        <w:rPr>
          <w:rFonts w:ascii="Verdana" w:hAnsi="Verdana" w:eastAsia="Calibri" w:cs="Arial"/>
          <w:b/>
          <w:bCs/>
          <w:lang w:val="es-ES" w:eastAsia="es-ES"/>
        </w:rPr>
      </w:pPr>
      <w:r>
        <w:rPr>
          <w:rFonts w:ascii="Verdana" w:hAnsi="Verdana" w:eastAsia="Calibri" w:cs="Arial"/>
          <w:lang w:val="es-ES" w:eastAsia="es-ES"/>
        </w:rPr>
        <w:t>Bogotá D.C.</w:t>
      </w:r>
    </w:p>
    <w:p w:rsidRPr="00593A5F" w:rsidR="00871B59" w:rsidP="00881E88" w:rsidRDefault="00871B59" w14:paraId="7646CFD9" w14:textId="77777777">
      <w:pPr>
        <w:spacing w:after="0" w:line="276" w:lineRule="auto"/>
        <w:rPr>
          <w:rFonts w:ascii="Verdana" w:hAnsi="Verdana" w:eastAsia="Calibri" w:cs="Arial"/>
          <w:b/>
          <w:bCs/>
          <w:color w:val="000000"/>
          <w:lang w:val="es-ES_tradnl" w:eastAsia="es-ES_tradnl"/>
        </w:rPr>
      </w:pPr>
    </w:p>
    <w:p w:rsidRPr="00593A5F" w:rsidR="00871B59" w:rsidP="00881E88" w:rsidRDefault="00871B59" w14:paraId="15A0BDCF" w14:textId="77777777">
      <w:pPr>
        <w:spacing w:after="0" w:line="276" w:lineRule="auto"/>
        <w:rPr>
          <w:rFonts w:ascii="Verdana" w:hAnsi="Verdana" w:eastAsia="Calibri" w:cs="Arial"/>
          <w:b/>
          <w:bCs/>
          <w:color w:val="000000"/>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593A5F" w:rsidR="00871B59" w:rsidTr="002607A7" w14:paraId="6B76FB63" w14:textId="77777777">
        <w:trPr>
          <w:trHeight w:val="884"/>
        </w:trPr>
        <w:tc>
          <w:tcPr>
            <w:tcW w:w="2689" w:type="dxa"/>
          </w:tcPr>
          <w:p w:rsidRPr="00C00976" w:rsidR="00871B59" w:rsidP="00881E88" w:rsidRDefault="00871B59" w14:paraId="529E58FC" w14:textId="77777777">
            <w:pPr>
              <w:spacing w:line="276" w:lineRule="auto"/>
              <w:jc w:val="both"/>
              <w:rPr>
                <w:rFonts w:ascii="Verdana" w:hAnsi="Verdana" w:eastAsia="Calibri" w:cs="Arial"/>
                <w:b/>
                <w:bCs/>
                <w:color w:val="7030A0"/>
                <w:lang w:val="es-ES_tradnl" w:eastAsia="es-ES_tradnl"/>
              </w:rPr>
            </w:pPr>
          </w:p>
        </w:tc>
        <w:tc>
          <w:tcPr>
            <w:tcW w:w="6100" w:type="dxa"/>
          </w:tcPr>
          <w:p w:rsidRPr="00C00976" w:rsidR="00871B59" w:rsidP="00881E88" w:rsidRDefault="00871B59" w14:paraId="1FC88A86" w14:textId="310F4768">
            <w:pPr>
              <w:spacing w:line="276" w:lineRule="auto"/>
              <w:jc w:val="both"/>
              <w:rPr>
                <w:rFonts w:ascii="Verdana" w:hAnsi="Verdana" w:eastAsia="Calibri" w:cs="Arial"/>
                <w:b/>
                <w:bCs/>
                <w:color w:val="7030A0"/>
                <w:lang w:val="es-ES" w:eastAsia="es-ES"/>
              </w:rPr>
            </w:pPr>
            <w:r w:rsidRPr="00247BDE">
              <w:rPr>
                <w:rFonts w:ascii="Verdana" w:hAnsi="Verdana" w:eastAsia="Calibri" w:cs="Arial"/>
                <w:b/>
                <w:bCs/>
                <w:lang w:val="es-ES" w:eastAsia="es-ES"/>
              </w:rPr>
              <w:t xml:space="preserve">Concepto C- </w:t>
            </w:r>
            <w:r w:rsidR="00B31B94">
              <w:rPr>
                <w:rFonts w:ascii="Verdana" w:hAnsi="Verdana" w:eastAsia="Calibri" w:cs="Arial"/>
                <w:b/>
                <w:bCs/>
                <w:lang w:val="es-ES" w:eastAsia="es-ES"/>
              </w:rPr>
              <w:t>288</w:t>
            </w:r>
            <w:r w:rsidRPr="00C00976">
              <w:rPr>
                <w:rFonts w:ascii="Verdana" w:hAnsi="Verdana" w:eastAsia="Calibri" w:cs="Arial"/>
                <w:b/>
                <w:bCs/>
                <w:color w:val="7030A0"/>
                <w:lang w:val="es-ES" w:eastAsia="es-ES"/>
              </w:rPr>
              <w:t xml:space="preserve"> </w:t>
            </w:r>
            <w:r w:rsidRPr="00247BDE">
              <w:rPr>
                <w:rFonts w:ascii="Verdana" w:hAnsi="Verdana" w:eastAsia="Calibri" w:cs="Arial"/>
                <w:b/>
                <w:bCs/>
                <w:lang w:val="es-ES" w:eastAsia="es-ES"/>
              </w:rPr>
              <w:t>de</w:t>
            </w:r>
            <w:r w:rsidR="00B31B94">
              <w:rPr>
                <w:rFonts w:ascii="Verdana" w:hAnsi="Verdana" w:eastAsia="Calibri" w:cs="Arial"/>
                <w:b/>
                <w:bCs/>
                <w:lang w:val="es-ES" w:eastAsia="es-ES"/>
              </w:rPr>
              <w:t xml:space="preserve"> 2025</w:t>
            </w:r>
          </w:p>
        </w:tc>
      </w:tr>
      <w:tr w:rsidRPr="00B31B94" w:rsidR="00B31B94" w:rsidTr="002607A7" w14:paraId="42211039" w14:textId="77777777">
        <w:trPr>
          <w:trHeight w:val="884"/>
        </w:trPr>
        <w:tc>
          <w:tcPr>
            <w:tcW w:w="2689" w:type="dxa"/>
          </w:tcPr>
          <w:p w:rsidRPr="00B31B94" w:rsidR="00871B59" w:rsidP="00881E88" w:rsidRDefault="00871B59" w14:paraId="4E96F475" w14:textId="77777777">
            <w:pPr>
              <w:spacing w:line="276" w:lineRule="auto"/>
              <w:jc w:val="both"/>
              <w:rPr>
                <w:rFonts w:ascii="Verdana" w:hAnsi="Verdana" w:eastAsia="Calibri" w:cs="Arial"/>
                <w:color w:val="000000" w:themeColor="text1"/>
                <w:lang w:val="es-ES_tradnl" w:eastAsia="es-ES_tradnl"/>
              </w:rPr>
            </w:pPr>
            <w:r w:rsidRPr="00B31B94">
              <w:rPr>
                <w:rFonts w:ascii="Verdana" w:hAnsi="Verdana" w:eastAsia="Calibri" w:cs="Arial"/>
                <w:b/>
                <w:color w:val="000000" w:themeColor="text1"/>
                <w:lang w:val="es-ES_tradnl" w:eastAsia="es-ES_tradnl"/>
              </w:rPr>
              <w:t>Temas:</w:t>
            </w:r>
            <w:r w:rsidRPr="00B31B94">
              <w:rPr>
                <w:rFonts w:ascii="Verdana" w:hAnsi="Verdana" w:eastAsia="Calibri" w:cs="Arial"/>
                <w:color w:val="000000" w:themeColor="text1"/>
                <w:lang w:val="es-ES_tradnl" w:eastAsia="es-ES_tradnl"/>
              </w:rPr>
              <w:t xml:space="preserve">                   </w:t>
            </w:r>
          </w:p>
        </w:tc>
        <w:tc>
          <w:tcPr>
            <w:tcW w:w="6100" w:type="dxa"/>
          </w:tcPr>
          <w:p w:rsidRPr="00B31B94" w:rsidR="004E15ED" w:rsidP="00881E88" w:rsidRDefault="00B31B94" w14:paraId="61A8B0B0" w14:textId="341A4A97">
            <w:pPr>
              <w:spacing w:after="120" w:line="276" w:lineRule="auto"/>
              <w:contextualSpacing/>
              <w:jc w:val="both"/>
              <w:rPr>
                <w:rFonts w:ascii="Verdana" w:hAnsi="Verdana" w:eastAsia="Calibri" w:cs="Arial"/>
                <w:color w:val="000000" w:themeColor="text1"/>
                <w:lang w:val="es-MX" w:eastAsia="es-ES_tradnl"/>
              </w:rPr>
            </w:pPr>
            <w:r w:rsidRPr="00B31B94">
              <w:rPr>
                <w:rFonts w:ascii="Verdana" w:hAnsi="Verdana" w:eastAsia="Calibri" w:cs="Arial"/>
                <w:color w:val="000000" w:themeColor="text1"/>
                <w:lang w:val="es-MX" w:eastAsia="es-ES_tradnl"/>
              </w:rPr>
              <w:t>PROPONENTE PLURAL ‒ Consorcio ‒ Uni</w:t>
            </w:r>
            <w:r w:rsidRPr="00B31B94">
              <w:rPr>
                <w:rFonts w:ascii="Verdana" w:hAnsi="Verdana" w:eastAsia="Calibri" w:cs="Century Gothic"/>
                <w:color w:val="000000" w:themeColor="text1"/>
                <w:lang w:val="es-MX" w:eastAsia="es-ES_tradnl"/>
              </w:rPr>
              <w:t>ó</w:t>
            </w:r>
            <w:r w:rsidRPr="00B31B94">
              <w:rPr>
                <w:rFonts w:ascii="Verdana" w:hAnsi="Verdana" w:eastAsia="Calibri" w:cs="Arial"/>
                <w:color w:val="000000" w:themeColor="text1"/>
                <w:lang w:val="es-MX" w:eastAsia="es-ES_tradnl"/>
              </w:rPr>
              <w:t xml:space="preserve">n temporal ‒ Concepto </w:t>
            </w:r>
            <w:r w:rsidRPr="00B31B94">
              <w:rPr>
                <w:rFonts w:ascii="Verdana" w:hAnsi="Verdana" w:eastAsia="Calibri" w:cs="Century Gothic"/>
                <w:color w:val="000000" w:themeColor="text1"/>
                <w:lang w:val="es-MX" w:eastAsia="es-ES_tradnl"/>
              </w:rPr>
              <w:t>–</w:t>
            </w:r>
            <w:r w:rsidRPr="00B31B94">
              <w:rPr>
                <w:rFonts w:ascii="Verdana" w:hAnsi="Verdana" w:eastAsia="Calibri" w:cs="Arial"/>
                <w:color w:val="000000" w:themeColor="text1"/>
                <w:lang w:val="es-MX" w:eastAsia="es-ES_tradnl"/>
              </w:rPr>
              <w:t xml:space="preserve"> Diferencias – Legitimación – Integrantes del consorcio o unión temporal – Documentación</w:t>
            </w:r>
            <w:r w:rsidR="004E15ED">
              <w:rPr>
                <w:rFonts w:ascii="Verdana" w:hAnsi="Verdana" w:eastAsia="Calibri" w:cs="Arial"/>
                <w:color w:val="000000" w:themeColor="text1"/>
                <w:lang w:val="es-MX" w:eastAsia="es-ES_tradnl"/>
              </w:rPr>
              <w:t xml:space="preserve"> </w:t>
            </w:r>
            <w:r w:rsidRPr="00B31B94" w:rsidR="004E15ED">
              <w:rPr>
                <w:rFonts w:ascii="Verdana" w:hAnsi="Verdana" w:eastAsia="Calibri" w:cs="Arial"/>
                <w:color w:val="000000" w:themeColor="text1"/>
                <w:lang w:val="es-MX" w:eastAsia="es-ES_tradnl"/>
              </w:rPr>
              <w:t>/</w:t>
            </w:r>
            <w:r w:rsidR="004E15ED">
              <w:rPr>
                <w:rFonts w:ascii="Verdana" w:hAnsi="Verdana" w:eastAsia="Calibri" w:cs="Arial"/>
                <w:color w:val="000000" w:themeColor="text1"/>
                <w:lang w:val="es-MX" w:eastAsia="es-ES_tradnl"/>
              </w:rPr>
              <w:t xml:space="preserve"> CONTRATO INTERADMINISTRATIVO -  </w:t>
            </w:r>
            <w:r w:rsidR="004E15ED">
              <w:rPr>
                <w:rFonts w:ascii="Verdana" w:hAnsi="Verdana" w:eastAsia="Calibri" w:cs="Arial"/>
                <w:color w:val="000000" w:themeColor="text1"/>
                <w:lang w:val="es-MX" w:eastAsia="es-ES_tradnl"/>
              </w:rPr>
              <w:t>C</w:t>
            </w:r>
            <w:r w:rsidR="004E15ED">
              <w:rPr>
                <w:rFonts w:ascii="Verdana" w:hAnsi="Verdana" w:eastAsia="Calibri" w:cs="Arial"/>
                <w:color w:val="000000" w:themeColor="text1"/>
                <w:lang w:val="es-MX" w:eastAsia="es-ES_tradnl"/>
              </w:rPr>
              <w:t xml:space="preserve">ONVENIO </w:t>
            </w:r>
            <w:r w:rsidR="004E15ED">
              <w:rPr>
                <w:rFonts w:ascii="Verdana" w:hAnsi="Verdana" w:eastAsia="Calibri" w:cs="Arial"/>
                <w:color w:val="000000" w:themeColor="text1"/>
                <w:lang w:val="es-MX" w:eastAsia="es-ES_tradnl"/>
              </w:rPr>
              <w:t xml:space="preserve"> INTERADMINISTRATIVO</w:t>
            </w:r>
            <w:r w:rsidR="004E15ED">
              <w:rPr>
                <w:rFonts w:ascii="Verdana" w:hAnsi="Verdana" w:eastAsia="Calibri" w:cs="Arial"/>
                <w:color w:val="000000" w:themeColor="text1"/>
                <w:lang w:val="es-MX" w:eastAsia="es-ES_tradnl"/>
              </w:rPr>
              <w:t xml:space="preserve"> – diferencias. </w:t>
            </w:r>
          </w:p>
          <w:p w:rsidRPr="00B31B94" w:rsidR="00871B59" w:rsidP="00881E88" w:rsidRDefault="00871B59" w14:paraId="2BF71D05" w14:textId="77777777">
            <w:pPr>
              <w:spacing w:line="276" w:lineRule="auto"/>
              <w:jc w:val="both"/>
              <w:rPr>
                <w:rFonts w:ascii="Verdana" w:hAnsi="Verdana" w:eastAsia="Calibri" w:cs="Arial"/>
                <w:color w:val="000000" w:themeColor="text1"/>
                <w:lang w:val="es-MX" w:eastAsia="es-ES"/>
              </w:rPr>
            </w:pPr>
          </w:p>
        </w:tc>
      </w:tr>
      <w:tr w:rsidRPr="00B31B94" w:rsidR="00B31B94" w:rsidTr="002607A7" w14:paraId="49091700" w14:textId="77777777">
        <w:tc>
          <w:tcPr>
            <w:tcW w:w="2689" w:type="dxa"/>
          </w:tcPr>
          <w:p w:rsidRPr="00B31B94" w:rsidR="00871B59" w:rsidP="00881E88" w:rsidRDefault="00871B59" w14:paraId="09783885" w14:textId="77777777">
            <w:pPr>
              <w:spacing w:line="276" w:lineRule="auto"/>
              <w:jc w:val="both"/>
              <w:rPr>
                <w:rFonts w:ascii="Verdana" w:hAnsi="Verdana" w:eastAsia="Calibri" w:cs="Arial"/>
                <w:b/>
                <w:color w:val="000000" w:themeColor="text1"/>
                <w:lang w:val="es-ES_tradnl" w:eastAsia="es-ES_tradnl"/>
              </w:rPr>
            </w:pPr>
            <w:r w:rsidRPr="00B31B94">
              <w:rPr>
                <w:rFonts w:ascii="Verdana" w:hAnsi="Verdana" w:eastAsia="Calibri" w:cs="Arial"/>
                <w:b/>
                <w:color w:val="000000" w:themeColor="text1"/>
                <w:lang w:val="es-ES_tradnl" w:eastAsia="es-ES_tradnl"/>
              </w:rPr>
              <w:t>Radicación:</w:t>
            </w:r>
            <w:r w:rsidRPr="00B31B94">
              <w:rPr>
                <w:rFonts w:ascii="Verdana" w:hAnsi="Verdana" w:eastAsia="Calibri" w:cs="Arial"/>
                <w:color w:val="000000" w:themeColor="text1"/>
                <w:lang w:val="es-ES_tradnl" w:eastAsia="es-ES_tradnl"/>
              </w:rPr>
              <w:t xml:space="preserve">               </w:t>
            </w:r>
          </w:p>
        </w:tc>
        <w:tc>
          <w:tcPr>
            <w:tcW w:w="6100" w:type="dxa"/>
          </w:tcPr>
          <w:p w:rsidRPr="00B31B94" w:rsidR="00871B59" w:rsidP="00881E88" w:rsidRDefault="00871B59" w14:paraId="641D09AD" w14:textId="445FDD7D">
            <w:pPr>
              <w:spacing w:line="276" w:lineRule="auto"/>
              <w:jc w:val="both"/>
              <w:rPr>
                <w:rFonts w:ascii="Verdana" w:hAnsi="Verdana" w:eastAsia="Calibri" w:cs="Arial"/>
                <w:color w:val="000000" w:themeColor="text1"/>
                <w:lang w:val="es-ES_tradnl" w:eastAsia="es-ES_tradnl"/>
              </w:rPr>
            </w:pPr>
            <w:r w:rsidRPr="00B31B94">
              <w:rPr>
                <w:rFonts w:ascii="Verdana" w:hAnsi="Verdana" w:eastAsia="Calibri" w:cs="Arial"/>
                <w:color w:val="000000" w:themeColor="text1"/>
                <w:lang w:val="es-ES_tradnl" w:eastAsia="es-ES_tradnl"/>
              </w:rPr>
              <w:t xml:space="preserve">Respuesta a consulta con radicado No. </w:t>
            </w:r>
            <w:r w:rsidRPr="00B31B94" w:rsidR="00B31B94">
              <w:rPr>
                <w:rFonts w:ascii="Verdana" w:hAnsi="Verdana"/>
                <w:color w:val="000000" w:themeColor="text1"/>
                <w:shd w:val="clear" w:color="auto" w:fill="F5F5F5"/>
              </w:rPr>
              <w:t>P20250307002293</w:t>
            </w:r>
          </w:p>
        </w:tc>
      </w:tr>
    </w:tbl>
    <w:p w:rsidRPr="00593A5F" w:rsidR="00871B59" w:rsidP="00881E88" w:rsidRDefault="00871B59" w14:paraId="7CC43D14" w14:textId="77777777">
      <w:pPr>
        <w:spacing w:after="0" w:line="276" w:lineRule="auto"/>
        <w:jc w:val="both"/>
        <w:rPr>
          <w:rFonts w:ascii="Verdana" w:hAnsi="Verdana" w:eastAsia="Calibri" w:cs="Arial"/>
          <w:color w:val="000000"/>
          <w:lang w:val="es-ES_tradnl" w:eastAsia="es-ES_tradnl"/>
        </w:rPr>
      </w:pPr>
    </w:p>
    <w:p w:rsidRPr="00593A5F" w:rsidR="00871B59" w:rsidP="00881E88" w:rsidRDefault="00871B59" w14:paraId="0F681F8E" w14:textId="77777777">
      <w:pPr>
        <w:spacing w:after="0" w:line="276" w:lineRule="auto"/>
        <w:jc w:val="both"/>
        <w:rPr>
          <w:rFonts w:ascii="Verdana" w:hAnsi="Verdana" w:eastAsia="Calibri" w:cs="Arial"/>
          <w:color w:val="000000"/>
          <w:lang w:val="es-ES_tradnl" w:eastAsia="es-ES_tradnl"/>
        </w:rPr>
      </w:pPr>
    </w:p>
    <w:p w:rsidR="00871B59" w:rsidP="00881E88" w:rsidRDefault="00871B59" w14:paraId="288F44A8" w14:textId="0407896A">
      <w:pPr>
        <w:spacing w:after="0" w:line="276" w:lineRule="auto"/>
        <w:jc w:val="both"/>
        <w:rPr>
          <w:rFonts w:ascii="Verdana" w:hAnsi="Verdana" w:eastAsia="Calibri" w:cs="Arial"/>
          <w:color w:val="000000" w:themeColor="text1"/>
          <w:lang w:val="es-ES" w:eastAsia="es-ES"/>
        </w:rPr>
      </w:pPr>
      <w:r w:rsidRPr="00593A5F">
        <w:rPr>
          <w:rFonts w:ascii="Verdana" w:hAnsi="Verdana" w:eastAsia="Calibri" w:cs="Arial"/>
          <w:color w:val="000000" w:themeColor="text1"/>
          <w:lang w:val="es-ES" w:eastAsia="es-ES"/>
        </w:rPr>
        <w:t>Estimado seño</w:t>
      </w:r>
      <w:r w:rsidR="00B31B94">
        <w:rPr>
          <w:rFonts w:ascii="Verdana" w:hAnsi="Verdana" w:eastAsia="Calibri" w:cs="Arial"/>
          <w:color w:val="000000" w:themeColor="text1"/>
          <w:lang w:val="es-ES" w:eastAsia="es-ES"/>
        </w:rPr>
        <w:t>r Vargas:</w:t>
      </w:r>
    </w:p>
    <w:p w:rsidR="00871B59" w:rsidP="00881E88" w:rsidRDefault="00871B59" w14:paraId="1B49B21B" w14:textId="77777777">
      <w:pPr>
        <w:tabs>
          <w:tab w:val="left" w:pos="3768"/>
        </w:tabs>
        <w:spacing w:after="0" w:line="276" w:lineRule="auto"/>
        <w:jc w:val="both"/>
        <w:rPr>
          <w:rFonts w:ascii="Verdana" w:hAnsi="Verdana" w:eastAsia="Calibri" w:cs="Arial"/>
          <w:color w:val="000000" w:themeColor="text1"/>
          <w:lang w:val="es-ES" w:eastAsia="es-ES"/>
        </w:rPr>
      </w:pPr>
      <w:r>
        <w:rPr>
          <w:rFonts w:ascii="Verdana" w:hAnsi="Verdana" w:eastAsia="Calibri" w:cs="Arial"/>
          <w:color w:val="000000" w:themeColor="text1"/>
          <w:lang w:val="es-ES" w:eastAsia="es-ES"/>
        </w:rPr>
        <w:tab/>
      </w:r>
    </w:p>
    <w:p w:rsidRPr="00593A5F" w:rsidR="00871B59" w:rsidP="00881E88" w:rsidRDefault="00871B59" w14:paraId="75427DD0" w14:textId="32B2CFD3">
      <w:pPr>
        <w:spacing w:after="0" w:line="276" w:lineRule="auto"/>
        <w:jc w:val="both"/>
        <w:rPr>
          <w:rFonts w:ascii="Verdana" w:hAnsi="Verdana" w:eastAsia="Calibri" w:cs="Arial"/>
          <w:color w:val="7030A0"/>
          <w:lang w:val="es-ES" w:eastAsia="es-ES"/>
        </w:rPr>
      </w:pPr>
      <w:r w:rsidRPr="00593A5F">
        <w:rPr>
          <w:rFonts w:ascii="Verdana" w:hAnsi="Verdana" w:eastAsia="Calibri" w:cs="Arial"/>
          <w:color w:val="000000" w:themeColor="text1"/>
          <w:lang w:val="es-ES" w:eastAsia="es-ES"/>
        </w:rPr>
        <w:t>En ejercicio de la competencia otorgada por los artículos 3, numeral 5º, y 11, numeral 8º, del Decreto Ley 4170 de 2011,</w:t>
      </w:r>
      <w:r w:rsidRPr="00593A5F">
        <w:rPr>
          <w:rFonts w:ascii="Verdana" w:hAnsi="Verdana" w:eastAsia="Arial MT"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hAnsi="Verdana" w:eastAsia="Calibri" w:cs="Arial"/>
          <w:color w:val="000000" w:themeColor="text1"/>
          <w:lang w:val="es-ES" w:eastAsia="es-ES"/>
        </w:rPr>
        <w:t xml:space="preserve">la Agencia Nacional de Contratación </w:t>
      </w:r>
      <w:r w:rsidRPr="00B31B94">
        <w:rPr>
          <w:rFonts w:ascii="Verdana" w:hAnsi="Verdana" w:eastAsia="Calibri" w:cs="Arial"/>
          <w:color w:val="000000" w:themeColor="text1"/>
          <w:lang w:val="es-ES" w:eastAsia="es-ES"/>
        </w:rPr>
        <w:t>Pública – Colombia Compra Eficiente– responde su solicitud de consulta de fecha</w:t>
      </w:r>
      <w:r w:rsidRPr="00B31B94" w:rsidR="00B31B94">
        <w:rPr>
          <w:rFonts w:ascii="Verdana" w:hAnsi="Verdana" w:eastAsia="Calibri" w:cs="Arial"/>
          <w:color w:val="000000" w:themeColor="text1"/>
          <w:lang w:val="es-ES" w:eastAsia="es-ES"/>
        </w:rPr>
        <w:t xml:space="preserve"> </w:t>
      </w:r>
      <w:r w:rsidRPr="00B31B94">
        <w:rPr>
          <w:rFonts w:ascii="Verdana" w:hAnsi="Verdana" w:eastAsia="Calibri" w:cs="Arial"/>
          <w:color w:val="000000" w:themeColor="text1"/>
          <w:lang w:val="es-ES" w:eastAsia="es-ES"/>
        </w:rPr>
        <w:t>d</w:t>
      </w:r>
      <w:r w:rsidRPr="00B31B94" w:rsidR="00B31B94">
        <w:rPr>
          <w:rFonts w:ascii="Verdana" w:hAnsi="Verdana" w:eastAsia="Calibri" w:cs="Arial"/>
          <w:color w:val="000000" w:themeColor="text1"/>
          <w:lang w:val="es-ES" w:eastAsia="es-ES"/>
        </w:rPr>
        <w:t>e siete (7)</w:t>
      </w:r>
      <w:r w:rsidRPr="00B31B94">
        <w:rPr>
          <w:rFonts w:ascii="Verdana" w:hAnsi="Verdana" w:eastAsia="Calibri" w:cs="Arial"/>
          <w:color w:val="000000" w:themeColor="text1"/>
          <w:lang w:val="es-ES" w:eastAsia="es-ES"/>
        </w:rPr>
        <w:t xml:space="preserve"> d</w:t>
      </w:r>
      <w:r w:rsidRPr="00B31B94" w:rsidR="00B31B94">
        <w:rPr>
          <w:rFonts w:ascii="Verdana" w:hAnsi="Verdana" w:eastAsia="Calibri" w:cs="Arial"/>
          <w:color w:val="000000" w:themeColor="text1"/>
          <w:lang w:val="es-ES" w:eastAsia="es-ES"/>
        </w:rPr>
        <w:t>e marzo 2025</w:t>
      </w:r>
      <w:r w:rsidRPr="00B31B94">
        <w:rPr>
          <w:rFonts w:ascii="Verdana" w:hAnsi="Verdana" w:eastAsia="Calibri" w:cs="Arial"/>
          <w:color w:val="000000" w:themeColor="text1"/>
          <w:lang w:val="es-ES" w:eastAsia="es-ES"/>
        </w:rPr>
        <w:t xml:space="preserve">, en la cual manifiesta lo siguiente: </w:t>
      </w:r>
    </w:p>
    <w:p w:rsidRPr="00272A7B" w:rsidR="00871B59" w:rsidP="00881E88" w:rsidRDefault="00871B59" w14:paraId="12E183C2" w14:textId="77777777">
      <w:pPr>
        <w:pStyle w:val="Prrafodelista"/>
        <w:tabs>
          <w:tab w:val="left" w:pos="142"/>
          <w:tab w:val="left" w:pos="284"/>
        </w:tabs>
        <w:spacing w:line="276" w:lineRule="auto"/>
        <w:ind w:left="0"/>
        <w:jc w:val="both"/>
        <w:rPr>
          <w:rFonts w:ascii="Verdana" w:hAnsi="Verdana" w:eastAsia="Century Gothic" w:cs="Century Gothic"/>
          <w:b/>
          <w:bCs/>
          <w:lang w:val="es-ES"/>
        </w:rPr>
      </w:pPr>
    </w:p>
    <w:p w:rsidRPr="00B31B94" w:rsidR="00871B59" w:rsidP="00881E88" w:rsidRDefault="00871B59" w14:paraId="7088723B" w14:textId="564D22BA">
      <w:pPr>
        <w:spacing w:after="0" w:line="276" w:lineRule="auto"/>
        <w:ind w:left="709" w:right="709"/>
        <w:jc w:val="both"/>
        <w:rPr>
          <w:rFonts w:ascii="Verdana" w:hAnsi="Verdana" w:eastAsia="Century Gothic" w:cs="Century Gothic"/>
          <w:color w:val="000000" w:themeColor="text1"/>
          <w:sz w:val="20"/>
          <w:szCs w:val="20"/>
          <w:lang w:val="es-ES"/>
        </w:rPr>
      </w:pPr>
      <w:bookmarkStart w:name="_Hlk95313578" w:id="0"/>
      <w:r w:rsidRPr="00B31B94">
        <w:rPr>
          <w:rFonts w:ascii="Verdana" w:hAnsi="Verdana" w:eastAsia="Century Gothic" w:cs="Century Gothic"/>
          <w:color w:val="000000" w:themeColor="text1"/>
          <w:sz w:val="20"/>
          <w:szCs w:val="20"/>
          <w:lang w:val="es-ES"/>
        </w:rPr>
        <w:t>“</w:t>
      </w:r>
      <w:bookmarkEnd w:id="0"/>
      <w:r w:rsidRPr="00B31B94" w:rsidR="00B31B94">
        <w:rPr>
          <w:rStyle w:val="normaltextrun"/>
          <w:rFonts w:ascii="Verdana" w:hAnsi="Verdana" w:cs="Arial"/>
          <w:color w:val="000000" w:themeColor="text1"/>
          <w:sz w:val="20"/>
          <w:szCs w:val="20"/>
          <w:shd w:val="clear" w:color="auto" w:fill="FFFFFF"/>
          <w:lang w:val="es-ES"/>
        </w:rPr>
        <w:t xml:space="preserve">Solicito amablemente que se otorgue concepto sobre la siguiente duda: ¿Si una entidad estatal desea contratar en un proceso de selección, y a este se presenta y es seleccionada una Unión Temporal en la que participa otra entidad estatal, el contrato que se celebre es un interadministrativo? </w:t>
      </w:r>
      <w:r w:rsidRPr="00B31B94" w:rsidR="00B31B94">
        <w:rPr>
          <w:rStyle w:val="normaltextrun"/>
          <w:rFonts w:ascii="Verdana" w:hAnsi="Verdana" w:cs="Arial"/>
          <w:color w:val="000000" w:themeColor="text1"/>
          <w:sz w:val="20"/>
          <w:szCs w:val="20"/>
          <w:shd w:val="clear" w:color="auto" w:fill="FFFFFF"/>
          <w:lang w:val="es-ES"/>
        </w:rPr>
        <w:lastRenderedPageBreak/>
        <w:t xml:space="preserve">De no ser así, por favor aclare la naturaleza del contrato, su régimen aplicable y si </w:t>
      </w:r>
      <w:proofErr w:type="gramStart"/>
      <w:r w:rsidRPr="00B31B94" w:rsidR="00B31B94">
        <w:rPr>
          <w:rStyle w:val="normaltextrun"/>
          <w:rFonts w:ascii="Verdana" w:hAnsi="Verdana" w:cs="Arial"/>
          <w:color w:val="000000" w:themeColor="text1"/>
          <w:sz w:val="20"/>
          <w:szCs w:val="20"/>
          <w:shd w:val="clear" w:color="auto" w:fill="FFFFFF"/>
          <w:lang w:val="es-ES"/>
        </w:rPr>
        <w:t>podrían</w:t>
      </w:r>
      <w:proofErr w:type="gramEnd"/>
      <w:r w:rsidRPr="00B31B94" w:rsidR="00B31B94">
        <w:rPr>
          <w:rStyle w:val="normaltextrun"/>
          <w:rFonts w:ascii="Verdana" w:hAnsi="Verdana" w:cs="Arial"/>
          <w:color w:val="000000" w:themeColor="text1"/>
          <w:sz w:val="20"/>
          <w:szCs w:val="20"/>
          <w:shd w:val="clear" w:color="auto" w:fill="FFFFFF"/>
          <w:lang w:val="es-ES"/>
        </w:rPr>
        <w:t xml:space="preserve"> pactarse cláusulas excepcionales”.</w:t>
      </w:r>
    </w:p>
    <w:p w:rsidRPr="00593A5F" w:rsidR="00871B59" w:rsidP="00881E88" w:rsidRDefault="00871B59" w14:paraId="3D932996" w14:textId="77777777">
      <w:pPr>
        <w:pStyle w:val="Prrafodelista"/>
        <w:tabs>
          <w:tab w:val="left" w:pos="142"/>
          <w:tab w:val="left" w:pos="284"/>
        </w:tabs>
        <w:spacing w:line="276" w:lineRule="auto"/>
        <w:ind w:left="0"/>
        <w:jc w:val="both"/>
        <w:rPr>
          <w:rFonts w:ascii="Verdana" w:hAnsi="Verdana" w:eastAsia="Century Gothic" w:cs="Century Gothic"/>
          <w:b/>
          <w:bCs/>
          <w:lang w:val="es-ES"/>
        </w:rPr>
      </w:pPr>
    </w:p>
    <w:p w:rsidR="00871B59" w:rsidP="00881E88" w:rsidRDefault="00871B59" w14:paraId="51AF2566" w14:textId="77777777">
      <w:pPr>
        <w:spacing w:after="120" w:line="276" w:lineRule="auto"/>
        <w:ind w:firstLine="709"/>
        <w:jc w:val="both"/>
        <w:rPr>
          <w:rFonts w:ascii="Verdana" w:hAnsi="Verdana" w:eastAsia="Calibri" w:cs="Arial"/>
          <w:color w:val="000000"/>
          <w:szCs w:val="24"/>
          <w:lang w:val="es-ES_tradnl" w:eastAsia="es-ES_tradnl"/>
        </w:rPr>
      </w:pPr>
      <w:r w:rsidRPr="00593A5F">
        <w:rPr>
          <w:rFonts w:ascii="Verdana" w:hAnsi="Verdana" w:eastAsia="Calibri"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hAnsi="Verdana" w:eastAsia="Calibri" w:cs="Arial"/>
          <w:color w:val="000000"/>
          <w:szCs w:val="24"/>
          <w:lang w:val="es-ES_tradnl" w:eastAsia="es-ES_tradnl"/>
        </w:rPr>
        <w:tab/>
      </w:r>
    </w:p>
    <w:p w:rsidR="00871B59" w:rsidP="00881E88" w:rsidRDefault="00871B59" w14:paraId="473AA5F4" w14:textId="0707C725">
      <w:pPr>
        <w:spacing w:after="0" w:line="276" w:lineRule="auto"/>
        <w:ind w:firstLine="709"/>
        <w:jc w:val="both"/>
        <w:rPr>
          <w:rFonts w:ascii="Verdana" w:hAnsi="Verdana" w:eastAsia="Calibri" w:cs="Arial"/>
          <w:color w:val="000000"/>
          <w:lang w:val="es-ES" w:eastAsia="es-ES"/>
        </w:rPr>
      </w:pPr>
      <w:r w:rsidRPr="00593A5F">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hAnsi="Verdana" w:eastAsia="Calibri" w:cs="Arial"/>
          <w:color w:val="000000"/>
          <w:lang w:val="es-ES" w:eastAsia="es-ES"/>
        </w:rPr>
        <w:t>s circunstancias</w:t>
      </w:r>
      <w:r w:rsidRPr="00593A5F">
        <w:rPr>
          <w:rFonts w:ascii="Verdana" w:hAnsi="Verdana" w:eastAsia="Calibri" w:cs="Arial"/>
          <w:color w:val="000000"/>
          <w:lang w:val="es-ES" w:eastAsia="es-ES"/>
        </w:rPr>
        <w:t xml:space="preserve"> particular</w:t>
      </w:r>
      <w:r>
        <w:rPr>
          <w:rFonts w:ascii="Verdana" w:hAnsi="Verdana" w:eastAsia="Calibri" w:cs="Arial"/>
          <w:color w:val="000000"/>
          <w:lang w:val="es-ES" w:eastAsia="es-ES"/>
        </w:rPr>
        <w:t>es</w:t>
      </w:r>
      <w:r w:rsidRPr="00593A5F">
        <w:rPr>
          <w:rFonts w:ascii="Verdana" w:hAnsi="Verdana" w:eastAsia="Calibri" w:cs="Arial"/>
          <w:color w:val="000000"/>
          <w:lang w:val="es-ES" w:eastAsia="es-ES"/>
        </w:rPr>
        <w:t xml:space="preserve"> y concreta</w:t>
      </w:r>
      <w:r>
        <w:rPr>
          <w:rFonts w:ascii="Verdana" w:hAnsi="Verdana" w:eastAsia="Calibri" w:cs="Arial"/>
          <w:color w:val="000000"/>
          <w:lang w:val="es-ES" w:eastAsia="es-ES"/>
        </w:rPr>
        <w:t>s</w:t>
      </w:r>
      <w:r w:rsidRPr="00593A5F">
        <w:rPr>
          <w:rFonts w:ascii="Verdana" w:hAnsi="Verdana" w:eastAsia="Calibri" w:cs="Arial"/>
          <w:color w:val="000000"/>
          <w:lang w:val="es-ES" w:eastAsia="es-ES"/>
        </w:rPr>
        <w:t xml:space="preserve"> mencionada</w:t>
      </w:r>
      <w:r>
        <w:rPr>
          <w:rFonts w:ascii="Verdana" w:hAnsi="Verdana" w:eastAsia="Calibri" w:cs="Arial"/>
          <w:color w:val="000000"/>
          <w:lang w:val="es-ES" w:eastAsia="es-ES"/>
        </w:rPr>
        <w:t>s</w:t>
      </w:r>
      <w:r w:rsidRPr="00593A5F">
        <w:rPr>
          <w:rFonts w:ascii="Verdana" w:hAnsi="Verdana" w:eastAsia="Calibri" w:cs="Arial"/>
          <w:color w:val="000000"/>
          <w:lang w:val="es-ES" w:eastAsia="es-ES"/>
        </w:rPr>
        <w:t xml:space="preserve"> en su petición, pero </w:t>
      </w:r>
      <w:r w:rsidR="00B31B94">
        <w:rPr>
          <w:rFonts w:ascii="Verdana" w:hAnsi="Verdana" w:eastAsia="Calibri" w:cs="Arial"/>
          <w:color w:val="000000"/>
          <w:lang w:val="es-ES" w:eastAsia="es-ES"/>
        </w:rPr>
        <w:t>señalando</w:t>
      </w:r>
      <w:r w:rsidRPr="00593A5F">
        <w:rPr>
          <w:rFonts w:ascii="Verdana" w:hAnsi="Verdana" w:eastAsia="Calibri" w:cs="Arial"/>
          <w:color w:val="000000"/>
          <w:lang w:val="es-ES" w:eastAsia="es-ES"/>
        </w:rPr>
        <w:t xml:space="preserve"> unas consideraciones sobre las normas generales relacionadas con </w:t>
      </w:r>
      <w:r w:rsidR="00945F14">
        <w:rPr>
          <w:rFonts w:ascii="Verdana" w:hAnsi="Verdana" w:eastAsia="Calibri" w:cs="Arial"/>
          <w:color w:val="000000"/>
          <w:lang w:val="es-ES" w:eastAsia="es-ES"/>
        </w:rPr>
        <w:t xml:space="preserve">los </w:t>
      </w:r>
      <w:r>
        <w:rPr>
          <w:rFonts w:ascii="Verdana" w:hAnsi="Verdana" w:eastAsia="Calibri" w:cs="Arial"/>
          <w:color w:val="000000"/>
          <w:lang w:val="es-ES" w:eastAsia="es-ES"/>
        </w:rPr>
        <w:t>problema</w:t>
      </w:r>
      <w:r w:rsidR="00945F14">
        <w:rPr>
          <w:rFonts w:ascii="Verdana" w:hAnsi="Verdana" w:eastAsia="Calibri" w:cs="Arial"/>
          <w:color w:val="000000"/>
          <w:lang w:val="es-ES" w:eastAsia="es-ES"/>
        </w:rPr>
        <w:t>s</w:t>
      </w:r>
      <w:r w:rsidRPr="00247BDE">
        <w:rPr>
          <w:rFonts w:ascii="Verdana" w:hAnsi="Verdana" w:eastAsia="Calibri" w:cs="Arial"/>
          <w:color w:val="7030A0"/>
          <w:lang w:val="es-ES" w:eastAsia="es-ES"/>
        </w:rPr>
        <w:t xml:space="preserve"> </w:t>
      </w:r>
      <w:r>
        <w:rPr>
          <w:rFonts w:ascii="Verdana" w:hAnsi="Verdana" w:eastAsia="Calibri" w:cs="Arial"/>
          <w:color w:val="000000"/>
          <w:lang w:val="es-ES" w:eastAsia="es-ES"/>
        </w:rPr>
        <w:t>jurídico</w:t>
      </w:r>
      <w:r w:rsidR="00945F14">
        <w:rPr>
          <w:rFonts w:ascii="Verdana" w:hAnsi="Verdana" w:eastAsia="Calibri" w:cs="Arial"/>
          <w:color w:val="000000"/>
          <w:lang w:val="es-ES" w:eastAsia="es-ES"/>
        </w:rPr>
        <w:t>s</w:t>
      </w:r>
      <w:r w:rsidR="00B31B94">
        <w:rPr>
          <w:rFonts w:ascii="Verdana" w:hAnsi="Verdana" w:eastAsia="Calibri" w:cs="Arial"/>
          <w:color w:val="7030A0"/>
          <w:lang w:val="es-ES" w:eastAsia="es-ES"/>
        </w:rPr>
        <w:t xml:space="preserve"> </w:t>
      </w:r>
      <w:r>
        <w:rPr>
          <w:rFonts w:ascii="Verdana" w:hAnsi="Verdana" w:eastAsia="Calibri" w:cs="Arial"/>
          <w:color w:val="000000"/>
          <w:lang w:val="es-ES" w:eastAsia="es-ES"/>
        </w:rPr>
        <w:t>de su</w:t>
      </w:r>
      <w:r w:rsidRPr="00593A5F">
        <w:rPr>
          <w:rFonts w:ascii="Verdana" w:hAnsi="Verdana" w:eastAsia="Calibri" w:cs="Arial"/>
          <w:color w:val="000000"/>
          <w:lang w:val="es-ES" w:eastAsia="es-ES"/>
        </w:rPr>
        <w:t xml:space="preserve"> consulta. </w:t>
      </w:r>
    </w:p>
    <w:p w:rsidRPr="00593A5F" w:rsidR="00871B59" w:rsidP="00881E88" w:rsidRDefault="00871B59" w14:paraId="2FFD4AB2" w14:textId="77777777">
      <w:pPr>
        <w:spacing w:after="0" w:line="276" w:lineRule="auto"/>
        <w:ind w:firstLine="709"/>
        <w:jc w:val="both"/>
        <w:rPr>
          <w:rFonts w:ascii="Verdana" w:hAnsi="Verdana" w:eastAsia="Calibri" w:cs="Arial"/>
          <w:color w:val="000000"/>
          <w:lang w:val="es-ES" w:eastAsia="es-ES"/>
        </w:rPr>
      </w:pPr>
    </w:p>
    <w:p w:rsidRPr="00593A5F" w:rsidR="00871B59" w:rsidP="00881E88" w:rsidRDefault="00871B59" w14:paraId="23276C54" w14:textId="77777777">
      <w:pPr>
        <w:pStyle w:val="Prrafodelista"/>
        <w:numPr>
          <w:ilvl w:val="0"/>
          <w:numId w:val="4"/>
        </w:numPr>
        <w:tabs>
          <w:tab w:val="left" w:pos="142"/>
          <w:tab w:val="left" w:pos="284"/>
        </w:tabs>
        <w:spacing w:after="0" w:line="276" w:lineRule="auto"/>
        <w:ind w:left="0" w:firstLine="0"/>
        <w:jc w:val="both"/>
        <w:rPr>
          <w:rFonts w:ascii="Verdana" w:hAnsi="Verdana" w:eastAsia="Century Gothic" w:cs="Century Gothic"/>
          <w:b/>
          <w:bCs/>
          <w:lang w:val="es-ES"/>
        </w:rPr>
      </w:pPr>
      <w:r w:rsidRPr="00593A5F">
        <w:rPr>
          <w:rFonts w:ascii="Verdana" w:hAnsi="Verdana" w:eastAsia="Century Gothic" w:cs="Century Gothic"/>
          <w:b/>
          <w:bCs/>
          <w:lang w:val="es-ES"/>
        </w:rPr>
        <w:t>Problema planteado:</w:t>
      </w:r>
    </w:p>
    <w:p w:rsidRPr="00945F14" w:rsidR="00871B59" w:rsidP="00881E88" w:rsidRDefault="00871B59" w14:paraId="3A7387F1" w14:textId="77777777">
      <w:pPr>
        <w:tabs>
          <w:tab w:val="left" w:pos="426"/>
        </w:tabs>
        <w:spacing w:after="0" w:line="276" w:lineRule="auto"/>
        <w:jc w:val="both"/>
        <w:rPr>
          <w:rFonts w:ascii="Verdana" w:hAnsi="Verdana" w:eastAsia="Century Gothic" w:cs="Century Gothic"/>
          <w:lang w:val="es-ES"/>
        </w:rPr>
      </w:pPr>
    </w:p>
    <w:p w:rsidRPr="00945F14" w:rsidR="00871B59" w:rsidP="00881E88" w:rsidRDefault="00871B59" w14:paraId="7D32EF94" w14:textId="579AEBDF">
      <w:pPr>
        <w:spacing w:after="0" w:line="276" w:lineRule="auto"/>
        <w:jc w:val="both"/>
        <w:rPr>
          <w:rFonts w:ascii="Verdana" w:hAnsi="Verdana" w:eastAsia="Century Gothic" w:cs="Century Gothic"/>
        </w:rPr>
      </w:pPr>
      <w:r w:rsidRPr="00945F14">
        <w:rPr>
          <w:rFonts w:ascii="Verdana" w:hAnsi="Verdana" w:eastAsia="Century Gothic" w:cs="Century Gothic"/>
        </w:rPr>
        <w:t xml:space="preserve">De acuerdo con el contenido de su solicitud, esta Agencia resolverá </w:t>
      </w:r>
      <w:r w:rsidR="00945F14">
        <w:rPr>
          <w:rFonts w:ascii="Verdana" w:hAnsi="Verdana" w:eastAsia="Century Gothic" w:cs="Century Gothic"/>
        </w:rPr>
        <w:t xml:space="preserve">los </w:t>
      </w:r>
      <w:r w:rsidRPr="00945F14">
        <w:rPr>
          <w:rFonts w:ascii="Verdana" w:hAnsi="Verdana" w:eastAsia="Century Gothic" w:cs="Century Gothic"/>
        </w:rPr>
        <w:t>siguiente</w:t>
      </w:r>
      <w:r w:rsidR="00945F14">
        <w:rPr>
          <w:rFonts w:ascii="Verdana" w:hAnsi="Verdana" w:eastAsia="Century Gothic" w:cs="Century Gothic"/>
        </w:rPr>
        <w:t xml:space="preserve">s </w:t>
      </w:r>
      <w:r w:rsidRPr="00945F14">
        <w:rPr>
          <w:rFonts w:ascii="Verdana" w:hAnsi="Verdana" w:eastAsia="Century Gothic" w:cs="Century Gothic"/>
        </w:rPr>
        <w:t xml:space="preserve"> problemas jurídico</w:t>
      </w:r>
      <w:r w:rsidR="00945F14">
        <w:rPr>
          <w:rFonts w:ascii="Verdana" w:hAnsi="Verdana" w:eastAsia="Century Gothic" w:cs="Century Gothic"/>
        </w:rPr>
        <w:t>s</w:t>
      </w:r>
      <w:r w:rsidRPr="00945F14">
        <w:rPr>
          <w:rFonts w:ascii="Verdana" w:hAnsi="Verdana" w:eastAsia="Century Gothic" w:cs="Century Gothic"/>
        </w:rPr>
        <w:t>:</w:t>
      </w:r>
      <w:r w:rsidRPr="00945F14" w:rsidR="00945F14">
        <w:rPr>
          <w:rFonts w:ascii="Verdana" w:hAnsi="Verdana" w:eastAsia="Century Gothic" w:cs="Century Gothic"/>
        </w:rPr>
        <w:t xml:space="preserve"> </w:t>
      </w:r>
      <w:r w:rsidRPr="00945F14" w:rsidR="00945F14">
        <w:rPr>
          <w:rFonts w:ascii="Verdana" w:hAnsi="Verdana"/>
          <w:color w:val="000000"/>
        </w:rPr>
        <w:t>¿El contrato estatal resultante de un proceso de selección (licitación, selección abreviada, etc.) adjudicado a una Unión Temporal en la que una de sus integrantes es otra entidad estatal, se considera un contrato interadministrativo? De no ser así, ¿cuál es la denominación y el régimen jurídico aplicable a dicho contrato, y bajo qué condiciones se podrían incluir cláusulas excepcionales?</w:t>
      </w:r>
      <w:r w:rsidRPr="00945F14">
        <w:rPr>
          <w:rFonts w:ascii="Verdana" w:hAnsi="Verdana" w:eastAsia="Century Gothic" w:cs="Century Gothic"/>
          <w:color w:val="7030A0"/>
        </w:rPr>
        <w:t xml:space="preserve"> </w:t>
      </w:r>
    </w:p>
    <w:p w:rsidRPr="00593A5F" w:rsidR="00871B59" w:rsidP="00881E88" w:rsidRDefault="00871B59" w14:paraId="261E0876" w14:textId="77777777">
      <w:pPr>
        <w:spacing w:after="0" w:line="276" w:lineRule="auto"/>
        <w:jc w:val="both"/>
        <w:rPr>
          <w:rFonts w:ascii="Verdana" w:hAnsi="Verdana" w:eastAsia="Calibri" w:cs="Arial"/>
          <w:color w:val="7030A0"/>
          <w:lang w:val="es-ES"/>
        </w:rPr>
      </w:pPr>
    </w:p>
    <w:p w:rsidRPr="00593A5F" w:rsidR="00871B59" w:rsidP="00881E88" w:rsidRDefault="00871B59" w14:paraId="69376EE8" w14:textId="77777777">
      <w:pPr>
        <w:pStyle w:val="Prrafodelista"/>
        <w:numPr>
          <w:ilvl w:val="0"/>
          <w:numId w:val="4"/>
        </w:numPr>
        <w:tabs>
          <w:tab w:val="left" w:pos="142"/>
          <w:tab w:val="left" w:pos="284"/>
        </w:tabs>
        <w:spacing w:after="0" w:line="276" w:lineRule="auto"/>
        <w:ind w:left="0" w:firstLine="0"/>
        <w:contextualSpacing w:val="0"/>
        <w:jc w:val="both"/>
        <w:rPr>
          <w:rFonts w:ascii="Verdana" w:hAnsi="Verdana" w:eastAsia="Century Gothic" w:cs="Century Gothic"/>
          <w:b/>
          <w:bCs/>
          <w:lang w:val="es-ES"/>
        </w:rPr>
      </w:pPr>
      <w:r w:rsidRPr="00593A5F">
        <w:rPr>
          <w:rFonts w:ascii="Verdana" w:hAnsi="Verdana" w:eastAsia="Century Gothic" w:cs="Century Gothic"/>
          <w:b/>
          <w:bCs/>
          <w:lang w:val="es-ES"/>
        </w:rPr>
        <w:t>Respuesta:</w:t>
      </w:r>
    </w:p>
    <w:p w:rsidRPr="00593A5F" w:rsidR="00871B59" w:rsidP="00881E88" w:rsidRDefault="00871B59" w14:paraId="0EA6A488"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93A5F" w:rsidR="00871B59" w:rsidTr="002607A7" w14:paraId="46575245" w14:textId="77777777">
        <w:tc>
          <w:tcPr>
            <w:tcW w:w="8828" w:type="dxa"/>
            <w:shd w:val="clear" w:color="auto" w:fill="auto"/>
          </w:tcPr>
          <w:p w:rsidR="0027561D" w:rsidP="0027561D" w:rsidRDefault="002E14B2" w14:paraId="51843056" w14:textId="1F81450D">
            <w:pPr>
              <w:spacing w:after="120" w:line="276" w:lineRule="auto"/>
              <w:ind w:right="49" w:firstLine="708"/>
              <w:jc w:val="both"/>
              <w:rPr>
                <w:rFonts w:ascii="Verdana" w:hAnsi="Verdana" w:cs="Arial"/>
                <w:color w:val="000000" w:themeColor="text1"/>
              </w:rPr>
            </w:pPr>
            <w:r>
              <w:rPr>
                <w:rFonts w:ascii="Verdana" w:hAnsi="Verdana" w:cs="Arial"/>
                <w:color w:val="000000" w:themeColor="text1"/>
                <w:lang w:val="es-ES"/>
              </w:rPr>
              <w:t>L</w:t>
            </w:r>
            <w:proofErr w:type="spellStart"/>
            <w:r>
              <w:rPr>
                <w:rFonts w:ascii="Verdana" w:hAnsi="Verdana" w:eastAsia="Calibri" w:cs="Arial"/>
              </w:rPr>
              <w:t>as</w:t>
            </w:r>
            <w:proofErr w:type="spellEnd"/>
            <w:r>
              <w:rPr>
                <w:rFonts w:ascii="Verdana" w:hAnsi="Verdana" w:eastAsia="Calibri" w:cs="Arial"/>
              </w:rPr>
              <w:t xml:space="preserve"> e</w:t>
            </w:r>
            <w:r w:rsidR="0027561D">
              <w:rPr>
                <w:rFonts w:ascii="Verdana" w:hAnsi="Verdana" w:eastAsia="Calibri" w:cs="Arial"/>
              </w:rPr>
              <w:t>structuras plurales</w:t>
            </w:r>
            <w:r w:rsidRPr="003734FE" w:rsidR="0027561D">
              <w:rPr>
                <w:rFonts w:ascii="Verdana" w:hAnsi="Verdana" w:eastAsia="Calibri" w:cs="Arial"/>
              </w:rPr>
              <w:t xml:space="preserve">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w:t>
            </w:r>
            <w:r w:rsidR="0027561D">
              <w:rPr>
                <w:rFonts w:ascii="Verdana" w:hAnsi="Verdana" w:eastAsia="Calibri" w:cs="Arial"/>
              </w:rPr>
              <w:t>o</w:t>
            </w:r>
            <w:r w:rsidRPr="003734FE" w:rsidR="0027561D">
              <w:rPr>
                <w:rFonts w:ascii="Verdana" w:hAnsi="Verdana" w:eastAsia="Calibri" w:cs="Arial"/>
              </w:rPr>
              <w:t xml:space="preserve"> o varios contratos estatales, compartiendo recursos, de toda índole, para su ejecución, así como las utilidades y los riesgos.</w:t>
            </w:r>
            <w:r w:rsidR="0027561D">
              <w:rPr>
                <w:rFonts w:ascii="Verdana" w:hAnsi="Verdana" w:eastAsia="Calibri" w:cs="Arial"/>
              </w:rPr>
              <w:t xml:space="preserve"> </w:t>
            </w:r>
            <w:r w:rsidRPr="007D6693" w:rsidR="0027561D">
              <w:rPr>
                <w:rFonts w:ascii="Verdana" w:hAnsi="Verdana" w:cs="Arial"/>
                <w:color w:val="000000" w:themeColor="text1"/>
              </w:rPr>
              <w:t xml:space="preserve">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w:t>
            </w:r>
            <w:r w:rsidRPr="00A5582B" w:rsidR="0027561D">
              <w:rPr>
                <w:rFonts w:ascii="Verdana" w:hAnsi="Verdana" w:cs="Arial"/>
                <w:color w:val="000000" w:themeColor="text1"/>
              </w:rPr>
              <w:t xml:space="preserve">independencia de este aspecto.  </w:t>
            </w:r>
          </w:p>
          <w:p w:rsidRPr="00A5582B" w:rsidR="0027561D" w:rsidP="0027561D" w:rsidRDefault="0027561D" w14:paraId="7D4FA4FB" w14:textId="77777777">
            <w:pPr>
              <w:spacing w:after="120" w:line="276" w:lineRule="auto"/>
              <w:ind w:right="49" w:firstLine="708"/>
              <w:jc w:val="both"/>
              <w:rPr>
                <w:rFonts w:ascii="Verdana" w:hAnsi="Verdana"/>
                <w:color w:val="000000"/>
              </w:rPr>
            </w:pPr>
            <w:r w:rsidRPr="00A5582B">
              <w:rPr>
                <w:rFonts w:ascii="Verdana" w:hAnsi="Verdana" w:cs="Arial"/>
                <w:color w:val="000000" w:themeColor="text1"/>
              </w:rPr>
              <w:t xml:space="preserve">En todo caso, </w:t>
            </w:r>
            <w:r>
              <w:rPr>
                <w:rFonts w:ascii="Verdana" w:hAnsi="Verdana"/>
                <w:color w:val="000000"/>
              </w:rPr>
              <w:t>e</w:t>
            </w:r>
            <w:r w:rsidRPr="00A5582B">
              <w:rPr>
                <w:rFonts w:ascii="Verdana" w:hAnsi="Verdana"/>
                <w:color w:val="000000"/>
              </w:rPr>
              <w:t xml:space="preserve">s fundamental destacar que, si bien una Unión Temporal puede estar integrada por personas naturales, jurídicas, también puede estar integrado por </w:t>
            </w:r>
            <w:r>
              <w:rPr>
                <w:rFonts w:ascii="Verdana" w:hAnsi="Verdana"/>
                <w:color w:val="000000"/>
              </w:rPr>
              <w:t xml:space="preserve">una </w:t>
            </w:r>
            <w:r w:rsidRPr="00A5582B">
              <w:rPr>
                <w:rFonts w:ascii="Verdana" w:hAnsi="Verdana"/>
                <w:color w:val="000000"/>
              </w:rPr>
              <w:t>entidad estatal,</w:t>
            </w:r>
            <w:r w:rsidRPr="00A5582B">
              <w:rPr>
                <w:rStyle w:val="apple-converted-space"/>
                <w:rFonts w:ascii="Verdana" w:hAnsi="Verdana"/>
                <w:color w:val="000000"/>
              </w:rPr>
              <w:t> </w:t>
            </w:r>
            <w:r w:rsidRPr="00A5582B">
              <w:rPr>
                <w:rStyle w:val="Textoennegrita"/>
                <w:rFonts w:ascii="Verdana" w:hAnsi="Verdana"/>
                <w:b w:val="0"/>
                <w:bCs w:val="0"/>
                <w:color w:val="000000"/>
              </w:rPr>
              <w:t>la Unión Temporal en sí misma actúa como un único proponente dentro del proceso de selección</w:t>
            </w:r>
            <w:r w:rsidRPr="00A5582B">
              <w:rPr>
                <w:rFonts w:ascii="Verdana" w:hAnsi="Verdana"/>
                <w:b/>
                <w:bCs/>
                <w:color w:val="000000"/>
              </w:rPr>
              <w:t>.</w:t>
            </w:r>
            <w:r w:rsidRPr="00A5582B">
              <w:rPr>
                <w:rFonts w:ascii="Verdana" w:hAnsi="Verdana"/>
                <w:color w:val="000000"/>
              </w:rPr>
              <w:t xml:space="preserve"> La participación de una entidad estatal como miembro de una Unión Temporal no le otorga a esta última la naturaleza de entidad estatal</w:t>
            </w:r>
            <w:r>
              <w:rPr>
                <w:rFonts w:ascii="Verdana" w:hAnsi="Verdana"/>
                <w:color w:val="000000"/>
              </w:rPr>
              <w:t xml:space="preserve">, </w:t>
            </w:r>
            <w:r w:rsidRPr="00A5582B">
              <w:rPr>
                <w:rFonts w:ascii="Verdana" w:hAnsi="Verdana"/>
                <w:color w:val="000000"/>
              </w:rPr>
              <w:t>ni la convierte automáticamente en un contrato interadministrativo.</w:t>
            </w:r>
          </w:p>
          <w:p w:rsidR="0027561D" w:rsidP="00837D04" w:rsidRDefault="0027561D" w14:paraId="73792C5D" w14:textId="3875D046">
            <w:pPr>
              <w:spacing w:after="120" w:line="276" w:lineRule="auto"/>
              <w:ind w:right="49" w:firstLine="708"/>
              <w:jc w:val="both"/>
              <w:rPr>
                <w:rFonts w:ascii="Verdana" w:hAnsi="Verdana" w:eastAsia="Times New Roman" w:cs="Times New Roman"/>
                <w:color w:val="000000"/>
                <w:lang w:eastAsia="es-MX"/>
              </w:rPr>
            </w:pPr>
            <w:r>
              <w:rPr>
                <w:rFonts w:ascii="Verdana" w:hAnsi="Verdana" w:eastAsia="Times New Roman" w:cs="Times New Roman"/>
                <w:color w:val="000000"/>
                <w:lang w:eastAsia="es-MX"/>
              </w:rPr>
              <w:t>Por su parte, el</w:t>
            </w:r>
            <w:r w:rsidRPr="00943249">
              <w:rPr>
                <w:rFonts w:ascii="Verdana" w:hAnsi="Verdana" w:eastAsia="Times New Roman" w:cs="Times New Roman"/>
                <w:color w:val="000000"/>
                <w:lang w:eastAsia="es-MX"/>
              </w:rPr>
              <w:t xml:space="preserve"> artículo 96 de la Ley 489 de 1998 y el artículo 2.2.1.1.2.1 del Decreto 1082 de 2015</w:t>
            </w:r>
            <w:r>
              <w:rPr>
                <w:rFonts w:ascii="Verdana" w:hAnsi="Verdana" w:eastAsia="Times New Roman" w:cs="Times New Roman"/>
                <w:color w:val="000000"/>
                <w:lang w:eastAsia="es-MX"/>
              </w:rPr>
              <w:t>,</w:t>
            </w:r>
            <w:r w:rsidRPr="00943249">
              <w:rPr>
                <w:rFonts w:ascii="Verdana" w:hAnsi="Verdana" w:eastAsia="Times New Roman" w:cs="Times New Roman"/>
                <w:color w:val="000000"/>
                <w:lang w:eastAsia="es-MX"/>
              </w:rPr>
              <w:t xml:space="preserve"> definen los contratos interadministrativos como aquellos celebrados directamente entre entidades estatales para el desarrollo de funciones constitucionales o legales propias de cada una. La característica esencial de estos contratos radica en la ausencia de un proceso de selección competitivo y la colaboración directa entre entidades para el cumplimiento de sus fines misionales.</w:t>
            </w:r>
          </w:p>
          <w:p w:rsidRPr="00DB555B" w:rsidR="0027561D" w:rsidP="0027561D" w:rsidRDefault="002E14B2" w14:paraId="455635D5" w14:textId="486BB84C">
            <w:pPr>
              <w:spacing w:after="120" w:line="276" w:lineRule="auto"/>
              <w:ind w:right="49" w:firstLine="708"/>
              <w:jc w:val="both"/>
              <w:rPr>
                <w:rFonts w:ascii="Verdana" w:hAnsi="Verdana" w:eastAsia="Times New Roman" w:cs="Times New Roman"/>
                <w:color w:val="000000"/>
                <w:lang w:eastAsia="es-MX"/>
              </w:rPr>
            </w:pPr>
            <w:r>
              <w:rPr>
                <w:rFonts w:ascii="Verdana" w:hAnsi="Verdana" w:eastAsia="Times New Roman" w:cs="Times New Roman"/>
                <w:color w:val="000000"/>
                <w:lang w:eastAsia="es-MX"/>
              </w:rPr>
              <w:t>N</w:t>
            </w:r>
            <w:r w:rsidRPr="00DB555B" w:rsidR="0027561D">
              <w:rPr>
                <w:rFonts w:ascii="Verdana" w:hAnsi="Verdana" w:eastAsia="Times New Roman" w:cs="Times New Roman"/>
                <w:color w:val="000000"/>
                <w:lang w:eastAsia="es-MX"/>
              </w:rPr>
              <w:t xml:space="preserve">ótese entonces </w:t>
            </w:r>
            <w:r w:rsidR="0027561D">
              <w:rPr>
                <w:rFonts w:ascii="Verdana" w:hAnsi="Verdana" w:eastAsia="Times New Roman" w:cs="Times New Roman"/>
                <w:color w:val="000000"/>
                <w:lang w:eastAsia="es-MX"/>
              </w:rPr>
              <w:t>que</w:t>
            </w:r>
            <w:r w:rsidRPr="00DB555B" w:rsidR="0027561D">
              <w:rPr>
                <w:rFonts w:ascii="Verdana" w:hAnsi="Verdana" w:eastAsia="Times New Roman" w:cs="Times New Roman"/>
                <w:color w:val="000000"/>
                <w:lang w:eastAsia="es-MX"/>
              </w:rPr>
              <w:t xml:space="preserve"> para que se configure una relación interadministrativa, es necesario que sean dos o más entidades de derecho público las que decidan colaborar </w:t>
            </w:r>
            <w:r w:rsidR="0027561D">
              <w:rPr>
                <w:rFonts w:ascii="Verdana" w:hAnsi="Verdana" w:eastAsia="Times New Roman" w:cs="Times New Roman"/>
                <w:color w:val="000000"/>
                <w:lang w:eastAsia="es-MX"/>
              </w:rPr>
              <w:t xml:space="preserve">estableciendo de forma directa las condiciones de dicho acuerdo, </w:t>
            </w:r>
            <w:r w:rsidRPr="00DB555B" w:rsidR="0027561D">
              <w:rPr>
                <w:rFonts w:ascii="Verdana" w:hAnsi="Verdana" w:eastAsia="Times New Roman" w:cs="Times New Roman"/>
                <w:color w:val="000000"/>
                <w:lang w:eastAsia="es-MX"/>
              </w:rPr>
              <w:t xml:space="preserve">sin que </w:t>
            </w:r>
            <w:r w:rsidR="0027561D">
              <w:rPr>
                <w:rFonts w:ascii="Verdana" w:hAnsi="Verdana" w:eastAsia="Times New Roman" w:cs="Times New Roman"/>
                <w:color w:val="000000"/>
                <w:lang w:eastAsia="es-MX"/>
              </w:rPr>
              <w:t>haya</w:t>
            </w:r>
            <w:r w:rsidRPr="00DB555B" w:rsidR="0027561D">
              <w:rPr>
                <w:rFonts w:ascii="Verdana" w:hAnsi="Verdana" w:eastAsia="Times New Roman" w:cs="Times New Roman"/>
                <w:color w:val="000000"/>
                <w:lang w:eastAsia="es-MX"/>
              </w:rPr>
              <w:t xml:space="preserve"> un proceso de contratación </w:t>
            </w:r>
            <w:r w:rsidR="0027561D">
              <w:rPr>
                <w:rFonts w:ascii="Verdana" w:hAnsi="Verdana" w:eastAsia="Times New Roman" w:cs="Times New Roman"/>
                <w:color w:val="000000"/>
                <w:lang w:eastAsia="es-MX"/>
              </w:rPr>
              <w:t xml:space="preserve">establecido por un tercero (la entidad contratante), que intermedie </w:t>
            </w:r>
            <w:r w:rsidRPr="00DB555B" w:rsidR="0027561D">
              <w:rPr>
                <w:rFonts w:ascii="Verdana" w:hAnsi="Verdana" w:eastAsia="Times New Roman" w:cs="Times New Roman"/>
                <w:color w:val="000000"/>
                <w:lang w:eastAsia="es-MX"/>
              </w:rPr>
              <w:t>la relación que se piensa llevar a cabo, para que se pueda determinar la existencia de esa relación interadministrativa</w:t>
            </w:r>
            <w:r w:rsidR="0027561D">
              <w:rPr>
                <w:rFonts w:ascii="Verdana" w:hAnsi="Verdana" w:eastAsia="Times New Roman" w:cs="Times New Roman"/>
                <w:color w:val="000000"/>
                <w:lang w:eastAsia="es-MX"/>
              </w:rPr>
              <w:t xml:space="preserve">, sea a través de la figura del convenio o del </w:t>
            </w:r>
            <w:r w:rsidR="0027561D">
              <w:rPr>
                <w:rFonts w:ascii="Verdana" w:hAnsi="Verdana" w:eastAsia="Times New Roman" w:cs="Times New Roman"/>
                <w:color w:val="000000"/>
                <w:lang w:eastAsia="es-MX"/>
              </w:rPr>
              <w:lastRenderedPageBreak/>
              <w:t xml:space="preserve">contrato, aduciendo a las características propias enunciadas de forma precedente. </w:t>
            </w:r>
            <w:r w:rsidRPr="00DB555B" w:rsidR="0027561D">
              <w:rPr>
                <w:rFonts w:ascii="Verdana" w:hAnsi="Verdana" w:eastAsia="Times New Roman" w:cs="Times New Roman"/>
                <w:color w:val="000000"/>
                <w:lang w:eastAsia="es-MX"/>
              </w:rPr>
              <w:t xml:space="preserve"> </w:t>
            </w:r>
          </w:p>
          <w:p w:rsidRPr="00881E88" w:rsidR="0027561D" w:rsidP="0027561D" w:rsidRDefault="0027561D" w14:paraId="175C120F" w14:textId="77777777">
            <w:pPr>
              <w:spacing w:after="120" w:line="276" w:lineRule="auto"/>
              <w:ind w:right="49" w:firstLine="708"/>
              <w:jc w:val="both"/>
              <w:rPr>
                <w:rFonts w:ascii="Verdana" w:hAnsi="Verdana"/>
                <w:color w:val="000000"/>
              </w:rPr>
            </w:pPr>
            <w:r w:rsidRPr="00DB555B">
              <w:rPr>
                <w:rFonts w:ascii="Verdana" w:hAnsi="Verdana" w:eastAsia="Times New Roman" w:cs="Times New Roman"/>
                <w:color w:val="000000"/>
                <w:lang w:eastAsia="es-MX"/>
              </w:rPr>
              <w:t>P</w:t>
            </w:r>
            <w:r>
              <w:rPr>
                <w:rFonts w:ascii="Verdana" w:hAnsi="Verdana" w:eastAsia="Times New Roman" w:cs="Times New Roman"/>
                <w:color w:val="000000"/>
                <w:lang w:eastAsia="es-MX"/>
              </w:rPr>
              <w:t>ues por</w:t>
            </w:r>
            <w:r w:rsidRPr="00DB555B">
              <w:rPr>
                <w:rFonts w:ascii="Verdana" w:hAnsi="Verdana" w:eastAsia="Times New Roman" w:cs="Times New Roman"/>
                <w:color w:val="000000"/>
                <w:lang w:eastAsia="es-MX"/>
              </w:rPr>
              <w:t xml:space="preserve"> su parte </w:t>
            </w:r>
            <w:r w:rsidRPr="00DB555B">
              <w:rPr>
                <w:rFonts w:ascii="Verdana" w:hAnsi="Verdana"/>
                <w:color w:val="000000"/>
              </w:rPr>
              <w:t>la Unión Temporal se da como resultado de un</w:t>
            </w:r>
            <w:r w:rsidRPr="00DB555B">
              <w:rPr>
                <w:rStyle w:val="apple-converted-space"/>
                <w:rFonts w:ascii="Verdana" w:hAnsi="Verdana"/>
                <w:color w:val="000000"/>
              </w:rPr>
              <w:t> </w:t>
            </w:r>
            <w:r w:rsidRPr="00DB555B">
              <w:rPr>
                <w:rStyle w:val="Textoennegrita"/>
                <w:rFonts w:ascii="Verdana" w:hAnsi="Verdana"/>
                <w:b w:val="0"/>
                <w:bCs w:val="0"/>
                <w:color w:val="000000"/>
              </w:rPr>
              <w:t>proceso de selección abierto y competitivo</w:t>
            </w:r>
            <w:r w:rsidRPr="00DB555B">
              <w:rPr>
                <w:rFonts w:ascii="Verdana" w:hAnsi="Verdana"/>
                <w:color w:val="000000"/>
              </w:rPr>
              <w:t>, en el cual participa en igualdad de condiciones con otros posibles oferentes. Esta circunstancia excluye la naturaleza de contrato interadministrativo, ya que la selección no se realizó de manera directa entre entidades estatales para la ejecución de sus funciones conjuntas, sino a través de un procedimiento reglado y con pluralidad de proponentes. Así las cosas, el contrato estatal resultante de un proceso de selección adjudicado a una Unión Temporal en la que participa otra entidad estatal</w:t>
            </w:r>
            <w:r w:rsidRPr="00DB555B">
              <w:rPr>
                <w:rStyle w:val="apple-converted-space"/>
                <w:rFonts w:ascii="Verdana" w:hAnsi="Verdana"/>
                <w:color w:val="000000"/>
              </w:rPr>
              <w:t> </w:t>
            </w:r>
            <w:r w:rsidRPr="00DB555B">
              <w:rPr>
                <w:rStyle w:val="Textoennegrita"/>
                <w:rFonts w:ascii="Verdana" w:hAnsi="Verdana"/>
                <w:b w:val="0"/>
                <w:bCs w:val="0"/>
                <w:color w:val="000000"/>
              </w:rPr>
              <w:t>no se considera</w:t>
            </w:r>
            <w:r w:rsidRPr="00DB555B">
              <w:rPr>
                <w:rStyle w:val="Textoennegrita"/>
                <w:rFonts w:ascii="Verdana" w:hAnsi="Verdana"/>
                <w:color w:val="000000"/>
              </w:rPr>
              <w:t xml:space="preserve"> </w:t>
            </w:r>
            <w:r w:rsidRPr="00DB555B">
              <w:rPr>
                <w:rStyle w:val="Textoennegrita"/>
                <w:rFonts w:ascii="Verdana" w:hAnsi="Verdana"/>
                <w:b w:val="0"/>
                <w:bCs w:val="0"/>
                <w:color w:val="000000"/>
              </w:rPr>
              <w:t xml:space="preserve">un </w:t>
            </w:r>
            <w:r w:rsidRPr="00881E88">
              <w:rPr>
                <w:rStyle w:val="Textoennegrita"/>
                <w:rFonts w:ascii="Verdana" w:hAnsi="Verdana"/>
                <w:b w:val="0"/>
                <w:bCs w:val="0"/>
                <w:color w:val="000000"/>
              </w:rPr>
              <w:t>contrato interadministrativo</w:t>
            </w:r>
            <w:r w:rsidRPr="00881E88">
              <w:rPr>
                <w:rFonts w:ascii="Verdana" w:hAnsi="Verdana"/>
                <w:b/>
                <w:bCs/>
                <w:color w:val="000000"/>
              </w:rPr>
              <w:t>.</w:t>
            </w:r>
            <w:r w:rsidRPr="00881E88">
              <w:rPr>
                <w:rFonts w:ascii="Verdana" w:hAnsi="Verdana"/>
                <w:color w:val="000000"/>
              </w:rPr>
              <w:t xml:space="preserve"> Su naturaleza jurídica corresponde al tipo de contrato que fue objeto del proceso de selección.</w:t>
            </w:r>
          </w:p>
          <w:p w:rsidR="001268A9" w:rsidP="001268A9" w:rsidRDefault="0027561D" w14:paraId="09FC9E1F" w14:textId="072F639F">
            <w:pPr>
              <w:spacing w:after="120" w:line="276" w:lineRule="auto"/>
              <w:ind w:right="49" w:firstLine="708"/>
              <w:jc w:val="both"/>
              <w:rPr>
                <w:rFonts w:ascii="Verdana" w:hAnsi="Verdana"/>
                <w:color w:val="000000"/>
              </w:rPr>
            </w:pPr>
            <w:r w:rsidRPr="00881E88">
              <w:rPr>
                <w:rFonts w:ascii="Verdana" w:hAnsi="Verdana"/>
                <w:color w:val="000000"/>
              </w:rPr>
              <w:t>Ahora se debe señalar que la modalidad de contratación conserva la naturaleza del tipo de contrato que fue objeto de la convocatoria, y es la que se establecido de forma previa en el proceso de selección donde la Unión Temporal de naturaleza mixta público-privada resultó adjudicataria.</w:t>
            </w:r>
            <w:r w:rsidR="001268A9">
              <w:rPr>
                <w:rFonts w:ascii="Verdana" w:hAnsi="Verdana"/>
                <w:color w:val="000000"/>
              </w:rPr>
              <w:t xml:space="preserve"> Es especialmente relevante mencionar que la posibilidad de que una entidad pública haga parte de una unión temporal, en el marco de un proceso contractual, está ligado a su propia naturaleza, a su acto de creación, sus estatutos, su objeto social y el régimen que la rige, pues la entidad siempre está llamada a actuar dentro del marco de sus competencias y finalidades. </w:t>
            </w:r>
          </w:p>
          <w:p w:rsidR="001268A9" w:rsidP="001268A9" w:rsidRDefault="001268A9" w14:paraId="3B4AB479" w14:textId="400D7B51">
            <w:pPr>
              <w:spacing w:after="120" w:line="276" w:lineRule="auto"/>
              <w:ind w:right="49" w:firstLine="708"/>
              <w:jc w:val="both"/>
              <w:rPr>
                <w:rFonts w:ascii="Verdana" w:hAnsi="Verdana" w:eastAsia="Times New Roman" w:cs="Times New Roman"/>
                <w:color w:val="000000"/>
                <w:lang w:eastAsia="es-MX"/>
              </w:rPr>
            </w:pPr>
            <w:r w:rsidRPr="0039128E">
              <w:rPr>
                <w:rFonts w:ascii="Verdana" w:hAnsi="Verdana"/>
                <w:color w:val="000000"/>
              </w:rPr>
              <w:t>Así la capacidad para participar corresponde a la categoría de la entidad</w:t>
            </w:r>
            <w:r>
              <w:rPr>
                <w:rFonts w:ascii="Verdana" w:hAnsi="Verdana"/>
                <w:color w:val="000000"/>
              </w:rPr>
              <w:t>,</w:t>
            </w:r>
            <w:r w:rsidRPr="0039128E">
              <w:rPr>
                <w:rFonts w:ascii="Verdana" w:hAnsi="Verdana"/>
                <w:color w:val="000000"/>
              </w:rPr>
              <w:t xml:space="preserve"> por ejemplo para el caso de las entidades territoriales, cuyo régimen de contratación es el Estatuto General de Contratación, su capacidad depende </w:t>
            </w:r>
            <w:r w:rsidRPr="008C6A4D">
              <w:rPr>
                <w:rFonts w:ascii="Verdana" w:hAnsi="Verdana" w:eastAsia="Times New Roman" w:cs="Times New Roman"/>
                <w:color w:val="000000"/>
                <w:lang w:eastAsia="es-MX"/>
              </w:rPr>
              <w:t>Si el objeto del contrato para el cual se forma la UT está directamente relacionado con sus funciones y competencias legales.</w:t>
            </w:r>
            <w:r w:rsidRPr="0039128E">
              <w:rPr>
                <w:rFonts w:ascii="Verdana" w:hAnsi="Verdana" w:eastAsia="Times New Roman" w:cs="Times New Roman"/>
                <w:color w:val="000000"/>
                <w:lang w:eastAsia="es-MX"/>
              </w:rPr>
              <w:t xml:space="preserve"> En el caso de las </w:t>
            </w:r>
            <w:r w:rsidRPr="008C6A4D">
              <w:rPr>
                <w:rFonts w:ascii="Verdana" w:hAnsi="Verdana" w:eastAsia="Times New Roman" w:cs="Times New Roman"/>
                <w:color w:val="000000"/>
                <w:lang w:eastAsia="es-MX"/>
              </w:rPr>
              <w:t>Empresas Industriales y Comerciales del Estado</w:t>
            </w:r>
            <w:r w:rsidRPr="0039128E">
              <w:rPr>
                <w:rFonts w:ascii="Verdana" w:hAnsi="Verdana" w:eastAsia="Times New Roman" w:cs="Times New Roman"/>
                <w:color w:val="000000"/>
                <w:lang w:eastAsia="es-MX"/>
              </w:rPr>
              <w:t>, por su naturaleza g</w:t>
            </w:r>
            <w:r w:rsidRPr="008C6A4D">
              <w:rPr>
                <w:rFonts w:ascii="Verdana" w:hAnsi="Verdana" w:eastAsia="Times New Roman" w:cs="Times New Roman"/>
                <w:color w:val="000000"/>
                <w:lang w:eastAsia="es-MX"/>
              </w:rPr>
              <w:t>eneralmente tienen una mayor aptitud para participar en U</w:t>
            </w:r>
            <w:r w:rsidRPr="0039128E">
              <w:rPr>
                <w:rFonts w:ascii="Verdana" w:hAnsi="Verdana" w:eastAsia="Times New Roman" w:cs="Times New Roman"/>
                <w:color w:val="000000"/>
                <w:lang w:eastAsia="es-MX"/>
              </w:rPr>
              <w:t xml:space="preserve">niones temporales, </w:t>
            </w:r>
            <w:r w:rsidRPr="008C6A4D">
              <w:rPr>
                <w:rFonts w:ascii="Verdana" w:hAnsi="Verdana" w:eastAsia="Times New Roman" w:cs="Times New Roman"/>
                <w:color w:val="000000"/>
                <w:lang w:eastAsia="es-MX"/>
              </w:rPr>
              <w:t>debido a su naturaleza comercial, </w:t>
            </w:r>
            <w:r w:rsidRPr="0039128E">
              <w:rPr>
                <w:rFonts w:ascii="Verdana" w:hAnsi="Verdana" w:eastAsia="Times New Roman" w:cs="Times New Roman"/>
                <w:color w:val="000000"/>
                <w:lang w:eastAsia="es-MX"/>
              </w:rPr>
              <w:t>No obstante están sujetas que el objeto que va a desarrollar la Unión Temporal</w:t>
            </w:r>
            <w:r w:rsidRPr="008C6A4D">
              <w:rPr>
                <w:rFonts w:ascii="Verdana" w:hAnsi="Verdana" w:eastAsia="Times New Roman" w:cs="Times New Roman"/>
                <w:color w:val="000000"/>
                <w:lang w:eastAsia="es-MX"/>
              </w:rPr>
              <w:t xml:space="preserve"> esté alineado con su propio objeto social definido en su acto de creación y estatutos.</w:t>
            </w:r>
          </w:p>
          <w:p w:rsidR="001268A9" w:rsidP="001268A9" w:rsidRDefault="001268A9" w14:paraId="74C21A1B" w14:textId="55706E20">
            <w:pPr>
              <w:spacing w:after="120" w:line="276" w:lineRule="auto"/>
              <w:ind w:right="49" w:firstLine="708"/>
              <w:jc w:val="both"/>
              <w:rPr>
                <w:rFonts w:ascii="Verdana" w:hAnsi="Verdana" w:eastAsia="Times New Roman" w:cs="Times New Roman"/>
                <w:color w:val="000000"/>
                <w:lang w:eastAsia="es-MX"/>
              </w:rPr>
            </w:pPr>
            <w:r>
              <w:rPr>
                <w:rFonts w:ascii="Verdana" w:hAnsi="Verdana" w:eastAsia="Times New Roman" w:cs="Times New Roman"/>
                <w:color w:val="000000"/>
                <w:lang w:eastAsia="es-MX"/>
              </w:rPr>
              <w:lastRenderedPageBreak/>
              <w:t xml:space="preserve">Por su parte una Sociedad de Economía Mixta, obedeciendo al porcentaje de participación estatal a la luz del artículo 97 de la Ley 889 de 1998, (igualmente que para las entidades territoriales), </w:t>
            </w:r>
            <w:r w:rsidRPr="0039128E">
              <w:rPr>
                <w:rFonts w:ascii="Verdana" w:hAnsi="Verdana"/>
                <w:color w:val="000000"/>
              </w:rPr>
              <w:t xml:space="preserve">su capacidad depende </w:t>
            </w:r>
            <w:r>
              <w:rPr>
                <w:rFonts w:ascii="Verdana" w:hAnsi="Verdana" w:eastAsia="Times New Roman" w:cs="Times New Roman"/>
                <w:color w:val="000000"/>
                <w:lang w:eastAsia="es-MX"/>
              </w:rPr>
              <w:t xml:space="preserve">si </w:t>
            </w:r>
            <w:r w:rsidRPr="008C6A4D">
              <w:rPr>
                <w:rFonts w:ascii="Verdana" w:hAnsi="Verdana" w:eastAsia="Times New Roman" w:cs="Times New Roman"/>
                <w:color w:val="000000"/>
                <w:lang w:eastAsia="es-MX"/>
              </w:rPr>
              <w:t>el objeto del contrato para el cual se forma la UT está directamente relacionado con sus funciones y competencias legales</w:t>
            </w:r>
            <w:r>
              <w:rPr>
                <w:rFonts w:ascii="Verdana" w:hAnsi="Verdana" w:eastAsia="Times New Roman" w:cs="Times New Roman"/>
                <w:color w:val="000000"/>
                <w:lang w:eastAsia="es-MX"/>
              </w:rPr>
              <w:t xml:space="preserve">: y si se rige por el derecho privado su viabilidad en ser parte de la unión temporal, lo determina el objeto para que </w:t>
            </w:r>
            <w:proofErr w:type="spellStart"/>
            <w:r>
              <w:rPr>
                <w:rFonts w:ascii="Verdana" w:hAnsi="Verdana" w:eastAsia="Times New Roman" w:cs="Times New Roman"/>
                <w:color w:val="000000"/>
                <w:lang w:eastAsia="es-MX"/>
              </w:rPr>
              <w:t>el</w:t>
            </w:r>
            <w:proofErr w:type="spellEnd"/>
            <w:r>
              <w:rPr>
                <w:rFonts w:ascii="Verdana" w:hAnsi="Verdana" w:eastAsia="Times New Roman" w:cs="Times New Roman"/>
                <w:color w:val="000000"/>
                <w:lang w:eastAsia="es-MX"/>
              </w:rPr>
              <w:t xml:space="preserve"> fue creada. Como último ejemplo, en los casos de las entidades con régimen propio o especial su participación en una Unión temporal depende exclusivamente dentro de los establecido por sus estatutos, y de la aprobación del máximo órgano deliberativo que tenga dicha entidad. </w:t>
            </w:r>
          </w:p>
          <w:p w:rsidRPr="001268A9" w:rsidR="00871B59" w:rsidP="001268A9" w:rsidRDefault="001268A9" w14:paraId="2A02BE9D" w14:textId="05D529BE">
            <w:pPr>
              <w:spacing w:after="120" w:line="276" w:lineRule="auto"/>
              <w:ind w:right="49" w:firstLine="708"/>
              <w:jc w:val="both"/>
              <w:rPr>
                <w:rFonts w:ascii="Verdana" w:hAnsi="Verdana" w:eastAsia="Times New Roman" w:cs="Times New Roman"/>
                <w:color w:val="000000"/>
                <w:lang w:eastAsia="es-MX"/>
              </w:rPr>
            </w:pPr>
            <w:r>
              <w:rPr>
                <w:rFonts w:ascii="Verdana" w:hAnsi="Verdana" w:eastAsia="Times New Roman" w:cs="Times New Roman"/>
                <w:color w:val="000000"/>
                <w:lang w:eastAsia="es-MX"/>
              </w:rPr>
              <w:t xml:space="preserve">Se reitera en todo caso que la participación, objeto, facultades y la capacidad para participar como uno de los integrantes de los proponentes plurales del proceso licitatorio, </w:t>
            </w:r>
            <w:r>
              <w:rPr>
                <w:rFonts w:ascii="Verdana" w:hAnsi="Verdana"/>
                <w:color w:val="000000"/>
              </w:rPr>
              <w:t xml:space="preserve">está ligado a su propia naturaleza, a su acto de creación, a sus estatutos, a su objeto social, a su órgano deliberativo y al régimen que la rige. Finalmente, le corresponde a la entidad contratante que lidera dicho proceso, evaluar estos factores con el propósito de verificar que sea objetiva la participación de la misma, y que su inclusión obedezca al principio de </w:t>
            </w:r>
            <w:r w:rsidR="004E15ED">
              <w:rPr>
                <w:rFonts w:ascii="Verdana" w:hAnsi="Verdana"/>
                <w:color w:val="000000"/>
              </w:rPr>
              <w:t>eficiencia</w:t>
            </w:r>
            <w:r>
              <w:rPr>
                <w:rFonts w:ascii="Verdana" w:hAnsi="Verdana"/>
                <w:color w:val="000000"/>
              </w:rPr>
              <w:t xml:space="preserve">. </w:t>
            </w:r>
          </w:p>
        </w:tc>
      </w:tr>
    </w:tbl>
    <w:p w:rsidRPr="00593A5F" w:rsidR="00871B59" w:rsidP="00881E88" w:rsidRDefault="00871B59" w14:paraId="1EFBF49D" w14:textId="77777777">
      <w:pPr>
        <w:tabs>
          <w:tab w:val="left" w:pos="142"/>
          <w:tab w:val="left" w:pos="284"/>
        </w:tabs>
        <w:spacing w:after="0" w:line="276" w:lineRule="auto"/>
        <w:jc w:val="both"/>
        <w:rPr>
          <w:rFonts w:ascii="Verdana" w:hAnsi="Verdana" w:eastAsia="Century Gothic" w:cs="Century Gothic"/>
          <w:b/>
          <w:bCs/>
          <w:lang w:val="es-ES"/>
        </w:rPr>
      </w:pPr>
    </w:p>
    <w:p w:rsidRPr="00593A5F" w:rsidR="00871B59" w:rsidP="00881E88" w:rsidRDefault="00871B59" w14:paraId="42E3F2D1" w14:textId="77777777">
      <w:pPr>
        <w:pStyle w:val="Prrafodelista"/>
        <w:numPr>
          <w:ilvl w:val="0"/>
          <w:numId w:val="4"/>
        </w:numPr>
        <w:tabs>
          <w:tab w:val="left" w:pos="142"/>
          <w:tab w:val="left" w:pos="284"/>
        </w:tabs>
        <w:spacing w:after="0" w:line="276" w:lineRule="auto"/>
        <w:ind w:left="0" w:firstLine="0"/>
        <w:contextualSpacing w:val="0"/>
        <w:jc w:val="both"/>
        <w:rPr>
          <w:rFonts w:ascii="Verdana" w:hAnsi="Verdana" w:eastAsia="Century Gothic" w:cs="Century Gothic"/>
          <w:b/>
          <w:bCs/>
          <w:lang w:val="es-ES"/>
        </w:rPr>
      </w:pPr>
      <w:r w:rsidRPr="00593A5F">
        <w:rPr>
          <w:rFonts w:ascii="Verdana" w:hAnsi="Verdana" w:eastAsia="Century Gothic" w:cs="Century Gothic"/>
          <w:b/>
          <w:bCs/>
          <w:lang w:val="es-ES"/>
        </w:rPr>
        <w:t>Razones de la respuesta:</w:t>
      </w:r>
    </w:p>
    <w:p w:rsidRPr="00593A5F" w:rsidR="00871B59" w:rsidP="00881E88" w:rsidRDefault="00871B59" w14:paraId="3DE71637" w14:textId="77777777">
      <w:pPr>
        <w:spacing w:after="0" w:line="276" w:lineRule="auto"/>
        <w:jc w:val="both"/>
        <w:rPr>
          <w:rFonts w:ascii="Verdana" w:hAnsi="Verdana" w:eastAsia="Calibri" w:cs="Arial"/>
          <w:color w:val="7030A0"/>
          <w:lang w:val="es-ES"/>
        </w:rPr>
      </w:pPr>
    </w:p>
    <w:p w:rsidR="00945F14" w:rsidP="00881E88" w:rsidRDefault="00871B59" w14:paraId="2463A3FD" w14:textId="6CF690CB">
      <w:pPr>
        <w:spacing w:after="0" w:line="276" w:lineRule="auto"/>
        <w:jc w:val="both"/>
        <w:rPr>
          <w:rFonts w:ascii="Verdana" w:hAnsi="Verdana" w:eastAsia="Calibri" w:cs="Arial"/>
          <w:lang w:val="es-ES"/>
        </w:rPr>
      </w:pPr>
      <w:r w:rsidRPr="00B96799">
        <w:rPr>
          <w:rFonts w:ascii="Verdana" w:hAnsi="Verdana" w:eastAsia="Calibri" w:cs="Arial"/>
          <w:lang w:val="es-ES"/>
        </w:rPr>
        <w:t xml:space="preserve">Lo anterior se sustenta en las siguientes consideraciones: </w:t>
      </w:r>
    </w:p>
    <w:p w:rsidRPr="00255A37" w:rsidR="00945F14" w:rsidP="00881E88" w:rsidRDefault="00945F14" w14:paraId="193C2DAE" w14:textId="77777777">
      <w:pPr>
        <w:spacing w:before="120" w:after="120" w:line="276" w:lineRule="auto"/>
        <w:jc w:val="both"/>
        <w:rPr>
          <w:rFonts w:ascii="Verdana" w:hAnsi="Verdana" w:eastAsia="Calibri" w:cs="Arial"/>
        </w:rPr>
      </w:pPr>
      <w:r>
        <w:rPr>
          <w:rFonts w:ascii="Verdana" w:hAnsi="Verdana" w:eastAsia="Calibri" w:cs="Arial"/>
        </w:rPr>
        <w:t xml:space="preserve">El artículo 6 de la Ley 80 de 1993 señala que pueden celebrar contratos con las Entidades Estatales las personas naturales, las personas jurídicas </w:t>
      </w:r>
      <w:r w:rsidRPr="00BF1559">
        <w:rPr>
          <w:rFonts w:ascii="Verdana" w:hAnsi="Verdana" w:eastAsia="Calibri" w:cs="Arial"/>
        </w:rPr>
        <w:t>que tengan dentro de su objeto social actividades relacionadas con el objeto a contratar y, por virtud de la ley, los consorcios y uniones temporales.</w:t>
      </w:r>
      <w:r>
        <w:rPr>
          <w:rFonts w:ascii="Verdana" w:hAnsi="Verdana" w:eastAsia="Calibri" w:cs="Arial"/>
        </w:rPr>
        <w:t xml:space="preserve"> </w:t>
      </w:r>
    </w:p>
    <w:p w:rsidRPr="008368C0" w:rsidR="00945F14" w:rsidP="00881E88" w:rsidRDefault="00945F14" w14:paraId="34B134BE" w14:textId="77777777">
      <w:pPr>
        <w:spacing w:before="120" w:after="120" w:line="276" w:lineRule="auto"/>
        <w:ind w:firstLine="708"/>
        <w:jc w:val="both"/>
        <w:rPr>
          <w:rFonts w:ascii="Verdana" w:hAnsi="Verdana" w:eastAsia="Calibri" w:cs="Arial"/>
          <w:lang w:val="es-MX"/>
        </w:rPr>
      </w:pPr>
      <w:r w:rsidRPr="007D6693">
        <w:rPr>
          <w:rFonts w:ascii="Verdana" w:hAnsi="Verdana" w:eastAsia="Calibri" w:cs="Arial"/>
          <w:lang w:val="es-MX"/>
        </w:rPr>
        <w:t>La capacidad para contratar</w:t>
      </w:r>
      <w:r>
        <w:rPr>
          <w:rFonts w:ascii="Verdana" w:hAnsi="Verdana" w:eastAsia="Calibri" w:cs="Arial"/>
          <w:lang w:val="es-MX"/>
        </w:rPr>
        <w:t xml:space="preserve"> y de </w:t>
      </w:r>
      <w:r w:rsidRPr="007D6693">
        <w:rPr>
          <w:rFonts w:ascii="Verdana" w:hAnsi="Verdana" w:eastAsia="Calibri" w:cs="Arial"/>
          <w:lang w:val="es-MX"/>
        </w:rPr>
        <w:t>realizar actos jurídicamente vinculantes</w:t>
      </w:r>
      <w:r>
        <w:rPr>
          <w:rFonts w:ascii="Verdana" w:hAnsi="Verdana" w:eastAsia="Calibri" w:cs="Arial"/>
          <w:lang w:val="es-MX"/>
        </w:rPr>
        <w:t xml:space="preserve">, </w:t>
      </w:r>
      <w:r w:rsidRPr="007D6693">
        <w:rPr>
          <w:rFonts w:ascii="Verdana" w:hAnsi="Verdana" w:eastAsia="Calibri" w:cs="Arial"/>
          <w:lang w:val="es-MX"/>
        </w:rPr>
        <w:t>como la presentación de una oferta en un procedimiento de selección de contratistas, se consideró por mucho tiempo uno de los atributos de la personalidad reservado</w:t>
      </w:r>
      <w:r>
        <w:rPr>
          <w:rFonts w:ascii="Verdana" w:hAnsi="Verdana" w:eastAsia="Calibri" w:cs="Arial"/>
          <w:lang w:val="es-MX"/>
        </w:rPr>
        <w:t xml:space="preserve"> </w:t>
      </w:r>
      <w:r w:rsidRPr="007D6693">
        <w:rPr>
          <w:rFonts w:ascii="Verdana" w:hAnsi="Verdana" w:eastAsia="Calibri" w:cs="Arial"/>
          <w:lang w:val="es-MX"/>
        </w:rPr>
        <w:t xml:space="preserve">a las personas jurídicas y naturales. No obstante, el progreso en las formas negociales y asociativas hizo necesario reconocer nuevas estructuras plurales y otorgarles atributos que tradicionalmente habían estado </w:t>
      </w:r>
      <w:r w:rsidRPr="007D6693">
        <w:rPr>
          <w:rFonts w:ascii="Verdana" w:hAnsi="Verdana" w:eastAsia="Calibri" w:cs="Arial"/>
          <w:lang w:val="es-MX"/>
        </w:rPr>
        <w:lastRenderedPageBreak/>
        <w:t>reservados a las personas jurídicas. En este sentido, la Corte Constitucional ha sostenido</w:t>
      </w:r>
      <w:r>
        <w:rPr>
          <w:rFonts w:ascii="Verdana" w:hAnsi="Verdana" w:eastAsia="Calibri" w:cs="Arial"/>
          <w:lang w:val="es-MX"/>
        </w:rPr>
        <w:t xml:space="preserve"> sobre la capacidad para contratar otorgada a los consorcios y uniones temporales</w:t>
      </w:r>
      <w:r w:rsidRPr="007D6693">
        <w:rPr>
          <w:rFonts w:ascii="Verdana" w:hAnsi="Verdana" w:eastAsia="Calibri" w:cs="Arial"/>
          <w:lang w:val="es-MX"/>
        </w:rPr>
        <w:t>:</w:t>
      </w:r>
    </w:p>
    <w:p w:rsidRPr="00EB0795" w:rsidR="00945F14" w:rsidP="00881E88" w:rsidRDefault="00945F14" w14:paraId="0D413046" w14:textId="77777777">
      <w:pPr>
        <w:spacing w:before="120" w:after="120" w:line="276" w:lineRule="auto"/>
        <w:ind w:left="709" w:right="709"/>
        <w:jc w:val="both"/>
        <w:rPr>
          <w:rFonts w:ascii="Verdana" w:hAnsi="Verdana" w:eastAsia="Calibri" w:cs="Arial"/>
          <w:sz w:val="21"/>
          <w:szCs w:val="21"/>
        </w:rPr>
      </w:pPr>
      <w:r w:rsidRPr="008368C0">
        <w:rPr>
          <w:rFonts w:ascii="Verdana" w:hAnsi="Verdana" w:eastAsia="Calibri" w:cs="Arial"/>
          <w:sz w:val="20"/>
          <w:szCs w:val="20"/>
        </w:rPr>
        <w:t>“</w:t>
      </w:r>
      <w:r w:rsidRPr="00EB0795">
        <w:rPr>
          <w:rFonts w:ascii="Verdana" w:hAnsi="Verdana" w:eastAsia="Calibri" w:cs="Arial"/>
          <w:sz w:val="21"/>
          <w:szCs w:val="21"/>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rsidRPr="00EB0795" w:rsidR="00945F14" w:rsidP="00881E88" w:rsidRDefault="00945F14" w14:paraId="18E59957" w14:textId="77777777">
      <w:pPr>
        <w:spacing w:before="120" w:after="120" w:line="276" w:lineRule="auto"/>
        <w:ind w:left="709" w:right="709"/>
        <w:jc w:val="both"/>
        <w:rPr>
          <w:rFonts w:ascii="Verdana" w:hAnsi="Verdana" w:eastAsia="Calibri" w:cs="Arial"/>
          <w:sz w:val="21"/>
          <w:szCs w:val="21"/>
        </w:rPr>
      </w:pPr>
      <w:r w:rsidRPr="00EB0795">
        <w:rPr>
          <w:rFonts w:ascii="Verdana" w:hAnsi="Verdana" w:eastAsia="Calibri" w:cs="Arial"/>
          <w:sz w:val="21"/>
          <w:szCs w:val="21"/>
        </w:rPr>
        <w:t>[…]</w:t>
      </w:r>
    </w:p>
    <w:p w:rsidRPr="00EB0795" w:rsidR="00945F14" w:rsidP="00881E88" w:rsidRDefault="00945F14" w14:paraId="3B386304" w14:textId="77777777">
      <w:pPr>
        <w:spacing w:before="120" w:after="120" w:line="276" w:lineRule="auto"/>
        <w:ind w:left="709" w:right="709"/>
        <w:jc w:val="both"/>
        <w:rPr>
          <w:rFonts w:ascii="Verdana" w:hAnsi="Verdana" w:eastAsia="Calibri" w:cs="Arial"/>
          <w:sz w:val="21"/>
          <w:szCs w:val="21"/>
        </w:rPr>
      </w:pPr>
      <w:r w:rsidRPr="00EB0795">
        <w:rPr>
          <w:rFonts w:ascii="Verdana" w:hAnsi="Verdana" w:eastAsia="Calibri" w:cs="Arial"/>
          <w:sz w:val="21"/>
          <w:szCs w:val="21"/>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EB0795">
        <w:rPr>
          <w:rStyle w:val="Refdenotaalpie"/>
          <w:rFonts w:ascii="Verdana" w:hAnsi="Verdana" w:eastAsia="Calibri" w:cs="Arial"/>
          <w:sz w:val="21"/>
          <w:szCs w:val="21"/>
        </w:rPr>
        <w:footnoteReference w:id="2"/>
      </w:r>
      <w:r w:rsidRPr="00EB0795">
        <w:rPr>
          <w:rFonts w:ascii="Verdana" w:hAnsi="Verdana" w:eastAsia="Calibri" w:cs="Arial"/>
          <w:sz w:val="21"/>
          <w:szCs w:val="21"/>
        </w:rPr>
        <w:t>.</w:t>
      </w:r>
    </w:p>
    <w:p w:rsidRPr="009A0F01" w:rsidR="00945F14" w:rsidP="00881E88" w:rsidRDefault="00945F14" w14:paraId="7D3B6412" w14:textId="77777777">
      <w:pPr>
        <w:spacing w:before="120" w:after="120" w:line="276" w:lineRule="auto"/>
        <w:ind w:firstLine="708"/>
        <w:jc w:val="both"/>
        <w:rPr>
          <w:rFonts w:ascii="Verdana" w:hAnsi="Verdana" w:eastAsia="Calibri"/>
        </w:rPr>
      </w:pPr>
      <w:r w:rsidRPr="009A0F01">
        <w:rPr>
          <w:rFonts w:ascii="Verdana" w:hAnsi="Verdana" w:eastAsia="Calibri"/>
        </w:rPr>
        <w:t>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w:t>
      </w:r>
    </w:p>
    <w:p w:rsidRPr="002743B8" w:rsidR="00945F14" w:rsidP="00881E88" w:rsidRDefault="00945F14" w14:paraId="6A7AFBA6" w14:textId="77777777">
      <w:pPr>
        <w:spacing w:before="120" w:after="120" w:line="276" w:lineRule="auto"/>
        <w:ind w:firstLine="708"/>
        <w:jc w:val="both"/>
        <w:rPr>
          <w:rFonts w:ascii="Verdana" w:hAnsi="Verdana" w:eastAsia="Calibri" w:cs="Arial"/>
          <w:sz w:val="20"/>
          <w:szCs w:val="20"/>
        </w:rPr>
      </w:pPr>
      <w:r>
        <w:rPr>
          <w:rFonts w:ascii="Verdana" w:hAnsi="Verdana" w:eastAsia="Calibri" w:cs="Arial"/>
        </w:rPr>
        <w:lastRenderedPageBreak/>
        <w:t xml:space="preserve">En línea con lo anterior, los consorcios y las uniones temporales </w:t>
      </w:r>
      <w:r w:rsidRPr="00255A37">
        <w:rPr>
          <w:rFonts w:ascii="Verdana" w:hAnsi="Verdana" w:eastAsia="Calibri" w:cs="Arial"/>
        </w:rPr>
        <w:t>no son personas jurídicas</w:t>
      </w:r>
      <w:r>
        <w:rPr>
          <w:rFonts w:ascii="Verdana" w:hAnsi="Verdana" w:eastAsia="Calibri" w:cs="Arial"/>
        </w:rPr>
        <w:t xml:space="preserve">, pero </w:t>
      </w:r>
      <w:r w:rsidRPr="00255A37">
        <w:rPr>
          <w:rFonts w:ascii="Verdana" w:hAnsi="Verdana" w:eastAsia="Calibri" w:cs="Arial"/>
        </w:rPr>
        <w:t xml:space="preserve">su creación depende de un acuerdo en el que concurre la voluntad de sus integrantes para </w:t>
      </w:r>
      <w:r>
        <w:rPr>
          <w:rFonts w:ascii="Verdana" w:hAnsi="Verdana" w:eastAsia="Calibri" w:cs="Arial"/>
        </w:rPr>
        <w:t xml:space="preserve">determinar </w:t>
      </w:r>
      <w:r w:rsidRPr="00255A37">
        <w:rPr>
          <w:rFonts w:ascii="Verdana" w:hAnsi="Verdana" w:eastAsia="Calibri" w:cs="Arial"/>
        </w:rPr>
        <w:t>su objeto, la participación de los miembros, las obligaciones frente al proyecto, su responsabilidad, la forma en que regirán sus relaciones internas y el relacionamiento con la entidad contratante, mediante la designación de un representante</w:t>
      </w:r>
      <w:r>
        <w:rPr>
          <w:rFonts w:ascii="Verdana" w:hAnsi="Verdana" w:eastAsia="Calibri" w:cs="Arial"/>
        </w:rPr>
        <w:t>.</w:t>
      </w:r>
      <w:r w:rsidRPr="00255A37">
        <w:rPr>
          <w:rFonts w:ascii="Verdana" w:hAnsi="Verdana" w:eastAsia="Calibri" w:cs="Arial"/>
        </w:rPr>
        <w:t xml:space="preserve"> </w:t>
      </w:r>
      <w:r>
        <w:rPr>
          <w:rFonts w:ascii="Verdana" w:hAnsi="Verdana" w:eastAsia="Calibri" w:cs="Arial"/>
        </w:rPr>
        <w:t xml:space="preserve">Al respecto, </w:t>
      </w:r>
      <w:r w:rsidRPr="00255A37">
        <w:rPr>
          <w:rFonts w:ascii="Verdana" w:hAnsi="Verdana" w:eastAsia="Calibri" w:cs="Arial"/>
        </w:rPr>
        <w:t>el parágrafo 1 del artículo 7 de la Ley 80 de 1993 dispone que:</w:t>
      </w:r>
    </w:p>
    <w:p w:rsidRPr="006D6082" w:rsidR="00945F14" w:rsidP="00881E88" w:rsidRDefault="00945F14" w14:paraId="0B150BEA" w14:textId="77777777">
      <w:pPr>
        <w:pStyle w:val="Prrafodelista"/>
        <w:spacing w:after="0" w:line="276" w:lineRule="auto"/>
        <w:ind w:left="709" w:right="616"/>
        <w:jc w:val="both"/>
        <w:rPr>
          <w:rFonts w:ascii="Verdana" w:hAnsi="Verdana" w:eastAsia="Calibri" w:cs="Arial"/>
          <w:sz w:val="21"/>
          <w:szCs w:val="21"/>
        </w:rPr>
      </w:pPr>
      <w:r w:rsidRPr="006D6082">
        <w:rPr>
          <w:rFonts w:ascii="Verdana" w:hAnsi="Verdana" w:eastAsia="Calibri" w:cs="Arial"/>
          <w:bCs/>
          <w:color w:val="000000" w:themeColor="text1"/>
          <w:sz w:val="21"/>
          <w:szCs w:val="21"/>
        </w:rPr>
        <w:t>“</w:t>
      </w:r>
      <w:r w:rsidRPr="006D6082">
        <w:rPr>
          <w:rFonts w:ascii="Verdana" w:hAnsi="Verdana" w:eastAsia="Calibri" w:cs="Arial"/>
          <w:sz w:val="21"/>
          <w:szCs w:val="21"/>
        </w:rPr>
        <w:t>Para los efectos de esta Ley se entiende por:[…]</w:t>
      </w:r>
    </w:p>
    <w:p w:rsidRPr="006D6082" w:rsidR="00945F14" w:rsidP="00881E88" w:rsidRDefault="00945F14" w14:paraId="4176C61B" w14:textId="77777777">
      <w:pPr>
        <w:pStyle w:val="Prrafodelista"/>
        <w:spacing w:after="120" w:line="276" w:lineRule="auto"/>
        <w:ind w:left="709" w:right="616"/>
        <w:jc w:val="both"/>
        <w:rPr>
          <w:rFonts w:ascii="Verdana" w:hAnsi="Verdana" w:eastAsia="Calibri" w:cs="Arial"/>
          <w:sz w:val="21"/>
          <w:szCs w:val="21"/>
        </w:rPr>
      </w:pPr>
      <w:r w:rsidRPr="006D6082">
        <w:rPr>
          <w:rFonts w:ascii="Verdana" w:hAnsi="Verdana" w:eastAsia="Calibri" w:cs="Arial"/>
          <w:sz w:val="21"/>
          <w:szCs w:val="21"/>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rsidRPr="006D6082" w:rsidR="00945F14" w:rsidP="00881E88" w:rsidRDefault="00945F14" w14:paraId="049AD932" w14:textId="77777777">
      <w:pPr>
        <w:pStyle w:val="Prrafodelista"/>
        <w:spacing w:after="0" w:line="276" w:lineRule="auto"/>
        <w:ind w:left="709" w:right="616"/>
        <w:jc w:val="both"/>
        <w:rPr>
          <w:rFonts w:ascii="Verdana" w:hAnsi="Verdana" w:eastAsia="Calibri" w:cs="Arial"/>
          <w:sz w:val="21"/>
          <w:szCs w:val="21"/>
        </w:rPr>
      </w:pPr>
      <w:r w:rsidRPr="006D6082">
        <w:rPr>
          <w:rFonts w:ascii="Verdana" w:hAnsi="Verdana" w:eastAsia="Calibri" w:cs="Arial"/>
          <w:sz w:val="21"/>
          <w:szCs w:val="21"/>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rsidRPr="006D6082" w:rsidR="00945F14" w:rsidP="00881E88" w:rsidRDefault="00945F14" w14:paraId="438B0F68" w14:textId="77777777">
      <w:pPr>
        <w:pStyle w:val="Prrafodelista"/>
        <w:spacing w:after="0" w:line="276" w:lineRule="auto"/>
        <w:ind w:left="709" w:right="616"/>
        <w:jc w:val="both"/>
        <w:rPr>
          <w:rFonts w:ascii="Verdana" w:hAnsi="Verdana" w:eastAsia="Calibri" w:cs="Arial"/>
          <w:bCs/>
          <w:color w:val="000000" w:themeColor="text1"/>
          <w:sz w:val="21"/>
          <w:szCs w:val="21"/>
        </w:rPr>
      </w:pPr>
      <w:r w:rsidRPr="006D6082">
        <w:rPr>
          <w:rFonts w:ascii="Verdana" w:hAnsi="Verdana" w:eastAsia="Calibri" w:cs="Arial"/>
          <w:bCs/>
          <w:color w:val="000000" w:themeColor="text1"/>
          <w:sz w:val="21"/>
          <w:szCs w:val="21"/>
        </w:rPr>
        <w:t>[…]</w:t>
      </w:r>
    </w:p>
    <w:p w:rsidRPr="006D6082" w:rsidR="00945F14" w:rsidP="00881E88" w:rsidRDefault="00945F14" w14:paraId="48DAE41E" w14:textId="77777777">
      <w:pPr>
        <w:pStyle w:val="Prrafodelista"/>
        <w:spacing w:after="0" w:line="276" w:lineRule="auto"/>
        <w:ind w:left="709" w:right="616"/>
        <w:jc w:val="both"/>
        <w:rPr>
          <w:rFonts w:ascii="Verdana" w:hAnsi="Verdana" w:eastAsia="Calibri" w:cs="Arial"/>
          <w:bCs/>
          <w:color w:val="000000" w:themeColor="text1"/>
          <w:sz w:val="21"/>
          <w:szCs w:val="21"/>
        </w:rPr>
      </w:pPr>
      <w:r w:rsidRPr="006D6082">
        <w:rPr>
          <w:rFonts w:ascii="Verdana" w:hAnsi="Verdana" w:eastAsia="Calibri" w:cs="Arial"/>
          <w:bCs/>
          <w:color w:val="000000" w:themeColor="text1"/>
          <w:sz w:val="21"/>
          <w:szCs w:val="21"/>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rsidRPr="006D6082" w:rsidR="00945F14" w:rsidP="00881E88" w:rsidRDefault="00945F14" w14:paraId="106E3CDA" w14:textId="77777777">
      <w:pPr>
        <w:pStyle w:val="Prrafodelista"/>
        <w:spacing w:after="0" w:line="276" w:lineRule="auto"/>
        <w:ind w:left="709" w:right="616"/>
        <w:jc w:val="both"/>
        <w:rPr>
          <w:rFonts w:ascii="Verdana" w:hAnsi="Verdana" w:eastAsia="Calibri" w:cs="Arial"/>
          <w:bCs/>
          <w:color w:val="000000" w:themeColor="text1"/>
          <w:sz w:val="21"/>
          <w:szCs w:val="21"/>
        </w:rPr>
      </w:pPr>
      <w:r w:rsidRPr="006D6082">
        <w:rPr>
          <w:rFonts w:ascii="Verdana" w:hAnsi="Verdana" w:eastAsia="Calibri" w:cs="Arial"/>
          <w:bCs/>
          <w:color w:val="000000" w:themeColor="text1"/>
          <w:sz w:val="21"/>
          <w:szCs w:val="21"/>
        </w:rPr>
        <w:t>Los miembros del consorcio y de la unión temporal deberán designar la persona que, para todos los efectos, representará al consorcio o unión temporal y señalarán las reglas básicas que regulen las relaciones entre ellos y su responsabilidad.</w:t>
      </w:r>
    </w:p>
    <w:p w:rsidRPr="006D6082" w:rsidR="00945F14" w:rsidP="00881E88" w:rsidRDefault="00945F14" w14:paraId="70212486" w14:textId="77777777">
      <w:pPr>
        <w:pStyle w:val="Prrafodelista"/>
        <w:spacing w:after="0" w:line="276" w:lineRule="auto"/>
        <w:ind w:left="709" w:right="616"/>
        <w:jc w:val="both"/>
        <w:rPr>
          <w:rFonts w:ascii="Verdana" w:hAnsi="Verdana" w:eastAsia="Calibri" w:cs="Arial"/>
          <w:sz w:val="21"/>
          <w:szCs w:val="21"/>
        </w:rPr>
      </w:pPr>
      <w:r w:rsidRPr="006D6082">
        <w:rPr>
          <w:rFonts w:ascii="Verdana" w:hAnsi="Verdana" w:eastAsia="Calibri" w:cs="Arial"/>
          <w:bCs/>
          <w:color w:val="000000" w:themeColor="text1"/>
          <w:sz w:val="21"/>
          <w:szCs w:val="21"/>
        </w:rPr>
        <w:t>[…]”.</w:t>
      </w:r>
    </w:p>
    <w:p w:rsidRPr="00B85F0E" w:rsidR="00945F14" w:rsidP="00881E88" w:rsidRDefault="00945F14" w14:paraId="428324C3" w14:textId="77777777">
      <w:pPr>
        <w:spacing w:before="120" w:after="120" w:line="276" w:lineRule="auto"/>
        <w:ind w:firstLine="709"/>
        <w:jc w:val="both"/>
        <w:rPr>
          <w:rFonts w:ascii="Verdana" w:hAnsi="Verdana" w:eastAsia="Calibri" w:cs="Arial"/>
        </w:rPr>
      </w:pPr>
      <w:r w:rsidRPr="00162725">
        <w:rPr>
          <w:rFonts w:ascii="Verdana" w:hAnsi="Verdana" w:eastAsia="Calibri" w:cs="Arial"/>
        </w:rPr>
        <w:lastRenderedPageBreak/>
        <w:t>Como se observa, el artículo citado señala que el consorcio o la unión temporal se da “[c]</w:t>
      </w:r>
      <w:proofErr w:type="spellStart"/>
      <w:r w:rsidRPr="00162725">
        <w:rPr>
          <w:rFonts w:ascii="Verdana" w:hAnsi="Verdana" w:eastAsia="Calibri" w:cs="Arial"/>
        </w:rPr>
        <w:t>uando</w:t>
      </w:r>
      <w:proofErr w:type="spellEnd"/>
      <w:r w:rsidRPr="00162725">
        <w:rPr>
          <w:rFonts w:ascii="Verdana" w:hAnsi="Verdana" w:eastAsia="Calibri" w:cs="Arial"/>
        </w:rPr>
        <w:t xml:space="preserve"> dos o más personas en forma conjunta presentan una misma propuesta para la adjudicación, celebración y ejecución de un contrato […]”. Desde esta perspectiva, su capacidad para participar en la adjudicación, celebración y ejecución de uno o varios contratos estatales, dependerá de dos aspectos: </w:t>
      </w:r>
      <w:r>
        <w:rPr>
          <w:rFonts w:ascii="Verdana" w:hAnsi="Verdana" w:eastAsia="Calibri" w:cs="Arial"/>
        </w:rPr>
        <w:t>(</w:t>
      </w:r>
      <w:r w:rsidRPr="00162725">
        <w:rPr>
          <w:rFonts w:ascii="Verdana" w:hAnsi="Verdana" w:eastAsia="Calibri" w:cs="Arial"/>
        </w:rPr>
        <w:t>i) que los integrantes de la estructural plural adopten la decisión conjunta de presentar una misma propuesta al proceso de selección</w:t>
      </w:r>
      <w:r>
        <w:rPr>
          <w:rFonts w:ascii="Verdana" w:hAnsi="Verdana" w:eastAsia="Calibri" w:cs="Arial"/>
        </w:rPr>
        <w:t>,</w:t>
      </w:r>
      <w:r w:rsidRPr="00162725">
        <w:rPr>
          <w:rFonts w:ascii="Verdana" w:hAnsi="Verdana" w:eastAsia="Calibri" w:cs="Arial"/>
        </w:rPr>
        <w:t xml:space="preserve"> y </w:t>
      </w:r>
      <w:r>
        <w:rPr>
          <w:rFonts w:ascii="Verdana" w:hAnsi="Verdana" w:eastAsia="Calibri" w:cs="Arial"/>
        </w:rPr>
        <w:t>(</w:t>
      </w:r>
      <w:proofErr w:type="spellStart"/>
      <w:r w:rsidRPr="00162725">
        <w:rPr>
          <w:rFonts w:ascii="Verdana" w:hAnsi="Verdana" w:eastAsia="Calibri" w:cs="Arial"/>
        </w:rPr>
        <w:t>ii</w:t>
      </w:r>
      <w:proofErr w:type="spellEnd"/>
      <w:r w:rsidRPr="00162725">
        <w:rPr>
          <w:rFonts w:ascii="Verdana" w:hAnsi="Verdana" w:eastAsia="Calibri" w:cs="Arial"/>
        </w:rPr>
        <w:t>) que el objeto del consorcio o unión temporal se encuentre alineado con las actividades a desarrollar en un determinado proceso</w:t>
      </w:r>
      <w:r>
        <w:rPr>
          <w:rFonts w:ascii="Verdana" w:hAnsi="Verdana" w:eastAsia="Calibri" w:cs="Arial"/>
        </w:rPr>
        <w:t>, de manera que les permita ejecutar el respectivo contrato</w:t>
      </w:r>
      <w:r w:rsidRPr="00162725">
        <w:rPr>
          <w:rFonts w:ascii="Verdana" w:hAnsi="Verdana" w:eastAsia="Calibri" w:cs="Arial"/>
        </w:rPr>
        <w:t>.</w:t>
      </w:r>
    </w:p>
    <w:p w:rsidR="00945F14" w:rsidP="00881E88" w:rsidRDefault="00945F14" w14:paraId="3C261EE3" w14:textId="77777777">
      <w:pPr>
        <w:spacing w:after="120" w:line="276" w:lineRule="auto"/>
        <w:ind w:firstLine="708"/>
        <w:jc w:val="both"/>
        <w:rPr>
          <w:rFonts w:ascii="Verdana" w:hAnsi="Verdana" w:cs="Arial"/>
          <w:color w:val="000000" w:themeColor="text1"/>
        </w:rPr>
      </w:pPr>
      <w:r>
        <w:rPr>
          <w:rFonts w:ascii="Verdana" w:hAnsi="Verdana" w:eastAsia="Calibri" w:cs="Arial"/>
        </w:rPr>
        <w:t>En este sentido, las estructuras plurales</w:t>
      </w:r>
      <w:r w:rsidRPr="003734FE">
        <w:rPr>
          <w:rFonts w:ascii="Verdana" w:hAnsi="Verdana" w:eastAsia="Calibri" w:cs="Arial"/>
        </w:rPr>
        <w:t xml:space="preserve">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w:t>
      </w:r>
      <w:r>
        <w:rPr>
          <w:rFonts w:ascii="Verdana" w:hAnsi="Verdana" w:eastAsia="Calibri" w:cs="Arial"/>
        </w:rPr>
        <w:t>o</w:t>
      </w:r>
      <w:r w:rsidRPr="003734FE">
        <w:rPr>
          <w:rFonts w:ascii="Verdana" w:hAnsi="Verdana" w:eastAsia="Calibri" w:cs="Arial"/>
        </w:rPr>
        <w:t xml:space="preserve"> o varios contratos estatales, compartiendo recursos, de toda índole, para su ejecución, así como las utilidades y los riesgos.</w:t>
      </w:r>
      <w:r>
        <w:rPr>
          <w:rFonts w:ascii="Verdana" w:hAnsi="Verdana" w:eastAsia="Calibri" w:cs="Arial"/>
        </w:rPr>
        <w:t xml:space="preserve"> </w:t>
      </w:r>
      <w:r w:rsidRPr="007D6693">
        <w:rPr>
          <w:rFonts w:ascii="Verdana" w:hAnsi="Verdana" w:cs="Arial"/>
          <w:color w:val="000000" w:themeColor="text1"/>
        </w:rPr>
        <w:t xml:space="preserve">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w:t>
      </w:r>
      <w:r w:rsidRPr="00A5582B">
        <w:rPr>
          <w:rFonts w:ascii="Verdana" w:hAnsi="Verdana" w:cs="Arial"/>
          <w:color w:val="000000" w:themeColor="text1"/>
        </w:rPr>
        <w:t xml:space="preserve">independencia de este aspecto.   </w:t>
      </w:r>
    </w:p>
    <w:p w:rsidRPr="00A5582B" w:rsidR="00424B49" w:rsidP="00881E88" w:rsidRDefault="00424B49" w14:paraId="32A93F31" w14:textId="5CCD5205">
      <w:pPr>
        <w:spacing w:after="120" w:line="276" w:lineRule="auto"/>
        <w:ind w:firstLine="708"/>
        <w:jc w:val="both"/>
        <w:rPr>
          <w:rFonts w:ascii="Verdana" w:hAnsi="Verdana" w:cs="Arial"/>
          <w:color w:val="000000" w:themeColor="text1"/>
        </w:rPr>
      </w:pPr>
      <w:r>
        <w:rPr>
          <w:rFonts w:ascii="Verdana" w:hAnsi="Verdana" w:eastAsia="Calibri" w:cs="Arial"/>
        </w:rPr>
        <w:t>L</w:t>
      </w:r>
      <w:r w:rsidRPr="00EB0795">
        <w:rPr>
          <w:rFonts w:ascii="Verdana" w:hAnsi="Verdana" w:eastAsia="Calibri" w:cs="Arial"/>
        </w:rPr>
        <w:t xml:space="preserve">os consorcios y las uniones temporales </w:t>
      </w:r>
      <w:r>
        <w:rPr>
          <w:rFonts w:ascii="Verdana" w:hAnsi="Verdana" w:eastAsia="Calibri" w:cs="Arial"/>
        </w:rPr>
        <w:t xml:space="preserve">son </w:t>
      </w:r>
      <w:r w:rsidRPr="00EB0795">
        <w:rPr>
          <w:rFonts w:ascii="Verdana" w:hAnsi="Verdana" w:eastAsia="Calibri" w:cs="Arial"/>
        </w:rPr>
        <w:t xml:space="preserve">una creación de carácter convencional que se logra mediante un acuerdo de carácter privado en la que concurre la voluntad de los miembros. </w:t>
      </w:r>
      <w:r>
        <w:rPr>
          <w:rFonts w:ascii="Verdana" w:hAnsi="Verdana" w:eastAsia="Calibri" w:cs="Arial"/>
        </w:rPr>
        <w:t xml:space="preserve">En este sentido, es viable que sus miembros acuerden modificar el nombre, el porcentaje de participación y su composición para presentar propuesta en un proceso de contratación. Como se señaló antes, </w:t>
      </w:r>
      <w:r>
        <w:rPr>
          <w:rFonts w:ascii="Verdana" w:hAnsi="Verdana" w:eastAsia="Verdana" w:cs="Verdana"/>
        </w:rPr>
        <w:t xml:space="preserve">se trata de </w:t>
      </w:r>
      <w:r w:rsidRPr="008C48E3">
        <w:rPr>
          <w:rFonts w:ascii="Verdana" w:hAnsi="Verdana" w:eastAsia="Verdana" w:cs="Verdana"/>
        </w:rPr>
        <w:t xml:space="preserve">figuras asociativas cuya creación </w:t>
      </w:r>
      <w:r>
        <w:rPr>
          <w:rFonts w:ascii="Verdana" w:hAnsi="Verdana" w:eastAsia="Verdana" w:cs="Verdana"/>
        </w:rPr>
        <w:t xml:space="preserve">y características </w:t>
      </w:r>
      <w:r w:rsidRPr="008C48E3">
        <w:rPr>
          <w:rFonts w:ascii="Verdana" w:hAnsi="Verdana" w:eastAsia="Verdana" w:cs="Verdana"/>
        </w:rPr>
        <w:t>depende</w:t>
      </w:r>
      <w:r>
        <w:rPr>
          <w:rFonts w:ascii="Verdana" w:hAnsi="Verdana" w:eastAsia="Verdana" w:cs="Verdana"/>
        </w:rPr>
        <w:t>n</w:t>
      </w:r>
      <w:r w:rsidRPr="008C48E3">
        <w:rPr>
          <w:rFonts w:ascii="Verdana" w:hAnsi="Verdana" w:eastAsia="Verdana" w:cs="Verdana"/>
        </w:rPr>
        <w:t xml:space="preserve"> de un acuerdo en el que concurre la voluntad de sus integrantes para regular</w:t>
      </w:r>
      <w:r>
        <w:rPr>
          <w:rFonts w:ascii="Verdana" w:hAnsi="Verdana" w:eastAsia="Verdana" w:cs="Verdana"/>
        </w:rPr>
        <w:t xml:space="preserve"> sus características y composición, con el objetivo de </w:t>
      </w:r>
      <w:r w:rsidRPr="008C48E3">
        <w:rPr>
          <w:rFonts w:ascii="Verdana" w:hAnsi="Verdana" w:eastAsia="Verdana" w:cs="Verdana"/>
        </w:rPr>
        <w:t>facilitar la organización de diversos miembros a efectos de presentar propuesta</w:t>
      </w:r>
      <w:r>
        <w:rPr>
          <w:rFonts w:ascii="Verdana" w:hAnsi="Verdana" w:eastAsia="Verdana" w:cs="Verdana"/>
        </w:rPr>
        <w:t xml:space="preserve"> en procesos de contratación, así como para </w:t>
      </w:r>
      <w:r w:rsidRPr="008C48E3">
        <w:rPr>
          <w:rFonts w:ascii="Verdana" w:hAnsi="Verdana" w:eastAsia="Verdana" w:cs="Verdana"/>
        </w:rPr>
        <w:t xml:space="preserve">celebrar y ejecutar </w:t>
      </w:r>
      <w:r>
        <w:rPr>
          <w:rFonts w:ascii="Verdana" w:hAnsi="Verdana" w:eastAsia="Verdana" w:cs="Verdana"/>
        </w:rPr>
        <w:t>contratos estatales.</w:t>
      </w:r>
    </w:p>
    <w:p w:rsidRPr="00A5582B" w:rsidR="00943249" w:rsidP="00881E88" w:rsidRDefault="00945F14" w14:paraId="1FD8A68E" w14:textId="312C8351">
      <w:pPr>
        <w:spacing w:after="120" w:line="276" w:lineRule="auto"/>
        <w:ind w:right="49" w:firstLine="708"/>
        <w:jc w:val="both"/>
        <w:rPr>
          <w:rFonts w:ascii="Verdana" w:hAnsi="Verdana"/>
          <w:color w:val="000000"/>
        </w:rPr>
      </w:pPr>
      <w:r w:rsidRPr="00A5582B">
        <w:rPr>
          <w:rFonts w:ascii="Verdana" w:hAnsi="Verdana" w:cs="Arial"/>
          <w:color w:val="000000" w:themeColor="text1"/>
        </w:rPr>
        <w:t xml:space="preserve">En todo caso, </w:t>
      </w:r>
      <w:r w:rsidR="00881E88">
        <w:rPr>
          <w:rFonts w:ascii="Verdana" w:hAnsi="Verdana"/>
          <w:color w:val="000000"/>
        </w:rPr>
        <w:t>e</w:t>
      </w:r>
      <w:r w:rsidRPr="00A5582B" w:rsidR="00943249">
        <w:rPr>
          <w:rFonts w:ascii="Verdana" w:hAnsi="Verdana"/>
          <w:color w:val="000000"/>
        </w:rPr>
        <w:t xml:space="preserve">s fundamental destacar que, si bien una Unión Temporal puede estar integrada por personas naturales, jurídicas, también puede estar </w:t>
      </w:r>
      <w:r w:rsidRPr="00A5582B" w:rsidR="00943249">
        <w:rPr>
          <w:rFonts w:ascii="Verdana" w:hAnsi="Verdana"/>
          <w:color w:val="000000"/>
        </w:rPr>
        <w:lastRenderedPageBreak/>
        <w:t xml:space="preserve">integrado por </w:t>
      </w:r>
      <w:r w:rsidR="00881E88">
        <w:rPr>
          <w:rFonts w:ascii="Verdana" w:hAnsi="Verdana"/>
          <w:color w:val="000000"/>
        </w:rPr>
        <w:t xml:space="preserve">una </w:t>
      </w:r>
      <w:r w:rsidRPr="00A5582B" w:rsidR="00943249">
        <w:rPr>
          <w:rFonts w:ascii="Verdana" w:hAnsi="Verdana"/>
          <w:color w:val="000000"/>
        </w:rPr>
        <w:t>entidad estatal,</w:t>
      </w:r>
      <w:r w:rsidRPr="00A5582B" w:rsidR="00943249">
        <w:rPr>
          <w:rStyle w:val="apple-converted-space"/>
          <w:rFonts w:ascii="Verdana" w:hAnsi="Verdana"/>
          <w:color w:val="000000"/>
        </w:rPr>
        <w:t> </w:t>
      </w:r>
      <w:r w:rsidRPr="00A5582B" w:rsidR="00943249">
        <w:rPr>
          <w:rStyle w:val="Textoennegrita"/>
          <w:rFonts w:ascii="Verdana" w:hAnsi="Verdana"/>
          <w:b w:val="0"/>
          <w:bCs w:val="0"/>
          <w:color w:val="000000"/>
        </w:rPr>
        <w:t>la Unión Temporal en sí misma actúa como un único proponente dentro del proceso de selección</w:t>
      </w:r>
      <w:r w:rsidRPr="00A5582B" w:rsidR="00943249">
        <w:rPr>
          <w:rFonts w:ascii="Verdana" w:hAnsi="Verdana"/>
          <w:b/>
          <w:bCs/>
          <w:color w:val="000000"/>
        </w:rPr>
        <w:t>.</w:t>
      </w:r>
      <w:r w:rsidRPr="00A5582B" w:rsidR="00943249">
        <w:rPr>
          <w:rFonts w:ascii="Verdana" w:hAnsi="Verdana"/>
          <w:color w:val="000000"/>
        </w:rPr>
        <w:t xml:space="preserve"> La participación de una entidad estatal como miembro de una Unión Temporal no le otorga a esta última la naturaleza de entidad estatal</w:t>
      </w:r>
      <w:r w:rsidR="00881E88">
        <w:rPr>
          <w:rFonts w:ascii="Verdana" w:hAnsi="Verdana"/>
          <w:color w:val="000000"/>
        </w:rPr>
        <w:t xml:space="preserve">, </w:t>
      </w:r>
      <w:r w:rsidRPr="00A5582B" w:rsidR="00943249">
        <w:rPr>
          <w:rFonts w:ascii="Verdana" w:hAnsi="Verdana"/>
          <w:color w:val="000000"/>
        </w:rPr>
        <w:t>ni la convierte automáticamente en un contrato interadministrativo.</w:t>
      </w:r>
    </w:p>
    <w:p w:rsidR="00943249" w:rsidP="00881E88" w:rsidRDefault="00475FC7" w14:paraId="1D68DC6A" w14:textId="13B67B47">
      <w:pPr>
        <w:spacing w:after="120" w:line="276" w:lineRule="auto"/>
        <w:ind w:right="49" w:firstLine="708"/>
        <w:jc w:val="both"/>
        <w:rPr>
          <w:rFonts w:ascii="Verdana" w:hAnsi="Verdana" w:eastAsia="Times New Roman" w:cs="Times New Roman"/>
          <w:color w:val="000000"/>
          <w:lang w:eastAsia="es-MX"/>
        </w:rPr>
      </w:pPr>
      <w:r>
        <w:rPr>
          <w:rFonts w:ascii="Verdana" w:hAnsi="Verdana" w:eastAsia="Times New Roman" w:cs="Times New Roman"/>
          <w:color w:val="000000"/>
          <w:lang w:eastAsia="es-MX"/>
        </w:rPr>
        <w:t>Por su parte, el</w:t>
      </w:r>
      <w:r w:rsidRPr="00943249" w:rsidR="00943249">
        <w:rPr>
          <w:rFonts w:ascii="Verdana" w:hAnsi="Verdana" w:eastAsia="Times New Roman" w:cs="Times New Roman"/>
          <w:color w:val="000000"/>
          <w:lang w:eastAsia="es-MX"/>
        </w:rPr>
        <w:t xml:space="preserve"> artículo 96 de la Ley 489 de 1998 y el artículo 2.2.1.1.2.1 del Decreto 1082 de 2015</w:t>
      </w:r>
      <w:r w:rsidR="00881E88">
        <w:rPr>
          <w:rFonts w:ascii="Verdana" w:hAnsi="Verdana" w:eastAsia="Times New Roman" w:cs="Times New Roman"/>
          <w:color w:val="000000"/>
          <w:lang w:eastAsia="es-MX"/>
        </w:rPr>
        <w:t>,</w:t>
      </w:r>
      <w:r w:rsidRPr="00943249" w:rsidR="00943249">
        <w:rPr>
          <w:rFonts w:ascii="Verdana" w:hAnsi="Verdana" w:eastAsia="Times New Roman" w:cs="Times New Roman"/>
          <w:color w:val="000000"/>
          <w:lang w:eastAsia="es-MX"/>
        </w:rPr>
        <w:t xml:space="preserve"> definen los contratos interadministrativos como aquellos celebrados directamente entre entidades estatales para el desarrollo de funciones constitucionales o legales propias de cada una. La característica esencial de estos contratos radica en la ausencia de un proceso de selección competitivo y la colaboración directa entre entidades para el cumplimiento de sus fines misionales.</w:t>
      </w:r>
    </w:p>
    <w:p w:rsidR="00881E88" w:rsidP="00881E88" w:rsidRDefault="00475FC7" w14:paraId="65A637BA" w14:textId="257FC116">
      <w:pPr>
        <w:spacing w:before="120" w:after="120" w:line="276" w:lineRule="auto"/>
        <w:ind w:firstLine="708"/>
        <w:jc w:val="both"/>
        <w:rPr>
          <w:rFonts w:ascii="Verdana" w:hAnsi="Verdana" w:eastAsia="Calibri" w:cs="Arial"/>
          <w:lang w:eastAsia="es-ES"/>
        </w:rPr>
      </w:pPr>
      <w:r w:rsidRPr="00823F19">
        <w:rPr>
          <w:rFonts w:ascii="Verdana" w:hAnsi="Verdana" w:eastAsia="Times New Roman" w:cs="Arial"/>
          <w:color w:val="000000" w:themeColor="text1"/>
          <w:lang w:eastAsia="es-CO"/>
        </w:rPr>
        <w:t xml:space="preserve">En efecto, la doctrina ha señalado que “se denominan contratos interadministrativos los contratos bilaterales celebrados entre dos entidades </w:t>
      </w:r>
      <w:r w:rsidRPr="00DB555B">
        <w:rPr>
          <w:rFonts w:ascii="Verdana" w:hAnsi="Verdana" w:eastAsia="Times New Roman" w:cs="Arial"/>
          <w:color w:val="000000" w:themeColor="text1"/>
          <w:lang w:eastAsia="es-CO"/>
        </w:rPr>
        <w:t>estatales”</w:t>
      </w:r>
      <w:r w:rsidRPr="00DB555B">
        <w:rPr>
          <w:rFonts w:ascii="Verdana" w:hAnsi="Verdana" w:eastAsia="Times New Roman" w:cs="Arial"/>
          <w:color w:val="000000" w:themeColor="text1"/>
          <w:vertAlign w:val="superscript"/>
          <w:lang w:eastAsia="es-CO"/>
        </w:rPr>
        <w:footnoteReference w:id="3"/>
      </w:r>
      <w:r w:rsidRPr="00DB555B">
        <w:rPr>
          <w:rFonts w:ascii="Verdana" w:hAnsi="Verdana" w:eastAsia="Times New Roman" w:cs="Arial"/>
          <w:color w:val="000000" w:themeColor="text1"/>
          <w:lang w:eastAsia="es-CO"/>
        </w:rPr>
        <w:t xml:space="preserve">. </w:t>
      </w:r>
      <w:r w:rsidRPr="00DB555B">
        <w:rPr>
          <w:rFonts w:ascii="Verdana" w:hAnsi="Verdana" w:eastAsia="Times New Roman" w:cs="Arial"/>
          <w:color w:val="000000" w:themeColor="text1"/>
          <w:lang w:val="es-ES" w:eastAsia="es-CO"/>
        </w:rPr>
        <w:t>Aunque la Ley 80 de 1993 no definió ni desarrolló esta tipología contractual, el Decreto 1082 de 2015 califica a los convenios o contratos interadministrativos como aquella contratación entre Entidades Estatales</w:t>
      </w:r>
      <w:r w:rsidRPr="00DB555B">
        <w:rPr>
          <w:rFonts w:ascii="Verdana" w:hAnsi="Verdana" w:eastAsia="Times New Roman" w:cs="Arial"/>
          <w:color w:val="000000" w:themeColor="text1"/>
          <w:vertAlign w:val="superscript"/>
          <w:lang w:val="es-ES" w:eastAsia="es-CO"/>
        </w:rPr>
        <w:footnoteReference w:id="4"/>
      </w:r>
      <w:r w:rsidRPr="00DB555B">
        <w:rPr>
          <w:rFonts w:ascii="Verdana" w:hAnsi="Verdana" w:eastAsia="Times New Roman" w:cs="Arial"/>
          <w:color w:val="000000" w:themeColor="text1"/>
          <w:lang w:val="es-ES" w:eastAsia="es-CO"/>
        </w:rPr>
        <w:t xml:space="preserve">.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w:t>
      </w:r>
      <w:r w:rsidRPr="00DB555B">
        <w:rPr>
          <w:rFonts w:ascii="Verdana" w:hAnsi="Verdana" w:eastAsia="Calibri" w:cs="Arial"/>
          <w:lang w:eastAsia="es-ES"/>
        </w:rPr>
        <w:t xml:space="preserve">sin que importen las normas que regulan la relación contractual. </w:t>
      </w:r>
    </w:p>
    <w:p w:rsidRPr="00823F19" w:rsidR="00881E88" w:rsidP="000D7949" w:rsidRDefault="00881E88" w14:paraId="10EA897E" w14:textId="6BD976B7">
      <w:pPr>
        <w:spacing w:after="0" w:line="276" w:lineRule="auto"/>
        <w:ind w:firstLine="709"/>
        <w:contextualSpacing/>
        <w:jc w:val="both"/>
        <w:rPr>
          <w:rFonts w:ascii="Verdana" w:hAnsi="Verdana" w:eastAsia="Calibri" w:cs="Arial"/>
          <w:bCs/>
          <w:color w:val="000000" w:themeColor="text1"/>
          <w:lang w:eastAsia="es-ES_tradnl" w:bidi="es-ES"/>
        </w:rPr>
      </w:pPr>
      <w:r w:rsidRPr="00823F19">
        <w:rPr>
          <w:rFonts w:ascii="Verdana" w:hAnsi="Verdana" w:eastAsia="Calibri" w:cs="Arial"/>
          <w:bCs/>
          <w:color w:val="000000" w:themeColor="text1"/>
          <w:lang w:eastAsia="es-ES_tradnl" w:bidi="es-ES"/>
        </w:rPr>
        <w:t xml:space="preserve">Ahora bien, es importante aclarar que la doctrina y la jurisprudencia han resaltado las diferencias entre los contratos interadministrativos y los convenios </w:t>
      </w:r>
      <w:r w:rsidRPr="00823F19">
        <w:rPr>
          <w:rFonts w:ascii="Verdana" w:hAnsi="Verdana" w:eastAsia="Calibri" w:cs="Arial"/>
          <w:bCs/>
          <w:color w:val="000000" w:themeColor="text1"/>
          <w:lang w:eastAsia="es-ES_tradnl" w:bidi="es-ES"/>
        </w:rPr>
        <w:lastRenderedPageBreak/>
        <w:t xml:space="preserve">interadministrativos de que trata el artículo 95 de la Ley 489 de 1998.  Al respecto, la Sala de Consulta y Servicio del Consejo de Estado expresó lo siguiente: </w:t>
      </w:r>
    </w:p>
    <w:p w:rsidRPr="00823F19" w:rsidR="00881E88" w:rsidP="00881E88" w:rsidRDefault="00881E88" w14:paraId="10A95695" w14:textId="77777777">
      <w:pPr>
        <w:spacing w:after="0" w:line="276" w:lineRule="auto"/>
        <w:ind w:firstLine="708"/>
        <w:contextualSpacing/>
        <w:jc w:val="both"/>
        <w:rPr>
          <w:rFonts w:ascii="Verdana" w:hAnsi="Verdana" w:eastAsia="Calibri" w:cs="Arial"/>
          <w:bCs/>
          <w:color w:val="000000" w:themeColor="text1"/>
          <w:lang w:eastAsia="es-ES_tradnl" w:bidi="es-ES"/>
        </w:rPr>
      </w:pPr>
    </w:p>
    <w:p w:rsidRPr="008410EC" w:rsidR="00881E88" w:rsidP="00212894" w:rsidRDefault="00881E88" w14:paraId="4B6B4142" w14:textId="77777777">
      <w:pPr>
        <w:spacing w:after="0" w:line="276" w:lineRule="auto"/>
        <w:ind w:left="709" w:right="709"/>
        <w:contextualSpacing/>
        <w:jc w:val="both"/>
        <w:rPr>
          <w:rFonts w:ascii="Verdana" w:hAnsi="Verdana" w:eastAsia="Calibri" w:cs="Arial"/>
          <w:bCs/>
          <w:color w:val="000000" w:themeColor="text1"/>
          <w:sz w:val="21"/>
          <w:szCs w:val="21"/>
          <w:lang w:eastAsia="es-ES_tradnl" w:bidi="es-ES"/>
        </w:rPr>
      </w:pPr>
      <w:r w:rsidRPr="008410EC">
        <w:rPr>
          <w:rFonts w:ascii="Verdana" w:hAnsi="Verdana" w:eastAsia="Calibri" w:cs="Arial"/>
          <w:bCs/>
          <w:color w:val="000000" w:themeColor="text1"/>
          <w:sz w:val="21"/>
          <w:szCs w:val="21"/>
          <w:lang w:eastAsia="es-ES_tradnl" w:bidi="es-ES"/>
        </w:rPr>
        <w:t>“</w:t>
      </w:r>
      <w:r w:rsidRPr="000342B7">
        <w:rPr>
          <w:rFonts w:ascii="Verdana" w:hAnsi="Verdana" w:eastAsia="Calibri" w:cs="Arial"/>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8410EC">
        <w:rPr>
          <w:rFonts w:ascii="Verdana" w:hAnsi="Verdana" w:eastAsia="Calibri" w:cs="Arial"/>
          <w:bCs/>
          <w:color w:val="000000" w:themeColor="text1"/>
          <w:sz w:val="21"/>
          <w:szCs w:val="21"/>
          <w:vertAlign w:val="superscript"/>
          <w:lang w:val="es-ES_tradnl" w:eastAsia="es-ES_tradnl" w:bidi="es-ES"/>
        </w:rPr>
        <w:t xml:space="preserve"> </w:t>
      </w:r>
      <w:r w:rsidRPr="008410EC">
        <w:rPr>
          <w:rFonts w:ascii="Verdana" w:hAnsi="Verdana" w:eastAsia="Calibri" w:cs="Arial"/>
          <w:bCs/>
          <w:color w:val="000000" w:themeColor="text1"/>
          <w:sz w:val="21"/>
          <w:szCs w:val="21"/>
          <w:vertAlign w:val="superscript"/>
          <w:lang w:val="es-ES_tradnl" w:eastAsia="es-ES_tradnl" w:bidi="es-ES"/>
        </w:rPr>
        <w:footnoteReference w:id="5"/>
      </w:r>
    </w:p>
    <w:p w:rsidRPr="00823F19" w:rsidR="00881E88" w:rsidP="00212894" w:rsidRDefault="00881E88" w14:paraId="6CB3647B" w14:textId="77777777">
      <w:pPr>
        <w:spacing w:after="0" w:line="276" w:lineRule="auto"/>
        <w:ind w:firstLine="708"/>
        <w:contextualSpacing/>
        <w:jc w:val="both"/>
        <w:rPr>
          <w:rFonts w:ascii="Verdana" w:hAnsi="Verdana" w:eastAsia="Calibri" w:cs="Arial"/>
          <w:bCs/>
          <w:color w:val="000000" w:themeColor="text1"/>
          <w:lang w:eastAsia="es-ES_tradnl" w:bidi="es-ES"/>
        </w:rPr>
      </w:pPr>
    </w:p>
    <w:p w:rsidRPr="00823F19" w:rsidR="00881E88" w:rsidP="00212894" w:rsidRDefault="00881E88" w14:paraId="3922A4EA" w14:textId="77777777">
      <w:pPr>
        <w:spacing w:after="0" w:line="276" w:lineRule="auto"/>
        <w:ind w:firstLine="709"/>
        <w:contextualSpacing/>
        <w:jc w:val="both"/>
        <w:rPr>
          <w:rFonts w:ascii="Verdana" w:hAnsi="Verdana" w:eastAsia="Calibri" w:cs="Arial"/>
          <w:bCs/>
          <w:color w:val="000000" w:themeColor="text1"/>
          <w:lang w:eastAsia="es-ES_tradnl" w:bidi="es-ES"/>
        </w:rPr>
      </w:pPr>
      <w:r w:rsidRPr="00823F19">
        <w:rPr>
          <w:rFonts w:ascii="Verdana" w:hAnsi="Verdana" w:eastAsia="Calibri" w:cs="Arial"/>
          <w:bCs/>
          <w:color w:val="000000" w:themeColor="text1"/>
          <w:lang w:eastAsia="es-ES_tradnl" w:bidi="es-ES"/>
        </w:rPr>
        <w:t>En línea con lo anterior, la Sala Contenciosa Administrativa del Consejo de Estado en sentencia del 14 de junio de 2019 también señaló:</w:t>
      </w:r>
    </w:p>
    <w:p w:rsidRPr="00823F19" w:rsidR="00881E88" w:rsidP="00212894" w:rsidRDefault="00881E88" w14:paraId="011D83F2" w14:textId="77777777">
      <w:pPr>
        <w:spacing w:after="0" w:line="276" w:lineRule="auto"/>
        <w:contextualSpacing/>
        <w:rPr>
          <w:rFonts w:ascii="Verdana" w:hAnsi="Verdana" w:eastAsia="Calibri" w:cs="Arial"/>
          <w:bCs/>
          <w:color w:val="000000" w:themeColor="text1"/>
          <w:lang w:eastAsia="es-ES_tradnl" w:bidi="es-ES"/>
        </w:rPr>
      </w:pPr>
    </w:p>
    <w:p w:rsidR="00881E88" w:rsidP="00212894" w:rsidRDefault="00881E88" w14:paraId="645B93B5" w14:textId="77777777">
      <w:pPr>
        <w:spacing w:after="0" w:line="276" w:lineRule="auto"/>
        <w:ind w:left="709" w:right="709"/>
        <w:contextualSpacing/>
        <w:jc w:val="both"/>
        <w:rPr>
          <w:rFonts w:ascii="Verdana" w:hAnsi="Verdana" w:eastAsia="Calibri" w:cs="Arial"/>
          <w:color w:val="000000" w:themeColor="text1"/>
          <w:sz w:val="20"/>
          <w:szCs w:val="20"/>
          <w:lang w:val="es-ES_tradnl" w:eastAsia="es-ES_tradnl" w:bidi="es-ES"/>
        </w:rPr>
      </w:pPr>
      <w:r w:rsidRPr="000342B7">
        <w:rPr>
          <w:rFonts w:ascii="Verdana" w:hAnsi="Verdana" w:eastAsia="Calibri" w:cs="Arial"/>
          <w:color w:val="000000" w:themeColor="text1"/>
          <w:sz w:val="20"/>
          <w:szCs w:val="20"/>
          <w:lang w:val="es-ES_tradnl" w:eastAsia="es-ES_tradnl" w:bidi="es-ES"/>
        </w:rPr>
        <w:t>“La Sala de Consulta y Servicio Civil</w:t>
      </w:r>
      <w:r w:rsidRPr="000342B7">
        <w:rPr>
          <w:rFonts w:ascii="Verdana" w:hAnsi="Verdana" w:eastAsia="Calibri" w:cs="Arial"/>
          <w:color w:val="000000" w:themeColor="text1"/>
          <w:sz w:val="20"/>
          <w:szCs w:val="20"/>
          <w:vertAlign w:val="superscript"/>
          <w:lang w:val="es-ES_tradnl" w:eastAsia="es-ES_tradnl" w:bidi="es-ES"/>
        </w:rPr>
        <w:footnoteReference w:id="6"/>
      </w:r>
      <w:r w:rsidRPr="000342B7">
        <w:rPr>
          <w:rFonts w:ascii="Verdana" w:hAnsi="Verdana" w:eastAsia="Calibri" w:cs="Arial"/>
          <w:color w:val="000000" w:themeColor="text1"/>
          <w:sz w:val="20"/>
          <w:szCs w:val="20"/>
          <w:lang w:val="es-ES_tradnl" w:eastAsia="es-ES_tradnl" w:bidi="es-ES"/>
        </w:rPr>
        <w:t xml:space="preserve"> de esta Corporación se ha referido a los </w:t>
      </w:r>
      <w:r w:rsidRPr="000342B7">
        <w:rPr>
          <w:rFonts w:ascii="Verdana" w:hAnsi="Verdana" w:eastAsia="Calibri" w:cs="Arial"/>
          <w:i/>
          <w:color w:val="000000" w:themeColor="text1"/>
          <w:sz w:val="20"/>
          <w:szCs w:val="20"/>
          <w:lang w:val="es-ES_tradnl" w:eastAsia="es-ES_tradnl" w:bidi="es-ES"/>
        </w:rPr>
        <w:t>“convenios interadministrativos”</w:t>
      </w:r>
      <w:r w:rsidRPr="000342B7">
        <w:rPr>
          <w:rFonts w:ascii="Verdana" w:hAnsi="Verdana" w:eastAsia="Calibri" w:cs="Arial"/>
          <w:color w:val="000000" w:themeColor="text1"/>
          <w:sz w:val="20"/>
          <w:szCs w:val="20"/>
          <w:lang w:val="es-ES_tradnl" w:eastAsia="es-ES_tradnl" w:bidi="es-ES"/>
        </w:rPr>
        <w:t xml:space="preserve"> a los cuales alude el artículo 95 de la Ley 489 de 1998, calificándolos de </w:t>
      </w:r>
      <w:r w:rsidRPr="000342B7">
        <w:rPr>
          <w:rFonts w:ascii="Verdana" w:hAnsi="Verdana" w:eastAsia="Calibri" w:cs="Arial"/>
          <w:i/>
          <w:color w:val="000000" w:themeColor="text1"/>
          <w:sz w:val="20"/>
          <w:szCs w:val="20"/>
          <w:lang w:val="es-ES_tradnl" w:eastAsia="es-ES_tradnl" w:bidi="es-ES"/>
        </w:rPr>
        <w:t xml:space="preserve">“puros” </w:t>
      </w:r>
      <w:r w:rsidRPr="000342B7">
        <w:rPr>
          <w:rFonts w:ascii="Verdana" w:hAnsi="Verdana" w:eastAsia="Calibri" w:cs="Arial"/>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0342B7">
        <w:rPr>
          <w:rFonts w:ascii="Verdana" w:hAnsi="Verdana" w:eastAsia="Calibri" w:cs="Arial"/>
          <w:i/>
          <w:color w:val="000000" w:themeColor="text1"/>
          <w:sz w:val="20"/>
          <w:szCs w:val="20"/>
          <w:lang w:val="es-ES_tradnl" w:eastAsia="es-ES_tradnl" w:bidi="es-ES"/>
        </w:rPr>
        <w:t>“intercambio patrimonial”</w:t>
      </w:r>
      <w:r w:rsidRPr="000342B7">
        <w:rPr>
          <w:rFonts w:ascii="Verdana" w:hAnsi="Verdana" w:eastAsia="Calibri" w:cs="Arial"/>
          <w:color w:val="000000" w:themeColor="text1"/>
          <w:sz w:val="20"/>
          <w:szCs w:val="20"/>
          <w:lang w:val="es-ES_tradnl" w:eastAsia="es-ES_tradnl" w:bidi="es-ES"/>
        </w:rPr>
        <w:t>. Sin perjuicio de lo anterior, en otra oportunidad, la misma Sala</w:t>
      </w:r>
      <w:r w:rsidRPr="000342B7">
        <w:rPr>
          <w:rFonts w:ascii="Verdana" w:hAnsi="Verdana" w:eastAsia="Calibri" w:cs="Arial"/>
          <w:color w:val="000000" w:themeColor="text1"/>
          <w:sz w:val="20"/>
          <w:szCs w:val="20"/>
          <w:vertAlign w:val="superscript"/>
          <w:lang w:val="es-ES_tradnl" w:eastAsia="es-ES_tradnl" w:bidi="es-ES"/>
        </w:rPr>
        <w:footnoteReference w:id="7"/>
      </w:r>
      <w:r w:rsidRPr="000342B7">
        <w:rPr>
          <w:rFonts w:ascii="Verdana" w:hAnsi="Verdana" w:eastAsia="Calibri" w:cs="Arial"/>
          <w:color w:val="000000" w:themeColor="text1"/>
          <w:sz w:val="20"/>
          <w:szCs w:val="20"/>
          <w:lang w:val="es-ES_tradnl" w:eastAsia="es-ES_tradnl" w:bidi="es-ES"/>
        </w:rPr>
        <w:t xml:space="preserve"> había indicado que, si bien en dichos convenios no se daba un </w:t>
      </w:r>
      <w:r w:rsidRPr="000342B7">
        <w:rPr>
          <w:rFonts w:ascii="Verdana" w:hAnsi="Verdana" w:eastAsia="Calibri" w:cs="Arial"/>
          <w:i/>
          <w:color w:val="000000" w:themeColor="text1"/>
          <w:sz w:val="20"/>
          <w:szCs w:val="20"/>
          <w:lang w:val="es-ES_tradnl" w:eastAsia="es-ES_tradnl" w:bidi="es-ES"/>
        </w:rPr>
        <w:t>“verdadero intercambio de bienes o servicios (contrato conmutativo)”</w:t>
      </w:r>
      <w:r w:rsidRPr="000342B7">
        <w:rPr>
          <w:rFonts w:ascii="Verdana" w:hAnsi="Verdana" w:eastAsia="Calibri" w:cs="Arial"/>
          <w:color w:val="000000" w:themeColor="text1"/>
          <w:sz w:val="20"/>
          <w:szCs w:val="20"/>
          <w:lang w:val="es-ES_tradnl" w:eastAsia="es-ES_tradnl" w:bidi="es-ES"/>
        </w:rPr>
        <w:t>, ello no impedía que se conviniera una remuneración a cargo de alguna(s) entidad(es).</w:t>
      </w:r>
    </w:p>
    <w:p w:rsidRPr="000342B7" w:rsidR="00881E88" w:rsidP="00212894" w:rsidRDefault="00881E88" w14:paraId="283E7AD2" w14:textId="77777777">
      <w:pPr>
        <w:spacing w:after="0" w:line="276" w:lineRule="auto"/>
        <w:ind w:left="709" w:right="709"/>
        <w:contextualSpacing/>
        <w:jc w:val="both"/>
        <w:rPr>
          <w:rFonts w:ascii="Verdana" w:hAnsi="Verdana" w:eastAsia="Calibri" w:cs="Arial"/>
          <w:bCs/>
          <w:color w:val="000000" w:themeColor="text1"/>
          <w:sz w:val="20"/>
          <w:szCs w:val="20"/>
          <w:lang w:val="es-ES_tradnl" w:eastAsia="es-ES_tradnl" w:bidi="es-ES"/>
        </w:rPr>
      </w:pPr>
    </w:p>
    <w:p w:rsidR="00837D04" w:rsidP="00212894" w:rsidRDefault="00881E88" w14:paraId="5FD471BE" w14:textId="77777777">
      <w:pPr>
        <w:spacing w:after="0" w:line="276" w:lineRule="auto"/>
        <w:ind w:left="709" w:right="709"/>
        <w:contextualSpacing/>
        <w:jc w:val="both"/>
        <w:rPr>
          <w:rFonts w:ascii="Verdana" w:hAnsi="Verdana" w:eastAsia="Calibri" w:cs="Arial"/>
          <w:color w:val="000000" w:themeColor="text1"/>
          <w:sz w:val="20"/>
          <w:szCs w:val="20"/>
          <w:lang w:val="es-ES_tradnl" w:eastAsia="es-ES_tradnl" w:bidi="es-ES"/>
        </w:rPr>
      </w:pPr>
      <w:r w:rsidRPr="000342B7">
        <w:rPr>
          <w:rFonts w:ascii="Verdana" w:hAnsi="Verdana" w:eastAsia="Calibri" w:cs="Arial"/>
          <w:color w:val="000000" w:themeColor="text1"/>
          <w:sz w:val="20"/>
          <w:szCs w:val="20"/>
          <w:lang w:val="es-ES_tradnl" w:eastAsia="es-ES_tradnl" w:bidi="es-ES"/>
        </w:rPr>
        <w:lastRenderedPageBreak/>
        <w:t xml:space="preserve">Lo expuesto evidencia que, en general, las interpretaciones en torno a los </w:t>
      </w:r>
      <w:r w:rsidRPr="000342B7">
        <w:rPr>
          <w:rFonts w:ascii="Verdana" w:hAnsi="Verdana" w:eastAsia="Calibri" w:cs="Arial"/>
          <w:i/>
          <w:color w:val="000000" w:themeColor="text1"/>
          <w:sz w:val="20"/>
          <w:szCs w:val="20"/>
          <w:lang w:val="es-ES_tradnl" w:eastAsia="es-ES_tradnl" w:bidi="es-ES"/>
        </w:rPr>
        <w:t>“convenios interadministrativos”</w:t>
      </w:r>
      <w:r w:rsidRPr="000342B7">
        <w:rPr>
          <w:rFonts w:ascii="Verdana" w:hAnsi="Verdana" w:eastAsia="Calibri" w:cs="Arial"/>
          <w:color w:val="000000" w:themeColor="text1"/>
          <w:sz w:val="20"/>
          <w:szCs w:val="20"/>
          <w:lang w:val="es-ES_tradnl" w:eastAsia="es-ES_tradnl" w:bidi="es-ES"/>
        </w:rPr>
        <w:t xml:space="preserve"> previstos en el artículo 95 de la Ley </w:t>
      </w:r>
    </w:p>
    <w:p w:rsidR="00881E88" w:rsidP="00212894" w:rsidRDefault="00881E88" w14:paraId="7FFA9716" w14:textId="52AA06D1">
      <w:pPr>
        <w:spacing w:after="0" w:line="276" w:lineRule="auto"/>
        <w:ind w:left="709" w:right="709"/>
        <w:contextualSpacing/>
        <w:jc w:val="both"/>
        <w:rPr>
          <w:rFonts w:ascii="Verdana" w:hAnsi="Verdana" w:eastAsia="Calibri" w:cs="Arial"/>
          <w:color w:val="000000" w:themeColor="text1"/>
          <w:sz w:val="20"/>
          <w:szCs w:val="20"/>
          <w:lang w:eastAsia="es-ES_tradnl" w:bidi="es-ES"/>
        </w:rPr>
      </w:pPr>
      <w:r w:rsidRPr="000342B7">
        <w:rPr>
          <w:rFonts w:ascii="Verdana" w:hAnsi="Verdana" w:eastAsia="Calibri" w:cs="Arial"/>
          <w:color w:val="000000" w:themeColor="text1"/>
          <w:sz w:val="20"/>
          <w:szCs w:val="20"/>
          <w:lang w:val="es-ES_tradnl" w:eastAsia="es-ES_tradnl" w:bidi="es-ES"/>
        </w:rPr>
        <w:t xml:space="preserve">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0342B7">
        <w:rPr>
          <w:rFonts w:ascii="Verdana" w:hAnsi="Verdana" w:eastAsia="Calibri" w:cs="Arial"/>
          <w:color w:val="000000" w:themeColor="text1"/>
          <w:sz w:val="20"/>
          <w:szCs w:val="20"/>
          <w:vertAlign w:val="superscript"/>
          <w:lang w:val="es-ES_tradnl" w:eastAsia="es-ES_tradnl" w:bidi="es-ES"/>
        </w:rPr>
        <w:footnoteReference w:id="8"/>
      </w:r>
      <w:r w:rsidRPr="000342B7">
        <w:rPr>
          <w:rFonts w:ascii="Verdana" w:hAnsi="Verdana" w:eastAsia="Calibri" w:cs="Arial"/>
          <w:color w:val="000000" w:themeColor="text1"/>
          <w:sz w:val="20"/>
          <w:szCs w:val="20"/>
          <w:lang w:val="es-ES_tradnl" w:eastAsia="es-ES_tradnl" w:bidi="es-ES"/>
        </w:rPr>
        <w:t>.</w:t>
      </w:r>
    </w:p>
    <w:p w:rsidR="00881E88" w:rsidP="00212894" w:rsidRDefault="00881E88" w14:paraId="4469AE0A" w14:textId="77777777">
      <w:pPr>
        <w:spacing w:after="0" w:line="276" w:lineRule="auto"/>
        <w:ind w:left="709" w:right="709"/>
        <w:contextualSpacing/>
        <w:jc w:val="both"/>
        <w:rPr>
          <w:rFonts w:ascii="Verdana" w:hAnsi="Verdana" w:eastAsia="Calibri" w:cs="Arial"/>
          <w:color w:val="000000" w:themeColor="text1"/>
          <w:sz w:val="20"/>
          <w:szCs w:val="20"/>
          <w:lang w:eastAsia="es-ES_tradnl" w:bidi="es-ES"/>
        </w:rPr>
      </w:pPr>
    </w:p>
    <w:p w:rsidR="00212894" w:rsidP="0027561D" w:rsidRDefault="00881E88" w14:paraId="7FBF8305" w14:textId="7B7D11DA">
      <w:pPr>
        <w:spacing w:before="120" w:after="0" w:line="276" w:lineRule="auto"/>
        <w:ind w:firstLine="709"/>
        <w:jc w:val="both"/>
        <w:rPr>
          <w:rFonts w:ascii="Verdana" w:hAnsi="Verdana" w:eastAsia="Calibri" w:cs="Arial"/>
          <w:bCs/>
          <w:color w:val="000000" w:themeColor="text1"/>
          <w:lang w:eastAsia="es-ES_tradnl" w:bidi="es-ES"/>
        </w:rPr>
      </w:pPr>
      <w:r w:rsidRPr="00823F19">
        <w:rPr>
          <w:rFonts w:ascii="Verdana" w:hAnsi="Verdana" w:eastAsia="Calibri" w:cs="Arial"/>
          <w:bCs/>
          <w:color w:val="000000" w:themeColor="text1"/>
          <w:lang w:eastAsia="es-ES_tradnl" w:bidi="es-ES"/>
        </w:rPr>
        <w:t xml:space="preserve">La referida corporación judicial resaltó la finalidad del acuerdo de voluntades como un factor de diferenciación entre las dos figuras. Si bien estas tienen un tronco común, se diferencian en la medida en que los </w:t>
      </w:r>
      <w:r w:rsidRPr="00823F19">
        <w:rPr>
          <w:rFonts w:ascii="Verdana" w:hAnsi="Verdana" w:eastAsia="Calibri" w:cs="Arial"/>
          <w:bCs/>
          <w:i/>
          <w:iCs/>
          <w:color w:val="000000" w:themeColor="text1"/>
          <w:lang w:eastAsia="es-ES_tradnl" w:bidi="es-ES"/>
        </w:rPr>
        <w:t>contratos interadministrativos</w:t>
      </w:r>
      <w:r w:rsidRPr="00823F19">
        <w:rPr>
          <w:rFonts w:ascii="Verdana" w:hAnsi="Verdana" w:eastAsia="Calibri" w:cs="Arial"/>
          <w:bCs/>
          <w:color w:val="000000" w:themeColor="text1"/>
          <w:lang w:eastAsia="es-ES_tradnl" w:bidi="es-ES"/>
        </w:rPr>
        <w:t xml:space="preserve"> comportan obligaciones de contenido patrimonial que se traducen en intereses contrapuestos entre las partes, pues implican un gravamen a cambio de un beneficio en una relación de carácter conmutativo. En contraste, los </w:t>
      </w:r>
      <w:r w:rsidRPr="00823F19">
        <w:rPr>
          <w:rFonts w:ascii="Verdana" w:hAnsi="Verdana" w:eastAsia="Calibri" w:cs="Arial"/>
          <w:bCs/>
          <w:i/>
          <w:iCs/>
          <w:color w:val="000000" w:themeColor="text1"/>
          <w:lang w:eastAsia="es-ES_tradnl" w:bidi="es-ES"/>
        </w:rPr>
        <w:t>convenios interadministrativos</w:t>
      </w:r>
      <w:r w:rsidRPr="00823F19">
        <w:rPr>
          <w:rFonts w:ascii="Verdana" w:hAnsi="Verdana" w:eastAsia="Calibri" w:cs="Arial"/>
          <w:bCs/>
          <w:color w:val="000000" w:themeColor="text1"/>
          <w:lang w:eastAsia="es-ES_tradnl" w:bidi="es-ES"/>
        </w:rPr>
        <w:t xml:space="preserve"> involucran la ejecución de actividades en función de un interés común para las partes; si bien es posible pactar remuneración</w:t>
      </w:r>
      <w:r w:rsidRPr="00823F19">
        <w:rPr>
          <w:rStyle w:val="Refdenotaalpie"/>
          <w:rFonts w:ascii="Verdana" w:hAnsi="Verdana" w:eastAsia="Calibri" w:cs="Arial"/>
          <w:bCs/>
          <w:color w:val="000000" w:themeColor="text1"/>
          <w:lang w:eastAsia="es-ES_tradnl" w:bidi="es-ES"/>
        </w:rPr>
        <w:footnoteReference w:id="9"/>
      </w:r>
      <w:r w:rsidRPr="00823F19">
        <w:rPr>
          <w:rFonts w:ascii="Verdana" w:hAnsi="Verdana" w:eastAsia="Calibri" w:cs="Arial"/>
          <w:bCs/>
          <w:color w:val="000000" w:themeColor="text1"/>
          <w:lang w:eastAsia="es-ES_tradnl" w:bidi="es-ES"/>
        </w:rPr>
        <w:t xml:space="preserve">, con esta se pretende el cumplimiento de fines comunes entre quienes lo ejecutan. </w:t>
      </w:r>
    </w:p>
    <w:p w:rsidRPr="00881E88" w:rsidR="0027561D" w:rsidP="0027561D" w:rsidRDefault="0027561D" w14:paraId="33AC9DAA" w14:textId="77777777">
      <w:pPr>
        <w:spacing w:before="120" w:after="0" w:line="276" w:lineRule="auto"/>
        <w:ind w:firstLine="709"/>
        <w:jc w:val="both"/>
        <w:rPr>
          <w:rFonts w:ascii="Verdana" w:hAnsi="Verdana" w:eastAsia="Calibri" w:cs="Arial"/>
          <w:bCs/>
          <w:color w:val="000000" w:themeColor="text1"/>
          <w:lang w:eastAsia="es-ES_tradnl" w:bidi="es-ES"/>
        </w:rPr>
      </w:pPr>
    </w:p>
    <w:p w:rsidRPr="00DB555B" w:rsidR="00475FC7" w:rsidP="0027561D" w:rsidRDefault="00881E88" w14:paraId="46785DCB" w14:textId="70D09FD8">
      <w:pPr>
        <w:spacing w:after="120" w:line="276" w:lineRule="auto"/>
        <w:ind w:right="49" w:firstLine="708"/>
        <w:jc w:val="both"/>
        <w:rPr>
          <w:rFonts w:ascii="Verdana" w:hAnsi="Verdana" w:eastAsia="Times New Roman" w:cs="Times New Roman"/>
          <w:color w:val="000000"/>
          <w:lang w:eastAsia="es-MX"/>
        </w:rPr>
      </w:pPr>
      <w:r>
        <w:rPr>
          <w:rFonts w:ascii="Verdana" w:hAnsi="Verdana" w:eastAsia="Times New Roman" w:cs="Times New Roman"/>
          <w:color w:val="000000"/>
          <w:lang w:eastAsia="es-MX"/>
        </w:rPr>
        <w:t>Retomando el planteamiento objeto de consulta, n</w:t>
      </w:r>
      <w:r w:rsidRPr="00DB555B" w:rsidR="00475FC7">
        <w:rPr>
          <w:rFonts w:ascii="Verdana" w:hAnsi="Verdana" w:eastAsia="Times New Roman" w:cs="Times New Roman"/>
          <w:color w:val="000000"/>
          <w:lang w:eastAsia="es-MX"/>
        </w:rPr>
        <w:t xml:space="preserve">ótese entonces </w:t>
      </w:r>
      <w:r>
        <w:rPr>
          <w:rFonts w:ascii="Verdana" w:hAnsi="Verdana" w:eastAsia="Times New Roman" w:cs="Times New Roman"/>
          <w:color w:val="000000"/>
          <w:lang w:eastAsia="es-MX"/>
        </w:rPr>
        <w:t>que</w:t>
      </w:r>
      <w:r w:rsidRPr="00DB555B" w:rsidR="00475FC7">
        <w:rPr>
          <w:rFonts w:ascii="Verdana" w:hAnsi="Verdana" w:eastAsia="Times New Roman" w:cs="Times New Roman"/>
          <w:color w:val="000000"/>
          <w:lang w:eastAsia="es-MX"/>
        </w:rPr>
        <w:t xml:space="preserve"> para que se configure una relación interadministrativa, es necesario que sean dos o más entidades de derecho público las que decidan colaborar </w:t>
      </w:r>
      <w:r w:rsidR="00F508D3">
        <w:rPr>
          <w:rFonts w:ascii="Verdana" w:hAnsi="Verdana" w:eastAsia="Times New Roman" w:cs="Times New Roman"/>
          <w:color w:val="000000"/>
          <w:lang w:eastAsia="es-MX"/>
        </w:rPr>
        <w:t xml:space="preserve">estableciendo de forma directa las condiciones de dicho acuerdo, </w:t>
      </w:r>
      <w:r w:rsidRPr="00DB555B" w:rsidR="00475FC7">
        <w:rPr>
          <w:rFonts w:ascii="Verdana" w:hAnsi="Verdana" w:eastAsia="Times New Roman" w:cs="Times New Roman"/>
          <w:color w:val="000000"/>
          <w:lang w:eastAsia="es-MX"/>
        </w:rPr>
        <w:t xml:space="preserve">sin que </w:t>
      </w:r>
      <w:r w:rsidR="00F508D3">
        <w:rPr>
          <w:rFonts w:ascii="Verdana" w:hAnsi="Verdana" w:eastAsia="Times New Roman" w:cs="Times New Roman"/>
          <w:color w:val="000000"/>
          <w:lang w:eastAsia="es-MX"/>
        </w:rPr>
        <w:t>haya</w:t>
      </w:r>
      <w:r w:rsidRPr="00DB555B" w:rsidR="00475FC7">
        <w:rPr>
          <w:rFonts w:ascii="Verdana" w:hAnsi="Verdana" w:eastAsia="Times New Roman" w:cs="Times New Roman"/>
          <w:color w:val="000000"/>
          <w:lang w:eastAsia="es-MX"/>
        </w:rPr>
        <w:t xml:space="preserve"> un proceso de </w:t>
      </w:r>
      <w:r w:rsidRPr="00DB555B" w:rsidR="00475FC7">
        <w:rPr>
          <w:rFonts w:ascii="Verdana" w:hAnsi="Verdana" w:eastAsia="Times New Roman" w:cs="Times New Roman"/>
          <w:color w:val="000000"/>
          <w:lang w:eastAsia="es-MX"/>
        </w:rPr>
        <w:lastRenderedPageBreak/>
        <w:t xml:space="preserve">contratación </w:t>
      </w:r>
      <w:r w:rsidR="00212894">
        <w:rPr>
          <w:rFonts w:ascii="Verdana" w:hAnsi="Verdana" w:eastAsia="Times New Roman" w:cs="Times New Roman"/>
          <w:color w:val="000000"/>
          <w:lang w:eastAsia="es-MX"/>
        </w:rPr>
        <w:t xml:space="preserve">establecido por un tercero (la entidad contratante), que intermedie </w:t>
      </w:r>
      <w:r w:rsidRPr="00DB555B" w:rsidR="00475FC7">
        <w:rPr>
          <w:rFonts w:ascii="Verdana" w:hAnsi="Verdana" w:eastAsia="Times New Roman" w:cs="Times New Roman"/>
          <w:color w:val="000000"/>
          <w:lang w:eastAsia="es-MX"/>
        </w:rPr>
        <w:t>la relación que se piensa llevar a cabo, para que se pueda determinar la existencia de esa relación interadministrativa</w:t>
      </w:r>
      <w:r w:rsidR="00212894">
        <w:rPr>
          <w:rFonts w:ascii="Verdana" w:hAnsi="Verdana" w:eastAsia="Times New Roman" w:cs="Times New Roman"/>
          <w:color w:val="000000"/>
          <w:lang w:eastAsia="es-MX"/>
        </w:rPr>
        <w:t xml:space="preserve">, sea a </w:t>
      </w:r>
      <w:r w:rsidR="00F508D3">
        <w:rPr>
          <w:rFonts w:ascii="Verdana" w:hAnsi="Verdana" w:eastAsia="Times New Roman" w:cs="Times New Roman"/>
          <w:color w:val="000000"/>
          <w:lang w:eastAsia="es-MX"/>
        </w:rPr>
        <w:t>través</w:t>
      </w:r>
      <w:r w:rsidR="00212894">
        <w:rPr>
          <w:rFonts w:ascii="Verdana" w:hAnsi="Verdana" w:eastAsia="Times New Roman" w:cs="Times New Roman"/>
          <w:color w:val="000000"/>
          <w:lang w:eastAsia="es-MX"/>
        </w:rPr>
        <w:t xml:space="preserve"> de la figura del convenio o del contrato, aduciendo a las características propias enunciadas de forma precedente. </w:t>
      </w:r>
      <w:r w:rsidRPr="00DB555B" w:rsidR="00475FC7">
        <w:rPr>
          <w:rFonts w:ascii="Verdana" w:hAnsi="Verdana" w:eastAsia="Times New Roman" w:cs="Times New Roman"/>
          <w:color w:val="000000"/>
          <w:lang w:eastAsia="es-MX"/>
        </w:rPr>
        <w:t xml:space="preserve"> </w:t>
      </w:r>
    </w:p>
    <w:p w:rsidRPr="00881E88" w:rsidR="00DB555B" w:rsidP="00212894" w:rsidRDefault="00475FC7" w14:paraId="2D4FAA27" w14:textId="748330BA">
      <w:pPr>
        <w:spacing w:after="120" w:line="276" w:lineRule="auto"/>
        <w:ind w:right="49" w:firstLine="708"/>
        <w:jc w:val="both"/>
        <w:rPr>
          <w:rFonts w:ascii="Verdana" w:hAnsi="Verdana"/>
          <w:color w:val="000000"/>
        </w:rPr>
      </w:pPr>
      <w:r w:rsidRPr="00DB555B">
        <w:rPr>
          <w:rFonts w:ascii="Verdana" w:hAnsi="Verdana" w:eastAsia="Times New Roman" w:cs="Times New Roman"/>
          <w:color w:val="000000"/>
          <w:lang w:eastAsia="es-MX"/>
        </w:rPr>
        <w:t>P</w:t>
      </w:r>
      <w:r w:rsidR="00F508D3">
        <w:rPr>
          <w:rFonts w:ascii="Verdana" w:hAnsi="Verdana" w:eastAsia="Times New Roman" w:cs="Times New Roman"/>
          <w:color w:val="000000"/>
          <w:lang w:eastAsia="es-MX"/>
        </w:rPr>
        <w:t>ues por</w:t>
      </w:r>
      <w:r w:rsidRPr="00DB555B">
        <w:rPr>
          <w:rFonts w:ascii="Verdana" w:hAnsi="Verdana" w:eastAsia="Times New Roman" w:cs="Times New Roman"/>
          <w:color w:val="000000"/>
          <w:lang w:eastAsia="es-MX"/>
        </w:rPr>
        <w:t xml:space="preserve"> su parte </w:t>
      </w:r>
      <w:r w:rsidRPr="00DB555B">
        <w:rPr>
          <w:rFonts w:ascii="Verdana" w:hAnsi="Verdana"/>
          <w:color w:val="000000"/>
        </w:rPr>
        <w:t>la Unión Temporal se da como resultado de un</w:t>
      </w:r>
      <w:r w:rsidRPr="00DB555B">
        <w:rPr>
          <w:rStyle w:val="apple-converted-space"/>
          <w:rFonts w:ascii="Verdana" w:hAnsi="Verdana"/>
          <w:color w:val="000000"/>
        </w:rPr>
        <w:t> </w:t>
      </w:r>
      <w:r w:rsidRPr="00DB555B">
        <w:rPr>
          <w:rStyle w:val="Textoennegrita"/>
          <w:rFonts w:ascii="Verdana" w:hAnsi="Verdana"/>
          <w:b w:val="0"/>
          <w:bCs w:val="0"/>
          <w:color w:val="000000"/>
        </w:rPr>
        <w:t>proceso de selección abierto y competitivo</w:t>
      </w:r>
      <w:r w:rsidRPr="00DB555B">
        <w:rPr>
          <w:rFonts w:ascii="Verdana" w:hAnsi="Verdana"/>
          <w:color w:val="000000"/>
        </w:rPr>
        <w:t>, en el cual participa en igualdad de condiciones con otros posibles oferentes. Esta circunstancia excluye la naturaleza de contrato interadministrativo, ya que la selección no se realizó de manera directa entre entidades estatales para la ejecución de sus funciones conjuntas, sino a través de un procedimiento reglado y con pluralidad de proponentes.</w:t>
      </w:r>
      <w:r w:rsidRPr="00DB555B" w:rsidR="00DB555B">
        <w:rPr>
          <w:rFonts w:ascii="Verdana" w:hAnsi="Verdana"/>
          <w:color w:val="000000"/>
        </w:rPr>
        <w:t xml:space="preserve"> Así las cosas, el contrato estatal resultante de un proceso de selección adjudicado a una Unión Temporal en la que participa otra entidad estatal</w:t>
      </w:r>
      <w:r w:rsidRPr="00DB555B" w:rsidR="00DB555B">
        <w:rPr>
          <w:rStyle w:val="apple-converted-space"/>
          <w:rFonts w:ascii="Verdana" w:hAnsi="Verdana"/>
          <w:color w:val="000000"/>
        </w:rPr>
        <w:t> </w:t>
      </w:r>
      <w:r w:rsidRPr="00DB555B" w:rsidR="00DB555B">
        <w:rPr>
          <w:rStyle w:val="Textoennegrita"/>
          <w:rFonts w:ascii="Verdana" w:hAnsi="Verdana"/>
          <w:b w:val="0"/>
          <w:bCs w:val="0"/>
          <w:color w:val="000000"/>
        </w:rPr>
        <w:t>no se considera</w:t>
      </w:r>
      <w:r w:rsidRPr="00DB555B" w:rsidR="00DB555B">
        <w:rPr>
          <w:rStyle w:val="Textoennegrita"/>
          <w:rFonts w:ascii="Verdana" w:hAnsi="Verdana"/>
          <w:color w:val="000000"/>
        </w:rPr>
        <w:t xml:space="preserve"> </w:t>
      </w:r>
      <w:r w:rsidRPr="00DB555B" w:rsidR="00DB555B">
        <w:rPr>
          <w:rStyle w:val="Textoennegrita"/>
          <w:rFonts w:ascii="Verdana" w:hAnsi="Verdana"/>
          <w:b w:val="0"/>
          <w:bCs w:val="0"/>
          <w:color w:val="000000"/>
        </w:rPr>
        <w:t xml:space="preserve">un </w:t>
      </w:r>
      <w:r w:rsidRPr="00881E88" w:rsidR="00DB555B">
        <w:rPr>
          <w:rStyle w:val="Textoennegrita"/>
          <w:rFonts w:ascii="Verdana" w:hAnsi="Verdana"/>
          <w:b w:val="0"/>
          <w:bCs w:val="0"/>
          <w:color w:val="000000"/>
        </w:rPr>
        <w:t>contrato interadministrativo</w:t>
      </w:r>
      <w:r w:rsidRPr="00881E88" w:rsidR="00DB555B">
        <w:rPr>
          <w:rFonts w:ascii="Verdana" w:hAnsi="Verdana"/>
          <w:b/>
          <w:bCs/>
          <w:color w:val="000000"/>
        </w:rPr>
        <w:t>.</w:t>
      </w:r>
      <w:r w:rsidRPr="00881E88" w:rsidR="00DB555B">
        <w:rPr>
          <w:rFonts w:ascii="Verdana" w:hAnsi="Verdana"/>
          <w:color w:val="000000"/>
        </w:rPr>
        <w:t xml:space="preserve"> Su naturaleza jurídica corresponde al tipo de contrato que fue objeto del proceso de selección.</w:t>
      </w:r>
    </w:p>
    <w:p w:rsidR="0039128E" w:rsidP="0039128E" w:rsidRDefault="00DB555B" w14:paraId="39BA0FB3" w14:textId="77777777">
      <w:pPr>
        <w:spacing w:after="120" w:line="276" w:lineRule="auto"/>
        <w:ind w:right="49" w:firstLine="708"/>
        <w:jc w:val="both"/>
        <w:rPr>
          <w:rFonts w:ascii="Verdana" w:hAnsi="Verdana"/>
          <w:color w:val="000000"/>
        </w:rPr>
      </w:pPr>
      <w:r w:rsidRPr="00881E88">
        <w:rPr>
          <w:rFonts w:ascii="Verdana" w:hAnsi="Verdana"/>
          <w:color w:val="000000"/>
        </w:rPr>
        <w:t>Ahora se debe señalar que la modalidad de contratación conserva la naturaleza del tipo de contrato que fue objeto de la convocatoria, y es la que se establecido de forma previa en el proceso de selección donde la Unión Temporal de naturaleza mixta público-privada resultó adjudicataria.</w:t>
      </w:r>
      <w:r w:rsidR="00815BF2">
        <w:rPr>
          <w:rFonts w:ascii="Verdana" w:hAnsi="Verdana"/>
          <w:color w:val="000000"/>
        </w:rPr>
        <w:t xml:space="preserve"> </w:t>
      </w:r>
      <w:bookmarkStart w:name="OLE_LINK1" w:id="1"/>
      <w:r w:rsidR="008C6A4D">
        <w:rPr>
          <w:rFonts w:ascii="Verdana" w:hAnsi="Verdana"/>
          <w:color w:val="000000"/>
        </w:rPr>
        <w:t>E</w:t>
      </w:r>
      <w:r w:rsidR="00815BF2">
        <w:rPr>
          <w:rFonts w:ascii="Verdana" w:hAnsi="Verdana"/>
          <w:color w:val="000000"/>
        </w:rPr>
        <w:t>s especialmente relevante mencionar que la posibilidad de</w:t>
      </w:r>
      <w:r w:rsidR="008C6A4D">
        <w:rPr>
          <w:rFonts w:ascii="Verdana" w:hAnsi="Verdana"/>
          <w:color w:val="000000"/>
        </w:rPr>
        <w:t xml:space="preserve"> que</w:t>
      </w:r>
      <w:r w:rsidR="00815BF2">
        <w:rPr>
          <w:rFonts w:ascii="Verdana" w:hAnsi="Verdana"/>
          <w:color w:val="000000"/>
        </w:rPr>
        <w:t xml:space="preserve"> </w:t>
      </w:r>
      <w:r w:rsidR="008C6A4D">
        <w:rPr>
          <w:rFonts w:ascii="Verdana" w:hAnsi="Verdana"/>
          <w:color w:val="000000"/>
        </w:rPr>
        <w:t xml:space="preserve">una entidad pública haga parte de una unión temporal, en el marco de un proceso contractual, está ligado a su propia naturaleza, a su acto de creación, sus estatutos, su objeto social y el régimen que la rige, pues la entidad siempre está llamada a actuar dentro del marco de sus competencias y finalidades. </w:t>
      </w:r>
    </w:p>
    <w:p w:rsidR="0039128E" w:rsidP="0039128E" w:rsidRDefault="0039128E" w14:paraId="7638A4AA" w14:textId="399BC3BA">
      <w:pPr>
        <w:spacing w:after="120" w:line="276" w:lineRule="auto"/>
        <w:ind w:right="49" w:firstLine="708"/>
        <w:jc w:val="both"/>
        <w:rPr>
          <w:rFonts w:ascii="Verdana" w:hAnsi="Verdana" w:eastAsia="Times New Roman" w:cs="Times New Roman"/>
          <w:color w:val="000000"/>
          <w:lang w:eastAsia="es-MX"/>
        </w:rPr>
      </w:pPr>
      <w:r w:rsidRPr="0039128E">
        <w:rPr>
          <w:rFonts w:ascii="Verdana" w:hAnsi="Verdana"/>
          <w:color w:val="000000"/>
        </w:rPr>
        <w:t xml:space="preserve">Así la capacidad para participar corresponde a la categoría de la entidad por ejemplo para el caso de las entidades territoriales, cuyo régimen de contratación es el Estatuto General de Contratación, su capacidad depende </w:t>
      </w:r>
      <w:r w:rsidRPr="008C6A4D">
        <w:rPr>
          <w:rFonts w:ascii="Verdana" w:hAnsi="Verdana" w:eastAsia="Times New Roman" w:cs="Times New Roman"/>
          <w:color w:val="000000"/>
          <w:lang w:eastAsia="es-MX"/>
        </w:rPr>
        <w:t>Si el objeto del contrato para el cual se forma la UT está directamente relacionado con sus funciones y competencias legales.</w:t>
      </w:r>
      <w:r w:rsidRPr="0039128E">
        <w:rPr>
          <w:rFonts w:ascii="Verdana" w:hAnsi="Verdana" w:eastAsia="Times New Roman" w:cs="Times New Roman"/>
          <w:color w:val="000000"/>
          <w:lang w:eastAsia="es-MX"/>
        </w:rPr>
        <w:t xml:space="preserve"> En el caso de las </w:t>
      </w:r>
      <w:r w:rsidRPr="008C6A4D">
        <w:rPr>
          <w:rFonts w:ascii="Verdana" w:hAnsi="Verdana" w:eastAsia="Times New Roman" w:cs="Times New Roman"/>
          <w:color w:val="000000"/>
          <w:lang w:eastAsia="es-MX"/>
        </w:rPr>
        <w:t>Empresas Industriales y Comerciales del Estado</w:t>
      </w:r>
      <w:r w:rsidRPr="0039128E">
        <w:rPr>
          <w:rFonts w:ascii="Verdana" w:hAnsi="Verdana" w:eastAsia="Times New Roman" w:cs="Times New Roman"/>
          <w:color w:val="000000"/>
          <w:lang w:eastAsia="es-MX"/>
        </w:rPr>
        <w:t>, por su naturaleza g</w:t>
      </w:r>
      <w:r w:rsidRPr="008C6A4D">
        <w:rPr>
          <w:rFonts w:ascii="Verdana" w:hAnsi="Verdana" w:eastAsia="Times New Roman" w:cs="Times New Roman"/>
          <w:color w:val="000000"/>
          <w:lang w:eastAsia="es-MX"/>
        </w:rPr>
        <w:t>eneralmente tienen una mayor aptitud para participar en U</w:t>
      </w:r>
      <w:r w:rsidRPr="0039128E">
        <w:rPr>
          <w:rFonts w:ascii="Verdana" w:hAnsi="Verdana" w:eastAsia="Times New Roman" w:cs="Times New Roman"/>
          <w:color w:val="000000"/>
          <w:lang w:eastAsia="es-MX"/>
        </w:rPr>
        <w:t xml:space="preserve">niones temporales, </w:t>
      </w:r>
      <w:r w:rsidRPr="008C6A4D">
        <w:rPr>
          <w:rFonts w:ascii="Verdana" w:hAnsi="Verdana" w:eastAsia="Times New Roman" w:cs="Times New Roman"/>
          <w:color w:val="000000"/>
          <w:lang w:eastAsia="es-MX"/>
        </w:rPr>
        <w:t>debido a su naturaleza comercial, </w:t>
      </w:r>
      <w:r w:rsidRPr="0039128E">
        <w:rPr>
          <w:rFonts w:ascii="Verdana" w:hAnsi="Verdana" w:eastAsia="Times New Roman" w:cs="Times New Roman"/>
          <w:color w:val="000000"/>
          <w:lang w:eastAsia="es-MX"/>
        </w:rPr>
        <w:t xml:space="preserve">No obstante están sujetas que el objeto que va a </w:t>
      </w:r>
      <w:r w:rsidRPr="0039128E">
        <w:rPr>
          <w:rFonts w:ascii="Verdana" w:hAnsi="Verdana" w:eastAsia="Times New Roman" w:cs="Times New Roman"/>
          <w:color w:val="000000"/>
          <w:lang w:eastAsia="es-MX"/>
        </w:rPr>
        <w:lastRenderedPageBreak/>
        <w:t>desarrollar la Unión Temporal</w:t>
      </w:r>
      <w:r w:rsidRPr="008C6A4D">
        <w:rPr>
          <w:rFonts w:ascii="Verdana" w:hAnsi="Verdana" w:eastAsia="Times New Roman" w:cs="Times New Roman"/>
          <w:color w:val="000000"/>
          <w:lang w:eastAsia="es-MX"/>
        </w:rPr>
        <w:t xml:space="preserve"> esté alineado con su propio objeto social definido en su acto de creación y estatutos.</w:t>
      </w:r>
    </w:p>
    <w:p w:rsidR="006365DD" w:rsidP="001268A9" w:rsidRDefault="0039128E" w14:paraId="5BE6A02D" w14:textId="6040A0E0">
      <w:pPr>
        <w:spacing w:after="120" w:line="276" w:lineRule="auto"/>
        <w:ind w:right="49" w:firstLine="708"/>
        <w:jc w:val="both"/>
        <w:rPr>
          <w:rFonts w:ascii="Verdana" w:hAnsi="Verdana" w:eastAsia="Times New Roman" w:cs="Times New Roman"/>
          <w:color w:val="000000"/>
          <w:lang w:eastAsia="es-MX"/>
        </w:rPr>
      </w:pPr>
      <w:r>
        <w:rPr>
          <w:rFonts w:ascii="Verdana" w:hAnsi="Verdana" w:eastAsia="Times New Roman" w:cs="Times New Roman"/>
          <w:color w:val="000000"/>
          <w:lang w:eastAsia="es-MX"/>
        </w:rPr>
        <w:t xml:space="preserve">Por su parte </w:t>
      </w:r>
      <w:r w:rsidR="006365DD">
        <w:rPr>
          <w:rFonts w:ascii="Verdana" w:hAnsi="Verdana" w:eastAsia="Times New Roman" w:cs="Times New Roman"/>
          <w:color w:val="000000"/>
          <w:lang w:eastAsia="es-MX"/>
        </w:rPr>
        <w:t>una</w:t>
      </w:r>
      <w:r>
        <w:rPr>
          <w:rFonts w:ascii="Verdana" w:hAnsi="Verdana" w:eastAsia="Times New Roman" w:cs="Times New Roman"/>
          <w:color w:val="000000"/>
          <w:lang w:eastAsia="es-MX"/>
        </w:rPr>
        <w:t xml:space="preserve"> Sociedad de </w:t>
      </w:r>
      <w:r w:rsidR="006365DD">
        <w:rPr>
          <w:rFonts w:ascii="Verdana" w:hAnsi="Verdana" w:eastAsia="Times New Roman" w:cs="Times New Roman"/>
          <w:color w:val="000000"/>
          <w:lang w:eastAsia="es-MX"/>
        </w:rPr>
        <w:t>Economía</w:t>
      </w:r>
      <w:r>
        <w:rPr>
          <w:rFonts w:ascii="Verdana" w:hAnsi="Verdana" w:eastAsia="Times New Roman" w:cs="Times New Roman"/>
          <w:color w:val="000000"/>
          <w:lang w:eastAsia="es-MX"/>
        </w:rPr>
        <w:t xml:space="preserve"> Mixta</w:t>
      </w:r>
      <w:r w:rsidR="006365DD">
        <w:rPr>
          <w:rFonts w:ascii="Verdana" w:hAnsi="Verdana" w:eastAsia="Times New Roman" w:cs="Times New Roman"/>
          <w:color w:val="000000"/>
          <w:lang w:eastAsia="es-MX"/>
        </w:rPr>
        <w:t xml:space="preserve">, obedeciendo al porcentaje de participación estatal a la luz del artículo 97 de la Ley 889 de 1998, </w:t>
      </w:r>
      <w:r w:rsidR="009D006D">
        <w:rPr>
          <w:rFonts w:ascii="Verdana" w:hAnsi="Verdana" w:eastAsia="Times New Roman" w:cs="Times New Roman"/>
          <w:color w:val="000000"/>
          <w:lang w:eastAsia="es-MX"/>
        </w:rPr>
        <w:t>(</w:t>
      </w:r>
      <w:r w:rsidR="006365DD">
        <w:rPr>
          <w:rFonts w:ascii="Verdana" w:hAnsi="Verdana" w:eastAsia="Times New Roman" w:cs="Times New Roman"/>
          <w:color w:val="000000"/>
          <w:lang w:eastAsia="es-MX"/>
        </w:rPr>
        <w:t>igualmente que para las entidades territoriales</w:t>
      </w:r>
      <w:r w:rsidR="009D006D">
        <w:rPr>
          <w:rFonts w:ascii="Verdana" w:hAnsi="Verdana" w:eastAsia="Times New Roman" w:cs="Times New Roman"/>
          <w:color w:val="000000"/>
          <w:lang w:eastAsia="es-MX"/>
        </w:rPr>
        <w:t>)</w:t>
      </w:r>
      <w:r w:rsidR="006365DD">
        <w:rPr>
          <w:rFonts w:ascii="Verdana" w:hAnsi="Verdana" w:eastAsia="Times New Roman" w:cs="Times New Roman"/>
          <w:color w:val="000000"/>
          <w:lang w:eastAsia="es-MX"/>
        </w:rPr>
        <w:t xml:space="preserve">, </w:t>
      </w:r>
      <w:r w:rsidRPr="0039128E" w:rsidR="006365DD">
        <w:rPr>
          <w:rFonts w:ascii="Verdana" w:hAnsi="Verdana"/>
          <w:color w:val="000000"/>
        </w:rPr>
        <w:t xml:space="preserve">su capacidad depende </w:t>
      </w:r>
      <w:r w:rsidR="006365DD">
        <w:rPr>
          <w:rFonts w:ascii="Verdana" w:hAnsi="Verdana" w:eastAsia="Times New Roman" w:cs="Times New Roman"/>
          <w:color w:val="000000"/>
          <w:lang w:eastAsia="es-MX"/>
        </w:rPr>
        <w:t xml:space="preserve">si </w:t>
      </w:r>
      <w:r w:rsidRPr="008C6A4D" w:rsidR="006365DD">
        <w:rPr>
          <w:rFonts w:ascii="Verdana" w:hAnsi="Verdana" w:eastAsia="Times New Roman" w:cs="Times New Roman"/>
          <w:color w:val="000000"/>
          <w:lang w:eastAsia="es-MX"/>
        </w:rPr>
        <w:t>el objeto del contrato para el cual se forma la UT está directamente relacionado con sus funciones y competencias legales</w:t>
      </w:r>
      <w:r w:rsidR="009D006D">
        <w:rPr>
          <w:rFonts w:ascii="Verdana" w:hAnsi="Verdana" w:eastAsia="Times New Roman" w:cs="Times New Roman"/>
          <w:color w:val="000000"/>
          <w:lang w:eastAsia="es-MX"/>
        </w:rPr>
        <w:t xml:space="preserve">: </w:t>
      </w:r>
      <w:r w:rsidR="006365DD">
        <w:rPr>
          <w:rFonts w:ascii="Verdana" w:hAnsi="Verdana" w:eastAsia="Times New Roman" w:cs="Times New Roman"/>
          <w:color w:val="000000"/>
          <w:lang w:eastAsia="es-MX"/>
        </w:rPr>
        <w:t>y si se rige por el derecho privado su viabilidad en ser parte de la unión temporal</w:t>
      </w:r>
      <w:r w:rsidR="009D006D">
        <w:rPr>
          <w:rFonts w:ascii="Verdana" w:hAnsi="Verdana" w:eastAsia="Times New Roman" w:cs="Times New Roman"/>
          <w:color w:val="000000"/>
          <w:lang w:eastAsia="es-MX"/>
        </w:rPr>
        <w:t xml:space="preserve">, </w:t>
      </w:r>
      <w:r w:rsidR="006365DD">
        <w:rPr>
          <w:rFonts w:ascii="Verdana" w:hAnsi="Verdana" w:eastAsia="Times New Roman" w:cs="Times New Roman"/>
          <w:color w:val="000000"/>
          <w:lang w:eastAsia="es-MX"/>
        </w:rPr>
        <w:t xml:space="preserve">lo determina el objeto para que el fue creada. </w:t>
      </w:r>
      <w:r w:rsidR="006059AD">
        <w:rPr>
          <w:rFonts w:ascii="Verdana" w:hAnsi="Verdana" w:eastAsia="Times New Roman" w:cs="Times New Roman"/>
          <w:color w:val="000000"/>
          <w:lang w:eastAsia="es-MX"/>
        </w:rPr>
        <w:t>C</w:t>
      </w:r>
      <w:r w:rsidR="006365DD">
        <w:rPr>
          <w:rFonts w:ascii="Verdana" w:hAnsi="Verdana" w:eastAsia="Times New Roman" w:cs="Times New Roman"/>
          <w:color w:val="000000"/>
          <w:lang w:eastAsia="es-MX"/>
        </w:rPr>
        <w:t>omo último ejemplo</w:t>
      </w:r>
      <w:r w:rsidR="009D006D">
        <w:rPr>
          <w:rFonts w:ascii="Verdana" w:hAnsi="Verdana" w:eastAsia="Times New Roman" w:cs="Times New Roman"/>
          <w:color w:val="000000"/>
          <w:lang w:eastAsia="es-MX"/>
        </w:rPr>
        <w:t xml:space="preserve">, </w:t>
      </w:r>
      <w:r w:rsidR="006365DD">
        <w:rPr>
          <w:rFonts w:ascii="Verdana" w:hAnsi="Verdana" w:eastAsia="Times New Roman" w:cs="Times New Roman"/>
          <w:color w:val="000000"/>
          <w:lang w:eastAsia="es-MX"/>
        </w:rPr>
        <w:t>en los casos de las entidades con régimen propio o especial su participación en una Unión temporal depende exclusivamente dentro de los establecido por sus estatutos</w:t>
      </w:r>
      <w:r w:rsidR="007D6F59">
        <w:rPr>
          <w:rFonts w:ascii="Verdana" w:hAnsi="Verdana" w:eastAsia="Times New Roman" w:cs="Times New Roman"/>
          <w:color w:val="000000"/>
          <w:lang w:eastAsia="es-MX"/>
        </w:rPr>
        <w:t xml:space="preserve">, y de la aprobación del máximo órgano deliberativo que tenga dicha entidad. </w:t>
      </w:r>
    </w:p>
    <w:p w:rsidRPr="006059AD" w:rsidR="00871B59" w:rsidP="006059AD" w:rsidRDefault="007D6F59" w14:paraId="0DA85A44" w14:textId="5079D04B">
      <w:pPr>
        <w:spacing w:after="120" w:line="276" w:lineRule="auto"/>
        <w:ind w:right="49" w:firstLine="708"/>
        <w:jc w:val="both"/>
        <w:rPr>
          <w:rFonts w:ascii="Verdana" w:hAnsi="Verdana"/>
          <w:color w:val="000000"/>
        </w:rPr>
      </w:pPr>
      <w:r>
        <w:rPr>
          <w:rFonts w:ascii="Verdana" w:hAnsi="Verdana" w:eastAsia="Times New Roman" w:cs="Times New Roman"/>
          <w:color w:val="000000"/>
          <w:lang w:eastAsia="es-MX"/>
        </w:rPr>
        <w:t>Se reitera en todo caso</w:t>
      </w:r>
      <w:r w:rsidR="006059AD">
        <w:rPr>
          <w:rFonts w:ascii="Verdana" w:hAnsi="Verdana" w:eastAsia="Times New Roman" w:cs="Times New Roman"/>
          <w:color w:val="000000"/>
          <w:lang w:eastAsia="es-MX"/>
        </w:rPr>
        <w:t xml:space="preserve"> </w:t>
      </w:r>
      <w:r>
        <w:rPr>
          <w:rFonts w:ascii="Verdana" w:hAnsi="Verdana" w:eastAsia="Times New Roman" w:cs="Times New Roman"/>
          <w:color w:val="000000"/>
          <w:lang w:eastAsia="es-MX"/>
        </w:rPr>
        <w:t>que la participación</w:t>
      </w:r>
      <w:r w:rsidR="009D006D">
        <w:rPr>
          <w:rFonts w:ascii="Verdana" w:hAnsi="Verdana" w:eastAsia="Times New Roman" w:cs="Times New Roman"/>
          <w:color w:val="000000"/>
          <w:lang w:eastAsia="es-MX"/>
        </w:rPr>
        <w:t xml:space="preserve">, objeto, facultades y la capacidad para participar como uno de los integrantes de los proponentes plurales del proceso licitatorio, </w:t>
      </w:r>
      <w:r w:rsidR="009D006D">
        <w:rPr>
          <w:rFonts w:ascii="Verdana" w:hAnsi="Verdana"/>
          <w:color w:val="000000"/>
        </w:rPr>
        <w:t xml:space="preserve">está ligado a su propia naturaleza, a su acto de creación, a sus estatutos, a su objeto social, a su órgano deliberativo y al régimen que la rige. Finalmente, le corresponde a la entidad contratante que lidera dicho proceso, evaluar </w:t>
      </w:r>
      <w:r w:rsidR="006059AD">
        <w:rPr>
          <w:rFonts w:ascii="Verdana" w:hAnsi="Verdana"/>
          <w:color w:val="000000"/>
        </w:rPr>
        <w:t>estos factores con el propósito de verificar que sea objetiva la participación de la misma, y que su inclusión obedezca al principio de efic</w:t>
      </w:r>
      <w:r w:rsidR="004E15ED">
        <w:rPr>
          <w:rFonts w:ascii="Verdana" w:hAnsi="Verdana"/>
          <w:color w:val="000000"/>
        </w:rPr>
        <w:t>iencia</w:t>
      </w:r>
      <w:r w:rsidR="006059AD">
        <w:rPr>
          <w:rFonts w:ascii="Verdana" w:hAnsi="Verdana"/>
          <w:color w:val="000000"/>
        </w:rPr>
        <w:t xml:space="preserve">. </w:t>
      </w:r>
      <w:bookmarkEnd w:id="1"/>
    </w:p>
    <w:p w:rsidRPr="00593A5F" w:rsidR="00871B59" w:rsidP="00881E88" w:rsidRDefault="00871B59" w14:paraId="0E9BAC96" w14:textId="77777777">
      <w:pPr>
        <w:pStyle w:val="Prrafodelista"/>
        <w:numPr>
          <w:ilvl w:val="0"/>
          <w:numId w:val="4"/>
        </w:numPr>
        <w:tabs>
          <w:tab w:val="left" w:pos="142"/>
          <w:tab w:val="left" w:pos="284"/>
        </w:tabs>
        <w:spacing w:after="0" w:line="276" w:lineRule="auto"/>
        <w:ind w:left="0" w:firstLine="0"/>
        <w:contextualSpacing w:val="0"/>
        <w:jc w:val="both"/>
        <w:rPr>
          <w:rFonts w:ascii="Verdana" w:hAnsi="Verdana" w:eastAsia="Century Gothic" w:cs="Century Gothic"/>
          <w:b/>
          <w:bCs/>
          <w:lang w:val="es-ES"/>
        </w:rPr>
      </w:pPr>
      <w:r w:rsidRPr="00593A5F">
        <w:rPr>
          <w:rFonts w:ascii="Verdana" w:hAnsi="Verdana" w:eastAsia="Century Gothic" w:cs="Century Gothic"/>
          <w:b/>
          <w:bCs/>
          <w:lang w:val="es-ES"/>
        </w:rPr>
        <w:t>Referencias normativas, jurisprudenciales y otras fuentes:</w:t>
      </w:r>
    </w:p>
    <w:p w:rsidRPr="00593A5F" w:rsidR="00871B59" w:rsidP="00881E88" w:rsidRDefault="00871B59" w14:paraId="0538ADB8"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93A5F" w:rsidR="00871B59" w:rsidTr="002607A7" w14:paraId="6776AB27" w14:textId="77777777">
        <w:trPr>
          <w:trHeight w:val="870"/>
        </w:trPr>
        <w:tc>
          <w:tcPr>
            <w:tcW w:w="8647" w:type="dxa"/>
          </w:tcPr>
          <w:p w:rsidRPr="000D7949" w:rsidR="0035328C" w:rsidP="0035328C" w:rsidRDefault="0035328C" w14:paraId="521B18B0" w14:textId="3FDA9C09">
            <w:pPr>
              <w:pStyle w:val="Prrafodelista"/>
              <w:numPr>
                <w:ilvl w:val="0"/>
                <w:numId w:val="10"/>
              </w:numPr>
              <w:spacing w:before="120" w:after="120" w:line="276" w:lineRule="auto"/>
              <w:ind w:left="357" w:hanging="357"/>
              <w:contextualSpacing w:val="0"/>
              <w:jc w:val="both"/>
              <w:rPr>
                <w:rFonts w:ascii="Verdana" w:hAnsi="Verdana" w:eastAsia="Calibri" w:cs="Arial"/>
                <w:lang w:eastAsia="es-MX"/>
              </w:rPr>
            </w:pPr>
            <w:r w:rsidRPr="000D7949">
              <w:rPr>
                <w:rFonts w:ascii="Verdana" w:hAnsi="Verdana" w:eastAsia="Calibri" w:cs="Arial"/>
                <w:lang w:eastAsia="es-MX"/>
              </w:rPr>
              <w:t>Constitución Política: Artículos 209 y 211.</w:t>
            </w:r>
          </w:p>
          <w:p w:rsidRPr="000D7949" w:rsidR="0035328C" w:rsidP="0035328C" w:rsidRDefault="0035328C" w14:paraId="748EE7CF" w14:textId="5E660CD3">
            <w:pPr>
              <w:pStyle w:val="Prrafodelista"/>
              <w:numPr>
                <w:ilvl w:val="0"/>
                <w:numId w:val="10"/>
              </w:numPr>
              <w:spacing w:before="120" w:after="120" w:line="276" w:lineRule="auto"/>
              <w:ind w:left="357" w:hanging="357"/>
              <w:contextualSpacing w:val="0"/>
              <w:jc w:val="both"/>
              <w:rPr>
                <w:rFonts w:ascii="Verdana" w:hAnsi="Verdana" w:eastAsia="Calibri" w:cs="Arial"/>
                <w:lang w:eastAsia="es-MX"/>
              </w:rPr>
            </w:pPr>
            <w:r w:rsidRPr="000D7949">
              <w:rPr>
                <w:rFonts w:ascii="Verdana" w:hAnsi="Verdana" w:eastAsia="Times New Roman" w:cs="Arial"/>
                <w:color w:val="000000" w:themeColor="text1"/>
                <w:lang w:eastAsia="es-CO"/>
              </w:rPr>
              <w:t>Ley 80 de 1993: Artículos 1, 11, 12 13,</w:t>
            </w:r>
            <w:r w:rsidR="009D006D">
              <w:rPr>
                <w:rFonts w:ascii="Verdana" w:hAnsi="Verdana" w:eastAsia="Times New Roman" w:cs="Arial"/>
                <w:color w:val="000000" w:themeColor="text1"/>
                <w:lang w:eastAsia="es-CO"/>
              </w:rPr>
              <w:t xml:space="preserve"> 14, </w:t>
            </w:r>
            <w:r w:rsidRPr="000D7949">
              <w:rPr>
                <w:rFonts w:ascii="Verdana" w:hAnsi="Verdana" w:eastAsia="Times New Roman" w:cs="Arial"/>
                <w:color w:val="000000" w:themeColor="text1"/>
                <w:lang w:eastAsia="es-CO"/>
              </w:rPr>
              <w:t xml:space="preserve"> 32 y 40.</w:t>
            </w:r>
          </w:p>
          <w:p w:rsidRPr="000D7949" w:rsidR="0035328C" w:rsidP="0035328C" w:rsidRDefault="0035328C" w14:paraId="295FE22B" w14:textId="4835F9EC">
            <w:pPr>
              <w:pStyle w:val="Prrafodelista"/>
              <w:numPr>
                <w:ilvl w:val="0"/>
                <w:numId w:val="10"/>
              </w:numPr>
              <w:spacing w:before="120" w:after="120" w:line="276" w:lineRule="auto"/>
              <w:ind w:left="357" w:hanging="357"/>
              <w:contextualSpacing w:val="0"/>
              <w:jc w:val="both"/>
              <w:rPr>
                <w:rFonts w:ascii="Verdana" w:hAnsi="Verdana" w:eastAsia="Calibri" w:cs="Arial"/>
                <w:lang w:eastAsia="es-MX"/>
              </w:rPr>
            </w:pPr>
            <w:r w:rsidRPr="000D7949">
              <w:rPr>
                <w:rFonts w:ascii="Verdana" w:hAnsi="Verdana" w:eastAsia="Calibri" w:cs="Arial"/>
                <w:bCs/>
                <w:color w:val="000000" w:themeColor="text1"/>
                <w:lang w:eastAsia="es-ES_tradnl" w:bidi="es-ES"/>
              </w:rPr>
              <w:t>Ley de 1998: Artículos  95</w:t>
            </w:r>
            <w:r w:rsidRPr="000D7949" w:rsidR="00837D04">
              <w:rPr>
                <w:rFonts w:ascii="Verdana" w:hAnsi="Verdana" w:eastAsia="Calibri" w:cs="Arial"/>
                <w:bCs/>
                <w:color w:val="000000" w:themeColor="text1"/>
                <w:lang w:eastAsia="es-ES_tradnl" w:bidi="es-ES"/>
              </w:rPr>
              <w:t xml:space="preserve"> y </w:t>
            </w:r>
            <w:r w:rsidRPr="00943249" w:rsidR="00837D04">
              <w:rPr>
                <w:rFonts w:ascii="Verdana" w:hAnsi="Verdana" w:eastAsia="Times New Roman" w:cs="Times New Roman"/>
                <w:color w:val="000000"/>
                <w:lang w:eastAsia="es-MX"/>
              </w:rPr>
              <w:t>96</w:t>
            </w:r>
            <w:r w:rsidRPr="000D7949" w:rsidR="00837D04">
              <w:rPr>
                <w:rFonts w:ascii="Verdana" w:hAnsi="Verdana" w:eastAsia="Times New Roman" w:cs="Times New Roman"/>
                <w:color w:val="000000"/>
                <w:lang w:eastAsia="es-MX"/>
              </w:rPr>
              <w:t>.</w:t>
            </w:r>
          </w:p>
          <w:p w:rsidRPr="000D7949" w:rsidR="00837D04" w:rsidP="00837D04" w:rsidRDefault="0035328C" w14:paraId="31592929" w14:textId="77777777">
            <w:pPr>
              <w:pStyle w:val="Prrafodelista"/>
              <w:numPr>
                <w:ilvl w:val="0"/>
                <w:numId w:val="10"/>
              </w:numPr>
              <w:spacing w:before="120" w:after="120" w:line="276" w:lineRule="auto"/>
              <w:ind w:left="357" w:hanging="357"/>
              <w:contextualSpacing w:val="0"/>
              <w:jc w:val="both"/>
              <w:rPr>
                <w:rFonts w:ascii="Verdana" w:hAnsi="Verdana" w:eastAsia="Calibri" w:cs="Arial"/>
                <w:bCs/>
                <w:color w:val="000000" w:themeColor="text1"/>
                <w:lang w:eastAsia="es-ES_tradnl" w:bidi="es-ES"/>
              </w:rPr>
            </w:pPr>
            <w:r w:rsidRPr="000D7949">
              <w:rPr>
                <w:rFonts w:ascii="Verdana" w:hAnsi="Verdana" w:eastAsia="Times New Roman" w:cs="Arial"/>
                <w:color w:val="000000" w:themeColor="text1"/>
                <w:lang w:eastAsia="es-CO"/>
              </w:rPr>
              <w:t xml:space="preserve">Decreto 1082 de 2015: </w:t>
            </w:r>
            <w:r w:rsidRPr="000D7949">
              <w:rPr>
                <w:rFonts w:ascii="Verdana" w:hAnsi="Verdana" w:eastAsia="Calibri" w:cs="Arial"/>
                <w:bCs/>
                <w:color w:val="000000" w:themeColor="text1"/>
                <w:lang w:eastAsia="es-ES_tradnl" w:bidi="es-ES"/>
              </w:rPr>
              <w:t xml:space="preserve">Artículo </w:t>
            </w:r>
            <w:r w:rsidRPr="00943249" w:rsidR="00837D04">
              <w:rPr>
                <w:rFonts w:ascii="Verdana" w:hAnsi="Verdana" w:eastAsia="Times New Roman" w:cs="Times New Roman"/>
                <w:color w:val="000000"/>
                <w:lang w:eastAsia="es-MX"/>
              </w:rPr>
              <w:t>2.2.1.1.2.1</w:t>
            </w:r>
          </w:p>
          <w:p w:rsidRPr="000D7949" w:rsidR="00837D04" w:rsidP="00837D04" w:rsidRDefault="00837D04" w14:paraId="2020F9B4" w14:textId="221BE1C9">
            <w:pPr>
              <w:pStyle w:val="Prrafodelista"/>
              <w:numPr>
                <w:ilvl w:val="0"/>
                <w:numId w:val="10"/>
              </w:numPr>
              <w:spacing w:before="120" w:after="120" w:line="276" w:lineRule="auto"/>
              <w:ind w:left="357" w:hanging="357"/>
              <w:contextualSpacing w:val="0"/>
              <w:jc w:val="both"/>
              <w:rPr>
                <w:rFonts w:ascii="Verdana" w:hAnsi="Verdana" w:eastAsia="Calibri" w:cs="Arial"/>
                <w:bCs/>
                <w:color w:val="000000" w:themeColor="text1"/>
                <w:lang w:eastAsia="es-ES_tradnl" w:bidi="es-ES"/>
              </w:rPr>
            </w:pPr>
            <w:r w:rsidRPr="000D7949">
              <w:rPr>
                <w:rFonts w:ascii="Verdana" w:hAnsi="Verdana"/>
              </w:rPr>
              <w:t>C</w:t>
            </w:r>
            <w:r w:rsidR="000D7949">
              <w:rPr>
                <w:rFonts w:ascii="Verdana" w:hAnsi="Verdana"/>
              </w:rPr>
              <w:t>orte Constitucional,</w:t>
            </w:r>
            <w:r w:rsidRPr="000D7949">
              <w:rPr>
                <w:rFonts w:ascii="Verdana" w:hAnsi="Verdana"/>
              </w:rPr>
              <w:t xml:space="preserve"> Sentencia C-949 del 5 de septiembre de 2001. M.P. Clara Inés Vargas Hernández.  </w:t>
            </w:r>
          </w:p>
          <w:p w:rsidRPr="000D7949" w:rsidR="000D7949" w:rsidP="00837D04" w:rsidRDefault="00837D04" w14:paraId="435C9A04" w14:textId="22B19172">
            <w:pPr>
              <w:pStyle w:val="Prrafodelista"/>
              <w:numPr>
                <w:ilvl w:val="0"/>
                <w:numId w:val="10"/>
              </w:numPr>
              <w:spacing w:before="120" w:after="120" w:line="276" w:lineRule="auto"/>
              <w:ind w:left="357" w:hanging="357"/>
              <w:contextualSpacing w:val="0"/>
              <w:jc w:val="both"/>
              <w:rPr>
                <w:rFonts w:ascii="Verdana" w:hAnsi="Verdana" w:eastAsia="Calibri" w:cs="Arial"/>
                <w:bCs/>
                <w:color w:val="000000" w:themeColor="text1"/>
                <w:lang w:eastAsia="es-ES_tradnl" w:bidi="es-ES"/>
              </w:rPr>
            </w:pPr>
            <w:r w:rsidRPr="000D7949">
              <w:rPr>
                <w:rFonts w:ascii="Verdana" w:hAnsi="Verdana" w:cs="Arial"/>
              </w:rPr>
              <w:lastRenderedPageBreak/>
              <w:t xml:space="preserve">Consejo de Estado. Sala de lo Contencioso Administrativo, Sección Tercera. Sentencia de 23 de junio de 2010, Exp. 1998-00261. C.P. Mauricio Fajardo Gómez. </w:t>
            </w:r>
          </w:p>
          <w:p w:rsidRPr="000D7949" w:rsidR="00837D04" w:rsidP="00837D04" w:rsidRDefault="00837D04" w14:paraId="0AF6531A" w14:textId="07E3A5CF">
            <w:pPr>
              <w:pStyle w:val="Prrafodelista"/>
              <w:numPr>
                <w:ilvl w:val="0"/>
                <w:numId w:val="10"/>
              </w:numPr>
              <w:spacing w:before="120" w:after="120" w:line="276" w:lineRule="auto"/>
              <w:ind w:left="357" w:hanging="357"/>
              <w:contextualSpacing w:val="0"/>
              <w:jc w:val="both"/>
              <w:rPr>
                <w:rFonts w:ascii="Verdana" w:hAnsi="Verdana" w:eastAsia="Calibri" w:cs="Arial"/>
                <w:bCs/>
                <w:color w:val="000000" w:themeColor="text1"/>
                <w:lang w:eastAsia="es-ES_tradnl" w:bidi="es-ES"/>
              </w:rPr>
            </w:pPr>
            <w:r w:rsidRPr="000D7949">
              <w:rPr>
                <w:rFonts w:ascii="Verdana" w:hAnsi="Verdana" w:cs="Arial"/>
              </w:rPr>
              <w:t>Consejo de Estado. Sala de Consulta y Servicio Civil. Concepto de 30 de abril de 2008. Rad. 1881.</w:t>
            </w:r>
          </w:p>
          <w:p w:rsidRPr="000D7949" w:rsidR="00871B59" w:rsidP="000D7949" w:rsidRDefault="000D7949" w14:paraId="21196CFB" w14:textId="68EA5858">
            <w:pPr>
              <w:pStyle w:val="Prrafodelista"/>
              <w:numPr>
                <w:ilvl w:val="0"/>
                <w:numId w:val="10"/>
              </w:numPr>
              <w:spacing w:before="120" w:after="120" w:line="276" w:lineRule="auto"/>
              <w:ind w:left="357" w:hanging="357"/>
              <w:contextualSpacing w:val="0"/>
              <w:jc w:val="both"/>
              <w:rPr>
                <w:rFonts w:ascii="Verdana" w:hAnsi="Verdana" w:eastAsia="Calibri" w:cs="Arial"/>
                <w:bCs/>
                <w:color w:val="000000" w:themeColor="text1"/>
                <w:lang w:eastAsia="es-ES_tradnl" w:bidi="es-ES"/>
              </w:rPr>
            </w:pPr>
            <w:r w:rsidRPr="000D7949">
              <w:rPr>
                <w:rFonts w:ascii="Verdana" w:hAnsi="Verdana" w:cs="Arial"/>
              </w:rPr>
              <w:t xml:space="preserve">Consejo de Estado. Sala de Consulta y Servicio Civil. Concepto 26 de julio de 2016. </w:t>
            </w:r>
            <w:proofErr w:type="spellStart"/>
            <w:r w:rsidRPr="000D7949">
              <w:rPr>
                <w:rFonts w:ascii="Verdana" w:hAnsi="Verdana" w:cs="Arial"/>
              </w:rPr>
              <w:t>Exp</w:t>
            </w:r>
            <w:proofErr w:type="spellEnd"/>
            <w:r w:rsidRPr="000D7949">
              <w:rPr>
                <w:rFonts w:ascii="Verdana" w:hAnsi="Verdana" w:cs="Arial"/>
              </w:rPr>
              <w:t xml:space="preserve">. 2.257. C.P. Álvaro </w:t>
            </w:r>
            <w:proofErr w:type="spellStart"/>
            <w:r w:rsidRPr="000D7949">
              <w:rPr>
                <w:rFonts w:ascii="Verdana" w:hAnsi="Verdana" w:cs="Arial"/>
              </w:rPr>
              <w:t>Namén</w:t>
            </w:r>
            <w:proofErr w:type="spellEnd"/>
            <w:r w:rsidRPr="000D7949">
              <w:rPr>
                <w:rFonts w:ascii="Verdana" w:hAnsi="Verdana" w:cs="Arial"/>
              </w:rPr>
              <w:t xml:space="preserve"> Vargas.</w:t>
            </w:r>
          </w:p>
        </w:tc>
      </w:tr>
    </w:tbl>
    <w:p w:rsidRPr="00593A5F" w:rsidR="00871B59" w:rsidP="00881E88" w:rsidRDefault="00871B59" w14:paraId="4E90EC6E" w14:textId="77777777">
      <w:pPr>
        <w:widowControl w:val="0"/>
        <w:autoSpaceDE w:val="0"/>
        <w:autoSpaceDN w:val="0"/>
        <w:spacing w:after="0" w:line="276" w:lineRule="auto"/>
        <w:jc w:val="both"/>
        <w:rPr>
          <w:rFonts w:ascii="Verdana" w:hAnsi="Verdana" w:cs="Arial"/>
        </w:rPr>
      </w:pPr>
    </w:p>
    <w:p w:rsidRPr="00593A5F" w:rsidR="00871B59" w:rsidP="00881E88" w:rsidRDefault="00871B59" w14:paraId="28CB1C11" w14:textId="77777777">
      <w:pPr>
        <w:pStyle w:val="Prrafodelista"/>
        <w:numPr>
          <w:ilvl w:val="0"/>
          <w:numId w:val="4"/>
        </w:numPr>
        <w:tabs>
          <w:tab w:val="left" w:pos="142"/>
          <w:tab w:val="left" w:pos="284"/>
        </w:tabs>
        <w:spacing w:after="0" w:line="276" w:lineRule="auto"/>
        <w:ind w:left="0" w:firstLine="0"/>
        <w:contextualSpacing w:val="0"/>
        <w:jc w:val="both"/>
        <w:rPr>
          <w:rFonts w:ascii="Verdana" w:hAnsi="Verdana" w:eastAsia="Century Gothic" w:cs="Century Gothic"/>
          <w:b/>
          <w:bCs/>
          <w:lang w:val="es-ES"/>
        </w:rPr>
      </w:pPr>
      <w:r>
        <w:rPr>
          <w:rFonts w:ascii="Verdana" w:hAnsi="Verdana" w:eastAsia="Century Gothic" w:cs="Century Gothic"/>
          <w:b/>
          <w:bCs/>
          <w:lang w:val="es-ES"/>
        </w:rPr>
        <w:t>Doctrina de la Agencia Nacional de Contratación Pública</w:t>
      </w:r>
      <w:r w:rsidRPr="00593A5F">
        <w:rPr>
          <w:rFonts w:ascii="Verdana" w:hAnsi="Verdana" w:eastAsia="Century Gothic" w:cs="Century Gothic"/>
          <w:b/>
          <w:bCs/>
          <w:lang w:val="es-ES"/>
        </w:rPr>
        <w:t>:</w:t>
      </w:r>
    </w:p>
    <w:p w:rsidRPr="00593A5F" w:rsidR="00871B59" w:rsidP="00881E88" w:rsidRDefault="00871B59" w14:paraId="1300856E" w14:textId="77777777">
      <w:pPr>
        <w:widowControl w:val="0"/>
        <w:autoSpaceDE w:val="0"/>
        <w:autoSpaceDN w:val="0"/>
        <w:spacing w:after="0" w:line="276" w:lineRule="auto"/>
        <w:jc w:val="both"/>
        <w:rPr>
          <w:rFonts w:ascii="Verdana" w:hAnsi="Verdana" w:cs="Arial"/>
        </w:rPr>
      </w:pPr>
    </w:p>
    <w:p w:rsidRPr="00824BAD" w:rsidR="00023640" w:rsidP="00023640" w:rsidRDefault="00023640" w14:paraId="41D85584" w14:textId="0581F9C0">
      <w:pPr>
        <w:widowControl w:val="0"/>
        <w:autoSpaceDE w:val="0"/>
        <w:autoSpaceDN w:val="0"/>
        <w:spacing w:after="0" w:line="276" w:lineRule="auto"/>
        <w:jc w:val="both"/>
        <w:rPr>
          <w:rStyle w:val="normaltextrun"/>
          <w:rFonts w:ascii="Verdana" w:hAnsi="Verdana" w:eastAsia="Times New Roman" w:cs="Arial"/>
          <w:shd w:val="clear" w:color="auto" w:fill="FFFFFF"/>
          <w:lang w:val="es-ES"/>
        </w:rPr>
      </w:pPr>
      <w:r>
        <w:rPr>
          <w:rStyle w:val="normaltextrun"/>
          <w:rFonts w:ascii="Verdana" w:hAnsi="Verdana" w:cs="Arial"/>
          <w:shd w:val="clear" w:color="auto" w:fill="FFFFFF"/>
          <w:lang w:val="es-ES"/>
        </w:rPr>
        <w:t>E</w:t>
      </w:r>
      <w:r w:rsidRPr="00EA761C">
        <w:rPr>
          <w:rStyle w:val="normaltextrun"/>
          <w:rFonts w:ascii="Verdana" w:hAnsi="Verdana" w:cs="Arial"/>
          <w:shd w:val="clear" w:color="auto" w:fill="FFFFFF"/>
          <w:lang w:val="es-ES"/>
        </w:rPr>
        <w:t>sta Subdirección </w:t>
      </w:r>
      <w:r>
        <w:rPr>
          <w:rStyle w:val="normaltextrun"/>
          <w:rFonts w:ascii="Verdana" w:hAnsi="Verdana" w:cs="Arial"/>
          <w:shd w:val="clear" w:color="auto" w:fill="FFFFFF"/>
          <w:lang w:val="es-ES"/>
        </w:rPr>
        <w:t>se ha pronunciado s</w:t>
      </w:r>
      <w:r w:rsidRPr="00EA761C">
        <w:rPr>
          <w:rStyle w:val="normaltextrun"/>
          <w:rFonts w:ascii="Verdana" w:hAnsi="Verdana" w:cs="Arial"/>
          <w:shd w:val="clear" w:color="auto" w:fill="FFFFFF"/>
          <w:lang w:val="es-ES"/>
        </w:rPr>
        <w:t>obre los consorcios y las uniones temporales en los Conceptos</w:t>
      </w:r>
      <w:r w:rsidRPr="00EA761C">
        <w:rPr>
          <w:rStyle w:val="normaltextrun"/>
          <w:rFonts w:ascii="Verdana" w:hAnsi="Verdana" w:cs="Calibri"/>
          <w:shd w:val="clear" w:color="auto" w:fill="FFFFFF"/>
        </w:rPr>
        <w:t xml:space="preserve"> </w:t>
      </w:r>
      <w:r w:rsidRPr="00167520">
        <w:rPr>
          <w:rStyle w:val="normaltextrun"/>
          <w:rFonts w:ascii="Verdana" w:hAnsi="Verdana" w:cs="Calibri"/>
          <w:shd w:val="clear" w:color="auto" w:fill="FFFFFF"/>
        </w:rPr>
        <w:t>4201912000006909</w:t>
      </w:r>
      <w:r>
        <w:rPr>
          <w:rStyle w:val="normaltextrun"/>
          <w:rFonts w:ascii="Verdana" w:hAnsi="Verdana" w:cs="Calibri"/>
          <w:shd w:val="clear" w:color="auto" w:fill="FFFFFF"/>
        </w:rPr>
        <w:t xml:space="preserve"> del 28 de octubre de 2029, </w:t>
      </w:r>
      <w:r w:rsidRPr="00EA761C">
        <w:rPr>
          <w:rStyle w:val="normaltextrun"/>
          <w:rFonts w:ascii="Verdana" w:hAnsi="Verdana" w:cs="Arial"/>
          <w:shd w:val="clear" w:color="auto" w:fill="FFFFFF"/>
          <w:lang w:val="es-ES"/>
        </w:rPr>
        <w:t xml:space="preserve">4201913000007643 del 26 de diciembre de 2019, C-343 del 17 de junio de 2020, C-518 del 9 de septiembre de 2020, C-614 del 5 de octubre de 2022, C-882 del 21 de diciembre </w:t>
      </w:r>
      <w:r w:rsidRPr="00167520">
        <w:rPr>
          <w:rStyle w:val="normaltextrun"/>
          <w:rFonts w:ascii="Verdana" w:hAnsi="Verdana" w:cs="Arial"/>
          <w:shd w:val="clear" w:color="auto" w:fill="FFFFFF"/>
          <w:lang w:val="es-ES"/>
        </w:rPr>
        <w:t>de 2022, C-172 del 6 de junio de 2023, C-032 del 16 de abril de 2024, C-050 del 18 de julio de 2024,</w:t>
      </w:r>
      <w:r w:rsidRPr="00167520">
        <w:rPr>
          <w:rStyle w:val="normaltextrun"/>
          <w:rFonts w:ascii="Verdana" w:hAnsi="Verdana" w:cs="Arial"/>
          <w:color w:val="000000" w:themeColor="text1"/>
          <w:shd w:val="clear" w:color="auto" w:fill="FFFFFF"/>
          <w:lang w:val="es-ES"/>
        </w:rPr>
        <w:t xml:space="preserve"> C-100 del 12 de junio de 2024, 727 del 28 de octubre de 2024, Concepto C-894 del 11 de diciembre de 2024, </w:t>
      </w:r>
      <w:r w:rsidRPr="00167520">
        <w:rPr>
          <w:rStyle w:val="normaltextrun"/>
          <w:rFonts w:ascii="Verdana" w:hAnsi="Verdana"/>
          <w:color w:val="000000" w:themeColor="text1"/>
          <w:shd w:val="clear" w:color="auto" w:fill="FFFFFF"/>
          <w:lang w:val="es-ES"/>
        </w:rPr>
        <w:t xml:space="preserve">C-936 </w:t>
      </w:r>
      <w:r w:rsidRPr="00167520">
        <w:rPr>
          <w:rStyle w:val="normaltextrun"/>
          <w:rFonts w:ascii="Verdana" w:hAnsi="Verdana"/>
          <w:color w:val="000000" w:themeColor="text1"/>
          <w:shd w:val="clear" w:color="auto" w:fill="FFFFFF"/>
        </w:rPr>
        <w:t>del 18 de diciembre de 2024, Concepto C-016 del 11 de febrero de 2025,</w:t>
      </w:r>
      <w:r>
        <w:rPr>
          <w:rStyle w:val="normaltextrun"/>
          <w:rFonts w:ascii="Verdana" w:hAnsi="Verdana"/>
          <w:color w:val="000000" w:themeColor="text1"/>
          <w:shd w:val="clear" w:color="auto" w:fill="FFFFFF"/>
        </w:rPr>
        <w:t xml:space="preserve"> </w:t>
      </w:r>
      <w:r w:rsidRPr="00167520">
        <w:rPr>
          <w:rStyle w:val="normaltextrun"/>
          <w:rFonts w:ascii="Verdana" w:hAnsi="Verdana"/>
          <w:color w:val="000000" w:themeColor="text1"/>
          <w:shd w:val="clear" w:color="auto" w:fill="FFFFFF"/>
        </w:rPr>
        <w:t xml:space="preserve"> Concepto C-</w:t>
      </w:r>
      <w:r>
        <w:rPr>
          <w:rStyle w:val="normaltextrun"/>
          <w:rFonts w:ascii="Verdana" w:hAnsi="Verdana"/>
          <w:color w:val="000000" w:themeColor="text1"/>
          <w:shd w:val="clear" w:color="auto" w:fill="FFFFFF"/>
        </w:rPr>
        <w:t>226</w:t>
      </w:r>
      <w:r w:rsidRPr="00167520">
        <w:rPr>
          <w:rStyle w:val="normaltextrun"/>
          <w:rFonts w:ascii="Verdana" w:hAnsi="Verdana"/>
          <w:color w:val="000000" w:themeColor="text1"/>
          <w:shd w:val="clear" w:color="auto" w:fill="FFFFFF"/>
        </w:rPr>
        <w:t xml:space="preserve"> del </w:t>
      </w:r>
      <w:r>
        <w:rPr>
          <w:rStyle w:val="normaltextrun"/>
          <w:rFonts w:ascii="Verdana" w:hAnsi="Verdana"/>
          <w:color w:val="000000" w:themeColor="text1"/>
          <w:shd w:val="clear" w:color="auto" w:fill="FFFFFF"/>
        </w:rPr>
        <w:t xml:space="preserve">26 de marzo de 2025, </w:t>
      </w:r>
      <w:r w:rsidRPr="00167520">
        <w:rPr>
          <w:rStyle w:val="normaltextrun"/>
          <w:rFonts w:ascii="Verdana" w:hAnsi="Verdana" w:cs="Arial"/>
          <w:color w:val="000000" w:themeColor="text1"/>
          <w:shd w:val="clear" w:color="auto" w:fill="FFFFFF"/>
          <w:lang w:val="es-ES"/>
        </w:rPr>
        <w:t>entre otros</w:t>
      </w:r>
      <w:r w:rsidRPr="00167520">
        <w:rPr>
          <w:rFonts w:ascii="Verdana" w:hAnsi="Verdana"/>
          <w:color w:val="000000" w:themeColor="text1"/>
        </w:rPr>
        <w:t>.</w:t>
      </w:r>
      <w:r w:rsidRPr="00167520">
        <w:rPr>
          <w:rFonts w:ascii="Verdana" w:hAnsi="Verdana" w:cs="Arial"/>
          <w:color w:val="000000" w:themeColor="text1"/>
          <w:shd w:val="clear" w:color="auto" w:fill="FFFFFF"/>
        </w:rPr>
        <w:t xml:space="preserve"> </w:t>
      </w:r>
      <w:r w:rsidRPr="00FE5A24">
        <w:rPr>
          <w:rFonts w:ascii="Verdana" w:hAnsi="Verdana" w:cs="Arial"/>
          <w:color w:val="000000" w:themeColor="text1"/>
          <w:shd w:val="clear" w:color="auto" w:fill="FFFFFF"/>
        </w:rPr>
        <w:t xml:space="preserve">Estos </w:t>
      </w:r>
      <w:r w:rsidRPr="00FE5A24">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w:history="1" r:id="rId12">
        <w:r w:rsidRPr="00401F64">
          <w:rPr>
            <w:rStyle w:val="Hipervnculo"/>
            <w:rFonts w:ascii="Verdana" w:hAnsi="Verdana" w:cs="Arial"/>
            <w:shd w:val="clear" w:color="auto" w:fill="FFFFFF"/>
          </w:rPr>
          <w:t>https://relatoria.colombiacompra.gov.co/busqueda/conceptos</w:t>
        </w:r>
      </w:hyperlink>
      <w:r w:rsidRPr="00401F64">
        <w:rPr>
          <w:rStyle w:val="Hipervnculo"/>
        </w:rPr>
        <w:t>.</w:t>
      </w:r>
      <w:r w:rsidRPr="00FE5A24">
        <w:rPr>
          <w:rStyle w:val="normaltextrun"/>
          <w:rFonts w:ascii="Verdana" w:hAnsi="Verdana" w:cs="Arial"/>
          <w:color w:val="000000" w:themeColor="text1"/>
          <w:shd w:val="clear" w:color="auto" w:fill="FFFFFF"/>
        </w:rPr>
        <w:t xml:space="preserve"> </w:t>
      </w:r>
      <w:r w:rsidRPr="00FE5A24">
        <w:rPr>
          <w:rStyle w:val="normaltextrun"/>
          <w:rFonts w:ascii="Verdana" w:hAnsi="Verdana" w:cs="Arial"/>
          <w:color w:val="000000" w:themeColor="text1"/>
          <w:shd w:val="clear" w:color="auto" w:fill="FFFFFF"/>
          <w:lang w:val="es-ES"/>
        </w:rPr>
        <w:t xml:space="preserve"> </w:t>
      </w:r>
    </w:p>
    <w:p w:rsidRPr="00FE5A24" w:rsidR="00023640" w:rsidP="00023640" w:rsidRDefault="00023640" w14:paraId="235580C5" w14:textId="7777777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rsidR="00023640" w:rsidP="00023640" w:rsidRDefault="00023640" w14:paraId="2239DAE9" w14:textId="77777777">
      <w:pPr>
        <w:widowControl w:val="0"/>
        <w:autoSpaceDE w:val="0"/>
        <w:autoSpaceDN w:val="0"/>
        <w:spacing w:after="0" w:line="276" w:lineRule="auto"/>
        <w:jc w:val="both"/>
        <w:rPr>
          <w:rFonts w:ascii="Verdana" w:hAnsi="Verdana" w:cs="Arial"/>
          <w:color w:val="FF0000"/>
          <w:shd w:val="clear" w:color="auto" w:fill="FFFFFF"/>
          <w:lang w:val="es-ES"/>
        </w:rPr>
      </w:pPr>
      <w:r>
        <w:rPr>
          <w:rStyle w:val="normaltextrun"/>
          <w:rFonts w:ascii="Verdana" w:hAnsi="Verdana"/>
          <w:lang w:val="es-ES"/>
        </w:rPr>
        <w:t>L</w:t>
      </w:r>
      <w:r w:rsidRPr="009E61FE">
        <w:rPr>
          <w:rStyle w:val="normaltextrun"/>
          <w:rFonts w:ascii="Verdana" w:hAnsi="Verdana"/>
          <w:lang w:val="es-ES"/>
        </w:rPr>
        <w: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w:tgtFrame="_blank" w:tooltip="Original URL: https://www.colombiacompra.gov.co/manuales-guias-y-pliegos-tipo/manuales-y-guias/cartilla-para-incentivar-y-fortalecer-el-acceso-las. Click or tap if you trust this link." w:history="1" r:id="rId13">
        <w:r w:rsidRPr="009E61FE">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rsidRPr="009E61FE" w:rsidR="00023640" w:rsidP="00023640" w:rsidRDefault="00023640" w14:paraId="208FF237" w14:textId="77777777">
      <w:pPr>
        <w:widowControl w:val="0"/>
        <w:autoSpaceDE w:val="0"/>
        <w:autoSpaceDN w:val="0"/>
        <w:spacing w:after="0" w:line="276" w:lineRule="auto"/>
        <w:jc w:val="both"/>
        <w:rPr>
          <w:rFonts w:ascii="Verdana" w:hAnsi="Verdana" w:cs="Arial"/>
          <w:color w:val="FF0000"/>
          <w:shd w:val="clear" w:color="auto" w:fill="FFFFFF"/>
        </w:rPr>
      </w:pPr>
    </w:p>
    <w:p w:rsidR="00023640" w:rsidP="00023640" w:rsidRDefault="00023640" w14:paraId="4D4BEC17" w14:textId="77777777">
      <w:pPr>
        <w:widowControl w:val="0"/>
        <w:autoSpaceDE w:val="0"/>
        <w:autoSpaceDN w:val="0"/>
        <w:spacing w:after="0" w:line="276" w:lineRule="auto"/>
        <w:jc w:val="both"/>
        <w:rPr>
          <w:rFonts w:ascii="Verdana" w:hAnsi="Verdana" w:cs="Arial"/>
          <w:color w:val="FF0000"/>
          <w:shd w:val="clear" w:color="auto" w:fill="FFFFFF"/>
          <w:lang w:val="es-ES"/>
        </w:rPr>
      </w:pPr>
      <w:r w:rsidRPr="009E61FE">
        <w:rPr>
          <w:rFonts w:ascii="Verdana" w:hAnsi="Verdana" w:cs="Arial"/>
          <w:color w:val="000000" w:themeColor="text1"/>
          <w:shd w:val="clear" w:color="auto" w:fill="FFFFFF"/>
        </w:rPr>
        <w:t>De otra parte, informamos que, con el objetivo de garantizar un conocimiento adecuado de las </w:t>
      </w:r>
      <w:r w:rsidRPr="009E61FE">
        <w:rPr>
          <w:rFonts w:ascii="Verdana" w:hAnsi="Verdana" w:cs="Arial"/>
          <w:b/>
          <w:color w:val="000000" w:themeColor="text1"/>
          <w:shd w:val="clear" w:color="auto" w:fill="FFFFFF"/>
        </w:rPr>
        <w:t>modificaciones y/o actualizaciones realizadas a los Documentos Tipo</w:t>
      </w:r>
      <w:r w:rsidRPr="009E61FE">
        <w:rPr>
          <w:rFonts w:ascii="Verdana" w:hAnsi="Verdana" w:cs="Arial"/>
          <w:color w:val="000000" w:themeColor="text1"/>
          <w:shd w:val="clear" w:color="auto" w:fill="FFFFFF"/>
        </w:rPr>
        <w:t>, hemos programado una serie de </w:t>
      </w:r>
      <w:r w:rsidRPr="009E61FE">
        <w:rPr>
          <w:rFonts w:ascii="Verdana" w:hAnsi="Verdana" w:cs="Arial"/>
          <w:b/>
          <w:color w:val="000000" w:themeColor="text1"/>
          <w:shd w:val="clear" w:color="auto" w:fill="FFFFFF"/>
        </w:rPr>
        <w:t>capacitaciones </w:t>
      </w:r>
      <w:r w:rsidRPr="009E61FE">
        <w:rPr>
          <w:rFonts w:ascii="Verdana" w:hAnsi="Verdana" w:cs="Arial"/>
          <w:color w:val="000000" w:themeColor="text1"/>
          <w:shd w:val="clear" w:color="auto" w:fill="FFFFFF"/>
        </w:rPr>
        <w:t xml:space="preserve">dirigidas a todos los actores involucrados en los procesos de selección. Podrá conocer la programación y realizar </w:t>
      </w:r>
      <w:r>
        <w:rPr>
          <w:rFonts w:ascii="Verdana" w:hAnsi="Verdana" w:cs="Arial"/>
          <w:color w:val="000000" w:themeColor="text1"/>
          <w:shd w:val="clear" w:color="auto" w:fill="FFFFFF"/>
        </w:rPr>
        <w:t>s</w:t>
      </w:r>
      <w:r w:rsidRPr="009E61FE">
        <w:rPr>
          <w:rFonts w:ascii="Verdana" w:hAnsi="Verdana" w:cs="Arial"/>
          <w:color w:val="000000" w:themeColor="text1"/>
          <w:shd w:val="clear" w:color="auto" w:fill="FFFFFF"/>
        </w:rPr>
        <w:t>u inscripción a estas capacitaciones a través del siguiente enlace: </w:t>
      </w:r>
      <w:hyperlink w:tgtFrame="_blank" w:tooltip="Original URL: https://www.colombiacompra.gov.co/ciudadanos/calendario. Click or tap if you trust this link." w:history="1" r:id="rId14">
        <w:r w:rsidRPr="009E61FE">
          <w:rPr>
            <w:rStyle w:val="Hipervnculo"/>
            <w:rFonts w:ascii="Verdana" w:hAnsi="Verdana" w:cs="Arial"/>
            <w:shd w:val="clear" w:color="auto" w:fill="FFFFFF"/>
          </w:rPr>
          <w:t>Calendario | Colombia Compra Eficiente | Agencia Nacional de Contratación Pública</w:t>
        </w:r>
      </w:hyperlink>
    </w:p>
    <w:p w:rsidRPr="009E61FE" w:rsidR="00023640" w:rsidP="00023640" w:rsidRDefault="00023640" w14:paraId="74AD0C76" w14:textId="77777777">
      <w:pPr>
        <w:widowControl w:val="0"/>
        <w:autoSpaceDE w:val="0"/>
        <w:autoSpaceDN w:val="0"/>
        <w:spacing w:after="0" w:line="276" w:lineRule="auto"/>
        <w:jc w:val="both"/>
        <w:rPr>
          <w:rFonts w:ascii="Verdana" w:hAnsi="Verdana" w:cs="Arial"/>
          <w:color w:val="FF0000"/>
          <w:shd w:val="clear" w:color="auto" w:fill="FFFFFF"/>
        </w:rPr>
      </w:pPr>
    </w:p>
    <w:p w:rsidRPr="009E61FE" w:rsidR="00023640" w:rsidP="00023640" w:rsidRDefault="00023640" w14:paraId="2DC41077" w14:textId="77777777">
      <w:pPr>
        <w:widowControl w:val="0"/>
        <w:autoSpaceDE w:val="0"/>
        <w:autoSpaceDN w:val="0"/>
        <w:spacing w:after="0" w:line="276" w:lineRule="auto"/>
        <w:jc w:val="both"/>
        <w:rPr>
          <w:rFonts w:ascii="Verdana" w:hAnsi="Verdana" w:cs="Arial"/>
          <w:color w:val="FF0000"/>
          <w:shd w:val="clear" w:color="auto" w:fill="FFFFFF"/>
        </w:rPr>
      </w:pPr>
      <w:r w:rsidRPr="009E61FE">
        <w:rPr>
          <w:rFonts w:ascii="Verdana" w:hAnsi="Verdana" w:cs="Arial"/>
          <w:color w:val="000000" w:themeColor="text1"/>
          <w:shd w:val="clear" w:color="auto" w:fill="FFFFFF"/>
        </w:rPr>
        <w:t xml:space="preserve">También, </w:t>
      </w:r>
      <w:r>
        <w:rPr>
          <w:rFonts w:ascii="Verdana" w:hAnsi="Verdana" w:cs="Arial"/>
          <w:color w:val="000000" w:themeColor="text1"/>
          <w:shd w:val="clear" w:color="auto" w:fill="FFFFFF"/>
        </w:rPr>
        <w:t>l</w:t>
      </w:r>
      <w:r w:rsidRPr="009E61FE">
        <w:rPr>
          <w:rFonts w:ascii="Verdana" w:hAnsi="Verdana" w:cs="Arial"/>
          <w:color w:val="000000" w:themeColor="text1"/>
          <w:shd w:val="clear" w:color="auto" w:fill="FFFFFF"/>
        </w:rPr>
        <w:t>e contamos que ya publicamos </w:t>
      </w:r>
      <w:r w:rsidRPr="009E61FE">
        <w:rPr>
          <w:rFonts w:ascii="Verdana" w:hAnsi="Verdana" w:cs="Arial"/>
          <w:b/>
          <w:color w:val="000000" w:themeColor="text1"/>
          <w:shd w:val="clear" w:color="auto" w:fill="FFFFFF"/>
        </w:rPr>
        <w:t>la nueva Guía de Contratación Pública Sostenible y Socialmente Responsable</w:t>
      </w:r>
      <w:r w:rsidRPr="009E61FE">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w:tgtFrame="_blank" w:tooltip="Original URL: https://www.colombiacompra.gov.co/manuales-guias-y-pliegos-tipo/manuales-y-guias/guia-de-contratacion-publica-sostenible-y-socialmente. Click or tap if you trust this link." w:history="1" r:id="rId15">
        <w:r w:rsidRPr="009E61FE">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rsidR="00023640" w:rsidP="00023640" w:rsidRDefault="00023640" w14:paraId="55B879F9" w14:textId="77777777">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rsidRPr="003E2460" w:rsidR="00023640" w:rsidP="00023640" w:rsidRDefault="00023640" w14:paraId="212C3002" w14:textId="77777777">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rsidRPr="003E2460" w:rsidR="00023640" w:rsidP="00023640" w:rsidRDefault="00023640" w14:paraId="373A7B71" w14:textId="77777777">
      <w:pPr>
        <w:spacing w:after="0" w:line="240" w:lineRule="auto"/>
        <w:jc w:val="both"/>
        <w:rPr>
          <w:rFonts w:ascii="Verdana" w:hAnsi="Verdana"/>
        </w:rPr>
      </w:pPr>
    </w:p>
    <w:p w:rsidRPr="003E2460" w:rsidR="00023640" w:rsidP="00023640" w:rsidRDefault="00023640" w14:paraId="599E792A" w14:textId="77777777">
      <w:pPr>
        <w:spacing w:after="0" w:line="240"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rsidRPr="003E2460" w:rsidR="00023640" w:rsidP="00023640" w:rsidRDefault="00023640" w14:paraId="2F9B154E" w14:textId="77777777">
      <w:pPr>
        <w:spacing w:after="0" w:line="240"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rsidRPr="003E2460" w:rsidR="00023640" w:rsidP="00023640" w:rsidRDefault="00023640" w14:paraId="6B8D0B07" w14:textId="77777777">
      <w:pPr>
        <w:spacing w:after="0" w:line="240"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86BAA">
        <w:rPr>
          <w:rStyle w:val="Hipervnculo"/>
          <w:rFonts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rsidRPr="00FE5A24" w:rsidR="00023640" w:rsidP="00023640" w:rsidRDefault="00023640" w14:paraId="1CED0681" w14:textId="77777777">
      <w:pPr>
        <w:widowControl w:val="0"/>
        <w:autoSpaceDE w:val="0"/>
        <w:autoSpaceDN w:val="0"/>
        <w:spacing w:after="0" w:line="276" w:lineRule="auto"/>
        <w:jc w:val="both"/>
        <w:rPr>
          <w:rFonts w:ascii="Verdana" w:hAnsi="Verdana" w:cs="Arial"/>
          <w:color w:val="000000" w:themeColor="text1"/>
        </w:rPr>
      </w:pPr>
    </w:p>
    <w:p w:rsidRPr="00FE5A24" w:rsidR="00023640" w:rsidP="00023640" w:rsidRDefault="00023640" w14:paraId="4C1F3930" w14:textId="77777777">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Procedimiento Administrativo y de lo Contencioso Administrativo </w:t>
      </w:r>
      <w:r w:rsidRPr="00FE5A2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rsidRPr="00FE5A24" w:rsidR="00023640" w:rsidP="00023640" w:rsidRDefault="00023640" w14:paraId="64E1B45C" w14:textId="77777777">
      <w:pPr>
        <w:widowControl w:val="0"/>
        <w:autoSpaceDE w:val="0"/>
        <w:autoSpaceDN w:val="0"/>
        <w:spacing w:after="0" w:line="276" w:lineRule="auto"/>
        <w:jc w:val="both"/>
        <w:rPr>
          <w:rFonts w:ascii="Verdana" w:hAnsi="Verdana" w:cs="Arial"/>
          <w:color w:val="000000" w:themeColor="text1"/>
        </w:rPr>
      </w:pPr>
    </w:p>
    <w:p w:rsidRPr="00FE5A24" w:rsidR="00023640" w:rsidP="00023640" w:rsidRDefault="00023640" w14:paraId="41D12A07" w14:textId="77777777">
      <w:pPr>
        <w:spacing w:after="0" w:line="240" w:lineRule="auto"/>
        <w:rPr>
          <w:rFonts w:ascii="Verdana" w:hAnsi="Verdana" w:cs="Arial"/>
          <w:color w:val="000000" w:themeColor="text1"/>
          <w:lang w:eastAsia="es-CO"/>
        </w:rPr>
      </w:pPr>
      <w:r w:rsidRPr="2C5391A6" w:rsidR="00023640">
        <w:rPr>
          <w:rFonts w:ascii="Verdana" w:hAnsi="Verdana" w:eastAsia="Times New Roman" w:cs="Arial"/>
          <w:color w:val="000000" w:themeColor="text1" w:themeTint="FF" w:themeShade="FF"/>
          <w:lang w:eastAsia="es-CO"/>
        </w:rPr>
        <w:t>Atentamente,</w:t>
      </w:r>
      <w:r w:rsidRPr="2C5391A6" w:rsidR="00023640">
        <w:rPr>
          <w:rFonts w:ascii="Verdana" w:hAnsi="Verdana" w:cs="Arial"/>
          <w:color w:val="000000" w:themeColor="text1" w:themeTint="FF" w:themeShade="FF"/>
          <w:lang w:eastAsia="es-CO"/>
        </w:rPr>
        <w:t xml:space="preserve"> </w:t>
      </w:r>
    </w:p>
    <w:p w:rsidRPr="00593A5F" w:rsidR="00871B59" w:rsidP="00881E88" w:rsidRDefault="004E15ED" w14:paraId="768121BA" w14:textId="73819F87">
      <w:pPr>
        <w:spacing w:line="276" w:lineRule="auto"/>
        <w:jc w:val="center"/>
      </w:pPr>
      <w:r w:rsidR="00316F8E">
        <w:drawing>
          <wp:inline wp14:editId="19DADA78" wp14:anchorId="335BE883">
            <wp:extent cx="3771900" cy="1409700"/>
            <wp:effectExtent l="0" t="0" r="0" b="0"/>
            <wp:docPr id="472655697" name="" descr="Texto&#10;&#10;Descripción generada automáticamente" title=""/>
            <wp:cNvGraphicFramePr>
              <a:graphicFrameLocks noChangeAspect="1"/>
            </wp:cNvGraphicFramePr>
            <a:graphic>
              <a:graphicData uri="http://schemas.openxmlformats.org/drawingml/2006/picture">
                <pic:pic>
                  <pic:nvPicPr>
                    <pic:cNvPr id="0" name=""/>
                    <pic:cNvPicPr/>
                  </pic:nvPicPr>
                  <pic:blipFill>
                    <a:blip r:embed="Rd726a8c71de141cb">
                      <a:extLst>
                        <a:ext xmlns:a="http://schemas.openxmlformats.org/drawingml/2006/main" uri="{28A0092B-C50C-407E-A947-70E740481C1C}">
                          <a14:useLocalDpi val="0"/>
                        </a:ext>
                      </a:extLst>
                    </a:blip>
                    <a:stretch>
                      <a:fillRect/>
                    </a:stretch>
                  </pic:blipFill>
                  <pic:spPr>
                    <a:xfrm>
                      <a:off x="0" y="0"/>
                      <a:ext cx="3771900" cy="1409700"/>
                    </a:xfrm>
                    <a:prstGeom prst="rect">
                      <a:avLst/>
                    </a:prstGeom>
                  </pic:spPr>
                </pic:pic>
              </a:graphicData>
            </a:graphic>
          </wp:inline>
        </w:drawing>
      </w:r>
      <w:r>
        <w:br/>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EA1223" w:rsidR="00023640" w:rsidTr="002123CE" w14:paraId="7A5EE283" w14:textId="77777777">
        <w:trPr>
          <w:trHeight w:val="315"/>
        </w:trPr>
        <w:tc>
          <w:tcPr>
            <w:tcW w:w="893" w:type="dxa"/>
            <w:vAlign w:val="center"/>
            <w:hideMark/>
          </w:tcPr>
          <w:p w:rsidRPr="00EA1223" w:rsidR="00023640" w:rsidP="002123CE" w:rsidRDefault="00023640" w14:paraId="196DB0E6" w14:textId="77777777">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EA1223" w:rsidR="00023640" w:rsidP="002123CE" w:rsidRDefault="00023640" w14:paraId="20281C28" w14:textId="77777777">
            <w:pPr>
              <w:contextualSpacing/>
              <w:rPr>
                <w:rStyle w:val="normaltextrun"/>
                <w:rFonts w:ascii="Verdana" w:hAnsi="Verdana" w:eastAsia="Arial" w:cs="Arial"/>
                <w:sz w:val="16"/>
                <w:szCs w:val="16"/>
              </w:rPr>
            </w:pPr>
            <w:r w:rsidRPr="00EA1223">
              <w:rPr>
                <w:rStyle w:val="normaltextrun"/>
                <w:rFonts w:ascii="Verdana" w:hAnsi="Verdana" w:eastAsia="Arial" w:cs="Arial"/>
                <w:sz w:val="16"/>
                <w:szCs w:val="16"/>
              </w:rPr>
              <w:t>Andrea del Pilar Garzón Sánchez</w:t>
            </w:r>
          </w:p>
          <w:p w:rsidRPr="00EA1223" w:rsidR="00023640" w:rsidP="002123CE" w:rsidRDefault="00023640" w14:paraId="3DCCF1A3" w14:textId="77777777">
            <w:pPr>
              <w:contextualSpacing/>
              <w:rPr>
                <w:rFonts w:ascii="Verdana" w:hAnsi="Verdana" w:eastAsia="Arial" w:cs="Arial"/>
                <w:color w:val="7030A0"/>
                <w:sz w:val="16"/>
                <w:szCs w:val="16"/>
              </w:rPr>
            </w:pPr>
            <w:r w:rsidRPr="00EA1223">
              <w:rPr>
                <w:rStyle w:val="normaltextrun"/>
                <w:rFonts w:ascii="Verdana" w:hAnsi="Verdana" w:eastAsia="Arial" w:cs="Arial"/>
                <w:sz w:val="16"/>
                <w:szCs w:val="16"/>
              </w:rPr>
              <w:t>Contratista de la Subdirección de Gestión Contractual</w:t>
            </w:r>
          </w:p>
        </w:tc>
      </w:tr>
      <w:tr w:rsidRPr="00EA1223" w:rsidR="00023640" w:rsidTr="002123CE" w14:paraId="7559D83B" w14:textId="77777777">
        <w:trPr>
          <w:trHeight w:val="330"/>
        </w:trPr>
        <w:tc>
          <w:tcPr>
            <w:tcW w:w="893" w:type="dxa"/>
            <w:vAlign w:val="center"/>
            <w:hideMark/>
          </w:tcPr>
          <w:p w:rsidRPr="00EA1223" w:rsidR="00023640" w:rsidP="002123CE" w:rsidRDefault="00023640" w14:paraId="2524B5CD" w14:textId="77777777">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EA1223" w:rsidR="00023640" w:rsidP="002123CE" w:rsidRDefault="00023640" w14:paraId="0C5F36D8" w14:textId="77777777">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Gonzales</w:t>
            </w:r>
          </w:p>
          <w:p w:rsidRPr="00EA1223" w:rsidR="00023640" w:rsidP="002123CE" w:rsidRDefault="00023640" w14:paraId="3BC7A6E1" w14:textId="77777777">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Pr="00EA1223" w:rsidR="00023640" w:rsidTr="002123CE" w14:paraId="2A95F05E" w14:textId="77777777">
        <w:trPr>
          <w:trHeight w:val="300"/>
        </w:trPr>
        <w:tc>
          <w:tcPr>
            <w:tcW w:w="893" w:type="dxa"/>
            <w:vAlign w:val="center"/>
          </w:tcPr>
          <w:p w:rsidRPr="00EA1223" w:rsidR="00023640" w:rsidP="002123CE" w:rsidRDefault="00023640" w14:paraId="12C94F1D" w14:textId="77777777">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EA1223" w:rsidR="00023640" w:rsidP="002123CE" w:rsidRDefault="00023640" w14:paraId="4FECD2CB" w14:textId="77777777">
            <w:pPr>
              <w:contextualSpacing/>
              <w:rPr>
                <w:rFonts w:ascii="Verdana" w:hAnsi="Verdana" w:eastAsia="Calibri" w:cs="Arial"/>
                <w:sz w:val="16"/>
                <w:szCs w:val="16"/>
                <w:lang w:val="pt-BR" w:eastAsia="es-ES"/>
              </w:rPr>
            </w:pPr>
            <w:r w:rsidRPr="00EA1223">
              <w:rPr>
                <w:rFonts w:ascii="Verdana" w:hAnsi="Verdana" w:eastAsia="Calibri" w:cs="Arial"/>
                <w:sz w:val="16"/>
                <w:szCs w:val="16"/>
                <w:lang w:val="pt-BR" w:eastAsia="es-ES"/>
              </w:rPr>
              <w:t xml:space="preserve">Carolina Quintero </w:t>
            </w:r>
            <w:proofErr w:type="spellStart"/>
            <w:r w:rsidRPr="00EA1223">
              <w:rPr>
                <w:rFonts w:ascii="Verdana" w:hAnsi="Verdana" w:eastAsia="Calibri" w:cs="Arial"/>
                <w:sz w:val="16"/>
                <w:szCs w:val="16"/>
                <w:lang w:val="pt-BR" w:eastAsia="es-ES"/>
              </w:rPr>
              <w:t>Gacharná</w:t>
            </w:r>
            <w:proofErr w:type="spellEnd"/>
          </w:p>
          <w:p w:rsidRPr="00EA1223" w:rsidR="00023640" w:rsidP="002123CE" w:rsidRDefault="00023640" w14:paraId="4B5F859F" w14:textId="77777777">
            <w:pPr>
              <w:contextualSpacing/>
              <w:rPr>
                <w:rFonts w:ascii="Verdana" w:hAnsi="Verdana" w:eastAsia="Calibri" w:cs="Arial"/>
                <w:sz w:val="16"/>
                <w:szCs w:val="16"/>
                <w:lang w:val="pt-BR" w:eastAsia="es-ES"/>
              </w:rPr>
            </w:pPr>
            <w:r w:rsidRPr="00EA1223">
              <w:rPr>
                <w:rFonts w:ascii="Verdana" w:hAnsi="Verdana" w:eastAsia="Calibri" w:cs="Arial"/>
                <w:sz w:val="16"/>
                <w:szCs w:val="16"/>
                <w:lang w:eastAsia="es-ES"/>
              </w:rPr>
              <w:t>Subdirectora</w:t>
            </w:r>
            <w:r w:rsidRPr="00EA1223">
              <w:rPr>
                <w:rFonts w:ascii="Verdana" w:hAnsi="Verdana" w:eastAsia="Calibri" w:cs="Arial"/>
                <w:sz w:val="16"/>
                <w:szCs w:val="16"/>
                <w:lang w:val="pt-BR" w:eastAsia="es-ES"/>
              </w:rPr>
              <w:t xml:space="preserve"> de Gestión </w:t>
            </w:r>
            <w:proofErr w:type="spellStart"/>
            <w:r w:rsidRPr="00EA1223">
              <w:rPr>
                <w:rFonts w:ascii="Verdana" w:hAnsi="Verdana" w:eastAsia="Calibri" w:cs="Arial"/>
                <w:sz w:val="16"/>
                <w:szCs w:val="16"/>
                <w:lang w:val="pt-BR" w:eastAsia="es-ES"/>
              </w:rPr>
              <w:t>Contractual</w:t>
            </w:r>
            <w:proofErr w:type="spellEnd"/>
            <w:r w:rsidRPr="00EA1223">
              <w:rPr>
                <w:rFonts w:ascii="Verdana" w:hAnsi="Verdana" w:eastAsia="Calibri" w:cs="Arial"/>
                <w:sz w:val="16"/>
                <w:szCs w:val="16"/>
                <w:lang w:val="pt-BR" w:eastAsia="es-ES"/>
              </w:rPr>
              <w:t xml:space="preserve"> ANCP – CCE</w:t>
            </w:r>
          </w:p>
        </w:tc>
      </w:tr>
    </w:tbl>
    <w:p w:rsidRPr="00593A5F" w:rsidR="00871B59" w:rsidP="00881E88" w:rsidRDefault="00871B59" w14:paraId="7A146A24" w14:textId="77777777">
      <w:pPr>
        <w:spacing w:after="0" w:line="276" w:lineRule="auto"/>
        <w:rPr>
          <w:rFonts w:ascii="Verdana" w:hAnsi="Verdana" w:eastAsia="Times New Roman" w:cs="Arial"/>
          <w:sz w:val="24"/>
          <w:szCs w:val="24"/>
          <w:lang w:eastAsia="es-ES"/>
        </w:rPr>
      </w:pPr>
    </w:p>
    <w:p w:rsidRPr="00871B59" w:rsidR="5D8505AD" w:rsidP="00881E88" w:rsidRDefault="5D8505AD" w14:paraId="7C38DFEF" w14:textId="77777777">
      <w:pPr>
        <w:spacing w:line="276" w:lineRule="auto"/>
      </w:pPr>
    </w:p>
    <w:sectPr w:rsidRPr="00871B59" w:rsidR="5D8505AD" w:rsidSect="00E45F4B">
      <w:headerReference w:type="default" r:id="rId17"/>
      <w:footerReference w:type="default" r:id="rId18"/>
      <w:pgSz w:w="12240" w:h="15840" w:orient="portrait"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43C8D" w:rsidP="00B30448" w:rsidRDefault="00443C8D" w14:paraId="3BE27857" w14:textId="77777777">
      <w:pPr>
        <w:spacing w:after="0" w:line="240" w:lineRule="auto"/>
      </w:pPr>
      <w:r>
        <w:separator/>
      </w:r>
    </w:p>
  </w:endnote>
  <w:endnote w:type="continuationSeparator" w:id="0">
    <w:p w:rsidR="00443C8D" w:rsidP="00B30448" w:rsidRDefault="00443C8D" w14:paraId="0BE74759" w14:textId="77777777">
      <w:pPr>
        <w:spacing w:after="0" w:line="240" w:lineRule="auto"/>
      </w:pPr>
      <w:r>
        <w:continuationSeparator/>
      </w:r>
    </w:p>
  </w:endnote>
  <w:endnote w:type="continuationNotice" w:id="1">
    <w:p w:rsidR="00443C8D" w:rsidRDefault="00443C8D" w14:paraId="607D6BF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Geomanist Light">
    <w:altName w:val="Calibri"/>
    <w:panose1 w:val="020B06040202020202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Geomanist Bold">
    <w:altName w:val="Calibri"/>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849D5" w:rsidP="000849D5" w:rsidRDefault="000849D5" w14:paraId="4D18DF68" w14:textId="77777777">
    <w:pPr>
      <w:spacing w:after="0"/>
      <w:rPr>
        <w:rFonts w:ascii="Verdana" w:hAnsi="Verdana"/>
        <w:b/>
        <w:bCs/>
        <w:sz w:val="20"/>
        <w:szCs w:val="20"/>
      </w:rPr>
    </w:pPr>
  </w:p>
  <w:p w:rsidRPr="00174B77" w:rsidR="000849D5" w:rsidP="000849D5" w:rsidRDefault="000849D5" w14:paraId="4E3F788A"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0849D5" w:rsidP="000849D5" w:rsidRDefault="000849D5" w14:paraId="740030AE"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0849D5" w:rsidP="000849D5" w:rsidRDefault="000849D5" w14:paraId="4658684A" w14:textId="77777777">
    <w:pPr>
      <w:spacing w:after="0"/>
      <w:jc w:val="both"/>
      <w:rPr>
        <w:rFonts w:ascii="Verdana" w:hAnsi="Verdana"/>
        <w:sz w:val="18"/>
        <w:szCs w:val="18"/>
      </w:rPr>
    </w:pPr>
    <w:r w:rsidRPr="00E41027">
      <w:rPr>
        <w:rFonts w:ascii="Verdana" w:hAnsi="Verdana"/>
        <w:sz w:val="18"/>
        <w:szCs w:val="18"/>
      </w:rPr>
      <w:t>Mesa de servicio: (+57) 601 7456788</w:t>
    </w:r>
  </w:p>
  <w:p w:rsidR="000849D5" w:rsidP="000849D5" w:rsidRDefault="000849D5" w14:paraId="48A5BA12" w14:textId="77777777">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rsidRPr="007D04B2" w:rsidR="000849D5" w:rsidP="000849D5" w:rsidRDefault="000849D5" w14:paraId="18E0208E" w14:textId="77777777">
    <w:pPr>
      <w:pStyle w:val="Piedepgina"/>
    </w:pPr>
  </w:p>
  <w:p w:rsidRPr="000849D5" w:rsidR="00B30448" w:rsidP="000849D5" w:rsidRDefault="00B30448" w14:paraId="694D9D28"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43C8D" w:rsidP="00B30448" w:rsidRDefault="00443C8D" w14:paraId="2B5DE87D" w14:textId="77777777">
      <w:pPr>
        <w:spacing w:after="0" w:line="240" w:lineRule="auto"/>
      </w:pPr>
      <w:r>
        <w:separator/>
      </w:r>
    </w:p>
  </w:footnote>
  <w:footnote w:type="continuationSeparator" w:id="0">
    <w:p w:rsidR="00443C8D" w:rsidP="00B30448" w:rsidRDefault="00443C8D" w14:paraId="1C664C4F" w14:textId="77777777">
      <w:pPr>
        <w:spacing w:after="0" w:line="240" w:lineRule="auto"/>
      </w:pPr>
      <w:r>
        <w:continuationSeparator/>
      </w:r>
    </w:p>
  </w:footnote>
  <w:footnote w:type="continuationNotice" w:id="1">
    <w:p w:rsidR="00443C8D" w:rsidRDefault="00443C8D" w14:paraId="1D57A47D" w14:textId="77777777">
      <w:pPr>
        <w:spacing w:after="0" w:line="240" w:lineRule="auto"/>
      </w:pPr>
    </w:p>
  </w:footnote>
  <w:footnote w:id="2">
    <w:p w:rsidRPr="0008723A" w:rsidR="00945F14" w:rsidP="00945F14" w:rsidRDefault="00945F14" w14:paraId="60726660" w14:textId="77777777">
      <w:pPr>
        <w:pStyle w:val="Textonotapie"/>
        <w:ind w:firstLine="708"/>
        <w:jc w:val="both"/>
        <w:rPr>
          <w:rFonts w:ascii="Verdana" w:hAnsi="Verdana"/>
          <w:sz w:val="16"/>
          <w:szCs w:val="16"/>
          <w:lang w:val="es-ES"/>
        </w:rPr>
      </w:pPr>
      <w:r w:rsidRPr="0008723A">
        <w:rPr>
          <w:rStyle w:val="Refdenotaalpie"/>
          <w:rFonts w:ascii="Verdana" w:hAnsi="Verdana"/>
          <w:sz w:val="16"/>
          <w:szCs w:val="16"/>
        </w:rPr>
        <w:footnoteRef/>
      </w:r>
      <w:r w:rsidRPr="0008723A">
        <w:rPr>
          <w:rFonts w:ascii="Verdana" w:hAnsi="Verdana"/>
          <w:sz w:val="16"/>
          <w:szCs w:val="16"/>
        </w:rPr>
        <w:t xml:space="preserve"> CORTE CONSTITUCIONAL. Sentencia C-949 del 5 de septiembre de 2001. M.P. Clara Inés Vargas Hernández.  </w:t>
      </w:r>
    </w:p>
  </w:footnote>
  <w:footnote w:id="3">
    <w:p w:rsidRPr="00CC1F33" w:rsidR="00475FC7" w:rsidP="00475FC7" w:rsidRDefault="00475FC7" w14:paraId="7BCD3071" w14:textId="77777777">
      <w:pPr>
        <w:pStyle w:val="Textonotapie"/>
        <w:ind w:firstLine="708"/>
        <w:contextualSpacing/>
        <w:jc w:val="both"/>
        <w:rPr>
          <w:rFonts w:ascii="Verdana" w:hAnsi="Verdana" w:cs="Arial"/>
          <w:sz w:val="16"/>
          <w:szCs w:val="16"/>
        </w:rPr>
      </w:pPr>
      <w:r w:rsidRPr="00CC1F33">
        <w:rPr>
          <w:rFonts w:ascii="Verdana" w:hAnsi="Verdana"/>
          <w:sz w:val="16"/>
          <w:szCs w:val="16"/>
          <w:vertAlign w:val="superscript"/>
        </w:rPr>
        <w:footnoteRef/>
      </w:r>
      <w:r w:rsidRPr="00CC1F33">
        <w:rPr>
          <w:rFonts w:ascii="Verdana" w:hAnsi="Verdana" w:cs="Arial"/>
          <w:sz w:val="16"/>
          <w:szCs w:val="16"/>
          <w:vertAlign w:val="superscript"/>
        </w:rPr>
        <w:t xml:space="preserve"> </w:t>
      </w:r>
      <w:r w:rsidRPr="00CC1F33">
        <w:rPr>
          <w:rFonts w:ascii="Verdana" w:hAnsi="Verdana" w:cs="Arial"/>
          <w:sz w:val="16"/>
          <w:szCs w:val="16"/>
        </w:rPr>
        <w:t>DÁVILA VINUEZA. Luis Guillermo. Régimen jurídico de la contratación estatal. 3ª ed. Bogotá: Temis, 2016. p. 494.</w:t>
      </w:r>
    </w:p>
  </w:footnote>
  <w:footnote w:id="4">
    <w:p w:rsidRPr="00CC1F33" w:rsidR="00475FC7" w:rsidP="00475FC7" w:rsidRDefault="00475FC7" w14:paraId="09C869AC" w14:textId="77777777">
      <w:pPr>
        <w:pStyle w:val="Textonotapie"/>
        <w:ind w:firstLine="708"/>
        <w:contextualSpacing/>
        <w:jc w:val="both"/>
        <w:rPr>
          <w:rFonts w:ascii="Verdana" w:hAnsi="Verdana" w:cs="Arial"/>
          <w:sz w:val="16"/>
          <w:szCs w:val="16"/>
        </w:rPr>
      </w:pPr>
      <w:r w:rsidRPr="00CC1F33">
        <w:rPr>
          <w:rFonts w:ascii="Verdana" w:hAnsi="Verdana"/>
          <w:sz w:val="16"/>
          <w:szCs w:val="16"/>
          <w:vertAlign w:val="superscript"/>
        </w:rPr>
        <w:footnoteRef/>
      </w:r>
      <w:r w:rsidRPr="00CC1F33">
        <w:rPr>
          <w:rFonts w:ascii="Verdana" w:hAnsi="Verdana" w:cs="Arial"/>
          <w:sz w:val="16"/>
          <w:szCs w:val="16"/>
          <w:vertAlign w:val="superscript"/>
        </w:rPr>
        <w:t xml:space="preserve"> </w:t>
      </w:r>
      <w:r w:rsidRPr="00CC1F33">
        <w:rPr>
          <w:rFonts w:ascii="Verdana" w:hAnsi="Verdana" w:cs="Arial"/>
          <w:sz w:val="16"/>
          <w:szCs w:val="16"/>
        </w:rPr>
        <w:t>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rsidRPr="00CC1F33" w:rsidR="00475FC7" w:rsidP="00475FC7" w:rsidRDefault="00475FC7" w14:paraId="688AA04F" w14:textId="77777777">
      <w:pPr>
        <w:pStyle w:val="Textonotapie"/>
        <w:ind w:firstLine="708"/>
        <w:contextualSpacing/>
        <w:jc w:val="both"/>
        <w:rPr>
          <w:rFonts w:ascii="Verdana" w:hAnsi="Verdana" w:cs="Arial"/>
          <w:sz w:val="16"/>
          <w:szCs w:val="16"/>
        </w:rPr>
      </w:pPr>
      <w:r w:rsidRPr="00CC1F33">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5">
    <w:p w:rsidRPr="00CC1F33" w:rsidR="00881E88" w:rsidP="00881E88" w:rsidRDefault="00881E88" w14:paraId="4B832E2A" w14:textId="77777777">
      <w:pPr>
        <w:spacing w:line="240" w:lineRule="auto"/>
        <w:ind w:firstLine="708"/>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Consejo de Estado. Sala de Consulta y Servicio Civil. Concepto 26 de julio de 2016. </w:t>
      </w:r>
      <w:proofErr w:type="spellStart"/>
      <w:r w:rsidRPr="00CC1F33">
        <w:rPr>
          <w:rFonts w:ascii="Verdana" w:hAnsi="Verdana" w:cs="Arial"/>
          <w:sz w:val="16"/>
          <w:szCs w:val="16"/>
        </w:rPr>
        <w:t>Exp</w:t>
      </w:r>
      <w:proofErr w:type="spellEnd"/>
      <w:r w:rsidRPr="00CC1F33">
        <w:rPr>
          <w:rFonts w:ascii="Verdana" w:hAnsi="Verdana" w:cs="Arial"/>
          <w:sz w:val="16"/>
          <w:szCs w:val="16"/>
        </w:rPr>
        <w:t xml:space="preserve">. 2.257. C.P. Álvaro </w:t>
      </w:r>
      <w:proofErr w:type="spellStart"/>
      <w:r w:rsidRPr="00CC1F33">
        <w:rPr>
          <w:rFonts w:ascii="Verdana" w:hAnsi="Verdana" w:cs="Arial"/>
          <w:sz w:val="16"/>
          <w:szCs w:val="16"/>
        </w:rPr>
        <w:t>Namén</w:t>
      </w:r>
      <w:proofErr w:type="spellEnd"/>
      <w:r w:rsidRPr="00CC1F33">
        <w:rPr>
          <w:rFonts w:ascii="Verdana" w:hAnsi="Verdana" w:cs="Arial"/>
          <w:sz w:val="16"/>
          <w:szCs w:val="16"/>
        </w:rPr>
        <w:t xml:space="preserve"> Vargas.</w:t>
      </w:r>
    </w:p>
  </w:footnote>
  <w:footnote w:id="6">
    <w:p w:rsidRPr="00CC1F33" w:rsidR="00881E88" w:rsidP="00881E88" w:rsidRDefault="00881E88" w14:paraId="028ECED0" w14:textId="77777777">
      <w:pPr>
        <w:spacing w:line="240" w:lineRule="auto"/>
        <w:ind w:firstLine="708"/>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[Referencia propia de la cita] «CE. SCSC. Concepto de 1 de noviembre de 2016 [Rad. 11001-03-06-000-2016-00125-00(2305)]. MP. Germán Alberto Bula Escobar».</w:t>
      </w:r>
    </w:p>
  </w:footnote>
  <w:footnote w:id="7">
    <w:p w:rsidRPr="00CC1F33" w:rsidR="00881E88" w:rsidP="00881E88" w:rsidRDefault="00881E88" w14:paraId="3BA0B4F7" w14:textId="77777777">
      <w:pPr>
        <w:spacing w:line="240" w:lineRule="auto"/>
        <w:ind w:firstLine="708"/>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sidRPr="00CC1F33">
        <w:rPr>
          <w:rFonts w:ascii="Verdana" w:hAnsi="Verdana" w:cs="Arial"/>
          <w:i/>
          <w:sz w:val="16"/>
          <w:szCs w:val="16"/>
        </w:rPr>
        <w:t>“obligacional”</w:t>
      </w:r>
      <w:r w:rsidRPr="00CC1F33">
        <w:rPr>
          <w:rFonts w:ascii="Verdana" w:hAnsi="Verdana" w:cs="Arial"/>
          <w:sz w:val="16"/>
          <w:szCs w:val="16"/>
        </w:rPr>
        <w:t xml:space="preserve"> de los convenios se estructura definiendo el resultado querido por las partes y los medios que cada entidad despliega para la obtención del respectivo objeto”.</w:t>
      </w:r>
    </w:p>
  </w:footnote>
  <w:footnote w:id="8">
    <w:p w:rsidRPr="00CC1F33" w:rsidR="00881E88" w:rsidP="00881E88" w:rsidRDefault="00881E88" w14:paraId="1F4B3270" w14:textId="77777777">
      <w:pPr>
        <w:spacing w:after="0" w:line="240" w:lineRule="auto"/>
        <w:ind w:firstLine="709"/>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[Referencia propia de la cita] “La normativa vigente del EGCAP </w:t>
      </w:r>
      <w:r w:rsidRPr="00CC1F33">
        <w:rPr>
          <w:rFonts w:ascii="Verdana" w:hAnsi="Verdana" w:cs="Arial"/>
          <w:i/>
          <w:sz w:val="16"/>
          <w:szCs w:val="16"/>
        </w:rPr>
        <w:t>[literal c) del numeral 4. del artículo 2 de la Ley 1150/07]</w:t>
      </w:r>
      <w:r w:rsidRPr="00CC1F33">
        <w:rPr>
          <w:rFonts w:ascii="Verdana" w:hAnsi="Verdana" w:cs="Arial"/>
          <w:sz w:val="16"/>
          <w:szCs w:val="16"/>
        </w:rPr>
        <w:t xml:space="preserve"> se refiere a </w:t>
      </w:r>
      <w:r w:rsidRPr="00CC1F33">
        <w:rPr>
          <w:rFonts w:ascii="Verdana" w:hAnsi="Verdana" w:cs="Arial"/>
          <w:i/>
          <w:sz w:val="16"/>
          <w:szCs w:val="16"/>
        </w:rPr>
        <w:t>“contratos interadministrativos”</w:t>
      </w:r>
      <w:r w:rsidRPr="00CC1F33">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9">
    <w:p w:rsidRPr="00CC1F33" w:rsidR="00881E88" w:rsidP="00881E88" w:rsidRDefault="00881E88" w14:paraId="6619AE16" w14:textId="77777777">
      <w:pPr>
        <w:pStyle w:val="Textonotapie"/>
        <w:ind w:firstLine="709"/>
        <w:contextualSpacing/>
        <w:jc w:val="both"/>
        <w:rPr>
          <w:rFonts w:ascii="Verdana" w:hAnsi="Verdana" w:cs="Arial"/>
          <w:sz w:val="16"/>
          <w:szCs w:val="16"/>
        </w:rPr>
      </w:pPr>
      <w:r w:rsidRPr="00CC1F33">
        <w:rPr>
          <w:rStyle w:val="Refdenotaalpie"/>
          <w:rFonts w:ascii="Verdana" w:hAnsi="Verdana" w:cs="Arial"/>
          <w:sz w:val="16"/>
          <w:szCs w:val="16"/>
        </w:rPr>
        <w:footnoteRef/>
      </w:r>
      <w:r w:rsidRPr="00CC1F33">
        <w:rPr>
          <w:rFonts w:ascii="Verdana" w:hAnsi="Verdana" w:cs="Arial"/>
          <w:sz w:val="16"/>
          <w:szCs w:val="16"/>
        </w:rPr>
        <w:t xml:space="preserve"> Sobre el particular, en ocasiones el Consejo de Estado ha establecido que en aquellos casos en que se pacte remuneración en el marco de un convenio interadministrativo, independientemente de la denominación que se adopte, el negocio jurídico podría no corresponder a su naturaleza y en consecuencia a sus efectos jurídicos. A juicio de esta corporación “en realidad, los convenios en los cuales las partes se obligan patrimonialmente constituyen contratos en toda la extensión del concepto y con todos los efectos de esa particular institución jurídica”, de manera que indudablemente les será aplicable el EGCAP. (Consejo de Estado. Sala de lo Contencioso Administrativo, Sección Tercera. Sentencia de 23 de junio de 2010, Exp. 1998-00261. C.P. Mauricio Fajardo Gómez). Cfr. Consejo de Estado. Sala de Consulta y Servicio Civil. Concepto de 30 de abril de 2008. Rad. 1881.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515FB5" w:rsidP="00515FB5" w:rsidRDefault="00515FB5" w14:paraId="0555F344" w14:textId="77777777">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705E8896" wp14:editId="75AAE51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38239446" wp14:editId="47FC111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515FB5" w:rsidP="00515FB5" w:rsidRDefault="00515FB5" w14:paraId="4D6235BE" w14:textId="77777777">
    <w:pPr>
      <w:pStyle w:val="Encabezado"/>
    </w:pPr>
  </w:p>
  <w:p w:rsidR="00515FB5" w:rsidP="00515FB5" w:rsidRDefault="00515FB5" w14:paraId="4BB4A326" w14:textId="77777777">
    <w:pPr>
      <w:pStyle w:val="Encabezado"/>
    </w:pPr>
  </w:p>
  <w:p w:rsidR="00515FB5" w:rsidP="00515FB5" w:rsidRDefault="00515FB5" w14:paraId="6BE3BC92" w14:textId="77777777">
    <w:pPr>
      <w:pStyle w:val="Encabezado"/>
    </w:pPr>
  </w:p>
  <w:p w:rsidRPr="00AB7B56" w:rsidR="00515FB5" w:rsidP="00515FB5" w:rsidRDefault="00515FB5" w14:paraId="1AC63017" w14:textId="77777777">
    <w:pPr>
      <w:pStyle w:val="Encabezado"/>
    </w:pPr>
  </w:p>
  <w:p w:rsidRPr="00515FB5" w:rsidR="00B30448" w:rsidP="00515FB5" w:rsidRDefault="00B30448" w14:paraId="402FB05B" w14:textId="777777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hint="default" w:ascii="Arial" w:hAnsi="Arial" w:eastAsia="Arial" w:cs="Arial"/>
        <w:b/>
        <w:bCs/>
        <w:w w:val="100"/>
        <w:sz w:val="22"/>
        <w:szCs w:val="22"/>
        <w:lang w:val="es-ES" w:eastAsia="en-US" w:bidi="ar-SA"/>
      </w:rPr>
    </w:lvl>
    <w:lvl w:ilvl="1">
      <w:start w:val="1"/>
      <w:numFmt w:val="decimal"/>
      <w:lvlText w:val="%1.%2."/>
      <w:lvlJc w:val="left"/>
      <w:pPr>
        <w:ind w:left="529" w:hanging="430"/>
        <w:jc w:val="left"/>
      </w:pPr>
      <w:rPr>
        <w:rFonts w:hint="default" w:ascii="Arial" w:hAnsi="Arial" w:eastAsia="Arial" w:cs="Arial"/>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5" w15:restartNumberingAfterBreak="0">
    <w:nsid w:val="30417C55"/>
    <w:multiLevelType w:val="multilevel"/>
    <w:tmpl w:val="2438CEA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9" w15:restartNumberingAfterBreak="0">
    <w:nsid w:val="4AA7326E"/>
    <w:multiLevelType w:val="multilevel"/>
    <w:tmpl w:val="5CE2D418"/>
    <w:lvl w:ilvl="0">
      <w:start w:val="1"/>
      <w:numFmt w:val="decimal"/>
      <w:lvlText w:val="%1."/>
      <w:lvlJc w:val="left"/>
      <w:pPr>
        <w:ind w:left="480" w:hanging="360"/>
      </w:pPr>
      <w:rPr>
        <w:rFonts w:hint="default" w:ascii="Arial" w:hAnsi="Arial" w:eastAsia="Arial" w:cs="Arial"/>
        <w:b/>
        <w:bCs/>
        <w:color w:val="4E4D4D"/>
        <w:spacing w:val="-8"/>
        <w:w w:val="100"/>
        <w:sz w:val="22"/>
        <w:szCs w:val="22"/>
        <w:lang w:val="es-ES" w:eastAsia="en-US" w:bidi="ar-SA"/>
      </w:rPr>
    </w:lvl>
    <w:lvl w:ilvl="1">
      <w:start w:val="1"/>
      <w:numFmt w:val="decimal"/>
      <w:lvlText w:val="%1.%2"/>
      <w:lvlJc w:val="left"/>
      <w:pPr>
        <w:ind w:left="688" w:hanging="578"/>
      </w:pPr>
      <w:rPr>
        <w:rFonts w:hint="default" w:ascii="Arial" w:hAnsi="Arial" w:eastAsia="Arial" w:cs="Arial"/>
        <w:b/>
        <w:bCs/>
        <w:color w:val="4E4D4D"/>
        <w:spacing w:val="-3"/>
        <w:w w:val="100"/>
        <w:sz w:val="22"/>
        <w:szCs w:val="22"/>
        <w:lang w:val="es-ES" w:eastAsia="en-US" w:bidi="ar-SA"/>
      </w:rPr>
    </w:lvl>
    <w:lvl w:ilvl="2">
      <w:start w:val="1"/>
      <w:numFmt w:val="lowerLetter"/>
      <w:lvlText w:val="%3)"/>
      <w:lvlJc w:val="left"/>
      <w:pPr>
        <w:ind w:left="800" w:hanging="325"/>
      </w:pPr>
      <w:rPr>
        <w:rFonts w:hint="default" w:ascii="Arial" w:hAnsi="Arial" w:eastAsia="Arial" w:cs="Arial"/>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90670214">
    <w:abstractNumId w:val="7"/>
  </w:num>
  <w:num w:numId="2" w16cid:durableId="4285022">
    <w:abstractNumId w:val="2"/>
  </w:num>
  <w:num w:numId="3" w16cid:durableId="881983949">
    <w:abstractNumId w:val="4"/>
  </w:num>
  <w:num w:numId="4" w16cid:durableId="341274352">
    <w:abstractNumId w:val="0"/>
  </w:num>
  <w:num w:numId="5" w16cid:durableId="1887524674">
    <w:abstractNumId w:val="9"/>
  </w:num>
  <w:num w:numId="6" w16cid:durableId="1082990391">
    <w:abstractNumId w:val="1"/>
  </w:num>
  <w:num w:numId="7" w16cid:durableId="1492209491">
    <w:abstractNumId w:val="6"/>
  </w:num>
  <w:num w:numId="8" w16cid:durableId="679089576">
    <w:abstractNumId w:val="8"/>
  </w:num>
  <w:num w:numId="9" w16cid:durableId="152644682">
    <w:abstractNumId w:val="10"/>
  </w:num>
  <w:num w:numId="10" w16cid:durableId="119418375">
    <w:abstractNumId w:val="3"/>
  </w:num>
  <w:num w:numId="11" w16cid:durableId="2120825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dirty"/>
  <w:attachedTemplate r:id="rId1"/>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69E"/>
    <w:rsid w:val="000016F3"/>
    <w:rsid w:val="000037AE"/>
    <w:rsid w:val="00005BB0"/>
    <w:rsid w:val="0001025F"/>
    <w:rsid w:val="0001222D"/>
    <w:rsid w:val="000135EB"/>
    <w:rsid w:val="00015D2B"/>
    <w:rsid w:val="00023640"/>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0D7949"/>
    <w:rsid w:val="0011037E"/>
    <w:rsid w:val="001268A9"/>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894"/>
    <w:rsid w:val="00212A46"/>
    <w:rsid w:val="0021401D"/>
    <w:rsid w:val="002146B8"/>
    <w:rsid w:val="00215516"/>
    <w:rsid w:val="002527C2"/>
    <w:rsid w:val="00270443"/>
    <w:rsid w:val="00270EE2"/>
    <w:rsid w:val="00272972"/>
    <w:rsid w:val="0027561D"/>
    <w:rsid w:val="00286491"/>
    <w:rsid w:val="002A0F8D"/>
    <w:rsid w:val="002B6E44"/>
    <w:rsid w:val="002B74B1"/>
    <w:rsid w:val="002E14B2"/>
    <w:rsid w:val="002E1DB5"/>
    <w:rsid w:val="002F6CCB"/>
    <w:rsid w:val="0030461E"/>
    <w:rsid w:val="003107A1"/>
    <w:rsid w:val="00316F8E"/>
    <w:rsid w:val="0032756A"/>
    <w:rsid w:val="00334EF8"/>
    <w:rsid w:val="00336408"/>
    <w:rsid w:val="00340DFB"/>
    <w:rsid w:val="00341375"/>
    <w:rsid w:val="0034404F"/>
    <w:rsid w:val="0035328C"/>
    <w:rsid w:val="00356980"/>
    <w:rsid w:val="00367462"/>
    <w:rsid w:val="00371ECA"/>
    <w:rsid w:val="00372748"/>
    <w:rsid w:val="0037332A"/>
    <w:rsid w:val="0038151A"/>
    <w:rsid w:val="0039082A"/>
    <w:rsid w:val="00390C21"/>
    <w:rsid w:val="0039128E"/>
    <w:rsid w:val="003A37BD"/>
    <w:rsid w:val="003B3F52"/>
    <w:rsid w:val="003B6D94"/>
    <w:rsid w:val="003C4C96"/>
    <w:rsid w:val="003C55E0"/>
    <w:rsid w:val="003F519B"/>
    <w:rsid w:val="0040544F"/>
    <w:rsid w:val="00406A19"/>
    <w:rsid w:val="0041222D"/>
    <w:rsid w:val="0041483E"/>
    <w:rsid w:val="00415369"/>
    <w:rsid w:val="00424B49"/>
    <w:rsid w:val="00430492"/>
    <w:rsid w:val="00443C8D"/>
    <w:rsid w:val="00450BE7"/>
    <w:rsid w:val="0046741E"/>
    <w:rsid w:val="00472CC6"/>
    <w:rsid w:val="00475FC7"/>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4E15ED"/>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E7B60"/>
    <w:rsid w:val="005F077C"/>
    <w:rsid w:val="005F63D0"/>
    <w:rsid w:val="005F7973"/>
    <w:rsid w:val="006059AD"/>
    <w:rsid w:val="0061690E"/>
    <w:rsid w:val="00627361"/>
    <w:rsid w:val="0063017E"/>
    <w:rsid w:val="00631B28"/>
    <w:rsid w:val="006365DD"/>
    <w:rsid w:val="00645B90"/>
    <w:rsid w:val="00650991"/>
    <w:rsid w:val="006511D7"/>
    <w:rsid w:val="006540EA"/>
    <w:rsid w:val="00663D75"/>
    <w:rsid w:val="00663F2F"/>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7D6F59"/>
    <w:rsid w:val="00801DCA"/>
    <w:rsid w:val="00807D79"/>
    <w:rsid w:val="00813634"/>
    <w:rsid w:val="00815BF2"/>
    <w:rsid w:val="00822821"/>
    <w:rsid w:val="00831C29"/>
    <w:rsid w:val="00837D04"/>
    <w:rsid w:val="008431EF"/>
    <w:rsid w:val="008468E0"/>
    <w:rsid w:val="008526E9"/>
    <w:rsid w:val="00863B82"/>
    <w:rsid w:val="00871B59"/>
    <w:rsid w:val="00877D03"/>
    <w:rsid w:val="00877E96"/>
    <w:rsid w:val="008806CA"/>
    <w:rsid w:val="008815E5"/>
    <w:rsid w:val="00881E88"/>
    <w:rsid w:val="00887B37"/>
    <w:rsid w:val="008909B9"/>
    <w:rsid w:val="00891DFC"/>
    <w:rsid w:val="008B12B4"/>
    <w:rsid w:val="008B7914"/>
    <w:rsid w:val="008C5D2A"/>
    <w:rsid w:val="008C6A4D"/>
    <w:rsid w:val="008C7AF4"/>
    <w:rsid w:val="008D529F"/>
    <w:rsid w:val="008F5CC8"/>
    <w:rsid w:val="009025B2"/>
    <w:rsid w:val="009061B8"/>
    <w:rsid w:val="0091008B"/>
    <w:rsid w:val="00911EA2"/>
    <w:rsid w:val="00916C7D"/>
    <w:rsid w:val="0092575D"/>
    <w:rsid w:val="009341DA"/>
    <w:rsid w:val="009430F9"/>
    <w:rsid w:val="00943249"/>
    <w:rsid w:val="009442E8"/>
    <w:rsid w:val="00945F14"/>
    <w:rsid w:val="00946BD0"/>
    <w:rsid w:val="0095426C"/>
    <w:rsid w:val="00970087"/>
    <w:rsid w:val="00971074"/>
    <w:rsid w:val="00983695"/>
    <w:rsid w:val="00995D86"/>
    <w:rsid w:val="00996CAD"/>
    <w:rsid w:val="009A5453"/>
    <w:rsid w:val="009B4D94"/>
    <w:rsid w:val="009C2871"/>
    <w:rsid w:val="009D006D"/>
    <w:rsid w:val="009D3C33"/>
    <w:rsid w:val="009D7F3A"/>
    <w:rsid w:val="009E295D"/>
    <w:rsid w:val="009E4885"/>
    <w:rsid w:val="00A07DB6"/>
    <w:rsid w:val="00A10A73"/>
    <w:rsid w:val="00A170B3"/>
    <w:rsid w:val="00A223D5"/>
    <w:rsid w:val="00A37D1C"/>
    <w:rsid w:val="00A5453E"/>
    <w:rsid w:val="00A5582B"/>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1B94"/>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D269E"/>
    <w:rsid w:val="00CE6BDA"/>
    <w:rsid w:val="00D03DBE"/>
    <w:rsid w:val="00D072C0"/>
    <w:rsid w:val="00D34C82"/>
    <w:rsid w:val="00D3757A"/>
    <w:rsid w:val="00D504A9"/>
    <w:rsid w:val="00D5206D"/>
    <w:rsid w:val="00D7177D"/>
    <w:rsid w:val="00D81311"/>
    <w:rsid w:val="00DB201E"/>
    <w:rsid w:val="00DB555B"/>
    <w:rsid w:val="00DC0E68"/>
    <w:rsid w:val="00DD25ED"/>
    <w:rsid w:val="00DD6C85"/>
    <w:rsid w:val="00DE0D6E"/>
    <w:rsid w:val="00E1610C"/>
    <w:rsid w:val="00E16D73"/>
    <w:rsid w:val="00E23E9E"/>
    <w:rsid w:val="00E25722"/>
    <w:rsid w:val="00E27F0A"/>
    <w:rsid w:val="00E4231E"/>
    <w:rsid w:val="00E4302C"/>
    <w:rsid w:val="00E44AC7"/>
    <w:rsid w:val="00E45F4B"/>
    <w:rsid w:val="00E60A16"/>
    <w:rsid w:val="00E72D20"/>
    <w:rsid w:val="00E77BD5"/>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3795C"/>
    <w:rsid w:val="00F508D3"/>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C5391A6"/>
    <w:rsid w:val="2F421DDF"/>
    <w:rsid w:val="389994B3"/>
    <w:rsid w:val="3B30A011"/>
    <w:rsid w:val="3B93C128"/>
    <w:rsid w:val="3CFBE104"/>
    <w:rsid w:val="510454D8"/>
    <w:rsid w:val="521E120A"/>
    <w:rsid w:val="54058836"/>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9DB04D"/>
  <w15:docId w15:val="{44C49682-C34F-6644-89B6-383F27798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hAnsi="Arial" w:eastAsia="Arial" w:cs="Arial"/>
      <w:b/>
      <w:bCs/>
      <w:lang w:val="es-ES"/>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styleId="TextonotapieCar1" w:customStyle="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styleId="Appelnotedebasde" w:customStyle="1">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styleId="TextocomentarioCar" w:customStyle="1">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styleId="AsuntodelcomentarioCar" w:customStyle="1">
    <w:name w:val="Asunto del comentario Car"/>
    <w:basedOn w:val="TextocomentarioCar"/>
    <w:link w:val="Asuntodelcomentario"/>
    <w:uiPriority w:val="99"/>
    <w:semiHidden/>
    <w:rsid w:val="00A37D1C"/>
    <w:rPr>
      <w:b/>
      <w:bCs/>
      <w:sz w:val="20"/>
      <w:szCs w:val="20"/>
    </w:rPr>
  </w:style>
  <w:style w:type="paragraph" w:styleId="Normal11pt" w:customStyle="1">
    <w:name w:val="Normal + 11 pt"/>
    <w:aliases w:val="Negro,Justificado,Izquierda:  -0,95 cm,Derecha:  0,04 cm"/>
    <w:basedOn w:val="Normal"/>
    <w:uiPriority w:val="99"/>
    <w:rsid w:val="00B76C94"/>
    <w:pPr>
      <w:spacing w:after="0" w:line="240" w:lineRule="auto"/>
      <w:ind w:left="-540"/>
      <w:jc w:val="both"/>
    </w:pPr>
    <w:rPr>
      <w:rFonts w:ascii="Arial" w:hAnsi="Arial" w:eastAsia="Times New Roman" w:cs="Arial"/>
      <w:color w:val="000000"/>
      <w:lang w:val="es-ES_tradnl" w:eastAsia="es-ES"/>
    </w:rPr>
  </w:style>
  <w:style w:type="paragraph" w:styleId="Revisin">
    <w:name w:val="Revision"/>
    <w:hidden/>
    <w:uiPriority w:val="99"/>
    <w:semiHidden/>
    <w:rsid w:val="00F64D5A"/>
    <w:pPr>
      <w:spacing w:after="0" w:line="240" w:lineRule="auto"/>
    </w:pPr>
  </w:style>
  <w:style w:type="character" w:styleId="cf01" w:customStyle="1">
    <w:name w:val="cf01"/>
    <w:basedOn w:val="Fuentedeprrafopredeter"/>
    <w:rsid w:val="005019AA"/>
    <w:rPr>
      <w:rFonts w:hint="default" w:ascii="Segoe UI" w:hAnsi="Segoe UI" w:cs="Segoe UI"/>
      <w:i/>
      <w:iCs/>
      <w:sz w:val="18"/>
      <w:szCs w:val="18"/>
    </w:rPr>
  </w:style>
  <w:style w:type="character" w:styleId="normaltextrun" w:customStyle="1">
    <w:name w:val="normaltextrun"/>
    <w:basedOn w:val="Fuentedeprrafopredeter"/>
    <w:rsid w:val="5D8505AD"/>
  </w:style>
  <w:style w:type="character" w:styleId="eop" w:customStyle="1">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082E4C"/>
    <w:pPr>
      <w:ind w:left="720"/>
      <w:contextualSpacing/>
    </w:pPr>
  </w:style>
  <w:style w:type="character" w:styleId="Hipervnculo1" w:customStyle="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styleId="TextoindependienteCar" w:customStyle="1">
    <w:name w:val="Texto independiente Car"/>
    <w:basedOn w:val="Fuentedeprrafopredeter"/>
    <w:link w:val="Textoindependiente"/>
    <w:uiPriority w:val="1"/>
    <w:rsid w:val="00430492"/>
  </w:style>
  <w:style w:type="paragraph" w:styleId="Car1" w:customStyle="1">
    <w:name w:val="Car1"/>
    <w:basedOn w:val="Normal"/>
    <w:next w:val="Textonotapie"/>
    <w:uiPriority w:val="99"/>
    <w:unhideWhenUsed/>
    <w:qFormat/>
    <w:rsid w:val="00430492"/>
    <w:pPr>
      <w:spacing w:after="0" w:line="240" w:lineRule="auto"/>
    </w:pPr>
    <w:rPr>
      <w:sz w:val="20"/>
      <w:szCs w:val="20"/>
      <w:lang w:val="es-MX"/>
    </w:rPr>
  </w:style>
  <w:style w:type="paragraph" w:styleId="Cuadrculamedia1-nfasis21" w:customStyle="1">
    <w:name w:val="Cuadrícula media 1 - Énfasis 21"/>
    <w:basedOn w:val="Normal"/>
    <w:uiPriority w:val="34"/>
    <w:qFormat/>
    <w:rsid w:val="009C2871"/>
    <w:pPr>
      <w:ind w:left="720"/>
      <w:contextualSpacing/>
    </w:pPr>
    <w:rPr>
      <w:rFonts w:ascii="Calibri" w:hAnsi="Calibri" w:eastAsia="Calibri" w:cs="Times New Roman"/>
    </w:rPr>
  </w:style>
  <w:style w:type="character" w:styleId="Ttulo1Car" w:customStyle="1">
    <w:name w:val="Título 1 Car"/>
    <w:basedOn w:val="Fuentedeprrafopredeter"/>
    <w:link w:val="Ttulo1"/>
    <w:uiPriority w:val="1"/>
    <w:rsid w:val="00B34786"/>
    <w:rPr>
      <w:rFonts w:ascii="Arial" w:hAnsi="Arial" w:eastAsia="Arial" w:cs="Arial"/>
      <w:b/>
      <w:bCs/>
      <w:lang w:val="es-ES"/>
    </w:rPr>
  </w:style>
  <w:style w:type="paragraph" w:styleId="Default" w:customStyle="1">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B34786"/>
    <w:rPr>
      <w:rFonts w:ascii="Geomanist" w:hAnsi="Geomanist" w:eastAsiaTheme="majorEastAsia" w:cstheme="majorBidi"/>
      <w:spacing w:val="-10"/>
      <w:kern w:val="28"/>
      <w:szCs w:val="56"/>
      <w:lang w:val="es-ES"/>
    </w:rPr>
  </w:style>
  <w:style w:type="table" w:styleId="Tablaconcuadrcula1" w:customStyle="1">
    <w:name w:val="Tabla con cuadrícula1"/>
    <w:basedOn w:val="Tablanormal"/>
    <w:next w:val="Tablaconcuadrcula"/>
    <w:uiPriority w:val="59"/>
    <w:qFormat/>
    <w:rsid w:val="00B3478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numbering" w:styleId="Sinlista1" w:customStyle="1">
    <w:name w:val="Sin lista1"/>
    <w:next w:val="Sinlista"/>
    <w:uiPriority w:val="99"/>
    <w:semiHidden/>
    <w:unhideWhenUsed/>
    <w:rsid w:val="00B34786"/>
  </w:style>
  <w:style w:type="table" w:styleId="TableNormal" w:customStyle="1">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ableParagraph" w:customStyle="1">
    <w:name w:val="Table Paragraph"/>
    <w:basedOn w:val="Normal"/>
    <w:uiPriority w:val="1"/>
    <w:qFormat/>
    <w:rsid w:val="00B34786"/>
    <w:pPr>
      <w:widowControl w:val="0"/>
      <w:autoSpaceDE w:val="0"/>
      <w:autoSpaceDN w:val="0"/>
      <w:spacing w:after="0" w:line="208" w:lineRule="exact"/>
      <w:ind w:left="119"/>
    </w:pPr>
    <w:rPr>
      <w:rFonts w:ascii="Calibri" w:hAnsi="Calibri" w:eastAsia="Calibri" w:cs="Calibri"/>
      <w:lang w:val="es-ES"/>
    </w:rPr>
  </w:style>
  <w:style w:type="table" w:styleId="Tablaconcuadrcula2" w:customStyle="1">
    <w:name w:val="Tabla con cuadrícula2"/>
    <w:basedOn w:val="Tablanormal"/>
    <w:next w:val="Tablaconcuadrcula"/>
    <w:uiPriority w:val="39"/>
    <w:rsid w:val="00B3478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01A5DD4"/>
    <w:pPr>
      <w:spacing w:before="100" w:beforeAutospacing="1" w:after="100" w:afterAutospacing="1" w:line="240" w:lineRule="auto"/>
    </w:pPr>
    <w:rPr>
      <w:rFonts w:ascii="Times New Roman" w:hAnsi="Times New Roman" w:eastAsia="Times New Roman" w:cs="Times New Roman"/>
      <w:sz w:val="24"/>
      <w:szCs w:val="24"/>
      <w:lang w:eastAsia="es-ES_tradnl"/>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styleId="apple-converted-space" w:customStyle="1">
    <w:name w:val="apple-converted-space"/>
    <w:basedOn w:val="Fuentedeprrafopredeter"/>
    <w:rsid w:val="009432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798033207">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070268492">
      <w:bodyDiv w:val="1"/>
      <w:marLeft w:val="0"/>
      <w:marRight w:val="0"/>
      <w:marTop w:val="0"/>
      <w:marBottom w:val="0"/>
      <w:divBdr>
        <w:top w:val="none" w:sz="0" w:space="0" w:color="auto"/>
        <w:left w:val="none" w:sz="0" w:space="0" w:color="auto"/>
        <w:bottom w:val="none" w:sz="0" w:space="0" w:color="auto"/>
        <w:right w:val="none" w:sz="0" w:space="0" w:color="auto"/>
      </w:divBdr>
    </w:div>
    <w:div w:id="1096704897">
      <w:bodyDiv w:val="1"/>
      <w:marLeft w:val="0"/>
      <w:marRight w:val="0"/>
      <w:marTop w:val="0"/>
      <w:marBottom w:val="0"/>
      <w:divBdr>
        <w:top w:val="none" w:sz="0" w:space="0" w:color="auto"/>
        <w:left w:val="none" w:sz="0" w:space="0" w:color="auto"/>
        <w:bottom w:val="none" w:sz="0" w:space="0" w:color="auto"/>
        <w:right w:val="none" w:sz="0" w:space="0" w:color="auto"/>
      </w:divBdr>
    </w:div>
    <w:div w:id="1125780357">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386446584">
      <w:bodyDiv w:val="1"/>
      <w:marLeft w:val="0"/>
      <w:marRight w:val="0"/>
      <w:marTop w:val="0"/>
      <w:marBottom w:val="0"/>
      <w:divBdr>
        <w:top w:val="none" w:sz="0" w:space="0" w:color="auto"/>
        <w:left w:val="none" w:sz="0" w:space="0" w:color="auto"/>
        <w:bottom w:val="none" w:sz="0" w:space="0" w:color="auto"/>
        <w:right w:val="none" w:sz="0" w:space="0" w:color="auto"/>
      </w:divBdr>
    </w:div>
    <w:div w:id="148952091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 Id="rId13" /><Relationship Type="http://schemas.openxmlformats.org/officeDocument/2006/relationships/footer" Target="footer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relatoria.colombiacompra.gov.co/busqueda/conceptos"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hyperlink" Target="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 TargetMode="Externa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 TargetMode="External" Id="rId14" /><Relationship Type="http://schemas.openxmlformats.org/officeDocument/2006/relationships/image" Target="/media/image4.png" Id="Rd726a8c71de141cb" /></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reagarzon/Desktop/CONCEPTOS%20CCE/ABRIL%20/C.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C.dotx</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Betty Elena Díaz Fernandez</lastModifiedBy>
  <revision>11</revision>
  <dcterms:created xsi:type="dcterms:W3CDTF">2025-04-11T20:55:00.0000000Z</dcterms:created>
  <dcterms:modified xsi:type="dcterms:W3CDTF">2025-04-30T11:43:53.7918767Z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