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91483" w14:textId="77777777" w:rsidR="00E5566A" w:rsidRPr="00E5566A" w:rsidRDefault="00E5566A" w:rsidP="00E5566A">
      <w:pPr>
        <w:spacing w:after="0" w:line="240" w:lineRule="auto"/>
        <w:jc w:val="both"/>
        <w:rPr>
          <w:rFonts w:ascii="Verdana" w:eastAsia="Calibri" w:hAnsi="Verdana" w:cs="Arial"/>
          <w:b/>
          <w:lang w:val="es-ES_tradnl"/>
        </w:rPr>
      </w:pPr>
      <w:bookmarkStart w:id="0" w:name="_Hlk181166130"/>
      <w:bookmarkStart w:id="1" w:name="_Hlk143780582"/>
      <w:r w:rsidRPr="00E5566A">
        <w:rPr>
          <w:rFonts w:ascii="Verdana" w:eastAsia="Calibri" w:hAnsi="Verdana" w:cs="Arial"/>
          <w:b/>
          <w:lang w:val="es-ES_tradnl"/>
        </w:rPr>
        <w:t>SELECCIÓN OBJETIVA – Contratación estatal – Concepto</w:t>
      </w:r>
    </w:p>
    <w:p w14:paraId="5C94B696" w14:textId="77777777" w:rsidR="00E5566A" w:rsidRPr="00E5566A" w:rsidRDefault="00E5566A" w:rsidP="00E5566A">
      <w:pPr>
        <w:spacing w:after="0" w:line="240" w:lineRule="auto"/>
        <w:jc w:val="both"/>
        <w:rPr>
          <w:rFonts w:ascii="Verdana" w:eastAsia="Calibri" w:hAnsi="Verdana" w:cs="Arial"/>
          <w:b/>
          <w:sz w:val="20"/>
          <w:szCs w:val="20"/>
          <w:lang w:val="es-ES_tradnl"/>
        </w:rPr>
      </w:pPr>
      <w:r w:rsidRPr="00E5566A">
        <w:rPr>
          <w:rFonts w:ascii="Verdana" w:eastAsia="Calibri" w:hAnsi="Verdana" w:cs="Arial"/>
          <w:b/>
          <w:sz w:val="20"/>
          <w:szCs w:val="20"/>
          <w:lang w:val="es-ES_tradnl"/>
        </w:rPr>
        <w:tab/>
      </w:r>
    </w:p>
    <w:p w14:paraId="1B096974" w14:textId="502D7FE4" w:rsidR="00E5566A" w:rsidRPr="00E5566A" w:rsidRDefault="00E5566A" w:rsidP="00E5566A">
      <w:pPr>
        <w:spacing w:after="0" w:line="240" w:lineRule="auto"/>
        <w:jc w:val="both"/>
        <w:rPr>
          <w:rFonts w:ascii="Verdana" w:eastAsia="Calibri" w:hAnsi="Verdana" w:cs="Arial"/>
          <w:bCs/>
          <w:lang w:val="es-ES_tradnl"/>
        </w:rPr>
      </w:pPr>
      <w:r w:rsidRPr="00E5566A">
        <w:rPr>
          <w:rFonts w:ascii="Verdana" w:eastAsia="Calibri" w:hAnsi="Verdana" w:cs="Arial"/>
          <w:bCs/>
          <w:sz w:val="20"/>
          <w:szCs w:val="20"/>
          <w:lang w:val="es-ES_tradnl"/>
        </w:rPr>
        <w:t>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al indicar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r w:rsidRPr="00E5566A">
        <w:rPr>
          <w:rFonts w:ascii="Verdana" w:eastAsia="Calibri" w:hAnsi="Verdana" w:cs="Arial"/>
          <w:bCs/>
          <w:lang w:val="es-ES_tradnl"/>
        </w:rPr>
        <w:t>.</w:t>
      </w:r>
    </w:p>
    <w:p w14:paraId="719F7F7B" w14:textId="77777777" w:rsidR="00E5566A" w:rsidRDefault="00E5566A" w:rsidP="008378C3">
      <w:pPr>
        <w:spacing w:after="0" w:line="240" w:lineRule="auto"/>
        <w:jc w:val="both"/>
        <w:rPr>
          <w:rFonts w:ascii="Verdana" w:eastAsia="Calibri" w:hAnsi="Verdana" w:cs="Arial"/>
          <w:b/>
          <w:lang w:val="es-ES_tradnl"/>
        </w:rPr>
      </w:pPr>
    </w:p>
    <w:p w14:paraId="3458EBBF" w14:textId="3950A4E2" w:rsidR="008378C3" w:rsidRPr="002A37DA" w:rsidRDefault="008378C3" w:rsidP="008378C3">
      <w:pPr>
        <w:spacing w:after="0" w:line="240" w:lineRule="auto"/>
        <w:jc w:val="both"/>
        <w:rPr>
          <w:rFonts w:ascii="Verdana" w:eastAsia="Calibri" w:hAnsi="Verdana" w:cs="Arial"/>
          <w:b/>
          <w:lang w:val="es-ES_tradnl"/>
        </w:rPr>
      </w:pPr>
      <w:r w:rsidRPr="002A37DA">
        <w:rPr>
          <w:rFonts w:ascii="Verdana" w:eastAsia="Calibri" w:hAnsi="Verdana" w:cs="Arial"/>
          <w:b/>
          <w:lang w:val="es-ES_tradnl"/>
        </w:rPr>
        <w:t>FACTORES DE DESEMPATE – Características – Límites</w:t>
      </w:r>
    </w:p>
    <w:p w14:paraId="5258BF59" w14:textId="77777777" w:rsidR="008378C3" w:rsidRPr="002A37DA" w:rsidRDefault="008378C3" w:rsidP="008378C3">
      <w:pPr>
        <w:spacing w:after="0" w:line="240" w:lineRule="auto"/>
        <w:jc w:val="both"/>
        <w:rPr>
          <w:rFonts w:ascii="Verdana" w:hAnsi="Verdana" w:cs="Arial"/>
          <w:noProof/>
          <w:highlight w:val="yellow"/>
          <w:lang w:val="es-ES_tradnl"/>
        </w:rPr>
      </w:pPr>
    </w:p>
    <w:p w14:paraId="31B1A5AE" w14:textId="4C16E388" w:rsidR="008378C3" w:rsidRPr="006727FD" w:rsidRDefault="008378C3" w:rsidP="008378C3">
      <w:pPr>
        <w:spacing w:after="0" w:line="240" w:lineRule="auto"/>
        <w:jc w:val="both"/>
        <w:rPr>
          <w:rFonts w:ascii="Verdana" w:eastAsia="Calibri" w:hAnsi="Verdana" w:cs="Arial"/>
          <w:sz w:val="20"/>
          <w:szCs w:val="20"/>
          <w:lang w:val="es-ES"/>
        </w:rPr>
      </w:pPr>
      <w:r w:rsidRPr="21D79E2A">
        <w:rPr>
          <w:rFonts w:ascii="Verdana" w:eastAsia="Calibri" w:hAnsi="Verdana" w:cs="Arial"/>
          <w:sz w:val="20"/>
          <w:szCs w:val="20"/>
          <w:lang w:val="es-ES"/>
        </w:rPr>
        <w:t>Dado que la selección objetiva es uno de los principios medulares de la contratación estatal, la escogencia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habilitación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14:paraId="072DD0B7" w14:textId="77777777" w:rsidR="008378C3" w:rsidRPr="002A37DA" w:rsidRDefault="008378C3" w:rsidP="008378C3">
      <w:pPr>
        <w:spacing w:after="0" w:line="240" w:lineRule="auto"/>
        <w:jc w:val="both"/>
        <w:rPr>
          <w:rFonts w:ascii="Verdana" w:eastAsia="Calibri" w:hAnsi="Verdana" w:cs="Arial"/>
          <w:b/>
          <w:highlight w:val="yellow"/>
          <w:lang w:val="es-ES_tradnl"/>
        </w:rPr>
      </w:pPr>
    </w:p>
    <w:p w14:paraId="03ACC16B" w14:textId="77777777" w:rsidR="008378C3" w:rsidRPr="002A37DA" w:rsidRDefault="008378C3" w:rsidP="008378C3">
      <w:pPr>
        <w:spacing w:after="0" w:line="240" w:lineRule="auto"/>
        <w:jc w:val="both"/>
        <w:rPr>
          <w:rFonts w:ascii="Verdana" w:eastAsia="Calibri" w:hAnsi="Verdana" w:cs="Arial"/>
          <w:b/>
          <w:lang w:val="es-ES_tradnl"/>
        </w:rPr>
      </w:pPr>
      <w:r w:rsidRPr="002A37DA">
        <w:rPr>
          <w:rFonts w:ascii="Verdana" w:eastAsia="Calibri" w:hAnsi="Verdana" w:cs="Arial"/>
          <w:b/>
          <w:lang w:val="es-ES_tradnl"/>
        </w:rPr>
        <w:t>LEY DE EMPRENDIMIENTO – Ley 2069 de 2020 – Reglamentación – Decreto 1860 de 2021 – Vigencia</w:t>
      </w:r>
    </w:p>
    <w:p w14:paraId="1584DD8C" w14:textId="77777777" w:rsidR="008378C3" w:rsidRPr="002A37DA" w:rsidRDefault="008378C3" w:rsidP="008378C3">
      <w:pPr>
        <w:spacing w:after="0" w:line="240" w:lineRule="auto"/>
        <w:jc w:val="both"/>
        <w:rPr>
          <w:rFonts w:ascii="Verdana" w:eastAsia="Calibri" w:hAnsi="Verdana" w:cs="Arial"/>
          <w:b/>
          <w:highlight w:val="yellow"/>
          <w:lang w:val="es-ES_tradnl"/>
        </w:rPr>
      </w:pPr>
    </w:p>
    <w:p w14:paraId="2533F5C3" w14:textId="77777777" w:rsidR="008378C3" w:rsidRPr="006727FD" w:rsidRDefault="008378C3" w:rsidP="008378C3">
      <w:pPr>
        <w:spacing w:after="0" w:line="240" w:lineRule="auto"/>
        <w:jc w:val="both"/>
        <w:rPr>
          <w:rFonts w:ascii="Verdana" w:eastAsia="Calibri" w:hAnsi="Verdana" w:cs="Arial"/>
          <w:sz w:val="20"/>
          <w:szCs w:val="20"/>
          <w:lang w:val="es-ES"/>
        </w:rPr>
      </w:pPr>
      <w:r w:rsidRPr="21D79E2A">
        <w:rPr>
          <w:rFonts w:ascii="Verdana" w:eastAsia="Calibri" w:hAnsi="Verdana" w:cs="Arial"/>
          <w:sz w:val="20"/>
          <w:szCs w:val="20"/>
          <w:lang w:val="es-ES"/>
        </w:rPr>
        <w:t>[…] el pasado 24 de diciembre,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tal como indica el artículo 1 del Decreto 1860 de 2021.</w:t>
      </w:r>
    </w:p>
    <w:p w14:paraId="556812A1" w14:textId="77777777" w:rsidR="008378C3" w:rsidRPr="002A37DA" w:rsidRDefault="008378C3" w:rsidP="008378C3">
      <w:pPr>
        <w:spacing w:after="0" w:line="240" w:lineRule="auto"/>
        <w:jc w:val="both"/>
        <w:rPr>
          <w:rFonts w:ascii="Verdana" w:eastAsia="Calibri" w:hAnsi="Verdana" w:cs="Arial"/>
          <w:b/>
          <w:lang w:val="es-ES_tradnl"/>
        </w:rPr>
      </w:pPr>
    </w:p>
    <w:p w14:paraId="149F8DB2" w14:textId="77777777" w:rsidR="008378C3" w:rsidRPr="002A37DA" w:rsidRDefault="008378C3" w:rsidP="008378C3">
      <w:pPr>
        <w:spacing w:after="0" w:line="240" w:lineRule="auto"/>
        <w:jc w:val="both"/>
        <w:rPr>
          <w:rFonts w:ascii="Verdana" w:eastAsia="Calibri" w:hAnsi="Verdana" w:cs="Arial"/>
          <w:b/>
          <w:lang w:val="es-ES_tradnl"/>
        </w:rPr>
      </w:pPr>
      <w:r w:rsidRPr="002A37DA">
        <w:rPr>
          <w:rFonts w:ascii="Verdana" w:eastAsia="Calibri" w:hAnsi="Verdana" w:cs="Arial"/>
          <w:b/>
          <w:lang w:val="es-ES_tradnl"/>
        </w:rPr>
        <w:lastRenderedPageBreak/>
        <w:t>FACTORES DE DESEMPATE – Personas mayores – Alcance –</w:t>
      </w:r>
      <w:r>
        <w:rPr>
          <w:rFonts w:ascii="Verdana" w:eastAsia="Calibri" w:hAnsi="Verdana" w:cs="Arial"/>
          <w:b/>
          <w:lang w:val="es-ES_tradnl"/>
        </w:rPr>
        <w:t>Documentación.</w:t>
      </w:r>
    </w:p>
    <w:p w14:paraId="480BAC06" w14:textId="77777777" w:rsidR="008378C3" w:rsidRPr="002A37DA" w:rsidRDefault="008378C3" w:rsidP="008378C3">
      <w:pPr>
        <w:spacing w:after="0" w:line="240" w:lineRule="auto"/>
        <w:jc w:val="both"/>
        <w:rPr>
          <w:rFonts w:ascii="Verdana" w:hAnsi="Verdana" w:cs="Arial"/>
          <w:highlight w:val="yellow"/>
          <w:lang w:val="es-ES_tradnl"/>
        </w:rPr>
      </w:pPr>
    </w:p>
    <w:p w14:paraId="02D32B2A" w14:textId="77777777" w:rsidR="008378C3" w:rsidRPr="006727FD" w:rsidRDefault="008378C3" w:rsidP="008378C3">
      <w:pPr>
        <w:spacing w:after="0" w:line="240" w:lineRule="auto"/>
        <w:jc w:val="both"/>
        <w:rPr>
          <w:rFonts w:ascii="Verdana" w:eastAsia="Calibri" w:hAnsi="Verdana" w:cs="Arial"/>
          <w:sz w:val="20"/>
          <w:szCs w:val="20"/>
          <w:lang w:val="es-ES"/>
        </w:rPr>
      </w:pPr>
      <w:r w:rsidRPr="21D79E2A">
        <w:rPr>
          <w:rFonts w:ascii="Verdana" w:eastAsia="Calibri" w:hAnsi="Verdana" w:cs="Arial"/>
          <w:sz w:val="20"/>
          <w:szCs w:val="20"/>
          <w:lang w:val="es-ES"/>
        </w:rPr>
        <w:t xml:space="preserve">De acuerdo con la interpretación general del artículo 34.4 de la Ley de Emprendimiento, cuando el legislador alude al concepto de “personas mayores” que no sean beneficiarias de la pensión de vejez, familiar o de sobrevivencia y que hayan cumplido la edad para obtenerla, una posible interpretación es entender que la norma se refiere al “adulto mayor”. Este concepto lo define el artículo 3 de la Ley 1251 de 2008 –“Por la cual se dictan normas tendientes a procurar la protección, promoción y defensa de los derechos de los adultos mayores”– como “[…] aquella persona que cuenta con sesenta (60) años de edad o más”, lo cual se puede acreditar con el documento de identidad correspondiente. En todo caso, también es posible entender que esta causal aplica a todas las personas que –en el rango de edad correspondiente a cada género– no han alcanzado la pensión, interpretación que está más ajustada al principio de favorabilidad y que, como se expresará, se acogió en la reglamentación realizada por el Decreto 1860 de 2021. </w:t>
      </w:r>
    </w:p>
    <w:p w14:paraId="7A2B9A95" w14:textId="77777777" w:rsidR="008378C3" w:rsidRPr="006727FD" w:rsidRDefault="008378C3" w:rsidP="008378C3">
      <w:pPr>
        <w:spacing w:after="0" w:line="240" w:lineRule="auto"/>
        <w:jc w:val="both"/>
        <w:rPr>
          <w:rFonts w:ascii="Verdana" w:eastAsia="Calibri" w:hAnsi="Verdana" w:cs="Arial"/>
          <w:sz w:val="20"/>
          <w:szCs w:val="20"/>
          <w:lang w:val="es-ES_tradnl"/>
        </w:rPr>
      </w:pPr>
    </w:p>
    <w:p w14:paraId="75D64C66" w14:textId="77777777" w:rsidR="008378C3" w:rsidRPr="006727FD" w:rsidRDefault="008378C3" w:rsidP="008378C3">
      <w:pPr>
        <w:spacing w:after="0" w:line="240" w:lineRule="auto"/>
        <w:jc w:val="both"/>
        <w:rPr>
          <w:rFonts w:ascii="Verdana" w:eastAsia="Calibri" w:hAnsi="Verdana" w:cs="Arial"/>
          <w:sz w:val="20"/>
          <w:szCs w:val="20"/>
          <w:lang w:val="es-ES"/>
        </w:rPr>
      </w:pPr>
      <w:r w:rsidRPr="21D79E2A">
        <w:rPr>
          <w:rFonts w:ascii="Verdana" w:eastAsia="Calibri" w:hAnsi="Verdana" w:cs="Arial"/>
          <w:sz w:val="20"/>
          <w:szCs w:val="20"/>
          <w:lang w:val="es-ES"/>
        </w:rPr>
        <w:t xml:space="preserve">Así las cosas,  la reglamentación actual, expresamente, señala que se preferirá la propuesta del oferente que acredite la vinculación en mayor proporción de personas mayores que no sean beneficiarias de la pensión de vejez, familiar o de sobrevivencia y que hayan cumplido el requisito de edad de pensión establecido en la ley, para lo cual deberán presentar los siguientes documentos: i) un certificado mediante el cual, el representante legal de la persona jurídica o el revisor fiscal, acredite bajo gravedad de juramento las personas vinculadas a la nómina y el número de trabajadores que no son beneficiarios de la pensión de vejez, familiar o de sobrevivencia, </w:t>
      </w:r>
      <w:proofErr w:type="spellStart"/>
      <w:r w:rsidRPr="21D79E2A">
        <w:rPr>
          <w:rFonts w:ascii="Verdana" w:eastAsia="Calibri" w:hAnsi="Verdana" w:cs="Arial"/>
          <w:sz w:val="20"/>
          <w:szCs w:val="20"/>
          <w:lang w:val="es-ES"/>
        </w:rPr>
        <w:t>ii</w:t>
      </w:r>
      <w:proofErr w:type="spellEnd"/>
      <w:r w:rsidRPr="21D79E2A">
        <w:rPr>
          <w:rFonts w:ascii="Verdana" w:eastAsia="Calibri" w:hAnsi="Verdana" w:cs="Arial"/>
          <w:sz w:val="20"/>
          <w:szCs w:val="20"/>
          <w:lang w:val="es-ES"/>
        </w:rPr>
        <w:t xml:space="preserve">) un certificado mediante el cual, cada uno de los trabajadores sujetos a la condición prevista en el numeral, acredite bajo gravedad de juramento que no es beneficiario de pensión de vejez, familiar o sobrevivencia, y que cumple la edad de pensión; y </w:t>
      </w:r>
      <w:proofErr w:type="spellStart"/>
      <w:r w:rsidRPr="21D79E2A">
        <w:rPr>
          <w:rFonts w:ascii="Verdana" w:eastAsia="Calibri" w:hAnsi="Verdana" w:cs="Arial"/>
          <w:sz w:val="20"/>
          <w:szCs w:val="20"/>
          <w:lang w:val="es-ES"/>
        </w:rPr>
        <w:t>iii</w:t>
      </w:r>
      <w:proofErr w:type="spellEnd"/>
      <w:r w:rsidRPr="21D79E2A">
        <w:rPr>
          <w:rFonts w:ascii="Verdana" w:eastAsia="Calibri" w:hAnsi="Verdana" w:cs="Arial"/>
          <w:sz w:val="20"/>
          <w:szCs w:val="20"/>
          <w:lang w:val="es-ES"/>
        </w:rPr>
        <w:t xml:space="preserve">) además, el documento de identificación del trabajador que lo firma.  </w:t>
      </w:r>
    </w:p>
    <w:p w14:paraId="393DE927" w14:textId="77777777" w:rsidR="008378C3" w:rsidRPr="002A37DA" w:rsidRDefault="008378C3" w:rsidP="008378C3">
      <w:pPr>
        <w:spacing w:after="0"/>
        <w:rPr>
          <w:rFonts w:ascii="Verdana" w:eastAsia="Geomanist Light" w:hAnsi="Verdana" w:cs="Arial"/>
          <w:color w:val="201F1E"/>
          <w:lang w:val="es-ES_tradnl"/>
        </w:rPr>
      </w:pPr>
    </w:p>
    <w:p w14:paraId="17266000" w14:textId="77777777" w:rsidR="008378C3" w:rsidRPr="002A37DA" w:rsidRDefault="008378C3" w:rsidP="008378C3">
      <w:pPr>
        <w:spacing w:after="0"/>
        <w:rPr>
          <w:rFonts w:ascii="Verdana" w:eastAsia="Geomanist Light" w:hAnsi="Verdana" w:cs="Arial"/>
          <w:color w:val="201F1E"/>
          <w:lang w:val="es-MX"/>
        </w:rPr>
      </w:pPr>
    </w:p>
    <w:p w14:paraId="363DA9E1" w14:textId="77777777" w:rsidR="008378C3" w:rsidRPr="002A37DA" w:rsidRDefault="008378C3" w:rsidP="008378C3">
      <w:pPr>
        <w:spacing w:after="0"/>
        <w:rPr>
          <w:rFonts w:ascii="Verdana" w:eastAsia="Geomanist Light" w:hAnsi="Verdana" w:cs="Arial"/>
          <w:color w:val="201F1E"/>
          <w:lang w:val="es-MX"/>
        </w:rPr>
      </w:pPr>
    </w:p>
    <w:p w14:paraId="76AAFA52" w14:textId="77777777" w:rsidR="008378C3" w:rsidRPr="002A37DA" w:rsidRDefault="008378C3" w:rsidP="008378C3">
      <w:pPr>
        <w:spacing w:after="0"/>
        <w:rPr>
          <w:rFonts w:ascii="Verdana" w:eastAsia="Geomanist Light" w:hAnsi="Verdana" w:cs="Arial"/>
          <w:color w:val="201F1E"/>
          <w:lang w:val="es-MX"/>
        </w:rPr>
      </w:pPr>
    </w:p>
    <w:p w14:paraId="185216F9" w14:textId="77777777" w:rsidR="008378C3" w:rsidRPr="002A37DA" w:rsidRDefault="008378C3" w:rsidP="008378C3">
      <w:pPr>
        <w:spacing w:after="0"/>
        <w:rPr>
          <w:rFonts w:ascii="Verdana" w:eastAsia="Geomanist Light" w:hAnsi="Verdana" w:cs="Arial"/>
          <w:color w:val="201F1E"/>
          <w:lang w:val="es-MX"/>
        </w:rPr>
      </w:pPr>
    </w:p>
    <w:p w14:paraId="77B0D3F1" w14:textId="77777777" w:rsidR="00C11F4C" w:rsidRPr="00C11F4C" w:rsidRDefault="00C11F4C" w:rsidP="00D261F9">
      <w:pPr>
        <w:spacing w:line="276" w:lineRule="auto"/>
        <w:jc w:val="both"/>
        <w:rPr>
          <w:rFonts w:ascii="Arial" w:hAnsi="Arial" w:cs="Arial"/>
          <w:noProof/>
          <w:sz w:val="20"/>
          <w:szCs w:val="20"/>
          <w:lang w:val="es-ES_tradnl"/>
        </w:rPr>
      </w:pPr>
    </w:p>
    <w:p w14:paraId="1EE16402" w14:textId="77777777" w:rsidR="00C11F4C" w:rsidRDefault="00C11F4C" w:rsidP="00D261F9">
      <w:pPr>
        <w:spacing w:line="276" w:lineRule="auto"/>
        <w:jc w:val="both"/>
        <w:rPr>
          <w:rFonts w:ascii="Arial" w:hAnsi="Arial" w:cs="Arial"/>
          <w:noProof/>
          <w:sz w:val="20"/>
          <w:szCs w:val="20"/>
          <w:lang w:val="es-ES_tradnl"/>
        </w:rPr>
      </w:pPr>
    </w:p>
    <w:p w14:paraId="69576484" w14:textId="77777777" w:rsidR="00C03274" w:rsidRDefault="00C03274" w:rsidP="00D261F9">
      <w:pPr>
        <w:spacing w:line="276" w:lineRule="auto"/>
        <w:jc w:val="both"/>
        <w:rPr>
          <w:rFonts w:ascii="Arial" w:hAnsi="Arial" w:cs="Arial"/>
          <w:noProof/>
          <w:sz w:val="20"/>
          <w:szCs w:val="20"/>
          <w:lang w:val="es-ES_tradnl"/>
        </w:rPr>
      </w:pPr>
    </w:p>
    <w:p w14:paraId="283A11EE" w14:textId="77777777" w:rsidR="00C03274" w:rsidRDefault="00C03274" w:rsidP="00D261F9">
      <w:pPr>
        <w:spacing w:line="276" w:lineRule="auto"/>
        <w:jc w:val="both"/>
        <w:rPr>
          <w:rFonts w:ascii="Arial" w:hAnsi="Arial" w:cs="Arial"/>
          <w:noProof/>
          <w:sz w:val="20"/>
          <w:szCs w:val="20"/>
          <w:lang w:val="es-ES_tradnl"/>
        </w:rPr>
      </w:pPr>
    </w:p>
    <w:p w14:paraId="26C87E63" w14:textId="77777777" w:rsidR="002058D7" w:rsidRDefault="002058D7" w:rsidP="007D5768">
      <w:pPr>
        <w:spacing w:after="0"/>
        <w:rPr>
          <w:rFonts w:ascii="Verdana" w:hAnsi="Verdana"/>
        </w:rPr>
      </w:pPr>
    </w:p>
    <w:p w14:paraId="0A8E328C" w14:textId="6152453B" w:rsidR="002058D7" w:rsidRDefault="002058D7" w:rsidP="002058D7">
      <w:pPr>
        <w:spacing w:after="0"/>
        <w:ind w:left="5664"/>
        <w:rPr>
          <w:rFonts w:ascii="Verdana" w:hAnsi="Verdana"/>
        </w:rPr>
      </w:pPr>
    </w:p>
    <w:p w14:paraId="7F384CCC" w14:textId="69C89870" w:rsidR="007D5768" w:rsidRDefault="00E5566A" w:rsidP="007D5768">
      <w:pPr>
        <w:spacing w:after="0"/>
        <w:rPr>
          <w:rFonts w:ascii="Verdana" w:hAnsi="Verdana"/>
        </w:rPr>
      </w:pPr>
      <w:r>
        <w:rPr>
          <w:rFonts w:ascii="Verdana" w:hAnsi="Verdana"/>
        </w:rPr>
        <w:t>B</w:t>
      </w:r>
      <w:r w:rsidR="007D5768" w:rsidRPr="0044528D">
        <w:rPr>
          <w:rFonts w:ascii="Verdana" w:hAnsi="Verdana"/>
        </w:rPr>
        <w:t xml:space="preserve">ogotá D.C., </w:t>
      </w:r>
      <w:r w:rsidR="00EE3D0A">
        <w:rPr>
          <w:rFonts w:ascii="Verdana" w:hAnsi="Verdana"/>
        </w:rPr>
        <w:t>28</w:t>
      </w:r>
      <w:r w:rsidR="002058D7">
        <w:rPr>
          <w:rFonts w:ascii="Verdana" w:hAnsi="Verdana"/>
        </w:rPr>
        <w:t xml:space="preserve"> de</w:t>
      </w:r>
      <w:r w:rsidR="00EE3D0A">
        <w:rPr>
          <w:rFonts w:ascii="Verdana" w:hAnsi="Verdana"/>
        </w:rPr>
        <w:t xml:space="preserve"> abril</w:t>
      </w:r>
      <w:r w:rsidR="002058D7">
        <w:rPr>
          <w:rFonts w:ascii="Verdana" w:hAnsi="Verdana"/>
        </w:rPr>
        <w:t xml:space="preserve"> de 2025</w:t>
      </w:r>
    </w:p>
    <w:p w14:paraId="1673010F" w14:textId="4F8CE3AB" w:rsidR="007D5768" w:rsidRDefault="00EE3D0A" w:rsidP="007D5768">
      <w:pPr>
        <w:spacing w:after="0"/>
        <w:rPr>
          <w:rFonts w:ascii="Verdana" w:hAnsi="Verdana"/>
        </w:rPr>
      </w:pPr>
      <w:bookmarkStart w:id="2" w:name="_Hlk180638295"/>
      <w:bookmarkEnd w:id="0"/>
      <w:r>
        <w:rPr>
          <w:noProof/>
        </w:rPr>
        <w:drawing>
          <wp:anchor distT="0" distB="0" distL="114300" distR="114300" simplePos="0" relativeHeight="251658240" behindDoc="1" locked="0" layoutInCell="1" allowOverlap="1" wp14:anchorId="08D0B3EC" wp14:editId="3161A4AD">
            <wp:simplePos x="0" y="0"/>
            <wp:positionH relativeFrom="column">
              <wp:posOffset>3472815</wp:posOffset>
            </wp:positionH>
            <wp:positionV relativeFrom="paragraph">
              <wp:posOffset>59055</wp:posOffset>
            </wp:positionV>
            <wp:extent cx="2390775" cy="742950"/>
            <wp:effectExtent l="0" t="0" r="9525" b="0"/>
            <wp:wrapTight wrapText="bothSides">
              <wp:wrapPolygon edited="0">
                <wp:start x="0" y="0"/>
                <wp:lineTo x="0" y="21046"/>
                <wp:lineTo x="21514" y="21046"/>
                <wp:lineTo x="21514" y="0"/>
                <wp:lineTo x="0" y="0"/>
              </wp:wrapPolygon>
            </wp:wrapTight>
            <wp:docPr id="32810813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108130"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390775" cy="742950"/>
                    </a:xfrm>
                    <a:prstGeom prst="rect">
                      <a:avLst/>
                    </a:prstGeom>
                  </pic:spPr>
                </pic:pic>
              </a:graphicData>
            </a:graphic>
          </wp:anchor>
        </w:drawing>
      </w:r>
    </w:p>
    <w:p w14:paraId="2B7159AF" w14:textId="77777777" w:rsidR="00C03274" w:rsidRDefault="00C03274" w:rsidP="007D5768">
      <w:pPr>
        <w:spacing w:after="0"/>
        <w:rPr>
          <w:rFonts w:ascii="Verdana" w:hAnsi="Verdana"/>
        </w:rPr>
      </w:pPr>
    </w:p>
    <w:p w14:paraId="54FC63A1" w14:textId="73A9F21F" w:rsidR="007D5768" w:rsidRPr="005E62E2" w:rsidRDefault="007D5768" w:rsidP="007D5768">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00022742">
        <w:rPr>
          <w:rFonts w:ascii="Verdana" w:eastAsia="Calibri" w:hAnsi="Verdana" w:cs="Arial"/>
          <w:lang w:eastAsia="es-ES"/>
        </w:rPr>
        <w:t>a</w:t>
      </w:r>
      <w:r w:rsidR="003A2ECF" w:rsidRPr="005E62E2">
        <w:rPr>
          <w:rFonts w:ascii="Verdana" w:eastAsia="Calibri" w:hAnsi="Verdana" w:cs="Arial"/>
          <w:lang w:eastAsia="es-ES"/>
        </w:rPr>
        <w:tab/>
      </w:r>
    </w:p>
    <w:p w14:paraId="66A1CD5C" w14:textId="03C6891F" w:rsidR="00022742" w:rsidRDefault="00B115DB" w:rsidP="00D261F9">
      <w:pPr>
        <w:spacing w:after="0" w:line="240" w:lineRule="auto"/>
        <w:rPr>
          <w:rFonts w:ascii="Verdana" w:eastAsia="Calibri" w:hAnsi="Verdana" w:cs="Arial"/>
          <w:b/>
          <w:bCs/>
          <w:color w:val="000000"/>
          <w:lang w:eastAsia="es-ES_tradnl"/>
        </w:rPr>
      </w:pPr>
      <w:r>
        <w:rPr>
          <w:rFonts w:ascii="Verdana" w:eastAsia="Calibri" w:hAnsi="Verdana" w:cs="Arial"/>
          <w:b/>
          <w:bCs/>
          <w:color w:val="000000"/>
          <w:lang w:eastAsia="es-ES_tradnl"/>
        </w:rPr>
        <w:t>JENNIFER CRUZ CARO</w:t>
      </w:r>
    </w:p>
    <w:p w14:paraId="34D5B45D" w14:textId="0D755074" w:rsidR="009B36E7" w:rsidRPr="00B115DB" w:rsidRDefault="00B115DB" w:rsidP="007D5768">
      <w:pPr>
        <w:spacing w:after="0" w:line="240" w:lineRule="auto"/>
        <w:rPr>
          <w:rFonts w:ascii="Verdana" w:hAnsi="Verdana"/>
        </w:rPr>
      </w:pPr>
      <w:r w:rsidRPr="00B115DB">
        <w:rPr>
          <w:rFonts w:ascii="Verdana" w:hAnsi="Verdana"/>
        </w:rPr>
        <w:t>jennifercruzcaro@gmail.com</w:t>
      </w:r>
    </w:p>
    <w:p w14:paraId="3B7E2BE8" w14:textId="16722A83" w:rsidR="00645CB7" w:rsidRDefault="00022742" w:rsidP="007D5768">
      <w:pPr>
        <w:spacing w:after="0" w:line="240" w:lineRule="auto"/>
        <w:rPr>
          <w:rFonts w:ascii="Verdana" w:eastAsia="Calibri" w:hAnsi="Verdana" w:cs="Arial"/>
          <w:b/>
          <w:bCs/>
          <w:color w:val="000000"/>
          <w:lang w:val="es-ES_tradnl" w:eastAsia="es-ES_tradnl"/>
        </w:rPr>
      </w:pPr>
      <w:r w:rsidRPr="0044528D">
        <w:rPr>
          <w:rFonts w:ascii="Verdana" w:hAnsi="Verdana"/>
        </w:rPr>
        <w:t>Bogotá D.C.</w:t>
      </w:r>
    </w:p>
    <w:p w14:paraId="27398075" w14:textId="77777777" w:rsidR="00022742" w:rsidRDefault="00022742"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0E1079D">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4C4CF68F"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DA0B2B">
              <w:rPr>
                <w:rFonts w:ascii="Verdana" w:eastAsia="Calibri" w:hAnsi="Verdana" w:cs="Arial"/>
                <w:b/>
                <w:bCs/>
                <w:lang w:val="es-ES" w:eastAsia="es-ES"/>
              </w:rPr>
              <w:t>3</w:t>
            </w:r>
            <w:r w:rsidR="009B36E7">
              <w:rPr>
                <w:rFonts w:ascii="Verdana" w:eastAsia="Calibri" w:hAnsi="Verdana" w:cs="Arial"/>
                <w:b/>
                <w:bCs/>
                <w:lang w:val="es-ES" w:eastAsia="es-ES"/>
              </w:rPr>
              <w:t>4</w:t>
            </w:r>
            <w:r w:rsidR="00E36FC5">
              <w:rPr>
                <w:rFonts w:ascii="Verdana" w:eastAsia="Calibri" w:hAnsi="Verdana" w:cs="Arial"/>
                <w:b/>
                <w:bCs/>
                <w:lang w:val="es-ES" w:eastAsia="es-ES"/>
              </w:rPr>
              <w:t>5</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sidR="00FB76D0">
              <w:rPr>
                <w:rFonts w:ascii="Verdana" w:eastAsia="Calibri" w:hAnsi="Verdana" w:cs="Arial"/>
                <w:b/>
                <w:bCs/>
                <w:lang w:val="es-ES" w:eastAsia="es-ES"/>
              </w:rPr>
              <w:t>5</w:t>
            </w:r>
          </w:p>
        </w:tc>
      </w:tr>
      <w:tr w:rsidR="003F2418" w:rsidRPr="00593A5F" w14:paraId="0E5838A4" w14:textId="77777777" w:rsidTr="00E1079D">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468F8A78" w14:textId="638B015D" w:rsidR="008378C3" w:rsidRPr="002A37DA" w:rsidRDefault="00E5566A" w:rsidP="008378C3">
            <w:pPr>
              <w:jc w:val="both"/>
              <w:rPr>
                <w:rFonts w:ascii="Verdana" w:eastAsia="Calibri" w:hAnsi="Verdana" w:cs="Arial"/>
                <w:b/>
                <w:lang w:val="es-ES_tradnl"/>
              </w:rPr>
            </w:pPr>
            <w:r w:rsidRPr="00E5566A">
              <w:rPr>
                <w:rFonts w:ascii="Verdana" w:eastAsia="Calibri" w:hAnsi="Verdana" w:cs="Arial"/>
                <w:bCs/>
              </w:rPr>
              <w:t>SELECCIÓN OBJETIVA – Contratación estatal – Concepto</w:t>
            </w:r>
            <w:r>
              <w:rPr>
                <w:rFonts w:ascii="Verdana" w:eastAsia="Calibri" w:hAnsi="Verdana" w:cs="Arial"/>
                <w:bCs/>
              </w:rPr>
              <w:t xml:space="preserve"> / </w:t>
            </w:r>
            <w:r w:rsidR="008378C3" w:rsidRPr="002A37DA">
              <w:rPr>
                <w:rFonts w:ascii="Verdana" w:eastAsia="Calibri" w:hAnsi="Verdana" w:cs="Arial"/>
                <w:bCs/>
              </w:rPr>
              <w:t>FACTORES DE DESEMPATE – Características – Límites / LEY DE EMPRENDIMIENTO – Ley 2069 de 2020 – Reglamentación – Decreto 1860 de 2021 – Vigencia /</w:t>
            </w:r>
            <w:r w:rsidR="008378C3" w:rsidRPr="002A37DA">
              <w:rPr>
                <w:rFonts w:ascii="Verdana" w:eastAsia="Calibri" w:hAnsi="Verdana" w:cs="Arial"/>
                <w:b/>
                <w:lang w:val="es-ES_tradnl"/>
              </w:rPr>
              <w:t xml:space="preserve"> </w:t>
            </w:r>
            <w:r w:rsidR="008378C3" w:rsidRPr="002A37DA">
              <w:rPr>
                <w:rFonts w:ascii="Verdana" w:eastAsia="Calibri" w:hAnsi="Verdana" w:cs="Arial"/>
                <w:bCs/>
                <w:lang w:val="es-ES_tradnl"/>
              </w:rPr>
              <w:t>FACTORES DE DESEMPATE – Personas mayores – Alcance –Documentación.</w:t>
            </w:r>
            <w:r w:rsidR="008378C3" w:rsidRPr="002A37DA">
              <w:rPr>
                <w:rFonts w:ascii="Verdana" w:eastAsia="Calibri" w:hAnsi="Verdana" w:cs="Arial"/>
                <w:bCs/>
              </w:rPr>
              <w:t xml:space="preserve">    </w:t>
            </w:r>
          </w:p>
          <w:p w14:paraId="6D1E6393" w14:textId="0D809102" w:rsidR="0008049C" w:rsidRPr="0008049C" w:rsidRDefault="0008049C" w:rsidP="0008049C">
            <w:pPr>
              <w:jc w:val="both"/>
              <w:rPr>
                <w:rFonts w:ascii="Verdana" w:hAnsi="Verdana" w:cs="Arial"/>
                <w:bCs/>
              </w:rPr>
            </w:pPr>
          </w:p>
          <w:p w14:paraId="62C72EB8" w14:textId="0103DA13" w:rsidR="00D261F9" w:rsidRPr="00606078" w:rsidRDefault="00D261F9" w:rsidP="00E5035C">
            <w:pPr>
              <w:jc w:val="both"/>
              <w:rPr>
                <w:rFonts w:ascii="Verdana" w:eastAsia="Calibri" w:hAnsi="Verdana" w:cs="Arial"/>
                <w:b/>
                <w:highlight w:val="yellow"/>
                <w:lang w:val="es-ES" w:eastAsia="es-ES"/>
              </w:rPr>
            </w:pPr>
          </w:p>
        </w:tc>
      </w:tr>
      <w:tr w:rsidR="003F2418" w:rsidRPr="00593A5F" w14:paraId="09936C6F" w14:textId="77777777" w:rsidTr="00E1079D">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1CD7D61F"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B115DB" w:rsidRPr="00B115DB">
              <w:rPr>
                <w:rFonts w:ascii="Verdana" w:eastAsia="Calibri" w:hAnsi="Verdana" w:cs="Arial"/>
                <w:lang w:val="es-ES_tradnl" w:eastAsia="es-ES_tradnl"/>
              </w:rPr>
              <w:t>P20250321002784</w:t>
            </w:r>
            <w:r w:rsidR="0047280E">
              <w:rPr>
                <w:rFonts w:ascii="Verdana" w:eastAsia="Calibri" w:hAnsi="Verdana" w:cs="Arial"/>
                <w:lang w:val="es-ES_tradnl" w:eastAsia="es-ES_tradnl"/>
              </w:rPr>
              <w:t>.</w:t>
            </w:r>
          </w:p>
        </w:tc>
      </w:tr>
      <w:tr w:rsidR="003F2418" w:rsidRPr="00DB23D2" w14:paraId="3D69289B" w14:textId="77777777" w:rsidTr="00E1079D">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4B12844C"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022742">
        <w:rPr>
          <w:rFonts w:ascii="Verdana" w:eastAsia="Calibri" w:hAnsi="Verdana" w:cs="Arial"/>
          <w:lang w:val="es-ES" w:eastAsia="es-ES"/>
        </w:rPr>
        <w:t>a</w:t>
      </w:r>
      <w:r w:rsidR="00EF4E84">
        <w:rPr>
          <w:rFonts w:ascii="Verdana" w:eastAsia="Calibri" w:hAnsi="Verdana" w:cs="Arial"/>
          <w:lang w:val="es-ES" w:eastAsia="es-ES"/>
        </w:rPr>
        <w:t xml:space="preserve"> </w:t>
      </w:r>
      <w:r w:rsidRPr="006730E9">
        <w:rPr>
          <w:rFonts w:ascii="Verdana" w:eastAsia="Calibri" w:hAnsi="Verdana" w:cs="Arial"/>
          <w:lang w:val="es-ES" w:eastAsia="es-ES"/>
        </w:rPr>
        <w:t>señor</w:t>
      </w:r>
      <w:r w:rsidR="00022742">
        <w:rPr>
          <w:rFonts w:ascii="Verdana" w:eastAsia="Calibri" w:hAnsi="Verdana" w:cs="Arial"/>
          <w:lang w:val="es-ES" w:eastAsia="es-ES"/>
        </w:rPr>
        <w:t>a</w:t>
      </w:r>
      <w:r w:rsidR="00EF4E84">
        <w:rPr>
          <w:rFonts w:ascii="Verdana" w:eastAsia="Calibri" w:hAnsi="Verdana" w:cs="Arial"/>
          <w:lang w:val="es-ES" w:eastAsia="es-ES"/>
        </w:rPr>
        <w:t xml:space="preserve"> </w:t>
      </w:r>
      <w:r w:rsidR="00B115DB">
        <w:rPr>
          <w:rFonts w:ascii="Verdana" w:eastAsia="Calibri" w:hAnsi="Verdana" w:cs="Arial"/>
          <w:lang w:val="es-ES" w:eastAsia="es-ES"/>
        </w:rPr>
        <w:t>Cruz</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6DC96C7F"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ED58AB">
        <w:rPr>
          <w:rFonts w:ascii="Verdana" w:eastAsia="Calibri" w:hAnsi="Verdana" w:cs="Arial"/>
          <w:lang w:val="es-ES" w:eastAsia="es-ES"/>
        </w:rPr>
        <w:t xml:space="preserve">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9B36E7">
        <w:rPr>
          <w:rFonts w:ascii="Verdana" w:eastAsia="Calibri" w:hAnsi="Verdana" w:cs="Arial"/>
          <w:lang w:val="es-ES" w:eastAsia="es-ES"/>
        </w:rPr>
        <w:t>20</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DA0B2B">
        <w:rPr>
          <w:rFonts w:ascii="Verdana" w:eastAsia="Calibri" w:hAnsi="Verdana" w:cs="Arial"/>
          <w:lang w:val="es-ES" w:eastAsia="es-ES"/>
        </w:rPr>
        <w:t>marzo</w:t>
      </w:r>
      <w:r w:rsidRPr="00E5644F">
        <w:rPr>
          <w:rFonts w:ascii="Verdana" w:eastAsia="Calibri" w:hAnsi="Verdana" w:cs="Arial"/>
          <w:lang w:val="es-ES" w:eastAsia="es-ES"/>
        </w:rPr>
        <w:t xml:space="preserve"> de</w:t>
      </w:r>
      <w:r w:rsidR="00955D18">
        <w:rPr>
          <w:rFonts w:ascii="Verdana" w:eastAsia="Calibri" w:hAnsi="Verdana" w:cs="Arial"/>
          <w:lang w:val="es-ES" w:eastAsia="es-ES"/>
        </w:rPr>
        <w:t xml:space="preserve"> </w:t>
      </w:r>
      <w:r w:rsidRPr="00E5644F">
        <w:rPr>
          <w:rFonts w:ascii="Verdana" w:eastAsia="Calibri" w:hAnsi="Verdana" w:cs="Arial"/>
          <w:lang w:val="es-ES" w:eastAsia="es-ES"/>
        </w:rPr>
        <w:t>202</w:t>
      </w:r>
      <w:r w:rsidR="00955D18">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755A614E" w14:textId="7B14BFF4" w:rsidR="00B115DB" w:rsidRPr="00B115DB" w:rsidRDefault="00022742" w:rsidP="00B115DB">
      <w:pPr>
        <w:pStyle w:val="Prrafodelista"/>
        <w:tabs>
          <w:tab w:val="left" w:pos="142"/>
          <w:tab w:val="left" w:pos="567"/>
        </w:tabs>
        <w:ind w:left="567" w:right="709"/>
        <w:jc w:val="both"/>
        <w:rPr>
          <w:rFonts w:ascii="Verdana" w:eastAsia="Century Gothic" w:hAnsi="Verdana" w:cs="Century Gothic"/>
          <w:i/>
          <w:iCs/>
        </w:rPr>
      </w:pPr>
      <w:r>
        <w:rPr>
          <w:rFonts w:ascii="Verdana" w:eastAsia="Century Gothic" w:hAnsi="Verdana" w:cs="Century Gothic"/>
          <w:i/>
          <w:iCs/>
          <w:lang w:val="es-CO"/>
        </w:rPr>
        <w:t xml:space="preserve">   </w:t>
      </w:r>
      <w:r w:rsidR="00E6781E" w:rsidRPr="009D04B0">
        <w:rPr>
          <w:rFonts w:ascii="Verdana" w:eastAsia="Century Gothic" w:hAnsi="Verdana" w:cs="Century Gothic"/>
          <w:i/>
          <w:iCs/>
          <w:lang w:val="es-CO"/>
        </w:rPr>
        <w:t>“</w:t>
      </w:r>
      <w:r w:rsidR="00FB76D0" w:rsidRPr="009D04B0">
        <w:rPr>
          <w:rFonts w:ascii="Verdana" w:eastAsia="Century Gothic" w:hAnsi="Verdana" w:cs="Century Gothic"/>
          <w:i/>
          <w:iCs/>
          <w:lang w:val="es-CO"/>
        </w:rPr>
        <w:t xml:space="preserve">(…) </w:t>
      </w:r>
      <w:r w:rsidR="00B115DB" w:rsidRPr="00B115DB">
        <w:rPr>
          <w:rFonts w:ascii="Verdana" w:eastAsia="Century Gothic" w:hAnsi="Verdana" w:cs="Century Gothic"/>
          <w:i/>
          <w:iCs/>
        </w:rPr>
        <w:t>nos permitimos solicitar su concepto sobre la aplicación del</w:t>
      </w:r>
      <w:r w:rsidR="00B115DB">
        <w:rPr>
          <w:rFonts w:ascii="Verdana" w:eastAsia="Century Gothic" w:hAnsi="Verdana" w:cs="Century Gothic"/>
          <w:i/>
          <w:iCs/>
        </w:rPr>
        <w:t xml:space="preserve"> </w:t>
      </w:r>
      <w:r w:rsidR="00B115DB" w:rsidRPr="00B115DB">
        <w:rPr>
          <w:rFonts w:ascii="Verdana" w:eastAsia="Century Gothic" w:hAnsi="Verdana" w:cs="Century Gothic"/>
          <w:i/>
          <w:iCs/>
        </w:rPr>
        <w:t xml:space="preserve">criterio de desempate número 4, contenido en el Decreto 1860 de 2021, el cual establece la preferencia por la propuesta presentada por el oferente que acredite la vinculación en mayor proporción de personas mayores que no sean beneficiarias de la pensión de vejez, </w:t>
      </w:r>
      <w:r w:rsidR="00B115DB" w:rsidRPr="00B115DB">
        <w:rPr>
          <w:rFonts w:ascii="Verdana" w:eastAsia="Century Gothic" w:hAnsi="Verdana" w:cs="Century Gothic"/>
          <w:i/>
          <w:iCs/>
        </w:rPr>
        <w:lastRenderedPageBreak/>
        <w:t>familiar o de sobrevivencia y que hayan cumplido el requisito de edad de pensión establecido en la ley.</w:t>
      </w:r>
    </w:p>
    <w:p w14:paraId="09FCAC91" w14:textId="39896D08" w:rsidR="00B115DB" w:rsidRPr="00B115DB" w:rsidRDefault="00B115DB" w:rsidP="00B115DB">
      <w:pPr>
        <w:tabs>
          <w:tab w:val="left" w:pos="142"/>
          <w:tab w:val="left" w:pos="567"/>
        </w:tabs>
        <w:ind w:left="567" w:right="709"/>
        <w:jc w:val="both"/>
        <w:rPr>
          <w:rFonts w:ascii="Verdana" w:eastAsia="Century Gothic" w:hAnsi="Verdana" w:cs="Century Gothic"/>
          <w:i/>
          <w:iCs/>
        </w:rPr>
      </w:pPr>
      <w:r w:rsidRPr="00B115DB">
        <w:rPr>
          <w:rFonts w:ascii="Verdana" w:eastAsia="Century Gothic" w:hAnsi="Verdana" w:cs="Century Gothic"/>
          <w:i/>
          <w:iCs/>
        </w:rPr>
        <w:t>En particular, solicitamos su orientación sobre la posibilidad de que una entidad contratante desestime dicho</w:t>
      </w:r>
      <w:r>
        <w:rPr>
          <w:rFonts w:ascii="Verdana" w:eastAsia="Century Gothic" w:hAnsi="Verdana" w:cs="Century Gothic"/>
          <w:i/>
          <w:iCs/>
        </w:rPr>
        <w:t xml:space="preserve"> </w:t>
      </w:r>
      <w:r w:rsidRPr="00B115DB">
        <w:rPr>
          <w:rFonts w:ascii="Verdana" w:eastAsia="Century Gothic" w:hAnsi="Verdana" w:cs="Century Gothic"/>
          <w:i/>
          <w:iCs/>
        </w:rPr>
        <w:t>criterio de desempate cuando se han presentado los siguientes documentos por cada uno de los integrantes</w:t>
      </w:r>
      <w:r>
        <w:rPr>
          <w:rFonts w:ascii="Verdana" w:eastAsia="Century Gothic" w:hAnsi="Verdana" w:cs="Century Gothic"/>
          <w:i/>
          <w:iCs/>
        </w:rPr>
        <w:t xml:space="preserve"> </w:t>
      </w:r>
      <w:r w:rsidRPr="00B115DB">
        <w:rPr>
          <w:rFonts w:ascii="Verdana" w:eastAsia="Century Gothic" w:hAnsi="Verdana" w:cs="Century Gothic"/>
          <w:i/>
          <w:iCs/>
        </w:rPr>
        <w:t>de una figura asociativa o plural, específicamente en el caso de una unión temporal:</w:t>
      </w:r>
    </w:p>
    <w:p w14:paraId="1E8BA287" w14:textId="65077BD1" w:rsidR="00B115DB" w:rsidRPr="00B115DB" w:rsidRDefault="00B115DB" w:rsidP="00B115DB">
      <w:pPr>
        <w:tabs>
          <w:tab w:val="left" w:pos="142"/>
          <w:tab w:val="left" w:pos="567"/>
        </w:tabs>
        <w:ind w:left="567" w:right="709"/>
        <w:jc w:val="both"/>
        <w:rPr>
          <w:rFonts w:ascii="Verdana" w:eastAsia="Century Gothic" w:hAnsi="Verdana" w:cs="Century Gothic"/>
          <w:i/>
          <w:iCs/>
        </w:rPr>
      </w:pPr>
      <w:r w:rsidRPr="00B115DB">
        <w:rPr>
          <w:rFonts w:ascii="Verdana" w:eastAsia="Century Gothic" w:hAnsi="Verdana" w:cs="Century Gothic"/>
          <w:i/>
          <w:iCs/>
        </w:rPr>
        <w:t>i) Certificado expedido por el representante legal de la persona jurídica o el revisor fiscal, en el cual</w:t>
      </w:r>
      <w:r>
        <w:rPr>
          <w:rFonts w:ascii="Verdana" w:eastAsia="Century Gothic" w:hAnsi="Verdana" w:cs="Century Gothic"/>
          <w:i/>
          <w:iCs/>
        </w:rPr>
        <w:t xml:space="preserve"> </w:t>
      </w:r>
      <w:r w:rsidRPr="00B115DB">
        <w:rPr>
          <w:rFonts w:ascii="Verdana" w:eastAsia="Century Gothic" w:hAnsi="Verdana" w:cs="Century Gothic"/>
          <w:i/>
          <w:iCs/>
        </w:rPr>
        <w:t>se acredite bajo gravedad de juramento el número de trabajadores vinculados a la nómina y el</w:t>
      </w:r>
      <w:r>
        <w:rPr>
          <w:rFonts w:ascii="Verdana" w:eastAsia="Century Gothic" w:hAnsi="Verdana" w:cs="Century Gothic"/>
          <w:i/>
          <w:iCs/>
        </w:rPr>
        <w:t xml:space="preserve"> </w:t>
      </w:r>
      <w:r w:rsidRPr="00B115DB">
        <w:rPr>
          <w:rFonts w:ascii="Verdana" w:eastAsia="Century Gothic" w:hAnsi="Verdana" w:cs="Century Gothic"/>
          <w:i/>
          <w:iCs/>
        </w:rPr>
        <w:t>número de aquellos que no son beneficiarios de la pensión de vejez, familiar o de sobrevivencia.</w:t>
      </w:r>
    </w:p>
    <w:p w14:paraId="43401380" w14:textId="35C7BC74" w:rsidR="00B115DB" w:rsidRPr="00B115DB" w:rsidRDefault="00B115DB" w:rsidP="00B115DB">
      <w:pPr>
        <w:tabs>
          <w:tab w:val="left" w:pos="142"/>
          <w:tab w:val="left" w:pos="567"/>
        </w:tabs>
        <w:ind w:left="567" w:right="709"/>
        <w:jc w:val="both"/>
        <w:rPr>
          <w:rFonts w:ascii="Verdana" w:eastAsia="Century Gothic" w:hAnsi="Verdana" w:cs="Century Gothic"/>
          <w:i/>
          <w:iCs/>
        </w:rPr>
      </w:pPr>
      <w:proofErr w:type="spellStart"/>
      <w:r w:rsidRPr="00B115DB">
        <w:rPr>
          <w:rFonts w:ascii="Verdana" w:eastAsia="Century Gothic" w:hAnsi="Verdana" w:cs="Century Gothic"/>
          <w:i/>
          <w:iCs/>
        </w:rPr>
        <w:t>ii</w:t>
      </w:r>
      <w:proofErr w:type="spellEnd"/>
      <w:r w:rsidRPr="00B115DB">
        <w:rPr>
          <w:rFonts w:ascii="Verdana" w:eastAsia="Century Gothic" w:hAnsi="Verdana" w:cs="Century Gothic"/>
          <w:i/>
          <w:iCs/>
        </w:rPr>
        <w:t>) Certificado individual de cada uno de los trabajadores sujetos a la condición prevista en el numeral</w:t>
      </w:r>
      <w:r>
        <w:rPr>
          <w:rFonts w:ascii="Verdana" w:eastAsia="Century Gothic" w:hAnsi="Verdana" w:cs="Century Gothic"/>
          <w:i/>
          <w:iCs/>
        </w:rPr>
        <w:t xml:space="preserve"> </w:t>
      </w:r>
      <w:r w:rsidRPr="00B115DB">
        <w:rPr>
          <w:rFonts w:ascii="Verdana" w:eastAsia="Century Gothic" w:hAnsi="Verdana" w:cs="Century Gothic"/>
          <w:i/>
          <w:iCs/>
        </w:rPr>
        <w:t>mencionado, en el cual se acredite bajo gravedad de juramento que no es beneficiario de pensión</w:t>
      </w:r>
      <w:r>
        <w:rPr>
          <w:rFonts w:ascii="Verdana" w:eastAsia="Century Gothic" w:hAnsi="Verdana" w:cs="Century Gothic"/>
          <w:i/>
          <w:iCs/>
        </w:rPr>
        <w:t xml:space="preserve"> </w:t>
      </w:r>
      <w:r w:rsidRPr="00B115DB">
        <w:rPr>
          <w:rFonts w:ascii="Verdana" w:eastAsia="Century Gothic" w:hAnsi="Verdana" w:cs="Century Gothic"/>
          <w:i/>
          <w:iCs/>
        </w:rPr>
        <w:t>de vejez, familiar o de sobrevivencia y que cumple con el requisito de edad de pensión.</w:t>
      </w:r>
    </w:p>
    <w:p w14:paraId="0C38F8B5" w14:textId="77777777" w:rsidR="00B115DB" w:rsidRPr="00B115DB" w:rsidRDefault="00B115DB" w:rsidP="00B115DB">
      <w:pPr>
        <w:tabs>
          <w:tab w:val="left" w:pos="142"/>
          <w:tab w:val="left" w:pos="567"/>
        </w:tabs>
        <w:ind w:left="567" w:right="709"/>
        <w:jc w:val="both"/>
        <w:rPr>
          <w:rFonts w:ascii="Verdana" w:eastAsia="Century Gothic" w:hAnsi="Verdana" w:cs="Century Gothic"/>
          <w:i/>
          <w:iCs/>
        </w:rPr>
      </w:pPr>
      <w:proofErr w:type="spellStart"/>
      <w:r w:rsidRPr="00B115DB">
        <w:rPr>
          <w:rFonts w:ascii="Verdana" w:eastAsia="Century Gothic" w:hAnsi="Verdana" w:cs="Century Gothic"/>
          <w:i/>
          <w:iCs/>
        </w:rPr>
        <w:t>iii</w:t>
      </w:r>
      <w:proofErr w:type="spellEnd"/>
      <w:r w:rsidRPr="00B115DB">
        <w:rPr>
          <w:rFonts w:ascii="Verdana" w:eastAsia="Century Gothic" w:hAnsi="Verdana" w:cs="Century Gothic"/>
          <w:i/>
          <w:iCs/>
        </w:rPr>
        <w:t>) Copia del documento de identificación del trabajador firmante.</w:t>
      </w:r>
    </w:p>
    <w:p w14:paraId="4A1949FF" w14:textId="1743921D" w:rsidR="00955D18" w:rsidRPr="00022742" w:rsidRDefault="00B115DB" w:rsidP="00B115DB">
      <w:pPr>
        <w:tabs>
          <w:tab w:val="left" w:pos="142"/>
          <w:tab w:val="left" w:pos="567"/>
        </w:tabs>
        <w:ind w:left="567" w:right="709"/>
        <w:jc w:val="both"/>
        <w:rPr>
          <w:rFonts w:ascii="Verdana" w:eastAsia="Century Gothic" w:hAnsi="Verdana" w:cs="Century Gothic"/>
          <w:i/>
          <w:iCs/>
        </w:rPr>
      </w:pPr>
      <w:r w:rsidRPr="00B115DB">
        <w:rPr>
          <w:rFonts w:ascii="Verdana" w:eastAsia="Century Gothic" w:hAnsi="Verdana" w:cs="Century Gothic"/>
          <w:i/>
          <w:iCs/>
        </w:rPr>
        <w:t>Con base en lo anterior, solicitamos respetuosamente confirmar si es procedente que una entidad contratante</w:t>
      </w:r>
      <w:r>
        <w:rPr>
          <w:rFonts w:ascii="Verdana" w:eastAsia="Century Gothic" w:hAnsi="Verdana" w:cs="Century Gothic"/>
          <w:i/>
          <w:iCs/>
        </w:rPr>
        <w:t xml:space="preserve"> </w:t>
      </w:r>
      <w:r w:rsidRPr="00B115DB">
        <w:rPr>
          <w:rFonts w:ascii="Verdana" w:eastAsia="Century Gothic" w:hAnsi="Verdana" w:cs="Century Gothic"/>
          <w:i/>
          <w:iCs/>
        </w:rPr>
        <w:t>desestime el criterio de desempate número 4 bajo el argumento de que los documentos fueron presentados de</w:t>
      </w:r>
      <w:r>
        <w:rPr>
          <w:rFonts w:ascii="Verdana" w:eastAsia="Century Gothic" w:hAnsi="Verdana" w:cs="Century Gothic"/>
          <w:i/>
          <w:iCs/>
        </w:rPr>
        <w:t xml:space="preserve"> </w:t>
      </w:r>
      <w:r w:rsidRPr="00B115DB">
        <w:rPr>
          <w:rFonts w:ascii="Verdana" w:eastAsia="Century Gothic" w:hAnsi="Verdana" w:cs="Century Gothic"/>
          <w:i/>
          <w:iCs/>
        </w:rPr>
        <w:t>manera individual por cada integrante de la unión temporal, en lugar de una certificación unificada que</w:t>
      </w:r>
      <w:r>
        <w:rPr>
          <w:rFonts w:ascii="Verdana" w:eastAsia="Century Gothic" w:hAnsi="Verdana" w:cs="Century Gothic"/>
          <w:i/>
          <w:iCs/>
        </w:rPr>
        <w:t xml:space="preserve"> </w:t>
      </w:r>
      <w:r w:rsidRPr="00B115DB">
        <w:rPr>
          <w:rFonts w:ascii="Verdana" w:eastAsia="Century Gothic" w:hAnsi="Verdana" w:cs="Century Gothic"/>
          <w:i/>
          <w:iCs/>
        </w:rPr>
        <w:t>contemple la sumatoria de la planta de personal de todos los integrantes de la figura plural, pese a haberse</w:t>
      </w:r>
      <w:r>
        <w:rPr>
          <w:rFonts w:ascii="Verdana" w:eastAsia="Century Gothic" w:hAnsi="Verdana" w:cs="Century Gothic"/>
          <w:i/>
          <w:iCs/>
        </w:rPr>
        <w:t xml:space="preserve"> </w:t>
      </w:r>
      <w:r w:rsidRPr="00B115DB">
        <w:rPr>
          <w:rFonts w:ascii="Verdana" w:eastAsia="Century Gothic" w:hAnsi="Verdana" w:cs="Century Gothic"/>
          <w:i/>
          <w:iCs/>
        </w:rPr>
        <w:t>cumplido con los requisitos documentales exigidos en la normativa vigente y tratándose de una propuesta</w:t>
      </w:r>
      <w:r>
        <w:rPr>
          <w:rFonts w:ascii="Verdana" w:eastAsia="Century Gothic" w:hAnsi="Verdana" w:cs="Century Gothic"/>
          <w:i/>
          <w:iCs/>
        </w:rPr>
        <w:t xml:space="preserve"> </w:t>
      </w:r>
      <w:r w:rsidRPr="00B115DB">
        <w:rPr>
          <w:rFonts w:ascii="Verdana" w:eastAsia="Century Gothic" w:hAnsi="Verdana" w:cs="Century Gothic"/>
          <w:i/>
          <w:iCs/>
        </w:rPr>
        <w:t>integral.</w:t>
      </w:r>
      <w:r>
        <w:rPr>
          <w:rFonts w:ascii="Verdana" w:eastAsia="Century Gothic" w:hAnsi="Verdana" w:cs="Century Gothic"/>
          <w:i/>
          <w:iCs/>
        </w:rPr>
        <w:t xml:space="preserve"> </w:t>
      </w:r>
      <w:r w:rsidR="009D04B0" w:rsidRPr="00022742">
        <w:rPr>
          <w:rFonts w:ascii="Verdana" w:eastAsia="Century Gothic" w:hAnsi="Verdana" w:cs="Century Gothic"/>
          <w:i/>
          <w:iCs/>
        </w:rPr>
        <w:t>(…)</w:t>
      </w:r>
      <w:r w:rsidR="008A772E" w:rsidRPr="00022742">
        <w:rPr>
          <w:rFonts w:ascii="Verdana" w:eastAsia="Century Gothic" w:hAnsi="Verdana" w:cs="Century Gothic"/>
          <w:i/>
          <w:iCs/>
        </w:rPr>
        <w:t>”</w:t>
      </w:r>
      <w:r w:rsidR="00955D18" w:rsidRPr="00022742">
        <w:rPr>
          <w:rFonts w:ascii="Verdana" w:eastAsia="Century Gothic" w:hAnsi="Verdana" w:cs="Century Gothic"/>
          <w:i/>
          <w:iCs/>
        </w:rPr>
        <w:t xml:space="preserve"> </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w:t>
      </w:r>
      <w:r w:rsidRPr="00AA3B9F">
        <w:rPr>
          <w:rFonts w:ascii="Verdana" w:eastAsia="Calibri" w:hAnsi="Verdana" w:cs="Arial"/>
          <w:lang w:val="es-ES" w:eastAsia="es-ES"/>
        </w:rPr>
        <w:lastRenderedPageBreak/>
        <w:t xml:space="preserve">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2857582B"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00E21BD1" w:rsidRPr="00E21BD1">
        <w:t xml:space="preserve"> </w:t>
      </w:r>
    </w:p>
    <w:p w14:paraId="1CE7668C" w14:textId="77777777" w:rsidR="000F4D98" w:rsidRDefault="000F4D9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632E0F47" w:rsidR="007D5768"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sidR="00E136A2">
        <w:rPr>
          <w:rFonts w:ascii="Verdana" w:eastAsia="Century Gothic" w:hAnsi="Verdana" w:cs="Century Gothic"/>
          <w:b/>
          <w:bCs/>
        </w:rPr>
        <w:t xml:space="preserve">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1CBB0F77" w14:textId="77777777" w:rsidR="00E21BD1" w:rsidRDefault="00E21BD1" w:rsidP="00E21BD1">
      <w:pPr>
        <w:pStyle w:val="Prrafodelista"/>
        <w:tabs>
          <w:tab w:val="left" w:pos="142"/>
          <w:tab w:val="left" w:pos="284"/>
        </w:tabs>
        <w:spacing w:after="0" w:line="276" w:lineRule="auto"/>
        <w:ind w:left="0"/>
        <w:jc w:val="both"/>
        <w:rPr>
          <w:rFonts w:ascii="Verdana" w:eastAsia="Century Gothic" w:hAnsi="Verdana" w:cs="Century Gothic"/>
          <w:b/>
          <w:bCs/>
        </w:rPr>
      </w:pPr>
    </w:p>
    <w:p w14:paraId="43404A80" w14:textId="03D2B329" w:rsidR="00B115DB" w:rsidRDefault="00E21BD1" w:rsidP="00E21BD1">
      <w:pPr>
        <w:pStyle w:val="Prrafodelista"/>
        <w:tabs>
          <w:tab w:val="left" w:pos="142"/>
          <w:tab w:val="left" w:pos="284"/>
        </w:tabs>
        <w:spacing w:after="0" w:line="276" w:lineRule="auto"/>
        <w:ind w:left="0"/>
        <w:jc w:val="both"/>
        <w:rPr>
          <w:rFonts w:ascii="Verdana" w:eastAsia="Calibri" w:hAnsi="Verdana" w:cs="Arial"/>
          <w:lang w:val="es-CO" w:eastAsia="es-ES"/>
        </w:rPr>
      </w:pPr>
      <w:r>
        <w:rPr>
          <w:rFonts w:ascii="Verdana" w:eastAsia="Calibri" w:hAnsi="Verdana" w:cs="Arial"/>
          <w:lang w:eastAsia="es-ES"/>
        </w:rPr>
        <w:tab/>
      </w:r>
      <w:r>
        <w:rPr>
          <w:rFonts w:ascii="Verdana" w:eastAsia="Calibri" w:hAnsi="Verdana" w:cs="Arial"/>
          <w:lang w:eastAsia="es-ES"/>
        </w:rPr>
        <w:tab/>
        <w:t xml:space="preserve">      </w:t>
      </w:r>
      <w:r w:rsidRPr="00E21BD1">
        <w:rPr>
          <w:rFonts w:ascii="Verdana" w:eastAsia="Calibri" w:hAnsi="Verdana" w:cs="Arial"/>
          <w:lang w:eastAsia="es-ES"/>
        </w:rPr>
        <w:t xml:space="preserve">De acuerdo con el contenido de su solicitud, esta Agencia resolverá el siguiente problema jurídico: </w:t>
      </w:r>
      <w:r w:rsidR="004F56BF" w:rsidRPr="004F56BF">
        <w:rPr>
          <w:rFonts w:ascii="Verdana" w:eastAsia="Calibri" w:hAnsi="Verdana" w:cs="Arial"/>
          <w:lang w:val="es-CO" w:eastAsia="es-ES"/>
        </w:rPr>
        <w:t>¿Puede una entidad contratante desestimar la aplicación del criterio de desempate número 4 del Decreto 1860 de 2021, argumentando que los documentos que acreditan la vinculación de personas mayores fueron presentados individualmente por cada integrante de una unión temporal, en lugar de una certificación unificada</w:t>
      </w:r>
      <w:r w:rsidR="004F56BF">
        <w:rPr>
          <w:rFonts w:ascii="Verdana" w:eastAsia="Calibri" w:hAnsi="Verdana" w:cs="Arial"/>
          <w:lang w:val="es-CO" w:eastAsia="es-ES"/>
        </w:rPr>
        <w:t xml:space="preserve"> </w:t>
      </w:r>
      <w:r w:rsidR="004F56BF" w:rsidRPr="004F56BF">
        <w:rPr>
          <w:rFonts w:ascii="Verdana" w:eastAsia="Calibri" w:hAnsi="Verdana" w:cs="Arial"/>
          <w:lang w:val="es-CO" w:eastAsia="es-ES"/>
        </w:rPr>
        <w:t>?</w:t>
      </w:r>
    </w:p>
    <w:p w14:paraId="2F3A121A" w14:textId="77777777" w:rsidR="00B115DB" w:rsidRDefault="00B115DB" w:rsidP="00E21BD1">
      <w:pPr>
        <w:pStyle w:val="Prrafodelista"/>
        <w:tabs>
          <w:tab w:val="left" w:pos="142"/>
          <w:tab w:val="left" w:pos="284"/>
        </w:tabs>
        <w:spacing w:after="0" w:line="276" w:lineRule="auto"/>
        <w:ind w:left="0"/>
        <w:jc w:val="both"/>
        <w:rPr>
          <w:rFonts w:ascii="Verdana" w:eastAsia="Calibri" w:hAnsi="Verdana" w:cs="Arial"/>
          <w:lang w:val="es-CO" w:eastAsia="es-ES"/>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tcPr>
          <w:p w14:paraId="628CE635" w14:textId="77777777" w:rsidR="008D1C73" w:rsidRDefault="007F5013" w:rsidP="007C4B5D">
            <w:pPr>
              <w:widowControl w:val="0"/>
              <w:autoSpaceDE w:val="0"/>
              <w:autoSpaceDN w:val="0"/>
              <w:spacing w:line="276" w:lineRule="auto"/>
              <w:jc w:val="both"/>
              <w:rPr>
                <w:rFonts w:ascii="Verdana" w:eastAsia="Calibri" w:hAnsi="Verdana" w:cs="Arial"/>
                <w:bCs/>
                <w:lang w:val="es-ES_tradnl"/>
              </w:rPr>
            </w:pPr>
            <w:r>
              <w:rPr>
                <w:rFonts w:ascii="Verdana" w:eastAsia="Calibri" w:hAnsi="Verdana" w:cs="Arial"/>
                <w:bCs/>
                <w:lang w:val="es-ES_tradnl"/>
              </w:rPr>
              <w:t xml:space="preserve">         </w:t>
            </w:r>
          </w:p>
          <w:p w14:paraId="5CFB255B" w14:textId="6198D802" w:rsidR="007C4B5D" w:rsidRDefault="008D1C73" w:rsidP="007C4B5D">
            <w:pPr>
              <w:widowControl w:val="0"/>
              <w:autoSpaceDE w:val="0"/>
              <w:autoSpaceDN w:val="0"/>
              <w:spacing w:line="276" w:lineRule="auto"/>
              <w:jc w:val="both"/>
              <w:rPr>
                <w:rFonts w:ascii="Verdana" w:eastAsia="Calibri" w:hAnsi="Verdana" w:cs="Arial"/>
                <w:lang w:val="es-ES"/>
              </w:rPr>
            </w:pPr>
            <w:r>
              <w:rPr>
                <w:rFonts w:ascii="Verdana" w:eastAsia="Calibri" w:hAnsi="Verdana" w:cs="Arial"/>
                <w:bCs/>
                <w:lang w:val="es-ES_tradnl"/>
              </w:rPr>
              <w:t xml:space="preserve">        </w:t>
            </w:r>
            <w:r w:rsidR="00276797">
              <w:rPr>
                <w:rFonts w:ascii="Verdana" w:eastAsia="Calibri" w:hAnsi="Verdana" w:cs="Arial"/>
                <w:bCs/>
                <w:lang w:val="es-ES_tradnl"/>
              </w:rPr>
              <w:t xml:space="preserve">De manera preliminar es pertinente indicar </w:t>
            </w:r>
            <w:r w:rsidR="007C4B5D">
              <w:rPr>
                <w:rFonts w:ascii="Verdana" w:eastAsia="Calibri" w:hAnsi="Verdana" w:cs="Arial"/>
                <w:bCs/>
                <w:lang w:val="es-ES_tradnl"/>
              </w:rPr>
              <w:t>que el</w:t>
            </w:r>
            <w:r w:rsidR="007C4B5D" w:rsidRPr="002D61EC">
              <w:rPr>
                <w:rFonts w:ascii="Verdana" w:eastAsia="Calibri" w:hAnsi="Verdana" w:cs="Arial"/>
                <w:bCs/>
                <w:lang w:val="es-ES_tradnl"/>
              </w:rPr>
              <w:t xml:space="preserve"> </w:t>
            </w:r>
            <w:r w:rsidR="007C4B5D">
              <w:rPr>
                <w:rFonts w:ascii="Verdana" w:eastAsia="Calibri" w:hAnsi="Verdana" w:cs="Arial"/>
                <w:bCs/>
                <w:lang w:val="es-ES_tradnl"/>
              </w:rPr>
              <w:t>artículo 3º del Decreto 1860 de 20121</w:t>
            </w:r>
            <w:r>
              <w:rPr>
                <w:rFonts w:ascii="Verdana" w:eastAsia="Calibri" w:hAnsi="Verdana" w:cs="Arial"/>
                <w:bCs/>
                <w:lang w:val="es-ES_tradnl"/>
              </w:rPr>
              <w:t xml:space="preserve"> compilado en el</w:t>
            </w:r>
            <w:r w:rsidR="007C4B5D">
              <w:rPr>
                <w:rFonts w:ascii="Verdana" w:eastAsia="Calibri" w:hAnsi="Verdana" w:cs="Arial"/>
                <w:color w:val="000000" w:themeColor="text1"/>
                <w:lang w:val="es-ES_tradnl"/>
              </w:rPr>
              <w:t xml:space="preserve"> </w:t>
            </w:r>
            <w:r w:rsidR="007C4B5D" w:rsidRPr="002D61EC">
              <w:rPr>
                <w:rFonts w:ascii="Verdana" w:eastAsia="Calibri" w:hAnsi="Verdana" w:cs="Arial"/>
                <w:color w:val="000000" w:themeColor="text1"/>
                <w:lang w:val="es-ES_tradnl"/>
              </w:rPr>
              <w:t>Decreto 1082 de 2015</w:t>
            </w:r>
            <w:r>
              <w:rPr>
                <w:rFonts w:ascii="Verdana" w:eastAsia="Calibri" w:hAnsi="Verdana" w:cs="Arial"/>
                <w:color w:val="000000" w:themeColor="text1"/>
                <w:lang w:val="es-ES_tradnl"/>
              </w:rPr>
              <w:t>,</w:t>
            </w:r>
            <w:r w:rsidR="007C4B5D" w:rsidRPr="002D61EC">
              <w:rPr>
                <w:rFonts w:ascii="Verdana" w:eastAsia="Calibri" w:hAnsi="Verdana" w:cs="Arial"/>
                <w:color w:val="000000" w:themeColor="text1"/>
                <w:lang w:val="es-ES_tradnl"/>
              </w:rPr>
              <w:t xml:space="preserve"> </w:t>
            </w:r>
            <w:r w:rsidR="007C4B5D">
              <w:rPr>
                <w:rFonts w:ascii="Verdana" w:eastAsia="Calibri" w:hAnsi="Verdana" w:cs="Arial"/>
                <w:color w:val="000000" w:themeColor="text1"/>
                <w:lang w:val="es-ES_tradnl"/>
              </w:rPr>
              <w:t>establec</w:t>
            </w:r>
            <w:r>
              <w:rPr>
                <w:rFonts w:ascii="Verdana" w:eastAsia="Calibri" w:hAnsi="Verdana" w:cs="Arial"/>
                <w:color w:val="000000" w:themeColor="text1"/>
                <w:lang w:val="es-ES_tradnl"/>
              </w:rPr>
              <w:t xml:space="preserve">e </w:t>
            </w:r>
            <w:r w:rsidR="007C4B5D">
              <w:rPr>
                <w:rFonts w:ascii="Verdana" w:eastAsia="Calibri" w:hAnsi="Verdana" w:cs="Arial"/>
                <w:color w:val="000000" w:themeColor="text1"/>
                <w:lang w:val="es-ES_tradnl"/>
              </w:rPr>
              <w:t xml:space="preserve">en </w:t>
            </w:r>
            <w:r>
              <w:rPr>
                <w:rFonts w:ascii="Verdana" w:eastAsia="Calibri" w:hAnsi="Verdana" w:cs="Arial"/>
                <w:bCs/>
                <w:lang w:val="es-ES_tradnl"/>
              </w:rPr>
              <w:t>e</w:t>
            </w:r>
            <w:r w:rsidRPr="002D61EC">
              <w:rPr>
                <w:rFonts w:ascii="Verdana" w:eastAsia="Calibri" w:hAnsi="Verdana" w:cs="Arial"/>
                <w:bCs/>
                <w:lang w:val="es-ES_tradnl"/>
              </w:rPr>
              <w:t xml:space="preserve">l artículo </w:t>
            </w:r>
            <w:r w:rsidRPr="002D61EC">
              <w:rPr>
                <w:rFonts w:ascii="Verdana" w:eastAsia="Calibri" w:hAnsi="Verdana" w:cs="Arial"/>
                <w:color w:val="000000" w:themeColor="text1"/>
                <w:lang w:val="es-ES_tradnl"/>
              </w:rPr>
              <w:t xml:space="preserve">2.2.1.2.4.2.17 </w:t>
            </w:r>
            <w:r w:rsidR="007C4B5D">
              <w:rPr>
                <w:rFonts w:ascii="Verdana" w:eastAsia="Calibri" w:hAnsi="Verdana" w:cs="Arial"/>
                <w:color w:val="000000" w:themeColor="text1"/>
                <w:lang w:val="es-ES_tradnl"/>
              </w:rPr>
              <w:t xml:space="preserve">numeral 4º que </w:t>
            </w:r>
            <w:r w:rsidR="007C4B5D" w:rsidRPr="002D61EC">
              <w:rPr>
                <w:rFonts w:ascii="Verdana" w:eastAsia="Calibri" w:hAnsi="Verdana" w:cs="Arial"/>
                <w:lang w:val="es-ES"/>
              </w:rPr>
              <w:t xml:space="preserve">se </w:t>
            </w:r>
            <w:r w:rsidR="007C4B5D">
              <w:rPr>
                <w:rFonts w:ascii="Verdana" w:eastAsia="Calibri" w:hAnsi="Verdana" w:cs="Arial"/>
                <w:lang w:val="es-ES"/>
              </w:rPr>
              <w:t xml:space="preserve">deberá </w:t>
            </w:r>
            <w:r w:rsidR="007C4B5D" w:rsidRPr="002D61EC">
              <w:rPr>
                <w:rFonts w:ascii="Verdana" w:eastAsia="Calibri" w:hAnsi="Verdana" w:cs="Arial"/>
                <w:lang w:val="es-ES"/>
              </w:rPr>
              <w:t xml:space="preserve">preferir la propuesta del oferente que acredite la vinculación en mayor proporción de personas mayores que no sean beneficiarias de la pensión de vejez, familiar o de sobrevivencia y que hayan cumplido el requisito de edad de pensión establecido en la ley, para lo cual deberán presentar los siguientes documentos: i) un certificado mediante </w:t>
            </w:r>
            <w:r w:rsidR="007C4B5D" w:rsidRPr="002D61EC">
              <w:rPr>
                <w:rFonts w:ascii="Verdana" w:eastAsia="Calibri" w:hAnsi="Verdana" w:cs="Arial"/>
                <w:lang w:val="es-ES"/>
              </w:rPr>
              <w:lastRenderedPageBreak/>
              <w:t xml:space="preserve">el cual, el representante legal de la persona jurídica o el revisor fiscal, acredite bajo gravedad de juramento las personas vinculadas a la nómina y el número de trabajadores que no son beneficiarios de la pensión de vejez, familiar o de sobrevivencia, </w:t>
            </w:r>
            <w:proofErr w:type="spellStart"/>
            <w:r w:rsidR="007C4B5D" w:rsidRPr="002D61EC">
              <w:rPr>
                <w:rFonts w:ascii="Verdana" w:eastAsia="Calibri" w:hAnsi="Verdana" w:cs="Arial"/>
                <w:lang w:val="es-ES"/>
              </w:rPr>
              <w:t>ii</w:t>
            </w:r>
            <w:proofErr w:type="spellEnd"/>
            <w:r w:rsidR="007C4B5D" w:rsidRPr="002D61EC">
              <w:rPr>
                <w:rFonts w:ascii="Verdana" w:eastAsia="Calibri" w:hAnsi="Verdana" w:cs="Arial"/>
                <w:lang w:val="es-ES"/>
              </w:rPr>
              <w:t xml:space="preserve">) un certificado mediante el cual, cada uno de los trabajadores sujetos a la condición prevista en el numeral, acredite bajo gravedad de juramento que no es beneficiario de pensión de vejez, familiar o sobrevivencia, y que cumple la edad de pensión; y </w:t>
            </w:r>
            <w:proofErr w:type="spellStart"/>
            <w:r w:rsidR="007C4B5D" w:rsidRPr="002D61EC">
              <w:rPr>
                <w:rFonts w:ascii="Verdana" w:eastAsia="Calibri" w:hAnsi="Verdana" w:cs="Arial"/>
                <w:lang w:val="es-ES"/>
              </w:rPr>
              <w:t>iii</w:t>
            </w:r>
            <w:proofErr w:type="spellEnd"/>
            <w:r w:rsidR="007C4B5D" w:rsidRPr="002D61EC">
              <w:rPr>
                <w:rFonts w:ascii="Verdana" w:eastAsia="Calibri" w:hAnsi="Verdana" w:cs="Arial"/>
                <w:lang w:val="es-ES"/>
              </w:rPr>
              <w:t>) además, el documento de identificación del trabajador que lo firma.</w:t>
            </w:r>
          </w:p>
          <w:p w14:paraId="10424935" w14:textId="77777777" w:rsidR="00237F82" w:rsidRDefault="00237F82" w:rsidP="007C4B5D">
            <w:pPr>
              <w:widowControl w:val="0"/>
              <w:autoSpaceDE w:val="0"/>
              <w:autoSpaceDN w:val="0"/>
              <w:spacing w:line="276" w:lineRule="auto"/>
              <w:jc w:val="both"/>
              <w:rPr>
                <w:rFonts w:ascii="Verdana" w:eastAsia="Calibri" w:hAnsi="Verdana" w:cs="Arial"/>
                <w:bCs/>
                <w:lang w:val="es-ES"/>
              </w:rPr>
            </w:pPr>
          </w:p>
          <w:p w14:paraId="1D9677BF" w14:textId="3FA60868" w:rsidR="00237F82" w:rsidRDefault="0038437E" w:rsidP="00237F82">
            <w:pPr>
              <w:widowControl w:val="0"/>
              <w:autoSpaceDE w:val="0"/>
              <w:autoSpaceDN w:val="0"/>
              <w:spacing w:line="276" w:lineRule="auto"/>
              <w:jc w:val="both"/>
              <w:rPr>
                <w:rFonts w:ascii="Verdana" w:eastAsia="Calibri" w:hAnsi="Verdana" w:cs="Arial"/>
                <w:lang w:val="es-ES_tradnl" w:eastAsia="es-ES_tradnl"/>
              </w:rPr>
            </w:pPr>
            <w:r>
              <w:rPr>
                <w:rFonts w:ascii="Verdana" w:eastAsia="Calibri" w:hAnsi="Verdana" w:cs="Arial"/>
                <w:bCs/>
                <w:lang w:val="es-ES_tradnl"/>
              </w:rPr>
              <w:t xml:space="preserve">        </w:t>
            </w:r>
            <w:r w:rsidR="00237F82" w:rsidRPr="00237F82">
              <w:rPr>
                <w:rFonts w:ascii="Verdana" w:eastAsia="Calibri" w:hAnsi="Verdana" w:cs="Arial"/>
                <w:bCs/>
              </w:rPr>
              <w:t>Por otra parte, es de precisar que lo factores de desempate en la contratación estatal tienen como fundamento el principio de selección objetiva</w:t>
            </w:r>
            <w:r>
              <w:rPr>
                <w:rFonts w:ascii="Verdana" w:eastAsia="Calibri" w:hAnsi="Verdana" w:cs="Arial"/>
                <w:bCs/>
              </w:rPr>
              <w:t>,</w:t>
            </w:r>
            <w:r w:rsidR="00237F82" w:rsidRPr="00237F82">
              <w:rPr>
                <w:rFonts w:ascii="Verdana" w:eastAsia="Calibri" w:hAnsi="Verdana" w:cs="Arial"/>
                <w:bCs/>
              </w:rPr>
              <w:t xml:space="preserve"> </w:t>
            </w:r>
            <w:r>
              <w:rPr>
                <w:rFonts w:ascii="Verdana" w:eastAsia="Calibri" w:hAnsi="Verdana" w:cs="Arial"/>
                <w:bCs/>
              </w:rPr>
              <w:t>por medio del cual</w:t>
            </w:r>
            <w:r w:rsidR="00237F82">
              <w:rPr>
                <w:rFonts w:ascii="Verdana" w:eastAsia="Calibri" w:hAnsi="Verdana" w:cs="Arial"/>
                <w:bCs/>
              </w:rPr>
              <w:t xml:space="preserve"> </w:t>
            </w:r>
            <w:r>
              <w:rPr>
                <w:rFonts w:ascii="Verdana" w:eastAsia="Calibri" w:hAnsi="Verdana" w:cs="Arial"/>
                <w:bCs/>
              </w:rPr>
              <w:t>la selección del</w:t>
            </w:r>
            <w:r w:rsidR="00237F82" w:rsidRPr="00237F82">
              <w:rPr>
                <w:rFonts w:ascii="Verdana" w:eastAsia="Calibri" w:hAnsi="Verdana" w:cs="Arial"/>
                <w:lang w:val="es-ES_tradnl" w:eastAsia="es-ES_tradnl"/>
              </w:rPr>
              <w:t xml:space="preserve"> futuro contratista no puede motivarse en razones subjetivas que afecten la imparcialidad de la entidad pública. Así lo determina el primer inciso del artículo 5 de la Ley 1150 de 2007, al indicar que “Es objetiva la selección en la cual la escogencia se haga al ofrecimiento más favorable a la entidad y a los fines que ella busca, sin tener en consideración factores de afecto o de interés y, en general, cualquier clase de motivación subjetiva”. </w:t>
            </w:r>
          </w:p>
          <w:p w14:paraId="3538AA83" w14:textId="57A0F1B3" w:rsidR="00237F82" w:rsidRPr="0038437E" w:rsidRDefault="00237F82" w:rsidP="0038437E">
            <w:pPr>
              <w:spacing w:before="120" w:after="120" w:line="276" w:lineRule="auto"/>
              <w:ind w:firstLine="709"/>
              <w:jc w:val="both"/>
              <w:rPr>
                <w:rFonts w:ascii="Verdana" w:eastAsia="Calibri" w:hAnsi="Verdana" w:cs="Arial"/>
                <w:lang w:val="es-ES" w:eastAsia="es-ES"/>
              </w:rPr>
            </w:pPr>
            <w:bookmarkStart w:id="5" w:name="_Hlk102387997"/>
            <w:r w:rsidRPr="00237F82">
              <w:rPr>
                <w:rFonts w:ascii="Verdana" w:eastAsia="Calibri" w:hAnsi="Verdana" w:cs="Arial"/>
                <w:lang w:val="es-ES" w:eastAsia="es-ES"/>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w:t>
            </w:r>
            <w:bookmarkStart w:id="6" w:name="_Hlk102388016"/>
            <w:bookmarkEnd w:id="5"/>
            <w:r w:rsidR="0038437E">
              <w:rPr>
                <w:rFonts w:ascii="Verdana" w:eastAsia="Calibri" w:hAnsi="Verdana" w:cs="Arial"/>
                <w:lang w:val="es-ES" w:eastAsia="es-ES"/>
              </w:rPr>
              <w:t xml:space="preserve"> en los que tampoco se puede limitar </w:t>
            </w:r>
            <w:r w:rsidRPr="00237F82">
              <w:rPr>
                <w:rFonts w:ascii="Verdana" w:eastAsia="Calibri" w:hAnsi="Verdana" w:cs="Arial"/>
                <w:lang w:val="es-ES_tradnl" w:eastAsia="es-ES_tradnl"/>
              </w:rPr>
              <w:t xml:space="preserve">el alcance de la selección objetiva.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las que se encuentra el artículo 35 de la Ley 2069 de 2020. La jurisprudencia comparte la idea de que los criterios de desempate </w:t>
            </w:r>
            <w:r w:rsidRPr="00237F82">
              <w:rPr>
                <w:rFonts w:ascii="Verdana" w:eastAsia="Calibri" w:hAnsi="Verdana" w:cs="Arial"/>
                <w:lang w:val="es-ES_tradnl" w:eastAsia="es-ES_tradnl"/>
              </w:rPr>
              <w:lastRenderedPageBreak/>
              <w:t>deben estar establecidos de antemano y constituyen un límite a la discrecionalidad administrativa en los procedimientos de selección</w:t>
            </w:r>
            <w:r w:rsidRPr="00237F82">
              <w:rPr>
                <w:rFonts w:ascii="Verdana" w:eastAsia="Times New Roman" w:hAnsi="Verdana" w:cs="Arial"/>
                <w:vertAlign w:val="superscript"/>
                <w:lang w:val="es-ES_tradnl" w:eastAsia="es-ES_tradnl"/>
              </w:rPr>
              <w:footnoteReference w:id="1"/>
            </w:r>
            <w:r w:rsidRPr="00237F82">
              <w:rPr>
                <w:rFonts w:ascii="Verdana" w:eastAsia="Calibri" w:hAnsi="Verdana" w:cs="Arial"/>
                <w:lang w:val="es-ES_tradnl" w:eastAsia="es-ES_tradnl"/>
              </w:rPr>
              <w:t xml:space="preserve">. </w:t>
            </w:r>
          </w:p>
          <w:p w14:paraId="749BF1C1" w14:textId="25A7E955" w:rsidR="00237F82" w:rsidRPr="00237F82" w:rsidRDefault="0038437E" w:rsidP="00237F82">
            <w:pPr>
              <w:widowControl w:val="0"/>
              <w:autoSpaceDE w:val="0"/>
              <w:autoSpaceDN w:val="0"/>
              <w:spacing w:line="276" w:lineRule="auto"/>
              <w:jc w:val="both"/>
              <w:rPr>
                <w:rFonts w:ascii="Verdana" w:eastAsia="Calibri" w:hAnsi="Verdana" w:cs="Arial"/>
                <w:bCs/>
              </w:rPr>
            </w:pPr>
            <w:r>
              <w:rPr>
                <w:rFonts w:ascii="Verdana" w:eastAsia="Calibri" w:hAnsi="Verdana" w:cs="Arial"/>
                <w:lang w:val="es-ES" w:eastAsia="es-ES"/>
              </w:rPr>
              <w:t xml:space="preserve">             </w:t>
            </w:r>
            <w:r w:rsidR="00237F82" w:rsidRPr="00237F82">
              <w:rPr>
                <w:rFonts w:ascii="Verdana" w:eastAsia="Calibri" w:hAnsi="Verdana" w:cs="Arial"/>
                <w:lang w:val="es-ES" w:eastAsia="es-ES"/>
              </w:rPr>
              <w:t>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w:t>
            </w:r>
            <w:r w:rsidR="00237F82" w:rsidRPr="00237F82">
              <w:rPr>
                <w:rFonts w:ascii="Verdana" w:eastAsia="Calibri" w:hAnsi="Verdana" w:cs="Arial"/>
                <w:vertAlign w:val="superscript"/>
                <w:lang w:val="es-ES" w:eastAsia="es-ES"/>
              </w:rPr>
              <w:footnoteReference w:id="2"/>
            </w:r>
            <w:r w:rsidR="00237F82" w:rsidRPr="00237F82">
              <w:rPr>
                <w:rFonts w:ascii="Verdana" w:eastAsia="Calibri" w:hAnsi="Verdana" w:cs="Arial"/>
                <w:lang w:val="es-ES" w:eastAsia="es-ES"/>
              </w:rPr>
              <w:t xml:space="preserve">. </w:t>
            </w:r>
            <w:bookmarkEnd w:id="6"/>
          </w:p>
          <w:p w14:paraId="5581C2FE" w14:textId="77777777" w:rsidR="00237F82" w:rsidRDefault="00237F82" w:rsidP="007C4B5D">
            <w:pPr>
              <w:widowControl w:val="0"/>
              <w:autoSpaceDE w:val="0"/>
              <w:autoSpaceDN w:val="0"/>
              <w:spacing w:line="276" w:lineRule="auto"/>
              <w:jc w:val="both"/>
              <w:rPr>
                <w:rFonts w:ascii="Verdana" w:eastAsia="Calibri" w:hAnsi="Verdana" w:cs="Arial"/>
                <w:bCs/>
                <w:lang w:val="es-ES_tradnl"/>
              </w:rPr>
            </w:pPr>
          </w:p>
          <w:p w14:paraId="282FF45C" w14:textId="273F0D91" w:rsidR="00B115DB" w:rsidRPr="00DB4737" w:rsidRDefault="00FD1A7E" w:rsidP="00B115DB">
            <w:pPr>
              <w:spacing w:line="276" w:lineRule="auto"/>
              <w:ind w:firstLine="360"/>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sidR="00B115DB" w:rsidRPr="00DB4737">
              <w:rPr>
                <w:rFonts w:ascii="Verdana" w:eastAsia="Calibri" w:hAnsi="Verdana" w:cs="Times New Roman"/>
                <w:lang w:val="es-ES"/>
              </w:rPr>
              <w:t xml:space="preserve">Finalmente debe advertirse, que el análisis para resolver problemas específicos en torno a </w:t>
            </w:r>
            <w:r w:rsidR="008D1C73">
              <w:rPr>
                <w:rFonts w:ascii="Verdana" w:eastAsia="Calibri" w:hAnsi="Verdana" w:cs="Times New Roman"/>
                <w:lang w:val="es-ES"/>
              </w:rPr>
              <w:t>la aplicación</w:t>
            </w:r>
            <w:r w:rsidR="0038437E">
              <w:rPr>
                <w:rFonts w:ascii="Verdana" w:eastAsia="Calibri" w:hAnsi="Verdana" w:cs="Times New Roman"/>
                <w:lang w:val="es-ES"/>
              </w:rPr>
              <w:t xml:space="preserve"> de criterios de desempate </w:t>
            </w:r>
            <w:r w:rsidR="00B115DB" w:rsidRPr="00DB4737">
              <w:rPr>
                <w:rFonts w:ascii="Verdana" w:eastAsia="Calibri" w:hAnsi="Verdana" w:cs="Times New Roman"/>
                <w:lang w:val="es-ES"/>
              </w:rPr>
              <w:t xml:space="preserve">a un proceso de selección </w:t>
            </w:r>
            <w:r w:rsidR="00CC277F" w:rsidRPr="00DB4737">
              <w:rPr>
                <w:rFonts w:ascii="Verdana" w:eastAsia="Calibri" w:hAnsi="Verdana" w:cs="Times New Roman"/>
                <w:lang w:val="es-ES"/>
              </w:rPr>
              <w:t>determinado</w:t>
            </w:r>
            <w:r w:rsidR="00B115DB" w:rsidRPr="00DB4737">
              <w:rPr>
                <w:rFonts w:ascii="Verdana" w:eastAsia="Calibri" w:hAnsi="Verdana" w:cs="Times New Roman"/>
                <w:lang w:val="es-ES"/>
              </w:rPr>
              <w:t xml:space="preserve">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2BE4875" w14:textId="77777777" w:rsidR="00B115DB" w:rsidRPr="00DB4737" w:rsidRDefault="00B115DB" w:rsidP="00B115DB">
            <w:pPr>
              <w:ind w:left="720"/>
              <w:contextualSpacing/>
              <w:rPr>
                <w:rFonts w:ascii="Verdana" w:eastAsia="Calibri" w:hAnsi="Verdana" w:cs="Times New Roman"/>
                <w:lang w:val="es-ES"/>
              </w:rPr>
            </w:pPr>
          </w:p>
          <w:p w14:paraId="634A100A" w14:textId="77777777" w:rsidR="00851635" w:rsidRDefault="00CD4A54" w:rsidP="00CD4A54">
            <w:pPr>
              <w:spacing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00B115DB"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7EEB54F" w14:textId="2F85DA74" w:rsidR="00CC277F" w:rsidRPr="00831CDD" w:rsidRDefault="00CC277F" w:rsidP="00CD4A54">
            <w:pPr>
              <w:spacing w:line="276" w:lineRule="auto"/>
              <w:ind w:firstLine="360"/>
              <w:contextualSpacing/>
              <w:jc w:val="both"/>
              <w:rPr>
                <w:rFonts w:ascii="Verdana" w:hAnsi="Verdana" w:cs="Arial"/>
                <w:bCs/>
                <w:color w:val="000000" w:themeColor="text1"/>
              </w:rPr>
            </w:pPr>
          </w:p>
        </w:tc>
      </w:tr>
      <w:tr w:rsidR="007D5768" w:rsidRPr="00593A5F" w14:paraId="43648ADC" w14:textId="77777777" w:rsidTr="00E1079D">
        <w:tc>
          <w:tcPr>
            <w:tcW w:w="8828" w:type="dxa"/>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63F98955" w14:textId="3CF9F8A1" w:rsidR="00CA2A7C" w:rsidRPr="002D61EC" w:rsidRDefault="00CA2A7C" w:rsidP="00CA2A7C">
      <w:pPr>
        <w:spacing w:after="120" w:line="276" w:lineRule="auto"/>
        <w:ind w:firstLine="708"/>
        <w:jc w:val="both"/>
        <w:rPr>
          <w:rFonts w:ascii="Verdana" w:eastAsia="Calibri" w:hAnsi="Verdana" w:cs="Arial"/>
          <w:lang w:val="es-ES_tradnl"/>
        </w:rPr>
      </w:pPr>
      <w:r>
        <w:rPr>
          <w:rFonts w:ascii="Verdana" w:eastAsia="Calibri" w:hAnsi="Verdana" w:cs="Arial"/>
          <w:lang w:val="es-ES_tradnl"/>
        </w:rPr>
        <w:t>E</w:t>
      </w:r>
      <w:r w:rsidRPr="002D61EC">
        <w:rPr>
          <w:rFonts w:ascii="Verdana" w:eastAsia="Calibri" w:hAnsi="Verdana" w:cs="Arial"/>
          <w:lang w:val="es-ES_tradnl"/>
        </w:rPr>
        <w:t xml:space="preserve">l </w:t>
      </w:r>
      <w:r>
        <w:rPr>
          <w:rFonts w:ascii="Verdana" w:eastAsia="Calibri" w:hAnsi="Verdana" w:cs="Arial"/>
          <w:lang w:val="es-ES_tradnl"/>
        </w:rPr>
        <w:t>G</w:t>
      </w:r>
      <w:r w:rsidRPr="002D61EC">
        <w:rPr>
          <w:rFonts w:ascii="Verdana" w:eastAsia="Calibri" w:hAnsi="Verdana" w:cs="Arial"/>
          <w:lang w:val="es-ES_tradnl"/>
        </w:rPr>
        <w:t>obierno nacional expidió el Decreto 1860,</w:t>
      </w:r>
      <w:r w:rsidRPr="002D61EC">
        <w:rPr>
          <w:rFonts w:ascii="Verdana" w:hAnsi="Verdana"/>
        </w:rPr>
        <w:t xml:space="preserve"> </w:t>
      </w:r>
      <w:r w:rsidRPr="002D61EC">
        <w:rPr>
          <w:rFonts w:ascii="Verdana" w:eastAsia="Calibri" w:hAnsi="Verdana" w:cs="Arial"/>
          <w:lang w:val="es-ES_tradnl"/>
        </w:rPr>
        <w:t>“Por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tal como indica el artículo 1 del Decreto 1860 de 2021</w:t>
      </w:r>
      <w:r w:rsidRPr="002D61EC">
        <w:rPr>
          <w:rStyle w:val="Refdenotaalpie"/>
          <w:rFonts w:ascii="Verdana" w:eastAsia="Calibri" w:hAnsi="Verdana" w:cs="Arial"/>
          <w:lang w:val="es-ES_tradnl"/>
        </w:rPr>
        <w:footnoteReference w:id="3"/>
      </w:r>
      <w:r w:rsidRPr="002D61EC">
        <w:rPr>
          <w:rFonts w:ascii="Verdana" w:eastAsia="Calibri" w:hAnsi="Verdana" w:cs="Arial"/>
          <w:lang w:val="es-ES_tradnl"/>
        </w:rPr>
        <w:t xml:space="preserve">.  </w:t>
      </w:r>
    </w:p>
    <w:p w14:paraId="77167929" w14:textId="77777777" w:rsidR="00CA2A7C" w:rsidRPr="002D61EC" w:rsidRDefault="00CA2A7C" w:rsidP="00CA2A7C">
      <w:pPr>
        <w:spacing w:after="120" w:line="276" w:lineRule="auto"/>
        <w:jc w:val="both"/>
        <w:rPr>
          <w:rFonts w:ascii="Verdana" w:hAnsi="Verdana" w:cs="Arial"/>
        </w:rPr>
      </w:pPr>
      <w:r w:rsidRPr="002D61EC">
        <w:rPr>
          <w:rFonts w:ascii="Verdana" w:eastAsia="Calibri" w:hAnsi="Verdana" w:cs="Arial"/>
          <w:lang w:val="es-ES_tradnl"/>
        </w:rPr>
        <w:tab/>
        <w:t>En lo relativo al artículo 35 de la Ley 2069 de 2020, el artículo 3 del Decreto 1860 de 2021 adiciona el artículo 2.2.1.2.4.2.17. a la Subsección 2 de la Sección 4 del Capítulo 2 del Título 1 de la Parte 2 del Libro 2 del Decreto 1082 de 2015</w:t>
      </w:r>
      <w:r w:rsidRPr="002D61EC">
        <w:rPr>
          <w:rFonts w:ascii="Verdana" w:hAnsi="Verdana" w:cs="Arial"/>
          <w:lang w:eastAsia="es-CO"/>
        </w:rPr>
        <w:t xml:space="preserve">, el cual reglamenta los factores de desempate del artículo 35 </w:t>
      </w:r>
      <w:proofErr w:type="spellStart"/>
      <w:r w:rsidRPr="002D61EC">
        <w:rPr>
          <w:rFonts w:ascii="Verdana" w:hAnsi="Verdana" w:cs="Arial"/>
          <w:i/>
          <w:iCs/>
          <w:lang w:eastAsia="es-CO"/>
        </w:rPr>
        <w:t>ibídem</w:t>
      </w:r>
      <w:proofErr w:type="spellEnd"/>
      <w:r w:rsidRPr="002D61EC">
        <w:rPr>
          <w:rFonts w:ascii="Verdana" w:hAnsi="Verdana" w:cs="Arial"/>
          <w:lang w:eastAsia="es-CO"/>
        </w:rPr>
        <w:t xml:space="preserve">, estableciendo los medios de acreditación de cada uno de los supuestos de hecho en función de los cuales operan. </w:t>
      </w:r>
      <w:r w:rsidRPr="002D61EC">
        <w:rPr>
          <w:rFonts w:ascii="Verdana" w:hAnsi="Verdana" w:cs="Arial"/>
        </w:rPr>
        <w:t xml:space="preserve">De otra parte, el artículo 7 del Decreto recientemente expedido modificó el contenido del artículo 2.2.1.2.4.2.8 </w:t>
      </w:r>
      <w:r w:rsidRPr="002D61EC">
        <w:rPr>
          <w:rFonts w:ascii="Verdana" w:hAnsi="Verdana" w:cs="Arial"/>
          <w:shd w:val="clear" w:color="auto" w:fill="FFFFFF"/>
        </w:rPr>
        <w:t xml:space="preserve">de la Subsección 2 de la Sección 4 del Capítulo 2 del Título 1 de la Parte 2 del Libro 2 del Decreto 1082 de 2015, alusivo al sistema de preferencias en favor de las personas con discapacidad. </w:t>
      </w:r>
      <w:r w:rsidRPr="002D61EC">
        <w:rPr>
          <w:rFonts w:ascii="Verdana" w:hAnsi="Verdana" w:cs="Arial"/>
        </w:rPr>
        <w:t>La modificación realizada reemplazó la referencia al artículo 2.2.1.1.2.2.9 del Decreto 1082 de 2015, que anteriormente reglamentaba los factores de desempate, por una remisión al artículo 35 de la Ley 2069 de 2020 y el artículo 2.2.1.2.4.2.17 del Decreto 1082 de 2015, disposiciones por las que ahora se rigen los criterios de desempate.</w:t>
      </w:r>
    </w:p>
    <w:p w14:paraId="2879F773" w14:textId="77777777" w:rsidR="00CA2A7C" w:rsidRPr="000E754E" w:rsidRDefault="00CA2A7C" w:rsidP="00CA2A7C">
      <w:pPr>
        <w:tabs>
          <w:tab w:val="left" w:pos="6551"/>
        </w:tabs>
        <w:spacing w:after="120" w:line="276" w:lineRule="auto"/>
        <w:jc w:val="both"/>
        <w:rPr>
          <w:rFonts w:ascii="Verdana" w:eastAsia="Calibri" w:hAnsi="Verdana" w:cs="Arial"/>
          <w:color w:val="000000" w:themeColor="text1"/>
          <w:lang w:val="es-ES_tradnl"/>
        </w:rPr>
      </w:pPr>
      <w:r>
        <w:rPr>
          <w:rFonts w:ascii="Verdana" w:eastAsia="Calibri" w:hAnsi="Verdana" w:cs="Arial"/>
          <w:bCs/>
          <w:lang w:val="es-ES_tradnl"/>
        </w:rPr>
        <w:lastRenderedPageBreak/>
        <w:t xml:space="preserve">         Ahora bien, c</w:t>
      </w:r>
      <w:r w:rsidRPr="002D61EC">
        <w:rPr>
          <w:rFonts w:ascii="Verdana" w:eastAsia="Calibri" w:hAnsi="Verdana" w:cs="Arial"/>
          <w:bCs/>
          <w:lang w:val="es-ES_tradnl"/>
        </w:rPr>
        <w:t xml:space="preserve">on respecto al numeral 4 del artículo </w:t>
      </w:r>
      <w:r w:rsidRPr="002D61EC">
        <w:rPr>
          <w:rFonts w:ascii="Verdana" w:eastAsia="Calibri" w:hAnsi="Verdana" w:cs="Arial"/>
          <w:color w:val="000000" w:themeColor="text1"/>
          <w:lang w:val="es-ES_tradnl"/>
        </w:rPr>
        <w:t>2.2.1.2.4.2.17 del Decreto 1082 de 2015 adicionado por el</w:t>
      </w:r>
      <w:r w:rsidRPr="002D61EC">
        <w:rPr>
          <w:rFonts w:ascii="Verdana" w:eastAsia="Calibri" w:hAnsi="Verdana" w:cs="Arial"/>
          <w:bCs/>
          <w:color w:val="000000" w:themeColor="text1"/>
          <w:lang w:val="es-ES_tradnl"/>
        </w:rPr>
        <w:t xml:space="preserve"> artículo 3 del Decreto 1860 de 2021 </w:t>
      </w:r>
      <w:r w:rsidRPr="002D61EC">
        <w:rPr>
          <w:rFonts w:ascii="Verdana" w:eastAsia="Calibri" w:hAnsi="Verdana" w:cs="Arial"/>
          <w:color w:val="000000" w:themeColor="text1"/>
          <w:lang w:val="es-ES_tradnl"/>
        </w:rPr>
        <w:t xml:space="preserve">que reglamenta el numeral 4 </w:t>
      </w:r>
      <w:r w:rsidRPr="002D61EC">
        <w:rPr>
          <w:rFonts w:ascii="Verdana" w:eastAsia="Calibri" w:hAnsi="Verdana" w:cs="Arial"/>
          <w:bCs/>
          <w:lang w:val="es-ES_tradnl"/>
        </w:rPr>
        <w:t xml:space="preserve">del artículo 35 de la Ley 2069 de 2020, </w:t>
      </w:r>
      <w:bookmarkStart w:id="7" w:name="_Hlk93049677"/>
      <w:r w:rsidRPr="002D61EC">
        <w:rPr>
          <w:rFonts w:ascii="Verdana" w:eastAsia="Calibri" w:hAnsi="Verdana" w:cs="Arial"/>
          <w:color w:val="000000" w:themeColor="text1"/>
          <w:lang w:val="es-ES"/>
        </w:rPr>
        <w:t xml:space="preserve">cuando el legislador alude al concepto de “personas mayores” que no sean beneficiarias de la pensión de vejez, familiar o de sobrevivencia y que hayan cumplido la edad para obtenerla, una posible interpretación es entender que la norma se refiere al “adulto mayor”. Este concepto lo define el artículo 3 de la Ley 1251 de 2008 –“Por la cual se dictan normas tendientes a procurar la protección, promoción y defensa de los derechos de los adultos mayores”– como “[…] aquella persona que cuenta con sesenta (60) años de edad o más”, lo cual se puede acreditar con el documento de identidad correspondiente. En todo caso, también es posible entender que esta causal aplica a todas las personas que –en el rango de edad correspondiente a cada género– no han alcanzado la pensión, interpretación que está más ajustada al principio de favorabilidad y que, como se expresará, se acogió en la reglamentación realizada por el Decreto 1860 de 2021. </w:t>
      </w:r>
    </w:p>
    <w:p w14:paraId="6A16C5C0" w14:textId="77777777" w:rsidR="00CA2A7C" w:rsidRPr="002D61EC" w:rsidRDefault="00CA2A7C" w:rsidP="00CA2A7C">
      <w:pPr>
        <w:tabs>
          <w:tab w:val="left" w:pos="6551"/>
        </w:tabs>
        <w:spacing w:after="120" w:line="276" w:lineRule="auto"/>
        <w:ind w:firstLine="709"/>
        <w:jc w:val="both"/>
        <w:rPr>
          <w:rFonts w:ascii="Verdana" w:hAnsi="Verdana" w:cs="Arial"/>
          <w:color w:val="000000" w:themeColor="text1"/>
          <w:lang w:val="es-ES_tradnl"/>
        </w:rPr>
      </w:pPr>
      <w:r w:rsidRPr="002D61EC">
        <w:rPr>
          <w:rFonts w:ascii="Verdana" w:hAnsi="Verdana" w:cs="Arial"/>
          <w:color w:val="000000" w:themeColor="text1"/>
          <w:lang w:val="es-ES_tradnl"/>
        </w:rPr>
        <w:t xml:space="preserve">El numeral dice que en dicho evento la regla de desempate se aplica a favor del “[…] oferente que acredite la vinculación en </w:t>
      </w:r>
      <w:r w:rsidRPr="002D61EC">
        <w:rPr>
          <w:rFonts w:ascii="Verdana" w:hAnsi="Verdana" w:cs="Arial"/>
          <w:i/>
          <w:iCs/>
          <w:color w:val="000000" w:themeColor="text1"/>
          <w:lang w:val="es-ES_tradnl"/>
        </w:rPr>
        <w:t>mayor proporción</w:t>
      </w:r>
      <w:r w:rsidRPr="002D61EC">
        <w:rPr>
          <w:rFonts w:ascii="Verdana" w:hAnsi="Verdana" w:cs="Arial"/>
          <w:color w:val="000000" w:themeColor="text1"/>
          <w:lang w:val="es-ES_tradnl"/>
        </w:rPr>
        <w:t xml:space="preserve"> de personas mayores que no sean beneficiarios de la pensión de vejez, familiar o de sobrevivencia y que hayan cumplido el requisito de edad de pensión establecido en la Ley” (Énfasis fuera de texto). De este modo, cuando la norma se refiere a la “mayor proporción” alude al número de personas vinculadas por el oferente y que además reúnan la condición de ser mayores y que “no sean beneficiarios de la pensión de vejez, familiar o de sobrevivencia y que hayan cumplido el requisito de edad de pensión establecido en la Ley</w:t>
      </w:r>
      <w:bookmarkEnd w:id="7"/>
      <w:r w:rsidRPr="002D61EC">
        <w:rPr>
          <w:rFonts w:ascii="Verdana" w:hAnsi="Verdana" w:cs="Arial"/>
          <w:color w:val="000000" w:themeColor="text1"/>
          <w:lang w:val="es-ES_tradnl"/>
        </w:rPr>
        <w:t xml:space="preserve">”. </w:t>
      </w:r>
    </w:p>
    <w:p w14:paraId="06AD41D4" w14:textId="77777777" w:rsidR="00CA2A7C" w:rsidRPr="002D61EC" w:rsidRDefault="00CA2A7C" w:rsidP="00CA2A7C">
      <w:pPr>
        <w:tabs>
          <w:tab w:val="left" w:pos="6551"/>
        </w:tabs>
        <w:spacing w:after="120" w:line="276" w:lineRule="auto"/>
        <w:ind w:firstLine="709"/>
        <w:jc w:val="both"/>
        <w:rPr>
          <w:rFonts w:ascii="Verdana" w:hAnsi="Verdana" w:cs="Arial"/>
          <w:color w:val="000000" w:themeColor="text1"/>
          <w:lang w:val="es-ES"/>
        </w:rPr>
      </w:pPr>
      <w:r w:rsidRPr="002D61EC">
        <w:rPr>
          <w:rFonts w:ascii="Verdana" w:hAnsi="Verdana" w:cs="Arial"/>
          <w:color w:val="000000" w:themeColor="text1"/>
          <w:lang w:val="es-ES"/>
        </w:rPr>
        <w:t xml:space="preserve">Teniendo en cuenta que el numeral no distingue tipos de oferente, dicho criterio de desempate, a juicio de la Agencia, se debía aplicar también a proponentes plurales. En este caso el proponente plural debía acreditar la proporción de personas mayores vinculadas a aquel y que además “no sean beneficiarios de la pensión de vejez, familiar o de sobrevivencia y que hayan cumplido el requisito de edad de pensión establecido en la Ley”, para beneficiarse del factor de desempate. La norma guarda silencio sobre la acreditación de la condición que da lugar al factor de desempate. Por tanto, esta </w:t>
      </w:r>
      <w:r w:rsidRPr="002D61EC">
        <w:rPr>
          <w:rFonts w:ascii="Verdana" w:hAnsi="Verdana" w:cs="Arial"/>
          <w:color w:val="000000" w:themeColor="text1"/>
          <w:lang w:val="es-ES"/>
        </w:rPr>
        <w:lastRenderedPageBreak/>
        <w:t>Agencia consideraba que, mientras el Decreto 1860 de 2021 no entrara en vigencia, existía libertad probatoria sobre el tema. En consecuencia, la entidad contratante podía determinar en el pliego de condiciones o documento equivalente cuál sería el medio para evidenciar la vinculación de las personas mayores por parte del oferente.</w:t>
      </w:r>
    </w:p>
    <w:p w14:paraId="3FC304C8" w14:textId="77777777" w:rsidR="00CA2A7C" w:rsidRPr="002D61EC" w:rsidRDefault="00CA2A7C" w:rsidP="00CA2A7C">
      <w:pPr>
        <w:tabs>
          <w:tab w:val="left" w:pos="6551"/>
        </w:tabs>
        <w:spacing w:after="120" w:line="276" w:lineRule="auto"/>
        <w:ind w:firstLine="709"/>
        <w:jc w:val="both"/>
        <w:rPr>
          <w:rFonts w:ascii="Verdana" w:hAnsi="Verdana" w:cs="Arial"/>
          <w:color w:val="000000" w:themeColor="text1"/>
          <w:lang w:val="es-ES"/>
        </w:rPr>
      </w:pPr>
      <w:r w:rsidRPr="002D61EC">
        <w:rPr>
          <w:rFonts w:ascii="Verdana" w:hAnsi="Verdana" w:cs="Arial"/>
          <w:color w:val="000000" w:themeColor="text1"/>
          <w:lang w:val="es-ES"/>
        </w:rPr>
        <w:t xml:space="preserve">Paralelamente, como lo indicó la Agencia en los conceptos </w:t>
      </w:r>
      <w:r w:rsidRPr="002D61EC">
        <w:rPr>
          <w:rFonts w:ascii="Verdana" w:eastAsia="Calibri" w:hAnsi="Verdana" w:cs="Arial"/>
          <w:color w:val="000000" w:themeColor="text1"/>
          <w:lang w:val="es-ES"/>
        </w:rPr>
        <w:t xml:space="preserve">C-206 del 3 de mayo de 2021 y C-487 del 3 de agosto de 2021, </w:t>
      </w:r>
      <w:r w:rsidRPr="002D61EC">
        <w:rPr>
          <w:rFonts w:ascii="Verdana" w:hAnsi="Verdana" w:cs="Arial"/>
          <w:color w:val="000000" w:themeColor="text1"/>
          <w:lang w:val="es-ES"/>
        </w:rPr>
        <w:t xml:space="preserve">el numeral 4 del artículo 35 de la Ley 2069 de 2020 exige que la vinculación de personas mayores sea de carácter laboral –es decir, a través de un contrato de trabajo–, por lo cual Colombia Compra Eficiente consideraba que no resultaría procedente, para efectos de acreditar el factor de desempate, la vinculación de dichas personas a través de otros tipos contractuales, como, por ejemplo, el contrato de prestación de servicios. Para estos efectos, la palabra “vinculación” debía entenderse en concordancia con el parágrafo 2 de la norma en comento, el cual dispone que “Para los criterios enunciados que involucren la </w:t>
      </w:r>
      <w:r w:rsidRPr="002D61EC">
        <w:rPr>
          <w:rFonts w:ascii="Verdana" w:hAnsi="Verdana" w:cs="Arial"/>
          <w:i/>
          <w:iCs/>
          <w:color w:val="000000" w:themeColor="text1"/>
          <w:lang w:val="es-ES"/>
        </w:rPr>
        <w:t>vinculación de capital humano</w:t>
      </w:r>
      <w:r w:rsidRPr="002D61EC">
        <w:rPr>
          <w:rFonts w:ascii="Verdana" w:hAnsi="Verdana" w:cs="Arial"/>
          <w:color w:val="000000" w:themeColor="text1"/>
          <w:lang w:val="es-ES"/>
        </w:rPr>
        <w:t xml:space="preserve">, el oferente deberá acreditar una antigüedad igual o mayor a un año. Para los casos de constitución inferior a un año </w:t>
      </w:r>
      <w:r w:rsidRPr="002D61EC">
        <w:rPr>
          <w:rFonts w:ascii="Verdana" w:hAnsi="Verdana" w:cs="Arial"/>
          <w:i/>
          <w:iCs/>
          <w:color w:val="000000" w:themeColor="text1"/>
          <w:lang w:val="es-ES"/>
        </w:rPr>
        <w:t>se tendrá en cuenta a aquellos trabajadores</w:t>
      </w:r>
      <w:r w:rsidRPr="002D61EC">
        <w:rPr>
          <w:rFonts w:ascii="Verdana" w:hAnsi="Verdana" w:cs="Arial"/>
          <w:color w:val="000000" w:themeColor="text1"/>
          <w:lang w:val="es-ES"/>
        </w:rPr>
        <w:t xml:space="preserve"> que hayan estado vinculados desde el momento de constitución de la misma” (Énfasis fuera de texto). Como se observa, la norma se refiere a la vinculación de trabajadores, lo cual excluye la posibilidad de acreditar el factor de desempate mediante contratistas de prestación de servicios.  </w:t>
      </w:r>
    </w:p>
    <w:p w14:paraId="379B5149" w14:textId="77777777" w:rsidR="00CA2A7C" w:rsidRPr="002D61EC" w:rsidRDefault="00CA2A7C" w:rsidP="00CA2A7C">
      <w:pPr>
        <w:tabs>
          <w:tab w:val="left" w:pos="6551"/>
        </w:tabs>
        <w:spacing w:after="120" w:line="276" w:lineRule="auto"/>
        <w:ind w:firstLine="709"/>
        <w:jc w:val="both"/>
        <w:rPr>
          <w:rFonts w:ascii="Verdana" w:hAnsi="Verdana" w:cs="Arial"/>
          <w:color w:val="000000" w:themeColor="text1"/>
          <w:lang w:val="es-ES_tradnl"/>
        </w:rPr>
      </w:pPr>
      <w:r w:rsidRPr="002D61EC">
        <w:rPr>
          <w:rFonts w:ascii="Verdana" w:hAnsi="Verdana" w:cs="Arial"/>
          <w:color w:val="000000" w:themeColor="text1"/>
          <w:lang w:val="es-ES_tradnl"/>
        </w:rPr>
        <w:t xml:space="preserve">Por otra parte, el parágrafo segundo del artículo 35 de la Ley 2069 de 2020 no efectúa distinción alguna acerca de la modalidad de vinculación laboral. Solo exige que el capital humano esté vinculado laboralmente al oferente con una antigüedad igual o mayor a un año, salvo que la constitución del oferente sea inferior a un año, pues en este caso los trabajadores deben estar vinculados desde dicha constitución. </w:t>
      </w:r>
    </w:p>
    <w:p w14:paraId="5C8A352F" w14:textId="77777777" w:rsidR="00CA2A7C" w:rsidRPr="002D61EC" w:rsidRDefault="00CA2A7C" w:rsidP="00CA2A7C">
      <w:pPr>
        <w:spacing w:after="120" w:line="276" w:lineRule="auto"/>
        <w:ind w:firstLine="709"/>
        <w:jc w:val="both"/>
        <w:rPr>
          <w:rFonts w:ascii="Verdana" w:hAnsi="Verdana" w:cs="Arial"/>
          <w:lang w:val="es-ES_tradnl"/>
        </w:rPr>
      </w:pPr>
      <w:r w:rsidRPr="002D61EC">
        <w:rPr>
          <w:rFonts w:ascii="Verdana" w:hAnsi="Verdana" w:cs="Arial"/>
          <w:color w:val="000000" w:themeColor="text1"/>
          <w:lang w:val="es-ES_tradnl"/>
        </w:rPr>
        <w:t xml:space="preserve">Además, como se señaló en el concepto C-390 de 2021, </w:t>
      </w:r>
      <w:r w:rsidRPr="002D61EC">
        <w:rPr>
          <w:rFonts w:ascii="Verdana" w:hAnsi="Verdana" w:cs="Arial"/>
          <w:lang w:val="es-ES_tradnl"/>
        </w:rPr>
        <w:t xml:space="preserve">es necesario tener en cuenta que el artículo 28 del Código Civil dispone que “Las palabras de la ley se entenderán en su sentido natural y obvio, según el uso general de las mismas palabras; pero cuando el legislador las haya definido expresamente </w:t>
      </w:r>
      <w:r w:rsidRPr="002D61EC">
        <w:rPr>
          <w:rFonts w:ascii="Verdana" w:hAnsi="Verdana" w:cs="Arial"/>
          <w:lang w:val="es-ES_tradnl"/>
        </w:rPr>
        <w:lastRenderedPageBreak/>
        <w:t>para ciertas materias, se les dará en éstas su significado legal”. Igualmente, en el artículo 29 ibidem, también prescribe que “Las palabras técnicas de toda ciencia o arte se tomarán en el sentido que les den los que profesan la misma ciencia o arte; a menos que aparezca claramente que se han formado en sentido diverso”.</w:t>
      </w:r>
    </w:p>
    <w:p w14:paraId="3D2739D8" w14:textId="77777777" w:rsidR="00CA2A7C" w:rsidRPr="002D61EC" w:rsidRDefault="00CA2A7C" w:rsidP="00CA2A7C">
      <w:pPr>
        <w:spacing w:after="120" w:line="276" w:lineRule="auto"/>
        <w:ind w:firstLine="709"/>
        <w:jc w:val="both"/>
        <w:rPr>
          <w:rFonts w:ascii="Verdana" w:hAnsi="Verdana" w:cs="Arial"/>
          <w:lang w:val="es-ES_tradnl"/>
        </w:rPr>
      </w:pPr>
      <w:r w:rsidRPr="002D61EC">
        <w:rPr>
          <w:rFonts w:ascii="Verdana" w:hAnsi="Verdana" w:cs="Arial"/>
          <w:lang w:val="es-ES_tradnl"/>
        </w:rPr>
        <w:t>Conforme a la definición del Diccionario de la RAE, la palabra “proporción” es la “Igualdad de dos razones”. Esta expresión tiene una definición propia en el campo de las matemáticas, pues alude a una relación o razón constante entre diferentes magnitudes que se vayan a medir. Por esta razón, la “[…] mayor proporción de personas mayores que no sean beneficiarios de la pensión de vejez, familiar o de sobrevivencia y que hayan cumplido el requisito de edad de pensión establecido en la Ley” no corresponde a un valor absoluto, sino relativo.</w:t>
      </w:r>
    </w:p>
    <w:p w14:paraId="24E2F148" w14:textId="77777777" w:rsidR="00CA2A7C" w:rsidRPr="002D61EC" w:rsidRDefault="00CA2A7C" w:rsidP="00CA2A7C">
      <w:pPr>
        <w:spacing w:after="0" w:line="276" w:lineRule="auto"/>
        <w:ind w:firstLine="709"/>
        <w:jc w:val="both"/>
        <w:rPr>
          <w:rFonts w:ascii="Verdana" w:hAnsi="Verdana" w:cs="Arial"/>
          <w:lang w:val="es-ES_tradnl"/>
        </w:rPr>
      </w:pPr>
      <w:r w:rsidRPr="002D61EC">
        <w:rPr>
          <w:rFonts w:ascii="Verdana" w:hAnsi="Verdana" w:cs="Arial"/>
          <w:lang w:val="es-ES_tradnl"/>
        </w:rPr>
        <w:t xml:space="preserve">El factor de desempate del artículo 35.4 de la Ley 2069 de 2020 </w:t>
      </w:r>
      <w:r w:rsidRPr="002D61EC">
        <w:rPr>
          <w:rFonts w:ascii="Verdana" w:hAnsi="Verdana" w:cs="Arial"/>
          <w:i/>
          <w:iCs/>
          <w:lang w:val="es-ES_tradnl"/>
        </w:rPr>
        <w:t>no</w:t>
      </w:r>
      <w:r w:rsidRPr="002D61EC">
        <w:rPr>
          <w:rFonts w:ascii="Verdana" w:hAnsi="Verdana" w:cs="Arial"/>
          <w:lang w:val="es-ES_tradnl"/>
        </w:rPr>
        <w:t xml:space="preserve"> se refiere a la vinculación en </w:t>
      </w:r>
      <w:r w:rsidRPr="002D61EC">
        <w:rPr>
          <w:rFonts w:ascii="Verdana" w:hAnsi="Verdana" w:cs="Arial"/>
          <w:i/>
          <w:iCs/>
          <w:lang w:val="es-ES_tradnl"/>
        </w:rPr>
        <w:t>mayor cantidad</w:t>
      </w:r>
      <w:r w:rsidRPr="002D61EC">
        <w:rPr>
          <w:rFonts w:ascii="Verdana" w:hAnsi="Verdana" w:cs="Arial"/>
          <w:lang w:val="es-ES_tradnl"/>
        </w:rPr>
        <w:t xml:space="preserve"> de personas mayores. En este caso, bastaría comparar el número de personas vinculadas entre cada uno de los proponentes empatados, adjudicando el contrato a aquel que más tenga. Sin embargo, esta interpretación no es posible en la medida que la norma se refiere a la </w:t>
      </w:r>
      <w:bookmarkStart w:id="8" w:name="_Hlk72758821"/>
      <w:r w:rsidRPr="002D61EC">
        <w:rPr>
          <w:rFonts w:ascii="Verdana" w:hAnsi="Verdana" w:cs="Arial"/>
          <w:lang w:val="es-ES_tradnl"/>
        </w:rPr>
        <w:t>“vinculación en mayor proporción”</w:t>
      </w:r>
      <w:bookmarkEnd w:id="8"/>
      <w:r w:rsidRPr="002D61EC">
        <w:rPr>
          <w:rFonts w:ascii="Verdana" w:hAnsi="Verdana" w:cs="Arial"/>
          <w:lang w:val="es-ES_tradnl"/>
        </w:rPr>
        <w:t xml:space="preserve">, es decir el número de personas vinculadas en relación con la planta de personal de los oferentes. </w:t>
      </w:r>
      <w:r w:rsidRPr="002D61EC">
        <w:rPr>
          <w:rFonts w:ascii="Verdana" w:eastAsia="Calibri" w:hAnsi="Verdana" w:cs="Arial"/>
          <w:bCs/>
          <w:color w:val="000000" w:themeColor="text1"/>
          <w:lang w:val="es-ES_tradnl"/>
        </w:rPr>
        <w:t xml:space="preserve">Lo expuesto se ratifica en el artículo 3 del Decreto reglamentario 1860 de 2021, que adicionó el artículo </w:t>
      </w:r>
      <w:r w:rsidRPr="002D61EC">
        <w:rPr>
          <w:rFonts w:ascii="Verdana" w:eastAsia="Calibri" w:hAnsi="Verdana" w:cs="Arial"/>
          <w:color w:val="000000" w:themeColor="text1"/>
          <w:lang w:val="es-ES_tradnl"/>
        </w:rPr>
        <w:t xml:space="preserve">2.2.1.2.4.2.17 al Decreto 1082 de 2015, cuyo numeral 4 desarrolla el factor de desempate que se está analizando: </w:t>
      </w:r>
    </w:p>
    <w:p w14:paraId="42B91F1B" w14:textId="77777777" w:rsidR="00CA2A7C" w:rsidRPr="002D61EC" w:rsidRDefault="00CA2A7C" w:rsidP="00CA2A7C">
      <w:pPr>
        <w:pStyle w:val="NormalWeb"/>
        <w:shd w:val="clear" w:color="auto" w:fill="FFFFFF"/>
        <w:spacing w:after="120"/>
        <w:ind w:left="709" w:right="709"/>
        <w:jc w:val="both"/>
        <w:rPr>
          <w:rFonts w:ascii="Verdana" w:hAnsi="Verdana" w:cs="Arial"/>
          <w:sz w:val="21"/>
          <w:szCs w:val="21"/>
        </w:rPr>
      </w:pPr>
      <w:r w:rsidRPr="002D61EC">
        <w:rPr>
          <w:rFonts w:ascii="Verdana" w:hAnsi="Verdana" w:cs="Arial"/>
          <w:sz w:val="21"/>
          <w:szCs w:val="21"/>
        </w:rPr>
        <w:t xml:space="preserve">“4. Preferir la propuesta presentada por el oferente que acredite la vinculación en mayor proporción de personas mayores que no sean beneficiarias de la pensión de vejez, familiar o de sobrevivencia y que hayan cumplido el requisito de edad de pensión establecido en la ley, para ello, la persona natural, el representante legal de la persona jurídica o el revisor fiscal, según corresponda, entregará un certificado, en el que se acredite, bajo la gravedad de juramento, las personas vinculadas en su nómina y el número de trabajadores que no son beneficiarios de la pensión de vejez, familiar o de sobrevivencia y que cumplieron el requisito de edad de pensión. Solo se tendrá en cuenta la vinculación de aquellas personas que se encuentren en las condiciones descritas y que hayan estado vinculadas con una </w:t>
      </w:r>
      <w:r w:rsidRPr="002D61EC">
        <w:rPr>
          <w:rFonts w:ascii="Verdana" w:hAnsi="Verdana" w:cs="Arial"/>
          <w:sz w:val="21"/>
          <w:szCs w:val="21"/>
        </w:rPr>
        <w:lastRenderedPageBreak/>
        <w:t>anterioridad igual o mayor a un (1) año contado a partir de la fecha del cierre del proceso. Para los casos de constitución inferior a un (1) año, se tendrá en cuenta a aquellos que hayan estado vinculados desde el momento de la constitución de la persona jurídica.</w:t>
      </w:r>
    </w:p>
    <w:p w14:paraId="52EB30E4" w14:textId="77777777" w:rsidR="00CA2A7C" w:rsidRPr="002D61EC" w:rsidRDefault="00CA2A7C" w:rsidP="00CA2A7C">
      <w:pPr>
        <w:pStyle w:val="NormalWeb"/>
        <w:shd w:val="clear" w:color="auto" w:fill="FFFFFF"/>
        <w:spacing w:after="120"/>
        <w:ind w:left="709" w:right="709"/>
        <w:jc w:val="both"/>
        <w:rPr>
          <w:rFonts w:ascii="Verdana" w:hAnsi="Verdana" w:cs="Arial"/>
          <w:sz w:val="21"/>
          <w:szCs w:val="21"/>
        </w:rPr>
      </w:pPr>
      <w:r w:rsidRPr="002D61EC">
        <w:rPr>
          <w:rFonts w:ascii="Verdana" w:hAnsi="Verdana" w:cs="Arial"/>
          <w:sz w:val="21"/>
          <w:szCs w:val="21"/>
        </w:rPr>
        <w:t>El tiempo de vinculación en la planta referida, de que trata el inciso anterior, se acreditará con el certificado de aportes a seguridad social del último año o del tiempo de constitución de la persona jurídica, cuando su conformación es inferior a un (1) año, en el que se demuestren los pagos realizados por el empleador.</w:t>
      </w:r>
    </w:p>
    <w:p w14:paraId="23BF6BC1" w14:textId="77777777" w:rsidR="00CA2A7C" w:rsidRPr="002D61EC" w:rsidRDefault="00CA2A7C" w:rsidP="00CA2A7C">
      <w:pPr>
        <w:pStyle w:val="NormalWeb"/>
        <w:shd w:val="clear" w:color="auto" w:fill="FFFFFF"/>
        <w:spacing w:after="120"/>
        <w:ind w:left="709" w:right="709"/>
        <w:jc w:val="both"/>
        <w:rPr>
          <w:rFonts w:ascii="Verdana" w:hAnsi="Verdana" w:cs="Arial"/>
          <w:sz w:val="21"/>
          <w:szCs w:val="21"/>
        </w:rPr>
      </w:pPr>
      <w:r w:rsidRPr="002D61EC">
        <w:rPr>
          <w:rFonts w:ascii="Verdana" w:hAnsi="Verdana" w:cs="Arial"/>
          <w:sz w:val="21"/>
          <w:szCs w:val="21"/>
        </w:rPr>
        <w:t>En el caso de los proponentes plurales, su representante legal acreditará el número de trabajadores vinculados que son personas mayores no beneficiarias de la pensión de vejez, familiar o de sobrevivencia, y que cumplieron el requisito de edad de pensión establecido en la ley, de todos los integrantes del proponente. Las personas enunciadas anteriormente podrán estar vinculadas a cualquiera de sus integrantes.</w:t>
      </w:r>
    </w:p>
    <w:p w14:paraId="01958530" w14:textId="77777777" w:rsidR="00CA2A7C" w:rsidRPr="002D61EC" w:rsidRDefault="00CA2A7C" w:rsidP="00CA2A7C">
      <w:pPr>
        <w:pStyle w:val="NormalWeb"/>
        <w:shd w:val="clear" w:color="auto" w:fill="FFFFFF"/>
        <w:spacing w:after="120"/>
        <w:ind w:left="709" w:right="709"/>
        <w:jc w:val="both"/>
        <w:rPr>
          <w:rFonts w:ascii="Verdana" w:hAnsi="Verdana" w:cs="Arial"/>
          <w:sz w:val="21"/>
          <w:szCs w:val="21"/>
        </w:rPr>
      </w:pPr>
      <w:r w:rsidRPr="002D61EC">
        <w:rPr>
          <w:rFonts w:ascii="Verdana" w:hAnsi="Verdana" w:cs="Arial"/>
          <w:sz w:val="21"/>
          <w:szCs w:val="21"/>
        </w:rPr>
        <w:t>En cualquiera de los dos supuestos anteriores, para el otorgamiento del criterio de desempate, cada uno de los trabajadores que cumpla las condiciones previstas por la ley, allegará un certificado, mediante el cual acredita, bajo la gravedad de juramento, que no es beneficiario de pensión de vejez, familiar o sobrevivencia, y cumple la edad de pensión; además, se deberá allegar el documento de identificación del trabajador que lo firma.</w:t>
      </w:r>
    </w:p>
    <w:p w14:paraId="60232D25" w14:textId="77777777" w:rsidR="00CA2A7C" w:rsidRPr="002D61EC" w:rsidRDefault="00CA2A7C" w:rsidP="00CA2A7C">
      <w:pPr>
        <w:shd w:val="clear" w:color="auto" w:fill="FFFFFF"/>
        <w:spacing w:after="0" w:line="240" w:lineRule="auto"/>
        <w:ind w:left="709" w:right="709"/>
        <w:jc w:val="both"/>
        <w:rPr>
          <w:rFonts w:ascii="Verdana" w:eastAsia="Calibri" w:hAnsi="Verdana" w:cs="Arial"/>
          <w:lang w:val="es-ES_tradnl"/>
        </w:rPr>
      </w:pPr>
      <w:r w:rsidRPr="002D61EC">
        <w:rPr>
          <w:rFonts w:ascii="Verdana" w:hAnsi="Verdana" w:cs="Arial"/>
          <w:i/>
          <w:iCs/>
          <w:sz w:val="21"/>
          <w:szCs w:val="21"/>
        </w:rPr>
        <w:t xml:space="preserve">La mayor proporción </w:t>
      </w:r>
      <w:bookmarkStart w:id="9" w:name="_Hlk102656704"/>
      <w:r w:rsidRPr="002D61EC">
        <w:rPr>
          <w:rFonts w:ascii="Verdana" w:hAnsi="Verdana" w:cs="Arial"/>
          <w:i/>
          <w:iCs/>
          <w:sz w:val="21"/>
          <w:szCs w:val="21"/>
        </w:rPr>
        <w:t>se definirá en relación con el número total de trabajadores vinculados en la planta de personal, por lo que se preferirá al oferente que acredite un porcentaje mayor</w:t>
      </w:r>
      <w:bookmarkEnd w:id="9"/>
      <w:r w:rsidRPr="002D61EC">
        <w:rPr>
          <w:rFonts w:ascii="Verdana" w:hAnsi="Verdana" w:cs="Arial"/>
          <w:i/>
          <w:iCs/>
          <w:sz w:val="21"/>
          <w:szCs w:val="21"/>
        </w:rPr>
        <w:t>. En el caso de proponentes plurales, la mayor proporción se definirá con la sumatoria de trabajadores vinculados en la planta de personal de cada uno de sus integrantes</w:t>
      </w:r>
      <w:r w:rsidRPr="002D61EC">
        <w:rPr>
          <w:rFonts w:ascii="Verdana" w:hAnsi="Verdana" w:cs="Arial"/>
          <w:sz w:val="21"/>
          <w:szCs w:val="21"/>
        </w:rPr>
        <w:t>”.</w:t>
      </w:r>
      <w:r w:rsidRPr="002D61EC">
        <w:rPr>
          <w:rFonts w:ascii="Verdana" w:eastAsia="Calibri" w:hAnsi="Verdana" w:cs="Arial"/>
          <w:lang w:val="es-ES_tradnl"/>
        </w:rPr>
        <w:t xml:space="preserve"> (Énfasis fuera de texto)</w:t>
      </w:r>
    </w:p>
    <w:p w14:paraId="4087D2D0" w14:textId="77777777" w:rsidR="00CA2A7C" w:rsidRPr="002D61EC" w:rsidRDefault="00CA2A7C" w:rsidP="00CA2A7C">
      <w:pPr>
        <w:tabs>
          <w:tab w:val="left" w:pos="0"/>
        </w:tabs>
        <w:spacing w:after="0" w:line="276" w:lineRule="auto"/>
        <w:ind w:firstLine="709"/>
        <w:jc w:val="both"/>
        <w:rPr>
          <w:rFonts w:ascii="Verdana" w:eastAsia="Calibri" w:hAnsi="Verdana" w:cs="Arial"/>
          <w:bCs/>
          <w:lang w:val="es-ES_tradnl"/>
        </w:rPr>
      </w:pPr>
    </w:p>
    <w:p w14:paraId="35AF49DC" w14:textId="77777777" w:rsidR="00CA2A7C" w:rsidRPr="002D61EC" w:rsidRDefault="00CA2A7C" w:rsidP="00CA2A7C">
      <w:pPr>
        <w:spacing w:after="120" w:line="276" w:lineRule="auto"/>
        <w:ind w:firstLine="709"/>
        <w:jc w:val="both"/>
        <w:rPr>
          <w:rFonts w:ascii="Verdana" w:eastAsia="Calibri" w:hAnsi="Verdana" w:cs="Arial"/>
          <w:lang w:val="es-ES"/>
        </w:rPr>
      </w:pPr>
      <w:r w:rsidRPr="002D61EC">
        <w:rPr>
          <w:rFonts w:ascii="Verdana" w:eastAsia="Calibri" w:hAnsi="Verdana" w:cs="Arial"/>
          <w:lang w:val="es-ES"/>
        </w:rPr>
        <w:t xml:space="preserve">De conformidad con lo anterior, la reglamentación actual, expresamente, señala que se preferirá la propuesta del oferente que acredite la vinculación en mayor proporción de personas mayores que no sean beneficiarias de la pensión de vejez, familiar o de sobrevivencia y que hayan cumplido el requisito de edad de pensión establecido en la ley, para lo cual deberán presentar los siguientes </w:t>
      </w:r>
      <w:r w:rsidRPr="002D61EC">
        <w:rPr>
          <w:rFonts w:ascii="Verdana" w:eastAsia="Calibri" w:hAnsi="Verdana" w:cs="Arial"/>
          <w:lang w:val="es-ES"/>
        </w:rPr>
        <w:lastRenderedPageBreak/>
        <w:t xml:space="preserve">documentos: i) un certificado mediante el cual, el representante legal de la persona jurídica o el revisor fiscal, acredite bajo gravedad de juramento las personas vinculadas a la nómina y el número de trabajadores que no son beneficiarios de la pensión de vejez, familiar o de sobrevivencia, </w:t>
      </w:r>
      <w:proofErr w:type="spellStart"/>
      <w:r w:rsidRPr="002D61EC">
        <w:rPr>
          <w:rFonts w:ascii="Verdana" w:eastAsia="Calibri" w:hAnsi="Verdana" w:cs="Arial"/>
          <w:lang w:val="es-ES"/>
        </w:rPr>
        <w:t>ii</w:t>
      </w:r>
      <w:proofErr w:type="spellEnd"/>
      <w:r w:rsidRPr="002D61EC">
        <w:rPr>
          <w:rFonts w:ascii="Verdana" w:eastAsia="Calibri" w:hAnsi="Verdana" w:cs="Arial"/>
          <w:lang w:val="es-ES"/>
        </w:rPr>
        <w:t xml:space="preserve">) un certificado mediante el cual, cada uno de los trabajadores sujetos a la condición prevista en el numeral, acredite bajo gravedad de juramento que no es beneficiario de pensión de vejez, familiar o sobrevivencia, y que cumple la edad de pensión; y </w:t>
      </w:r>
      <w:proofErr w:type="spellStart"/>
      <w:r w:rsidRPr="002D61EC">
        <w:rPr>
          <w:rFonts w:ascii="Verdana" w:eastAsia="Calibri" w:hAnsi="Verdana" w:cs="Arial"/>
          <w:lang w:val="es-ES"/>
        </w:rPr>
        <w:t>iii</w:t>
      </w:r>
      <w:proofErr w:type="spellEnd"/>
      <w:r w:rsidRPr="002D61EC">
        <w:rPr>
          <w:rFonts w:ascii="Verdana" w:eastAsia="Calibri" w:hAnsi="Verdana" w:cs="Arial"/>
          <w:lang w:val="es-ES"/>
        </w:rPr>
        <w:t>) además, el documento de identificación del trabajador que lo firma.</w:t>
      </w:r>
    </w:p>
    <w:p w14:paraId="62AB13ED" w14:textId="00792480" w:rsidR="00471626" w:rsidRPr="002D61EC" w:rsidRDefault="00471626" w:rsidP="00471626">
      <w:pPr>
        <w:spacing w:after="120" w:line="276" w:lineRule="auto"/>
        <w:ind w:firstLine="708"/>
        <w:jc w:val="both"/>
        <w:rPr>
          <w:rFonts w:ascii="Verdana" w:eastAsia="Calibri" w:hAnsi="Verdana" w:cs="Arial"/>
          <w:lang w:val="es-ES_tradnl"/>
        </w:rPr>
      </w:pPr>
      <w:r>
        <w:rPr>
          <w:rFonts w:ascii="Verdana" w:eastAsia="Calibri" w:hAnsi="Verdana" w:cs="Times New Roman"/>
          <w:lang w:val="es-ES"/>
        </w:rPr>
        <w:t xml:space="preserve">Por otra </w:t>
      </w:r>
      <w:r w:rsidR="008378C3">
        <w:rPr>
          <w:rFonts w:ascii="Verdana" w:eastAsia="Calibri" w:hAnsi="Verdana" w:cs="Times New Roman"/>
          <w:lang w:val="es-ES"/>
        </w:rPr>
        <w:t>parte,</w:t>
      </w:r>
      <w:r>
        <w:rPr>
          <w:rFonts w:ascii="Verdana" w:eastAsia="Calibri" w:hAnsi="Verdana" w:cs="Times New Roman"/>
          <w:lang w:val="es-ES"/>
        </w:rPr>
        <w:t xml:space="preserve"> es de precisar que l</w:t>
      </w:r>
      <w:r w:rsidRPr="002D61EC">
        <w:rPr>
          <w:rFonts w:ascii="Verdana" w:eastAsia="Calibri" w:hAnsi="Verdana" w:cs="Arial"/>
          <w:lang w:val="es-ES_tradnl"/>
        </w:rPr>
        <w:t>a selección objetiva es uno de los principios medulares de la contratación estatal, la escogencia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habilitación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14:paraId="582851C0" w14:textId="77777777" w:rsidR="00471626" w:rsidRPr="002D61EC" w:rsidRDefault="00471626" w:rsidP="00471626">
      <w:pPr>
        <w:spacing w:after="120" w:line="276" w:lineRule="auto"/>
        <w:ind w:firstLine="709"/>
        <w:jc w:val="both"/>
        <w:rPr>
          <w:rFonts w:ascii="Verdana" w:eastAsia="Calibri" w:hAnsi="Verdana" w:cs="Arial"/>
          <w:lang w:val="es-ES"/>
        </w:rPr>
      </w:pPr>
      <w:r w:rsidRPr="002D61EC">
        <w:rPr>
          <w:rFonts w:ascii="Verdana" w:eastAsia="Calibri" w:hAnsi="Verdana" w:cs="Arial"/>
          <w:lang w:val="es-ES"/>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los mismos.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w:t>
      </w:r>
      <w:r w:rsidRPr="002D61EC">
        <w:rPr>
          <w:rFonts w:ascii="Verdana" w:eastAsia="Calibri" w:hAnsi="Verdana" w:cs="Arial"/>
          <w:lang w:val="es-ES"/>
        </w:rPr>
        <w:lastRenderedPageBreak/>
        <w:t xml:space="preserve">decir, el empate es un evento en el cual dos o más oferentes alcanzan una puntuación similar, al ponderarse los criterios de calificación que, en principio, aplican al procedimiento contractual. </w:t>
      </w:r>
    </w:p>
    <w:p w14:paraId="1DD506BF" w14:textId="77777777" w:rsidR="00471626" w:rsidRPr="002D61EC" w:rsidRDefault="00471626" w:rsidP="00471626">
      <w:pPr>
        <w:spacing w:after="120" w:line="276" w:lineRule="auto"/>
        <w:ind w:firstLine="709"/>
        <w:jc w:val="both"/>
        <w:rPr>
          <w:rFonts w:ascii="Verdana" w:eastAsia="Calibri" w:hAnsi="Verdana" w:cs="Arial"/>
          <w:lang w:val="es-ES_tradnl"/>
        </w:rPr>
      </w:pPr>
      <w:bookmarkStart w:id="10" w:name="_Hlk81487365"/>
      <w:r w:rsidRPr="002D61EC">
        <w:rPr>
          <w:rFonts w:ascii="Verdana" w:eastAsia="Calibri" w:hAnsi="Verdana" w:cs="Arial"/>
          <w:lang w:val="es-ES_tradnl"/>
        </w:rPr>
        <w:t>Sin embargo,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los que se encuentra el artículo 35 de la Ley 2069 de 2020. La jurisprudencia comparte la idea de que los criterios de desempate deben estar establecidos de antemano y constituyen un límite a la discrecionalidad administrativa en los procedimientos de selección</w:t>
      </w:r>
      <w:r w:rsidRPr="002D61EC">
        <w:rPr>
          <w:rStyle w:val="Refdenotaalpie"/>
          <w:rFonts w:ascii="Verdana" w:eastAsia="Calibri" w:hAnsi="Verdana" w:cs="Arial"/>
          <w:lang w:val="es-ES_tradnl"/>
        </w:rPr>
        <w:footnoteReference w:id="4"/>
      </w:r>
      <w:r w:rsidRPr="002D61EC">
        <w:rPr>
          <w:rFonts w:ascii="Verdana" w:eastAsia="Calibri" w:hAnsi="Verdana" w:cs="Arial"/>
          <w:lang w:val="es-ES_tradnl"/>
        </w:rPr>
        <w:t xml:space="preserve">. </w:t>
      </w:r>
    </w:p>
    <w:p w14:paraId="1070989E" w14:textId="77777777" w:rsidR="00471626" w:rsidRDefault="00471626" w:rsidP="00471626">
      <w:pPr>
        <w:spacing w:after="0" w:line="276" w:lineRule="auto"/>
        <w:ind w:firstLine="709"/>
        <w:jc w:val="both"/>
        <w:rPr>
          <w:rFonts w:ascii="Verdana" w:eastAsia="Calibri" w:hAnsi="Verdana" w:cs="Arial"/>
          <w:lang w:val="es-ES_tradnl"/>
        </w:rPr>
      </w:pPr>
      <w:r w:rsidRPr="002D61EC">
        <w:rPr>
          <w:rFonts w:ascii="Verdana" w:eastAsia="Calibri" w:hAnsi="Verdana" w:cs="Arial"/>
          <w:lang w:val="es-ES_tradnl"/>
        </w:rPr>
        <w:t>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w:t>
      </w:r>
      <w:r w:rsidRPr="002D61EC">
        <w:rPr>
          <w:rStyle w:val="Refdenotaalpie"/>
          <w:rFonts w:ascii="Verdana" w:eastAsia="Calibri" w:hAnsi="Verdana" w:cs="Arial"/>
          <w:lang w:val="es-ES_tradnl"/>
        </w:rPr>
        <w:footnoteReference w:id="5"/>
      </w:r>
      <w:r w:rsidRPr="002D61EC">
        <w:rPr>
          <w:rFonts w:ascii="Verdana" w:eastAsia="Calibri" w:hAnsi="Verdana" w:cs="Arial"/>
          <w:lang w:val="es-ES_tradnl"/>
        </w:rPr>
        <w:t xml:space="preserve">. </w:t>
      </w:r>
      <w:bookmarkEnd w:id="10"/>
    </w:p>
    <w:p w14:paraId="58D83DDE" w14:textId="4A9BA6F6" w:rsidR="00CC277F" w:rsidRDefault="00601CDD" w:rsidP="00601CDD">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w:t>
      </w:r>
    </w:p>
    <w:p w14:paraId="20093897" w14:textId="580F708B" w:rsidR="00601CDD" w:rsidRPr="00DB4737" w:rsidRDefault="00601CDD" w:rsidP="001175E7">
      <w:pPr>
        <w:spacing w:line="276" w:lineRule="auto"/>
        <w:ind w:firstLine="708"/>
        <w:contextualSpacing/>
        <w:jc w:val="both"/>
        <w:rPr>
          <w:rFonts w:ascii="Verdana" w:eastAsia="Calibri" w:hAnsi="Verdana" w:cs="Times New Roman"/>
          <w:lang w:val="es-ES"/>
        </w:rPr>
      </w:pPr>
      <w:r w:rsidRPr="00DB4737">
        <w:rPr>
          <w:rFonts w:ascii="Verdana" w:eastAsia="Calibri" w:hAnsi="Verdana" w:cs="Times New Roman"/>
          <w:lang w:val="es-ES"/>
        </w:rPr>
        <w:t xml:space="preserve">Finalmente debe advertirse, que el análisis para resolver problemas </w:t>
      </w:r>
      <w:r w:rsidRPr="009F6593">
        <w:rPr>
          <w:rFonts w:ascii="Verdana" w:eastAsia="Calibri" w:hAnsi="Verdana" w:cs="Times New Roman"/>
          <w:lang w:val="es-ES"/>
        </w:rPr>
        <w:t xml:space="preserve">específicos en torno </w:t>
      </w:r>
      <w:r w:rsidR="008D1C73" w:rsidRPr="00DB4737">
        <w:rPr>
          <w:rFonts w:ascii="Verdana" w:eastAsia="Calibri" w:hAnsi="Verdana" w:cs="Times New Roman"/>
          <w:lang w:val="es-ES"/>
        </w:rPr>
        <w:t xml:space="preserve">a </w:t>
      </w:r>
      <w:r w:rsidR="008D1C73">
        <w:rPr>
          <w:rFonts w:ascii="Verdana" w:eastAsia="Calibri" w:hAnsi="Verdana" w:cs="Times New Roman"/>
          <w:lang w:val="es-ES"/>
        </w:rPr>
        <w:t xml:space="preserve">la aplicación de criterios de desempate en un proceso de selección </w:t>
      </w:r>
      <w:r w:rsidR="00CC277F">
        <w:rPr>
          <w:rFonts w:ascii="Verdana" w:eastAsia="Calibri" w:hAnsi="Verdana" w:cs="Times New Roman"/>
          <w:lang w:val="es-ES"/>
        </w:rPr>
        <w:t>determinado</w:t>
      </w:r>
      <w:r w:rsidR="008D1C73">
        <w:rPr>
          <w:rFonts w:ascii="Verdana" w:eastAsia="Calibri" w:hAnsi="Verdana" w:cs="Times New Roman"/>
          <w:lang w:val="es-ES"/>
        </w:rPr>
        <w:t xml:space="preserve"> </w:t>
      </w:r>
      <w:r w:rsidRPr="00DB4737">
        <w:rPr>
          <w:rFonts w:ascii="Verdana" w:eastAsia="Calibri" w:hAnsi="Verdana" w:cs="Times New Roman"/>
          <w:lang w:val="es-ES"/>
        </w:rPr>
        <w:t>debe ser realizado por quienes tengan interés en ello. De esta forma, las afirmaciones aquí realizadas no pueden ser interpretadas como juicios de valor sobre circunstancias concretas relacionadas con los hechos que motivan la consulta.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CCCABCF" w14:textId="77777777" w:rsidR="00601CDD" w:rsidRPr="00DB4737" w:rsidRDefault="00601CDD" w:rsidP="00601CDD">
      <w:pPr>
        <w:ind w:left="720"/>
        <w:contextualSpacing/>
        <w:rPr>
          <w:rFonts w:ascii="Verdana" w:eastAsia="Calibri" w:hAnsi="Verdana" w:cs="Times New Roman"/>
          <w:lang w:val="es-ES"/>
        </w:rPr>
      </w:pPr>
    </w:p>
    <w:p w14:paraId="50FEB559" w14:textId="4F0A0E1F" w:rsidR="00601CDD" w:rsidRPr="00601CDD" w:rsidRDefault="00601CDD" w:rsidP="00601CDD">
      <w:pPr>
        <w:spacing w:before="120" w:after="120" w:line="276" w:lineRule="auto"/>
        <w:ind w:firstLine="708"/>
        <w:jc w:val="both"/>
        <w:rPr>
          <w:rFonts w:ascii="Verdana" w:eastAsia="Calibri" w:hAnsi="Verdana" w:cs="Arial"/>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A753282" w14:textId="77777777" w:rsidR="009A7CC9" w:rsidRDefault="009A7CC9" w:rsidP="007D5768">
      <w:pPr>
        <w:spacing w:after="0" w:line="276" w:lineRule="auto"/>
        <w:jc w:val="both"/>
        <w:rPr>
          <w:rFonts w:ascii="Verdana" w:eastAsia="Calibri" w:hAnsi="Verdana" w:cs="Arial"/>
          <w:lang w:val="es-ES"/>
        </w:rPr>
      </w:pPr>
    </w:p>
    <w:p w14:paraId="23064A8B" w14:textId="50929774" w:rsidR="00DB7D44" w:rsidRPr="00593A5F" w:rsidRDefault="00DB7D44" w:rsidP="00FB67C7">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02791144" w14:textId="77777777" w:rsidR="000F4D98" w:rsidRPr="00E21BD1" w:rsidRDefault="000F4D98" w:rsidP="000F4D98">
            <w:pPr>
              <w:pStyle w:val="Textonotapie"/>
              <w:ind w:left="720"/>
              <w:rPr>
                <w:rFonts w:ascii="Verdana" w:hAnsi="Verdana"/>
                <w:sz w:val="22"/>
                <w:szCs w:val="22"/>
                <w:highlight w:val="yellow"/>
                <w:lang w:val="es-CO"/>
              </w:rPr>
            </w:pPr>
          </w:p>
          <w:p w14:paraId="4F3311CB" w14:textId="77777777" w:rsidR="001175E7" w:rsidRPr="001175E7" w:rsidRDefault="001175E7" w:rsidP="001175E7">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 xml:space="preserve">Ley 80 de 1993, artículos 6, 44 </w:t>
            </w:r>
          </w:p>
          <w:p w14:paraId="753E725B" w14:textId="77777777" w:rsidR="001175E7" w:rsidRPr="001175E7" w:rsidRDefault="001175E7" w:rsidP="001175E7">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Ley 1251 de 2008, articulo 3.</w:t>
            </w:r>
          </w:p>
          <w:p w14:paraId="77B6168D" w14:textId="77777777" w:rsidR="001175E7" w:rsidRPr="001175E7" w:rsidRDefault="001175E7" w:rsidP="001175E7">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Decreto 1082 de 2015 artículo 2.1.2.4.2.17</w:t>
            </w:r>
          </w:p>
          <w:p w14:paraId="1F8C050D" w14:textId="77777777" w:rsidR="001175E7" w:rsidRPr="001175E7" w:rsidRDefault="001175E7" w:rsidP="001175E7">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Ley 2069 de 2020 articulo 30, 35, 84</w:t>
            </w:r>
          </w:p>
          <w:p w14:paraId="59AA97DE" w14:textId="77777777" w:rsidR="001175E7" w:rsidRPr="001175E7" w:rsidRDefault="001175E7" w:rsidP="001175E7">
            <w:pPr>
              <w:pStyle w:val="Prrafodelista"/>
              <w:numPr>
                <w:ilvl w:val="0"/>
                <w:numId w:val="42"/>
              </w:numPr>
              <w:spacing w:line="276" w:lineRule="auto"/>
              <w:jc w:val="both"/>
              <w:rPr>
                <w:rFonts w:ascii="Verdana" w:eastAsia="Calibri" w:hAnsi="Verdana" w:cs="Arial"/>
                <w:bCs/>
                <w:color w:val="000000"/>
                <w:szCs w:val="24"/>
                <w:lang w:val="es-ES_tradnl" w:eastAsia="es-ES_tradnl" w:bidi="es-ES"/>
              </w:rPr>
            </w:pPr>
            <w:r w:rsidRPr="001175E7">
              <w:rPr>
                <w:rFonts w:ascii="Verdana" w:eastAsia="Calibri" w:hAnsi="Verdana" w:cs="Arial"/>
                <w:bCs/>
                <w:color w:val="000000"/>
                <w:szCs w:val="24"/>
                <w:lang w:val="es-ES_tradnl" w:eastAsia="es-ES_tradnl" w:bidi="es-ES"/>
              </w:rPr>
              <w:t>Decreto 1860 de 2021articulo 3</w:t>
            </w:r>
          </w:p>
          <w:p w14:paraId="073DA8EB" w14:textId="77777777" w:rsidR="00E52602" w:rsidRPr="001175E7" w:rsidRDefault="001175E7" w:rsidP="001175E7">
            <w:pPr>
              <w:pStyle w:val="Prrafodelista"/>
              <w:numPr>
                <w:ilvl w:val="0"/>
                <w:numId w:val="42"/>
              </w:numPr>
              <w:spacing w:line="276" w:lineRule="auto"/>
              <w:jc w:val="both"/>
              <w:rPr>
                <w:rFonts w:ascii="Verdana" w:hAnsi="Verdana" w:cs="Arial"/>
              </w:rPr>
            </w:pPr>
            <w:r w:rsidRPr="001175E7">
              <w:rPr>
                <w:rFonts w:ascii="Verdana" w:eastAsia="Calibri" w:hAnsi="Verdana" w:cs="Arial"/>
                <w:bCs/>
                <w:color w:val="000000"/>
                <w:szCs w:val="24"/>
                <w:lang w:val="es-ES_tradnl" w:eastAsia="es-ES_tradnl" w:bidi="es-ES"/>
              </w:rPr>
              <w:t>Código Civil artículo 28</w:t>
            </w:r>
          </w:p>
          <w:p w14:paraId="1BB48715" w14:textId="77777777" w:rsidR="001175E7" w:rsidRPr="001175E7" w:rsidRDefault="001175E7" w:rsidP="001175E7">
            <w:pPr>
              <w:pStyle w:val="Prrafodelista"/>
              <w:numPr>
                <w:ilvl w:val="0"/>
                <w:numId w:val="42"/>
              </w:numPr>
              <w:spacing w:line="276" w:lineRule="auto"/>
              <w:jc w:val="both"/>
              <w:rPr>
                <w:rFonts w:ascii="Verdana" w:hAnsi="Verdana" w:cs="Arial"/>
              </w:rPr>
            </w:pPr>
            <w:r w:rsidRPr="001175E7">
              <w:rPr>
                <w:rFonts w:ascii="Verdana" w:hAnsi="Verdana" w:cs="Arial"/>
              </w:rPr>
              <w:t>Consejo de Estado. Sección Tercera. Sentencia del 29 de octubre de 2.015. Consejera Ponente: Stella Conto Díaz Del Castillo. Expediente: 31.918.</w:t>
            </w:r>
          </w:p>
          <w:p w14:paraId="2E3B0684" w14:textId="71B8097C" w:rsidR="001175E7" w:rsidRPr="000D446F" w:rsidRDefault="001175E7" w:rsidP="001175E7">
            <w:pPr>
              <w:pStyle w:val="Prrafodelista"/>
              <w:numPr>
                <w:ilvl w:val="0"/>
                <w:numId w:val="42"/>
              </w:numPr>
              <w:spacing w:line="276" w:lineRule="auto"/>
              <w:jc w:val="both"/>
              <w:rPr>
                <w:rFonts w:ascii="Verdana" w:hAnsi="Verdana" w:cs="Arial"/>
              </w:rPr>
            </w:pPr>
            <w:r w:rsidRPr="001175E7">
              <w:rPr>
                <w:rFonts w:ascii="Verdana" w:hAnsi="Verdana" w:cs="Arial"/>
              </w:rPr>
              <w:t>Corte Constitucional. Sentencia T-684A del 14 de septiembre de 2011. Magistrado Ponente: Mauricio González Cuervo.</w:t>
            </w: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5B5D8BF" w14:textId="357EFF2F" w:rsidR="007E2389" w:rsidRPr="00185EE9" w:rsidRDefault="001175E7" w:rsidP="007E2389">
      <w:pPr>
        <w:widowControl w:val="0"/>
        <w:autoSpaceDE w:val="0"/>
        <w:autoSpaceDN w:val="0"/>
        <w:spacing w:after="0" w:line="276" w:lineRule="auto"/>
        <w:jc w:val="both"/>
        <w:rPr>
          <w:rFonts w:ascii="Verdana" w:eastAsia="Calibri" w:hAnsi="Verdana" w:cs="Times New Roman"/>
        </w:rPr>
      </w:pPr>
      <w:r w:rsidRPr="00F4580E">
        <w:rPr>
          <w:rFonts w:ascii="Verdana" w:eastAsia="Calibri" w:hAnsi="Verdana" w:cs="Arial"/>
          <w:color w:val="000000" w:themeColor="text1"/>
          <w:lang w:eastAsia="es-ES_tradnl"/>
        </w:rPr>
        <w:t xml:space="preserve">La Agencia Nacional de Contratación Pública – Colombia Compra Eficiente </w:t>
      </w:r>
      <w:r w:rsidRPr="00F4580E">
        <w:rPr>
          <w:rFonts w:ascii="Verdana" w:eastAsia="Arial" w:hAnsi="Verdana" w:cs="Arial"/>
          <w:lang w:val="es-MX" w:eastAsia="es-ES_tradnl"/>
        </w:rPr>
        <w:t xml:space="preserve">se pronunció, en términos generales, sobre los factores de desempate en los procedimientos de contratación estatal, en los conceptos C-285 del 4 de mayo de 2020, C-481 del 27 de julio de 2020, C-514 y C-535 del 26 de agosto de 2020 y C-556 del 31 de agosto de 2020. De igual manera, estudió los factores de desempate del artículo 35 de la Ley 2069 de 2020 en los conceptos: C-136 del 07 de abril de 2021, C-138 del 07 de abril de 2021, C-139 del 07 de abril de </w:t>
      </w:r>
      <w:r w:rsidRPr="00F4580E">
        <w:rPr>
          <w:rFonts w:ascii="Verdana" w:eastAsia="Arial" w:hAnsi="Verdana" w:cs="Arial"/>
          <w:lang w:val="es-MX" w:eastAsia="es-ES_tradnl"/>
        </w:rPr>
        <w:lastRenderedPageBreak/>
        <w:t>2021, C-141 del 08 de abril de 2021, C-162 de 13 de abril de 2021, C-165 del 13 de abril de 2021, C-164 del 19 de abril de 2021, C−167 del 21 de abril de 2021, C-166 del 23 de abril de 2021, C-191 del 26 de abril de 2021, C-187 del 28 de abril de 2021, C-192 del 29 de abril de 2021, C-206 del 03 de mayo de 2021, C−198 del 5 de mayo de 2021, C-203 del 6 de mayo de 2021,  C-180 del 10 de mayo de 2021, C-210 del 10 de mayo de 2021, C-221 del 18 de mayo de 2021, C-239 del 25 de mayo de 2021 , C-320 del 1 de julio de 2021, C-338 del 12 de julio de 2021, C-444 del 23 de julio de, 2021, C-437 del 24 de agosto de 2021,  C-518 del 20 de septiembre de 2021,   C-438 del 28 de septiembre de 2021, C-576 del 13 de octubre de 2021, C-582 del 14 de octubre de 2021, C-586 del 14 de octubre de 2021, C-617 del 6 diciembre de 2021,  C-584 del 13 de diciembre de 2021, C-689 del 5 de enero de 2022, C-741 del 1 de febrero de 2022 y C-750 del 4 de febrero de 2022 y C-322 del 20 de mayo de 2022</w:t>
      </w:r>
      <w:r>
        <w:rPr>
          <w:rFonts w:ascii="Verdana" w:eastAsia="Arial" w:hAnsi="Verdana" w:cs="Arial"/>
          <w:lang w:val="es-MX" w:eastAsia="es-ES_tradnl"/>
        </w:rPr>
        <w:t xml:space="preserve">, </w:t>
      </w:r>
      <w:r w:rsidRPr="00F4580E">
        <w:rPr>
          <w:rFonts w:ascii="Verdana" w:eastAsia="Arial" w:hAnsi="Verdana" w:cs="Arial"/>
          <w:lang w:val="es-MX" w:eastAsia="es-ES_tradnl"/>
        </w:rPr>
        <w:t>C-468 del 22 de julio de 2022</w:t>
      </w:r>
      <w:r>
        <w:rPr>
          <w:rFonts w:ascii="Verdana" w:eastAsia="Arial" w:hAnsi="Verdana" w:cs="Arial"/>
          <w:lang w:val="es-MX" w:eastAsia="es-ES_tradnl"/>
        </w:rPr>
        <w:t xml:space="preserve"> y C-070 del 28 de mayo de 2024</w:t>
      </w:r>
      <w:r w:rsidRPr="00F4580E">
        <w:rPr>
          <w:rFonts w:ascii="Verdana" w:eastAsia="Arial" w:hAnsi="Verdana" w:cs="Arial"/>
          <w:lang w:val="es-MX" w:eastAsia="es-ES_tradnl"/>
        </w:rPr>
        <w:t xml:space="preserve"> entre otros</w:t>
      </w:r>
      <w:r w:rsidR="00F732FD">
        <w:rPr>
          <w:rFonts w:ascii="Verdana" w:eastAsia="Calibri" w:hAnsi="Verdana" w:cs="Arial"/>
          <w:lang w:val="es-ES" w:eastAsia="es-ES_tradnl"/>
        </w:rPr>
        <w:t>;</w:t>
      </w:r>
      <w:r w:rsidR="007E2389" w:rsidRPr="00185EE9">
        <w:rPr>
          <w:rFonts w:ascii="Verdana" w:eastAsia="Calibri" w:hAnsi="Verdana" w:cs="Times New Roman"/>
        </w:rPr>
        <w:t xml:space="preserve"> </w:t>
      </w:r>
      <w:r w:rsidR="007E2389">
        <w:rPr>
          <w:rFonts w:ascii="Verdana" w:eastAsia="Calibri" w:hAnsi="Verdana" w:cs="Times New Roman"/>
        </w:rPr>
        <w:t xml:space="preserve">estos </w:t>
      </w:r>
      <w:r w:rsidR="007E2389"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8F60A9B" w14:textId="01175CC3" w:rsidR="00117E40" w:rsidRPr="0065720B" w:rsidRDefault="00DE3A63" w:rsidP="007E2389">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007E2389" w:rsidRPr="00185EE9">
        <w:rPr>
          <w:rFonts w:ascii="Verdana" w:eastAsia="Calibri" w:hAnsi="Verdana" w:cs="Times New Roman"/>
        </w:rPr>
        <w:t>.</w:t>
      </w:r>
    </w:p>
    <w:p w14:paraId="7AA80262" w14:textId="77777777" w:rsidR="00DB7D44" w:rsidRDefault="00DB7D44"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5362D59A" w14:textId="77777777" w:rsidR="00A80691"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1A94559"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25D616FD"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3"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13CAF78"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4"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 xml:space="preserve">02. </w:t>
        </w:r>
        <w:r w:rsidRPr="00505CD6">
          <w:rPr>
            <w:rFonts w:ascii="Verdana" w:hAnsi="Verdana" w:cs="Arial"/>
            <w:color w:val="0563C1" w:themeColor="hyperlink"/>
            <w:u w:val="single"/>
            <w:shd w:val="clear" w:color="auto" w:fill="FFFFFF"/>
          </w:rPr>
          <w:lastRenderedPageBreak/>
          <w:t>Documentos tipo para los procesos de selección de consultoría de obra pública de infraestructura de transporte – versión 2. | Colombia Compra Eficiente | Agencia Nacional de Contratación Pública</w:t>
        </w:r>
      </w:hyperlink>
    </w:p>
    <w:p w14:paraId="302453FB"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7CB67F4C"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14:paraId="003E92E1" w14:textId="77777777" w:rsidR="00A80691" w:rsidRPr="00505CD6" w:rsidRDefault="00A80691" w:rsidP="00A80691">
      <w:pPr>
        <w:widowControl w:val="0"/>
        <w:autoSpaceDE w:val="0"/>
        <w:autoSpaceDN w:val="0"/>
        <w:spacing w:after="0" w:line="276" w:lineRule="auto"/>
        <w:jc w:val="both"/>
        <w:rPr>
          <w:rFonts w:ascii="Verdana" w:eastAsia="Calibri" w:hAnsi="Verdana" w:cs="Arial"/>
          <w:color w:val="000000" w:themeColor="text1"/>
        </w:rPr>
      </w:pPr>
    </w:p>
    <w:p w14:paraId="7B957669" w14:textId="77777777" w:rsidR="00A80691" w:rsidRPr="00505CD6" w:rsidRDefault="00A80691" w:rsidP="00A8069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EC8E96" w14:textId="77777777" w:rsidR="00A80691" w:rsidRPr="00505CD6" w:rsidRDefault="00A80691" w:rsidP="00A80691">
      <w:pPr>
        <w:widowControl w:val="0"/>
        <w:autoSpaceDE w:val="0"/>
        <w:autoSpaceDN w:val="0"/>
        <w:spacing w:after="0" w:line="276" w:lineRule="auto"/>
        <w:jc w:val="both"/>
        <w:rPr>
          <w:rFonts w:ascii="Verdana" w:hAnsi="Verdana" w:cs="Arial"/>
        </w:rPr>
      </w:pPr>
    </w:p>
    <w:p w14:paraId="2126DCB2" w14:textId="77777777" w:rsidR="00A80691" w:rsidRPr="00505CD6" w:rsidRDefault="00A80691" w:rsidP="00A80691">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28C199" w14:textId="51429BDF" w:rsidR="00A80691" w:rsidRDefault="00A80691" w:rsidP="00FE66BE">
      <w:pPr>
        <w:spacing w:line="276" w:lineRule="auto"/>
        <w:jc w:val="center"/>
        <w:rPr>
          <w:rFonts w:ascii="Verdana" w:hAnsi="Verdana"/>
          <w:noProof/>
        </w:rPr>
      </w:pPr>
    </w:p>
    <w:p w14:paraId="6235DC2E" w14:textId="3AF44045" w:rsidR="00645CB7" w:rsidRDefault="002058D7" w:rsidP="00645CB7">
      <w:pPr>
        <w:spacing w:line="276" w:lineRule="auto"/>
        <w:jc w:val="center"/>
        <w:rPr>
          <w:rFonts w:ascii="Verdana" w:hAnsi="Verdana"/>
          <w:noProof/>
          <w:color w:val="000000"/>
        </w:rPr>
      </w:pPr>
      <w:r>
        <w:rPr>
          <w:rFonts w:ascii="Verdana" w:hAnsi="Verdana"/>
          <w:noProof/>
          <w:color w:val="000000"/>
        </w:rPr>
        <w:drawing>
          <wp:inline distT="0" distB="0" distL="0" distR="0" wp14:anchorId="47527B2C" wp14:editId="4C8BAE38">
            <wp:extent cx="3809365" cy="1637910"/>
            <wp:effectExtent l="0" t="0" r="635" b="635"/>
            <wp:docPr id="14285437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543754" name="Imagen 1428543754"/>
                    <pic:cNvPicPr/>
                  </pic:nvPicPr>
                  <pic:blipFill>
                    <a:blip r:embed="rId16">
                      <a:extLst>
                        <a:ext uri="{28A0092B-C50C-407E-A947-70E740481C1C}">
                          <a14:useLocalDpi xmlns:a14="http://schemas.microsoft.com/office/drawing/2010/main" val="0"/>
                        </a:ext>
                      </a:extLst>
                    </a:blip>
                    <a:stretch>
                      <a:fillRect/>
                    </a:stretch>
                  </pic:blipFill>
                  <pic:spPr>
                    <a:xfrm>
                      <a:off x="0" y="0"/>
                      <a:ext cx="3822852" cy="164370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0691" w:rsidRPr="00593A5F" w14:paraId="31D06E98" w14:textId="77777777" w:rsidTr="00E1079D">
        <w:trPr>
          <w:trHeight w:val="315"/>
        </w:trPr>
        <w:tc>
          <w:tcPr>
            <w:tcW w:w="893" w:type="dxa"/>
            <w:vAlign w:val="center"/>
            <w:hideMark/>
          </w:tcPr>
          <w:p w14:paraId="03E2D651"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E6222" w14:textId="77777777" w:rsidR="00A80691" w:rsidRPr="00E24803" w:rsidRDefault="00A80691" w:rsidP="00A80691">
            <w:pPr>
              <w:spacing w:line="276" w:lineRule="auto"/>
              <w:contextualSpacing/>
              <w:jc w:val="both"/>
              <w:rPr>
                <w:rFonts w:ascii="Verdana" w:hAnsi="Verdana"/>
                <w:sz w:val="16"/>
                <w:szCs w:val="16"/>
              </w:rPr>
            </w:pPr>
            <w:r w:rsidRPr="00E24803">
              <w:rPr>
                <w:rFonts w:ascii="Verdana" w:hAnsi="Verdana"/>
                <w:sz w:val="16"/>
                <w:szCs w:val="16"/>
              </w:rPr>
              <w:t>Nicolas Andrés Guzmán Padilla</w:t>
            </w:r>
          </w:p>
          <w:p w14:paraId="53926242" w14:textId="33D77AA9" w:rsidR="00A80691" w:rsidRPr="000015E6" w:rsidRDefault="00A80691" w:rsidP="00A80691">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A80691" w:rsidRPr="00593A5F" w14:paraId="7860D780" w14:textId="77777777" w:rsidTr="00E1079D">
        <w:trPr>
          <w:trHeight w:val="330"/>
        </w:trPr>
        <w:tc>
          <w:tcPr>
            <w:tcW w:w="893" w:type="dxa"/>
            <w:vAlign w:val="center"/>
            <w:hideMark/>
          </w:tcPr>
          <w:p w14:paraId="242F9749"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957146" w14:textId="77777777" w:rsidR="00E21BD1" w:rsidRPr="00E24803" w:rsidRDefault="00E21BD1" w:rsidP="00E21BD1">
            <w:pPr>
              <w:spacing w:line="276" w:lineRule="auto"/>
              <w:contextualSpacing/>
              <w:jc w:val="both"/>
              <w:rPr>
                <w:rFonts w:ascii="Verdana" w:hAnsi="Verdana"/>
                <w:sz w:val="16"/>
                <w:szCs w:val="16"/>
              </w:rPr>
            </w:pPr>
            <w:r>
              <w:rPr>
                <w:rFonts w:ascii="Verdana" w:hAnsi="Verdana"/>
                <w:sz w:val="16"/>
                <w:szCs w:val="16"/>
              </w:rPr>
              <w:t>Juan Carlos González</w:t>
            </w:r>
          </w:p>
          <w:p w14:paraId="2BBC7853" w14:textId="6C5DBAC2" w:rsidR="00A80691" w:rsidRPr="00EF40D2" w:rsidRDefault="00A80691" w:rsidP="00A80691">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A80691" w:rsidRPr="00593A5F" w14:paraId="2DB10D30" w14:textId="77777777" w:rsidTr="00E1079D">
        <w:trPr>
          <w:trHeight w:val="300"/>
        </w:trPr>
        <w:tc>
          <w:tcPr>
            <w:tcW w:w="893" w:type="dxa"/>
            <w:vAlign w:val="center"/>
          </w:tcPr>
          <w:p w14:paraId="3638310D"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3B7E9CE"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 xml:space="preserve">Carolina Quintero </w:t>
            </w:r>
            <w:r w:rsidR="00606078" w:rsidRPr="000015E6">
              <w:rPr>
                <w:rFonts w:ascii="Verdana" w:eastAsia="Calibri" w:hAnsi="Verdana" w:cs="Arial"/>
                <w:sz w:val="16"/>
                <w:szCs w:val="16"/>
                <w:lang w:val="pt-BR" w:eastAsia="es-ES"/>
              </w:rPr>
              <w:t>Ganchará</w:t>
            </w:r>
          </w:p>
          <w:p w14:paraId="3F43F8EA" w14:textId="2BA9B9FC"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1"/>
      <w:bookmarkEnd w:id="2"/>
      <w:bookmarkEnd w:id="3"/>
    </w:tbl>
    <w:p w14:paraId="0465BA6D" w14:textId="5A633879" w:rsidR="00E245AB" w:rsidRPr="0044528D" w:rsidRDefault="00E245AB" w:rsidP="00E245AB">
      <w:pPr>
        <w:spacing w:after="0"/>
        <w:rPr>
          <w:rFonts w:ascii="Verdana" w:hAnsi="Verdana"/>
        </w:rPr>
      </w:pPr>
    </w:p>
    <w:sectPr w:rsidR="00E245AB" w:rsidRPr="0044528D" w:rsidSect="00C03274">
      <w:headerReference w:type="even" r:id="rId17"/>
      <w:headerReference w:type="default" r:id="rId18"/>
      <w:footerReference w:type="even" r:id="rId19"/>
      <w:footerReference w:type="default" r:id="rId20"/>
      <w:pgSz w:w="12240" w:h="15840" w:code="1"/>
      <w:pgMar w:top="1417" w:right="1750" w:bottom="1417"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5134E" w14:textId="77777777" w:rsidR="000A4E16" w:rsidRDefault="000A4E16" w:rsidP="004A1847">
      <w:pPr>
        <w:spacing w:after="0" w:line="240" w:lineRule="auto"/>
      </w:pPr>
      <w:r>
        <w:separator/>
      </w:r>
    </w:p>
  </w:endnote>
  <w:endnote w:type="continuationSeparator" w:id="0">
    <w:p w14:paraId="5A9E8862" w14:textId="77777777" w:rsidR="000A4E16" w:rsidRDefault="000A4E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7828B" w14:textId="77777777" w:rsidR="000A4E16" w:rsidRDefault="000A4E16" w:rsidP="004A1847">
      <w:pPr>
        <w:spacing w:after="0" w:line="240" w:lineRule="auto"/>
      </w:pPr>
      <w:r>
        <w:separator/>
      </w:r>
    </w:p>
  </w:footnote>
  <w:footnote w:type="continuationSeparator" w:id="0">
    <w:p w14:paraId="7A257F8E" w14:textId="77777777" w:rsidR="000A4E16" w:rsidRDefault="000A4E16" w:rsidP="004A1847">
      <w:pPr>
        <w:spacing w:after="0" w:line="240" w:lineRule="auto"/>
      </w:pPr>
      <w:r>
        <w:continuationSeparator/>
      </w:r>
    </w:p>
  </w:footnote>
  <w:footnote w:id="1">
    <w:p w14:paraId="3903E67C" w14:textId="77777777" w:rsidR="00237F82" w:rsidRPr="0038437E" w:rsidRDefault="00237F82" w:rsidP="00237F82">
      <w:pPr>
        <w:pStyle w:val="Car1"/>
        <w:ind w:firstLine="709"/>
        <w:jc w:val="both"/>
        <w:rPr>
          <w:rFonts w:ascii="Verdana" w:hAnsi="Verdana" w:cs="Arial"/>
          <w:sz w:val="16"/>
          <w:szCs w:val="16"/>
          <w:lang w:val="es-ES"/>
        </w:rPr>
      </w:pPr>
      <w:r w:rsidRPr="0038437E">
        <w:rPr>
          <w:rStyle w:val="Refdenotaalpie"/>
          <w:rFonts w:ascii="Verdana" w:hAnsi="Verdana" w:cs="Arial"/>
          <w:sz w:val="16"/>
          <w:szCs w:val="16"/>
        </w:rPr>
        <w:footnoteRef/>
      </w:r>
      <w:r w:rsidRPr="0038437E">
        <w:rPr>
          <w:rFonts w:ascii="Verdana" w:hAnsi="Verdana" w:cs="Arial"/>
          <w:sz w:val="16"/>
          <w:szCs w:val="16"/>
        </w:rPr>
        <w:t xml:space="preserve"> </w:t>
      </w:r>
      <w:r w:rsidRPr="0038437E">
        <w:rPr>
          <w:rFonts w:ascii="Verdana" w:hAnsi="Verdana" w:cs="Arial"/>
          <w:sz w:val="16"/>
          <w:szCs w:val="16"/>
          <w:lang w:val="es-ES"/>
        </w:rPr>
        <w:t>Consejo de Estado. Sección Tercera. Sentencia del 29 de octubre de 2.015. Consejera Ponente: Stella Conto Díaz Del Castillo. Expediente: 31.918.</w:t>
      </w:r>
    </w:p>
  </w:footnote>
  <w:footnote w:id="2">
    <w:p w14:paraId="65ADF2B2" w14:textId="77777777" w:rsidR="00237F82" w:rsidRPr="00FA774E" w:rsidRDefault="00237F82" w:rsidP="00237F82">
      <w:pPr>
        <w:pStyle w:val="Car1"/>
        <w:ind w:firstLine="709"/>
        <w:jc w:val="both"/>
        <w:rPr>
          <w:rFonts w:ascii="Century Gothic" w:hAnsi="Century Gothic" w:cs="Arial"/>
          <w:sz w:val="18"/>
          <w:szCs w:val="18"/>
          <w:lang w:val="es-ES"/>
        </w:rPr>
      </w:pPr>
      <w:r w:rsidRPr="0038437E">
        <w:rPr>
          <w:rStyle w:val="Refdenotaalpie"/>
          <w:rFonts w:ascii="Verdana" w:hAnsi="Verdana" w:cs="Arial"/>
          <w:sz w:val="16"/>
          <w:szCs w:val="16"/>
        </w:rPr>
        <w:footnoteRef/>
      </w:r>
      <w:r w:rsidRPr="0038437E">
        <w:rPr>
          <w:rFonts w:ascii="Verdana" w:hAnsi="Verdana" w:cs="Arial"/>
          <w:sz w:val="16"/>
          <w:szCs w:val="16"/>
        </w:rPr>
        <w:t xml:space="preserve"> </w:t>
      </w:r>
      <w:r w:rsidRPr="0038437E">
        <w:rPr>
          <w:rFonts w:ascii="Verdana" w:hAnsi="Verdana" w:cs="Arial"/>
          <w:sz w:val="16"/>
          <w:szCs w:val="16"/>
          <w:lang w:val="es-ES"/>
        </w:rPr>
        <w:t>Corte Constitucional. Sentencia T-684A del 14 de septiembre de 2011. Magistrado Ponente: Mauricio González Cuervo.</w:t>
      </w:r>
    </w:p>
  </w:footnote>
  <w:footnote w:id="3">
    <w:p w14:paraId="4A9753D6" w14:textId="77777777" w:rsidR="00CA2A7C" w:rsidRPr="00DE694E" w:rsidRDefault="00CA2A7C" w:rsidP="00CA2A7C">
      <w:pPr>
        <w:pStyle w:val="Textonotapie"/>
        <w:jc w:val="both"/>
        <w:rPr>
          <w:rFonts w:ascii="Verdana" w:hAnsi="Verdana" w:cs="Arial"/>
          <w:sz w:val="16"/>
          <w:szCs w:val="16"/>
        </w:rPr>
      </w:pPr>
      <w:r w:rsidRPr="00DE694E">
        <w:rPr>
          <w:rStyle w:val="Refdenotaalpie"/>
          <w:rFonts w:ascii="Verdana" w:hAnsi="Verdana" w:cs="Arial"/>
          <w:sz w:val="16"/>
          <w:szCs w:val="16"/>
        </w:rPr>
        <w:footnoteRef/>
      </w:r>
      <w:r w:rsidRPr="00DE694E">
        <w:rPr>
          <w:rFonts w:ascii="Verdana" w:hAnsi="Verdana" w:cs="Arial"/>
          <w:sz w:val="16"/>
          <w:szCs w:val="16"/>
        </w:rPr>
        <w:t xml:space="preserve"> Decreto 1860 de 2021. “Artículo 1. Objeto. El presente Decreto tiene como propósito reglamentar los artículos 30, 31, 32,34 y 35 de la Ley 2069 de 2020, en relación con: el procedimiento de mínima cuantía, incluyendo disposiciones particulares que se refieren a la contratación con </w:t>
      </w:r>
      <w:r w:rsidRPr="00DE694E">
        <w:rPr>
          <w:rFonts w:ascii="Verdana" w:hAnsi="Verdana" w:cs="Arial"/>
          <w:sz w:val="16"/>
          <w:szCs w:val="16"/>
        </w:rPr>
        <w:t>Mipyme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footnote>
  <w:footnote w:id="4">
    <w:p w14:paraId="506102BC" w14:textId="77777777" w:rsidR="00471626" w:rsidRPr="000A2FE6" w:rsidRDefault="00471626" w:rsidP="00471626">
      <w:pPr>
        <w:pStyle w:val="Textonotapie"/>
        <w:jc w:val="both"/>
        <w:rPr>
          <w:rFonts w:ascii="Verdana" w:hAnsi="Verdana" w:cs="Arial"/>
          <w:sz w:val="16"/>
          <w:szCs w:val="16"/>
        </w:rPr>
      </w:pPr>
      <w:r w:rsidRPr="000A2FE6">
        <w:rPr>
          <w:rStyle w:val="Refdenotaalpie"/>
          <w:rFonts w:ascii="Verdana" w:hAnsi="Verdana" w:cs="Arial"/>
          <w:sz w:val="16"/>
          <w:szCs w:val="16"/>
        </w:rPr>
        <w:footnoteRef/>
      </w:r>
      <w:r w:rsidRPr="000A2FE6">
        <w:rPr>
          <w:rFonts w:ascii="Verdana" w:hAnsi="Verdana" w:cs="Arial"/>
          <w:sz w:val="16"/>
          <w:szCs w:val="16"/>
        </w:rPr>
        <w:t xml:space="preserve"> </w:t>
      </w:r>
      <w:r w:rsidRPr="000A2FE6">
        <w:rPr>
          <w:rFonts w:ascii="Verdana" w:hAnsi="Verdana" w:cs="Arial"/>
          <w:sz w:val="16"/>
          <w:szCs w:val="16"/>
          <w:lang w:val="es-ES"/>
        </w:rPr>
        <w:t>Consejo de Estado. Sección Tercera. Sentencia del 29 de octubre de 2.015. Consejera Ponente: Stella Conto Díaz Del Castillo. Expediente: 31.918.</w:t>
      </w:r>
    </w:p>
  </w:footnote>
  <w:footnote w:id="5">
    <w:p w14:paraId="34B2B832" w14:textId="77777777" w:rsidR="00471626" w:rsidRPr="00C96FA1" w:rsidRDefault="00471626" w:rsidP="00471626">
      <w:pPr>
        <w:pStyle w:val="Textonotapie"/>
        <w:jc w:val="both"/>
        <w:rPr>
          <w:rFonts w:ascii="Century Gothic" w:hAnsi="Century Gothic"/>
          <w:sz w:val="16"/>
          <w:szCs w:val="16"/>
        </w:rPr>
      </w:pPr>
      <w:r w:rsidRPr="000A2FE6">
        <w:rPr>
          <w:rStyle w:val="Refdenotaalpie"/>
          <w:rFonts w:ascii="Verdana" w:hAnsi="Verdana"/>
          <w:sz w:val="16"/>
          <w:szCs w:val="16"/>
        </w:rPr>
        <w:footnoteRef/>
      </w:r>
      <w:r w:rsidRPr="000A2FE6">
        <w:rPr>
          <w:rFonts w:ascii="Verdana" w:hAnsi="Verdana"/>
          <w:sz w:val="16"/>
          <w:szCs w:val="16"/>
        </w:rPr>
        <w:t xml:space="preserve"> </w:t>
      </w:r>
      <w:r w:rsidRPr="000A2FE6">
        <w:rPr>
          <w:rFonts w:ascii="Verdana" w:hAnsi="Verdana" w:cs="Arial"/>
          <w:sz w:val="16"/>
          <w:szCs w:val="16"/>
          <w:lang w:val="es-ES"/>
        </w:rPr>
        <w:t>Corte Constitucional. Sentencia T-684A del 14 de septiembre de 2011. Magistrado Ponente: Mauricio González Cuervo.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56672276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263155480" name="Imagen 263155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8"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807785"/>
    <w:multiLevelType w:val="hybridMultilevel"/>
    <w:tmpl w:val="F956DF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9"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192B65"/>
    <w:multiLevelType w:val="hybridMultilevel"/>
    <w:tmpl w:val="194857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2CBC59B1"/>
    <w:multiLevelType w:val="hybridMultilevel"/>
    <w:tmpl w:val="9B9AECF8"/>
    <w:lvl w:ilvl="0" w:tplc="7AF69CD2">
      <w:start w:val="1"/>
      <w:numFmt w:val="lowerRoman"/>
      <w:lvlText w:val="%1)"/>
      <w:lvlJc w:val="left"/>
      <w:pPr>
        <w:ind w:left="1440" w:hanging="720"/>
      </w:pPr>
      <w:rPr>
        <w:rFonts w:ascii="Verdana" w:hAnsi="Verdana" w:hint="default"/>
        <w:sz w:val="22"/>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23" w15:restartNumberingAfterBreak="0">
    <w:nsid w:val="497D0DA0"/>
    <w:multiLevelType w:val="hybridMultilevel"/>
    <w:tmpl w:val="3FCE3E80"/>
    <w:lvl w:ilvl="0" w:tplc="3A8C993E">
      <w:start w:val="1"/>
      <w:numFmt w:val="decimal"/>
      <w:lvlText w:val="%1."/>
      <w:lvlJc w:val="left"/>
      <w:pPr>
        <w:ind w:left="1069" w:hanging="360"/>
      </w:pPr>
      <w:rPr>
        <w:rFonts w:hint="default"/>
        <w:b w:val="0"/>
        <w:bCs/>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4"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5"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3DD0257"/>
    <w:multiLevelType w:val="hybridMultilevel"/>
    <w:tmpl w:val="5274A2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DC50FF7"/>
    <w:multiLevelType w:val="hybridMultilevel"/>
    <w:tmpl w:val="559E1A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4"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72B73DB"/>
    <w:multiLevelType w:val="hybridMultilevel"/>
    <w:tmpl w:val="2A9E79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D0A39BE"/>
    <w:multiLevelType w:val="hybridMultilevel"/>
    <w:tmpl w:val="C1CE7E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7"/>
  </w:num>
  <w:num w:numId="2" w16cid:durableId="19822139">
    <w:abstractNumId w:val="3"/>
  </w:num>
  <w:num w:numId="3" w16cid:durableId="876742304">
    <w:abstractNumId w:val="15"/>
  </w:num>
  <w:num w:numId="4" w16cid:durableId="24518640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39"/>
  </w:num>
  <w:num w:numId="7" w16cid:durableId="1946422806">
    <w:abstractNumId w:val="16"/>
  </w:num>
  <w:num w:numId="8" w16cid:durableId="152644682">
    <w:abstractNumId w:val="37"/>
  </w:num>
  <w:num w:numId="9" w16cid:durableId="1317221377">
    <w:abstractNumId w:val="19"/>
  </w:num>
  <w:num w:numId="10" w16cid:durableId="1471245386">
    <w:abstractNumId w:val="36"/>
  </w:num>
  <w:num w:numId="11" w16cid:durableId="289172385">
    <w:abstractNumId w:val="20"/>
  </w:num>
  <w:num w:numId="12" w16cid:durableId="1470781324">
    <w:abstractNumId w:val="1"/>
  </w:num>
  <w:num w:numId="13" w16cid:durableId="1512908409">
    <w:abstractNumId w:val="10"/>
  </w:num>
  <w:num w:numId="14" w16cid:durableId="895897244">
    <w:abstractNumId w:val="40"/>
  </w:num>
  <w:num w:numId="15" w16cid:durableId="390349800">
    <w:abstractNumId w:val="33"/>
  </w:num>
  <w:num w:numId="16" w16cid:durableId="1380713882">
    <w:abstractNumId w:val="0"/>
  </w:num>
  <w:num w:numId="17" w16cid:durableId="1528370592">
    <w:abstractNumId w:val="38"/>
  </w:num>
  <w:num w:numId="18" w16cid:durableId="1827160323">
    <w:abstractNumId w:val="28"/>
  </w:num>
  <w:num w:numId="19" w16cid:durableId="1341393406">
    <w:abstractNumId w:val="9"/>
  </w:num>
  <w:num w:numId="20" w16cid:durableId="142542170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4770774">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3683062">
    <w:abstractNumId w:val="31"/>
  </w:num>
  <w:num w:numId="23" w16cid:durableId="821585723">
    <w:abstractNumId w:val="45"/>
  </w:num>
  <w:num w:numId="24" w16cid:durableId="278218624">
    <w:abstractNumId w:val="26"/>
  </w:num>
  <w:num w:numId="25" w16cid:durableId="619844469">
    <w:abstractNumId w:val="4"/>
  </w:num>
  <w:num w:numId="26" w16cid:durableId="2032217959">
    <w:abstractNumId w:val="22"/>
  </w:num>
  <w:num w:numId="27" w16cid:durableId="1194152408">
    <w:abstractNumId w:val="6"/>
  </w:num>
  <w:num w:numId="28" w16cid:durableId="765926342">
    <w:abstractNumId w:val="8"/>
  </w:num>
  <w:num w:numId="29" w16cid:durableId="772895453">
    <w:abstractNumId w:val="34"/>
  </w:num>
  <w:num w:numId="30" w16cid:durableId="784039179">
    <w:abstractNumId w:val="41"/>
  </w:num>
  <w:num w:numId="31" w16cid:durableId="998077508">
    <w:abstractNumId w:val="25"/>
  </w:num>
  <w:num w:numId="32" w16cid:durableId="836310654">
    <w:abstractNumId w:val="5"/>
  </w:num>
  <w:num w:numId="33" w16cid:durableId="1178544198">
    <w:abstractNumId w:val="18"/>
  </w:num>
  <w:num w:numId="34" w16cid:durableId="449785796">
    <w:abstractNumId w:val="12"/>
  </w:num>
  <w:num w:numId="35" w16cid:durableId="558784917">
    <w:abstractNumId w:val="24"/>
  </w:num>
  <w:num w:numId="36" w16cid:durableId="679089576">
    <w:abstractNumId w:val="21"/>
  </w:num>
  <w:num w:numId="37" w16cid:durableId="1733503356">
    <w:abstractNumId w:val="35"/>
  </w:num>
  <w:num w:numId="38" w16cid:durableId="1982299905">
    <w:abstractNumId w:val="44"/>
  </w:num>
  <w:num w:numId="39" w16cid:durableId="718089256">
    <w:abstractNumId w:val="11"/>
  </w:num>
  <w:num w:numId="40" w16cid:durableId="1416318430">
    <w:abstractNumId w:val="43"/>
  </w:num>
  <w:num w:numId="41" w16cid:durableId="134764369">
    <w:abstractNumId w:val="42"/>
  </w:num>
  <w:num w:numId="42" w16cid:durableId="782461700">
    <w:abstractNumId w:val="27"/>
  </w:num>
  <w:num w:numId="43" w16cid:durableId="1726566718">
    <w:abstractNumId w:val="2"/>
  </w:num>
  <w:num w:numId="44" w16cid:durableId="1187794586">
    <w:abstractNumId w:val="23"/>
  </w:num>
  <w:num w:numId="45" w16cid:durableId="61874046">
    <w:abstractNumId w:val="32"/>
  </w:num>
  <w:num w:numId="46" w16cid:durableId="794831771">
    <w:abstractNumId w:val="7"/>
  </w:num>
  <w:num w:numId="47" w16cid:durableId="328875954">
    <w:abstractNumId w:val="30"/>
  </w:num>
  <w:num w:numId="48" w16cid:durableId="19423685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22742"/>
    <w:rsid w:val="00032690"/>
    <w:rsid w:val="00043043"/>
    <w:rsid w:val="0004364F"/>
    <w:rsid w:val="0005032D"/>
    <w:rsid w:val="00052A7F"/>
    <w:rsid w:val="00061A32"/>
    <w:rsid w:val="00061B2A"/>
    <w:rsid w:val="00061DA5"/>
    <w:rsid w:val="00064D4C"/>
    <w:rsid w:val="00065774"/>
    <w:rsid w:val="00067974"/>
    <w:rsid w:val="000716C3"/>
    <w:rsid w:val="0008049C"/>
    <w:rsid w:val="000816DD"/>
    <w:rsid w:val="00082362"/>
    <w:rsid w:val="00083901"/>
    <w:rsid w:val="00091052"/>
    <w:rsid w:val="00097A44"/>
    <w:rsid w:val="000A4E16"/>
    <w:rsid w:val="000A683E"/>
    <w:rsid w:val="000B19B9"/>
    <w:rsid w:val="000B6628"/>
    <w:rsid w:val="000C3898"/>
    <w:rsid w:val="000D0334"/>
    <w:rsid w:val="000D5325"/>
    <w:rsid w:val="000D7C08"/>
    <w:rsid w:val="000E02CA"/>
    <w:rsid w:val="000F4D98"/>
    <w:rsid w:val="000F6486"/>
    <w:rsid w:val="001175E7"/>
    <w:rsid w:val="00117E40"/>
    <w:rsid w:val="00125105"/>
    <w:rsid w:val="001254C6"/>
    <w:rsid w:val="00127233"/>
    <w:rsid w:val="001318DA"/>
    <w:rsid w:val="0014445C"/>
    <w:rsid w:val="00145669"/>
    <w:rsid w:val="0015095D"/>
    <w:rsid w:val="00151D47"/>
    <w:rsid w:val="001561D6"/>
    <w:rsid w:val="001572FA"/>
    <w:rsid w:val="001643A7"/>
    <w:rsid w:val="001711B6"/>
    <w:rsid w:val="00171AE9"/>
    <w:rsid w:val="00174353"/>
    <w:rsid w:val="00185D70"/>
    <w:rsid w:val="001A13C1"/>
    <w:rsid w:val="001A7C91"/>
    <w:rsid w:val="001B7AF4"/>
    <w:rsid w:val="001C4152"/>
    <w:rsid w:val="001C4F7E"/>
    <w:rsid w:val="001C5C4E"/>
    <w:rsid w:val="001C7BAE"/>
    <w:rsid w:val="001D4052"/>
    <w:rsid w:val="001D756C"/>
    <w:rsid w:val="001E1A15"/>
    <w:rsid w:val="001E4177"/>
    <w:rsid w:val="001E5B16"/>
    <w:rsid w:val="001F0FB2"/>
    <w:rsid w:val="001F6D8D"/>
    <w:rsid w:val="001F7DC6"/>
    <w:rsid w:val="001F7E1D"/>
    <w:rsid w:val="00201766"/>
    <w:rsid w:val="0020467F"/>
    <w:rsid w:val="002058D7"/>
    <w:rsid w:val="002121EB"/>
    <w:rsid w:val="002221DA"/>
    <w:rsid w:val="00232683"/>
    <w:rsid w:val="00237F82"/>
    <w:rsid w:val="002421BB"/>
    <w:rsid w:val="00250743"/>
    <w:rsid w:val="002520F5"/>
    <w:rsid w:val="0025398C"/>
    <w:rsid w:val="0025796E"/>
    <w:rsid w:val="002707A2"/>
    <w:rsid w:val="00272513"/>
    <w:rsid w:val="00276797"/>
    <w:rsid w:val="002933DA"/>
    <w:rsid w:val="002951A0"/>
    <w:rsid w:val="002962BC"/>
    <w:rsid w:val="002A093D"/>
    <w:rsid w:val="002A0DD0"/>
    <w:rsid w:val="002A4677"/>
    <w:rsid w:val="002A49AC"/>
    <w:rsid w:val="002A64FD"/>
    <w:rsid w:val="002B0930"/>
    <w:rsid w:val="002C4A72"/>
    <w:rsid w:val="002C7A84"/>
    <w:rsid w:val="002E22F1"/>
    <w:rsid w:val="002E315F"/>
    <w:rsid w:val="002E4FD9"/>
    <w:rsid w:val="00306C5A"/>
    <w:rsid w:val="003071CA"/>
    <w:rsid w:val="003103F2"/>
    <w:rsid w:val="003149A7"/>
    <w:rsid w:val="00322A85"/>
    <w:rsid w:val="00324168"/>
    <w:rsid w:val="00335DDC"/>
    <w:rsid w:val="00340C01"/>
    <w:rsid w:val="003448F4"/>
    <w:rsid w:val="00355F0B"/>
    <w:rsid w:val="00362EC9"/>
    <w:rsid w:val="0036753A"/>
    <w:rsid w:val="00367C99"/>
    <w:rsid w:val="00374F5E"/>
    <w:rsid w:val="00376A90"/>
    <w:rsid w:val="00376CD8"/>
    <w:rsid w:val="00377C80"/>
    <w:rsid w:val="00377E3E"/>
    <w:rsid w:val="003838FF"/>
    <w:rsid w:val="0038437E"/>
    <w:rsid w:val="00385998"/>
    <w:rsid w:val="00391C8E"/>
    <w:rsid w:val="00391EB2"/>
    <w:rsid w:val="0039733E"/>
    <w:rsid w:val="003A26D1"/>
    <w:rsid w:val="003A2ECF"/>
    <w:rsid w:val="003A779E"/>
    <w:rsid w:val="003B3410"/>
    <w:rsid w:val="003C28D0"/>
    <w:rsid w:val="003C3A88"/>
    <w:rsid w:val="003C3E5C"/>
    <w:rsid w:val="003D0F4D"/>
    <w:rsid w:val="003D5B0D"/>
    <w:rsid w:val="003E0499"/>
    <w:rsid w:val="003E41C3"/>
    <w:rsid w:val="003E6F3F"/>
    <w:rsid w:val="003E7285"/>
    <w:rsid w:val="003F1CB3"/>
    <w:rsid w:val="003F2418"/>
    <w:rsid w:val="003F3941"/>
    <w:rsid w:val="003F5236"/>
    <w:rsid w:val="004014C5"/>
    <w:rsid w:val="00404877"/>
    <w:rsid w:val="00406575"/>
    <w:rsid w:val="00412AC0"/>
    <w:rsid w:val="00426B4E"/>
    <w:rsid w:val="0042722E"/>
    <w:rsid w:val="0043208F"/>
    <w:rsid w:val="00437B03"/>
    <w:rsid w:val="00440694"/>
    <w:rsid w:val="00442DEF"/>
    <w:rsid w:val="00442F25"/>
    <w:rsid w:val="0044528D"/>
    <w:rsid w:val="004470E1"/>
    <w:rsid w:val="0045343A"/>
    <w:rsid w:val="00456F45"/>
    <w:rsid w:val="00461E0F"/>
    <w:rsid w:val="004634BD"/>
    <w:rsid w:val="00471626"/>
    <w:rsid w:val="0047280E"/>
    <w:rsid w:val="004735E5"/>
    <w:rsid w:val="00481285"/>
    <w:rsid w:val="0048714C"/>
    <w:rsid w:val="00491ED8"/>
    <w:rsid w:val="004A1847"/>
    <w:rsid w:val="004A305D"/>
    <w:rsid w:val="004A7B64"/>
    <w:rsid w:val="004E0A42"/>
    <w:rsid w:val="004F21C4"/>
    <w:rsid w:val="004F56BF"/>
    <w:rsid w:val="004F685F"/>
    <w:rsid w:val="0051501A"/>
    <w:rsid w:val="00521153"/>
    <w:rsid w:val="00540088"/>
    <w:rsid w:val="0055375E"/>
    <w:rsid w:val="005566E8"/>
    <w:rsid w:val="00566D40"/>
    <w:rsid w:val="00574867"/>
    <w:rsid w:val="00574CB1"/>
    <w:rsid w:val="0058374D"/>
    <w:rsid w:val="00583765"/>
    <w:rsid w:val="00591460"/>
    <w:rsid w:val="00592628"/>
    <w:rsid w:val="005B55C4"/>
    <w:rsid w:val="005C1B4D"/>
    <w:rsid w:val="005C1E4D"/>
    <w:rsid w:val="005C3777"/>
    <w:rsid w:val="005C5CDC"/>
    <w:rsid w:val="005C5FD0"/>
    <w:rsid w:val="005C74BA"/>
    <w:rsid w:val="005D2DA6"/>
    <w:rsid w:val="005D476C"/>
    <w:rsid w:val="005D5319"/>
    <w:rsid w:val="005E62E2"/>
    <w:rsid w:val="005F7B58"/>
    <w:rsid w:val="00600FA2"/>
    <w:rsid w:val="00601B7E"/>
    <w:rsid w:val="00601CDD"/>
    <w:rsid w:val="00606078"/>
    <w:rsid w:val="00610812"/>
    <w:rsid w:val="006133A3"/>
    <w:rsid w:val="006173C6"/>
    <w:rsid w:val="006219F8"/>
    <w:rsid w:val="006221A8"/>
    <w:rsid w:val="00645CB7"/>
    <w:rsid w:val="00650FF7"/>
    <w:rsid w:val="00652CBE"/>
    <w:rsid w:val="0065720B"/>
    <w:rsid w:val="00665D70"/>
    <w:rsid w:val="00670EF2"/>
    <w:rsid w:val="00671DAC"/>
    <w:rsid w:val="00677639"/>
    <w:rsid w:val="006900D9"/>
    <w:rsid w:val="00691D55"/>
    <w:rsid w:val="00694DE4"/>
    <w:rsid w:val="006A319E"/>
    <w:rsid w:val="006A5AE8"/>
    <w:rsid w:val="006A6837"/>
    <w:rsid w:val="006A7FFC"/>
    <w:rsid w:val="006B0766"/>
    <w:rsid w:val="006B0E65"/>
    <w:rsid w:val="006B72C8"/>
    <w:rsid w:val="006B763B"/>
    <w:rsid w:val="006C5F67"/>
    <w:rsid w:val="006D0268"/>
    <w:rsid w:val="006D12F8"/>
    <w:rsid w:val="006D3648"/>
    <w:rsid w:val="006E790E"/>
    <w:rsid w:val="006F3640"/>
    <w:rsid w:val="00706C16"/>
    <w:rsid w:val="00712B92"/>
    <w:rsid w:val="007271E0"/>
    <w:rsid w:val="00744E12"/>
    <w:rsid w:val="00756841"/>
    <w:rsid w:val="00757DEA"/>
    <w:rsid w:val="007649AB"/>
    <w:rsid w:val="00770D74"/>
    <w:rsid w:val="00771D0C"/>
    <w:rsid w:val="00771EEC"/>
    <w:rsid w:val="00775EFA"/>
    <w:rsid w:val="007833AC"/>
    <w:rsid w:val="00783B11"/>
    <w:rsid w:val="007866A8"/>
    <w:rsid w:val="00791488"/>
    <w:rsid w:val="00793192"/>
    <w:rsid w:val="007937A8"/>
    <w:rsid w:val="00794660"/>
    <w:rsid w:val="007964E2"/>
    <w:rsid w:val="007A4461"/>
    <w:rsid w:val="007B268C"/>
    <w:rsid w:val="007B61BA"/>
    <w:rsid w:val="007B7171"/>
    <w:rsid w:val="007B7897"/>
    <w:rsid w:val="007C0C0F"/>
    <w:rsid w:val="007C3DC2"/>
    <w:rsid w:val="007C4B5D"/>
    <w:rsid w:val="007D0253"/>
    <w:rsid w:val="007D5768"/>
    <w:rsid w:val="007E2389"/>
    <w:rsid w:val="007E4150"/>
    <w:rsid w:val="007E5497"/>
    <w:rsid w:val="007F5013"/>
    <w:rsid w:val="007F56E0"/>
    <w:rsid w:val="0080518E"/>
    <w:rsid w:val="00806F5F"/>
    <w:rsid w:val="00811ADC"/>
    <w:rsid w:val="00820278"/>
    <w:rsid w:val="008245EB"/>
    <w:rsid w:val="008378C3"/>
    <w:rsid w:val="00842E01"/>
    <w:rsid w:val="00845A8D"/>
    <w:rsid w:val="00847CCC"/>
    <w:rsid w:val="00851635"/>
    <w:rsid w:val="008677DE"/>
    <w:rsid w:val="008734E3"/>
    <w:rsid w:val="0088110E"/>
    <w:rsid w:val="008843B6"/>
    <w:rsid w:val="00887676"/>
    <w:rsid w:val="00891928"/>
    <w:rsid w:val="008A446D"/>
    <w:rsid w:val="008A772E"/>
    <w:rsid w:val="008C0A2F"/>
    <w:rsid w:val="008D180B"/>
    <w:rsid w:val="008D1C73"/>
    <w:rsid w:val="008E712D"/>
    <w:rsid w:val="008F0EA7"/>
    <w:rsid w:val="008F4339"/>
    <w:rsid w:val="008F7D92"/>
    <w:rsid w:val="00901B56"/>
    <w:rsid w:val="00903114"/>
    <w:rsid w:val="009143F1"/>
    <w:rsid w:val="00920D0D"/>
    <w:rsid w:val="00922211"/>
    <w:rsid w:val="00922EAB"/>
    <w:rsid w:val="00923EEF"/>
    <w:rsid w:val="00927F89"/>
    <w:rsid w:val="00936797"/>
    <w:rsid w:val="009419F9"/>
    <w:rsid w:val="00943A3B"/>
    <w:rsid w:val="00955D18"/>
    <w:rsid w:val="0095685E"/>
    <w:rsid w:val="00957F2D"/>
    <w:rsid w:val="009608D9"/>
    <w:rsid w:val="00961B09"/>
    <w:rsid w:val="00965334"/>
    <w:rsid w:val="0097093E"/>
    <w:rsid w:val="0097773D"/>
    <w:rsid w:val="00977B0C"/>
    <w:rsid w:val="00981DDD"/>
    <w:rsid w:val="009A0DFA"/>
    <w:rsid w:val="009A735B"/>
    <w:rsid w:val="009A7CC9"/>
    <w:rsid w:val="009B2421"/>
    <w:rsid w:val="009B28FC"/>
    <w:rsid w:val="009B2D26"/>
    <w:rsid w:val="009B3357"/>
    <w:rsid w:val="009B36E7"/>
    <w:rsid w:val="009C547E"/>
    <w:rsid w:val="009C71FA"/>
    <w:rsid w:val="009C72E7"/>
    <w:rsid w:val="009D04B0"/>
    <w:rsid w:val="009D05E0"/>
    <w:rsid w:val="009D3058"/>
    <w:rsid w:val="009D4E8D"/>
    <w:rsid w:val="009F3A13"/>
    <w:rsid w:val="009F6593"/>
    <w:rsid w:val="00A122D3"/>
    <w:rsid w:val="00A17F13"/>
    <w:rsid w:val="00A20739"/>
    <w:rsid w:val="00A214DF"/>
    <w:rsid w:val="00A27867"/>
    <w:rsid w:val="00A33C78"/>
    <w:rsid w:val="00A3710E"/>
    <w:rsid w:val="00A42AAE"/>
    <w:rsid w:val="00A519A0"/>
    <w:rsid w:val="00A61860"/>
    <w:rsid w:val="00A644E0"/>
    <w:rsid w:val="00A65B78"/>
    <w:rsid w:val="00A80320"/>
    <w:rsid w:val="00A80691"/>
    <w:rsid w:val="00A8229A"/>
    <w:rsid w:val="00A9310E"/>
    <w:rsid w:val="00A94103"/>
    <w:rsid w:val="00AA2B1E"/>
    <w:rsid w:val="00AA6478"/>
    <w:rsid w:val="00AA7047"/>
    <w:rsid w:val="00AB0ADB"/>
    <w:rsid w:val="00AB2AC1"/>
    <w:rsid w:val="00AB5A54"/>
    <w:rsid w:val="00AC0B6D"/>
    <w:rsid w:val="00AC1F25"/>
    <w:rsid w:val="00AD1BDE"/>
    <w:rsid w:val="00AE7B20"/>
    <w:rsid w:val="00AE7D3D"/>
    <w:rsid w:val="00AF4209"/>
    <w:rsid w:val="00AF79BC"/>
    <w:rsid w:val="00B01B1A"/>
    <w:rsid w:val="00B05B83"/>
    <w:rsid w:val="00B07859"/>
    <w:rsid w:val="00B115DB"/>
    <w:rsid w:val="00B33517"/>
    <w:rsid w:val="00B37A90"/>
    <w:rsid w:val="00B405A3"/>
    <w:rsid w:val="00B41F49"/>
    <w:rsid w:val="00B44494"/>
    <w:rsid w:val="00B539CD"/>
    <w:rsid w:val="00B5477C"/>
    <w:rsid w:val="00B62FCA"/>
    <w:rsid w:val="00B72CD3"/>
    <w:rsid w:val="00B72FFF"/>
    <w:rsid w:val="00B75709"/>
    <w:rsid w:val="00B75E24"/>
    <w:rsid w:val="00B84717"/>
    <w:rsid w:val="00B96BEA"/>
    <w:rsid w:val="00BA0D07"/>
    <w:rsid w:val="00BB6888"/>
    <w:rsid w:val="00BC3D36"/>
    <w:rsid w:val="00BC4CD4"/>
    <w:rsid w:val="00BD77C4"/>
    <w:rsid w:val="00BD7F72"/>
    <w:rsid w:val="00BE6BAA"/>
    <w:rsid w:val="00C03274"/>
    <w:rsid w:val="00C04307"/>
    <w:rsid w:val="00C04FB3"/>
    <w:rsid w:val="00C11F4C"/>
    <w:rsid w:val="00C127E0"/>
    <w:rsid w:val="00C21782"/>
    <w:rsid w:val="00C259CE"/>
    <w:rsid w:val="00C26925"/>
    <w:rsid w:val="00C330EB"/>
    <w:rsid w:val="00C42100"/>
    <w:rsid w:val="00C45B33"/>
    <w:rsid w:val="00C63E0F"/>
    <w:rsid w:val="00C741DC"/>
    <w:rsid w:val="00C754BE"/>
    <w:rsid w:val="00C76B1C"/>
    <w:rsid w:val="00C83C0F"/>
    <w:rsid w:val="00C8442F"/>
    <w:rsid w:val="00C903DE"/>
    <w:rsid w:val="00C90ADE"/>
    <w:rsid w:val="00CA2A7C"/>
    <w:rsid w:val="00CA31BC"/>
    <w:rsid w:val="00CB6357"/>
    <w:rsid w:val="00CC02E3"/>
    <w:rsid w:val="00CC1B26"/>
    <w:rsid w:val="00CC277F"/>
    <w:rsid w:val="00CC28C9"/>
    <w:rsid w:val="00CD1B6E"/>
    <w:rsid w:val="00CD4A54"/>
    <w:rsid w:val="00CD5214"/>
    <w:rsid w:val="00D16132"/>
    <w:rsid w:val="00D261F9"/>
    <w:rsid w:val="00D423A2"/>
    <w:rsid w:val="00D520D8"/>
    <w:rsid w:val="00D5776D"/>
    <w:rsid w:val="00D63AC2"/>
    <w:rsid w:val="00D71ACD"/>
    <w:rsid w:val="00D7383B"/>
    <w:rsid w:val="00D76D09"/>
    <w:rsid w:val="00DA022D"/>
    <w:rsid w:val="00DA0B2B"/>
    <w:rsid w:val="00DA0E60"/>
    <w:rsid w:val="00DA231B"/>
    <w:rsid w:val="00DA23A0"/>
    <w:rsid w:val="00DA2CA2"/>
    <w:rsid w:val="00DB29E1"/>
    <w:rsid w:val="00DB7D44"/>
    <w:rsid w:val="00DC2958"/>
    <w:rsid w:val="00DC39FC"/>
    <w:rsid w:val="00DC6DE3"/>
    <w:rsid w:val="00DE2464"/>
    <w:rsid w:val="00DE3616"/>
    <w:rsid w:val="00DE3A63"/>
    <w:rsid w:val="00DF0103"/>
    <w:rsid w:val="00DF1B0E"/>
    <w:rsid w:val="00DF5254"/>
    <w:rsid w:val="00DF691D"/>
    <w:rsid w:val="00DF7F54"/>
    <w:rsid w:val="00E005E5"/>
    <w:rsid w:val="00E13277"/>
    <w:rsid w:val="00E136A2"/>
    <w:rsid w:val="00E16408"/>
    <w:rsid w:val="00E20894"/>
    <w:rsid w:val="00E21BD1"/>
    <w:rsid w:val="00E245AB"/>
    <w:rsid w:val="00E2764C"/>
    <w:rsid w:val="00E27F2E"/>
    <w:rsid w:val="00E362C7"/>
    <w:rsid w:val="00E36FC5"/>
    <w:rsid w:val="00E413EA"/>
    <w:rsid w:val="00E41CC9"/>
    <w:rsid w:val="00E447AD"/>
    <w:rsid w:val="00E4598B"/>
    <w:rsid w:val="00E5035C"/>
    <w:rsid w:val="00E50AFE"/>
    <w:rsid w:val="00E52602"/>
    <w:rsid w:val="00E5566A"/>
    <w:rsid w:val="00E56422"/>
    <w:rsid w:val="00E6781E"/>
    <w:rsid w:val="00E70010"/>
    <w:rsid w:val="00E7019A"/>
    <w:rsid w:val="00E75C92"/>
    <w:rsid w:val="00E76DDA"/>
    <w:rsid w:val="00E771DC"/>
    <w:rsid w:val="00E845F4"/>
    <w:rsid w:val="00E8671A"/>
    <w:rsid w:val="00E8772A"/>
    <w:rsid w:val="00E90F6B"/>
    <w:rsid w:val="00E92C27"/>
    <w:rsid w:val="00EA0E3D"/>
    <w:rsid w:val="00EA7B0A"/>
    <w:rsid w:val="00EB08FB"/>
    <w:rsid w:val="00EB3CD8"/>
    <w:rsid w:val="00EB7D13"/>
    <w:rsid w:val="00EC38A7"/>
    <w:rsid w:val="00EC4550"/>
    <w:rsid w:val="00ED291B"/>
    <w:rsid w:val="00ED58AB"/>
    <w:rsid w:val="00EE1AA8"/>
    <w:rsid w:val="00EE3D0A"/>
    <w:rsid w:val="00EF40D2"/>
    <w:rsid w:val="00EF4E84"/>
    <w:rsid w:val="00EF64BA"/>
    <w:rsid w:val="00F141D2"/>
    <w:rsid w:val="00F31EDC"/>
    <w:rsid w:val="00F45BF2"/>
    <w:rsid w:val="00F462B3"/>
    <w:rsid w:val="00F51BC1"/>
    <w:rsid w:val="00F5664F"/>
    <w:rsid w:val="00F6131B"/>
    <w:rsid w:val="00F666C4"/>
    <w:rsid w:val="00F732FD"/>
    <w:rsid w:val="00F73C01"/>
    <w:rsid w:val="00F76AFC"/>
    <w:rsid w:val="00F81493"/>
    <w:rsid w:val="00F912A0"/>
    <w:rsid w:val="00F930CF"/>
    <w:rsid w:val="00FA0CF8"/>
    <w:rsid w:val="00FA47C0"/>
    <w:rsid w:val="00FA738A"/>
    <w:rsid w:val="00FA7560"/>
    <w:rsid w:val="00FB5C6A"/>
    <w:rsid w:val="00FB5CB7"/>
    <w:rsid w:val="00FB5DD1"/>
    <w:rsid w:val="00FB67C7"/>
    <w:rsid w:val="00FB76D0"/>
    <w:rsid w:val="00FB7EA8"/>
    <w:rsid w:val="00FC2B5D"/>
    <w:rsid w:val="00FC569F"/>
    <w:rsid w:val="00FD1A7E"/>
    <w:rsid w:val="00FE5E06"/>
    <w:rsid w:val="00FE66BE"/>
    <w:rsid w:val="00FF1449"/>
    <w:rsid w:val="00FF5F98"/>
    <w:rsid w:val="00FF6AC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 w:type="paragraph" w:customStyle="1" w:styleId="Car1">
    <w:name w:val="Car1"/>
    <w:basedOn w:val="Normal"/>
    <w:next w:val="Textonotapie"/>
    <w:uiPriority w:val="99"/>
    <w:unhideWhenUsed/>
    <w:qFormat/>
    <w:rsid w:val="00237F82"/>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121309445">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383331852">
      <w:bodyDiv w:val="1"/>
      <w:marLeft w:val="0"/>
      <w:marRight w:val="0"/>
      <w:marTop w:val="0"/>
      <w:marBottom w:val="0"/>
      <w:divBdr>
        <w:top w:val="none" w:sz="0" w:space="0" w:color="auto"/>
        <w:left w:val="none" w:sz="0" w:space="0" w:color="auto"/>
        <w:bottom w:val="none" w:sz="0" w:space="0" w:color="auto"/>
        <w:right w:val="none" w:sz="0" w:space="0" w:color="auto"/>
      </w:divBdr>
    </w:div>
    <w:div w:id="480511154">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624627910">
      <w:bodyDiv w:val="1"/>
      <w:marLeft w:val="0"/>
      <w:marRight w:val="0"/>
      <w:marTop w:val="0"/>
      <w:marBottom w:val="0"/>
      <w:divBdr>
        <w:top w:val="none" w:sz="0" w:space="0" w:color="auto"/>
        <w:left w:val="none" w:sz="0" w:space="0" w:color="auto"/>
        <w:bottom w:val="none" w:sz="0" w:space="0" w:color="auto"/>
        <w:right w:val="none" w:sz="0" w:space="0" w:color="auto"/>
      </w:divBdr>
    </w:div>
    <w:div w:id="697854014">
      <w:bodyDiv w:val="1"/>
      <w:marLeft w:val="0"/>
      <w:marRight w:val="0"/>
      <w:marTop w:val="0"/>
      <w:marBottom w:val="0"/>
      <w:divBdr>
        <w:top w:val="none" w:sz="0" w:space="0" w:color="auto"/>
        <w:left w:val="none" w:sz="0" w:space="0" w:color="auto"/>
        <w:bottom w:val="none" w:sz="0" w:space="0" w:color="auto"/>
        <w:right w:val="none" w:sz="0" w:space="0" w:color="auto"/>
      </w:divBdr>
    </w:div>
    <w:div w:id="741485531">
      <w:bodyDiv w:val="1"/>
      <w:marLeft w:val="0"/>
      <w:marRight w:val="0"/>
      <w:marTop w:val="0"/>
      <w:marBottom w:val="0"/>
      <w:divBdr>
        <w:top w:val="none" w:sz="0" w:space="0" w:color="auto"/>
        <w:left w:val="none" w:sz="0" w:space="0" w:color="auto"/>
        <w:bottom w:val="none" w:sz="0" w:space="0" w:color="auto"/>
        <w:right w:val="none" w:sz="0" w:space="0" w:color="auto"/>
      </w:divBdr>
    </w:div>
    <w:div w:id="75015346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979769456">
      <w:bodyDiv w:val="1"/>
      <w:marLeft w:val="0"/>
      <w:marRight w:val="0"/>
      <w:marTop w:val="0"/>
      <w:marBottom w:val="0"/>
      <w:divBdr>
        <w:top w:val="none" w:sz="0" w:space="0" w:color="auto"/>
        <w:left w:val="none" w:sz="0" w:space="0" w:color="auto"/>
        <w:bottom w:val="none" w:sz="0" w:space="0" w:color="auto"/>
        <w:right w:val="none" w:sz="0" w:space="0" w:color="auto"/>
      </w:divBdr>
    </w:div>
    <w:div w:id="107226648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19157707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03680977">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595942692">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677153464">
      <w:bodyDiv w:val="1"/>
      <w:marLeft w:val="0"/>
      <w:marRight w:val="0"/>
      <w:marTop w:val="0"/>
      <w:marBottom w:val="0"/>
      <w:divBdr>
        <w:top w:val="none" w:sz="0" w:space="0" w:color="auto"/>
        <w:left w:val="none" w:sz="0" w:space="0" w:color="auto"/>
        <w:bottom w:val="none" w:sz="0" w:space="0" w:color="auto"/>
        <w:right w:val="none" w:sz="0" w:space="0" w:color="auto"/>
      </w:divBdr>
    </w:div>
    <w:div w:id="1714959694">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1980110614">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36076052">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0767328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2FAAE1BB-E172-4C7A-B19A-82D0AE6E02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5696</Words>
  <Characters>31330</Characters>
  <Application>Microsoft Office Word</Application>
  <DocSecurity>0</DocSecurity>
  <Lines>261</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2025-05-07T00:58:00Z</dcterms:created>
  <dcterms:modified xsi:type="dcterms:W3CDTF">2025-08-28T22:56:00Z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