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9A468" w14:textId="77777777" w:rsidR="00E271BF" w:rsidRDefault="00E271BF" w:rsidP="00E271BF">
      <w:pPr>
        <w:spacing w:after="120" w:line="276" w:lineRule="auto"/>
        <w:jc w:val="both"/>
        <w:rPr>
          <w:rFonts w:ascii="Verdana" w:eastAsia="Calibri" w:hAnsi="Verdana" w:cs="Arial"/>
          <w:bCs/>
          <w:color w:val="000000" w:themeColor="text1"/>
          <w:sz w:val="20"/>
          <w:szCs w:val="20"/>
          <w:lang w:val="es-ES"/>
        </w:rPr>
      </w:pPr>
      <w:bookmarkStart w:id="0" w:name="_Hlk143780582"/>
    </w:p>
    <w:p w14:paraId="6F6EFC20" w14:textId="77777777" w:rsidR="00E271BF" w:rsidRPr="00E271BF" w:rsidRDefault="00E271BF" w:rsidP="00E271BF">
      <w:pPr>
        <w:tabs>
          <w:tab w:val="left" w:pos="6551"/>
        </w:tabs>
        <w:spacing w:after="0" w:line="240" w:lineRule="auto"/>
        <w:jc w:val="both"/>
        <w:rPr>
          <w:rFonts w:ascii="Verdana" w:eastAsia="Calibri" w:hAnsi="Verdana" w:cs="Arial"/>
          <w:b/>
          <w:color w:val="000000" w:themeColor="text1"/>
          <w:sz w:val="20"/>
          <w:szCs w:val="20"/>
          <w:lang w:val="es-ES_tradnl"/>
        </w:rPr>
      </w:pPr>
      <w:r w:rsidRPr="00E271BF">
        <w:rPr>
          <w:rFonts w:ascii="Verdana" w:eastAsia="Calibri" w:hAnsi="Verdana" w:cs="Arial"/>
          <w:b/>
          <w:color w:val="000000" w:themeColor="text1"/>
          <w:sz w:val="20"/>
          <w:szCs w:val="20"/>
          <w:lang w:val="es-ES_tradnl"/>
        </w:rPr>
        <w:t xml:space="preserve">CONVOCATORIAS LIMITADAS A MIPYME </w:t>
      </w:r>
      <w:r w:rsidRPr="00E271BF">
        <w:rPr>
          <w:rStyle w:val="normaltextrun"/>
          <w:rFonts w:ascii="Verdana" w:hAnsi="Verdana" w:cs="Arial"/>
          <w:b/>
          <w:bCs/>
          <w:color w:val="000000"/>
          <w:sz w:val="20"/>
          <w:szCs w:val="20"/>
        </w:rPr>
        <w:t xml:space="preserve">– Aplicación </w:t>
      </w:r>
      <w:r w:rsidRPr="00E271BF">
        <w:rPr>
          <w:rFonts w:ascii="Verdana" w:eastAsia="Calibri" w:hAnsi="Verdana" w:cs="Arial"/>
          <w:b/>
          <w:color w:val="000000" w:themeColor="text1"/>
          <w:sz w:val="20"/>
          <w:szCs w:val="20"/>
          <w:lang w:val="es-ES_tradnl"/>
        </w:rPr>
        <w:t xml:space="preserve">  </w:t>
      </w:r>
    </w:p>
    <w:p w14:paraId="0FA40C69" w14:textId="77777777" w:rsidR="00E271BF" w:rsidRDefault="00E271BF" w:rsidP="00E271BF">
      <w:pPr>
        <w:spacing w:after="0" w:line="240" w:lineRule="auto"/>
        <w:jc w:val="both"/>
        <w:rPr>
          <w:rFonts w:ascii="Verdana" w:eastAsia="Calibri" w:hAnsi="Verdana" w:cs="Arial"/>
          <w:bCs/>
          <w:color w:val="000000" w:themeColor="text1"/>
          <w:sz w:val="20"/>
          <w:szCs w:val="20"/>
          <w:lang w:val="es-ES"/>
        </w:rPr>
      </w:pPr>
    </w:p>
    <w:p w14:paraId="6A0ECC13" w14:textId="140B46B3" w:rsidR="00E271BF" w:rsidRPr="00E271BF" w:rsidRDefault="00E271BF" w:rsidP="00E271BF">
      <w:pPr>
        <w:spacing w:after="0" w:line="240" w:lineRule="auto"/>
        <w:jc w:val="both"/>
        <w:rPr>
          <w:rFonts w:ascii="Verdana" w:hAnsi="Verdana" w:cs="Arial"/>
          <w:bCs/>
          <w:sz w:val="20"/>
          <w:szCs w:val="20"/>
          <w:lang w:eastAsia="es-ES"/>
        </w:rPr>
      </w:pPr>
      <w:r w:rsidRPr="00E271BF">
        <w:rPr>
          <w:rFonts w:ascii="Verdana" w:hAnsi="Verdana" w:cs="Arial"/>
          <w:bCs/>
          <w:sz w:val="20"/>
          <w:szCs w:val="20"/>
          <w:lang w:val="es-ES_tradnl" w:eastAsia="es-ES"/>
        </w:rPr>
        <w:t xml:space="preserve">[…] el artículo 5 del Decreto 1860 de 2021 modificó </w:t>
      </w:r>
      <w:r w:rsidRPr="00E271BF">
        <w:rPr>
          <w:rFonts w:ascii="Verdana" w:hAnsi="Verdana" w:cs="Arial"/>
          <w:bCs/>
          <w:sz w:val="20"/>
          <w:szCs w:val="20"/>
          <w:lang w:eastAsia="es-ES"/>
        </w:rPr>
        <w:t>los artículos 2.2.1.2.4.2.2., 2.2.1.2.4.2.3. y 2.2.1.2.4.2.4. de la Subsección 2 de la Sección 4 del Capítulo 2 del Título 1 de la Parte 2 del Libro 2 del Decreto 1082 de 2015, reglamentando</w:t>
      </w:r>
      <w:r w:rsidRPr="00E271BF">
        <w:rPr>
          <w:rFonts w:ascii="Verdana" w:hAnsi="Verdana" w:cs="Arial"/>
          <w:bCs/>
          <w:sz w:val="20"/>
          <w:szCs w:val="20"/>
          <w:lang w:val="es-ES_tradnl" w:eastAsia="es-ES"/>
        </w:rPr>
        <w:t xml:space="preserve"> las convocatorias limitadas a Mipyme, con fundamento en lo establecido en el artículo 34 de la Ley 2069 de 2020. Esta nueva Subsección 2 contempla los siguientes aspectos: i) requisitos para limitar la convocatoria de los </w:t>
      </w:r>
      <w:r w:rsidRPr="00E271BF">
        <w:rPr>
          <w:rFonts w:ascii="Verdana" w:hAnsi="Verdana" w:cs="Arial"/>
          <w:bCs/>
          <w:sz w:val="20"/>
          <w:szCs w:val="20"/>
          <w:lang w:eastAsia="es-ES"/>
        </w:rPr>
        <w:t>procesos de contratación con pluralidad de oferentes</w:t>
      </w:r>
      <w:r w:rsidRPr="00E271BF">
        <w:rPr>
          <w:rFonts w:ascii="Verdana" w:hAnsi="Verdana" w:cs="Arial"/>
          <w:bCs/>
          <w:sz w:val="20"/>
          <w:szCs w:val="20"/>
          <w:lang w:val="es-ES_tradnl" w:eastAsia="es-ES"/>
        </w:rPr>
        <w:t xml:space="preserve"> a las Mipyme colombianas con mínimo un (1) año de existencia – artículo </w:t>
      </w:r>
      <w:r w:rsidRPr="00E271BF">
        <w:rPr>
          <w:rFonts w:ascii="Verdana" w:hAnsi="Verdana" w:cs="Arial"/>
          <w:bCs/>
          <w:sz w:val="20"/>
          <w:szCs w:val="20"/>
          <w:lang w:eastAsia="es-ES"/>
        </w:rPr>
        <w:t>2.2.1.2.4.2.2-</w:t>
      </w:r>
      <w:r w:rsidRPr="00E271BF">
        <w:rPr>
          <w:rFonts w:ascii="Verdana" w:hAnsi="Verdana" w:cs="Arial"/>
          <w:bCs/>
          <w:sz w:val="20"/>
          <w:szCs w:val="20"/>
          <w:lang w:val="es-ES_tradnl" w:eastAsia="es-ES"/>
        </w:rPr>
        <w:t xml:space="preserve"> , ii) desarrolla las </w:t>
      </w:r>
      <w:r w:rsidRPr="00E271BF">
        <w:rPr>
          <w:rFonts w:ascii="Verdana" w:hAnsi="Verdana" w:cs="Arial"/>
          <w:bCs/>
          <w:sz w:val="20"/>
          <w:szCs w:val="20"/>
          <w:lang w:eastAsia="es-ES"/>
        </w:rPr>
        <w:t>convocatorias limitadas a Mipyme colombianas que tengan domicilio en los departamentos o municipios en donde se va a ejecutar el contrato – artículo 2.2.1.2.4.2.3.,</w:t>
      </w:r>
      <w:r w:rsidRPr="00E271BF">
        <w:rPr>
          <w:rFonts w:ascii="Verdana" w:hAnsi="Verdana" w:cs="Arial"/>
          <w:bCs/>
          <w:sz w:val="20"/>
          <w:szCs w:val="20"/>
          <w:lang w:val="es-ES_tradnl" w:eastAsia="es-ES"/>
        </w:rPr>
        <w:t xml:space="preserve"> y iii) </w:t>
      </w:r>
      <w:r w:rsidRPr="00E271BF">
        <w:rPr>
          <w:rFonts w:ascii="Verdana" w:hAnsi="Verdana" w:cs="Arial"/>
          <w:bCs/>
          <w:sz w:val="20"/>
          <w:szCs w:val="20"/>
          <w:lang w:eastAsia="es-ES"/>
        </w:rPr>
        <w:t>regula la acreditación de requisitos para participar en convocatorias limitadas – artículo 2.2.1.2.4.2.4-.</w:t>
      </w:r>
    </w:p>
    <w:p w14:paraId="54B7F361" w14:textId="77777777" w:rsidR="00E271BF" w:rsidRPr="00E271BF" w:rsidRDefault="00E271BF" w:rsidP="00E271BF">
      <w:pPr>
        <w:spacing w:after="0" w:line="240" w:lineRule="auto"/>
        <w:jc w:val="both"/>
        <w:rPr>
          <w:rFonts w:ascii="Verdana" w:hAnsi="Verdana" w:cs="Arial"/>
          <w:sz w:val="20"/>
          <w:szCs w:val="20"/>
          <w:lang w:val="es-ES" w:eastAsia="es-ES"/>
        </w:rPr>
      </w:pPr>
      <w:r w:rsidRPr="00E271BF">
        <w:rPr>
          <w:rFonts w:ascii="Verdana" w:hAnsi="Verdana" w:cs="Arial"/>
          <w:sz w:val="20"/>
          <w:szCs w:val="20"/>
          <w:lang w:val="es-ES" w:eastAsia="es-ES"/>
        </w:rPr>
        <w:t>De esta manera, el artículo 5 del Decreto 1860 de 2021, que modifica los artículos del Decreto 1082 de 2015 expuestos en el párrafo anterior, constituye la nueva reglamentación del artículo 34 de la Ley 2069 de 2020, al desarrollar las reglas aplicables a las convocatorias limitadas a Mipyme,</w:t>
      </w:r>
      <w:r w:rsidRPr="00E271BF">
        <w:rPr>
          <w:rFonts w:ascii="Verdana" w:eastAsia="Calibri" w:hAnsi="Verdana" w:cs="Arial"/>
          <w:sz w:val="20"/>
          <w:szCs w:val="20"/>
          <w:lang w:val="es-ES"/>
        </w:rPr>
        <w:t xml:space="preserve"> </w:t>
      </w:r>
      <w:r w:rsidRPr="00E271BF">
        <w:rPr>
          <w:rFonts w:ascii="Verdana" w:hAnsi="Verdana" w:cs="Arial"/>
          <w:sz w:val="20"/>
          <w:szCs w:val="20"/>
          <w:lang w:val="es-ES" w:eastAsia="es-ES"/>
        </w:rPr>
        <w:t xml:space="preserve">disposición que entró a regir desde el 24 de marzo de 2022, pues, como se indicó, </w:t>
      </w:r>
      <w:r w:rsidRPr="00E271BF">
        <w:rPr>
          <w:rFonts w:ascii="Verdana" w:eastAsia="Calibri" w:hAnsi="Verdana" w:cs="Arial"/>
          <w:sz w:val="20"/>
          <w:szCs w:val="20"/>
          <w:lang w:val="es-ES"/>
        </w:rPr>
        <w:t>el artículo 8 de dicho decreto sometió su vigencia al transcurso del periodo de 3 meses siguientes a su expedición.</w:t>
      </w:r>
    </w:p>
    <w:p w14:paraId="49AF6DA9" w14:textId="77777777" w:rsidR="00E271BF" w:rsidRPr="00E271BF" w:rsidRDefault="00E271BF" w:rsidP="00E271BF">
      <w:pPr>
        <w:tabs>
          <w:tab w:val="left" w:pos="6551"/>
        </w:tabs>
        <w:spacing w:after="0" w:line="240" w:lineRule="auto"/>
        <w:jc w:val="both"/>
        <w:rPr>
          <w:rFonts w:ascii="Verdana" w:eastAsia="Calibri" w:hAnsi="Verdana" w:cs="Arial"/>
          <w:bCs/>
          <w:color w:val="000000" w:themeColor="text1"/>
          <w:sz w:val="20"/>
          <w:szCs w:val="20"/>
          <w:lang w:val="es-ES"/>
        </w:rPr>
      </w:pPr>
    </w:p>
    <w:p w14:paraId="648AAA07" w14:textId="2638B38F" w:rsidR="00CD37E4" w:rsidRDefault="00C75BA7" w:rsidP="00CD37E4">
      <w:pPr>
        <w:tabs>
          <w:tab w:val="left" w:pos="6551"/>
        </w:tabs>
        <w:spacing w:after="0" w:line="240" w:lineRule="auto"/>
        <w:jc w:val="both"/>
        <w:rPr>
          <w:rFonts w:ascii="Verdana" w:eastAsia="Times New Roman" w:hAnsi="Verdana" w:cs="Arial"/>
          <w:b/>
          <w:bCs/>
          <w:color w:val="000000"/>
          <w:sz w:val="20"/>
          <w:szCs w:val="20"/>
          <w:lang w:eastAsia="es-ES_tradnl"/>
        </w:rPr>
      </w:pPr>
      <w:r w:rsidRPr="00CD37E4">
        <w:rPr>
          <w:rFonts w:ascii="Verdana" w:eastAsia="Times New Roman" w:hAnsi="Verdana" w:cs="Arial"/>
          <w:b/>
          <w:bCs/>
          <w:color w:val="000000"/>
          <w:sz w:val="20"/>
          <w:szCs w:val="20"/>
          <w:lang w:eastAsia="es-ES_tradnl"/>
        </w:rPr>
        <w:t>DECRETO 1860 DE 2021 – Convocatorias limitadas a MiPymes</w:t>
      </w:r>
      <w:r w:rsidR="00321BB0">
        <w:rPr>
          <w:rFonts w:ascii="Verdana" w:eastAsia="Times New Roman" w:hAnsi="Verdana" w:cs="Arial"/>
          <w:b/>
          <w:bCs/>
          <w:color w:val="000000"/>
          <w:sz w:val="20"/>
          <w:szCs w:val="20"/>
          <w:lang w:eastAsia="es-ES_tradnl"/>
        </w:rPr>
        <w:t xml:space="preserve"> Nacionales</w:t>
      </w:r>
      <w:r>
        <w:rPr>
          <w:rFonts w:ascii="Verdana" w:eastAsia="Times New Roman" w:hAnsi="Verdana" w:cs="Arial"/>
          <w:b/>
          <w:bCs/>
          <w:color w:val="000000"/>
          <w:sz w:val="20"/>
          <w:szCs w:val="20"/>
          <w:lang w:eastAsia="es-ES_tradnl"/>
        </w:rPr>
        <w:t xml:space="preserve"> – Requisitos </w:t>
      </w:r>
    </w:p>
    <w:p w14:paraId="2173C085" w14:textId="77777777" w:rsidR="00C75BA7" w:rsidRDefault="00C75BA7" w:rsidP="00CD37E4">
      <w:pPr>
        <w:tabs>
          <w:tab w:val="left" w:pos="6551"/>
        </w:tabs>
        <w:spacing w:after="0" w:line="240" w:lineRule="auto"/>
        <w:jc w:val="both"/>
        <w:rPr>
          <w:rFonts w:ascii="Verdana" w:eastAsia="Times New Roman" w:hAnsi="Verdana" w:cs="Arial"/>
          <w:b/>
          <w:bCs/>
          <w:color w:val="000000"/>
          <w:sz w:val="20"/>
          <w:szCs w:val="20"/>
          <w:lang w:eastAsia="es-ES_tradnl"/>
        </w:rPr>
      </w:pPr>
    </w:p>
    <w:p w14:paraId="668B5015" w14:textId="77777777" w:rsidR="00C75BA7" w:rsidRDefault="00C75BA7" w:rsidP="00321BB0">
      <w:pPr>
        <w:spacing w:after="0" w:line="240" w:lineRule="auto"/>
        <w:jc w:val="both"/>
        <w:rPr>
          <w:rFonts w:ascii="Verdana" w:eastAsia="Arial" w:hAnsi="Verdana" w:cs="Arial"/>
          <w:color w:val="000000"/>
          <w:lang w:val="es-ES_tradnl"/>
        </w:rPr>
      </w:pPr>
      <w:r w:rsidRPr="00C75BA7">
        <w:rPr>
          <w:rFonts w:ascii="Verdana" w:eastAsia="Arial" w:hAnsi="Verdana" w:cs="Arial"/>
          <w:color w:val="000000"/>
          <w:sz w:val="20"/>
          <w:szCs w:val="20"/>
        </w:rPr>
        <w:t>En este contexto, el artículo 2.2.1.2.4.2.2. del Decreto 1082 de 2015 –modificado por el Decreto 1860 de 2021– establece los requisitos que se deben acreditar en las “convocatorias limitadas a Mipymes”.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Mipyme colombianas con mínimo un (1) año de existencia, siempre que se cumplan los requisitos señalados allí</w:t>
      </w:r>
      <w:r>
        <w:rPr>
          <w:rFonts w:ascii="Verdana" w:eastAsia="Arial" w:hAnsi="Verdana" w:cs="Arial"/>
          <w:color w:val="000000"/>
          <w:sz w:val="20"/>
          <w:szCs w:val="20"/>
        </w:rPr>
        <w:t xml:space="preserve">. </w:t>
      </w:r>
      <w:r w:rsidRPr="00C75BA7">
        <w:rPr>
          <w:rFonts w:ascii="Verdana" w:eastAsia="Arial" w:hAnsi="Verdana" w:cs="Arial"/>
          <w:color w:val="000000"/>
          <w:sz w:val="20"/>
          <w:szCs w:val="20"/>
        </w:rPr>
        <w:t>Según se evidencia, el numeral primero limita cuantitativamente los procesos contractuales en los que se puede hacer esa convocatoria limitada a Mipyme, en la medida en que el valor del proceso de contratación tendrá que ser “menor a ciento veinticinco mil dólares de los Estados Unidos de América”.</w:t>
      </w:r>
      <w:r>
        <w:rPr>
          <w:rFonts w:ascii="Verdana" w:eastAsia="Arial" w:hAnsi="Verdana" w:cs="Arial"/>
          <w:color w:val="000000"/>
          <w:sz w:val="20"/>
          <w:szCs w:val="20"/>
        </w:rPr>
        <w:t xml:space="preserve"> </w:t>
      </w:r>
      <w:r w:rsidRPr="00C75BA7">
        <w:rPr>
          <w:rFonts w:ascii="Verdana" w:eastAsia="Arial" w:hAnsi="Verdana" w:cs="Arial"/>
          <w:color w:val="000000"/>
          <w:sz w:val="20"/>
          <w:szCs w:val="20"/>
        </w:rPr>
        <w:t xml:space="preserve">Por su parte, el numeral segundo establece dos exigencias: por un lado, que al menos dos (2) Mipymes colombianas presenten a la entidad la solicitud de limitar el proceso contractual y, por el otro, que hagan la solicitud por lo menos un día (1) hábil antes de la expedición del acto administrativo de apertura </w:t>
      </w:r>
      <w:r w:rsidRPr="00C75BA7">
        <w:rPr>
          <w:rFonts w:ascii="Verdana" w:eastAsia="Arial" w:hAnsi="Verdana" w:cs="Arial"/>
          <w:color w:val="000000"/>
          <w:sz w:val="20"/>
          <w:szCs w:val="20"/>
          <w:lang w:val="es-ES_tradnl"/>
        </w:rPr>
        <w:t>o el que haga sus veces de acuerdo con la normativa aplicable a cada proceso de contratación</w:t>
      </w:r>
      <w:r w:rsidRPr="00C75BA7">
        <w:rPr>
          <w:rFonts w:ascii="Verdana" w:eastAsia="Arial" w:hAnsi="Verdana" w:cs="Arial"/>
          <w:color w:val="000000"/>
          <w:sz w:val="20"/>
          <w:szCs w:val="20"/>
        </w:rPr>
        <w:t xml:space="preserve">. Además, la norma señala que, </w:t>
      </w:r>
      <w:r w:rsidRPr="00C75BA7">
        <w:rPr>
          <w:rFonts w:ascii="Verdana" w:eastAsia="Arial" w:hAnsi="Verdana" w:cs="Arial"/>
          <w:color w:val="000000"/>
          <w:sz w:val="20"/>
          <w:szCs w:val="20"/>
          <w:lang w:val="es-ES_tradnl"/>
        </w:rPr>
        <w:t>tratándose de personas jurídicas, las solicitudes solo las podrán realizar Mipymes, cuyo objeto social les permita ejecutar el contrato relacionado con el proceso contractual. Asimismo, este artículo incluye a las cooperativas y demás entidades de economía solidaria dentro de los sujetos que pueden solicitar y participar en las convocatorias limitadas a Mipymes, siempre que estas cumplan con las condiciones señaladas en el artículo.</w:t>
      </w:r>
      <w:r w:rsidRPr="005B1F06">
        <w:rPr>
          <w:rFonts w:ascii="Verdana" w:eastAsia="Arial" w:hAnsi="Verdana" w:cs="Arial"/>
          <w:color w:val="000000"/>
          <w:lang w:val="es-ES_tradnl"/>
        </w:rPr>
        <w:t xml:space="preserve"> </w:t>
      </w:r>
    </w:p>
    <w:p w14:paraId="4D5777EE" w14:textId="77777777" w:rsidR="00321BB0" w:rsidRDefault="00321BB0" w:rsidP="00321BB0">
      <w:pPr>
        <w:spacing w:after="0" w:line="240" w:lineRule="auto"/>
        <w:jc w:val="both"/>
        <w:rPr>
          <w:rFonts w:ascii="Verdana" w:eastAsia="Arial" w:hAnsi="Verdana" w:cs="Arial"/>
          <w:color w:val="000000"/>
          <w:lang w:val="es-ES_tradnl"/>
        </w:rPr>
      </w:pPr>
    </w:p>
    <w:p w14:paraId="7AF931EB" w14:textId="77777777" w:rsidR="00321BB0" w:rsidRPr="00321BB0" w:rsidRDefault="00321BB0" w:rsidP="00321BB0">
      <w:pPr>
        <w:spacing w:after="0" w:line="240" w:lineRule="auto"/>
        <w:jc w:val="both"/>
        <w:rPr>
          <w:rFonts w:ascii="Verdana" w:hAnsi="Verdana" w:cs="Arial"/>
          <w:color w:val="000000"/>
          <w:sz w:val="20"/>
          <w:szCs w:val="20"/>
          <w:shd w:val="clear" w:color="auto" w:fill="FFFFFF"/>
        </w:rPr>
      </w:pPr>
      <w:r w:rsidRPr="00321BB0">
        <w:rPr>
          <w:rFonts w:ascii="Verdana" w:eastAsia="Century Gothic" w:hAnsi="Verdana" w:cs="Century Gothic"/>
          <w:b/>
          <w:sz w:val="20"/>
          <w:szCs w:val="20"/>
        </w:rPr>
        <w:lastRenderedPageBreak/>
        <w:t xml:space="preserve">CONVOCATORIAS LIMITADAS A MIPYMES EN EL ÁMBITO TERRITORIAL – Limitación territorial – Facultad discrecional </w:t>
      </w:r>
    </w:p>
    <w:p w14:paraId="44FCFFC7" w14:textId="77777777" w:rsidR="00321BB0" w:rsidRDefault="00321BB0" w:rsidP="00321BB0">
      <w:pPr>
        <w:spacing w:after="0"/>
        <w:rPr>
          <w:rFonts w:ascii="Verdana" w:hAnsi="Verdana"/>
          <w:sz w:val="20"/>
          <w:szCs w:val="20"/>
        </w:rPr>
      </w:pPr>
    </w:p>
    <w:p w14:paraId="7F52223F" w14:textId="77777777" w:rsidR="008B4A21" w:rsidRPr="008B4A21" w:rsidRDefault="008B4A21" w:rsidP="008B4A21">
      <w:pPr>
        <w:spacing w:after="0" w:line="240" w:lineRule="auto"/>
        <w:jc w:val="both"/>
        <w:rPr>
          <w:rFonts w:ascii="Verdana" w:eastAsia="Arial" w:hAnsi="Verdana" w:cs="Arial"/>
          <w:color w:val="000000"/>
          <w:sz w:val="20"/>
          <w:szCs w:val="20"/>
          <w:lang w:val="es-ES"/>
        </w:rPr>
      </w:pPr>
      <w:r w:rsidRPr="008B4A21">
        <w:rPr>
          <w:rFonts w:ascii="Verdana" w:eastAsia="Arial" w:hAnsi="Verdana" w:cs="Arial"/>
          <w:color w:val="000000" w:themeColor="text1"/>
          <w:sz w:val="20"/>
          <w:szCs w:val="20"/>
          <w:lang w:val="es-ES"/>
        </w:rPr>
        <w:t xml:space="preserve">Ahora bien, el artículo 2.2.1.2.4.2.3. del Decreto 1082 de 2015, modificado por el artículo 5 del Decreto 1860 de 2021, se refiere a las “MiPymes colombianas que tengan domicilio en los departamentos o municipios en donde se va a ejecutar el contrato”. Esta precisión es importante, pues el incentivo previsto en la norma únicamente aplica en el lugar de ejecución del contratado en el que la Mipymes tiene su “domicilio”, y no en donde tiene sucursales. </w:t>
      </w:r>
    </w:p>
    <w:p w14:paraId="7757F2FC" w14:textId="77777777" w:rsidR="008B4A21" w:rsidRDefault="008B4A21" w:rsidP="008B4A21">
      <w:pPr>
        <w:spacing w:after="0" w:line="240" w:lineRule="auto"/>
        <w:jc w:val="both"/>
        <w:rPr>
          <w:rFonts w:ascii="Verdana" w:eastAsia="Arial" w:hAnsi="Verdana" w:cs="Arial"/>
          <w:color w:val="000000"/>
          <w:sz w:val="20"/>
          <w:szCs w:val="20"/>
          <w:lang w:val="es-ES"/>
        </w:rPr>
      </w:pPr>
    </w:p>
    <w:p w14:paraId="21C499F7" w14:textId="0411B40C" w:rsidR="008B4A21" w:rsidRPr="008B4A21" w:rsidRDefault="008B4A21" w:rsidP="008B4A21">
      <w:pPr>
        <w:spacing w:after="0" w:line="240" w:lineRule="auto"/>
        <w:jc w:val="both"/>
        <w:rPr>
          <w:rFonts w:ascii="Verdana" w:eastAsia="Arial" w:hAnsi="Verdana" w:cs="Arial"/>
          <w:color w:val="000000"/>
          <w:sz w:val="20"/>
          <w:szCs w:val="20"/>
          <w:lang w:val="es-ES"/>
        </w:rPr>
      </w:pPr>
      <w:r w:rsidRPr="008B4A21">
        <w:rPr>
          <w:rFonts w:ascii="Verdana" w:eastAsia="Arial" w:hAnsi="Verdana" w:cs="Arial"/>
          <w:color w:val="000000"/>
          <w:sz w:val="20"/>
          <w:szCs w:val="20"/>
          <w:lang w:val="es-ES"/>
        </w:rPr>
        <w:t xml:space="preserve">Sin perjuicio de lo anterior, no puede perderse de vista que la decisión de limitar “a MiPymes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Mipymes, no puede </w:t>
      </w:r>
      <w:r w:rsidRPr="008B4A21">
        <w:rPr>
          <w:rFonts w:ascii="Verdana" w:eastAsia="Arial" w:hAnsi="Verdana" w:cs="Arial"/>
          <w:i/>
          <w:color w:val="000000"/>
          <w:sz w:val="20"/>
          <w:szCs w:val="20"/>
          <w:lang w:val="es-ES"/>
        </w:rPr>
        <w:t xml:space="preserve">motu proprio </w:t>
      </w:r>
      <w:r w:rsidRPr="008B4A21">
        <w:rPr>
          <w:rFonts w:ascii="Verdana" w:eastAsia="Arial" w:hAnsi="Verdana" w:cs="Arial"/>
          <w:color w:val="000000"/>
          <w:sz w:val="20"/>
          <w:szCs w:val="20"/>
          <w:lang w:val="es-ES"/>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2E04B7F5" w14:textId="77777777" w:rsidR="008B4A21" w:rsidRPr="008B4A21" w:rsidRDefault="008B4A21" w:rsidP="008B4A21">
      <w:pPr>
        <w:spacing w:after="0" w:line="240" w:lineRule="auto"/>
        <w:rPr>
          <w:rFonts w:ascii="Verdana" w:hAnsi="Verdana"/>
          <w:sz w:val="20"/>
          <w:szCs w:val="20"/>
          <w:lang w:val="es-ES"/>
        </w:rPr>
      </w:pPr>
    </w:p>
    <w:p w14:paraId="1E336211" w14:textId="25F661D8" w:rsidR="008B4A21" w:rsidRPr="008B4A21" w:rsidRDefault="008B4A21" w:rsidP="008B4A21">
      <w:pPr>
        <w:spacing w:after="0" w:line="240" w:lineRule="auto"/>
        <w:jc w:val="both"/>
        <w:rPr>
          <w:rFonts w:ascii="Verdana" w:eastAsia="Calibri" w:hAnsi="Verdana" w:cs="Arial"/>
          <w:color w:val="000000" w:themeColor="text1"/>
          <w:sz w:val="20"/>
          <w:szCs w:val="20"/>
        </w:rPr>
      </w:pPr>
      <w:r w:rsidRPr="008B4A21">
        <w:rPr>
          <w:rFonts w:ascii="Verdana" w:eastAsia="Calibri" w:hAnsi="Verdana" w:cs="Arial"/>
          <w:color w:val="000000" w:themeColor="text1"/>
          <w:sz w:val="20"/>
          <w:szCs w:val="20"/>
        </w:rPr>
        <w:t>Colombia Compra Eficiente ha sostenido que la decisión de limitar territorialmente un</w:t>
      </w:r>
      <w:r w:rsidRPr="008B4A21">
        <w:rPr>
          <w:rFonts w:ascii="Verdana" w:hAnsi="Verdana" w:cs="Arial"/>
          <w:color w:val="000000" w:themeColor="text1"/>
          <w:sz w:val="20"/>
          <w:szCs w:val="20"/>
        </w:rPr>
        <w:t xml:space="preserve">a convocatoria a MiPymes </w:t>
      </w:r>
      <w:r w:rsidRPr="008B4A21">
        <w:rPr>
          <w:rFonts w:ascii="Verdana" w:eastAsia="Calibri" w:hAnsi="Verdana" w:cs="Arial"/>
          <w:color w:val="000000" w:themeColor="text1"/>
          <w:sz w:val="20"/>
          <w:szCs w:val="20"/>
        </w:rPr>
        <w:t xml:space="preserve">es discrecional de la entidad, sin embargo, la decisión debe estar justificada en los correspondientes “estudios del sector”. Lo anterior por cuanto el </w:t>
      </w:r>
      <w:r w:rsidRPr="008B4A21">
        <w:rPr>
          <w:rFonts w:ascii="Verdana" w:hAnsi="Verdana" w:cs="Arial"/>
          <w:color w:val="000000" w:themeColor="text1"/>
          <w:sz w:val="20"/>
          <w:szCs w:val="20"/>
        </w:rPr>
        <w:t>artículo 2.2.1.2.4.2.3. del Decreto 1082 de 2015, indicó que las Mipymes</w:t>
      </w:r>
      <w:r w:rsidRPr="008B4A21">
        <w:rPr>
          <w:rFonts w:ascii="Verdana" w:eastAsia="Calibri" w:hAnsi="Verdana" w:cs="Arial"/>
          <w:color w:val="000000" w:themeColor="text1"/>
          <w:sz w:val="20"/>
          <w:szCs w:val="20"/>
        </w:rPr>
        <w:t xml:space="preserve"> beneficiadas deben tener su domicilio principal en el municipio o departamento donde se ejecutará el contrato para poder participar en una convocatoria limitada territorialmente.</w:t>
      </w:r>
      <w:r w:rsidRPr="008B4A21">
        <w:rPr>
          <w:rFonts w:ascii="Verdana" w:hAnsi="Verdana" w:cs="Arial"/>
          <w:color w:val="000000" w:themeColor="text1"/>
          <w:sz w:val="20"/>
          <w:szCs w:val="20"/>
        </w:rPr>
        <w:t xml:space="preserve"> Esta tesis sigue 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w:t>
      </w:r>
    </w:p>
    <w:p w14:paraId="45A6B555" w14:textId="77777777" w:rsidR="00321BB0" w:rsidRDefault="00321BB0" w:rsidP="00321BB0">
      <w:pPr>
        <w:spacing w:after="0" w:line="240" w:lineRule="auto"/>
        <w:jc w:val="both"/>
        <w:rPr>
          <w:rFonts w:ascii="Verdana" w:eastAsia="Arial" w:hAnsi="Verdana" w:cs="Arial"/>
          <w:color w:val="000000"/>
        </w:rPr>
      </w:pPr>
    </w:p>
    <w:p w14:paraId="4D763CED" w14:textId="77777777" w:rsidR="008B4A21" w:rsidRPr="005B1F06" w:rsidRDefault="008B4A21" w:rsidP="00321BB0">
      <w:pPr>
        <w:spacing w:after="0" w:line="240" w:lineRule="auto"/>
        <w:jc w:val="both"/>
        <w:rPr>
          <w:rFonts w:ascii="Verdana" w:eastAsia="Arial" w:hAnsi="Verdana" w:cs="Arial"/>
          <w:color w:val="000000"/>
        </w:rPr>
      </w:pPr>
    </w:p>
    <w:p w14:paraId="47902EC7" w14:textId="098C2D5E" w:rsidR="00C75BA7" w:rsidRDefault="00C75BA7" w:rsidP="00CD37E4">
      <w:pPr>
        <w:tabs>
          <w:tab w:val="left" w:pos="6551"/>
        </w:tabs>
        <w:spacing w:after="0" w:line="240" w:lineRule="auto"/>
        <w:jc w:val="both"/>
        <w:rPr>
          <w:rFonts w:ascii="Verdana" w:eastAsia="Arial" w:hAnsi="Verdana" w:cs="Arial"/>
          <w:color w:val="000000"/>
          <w:sz w:val="20"/>
          <w:szCs w:val="20"/>
        </w:rPr>
      </w:pPr>
    </w:p>
    <w:p w14:paraId="0F447176" w14:textId="77777777" w:rsidR="00321BB0" w:rsidRDefault="00321BB0" w:rsidP="00CD37E4">
      <w:pPr>
        <w:tabs>
          <w:tab w:val="left" w:pos="6551"/>
        </w:tabs>
        <w:spacing w:after="0" w:line="240" w:lineRule="auto"/>
        <w:jc w:val="both"/>
        <w:rPr>
          <w:rFonts w:ascii="Verdana" w:eastAsia="Arial" w:hAnsi="Verdana" w:cs="Arial"/>
          <w:color w:val="000000"/>
          <w:sz w:val="20"/>
          <w:szCs w:val="20"/>
        </w:rPr>
      </w:pPr>
    </w:p>
    <w:p w14:paraId="221FE327" w14:textId="77777777" w:rsidR="00C75BA7" w:rsidRPr="00C75BA7" w:rsidRDefault="00C75BA7" w:rsidP="00CD37E4">
      <w:pPr>
        <w:tabs>
          <w:tab w:val="left" w:pos="6551"/>
        </w:tabs>
        <w:spacing w:after="0" w:line="240" w:lineRule="auto"/>
        <w:jc w:val="both"/>
        <w:rPr>
          <w:rFonts w:ascii="Verdana" w:eastAsia="Times New Roman" w:hAnsi="Verdana" w:cs="Arial"/>
          <w:b/>
          <w:bCs/>
          <w:color w:val="000000"/>
          <w:sz w:val="20"/>
          <w:szCs w:val="20"/>
          <w:lang w:val="es-ES" w:eastAsia="es-ES_tradnl"/>
        </w:rPr>
      </w:pPr>
    </w:p>
    <w:p w14:paraId="6D923764" w14:textId="77777777" w:rsidR="00CD37E4" w:rsidRDefault="00CD37E4" w:rsidP="00CD37E4">
      <w:pPr>
        <w:tabs>
          <w:tab w:val="left" w:pos="6551"/>
        </w:tabs>
        <w:spacing w:after="0" w:line="240" w:lineRule="auto"/>
        <w:jc w:val="both"/>
        <w:rPr>
          <w:rFonts w:ascii="Verdana" w:eastAsia="Calibri" w:hAnsi="Verdana" w:cs="Arial"/>
          <w:b/>
          <w:color w:val="000000"/>
          <w:sz w:val="20"/>
          <w:szCs w:val="20"/>
          <w:lang w:val="es-ES_tradnl" w:eastAsia="es-ES_tradnl"/>
        </w:rPr>
      </w:pPr>
    </w:p>
    <w:p w14:paraId="39E11C4B" w14:textId="77777777" w:rsidR="00DE40AE" w:rsidRDefault="00DE40AE" w:rsidP="00CD37E4">
      <w:pPr>
        <w:tabs>
          <w:tab w:val="left" w:pos="6551"/>
        </w:tabs>
        <w:spacing w:after="0" w:line="240" w:lineRule="auto"/>
        <w:jc w:val="both"/>
        <w:rPr>
          <w:rFonts w:ascii="Verdana" w:eastAsia="Calibri" w:hAnsi="Verdana" w:cs="Arial"/>
          <w:b/>
          <w:color w:val="000000"/>
          <w:sz w:val="20"/>
          <w:szCs w:val="20"/>
          <w:lang w:val="es-ES_tradnl" w:eastAsia="es-ES_tradnl"/>
        </w:rPr>
      </w:pPr>
    </w:p>
    <w:p w14:paraId="0C0A6729" w14:textId="77777777" w:rsidR="00DE40AE" w:rsidRDefault="00DE40AE" w:rsidP="00CD37E4">
      <w:pPr>
        <w:tabs>
          <w:tab w:val="left" w:pos="6551"/>
        </w:tabs>
        <w:spacing w:after="0" w:line="240" w:lineRule="auto"/>
        <w:jc w:val="both"/>
        <w:rPr>
          <w:rFonts w:ascii="Verdana" w:eastAsia="Calibri" w:hAnsi="Verdana" w:cs="Arial"/>
          <w:b/>
          <w:color w:val="000000"/>
          <w:sz w:val="20"/>
          <w:szCs w:val="20"/>
          <w:lang w:val="es-ES_tradnl" w:eastAsia="es-ES_tradnl"/>
        </w:rPr>
      </w:pPr>
    </w:p>
    <w:p w14:paraId="3A3BEE09" w14:textId="77777777" w:rsidR="00DE40AE" w:rsidRDefault="00DE40AE" w:rsidP="00CD37E4">
      <w:pPr>
        <w:tabs>
          <w:tab w:val="left" w:pos="6551"/>
        </w:tabs>
        <w:spacing w:after="0" w:line="240" w:lineRule="auto"/>
        <w:jc w:val="both"/>
        <w:rPr>
          <w:rFonts w:ascii="Verdana" w:eastAsia="Calibri" w:hAnsi="Verdana" w:cs="Arial"/>
          <w:b/>
          <w:color w:val="000000"/>
          <w:sz w:val="20"/>
          <w:szCs w:val="20"/>
          <w:lang w:val="es-ES_tradnl" w:eastAsia="es-ES_tradnl"/>
        </w:rPr>
      </w:pPr>
    </w:p>
    <w:p w14:paraId="132DD8C1" w14:textId="77777777" w:rsidR="00DE40AE" w:rsidRDefault="00DE40AE" w:rsidP="00CD37E4">
      <w:pPr>
        <w:tabs>
          <w:tab w:val="left" w:pos="6551"/>
        </w:tabs>
        <w:spacing w:after="0" w:line="240" w:lineRule="auto"/>
        <w:jc w:val="both"/>
        <w:rPr>
          <w:rFonts w:ascii="Verdana" w:eastAsia="Calibri" w:hAnsi="Verdana" w:cs="Arial"/>
          <w:b/>
          <w:color w:val="000000"/>
          <w:sz w:val="20"/>
          <w:szCs w:val="20"/>
          <w:lang w:val="es-ES_tradnl" w:eastAsia="es-ES_tradnl"/>
        </w:rPr>
      </w:pPr>
    </w:p>
    <w:p w14:paraId="377AE035" w14:textId="77777777" w:rsidR="00DE40AE" w:rsidRDefault="00DE40AE" w:rsidP="00CD37E4">
      <w:pPr>
        <w:tabs>
          <w:tab w:val="left" w:pos="6551"/>
        </w:tabs>
        <w:spacing w:after="0" w:line="240" w:lineRule="auto"/>
        <w:jc w:val="both"/>
        <w:rPr>
          <w:rFonts w:ascii="Verdana" w:eastAsia="Calibri" w:hAnsi="Verdana" w:cs="Arial"/>
          <w:b/>
          <w:color w:val="000000"/>
          <w:sz w:val="20"/>
          <w:szCs w:val="20"/>
          <w:lang w:val="es-ES_tradnl" w:eastAsia="es-ES_tradnl"/>
        </w:rPr>
      </w:pPr>
    </w:p>
    <w:p w14:paraId="6E29EE6F" w14:textId="77777777" w:rsidR="00DE40AE" w:rsidRDefault="00DE40AE" w:rsidP="00CD37E4">
      <w:pPr>
        <w:tabs>
          <w:tab w:val="left" w:pos="6551"/>
        </w:tabs>
        <w:spacing w:after="0" w:line="240" w:lineRule="auto"/>
        <w:jc w:val="both"/>
        <w:rPr>
          <w:rFonts w:ascii="Verdana" w:eastAsia="Calibri" w:hAnsi="Verdana" w:cs="Arial"/>
          <w:b/>
          <w:color w:val="000000"/>
          <w:sz w:val="20"/>
          <w:szCs w:val="20"/>
          <w:lang w:val="es-ES_tradnl" w:eastAsia="es-ES_tradnl"/>
        </w:rPr>
      </w:pPr>
    </w:p>
    <w:p w14:paraId="5BDB7B1B" w14:textId="77777777" w:rsidR="00DE40AE" w:rsidRDefault="00DE40AE" w:rsidP="00CD37E4">
      <w:pPr>
        <w:tabs>
          <w:tab w:val="left" w:pos="6551"/>
        </w:tabs>
        <w:spacing w:after="0" w:line="240" w:lineRule="auto"/>
        <w:jc w:val="both"/>
        <w:rPr>
          <w:rFonts w:ascii="Verdana" w:eastAsia="Calibri" w:hAnsi="Verdana" w:cs="Arial"/>
          <w:b/>
          <w:color w:val="000000"/>
          <w:sz w:val="20"/>
          <w:szCs w:val="20"/>
          <w:lang w:val="es-ES_tradnl" w:eastAsia="es-ES_tradnl"/>
        </w:rPr>
      </w:pPr>
    </w:p>
    <w:p w14:paraId="621002F7" w14:textId="77777777" w:rsidR="00DE40AE" w:rsidRDefault="00DE40AE" w:rsidP="00CD37E4">
      <w:pPr>
        <w:tabs>
          <w:tab w:val="left" w:pos="6551"/>
        </w:tabs>
        <w:spacing w:after="0" w:line="240" w:lineRule="auto"/>
        <w:jc w:val="both"/>
        <w:rPr>
          <w:rFonts w:ascii="Verdana" w:eastAsia="Calibri" w:hAnsi="Verdana" w:cs="Arial"/>
          <w:b/>
          <w:color w:val="000000"/>
          <w:sz w:val="20"/>
          <w:szCs w:val="20"/>
          <w:lang w:val="es-ES_tradnl" w:eastAsia="es-ES_tradnl"/>
        </w:rPr>
      </w:pPr>
    </w:p>
    <w:p w14:paraId="323BE0A6" w14:textId="77777777" w:rsidR="00DE40AE" w:rsidRDefault="00DE40AE" w:rsidP="00CD37E4">
      <w:pPr>
        <w:tabs>
          <w:tab w:val="left" w:pos="6551"/>
        </w:tabs>
        <w:spacing w:after="0" w:line="240" w:lineRule="auto"/>
        <w:jc w:val="both"/>
        <w:rPr>
          <w:rFonts w:ascii="Verdana" w:eastAsia="Calibri" w:hAnsi="Verdana" w:cs="Arial"/>
          <w:b/>
          <w:color w:val="000000"/>
          <w:sz w:val="20"/>
          <w:szCs w:val="20"/>
          <w:lang w:val="es-ES_tradnl" w:eastAsia="es-ES_tradnl"/>
        </w:rPr>
      </w:pPr>
    </w:p>
    <w:p w14:paraId="5791E5EE" w14:textId="77777777" w:rsidR="00DE40AE" w:rsidRDefault="00DE40AE" w:rsidP="00CD37E4">
      <w:pPr>
        <w:tabs>
          <w:tab w:val="left" w:pos="6551"/>
        </w:tabs>
        <w:spacing w:after="0" w:line="240" w:lineRule="auto"/>
        <w:jc w:val="both"/>
        <w:rPr>
          <w:rFonts w:ascii="Verdana" w:eastAsia="Calibri" w:hAnsi="Verdana" w:cs="Arial"/>
          <w:b/>
          <w:color w:val="000000"/>
          <w:sz w:val="20"/>
          <w:szCs w:val="20"/>
          <w:lang w:val="es-ES_tradnl" w:eastAsia="es-ES_tradnl"/>
        </w:rPr>
      </w:pPr>
    </w:p>
    <w:p w14:paraId="1C714CCB" w14:textId="70192746" w:rsidR="00622331" w:rsidRDefault="00622331" w:rsidP="00191971">
      <w:pPr>
        <w:spacing w:after="0" w:line="276" w:lineRule="auto"/>
        <w:rPr>
          <w:rFonts w:ascii="Verdana" w:eastAsia="Calibri" w:hAnsi="Verdana" w:cs="Arial"/>
          <w:lang w:eastAsia="es-ES_tradnl"/>
        </w:rPr>
      </w:pPr>
      <w:r>
        <w:rPr>
          <w:rFonts w:ascii="Verdana" w:eastAsia="Calibri" w:hAnsi="Verdana" w:cs="Arial"/>
          <w:lang w:eastAsia="es-ES_tradnl"/>
        </w:rPr>
        <w:lastRenderedPageBreak/>
        <w:t>Bogotá, 7 de mayo de 2025</w:t>
      </w:r>
    </w:p>
    <w:p w14:paraId="1110ACDC" w14:textId="77777777" w:rsidR="00622331" w:rsidRDefault="00622331" w:rsidP="00191971">
      <w:pPr>
        <w:spacing w:after="0" w:line="276" w:lineRule="auto"/>
        <w:rPr>
          <w:rFonts w:ascii="Verdana" w:eastAsia="Calibri" w:hAnsi="Verdana" w:cs="Arial"/>
          <w:lang w:eastAsia="es-ES_tradnl"/>
        </w:rPr>
      </w:pPr>
    </w:p>
    <w:p w14:paraId="0A69DE65" w14:textId="419BCCE8" w:rsidR="00191971" w:rsidRPr="00191971" w:rsidRDefault="00191971" w:rsidP="00191971">
      <w:pPr>
        <w:spacing w:after="0" w:line="276" w:lineRule="auto"/>
        <w:rPr>
          <w:rFonts w:ascii="Verdana" w:eastAsia="Calibri" w:hAnsi="Verdana" w:cs="Arial"/>
          <w:lang w:eastAsia="es-ES_tradnl"/>
        </w:rPr>
      </w:pPr>
      <w:r w:rsidRPr="00191971">
        <w:rPr>
          <w:rFonts w:ascii="Verdana" w:eastAsia="Calibri" w:hAnsi="Verdana" w:cs="Arial"/>
          <w:lang w:eastAsia="es-ES_tradnl"/>
        </w:rPr>
        <w:t>Señora</w:t>
      </w:r>
    </w:p>
    <w:p w14:paraId="1A858CA7" w14:textId="77777777" w:rsidR="00191971" w:rsidRPr="00191971" w:rsidRDefault="00191971" w:rsidP="00191971">
      <w:pPr>
        <w:spacing w:after="0" w:line="276" w:lineRule="auto"/>
        <w:rPr>
          <w:rFonts w:ascii="Verdana" w:eastAsia="Calibri" w:hAnsi="Verdana" w:cs="Arial"/>
          <w:lang w:eastAsia="es-ES_tradnl"/>
        </w:rPr>
      </w:pPr>
      <w:r w:rsidRPr="00191971">
        <w:rPr>
          <w:rFonts w:ascii="Verdana" w:eastAsia="Calibri" w:hAnsi="Verdana" w:cs="Arial"/>
          <w:b/>
          <w:bCs/>
          <w:lang w:eastAsia="es-ES_tradnl"/>
        </w:rPr>
        <w:t>Sandra Milena Bernal Pinilla</w:t>
      </w:r>
      <w:r w:rsidRPr="00191971">
        <w:rPr>
          <w:rFonts w:ascii="Verdana" w:eastAsia="Calibri" w:hAnsi="Verdana" w:cs="Arial"/>
          <w:b/>
          <w:bCs/>
          <w:lang w:eastAsia="es-ES_tradnl"/>
        </w:rPr>
        <w:br/>
      </w:r>
      <w:r w:rsidRPr="00191971">
        <w:rPr>
          <w:rFonts w:ascii="Verdana" w:eastAsia="Calibri" w:hAnsi="Verdana" w:cs="Arial"/>
          <w:u w:val="single"/>
          <w:lang w:eastAsia="es-ES_tradnl"/>
        </w:rPr>
        <w:t>samibernalp23@outlook.com </w:t>
      </w:r>
    </w:p>
    <w:p w14:paraId="1071B2D8" w14:textId="77777777" w:rsidR="00191971" w:rsidRPr="00191971" w:rsidRDefault="00191971" w:rsidP="00191971">
      <w:pPr>
        <w:spacing w:after="0" w:line="276" w:lineRule="auto"/>
        <w:rPr>
          <w:rFonts w:ascii="Verdana" w:eastAsia="Calibri" w:hAnsi="Verdana" w:cs="Arial"/>
          <w:lang w:eastAsia="es-ES_tradnl"/>
        </w:rPr>
      </w:pPr>
      <w:r w:rsidRPr="00191971">
        <w:rPr>
          <w:rFonts w:ascii="Verdana" w:eastAsia="Calibri" w:hAnsi="Verdana" w:cs="Arial"/>
          <w:lang w:eastAsia="es-ES_tradnl"/>
        </w:rPr>
        <w:t>Tunja, Boyacá.</w:t>
      </w:r>
    </w:p>
    <w:p w14:paraId="74E6C994" w14:textId="77777777" w:rsidR="00191971" w:rsidRDefault="00191971" w:rsidP="00191971">
      <w:pPr>
        <w:spacing w:after="0" w:line="276" w:lineRule="auto"/>
        <w:jc w:val="both"/>
        <w:rPr>
          <w:rFonts w:ascii="Verdana" w:eastAsia="Calibri" w:hAnsi="Verdana" w:cs="Arial"/>
          <w:lang w:eastAsia="es-ES_tradnl"/>
        </w:rPr>
      </w:pPr>
    </w:p>
    <w:p w14:paraId="4B6964C6" w14:textId="158B2059" w:rsidR="00622331" w:rsidRPr="00191971" w:rsidRDefault="00622331" w:rsidP="00622331">
      <w:pPr>
        <w:spacing w:after="0" w:line="276" w:lineRule="auto"/>
        <w:jc w:val="right"/>
        <w:rPr>
          <w:rFonts w:ascii="Verdana" w:eastAsia="Calibri" w:hAnsi="Verdana" w:cs="Arial"/>
          <w:lang w:eastAsia="es-ES_tradnl"/>
        </w:rPr>
      </w:pPr>
      <w:r w:rsidRPr="00622331">
        <w:rPr>
          <w:rFonts w:ascii="Verdana" w:eastAsia="Calibri" w:hAnsi="Verdana" w:cs="Arial"/>
          <w:lang w:eastAsia="es-ES_tradnl"/>
        </w:rPr>
        <w:drawing>
          <wp:inline distT="0" distB="0" distL="0" distR="0" wp14:anchorId="1564B8A6" wp14:editId="540C6243">
            <wp:extent cx="1958510" cy="655377"/>
            <wp:effectExtent l="0" t="0" r="3810" b="0"/>
            <wp:docPr id="829132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13215" name=""/>
                    <pic:cNvPicPr/>
                  </pic:nvPicPr>
                  <pic:blipFill>
                    <a:blip r:embed="rId10"/>
                    <a:stretch>
                      <a:fillRect/>
                    </a:stretch>
                  </pic:blipFill>
                  <pic:spPr>
                    <a:xfrm>
                      <a:off x="0" y="0"/>
                      <a:ext cx="1958510" cy="655377"/>
                    </a:xfrm>
                    <a:prstGeom prst="rect">
                      <a:avLst/>
                    </a:prstGeom>
                  </pic:spPr>
                </pic:pic>
              </a:graphicData>
            </a:graphic>
          </wp:inline>
        </w:drawing>
      </w:r>
    </w:p>
    <w:tbl>
      <w:tblPr>
        <w:tblW w:w="0" w:type="auto"/>
        <w:tblCellMar>
          <w:top w:w="15" w:type="dxa"/>
          <w:left w:w="15" w:type="dxa"/>
          <w:bottom w:w="15" w:type="dxa"/>
          <w:right w:w="15" w:type="dxa"/>
        </w:tblCellMar>
        <w:tblLook w:val="04A0" w:firstRow="1" w:lastRow="0" w:firstColumn="1" w:lastColumn="0" w:noHBand="0" w:noVBand="1"/>
      </w:tblPr>
      <w:tblGrid>
        <w:gridCol w:w="2616"/>
        <w:gridCol w:w="6222"/>
      </w:tblGrid>
      <w:tr w:rsidR="00191971" w:rsidRPr="00191971" w14:paraId="7A3AFC3A" w14:textId="77777777" w:rsidTr="00191971">
        <w:trPr>
          <w:trHeight w:val="378"/>
        </w:trPr>
        <w:tc>
          <w:tcPr>
            <w:tcW w:w="0" w:type="auto"/>
            <w:hideMark/>
          </w:tcPr>
          <w:p w14:paraId="54D02D0C" w14:textId="77777777" w:rsidR="00191971" w:rsidRPr="00191971" w:rsidRDefault="00191971" w:rsidP="00191971">
            <w:pPr>
              <w:spacing w:after="0" w:line="276" w:lineRule="auto"/>
              <w:jc w:val="both"/>
              <w:rPr>
                <w:rFonts w:ascii="Verdana" w:eastAsia="Calibri" w:hAnsi="Verdana" w:cs="Arial"/>
                <w:lang w:eastAsia="es-ES_tradnl"/>
              </w:rPr>
            </w:pPr>
            <w:r w:rsidRPr="00191971">
              <w:rPr>
                <w:rFonts w:ascii="Verdana" w:eastAsia="Calibri" w:hAnsi="Verdana" w:cs="Arial"/>
                <w:b/>
                <w:bCs/>
                <w:lang w:eastAsia="es-ES_tradnl"/>
              </w:rPr>
              <w:t>Concepto:</w:t>
            </w:r>
          </w:p>
        </w:tc>
        <w:tc>
          <w:tcPr>
            <w:tcW w:w="0" w:type="auto"/>
            <w:hideMark/>
          </w:tcPr>
          <w:p w14:paraId="515D0FFB" w14:textId="77777777" w:rsidR="00191971" w:rsidRPr="00191971" w:rsidRDefault="00191971" w:rsidP="00191971">
            <w:pPr>
              <w:spacing w:after="0" w:line="276" w:lineRule="auto"/>
              <w:jc w:val="both"/>
              <w:rPr>
                <w:rFonts w:ascii="Verdana" w:eastAsia="Calibri" w:hAnsi="Verdana" w:cs="Arial"/>
                <w:lang w:eastAsia="es-ES_tradnl"/>
              </w:rPr>
            </w:pPr>
            <w:r w:rsidRPr="00191971">
              <w:rPr>
                <w:rFonts w:ascii="Verdana" w:eastAsia="Calibri" w:hAnsi="Verdana" w:cs="Arial"/>
                <w:b/>
                <w:bCs/>
                <w:lang w:eastAsia="es-ES_tradnl"/>
              </w:rPr>
              <w:t>C- 401 de 2025</w:t>
            </w:r>
          </w:p>
        </w:tc>
      </w:tr>
      <w:tr w:rsidR="00191971" w:rsidRPr="00191971" w14:paraId="3229FFBC" w14:textId="77777777" w:rsidTr="00191971">
        <w:trPr>
          <w:trHeight w:val="884"/>
        </w:trPr>
        <w:tc>
          <w:tcPr>
            <w:tcW w:w="0" w:type="auto"/>
            <w:hideMark/>
          </w:tcPr>
          <w:p w14:paraId="43EB3A6D" w14:textId="77777777" w:rsidR="00191971" w:rsidRPr="00191971" w:rsidRDefault="00191971" w:rsidP="00191971">
            <w:pPr>
              <w:spacing w:after="0" w:line="276" w:lineRule="auto"/>
              <w:jc w:val="both"/>
              <w:rPr>
                <w:rFonts w:ascii="Verdana" w:eastAsia="Calibri" w:hAnsi="Verdana" w:cs="Arial"/>
                <w:lang w:eastAsia="es-ES_tradnl"/>
              </w:rPr>
            </w:pPr>
          </w:p>
          <w:p w14:paraId="322D3D18" w14:textId="77777777" w:rsidR="00191971" w:rsidRPr="00191971" w:rsidRDefault="00191971" w:rsidP="00191971">
            <w:pPr>
              <w:spacing w:after="0" w:line="276" w:lineRule="auto"/>
              <w:jc w:val="both"/>
              <w:rPr>
                <w:rFonts w:ascii="Verdana" w:eastAsia="Calibri" w:hAnsi="Verdana" w:cs="Arial"/>
                <w:lang w:eastAsia="es-ES_tradnl"/>
              </w:rPr>
            </w:pPr>
            <w:r w:rsidRPr="00191971">
              <w:rPr>
                <w:rFonts w:ascii="Verdana" w:eastAsia="Calibri" w:hAnsi="Verdana" w:cs="Arial"/>
                <w:b/>
                <w:bCs/>
                <w:lang w:eastAsia="es-ES_tradnl"/>
              </w:rPr>
              <w:t>Temas:</w:t>
            </w:r>
            <w:r w:rsidRPr="00191971">
              <w:rPr>
                <w:rFonts w:ascii="Verdana" w:eastAsia="Calibri" w:hAnsi="Verdana" w:cs="Arial"/>
                <w:lang w:eastAsia="es-ES_tradnl"/>
              </w:rPr>
              <w:t>                   </w:t>
            </w:r>
          </w:p>
          <w:p w14:paraId="0C8D7EDD" w14:textId="77777777" w:rsidR="00191971" w:rsidRPr="00191971" w:rsidRDefault="00191971" w:rsidP="00191971">
            <w:pPr>
              <w:spacing w:after="0" w:line="276" w:lineRule="auto"/>
              <w:jc w:val="both"/>
              <w:rPr>
                <w:rFonts w:ascii="Verdana" w:eastAsia="Calibri" w:hAnsi="Verdana" w:cs="Arial"/>
                <w:lang w:eastAsia="es-ES_tradnl"/>
              </w:rPr>
            </w:pPr>
            <w:r w:rsidRPr="00191971">
              <w:rPr>
                <w:rFonts w:ascii="Verdana" w:eastAsia="Calibri" w:hAnsi="Verdana" w:cs="Arial"/>
                <w:lang w:eastAsia="es-ES_tradnl"/>
              </w:rPr>
              <w:br/>
            </w:r>
          </w:p>
        </w:tc>
        <w:tc>
          <w:tcPr>
            <w:tcW w:w="0" w:type="auto"/>
            <w:hideMark/>
          </w:tcPr>
          <w:p w14:paraId="2B48A028" w14:textId="77777777" w:rsidR="00191971" w:rsidRPr="00191971" w:rsidRDefault="00191971" w:rsidP="00191971">
            <w:pPr>
              <w:spacing w:after="0" w:line="276" w:lineRule="auto"/>
              <w:jc w:val="both"/>
              <w:rPr>
                <w:rFonts w:ascii="Verdana" w:eastAsia="Calibri" w:hAnsi="Verdana" w:cs="Arial"/>
                <w:lang w:eastAsia="es-ES_tradnl"/>
              </w:rPr>
            </w:pPr>
          </w:p>
          <w:p w14:paraId="1C34D708" w14:textId="4DC22C32" w:rsidR="00191971" w:rsidRPr="00191971" w:rsidRDefault="006E4180" w:rsidP="006E4180">
            <w:pPr>
              <w:tabs>
                <w:tab w:val="left" w:pos="6551"/>
              </w:tabs>
              <w:spacing w:after="0" w:line="240" w:lineRule="auto"/>
              <w:jc w:val="both"/>
              <w:rPr>
                <w:rFonts w:ascii="Verdana" w:eastAsia="Calibri" w:hAnsi="Verdana" w:cs="Arial"/>
                <w:lang w:eastAsia="es-ES_tradnl"/>
              </w:rPr>
            </w:pPr>
            <w:r w:rsidRPr="006E4180">
              <w:rPr>
                <w:rFonts w:ascii="Verdana" w:eastAsia="Calibri" w:hAnsi="Verdana" w:cs="Arial"/>
                <w:lang w:eastAsia="es-ES_tradnl"/>
              </w:rPr>
              <w:t xml:space="preserve">CONVOCATORIAS LIMITADAS A MIPYME – Aplicación  / DECRETO 1860 DE 2021 – Convocatorias limitadas a MiPymes Nacionales – Requisitos / </w:t>
            </w:r>
            <w:r w:rsidR="00191971" w:rsidRPr="00191971">
              <w:rPr>
                <w:rFonts w:ascii="Verdana" w:eastAsia="Calibri" w:hAnsi="Verdana" w:cs="Arial"/>
                <w:lang w:eastAsia="es-ES_tradnl"/>
              </w:rPr>
              <w:t>CONVOCATORIAS LIMITADAS A MIPYMES – Limitación Territorial – Carácter discrecional </w:t>
            </w:r>
          </w:p>
        </w:tc>
      </w:tr>
      <w:tr w:rsidR="00191971" w:rsidRPr="00191971" w14:paraId="154AEE0E" w14:textId="77777777" w:rsidTr="00191971">
        <w:tc>
          <w:tcPr>
            <w:tcW w:w="0" w:type="auto"/>
            <w:hideMark/>
          </w:tcPr>
          <w:p w14:paraId="1044A11F" w14:textId="77777777" w:rsidR="00191971" w:rsidRPr="00191971" w:rsidRDefault="00191971" w:rsidP="00191971">
            <w:pPr>
              <w:spacing w:after="0" w:line="276" w:lineRule="auto"/>
              <w:jc w:val="both"/>
              <w:rPr>
                <w:rFonts w:ascii="Verdana" w:eastAsia="Calibri" w:hAnsi="Verdana" w:cs="Arial"/>
                <w:lang w:eastAsia="es-ES_tradnl"/>
              </w:rPr>
            </w:pPr>
            <w:r w:rsidRPr="00191971">
              <w:rPr>
                <w:rFonts w:ascii="Verdana" w:eastAsia="Calibri" w:hAnsi="Verdana" w:cs="Arial"/>
                <w:b/>
                <w:bCs/>
                <w:lang w:eastAsia="es-ES_tradnl"/>
              </w:rPr>
              <w:t>Radicación:</w:t>
            </w:r>
            <w:r w:rsidRPr="00191971">
              <w:rPr>
                <w:rFonts w:ascii="Verdana" w:eastAsia="Calibri" w:hAnsi="Verdana" w:cs="Arial"/>
                <w:lang w:eastAsia="es-ES_tradnl"/>
              </w:rPr>
              <w:t>               </w:t>
            </w:r>
          </w:p>
        </w:tc>
        <w:tc>
          <w:tcPr>
            <w:tcW w:w="0" w:type="auto"/>
            <w:hideMark/>
          </w:tcPr>
          <w:p w14:paraId="33E5E33A" w14:textId="509F1719" w:rsidR="00191971" w:rsidRPr="00191971" w:rsidRDefault="00191971" w:rsidP="00191971">
            <w:pPr>
              <w:spacing w:after="0" w:line="276" w:lineRule="auto"/>
              <w:jc w:val="both"/>
              <w:rPr>
                <w:rFonts w:ascii="Verdana" w:eastAsia="Calibri" w:hAnsi="Verdana" w:cs="Arial"/>
                <w:lang w:eastAsia="es-ES_tradnl"/>
              </w:rPr>
            </w:pPr>
            <w:r w:rsidRPr="00191971">
              <w:rPr>
                <w:rFonts w:ascii="Verdana" w:eastAsia="Calibri" w:hAnsi="Verdana" w:cs="Arial"/>
                <w:lang w:eastAsia="es-ES_tradnl"/>
              </w:rPr>
              <w:t>Respuesta a consulta con radicado No. P20250402003143</w:t>
            </w:r>
          </w:p>
        </w:tc>
      </w:tr>
    </w:tbl>
    <w:p w14:paraId="2A50C28E" w14:textId="77777777" w:rsidR="00FC5D28" w:rsidRPr="00F71A6A" w:rsidRDefault="00FC5D28" w:rsidP="00FC5D28">
      <w:pPr>
        <w:spacing w:after="0" w:line="276" w:lineRule="auto"/>
        <w:jc w:val="both"/>
        <w:rPr>
          <w:rFonts w:ascii="Verdana" w:eastAsia="Calibri" w:hAnsi="Verdana" w:cs="Arial"/>
          <w:lang w:val="es-ES_tradnl" w:eastAsia="es-ES_tradnl"/>
        </w:rPr>
      </w:pPr>
    </w:p>
    <w:p w14:paraId="7744798E" w14:textId="0671A05A" w:rsidR="00FC5D28" w:rsidRPr="00F71A6A" w:rsidRDefault="00FC5D28" w:rsidP="00FC5D28">
      <w:pPr>
        <w:spacing w:after="0" w:line="276" w:lineRule="auto"/>
        <w:jc w:val="both"/>
        <w:rPr>
          <w:rFonts w:ascii="Verdana" w:eastAsia="Calibri" w:hAnsi="Verdana" w:cs="Arial"/>
          <w:lang w:val="es-ES" w:eastAsia="es-ES"/>
        </w:rPr>
      </w:pPr>
      <w:r w:rsidRPr="00F71A6A">
        <w:rPr>
          <w:rFonts w:ascii="Verdana" w:eastAsia="Calibri" w:hAnsi="Verdana" w:cs="Arial"/>
          <w:lang w:val="es-ES" w:eastAsia="es-ES"/>
        </w:rPr>
        <w:t>Estimad</w:t>
      </w:r>
      <w:r>
        <w:rPr>
          <w:rFonts w:ascii="Verdana" w:eastAsia="Calibri" w:hAnsi="Verdana" w:cs="Arial"/>
          <w:lang w:val="es-ES" w:eastAsia="es-ES"/>
        </w:rPr>
        <w:t xml:space="preserve">a </w:t>
      </w:r>
      <w:r w:rsidRPr="00F71A6A">
        <w:rPr>
          <w:rFonts w:ascii="Verdana" w:eastAsia="Calibri" w:hAnsi="Verdana" w:cs="Arial"/>
          <w:lang w:val="es-ES" w:eastAsia="es-ES"/>
        </w:rPr>
        <w:t>señor</w:t>
      </w:r>
      <w:r>
        <w:rPr>
          <w:rFonts w:ascii="Verdana" w:eastAsia="Calibri" w:hAnsi="Verdana" w:cs="Arial"/>
          <w:lang w:val="es-ES" w:eastAsia="es-ES"/>
        </w:rPr>
        <w:t xml:space="preserve">a </w:t>
      </w:r>
      <w:r w:rsidR="00191971">
        <w:rPr>
          <w:rFonts w:ascii="Verdana" w:eastAsia="Calibri" w:hAnsi="Verdana" w:cs="Arial"/>
          <w:lang w:val="es-ES" w:eastAsia="es-ES"/>
        </w:rPr>
        <w:t>Bernal</w:t>
      </w:r>
      <w:r>
        <w:rPr>
          <w:rFonts w:ascii="Verdana" w:eastAsia="Calibri" w:hAnsi="Verdana" w:cs="Arial"/>
          <w:lang w:val="es-ES" w:eastAsia="es-ES"/>
        </w:rPr>
        <w:t>:</w:t>
      </w:r>
      <w:r w:rsidRPr="00F71A6A">
        <w:rPr>
          <w:rFonts w:ascii="Verdana" w:eastAsia="Calibri" w:hAnsi="Verdana" w:cs="Arial"/>
          <w:lang w:val="es-ES" w:eastAsia="es-ES"/>
        </w:rPr>
        <w:t xml:space="preserve"> </w:t>
      </w:r>
    </w:p>
    <w:p w14:paraId="18F830BA" w14:textId="77777777" w:rsidR="00FC5D28" w:rsidRPr="008F5074" w:rsidRDefault="00FC5D28" w:rsidP="008F5074">
      <w:pPr>
        <w:tabs>
          <w:tab w:val="left" w:pos="3768"/>
        </w:tabs>
        <w:spacing w:after="0" w:line="276" w:lineRule="auto"/>
        <w:jc w:val="both"/>
        <w:rPr>
          <w:rFonts w:ascii="Verdana" w:eastAsia="Calibri" w:hAnsi="Verdana" w:cs="Arial"/>
          <w:color w:val="000000"/>
          <w:lang w:val="es-ES" w:eastAsia="es-ES"/>
        </w:rPr>
      </w:pPr>
      <w:r w:rsidRPr="008F5074">
        <w:rPr>
          <w:rFonts w:ascii="Verdana" w:eastAsia="Calibri" w:hAnsi="Verdana" w:cs="Arial"/>
          <w:color w:val="000000"/>
          <w:lang w:val="es-ES" w:eastAsia="es-ES"/>
        </w:rPr>
        <w:tab/>
      </w:r>
    </w:p>
    <w:p w14:paraId="381E6C3F" w14:textId="77777777" w:rsidR="008F5074" w:rsidRPr="008F5074" w:rsidRDefault="008F5074" w:rsidP="008F5074">
      <w:pPr>
        <w:tabs>
          <w:tab w:val="left" w:pos="142"/>
          <w:tab w:val="left" w:pos="284"/>
        </w:tabs>
        <w:jc w:val="both"/>
        <w:rPr>
          <w:rFonts w:ascii="Verdana" w:eastAsia="Calibri" w:hAnsi="Verdana" w:cs="Arial"/>
          <w:color w:val="000000"/>
          <w:lang w:val="es-ES" w:eastAsia="es-ES"/>
        </w:rPr>
      </w:pPr>
      <w:r w:rsidRPr="008F5074">
        <w:rPr>
          <w:rFonts w:ascii="Verdana" w:eastAsia="Calibri" w:hAnsi="Verdana" w:cs="Arial"/>
          <w:color w:val="000000"/>
          <w:lang w:val="es-ES" w:eastAsia="es-ES"/>
        </w:rPr>
        <w:t>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remitida a esta entidad el 2 de abril de 2025, en la cual manifiesta lo siguiente: </w:t>
      </w:r>
    </w:p>
    <w:p w14:paraId="022B7712" w14:textId="77777777" w:rsidR="008F5074" w:rsidRPr="008F5074" w:rsidRDefault="008F5074" w:rsidP="008F5074">
      <w:pPr>
        <w:pStyle w:val="Prrafodelista"/>
        <w:tabs>
          <w:tab w:val="left" w:pos="142"/>
          <w:tab w:val="left" w:pos="284"/>
        </w:tabs>
        <w:jc w:val="both"/>
        <w:rPr>
          <w:rFonts w:ascii="Verdana" w:eastAsia="Calibri" w:hAnsi="Verdana" w:cs="Arial"/>
          <w:color w:val="000000"/>
          <w:lang w:eastAsia="es-ES"/>
        </w:rPr>
      </w:pPr>
    </w:p>
    <w:p w14:paraId="58839A45" w14:textId="4BBAD167" w:rsidR="008F5074" w:rsidRPr="008F5074" w:rsidRDefault="008F5074" w:rsidP="008F5074">
      <w:pPr>
        <w:pStyle w:val="Prrafodelista"/>
        <w:tabs>
          <w:tab w:val="left" w:pos="142"/>
          <w:tab w:val="left" w:pos="284"/>
        </w:tabs>
        <w:ind w:left="709" w:right="1041"/>
        <w:jc w:val="both"/>
        <w:rPr>
          <w:rFonts w:ascii="Verdana" w:eastAsia="Calibri" w:hAnsi="Verdana" w:cs="Arial"/>
          <w:color w:val="000000"/>
          <w:sz w:val="20"/>
          <w:szCs w:val="20"/>
          <w:lang w:eastAsia="es-ES"/>
        </w:rPr>
      </w:pPr>
      <w:r w:rsidRPr="008F5074">
        <w:rPr>
          <w:rFonts w:ascii="Verdana" w:eastAsia="Calibri" w:hAnsi="Verdana" w:cs="Arial"/>
          <w:color w:val="000000"/>
          <w:sz w:val="20"/>
          <w:szCs w:val="20"/>
          <w:lang w:eastAsia="es-ES"/>
        </w:rPr>
        <w:t>“En el marco de lo establecido en el Decreto 1860 de 2021 respecto a las limitaciones territoriales de Mypime colombianas ¿puede una entidad territotial aceptar la limitación a mypime MUNICIPAL de un proceso contractual?</w:t>
      </w:r>
    </w:p>
    <w:p w14:paraId="2D24639C" w14:textId="4BC233C4" w:rsidR="00FC5D28" w:rsidRPr="008F5074" w:rsidRDefault="008F5074" w:rsidP="008F5074">
      <w:pPr>
        <w:pStyle w:val="Prrafodelista"/>
        <w:tabs>
          <w:tab w:val="left" w:pos="142"/>
          <w:tab w:val="left" w:pos="284"/>
        </w:tabs>
        <w:spacing w:after="0" w:line="240" w:lineRule="auto"/>
        <w:ind w:left="709" w:right="1041"/>
        <w:jc w:val="both"/>
        <w:rPr>
          <w:rFonts w:ascii="Verdana" w:eastAsia="Calibri" w:hAnsi="Verdana" w:cs="Arial"/>
          <w:color w:val="000000"/>
          <w:sz w:val="20"/>
          <w:szCs w:val="20"/>
          <w:lang w:eastAsia="es-ES"/>
        </w:rPr>
      </w:pPr>
      <w:r w:rsidRPr="008F5074">
        <w:rPr>
          <w:rFonts w:ascii="Verdana" w:eastAsia="Calibri" w:hAnsi="Verdana" w:cs="Arial"/>
          <w:color w:val="000000"/>
          <w:sz w:val="20"/>
          <w:szCs w:val="20"/>
          <w:lang w:eastAsia="es-ES"/>
        </w:rPr>
        <w:t>2. En caso afirmativo, ¿cómo garantizar que los procesos con limitación a Mypime MUNICIPAL no VULNEREN los principios de PLURALIDAD DE OFERENTES, transparencia, selección objetiva e imparcialidad? […]”.</w:t>
      </w:r>
    </w:p>
    <w:p w14:paraId="13A0EE61" w14:textId="77777777" w:rsidR="008F5074" w:rsidRPr="00F71A6A" w:rsidRDefault="008F5074" w:rsidP="008F5074">
      <w:pPr>
        <w:pStyle w:val="Prrafodelista"/>
        <w:tabs>
          <w:tab w:val="left" w:pos="142"/>
          <w:tab w:val="left" w:pos="284"/>
        </w:tabs>
        <w:spacing w:after="0" w:line="240" w:lineRule="auto"/>
        <w:ind w:left="0"/>
        <w:jc w:val="both"/>
        <w:rPr>
          <w:rFonts w:ascii="Verdana" w:eastAsia="Century Gothic" w:hAnsi="Verdana" w:cs="Century Gothic"/>
          <w:b/>
          <w:bCs/>
        </w:rPr>
      </w:pPr>
    </w:p>
    <w:p w14:paraId="680E2ED0" w14:textId="582525D2" w:rsidR="00FC5D28" w:rsidRPr="00995CAD" w:rsidRDefault="00FC5D28" w:rsidP="00FC5D28">
      <w:pPr>
        <w:spacing w:after="120" w:line="276" w:lineRule="auto"/>
        <w:ind w:firstLine="709"/>
        <w:jc w:val="both"/>
        <w:rPr>
          <w:rFonts w:ascii="Verdana" w:eastAsia="Calibri" w:hAnsi="Verdana" w:cs="Arial"/>
          <w:color w:val="000000"/>
          <w:szCs w:val="24"/>
          <w:lang w:val="es-ES_tradnl" w:eastAsia="es-ES_tradnl"/>
        </w:rPr>
      </w:pPr>
      <w:r w:rsidRPr="00995CA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w:t>
      </w:r>
      <w:r w:rsidRPr="00995CAD">
        <w:rPr>
          <w:rFonts w:ascii="Verdana" w:eastAsia="Calibri" w:hAnsi="Verdana" w:cs="Arial"/>
          <w:color w:val="000000"/>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95CAD">
        <w:rPr>
          <w:rFonts w:ascii="Verdana" w:eastAsia="Calibri" w:hAnsi="Verdana" w:cs="Arial"/>
          <w:color w:val="000000"/>
          <w:szCs w:val="24"/>
          <w:lang w:val="es-ES_tradnl" w:eastAsia="es-ES_tradnl"/>
        </w:rPr>
        <w:tab/>
      </w:r>
    </w:p>
    <w:p w14:paraId="0326C4EC" w14:textId="77777777" w:rsidR="00FC5D28" w:rsidRPr="00995CAD" w:rsidRDefault="00FC5D28" w:rsidP="00FC5D28">
      <w:pPr>
        <w:spacing w:after="0" w:line="276" w:lineRule="auto"/>
        <w:ind w:firstLine="709"/>
        <w:jc w:val="both"/>
        <w:rPr>
          <w:rFonts w:ascii="Verdana" w:eastAsia="Calibri" w:hAnsi="Verdana" w:cs="Arial"/>
          <w:color w:val="000000"/>
          <w:lang w:val="es-ES" w:eastAsia="es-ES"/>
        </w:rPr>
      </w:pPr>
      <w:r w:rsidRPr="00995CAD">
        <w:rPr>
          <w:rFonts w:ascii="Verdana" w:eastAsia="Calibri" w:hAnsi="Verdana" w:cs="Arial"/>
          <w:color w:val="000000"/>
          <w:lang w:val="es-ES" w:eastAsia="es-ES"/>
        </w:rPr>
        <w:t xml:space="preserve">Conforme lo expuesto, en aras de garantizar el derecho fundamental de petición, se resolverá su petición dentro de los límites de la referida competencia consultiva, esto es, haciendo </w:t>
      </w:r>
      <w:r>
        <w:rPr>
          <w:rFonts w:ascii="Verdana" w:eastAsia="Calibri" w:hAnsi="Verdana" w:cs="Arial"/>
          <w:color w:val="000000"/>
          <w:lang w:val="es-ES" w:eastAsia="es-ES"/>
        </w:rPr>
        <w:t>abstracción del caso particular y concreto señalado en su petición, pero señalando</w:t>
      </w:r>
      <w:r w:rsidRPr="00995CAD">
        <w:rPr>
          <w:rFonts w:ascii="Verdana" w:eastAsia="Calibri" w:hAnsi="Verdana" w:cs="Arial"/>
          <w:color w:val="000000"/>
          <w:lang w:val="es-ES" w:eastAsia="es-ES"/>
        </w:rPr>
        <w:t xml:space="preserve"> </w:t>
      </w:r>
      <w:r>
        <w:rPr>
          <w:rFonts w:ascii="Verdana" w:eastAsia="Calibri" w:hAnsi="Verdana" w:cs="Arial"/>
          <w:color w:val="000000"/>
          <w:lang w:val="es-ES" w:eastAsia="es-ES"/>
        </w:rPr>
        <w:t>alg</w:t>
      </w:r>
      <w:r w:rsidRPr="00995CAD">
        <w:rPr>
          <w:rFonts w:ascii="Verdana" w:eastAsia="Calibri" w:hAnsi="Verdana" w:cs="Arial"/>
          <w:color w:val="000000"/>
          <w:lang w:val="es-ES" w:eastAsia="es-ES"/>
        </w:rPr>
        <w:t>unas consideraciones sobre las normas generales relacionadas con el</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problema</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jurídico</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 xml:space="preserve">de su consulta.  </w:t>
      </w:r>
    </w:p>
    <w:p w14:paraId="015D3FAB" w14:textId="77777777" w:rsidR="00FC5D28" w:rsidRPr="00F71A6A" w:rsidRDefault="00FC5D28" w:rsidP="00FC5D28">
      <w:pPr>
        <w:spacing w:after="0" w:line="276" w:lineRule="auto"/>
        <w:ind w:firstLine="709"/>
        <w:jc w:val="both"/>
        <w:rPr>
          <w:rFonts w:ascii="Verdana" w:eastAsia="Calibri" w:hAnsi="Verdana" w:cs="Arial"/>
          <w:color w:val="000000"/>
          <w:lang w:val="es-ES" w:eastAsia="es-ES"/>
        </w:rPr>
      </w:pPr>
    </w:p>
    <w:p w14:paraId="716043DC" w14:textId="77777777" w:rsidR="00FC5D28" w:rsidRPr="00F71A6A" w:rsidRDefault="00FC5D28" w:rsidP="003B656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71A6A">
        <w:rPr>
          <w:rFonts w:ascii="Verdana" w:eastAsia="Century Gothic" w:hAnsi="Verdana" w:cs="Century Gothic"/>
          <w:b/>
          <w:bCs/>
        </w:rPr>
        <w:t>Problema planteado:</w:t>
      </w:r>
    </w:p>
    <w:p w14:paraId="15183D5D" w14:textId="77777777" w:rsidR="00FC5D28" w:rsidRPr="00F71A6A" w:rsidRDefault="00FC5D28" w:rsidP="00FC5D28">
      <w:pPr>
        <w:tabs>
          <w:tab w:val="left" w:pos="426"/>
        </w:tabs>
        <w:spacing w:after="0" w:line="276" w:lineRule="auto"/>
        <w:jc w:val="both"/>
        <w:rPr>
          <w:rFonts w:ascii="Verdana" w:eastAsia="Century Gothic" w:hAnsi="Verdana" w:cs="Century Gothic"/>
          <w:lang w:val="es-ES"/>
        </w:rPr>
      </w:pPr>
    </w:p>
    <w:p w14:paraId="5DF6D58D" w14:textId="3C4EA7B4" w:rsidR="00FC5D28" w:rsidRDefault="00FC5D28" w:rsidP="00203290">
      <w:pPr>
        <w:spacing w:after="0" w:line="276" w:lineRule="auto"/>
        <w:jc w:val="both"/>
        <w:rPr>
          <w:rFonts w:ascii="Verdana" w:eastAsia="Century Gothic" w:hAnsi="Verdana" w:cs="Century Gothic"/>
        </w:rPr>
      </w:pPr>
      <w:r w:rsidRPr="00F71A6A">
        <w:rPr>
          <w:rFonts w:ascii="Verdana" w:eastAsia="Century Gothic" w:hAnsi="Verdana" w:cs="Century Gothic"/>
        </w:rPr>
        <w:t xml:space="preserve">De acuerdo con el contenido de su solicitud, esta Agencia </w:t>
      </w:r>
      <w:r>
        <w:rPr>
          <w:rFonts w:ascii="Verdana" w:eastAsia="Century Gothic" w:hAnsi="Verdana" w:cs="Century Gothic"/>
        </w:rPr>
        <w:t xml:space="preserve">resolverá el siguiente problema jurídico: </w:t>
      </w:r>
      <w:r w:rsidR="00203290" w:rsidRPr="00203290">
        <w:rPr>
          <w:rFonts w:ascii="Verdana" w:eastAsia="Century Gothic" w:hAnsi="Verdana" w:cs="Century Gothic"/>
        </w:rPr>
        <w:t>i) ¿Cuándo aplica la limitación MiPymes a nivel territorial</w:t>
      </w:r>
      <w:r w:rsidR="00203290">
        <w:rPr>
          <w:rFonts w:ascii="Verdana" w:eastAsia="Century Gothic" w:hAnsi="Verdana" w:cs="Century Gothic"/>
        </w:rPr>
        <w:t xml:space="preserve"> en un proceso de selección</w:t>
      </w:r>
      <w:r w:rsidR="00203290" w:rsidRPr="00203290">
        <w:rPr>
          <w:rFonts w:ascii="Verdana" w:eastAsia="Century Gothic" w:hAnsi="Verdana" w:cs="Century Gothic"/>
        </w:rPr>
        <w:t>?</w:t>
      </w:r>
    </w:p>
    <w:p w14:paraId="616B67F9" w14:textId="77777777" w:rsidR="00FC5D28" w:rsidRDefault="00FC5D28" w:rsidP="005A75AB">
      <w:pPr>
        <w:spacing w:after="0" w:line="276" w:lineRule="auto"/>
        <w:jc w:val="both"/>
        <w:rPr>
          <w:rFonts w:ascii="Verdana" w:eastAsia="Century Gothic" w:hAnsi="Verdana" w:cs="Century Gothic"/>
          <w:b/>
          <w:bCs/>
        </w:rPr>
      </w:pPr>
    </w:p>
    <w:p w14:paraId="7080AEEB" w14:textId="77777777" w:rsidR="00FC5D28" w:rsidRDefault="00FC5D28" w:rsidP="005A75A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C1BDA">
        <w:rPr>
          <w:rFonts w:ascii="Verdana" w:eastAsia="Century Gothic" w:hAnsi="Verdana" w:cs="Century Gothic"/>
          <w:b/>
          <w:bCs/>
        </w:rPr>
        <w:t>Respuesta:</w:t>
      </w:r>
    </w:p>
    <w:p w14:paraId="13C36A0E" w14:textId="77777777" w:rsidR="00FC5D28" w:rsidRPr="00F71A6A" w:rsidRDefault="00FC5D28" w:rsidP="00FC5D2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Look w:val="04A0" w:firstRow="1" w:lastRow="0" w:firstColumn="1" w:lastColumn="0" w:noHBand="0" w:noVBand="1"/>
      </w:tblPr>
      <w:tblGrid>
        <w:gridCol w:w="8828"/>
      </w:tblGrid>
      <w:tr w:rsidR="00FC5D28" w:rsidRPr="00F71A6A" w14:paraId="02EAAB6F" w14:textId="77777777" w:rsidTr="00A82F73">
        <w:tc>
          <w:tcPr>
            <w:tcW w:w="8828" w:type="dxa"/>
            <w:shd w:val="clear" w:color="auto" w:fill="auto"/>
          </w:tcPr>
          <w:p w14:paraId="00B572A6" w14:textId="3530754C" w:rsidR="009C762D" w:rsidRDefault="007E70BD" w:rsidP="005A75AB">
            <w:pPr>
              <w:spacing w:before="120" w:after="120" w:line="276" w:lineRule="auto"/>
              <w:jc w:val="both"/>
              <w:rPr>
                <w:rFonts w:ascii="Verdana" w:eastAsia="Arial" w:hAnsi="Verdana" w:cs="Arial"/>
                <w:color w:val="000000"/>
              </w:rPr>
            </w:pPr>
            <w:r>
              <w:rPr>
                <w:rFonts w:ascii="Verdana" w:eastAsia="Arial" w:hAnsi="Verdana" w:cs="Arial"/>
                <w:color w:val="000000"/>
              </w:rPr>
              <w:t>E</w:t>
            </w:r>
            <w:r w:rsidR="0076212D" w:rsidRPr="00C940A9">
              <w:rPr>
                <w:rFonts w:ascii="Verdana" w:eastAsia="Arial" w:hAnsi="Verdana" w:cs="Arial"/>
                <w:color w:val="000000"/>
              </w:rPr>
              <w:t>l artículo 2.2.1.2.4.2.2. del Decreto 1082 de 2015 –modificado por el Decreto 1860 de 2021– establece los requisitos que se deben acreditar en las “convocatorias limitadas a Mipymes”.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Mipyme colombianas con mínimo un (1) año de existencia, siempre que se cumplan los requisitos señalados allí</w:t>
            </w:r>
            <w:r w:rsidR="0076212D">
              <w:rPr>
                <w:rFonts w:ascii="Verdana" w:eastAsia="Arial" w:hAnsi="Verdana" w:cs="Arial"/>
                <w:color w:val="000000"/>
              </w:rPr>
              <w:t>.</w:t>
            </w:r>
          </w:p>
          <w:p w14:paraId="3FF227EF" w14:textId="20877D1E" w:rsidR="005B39C9" w:rsidRPr="005B1F06" w:rsidRDefault="005B39C9" w:rsidP="005B39C9">
            <w:pPr>
              <w:spacing w:after="120" w:line="276" w:lineRule="auto"/>
              <w:ind w:firstLine="708"/>
              <w:jc w:val="both"/>
              <w:rPr>
                <w:rFonts w:ascii="Verdana" w:eastAsia="Calibri" w:hAnsi="Verdana" w:cs="Arial"/>
                <w:lang w:val="es-ES"/>
              </w:rPr>
            </w:pPr>
            <w:r w:rsidRPr="706726C8">
              <w:rPr>
                <w:rFonts w:ascii="Verdana" w:eastAsia="Calibri" w:hAnsi="Verdana" w:cs="Arial"/>
                <w:lang w:val="es-ES"/>
              </w:rPr>
              <w:t xml:space="preserve">En relación con las limitaciones territoriales </w:t>
            </w:r>
            <w:r w:rsidRPr="706726C8">
              <w:rPr>
                <w:rFonts w:ascii="Verdana" w:hAnsi="Verdana" w:cs="Arial"/>
                <w:lang w:val="es-ES"/>
              </w:rPr>
              <w:t xml:space="preserve">de las convocatorias a </w:t>
            </w:r>
            <w:r w:rsidR="00A3339C" w:rsidRPr="706726C8">
              <w:rPr>
                <w:rFonts w:ascii="Verdana" w:hAnsi="Verdana" w:cs="Arial"/>
                <w:lang w:val="es-ES"/>
              </w:rPr>
              <w:t>Mipymes</w:t>
            </w:r>
            <w:r w:rsidRPr="706726C8">
              <w:rPr>
                <w:rFonts w:ascii="Verdana" w:eastAsia="Calibri" w:hAnsi="Verdana" w:cs="Arial"/>
                <w:lang w:val="es-ES"/>
              </w:rPr>
              <w:t xml:space="preserve"> el texto del actual artículo 2.2.1.2.4.2.3, modificado por el artículo 5 del Decreto 1860 de 2021</w:t>
            </w:r>
            <w:r w:rsidR="00A3339C" w:rsidRPr="706726C8">
              <w:rPr>
                <w:rFonts w:ascii="Verdana" w:eastAsia="Calibri" w:hAnsi="Verdana" w:cs="Arial"/>
                <w:lang w:val="es-ES"/>
              </w:rPr>
              <w:t>,</w:t>
            </w:r>
            <w:r w:rsidRPr="706726C8">
              <w:rPr>
                <w:rFonts w:ascii="Verdana" w:eastAsia="Calibri" w:hAnsi="Verdana" w:cs="Arial"/>
                <w:lang w:val="es-ES"/>
              </w:rPr>
              <w:t xml:space="preserve"> determina que toda empresa constituida bajo las leyes colombianas o que tenga su domicilio principal en el territorio colombiano </w:t>
            </w:r>
            <w:r w:rsidRPr="706726C8">
              <w:rPr>
                <w:rFonts w:ascii="Verdana" w:eastAsia="Calibri" w:hAnsi="Verdana" w:cs="Arial"/>
                <w:lang w:val="es-ES"/>
              </w:rPr>
              <w:lastRenderedPageBreak/>
              <w:t xml:space="preserve">y, además, cumpla los criterios previstos por la Ley 590 de 2000 y el Decreto 957 de 2019, será considerada MiPymes del orden nacional. Otra cosa es que las normas de contratación permitan que las MiPymes nacionales con “domicilio” en un municipio o departamento, puedan beneficiarse en la ejecución de un contrato dentro de la entidad territorial en la que tienen su “domicilio”. De todos modos, las MiPymes domiciliadas en un municipio o departamento son MiPymes nacionales. En consecuencia, no es procedente distinguir entre MiPymes nacionales y MiPymes municipales o departamentales, habida cuenta que estas últimas no existen como categoría dentro del ordenamiento normativo. </w:t>
            </w:r>
          </w:p>
          <w:p w14:paraId="3394106B" w14:textId="1918353B" w:rsidR="00690D7C" w:rsidRDefault="00690D7C" w:rsidP="00690D7C">
            <w:pPr>
              <w:spacing w:after="120" w:line="276" w:lineRule="auto"/>
              <w:ind w:firstLine="709"/>
              <w:jc w:val="both"/>
              <w:rPr>
                <w:rFonts w:ascii="Verdana" w:eastAsia="Arial" w:hAnsi="Verdana" w:cs="Arial"/>
                <w:color w:val="000000"/>
                <w:lang w:val="es-ES"/>
              </w:rPr>
            </w:pPr>
            <w:r w:rsidRPr="706726C8">
              <w:rPr>
                <w:rFonts w:ascii="Verdana" w:eastAsia="Arial" w:hAnsi="Verdana" w:cs="Arial"/>
                <w:color w:val="000000" w:themeColor="text1"/>
                <w:lang w:val="es-ES"/>
              </w:rPr>
              <w:t xml:space="preserve">Sin perjuicio de lo anterior, no puede perderse de vista que la decisión de limitar “a MiPymes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w:t>
            </w:r>
            <w:r w:rsidR="00191ACC" w:rsidRPr="706726C8">
              <w:rPr>
                <w:rFonts w:ascii="Verdana" w:eastAsia="Arial" w:hAnsi="Verdana" w:cs="Arial"/>
                <w:color w:val="000000" w:themeColor="text1"/>
                <w:lang w:val="es-ES"/>
              </w:rPr>
              <w:t>Mipymes</w:t>
            </w:r>
            <w:r w:rsidRPr="706726C8">
              <w:rPr>
                <w:rFonts w:ascii="Verdana" w:eastAsia="Arial" w:hAnsi="Verdana" w:cs="Arial"/>
                <w:color w:val="000000" w:themeColor="text1"/>
                <w:lang w:val="es-ES"/>
              </w:rPr>
              <w:t xml:space="preserve">, no puede </w:t>
            </w:r>
            <w:r w:rsidRPr="706726C8">
              <w:rPr>
                <w:rFonts w:ascii="Verdana" w:eastAsia="Arial" w:hAnsi="Verdana" w:cs="Arial"/>
                <w:i/>
                <w:color w:val="000000" w:themeColor="text1"/>
                <w:lang w:val="es-ES"/>
              </w:rPr>
              <w:t xml:space="preserve">motu proprio </w:t>
            </w:r>
            <w:r w:rsidRPr="706726C8">
              <w:rPr>
                <w:rFonts w:ascii="Verdana" w:eastAsia="Arial" w:hAnsi="Verdana" w:cs="Arial"/>
                <w:color w:val="000000" w:themeColor="text1"/>
                <w:lang w:val="es-ES"/>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32A114CE" w14:textId="4664B779" w:rsidR="0097651F" w:rsidRPr="0097651F" w:rsidRDefault="0097651F" w:rsidP="0097651F">
            <w:pPr>
              <w:spacing w:after="120" w:line="276" w:lineRule="auto"/>
              <w:ind w:firstLine="709"/>
              <w:jc w:val="both"/>
              <w:rPr>
                <w:rFonts w:ascii="Verdana" w:eastAsia="Calibri" w:hAnsi="Verdana" w:cs="Arial"/>
                <w:color w:val="000000" w:themeColor="text1"/>
              </w:rPr>
            </w:pPr>
            <w:r w:rsidRPr="005B1F06">
              <w:rPr>
                <w:rFonts w:ascii="Verdana" w:hAnsi="Verdana" w:cs="Arial"/>
                <w:color w:val="000000" w:themeColor="text1"/>
              </w:rPr>
              <w:t>En tal sentido, s</w:t>
            </w:r>
            <w:r w:rsidRPr="005B1F06">
              <w:rPr>
                <w:rFonts w:ascii="Verdana" w:eastAsia="Calibri" w:hAnsi="Verdana" w:cs="Arial"/>
                <w:color w:val="000000" w:themeColor="text1"/>
              </w:rPr>
              <w:t>e debe tener presente que lo que sucede de pleno derecho es la</w:t>
            </w:r>
            <w:r w:rsidRPr="005B1F06">
              <w:rPr>
                <w:rFonts w:ascii="Verdana" w:hAnsi="Verdana" w:cs="Arial"/>
                <w:color w:val="000000" w:themeColor="text1"/>
              </w:rPr>
              <w:t xml:space="preserve"> limitación a MiPymes colombianas</w:t>
            </w:r>
            <w:r w:rsidRPr="005B1F06">
              <w:rPr>
                <w:rFonts w:ascii="Verdana" w:eastAsia="Calibri" w:hAnsi="Verdana" w:cs="Arial"/>
                <w:color w:val="000000" w:themeColor="text1"/>
              </w:rPr>
              <w:t xml:space="preserve"> a la que se refiere el artículo 2.2.1.2.4.2.2. del Decreto 1082 de 2015, pero no la “limitación territorial” referida en el artículo 2.2.1.2.4.2.3. </w:t>
            </w:r>
            <w:r w:rsidRPr="005B1F06">
              <w:rPr>
                <w:rFonts w:ascii="Verdana" w:eastAsia="Calibri" w:hAnsi="Verdana" w:cs="Arial"/>
                <w:i/>
                <w:iCs/>
                <w:color w:val="000000" w:themeColor="text1"/>
              </w:rPr>
              <w:t>ibídem</w:t>
            </w:r>
            <w:r w:rsidRPr="005B1F06">
              <w:rPr>
                <w:rFonts w:ascii="Verdana" w:eastAsia="Calibri" w:hAnsi="Verdana" w:cs="Arial"/>
                <w:color w:val="000000" w:themeColor="text1"/>
              </w:rPr>
              <w:t>, pues esta, como ya se dijo, es facultativa para la entidad. Las únicas exigencias son: i) que la convocatoria esté l</w:t>
            </w:r>
            <w:r w:rsidRPr="005B1F06">
              <w:rPr>
                <w:rFonts w:ascii="Verdana" w:hAnsi="Verdana" w:cs="Arial"/>
                <w:color w:val="000000" w:themeColor="text1"/>
              </w:rPr>
              <w:t xml:space="preserve">imitada a las </w:t>
            </w:r>
            <w:r w:rsidR="00C33ED7" w:rsidRPr="005B1F06">
              <w:rPr>
                <w:rFonts w:ascii="Verdana" w:hAnsi="Verdana" w:cs="Arial"/>
                <w:color w:val="000000" w:themeColor="text1"/>
              </w:rPr>
              <w:t>Mipymes</w:t>
            </w:r>
            <w:r w:rsidRPr="005B1F06">
              <w:rPr>
                <w:rFonts w:ascii="Verdana" w:hAnsi="Verdana" w:cs="Arial"/>
                <w:color w:val="000000" w:themeColor="text1"/>
              </w:rPr>
              <w:t xml:space="preserve"> colombianas</w:t>
            </w:r>
            <w:r w:rsidRPr="005B1F06">
              <w:rPr>
                <w:rFonts w:ascii="Verdana" w:eastAsia="Calibri" w:hAnsi="Verdana" w:cs="Arial"/>
                <w:color w:val="000000" w:themeColor="text1"/>
              </w:rPr>
              <w:t xml:space="preserve"> “domiciliadas en los departamentos o municipios en donde se va a ejecutar el contrato” y ii) que la entidad justifique su decisión en los “estudios del sector”. No es procedente, entonces, que sean las MiPymes las que soliciten la “limitación territorial” a la que se refiere el artículo 2.2.1.2.4.2.3. del Decreto 1082 de 2015. </w:t>
            </w:r>
          </w:p>
          <w:p w14:paraId="75399615" w14:textId="77777777" w:rsidR="00952E27" w:rsidRPr="00745883" w:rsidRDefault="00952E27" w:rsidP="00952E27">
            <w:pPr>
              <w:spacing w:after="120" w:line="276" w:lineRule="auto"/>
              <w:ind w:firstLine="709"/>
              <w:jc w:val="both"/>
              <w:rPr>
                <w:rFonts w:ascii="Verdana" w:eastAsia="Calibri" w:hAnsi="Verdana" w:cs="Arial"/>
                <w:lang w:val="es-ES"/>
              </w:rPr>
            </w:pPr>
            <w:r w:rsidRPr="00745883">
              <w:rPr>
                <w:rFonts w:ascii="Verdana" w:eastAsia="Calibri" w:hAnsi="Verdana" w:cs="Arial"/>
                <w:lang w:val="es-ES"/>
              </w:rPr>
              <w:t xml:space="preserve">Con todo, respecto del objeto de la consulta es preciso advertir que, el ejercicio de la facultad discrecional en orden de aplicar la limitación territorial en favor de las Mipymes con domicilio en un municipio </w:t>
            </w:r>
            <w:r>
              <w:rPr>
                <w:rFonts w:ascii="Verdana" w:eastAsia="Calibri" w:hAnsi="Verdana" w:cs="Arial"/>
                <w:lang w:val="es-ES"/>
              </w:rPr>
              <w:t xml:space="preserve">o </w:t>
            </w:r>
            <w:r w:rsidRPr="00745883">
              <w:rPr>
                <w:rFonts w:ascii="Verdana" w:eastAsia="Calibri" w:hAnsi="Verdana" w:cs="Arial"/>
                <w:lang w:val="es-ES"/>
              </w:rPr>
              <w:t xml:space="preserve">en un departamento específico debe hacerse dentro del marco de lo regulado por el artículo </w:t>
            </w:r>
            <w:r w:rsidRPr="00745883">
              <w:rPr>
                <w:rFonts w:ascii="Verdana" w:eastAsia="Calibri" w:hAnsi="Verdana" w:cs="Arial"/>
                <w:lang w:val="es-ES"/>
              </w:rPr>
              <w:lastRenderedPageBreak/>
              <w:t xml:space="preserve">2.2.1.2.4.2.3 </w:t>
            </w:r>
            <w:r w:rsidRPr="00745883">
              <w:rPr>
                <w:rFonts w:ascii="Verdana" w:eastAsia="Calibri" w:hAnsi="Verdana" w:cs="Arial"/>
                <w:i/>
                <w:iCs/>
                <w:lang w:val="es-ES"/>
              </w:rPr>
              <w:t>ejusdem</w:t>
            </w:r>
            <w:r w:rsidRPr="00745883">
              <w:rPr>
                <w:rFonts w:ascii="Verdana" w:eastAsia="Calibri" w:hAnsi="Verdana" w:cs="Arial"/>
                <w:lang w:val="es-ES"/>
              </w:rPr>
              <w:t xml:space="preserve">, el cual establece como presupuesto para que las Mipymes tengan su domicilio en el lugar en donde se va a ejecutar el contrato. Esto significa que, en el marco de estas convocatorias, la exigibilidad de que el domicilio de las Mipymes se ubique en un único municipio en particular o en alguno de los municipios que conforman un departamento en concreto, está ligada al ámbito territorial en el que se va a desarrollar el objeto contractual. </w:t>
            </w:r>
          </w:p>
          <w:p w14:paraId="3D3F96CB" w14:textId="77777777" w:rsidR="00952E27" w:rsidRPr="00745883" w:rsidRDefault="00952E27" w:rsidP="00952E27">
            <w:pPr>
              <w:spacing w:line="276" w:lineRule="auto"/>
              <w:ind w:firstLine="708"/>
              <w:jc w:val="both"/>
              <w:rPr>
                <w:rFonts w:ascii="Verdana" w:eastAsia="Calibri" w:hAnsi="Verdana" w:cs="Arial"/>
                <w:lang w:val="es-ES"/>
              </w:rPr>
            </w:pPr>
            <w:r w:rsidRPr="00745883">
              <w:rPr>
                <w:rFonts w:ascii="Verdana" w:eastAsia="Calibri" w:hAnsi="Verdana" w:cs="Arial"/>
                <w:lang w:val="es-ES"/>
              </w:rPr>
              <w:t xml:space="preserve">De este modo, en el caso de un contrato que se va a ejecutar en su totalidad dentro del territorio de un municipio, la limitación territorial debe aplicarse en favor de las Mipyme que tengan su domicilio principal en dicha entidad territorial. En atención al mismo criterio, en el caso de un contrato cuya ejecución trasciende el ámbito municipal, extendiéndose a los diferentes municipios del departamento, resultará valido que la entidad que realiza la convocatoria la limite a las empresas que tengan su domicilio principal en alguno de los diferentes municipios que conforman el respectivo departamento, bajo el presupuesto de que estos se encuentran ubicados dentro del ámbito territorial en donde deberá cumplirse con el objeto contractual.   </w:t>
            </w:r>
          </w:p>
          <w:p w14:paraId="4AC85827" w14:textId="78F7ACEE" w:rsidR="001D4D4B" w:rsidRPr="005A75AB" w:rsidRDefault="00952E27" w:rsidP="005A75AB">
            <w:pPr>
              <w:spacing w:before="120" w:line="276" w:lineRule="auto"/>
              <w:ind w:firstLine="709"/>
              <w:jc w:val="both"/>
              <w:rPr>
                <w:rFonts w:ascii="Verdana" w:eastAsia="Calibri" w:hAnsi="Verdana" w:cs="Arial"/>
                <w:lang w:eastAsia="es-MX"/>
              </w:rPr>
            </w:pPr>
            <w:r>
              <w:rPr>
                <w:rFonts w:ascii="Verdana" w:eastAsia="Calibri" w:hAnsi="Verdana" w:cs="Arial"/>
                <w:lang w:val="es-MX"/>
              </w:rPr>
              <w:t xml:space="preserve">Así las cosas, </w:t>
            </w:r>
            <w:r w:rsidRPr="00745883">
              <w:rPr>
                <w:rFonts w:ascii="Verdana" w:eastAsia="Calibri" w:hAnsi="Verdana" w:cs="Arial"/>
                <w:lang w:val="es-MX"/>
              </w:rPr>
              <w:t>e</w:t>
            </w:r>
            <w:r w:rsidRPr="00745883">
              <w:rPr>
                <w:rFonts w:ascii="Verdana" w:eastAsia="Calibri" w:hAnsi="Verdana" w:cs="Arial"/>
              </w:rPr>
              <w:t xml:space="preserve">sta Agencia considera que lo recomendable es que las entidades establezcan </w:t>
            </w:r>
            <w:r w:rsidRPr="00745883">
              <w:rPr>
                <w:rFonts w:ascii="Verdana" w:eastAsia="Calibri" w:hAnsi="Verdana" w:cs="Arial"/>
                <w:i/>
                <w:iCs/>
              </w:rPr>
              <w:t>ex ante</w:t>
            </w:r>
            <w:r w:rsidRPr="00745883">
              <w:rPr>
                <w:rFonts w:ascii="Verdana" w:eastAsia="Calibri" w:hAnsi="Verdana" w:cs="Arial"/>
              </w:rPr>
              <w:t xml:space="preserve"> las condiciones en las que, eventualmente, harían la </w:t>
            </w:r>
            <w:r>
              <w:rPr>
                <w:rFonts w:ascii="Verdana" w:eastAsia="Calibri" w:hAnsi="Verdana" w:cs="Arial"/>
              </w:rPr>
              <w:t>“</w:t>
            </w:r>
            <w:r w:rsidRPr="00745883">
              <w:rPr>
                <w:rFonts w:ascii="Verdana" w:eastAsia="Calibri" w:hAnsi="Verdana" w:cs="Arial"/>
              </w:rPr>
              <w:t>limitación territorial</w:t>
            </w:r>
            <w:r>
              <w:rPr>
                <w:rFonts w:ascii="Verdana" w:eastAsia="Calibri" w:hAnsi="Verdana" w:cs="Arial"/>
              </w:rPr>
              <w:t>”</w:t>
            </w:r>
            <w:r w:rsidRPr="00745883">
              <w:rPr>
                <w:rFonts w:ascii="Verdana" w:eastAsia="Calibri" w:hAnsi="Verdana" w:cs="Arial"/>
              </w:rPr>
              <w:t xml:space="preserve">. Para tales fines, en </w:t>
            </w:r>
            <w:r>
              <w:rPr>
                <w:rFonts w:ascii="Verdana" w:eastAsia="Calibri" w:hAnsi="Verdana" w:cs="Arial"/>
              </w:rPr>
              <w:t xml:space="preserve">los documentos del proceso </w:t>
            </w:r>
            <w:r w:rsidRPr="00745883">
              <w:rPr>
                <w:rFonts w:ascii="Verdana" w:eastAsia="Calibri" w:hAnsi="Verdana" w:cs="Arial"/>
              </w:rPr>
              <w:t xml:space="preserve">podrían establecer claramente los términos de dicha limitación, los supuestos que darían lugar a su aplicación y, sobre todo, la forma como procedería la entidad si decide optar por limitar territorialmente la convocatoria en que se cumplan los presupuestos para ser limitada a </w:t>
            </w:r>
            <w:r w:rsidRPr="00E56231">
              <w:rPr>
                <w:rFonts w:ascii="Verdana" w:eastAsia="Calibri" w:hAnsi="Verdana" w:cs="Arial"/>
              </w:rPr>
              <w:t>Mipymes</w:t>
            </w:r>
            <w:r w:rsidRPr="00745883">
              <w:rPr>
                <w:rFonts w:ascii="Verdana" w:eastAsia="Calibri" w:hAnsi="Verdana" w:cs="Arial"/>
              </w:rPr>
              <w:t>, por ejemplo, en relación con cuál o cuáles municipios o departamentos harían la limitación territorial de que trata el artículo 2.2.1.2.4.2.3. del Decreto 1082 de 2015.</w:t>
            </w:r>
          </w:p>
        </w:tc>
      </w:tr>
    </w:tbl>
    <w:p w14:paraId="7FBF7DF0" w14:textId="77777777" w:rsidR="00FC5D28" w:rsidRPr="00F71A6A" w:rsidRDefault="00FC5D28" w:rsidP="00FC5D28">
      <w:pPr>
        <w:tabs>
          <w:tab w:val="left" w:pos="142"/>
          <w:tab w:val="left" w:pos="284"/>
        </w:tabs>
        <w:spacing w:after="0" w:line="276" w:lineRule="auto"/>
        <w:jc w:val="both"/>
        <w:rPr>
          <w:rFonts w:ascii="Verdana" w:eastAsia="Century Gothic" w:hAnsi="Verdana" w:cs="Century Gothic"/>
          <w:b/>
          <w:bCs/>
          <w:lang w:val="es-ES"/>
        </w:rPr>
      </w:pPr>
    </w:p>
    <w:p w14:paraId="704F5E5E" w14:textId="77777777" w:rsidR="00FC5D28" w:rsidRPr="00F71A6A" w:rsidRDefault="00FC5D28" w:rsidP="00FC5D2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71A6A">
        <w:rPr>
          <w:rFonts w:ascii="Verdana" w:eastAsia="Century Gothic" w:hAnsi="Verdana" w:cs="Century Gothic"/>
          <w:b/>
          <w:bCs/>
        </w:rPr>
        <w:t>Razones de la respuesta:</w:t>
      </w:r>
    </w:p>
    <w:p w14:paraId="2FE42892" w14:textId="77777777" w:rsidR="00FC5D28" w:rsidRPr="00F71A6A" w:rsidRDefault="00FC5D28" w:rsidP="00FC5D28">
      <w:pPr>
        <w:spacing w:after="0" w:line="276" w:lineRule="auto"/>
        <w:jc w:val="both"/>
        <w:rPr>
          <w:rFonts w:ascii="Verdana" w:eastAsia="Calibri" w:hAnsi="Verdana" w:cs="Arial"/>
          <w:color w:val="7030A0"/>
          <w:lang w:val="es-ES"/>
        </w:rPr>
      </w:pPr>
    </w:p>
    <w:p w14:paraId="5EF53C95" w14:textId="77777777" w:rsidR="00FC5D28" w:rsidRDefault="00FC5D28" w:rsidP="00FC5D28">
      <w:pPr>
        <w:spacing w:after="0" w:line="276" w:lineRule="auto"/>
        <w:jc w:val="both"/>
        <w:rPr>
          <w:rFonts w:ascii="Verdana" w:eastAsia="Calibri" w:hAnsi="Verdana" w:cs="Arial"/>
          <w:lang w:val="es-ES"/>
        </w:rPr>
      </w:pPr>
      <w:r w:rsidRPr="00F71A6A">
        <w:rPr>
          <w:rFonts w:ascii="Verdana" w:eastAsia="Calibri" w:hAnsi="Verdana" w:cs="Arial"/>
          <w:lang w:val="es-ES"/>
        </w:rPr>
        <w:t xml:space="preserve">Lo anterior se sustenta en las siguientes consideraciones: </w:t>
      </w:r>
      <w:bookmarkStart w:id="1" w:name="_Hlk192104360"/>
    </w:p>
    <w:p w14:paraId="01220E47" w14:textId="77777777" w:rsidR="00FC5D28" w:rsidRDefault="00FC5D28" w:rsidP="00FC5D28">
      <w:pPr>
        <w:spacing w:after="0" w:line="276" w:lineRule="auto"/>
        <w:jc w:val="both"/>
        <w:rPr>
          <w:rFonts w:ascii="Verdana" w:eastAsia="Calibri" w:hAnsi="Verdana" w:cs="Arial"/>
          <w:lang w:val="es-ES"/>
        </w:rPr>
      </w:pPr>
    </w:p>
    <w:p w14:paraId="128A6DB9" w14:textId="77777777" w:rsidR="00FC5D28" w:rsidRPr="00C940A9" w:rsidRDefault="00FC5D28" w:rsidP="00FC5D28">
      <w:pPr>
        <w:shd w:val="clear" w:color="auto" w:fill="FFFFFF" w:themeFill="background1"/>
        <w:spacing w:after="120" w:line="276" w:lineRule="auto"/>
        <w:jc w:val="both"/>
        <w:textAlignment w:val="baseline"/>
        <w:rPr>
          <w:rFonts w:ascii="Verdana" w:eastAsia="Calibri" w:hAnsi="Verdana" w:cs="Arial"/>
          <w:color w:val="000000" w:themeColor="text1"/>
          <w:lang w:val="es-ES"/>
        </w:rPr>
      </w:pPr>
      <w:r w:rsidRPr="00C940A9">
        <w:rPr>
          <w:rFonts w:ascii="Verdana" w:eastAsia="Calibri" w:hAnsi="Verdana" w:cs="Arial"/>
          <w:color w:val="000000" w:themeColor="text1"/>
          <w:lang w:val="es-ES"/>
        </w:rPr>
        <w:t>El artículo 30 de la Ley 2069 de 2020 modificó el numeral 5 del artículo 2 de la Ley 1150 de 2007, el cual regula el proceso de contratación a través de la mínima cuantía. Esta es una modalidad de selección en virtud de la cual</w:t>
      </w:r>
      <w:r>
        <w:rPr>
          <w:rFonts w:ascii="Verdana" w:eastAsia="Calibri" w:hAnsi="Verdana" w:cs="Arial"/>
          <w:color w:val="000000" w:themeColor="text1"/>
          <w:lang w:val="es-ES"/>
        </w:rPr>
        <w:t>,</w:t>
      </w:r>
      <w:r w:rsidRPr="00C940A9">
        <w:rPr>
          <w:rFonts w:ascii="Verdana" w:eastAsia="Calibri" w:hAnsi="Verdana" w:cs="Arial"/>
          <w:color w:val="000000" w:themeColor="text1"/>
          <w:lang w:val="es-ES"/>
        </w:rPr>
        <w:t xml:space="preserve"> la entidad estatal realiza una convocatoria pública para recibir ofertas de bienes, </w:t>
      </w:r>
      <w:r w:rsidRPr="00C940A9">
        <w:rPr>
          <w:rFonts w:ascii="Verdana" w:eastAsia="Calibri" w:hAnsi="Verdana" w:cs="Arial"/>
          <w:color w:val="000000" w:themeColor="text1"/>
          <w:lang w:val="es-ES"/>
        </w:rPr>
        <w:lastRenderedPageBreak/>
        <w:t>obras o servicios cuyo valor no excede el diez por ciento (10%) de la menor cuantía. El factor determinante para llevar a cabo tal procedimiento es la cuantía –calculada como presupuesto oficial a partir del estudio del sector–, independientemente de su objeto</w:t>
      </w:r>
      <w:r w:rsidRPr="00C940A9">
        <w:rPr>
          <w:rFonts w:ascii="Verdana" w:eastAsia="Calibri" w:hAnsi="Verdana" w:cs="Arial"/>
          <w:color w:val="000000" w:themeColor="text1"/>
          <w:vertAlign w:val="superscript"/>
          <w:lang w:val="es-ES"/>
        </w:rPr>
        <w:footnoteReference w:id="2"/>
      </w:r>
      <w:r w:rsidRPr="00C940A9">
        <w:rPr>
          <w:rFonts w:ascii="Verdana" w:eastAsia="Calibri" w:hAnsi="Verdana" w:cs="Arial"/>
          <w:color w:val="000000" w:themeColor="text1"/>
          <w:lang w:val="es-ES"/>
        </w:rPr>
        <w:t xml:space="preserve">. </w:t>
      </w:r>
    </w:p>
    <w:p w14:paraId="63A000F6" w14:textId="77777777" w:rsidR="00FC5D28" w:rsidRPr="00C940A9" w:rsidRDefault="00FC5D28" w:rsidP="005A75AB">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r w:rsidRPr="00C940A9">
        <w:rPr>
          <w:rFonts w:ascii="Verdana" w:eastAsia="Calibri" w:hAnsi="Verdana" w:cs="Arial"/>
          <w:color w:val="000000" w:themeColor="text1"/>
          <w:lang w:val="es-ES"/>
        </w:rPr>
        <w:t>El parágrafo 1 del artículo 30 de la Ley 2069 de 2020 dispone que el reglamento que expedirá el Gobierno nacional tiene como objetivo definir: i) las “particularidades del procedimiento de selección” y ii) la posibilidad de realizar estas adquisiciones a MiPymes o establecimientos que correspondan a la definición de “gran almacén</w:t>
      </w:r>
      <w:r>
        <w:rPr>
          <w:rFonts w:ascii="Verdana" w:eastAsia="Calibri" w:hAnsi="Verdana" w:cs="Arial"/>
          <w:color w:val="000000" w:themeColor="text1"/>
          <w:lang w:val="es-ES"/>
        </w:rPr>
        <w:t>”</w:t>
      </w:r>
      <w:r w:rsidRPr="00C940A9">
        <w:rPr>
          <w:rFonts w:ascii="Verdana" w:eastAsia="Calibri" w:hAnsi="Verdana" w:cs="Arial"/>
          <w:color w:val="000000" w:themeColor="text1"/>
          <w:lang w:val="es-ES"/>
        </w:rPr>
        <w:t>.</w:t>
      </w:r>
    </w:p>
    <w:p w14:paraId="0C51CFE6" w14:textId="77777777" w:rsidR="00FC5D28" w:rsidRPr="00C940A9" w:rsidRDefault="00FC5D28" w:rsidP="00FC5D28">
      <w:pPr>
        <w:shd w:val="clear" w:color="auto" w:fill="FFFFFF" w:themeFill="background1"/>
        <w:spacing w:after="120" w:line="276" w:lineRule="auto"/>
        <w:ind w:firstLine="708"/>
        <w:jc w:val="both"/>
        <w:textAlignment w:val="baseline"/>
        <w:rPr>
          <w:rFonts w:ascii="Verdana" w:eastAsia="Calibri" w:hAnsi="Verdana" w:cs="Arial"/>
          <w:bCs/>
          <w:color w:val="000000" w:themeColor="text1"/>
        </w:rPr>
      </w:pPr>
      <w:r w:rsidRPr="00C940A9">
        <w:rPr>
          <w:rFonts w:ascii="Verdana" w:eastAsia="Calibri" w:hAnsi="Verdana" w:cs="Arial"/>
          <w:bCs/>
          <w:color w:val="000000" w:themeColor="text1"/>
          <w:lang w:val="es-ES_tradnl"/>
        </w:rPr>
        <w:t xml:space="preserve">Con fundamento en lo anterior, el Gobierno Nacional expidió el Decreto 1860 del 24 de diciembre de 2021, “Por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 El artículo 8 </w:t>
      </w:r>
      <w:r w:rsidRPr="00C940A9">
        <w:rPr>
          <w:rFonts w:ascii="Verdana" w:eastAsia="Calibri" w:hAnsi="Verdana" w:cs="Arial"/>
          <w:bCs/>
          <w:i/>
          <w:iCs/>
          <w:color w:val="000000" w:themeColor="text1"/>
          <w:lang w:val="es-ES_tradnl"/>
        </w:rPr>
        <w:t>ibidem</w:t>
      </w:r>
      <w:r w:rsidRPr="00C940A9">
        <w:rPr>
          <w:rFonts w:ascii="Verdana" w:eastAsia="Calibri" w:hAnsi="Verdana" w:cs="Arial"/>
          <w:bCs/>
          <w:color w:val="000000" w:themeColor="text1"/>
          <w:lang w:val="es-ES_tradnl"/>
        </w:rPr>
        <w:t xml:space="preserve"> sometió a un plazo la entrada en vigencia de sus disposiciones, al señalar que “aplicarán a los procedimientos de selección cuya invitación, aviso de convocatoria o documento equivalente se publique a los tres (3) meses contados a partir de su expedición”</w:t>
      </w:r>
      <w:r w:rsidRPr="00C940A9">
        <w:rPr>
          <w:rFonts w:ascii="Verdana" w:eastAsia="Calibri" w:hAnsi="Verdana" w:cs="Arial"/>
          <w:bCs/>
          <w:color w:val="000000" w:themeColor="text1"/>
          <w:vertAlign w:val="superscript"/>
          <w:lang w:val="es-ES_tradnl"/>
        </w:rPr>
        <w:footnoteReference w:id="3"/>
      </w:r>
      <w:r w:rsidRPr="00C940A9">
        <w:rPr>
          <w:rFonts w:ascii="Verdana" w:eastAsia="Calibri" w:hAnsi="Verdana" w:cs="Arial"/>
          <w:bCs/>
          <w:color w:val="000000" w:themeColor="text1"/>
        </w:rPr>
        <w:t xml:space="preserve">. </w:t>
      </w:r>
    </w:p>
    <w:p w14:paraId="3DE8BD28" w14:textId="77777777" w:rsidR="00082F86" w:rsidRDefault="00FC5D28" w:rsidP="00A44D96">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r w:rsidRPr="00C940A9">
        <w:rPr>
          <w:rFonts w:ascii="Verdana" w:eastAsia="Calibri" w:hAnsi="Verdana" w:cs="Arial"/>
          <w:color w:val="000000" w:themeColor="text1"/>
          <w:lang w:val="es-ES"/>
        </w:rPr>
        <w:t xml:space="preserve">Entre los aspectos reglamentados por el mencionado decreto se encuentra el procedimiento de mínima cuantía. Así las cosas, el artículo 2 modifica la Subsección 5 de la Sección 1 del Capítulo 2 del Título 1 de la Parte 2 del Libro 2 del Decreto 1082 de 2015, que se titula “mínima cuantía”, por lo que reglamenta esta modalidad de selección con fundamento en lo establecido en el artículo 30 de la Ley 2069 de 2020. Teniendo en cuenta lo anterior, la nueva Subsección 5 contiene los siguientes artículos: </w:t>
      </w:r>
    </w:p>
    <w:p w14:paraId="5F163080" w14:textId="4DCD22BD" w:rsidR="00082F86" w:rsidRDefault="00FC5D28" w:rsidP="00A44D96">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r w:rsidRPr="00C940A9">
        <w:rPr>
          <w:rFonts w:ascii="Verdana" w:eastAsia="Calibri" w:hAnsi="Verdana" w:cs="Arial"/>
          <w:color w:val="000000" w:themeColor="text1"/>
          <w:lang w:val="es-ES"/>
        </w:rPr>
        <w:t xml:space="preserve">i) </w:t>
      </w:r>
      <w:bookmarkStart w:id="3" w:name="_Hlk194041046"/>
      <w:r w:rsidR="00082F86">
        <w:rPr>
          <w:rFonts w:ascii="Verdana" w:eastAsia="Calibri" w:hAnsi="Verdana" w:cs="Arial"/>
          <w:color w:val="000000" w:themeColor="text1"/>
          <w:lang w:val="es-ES"/>
        </w:rPr>
        <w:t xml:space="preserve">El artículo </w:t>
      </w:r>
      <w:r w:rsidRPr="00C940A9">
        <w:rPr>
          <w:rFonts w:ascii="Verdana" w:eastAsia="Calibri" w:hAnsi="Verdana" w:cs="Arial"/>
          <w:color w:val="000000" w:themeColor="text1"/>
          <w:lang w:val="es-ES"/>
        </w:rPr>
        <w:t>2.2.1.2.1.5.1</w:t>
      </w:r>
      <w:bookmarkEnd w:id="3"/>
      <w:r w:rsidRPr="00C940A9">
        <w:rPr>
          <w:rFonts w:ascii="Verdana" w:eastAsia="Calibri" w:hAnsi="Verdana" w:cs="Arial"/>
          <w:color w:val="000000" w:themeColor="text1"/>
          <w:lang w:val="es-ES"/>
        </w:rPr>
        <w:t xml:space="preserve">. que se ocupa de desarrollar el contenido de los estudios previos para la contratación de mínima cuantía. </w:t>
      </w:r>
    </w:p>
    <w:p w14:paraId="008C8482" w14:textId="44825047" w:rsidR="00082F86" w:rsidRDefault="00FC5D28" w:rsidP="00A44D96">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r w:rsidRPr="00C940A9">
        <w:rPr>
          <w:rFonts w:ascii="Verdana" w:eastAsia="Calibri" w:hAnsi="Verdana" w:cs="Arial"/>
          <w:color w:val="000000" w:themeColor="text1"/>
          <w:lang w:val="es-ES"/>
        </w:rPr>
        <w:t xml:space="preserve">ii) </w:t>
      </w:r>
      <w:r w:rsidR="00082F86">
        <w:rPr>
          <w:rFonts w:ascii="Verdana" w:eastAsia="Calibri" w:hAnsi="Verdana" w:cs="Arial"/>
          <w:color w:val="000000" w:themeColor="text1"/>
          <w:lang w:val="es-ES"/>
        </w:rPr>
        <w:t>El</w:t>
      </w:r>
      <w:r w:rsidRPr="00C940A9">
        <w:rPr>
          <w:rFonts w:ascii="Verdana" w:eastAsia="Calibri" w:hAnsi="Verdana" w:cs="Arial"/>
          <w:color w:val="000000" w:themeColor="text1"/>
          <w:lang w:val="es-ES"/>
        </w:rPr>
        <w:t xml:space="preserve"> 2.2.1.2.1.5.2. que contiene el procedimiento general de la mínima cuantía, señalando el contenido mínimo de la “invitación” y las distintas etapas </w:t>
      </w:r>
      <w:r w:rsidRPr="00C940A9">
        <w:rPr>
          <w:rFonts w:ascii="Verdana" w:eastAsia="Calibri" w:hAnsi="Verdana" w:cs="Arial"/>
          <w:color w:val="000000" w:themeColor="text1"/>
          <w:lang w:val="es-ES"/>
        </w:rPr>
        <w:lastRenderedPageBreak/>
        <w:t xml:space="preserve">y reglas que estructuran esta modalidad de selección, incluyendo la forma en que procederán las convocatorias limitadas a MiPymes, de acuerdo con el mandato del parágrafo 1 del artículo 30 de la Ley 2069 de 2020. </w:t>
      </w:r>
    </w:p>
    <w:p w14:paraId="4D36EEB4" w14:textId="77777777" w:rsidR="001B1CD1" w:rsidRDefault="00FC5D28" w:rsidP="00A44D96">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r w:rsidRPr="00C940A9">
        <w:rPr>
          <w:rFonts w:ascii="Verdana" w:eastAsia="Calibri" w:hAnsi="Verdana" w:cs="Arial"/>
          <w:color w:val="000000" w:themeColor="text1"/>
          <w:lang w:val="es-ES"/>
        </w:rPr>
        <w:t xml:space="preserve">iii) </w:t>
      </w:r>
      <w:r w:rsidR="001B1CD1">
        <w:rPr>
          <w:rFonts w:ascii="Verdana" w:eastAsia="Calibri" w:hAnsi="Verdana" w:cs="Arial"/>
          <w:color w:val="000000" w:themeColor="text1"/>
          <w:lang w:val="es-ES"/>
        </w:rPr>
        <w:t>El</w:t>
      </w:r>
      <w:r w:rsidRPr="00C940A9">
        <w:rPr>
          <w:rFonts w:ascii="Verdana" w:eastAsia="Calibri" w:hAnsi="Verdana" w:cs="Arial"/>
          <w:color w:val="000000" w:themeColor="text1"/>
          <w:lang w:val="es-ES"/>
        </w:rPr>
        <w:t xml:space="preserve"> </w:t>
      </w:r>
      <w:bookmarkStart w:id="4" w:name="_Hlk194041070"/>
      <w:r w:rsidRPr="00C940A9">
        <w:rPr>
          <w:rFonts w:ascii="Verdana" w:eastAsia="Calibri" w:hAnsi="Verdana" w:cs="Arial"/>
          <w:color w:val="000000" w:themeColor="text1"/>
          <w:lang w:val="es-ES"/>
        </w:rPr>
        <w:t>2.2.1.2.1.5.3.</w:t>
      </w:r>
      <w:bookmarkEnd w:id="4"/>
      <w:r w:rsidRPr="00C940A9">
        <w:rPr>
          <w:rFonts w:ascii="Verdana" w:eastAsia="Calibri" w:hAnsi="Verdana" w:cs="Arial"/>
          <w:color w:val="000000" w:themeColor="text1"/>
          <w:lang w:val="es-ES"/>
        </w:rPr>
        <w:t xml:space="preserve"> que regula un procedimiento especial para las adquisiciones en grandes almacenes cuando se trate de mínima cuantía. </w:t>
      </w:r>
    </w:p>
    <w:p w14:paraId="23379B2A" w14:textId="43868F8B" w:rsidR="001B1CD1" w:rsidRDefault="00FC5D28" w:rsidP="00A44D96">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r w:rsidRPr="00C940A9">
        <w:rPr>
          <w:rFonts w:ascii="Verdana" w:eastAsia="Calibri" w:hAnsi="Verdana" w:cs="Arial"/>
          <w:color w:val="000000" w:themeColor="text1"/>
          <w:lang w:val="es-ES"/>
        </w:rPr>
        <w:t xml:space="preserve">iv) </w:t>
      </w:r>
      <w:r w:rsidR="001B1CD1">
        <w:rPr>
          <w:rFonts w:ascii="Verdana" w:eastAsia="Calibri" w:hAnsi="Verdana" w:cs="Arial"/>
          <w:color w:val="000000" w:themeColor="text1"/>
          <w:lang w:val="es-ES"/>
        </w:rPr>
        <w:t>El artículo</w:t>
      </w:r>
      <w:r w:rsidRPr="00C940A9">
        <w:rPr>
          <w:rFonts w:ascii="Verdana" w:eastAsia="Calibri" w:hAnsi="Verdana" w:cs="Arial"/>
          <w:color w:val="000000" w:themeColor="text1"/>
          <w:lang w:val="es-ES"/>
        </w:rPr>
        <w:t xml:space="preserve"> </w:t>
      </w:r>
      <w:bookmarkStart w:id="5" w:name="_Hlk194041078"/>
      <w:r w:rsidRPr="00C940A9">
        <w:rPr>
          <w:rFonts w:ascii="Verdana" w:eastAsia="Calibri" w:hAnsi="Verdana" w:cs="Arial"/>
          <w:color w:val="000000" w:themeColor="text1"/>
          <w:lang w:val="es-ES"/>
        </w:rPr>
        <w:t xml:space="preserve">2.2.1.2.1.5.4. </w:t>
      </w:r>
      <w:bookmarkEnd w:id="5"/>
      <w:r w:rsidRPr="00C940A9">
        <w:rPr>
          <w:rFonts w:ascii="Verdana" w:eastAsia="Calibri" w:hAnsi="Verdana" w:cs="Arial"/>
          <w:color w:val="000000" w:themeColor="text1"/>
          <w:lang w:val="es-ES"/>
        </w:rPr>
        <w:t>el cual establece la posibilidad de que</w:t>
      </w:r>
      <w:r w:rsidRPr="001D4AC1">
        <w:rPr>
          <w:rFonts w:ascii="Century Gothic" w:eastAsia="Calibri" w:hAnsi="Century Gothic" w:cs="Arial"/>
          <w:color w:val="000000" w:themeColor="text1"/>
          <w:lang w:val="es-ES"/>
        </w:rPr>
        <w:t xml:space="preserve"> </w:t>
      </w:r>
      <w:r w:rsidRPr="00C940A9">
        <w:rPr>
          <w:rFonts w:ascii="Verdana" w:eastAsia="Calibri" w:hAnsi="Verdana" w:cs="Arial"/>
          <w:color w:val="000000" w:themeColor="text1"/>
          <w:lang w:val="es-ES"/>
        </w:rPr>
        <w:t xml:space="preserve">la Agencia Nacional de Contratación Pública – Colombia Compra Eficiente defina las reglas para la utilización de instrumentos de agregación de demanda en la Tienda Virtual del Estado Colombiano para adquisiciones hasta el monto de la mínima cuantía con MiPymes y con grandes almacenes. </w:t>
      </w:r>
    </w:p>
    <w:p w14:paraId="39A1635A" w14:textId="37A7D256" w:rsidR="00FC5D28" w:rsidRPr="00C940A9" w:rsidRDefault="00FC5D28" w:rsidP="00FC5D28">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r w:rsidRPr="00C940A9">
        <w:rPr>
          <w:rFonts w:ascii="Verdana" w:eastAsia="Calibri" w:hAnsi="Verdana" w:cs="Arial"/>
          <w:color w:val="000000" w:themeColor="text1"/>
          <w:lang w:val="es-ES"/>
        </w:rPr>
        <w:t xml:space="preserve">v) </w:t>
      </w:r>
      <w:r w:rsidR="001B1CD1">
        <w:rPr>
          <w:rFonts w:ascii="Verdana" w:eastAsia="Calibri" w:hAnsi="Verdana" w:cs="Arial"/>
          <w:color w:val="000000" w:themeColor="text1"/>
          <w:lang w:val="es-ES"/>
        </w:rPr>
        <w:t xml:space="preserve">El artículo </w:t>
      </w:r>
      <w:r w:rsidRPr="00C940A9">
        <w:rPr>
          <w:rFonts w:ascii="Verdana" w:eastAsia="Calibri" w:hAnsi="Verdana" w:cs="Arial"/>
          <w:color w:val="000000" w:themeColor="text1"/>
          <w:lang w:val="es-ES"/>
        </w:rPr>
        <w:t>2.2.1.2.1.5.5. establece que la entidad estatal es libre de exigir o no garantías en el proceso de selección de mínima cuantía y en la adquisición de “grandes almacenes”.</w:t>
      </w:r>
    </w:p>
    <w:p w14:paraId="7F6D4164" w14:textId="77777777" w:rsidR="00FC5D28" w:rsidRPr="00C940A9" w:rsidRDefault="00FC5D28" w:rsidP="00FC5D28">
      <w:pPr>
        <w:spacing w:after="120" w:line="276" w:lineRule="auto"/>
        <w:ind w:firstLine="709"/>
        <w:jc w:val="both"/>
        <w:rPr>
          <w:rFonts w:ascii="Verdana" w:hAnsi="Verdana" w:cs="Arial"/>
          <w:bCs/>
          <w:lang w:eastAsia="es-ES"/>
        </w:rPr>
      </w:pPr>
      <w:r w:rsidRPr="00C940A9">
        <w:rPr>
          <w:rFonts w:ascii="Verdana" w:hAnsi="Verdana" w:cs="Arial"/>
          <w:bCs/>
          <w:lang w:val="es-ES_tradnl" w:eastAsia="es-ES"/>
        </w:rPr>
        <w:t xml:space="preserve">Ahora bien, el artículo 5 del Decreto 1860 de 2021 modificó </w:t>
      </w:r>
      <w:r w:rsidRPr="00C940A9">
        <w:rPr>
          <w:rFonts w:ascii="Verdana" w:hAnsi="Verdana" w:cs="Arial"/>
          <w:bCs/>
          <w:lang w:eastAsia="es-ES"/>
        </w:rPr>
        <w:t xml:space="preserve">los artículos </w:t>
      </w:r>
      <w:bookmarkStart w:id="6" w:name="_Hlk194041112"/>
      <w:r w:rsidRPr="00C940A9">
        <w:rPr>
          <w:rFonts w:ascii="Verdana" w:hAnsi="Verdana" w:cs="Arial"/>
          <w:bCs/>
          <w:lang w:eastAsia="es-ES"/>
        </w:rPr>
        <w:t>2.2.1.2.4.2.2., 2.2.1.2.4.2.3. y 2.2.1.2.4.2.4</w:t>
      </w:r>
      <w:bookmarkEnd w:id="6"/>
      <w:r w:rsidRPr="00C940A9">
        <w:rPr>
          <w:rFonts w:ascii="Verdana" w:hAnsi="Verdana" w:cs="Arial"/>
          <w:bCs/>
          <w:lang w:eastAsia="es-ES"/>
        </w:rPr>
        <w:t>. de la Subsección 2 de la Sección 4 del Capítulo 2 del Título 1 de la Parte 2 del Libro 2 del Decreto 1082 de 2015, reglamentando</w:t>
      </w:r>
      <w:r w:rsidRPr="00C940A9">
        <w:rPr>
          <w:rFonts w:ascii="Verdana" w:hAnsi="Verdana" w:cs="Arial"/>
          <w:bCs/>
          <w:lang w:val="es-ES_tradnl" w:eastAsia="es-ES"/>
        </w:rPr>
        <w:t xml:space="preserve"> las convocatorias limitadas a Mipyme, con fundamento en lo establecido en el artículo 34 de la Ley 2069 de 2020. Esta nueva Subsección 2 contempla los siguientes aspectos: i) requisitos para limitar la convocatoria de los </w:t>
      </w:r>
      <w:r w:rsidRPr="00C940A9">
        <w:rPr>
          <w:rFonts w:ascii="Verdana" w:hAnsi="Verdana" w:cs="Arial"/>
          <w:bCs/>
          <w:lang w:eastAsia="es-ES"/>
        </w:rPr>
        <w:t>procesos de contratación con pluralidad de oferentes</w:t>
      </w:r>
      <w:r w:rsidRPr="00C940A9">
        <w:rPr>
          <w:rFonts w:ascii="Verdana" w:hAnsi="Verdana" w:cs="Arial"/>
          <w:bCs/>
          <w:lang w:val="es-ES_tradnl" w:eastAsia="es-ES"/>
        </w:rPr>
        <w:t xml:space="preserve"> a las Mipyme colombianas con mínimo un (1) año de existencia – artículo </w:t>
      </w:r>
      <w:r w:rsidRPr="00C940A9">
        <w:rPr>
          <w:rFonts w:ascii="Verdana" w:hAnsi="Verdana" w:cs="Arial"/>
          <w:bCs/>
          <w:lang w:eastAsia="es-ES"/>
        </w:rPr>
        <w:t>2.2.1.2.4.2.2-</w:t>
      </w:r>
      <w:r w:rsidRPr="00C940A9">
        <w:rPr>
          <w:rFonts w:ascii="Verdana" w:hAnsi="Verdana" w:cs="Arial"/>
          <w:bCs/>
          <w:lang w:val="es-ES_tradnl" w:eastAsia="es-ES"/>
        </w:rPr>
        <w:t xml:space="preserve"> , ii) desarrolla las </w:t>
      </w:r>
      <w:r w:rsidRPr="00C940A9">
        <w:rPr>
          <w:rFonts w:ascii="Verdana" w:hAnsi="Verdana" w:cs="Arial"/>
          <w:bCs/>
          <w:lang w:eastAsia="es-ES"/>
        </w:rPr>
        <w:t>convocatorias limitadas a Mipyme colombianas que tengan domicilio en los departamentos o municipios en donde se va a ejecutar el contrato – artículo 2.2.1.2.4.2.3.,</w:t>
      </w:r>
      <w:r w:rsidRPr="00C940A9">
        <w:rPr>
          <w:rFonts w:ascii="Verdana" w:hAnsi="Verdana" w:cs="Arial"/>
          <w:bCs/>
          <w:lang w:val="es-ES_tradnl" w:eastAsia="es-ES"/>
        </w:rPr>
        <w:t xml:space="preserve"> y iii) </w:t>
      </w:r>
      <w:r w:rsidRPr="00C940A9">
        <w:rPr>
          <w:rFonts w:ascii="Verdana" w:hAnsi="Verdana" w:cs="Arial"/>
          <w:bCs/>
          <w:lang w:eastAsia="es-ES"/>
        </w:rPr>
        <w:t>regula la acreditación de requisitos para participar en convocatorias limitadas – artículo 2.2.1.2.4.2.4-</w:t>
      </w:r>
      <w:r>
        <w:rPr>
          <w:rFonts w:ascii="Verdana" w:hAnsi="Verdana" w:cs="Arial"/>
          <w:bCs/>
          <w:lang w:eastAsia="es-ES"/>
        </w:rPr>
        <w:t>.</w:t>
      </w:r>
    </w:p>
    <w:p w14:paraId="1D72A765" w14:textId="77777777" w:rsidR="00FC5D28" w:rsidRPr="00C940A9" w:rsidRDefault="00FC5D28" w:rsidP="00FC5D28">
      <w:pPr>
        <w:spacing w:after="120" w:line="276" w:lineRule="auto"/>
        <w:ind w:firstLine="709"/>
        <w:jc w:val="both"/>
        <w:rPr>
          <w:rFonts w:ascii="Verdana" w:hAnsi="Verdana" w:cs="Arial"/>
          <w:lang w:val="es-ES" w:eastAsia="es-ES"/>
        </w:rPr>
      </w:pPr>
      <w:r w:rsidRPr="00C940A9">
        <w:rPr>
          <w:rFonts w:ascii="Verdana" w:hAnsi="Verdana" w:cs="Arial"/>
          <w:lang w:val="es-ES" w:eastAsia="es-ES"/>
        </w:rPr>
        <w:t>De esta manera, el artículo 5 del Decreto 1860 de 2021, que modifica los artículos del Decreto 1082 de 2015 expuestos en el párrafo anterior, constituye la nueva reglamentación del artículo 34 de la Ley 2069 de 2020, al desarrollar las reglas aplicables a las convocatorias limitadas a Mipyme,</w:t>
      </w:r>
      <w:r w:rsidRPr="00C940A9">
        <w:rPr>
          <w:rFonts w:ascii="Verdana" w:eastAsia="Calibri" w:hAnsi="Verdana" w:cs="Arial"/>
          <w:lang w:val="es-ES"/>
        </w:rPr>
        <w:t xml:space="preserve"> </w:t>
      </w:r>
      <w:r w:rsidRPr="00C940A9">
        <w:rPr>
          <w:rFonts w:ascii="Verdana" w:hAnsi="Verdana" w:cs="Arial"/>
          <w:lang w:val="es-ES" w:eastAsia="es-ES"/>
        </w:rPr>
        <w:t xml:space="preserve">disposición que entró a regir desde el 24 de marzo de 2022, pues, como se indicó, </w:t>
      </w:r>
      <w:r w:rsidRPr="00C940A9">
        <w:rPr>
          <w:rFonts w:ascii="Verdana" w:eastAsia="Calibri" w:hAnsi="Verdana" w:cs="Arial"/>
          <w:lang w:val="es-ES"/>
        </w:rPr>
        <w:t>el artículo 8 de dicho decreto sometió su vigencia al transcurso del periodo de 3 meses siguientes a su expedición.</w:t>
      </w:r>
    </w:p>
    <w:p w14:paraId="528C9027" w14:textId="77777777" w:rsidR="00FC5D28" w:rsidRPr="00C940A9" w:rsidRDefault="00FC5D28" w:rsidP="005A75AB">
      <w:pPr>
        <w:spacing w:after="0" w:line="276" w:lineRule="auto"/>
        <w:ind w:firstLine="709"/>
        <w:jc w:val="both"/>
        <w:rPr>
          <w:rFonts w:ascii="Verdana" w:eastAsia="Arial" w:hAnsi="Verdana" w:cs="Arial"/>
          <w:color w:val="000000"/>
        </w:rPr>
      </w:pPr>
      <w:r w:rsidRPr="00C940A9">
        <w:rPr>
          <w:rFonts w:ascii="Verdana" w:eastAsia="Arial" w:hAnsi="Verdana" w:cs="Arial"/>
          <w:color w:val="000000"/>
        </w:rPr>
        <w:t xml:space="preserve">En este contexto, el artículo 2.2.1.2.4.2.2. del Decreto 1082 de 2015 –modificado por el Decreto 1860 de 2021– establece los requisitos que se deben acreditar en las “convocatorias limitadas a Mipymes”. El inciso primero de la </w:t>
      </w:r>
      <w:r w:rsidRPr="00C940A9">
        <w:rPr>
          <w:rFonts w:ascii="Verdana" w:eastAsia="Arial" w:hAnsi="Verdana" w:cs="Arial"/>
          <w:color w:val="000000"/>
        </w:rPr>
        <w:lastRenderedPageBreak/>
        <w:t xml:space="preserve">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Mipyme colombianas con mínimo un (1) año de existencia, siempre que se cumplan los requisitos señalados allí. Al respecto indica lo siguiente: </w:t>
      </w:r>
    </w:p>
    <w:p w14:paraId="3CF9B141" w14:textId="77777777" w:rsidR="00A44D96" w:rsidRDefault="00A44D96" w:rsidP="005A75AB">
      <w:pPr>
        <w:spacing w:after="0"/>
        <w:ind w:left="709" w:right="709"/>
        <w:jc w:val="both"/>
        <w:rPr>
          <w:rFonts w:ascii="Verdana" w:eastAsia="Calibri" w:hAnsi="Verdana" w:cs="Arial"/>
          <w:sz w:val="20"/>
          <w:szCs w:val="20"/>
          <w:lang w:val="es-ES"/>
        </w:rPr>
      </w:pPr>
    </w:p>
    <w:p w14:paraId="7583066D" w14:textId="44058DD3" w:rsidR="00FC5D28" w:rsidRPr="00C940A9" w:rsidRDefault="00885A39" w:rsidP="00885A39">
      <w:pPr>
        <w:spacing w:after="0" w:line="240" w:lineRule="auto"/>
        <w:ind w:left="709" w:right="709"/>
        <w:jc w:val="both"/>
        <w:rPr>
          <w:rFonts w:ascii="Verdana" w:eastAsia="Calibri" w:hAnsi="Verdana" w:cs="Arial"/>
          <w:sz w:val="20"/>
          <w:szCs w:val="20"/>
          <w:lang w:val="es-ES"/>
        </w:rPr>
      </w:pPr>
      <w:r>
        <w:rPr>
          <w:rFonts w:ascii="Verdana" w:eastAsia="Calibri" w:hAnsi="Verdana" w:cs="Arial"/>
          <w:sz w:val="20"/>
          <w:szCs w:val="20"/>
          <w:lang w:val="es-ES"/>
        </w:rPr>
        <w:t>“</w:t>
      </w:r>
      <w:r w:rsidR="00FC5D28" w:rsidRPr="00C940A9">
        <w:rPr>
          <w:rFonts w:ascii="Verdana" w:eastAsia="Calibri" w:hAnsi="Verdana" w:cs="Arial"/>
          <w:sz w:val="20"/>
          <w:szCs w:val="20"/>
          <w:lang w:val="es-ES"/>
        </w:rPr>
        <w:t xml:space="preserve">Artículo 2.2.1.2.4.2.2. Convocatorias Imitadas a Mipyme.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 </w:t>
      </w:r>
    </w:p>
    <w:p w14:paraId="66FB4731" w14:textId="77777777" w:rsidR="00885A39" w:rsidRPr="00C940A9" w:rsidRDefault="00885A39" w:rsidP="005A75AB">
      <w:pPr>
        <w:spacing w:after="0" w:line="240" w:lineRule="auto"/>
        <w:ind w:left="709" w:right="709"/>
        <w:jc w:val="both"/>
        <w:rPr>
          <w:rFonts w:ascii="Verdana" w:eastAsia="Calibri" w:hAnsi="Verdana" w:cs="Arial"/>
          <w:sz w:val="20"/>
          <w:szCs w:val="20"/>
          <w:lang w:val="es-ES"/>
        </w:rPr>
      </w:pPr>
    </w:p>
    <w:p w14:paraId="3E9A70C5" w14:textId="77777777" w:rsidR="00FC5D28" w:rsidRPr="00C940A9" w:rsidRDefault="00FC5D28" w:rsidP="005A75AB">
      <w:pPr>
        <w:spacing w:after="0" w:line="240" w:lineRule="auto"/>
        <w:ind w:left="709" w:right="709"/>
        <w:jc w:val="both"/>
        <w:rPr>
          <w:rFonts w:ascii="Verdana" w:eastAsia="Calibri" w:hAnsi="Verdana" w:cs="Arial"/>
          <w:sz w:val="20"/>
          <w:szCs w:val="20"/>
          <w:lang w:val="es-ES_tradnl"/>
        </w:rPr>
      </w:pPr>
      <w:r w:rsidRPr="00C940A9">
        <w:rPr>
          <w:rFonts w:ascii="Verdana" w:eastAsia="Calibri" w:hAnsi="Verdana" w:cs="Arial"/>
          <w:sz w:val="20"/>
          <w:szCs w:val="20"/>
          <w:lang w:val="es-ES_tradnl"/>
        </w:rPr>
        <w:t>1. El valor del Proceso de Contratación sea menor a ciento veinticinco mil dólares de los Estados Unidos de América (US$125.000), liquidados con la tasa de cambio que para el efecto determina cada dos años el Ministerio de Comercio, Industria y Turismo.</w:t>
      </w:r>
    </w:p>
    <w:p w14:paraId="04DBA5C6" w14:textId="77777777" w:rsidR="00885A39" w:rsidRDefault="00885A39" w:rsidP="00885A39">
      <w:pPr>
        <w:spacing w:after="0" w:line="240" w:lineRule="auto"/>
        <w:ind w:left="709" w:right="709"/>
        <w:jc w:val="both"/>
        <w:rPr>
          <w:rFonts w:ascii="Verdana" w:eastAsia="Calibri" w:hAnsi="Verdana" w:cs="Arial"/>
          <w:sz w:val="20"/>
          <w:szCs w:val="20"/>
          <w:lang w:val="es-ES"/>
        </w:rPr>
      </w:pPr>
    </w:p>
    <w:p w14:paraId="45E50211" w14:textId="7AFADC20" w:rsidR="00FC5D28" w:rsidRPr="00C940A9" w:rsidRDefault="00FC5D28" w:rsidP="00885A39">
      <w:pPr>
        <w:spacing w:after="0" w:line="240" w:lineRule="auto"/>
        <w:ind w:left="709" w:right="709"/>
        <w:jc w:val="both"/>
        <w:rPr>
          <w:rFonts w:ascii="Verdana" w:eastAsia="Calibri" w:hAnsi="Verdana" w:cs="Arial"/>
          <w:sz w:val="20"/>
          <w:szCs w:val="20"/>
          <w:lang w:val="es-ES"/>
        </w:rPr>
      </w:pPr>
      <w:r w:rsidRPr="00C940A9">
        <w:rPr>
          <w:rFonts w:ascii="Verdana" w:eastAsia="Calibri" w:hAnsi="Verdana" w:cs="Arial"/>
          <w:sz w:val="20"/>
          <w:szCs w:val="20"/>
          <w:lang w:val="es-ES"/>
        </w:rPr>
        <w:t>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Mipyme, cuyo objeto social les permita ejecutar el contrato relacionado con el proceso contractual.</w:t>
      </w:r>
    </w:p>
    <w:p w14:paraId="6B9E19D3" w14:textId="77777777" w:rsidR="00885A39" w:rsidRPr="00C940A9" w:rsidRDefault="00885A39" w:rsidP="005A75AB">
      <w:pPr>
        <w:spacing w:after="0" w:line="240" w:lineRule="auto"/>
        <w:ind w:left="709" w:right="709"/>
        <w:jc w:val="both"/>
        <w:rPr>
          <w:rFonts w:ascii="Verdana" w:eastAsia="Calibri" w:hAnsi="Verdana" w:cs="Arial"/>
          <w:sz w:val="20"/>
          <w:szCs w:val="20"/>
          <w:lang w:val="es-ES"/>
        </w:rPr>
      </w:pPr>
    </w:p>
    <w:p w14:paraId="7D8D3178" w14:textId="55881E8C" w:rsidR="00FC5D28" w:rsidRPr="00C940A9" w:rsidRDefault="00FC5D28" w:rsidP="005A75AB">
      <w:pPr>
        <w:spacing w:after="0" w:line="240" w:lineRule="auto"/>
        <w:ind w:left="709" w:right="709"/>
        <w:jc w:val="both"/>
        <w:rPr>
          <w:rFonts w:ascii="Verdana" w:eastAsia="Calibri" w:hAnsi="Verdana" w:cs="Arial"/>
          <w:sz w:val="20"/>
          <w:szCs w:val="20"/>
          <w:lang w:val="es-ES"/>
        </w:rPr>
      </w:pPr>
      <w:r w:rsidRPr="00C940A9">
        <w:rPr>
          <w:rFonts w:ascii="Verdana" w:eastAsia="Calibri" w:hAnsi="Verdana" w:cs="Arial"/>
          <w:sz w:val="20"/>
          <w:szCs w:val="20"/>
          <w:lang w:val="es-ES"/>
        </w:rPr>
        <w:t>Parágrafo. Las cooperativas y demás entidades de economía solidaria, siempre que tengan la calidad de Mipyme, podrán solicitar y participar en las convocatorias limitadas en las mismas condiciones dispuestas en el presente artículo</w:t>
      </w:r>
      <w:r w:rsidR="00885A39">
        <w:rPr>
          <w:rFonts w:ascii="Verdana" w:eastAsia="Calibri" w:hAnsi="Verdana" w:cs="Arial"/>
          <w:sz w:val="20"/>
          <w:szCs w:val="20"/>
          <w:lang w:val="es-ES"/>
        </w:rPr>
        <w:t>”</w:t>
      </w:r>
      <w:r w:rsidRPr="00C940A9">
        <w:rPr>
          <w:rFonts w:ascii="Verdana" w:eastAsia="Calibri" w:hAnsi="Verdana" w:cs="Arial"/>
          <w:sz w:val="20"/>
          <w:szCs w:val="20"/>
          <w:lang w:val="es-ES"/>
        </w:rPr>
        <w:t>.</w:t>
      </w:r>
    </w:p>
    <w:p w14:paraId="2CAFCCFE" w14:textId="77777777" w:rsidR="00FC5D28" w:rsidRPr="001D4AC1" w:rsidRDefault="00FC5D28" w:rsidP="00FC5D28">
      <w:pPr>
        <w:spacing w:after="0"/>
        <w:ind w:left="709" w:right="709"/>
        <w:jc w:val="both"/>
        <w:rPr>
          <w:rFonts w:ascii="Century Gothic" w:eastAsia="Arial" w:hAnsi="Century Gothic" w:cs="Arial"/>
          <w:color w:val="000000"/>
        </w:rPr>
      </w:pPr>
    </w:p>
    <w:p w14:paraId="6F58049D" w14:textId="77777777" w:rsidR="00FC5D28" w:rsidRPr="00C940A9" w:rsidRDefault="00FC5D28" w:rsidP="00FC5D28">
      <w:pPr>
        <w:spacing w:after="120" w:line="276" w:lineRule="auto"/>
        <w:ind w:firstLine="709"/>
        <w:jc w:val="both"/>
        <w:rPr>
          <w:rFonts w:ascii="Verdana" w:eastAsia="Arial" w:hAnsi="Verdana" w:cs="Arial"/>
          <w:color w:val="000000"/>
        </w:rPr>
      </w:pPr>
      <w:r w:rsidRPr="00C940A9">
        <w:rPr>
          <w:rFonts w:ascii="Verdana" w:eastAsia="Arial" w:hAnsi="Verdana" w:cs="Arial"/>
          <w:color w:val="000000"/>
        </w:rPr>
        <w:t xml:space="preserve">Según se evidencia, el numeral primero limita cuantitativamente los procesos contractuales en los que se puede hacer esa convocatoria limitada a Mipyme, en la medida en que el valor del proceso de contratación tendrá que ser “menor a ciento veinticinco mil dólares de los Estados Unidos de América”. Esta limitante, valga la pena aclarar, es establecida de acuerdo con la tasa que, </w:t>
      </w:r>
      <w:r w:rsidRPr="00C940A9">
        <w:rPr>
          <w:rFonts w:ascii="Verdana" w:eastAsia="Arial" w:hAnsi="Verdana" w:cs="Arial"/>
          <w:color w:val="000000"/>
        </w:rPr>
        <w:lastRenderedPageBreak/>
        <w:t>para el efecto, determine cada dos años el Ministerio de Comercio, Industria y Turismo</w:t>
      </w:r>
      <w:r w:rsidRPr="00C940A9">
        <w:rPr>
          <w:rStyle w:val="Refdenotaalpie"/>
          <w:rFonts w:ascii="Verdana" w:eastAsia="Arial" w:hAnsi="Verdana" w:cs="Arial"/>
          <w:color w:val="000000"/>
        </w:rPr>
        <w:footnoteReference w:id="4"/>
      </w:r>
      <w:r w:rsidRPr="00C940A9">
        <w:rPr>
          <w:rFonts w:ascii="Verdana" w:eastAsia="Arial" w:hAnsi="Verdana" w:cs="Arial"/>
          <w:color w:val="000000"/>
        </w:rPr>
        <w:t xml:space="preserve">. </w:t>
      </w:r>
    </w:p>
    <w:p w14:paraId="1EB5DACC" w14:textId="43BE9FAF" w:rsidR="00FC5D28" w:rsidRPr="005B1F06" w:rsidRDefault="00FC5D28" w:rsidP="00FC5D28">
      <w:pPr>
        <w:spacing w:after="120" w:line="276" w:lineRule="auto"/>
        <w:ind w:firstLine="709"/>
        <w:jc w:val="both"/>
        <w:rPr>
          <w:rFonts w:ascii="Verdana" w:eastAsia="Arial" w:hAnsi="Verdana" w:cs="Arial"/>
          <w:color w:val="000000"/>
        </w:rPr>
      </w:pPr>
      <w:r w:rsidRPr="00C940A9">
        <w:rPr>
          <w:rFonts w:ascii="Verdana" w:eastAsia="Arial" w:hAnsi="Verdana" w:cs="Arial"/>
          <w:color w:val="000000"/>
        </w:rPr>
        <w:t xml:space="preserve">Por su parte, el numeral segundo establece dos exigencias: por un lado, que al menos dos (2) </w:t>
      </w:r>
      <w:r w:rsidR="00DB28A0" w:rsidRPr="00C940A9">
        <w:rPr>
          <w:rFonts w:ascii="Verdana" w:eastAsia="Arial" w:hAnsi="Verdana" w:cs="Arial"/>
          <w:color w:val="000000"/>
        </w:rPr>
        <w:t>Mipymes</w:t>
      </w:r>
      <w:r w:rsidRPr="00C940A9">
        <w:rPr>
          <w:rFonts w:ascii="Verdana" w:eastAsia="Arial" w:hAnsi="Verdana" w:cs="Arial"/>
          <w:color w:val="000000"/>
        </w:rPr>
        <w:t xml:space="preserve"> colombianas presenten a la entidad la solicitud de limitar el proceso contractual y, por el otro, que hagan la solicitud por lo menos un día (1) hábil antes de la expedición del acto administrativo de apertura </w:t>
      </w:r>
      <w:r w:rsidRPr="00C940A9">
        <w:rPr>
          <w:rFonts w:ascii="Verdana" w:eastAsia="Arial" w:hAnsi="Verdana" w:cs="Arial"/>
          <w:color w:val="000000"/>
          <w:lang w:val="es-ES_tradnl"/>
        </w:rPr>
        <w:t xml:space="preserve">o el que haga </w:t>
      </w:r>
      <w:r w:rsidRPr="005B1F06">
        <w:rPr>
          <w:rFonts w:ascii="Verdana" w:eastAsia="Arial" w:hAnsi="Verdana" w:cs="Arial"/>
          <w:color w:val="000000"/>
          <w:lang w:val="es-ES_tradnl"/>
        </w:rPr>
        <w:t>sus veces de acuerdo con la normativa aplicable a cada proceso de contratación</w:t>
      </w:r>
      <w:r w:rsidRPr="005B1F06">
        <w:rPr>
          <w:rFonts w:ascii="Verdana" w:eastAsia="Arial" w:hAnsi="Verdana" w:cs="Arial"/>
          <w:color w:val="000000"/>
        </w:rPr>
        <w:t xml:space="preserve">. Además, la norma señala que, </w:t>
      </w:r>
      <w:r w:rsidRPr="005B1F06">
        <w:rPr>
          <w:rFonts w:ascii="Verdana" w:eastAsia="Arial" w:hAnsi="Verdana" w:cs="Arial"/>
          <w:color w:val="000000"/>
          <w:lang w:val="es-ES_tradnl"/>
        </w:rPr>
        <w:t xml:space="preserve">tratándose de personas jurídicas, las solicitudes solo las podrán realizar </w:t>
      </w:r>
      <w:r w:rsidR="00DB28A0" w:rsidRPr="005B1F06">
        <w:rPr>
          <w:rFonts w:ascii="Verdana" w:eastAsia="Arial" w:hAnsi="Verdana" w:cs="Arial"/>
          <w:color w:val="000000"/>
          <w:lang w:val="es-ES_tradnl"/>
        </w:rPr>
        <w:t>Mipymes</w:t>
      </w:r>
      <w:r w:rsidRPr="005B1F06">
        <w:rPr>
          <w:rFonts w:ascii="Verdana" w:eastAsia="Arial" w:hAnsi="Verdana" w:cs="Arial"/>
          <w:color w:val="000000"/>
          <w:lang w:val="es-ES_tradnl"/>
        </w:rPr>
        <w:t xml:space="preserve">, cuyo objeto social les permita ejecutar el contrato relacionado con el proceso contractual. Asimismo, este artículo incluye a las cooperativas y demás entidades de economía solidaria dentro de los sujetos que pueden solicitar y participar en las convocatorias limitadas a </w:t>
      </w:r>
      <w:r w:rsidR="00FB255D" w:rsidRPr="005B1F06">
        <w:rPr>
          <w:rFonts w:ascii="Verdana" w:eastAsia="Arial" w:hAnsi="Verdana" w:cs="Arial"/>
          <w:color w:val="000000"/>
          <w:lang w:val="es-ES_tradnl"/>
        </w:rPr>
        <w:t>Mipymes</w:t>
      </w:r>
      <w:r w:rsidRPr="005B1F06">
        <w:rPr>
          <w:rFonts w:ascii="Verdana" w:eastAsia="Arial" w:hAnsi="Verdana" w:cs="Arial"/>
          <w:color w:val="000000"/>
          <w:lang w:val="es-ES_tradnl"/>
        </w:rPr>
        <w:t xml:space="preserve">, siempre que estas cumplan con las condiciones señaladas en el artículo. </w:t>
      </w:r>
    </w:p>
    <w:p w14:paraId="41977CFB" w14:textId="31556324" w:rsidR="00FC5D28" w:rsidRPr="005B1F06" w:rsidRDefault="00FC5D28" w:rsidP="00FC5D28">
      <w:pPr>
        <w:spacing w:after="120" w:line="276" w:lineRule="auto"/>
        <w:ind w:firstLine="709"/>
        <w:jc w:val="both"/>
        <w:rPr>
          <w:rFonts w:ascii="Verdana" w:hAnsi="Verdana" w:cs="Arial"/>
          <w:lang w:val="es-ES" w:eastAsia="es-MX"/>
        </w:rPr>
      </w:pPr>
      <w:r w:rsidRPr="005B1F06">
        <w:rPr>
          <w:rFonts w:ascii="Verdana" w:eastAsia="Arial" w:hAnsi="Verdana" w:cs="Arial"/>
          <w:color w:val="000000"/>
          <w:lang w:val="es-ES_tradnl"/>
        </w:rPr>
        <w:t>Así las cosas,</w:t>
      </w:r>
      <w:r w:rsidRPr="005B1F06">
        <w:rPr>
          <w:rFonts w:ascii="Verdana" w:hAnsi="Verdana" w:cs="Arial"/>
          <w:lang w:val="es-ES" w:eastAsia="es-MX"/>
        </w:rPr>
        <w:t xml:space="preserve"> las entidades independientemente de su régimen de contratación, los patrimonios autónomos constituidos por entidades estatales y los particulares que ejecuten recursos públicos deben limitar la convocatoria de los procesos de contratación con pluralidad de oferentes a las </w:t>
      </w:r>
      <w:r w:rsidR="00CB54E5" w:rsidRPr="005B1F06">
        <w:rPr>
          <w:rFonts w:ascii="Verdana" w:hAnsi="Verdana" w:cs="Arial"/>
          <w:lang w:val="es-ES" w:eastAsia="es-MX"/>
        </w:rPr>
        <w:t>Mipymes</w:t>
      </w:r>
      <w:r w:rsidRPr="005B1F06">
        <w:rPr>
          <w:rFonts w:ascii="Verdana" w:hAnsi="Verdana" w:cs="Arial"/>
          <w:lang w:val="es-ES" w:eastAsia="es-MX"/>
        </w:rPr>
        <w:t xml:space="preserve"> colombianas con mínimo un (1) año de existencia, cuando se cumplan los requisitos previstos en el artículo 2.2.1.2.4.2.2 del Decreto 1082 de 2015 anteriormente señalado.</w:t>
      </w:r>
    </w:p>
    <w:p w14:paraId="6BA27DDA" w14:textId="4C57FFD3" w:rsidR="00FC5D28" w:rsidRPr="005B1F06" w:rsidRDefault="00FC5D28" w:rsidP="00FC5D28">
      <w:pPr>
        <w:spacing w:after="120" w:line="276" w:lineRule="auto"/>
        <w:ind w:firstLine="708"/>
        <w:jc w:val="both"/>
        <w:rPr>
          <w:rFonts w:ascii="Verdana" w:eastAsia="Calibri" w:hAnsi="Verdana" w:cs="Arial"/>
          <w:lang w:val="es-ES"/>
        </w:rPr>
      </w:pPr>
      <w:r w:rsidRPr="706726C8">
        <w:rPr>
          <w:rFonts w:ascii="Verdana" w:eastAsia="Calibri" w:hAnsi="Verdana" w:cs="Arial"/>
          <w:lang w:val="es-ES"/>
        </w:rPr>
        <w:t xml:space="preserve">En relación con las limitaciones territoriales </w:t>
      </w:r>
      <w:r w:rsidRPr="706726C8">
        <w:rPr>
          <w:rFonts w:ascii="Verdana" w:hAnsi="Verdana" w:cs="Arial"/>
          <w:lang w:val="es-ES"/>
        </w:rPr>
        <w:t xml:space="preserve">de las convocatorias a </w:t>
      </w:r>
      <w:r w:rsidR="00CB54E5" w:rsidRPr="706726C8">
        <w:rPr>
          <w:rFonts w:ascii="Verdana" w:hAnsi="Verdana" w:cs="Arial"/>
          <w:lang w:val="es-ES"/>
        </w:rPr>
        <w:t>Mipymes</w:t>
      </w:r>
      <w:r w:rsidRPr="706726C8">
        <w:rPr>
          <w:rFonts w:ascii="Verdana" w:eastAsia="Calibri" w:hAnsi="Verdana" w:cs="Arial"/>
          <w:lang w:val="es-ES"/>
        </w:rPr>
        <w:t xml:space="preserve"> el texto del actual artículo 2.2.1.2.4.2.3, modificado por el artículo 5 del Decreto 1860 de 2021</w:t>
      </w:r>
      <w:r w:rsidR="000C7312" w:rsidRPr="706726C8">
        <w:rPr>
          <w:rFonts w:ascii="Verdana" w:eastAsia="Calibri" w:hAnsi="Verdana" w:cs="Arial"/>
          <w:lang w:val="es-ES"/>
        </w:rPr>
        <w:t>,</w:t>
      </w:r>
      <w:r w:rsidRPr="706726C8">
        <w:rPr>
          <w:rFonts w:ascii="Verdana" w:eastAsia="Calibri" w:hAnsi="Verdana" w:cs="Arial"/>
          <w:lang w:val="es-ES"/>
        </w:rPr>
        <w:t xml:space="preserve"> determina que toda empresa constituida bajo las leyes colombianas o que tenga su domicilio principal en el territorio colombiano y, además, cumpla los criterios previstos por la </w:t>
      </w:r>
      <w:bookmarkStart w:id="7" w:name="_Hlk194041590"/>
      <w:r w:rsidRPr="706726C8">
        <w:rPr>
          <w:rFonts w:ascii="Verdana" w:eastAsia="Calibri" w:hAnsi="Verdana" w:cs="Arial"/>
          <w:lang w:val="es-ES"/>
        </w:rPr>
        <w:t>Ley 590 de 2000 y el Decreto 957 de 2019</w:t>
      </w:r>
      <w:bookmarkEnd w:id="7"/>
      <w:r w:rsidRPr="706726C8">
        <w:rPr>
          <w:rFonts w:ascii="Verdana" w:eastAsia="Calibri" w:hAnsi="Verdana" w:cs="Arial"/>
          <w:lang w:val="es-ES"/>
        </w:rPr>
        <w:t xml:space="preserve">, será considerada </w:t>
      </w:r>
      <w:r w:rsidR="004E15EC" w:rsidRPr="706726C8">
        <w:rPr>
          <w:rFonts w:ascii="Verdana" w:eastAsia="Calibri" w:hAnsi="Verdana" w:cs="Arial"/>
          <w:lang w:val="es-ES"/>
        </w:rPr>
        <w:t>Mipymes</w:t>
      </w:r>
      <w:r w:rsidRPr="706726C8">
        <w:rPr>
          <w:rFonts w:ascii="Verdana" w:eastAsia="Calibri" w:hAnsi="Verdana" w:cs="Arial"/>
          <w:lang w:val="es-ES"/>
        </w:rPr>
        <w:t xml:space="preserve"> del orden nacional. Otra cosa es que las normas de contratación permitan que las MiPymes nacionales con “domicilio” en un municipio o departamento, puedan beneficiarse en la ejecución de un contrato dentro de la entidad territorial en la que tienen su “domicilio”. De todos modos, las </w:t>
      </w:r>
      <w:r w:rsidR="005A2D07" w:rsidRPr="706726C8">
        <w:rPr>
          <w:rFonts w:ascii="Verdana" w:eastAsia="Calibri" w:hAnsi="Verdana" w:cs="Arial"/>
          <w:lang w:val="es-ES"/>
        </w:rPr>
        <w:t>Mipymes</w:t>
      </w:r>
      <w:r w:rsidRPr="706726C8">
        <w:rPr>
          <w:rFonts w:ascii="Verdana" w:eastAsia="Calibri" w:hAnsi="Verdana" w:cs="Arial"/>
          <w:lang w:val="es-ES"/>
        </w:rPr>
        <w:t xml:space="preserve"> domiciliadas en un municipio o departamento son </w:t>
      </w:r>
      <w:r w:rsidR="005A2D07" w:rsidRPr="706726C8">
        <w:rPr>
          <w:rFonts w:ascii="Verdana" w:eastAsia="Calibri" w:hAnsi="Verdana" w:cs="Arial"/>
          <w:lang w:val="es-ES"/>
        </w:rPr>
        <w:t>Mipymes</w:t>
      </w:r>
      <w:r w:rsidRPr="706726C8">
        <w:rPr>
          <w:rFonts w:ascii="Verdana" w:eastAsia="Calibri" w:hAnsi="Verdana" w:cs="Arial"/>
          <w:lang w:val="es-ES"/>
        </w:rPr>
        <w:t xml:space="preserve"> nacionales. En consecuencia, no es procedente distinguir entre </w:t>
      </w:r>
      <w:r w:rsidR="005A2D07" w:rsidRPr="706726C8">
        <w:rPr>
          <w:rFonts w:ascii="Verdana" w:eastAsia="Calibri" w:hAnsi="Verdana" w:cs="Arial"/>
          <w:lang w:val="es-ES"/>
        </w:rPr>
        <w:t>Mipymes</w:t>
      </w:r>
      <w:r w:rsidRPr="706726C8">
        <w:rPr>
          <w:rFonts w:ascii="Verdana" w:eastAsia="Calibri" w:hAnsi="Verdana" w:cs="Arial"/>
          <w:lang w:val="es-ES"/>
        </w:rPr>
        <w:t xml:space="preserve"> </w:t>
      </w:r>
      <w:r w:rsidRPr="706726C8">
        <w:rPr>
          <w:rFonts w:ascii="Verdana" w:eastAsia="Calibri" w:hAnsi="Verdana" w:cs="Arial"/>
          <w:lang w:val="es-ES"/>
        </w:rPr>
        <w:lastRenderedPageBreak/>
        <w:t xml:space="preserve">nacionales y </w:t>
      </w:r>
      <w:r w:rsidR="005A2D07" w:rsidRPr="706726C8">
        <w:rPr>
          <w:rFonts w:ascii="Verdana" w:eastAsia="Calibri" w:hAnsi="Verdana" w:cs="Arial"/>
          <w:lang w:val="es-ES"/>
        </w:rPr>
        <w:t>Mipymes</w:t>
      </w:r>
      <w:r w:rsidRPr="706726C8">
        <w:rPr>
          <w:rFonts w:ascii="Verdana" w:eastAsia="Calibri" w:hAnsi="Verdana" w:cs="Arial"/>
          <w:lang w:val="es-ES"/>
        </w:rPr>
        <w:t xml:space="preserve"> municipales o departamentales, habida cuenta que estas últimas no existen como categoría dentro del ordenamiento normativo. </w:t>
      </w:r>
    </w:p>
    <w:p w14:paraId="53C2F7C6" w14:textId="77777777" w:rsidR="00FC5D28" w:rsidRPr="005B1F06" w:rsidRDefault="00FC5D28" w:rsidP="005A75AB">
      <w:pPr>
        <w:spacing w:after="0" w:line="276" w:lineRule="auto"/>
        <w:ind w:firstLine="708"/>
        <w:jc w:val="both"/>
        <w:rPr>
          <w:rFonts w:ascii="Verdana" w:eastAsia="Calibri" w:hAnsi="Verdana" w:cs="Arial"/>
          <w:lang w:val="es-ES_tradnl"/>
        </w:rPr>
      </w:pPr>
      <w:r w:rsidRPr="005B1F06">
        <w:rPr>
          <w:rFonts w:ascii="Verdana" w:eastAsia="Calibri" w:hAnsi="Verdana" w:cs="Arial"/>
          <w:lang w:val="es-ES_tradnl"/>
        </w:rPr>
        <w:t xml:space="preserve">El texto normativo dispone lo siguiente:  </w:t>
      </w:r>
    </w:p>
    <w:p w14:paraId="6601DE21" w14:textId="77777777" w:rsidR="005A2D07" w:rsidRDefault="005A2D07" w:rsidP="005A75AB">
      <w:pPr>
        <w:spacing w:after="0" w:line="276" w:lineRule="auto"/>
        <w:ind w:left="709" w:right="758" w:hanging="1"/>
        <w:jc w:val="both"/>
        <w:rPr>
          <w:rFonts w:ascii="Verdana" w:hAnsi="Verdana" w:cs="Arial"/>
          <w:sz w:val="20"/>
          <w:szCs w:val="20"/>
          <w:lang w:val="es-ES_tradnl"/>
        </w:rPr>
      </w:pPr>
    </w:p>
    <w:p w14:paraId="79A85033" w14:textId="17E4B034" w:rsidR="00FC5D28" w:rsidRPr="005B1F06" w:rsidRDefault="005A2D07" w:rsidP="005A75AB">
      <w:pPr>
        <w:spacing w:after="0" w:line="240" w:lineRule="auto"/>
        <w:ind w:left="709" w:right="758" w:hanging="1"/>
        <w:jc w:val="both"/>
        <w:rPr>
          <w:rFonts w:ascii="Verdana" w:hAnsi="Verdana" w:cs="Arial"/>
          <w:sz w:val="20"/>
          <w:szCs w:val="20"/>
          <w:lang w:val="es-ES_tradnl"/>
        </w:rPr>
      </w:pPr>
      <w:r>
        <w:rPr>
          <w:rFonts w:ascii="Verdana" w:hAnsi="Verdana" w:cs="Arial"/>
          <w:sz w:val="20"/>
          <w:szCs w:val="20"/>
          <w:lang w:val="es-ES_tradnl"/>
        </w:rPr>
        <w:t>“</w:t>
      </w:r>
      <w:r w:rsidR="00FC5D28" w:rsidRPr="005B1F06">
        <w:rPr>
          <w:rFonts w:ascii="Verdana" w:hAnsi="Verdana" w:cs="Arial"/>
          <w:sz w:val="20"/>
          <w:szCs w:val="20"/>
          <w:lang w:val="es-ES_tradnl"/>
        </w:rPr>
        <w:t>ARTÍCULO  5. Modificaci</w:t>
      </w:r>
      <w:r w:rsidR="00FC5D28" w:rsidRPr="005B1F06">
        <w:rPr>
          <w:rFonts w:ascii="Verdana" w:hAnsi="Verdana" w:cs="Century Gothic"/>
          <w:sz w:val="20"/>
          <w:szCs w:val="20"/>
          <w:lang w:val="es-ES_tradnl"/>
        </w:rPr>
        <w:t>ó</w:t>
      </w:r>
      <w:r w:rsidR="00FC5D28" w:rsidRPr="005B1F06">
        <w:rPr>
          <w:rFonts w:ascii="Verdana" w:hAnsi="Verdana" w:cs="Arial"/>
          <w:sz w:val="20"/>
          <w:szCs w:val="20"/>
          <w:lang w:val="es-ES_tradnl"/>
        </w:rPr>
        <w:t>n de la Subsecci</w:t>
      </w:r>
      <w:r w:rsidR="00FC5D28" w:rsidRPr="005B1F06">
        <w:rPr>
          <w:rFonts w:ascii="Verdana" w:hAnsi="Verdana" w:cs="Century Gothic"/>
          <w:sz w:val="20"/>
          <w:szCs w:val="20"/>
          <w:lang w:val="es-ES_tradnl"/>
        </w:rPr>
        <w:t>ó</w:t>
      </w:r>
      <w:r w:rsidR="00FC5D28" w:rsidRPr="005B1F06">
        <w:rPr>
          <w:rFonts w:ascii="Verdana" w:hAnsi="Verdana" w:cs="Arial"/>
          <w:sz w:val="20"/>
          <w:szCs w:val="20"/>
          <w:lang w:val="es-ES_tradnl"/>
        </w:rPr>
        <w:t>n 2 de la Secci</w:t>
      </w:r>
      <w:r w:rsidR="00FC5D28" w:rsidRPr="005B1F06">
        <w:rPr>
          <w:rFonts w:ascii="Verdana" w:hAnsi="Verdana" w:cs="Century Gothic"/>
          <w:sz w:val="20"/>
          <w:szCs w:val="20"/>
          <w:lang w:val="es-ES_tradnl"/>
        </w:rPr>
        <w:t>ó</w:t>
      </w:r>
      <w:r w:rsidR="00FC5D28" w:rsidRPr="005B1F06">
        <w:rPr>
          <w:rFonts w:ascii="Verdana" w:hAnsi="Verdana" w:cs="Arial"/>
          <w:sz w:val="20"/>
          <w:szCs w:val="20"/>
          <w:lang w:val="es-ES_tradnl"/>
        </w:rPr>
        <w:t>n 4 del Cap</w:t>
      </w:r>
      <w:r w:rsidR="00FC5D28" w:rsidRPr="005B1F06">
        <w:rPr>
          <w:rFonts w:ascii="Verdana" w:hAnsi="Verdana" w:cs="Century Gothic"/>
          <w:sz w:val="20"/>
          <w:szCs w:val="20"/>
          <w:lang w:val="es-ES_tradnl"/>
        </w:rPr>
        <w:t>í</w:t>
      </w:r>
      <w:r w:rsidR="00FC5D28" w:rsidRPr="005B1F06">
        <w:rPr>
          <w:rFonts w:ascii="Verdana" w:hAnsi="Verdana" w:cs="Arial"/>
          <w:sz w:val="20"/>
          <w:szCs w:val="20"/>
          <w:lang w:val="es-ES_tradnl"/>
        </w:rPr>
        <w:t>tulo 2 del T</w:t>
      </w:r>
      <w:r w:rsidR="00FC5D28" w:rsidRPr="005B1F06">
        <w:rPr>
          <w:rFonts w:ascii="Verdana" w:hAnsi="Verdana" w:cs="Century Gothic"/>
          <w:sz w:val="20"/>
          <w:szCs w:val="20"/>
          <w:lang w:val="es-ES_tradnl"/>
        </w:rPr>
        <w:t>í</w:t>
      </w:r>
      <w:r w:rsidR="00FC5D28" w:rsidRPr="005B1F06">
        <w:rPr>
          <w:rFonts w:ascii="Verdana" w:hAnsi="Verdana" w:cs="Arial"/>
          <w:sz w:val="20"/>
          <w:szCs w:val="20"/>
          <w:lang w:val="es-ES_tradnl"/>
        </w:rPr>
        <w:t>tulo 1 de la Parte 2 del Libro 2 del Decreto 1082 de 2015. Modif</w:t>
      </w:r>
      <w:r w:rsidR="00FC5D28" w:rsidRPr="005B1F06">
        <w:rPr>
          <w:rFonts w:ascii="Verdana" w:hAnsi="Verdana" w:cs="Century Gothic"/>
          <w:sz w:val="20"/>
          <w:szCs w:val="20"/>
          <w:lang w:val="es-ES_tradnl"/>
        </w:rPr>
        <w:t>í</w:t>
      </w:r>
      <w:r w:rsidR="00FC5D28" w:rsidRPr="005B1F06">
        <w:rPr>
          <w:rFonts w:ascii="Verdana" w:hAnsi="Verdana" w:cs="Arial"/>
          <w:sz w:val="20"/>
          <w:szCs w:val="20"/>
          <w:lang w:val="es-ES_tradnl"/>
        </w:rPr>
        <w:t>quense los art</w:t>
      </w:r>
      <w:r w:rsidR="00FC5D28" w:rsidRPr="005B1F06">
        <w:rPr>
          <w:rFonts w:ascii="Verdana" w:hAnsi="Verdana" w:cs="Century Gothic"/>
          <w:sz w:val="20"/>
          <w:szCs w:val="20"/>
          <w:lang w:val="es-ES_tradnl"/>
        </w:rPr>
        <w:t>í</w:t>
      </w:r>
      <w:r w:rsidR="00FC5D28" w:rsidRPr="005B1F06">
        <w:rPr>
          <w:rFonts w:ascii="Verdana" w:hAnsi="Verdana" w:cs="Arial"/>
          <w:sz w:val="20"/>
          <w:szCs w:val="20"/>
          <w:lang w:val="es-ES_tradnl"/>
        </w:rPr>
        <w:t>culos 2.2.1.2.4.2.2., 2.2.1.2.4.2.3. y 2.2.1.2.4.2.4. de la Subsecci</w:t>
      </w:r>
      <w:r w:rsidR="00FC5D28" w:rsidRPr="005B1F06">
        <w:rPr>
          <w:rFonts w:ascii="Verdana" w:hAnsi="Verdana" w:cs="Century Gothic"/>
          <w:sz w:val="20"/>
          <w:szCs w:val="20"/>
          <w:lang w:val="es-ES_tradnl"/>
        </w:rPr>
        <w:t>ó</w:t>
      </w:r>
      <w:r w:rsidR="00FC5D28" w:rsidRPr="005B1F06">
        <w:rPr>
          <w:rFonts w:ascii="Verdana" w:hAnsi="Verdana" w:cs="Arial"/>
          <w:sz w:val="20"/>
          <w:szCs w:val="20"/>
          <w:lang w:val="es-ES_tradnl"/>
        </w:rPr>
        <w:t>n 2 de la Secci</w:t>
      </w:r>
      <w:r w:rsidR="00FC5D28" w:rsidRPr="005B1F06">
        <w:rPr>
          <w:rFonts w:ascii="Verdana" w:hAnsi="Verdana" w:cs="Century Gothic"/>
          <w:sz w:val="20"/>
          <w:szCs w:val="20"/>
          <w:lang w:val="es-ES_tradnl"/>
        </w:rPr>
        <w:t>ó</w:t>
      </w:r>
      <w:r w:rsidR="00FC5D28" w:rsidRPr="005B1F06">
        <w:rPr>
          <w:rFonts w:ascii="Verdana" w:hAnsi="Verdana" w:cs="Arial"/>
          <w:sz w:val="20"/>
          <w:szCs w:val="20"/>
          <w:lang w:val="es-ES_tradnl"/>
        </w:rPr>
        <w:t>n 4 del Cap</w:t>
      </w:r>
      <w:r w:rsidR="00FC5D28" w:rsidRPr="005B1F06">
        <w:rPr>
          <w:rFonts w:ascii="Verdana" w:hAnsi="Verdana" w:cs="Century Gothic"/>
          <w:sz w:val="20"/>
          <w:szCs w:val="20"/>
          <w:lang w:val="es-ES_tradnl"/>
        </w:rPr>
        <w:t>í</w:t>
      </w:r>
      <w:r w:rsidR="00FC5D28" w:rsidRPr="005B1F06">
        <w:rPr>
          <w:rFonts w:ascii="Verdana" w:hAnsi="Verdana" w:cs="Arial"/>
          <w:sz w:val="20"/>
          <w:szCs w:val="20"/>
          <w:lang w:val="es-ES_tradnl"/>
        </w:rPr>
        <w:t>tulo 2 del T</w:t>
      </w:r>
      <w:r w:rsidR="00FC5D28" w:rsidRPr="005B1F06">
        <w:rPr>
          <w:rFonts w:ascii="Verdana" w:hAnsi="Verdana" w:cs="Century Gothic"/>
          <w:sz w:val="20"/>
          <w:szCs w:val="20"/>
          <w:lang w:val="es-ES_tradnl"/>
        </w:rPr>
        <w:t>í</w:t>
      </w:r>
      <w:r w:rsidR="00FC5D28" w:rsidRPr="005B1F06">
        <w:rPr>
          <w:rFonts w:ascii="Verdana" w:hAnsi="Verdana" w:cs="Arial"/>
          <w:sz w:val="20"/>
          <w:szCs w:val="20"/>
          <w:lang w:val="es-ES_tradnl"/>
        </w:rPr>
        <w:t>tulo 1 de la Parte 2 del Libro 2 del Decreto 1082 de 2015, los cuales quedar</w:t>
      </w:r>
      <w:r w:rsidR="00FC5D28" w:rsidRPr="005B1F06">
        <w:rPr>
          <w:rFonts w:ascii="Verdana" w:hAnsi="Verdana" w:cs="Century Gothic"/>
          <w:sz w:val="20"/>
          <w:szCs w:val="20"/>
          <w:lang w:val="es-ES_tradnl"/>
        </w:rPr>
        <w:t>á</w:t>
      </w:r>
      <w:r w:rsidR="00FC5D28" w:rsidRPr="005B1F06">
        <w:rPr>
          <w:rFonts w:ascii="Verdana" w:hAnsi="Verdana" w:cs="Arial"/>
          <w:sz w:val="20"/>
          <w:szCs w:val="20"/>
          <w:lang w:val="es-ES_tradnl"/>
        </w:rPr>
        <w:t>n as</w:t>
      </w:r>
      <w:r w:rsidR="00FC5D28" w:rsidRPr="005B1F06">
        <w:rPr>
          <w:rFonts w:ascii="Verdana" w:hAnsi="Verdana" w:cs="Century Gothic"/>
          <w:sz w:val="20"/>
          <w:szCs w:val="20"/>
          <w:lang w:val="es-ES_tradnl"/>
        </w:rPr>
        <w:t>í</w:t>
      </w:r>
      <w:r w:rsidR="00FC5D28" w:rsidRPr="005B1F06">
        <w:rPr>
          <w:rFonts w:ascii="Verdana" w:hAnsi="Verdana" w:cs="Arial"/>
          <w:sz w:val="20"/>
          <w:szCs w:val="20"/>
          <w:lang w:val="es-ES_tradnl"/>
        </w:rPr>
        <w:t>:</w:t>
      </w:r>
    </w:p>
    <w:p w14:paraId="4919BC99" w14:textId="77777777" w:rsidR="00FC5D28" w:rsidRPr="005B1F06" w:rsidRDefault="00FC5D28" w:rsidP="005A75AB">
      <w:pPr>
        <w:spacing w:after="0" w:line="240" w:lineRule="auto"/>
        <w:ind w:left="709" w:right="758" w:hanging="1"/>
        <w:jc w:val="both"/>
        <w:rPr>
          <w:rFonts w:ascii="Verdana" w:hAnsi="Verdana" w:cs="Arial"/>
          <w:sz w:val="20"/>
          <w:szCs w:val="20"/>
          <w:lang w:val="es-ES_tradnl"/>
        </w:rPr>
      </w:pPr>
      <w:r w:rsidRPr="005B1F06">
        <w:rPr>
          <w:rFonts w:ascii="Verdana" w:hAnsi="Verdana" w:cs="Arial"/>
          <w:sz w:val="20"/>
          <w:szCs w:val="20"/>
          <w:lang w:val="es-ES_tradnl"/>
        </w:rPr>
        <w:t>[…]</w:t>
      </w:r>
    </w:p>
    <w:p w14:paraId="7B650E06" w14:textId="2B14854C" w:rsidR="00FC5D28" w:rsidRDefault="00FC5D28" w:rsidP="001D1E0F">
      <w:pPr>
        <w:spacing w:after="0" w:line="240" w:lineRule="auto"/>
        <w:ind w:left="709" w:right="709"/>
        <w:jc w:val="both"/>
        <w:rPr>
          <w:rFonts w:ascii="Verdana" w:hAnsi="Verdana" w:cs="Arial"/>
          <w:sz w:val="20"/>
          <w:szCs w:val="20"/>
          <w:lang w:val="es-ES_tradnl"/>
        </w:rPr>
      </w:pPr>
      <w:r w:rsidRPr="005B1F06">
        <w:rPr>
          <w:rFonts w:ascii="Verdana" w:hAnsi="Verdana" w:cs="Arial"/>
          <w:sz w:val="20"/>
          <w:szCs w:val="20"/>
          <w:lang w:val="es-ES_tradnl"/>
        </w:rPr>
        <w:t>ARTÍCULO 2.2.1.2.4.2.3. Limitaciones territoriales. De conformidad con el par</w:t>
      </w:r>
      <w:r w:rsidRPr="005B1F06">
        <w:rPr>
          <w:rFonts w:ascii="Verdana" w:hAnsi="Verdana" w:cs="Century Gothic"/>
          <w:sz w:val="20"/>
          <w:szCs w:val="20"/>
          <w:lang w:val="es-ES_tradnl"/>
        </w:rPr>
        <w:t>á</w:t>
      </w:r>
      <w:r w:rsidRPr="005B1F06">
        <w:rPr>
          <w:rFonts w:ascii="Verdana" w:hAnsi="Verdana" w:cs="Arial"/>
          <w:sz w:val="20"/>
          <w:szCs w:val="20"/>
          <w:lang w:val="es-ES_tradnl"/>
        </w:rPr>
        <w:t>grafo 1 del art</w:t>
      </w:r>
      <w:r w:rsidRPr="005B1F06">
        <w:rPr>
          <w:rFonts w:ascii="Verdana" w:hAnsi="Verdana" w:cs="Century Gothic"/>
          <w:sz w:val="20"/>
          <w:szCs w:val="20"/>
          <w:lang w:val="es-ES_tradnl"/>
        </w:rPr>
        <w:t>í</w:t>
      </w:r>
      <w:r w:rsidRPr="005B1F06">
        <w:rPr>
          <w:rFonts w:ascii="Verdana" w:hAnsi="Verdana" w:cs="Arial"/>
          <w:sz w:val="20"/>
          <w:szCs w:val="20"/>
          <w:lang w:val="es-ES_tradnl"/>
        </w:rPr>
        <w:t>culo 12 de la Ley 1150 de 2007, las Entidades Estatales, independientemente de su r</w:t>
      </w:r>
      <w:r w:rsidRPr="005B1F06">
        <w:rPr>
          <w:rFonts w:ascii="Verdana" w:hAnsi="Verdana" w:cs="Century Gothic"/>
          <w:sz w:val="20"/>
          <w:szCs w:val="20"/>
          <w:lang w:val="es-ES_tradnl"/>
        </w:rPr>
        <w:t>é</w:t>
      </w:r>
      <w:r w:rsidRPr="005B1F06">
        <w:rPr>
          <w:rFonts w:ascii="Verdana" w:hAnsi="Verdana" w:cs="Arial"/>
          <w:sz w:val="20"/>
          <w:szCs w:val="20"/>
          <w:lang w:val="es-ES_tradnl"/>
        </w:rPr>
        <w:t>gimen de contrataci</w:t>
      </w:r>
      <w:r w:rsidRPr="005B1F06">
        <w:rPr>
          <w:rFonts w:ascii="Verdana" w:hAnsi="Verdana" w:cs="Century Gothic"/>
          <w:sz w:val="20"/>
          <w:szCs w:val="20"/>
          <w:lang w:val="es-ES_tradnl"/>
        </w:rPr>
        <w:t>ó</w:t>
      </w:r>
      <w:r w:rsidRPr="005B1F06">
        <w:rPr>
          <w:rFonts w:ascii="Verdana" w:hAnsi="Verdana" w:cs="Arial"/>
          <w:sz w:val="20"/>
          <w:szCs w:val="20"/>
          <w:lang w:val="es-ES_tradnl"/>
        </w:rPr>
        <w:t>n, los patrimonios aut</w:t>
      </w:r>
      <w:r w:rsidRPr="005B1F06">
        <w:rPr>
          <w:rFonts w:ascii="Verdana" w:hAnsi="Verdana" w:cs="Century Gothic"/>
          <w:sz w:val="20"/>
          <w:szCs w:val="20"/>
          <w:lang w:val="es-ES_tradnl"/>
        </w:rPr>
        <w:t>ó</w:t>
      </w:r>
      <w:r w:rsidRPr="005B1F06">
        <w:rPr>
          <w:rFonts w:ascii="Verdana" w:hAnsi="Verdana" w:cs="Arial"/>
          <w:sz w:val="20"/>
          <w:szCs w:val="20"/>
          <w:lang w:val="es-ES_tradnl"/>
        </w:rPr>
        <w:t>nomos constituidos por Entidades Estatales y los particulares que ejecuten recursos p</w:t>
      </w:r>
      <w:r w:rsidRPr="005B1F06">
        <w:rPr>
          <w:rFonts w:ascii="Verdana" w:hAnsi="Verdana" w:cs="Century Gothic"/>
          <w:sz w:val="20"/>
          <w:szCs w:val="20"/>
          <w:lang w:val="es-ES_tradnl"/>
        </w:rPr>
        <w:t>ú</w:t>
      </w:r>
      <w:r w:rsidRPr="005B1F06">
        <w:rPr>
          <w:rFonts w:ascii="Verdana" w:hAnsi="Verdana" w:cs="Arial"/>
          <w:sz w:val="20"/>
          <w:szCs w:val="20"/>
          <w:lang w:val="es-ES_tradnl"/>
        </w:rPr>
        <w:t>blicos, pueden realizar convocatorias limitadas a MiPymes colombianas que tengan domicilio en los departamentos o municipios en donde se va a ejecutar el contrato. Cada MiPymes deber</w:t>
      </w:r>
      <w:r w:rsidRPr="005B1F06">
        <w:rPr>
          <w:rFonts w:ascii="Verdana" w:hAnsi="Verdana" w:cs="Century Gothic"/>
          <w:sz w:val="20"/>
          <w:szCs w:val="20"/>
          <w:lang w:val="es-ES_tradnl"/>
        </w:rPr>
        <w:t>á</w:t>
      </w:r>
      <w:r w:rsidRPr="005B1F06">
        <w:rPr>
          <w:rFonts w:ascii="Verdana" w:hAnsi="Verdana" w:cs="Arial"/>
          <w:sz w:val="20"/>
          <w:szCs w:val="20"/>
          <w:lang w:val="es-ES_tradnl"/>
        </w:rPr>
        <w:t xml:space="preserve"> acreditar su domicilio con los documentos a los que se refiere el siguiente artículo</w:t>
      </w:r>
      <w:r w:rsidR="005A2D07">
        <w:rPr>
          <w:rFonts w:ascii="Verdana" w:hAnsi="Verdana" w:cs="Arial"/>
          <w:sz w:val="20"/>
          <w:szCs w:val="20"/>
          <w:lang w:val="es-ES_tradnl"/>
        </w:rPr>
        <w:t>”</w:t>
      </w:r>
      <w:r w:rsidRPr="005B1F06">
        <w:rPr>
          <w:rFonts w:ascii="Verdana" w:hAnsi="Verdana" w:cs="Arial"/>
          <w:sz w:val="20"/>
          <w:szCs w:val="20"/>
          <w:lang w:val="es-ES_tradnl"/>
        </w:rPr>
        <w:t xml:space="preserve">. </w:t>
      </w:r>
    </w:p>
    <w:p w14:paraId="22053480" w14:textId="77777777" w:rsidR="001D1E0F" w:rsidRPr="005A75AB" w:rsidRDefault="001D1E0F" w:rsidP="005A75AB">
      <w:pPr>
        <w:spacing w:after="0" w:line="276" w:lineRule="auto"/>
        <w:ind w:left="709" w:right="709"/>
        <w:jc w:val="both"/>
        <w:rPr>
          <w:rFonts w:ascii="Verdana" w:eastAsia="Calibri" w:hAnsi="Verdana" w:cs="Arial"/>
          <w:lang w:val="es-ES_tradnl"/>
        </w:rPr>
      </w:pPr>
    </w:p>
    <w:p w14:paraId="6ED7F137" w14:textId="1F3FEA42" w:rsidR="00FC5D28" w:rsidRPr="005B1F06" w:rsidRDefault="00FC5D28" w:rsidP="00FC5D28">
      <w:pPr>
        <w:spacing w:after="120" w:line="276" w:lineRule="auto"/>
        <w:ind w:firstLine="709"/>
        <w:jc w:val="both"/>
        <w:rPr>
          <w:rFonts w:ascii="Verdana" w:eastAsia="Calibri" w:hAnsi="Verdana" w:cs="Arial"/>
          <w:lang w:val="es-ES"/>
        </w:rPr>
      </w:pPr>
      <w:r w:rsidRPr="706726C8">
        <w:rPr>
          <w:rFonts w:ascii="Verdana" w:eastAsia="Calibri" w:hAnsi="Verdana" w:cs="Arial"/>
          <w:lang w:val="es-ES"/>
        </w:rPr>
        <w:t xml:space="preserve">La norma reglamentaria coincide con la redacción del parágrafo 1 del artículo 34 de la Ley 2069 de 2020, según el cual, solo es posible limitar convocatorias a la participación de </w:t>
      </w:r>
      <w:r w:rsidR="001D1E0F" w:rsidRPr="706726C8">
        <w:rPr>
          <w:rFonts w:ascii="Verdana" w:eastAsia="Calibri" w:hAnsi="Verdana" w:cs="Arial"/>
          <w:lang w:val="es-ES"/>
        </w:rPr>
        <w:t>Mipymes</w:t>
      </w:r>
      <w:r w:rsidRPr="706726C8">
        <w:rPr>
          <w:rFonts w:ascii="Verdana" w:eastAsia="Calibri" w:hAnsi="Verdana" w:cs="Arial"/>
          <w:lang w:val="es-ES"/>
        </w:rPr>
        <w:t xml:space="preserve"> “[…] del ámbito municipal o departamental correspondiente al de la ejecución del contrato”. En tales términos, la norma citada solo contempla la posibilidad de limitar convocatorias a </w:t>
      </w:r>
      <w:r w:rsidR="00D13B30" w:rsidRPr="706726C8">
        <w:rPr>
          <w:rFonts w:ascii="Verdana" w:eastAsia="Calibri" w:hAnsi="Verdana" w:cs="Arial"/>
          <w:lang w:val="es-ES"/>
        </w:rPr>
        <w:t>Mipymes</w:t>
      </w:r>
      <w:r w:rsidRPr="706726C8">
        <w:rPr>
          <w:rFonts w:ascii="Verdana" w:eastAsia="Calibri" w:hAnsi="Verdana" w:cs="Arial"/>
          <w:lang w:val="es-ES"/>
        </w:rPr>
        <w:t xml:space="preserve"> con domicilio en esos dos tipos de entidades territoriales. </w:t>
      </w:r>
    </w:p>
    <w:p w14:paraId="6D4DC0B1" w14:textId="7618A0E1" w:rsidR="00FC5D28" w:rsidRPr="005B1F06" w:rsidRDefault="00FC5D28" w:rsidP="00FC5D28">
      <w:pPr>
        <w:spacing w:after="120" w:line="276" w:lineRule="auto"/>
        <w:ind w:firstLine="709"/>
        <w:jc w:val="both"/>
        <w:rPr>
          <w:rFonts w:ascii="Verdana" w:eastAsia="Arial" w:hAnsi="Verdana" w:cs="Arial"/>
          <w:color w:val="000000"/>
          <w:lang w:val="es-ES"/>
        </w:rPr>
      </w:pPr>
      <w:r w:rsidRPr="005B1F06">
        <w:rPr>
          <w:rFonts w:ascii="Verdana" w:eastAsia="Arial" w:hAnsi="Verdana" w:cs="Arial"/>
          <w:color w:val="000000" w:themeColor="text1"/>
          <w:lang w:val="es-ES"/>
        </w:rPr>
        <w:t xml:space="preserve">En ese sentido, toda empresa constituida bajo las leyes colombianas o que tenga su domicilio principal en el territorio colombiano y, además, cumpla los criterios previstos por la Ley 590 de 2000 y el Decreto 957 de 2019, será considerada </w:t>
      </w:r>
      <w:r w:rsidR="00E52180" w:rsidRPr="005B1F06">
        <w:rPr>
          <w:rFonts w:ascii="Verdana" w:eastAsia="Arial" w:hAnsi="Verdana" w:cs="Arial"/>
          <w:color w:val="000000" w:themeColor="text1"/>
          <w:lang w:val="es-ES"/>
        </w:rPr>
        <w:t>Mipymes</w:t>
      </w:r>
      <w:r w:rsidRPr="005B1F06">
        <w:rPr>
          <w:rFonts w:ascii="Verdana" w:eastAsia="Arial" w:hAnsi="Verdana" w:cs="Arial"/>
          <w:color w:val="000000" w:themeColor="text1"/>
          <w:lang w:val="es-ES"/>
        </w:rPr>
        <w:t xml:space="preserve"> nacional. Además, las normas de contratación permiten que las </w:t>
      </w:r>
      <w:r w:rsidR="00E52180" w:rsidRPr="005B1F06">
        <w:rPr>
          <w:rFonts w:ascii="Verdana" w:eastAsia="Arial" w:hAnsi="Verdana" w:cs="Arial"/>
          <w:color w:val="000000" w:themeColor="text1"/>
          <w:lang w:val="es-ES"/>
        </w:rPr>
        <w:t>Mipymes</w:t>
      </w:r>
      <w:r w:rsidRPr="005B1F06">
        <w:rPr>
          <w:rFonts w:ascii="Verdana" w:eastAsia="Arial" w:hAnsi="Verdana" w:cs="Arial"/>
          <w:color w:val="000000" w:themeColor="text1"/>
          <w:lang w:val="es-ES"/>
        </w:rPr>
        <w:t xml:space="preserve"> nacionales puedan beneficiarse de la ejecución de un contrato dentro de la entidad territorial en la que tienen su “domicilio”. </w:t>
      </w:r>
    </w:p>
    <w:p w14:paraId="5AE62DED" w14:textId="2A9D9B12" w:rsidR="00FC5D28" w:rsidRPr="005B1F06" w:rsidRDefault="00FC5D28" w:rsidP="00FC5D28">
      <w:pPr>
        <w:spacing w:after="120" w:line="276" w:lineRule="auto"/>
        <w:ind w:firstLine="709"/>
        <w:jc w:val="both"/>
        <w:rPr>
          <w:rFonts w:ascii="Verdana" w:eastAsia="Arial" w:hAnsi="Verdana" w:cs="Arial"/>
          <w:color w:val="000000"/>
          <w:lang w:val="es-ES"/>
        </w:rPr>
      </w:pPr>
      <w:r w:rsidRPr="706726C8">
        <w:rPr>
          <w:rFonts w:ascii="Verdana" w:eastAsia="Arial" w:hAnsi="Verdana" w:cs="Arial"/>
          <w:color w:val="000000" w:themeColor="text1"/>
          <w:lang w:val="es-ES"/>
        </w:rPr>
        <w:t xml:space="preserve">Ahora bien, el artículo 2.2.1.2.4.2.3. del Decreto 1082 de 2015, modificado por el artículo 5 del Decreto 1860 de 2021, se refiere a las “MiPymes colombianas que tengan domicilio en los departamentos o municipios en donde se va a ejecutar el contrato”. Esta precisión es importante, pues el incentivo previsto en la norma únicamente aplica en el lugar de ejecución del contratado en el que la </w:t>
      </w:r>
      <w:r w:rsidR="000F1050" w:rsidRPr="706726C8">
        <w:rPr>
          <w:rFonts w:ascii="Verdana" w:eastAsia="Arial" w:hAnsi="Verdana" w:cs="Arial"/>
          <w:color w:val="000000" w:themeColor="text1"/>
          <w:lang w:val="es-ES"/>
        </w:rPr>
        <w:t>Mipymes</w:t>
      </w:r>
      <w:r w:rsidRPr="706726C8">
        <w:rPr>
          <w:rFonts w:ascii="Verdana" w:eastAsia="Arial" w:hAnsi="Verdana" w:cs="Arial"/>
          <w:color w:val="000000" w:themeColor="text1"/>
          <w:lang w:val="es-ES"/>
        </w:rPr>
        <w:t xml:space="preserve"> tiene su “domicilio”, y no en donde tiene sucursales. </w:t>
      </w:r>
    </w:p>
    <w:p w14:paraId="4B7CBF07" w14:textId="77777777" w:rsidR="00FC5D28" w:rsidRPr="005B1F06" w:rsidRDefault="00FC5D28" w:rsidP="00FC5D28">
      <w:pPr>
        <w:spacing w:after="120" w:line="276" w:lineRule="auto"/>
        <w:ind w:firstLine="709"/>
        <w:jc w:val="both"/>
        <w:rPr>
          <w:rFonts w:ascii="Verdana" w:eastAsia="Arial" w:hAnsi="Verdana" w:cs="Arial"/>
          <w:color w:val="000000"/>
          <w:lang w:val="es-ES"/>
        </w:rPr>
      </w:pPr>
      <w:r w:rsidRPr="005B1F06">
        <w:rPr>
          <w:rFonts w:ascii="Verdana" w:eastAsia="Arial" w:hAnsi="Verdana" w:cs="Arial"/>
          <w:color w:val="000000" w:themeColor="text1"/>
          <w:lang w:val="es-ES"/>
        </w:rPr>
        <w:lastRenderedPageBreak/>
        <w:t>El artículo 263 del Código de Comercio define las sucursales como “los establecimientos de comercio abiertos por una sociedad, dentro o fuera de su domicilio, para el desarrollo de los negocios sociales o parte de ellos, administrados por mandatarios con facultades para representar la sociedad”. Nótese que la norma se refiere a los conceptos de “sucursal” y “domicilio” de forma diferente, de lo que se deriva que las sociedades comerciales tienen un domicilio y pueden tener</w:t>
      </w:r>
      <w:r w:rsidRPr="7F14F77F">
        <w:rPr>
          <w:rFonts w:ascii="Century Gothic" w:eastAsia="Arial" w:hAnsi="Century Gothic" w:cs="Arial"/>
          <w:color w:val="000000" w:themeColor="text1"/>
          <w:lang w:val="es-ES"/>
        </w:rPr>
        <w:t xml:space="preserve"> </w:t>
      </w:r>
      <w:r w:rsidRPr="005B1F06">
        <w:rPr>
          <w:rFonts w:ascii="Verdana" w:eastAsia="Arial" w:hAnsi="Verdana" w:cs="Arial"/>
          <w:color w:val="000000" w:themeColor="text1"/>
          <w:lang w:val="es-ES"/>
        </w:rPr>
        <w:t xml:space="preserve">una o varias sucursales que son establecimientos de comercio, esto es, bienes mercantiles pertenecientes a la sociedad. En ese mismo sentido, los artículos 110 y 111 </w:t>
      </w:r>
      <w:r w:rsidRPr="005B1F06">
        <w:rPr>
          <w:rFonts w:ascii="Verdana" w:eastAsia="Arial" w:hAnsi="Verdana" w:cs="Arial"/>
          <w:i/>
          <w:color w:val="000000" w:themeColor="text1"/>
          <w:lang w:val="es-ES"/>
        </w:rPr>
        <w:t>ibídem</w:t>
      </w:r>
      <w:r w:rsidRPr="005B1F06">
        <w:rPr>
          <w:rFonts w:ascii="Verdana" w:eastAsia="Arial" w:hAnsi="Verdana" w:cs="Arial"/>
          <w:color w:val="000000" w:themeColor="text1"/>
          <w:lang w:val="es-ES"/>
        </w:rPr>
        <w:t xml:space="preserve"> se refieren a tales conceptos de forma independiente. El uno para referirse a los requisitos de constitución de una sociedad comercial y el otro para determinar el lugar donde se debe inscribir la escritura pública de constitución de la sociedad comercial. De acuerdo con lo anterior, si el legislador distinguió entre uno y otro y si el reglamento se refiere al “domicilio”, se entiende que no es procedente extender el beneficio contenido en el artículo 2.2.1.2.4.2.3. </w:t>
      </w:r>
      <w:r w:rsidRPr="005B1F06">
        <w:rPr>
          <w:rFonts w:ascii="Verdana" w:eastAsia="Arial" w:hAnsi="Verdana" w:cs="Arial"/>
          <w:i/>
          <w:color w:val="000000" w:themeColor="text1"/>
          <w:lang w:val="es-ES"/>
        </w:rPr>
        <w:t xml:space="preserve">ibídem </w:t>
      </w:r>
      <w:r w:rsidRPr="005B1F06">
        <w:rPr>
          <w:rFonts w:ascii="Verdana" w:eastAsia="Arial" w:hAnsi="Verdana" w:cs="Arial"/>
          <w:color w:val="000000" w:themeColor="text1"/>
          <w:lang w:val="es-ES"/>
        </w:rPr>
        <w:t>a las entidades que tienen “sucursales” en el municipio o departamento en donde se va a ejecutar el contrato estatal.</w:t>
      </w:r>
    </w:p>
    <w:p w14:paraId="0BB958E5" w14:textId="0C03C9AC" w:rsidR="00FC5D28" w:rsidRPr="005B1F06" w:rsidRDefault="00FC5D28" w:rsidP="00FC5D28">
      <w:pPr>
        <w:spacing w:after="120" w:line="276" w:lineRule="auto"/>
        <w:ind w:firstLine="709"/>
        <w:jc w:val="both"/>
        <w:rPr>
          <w:rFonts w:ascii="Verdana" w:eastAsia="Arial" w:hAnsi="Verdana" w:cs="Arial"/>
          <w:color w:val="000000"/>
          <w:lang w:val="es-ES"/>
        </w:rPr>
      </w:pPr>
      <w:r w:rsidRPr="706726C8">
        <w:rPr>
          <w:rFonts w:ascii="Verdana" w:eastAsia="Arial" w:hAnsi="Verdana" w:cs="Arial"/>
          <w:color w:val="000000"/>
          <w:lang w:val="es-ES"/>
        </w:rPr>
        <w:t>Sin perjuicio de lo anterior, no puede perderse de vista que la decisión de limitar “a MiPymes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w:t>
      </w:r>
      <w:r w:rsidRPr="706726C8">
        <w:rPr>
          <w:rStyle w:val="Refdenotaalpie"/>
          <w:rFonts w:ascii="Verdana" w:eastAsia="Arial" w:hAnsi="Verdana" w:cs="Arial"/>
          <w:color w:val="000000"/>
          <w:lang w:val="es-ES"/>
        </w:rPr>
        <w:footnoteReference w:id="5"/>
      </w:r>
      <w:r w:rsidRPr="706726C8">
        <w:rPr>
          <w:rFonts w:ascii="Verdana" w:eastAsia="Arial" w:hAnsi="Verdana" w:cs="Arial"/>
          <w:color w:val="000000"/>
          <w:lang w:val="es-ES"/>
        </w:rPr>
        <w:t xml:space="preserve">. En ese sentido, si la entidad no recibió las solicitudes para limitar la convocatoria a </w:t>
      </w:r>
      <w:r w:rsidR="004526DF" w:rsidRPr="706726C8">
        <w:rPr>
          <w:rFonts w:ascii="Verdana" w:eastAsia="Arial" w:hAnsi="Verdana" w:cs="Arial"/>
          <w:color w:val="000000"/>
          <w:lang w:val="es-ES"/>
        </w:rPr>
        <w:t>Mipymes</w:t>
      </w:r>
      <w:r w:rsidRPr="706726C8">
        <w:rPr>
          <w:rFonts w:ascii="Verdana" w:eastAsia="Arial" w:hAnsi="Verdana" w:cs="Arial"/>
          <w:color w:val="000000"/>
          <w:lang w:val="es-ES"/>
        </w:rPr>
        <w:t xml:space="preserve">, no puede </w:t>
      </w:r>
      <w:r w:rsidRPr="706726C8">
        <w:rPr>
          <w:rFonts w:ascii="Verdana" w:eastAsia="Arial" w:hAnsi="Verdana" w:cs="Arial"/>
          <w:i/>
          <w:color w:val="000000"/>
          <w:lang w:val="es-ES"/>
        </w:rPr>
        <w:t xml:space="preserve">motu proprio </w:t>
      </w:r>
      <w:r w:rsidRPr="706726C8">
        <w:rPr>
          <w:rFonts w:ascii="Verdana" w:eastAsia="Arial" w:hAnsi="Verdana" w:cs="Arial"/>
          <w:color w:val="000000"/>
          <w:lang w:val="es-ES"/>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60940B80" w14:textId="66A0A358" w:rsidR="00FC5D28" w:rsidRPr="005B1F06" w:rsidRDefault="00FC5D28" w:rsidP="00FC5D28">
      <w:pPr>
        <w:spacing w:after="120" w:line="276" w:lineRule="auto"/>
        <w:ind w:firstLine="708"/>
        <w:jc w:val="both"/>
        <w:rPr>
          <w:rFonts w:ascii="Verdana" w:hAnsi="Verdana" w:cs="Arial"/>
          <w:color w:val="000000" w:themeColor="text1"/>
        </w:rPr>
      </w:pPr>
      <w:r w:rsidRPr="005B1F06">
        <w:rPr>
          <w:rFonts w:ascii="Verdana" w:hAnsi="Verdana" w:cs="Arial"/>
          <w:color w:val="000000" w:themeColor="text1"/>
        </w:rPr>
        <w:lastRenderedPageBreak/>
        <w:t xml:space="preserve">Cumplidos los dos requisitos del artículo 2.2.1.2.4.2.2. </w:t>
      </w:r>
      <w:r w:rsidRPr="005B1F06">
        <w:rPr>
          <w:rFonts w:ascii="Verdana" w:hAnsi="Verdana" w:cs="Arial"/>
          <w:i/>
          <w:iCs/>
          <w:color w:val="000000" w:themeColor="text1"/>
        </w:rPr>
        <w:t>ibídem</w:t>
      </w:r>
      <w:r w:rsidRPr="005B1F06">
        <w:rPr>
          <w:rFonts w:ascii="Verdana" w:hAnsi="Verdana" w:cs="Arial"/>
          <w:color w:val="000000" w:themeColor="text1"/>
        </w:rPr>
        <w:t xml:space="preserve">, la entidad estatal, independientemente de su régimen de contratación, los patrimonios autónomos constituidos por entidades estatales y los particulares que ejecuten recursos públicos, pueden ─no tienen que─ decidir si limitan la convocatoria a las </w:t>
      </w:r>
      <w:r w:rsidR="004526DF" w:rsidRPr="005B1F06">
        <w:rPr>
          <w:rFonts w:ascii="Verdana" w:hAnsi="Verdana" w:cs="Arial"/>
          <w:color w:val="000000" w:themeColor="text1"/>
        </w:rPr>
        <w:t>Mipymes</w:t>
      </w:r>
      <w:r w:rsidRPr="005B1F06">
        <w:rPr>
          <w:rFonts w:ascii="Verdana" w:hAnsi="Verdana" w:cs="Arial"/>
          <w:color w:val="000000" w:themeColor="text1"/>
        </w:rPr>
        <w:t xml:space="preserve"> colombianas domiciliadas en el municipio o departamento en el que se</w:t>
      </w:r>
      <w:r w:rsidRPr="001D4AC1">
        <w:rPr>
          <w:rFonts w:ascii="Century Gothic" w:hAnsi="Century Gothic" w:cs="Arial"/>
          <w:color w:val="000000" w:themeColor="text1"/>
        </w:rPr>
        <w:t xml:space="preserve"> </w:t>
      </w:r>
      <w:r w:rsidRPr="005B1F06">
        <w:rPr>
          <w:rFonts w:ascii="Verdana" w:hAnsi="Verdana" w:cs="Arial"/>
          <w:color w:val="000000" w:themeColor="text1"/>
        </w:rPr>
        <w:t>ejecutará el contrato</w:t>
      </w:r>
      <w:r w:rsidRPr="005B1F06">
        <w:rPr>
          <w:rFonts w:ascii="Verdana" w:hAnsi="Verdana" w:cs="Arial"/>
          <w:color w:val="000000" w:themeColor="text1"/>
          <w:vertAlign w:val="superscript"/>
        </w:rPr>
        <w:footnoteReference w:id="6"/>
      </w:r>
      <w:r w:rsidRPr="005B1F06">
        <w:rPr>
          <w:rFonts w:ascii="Verdana" w:hAnsi="Verdana" w:cs="Arial"/>
          <w:color w:val="000000" w:themeColor="text1"/>
        </w:rPr>
        <w:t xml:space="preserve">. Esto de acuerdo con lo establecido en artículo 2.2.1.2.4.2.3. del Decreto 1082 de 2015 </w:t>
      </w:r>
      <w:r w:rsidRPr="005B1F06">
        <w:rPr>
          <w:rFonts w:ascii="Verdana" w:eastAsia="Arial" w:hAnsi="Verdana" w:cs="Arial"/>
          <w:color w:val="000000"/>
          <w:lang w:val="es-ES_tradnl"/>
        </w:rPr>
        <w:t>modificado por el Decreto 1860 de 2021</w:t>
      </w:r>
      <w:r w:rsidRPr="005B1F06">
        <w:rPr>
          <w:rFonts w:ascii="Verdana" w:hAnsi="Verdana" w:cs="Arial"/>
          <w:color w:val="000000" w:themeColor="text1"/>
        </w:rPr>
        <w:t xml:space="preserve">, norma que se refiere a la facultad de la administración con el verbo infinitivo “poder”, no “deber”. </w:t>
      </w:r>
    </w:p>
    <w:p w14:paraId="2A8A2430" w14:textId="5BE9B65B" w:rsidR="00FC5D28" w:rsidRPr="005B1F06" w:rsidRDefault="00FC5D28" w:rsidP="00FC5D28">
      <w:pPr>
        <w:spacing w:after="120" w:line="276" w:lineRule="auto"/>
        <w:ind w:firstLine="709"/>
        <w:jc w:val="both"/>
        <w:rPr>
          <w:rFonts w:ascii="Verdana" w:eastAsia="Calibri" w:hAnsi="Verdana" w:cs="Arial"/>
          <w:color w:val="000000" w:themeColor="text1"/>
        </w:rPr>
      </w:pPr>
      <w:r w:rsidRPr="005B1F06">
        <w:rPr>
          <w:rFonts w:ascii="Verdana" w:eastAsia="Calibri" w:hAnsi="Verdana" w:cs="Arial"/>
          <w:color w:val="000000" w:themeColor="text1"/>
        </w:rPr>
        <w:t>Colombia Compra Eficiente ha sostenido que la decisión de limitar territorialmente un</w:t>
      </w:r>
      <w:r w:rsidRPr="005B1F06">
        <w:rPr>
          <w:rFonts w:ascii="Verdana" w:hAnsi="Verdana" w:cs="Arial"/>
          <w:color w:val="000000" w:themeColor="text1"/>
        </w:rPr>
        <w:t xml:space="preserve">a convocatoria a MiPymes </w:t>
      </w:r>
      <w:r w:rsidRPr="005B1F06">
        <w:rPr>
          <w:rFonts w:ascii="Verdana" w:eastAsia="Calibri" w:hAnsi="Verdana" w:cs="Arial"/>
          <w:color w:val="000000" w:themeColor="text1"/>
        </w:rPr>
        <w:t xml:space="preserve">es discrecional de la entidad, sin embargo, la decisión debe estar justificada en los correspondientes “estudios del sector”. Lo anterior por cuanto el </w:t>
      </w:r>
      <w:r w:rsidRPr="005B1F06">
        <w:rPr>
          <w:rFonts w:ascii="Verdana" w:hAnsi="Verdana" w:cs="Arial"/>
          <w:color w:val="000000" w:themeColor="text1"/>
        </w:rPr>
        <w:t xml:space="preserve">artículo 2.2.1.2.4.2.3. del Decreto 1082 de 2015, indicó que las </w:t>
      </w:r>
      <w:r w:rsidR="00EF6A17" w:rsidRPr="005B1F06">
        <w:rPr>
          <w:rFonts w:ascii="Verdana" w:hAnsi="Verdana" w:cs="Arial"/>
          <w:color w:val="000000" w:themeColor="text1"/>
        </w:rPr>
        <w:t>Mipymes</w:t>
      </w:r>
      <w:r w:rsidRPr="005B1F06">
        <w:rPr>
          <w:rFonts w:ascii="Verdana" w:eastAsia="Calibri" w:hAnsi="Verdana" w:cs="Arial"/>
          <w:color w:val="000000" w:themeColor="text1"/>
        </w:rPr>
        <w:t xml:space="preserve"> beneficiadas deben tener su domicilio principal en el municipio o departamento donde se ejecutará el contrato para poder participar en una convocatoria limitada territorialmente.</w:t>
      </w:r>
      <w:r w:rsidRPr="005B1F06">
        <w:rPr>
          <w:rStyle w:val="Refdenotaalpie"/>
          <w:rFonts w:ascii="Verdana" w:hAnsi="Verdana" w:cs="Arial"/>
          <w:color w:val="000000" w:themeColor="text1"/>
        </w:rPr>
        <w:footnoteReference w:id="7"/>
      </w:r>
      <w:r w:rsidRPr="005B1F06">
        <w:rPr>
          <w:rFonts w:ascii="Verdana" w:hAnsi="Verdana" w:cs="Arial"/>
          <w:color w:val="000000" w:themeColor="text1"/>
        </w:rPr>
        <w:t xml:space="preserve"> Esta tesis sigue 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w:t>
      </w:r>
    </w:p>
    <w:p w14:paraId="109B147D" w14:textId="1309490D" w:rsidR="00FC5D28" w:rsidRPr="005B1F06" w:rsidRDefault="00FC5D28" w:rsidP="00FC5D28">
      <w:pPr>
        <w:spacing w:after="120" w:line="276" w:lineRule="auto"/>
        <w:ind w:firstLine="709"/>
        <w:jc w:val="both"/>
        <w:rPr>
          <w:rFonts w:ascii="Verdana" w:eastAsia="Calibri" w:hAnsi="Verdana" w:cs="Arial"/>
          <w:color w:val="000000" w:themeColor="text1"/>
        </w:rPr>
      </w:pPr>
      <w:r w:rsidRPr="005B1F06">
        <w:rPr>
          <w:rFonts w:ascii="Verdana" w:hAnsi="Verdana" w:cs="Arial"/>
          <w:color w:val="000000" w:themeColor="text1"/>
        </w:rPr>
        <w:t>En tal sentido, s</w:t>
      </w:r>
      <w:r w:rsidRPr="005B1F06">
        <w:rPr>
          <w:rFonts w:ascii="Verdana" w:eastAsia="Calibri" w:hAnsi="Verdana" w:cs="Arial"/>
          <w:color w:val="000000" w:themeColor="text1"/>
        </w:rPr>
        <w:t>e debe tener presente que lo que sucede de pleno derecho es la</w:t>
      </w:r>
      <w:r w:rsidRPr="005B1F06">
        <w:rPr>
          <w:rFonts w:ascii="Verdana" w:hAnsi="Verdana" w:cs="Arial"/>
          <w:color w:val="000000" w:themeColor="text1"/>
        </w:rPr>
        <w:t xml:space="preserve"> limitación a </w:t>
      </w:r>
      <w:r w:rsidR="00E470F1" w:rsidRPr="005B1F06">
        <w:rPr>
          <w:rFonts w:ascii="Verdana" w:hAnsi="Verdana" w:cs="Arial"/>
          <w:color w:val="000000" w:themeColor="text1"/>
        </w:rPr>
        <w:t>Mipymes</w:t>
      </w:r>
      <w:r w:rsidRPr="005B1F06">
        <w:rPr>
          <w:rFonts w:ascii="Verdana" w:hAnsi="Verdana" w:cs="Arial"/>
          <w:color w:val="000000" w:themeColor="text1"/>
        </w:rPr>
        <w:t xml:space="preserve"> colombianas</w:t>
      </w:r>
      <w:r w:rsidRPr="005B1F06">
        <w:rPr>
          <w:rFonts w:ascii="Verdana" w:eastAsia="Calibri" w:hAnsi="Verdana" w:cs="Arial"/>
          <w:color w:val="000000" w:themeColor="text1"/>
        </w:rPr>
        <w:t xml:space="preserve"> a la que se refiere el artículo 2.2.1.2.4.2.2. del Decreto 1082 de 2015, pero no la “limitación territorial” referida en el artículo 2.2.1.2.4.2.3. </w:t>
      </w:r>
      <w:r w:rsidRPr="005B1F06">
        <w:rPr>
          <w:rFonts w:ascii="Verdana" w:eastAsia="Calibri" w:hAnsi="Verdana" w:cs="Arial"/>
          <w:i/>
          <w:iCs/>
          <w:color w:val="000000" w:themeColor="text1"/>
        </w:rPr>
        <w:t>ibídem</w:t>
      </w:r>
      <w:r w:rsidRPr="005B1F06">
        <w:rPr>
          <w:rFonts w:ascii="Verdana" w:eastAsia="Calibri" w:hAnsi="Verdana" w:cs="Arial"/>
          <w:color w:val="000000" w:themeColor="text1"/>
        </w:rPr>
        <w:t>, pues esta, como ya se dijo, es facultativa para la entidad. Las únicas exigencias son: i) que la convocatoria esté l</w:t>
      </w:r>
      <w:r w:rsidRPr="005B1F06">
        <w:rPr>
          <w:rFonts w:ascii="Verdana" w:hAnsi="Verdana" w:cs="Arial"/>
          <w:color w:val="000000" w:themeColor="text1"/>
        </w:rPr>
        <w:t xml:space="preserve">imitada a las </w:t>
      </w:r>
      <w:r w:rsidR="00180D43" w:rsidRPr="005B1F06">
        <w:rPr>
          <w:rFonts w:ascii="Verdana" w:hAnsi="Verdana" w:cs="Arial"/>
          <w:color w:val="000000" w:themeColor="text1"/>
        </w:rPr>
        <w:t>Mipymes</w:t>
      </w:r>
      <w:r w:rsidRPr="005B1F06">
        <w:rPr>
          <w:rFonts w:ascii="Verdana" w:hAnsi="Verdana" w:cs="Arial"/>
          <w:color w:val="000000" w:themeColor="text1"/>
        </w:rPr>
        <w:t xml:space="preserve"> colombianas</w:t>
      </w:r>
      <w:r w:rsidRPr="005B1F06">
        <w:rPr>
          <w:rFonts w:ascii="Verdana" w:eastAsia="Calibri" w:hAnsi="Verdana" w:cs="Arial"/>
          <w:color w:val="000000" w:themeColor="text1"/>
        </w:rPr>
        <w:t xml:space="preserve"> “domiciliadas en los departamentos o municipios en donde se va a ejecutar el contrato” y ii) que la entidad justifique su decisión en los “estudios del sector”. No es procedente, entonces, que sean las </w:t>
      </w:r>
      <w:r w:rsidR="00180D43" w:rsidRPr="005B1F06">
        <w:rPr>
          <w:rFonts w:ascii="Verdana" w:eastAsia="Calibri" w:hAnsi="Verdana" w:cs="Arial"/>
          <w:color w:val="000000" w:themeColor="text1"/>
        </w:rPr>
        <w:t>Mipymes</w:t>
      </w:r>
      <w:r w:rsidRPr="005B1F06">
        <w:rPr>
          <w:rFonts w:ascii="Verdana" w:eastAsia="Calibri" w:hAnsi="Verdana" w:cs="Arial"/>
          <w:color w:val="000000" w:themeColor="text1"/>
        </w:rPr>
        <w:t xml:space="preserve"> las que soliciten la “limitación territorial” a la que se refiere el artículo 2.2.1.2.4.2.3. del Decreto 1082 de 2015. </w:t>
      </w:r>
    </w:p>
    <w:p w14:paraId="286DCB17" w14:textId="2FEBAB31" w:rsidR="00FC5D28" w:rsidRPr="00A4749D" w:rsidRDefault="00FC5D28" w:rsidP="00FC5D28">
      <w:pPr>
        <w:spacing w:after="120" w:line="276" w:lineRule="auto"/>
        <w:ind w:firstLine="709"/>
        <w:jc w:val="both"/>
        <w:rPr>
          <w:rFonts w:ascii="Verdana" w:eastAsia="Calibri" w:hAnsi="Verdana" w:cs="Arial"/>
          <w:color w:val="000000" w:themeColor="text1"/>
        </w:rPr>
      </w:pPr>
      <w:r w:rsidRPr="005B1F06">
        <w:rPr>
          <w:rFonts w:ascii="Verdana" w:eastAsia="Calibri" w:hAnsi="Verdana" w:cs="Arial"/>
          <w:color w:val="000000" w:themeColor="text1"/>
        </w:rPr>
        <w:lastRenderedPageBreak/>
        <w:t>En tal sentido, se debe reite</w:t>
      </w:r>
      <w:r w:rsidRPr="005B1F06">
        <w:rPr>
          <w:rFonts w:ascii="Verdana" w:hAnsi="Verdana" w:cs="Arial"/>
          <w:color w:val="000000" w:themeColor="text1"/>
        </w:rPr>
        <w:t xml:space="preserve">rar que el origen de las </w:t>
      </w:r>
      <w:r w:rsidR="006D75FE" w:rsidRPr="005B1F06">
        <w:rPr>
          <w:rFonts w:ascii="Verdana" w:hAnsi="Verdana" w:cs="Arial"/>
          <w:color w:val="000000" w:themeColor="text1"/>
        </w:rPr>
        <w:t>Mipymes</w:t>
      </w:r>
      <w:r w:rsidRPr="005B1F06">
        <w:rPr>
          <w:rFonts w:ascii="Verdana" w:eastAsia="Calibri" w:hAnsi="Verdana" w:cs="Arial"/>
          <w:color w:val="000000" w:themeColor="text1"/>
        </w:rPr>
        <w:t xml:space="preserve"> que solicitan la “limitación territorial” no es relevante frente a dicha decisión, por dos razo</w:t>
      </w:r>
      <w:r w:rsidRPr="005B1F06">
        <w:rPr>
          <w:rFonts w:ascii="Verdana" w:hAnsi="Verdana" w:cs="Arial"/>
          <w:color w:val="000000" w:themeColor="text1"/>
        </w:rPr>
        <w:t>nes: primero, porque las MiPymes</w:t>
      </w:r>
      <w:r w:rsidRPr="005B1F06">
        <w:rPr>
          <w:rFonts w:ascii="Verdana" w:eastAsia="Calibri" w:hAnsi="Verdana" w:cs="Arial"/>
          <w:color w:val="000000" w:themeColor="text1"/>
        </w:rPr>
        <w:t xml:space="preserve"> no están habilitadas para pedir la “limitación territorial”, lo están para pedir la “convocatoria limitada a MiPymes”, y, segundo, porque el único criterio a tener en cuenta, una vez se ha decidido justificadamente</w:t>
      </w:r>
      <w:r w:rsidRPr="001D4AC1">
        <w:rPr>
          <w:rFonts w:ascii="Century Gothic" w:eastAsia="Calibri" w:hAnsi="Century Gothic" w:cs="Arial"/>
          <w:color w:val="000000" w:themeColor="text1"/>
        </w:rPr>
        <w:t xml:space="preserve"> </w:t>
      </w:r>
      <w:r w:rsidRPr="00A4749D">
        <w:rPr>
          <w:rFonts w:ascii="Verdana" w:eastAsia="Calibri" w:hAnsi="Verdana" w:cs="Arial"/>
          <w:color w:val="000000" w:themeColor="text1"/>
        </w:rPr>
        <w:t>limitar territorialmente la convocatori</w:t>
      </w:r>
      <w:r w:rsidRPr="00A4749D">
        <w:rPr>
          <w:rFonts w:ascii="Verdana" w:hAnsi="Verdana" w:cs="Arial"/>
          <w:color w:val="000000" w:themeColor="text1"/>
        </w:rPr>
        <w:t xml:space="preserve">a previamente limitada a </w:t>
      </w:r>
      <w:r w:rsidR="006D75FE" w:rsidRPr="00A4749D">
        <w:rPr>
          <w:rFonts w:ascii="Verdana" w:hAnsi="Verdana" w:cs="Arial"/>
          <w:color w:val="000000" w:themeColor="text1"/>
        </w:rPr>
        <w:t>Mipymes</w:t>
      </w:r>
      <w:r w:rsidRPr="00A4749D">
        <w:rPr>
          <w:rFonts w:ascii="Verdana" w:eastAsia="Calibri" w:hAnsi="Verdana" w:cs="Arial"/>
          <w:color w:val="000000" w:themeColor="text1"/>
        </w:rPr>
        <w:t>, es el lugar donde se va a ejecutar el contrato.</w:t>
      </w:r>
    </w:p>
    <w:p w14:paraId="1714F65E" w14:textId="1C5510C0" w:rsidR="00FC5D28" w:rsidRPr="00A4749D" w:rsidRDefault="00FC5D28" w:rsidP="005A75AB">
      <w:pPr>
        <w:spacing w:after="0" w:line="276" w:lineRule="auto"/>
        <w:ind w:firstLine="709"/>
        <w:jc w:val="both"/>
        <w:rPr>
          <w:rFonts w:ascii="Verdana" w:eastAsia="Arial" w:hAnsi="Verdana" w:cs="Arial"/>
          <w:color w:val="000000"/>
          <w:lang w:val="es-ES"/>
        </w:rPr>
      </w:pPr>
      <w:r w:rsidRPr="00A4749D">
        <w:rPr>
          <w:rFonts w:ascii="Verdana" w:eastAsia="Arial" w:hAnsi="Verdana" w:cs="Arial"/>
          <w:color w:val="000000" w:themeColor="text1"/>
          <w:lang w:val="es-ES"/>
        </w:rPr>
        <w:t xml:space="preserve">Conviene, igualmente, precisar que el domicilio de la </w:t>
      </w:r>
      <w:r w:rsidR="000266FB" w:rsidRPr="00A4749D">
        <w:rPr>
          <w:rFonts w:ascii="Verdana" w:eastAsia="Arial" w:hAnsi="Verdana" w:cs="Arial"/>
          <w:color w:val="000000" w:themeColor="text1"/>
          <w:lang w:val="es-ES"/>
        </w:rPr>
        <w:t>Mipymes</w:t>
      </w:r>
      <w:r w:rsidRPr="00A4749D">
        <w:rPr>
          <w:rFonts w:ascii="Verdana" w:eastAsia="Arial" w:hAnsi="Verdana" w:cs="Arial"/>
          <w:color w:val="000000" w:themeColor="text1"/>
          <w:lang w:val="es-ES"/>
        </w:rPr>
        <w:t xml:space="preserve"> que quiera participar en una convocatoria limitada territorialmente se acredita con los documentos definidos en el artículo 2.2.1.2.4.2.4. del Decreto 1082 de 2015, modificado por el Decreto 1860 de 2021, en el cual se establecen los requisitos para participar en convocatorias que hayan sido limitadas a MiPymes. De igual manera, en el parágrafo 2 de dicho artículo se definen los requisitos que deben acompañar la solicitud de limitación a </w:t>
      </w:r>
      <w:r w:rsidR="009239D7" w:rsidRPr="00A4749D">
        <w:rPr>
          <w:rFonts w:ascii="Verdana" w:eastAsia="Arial" w:hAnsi="Verdana" w:cs="Arial"/>
          <w:color w:val="000000" w:themeColor="text1"/>
          <w:lang w:val="es-ES"/>
        </w:rPr>
        <w:t>Mipymes</w:t>
      </w:r>
      <w:r w:rsidRPr="00A4749D">
        <w:rPr>
          <w:rFonts w:ascii="Verdana" w:eastAsia="Arial" w:hAnsi="Verdana" w:cs="Arial"/>
          <w:color w:val="000000" w:themeColor="text1"/>
          <w:lang w:val="es-ES"/>
        </w:rPr>
        <w:t>, al siguiente tenor:</w:t>
      </w:r>
    </w:p>
    <w:p w14:paraId="4C474C96" w14:textId="77777777" w:rsidR="000266FB" w:rsidRDefault="000266FB" w:rsidP="005A75AB">
      <w:pPr>
        <w:spacing w:after="0"/>
        <w:ind w:left="709" w:right="709"/>
        <w:jc w:val="both"/>
        <w:rPr>
          <w:rFonts w:ascii="Verdana" w:hAnsi="Verdana" w:cs="Arial"/>
          <w:sz w:val="20"/>
          <w:szCs w:val="20"/>
          <w:shd w:val="clear" w:color="auto" w:fill="FFFFFF"/>
        </w:rPr>
      </w:pPr>
    </w:p>
    <w:p w14:paraId="1A3C32CB" w14:textId="002FFE9C" w:rsidR="00FC5D28" w:rsidRDefault="00FC5D28" w:rsidP="000266FB">
      <w:pPr>
        <w:spacing w:after="0"/>
        <w:ind w:left="709" w:right="709"/>
        <w:jc w:val="both"/>
        <w:rPr>
          <w:rFonts w:ascii="Verdana" w:hAnsi="Verdana" w:cs="Arial"/>
          <w:sz w:val="20"/>
          <w:szCs w:val="20"/>
          <w:shd w:val="clear" w:color="auto" w:fill="FFFFFF"/>
        </w:rPr>
      </w:pPr>
      <w:r w:rsidRPr="00A4749D">
        <w:rPr>
          <w:rFonts w:ascii="Verdana" w:hAnsi="Verdana" w:cs="Arial"/>
          <w:sz w:val="20"/>
          <w:szCs w:val="20"/>
          <w:shd w:val="clear" w:color="auto" w:fill="FFFFFF"/>
        </w:rPr>
        <w:t xml:space="preserve">Para efectos de la limitación a MiPymes,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w:t>
      </w:r>
      <w:r w:rsidRPr="00A4749D">
        <w:rPr>
          <w:rFonts w:ascii="Verdana" w:hAnsi="Verdana" w:cs="Arial"/>
          <w:i/>
          <w:sz w:val="20"/>
          <w:szCs w:val="20"/>
          <w:shd w:val="clear" w:color="auto" w:fill="FFFFFF"/>
        </w:rPr>
        <w:t>para solicitar la convocatoria limitada</w:t>
      </w:r>
      <w:r w:rsidRPr="00A4749D">
        <w:rPr>
          <w:rFonts w:ascii="Verdana" w:hAnsi="Verdana" w:cs="Arial"/>
          <w:sz w:val="20"/>
          <w:szCs w:val="20"/>
          <w:shd w:val="clear" w:color="auto" w:fill="FFFFFF"/>
        </w:rPr>
        <w:t>. (Cursivas fuera del texto).</w:t>
      </w:r>
    </w:p>
    <w:p w14:paraId="14F8F883" w14:textId="77777777" w:rsidR="0087199B" w:rsidRDefault="0087199B" w:rsidP="0087199B">
      <w:pPr>
        <w:spacing w:after="0" w:line="276" w:lineRule="auto"/>
        <w:ind w:firstLine="709"/>
        <w:jc w:val="both"/>
        <w:rPr>
          <w:rFonts w:ascii="Verdana" w:eastAsia="Calibri" w:hAnsi="Verdana" w:cs="Arial"/>
          <w:lang w:val="es-ES"/>
        </w:rPr>
      </w:pPr>
    </w:p>
    <w:p w14:paraId="3052E944" w14:textId="2BBD49AF" w:rsidR="0087199B" w:rsidRPr="005A75AB" w:rsidRDefault="0087199B" w:rsidP="0087199B">
      <w:pPr>
        <w:spacing w:after="120" w:line="276" w:lineRule="auto"/>
        <w:ind w:firstLine="709"/>
        <w:jc w:val="both"/>
        <w:rPr>
          <w:rFonts w:ascii="Verdana" w:eastAsia="Calibri" w:hAnsi="Verdana" w:cs="Arial"/>
          <w:lang w:val="es-ES"/>
        </w:rPr>
      </w:pPr>
      <w:r w:rsidRPr="005A75AB">
        <w:rPr>
          <w:rFonts w:ascii="Verdana" w:eastAsia="Calibri" w:hAnsi="Verdana" w:cs="Arial"/>
          <w:lang w:val="es-ES"/>
        </w:rPr>
        <w:t xml:space="preserve">Con todo, respecto del objeto de la consulta es preciso advertir que, el ejercicio de la facultad discrecional en orden de aplicar la limitación territorial en favor de las Mipymes con domicilio en un municipio </w:t>
      </w:r>
      <w:r>
        <w:rPr>
          <w:rFonts w:ascii="Verdana" w:eastAsia="Calibri" w:hAnsi="Verdana" w:cs="Arial"/>
          <w:lang w:val="es-ES"/>
        </w:rPr>
        <w:t xml:space="preserve">o </w:t>
      </w:r>
      <w:r w:rsidRPr="005A75AB">
        <w:rPr>
          <w:rFonts w:ascii="Verdana" w:eastAsia="Calibri" w:hAnsi="Verdana" w:cs="Arial"/>
          <w:lang w:val="es-ES"/>
        </w:rPr>
        <w:t xml:space="preserve">en un departamento específico debe hacerse dentro del marco de lo regulado por el artículo 2.2.1.2.4.2.3 </w:t>
      </w:r>
      <w:r w:rsidRPr="005A75AB">
        <w:rPr>
          <w:rFonts w:ascii="Verdana" w:eastAsia="Calibri" w:hAnsi="Verdana" w:cs="Arial"/>
          <w:i/>
          <w:iCs/>
          <w:lang w:val="es-ES"/>
        </w:rPr>
        <w:t>ejusdem</w:t>
      </w:r>
      <w:r w:rsidRPr="005A75AB">
        <w:rPr>
          <w:rFonts w:ascii="Verdana" w:eastAsia="Calibri" w:hAnsi="Verdana" w:cs="Arial"/>
          <w:lang w:val="es-ES"/>
        </w:rPr>
        <w:t xml:space="preserve">, el cual establece como presupuesto para que las Mipymes tengan su domicilio en el lugar en donde se va a ejecutar el contrato. Esto significa que, en el marco de estas convocatorias, la exigibilidad de que el domicilio de las Mipymes se ubique en un único municipio en particular o en alguno de los municipios que conforman un departamento en concreto, está ligada al ámbito territorial en el que se va a desarrollar el objeto contractual. </w:t>
      </w:r>
    </w:p>
    <w:p w14:paraId="77CB9876" w14:textId="77777777" w:rsidR="0087199B" w:rsidRPr="005A75AB" w:rsidRDefault="0087199B" w:rsidP="0087199B">
      <w:pPr>
        <w:spacing w:line="276" w:lineRule="auto"/>
        <w:ind w:firstLine="708"/>
        <w:jc w:val="both"/>
        <w:rPr>
          <w:rFonts w:ascii="Verdana" w:eastAsia="Calibri" w:hAnsi="Verdana" w:cs="Arial"/>
          <w:lang w:val="es-ES"/>
        </w:rPr>
      </w:pPr>
      <w:r w:rsidRPr="005A75AB">
        <w:rPr>
          <w:rFonts w:ascii="Verdana" w:eastAsia="Calibri" w:hAnsi="Verdana" w:cs="Arial"/>
          <w:lang w:val="es-ES"/>
        </w:rPr>
        <w:t xml:space="preserve">De este modo, en el caso de un contrato que se va a ejecutar en su totalidad dentro del territorio de un municipio, la limitación territorial debe aplicarse en favor de las Mipyme que tengan su domicilio principal en dicha entidad territorial. En atención al mismo criterio, en el caso de un contrato cuya ejecución trasciende el ámbito municipal, extendiéndose a los diferentes </w:t>
      </w:r>
      <w:r w:rsidRPr="005A75AB">
        <w:rPr>
          <w:rFonts w:ascii="Verdana" w:eastAsia="Calibri" w:hAnsi="Verdana" w:cs="Arial"/>
          <w:lang w:val="es-ES"/>
        </w:rPr>
        <w:lastRenderedPageBreak/>
        <w:t xml:space="preserve">municipios del departamento, resultará valido que la entidad que realiza la convocatoria la limite a las empresas que tengan su domicilio principal en alguno de los diferentes municipios que conforman el respectivo departamento, bajo el presupuesto de que estos se encuentran ubicados dentro del ámbito territorial en donde deberá cumplirse con el objeto contractual.   </w:t>
      </w:r>
    </w:p>
    <w:p w14:paraId="58A4E100" w14:textId="7B1E050A" w:rsidR="0087199B" w:rsidRPr="001261BC" w:rsidRDefault="00025033" w:rsidP="0087199B">
      <w:pPr>
        <w:spacing w:before="120" w:line="276" w:lineRule="auto"/>
        <w:ind w:firstLine="709"/>
        <w:jc w:val="both"/>
        <w:rPr>
          <w:rFonts w:ascii="Verdana" w:eastAsia="Calibri" w:hAnsi="Verdana" w:cs="Arial"/>
          <w:lang w:eastAsia="es-MX"/>
        </w:rPr>
      </w:pPr>
      <w:r>
        <w:rPr>
          <w:rFonts w:ascii="Verdana" w:eastAsia="Calibri" w:hAnsi="Verdana" w:cs="Arial"/>
          <w:lang w:val="es-MX"/>
        </w:rPr>
        <w:t xml:space="preserve">Así las cosas, </w:t>
      </w:r>
      <w:r w:rsidR="0087199B" w:rsidRPr="001261BC">
        <w:rPr>
          <w:rFonts w:ascii="Verdana" w:eastAsia="Calibri" w:hAnsi="Verdana" w:cs="Arial"/>
          <w:lang w:val="es-MX"/>
        </w:rPr>
        <w:t>e</w:t>
      </w:r>
      <w:r w:rsidR="0087199B" w:rsidRPr="001261BC">
        <w:rPr>
          <w:rFonts w:ascii="Verdana" w:eastAsia="Calibri" w:hAnsi="Verdana" w:cs="Arial"/>
        </w:rPr>
        <w:t xml:space="preserve">sta Agencia considera que lo recomendable es que las entidades establezcan </w:t>
      </w:r>
      <w:r w:rsidR="0087199B" w:rsidRPr="001261BC">
        <w:rPr>
          <w:rFonts w:ascii="Verdana" w:eastAsia="Calibri" w:hAnsi="Verdana" w:cs="Arial"/>
          <w:i/>
          <w:iCs/>
        </w:rPr>
        <w:t>ex ante</w:t>
      </w:r>
      <w:r w:rsidR="0087199B" w:rsidRPr="001261BC">
        <w:rPr>
          <w:rFonts w:ascii="Verdana" w:eastAsia="Calibri" w:hAnsi="Verdana" w:cs="Arial"/>
        </w:rPr>
        <w:t xml:space="preserve"> las condiciones en las que, eventualmente, harían la </w:t>
      </w:r>
      <w:r>
        <w:rPr>
          <w:rFonts w:ascii="Verdana" w:eastAsia="Calibri" w:hAnsi="Verdana" w:cs="Arial"/>
        </w:rPr>
        <w:t>“</w:t>
      </w:r>
      <w:r w:rsidR="0087199B" w:rsidRPr="001261BC">
        <w:rPr>
          <w:rFonts w:ascii="Verdana" w:eastAsia="Calibri" w:hAnsi="Verdana" w:cs="Arial"/>
        </w:rPr>
        <w:t>limitación territorial</w:t>
      </w:r>
      <w:r>
        <w:rPr>
          <w:rFonts w:ascii="Verdana" w:eastAsia="Calibri" w:hAnsi="Verdana" w:cs="Arial"/>
        </w:rPr>
        <w:t>”</w:t>
      </w:r>
      <w:r w:rsidR="0087199B" w:rsidRPr="001261BC">
        <w:rPr>
          <w:rFonts w:ascii="Verdana" w:eastAsia="Calibri" w:hAnsi="Verdana" w:cs="Arial"/>
        </w:rPr>
        <w:t xml:space="preserve">. Para tales fines, en </w:t>
      </w:r>
      <w:r w:rsidR="00E56231">
        <w:rPr>
          <w:rFonts w:ascii="Verdana" w:eastAsia="Calibri" w:hAnsi="Verdana" w:cs="Arial"/>
        </w:rPr>
        <w:t xml:space="preserve">los documentos del proceso </w:t>
      </w:r>
      <w:r w:rsidR="0087199B" w:rsidRPr="001261BC">
        <w:rPr>
          <w:rFonts w:ascii="Verdana" w:eastAsia="Calibri" w:hAnsi="Verdana" w:cs="Arial"/>
        </w:rPr>
        <w:t xml:space="preserve">podrían establecer claramente los términos de dicha limitación, los supuestos que darían lugar a su aplicación y, sobre todo, la forma como procedería la entidad si decide optar por limitar territorialmente la convocatoria en que se cumplan los presupuestos para ser limitada a </w:t>
      </w:r>
      <w:r w:rsidR="00E56231" w:rsidRPr="00E56231">
        <w:rPr>
          <w:rFonts w:ascii="Verdana" w:eastAsia="Calibri" w:hAnsi="Verdana" w:cs="Arial"/>
        </w:rPr>
        <w:t>Mipymes</w:t>
      </w:r>
      <w:r w:rsidR="0087199B" w:rsidRPr="001261BC">
        <w:rPr>
          <w:rFonts w:ascii="Verdana" w:eastAsia="Calibri" w:hAnsi="Verdana" w:cs="Arial"/>
        </w:rPr>
        <w:t>, por ejemplo, en relación con cuál o cuáles municipios o departamentos harían la limitación territorial de que trata el artículo 2.2.1.2.4.2.3. del Decreto 1082 de 2015.</w:t>
      </w:r>
    </w:p>
    <w:p w14:paraId="12754388" w14:textId="300E2A9A" w:rsidR="00FC5D28" w:rsidRPr="00A4749D" w:rsidRDefault="00FC5D28" w:rsidP="009239D7">
      <w:pPr>
        <w:spacing w:after="0" w:line="276" w:lineRule="auto"/>
        <w:ind w:firstLine="709"/>
        <w:jc w:val="both"/>
        <w:rPr>
          <w:rFonts w:ascii="Verdana" w:eastAsia="Calibri" w:hAnsi="Verdana" w:cs="Arial"/>
          <w:lang w:val="es-ES"/>
        </w:rPr>
      </w:pPr>
      <w:r w:rsidRPr="00A4749D">
        <w:rPr>
          <w:rFonts w:ascii="Verdana" w:eastAsia="Calibri" w:hAnsi="Verdana" w:cs="Arial"/>
          <w:lang w:val="es-ES"/>
        </w:rPr>
        <w:t xml:space="preserve">Por último, según se explicó con anterioridad, actualmente el procedimiento de mínima cuantía se encuentra reglamentado por el artículo 2.2.1.2.1.5.2. del Decreto 1082 de 2015, modificado por el artículo 2 del Decreto 1860 de 2021. El numeral 3 del artículo en mención establece que “La invitación se publicará por un término no inferior a un (1) día hábil para que los interesados se informen de su contenido y formulen observaciones o comentarios […]” y que “De conformidad con el parágrafo del presente artículo, dentro del mismo término para formular observaciones se podrán presentar las solicitudes para limitar la convocatoria a MiPymes colombianas”. Adicionalmente, el numeral 4 dispone que en el cronograma se debe señalar “El momento en que publicará un aviso en el SECOP precisando si el proceso efectivamente se limitó a MiPymes o si podrá participar cualquier otro interesado”. Por otra parte, también es importante tener en cuenta el parágrafo del artículo 2.2.1.2.1.5.2., a cuyo tenor: </w:t>
      </w:r>
    </w:p>
    <w:p w14:paraId="3AE33D53" w14:textId="77777777" w:rsidR="009239D7" w:rsidRPr="0087199B" w:rsidRDefault="009239D7" w:rsidP="001261BC">
      <w:pPr>
        <w:spacing w:after="0" w:line="276" w:lineRule="auto"/>
        <w:ind w:firstLine="709"/>
        <w:jc w:val="both"/>
        <w:rPr>
          <w:rFonts w:ascii="Verdana" w:eastAsia="Calibri" w:hAnsi="Verdana" w:cs="Arial"/>
          <w:lang w:val="es-ES"/>
        </w:rPr>
      </w:pPr>
    </w:p>
    <w:p w14:paraId="37AC6B35" w14:textId="77777777" w:rsidR="00FC5D28" w:rsidRPr="00A4749D" w:rsidRDefault="00FC5D28" w:rsidP="00FC5D28">
      <w:pPr>
        <w:ind w:left="709" w:right="709"/>
        <w:jc w:val="both"/>
        <w:rPr>
          <w:rFonts w:ascii="Verdana" w:eastAsia="Calibri" w:hAnsi="Verdana" w:cs="Arial"/>
          <w:sz w:val="20"/>
          <w:szCs w:val="20"/>
        </w:rPr>
      </w:pPr>
      <w:r w:rsidRPr="00A4749D">
        <w:rPr>
          <w:rFonts w:ascii="Verdana" w:eastAsia="Calibri" w:hAnsi="Verdana" w:cs="Arial"/>
          <w:sz w:val="20"/>
          <w:szCs w:val="20"/>
        </w:rPr>
        <w:t>De conformidad con el parágrafo 1 del artículo 30 y el artículo 34 de la Ley 2069 de 2020, en estos procedimientos de selección para MiPymes se aplicará lo prescrito en los artículos 2.2.1.2.4.2.2 a 2.2.1.2.4.2.4 de este Decreto. No obstante, de conformidad con el numeral 3 del presente artículo, las solicitudes para limitar el proceso a MiPymes se recibirán durante el término previsto en dicho numeral. Además, en el aviso de que trata el numeral 4 de este artículo se indicará si en el proceso aplican las limitaciones territoriales de que trata el artículo 2.2.1.2.4.2.3 o si podrá participar cualquier MiPymes nacional.</w:t>
      </w:r>
    </w:p>
    <w:p w14:paraId="6C99AFEF" w14:textId="7208BF50" w:rsidR="00FC5D28" w:rsidRPr="00A4749D" w:rsidRDefault="00FC5D28" w:rsidP="00FC5D28">
      <w:pPr>
        <w:spacing w:after="120" w:line="276" w:lineRule="auto"/>
        <w:ind w:firstLine="708"/>
        <w:jc w:val="both"/>
        <w:rPr>
          <w:rFonts w:ascii="Verdana" w:eastAsia="Calibri" w:hAnsi="Verdana" w:cs="Arial"/>
          <w:lang w:val="es-ES"/>
        </w:rPr>
      </w:pPr>
      <w:r w:rsidRPr="00A4749D">
        <w:rPr>
          <w:rFonts w:ascii="Verdana" w:eastAsia="Calibri" w:hAnsi="Verdana" w:cs="Arial"/>
          <w:lang w:val="es-ES"/>
        </w:rPr>
        <w:lastRenderedPageBreak/>
        <w:t>Con base en lo anterior, en el procedimiento de mínima cuantía, la limitac</w:t>
      </w:r>
      <w:r w:rsidRPr="00A4749D">
        <w:rPr>
          <w:rFonts w:ascii="Verdana" w:hAnsi="Verdana" w:cs="Arial"/>
          <w:lang w:val="es-ES"/>
        </w:rPr>
        <w:t xml:space="preserve">ión de la convocatoria a </w:t>
      </w:r>
      <w:r w:rsidR="000074D5" w:rsidRPr="00A4749D">
        <w:rPr>
          <w:rFonts w:ascii="Verdana" w:hAnsi="Verdana" w:cs="Arial"/>
          <w:lang w:val="es-ES"/>
        </w:rPr>
        <w:t>Mipymes</w:t>
      </w:r>
      <w:r w:rsidRPr="00A4749D">
        <w:rPr>
          <w:rFonts w:ascii="Verdana" w:eastAsia="Calibri" w:hAnsi="Verdana" w:cs="Arial"/>
          <w:lang w:val="es-ES"/>
        </w:rPr>
        <w:t xml:space="preserve"> se debe hacer mediante la publicación de un aviso en el SECOP, luego de analizadas las solicitudes presentadas dentro del término de publicación de la invitación previsto en el numeral 3 del artículo 2.2.1.2.1.5.2. del Decreto 1082 de 2015, modificado por el artículo 2 del Decreto 1860 de 2021. De igual modo, en dicho aviso, se deberá indicar si en el proceso pueden participar las MiPymes domiciliadas en el municipio o departamento, según corresponda, o cualquier MiPymes nacional. </w:t>
      </w:r>
    </w:p>
    <w:p w14:paraId="5EFF624D" w14:textId="77777777" w:rsidR="00FC5D28" w:rsidRPr="00A4749D" w:rsidRDefault="00FC5D28" w:rsidP="00FC5D28">
      <w:pPr>
        <w:spacing w:after="0"/>
        <w:ind w:firstLine="709"/>
        <w:jc w:val="both"/>
        <w:rPr>
          <w:rFonts w:ascii="Verdana" w:eastAsia="Calibri" w:hAnsi="Verdana" w:cs="Arial"/>
        </w:rPr>
      </w:pPr>
      <w:r>
        <w:rPr>
          <w:rFonts w:ascii="Verdana" w:hAnsi="Verdana" w:cs="Arial"/>
          <w:color w:val="000000" w:themeColor="text1"/>
        </w:rPr>
        <w:t>En conclusión</w:t>
      </w:r>
      <w:r w:rsidRPr="00A4749D">
        <w:rPr>
          <w:rFonts w:ascii="Verdana" w:hAnsi="Verdana" w:cs="Arial"/>
          <w:color w:val="000000" w:themeColor="text1"/>
        </w:rPr>
        <w:t xml:space="preserve">, </w:t>
      </w:r>
      <w:r w:rsidRPr="00A4749D">
        <w:rPr>
          <w:rFonts w:ascii="Verdana" w:eastAsia="Calibri" w:hAnsi="Verdana" w:cs="Arial"/>
          <w:color w:val="000000" w:themeColor="text1"/>
        </w:rPr>
        <w:t>lo que debe adoptarse obligatoriamente es la</w:t>
      </w:r>
      <w:r w:rsidRPr="00A4749D">
        <w:rPr>
          <w:rFonts w:ascii="Verdana" w:hAnsi="Verdana" w:cs="Arial"/>
          <w:color w:val="000000" w:themeColor="text1"/>
        </w:rPr>
        <w:t xml:space="preserve"> limitación a MiPymes colombianas</w:t>
      </w:r>
      <w:r w:rsidRPr="00A4749D">
        <w:rPr>
          <w:rFonts w:ascii="Verdana" w:eastAsia="Calibri" w:hAnsi="Verdana" w:cs="Arial"/>
          <w:color w:val="000000" w:themeColor="text1"/>
        </w:rPr>
        <w:t xml:space="preserve"> siempre que se cumplan las condiciones del artículo 2.2.1.2.4.2.2 del Decreto 1082 de 2015, pero no la “limitación territorial” referida en el artículo 2.2.1.2.4.2.3 </w:t>
      </w:r>
      <w:r w:rsidRPr="00A4749D">
        <w:rPr>
          <w:rFonts w:ascii="Verdana" w:eastAsia="Calibri" w:hAnsi="Verdana" w:cs="Arial"/>
          <w:i/>
          <w:iCs/>
          <w:color w:val="000000" w:themeColor="text1"/>
        </w:rPr>
        <w:t>ibídem</w:t>
      </w:r>
      <w:r w:rsidRPr="00A4749D">
        <w:rPr>
          <w:rFonts w:ascii="Verdana" w:eastAsia="Calibri" w:hAnsi="Verdana" w:cs="Arial"/>
          <w:color w:val="000000" w:themeColor="text1"/>
        </w:rPr>
        <w:t>, pues esta es facultativa para la Entidad. Las únicas exigencias son que la convocatoria esté l</w:t>
      </w:r>
      <w:r w:rsidRPr="00A4749D">
        <w:rPr>
          <w:rFonts w:ascii="Verdana" w:hAnsi="Verdana" w:cs="Arial"/>
          <w:color w:val="000000" w:themeColor="text1"/>
        </w:rPr>
        <w:t>imitada a las Mipyme colombianas</w:t>
      </w:r>
      <w:r w:rsidRPr="00A4749D">
        <w:rPr>
          <w:rFonts w:ascii="Verdana" w:eastAsia="Calibri" w:hAnsi="Verdana" w:cs="Arial"/>
          <w:color w:val="000000" w:themeColor="text1"/>
        </w:rPr>
        <w:t xml:space="preserve"> “domiciliadas en los departamentos o municipios en donde se va a ejecutar el contrato” y que la entidad justifique su decisión con base en los “estudios del sector”</w:t>
      </w:r>
      <w:r w:rsidRPr="00C02F37">
        <w:rPr>
          <w:rStyle w:val="Refdenotaalpie"/>
          <w:rFonts w:ascii="Verdana" w:eastAsia="Calibri" w:hAnsi="Verdana" w:cs="Arial"/>
          <w:color w:val="000000" w:themeColor="text1"/>
        </w:rPr>
        <w:footnoteReference w:id="8"/>
      </w:r>
      <w:r>
        <w:rPr>
          <w:rFonts w:ascii="Verdana" w:eastAsia="Calibri" w:hAnsi="Verdana" w:cs="Arial"/>
          <w:color w:val="000000" w:themeColor="text1"/>
        </w:rPr>
        <w:t>.</w:t>
      </w:r>
      <w:r w:rsidRPr="00A4749D">
        <w:rPr>
          <w:rFonts w:ascii="Verdana" w:eastAsia="Calibri" w:hAnsi="Verdana" w:cs="Arial"/>
          <w:color w:val="000000" w:themeColor="text1"/>
        </w:rPr>
        <w:t xml:space="preserve"> No es procedente, entonces, que sean las MiPymes las que soliciten la “limitación territorial” a la que se refiere el artículo 2.2.1.2.4.2.3 del Decreto 1082 de 2015. </w:t>
      </w:r>
    </w:p>
    <w:p w14:paraId="066B1531" w14:textId="77777777" w:rsidR="00FC5D28" w:rsidRPr="00542EFB" w:rsidRDefault="00FC5D28" w:rsidP="00FC5D28">
      <w:pPr>
        <w:spacing w:after="0" w:line="276" w:lineRule="auto"/>
        <w:jc w:val="both"/>
        <w:rPr>
          <w:rFonts w:ascii="Verdana" w:eastAsia="Calibri" w:hAnsi="Verdana" w:cs="Arial"/>
          <w:lang w:val="es-ES"/>
        </w:rPr>
      </w:pPr>
    </w:p>
    <w:bookmarkEnd w:id="1"/>
    <w:p w14:paraId="5518BDE2" w14:textId="77777777" w:rsidR="00FC5D28" w:rsidRPr="00ED7249" w:rsidRDefault="00FC5D28" w:rsidP="000074D5">
      <w:pPr>
        <w:spacing w:after="0" w:line="276" w:lineRule="auto"/>
        <w:jc w:val="both"/>
        <w:rPr>
          <w:rFonts w:ascii="Verdana" w:eastAsia="Century Gothic" w:hAnsi="Verdana" w:cs="Century Gothic"/>
          <w:b/>
          <w:bCs/>
        </w:rPr>
      </w:pPr>
      <w:r>
        <w:rPr>
          <w:rFonts w:ascii="Verdana" w:eastAsia="Century Gothic" w:hAnsi="Verdana" w:cs="Century Gothic"/>
          <w:b/>
          <w:bCs/>
        </w:rPr>
        <w:t xml:space="preserve">4. </w:t>
      </w:r>
      <w:r w:rsidRPr="00F71A6A">
        <w:rPr>
          <w:rFonts w:ascii="Verdana" w:eastAsia="Century Gothic" w:hAnsi="Verdana" w:cs="Century Gothic"/>
          <w:b/>
          <w:bCs/>
        </w:rPr>
        <w:t>Referencias normativas, jurisprudenciales y otras fuentes:</w:t>
      </w:r>
    </w:p>
    <w:p w14:paraId="570CC53F" w14:textId="77777777" w:rsidR="005A1810" w:rsidRPr="000074D5" w:rsidRDefault="005A1810" w:rsidP="001261BC">
      <w:pPr>
        <w:spacing w:after="0" w:line="276" w:lineRule="auto"/>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C5D28" w:rsidRPr="00F71A6A" w14:paraId="0D276176" w14:textId="77777777" w:rsidTr="00A82F73">
        <w:trPr>
          <w:trHeight w:val="632"/>
        </w:trPr>
        <w:tc>
          <w:tcPr>
            <w:tcW w:w="8647" w:type="dxa"/>
          </w:tcPr>
          <w:p w14:paraId="31397313" w14:textId="77777777" w:rsidR="00FC5D28" w:rsidRPr="00126826" w:rsidRDefault="00FC5D28" w:rsidP="001261BC">
            <w:pPr>
              <w:pStyle w:val="Prrafodelista"/>
              <w:numPr>
                <w:ilvl w:val="0"/>
                <w:numId w:val="17"/>
              </w:numPr>
              <w:spacing w:line="276" w:lineRule="auto"/>
              <w:contextualSpacing w:val="0"/>
              <w:jc w:val="both"/>
              <w:rPr>
                <w:rFonts w:ascii="Verdana" w:eastAsia="Calibri" w:hAnsi="Verdana" w:cs="Arial"/>
                <w:lang w:val="es-ES_tradnl"/>
              </w:rPr>
            </w:pPr>
            <w:r w:rsidRPr="00126826">
              <w:rPr>
                <w:rFonts w:ascii="Verdana" w:eastAsia="Calibri" w:hAnsi="Verdana" w:cs="Arial"/>
                <w:lang w:val="es-ES_tradnl"/>
              </w:rPr>
              <w:t xml:space="preserve">Código de Comercio. Artículos 110, 111 y 263. </w:t>
            </w:r>
          </w:p>
          <w:p w14:paraId="04006FEE" w14:textId="77777777" w:rsidR="00FC5D28" w:rsidRPr="00126826" w:rsidRDefault="00FC5D28" w:rsidP="001261BC">
            <w:pPr>
              <w:pStyle w:val="Prrafodelista"/>
              <w:numPr>
                <w:ilvl w:val="0"/>
                <w:numId w:val="17"/>
              </w:numPr>
              <w:spacing w:line="276" w:lineRule="auto"/>
              <w:contextualSpacing w:val="0"/>
              <w:jc w:val="both"/>
              <w:rPr>
                <w:rFonts w:ascii="Verdana" w:hAnsi="Verdana"/>
              </w:rPr>
            </w:pPr>
            <w:r w:rsidRPr="00126826">
              <w:rPr>
                <w:rFonts w:ascii="Verdana" w:eastAsia="Calibri" w:hAnsi="Verdana" w:cs="Arial"/>
                <w:lang w:val="es-ES_tradnl"/>
              </w:rPr>
              <w:t>Ley 590 de 2000</w:t>
            </w:r>
            <w:r>
              <w:rPr>
                <w:rFonts w:ascii="Verdana" w:eastAsia="Calibri" w:hAnsi="Verdana" w:cs="Arial"/>
                <w:lang w:val="es-ES_tradnl"/>
              </w:rPr>
              <w:t>.</w:t>
            </w:r>
          </w:p>
          <w:p w14:paraId="1FD2B0A4" w14:textId="77777777" w:rsidR="00FC5D28" w:rsidRPr="00126826" w:rsidRDefault="00FC5D28" w:rsidP="001261BC">
            <w:pPr>
              <w:pStyle w:val="Prrafodelista"/>
              <w:numPr>
                <w:ilvl w:val="0"/>
                <w:numId w:val="17"/>
              </w:numPr>
              <w:spacing w:line="276" w:lineRule="auto"/>
              <w:contextualSpacing w:val="0"/>
              <w:jc w:val="both"/>
              <w:rPr>
                <w:rFonts w:ascii="Verdana" w:hAnsi="Verdana"/>
              </w:rPr>
            </w:pPr>
            <w:r w:rsidRPr="00126826">
              <w:rPr>
                <w:rFonts w:ascii="Verdana" w:hAnsi="Verdana"/>
              </w:rPr>
              <w:t xml:space="preserve">Ley 1150 de 2007. Artículo 2 numeral 5. </w:t>
            </w:r>
          </w:p>
          <w:p w14:paraId="70CF3960" w14:textId="77777777" w:rsidR="00FC5D28" w:rsidRPr="00126826" w:rsidRDefault="00FC5D28" w:rsidP="001261BC">
            <w:pPr>
              <w:pStyle w:val="Prrafodelista"/>
              <w:numPr>
                <w:ilvl w:val="0"/>
                <w:numId w:val="17"/>
              </w:numPr>
              <w:spacing w:line="276" w:lineRule="auto"/>
              <w:contextualSpacing w:val="0"/>
              <w:jc w:val="both"/>
              <w:rPr>
                <w:rFonts w:ascii="Verdana" w:hAnsi="Verdana"/>
              </w:rPr>
            </w:pPr>
            <w:r w:rsidRPr="00126826">
              <w:rPr>
                <w:rFonts w:ascii="Verdana" w:hAnsi="Verdana"/>
              </w:rPr>
              <w:lastRenderedPageBreak/>
              <w:t xml:space="preserve">Decreto 1082 de 2015. Artículos </w:t>
            </w:r>
            <w:r w:rsidRPr="00126826">
              <w:rPr>
                <w:rFonts w:ascii="Verdana" w:hAnsi="Verdana" w:cs="Arial"/>
                <w:bCs/>
                <w:lang w:eastAsia="es-ES"/>
              </w:rPr>
              <w:t xml:space="preserve">2.2.1.2.4.2.2., 2.2.1.2.4.2.3., 2.2.1.2.4.2.4., </w:t>
            </w:r>
            <w:r w:rsidRPr="00126826">
              <w:rPr>
                <w:rFonts w:ascii="Verdana" w:eastAsia="Calibri" w:hAnsi="Verdana" w:cs="Arial"/>
                <w:color w:val="000000" w:themeColor="text1"/>
              </w:rPr>
              <w:t xml:space="preserve">2.2.1.2.1.5.1., </w:t>
            </w:r>
            <w:r w:rsidRPr="00126826">
              <w:rPr>
                <w:rFonts w:ascii="Verdana" w:hAnsi="Verdana"/>
              </w:rPr>
              <w:t xml:space="preserve">2.2.1.2.1.5.2., </w:t>
            </w:r>
            <w:r w:rsidRPr="00126826">
              <w:rPr>
                <w:rFonts w:ascii="Verdana" w:eastAsia="Calibri" w:hAnsi="Verdana" w:cs="Arial"/>
                <w:color w:val="000000" w:themeColor="text1"/>
              </w:rPr>
              <w:t>2.2.1.2.1.5.3., 2.2.1.2.1.5.4., 2.2.1.2.1.5.5.</w:t>
            </w:r>
          </w:p>
          <w:p w14:paraId="58D901BF" w14:textId="77777777" w:rsidR="00FC5D28" w:rsidRPr="00126826" w:rsidRDefault="00FC5D28" w:rsidP="001261BC">
            <w:pPr>
              <w:pStyle w:val="Prrafodelista"/>
              <w:numPr>
                <w:ilvl w:val="0"/>
                <w:numId w:val="17"/>
              </w:numPr>
              <w:spacing w:line="276" w:lineRule="auto"/>
              <w:contextualSpacing w:val="0"/>
              <w:jc w:val="both"/>
              <w:rPr>
                <w:rFonts w:ascii="Verdana" w:hAnsi="Verdana"/>
              </w:rPr>
            </w:pPr>
            <w:r w:rsidRPr="00126826">
              <w:rPr>
                <w:rFonts w:ascii="Verdana" w:eastAsia="Calibri" w:hAnsi="Verdana" w:cs="Arial"/>
                <w:lang w:val="es-ES_tradnl"/>
              </w:rPr>
              <w:t>Decreto 957 de 2019</w:t>
            </w:r>
            <w:r>
              <w:rPr>
                <w:rFonts w:ascii="Verdana" w:eastAsia="Calibri" w:hAnsi="Verdana" w:cs="Arial"/>
                <w:lang w:val="es-ES_tradnl"/>
              </w:rPr>
              <w:t>.</w:t>
            </w:r>
          </w:p>
          <w:p w14:paraId="1824EF8E" w14:textId="77777777" w:rsidR="00FC5D28" w:rsidRPr="00126826" w:rsidRDefault="00FC5D28" w:rsidP="001261BC">
            <w:pPr>
              <w:pStyle w:val="Prrafodelista"/>
              <w:numPr>
                <w:ilvl w:val="0"/>
                <w:numId w:val="17"/>
              </w:numPr>
              <w:spacing w:line="276" w:lineRule="auto"/>
              <w:contextualSpacing w:val="0"/>
              <w:jc w:val="both"/>
              <w:rPr>
                <w:rFonts w:ascii="Verdana" w:hAnsi="Verdana"/>
              </w:rPr>
            </w:pPr>
            <w:r w:rsidRPr="00126826">
              <w:rPr>
                <w:rFonts w:ascii="Verdana" w:hAnsi="Verdana"/>
              </w:rPr>
              <w:t>Ley 2069 de 2020. Artículos 30 y 34.</w:t>
            </w:r>
          </w:p>
          <w:p w14:paraId="5C06D507" w14:textId="77777777" w:rsidR="00FC5D28" w:rsidRPr="00126826" w:rsidRDefault="00FC5D28" w:rsidP="001261BC">
            <w:pPr>
              <w:pStyle w:val="Prrafodelista"/>
              <w:numPr>
                <w:ilvl w:val="0"/>
                <w:numId w:val="17"/>
              </w:numPr>
              <w:spacing w:line="276" w:lineRule="auto"/>
              <w:contextualSpacing w:val="0"/>
              <w:jc w:val="both"/>
              <w:rPr>
                <w:rFonts w:ascii="Verdana" w:hAnsi="Verdana"/>
              </w:rPr>
            </w:pPr>
            <w:r w:rsidRPr="00126826">
              <w:rPr>
                <w:rFonts w:ascii="Verdana" w:hAnsi="Verdana"/>
              </w:rPr>
              <w:t>Decreto 1860 de 2021. Artículos 2, 5 y 8.</w:t>
            </w:r>
          </w:p>
        </w:tc>
      </w:tr>
    </w:tbl>
    <w:p w14:paraId="3AD29F45" w14:textId="77777777" w:rsidR="00FC5D28" w:rsidRDefault="00FC5D28" w:rsidP="00FC5D28">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3D34E4C5" w14:textId="77777777" w:rsidR="00FC5D28" w:rsidRPr="00F71A6A" w:rsidRDefault="00FC5D28" w:rsidP="00FC5D2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Pr>
          <w:rFonts w:ascii="Verdana" w:eastAsia="Century Gothic" w:hAnsi="Verdana" w:cs="Century Gothic"/>
          <w:b/>
          <w:bCs/>
          <w:lang w:val="es-CO"/>
        </w:rPr>
        <w:t xml:space="preserve">5. </w:t>
      </w:r>
      <w:r w:rsidRPr="00F71A6A">
        <w:rPr>
          <w:rFonts w:ascii="Verdana" w:eastAsia="Century Gothic" w:hAnsi="Verdana" w:cs="Century Gothic"/>
          <w:b/>
          <w:bCs/>
        </w:rPr>
        <w:t>Doctrina de la Agencia Nacional de Contratación Pública:</w:t>
      </w:r>
    </w:p>
    <w:p w14:paraId="31393714" w14:textId="77777777" w:rsidR="00FC5D28" w:rsidRDefault="00FC5D28" w:rsidP="001261BC">
      <w:pPr>
        <w:spacing w:after="0" w:line="276" w:lineRule="auto"/>
        <w:jc w:val="both"/>
        <w:rPr>
          <w:rFonts w:ascii="Verdana" w:eastAsia="Calibri" w:hAnsi="Verdana" w:cs="Arial"/>
          <w:lang w:eastAsia="es-ES_tradnl"/>
        </w:rPr>
      </w:pPr>
    </w:p>
    <w:p w14:paraId="7B02C81D" w14:textId="77777777" w:rsidR="00FC5D28" w:rsidRDefault="00FC5D28" w:rsidP="000074D5">
      <w:pPr>
        <w:spacing w:after="0" w:line="276" w:lineRule="auto"/>
        <w:jc w:val="both"/>
        <w:rPr>
          <w:rFonts w:ascii="Verdana" w:hAnsi="Verdana" w:cs="Arial"/>
          <w:shd w:val="clear" w:color="auto" w:fill="FFFFFF"/>
        </w:rPr>
      </w:pPr>
      <w:r w:rsidRPr="009C1EEE">
        <w:rPr>
          <w:rFonts w:ascii="Verdana" w:hAnsi="Verdana" w:cs="Arial"/>
          <w:shd w:val="clear" w:color="auto" w:fill="FFFFFF"/>
          <w:lang w:val="es-ES"/>
        </w:rPr>
        <w:t xml:space="preserve">Sobre las convocatorias limitadas a </w:t>
      </w:r>
      <w:r>
        <w:rPr>
          <w:rFonts w:ascii="Verdana" w:hAnsi="Verdana" w:cs="Arial"/>
          <w:shd w:val="clear" w:color="auto" w:fill="FFFFFF"/>
          <w:lang w:val="es-ES"/>
        </w:rPr>
        <w:t>MiPymes</w:t>
      </w:r>
      <w:r w:rsidRPr="009C1EEE">
        <w:rPr>
          <w:rFonts w:ascii="Verdana" w:hAnsi="Verdana" w:cs="Arial"/>
          <w:shd w:val="clear" w:color="auto" w:fill="FFFFFF"/>
          <w:lang w:val="es-ES"/>
        </w:rPr>
        <w:t xml:space="preserve">, según la modificación realizada por el Decreto 1860 de 2021 al Decreto 1082 de 2015, esta Subdirección se ha referido en los Conceptos </w:t>
      </w:r>
      <w:r>
        <w:rPr>
          <w:rFonts w:ascii="Verdana" w:hAnsi="Verdana" w:cs="Arial"/>
          <w:shd w:val="clear" w:color="auto" w:fill="FFFFFF"/>
          <w:lang w:val="es-ES"/>
        </w:rPr>
        <w:t>C</w:t>
      </w:r>
      <w:r w:rsidRPr="00126826">
        <w:rPr>
          <w:rFonts w:ascii="Verdana" w:hAnsi="Verdana" w:cs="Arial"/>
          <w:shd w:val="clear" w:color="auto" w:fill="FFFFFF"/>
          <w:lang w:val="es-ES"/>
        </w:rPr>
        <w:t>-037 del 26 de febrero de 2021, C-035 del 02 de marzo de 2021, C-126 del 06 de abril de 2021, C-127 del 06 de abril de 2021, C-144 del 07 de abril de 2021, C-141 del 08 de abril de 2021, C-163 y C-164 del 19 de abril de 2021, C-242 del 25 de mayo de 2021, C-496 del 14 de septiembre de 2021, C-573 de 13 de octubre de 2021, C-001 del 17 de febrero de 2022, C-293 del 12 de abril de 2022, C-490 del 26 de julio de 2022, C-523 del 16 de agosto de 2022, C-539 del 29 de agosto de 2022, C-585 del 19 de septiembre de 2022, C-587 del 21 de septiembre de 2022, C-597 del 9 de septiembre de 2022, C-627 del 12 de septiembre de 2022, C-643 del 10 de octubre de 2022, C- 662 del 13 de octubre de 2022, C-699 del 25 de octubre de 2022, C-744 del 08 de noviembre de 2022, C-758 del 10 de noviembre de 2022</w:t>
      </w:r>
      <w:r>
        <w:rPr>
          <w:rFonts w:ascii="Verdana" w:hAnsi="Verdana" w:cs="Arial"/>
          <w:shd w:val="clear" w:color="auto" w:fill="FFFFFF"/>
          <w:lang w:val="es-ES"/>
        </w:rPr>
        <w:t>,</w:t>
      </w:r>
      <w:r w:rsidRPr="00126826">
        <w:rPr>
          <w:rFonts w:ascii="Verdana" w:hAnsi="Verdana" w:cs="Arial"/>
          <w:shd w:val="clear" w:color="auto" w:fill="FFFFFF"/>
          <w:lang w:val="es-ES"/>
        </w:rPr>
        <w:t xml:space="preserve"> C-895 del 27 de diciembre de 2022</w:t>
      </w:r>
      <w:r>
        <w:rPr>
          <w:rFonts w:ascii="Verdana" w:hAnsi="Verdana" w:cs="Arial"/>
          <w:shd w:val="clear" w:color="auto" w:fill="FFFFFF"/>
          <w:lang w:val="es-ES"/>
        </w:rPr>
        <w:t>, C- 201 del 2 de agosto de 2024, C-1021 del 27 de diciembre de 2024, C</w:t>
      </w:r>
      <w:r w:rsidRPr="00126826">
        <w:rPr>
          <w:rFonts w:ascii="Verdana" w:hAnsi="Verdana" w:cs="Arial"/>
          <w:shd w:val="clear" w:color="auto" w:fill="FFFFFF"/>
          <w:lang w:val="es-ES"/>
        </w:rPr>
        <w:t>-932 de</w:t>
      </w:r>
      <w:r>
        <w:rPr>
          <w:rFonts w:ascii="Verdana" w:hAnsi="Verdana" w:cs="Arial"/>
          <w:shd w:val="clear" w:color="auto" w:fill="FFFFFF"/>
          <w:lang w:val="es-ES"/>
        </w:rPr>
        <w:t>l 30 de diciembre de</w:t>
      </w:r>
      <w:r w:rsidRPr="00126826">
        <w:rPr>
          <w:rFonts w:ascii="Verdana" w:hAnsi="Verdana" w:cs="Arial"/>
          <w:shd w:val="clear" w:color="auto" w:fill="FFFFFF"/>
          <w:lang w:val="es-ES"/>
        </w:rPr>
        <w:t xml:space="preserve"> 2024</w:t>
      </w:r>
      <w:r>
        <w:rPr>
          <w:rFonts w:ascii="Verdana" w:hAnsi="Verdana" w:cs="Arial"/>
          <w:shd w:val="clear" w:color="auto" w:fill="FFFFFF"/>
          <w:lang w:val="es-ES"/>
        </w:rPr>
        <w:t xml:space="preserve">, entre otros. </w:t>
      </w:r>
      <w:r w:rsidRPr="005A267A">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w:t>
      </w:r>
      <w:r w:rsidRPr="005D1F62">
        <w:rPr>
          <w:rFonts w:ascii="Verdana" w:hAnsi="Verdana" w:cs="Arial"/>
          <w:shd w:val="clear" w:color="auto" w:fill="FFFFFF"/>
        </w:rPr>
        <w:t xml:space="preserve"> contratación concordada con la doctrina de la Subdirección de Gestión Contractual.</w:t>
      </w:r>
      <w:r>
        <w:rPr>
          <w:rFonts w:ascii="Verdana" w:hAnsi="Verdana" w:cs="Arial"/>
          <w:shd w:val="clear" w:color="auto" w:fill="FFFFFF"/>
        </w:rPr>
        <w:t xml:space="preserve"> </w:t>
      </w:r>
      <w:r w:rsidRPr="005D1F62">
        <w:rPr>
          <w:rFonts w:ascii="Verdana" w:hAnsi="Verdana" w:cs="Arial"/>
          <w:shd w:val="clear" w:color="auto" w:fill="FFFFFF"/>
        </w:rPr>
        <w:t>Accede a través del siguiente enlace: </w:t>
      </w:r>
      <w:hyperlink r:id="rId11" w:tgtFrame="_blank" w:tooltip="Dirección URL original: https://relatoria.colombiacompra.gov.co/. Haga clic o pulse si confía en este vínculo." w:history="1">
        <w:r w:rsidRPr="005D1F62">
          <w:rPr>
            <w:rStyle w:val="Hipervnculo"/>
            <w:rFonts w:ascii="Verdana" w:hAnsi="Verdana" w:cs="Arial"/>
            <w:shd w:val="clear" w:color="auto" w:fill="FFFFFF"/>
          </w:rPr>
          <w:t>https://relatoria.colombiacompra.gov.co/</w:t>
        </w:r>
      </w:hyperlink>
      <w:r w:rsidRPr="005D1F62">
        <w:rPr>
          <w:rFonts w:ascii="Verdana" w:hAnsi="Verdana" w:cs="Arial"/>
          <w:shd w:val="clear" w:color="auto" w:fill="FFFFFF"/>
        </w:rPr>
        <w:t>.</w:t>
      </w:r>
    </w:p>
    <w:p w14:paraId="5C0F540A" w14:textId="77777777" w:rsidR="00D015A6" w:rsidRPr="000074D5" w:rsidRDefault="00D015A6" w:rsidP="006F5A49">
      <w:pPr>
        <w:spacing w:after="0" w:line="276" w:lineRule="auto"/>
        <w:jc w:val="both"/>
        <w:rPr>
          <w:rFonts w:ascii="Verdana" w:hAnsi="Verdana" w:cs="Arial"/>
          <w:shd w:val="clear" w:color="auto" w:fill="FFFFFF"/>
        </w:rPr>
      </w:pPr>
    </w:p>
    <w:p w14:paraId="34C3F62C" w14:textId="77777777" w:rsidR="00FC5D28" w:rsidRPr="00542EFB" w:rsidRDefault="00FC5D28" w:rsidP="00FC5D28">
      <w:pPr>
        <w:widowControl w:val="0"/>
        <w:autoSpaceDE w:val="0"/>
        <w:autoSpaceDN w:val="0"/>
        <w:spacing w:after="0" w:line="276" w:lineRule="auto"/>
        <w:jc w:val="both"/>
        <w:rPr>
          <w:rFonts w:ascii="Verdana" w:hAnsi="Verdana" w:cs="Arial"/>
          <w:color w:val="4472C4" w:themeColor="accent1"/>
          <w:shd w:val="clear" w:color="auto" w:fill="FFFFFF"/>
          <w:lang w:val="es-ES"/>
        </w:rPr>
      </w:pPr>
      <w:r w:rsidRPr="00B679E6">
        <w:rPr>
          <w:rStyle w:val="normaltextrun"/>
          <w:rFonts w:ascii="Verdana" w:hAnsi="Verdana" w:cs="Arial"/>
          <w:color w:val="000000" w:themeColor="text1"/>
          <w:shd w:val="clear" w:color="auto" w:fill="FFFFFF"/>
          <w:lang w:val="es-ES"/>
        </w:rPr>
        <w:t>Te informamos que ya se encuentra disponible la Cartilla para incentivar y fortalecer el acceso a las compras y contratación pública de los pueblos y comunidades étnicas en Colombia.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w:t>
      </w:r>
      <w:r w:rsidRPr="00B679E6">
        <w:rPr>
          <w:rFonts w:ascii="Verdana" w:hAnsi="Verdana"/>
        </w:rPr>
        <w:t xml:space="preserve"> </w:t>
      </w:r>
      <w:r w:rsidRPr="00B679E6">
        <w:rPr>
          <w:rFonts w:ascii="Verdana" w:hAnsi="Verdana"/>
        </w:rPr>
        <w:lastRenderedPageBreak/>
        <w:t>enlace: </w:t>
      </w:r>
      <w:hyperlink r:id="rId12" w:tgtFrame="_blank" w:tooltip="Dirección URL original: https://www.colombiacompra.gov.co/manuales-guias-y-pliegos-tipo/manuales-y-guias/cartilla-para-incentivar-y-fortalecer-el-acceso-las. Haga clic o pulse si confía en este vínculo." w:history="1">
        <w:r w:rsidRPr="00B679E6">
          <w:rPr>
            <w:rStyle w:val="Hipervnculo"/>
            <w:rFonts w:ascii="Verdana" w:hAnsi="Verdana"/>
          </w:rPr>
          <w:t>Cartilla para incentivar y fortalecer el acceso a las compras y contratación pública de los pueblos y comunidades étnicas en Colombia | Colombia Compra Eficiente | Agencia Nacional de Contratación Pública</w:t>
        </w:r>
      </w:hyperlink>
    </w:p>
    <w:p w14:paraId="5CC7D6B7" w14:textId="77777777" w:rsidR="00FC5D28" w:rsidRDefault="00FC5D28" w:rsidP="00FC5D28">
      <w:pPr>
        <w:spacing w:after="0" w:line="276" w:lineRule="auto"/>
        <w:jc w:val="both"/>
        <w:rPr>
          <w:rFonts w:ascii="Verdana" w:hAnsi="Verdana"/>
        </w:rPr>
      </w:pPr>
    </w:p>
    <w:p w14:paraId="7985176C" w14:textId="77777777" w:rsidR="00FC5D28" w:rsidRPr="00B679E6" w:rsidRDefault="00FC5D28" w:rsidP="00FC5D28">
      <w:pPr>
        <w:spacing w:after="0" w:line="276" w:lineRule="auto"/>
        <w:jc w:val="both"/>
        <w:rPr>
          <w:rFonts w:ascii="Verdana" w:hAnsi="Verdana"/>
        </w:rPr>
      </w:pPr>
      <w:r w:rsidRPr="00B679E6">
        <w:rPr>
          <w:rFonts w:ascii="Verdana" w:hAnsi="Verdana"/>
        </w:rPr>
        <w:t>De otra parte, te informamos que, con el objetivo de garantizar un conocimiento adecuado de las </w:t>
      </w:r>
      <w:r w:rsidRPr="00B679E6">
        <w:rPr>
          <w:rFonts w:ascii="Verdana" w:hAnsi="Verdana"/>
          <w:b/>
          <w:bCs/>
        </w:rPr>
        <w:t>modificaciones y/o actualizaciones realizadas a los Documentos Tipo</w:t>
      </w:r>
      <w:r w:rsidRPr="00B679E6">
        <w:rPr>
          <w:rFonts w:ascii="Verdana" w:hAnsi="Verdana"/>
        </w:rPr>
        <w:t>, hemos programado una serie de </w:t>
      </w:r>
      <w:r w:rsidRPr="00B679E6">
        <w:rPr>
          <w:rFonts w:ascii="Verdana" w:hAnsi="Verdana"/>
          <w:b/>
          <w:bCs/>
        </w:rPr>
        <w:t>capacitaciones </w:t>
      </w:r>
      <w:r w:rsidRPr="00B679E6">
        <w:rPr>
          <w:rFonts w:ascii="Verdana" w:hAnsi="Verdana"/>
        </w:rPr>
        <w:t>dirigidas a todos los actores involucrados en los procesos de selección. Podrás conocer la programación y realizar tu inscripción a estas capacitaciones a través del siguiente enlace: </w:t>
      </w:r>
      <w:hyperlink r:id="rId13" w:tgtFrame="_blank" w:tooltip="Dirección URL original: https://www.colombiacompra.gov.co/ciudadanos/calendario. Haga clic o pulse si confía en este vínculo." w:history="1">
        <w:r w:rsidRPr="00B679E6">
          <w:rPr>
            <w:rStyle w:val="Hipervnculo"/>
            <w:rFonts w:ascii="Verdana" w:hAnsi="Verdana"/>
          </w:rPr>
          <w:t>Calendario | Colombia Compra Eficiente | Agencia Nacional de Contratación Pública</w:t>
        </w:r>
      </w:hyperlink>
    </w:p>
    <w:p w14:paraId="01E08E7D" w14:textId="77777777" w:rsidR="00FC5D28" w:rsidRDefault="00FC5D28" w:rsidP="00FC5D28">
      <w:pPr>
        <w:spacing w:after="0" w:line="276" w:lineRule="auto"/>
        <w:jc w:val="both"/>
        <w:rPr>
          <w:rFonts w:ascii="Verdana" w:hAnsi="Verdana"/>
        </w:rPr>
      </w:pPr>
    </w:p>
    <w:p w14:paraId="1EC6F574" w14:textId="77777777" w:rsidR="00FC5D28" w:rsidRPr="00B679E6" w:rsidRDefault="00FC5D28" w:rsidP="00FC5D28">
      <w:pPr>
        <w:spacing w:after="0" w:line="276" w:lineRule="auto"/>
        <w:jc w:val="both"/>
        <w:rPr>
          <w:rFonts w:ascii="Verdana" w:hAnsi="Verdana"/>
        </w:rPr>
      </w:pPr>
      <w:r w:rsidRPr="00B679E6">
        <w:rPr>
          <w:rFonts w:ascii="Verdana" w:hAnsi="Verdana"/>
        </w:rPr>
        <w:t>También, te contamos que ya publicamos </w:t>
      </w:r>
      <w:r w:rsidRPr="00B679E6">
        <w:rPr>
          <w:rFonts w:ascii="Verdana" w:hAnsi="Verdana"/>
          <w:b/>
          <w:bCs/>
        </w:rPr>
        <w:t>la nueva Guía de Contratación Pública Sostenible y Socialmente Responsable</w:t>
      </w:r>
      <w:r w:rsidRPr="00B679E6">
        <w:rPr>
          <w:rFonts w:ascii="Verdana" w:hAnsi="Verdana"/>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B679E6">
          <w:rPr>
            <w:rStyle w:val="Hipervnculo"/>
            <w:rFonts w:ascii="Verdana" w:hAnsi="Verdana"/>
          </w:rPr>
          <w:t>Guía de Contratación Pública Sostenible y Socialmente Responsable | Colombia Compra Eficiente | Agencia Nacional de Contratación Pública</w:t>
        </w:r>
      </w:hyperlink>
    </w:p>
    <w:p w14:paraId="51C324C8" w14:textId="77777777" w:rsidR="00FC5D28" w:rsidRDefault="00FC5D28" w:rsidP="006F5A49">
      <w:pPr>
        <w:spacing w:after="0" w:line="276" w:lineRule="auto"/>
        <w:jc w:val="both"/>
        <w:rPr>
          <w:rFonts w:ascii="Verdana" w:hAnsi="Verdana"/>
        </w:rPr>
      </w:pPr>
    </w:p>
    <w:p w14:paraId="4666DBA1" w14:textId="77777777" w:rsidR="00FC5D28" w:rsidRPr="00F71A6A" w:rsidRDefault="00FC5D28" w:rsidP="006F5A49">
      <w:pPr>
        <w:spacing w:after="0" w:line="276" w:lineRule="auto"/>
        <w:jc w:val="both"/>
        <w:rPr>
          <w:rFonts w:ascii="Verdana" w:hAnsi="Verdana"/>
        </w:rPr>
      </w:pPr>
      <w:r w:rsidRPr="00F71A6A">
        <w:rPr>
          <w:rFonts w:ascii="Verdana" w:hAnsi="Verdana"/>
        </w:rPr>
        <w:t xml:space="preserve">Por último, lo invitamos a seguirnos en las redes sociales en las cuales se difunde información institucional: </w:t>
      </w:r>
    </w:p>
    <w:p w14:paraId="73049A8F" w14:textId="77777777" w:rsidR="00FC5D28" w:rsidRPr="00F71A6A" w:rsidRDefault="00FC5D28" w:rsidP="006F5A49">
      <w:pPr>
        <w:spacing w:after="0" w:line="276" w:lineRule="auto"/>
        <w:jc w:val="both"/>
        <w:rPr>
          <w:rFonts w:ascii="Verdana" w:hAnsi="Verdana"/>
        </w:rPr>
      </w:pPr>
    </w:p>
    <w:p w14:paraId="12AA4F72" w14:textId="77777777" w:rsidR="00FC5D28" w:rsidRPr="00F71A6A" w:rsidRDefault="00FC5D28" w:rsidP="006F5A49">
      <w:pPr>
        <w:spacing w:after="0" w:line="276" w:lineRule="auto"/>
        <w:jc w:val="both"/>
        <w:rPr>
          <w:rFonts w:ascii="Verdana" w:hAnsi="Verdana"/>
        </w:rPr>
      </w:pPr>
      <w:r w:rsidRPr="00F71A6A">
        <w:rPr>
          <w:rFonts w:ascii="Verdana" w:hAnsi="Verdana"/>
        </w:rPr>
        <w:t xml:space="preserve">Twitter: </w:t>
      </w:r>
      <w:r w:rsidRPr="00F71A6A">
        <w:rPr>
          <w:rStyle w:val="Hipervnculo"/>
          <w:rFonts w:ascii="Verdana" w:hAnsi="Verdana"/>
          <w:color w:val="4472C4" w:themeColor="accent1"/>
        </w:rPr>
        <w:t>@colombiacompra</w:t>
      </w:r>
      <w:r w:rsidRPr="00F71A6A">
        <w:rPr>
          <w:rFonts w:ascii="Verdana" w:hAnsi="Verdana"/>
          <w:color w:val="4472C4" w:themeColor="accent1"/>
        </w:rPr>
        <w:t xml:space="preserve"> </w:t>
      </w:r>
    </w:p>
    <w:p w14:paraId="2AB686AE" w14:textId="77777777" w:rsidR="00FC5D28" w:rsidRPr="00F71A6A" w:rsidRDefault="00FC5D28" w:rsidP="006F5A49">
      <w:pPr>
        <w:spacing w:after="0" w:line="276" w:lineRule="auto"/>
        <w:jc w:val="both"/>
        <w:rPr>
          <w:rFonts w:ascii="Verdana" w:hAnsi="Verdana"/>
        </w:rPr>
      </w:pPr>
      <w:r w:rsidRPr="00F71A6A">
        <w:rPr>
          <w:rFonts w:ascii="Verdana" w:hAnsi="Verdana"/>
        </w:rPr>
        <w:t xml:space="preserve">Facebook: </w:t>
      </w:r>
      <w:r w:rsidRPr="00F71A6A">
        <w:rPr>
          <w:rStyle w:val="Hipervnculo"/>
          <w:rFonts w:ascii="Verdana" w:hAnsi="Verdana"/>
          <w:color w:val="4472C4" w:themeColor="accent1"/>
        </w:rPr>
        <w:t>ColombiaCompraEficiente</w:t>
      </w:r>
    </w:p>
    <w:p w14:paraId="375998E1" w14:textId="77777777" w:rsidR="00FC5D28" w:rsidRDefault="00FC5D28" w:rsidP="000074D5">
      <w:pPr>
        <w:spacing w:after="0" w:line="276" w:lineRule="auto"/>
        <w:jc w:val="both"/>
        <w:rPr>
          <w:rStyle w:val="Hipervnculo"/>
          <w:rFonts w:ascii="Verdana" w:hAnsi="Verdana"/>
          <w:color w:val="4472C4" w:themeColor="accent1"/>
        </w:rPr>
      </w:pPr>
      <w:r w:rsidRPr="00F71A6A">
        <w:rPr>
          <w:rFonts w:ascii="Verdana" w:hAnsi="Verdana"/>
        </w:rPr>
        <w:t xml:space="preserve">LinkedIn: </w:t>
      </w:r>
      <w:r w:rsidRPr="00F71A6A">
        <w:rPr>
          <w:rStyle w:val="Hipervnculo"/>
          <w:rFonts w:ascii="Verdana" w:hAnsi="Verdana"/>
          <w:color w:val="4472C4" w:themeColor="accent1"/>
        </w:rPr>
        <w:t>Agencia Nacional de Contratación Pública - Colombia Compra Eficiente</w:t>
      </w:r>
      <w:r w:rsidRPr="00F71A6A">
        <w:rPr>
          <w:rFonts w:ascii="Verdana" w:hAnsi="Verdana"/>
          <w:color w:val="4472C4" w:themeColor="accent1"/>
        </w:rPr>
        <w:t xml:space="preserve"> </w:t>
      </w:r>
      <w:r w:rsidRPr="00F71A6A">
        <w:rPr>
          <w:rFonts w:ascii="Verdana" w:hAnsi="Verdana"/>
        </w:rPr>
        <w:t xml:space="preserve">Instagram: </w:t>
      </w:r>
      <w:r w:rsidRPr="00F71A6A">
        <w:rPr>
          <w:rStyle w:val="Hipervnculo"/>
          <w:rFonts w:ascii="Verdana" w:hAnsi="Verdana"/>
          <w:color w:val="4472C4" w:themeColor="accent1"/>
        </w:rPr>
        <w:t>@colombiacompraeficiente_cce</w:t>
      </w:r>
    </w:p>
    <w:p w14:paraId="588548BC" w14:textId="77777777" w:rsidR="000074D5" w:rsidRPr="000074D5" w:rsidRDefault="000074D5" w:rsidP="006F5A49">
      <w:pPr>
        <w:spacing w:after="0" w:line="276" w:lineRule="auto"/>
        <w:jc w:val="both"/>
        <w:rPr>
          <w:rFonts w:ascii="Verdana" w:hAnsi="Verdana"/>
        </w:rPr>
      </w:pPr>
    </w:p>
    <w:p w14:paraId="034AB726" w14:textId="77777777" w:rsidR="00FC5D28" w:rsidRPr="00F71A6A" w:rsidRDefault="00FC5D28" w:rsidP="00FC5D28">
      <w:pPr>
        <w:widowControl w:val="0"/>
        <w:autoSpaceDE w:val="0"/>
        <w:autoSpaceDN w:val="0"/>
        <w:spacing w:after="0" w:line="276" w:lineRule="auto"/>
        <w:jc w:val="both"/>
        <w:rPr>
          <w:rFonts w:ascii="Verdana" w:hAnsi="Verdana" w:cs="Arial"/>
          <w:lang w:val="es-ES_tradnl"/>
        </w:rPr>
      </w:pPr>
      <w:r w:rsidRPr="00F71A6A">
        <w:rPr>
          <w:rFonts w:ascii="Verdana" w:hAnsi="Verdana" w:cs="Arial"/>
        </w:rPr>
        <w:t xml:space="preserve">Este concepto tiene el alcance previsto en el artículo 28 del Código de Procedimiento Administrativo y de lo Contencioso Administrativo </w:t>
      </w:r>
      <w:r w:rsidRPr="00F71A6A">
        <w:rPr>
          <w:rFonts w:ascii="Verdana" w:hAnsi="Verdana" w:cs="Arial"/>
          <w:lang w:val="es-ES_tradnl"/>
        </w:rPr>
        <w:t>y las expresiones aquí utilizadas con mayúscula inicial deben ser entendidas con el significado que les otorga el artículo 2.2.1.1.1.3.1. del Decreto 1082 de 2015.</w:t>
      </w:r>
    </w:p>
    <w:p w14:paraId="6460E440" w14:textId="77777777" w:rsidR="00FC5D28" w:rsidRPr="006F2228" w:rsidRDefault="00FC5D28" w:rsidP="00FC5D28">
      <w:pPr>
        <w:widowControl w:val="0"/>
        <w:autoSpaceDE w:val="0"/>
        <w:autoSpaceDN w:val="0"/>
        <w:spacing w:after="0" w:line="276" w:lineRule="auto"/>
        <w:jc w:val="both"/>
        <w:rPr>
          <w:rFonts w:ascii="Verdana" w:hAnsi="Verdana" w:cs="Arial"/>
          <w:lang w:val="es-ES_tradnl"/>
        </w:rPr>
      </w:pPr>
    </w:p>
    <w:p w14:paraId="742154F9" w14:textId="77777777" w:rsidR="00FC5D28" w:rsidRDefault="00FC5D28" w:rsidP="006F5A49">
      <w:pPr>
        <w:spacing w:after="0" w:line="276" w:lineRule="auto"/>
        <w:rPr>
          <w:rFonts w:ascii="Verdana" w:hAnsi="Verdana" w:cs="Arial"/>
          <w:lang w:eastAsia="es-CO"/>
        </w:rPr>
      </w:pPr>
      <w:r w:rsidRPr="00F71A6A">
        <w:rPr>
          <w:rFonts w:ascii="Verdana" w:eastAsia="Times New Roman" w:hAnsi="Verdana" w:cs="Arial"/>
          <w:lang w:eastAsia="es-CO"/>
        </w:rPr>
        <w:t>Atentamente,</w:t>
      </w:r>
      <w:r w:rsidRPr="00F71A6A">
        <w:rPr>
          <w:rFonts w:ascii="Verdana" w:hAnsi="Verdana" w:cs="Arial"/>
          <w:lang w:eastAsia="es-CO"/>
        </w:rPr>
        <w:t xml:space="preserve"> </w:t>
      </w:r>
    </w:p>
    <w:p w14:paraId="78B5E10A" w14:textId="77777777" w:rsidR="00FC5D28" w:rsidRDefault="00FC5D28" w:rsidP="00FC5D28">
      <w:pPr>
        <w:spacing w:after="0"/>
        <w:jc w:val="both"/>
        <w:rPr>
          <w:rStyle w:val="Hipervnculo"/>
          <w:rFonts w:ascii="Verdana" w:hAnsi="Verdana"/>
        </w:rPr>
      </w:pPr>
    </w:p>
    <w:p w14:paraId="0B77CC39" w14:textId="0CF54F4E" w:rsidR="001C7C75" w:rsidRDefault="001C7C75" w:rsidP="001C7C75">
      <w:pPr>
        <w:spacing w:after="0"/>
        <w:jc w:val="center"/>
        <w:rPr>
          <w:rFonts w:ascii="Verdana" w:hAnsi="Verdana"/>
          <w:color w:val="0000FF"/>
          <w:u w:val="single"/>
        </w:rPr>
      </w:pPr>
    </w:p>
    <w:p w14:paraId="4A2980ED" w14:textId="44BDB1BD" w:rsidR="001C7C75" w:rsidRDefault="00C8503D" w:rsidP="001C7C75">
      <w:pPr>
        <w:spacing w:after="0"/>
        <w:jc w:val="center"/>
        <w:rPr>
          <w:rFonts w:ascii="Verdana" w:hAnsi="Verdana"/>
          <w:color w:val="0000FF"/>
          <w:u w:val="single"/>
        </w:rPr>
      </w:pPr>
      <w:r w:rsidRPr="002C3AD6">
        <w:rPr>
          <w:rFonts w:ascii="Century Gothic" w:hAnsi="Century Gothic"/>
          <w:noProof/>
        </w:rPr>
        <w:lastRenderedPageBreak/>
        <w:drawing>
          <wp:inline distT="0" distB="0" distL="0" distR="0" wp14:anchorId="3C588A22" wp14:editId="2BB81877">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p w14:paraId="58A0FAF4" w14:textId="77777777" w:rsidR="00A95FAF" w:rsidRDefault="00A95FAF" w:rsidP="001C7C75">
      <w:pPr>
        <w:spacing w:after="0"/>
        <w:jc w:val="center"/>
        <w:rPr>
          <w:rFonts w:ascii="Verdana" w:hAnsi="Verdana"/>
          <w:color w:val="0000FF"/>
          <w:u w:val="single"/>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95FAF" w:rsidRPr="00774100" w14:paraId="5D0E4D27" w14:textId="77777777" w:rsidTr="00EE55AD">
        <w:trPr>
          <w:trHeight w:val="315"/>
        </w:trPr>
        <w:tc>
          <w:tcPr>
            <w:tcW w:w="893" w:type="dxa"/>
            <w:vAlign w:val="center"/>
            <w:hideMark/>
          </w:tcPr>
          <w:p w14:paraId="44A2952F" w14:textId="77777777" w:rsidR="00A95FAF" w:rsidRPr="00774100" w:rsidRDefault="00A95FAF" w:rsidP="00EE55AD">
            <w:pPr>
              <w:rPr>
                <w:rFonts w:ascii="Verdana" w:eastAsia="Calibri" w:hAnsi="Verdana" w:cs="Arial"/>
                <w:sz w:val="16"/>
                <w:szCs w:val="16"/>
                <w:lang w:val="es-ES" w:eastAsia="es-ES"/>
              </w:rPr>
            </w:pPr>
            <w:r w:rsidRPr="00774100">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2C4213ED" w14:textId="77777777" w:rsidR="00A95FAF" w:rsidRPr="00774100" w:rsidRDefault="00A95FAF" w:rsidP="00EE55AD">
            <w:pPr>
              <w:rPr>
                <w:rFonts w:ascii="Verdana" w:eastAsia="Arial" w:hAnsi="Verdana" w:cs="Arial"/>
                <w:sz w:val="16"/>
                <w:szCs w:val="16"/>
              </w:rPr>
            </w:pPr>
            <w:r>
              <w:rPr>
                <w:rFonts w:ascii="Verdana" w:eastAsia="Arial" w:hAnsi="Verdana" w:cs="Arial"/>
                <w:sz w:val="16"/>
                <w:szCs w:val="16"/>
              </w:rPr>
              <w:t xml:space="preserve">Diana Carolina Blanco Rodriguez </w:t>
            </w:r>
          </w:p>
          <w:p w14:paraId="7E033B7E" w14:textId="77777777" w:rsidR="00A95FAF" w:rsidRPr="00774100" w:rsidRDefault="00A95FAF" w:rsidP="00EE55AD">
            <w:pPr>
              <w:rPr>
                <w:rFonts w:ascii="Verdana" w:eastAsia="Arial" w:hAnsi="Verdana" w:cs="Arial"/>
                <w:sz w:val="16"/>
                <w:szCs w:val="16"/>
              </w:rPr>
            </w:pPr>
            <w:r w:rsidRPr="00774100">
              <w:rPr>
                <w:rFonts w:ascii="Verdana" w:eastAsia="Arial" w:hAnsi="Verdana" w:cs="Arial"/>
                <w:sz w:val="16"/>
                <w:szCs w:val="16"/>
              </w:rPr>
              <w:t>Contrati</w:t>
            </w:r>
            <w:r>
              <w:rPr>
                <w:rFonts w:ascii="Verdana" w:eastAsia="Arial" w:hAnsi="Verdana" w:cs="Arial"/>
                <w:sz w:val="16"/>
                <w:szCs w:val="16"/>
              </w:rPr>
              <w:t>sta</w:t>
            </w:r>
            <w:r w:rsidRPr="00774100">
              <w:rPr>
                <w:rFonts w:ascii="Verdana" w:eastAsia="Arial" w:hAnsi="Verdana" w:cs="Arial"/>
                <w:sz w:val="16"/>
                <w:szCs w:val="16"/>
              </w:rPr>
              <w:t xml:space="preserve"> de la Subdirección de Gestión Contractual</w:t>
            </w:r>
          </w:p>
        </w:tc>
      </w:tr>
      <w:tr w:rsidR="00A95FAF" w:rsidRPr="00774100" w14:paraId="15CE18FC" w14:textId="77777777" w:rsidTr="00EE55AD">
        <w:trPr>
          <w:trHeight w:val="330"/>
        </w:trPr>
        <w:tc>
          <w:tcPr>
            <w:tcW w:w="893" w:type="dxa"/>
            <w:vAlign w:val="center"/>
            <w:hideMark/>
          </w:tcPr>
          <w:p w14:paraId="08B2BF17" w14:textId="77777777" w:rsidR="00A95FAF" w:rsidRPr="00774100" w:rsidRDefault="00A95FAF" w:rsidP="00EE55AD">
            <w:pPr>
              <w:rPr>
                <w:rFonts w:ascii="Verdana" w:eastAsia="Calibri" w:hAnsi="Verdana" w:cs="Arial"/>
                <w:sz w:val="16"/>
                <w:szCs w:val="16"/>
                <w:lang w:val="es-ES" w:eastAsia="es-ES"/>
              </w:rPr>
            </w:pPr>
            <w:r w:rsidRPr="00774100">
              <w:rPr>
                <w:rFonts w:ascii="Verdana" w:eastAsia="Calibri"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4C599ABD" w14:textId="77777777" w:rsidR="00A95FAF" w:rsidRPr="00774100" w:rsidRDefault="00A95FAF" w:rsidP="00EE55AD">
            <w:pPr>
              <w:textAlignment w:val="baseline"/>
              <w:rPr>
                <w:rFonts w:ascii="Verdana" w:eastAsia="Times New Roman" w:hAnsi="Verdana" w:cs="Segoe UI"/>
                <w:sz w:val="16"/>
                <w:szCs w:val="16"/>
                <w:lang w:eastAsia="es-ES_tradnl"/>
              </w:rPr>
            </w:pPr>
            <w:r>
              <w:rPr>
                <w:rFonts w:ascii="Verdana" w:eastAsia="Times New Roman" w:hAnsi="Verdana" w:cs="Segoe UI"/>
                <w:sz w:val="16"/>
                <w:szCs w:val="16"/>
                <w:lang w:eastAsia="es-ES_tradnl"/>
              </w:rPr>
              <w:t xml:space="preserve">Adriana López </w:t>
            </w:r>
          </w:p>
          <w:p w14:paraId="24922625" w14:textId="77777777" w:rsidR="00A95FAF" w:rsidRPr="00774100" w:rsidRDefault="00A95FAF" w:rsidP="00EE55AD">
            <w:pPr>
              <w:textAlignment w:val="baseline"/>
              <w:rPr>
                <w:rFonts w:ascii="Verdana" w:eastAsia="Times New Roman" w:hAnsi="Verdana" w:cs="Segoe UI"/>
                <w:sz w:val="16"/>
                <w:szCs w:val="16"/>
                <w:lang w:eastAsia="es-ES_tradnl"/>
              </w:rPr>
            </w:pPr>
            <w:r w:rsidRPr="00774100">
              <w:rPr>
                <w:rFonts w:ascii="Verdana" w:eastAsia="Times New Roman" w:hAnsi="Verdana" w:cs="Arial"/>
                <w:sz w:val="16"/>
                <w:szCs w:val="16"/>
                <w:lang w:val="es-ES" w:eastAsia="es-ES_tradnl"/>
              </w:rPr>
              <w:t>Contratista de la Subdirección de Gestión Contractual</w:t>
            </w:r>
            <w:r w:rsidRPr="00774100">
              <w:rPr>
                <w:rFonts w:ascii="Verdana" w:eastAsia="Times New Roman" w:hAnsi="Verdana" w:cs="Arial"/>
                <w:sz w:val="16"/>
                <w:szCs w:val="16"/>
                <w:lang w:eastAsia="es-ES_tradnl"/>
              </w:rPr>
              <w:t> </w:t>
            </w:r>
          </w:p>
        </w:tc>
      </w:tr>
      <w:tr w:rsidR="00A95FAF" w:rsidRPr="00774100" w14:paraId="1AC6D9F7" w14:textId="77777777" w:rsidTr="00EE55AD">
        <w:trPr>
          <w:trHeight w:val="300"/>
        </w:trPr>
        <w:tc>
          <w:tcPr>
            <w:tcW w:w="893" w:type="dxa"/>
            <w:vAlign w:val="center"/>
          </w:tcPr>
          <w:p w14:paraId="1EA13039" w14:textId="77777777" w:rsidR="00A95FAF" w:rsidRPr="00774100" w:rsidRDefault="00A95FAF" w:rsidP="00EE55AD">
            <w:pPr>
              <w:rPr>
                <w:rFonts w:ascii="Verdana" w:eastAsia="Calibri" w:hAnsi="Verdana" w:cs="Arial"/>
                <w:sz w:val="16"/>
                <w:szCs w:val="16"/>
                <w:lang w:val="es-ES" w:eastAsia="es-ES"/>
              </w:rPr>
            </w:pPr>
            <w:r w:rsidRPr="00774100">
              <w:rPr>
                <w:rFonts w:ascii="Verdana" w:eastAsia="Calibri"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28C3C8C9" w14:textId="77777777" w:rsidR="00A95FAF" w:rsidRPr="00774100" w:rsidRDefault="00A95FAF" w:rsidP="00EE55AD">
            <w:pPr>
              <w:rPr>
                <w:rFonts w:ascii="Verdana" w:eastAsia="Calibri" w:hAnsi="Verdana" w:cs="Arial"/>
                <w:sz w:val="16"/>
                <w:szCs w:val="16"/>
                <w:lang w:val="pt-BR" w:eastAsia="es-ES"/>
              </w:rPr>
            </w:pPr>
            <w:r w:rsidRPr="00774100">
              <w:rPr>
                <w:rFonts w:ascii="Verdana" w:eastAsia="Calibri" w:hAnsi="Verdana" w:cs="Arial"/>
                <w:sz w:val="16"/>
                <w:szCs w:val="16"/>
                <w:lang w:val="pt-BR" w:eastAsia="es-ES"/>
              </w:rPr>
              <w:t>Carolina Quintero Gacharná</w:t>
            </w:r>
          </w:p>
          <w:p w14:paraId="79FA84D5" w14:textId="77777777" w:rsidR="00A95FAF" w:rsidRPr="00774100" w:rsidRDefault="00A95FAF" w:rsidP="00EE55AD">
            <w:pPr>
              <w:rPr>
                <w:rFonts w:ascii="Verdana" w:eastAsia="Calibri" w:hAnsi="Verdana" w:cs="Arial"/>
                <w:sz w:val="16"/>
                <w:szCs w:val="16"/>
                <w:lang w:val="pt-BR" w:eastAsia="es-ES"/>
              </w:rPr>
            </w:pPr>
            <w:r w:rsidRPr="00774100">
              <w:rPr>
                <w:rFonts w:ascii="Verdana" w:eastAsia="Calibri" w:hAnsi="Verdana" w:cs="Arial"/>
                <w:sz w:val="16"/>
                <w:szCs w:val="16"/>
                <w:lang w:eastAsia="es-ES"/>
              </w:rPr>
              <w:t>Subdirectora</w:t>
            </w:r>
            <w:r w:rsidRPr="00774100">
              <w:rPr>
                <w:rFonts w:ascii="Verdana" w:eastAsia="Calibri" w:hAnsi="Verdana" w:cs="Arial"/>
                <w:sz w:val="16"/>
                <w:szCs w:val="16"/>
                <w:lang w:val="pt-BR" w:eastAsia="es-ES"/>
              </w:rPr>
              <w:t xml:space="preserve"> de Gestión Contratual ANCP – CCE</w:t>
            </w:r>
          </w:p>
        </w:tc>
      </w:tr>
    </w:tbl>
    <w:p w14:paraId="052AF38B" w14:textId="77777777" w:rsidR="001C7C75" w:rsidRPr="001C7C75" w:rsidRDefault="001C7C75" w:rsidP="00FC5D28">
      <w:pPr>
        <w:spacing w:after="0"/>
        <w:jc w:val="both"/>
        <w:rPr>
          <w:rStyle w:val="Hipervnculo"/>
          <w:rFonts w:ascii="Verdana" w:hAnsi="Verdana"/>
          <w:color w:val="auto"/>
          <w:sz w:val="16"/>
          <w:szCs w:val="16"/>
        </w:rPr>
      </w:pPr>
    </w:p>
    <w:p w14:paraId="74873B69" w14:textId="77777777" w:rsidR="00FC5D28" w:rsidRPr="001C7C75" w:rsidRDefault="00FC5D28" w:rsidP="00FC5D28">
      <w:pPr>
        <w:spacing w:after="0"/>
        <w:jc w:val="both"/>
        <w:rPr>
          <w:rStyle w:val="Hipervnculo"/>
          <w:rFonts w:ascii="Verdana" w:hAnsi="Verdana"/>
          <w:color w:val="auto"/>
          <w:sz w:val="16"/>
          <w:szCs w:val="16"/>
        </w:rPr>
      </w:pPr>
    </w:p>
    <w:p w14:paraId="02FF11E0" w14:textId="77777777" w:rsidR="00FC5D28" w:rsidRPr="001C7C75" w:rsidRDefault="00FC5D28" w:rsidP="00FC5D28">
      <w:pPr>
        <w:spacing w:after="0" w:line="240" w:lineRule="auto"/>
        <w:textAlignment w:val="baseline"/>
        <w:rPr>
          <w:rFonts w:ascii="Verdana" w:eastAsia="Times New Roman" w:hAnsi="Verdana" w:cs="Segoe UI"/>
          <w:b/>
          <w:bCs/>
          <w:sz w:val="16"/>
          <w:szCs w:val="16"/>
          <w:lang w:val="es-ES" w:eastAsia="es-CO"/>
        </w:rPr>
      </w:pPr>
    </w:p>
    <w:p w14:paraId="67DD3F8C" w14:textId="77777777" w:rsidR="002707A2" w:rsidRPr="00FC5D28" w:rsidRDefault="002707A2" w:rsidP="00E245AB">
      <w:pPr>
        <w:spacing w:after="0"/>
        <w:jc w:val="both"/>
        <w:rPr>
          <w:rStyle w:val="Hipervnculo"/>
          <w:rFonts w:ascii="Verdana" w:hAnsi="Verdana"/>
          <w:lang w:val="es-ES"/>
        </w:rPr>
      </w:pPr>
    </w:p>
    <w:bookmarkEnd w:id="0"/>
    <w:p w14:paraId="3900974D" w14:textId="77777777" w:rsidR="003D5B0D" w:rsidRPr="0044528D" w:rsidRDefault="003D5B0D" w:rsidP="00C76B1C">
      <w:pPr>
        <w:spacing w:after="0" w:line="240" w:lineRule="auto"/>
        <w:textAlignment w:val="baseline"/>
        <w:rPr>
          <w:rFonts w:ascii="Verdana" w:eastAsia="Times New Roman" w:hAnsi="Verdana" w:cs="Segoe UI"/>
          <w:b/>
          <w:bCs/>
          <w:color w:val="46589C"/>
          <w:lang w:val="es-ES" w:eastAsia="es-CO"/>
        </w:rPr>
      </w:pPr>
    </w:p>
    <w:sectPr w:rsidR="003D5B0D" w:rsidRPr="0044528D"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20ACE3" w14:textId="77777777" w:rsidR="009A19E3" w:rsidRDefault="009A19E3" w:rsidP="004A1847">
      <w:pPr>
        <w:spacing w:after="0" w:line="240" w:lineRule="auto"/>
      </w:pPr>
      <w:r>
        <w:separator/>
      </w:r>
    </w:p>
  </w:endnote>
  <w:endnote w:type="continuationSeparator" w:id="0">
    <w:p w14:paraId="1370E02B" w14:textId="77777777" w:rsidR="009A19E3" w:rsidRDefault="009A19E3" w:rsidP="004A1847">
      <w:pPr>
        <w:spacing w:after="0" w:line="240" w:lineRule="auto"/>
      </w:pPr>
      <w:r>
        <w:continuationSeparator/>
      </w:r>
    </w:p>
  </w:endnote>
  <w:endnote w:type="continuationNotice" w:id="1">
    <w:p w14:paraId="051D983F" w14:textId="77777777" w:rsidR="009A19E3" w:rsidRDefault="009A19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34BDDB" w14:textId="77777777" w:rsidR="009A19E3" w:rsidRDefault="009A19E3" w:rsidP="004A1847">
      <w:pPr>
        <w:spacing w:after="0" w:line="240" w:lineRule="auto"/>
      </w:pPr>
      <w:r>
        <w:separator/>
      </w:r>
    </w:p>
  </w:footnote>
  <w:footnote w:type="continuationSeparator" w:id="0">
    <w:p w14:paraId="55A6E971" w14:textId="77777777" w:rsidR="009A19E3" w:rsidRDefault="009A19E3" w:rsidP="004A1847">
      <w:pPr>
        <w:spacing w:after="0" w:line="240" w:lineRule="auto"/>
      </w:pPr>
      <w:r>
        <w:continuationSeparator/>
      </w:r>
    </w:p>
  </w:footnote>
  <w:footnote w:type="continuationNotice" w:id="1">
    <w:p w14:paraId="35F5A522" w14:textId="77777777" w:rsidR="009A19E3" w:rsidRDefault="009A19E3">
      <w:pPr>
        <w:spacing w:after="0" w:line="240" w:lineRule="auto"/>
      </w:pPr>
    </w:p>
  </w:footnote>
  <w:footnote w:id="2">
    <w:p w14:paraId="324D984B" w14:textId="77777777" w:rsidR="00FC5D28" w:rsidRPr="00C940A9" w:rsidRDefault="00FC5D28" w:rsidP="00FC5D28">
      <w:pPr>
        <w:pStyle w:val="Textonotapie"/>
        <w:ind w:firstLine="709"/>
        <w:jc w:val="both"/>
        <w:rPr>
          <w:rFonts w:ascii="Verdana" w:hAnsi="Verdana" w:cs="Arial"/>
          <w:color w:val="000000"/>
          <w:sz w:val="14"/>
          <w:szCs w:val="14"/>
          <w:lang w:val="es-ES_tradnl"/>
        </w:rPr>
      </w:pPr>
      <w:r w:rsidRPr="00C940A9">
        <w:rPr>
          <w:rStyle w:val="Refdenotaalpie"/>
          <w:rFonts w:ascii="Verdana" w:hAnsi="Verdana" w:cs="Arial"/>
          <w:color w:val="000000"/>
          <w:sz w:val="14"/>
          <w:szCs w:val="14"/>
          <w:lang w:val="es-ES_tradnl"/>
        </w:rPr>
        <w:footnoteRef/>
      </w:r>
      <w:r w:rsidRPr="00C940A9">
        <w:rPr>
          <w:rFonts w:ascii="Verdana" w:hAnsi="Verdana" w:cs="Arial"/>
          <w:color w:val="000000"/>
          <w:sz w:val="14"/>
          <w:szCs w:val="14"/>
          <w:lang w:val="es-ES_tradnl"/>
        </w:rPr>
        <w:t xml:space="preserve"> Esto lo ratifica el </w:t>
      </w:r>
      <w:bookmarkStart w:id="2" w:name="_Hlk194040859"/>
      <w:r w:rsidRPr="00C940A9">
        <w:rPr>
          <w:rFonts w:ascii="Verdana" w:hAnsi="Verdana" w:cs="Arial"/>
          <w:color w:val="000000"/>
          <w:sz w:val="14"/>
          <w:szCs w:val="14"/>
          <w:lang w:val="es-ES_tradnl"/>
        </w:rPr>
        <w:t xml:space="preserve">artículo 2.2.1.2.1.5.2. </w:t>
      </w:r>
      <w:bookmarkEnd w:id="2"/>
      <w:r w:rsidRPr="00C940A9">
        <w:rPr>
          <w:rFonts w:ascii="Verdana" w:hAnsi="Verdana" w:cs="Arial"/>
          <w:color w:val="000000"/>
          <w:sz w:val="14"/>
          <w:szCs w:val="14"/>
          <w:lang w:val="es-ES_tradnl"/>
        </w:rPr>
        <w:t>del Decreto 1082 de 2015.</w:t>
      </w:r>
    </w:p>
    <w:p w14:paraId="65D84066" w14:textId="77777777" w:rsidR="00FC5D28" w:rsidRPr="00C940A9" w:rsidRDefault="00FC5D28" w:rsidP="00FC5D28">
      <w:pPr>
        <w:pStyle w:val="Textonotapie"/>
        <w:ind w:firstLine="709"/>
        <w:jc w:val="both"/>
        <w:rPr>
          <w:rFonts w:ascii="Verdana" w:hAnsi="Verdana" w:cs="Arial"/>
          <w:color w:val="000000"/>
          <w:sz w:val="14"/>
          <w:szCs w:val="14"/>
          <w:lang w:val="es-ES_tradnl"/>
        </w:rPr>
      </w:pPr>
    </w:p>
  </w:footnote>
  <w:footnote w:id="3">
    <w:p w14:paraId="342B6A03" w14:textId="77777777" w:rsidR="00FC5D28" w:rsidRPr="00A61D2A" w:rsidRDefault="00FC5D28" w:rsidP="00FC5D28">
      <w:pPr>
        <w:pStyle w:val="Textonotapie"/>
        <w:ind w:firstLine="708"/>
        <w:jc w:val="both"/>
        <w:rPr>
          <w:rFonts w:ascii="Century Gothic" w:hAnsi="Century Gothic" w:cs="Arial"/>
          <w:sz w:val="14"/>
          <w:szCs w:val="14"/>
        </w:rPr>
      </w:pPr>
      <w:r w:rsidRPr="00C940A9">
        <w:rPr>
          <w:rStyle w:val="Refdenotaalpie"/>
          <w:rFonts w:ascii="Verdana" w:hAnsi="Verdana" w:cs="Arial"/>
          <w:sz w:val="14"/>
          <w:szCs w:val="14"/>
        </w:rPr>
        <w:footnoteRef/>
      </w:r>
      <w:r w:rsidRPr="00C940A9">
        <w:rPr>
          <w:rFonts w:ascii="Verdana" w:hAnsi="Verdana" w:cs="Arial"/>
          <w:sz w:val="14"/>
          <w:szCs w:val="14"/>
        </w:rPr>
        <w:t xml:space="preserve"> El artículo completo es del siguiente tenor: “Artículo 8. Vigencia y derogatorias. Las disposiciones contenidas en el presente Decreto se aplicarán a los procedimientos de selección cuya invitación, aviso de convocatoria o documento equivalente se publique a los tres (3) meses contados a partir de su expedición. Este Decreto modifica la Subsección 5 de la Sección 1 del Capítulo 2 del Título 1 de la Parte 2 del Libro 2, así como los artículos 2.2.1.2.4.2.2., 2.2.1.2.4.2.3., 2.2.1.2.4.2.4., 2.2.1.2.1.2.2. Y 2.2.1.2.4.2.8.; adiciona los artículos 2.2.1.2.4.2.14., 2.2.1.2.4.2.15., 2.2.1.2.4.2.16., 2.2.1.2.4.2.17. Y 2.2.1.2.4.2.18.; adiciona un parágrafo al artículo 2.2.1.2.3.1.9; y deroga el artículo 2.2.1.1.2.2.9. del Decreto 1082 de 2015, Único Reglamentario del Sector Administrativo de Planeación Nacional”.</w:t>
      </w:r>
    </w:p>
  </w:footnote>
  <w:footnote w:id="4">
    <w:p w14:paraId="008ED095" w14:textId="77777777" w:rsidR="00FC5D28" w:rsidRPr="005B1F06" w:rsidRDefault="00FC5D28" w:rsidP="00FC5D28">
      <w:pPr>
        <w:pStyle w:val="Textonotapie"/>
        <w:ind w:firstLine="708"/>
        <w:jc w:val="both"/>
        <w:rPr>
          <w:rFonts w:ascii="Verdana" w:hAnsi="Verdana" w:cs="Arial"/>
          <w:sz w:val="14"/>
          <w:szCs w:val="14"/>
        </w:rPr>
      </w:pPr>
      <w:r w:rsidRPr="005B1F06">
        <w:rPr>
          <w:rStyle w:val="Refdenotaalpie"/>
          <w:rFonts w:ascii="Verdana" w:hAnsi="Verdana" w:cs="Arial"/>
          <w:sz w:val="14"/>
          <w:szCs w:val="14"/>
        </w:rPr>
        <w:footnoteRef/>
      </w:r>
      <w:r w:rsidRPr="005B1F06">
        <w:rPr>
          <w:rFonts w:ascii="Verdana" w:hAnsi="Verdana" w:cs="Arial"/>
          <w:sz w:val="14"/>
          <w:szCs w:val="14"/>
        </w:rPr>
        <w:t xml:space="preserve"> Este monto fue publicado por la Agencia Nacional de Contratación Pública – Colombia Compra Eficiente, de acuerdo con la información remitida por el Ministerio de Comercio Industria y Turismo, disponible en el siguiente enlace: </w:t>
      </w:r>
      <w:hyperlink r:id="rId1" w:history="1">
        <w:r w:rsidRPr="005B1F06">
          <w:rPr>
            <w:rStyle w:val="Hipervnculo"/>
            <w:rFonts w:ascii="Verdana" w:hAnsi="Verdana" w:cs="Arial"/>
            <w:color w:val="000000" w:themeColor="text1"/>
            <w:sz w:val="14"/>
            <w:szCs w:val="14"/>
          </w:rPr>
          <w:t>https://www.colombiacompra.gov.co/sites/cce_public/files/files_2020/vf_umbrales_actualizaciones_2022_-_2023_1.pdf</w:t>
        </w:r>
      </w:hyperlink>
      <w:r w:rsidRPr="005B1F06">
        <w:rPr>
          <w:rFonts w:ascii="Verdana" w:hAnsi="Verdana" w:cs="Arial"/>
          <w:color w:val="000000" w:themeColor="text1"/>
          <w:sz w:val="14"/>
          <w:szCs w:val="14"/>
        </w:rPr>
        <w:t xml:space="preserve">. </w:t>
      </w:r>
    </w:p>
  </w:footnote>
  <w:footnote w:id="5">
    <w:p w14:paraId="01E48F4B" w14:textId="77777777" w:rsidR="00FC5D28" w:rsidRPr="005B1F06" w:rsidRDefault="00FC5D28" w:rsidP="00FC5D28">
      <w:pPr>
        <w:pStyle w:val="Textonotapie"/>
        <w:ind w:firstLine="709"/>
        <w:jc w:val="both"/>
        <w:rPr>
          <w:rFonts w:ascii="Verdana" w:hAnsi="Verdana" w:cs="Arial"/>
          <w:sz w:val="14"/>
          <w:szCs w:val="14"/>
        </w:rPr>
      </w:pPr>
      <w:r w:rsidRPr="005B1F06">
        <w:rPr>
          <w:rStyle w:val="Refdenotaalpie"/>
          <w:rFonts w:ascii="Verdana" w:hAnsi="Verdana" w:cs="Arial"/>
          <w:sz w:val="14"/>
          <w:szCs w:val="14"/>
        </w:rPr>
        <w:footnoteRef/>
      </w:r>
      <w:r w:rsidRPr="005B1F06">
        <w:rPr>
          <w:rFonts w:ascii="Verdana" w:hAnsi="Verdana" w:cs="Arial"/>
          <w:sz w:val="14"/>
          <w:szCs w:val="14"/>
        </w:rPr>
        <w:t xml:space="preserve"> ARTÍCULO 2.2.1.2.4.2.2. Convocatorias limitadas a Mípyme.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 </w:t>
      </w:r>
    </w:p>
    <w:p w14:paraId="3859D556" w14:textId="77777777" w:rsidR="00FC5D28" w:rsidRPr="005B1F06" w:rsidRDefault="00FC5D28" w:rsidP="00FC5D28">
      <w:pPr>
        <w:pStyle w:val="Textonotapie"/>
        <w:ind w:firstLine="709"/>
        <w:jc w:val="both"/>
        <w:rPr>
          <w:rFonts w:ascii="Verdana" w:hAnsi="Verdana" w:cs="Arial"/>
          <w:sz w:val="14"/>
          <w:szCs w:val="14"/>
        </w:rPr>
      </w:pPr>
      <w:r w:rsidRPr="005B1F06">
        <w:rPr>
          <w:rFonts w:ascii="Verdana" w:hAnsi="Verdana" w:cs="Arial"/>
          <w:sz w:val="14"/>
          <w:szCs w:val="14"/>
        </w:rPr>
        <w:t xml:space="preserve">1. El valor del Proceso de Contratación sea menor a ciento veinticinco mil dólares de los Estados Unidos de América (US$125.000), liquidados con la tasa de cambio que para el efecto determina cada dos años el Ministerio de Comercio, Industria y Turismo. </w:t>
      </w:r>
    </w:p>
    <w:p w14:paraId="695A2635" w14:textId="77777777" w:rsidR="00FC5D28" w:rsidRPr="005B1F06" w:rsidRDefault="00FC5D28" w:rsidP="00FC5D28">
      <w:pPr>
        <w:pStyle w:val="Textonotapie"/>
        <w:ind w:firstLine="709"/>
        <w:jc w:val="both"/>
        <w:rPr>
          <w:rFonts w:ascii="Verdana" w:hAnsi="Verdana" w:cs="Arial"/>
          <w:sz w:val="14"/>
          <w:szCs w:val="14"/>
        </w:rPr>
      </w:pPr>
      <w:r w:rsidRPr="005B1F06">
        <w:rPr>
          <w:rFonts w:ascii="Verdana" w:hAnsi="Verdana" w:cs="Arial"/>
          <w:sz w:val="14"/>
          <w:szCs w:val="14"/>
        </w:rPr>
        <w:t xml:space="preserve">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w:t>
      </w:r>
    </w:p>
    <w:p w14:paraId="4278A84E" w14:textId="77777777" w:rsidR="00FC5D28" w:rsidRPr="005B1F06" w:rsidRDefault="00FC5D28" w:rsidP="00FC5D28">
      <w:pPr>
        <w:pStyle w:val="Textonotapie"/>
        <w:ind w:firstLine="709"/>
        <w:jc w:val="both"/>
        <w:rPr>
          <w:rFonts w:ascii="Verdana" w:hAnsi="Verdana" w:cs="Arial"/>
          <w:sz w:val="14"/>
          <w:szCs w:val="14"/>
        </w:rPr>
      </w:pPr>
      <w:r w:rsidRPr="005B1F06">
        <w:rPr>
          <w:rFonts w:ascii="Verdana" w:hAnsi="Verdana" w:cs="Arial"/>
          <w:sz w:val="14"/>
          <w:szCs w:val="14"/>
        </w:rPr>
        <w:t xml:space="preserve">Tratándose de personas jurídicas, las solicitudes solo las podrán realizar Mipyme, cuyo objeto social les permita ejecutar el contrato relacionado con el proceso contractual. </w:t>
      </w:r>
    </w:p>
    <w:p w14:paraId="29DD8524" w14:textId="77777777" w:rsidR="00FC5D28" w:rsidRPr="00A61D2A" w:rsidRDefault="00FC5D28" w:rsidP="00FC5D28">
      <w:pPr>
        <w:pStyle w:val="Textonotapie"/>
        <w:ind w:firstLine="709"/>
        <w:jc w:val="both"/>
        <w:rPr>
          <w:rFonts w:ascii="Century Gothic" w:hAnsi="Century Gothic" w:cs="Arial"/>
          <w:sz w:val="14"/>
          <w:szCs w:val="14"/>
        </w:rPr>
      </w:pPr>
      <w:r w:rsidRPr="005B1F06">
        <w:rPr>
          <w:rFonts w:ascii="Verdana" w:hAnsi="Verdana" w:cs="Arial"/>
          <w:sz w:val="14"/>
          <w:szCs w:val="14"/>
        </w:rPr>
        <w:t>PARÁGRAFO. Las cooperativas y dem</w:t>
      </w:r>
      <w:r w:rsidRPr="005B1F06">
        <w:rPr>
          <w:rFonts w:ascii="Verdana" w:hAnsi="Verdana" w:cs="Century Gothic"/>
          <w:sz w:val="14"/>
          <w:szCs w:val="14"/>
        </w:rPr>
        <w:t>á</w:t>
      </w:r>
      <w:r w:rsidRPr="005B1F06">
        <w:rPr>
          <w:rFonts w:ascii="Verdana" w:hAnsi="Verdana" w:cs="Arial"/>
          <w:sz w:val="14"/>
          <w:szCs w:val="14"/>
        </w:rPr>
        <w:t>s entidades de econom</w:t>
      </w:r>
      <w:r w:rsidRPr="005B1F06">
        <w:rPr>
          <w:rFonts w:ascii="Verdana" w:hAnsi="Verdana" w:cs="Century Gothic"/>
          <w:sz w:val="14"/>
          <w:szCs w:val="14"/>
        </w:rPr>
        <w:t>í</w:t>
      </w:r>
      <w:r w:rsidRPr="005B1F06">
        <w:rPr>
          <w:rFonts w:ascii="Verdana" w:hAnsi="Verdana" w:cs="Arial"/>
          <w:sz w:val="14"/>
          <w:szCs w:val="14"/>
        </w:rPr>
        <w:t>a solidaria, siempre que tengan la calidad de M</w:t>
      </w:r>
      <w:r w:rsidRPr="005B1F06">
        <w:rPr>
          <w:rFonts w:ascii="Verdana" w:hAnsi="Verdana" w:cs="Century Gothic"/>
          <w:sz w:val="14"/>
          <w:szCs w:val="14"/>
        </w:rPr>
        <w:t>í</w:t>
      </w:r>
      <w:r w:rsidRPr="005B1F06">
        <w:rPr>
          <w:rFonts w:ascii="Verdana" w:hAnsi="Verdana" w:cs="Arial"/>
          <w:sz w:val="14"/>
          <w:szCs w:val="14"/>
        </w:rPr>
        <w:t>pyme, podr</w:t>
      </w:r>
      <w:r w:rsidRPr="005B1F06">
        <w:rPr>
          <w:rFonts w:ascii="Verdana" w:hAnsi="Verdana" w:cs="Century Gothic"/>
          <w:sz w:val="14"/>
          <w:szCs w:val="14"/>
        </w:rPr>
        <w:t>á</w:t>
      </w:r>
      <w:r w:rsidRPr="005B1F06">
        <w:rPr>
          <w:rFonts w:ascii="Verdana" w:hAnsi="Verdana" w:cs="Arial"/>
          <w:sz w:val="14"/>
          <w:szCs w:val="14"/>
        </w:rPr>
        <w:t>n solicitar y participar en las convocatorias limitadas en las mismas condiciones dispuestas en el presente artículo.</w:t>
      </w:r>
    </w:p>
  </w:footnote>
  <w:footnote w:id="6">
    <w:p w14:paraId="32497086" w14:textId="77777777" w:rsidR="00FC5D28" w:rsidRPr="00A61D2A" w:rsidRDefault="00FC5D28" w:rsidP="006F5A49">
      <w:pPr>
        <w:pStyle w:val="Textonotapie"/>
        <w:jc w:val="both"/>
        <w:rPr>
          <w:rFonts w:ascii="Century Gothic" w:hAnsi="Century Gothic" w:cs="Arial"/>
          <w:color w:val="000000" w:themeColor="text1"/>
          <w:sz w:val="14"/>
          <w:szCs w:val="14"/>
        </w:rPr>
      </w:pPr>
    </w:p>
    <w:p w14:paraId="466E923B" w14:textId="77777777" w:rsidR="00FC5D28" w:rsidRPr="005B1F06" w:rsidRDefault="00FC5D28" w:rsidP="00FC5D28">
      <w:pPr>
        <w:pStyle w:val="Textonotapie"/>
        <w:ind w:firstLine="708"/>
        <w:jc w:val="both"/>
        <w:rPr>
          <w:rFonts w:ascii="Verdana" w:hAnsi="Verdana" w:cs="Arial"/>
          <w:color w:val="000000" w:themeColor="text1"/>
          <w:sz w:val="14"/>
          <w:szCs w:val="14"/>
        </w:rPr>
      </w:pPr>
      <w:r w:rsidRPr="005B1F06">
        <w:rPr>
          <w:rStyle w:val="Refdenotaalpie"/>
          <w:rFonts w:ascii="Verdana" w:hAnsi="Verdana" w:cs="Arial"/>
          <w:color w:val="000000" w:themeColor="text1"/>
          <w:sz w:val="14"/>
          <w:szCs w:val="14"/>
        </w:rPr>
        <w:footnoteRef/>
      </w:r>
      <w:r w:rsidRPr="005B1F06">
        <w:rPr>
          <w:rFonts w:ascii="Verdana" w:hAnsi="Verdana" w:cs="Arial"/>
          <w:color w:val="000000" w:themeColor="text1"/>
          <w:sz w:val="14"/>
          <w:szCs w:val="14"/>
        </w:rPr>
        <w:t>Ley 1150 de 20</w:t>
      </w:r>
      <w:r>
        <w:rPr>
          <w:rFonts w:ascii="Verdana" w:hAnsi="Verdana" w:cs="Arial"/>
          <w:color w:val="000000" w:themeColor="text1"/>
          <w:sz w:val="14"/>
          <w:szCs w:val="14"/>
        </w:rPr>
        <w:t>07</w:t>
      </w:r>
      <w:r w:rsidRPr="005B1F06">
        <w:rPr>
          <w:rFonts w:ascii="Verdana" w:hAnsi="Verdana" w:cs="Arial"/>
          <w:color w:val="000000" w:themeColor="text1"/>
          <w:sz w:val="14"/>
          <w:szCs w:val="14"/>
        </w:rPr>
        <w:t xml:space="preserve">. Artículo 12 modificado por el artículo 34 de la Ley 2069 de 2020. </w:t>
      </w:r>
      <w:r>
        <w:rPr>
          <w:rFonts w:ascii="Verdana" w:hAnsi="Verdana" w:cs="Arial"/>
          <w:color w:val="000000" w:themeColor="text1"/>
          <w:sz w:val="14"/>
          <w:szCs w:val="14"/>
        </w:rPr>
        <w:t>“</w:t>
      </w:r>
      <w:r w:rsidRPr="005B1F06">
        <w:rPr>
          <w:rFonts w:ascii="Verdana" w:hAnsi="Verdana" w:cs="Arial"/>
          <w:color w:val="000000" w:themeColor="text1"/>
          <w:sz w:val="14"/>
          <w:szCs w:val="14"/>
        </w:rPr>
        <w:t>Parágrafo 1°: En los procesos de selección que se desarrollen con base en el primer inciso, las entidades podrán realizar las convocatorias limitadas que beneficien a las Mipymes del ámbito municipal o departamental correspondiente al de la ejecución del contrato</w:t>
      </w:r>
      <w:r>
        <w:rPr>
          <w:rFonts w:ascii="Verdana" w:hAnsi="Verdana" w:cs="Arial"/>
          <w:color w:val="000000" w:themeColor="text1"/>
          <w:sz w:val="14"/>
          <w:szCs w:val="14"/>
        </w:rPr>
        <w:t>”</w:t>
      </w:r>
      <w:r w:rsidRPr="005B1F06">
        <w:rPr>
          <w:rFonts w:ascii="Verdana" w:hAnsi="Verdana" w:cs="Arial"/>
          <w:color w:val="000000" w:themeColor="text1"/>
          <w:sz w:val="14"/>
          <w:szCs w:val="14"/>
        </w:rPr>
        <w:t>.</w:t>
      </w:r>
    </w:p>
    <w:p w14:paraId="1AECBB33" w14:textId="77777777" w:rsidR="00FC5D28" w:rsidRPr="005B1F06" w:rsidRDefault="00FC5D28" w:rsidP="00FC5D28">
      <w:pPr>
        <w:pStyle w:val="Textonotapie"/>
        <w:ind w:firstLine="708"/>
        <w:jc w:val="both"/>
        <w:rPr>
          <w:rFonts w:ascii="Verdana" w:hAnsi="Verdana" w:cs="Arial"/>
          <w:color w:val="000000" w:themeColor="text1"/>
          <w:sz w:val="14"/>
          <w:szCs w:val="14"/>
        </w:rPr>
      </w:pPr>
    </w:p>
  </w:footnote>
  <w:footnote w:id="7">
    <w:p w14:paraId="06D65E3C" w14:textId="77777777" w:rsidR="00FC5D28" w:rsidRPr="005B1F06" w:rsidRDefault="00FC5D28" w:rsidP="00FC5D28">
      <w:pPr>
        <w:pStyle w:val="Textonotapie"/>
        <w:ind w:firstLine="708"/>
        <w:jc w:val="both"/>
        <w:rPr>
          <w:rFonts w:ascii="Verdana" w:hAnsi="Verdana" w:cs="Arial"/>
          <w:color w:val="000000" w:themeColor="text1"/>
          <w:sz w:val="14"/>
          <w:szCs w:val="14"/>
        </w:rPr>
      </w:pPr>
      <w:r w:rsidRPr="005B1F06">
        <w:rPr>
          <w:rStyle w:val="Refdenotaalpie"/>
          <w:rFonts w:ascii="Verdana" w:hAnsi="Verdana" w:cs="Arial"/>
          <w:color w:val="000000" w:themeColor="text1"/>
          <w:sz w:val="14"/>
          <w:szCs w:val="14"/>
        </w:rPr>
        <w:footnoteRef/>
      </w:r>
      <w:r w:rsidRPr="005B1F06">
        <w:rPr>
          <w:rFonts w:ascii="Verdana" w:hAnsi="Verdana" w:cs="Arial"/>
          <w:color w:val="000000" w:themeColor="text1"/>
          <w:sz w:val="14"/>
          <w:szCs w:val="14"/>
        </w:rPr>
        <w:t xml:space="preserve"> Cfr. Concepto emitido en el radicado 4201913000005674, dictado el 27 de septiembre de 2019.</w:t>
      </w:r>
    </w:p>
    <w:p w14:paraId="68E9DAF1" w14:textId="77777777" w:rsidR="00FC5D28" w:rsidRPr="005B1F06" w:rsidRDefault="00FC5D28" w:rsidP="00FC5D28">
      <w:pPr>
        <w:pStyle w:val="Textonotapie"/>
        <w:ind w:firstLine="708"/>
        <w:jc w:val="both"/>
        <w:rPr>
          <w:rFonts w:ascii="Verdana" w:hAnsi="Verdana" w:cs="Arial"/>
          <w:color w:val="000000" w:themeColor="text1"/>
          <w:sz w:val="14"/>
          <w:szCs w:val="14"/>
          <w:lang w:val="es-ES"/>
        </w:rPr>
      </w:pPr>
    </w:p>
  </w:footnote>
  <w:footnote w:id="8">
    <w:p w14:paraId="6E8143C3" w14:textId="77777777" w:rsidR="00FC5D28" w:rsidRPr="00A4749D" w:rsidRDefault="00FC5D28" w:rsidP="00FC5D28">
      <w:pPr>
        <w:pStyle w:val="Textonotapie"/>
        <w:ind w:firstLine="708"/>
        <w:jc w:val="both"/>
        <w:rPr>
          <w:rFonts w:ascii="Verdana" w:hAnsi="Verdana" w:cs="Arial"/>
          <w:sz w:val="14"/>
          <w:szCs w:val="14"/>
        </w:rPr>
      </w:pPr>
      <w:r w:rsidRPr="00A4749D">
        <w:rPr>
          <w:rStyle w:val="Refdenotaalpie"/>
          <w:rFonts w:ascii="Verdana" w:hAnsi="Verdana" w:cs="Arial"/>
          <w:sz w:val="14"/>
          <w:szCs w:val="14"/>
        </w:rPr>
        <w:footnoteRef/>
      </w:r>
      <w:r w:rsidRPr="00A4749D">
        <w:rPr>
          <w:rFonts w:ascii="Verdana" w:hAnsi="Verdana" w:cs="Arial"/>
          <w:sz w:val="14"/>
          <w:szCs w:val="14"/>
        </w:rPr>
        <w:t xml:space="preserve"> Al respecto, de acuerdo con el Concepto C-089 del 28 de abril de 2023, la Agencia estima que “el debido ejercicio de la referida potestad discrecional exige que converjan unos mínimos presupuestos de adecuación, para que resulte adecuada la decisión de limitar una convocatoria a la participación exclusiva de MiPymes. Es por esto por lo que la decisión de limitar territorialmente una convocatoria solo puede resultar razonable si la información recolectada en el marco del análisis del sector indica que en el lugar de ejecución del contrato existe un número significativo de MiPymes allí domiciliadas, cuyo objeto social les permitiría desarrollar el contrato o que estén interesadas en participar en el respectivo proceso de contratación. Adicionalmente, se torna relevante determinar que tantas de esas MiPymes tendrían la posibilidad de participar en el respectivo proceso de contratación en consideración en atención a las aptitudes e idoneidad requerida.  De acuerdo con lo anterior, difícilmente podría entenderse adecuada la decisión de limitar una convocatoria por el referido factor territorial, si dentro del estudio del sector no se identifican una pluralidad de MiPymes que estén en posición de participar en el respectivo proceso.</w:t>
      </w:r>
    </w:p>
    <w:p w14:paraId="7011857A" w14:textId="77777777" w:rsidR="00FC5D28" w:rsidRPr="00A4749D" w:rsidRDefault="00FC5D28" w:rsidP="00FC5D28">
      <w:pPr>
        <w:pStyle w:val="Textonotapie"/>
        <w:ind w:firstLine="708"/>
        <w:jc w:val="both"/>
        <w:rPr>
          <w:rFonts w:ascii="Verdana" w:hAnsi="Verdana" w:cs="Arial"/>
          <w:sz w:val="14"/>
          <w:szCs w:val="14"/>
        </w:rPr>
      </w:pPr>
    </w:p>
    <w:p w14:paraId="6B3A7A0D" w14:textId="77777777" w:rsidR="00FC5D28" w:rsidRPr="00A4749D" w:rsidRDefault="00FC5D28" w:rsidP="00FC5D28">
      <w:pPr>
        <w:pStyle w:val="Textonotapie"/>
        <w:ind w:firstLine="708"/>
        <w:jc w:val="both"/>
        <w:rPr>
          <w:rFonts w:ascii="Verdana" w:hAnsi="Verdana" w:cs="Arial"/>
          <w:sz w:val="14"/>
          <w:szCs w:val="14"/>
        </w:rPr>
      </w:pPr>
      <w:r w:rsidRPr="00A4749D">
        <w:rPr>
          <w:rFonts w:ascii="Verdana" w:hAnsi="Verdana" w:cs="Arial"/>
          <w:sz w:val="14"/>
          <w:szCs w:val="14"/>
        </w:rPr>
        <w:t>En atención a lo anterior,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p w14:paraId="3D6931BE" w14:textId="77777777" w:rsidR="00FC5D28" w:rsidRPr="00A4749D" w:rsidRDefault="00FC5D28" w:rsidP="00FC5D28">
      <w:pPr>
        <w:pStyle w:val="Textonotapie"/>
        <w:ind w:firstLine="708"/>
        <w:jc w:val="both"/>
        <w:rPr>
          <w:rFonts w:ascii="Verdana" w:hAnsi="Verdana" w:cs="Arial"/>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6C238A7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745011149" o:spid="_x0000_i1025" type="#_x0000_t75" style="width:11.25pt;height:11.25pt;visibility:visible;mso-wrap-style:square">
            <v:imagedata r:id="rId1" o:title=""/>
          </v:shape>
        </w:pict>
      </mc:Choice>
      <mc:Fallback>
        <w:drawing>
          <wp:inline distT="0" distB="0" distL="0" distR="0" wp14:anchorId="045453F0" wp14:editId="3224C035">
            <wp:extent cx="142875" cy="142875"/>
            <wp:effectExtent l="0" t="0" r="0" b="0"/>
            <wp:docPr id="1745011149" name="Imagen 1745011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2A7397"/>
    <w:multiLevelType w:val="hybridMultilevel"/>
    <w:tmpl w:val="5F0CACD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9"/>
  </w:num>
  <w:num w:numId="16" w16cid:durableId="341274352">
    <w:abstractNumId w:val="0"/>
  </w:num>
  <w:num w:numId="17" w16cid:durableId="186420206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4D5"/>
    <w:rsid w:val="00016F78"/>
    <w:rsid w:val="00025033"/>
    <w:rsid w:val="000266FB"/>
    <w:rsid w:val="00046945"/>
    <w:rsid w:val="00061B2A"/>
    <w:rsid w:val="00082362"/>
    <w:rsid w:val="00082F86"/>
    <w:rsid w:val="000A683E"/>
    <w:rsid w:val="000B19B9"/>
    <w:rsid w:val="000C7312"/>
    <w:rsid w:val="000D0334"/>
    <w:rsid w:val="000F1050"/>
    <w:rsid w:val="000F6486"/>
    <w:rsid w:val="00125105"/>
    <w:rsid w:val="001261BC"/>
    <w:rsid w:val="00127233"/>
    <w:rsid w:val="001511A0"/>
    <w:rsid w:val="00180D43"/>
    <w:rsid w:val="00191971"/>
    <w:rsid w:val="00191ACC"/>
    <w:rsid w:val="001A2BF6"/>
    <w:rsid w:val="001B1CD1"/>
    <w:rsid w:val="001C7C75"/>
    <w:rsid w:val="001D1E0F"/>
    <w:rsid w:val="001D4D4B"/>
    <w:rsid w:val="001E4177"/>
    <w:rsid w:val="001F7DC6"/>
    <w:rsid w:val="00203290"/>
    <w:rsid w:val="0022503E"/>
    <w:rsid w:val="00226D9C"/>
    <w:rsid w:val="002421BB"/>
    <w:rsid w:val="0025796E"/>
    <w:rsid w:val="002670AF"/>
    <w:rsid w:val="002707A2"/>
    <w:rsid w:val="00273FCC"/>
    <w:rsid w:val="002869EA"/>
    <w:rsid w:val="002951A0"/>
    <w:rsid w:val="002962BC"/>
    <w:rsid w:val="002A093D"/>
    <w:rsid w:val="002A0DD0"/>
    <w:rsid w:val="002A49AC"/>
    <w:rsid w:val="002A64FD"/>
    <w:rsid w:val="002A73C9"/>
    <w:rsid w:val="002A746E"/>
    <w:rsid w:val="002C7A84"/>
    <w:rsid w:val="002E4FD9"/>
    <w:rsid w:val="002F5CA4"/>
    <w:rsid w:val="00321BB0"/>
    <w:rsid w:val="00322A85"/>
    <w:rsid w:val="00324168"/>
    <w:rsid w:val="00333ED9"/>
    <w:rsid w:val="003448F4"/>
    <w:rsid w:val="00370B6E"/>
    <w:rsid w:val="00374F5E"/>
    <w:rsid w:val="00377E3E"/>
    <w:rsid w:val="00380F03"/>
    <w:rsid w:val="003A091B"/>
    <w:rsid w:val="003A779E"/>
    <w:rsid w:val="003B6564"/>
    <w:rsid w:val="003D0F4D"/>
    <w:rsid w:val="003D5B0D"/>
    <w:rsid w:val="003E0499"/>
    <w:rsid w:val="003F3941"/>
    <w:rsid w:val="00406575"/>
    <w:rsid w:val="00414C74"/>
    <w:rsid w:val="0042722E"/>
    <w:rsid w:val="0044528D"/>
    <w:rsid w:val="004526DF"/>
    <w:rsid w:val="004818E4"/>
    <w:rsid w:val="00490068"/>
    <w:rsid w:val="00491EF1"/>
    <w:rsid w:val="004A1847"/>
    <w:rsid w:val="004A305D"/>
    <w:rsid w:val="004E15EC"/>
    <w:rsid w:val="004F21C4"/>
    <w:rsid w:val="004F685F"/>
    <w:rsid w:val="005433D6"/>
    <w:rsid w:val="005566E8"/>
    <w:rsid w:val="00574867"/>
    <w:rsid w:val="005875CC"/>
    <w:rsid w:val="00591460"/>
    <w:rsid w:val="005A1810"/>
    <w:rsid w:val="005A2D07"/>
    <w:rsid w:val="005A33CB"/>
    <w:rsid w:val="005A75AB"/>
    <w:rsid w:val="005B3816"/>
    <w:rsid w:val="005B39C9"/>
    <w:rsid w:val="005C3777"/>
    <w:rsid w:val="005C5CDC"/>
    <w:rsid w:val="005D476C"/>
    <w:rsid w:val="005E73E7"/>
    <w:rsid w:val="006219F8"/>
    <w:rsid w:val="00622331"/>
    <w:rsid w:val="00632090"/>
    <w:rsid w:val="00663BF6"/>
    <w:rsid w:val="00665D70"/>
    <w:rsid w:val="006900D9"/>
    <w:rsid w:val="00690D7C"/>
    <w:rsid w:val="006A5B6F"/>
    <w:rsid w:val="006D75FE"/>
    <w:rsid w:val="006E4180"/>
    <w:rsid w:val="006E6A81"/>
    <w:rsid w:val="006F5A49"/>
    <w:rsid w:val="00706C16"/>
    <w:rsid w:val="00756841"/>
    <w:rsid w:val="0076212D"/>
    <w:rsid w:val="007649AB"/>
    <w:rsid w:val="00764D5B"/>
    <w:rsid w:val="00771D0C"/>
    <w:rsid w:val="007833AC"/>
    <w:rsid w:val="007B268C"/>
    <w:rsid w:val="007B7171"/>
    <w:rsid w:val="007C0C0F"/>
    <w:rsid w:val="007C3DC2"/>
    <w:rsid w:val="007E5497"/>
    <w:rsid w:val="007E70BD"/>
    <w:rsid w:val="00806F5F"/>
    <w:rsid w:val="00820278"/>
    <w:rsid w:val="00835F8C"/>
    <w:rsid w:val="008379C1"/>
    <w:rsid w:val="00867F95"/>
    <w:rsid w:val="0087199B"/>
    <w:rsid w:val="00883391"/>
    <w:rsid w:val="008843B6"/>
    <w:rsid w:val="00885A39"/>
    <w:rsid w:val="00891928"/>
    <w:rsid w:val="008A446D"/>
    <w:rsid w:val="008B4A21"/>
    <w:rsid w:val="008D180B"/>
    <w:rsid w:val="008F0EA7"/>
    <w:rsid w:val="008F5074"/>
    <w:rsid w:val="0091292D"/>
    <w:rsid w:val="009239D7"/>
    <w:rsid w:val="00923EEF"/>
    <w:rsid w:val="009419F9"/>
    <w:rsid w:val="00952E27"/>
    <w:rsid w:val="0095685E"/>
    <w:rsid w:val="00961B09"/>
    <w:rsid w:val="00965334"/>
    <w:rsid w:val="0097093E"/>
    <w:rsid w:val="0097651F"/>
    <w:rsid w:val="00986AC5"/>
    <w:rsid w:val="009A0DFA"/>
    <w:rsid w:val="009A19E3"/>
    <w:rsid w:val="009B2D26"/>
    <w:rsid w:val="009C71FA"/>
    <w:rsid w:val="009C72E7"/>
    <w:rsid w:val="009C762D"/>
    <w:rsid w:val="009D3058"/>
    <w:rsid w:val="009F3A13"/>
    <w:rsid w:val="00A122D3"/>
    <w:rsid w:val="00A17F13"/>
    <w:rsid w:val="00A20739"/>
    <w:rsid w:val="00A3339C"/>
    <w:rsid w:val="00A33C78"/>
    <w:rsid w:val="00A361EC"/>
    <w:rsid w:val="00A44D96"/>
    <w:rsid w:val="00A77273"/>
    <w:rsid w:val="00A95FAF"/>
    <w:rsid w:val="00AB0ADB"/>
    <w:rsid w:val="00B01B1A"/>
    <w:rsid w:val="00B50ED7"/>
    <w:rsid w:val="00B66319"/>
    <w:rsid w:val="00B72CD3"/>
    <w:rsid w:val="00B72FFF"/>
    <w:rsid w:val="00BC3D36"/>
    <w:rsid w:val="00BD7F72"/>
    <w:rsid w:val="00C04FB3"/>
    <w:rsid w:val="00C330EB"/>
    <w:rsid w:val="00C33ED7"/>
    <w:rsid w:val="00C41061"/>
    <w:rsid w:val="00C754BE"/>
    <w:rsid w:val="00C75BA7"/>
    <w:rsid w:val="00C76B1C"/>
    <w:rsid w:val="00C8503D"/>
    <w:rsid w:val="00CB54E5"/>
    <w:rsid w:val="00CB6357"/>
    <w:rsid w:val="00CC1B26"/>
    <w:rsid w:val="00CD37E4"/>
    <w:rsid w:val="00CE459F"/>
    <w:rsid w:val="00D015A6"/>
    <w:rsid w:val="00D13B30"/>
    <w:rsid w:val="00D23B79"/>
    <w:rsid w:val="00D423A2"/>
    <w:rsid w:val="00D520D8"/>
    <w:rsid w:val="00D63AC2"/>
    <w:rsid w:val="00D7383B"/>
    <w:rsid w:val="00DA231B"/>
    <w:rsid w:val="00DA236C"/>
    <w:rsid w:val="00DB28A0"/>
    <w:rsid w:val="00DC39FC"/>
    <w:rsid w:val="00DE40AE"/>
    <w:rsid w:val="00DF5254"/>
    <w:rsid w:val="00E16408"/>
    <w:rsid w:val="00E20894"/>
    <w:rsid w:val="00E245AB"/>
    <w:rsid w:val="00E271BF"/>
    <w:rsid w:val="00E2764C"/>
    <w:rsid w:val="00E27F2E"/>
    <w:rsid w:val="00E457DD"/>
    <w:rsid w:val="00E470F1"/>
    <w:rsid w:val="00E50AFE"/>
    <w:rsid w:val="00E52180"/>
    <w:rsid w:val="00E56231"/>
    <w:rsid w:val="00E75C92"/>
    <w:rsid w:val="00E771DC"/>
    <w:rsid w:val="00E8772A"/>
    <w:rsid w:val="00E90F6B"/>
    <w:rsid w:val="00E92C27"/>
    <w:rsid w:val="00EA0E3D"/>
    <w:rsid w:val="00EC38A7"/>
    <w:rsid w:val="00ED7384"/>
    <w:rsid w:val="00EE1AA8"/>
    <w:rsid w:val="00EF6A17"/>
    <w:rsid w:val="00F07897"/>
    <w:rsid w:val="00F31EDC"/>
    <w:rsid w:val="00F4025E"/>
    <w:rsid w:val="00F462B3"/>
    <w:rsid w:val="00F46E0C"/>
    <w:rsid w:val="00F5664F"/>
    <w:rsid w:val="00F63E17"/>
    <w:rsid w:val="00F666C4"/>
    <w:rsid w:val="00F76AFC"/>
    <w:rsid w:val="00FA47C0"/>
    <w:rsid w:val="00FB255D"/>
    <w:rsid w:val="00FB5DD1"/>
    <w:rsid w:val="00FC1DDA"/>
    <w:rsid w:val="00FC2B5D"/>
    <w:rsid w:val="00FC5D28"/>
    <w:rsid w:val="00FF1449"/>
    <w:rsid w:val="08C31E44"/>
    <w:rsid w:val="706726C8"/>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C5D2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C5D28"/>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272500">
      <w:bodyDiv w:val="1"/>
      <w:marLeft w:val="0"/>
      <w:marRight w:val="0"/>
      <w:marTop w:val="0"/>
      <w:marBottom w:val="0"/>
      <w:divBdr>
        <w:top w:val="none" w:sz="0" w:space="0" w:color="auto"/>
        <w:left w:val="none" w:sz="0" w:space="0" w:color="auto"/>
        <w:bottom w:val="none" w:sz="0" w:space="0" w:color="auto"/>
        <w:right w:val="none" w:sz="0" w:space="0" w:color="auto"/>
      </w:divBdr>
    </w:div>
    <w:div w:id="554046282">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14080337">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00458465">
      <w:bodyDiv w:val="1"/>
      <w:marLeft w:val="0"/>
      <w:marRight w:val="0"/>
      <w:marTop w:val="0"/>
      <w:marBottom w:val="0"/>
      <w:divBdr>
        <w:top w:val="none" w:sz="0" w:space="0" w:color="auto"/>
        <w:left w:val="none" w:sz="0" w:space="0" w:color="auto"/>
        <w:bottom w:val="none" w:sz="0" w:space="0" w:color="auto"/>
        <w:right w:val="none" w:sz="0" w:space="0" w:color="auto"/>
      </w:divBdr>
    </w:div>
    <w:div w:id="90907965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24215820">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ciudadanos%2Fcalendario&amp;data=05%7C02%7Cesperanza.contreras%40colombiacompra.gov.co%7Ceb0fd05604104aa4d3bc08dd4c4ad35e%7C7b09041e245149d08cb179d5e3d8c1be%7C0%7C0%7C638750606446524224%7CUnknown%7CTWFpbGZsb3d8eyJFbXB0eU1hcGkiOnRydWUsIlYiOiIwLjAuMDAwMCIsIlAiOiJXaW4zMiIsIkFOIjoiTWFpbCIsIldUIjoyfQ%3D%3D%7C0%7C%7C%7C&amp;sdata=6UggDTQVaVjwhMf9bnbUyElTuUjis%2BHKv2KOgauEvx4%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manuales-guias-y-pliegos-tipo%2Fmanuales-y-guias%2Fcartilla-para-incentivar-y-fortalecer-el-acceso-las&amp;data=05%7C02%7Cesperanza.contreras%40colombiacompra.gov.co%7Ceb0fd05604104aa4d3bc08dd4c4ad35e%7C7b09041e245149d08cb179d5e3d8c1be%7C0%7C0%7C638750606446508016%7CUnknown%7CTWFpbGZsb3d8eyJFbXB0eU1hcGkiOnRydWUsIlYiOiIwLjAuMDAwMCIsIlAiOiJXaW4zMiIsIkFOIjoiTWFpbCIsIldUIjoyfQ%3D%3D%7C0%7C%7C%7C&amp;sdata=w5yEy%2F7g7%2F%2FIXj5TgaBe1Ucg3Eiuadk9fm7CybX%2F5Gw%3D&amp;reserved=0"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esperanza.contreras%40colombiacompra.gov.co%7Ceb0fd05604104aa4d3bc08dd4c4ad35e%7C7b09041e245149d08cb179d5e3d8c1be%7C0%7C0%7C638750606446533879%7CUnknown%7CTWFpbGZsb3d8eyJFbXB0eU1hcGkiOnRydWUsIlYiOiIwLjAuMDAwMCIsIlAiOiJXaW4zMiIsIkFOIjoiTWFpbCIsIldUIjoyfQ%3D%3D%7C0%7C%7C%7C&amp;sdata=L0pIxKODuvqdJdlvvPzHiozW8YtzgU8R4%2F%2Btbs%2BwOF4%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files_2020/vf_umbrales_actualizaciones_2022_-_2023_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E703D223-0BF7-41AB-A572-89B12842E9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19</Pages>
  <Words>6829</Words>
  <Characters>37560</Characters>
  <Application>Microsoft Office Word</Application>
  <DocSecurity>0</DocSecurity>
  <Lines>313</Lines>
  <Paragraphs>88</Paragraphs>
  <ScaleCrop>false</ScaleCrop>
  <Company/>
  <LinksUpToDate>false</LinksUpToDate>
  <CharactersWithSpaces>44301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4</cp:revision>
  <cp:lastPrinted>2023-01-10T21:18:00Z</cp:lastPrinted>
  <dcterms:created xsi:type="dcterms:W3CDTF">2025-05-04T23:25:00Z</dcterms:created>
  <dcterms:modified xsi:type="dcterms:W3CDTF">2025-05-20T16:57:00Z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