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2C78AD" w14:textId="77777777" w:rsidR="009F7516" w:rsidRPr="008557D1" w:rsidRDefault="009F7516" w:rsidP="009F7516">
      <w:pPr>
        <w:spacing w:after="0" w:line="240" w:lineRule="auto"/>
        <w:jc w:val="both"/>
        <w:rPr>
          <w:rFonts w:ascii="Verdana" w:eastAsia="Geomanist Light" w:hAnsi="Verdana" w:cs="Arial"/>
          <w:lang w:val="es-MX"/>
        </w:rPr>
      </w:pPr>
      <w:bookmarkStart w:id="0" w:name="_Hlk143780582"/>
    </w:p>
    <w:p w14:paraId="6F1E4EB9" w14:textId="77777777" w:rsidR="009F7516" w:rsidRPr="008557D1" w:rsidRDefault="009F7516" w:rsidP="009F7516">
      <w:pPr>
        <w:spacing w:after="0" w:line="240" w:lineRule="auto"/>
        <w:jc w:val="both"/>
        <w:rPr>
          <w:rFonts w:ascii="Verdana" w:eastAsia="Calibri" w:hAnsi="Verdana" w:cs="Arial"/>
          <w:b/>
          <w:bCs/>
          <w:color w:val="000000"/>
          <w:kern w:val="2"/>
          <w14:ligatures w14:val="standardContextual"/>
        </w:rPr>
      </w:pPr>
      <w:r w:rsidRPr="008557D1">
        <w:rPr>
          <w:rFonts w:ascii="Verdana" w:eastAsia="Calibri" w:hAnsi="Verdana" w:cs="Arial"/>
          <w:b/>
          <w:bCs/>
          <w:color w:val="000000"/>
          <w:kern w:val="2"/>
          <w14:ligatures w14:val="standardContextual"/>
        </w:rPr>
        <w:t xml:space="preserve">INHABILIDADES E INCOMPATIBILIDADES </w:t>
      </w:r>
      <w:r w:rsidRPr="008557D1">
        <w:rPr>
          <w:rFonts w:ascii="Verdana" w:eastAsia="Calibri" w:hAnsi="Verdana" w:cs="Arial"/>
          <w:b/>
          <w:color w:val="000000"/>
          <w:kern w:val="2"/>
          <w14:ligatures w14:val="standardContextual"/>
        </w:rPr>
        <w:t>–</w:t>
      </w:r>
      <w:r w:rsidRPr="008557D1">
        <w:rPr>
          <w:rFonts w:ascii="Verdana" w:eastAsia="Calibri" w:hAnsi="Verdana" w:cs="Arial"/>
          <w:b/>
          <w:bCs/>
          <w:color w:val="000000"/>
          <w:kern w:val="2"/>
          <w14:ligatures w14:val="standardContextual"/>
        </w:rPr>
        <w:t xml:space="preserve"> Concepto </w:t>
      </w:r>
      <w:r w:rsidRPr="008557D1">
        <w:rPr>
          <w:rFonts w:ascii="Verdana" w:eastAsia="Calibri" w:hAnsi="Verdana" w:cs="Arial"/>
          <w:b/>
          <w:color w:val="000000"/>
          <w:kern w:val="2"/>
          <w14:ligatures w14:val="standardContextual"/>
        </w:rPr>
        <w:t xml:space="preserve">– </w:t>
      </w:r>
      <w:r w:rsidRPr="008557D1">
        <w:rPr>
          <w:rFonts w:ascii="Verdana" w:eastAsia="Calibri" w:hAnsi="Verdana" w:cs="Arial"/>
          <w:b/>
          <w:bCs/>
          <w:color w:val="000000"/>
          <w:kern w:val="2"/>
          <w14:ligatures w14:val="standardContextual"/>
        </w:rPr>
        <w:t xml:space="preserve">Principio de legalidad </w:t>
      </w:r>
      <w:r w:rsidRPr="008557D1">
        <w:rPr>
          <w:rFonts w:ascii="Verdana" w:eastAsia="Calibri" w:hAnsi="Verdana" w:cs="Arial"/>
          <w:b/>
          <w:color w:val="000000"/>
          <w:kern w:val="2"/>
          <w14:ligatures w14:val="standardContextual"/>
        </w:rPr>
        <w:t>–</w:t>
      </w:r>
      <w:r w:rsidRPr="008557D1">
        <w:rPr>
          <w:rFonts w:ascii="Verdana" w:eastAsia="Calibri" w:hAnsi="Verdana" w:cs="Arial"/>
          <w:b/>
          <w:bCs/>
          <w:color w:val="000000"/>
          <w:kern w:val="2"/>
          <w14:ligatures w14:val="standardContextual"/>
        </w:rPr>
        <w:t xml:space="preserve"> Interpretación restrictiva</w:t>
      </w:r>
    </w:p>
    <w:p w14:paraId="78BF1327" w14:textId="77777777" w:rsidR="009F7516" w:rsidRPr="008557D1" w:rsidRDefault="009F7516" w:rsidP="009F7516">
      <w:pPr>
        <w:spacing w:after="0" w:line="240" w:lineRule="auto"/>
        <w:jc w:val="both"/>
        <w:rPr>
          <w:rFonts w:ascii="Verdana" w:eastAsia="Calibri" w:hAnsi="Verdana" w:cs="Arial"/>
          <w:b/>
          <w:bCs/>
          <w:color w:val="000000"/>
          <w:kern w:val="2"/>
          <w14:ligatures w14:val="standardContextual"/>
        </w:rPr>
      </w:pPr>
    </w:p>
    <w:p w14:paraId="554EBA6D" w14:textId="77777777" w:rsidR="009F7516" w:rsidRPr="000523C3" w:rsidRDefault="009F7516" w:rsidP="009F7516">
      <w:pPr>
        <w:spacing w:after="0" w:line="240" w:lineRule="auto"/>
        <w:jc w:val="both"/>
        <w:rPr>
          <w:rFonts w:ascii="Verdana" w:eastAsia="Calibri" w:hAnsi="Verdana" w:cs="Arial"/>
          <w:color w:val="000000"/>
          <w:kern w:val="2"/>
          <w:sz w:val="20"/>
          <w:szCs w:val="20"/>
          <w14:ligatures w14:val="standardContextual"/>
        </w:rPr>
      </w:pPr>
      <w:r w:rsidRPr="000523C3">
        <w:rPr>
          <w:rFonts w:ascii="Verdana" w:eastAsia="Calibri" w:hAnsi="Verdana" w:cs="Arial"/>
          <w:color w:val="000000"/>
          <w:kern w:val="2"/>
          <w:sz w:val="20"/>
          <w:szCs w:val="20"/>
          <w14:ligatures w14:val="standardContextual"/>
        </w:rPr>
        <w:t xml:space="preserve">Las </w:t>
      </w:r>
      <w:r w:rsidRPr="000523C3">
        <w:rPr>
          <w:rFonts w:ascii="Verdana" w:eastAsia="Calibri" w:hAnsi="Verdana" w:cs="Arial"/>
          <w:i/>
          <w:iCs/>
          <w:color w:val="000000"/>
          <w:kern w:val="2"/>
          <w:sz w:val="20"/>
          <w:szCs w:val="20"/>
          <w14:ligatures w14:val="standardContextual"/>
        </w:rPr>
        <w:t>inhabilidades</w:t>
      </w:r>
      <w:r w:rsidRPr="000523C3">
        <w:rPr>
          <w:rFonts w:ascii="Verdana" w:eastAsia="Calibri" w:hAnsi="Verdana" w:cs="Arial"/>
          <w:color w:val="000000"/>
          <w:kern w:val="2"/>
          <w:sz w:val="20"/>
          <w:szCs w:val="20"/>
          <w14:ligatures w14:val="standardContextual"/>
        </w:rPr>
        <w:t xml:space="preserve"> son prohibiciones para concurrir a los procedimientos de selección y para contratar con el Estado, que se derivan de:  i) la existencia de comportamientos reprochables o sanciones anteriormente impuestas, </w:t>
      </w:r>
      <w:proofErr w:type="spellStart"/>
      <w:r w:rsidRPr="000523C3">
        <w:rPr>
          <w:rFonts w:ascii="Verdana" w:eastAsia="Calibri" w:hAnsi="Verdana" w:cs="Arial"/>
          <w:color w:val="000000"/>
          <w:kern w:val="2"/>
          <w:sz w:val="20"/>
          <w:szCs w:val="20"/>
          <w14:ligatures w14:val="standardContextual"/>
        </w:rPr>
        <w:t>ii</w:t>
      </w:r>
      <w:proofErr w:type="spellEnd"/>
      <w:r w:rsidRPr="000523C3">
        <w:rPr>
          <w:rFonts w:ascii="Verdana" w:eastAsia="Calibri" w:hAnsi="Verdana" w:cs="Arial"/>
          <w:color w:val="000000"/>
          <w:kern w:val="2"/>
          <w:sz w:val="20"/>
          <w:szCs w:val="20"/>
          <w14:ligatures w14:val="standardContextual"/>
        </w:rPr>
        <w:t xml:space="preserve">) vínculos personales relativos al parentesco o al estado civil o </w:t>
      </w:r>
      <w:proofErr w:type="spellStart"/>
      <w:r w:rsidRPr="000523C3">
        <w:rPr>
          <w:rFonts w:ascii="Verdana" w:eastAsia="Calibri" w:hAnsi="Verdana" w:cs="Arial"/>
          <w:color w:val="000000"/>
          <w:kern w:val="2"/>
          <w:sz w:val="20"/>
          <w:szCs w:val="20"/>
          <w14:ligatures w14:val="standardContextual"/>
        </w:rPr>
        <w:t>iii</w:t>
      </w:r>
      <w:proofErr w:type="spellEnd"/>
      <w:r w:rsidRPr="000523C3">
        <w:rPr>
          <w:rFonts w:ascii="Verdana" w:eastAsia="Calibri" w:hAnsi="Verdana" w:cs="Arial"/>
          <w:color w:val="000000"/>
          <w:kern w:val="2"/>
          <w:sz w:val="20"/>
          <w:szCs w:val="20"/>
          <w14:ligatures w14:val="standardContextual"/>
        </w:rPr>
        <w:t xml:space="preserve">) una actividad u oficio que se desempeñó en el pasado. De otro lado, las </w:t>
      </w:r>
      <w:r w:rsidRPr="000523C3">
        <w:rPr>
          <w:rFonts w:ascii="Verdana" w:eastAsia="Calibri" w:hAnsi="Verdana" w:cs="Arial"/>
          <w:i/>
          <w:iCs/>
          <w:color w:val="000000"/>
          <w:kern w:val="2"/>
          <w:sz w:val="20"/>
          <w:szCs w:val="20"/>
          <w14:ligatures w14:val="standardContextual"/>
        </w:rPr>
        <w:t>incompatibilidades</w:t>
      </w:r>
      <w:r w:rsidRPr="000523C3">
        <w:rPr>
          <w:rFonts w:ascii="Verdana" w:eastAsia="Calibri" w:hAnsi="Verdana" w:cs="Arial"/>
          <w:color w:val="000000"/>
          <w:kern w:val="2"/>
          <w:sz w:val="20"/>
          <w:szCs w:val="20"/>
          <w14:ligatures w14:val="standardContextual"/>
        </w:rPr>
        <w:t xml:space="preserve">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 </w:t>
      </w:r>
    </w:p>
    <w:p w14:paraId="4852B9CB" w14:textId="77777777" w:rsidR="009F7516" w:rsidRPr="000523C3" w:rsidRDefault="009F7516" w:rsidP="009F7516">
      <w:pPr>
        <w:spacing w:after="120" w:line="240" w:lineRule="auto"/>
        <w:jc w:val="both"/>
        <w:rPr>
          <w:rFonts w:ascii="Verdana" w:eastAsia="Calibri" w:hAnsi="Verdana" w:cs="Arial"/>
          <w:color w:val="000000"/>
          <w:kern w:val="2"/>
          <w:sz w:val="20"/>
          <w:szCs w:val="20"/>
          <w14:ligatures w14:val="standardContextual"/>
        </w:rPr>
      </w:pPr>
      <w:r w:rsidRPr="000523C3">
        <w:rPr>
          <w:rFonts w:ascii="Verdana" w:eastAsia="Calibri" w:hAnsi="Verdana" w:cs="Arial"/>
          <w:color w:val="000000"/>
          <w:kern w:val="2"/>
          <w:sz w:val="20"/>
          <w:szCs w:val="20"/>
          <w14:ligatures w14:val="standardContextual"/>
        </w:rPr>
        <w:t>[…]</w:t>
      </w:r>
    </w:p>
    <w:p w14:paraId="4A1FECF7" w14:textId="18476420" w:rsidR="009F7516" w:rsidRPr="000523C3" w:rsidRDefault="009F7516" w:rsidP="009F7516">
      <w:pPr>
        <w:spacing w:after="0" w:line="240" w:lineRule="auto"/>
        <w:jc w:val="both"/>
        <w:rPr>
          <w:rFonts w:ascii="Verdana" w:eastAsia="Calibri" w:hAnsi="Verdana" w:cs="Arial"/>
          <w:color w:val="000000"/>
          <w:kern w:val="2"/>
          <w:sz w:val="20"/>
          <w:szCs w:val="20"/>
          <w14:ligatures w14:val="standardContextual"/>
        </w:rPr>
      </w:pPr>
      <w:r w:rsidRPr="000523C3">
        <w:rPr>
          <w:rFonts w:ascii="Verdana" w:eastAsia="Calibri" w:hAnsi="Verdana" w:cs="Arial"/>
          <w:color w:val="000000"/>
          <w:kern w:val="2"/>
          <w:sz w:val="20"/>
          <w:szCs w:val="20"/>
          <w14:ligatures w14:val="standardContextual"/>
        </w:rPr>
        <w:t>Ahora bien, al ser las inhabilidades e incompatibilidades –como ya se dijo– restricciones o límites especiales a la capacidad para presentar ofertas y celebrar contratos estatales, la interpretación de las causales que las integran debe ser restrictiva, pues si se admitiera una interpretación amplia, extensiva o finalista de las mismas, tales enunciados normativos podrían cobijar múltiples supuestos indeterminados, según el parecer o el sentido común de los operadores jurídicos, poniendo en riesgo principios como la igualdad, el debido proceso, la libre concurrencia y el ejercicio de la profesión u oficio.</w:t>
      </w:r>
    </w:p>
    <w:p w14:paraId="45D28E1B" w14:textId="77777777" w:rsidR="009F7516" w:rsidRPr="008557D1" w:rsidRDefault="009F7516" w:rsidP="009F7516">
      <w:pPr>
        <w:spacing w:after="0" w:line="240" w:lineRule="auto"/>
        <w:jc w:val="both"/>
        <w:rPr>
          <w:rFonts w:ascii="Verdana" w:eastAsia="Calibri" w:hAnsi="Verdana" w:cs="Arial"/>
          <w:b/>
          <w:bCs/>
          <w:color w:val="000000"/>
          <w:kern w:val="2"/>
          <w14:ligatures w14:val="standardContextual"/>
        </w:rPr>
      </w:pPr>
    </w:p>
    <w:p w14:paraId="39A27B80" w14:textId="77777777" w:rsidR="009F7516" w:rsidRPr="008557D1" w:rsidRDefault="009F7516" w:rsidP="009F7516">
      <w:pPr>
        <w:spacing w:after="0" w:line="240" w:lineRule="auto"/>
        <w:jc w:val="both"/>
        <w:rPr>
          <w:rFonts w:ascii="Verdana" w:eastAsia="Calibri" w:hAnsi="Verdana" w:cs="Arial"/>
          <w:b/>
          <w:bCs/>
          <w:color w:val="000000"/>
          <w:kern w:val="2"/>
          <w14:ligatures w14:val="standardContextual"/>
        </w:rPr>
      </w:pPr>
      <w:r w:rsidRPr="008557D1">
        <w:rPr>
          <w:rFonts w:ascii="Verdana" w:eastAsia="Calibri" w:hAnsi="Verdana" w:cs="Arial"/>
          <w:b/>
          <w:bCs/>
          <w:color w:val="000000"/>
          <w:kern w:val="2"/>
          <w14:ligatures w14:val="standardContextual"/>
        </w:rPr>
        <w:t>CONFLICTOS DE INTERES – Verificación de cada caso en concreto</w:t>
      </w:r>
    </w:p>
    <w:p w14:paraId="2968A13D" w14:textId="77777777" w:rsidR="009F7516" w:rsidRPr="008557D1" w:rsidRDefault="009F7516" w:rsidP="009F7516">
      <w:pPr>
        <w:spacing w:after="0" w:line="240" w:lineRule="auto"/>
        <w:jc w:val="both"/>
        <w:rPr>
          <w:rFonts w:ascii="Verdana" w:eastAsia="Calibri" w:hAnsi="Verdana" w:cs="Arial"/>
          <w:b/>
          <w:bCs/>
          <w:color w:val="000000"/>
          <w:kern w:val="2"/>
          <w14:ligatures w14:val="standardContextual"/>
        </w:rPr>
      </w:pPr>
    </w:p>
    <w:p w14:paraId="2DFE5C6E" w14:textId="77777777" w:rsidR="009F7516" w:rsidRPr="000523C3" w:rsidRDefault="009F7516" w:rsidP="009F7516">
      <w:pPr>
        <w:spacing w:after="0" w:line="240" w:lineRule="auto"/>
        <w:jc w:val="both"/>
        <w:rPr>
          <w:rFonts w:ascii="Verdana" w:eastAsia="Calibri" w:hAnsi="Verdana" w:cs="Arial"/>
          <w:color w:val="000000"/>
          <w:kern w:val="2"/>
          <w:sz w:val="20"/>
          <w:szCs w:val="20"/>
          <w14:ligatures w14:val="standardContextual"/>
        </w:rPr>
      </w:pPr>
      <w:r w:rsidRPr="000523C3">
        <w:rPr>
          <w:rFonts w:ascii="Verdana" w:eastAsia="Calibri" w:hAnsi="Verdana" w:cs="Arial"/>
          <w:color w:val="000000"/>
          <w:kern w:val="2"/>
          <w:sz w:val="20"/>
          <w:szCs w:val="20"/>
          <w14:ligatures w14:val="standardContextual"/>
        </w:rPr>
        <w:t>Con todo, es importante señalar que, si bien el supuesto de hecho planteado en la consulta no constituye una inhabilidad per se, debe valorarse cada caso en concreto para descartar posibles conflictos de intereses. Es decir, situaciones en las cuales los intereses personales de alguien se opongan a sus deberes. Puede ser el caso de aquellas personas jurídicas que, luego de celebrar un contrato con una entidad estatal, el representante legal de dicha empresa celebre a título personal, en calidad de persona natural, otro contrato con la misma entidad estatal, circunstancia que, aunque no se advierte como una inhabilidad o incompatibilidad en particular, sí podría constituir un conflicto de intereses que afecte el cumplimiento de deberes.</w:t>
      </w:r>
    </w:p>
    <w:p w14:paraId="122CB571" w14:textId="77777777" w:rsidR="009F7516" w:rsidRPr="008557D1" w:rsidRDefault="009F7516" w:rsidP="009F7516">
      <w:pPr>
        <w:spacing w:after="0" w:line="240" w:lineRule="auto"/>
        <w:jc w:val="both"/>
        <w:rPr>
          <w:rFonts w:ascii="Verdana" w:eastAsia="Calibri" w:hAnsi="Verdana" w:cs="Arial"/>
          <w:b/>
          <w:color w:val="000000"/>
          <w:kern w:val="2"/>
          <w14:ligatures w14:val="standardContextual"/>
        </w:rPr>
      </w:pPr>
    </w:p>
    <w:p w14:paraId="58395C7B" w14:textId="77777777" w:rsidR="009F7516" w:rsidRPr="008557D1" w:rsidRDefault="009F7516" w:rsidP="009F7516">
      <w:pPr>
        <w:spacing w:after="0" w:line="240" w:lineRule="auto"/>
        <w:jc w:val="both"/>
        <w:rPr>
          <w:rFonts w:ascii="Verdana" w:eastAsia="Calibri" w:hAnsi="Verdana" w:cs="Arial"/>
          <w:b/>
          <w:color w:val="000000"/>
          <w:kern w:val="2"/>
          <w14:ligatures w14:val="standardContextual"/>
        </w:rPr>
      </w:pPr>
    </w:p>
    <w:p w14:paraId="2B9DCFDF" w14:textId="77777777" w:rsidR="009F7516" w:rsidRPr="008557D1" w:rsidRDefault="009F7516" w:rsidP="009F7516">
      <w:pPr>
        <w:spacing w:after="0" w:line="240" w:lineRule="auto"/>
        <w:rPr>
          <w:rFonts w:ascii="Verdana" w:eastAsia="Geomanist Light" w:hAnsi="Verdana" w:cs="Arial"/>
          <w:lang w:val="es-MX"/>
        </w:rPr>
      </w:pPr>
    </w:p>
    <w:p w14:paraId="603C7B25" w14:textId="77777777" w:rsidR="009F7516" w:rsidRPr="008557D1" w:rsidRDefault="009F7516" w:rsidP="009F7516">
      <w:pPr>
        <w:spacing w:after="0" w:line="240" w:lineRule="auto"/>
        <w:rPr>
          <w:rFonts w:ascii="Verdana" w:eastAsia="Geomanist Light" w:hAnsi="Verdana" w:cs="Arial"/>
          <w:lang w:val="es-MX"/>
        </w:rPr>
      </w:pPr>
    </w:p>
    <w:p w14:paraId="0B4D322E" w14:textId="77777777" w:rsidR="009F7516" w:rsidRPr="008557D1" w:rsidRDefault="009F7516" w:rsidP="009F7516">
      <w:pPr>
        <w:spacing w:after="0" w:line="240" w:lineRule="auto"/>
        <w:rPr>
          <w:rFonts w:ascii="Verdana" w:eastAsia="Geomanist Light" w:hAnsi="Verdana" w:cs="Arial"/>
          <w:lang w:val="es-MX"/>
        </w:rPr>
      </w:pPr>
    </w:p>
    <w:p w14:paraId="2B8ACC3B" w14:textId="77777777" w:rsidR="009F7516" w:rsidRPr="008557D1" w:rsidRDefault="009F7516" w:rsidP="009F7516">
      <w:pPr>
        <w:spacing w:after="0" w:line="240" w:lineRule="auto"/>
        <w:rPr>
          <w:rFonts w:ascii="Verdana" w:eastAsia="Geomanist Light" w:hAnsi="Verdana" w:cs="Arial"/>
          <w:lang w:val="es-MX"/>
        </w:rPr>
      </w:pPr>
    </w:p>
    <w:p w14:paraId="6AEAD552" w14:textId="77777777" w:rsidR="000523C3" w:rsidRDefault="000523C3" w:rsidP="009F7516">
      <w:pPr>
        <w:spacing w:after="0" w:line="240" w:lineRule="auto"/>
        <w:jc w:val="both"/>
        <w:rPr>
          <w:rFonts w:ascii="Verdana" w:eastAsia="Geomanist Light" w:hAnsi="Verdana" w:cs="Arial"/>
        </w:rPr>
      </w:pPr>
    </w:p>
    <w:p w14:paraId="6F08F8F8" w14:textId="77777777" w:rsidR="000523C3" w:rsidRDefault="000523C3" w:rsidP="009F7516">
      <w:pPr>
        <w:spacing w:after="0" w:line="240" w:lineRule="auto"/>
        <w:jc w:val="both"/>
        <w:rPr>
          <w:rFonts w:ascii="Verdana" w:eastAsia="Geomanist Light" w:hAnsi="Verdana" w:cs="Arial"/>
        </w:rPr>
      </w:pPr>
    </w:p>
    <w:p w14:paraId="413AAB9B" w14:textId="77777777" w:rsidR="000523C3" w:rsidRDefault="000523C3" w:rsidP="009F7516">
      <w:pPr>
        <w:spacing w:after="0" w:line="240" w:lineRule="auto"/>
        <w:jc w:val="both"/>
        <w:rPr>
          <w:rFonts w:ascii="Verdana" w:eastAsia="Geomanist Light" w:hAnsi="Verdana" w:cs="Arial"/>
        </w:rPr>
      </w:pPr>
    </w:p>
    <w:p w14:paraId="6BA94AAD" w14:textId="77777777" w:rsidR="000523C3" w:rsidRDefault="000523C3" w:rsidP="009F7516">
      <w:pPr>
        <w:spacing w:after="0" w:line="240" w:lineRule="auto"/>
        <w:jc w:val="both"/>
        <w:rPr>
          <w:rFonts w:ascii="Verdana" w:eastAsia="Geomanist Light" w:hAnsi="Verdana" w:cs="Arial"/>
        </w:rPr>
      </w:pPr>
    </w:p>
    <w:p w14:paraId="7769FFEE" w14:textId="77777777" w:rsidR="000523C3" w:rsidRDefault="000523C3" w:rsidP="009F7516">
      <w:pPr>
        <w:spacing w:after="0" w:line="240" w:lineRule="auto"/>
        <w:jc w:val="both"/>
        <w:rPr>
          <w:rFonts w:ascii="Verdana" w:eastAsia="Geomanist Light" w:hAnsi="Verdana" w:cs="Arial"/>
        </w:rPr>
      </w:pPr>
    </w:p>
    <w:p w14:paraId="25044D1C" w14:textId="2602B84A" w:rsidR="00071255" w:rsidRPr="00115E3D" w:rsidRDefault="00397AD5" w:rsidP="00071255">
      <w:pPr>
        <w:spacing w:after="0" w:line="240" w:lineRule="auto"/>
        <w:rPr>
          <w:rFonts w:ascii="Verdana" w:eastAsia="Geomanist Light" w:hAnsi="Verdana" w:cs="Arial"/>
          <w:color w:val="000000" w:themeColor="text1"/>
          <w:lang w:val="es-MX"/>
        </w:rPr>
      </w:pPr>
      <w:r w:rsidRPr="00397AD5">
        <w:rPr>
          <w:rFonts w:ascii="Verdana" w:eastAsia="Geomanist Light" w:hAnsi="Verdana" w:cs="Arial"/>
          <w:color w:val="000000" w:themeColor="text1"/>
        </w:rPr>
        <w:lastRenderedPageBreak/>
        <w:t xml:space="preserve">Bogotá D.C., 19 de </w:t>
      </w:r>
      <w:r w:rsidR="004C2D76" w:rsidRPr="00397AD5">
        <w:rPr>
          <w:rFonts w:ascii="Verdana" w:eastAsia="Geomanist Light" w:hAnsi="Verdana" w:cs="Arial"/>
          <w:color w:val="000000" w:themeColor="text1"/>
        </w:rPr>
        <w:t>mayo</w:t>
      </w:r>
      <w:r w:rsidRPr="00397AD5">
        <w:rPr>
          <w:rFonts w:ascii="Verdana" w:eastAsia="Geomanist Light" w:hAnsi="Verdana" w:cs="Arial"/>
          <w:color w:val="000000" w:themeColor="text1"/>
        </w:rPr>
        <w:t xml:space="preserve"> de 2025</w:t>
      </w:r>
    </w:p>
    <w:p w14:paraId="3B284B2B" w14:textId="78D1EBE0" w:rsidR="00071255" w:rsidRDefault="00071255" w:rsidP="009F7516">
      <w:pPr>
        <w:spacing w:after="0" w:line="240" w:lineRule="auto"/>
        <w:jc w:val="both"/>
        <w:rPr>
          <w:rFonts w:ascii="Verdana" w:eastAsia="Calibri" w:hAnsi="Verdana" w:cs="Arial"/>
          <w:b/>
          <w:noProof/>
          <w:lang w:val="es-ES_tradnl" w:eastAsia="es-ES_tradnl"/>
        </w:rPr>
      </w:pPr>
    </w:p>
    <w:p w14:paraId="765E55DD" w14:textId="2852EAE2" w:rsidR="00071255" w:rsidRDefault="00081C45" w:rsidP="009F7516">
      <w:pPr>
        <w:spacing w:after="0" w:line="240" w:lineRule="auto"/>
        <w:jc w:val="both"/>
        <w:rPr>
          <w:rFonts w:ascii="Verdana" w:eastAsia="Calibri" w:hAnsi="Verdana" w:cs="Arial"/>
          <w:b/>
          <w:noProof/>
          <w:lang w:val="es-ES_tradnl" w:eastAsia="es-ES_tradnl"/>
        </w:rPr>
      </w:pPr>
      <w:r w:rsidRPr="00E67606">
        <w:rPr>
          <w:rFonts w:ascii="Verdana" w:eastAsia="Calibri" w:hAnsi="Verdana" w:cs="Arial"/>
          <w:b/>
          <w:noProof/>
          <w:lang w:val="es-ES_tradnl" w:eastAsia="es-ES_tradnl"/>
        </w:rPr>
        <w:drawing>
          <wp:anchor distT="0" distB="0" distL="114300" distR="114300" simplePos="0" relativeHeight="251657216" behindDoc="1" locked="0" layoutInCell="1" allowOverlap="1" wp14:anchorId="2510B0B0" wp14:editId="1009B958">
            <wp:simplePos x="0" y="0"/>
            <wp:positionH relativeFrom="margin">
              <wp:align>right</wp:align>
            </wp:positionH>
            <wp:positionV relativeFrom="paragraph">
              <wp:posOffset>80479</wp:posOffset>
            </wp:positionV>
            <wp:extent cx="3143885" cy="1017270"/>
            <wp:effectExtent l="0" t="0" r="0" b="0"/>
            <wp:wrapSquare wrapText="bothSides"/>
            <wp:docPr id="207932447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324479"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3143885" cy="1017270"/>
                    </a:xfrm>
                    <a:prstGeom prst="rect">
                      <a:avLst/>
                    </a:prstGeom>
                  </pic:spPr>
                </pic:pic>
              </a:graphicData>
            </a:graphic>
            <wp14:sizeRelH relativeFrom="margin">
              <wp14:pctWidth>0</wp14:pctWidth>
            </wp14:sizeRelH>
            <wp14:sizeRelV relativeFrom="margin">
              <wp14:pctHeight>0</wp14:pctHeight>
            </wp14:sizeRelV>
          </wp:anchor>
        </w:drawing>
      </w:r>
    </w:p>
    <w:p w14:paraId="500CD3DA" w14:textId="77777777" w:rsidR="00071255" w:rsidRDefault="00071255" w:rsidP="009F7516">
      <w:pPr>
        <w:spacing w:after="0" w:line="240" w:lineRule="auto"/>
        <w:jc w:val="both"/>
        <w:rPr>
          <w:rFonts w:ascii="Verdana" w:eastAsia="Calibri" w:hAnsi="Verdana" w:cs="Arial"/>
          <w:lang w:val="es-ES" w:eastAsia="es-ES"/>
        </w:rPr>
      </w:pPr>
    </w:p>
    <w:p w14:paraId="4E19B489" w14:textId="77777777" w:rsidR="00E67606" w:rsidRPr="008557D1" w:rsidRDefault="00E67606" w:rsidP="009F7516">
      <w:pPr>
        <w:spacing w:after="0" w:line="240" w:lineRule="auto"/>
        <w:jc w:val="both"/>
        <w:rPr>
          <w:rFonts w:ascii="Verdana" w:eastAsia="Calibri" w:hAnsi="Verdana" w:cs="Arial"/>
          <w:lang w:val="es-ES" w:eastAsia="es-ES"/>
        </w:rPr>
      </w:pPr>
    </w:p>
    <w:p w14:paraId="259417E9" w14:textId="3EFE0FD7" w:rsidR="009F7516" w:rsidRPr="008557D1" w:rsidRDefault="009F7516" w:rsidP="009F7516">
      <w:pPr>
        <w:spacing w:after="0" w:line="240" w:lineRule="auto"/>
        <w:jc w:val="both"/>
        <w:rPr>
          <w:rFonts w:ascii="Verdana" w:eastAsia="Calibri" w:hAnsi="Verdana" w:cs="Arial"/>
          <w:lang w:val="es-ES" w:eastAsia="es-ES"/>
        </w:rPr>
      </w:pPr>
      <w:r w:rsidRPr="008557D1">
        <w:rPr>
          <w:rFonts w:ascii="Verdana" w:eastAsia="Calibri" w:hAnsi="Verdana" w:cs="Arial"/>
          <w:lang w:val="es-ES" w:eastAsia="es-ES"/>
        </w:rPr>
        <w:t>Señor</w:t>
      </w:r>
    </w:p>
    <w:p w14:paraId="3D660BEE" w14:textId="0B01D7DF" w:rsidR="009F7516" w:rsidRPr="008557D1" w:rsidRDefault="00071255" w:rsidP="009F7516">
      <w:pPr>
        <w:spacing w:after="0" w:line="240" w:lineRule="auto"/>
        <w:rPr>
          <w:rFonts w:ascii="Verdana" w:eastAsia="Calibri" w:hAnsi="Verdana" w:cs="Arial"/>
          <w:b/>
          <w:lang w:val="es-ES_tradnl" w:eastAsia="es-ES_tradnl"/>
        </w:rPr>
      </w:pPr>
      <w:r w:rsidRPr="00071255">
        <w:rPr>
          <w:rFonts w:ascii="Verdana" w:eastAsia="Calibri" w:hAnsi="Verdana" w:cs="Arial"/>
          <w:b/>
          <w:lang w:val="es-ES_tradnl" w:eastAsia="es-ES_tradnl"/>
        </w:rPr>
        <w:t>Juan Pablo</w:t>
      </w:r>
      <w:r>
        <w:rPr>
          <w:rFonts w:ascii="Verdana" w:eastAsia="Calibri" w:hAnsi="Verdana" w:cs="Arial"/>
          <w:b/>
          <w:lang w:val="es-ES_tradnl" w:eastAsia="es-ES_tradnl"/>
        </w:rPr>
        <w:t xml:space="preserve"> </w:t>
      </w:r>
      <w:r w:rsidRPr="00071255">
        <w:rPr>
          <w:rFonts w:ascii="Verdana" w:eastAsia="Calibri" w:hAnsi="Verdana" w:cs="Arial"/>
          <w:b/>
          <w:lang w:val="es-ES_tradnl" w:eastAsia="es-ES_tradnl"/>
        </w:rPr>
        <w:t>Bernal Moncada</w:t>
      </w:r>
    </w:p>
    <w:p w14:paraId="0EE46B7A" w14:textId="79EAD431" w:rsidR="009F7516" w:rsidRDefault="00071255" w:rsidP="009F7516">
      <w:pPr>
        <w:spacing w:after="0" w:line="240" w:lineRule="auto"/>
        <w:rPr>
          <w:rFonts w:ascii="Verdana" w:eastAsia="Calibri" w:hAnsi="Verdana" w:cs="Arial"/>
          <w:u w:val="single"/>
          <w:lang w:val="es-ES" w:eastAsia="es-ES"/>
        </w:rPr>
      </w:pPr>
      <w:hyperlink r:id="rId11" w:history="1">
        <w:r w:rsidRPr="009B6F71">
          <w:rPr>
            <w:rStyle w:val="Hipervnculo"/>
            <w:rFonts w:ascii="Verdana" w:eastAsia="Calibri" w:hAnsi="Verdana" w:cs="Arial"/>
            <w:lang w:val="es-ES" w:eastAsia="es-ES"/>
          </w:rPr>
          <w:t>objetor4@gmail.com</w:t>
        </w:r>
      </w:hyperlink>
    </w:p>
    <w:p w14:paraId="6BFBDBC5" w14:textId="0A2CDFEC" w:rsidR="009F7516" w:rsidRPr="008557D1" w:rsidRDefault="00071255" w:rsidP="009F7516">
      <w:pPr>
        <w:spacing w:after="0" w:line="240" w:lineRule="auto"/>
        <w:rPr>
          <w:rFonts w:ascii="Verdana" w:eastAsia="Calibri" w:hAnsi="Verdana" w:cs="Arial"/>
          <w:b/>
          <w:bCs/>
          <w:lang w:val="es-ES" w:eastAsia="es-ES"/>
        </w:rPr>
      </w:pPr>
      <w:r>
        <w:rPr>
          <w:rFonts w:ascii="Verdana" w:eastAsia="Calibri" w:hAnsi="Verdana" w:cs="Arial"/>
          <w:lang w:val="es-ES" w:eastAsia="es-ES"/>
        </w:rPr>
        <w:t>Fuente de Oro</w:t>
      </w:r>
      <w:r w:rsidR="009F7516" w:rsidRPr="008557D1">
        <w:rPr>
          <w:rFonts w:ascii="Verdana" w:eastAsia="Calibri" w:hAnsi="Verdana" w:cs="Arial"/>
          <w:lang w:val="es-ES" w:eastAsia="es-ES"/>
        </w:rPr>
        <w:t xml:space="preserve">, </w:t>
      </w:r>
      <w:r>
        <w:rPr>
          <w:rFonts w:ascii="Verdana" w:eastAsia="Calibri" w:hAnsi="Verdana" w:cs="Arial"/>
          <w:lang w:val="es-ES" w:eastAsia="es-ES"/>
        </w:rPr>
        <w:t>Meta</w:t>
      </w:r>
    </w:p>
    <w:p w14:paraId="382AF41A" w14:textId="57747AF1" w:rsidR="009F7516" w:rsidRPr="008557D1" w:rsidRDefault="009F7516" w:rsidP="009F7516">
      <w:pPr>
        <w:spacing w:after="0" w:line="240" w:lineRule="auto"/>
        <w:rPr>
          <w:rFonts w:ascii="Verdana" w:eastAsia="Calibri" w:hAnsi="Verdana" w:cs="Arial"/>
          <w:b/>
          <w:bCs/>
          <w:lang w:val="es-ES_tradnl" w:eastAsia="es-ES_tradnl"/>
        </w:rPr>
      </w:pPr>
    </w:p>
    <w:p w14:paraId="62E353B3" w14:textId="2D3445F2" w:rsidR="009F7516" w:rsidRPr="008557D1" w:rsidRDefault="009F7516" w:rsidP="009F7516">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F7516" w:rsidRPr="008557D1" w14:paraId="5BDBBF8B" w14:textId="77777777" w:rsidTr="009F7516">
        <w:trPr>
          <w:trHeight w:val="204"/>
        </w:trPr>
        <w:tc>
          <w:tcPr>
            <w:tcW w:w="2689" w:type="dxa"/>
          </w:tcPr>
          <w:p w14:paraId="460ED417" w14:textId="77777777" w:rsidR="009F7516" w:rsidRPr="008557D1" w:rsidRDefault="009F7516" w:rsidP="009F7516">
            <w:pPr>
              <w:jc w:val="both"/>
              <w:rPr>
                <w:rFonts w:ascii="Verdana" w:eastAsia="Calibri" w:hAnsi="Verdana" w:cs="Arial"/>
                <w:b/>
                <w:bCs/>
                <w:lang w:val="es-ES_tradnl" w:eastAsia="es-ES_tradnl"/>
              </w:rPr>
            </w:pPr>
          </w:p>
        </w:tc>
        <w:tc>
          <w:tcPr>
            <w:tcW w:w="6100" w:type="dxa"/>
          </w:tcPr>
          <w:p w14:paraId="41EB5CEF" w14:textId="5C812C3C" w:rsidR="009F7516" w:rsidRPr="008557D1" w:rsidRDefault="009F7516" w:rsidP="009F7516">
            <w:pPr>
              <w:jc w:val="both"/>
              <w:rPr>
                <w:rFonts w:ascii="Verdana" w:eastAsia="Calibri" w:hAnsi="Verdana" w:cs="Arial"/>
                <w:b/>
                <w:bCs/>
                <w:lang w:val="es-ES" w:eastAsia="es-ES"/>
              </w:rPr>
            </w:pPr>
            <w:r w:rsidRPr="008557D1">
              <w:rPr>
                <w:rFonts w:ascii="Verdana" w:eastAsia="Calibri" w:hAnsi="Verdana" w:cs="Arial"/>
                <w:b/>
                <w:bCs/>
                <w:lang w:val="es-ES" w:eastAsia="es-ES"/>
              </w:rPr>
              <w:t>Concepto C-4</w:t>
            </w:r>
            <w:r w:rsidR="0046349D">
              <w:rPr>
                <w:rFonts w:ascii="Verdana" w:eastAsia="Calibri" w:hAnsi="Verdana" w:cs="Arial"/>
                <w:b/>
                <w:bCs/>
                <w:lang w:val="es-ES" w:eastAsia="es-ES"/>
              </w:rPr>
              <w:t>26</w:t>
            </w:r>
            <w:r w:rsidRPr="008557D1">
              <w:rPr>
                <w:rFonts w:ascii="Verdana" w:eastAsia="Calibri" w:hAnsi="Verdana" w:cs="Arial"/>
                <w:b/>
                <w:bCs/>
                <w:lang w:val="es-ES" w:eastAsia="es-ES"/>
              </w:rPr>
              <w:t xml:space="preserve"> de 2025</w:t>
            </w:r>
          </w:p>
          <w:p w14:paraId="7D5909D9" w14:textId="77777777" w:rsidR="009F7516" w:rsidRPr="008557D1" w:rsidRDefault="009F7516" w:rsidP="009F7516">
            <w:pPr>
              <w:jc w:val="both"/>
              <w:rPr>
                <w:rFonts w:ascii="Verdana" w:eastAsia="Calibri" w:hAnsi="Verdana" w:cs="Arial"/>
                <w:b/>
                <w:bCs/>
                <w:lang w:val="es-ES" w:eastAsia="es-ES"/>
              </w:rPr>
            </w:pPr>
          </w:p>
        </w:tc>
      </w:tr>
      <w:tr w:rsidR="009F7516" w:rsidRPr="008557D1" w14:paraId="0E046798" w14:textId="77777777" w:rsidTr="009F7516">
        <w:trPr>
          <w:trHeight w:val="884"/>
        </w:trPr>
        <w:tc>
          <w:tcPr>
            <w:tcW w:w="2689" w:type="dxa"/>
          </w:tcPr>
          <w:p w14:paraId="18501F20" w14:textId="77777777" w:rsidR="009F7516" w:rsidRPr="008557D1" w:rsidRDefault="009F7516" w:rsidP="009F7516">
            <w:pPr>
              <w:jc w:val="both"/>
              <w:rPr>
                <w:rFonts w:ascii="Verdana" w:eastAsia="Calibri" w:hAnsi="Verdana" w:cs="Arial"/>
                <w:lang w:val="es-ES_tradnl" w:eastAsia="es-ES_tradnl"/>
              </w:rPr>
            </w:pPr>
            <w:r w:rsidRPr="008557D1">
              <w:rPr>
                <w:rFonts w:ascii="Verdana" w:eastAsia="Calibri" w:hAnsi="Verdana" w:cs="Arial"/>
                <w:b/>
                <w:lang w:val="es-ES_tradnl" w:eastAsia="es-ES_tradnl"/>
              </w:rPr>
              <w:t>Temas:</w:t>
            </w:r>
            <w:r w:rsidRPr="008557D1">
              <w:rPr>
                <w:rFonts w:ascii="Verdana" w:eastAsia="Calibri" w:hAnsi="Verdana" w:cs="Arial"/>
                <w:lang w:val="es-ES_tradnl" w:eastAsia="es-ES_tradnl"/>
              </w:rPr>
              <w:t xml:space="preserve">                   </w:t>
            </w:r>
          </w:p>
        </w:tc>
        <w:tc>
          <w:tcPr>
            <w:tcW w:w="6100" w:type="dxa"/>
          </w:tcPr>
          <w:p w14:paraId="6944C347" w14:textId="4D7AB23C" w:rsidR="00071255" w:rsidRPr="000523C3" w:rsidRDefault="009F7516" w:rsidP="009F7516">
            <w:pPr>
              <w:jc w:val="both"/>
              <w:rPr>
                <w:rFonts w:ascii="Verdana" w:eastAsia="Calibri" w:hAnsi="Verdana" w:cs="Arial"/>
                <w:color w:val="000000"/>
                <w:kern w:val="2"/>
                <w14:ligatures w14:val="standardContextual"/>
              </w:rPr>
            </w:pPr>
            <w:r w:rsidRPr="008557D1">
              <w:rPr>
                <w:rFonts w:ascii="Verdana" w:eastAsia="Calibri" w:hAnsi="Verdana" w:cs="Arial"/>
                <w:color w:val="000000"/>
                <w:kern w:val="2"/>
                <w14:ligatures w14:val="standardContextual"/>
              </w:rPr>
              <w:t>INHABILIDADES E INCOMPATIBILIDADES – Concepto – Principio de legalidad – Interpretación restrictiva / CONFLICTOS DE INTERES – Verificación de cada caso en concreto</w:t>
            </w:r>
          </w:p>
        </w:tc>
      </w:tr>
      <w:tr w:rsidR="009F7516" w:rsidRPr="008557D1" w14:paraId="1A52B611" w14:textId="77777777" w:rsidTr="009F7516">
        <w:tc>
          <w:tcPr>
            <w:tcW w:w="2689" w:type="dxa"/>
          </w:tcPr>
          <w:p w14:paraId="5A06DBCD" w14:textId="77777777" w:rsidR="009F7516" w:rsidRPr="008557D1" w:rsidRDefault="009F7516" w:rsidP="009F7516">
            <w:pPr>
              <w:jc w:val="both"/>
              <w:rPr>
                <w:rFonts w:ascii="Verdana" w:eastAsia="Calibri" w:hAnsi="Verdana" w:cs="Arial"/>
                <w:b/>
                <w:lang w:val="es-ES_tradnl" w:eastAsia="es-ES_tradnl"/>
              </w:rPr>
            </w:pPr>
            <w:r w:rsidRPr="008557D1">
              <w:rPr>
                <w:rFonts w:ascii="Verdana" w:eastAsia="Calibri" w:hAnsi="Verdana" w:cs="Arial"/>
                <w:b/>
                <w:lang w:val="es-ES_tradnl" w:eastAsia="es-ES_tradnl"/>
              </w:rPr>
              <w:t>Radicación:</w:t>
            </w:r>
            <w:r w:rsidRPr="008557D1">
              <w:rPr>
                <w:rFonts w:ascii="Verdana" w:eastAsia="Calibri" w:hAnsi="Verdana" w:cs="Arial"/>
                <w:lang w:val="es-ES_tradnl" w:eastAsia="es-ES_tradnl"/>
              </w:rPr>
              <w:t xml:space="preserve">               </w:t>
            </w:r>
          </w:p>
        </w:tc>
        <w:tc>
          <w:tcPr>
            <w:tcW w:w="6100" w:type="dxa"/>
          </w:tcPr>
          <w:p w14:paraId="542B4068" w14:textId="76D88E0E" w:rsidR="009F7516" w:rsidRPr="008557D1" w:rsidRDefault="009F7516" w:rsidP="009F7516">
            <w:pPr>
              <w:jc w:val="both"/>
              <w:rPr>
                <w:rFonts w:ascii="Verdana" w:eastAsia="Calibri" w:hAnsi="Verdana" w:cs="Arial"/>
                <w:lang w:val="es-ES_tradnl" w:eastAsia="es-ES_tradnl"/>
              </w:rPr>
            </w:pPr>
            <w:r w:rsidRPr="008557D1">
              <w:rPr>
                <w:rFonts w:ascii="Verdana" w:eastAsia="Calibri" w:hAnsi="Verdana" w:cs="Arial"/>
                <w:lang w:val="es-ES_tradnl" w:eastAsia="es-ES_tradnl"/>
              </w:rPr>
              <w:t xml:space="preserve">Respuesta a consulta con radicado No. </w:t>
            </w:r>
            <w:r w:rsidR="00071255" w:rsidRPr="00071255">
              <w:rPr>
                <w:rFonts w:ascii="Verdana" w:eastAsia="Calibri" w:hAnsi="Verdana" w:cs="Arial"/>
                <w:lang w:eastAsia="es-ES_tradnl"/>
              </w:rPr>
              <w:t>P20250408003342</w:t>
            </w:r>
            <w:r w:rsidR="00071255">
              <w:rPr>
                <w:rFonts w:ascii="Verdana" w:eastAsia="Calibri" w:hAnsi="Verdana" w:cs="Arial"/>
                <w:lang w:eastAsia="es-ES_tradnl"/>
              </w:rPr>
              <w:t xml:space="preserve"> </w:t>
            </w:r>
          </w:p>
        </w:tc>
      </w:tr>
    </w:tbl>
    <w:p w14:paraId="721F6D4F" w14:textId="77777777" w:rsidR="009F7516" w:rsidRPr="008557D1" w:rsidRDefault="009F7516" w:rsidP="009F7516">
      <w:pPr>
        <w:spacing w:after="0" w:line="240" w:lineRule="auto"/>
        <w:jc w:val="both"/>
        <w:rPr>
          <w:rFonts w:ascii="Verdana" w:eastAsia="Calibri" w:hAnsi="Verdana" w:cs="Arial"/>
          <w:lang w:val="es-ES_tradnl" w:eastAsia="es-ES_tradnl"/>
        </w:rPr>
      </w:pPr>
    </w:p>
    <w:p w14:paraId="3AB16650" w14:textId="77777777" w:rsidR="009F7516" w:rsidRPr="008557D1" w:rsidRDefault="009F7516" w:rsidP="009F7516">
      <w:pPr>
        <w:spacing w:after="0" w:line="240" w:lineRule="auto"/>
        <w:jc w:val="both"/>
        <w:rPr>
          <w:rFonts w:ascii="Verdana" w:eastAsia="Calibri" w:hAnsi="Verdana" w:cs="Arial"/>
          <w:lang w:val="es-ES_tradnl" w:eastAsia="es-ES_tradnl"/>
        </w:rPr>
      </w:pPr>
    </w:p>
    <w:p w14:paraId="42AED338" w14:textId="1BBF153F" w:rsidR="009F7516" w:rsidRPr="008557D1" w:rsidRDefault="009F7516" w:rsidP="009F7516">
      <w:pPr>
        <w:spacing w:after="0" w:line="276" w:lineRule="auto"/>
        <w:jc w:val="both"/>
        <w:rPr>
          <w:rFonts w:ascii="Verdana" w:eastAsia="Calibri" w:hAnsi="Verdana" w:cs="Arial"/>
          <w:lang w:val="es-ES" w:eastAsia="es-ES"/>
        </w:rPr>
      </w:pPr>
      <w:r w:rsidRPr="008557D1">
        <w:rPr>
          <w:rFonts w:ascii="Verdana" w:eastAsia="Calibri" w:hAnsi="Verdana" w:cs="Arial"/>
          <w:lang w:val="es-ES" w:eastAsia="es-ES"/>
        </w:rPr>
        <w:t xml:space="preserve">Estimado señor </w:t>
      </w:r>
      <w:r w:rsidR="00071255">
        <w:rPr>
          <w:rFonts w:ascii="Verdana" w:eastAsia="Calibri" w:hAnsi="Verdana" w:cs="Arial"/>
          <w:lang w:val="es-ES" w:eastAsia="es-ES"/>
        </w:rPr>
        <w:t>Bernal</w:t>
      </w:r>
      <w:r w:rsidRPr="008557D1">
        <w:rPr>
          <w:rFonts w:ascii="Verdana" w:eastAsia="Calibri" w:hAnsi="Verdana" w:cs="Arial"/>
          <w:lang w:val="es-ES" w:eastAsia="es-ES"/>
        </w:rPr>
        <w:t xml:space="preserve">: </w:t>
      </w:r>
    </w:p>
    <w:p w14:paraId="47E9E21C" w14:textId="77777777" w:rsidR="009F7516" w:rsidRPr="008557D1" w:rsidRDefault="009F7516" w:rsidP="009F7516">
      <w:pPr>
        <w:tabs>
          <w:tab w:val="left" w:pos="3768"/>
        </w:tabs>
        <w:spacing w:after="0" w:line="276" w:lineRule="auto"/>
        <w:jc w:val="both"/>
        <w:rPr>
          <w:rFonts w:ascii="Verdana" w:eastAsia="Calibri" w:hAnsi="Verdana" w:cs="Arial"/>
          <w:lang w:val="es-ES" w:eastAsia="es-ES"/>
        </w:rPr>
      </w:pPr>
      <w:r w:rsidRPr="008557D1">
        <w:rPr>
          <w:rFonts w:ascii="Verdana" w:eastAsia="Calibri" w:hAnsi="Verdana" w:cs="Arial"/>
          <w:lang w:val="es-ES" w:eastAsia="es-ES"/>
        </w:rPr>
        <w:tab/>
      </w:r>
    </w:p>
    <w:p w14:paraId="7294330C" w14:textId="432E6523" w:rsidR="009F7516" w:rsidRPr="008557D1" w:rsidRDefault="009F7516" w:rsidP="009F7516">
      <w:pPr>
        <w:spacing w:after="0" w:line="276" w:lineRule="auto"/>
        <w:jc w:val="both"/>
        <w:rPr>
          <w:rFonts w:ascii="Verdana" w:eastAsia="Calibri" w:hAnsi="Verdana" w:cs="Arial"/>
          <w:lang w:val="es-ES" w:eastAsia="es-ES"/>
        </w:rPr>
      </w:pPr>
      <w:r w:rsidRPr="008557D1">
        <w:rPr>
          <w:rFonts w:ascii="Verdana" w:eastAsia="Calibri" w:hAnsi="Verdana" w:cs="Arial"/>
          <w:lang w:val="es-ES" w:eastAsia="es-ES"/>
        </w:rPr>
        <w:t xml:space="preserve">En ejercicio de la competencia otorgada por los </w:t>
      </w:r>
      <w:bookmarkStart w:id="1" w:name="_Hlk197333154"/>
      <w:r w:rsidRPr="008557D1">
        <w:rPr>
          <w:rFonts w:ascii="Verdana" w:eastAsia="Calibri" w:hAnsi="Verdana" w:cs="Arial"/>
          <w:lang w:val="es-ES" w:eastAsia="es-ES"/>
        </w:rPr>
        <w:t>artículos 3, numeral 5º, y 11, numeral 8º</w:t>
      </w:r>
      <w:bookmarkEnd w:id="1"/>
      <w:r w:rsidRPr="008557D1">
        <w:rPr>
          <w:rFonts w:ascii="Verdana" w:eastAsia="Calibri" w:hAnsi="Verdana" w:cs="Arial"/>
          <w:lang w:val="es-ES" w:eastAsia="es-ES"/>
        </w:rPr>
        <w:t xml:space="preserve">, del Decreto </w:t>
      </w:r>
      <w:bookmarkStart w:id="2" w:name="_Hlk197333145"/>
      <w:r w:rsidRPr="008557D1">
        <w:rPr>
          <w:rFonts w:ascii="Verdana" w:eastAsia="Calibri" w:hAnsi="Verdana" w:cs="Arial"/>
          <w:lang w:val="es-ES" w:eastAsia="es-ES"/>
        </w:rPr>
        <w:t>Ley 4170 de 2011</w:t>
      </w:r>
      <w:bookmarkEnd w:id="2"/>
      <w:r w:rsidRPr="008557D1">
        <w:rPr>
          <w:rFonts w:ascii="Verdana" w:eastAsia="Calibri" w:hAnsi="Verdana" w:cs="Arial"/>
          <w:lang w:val="es-ES" w:eastAsia="es-ES"/>
        </w:rPr>
        <w:t>,</w:t>
      </w:r>
      <w:r w:rsidRPr="008557D1">
        <w:rPr>
          <w:rFonts w:ascii="Verdana" w:eastAsia="Arial MT" w:hAnsi="Verdana" w:cs="Arial MT"/>
          <w:lang w:val="es-ES" w:eastAsia="es-ES"/>
        </w:rPr>
        <w:t xml:space="preserve"> </w:t>
      </w:r>
      <w:r w:rsidRPr="008557D1">
        <w:rPr>
          <w:rFonts w:ascii="Verdana" w:hAnsi="Verdana" w:cs="Arial"/>
        </w:rPr>
        <w:t xml:space="preserve">así como lo establecido en el artículo 4 de la Resolución 1707 de 2018 expedida por esta Entidad, </w:t>
      </w:r>
      <w:r w:rsidRPr="008557D1">
        <w:rPr>
          <w:rFonts w:ascii="Verdana" w:eastAsia="Calibri" w:hAnsi="Verdana" w:cs="Arial"/>
          <w:lang w:val="es-ES" w:eastAsia="es-ES"/>
        </w:rPr>
        <w:t xml:space="preserve">la Agencia Nacional de Contratación Pública – Colombia Compra Eficiente– responde su solicitud de consulta de fecha </w:t>
      </w:r>
      <w:r w:rsidR="00071255">
        <w:rPr>
          <w:rFonts w:ascii="Verdana" w:eastAsia="Calibri" w:hAnsi="Verdana" w:cs="Arial"/>
          <w:lang w:val="es-ES" w:eastAsia="es-ES"/>
        </w:rPr>
        <w:t>8</w:t>
      </w:r>
      <w:r w:rsidR="00BB5667" w:rsidRPr="008557D1">
        <w:rPr>
          <w:rFonts w:ascii="Verdana" w:eastAsia="Calibri" w:hAnsi="Verdana" w:cs="Arial"/>
          <w:lang w:val="es-ES" w:eastAsia="es-ES"/>
        </w:rPr>
        <w:t xml:space="preserve"> de abril</w:t>
      </w:r>
      <w:r w:rsidRPr="008557D1">
        <w:rPr>
          <w:rFonts w:ascii="Verdana" w:eastAsia="Calibri" w:hAnsi="Verdana" w:cs="Arial"/>
          <w:lang w:val="es-ES" w:eastAsia="es-ES"/>
        </w:rPr>
        <w:t xml:space="preserve"> de 2025, en la cual manifiesta lo siguiente: </w:t>
      </w:r>
    </w:p>
    <w:p w14:paraId="3A773C42" w14:textId="77777777" w:rsidR="009F7516" w:rsidRPr="008557D1" w:rsidRDefault="009F7516" w:rsidP="009F751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7FF6C4A" w14:textId="125FEDFB" w:rsidR="0080483B" w:rsidRPr="00071255" w:rsidRDefault="009F7516" w:rsidP="0080483B">
      <w:pPr>
        <w:spacing w:after="0" w:line="240" w:lineRule="auto"/>
        <w:ind w:left="709" w:right="709"/>
        <w:jc w:val="both"/>
        <w:rPr>
          <w:rFonts w:ascii="Verdana" w:eastAsia="Century Gothic" w:hAnsi="Verdana" w:cs="Century Gothic"/>
          <w:sz w:val="20"/>
          <w:szCs w:val="20"/>
        </w:rPr>
      </w:pPr>
      <w:bookmarkStart w:id="3" w:name="_Hlk95313578"/>
      <w:r w:rsidRPr="00071255">
        <w:rPr>
          <w:rFonts w:ascii="Verdana" w:eastAsia="Century Gothic" w:hAnsi="Verdana" w:cs="Century Gothic"/>
          <w:sz w:val="20"/>
          <w:szCs w:val="20"/>
          <w:lang w:val="es-ES"/>
        </w:rPr>
        <w:t>“</w:t>
      </w:r>
      <w:bookmarkEnd w:id="3"/>
      <w:r w:rsidR="0080483B" w:rsidRPr="00071255">
        <w:rPr>
          <w:rFonts w:ascii="Verdana" w:eastAsia="Century Gothic" w:hAnsi="Verdana" w:cs="Century Gothic"/>
          <w:sz w:val="20"/>
          <w:szCs w:val="20"/>
        </w:rPr>
        <w:t>1. ¿Existe conflicto de interés para cuándo un alcalde celebra contrato de prestación de servicios profesionales regido por el derecho privado (para defenderlo en asuntos de índole propia y personal) con uno de los abogados asesores externos contratado en el mismo municipio?</w:t>
      </w:r>
    </w:p>
    <w:p w14:paraId="6CEA0F0C" w14:textId="77777777" w:rsidR="0080483B" w:rsidRPr="0080483B" w:rsidRDefault="0080483B" w:rsidP="0080483B">
      <w:pPr>
        <w:spacing w:after="0" w:line="240" w:lineRule="auto"/>
        <w:ind w:left="709" w:right="709"/>
        <w:jc w:val="both"/>
        <w:rPr>
          <w:rFonts w:ascii="Verdana" w:eastAsia="Century Gothic" w:hAnsi="Verdana" w:cs="Century Gothic"/>
          <w:sz w:val="20"/>
          <w:szCs w:val="20"/>
        </w:rPr>
      </w:pPr>
      <w:r w:rsidRPr="0080483B">
        <w:rPr>
          <w:rFonts w:ascii="Verdana" w:eastAsia="Century Gothic" w:hAnsi="Verdana" w:cs="Century Gothic"/>
          <w:sz w:val="20"/>
          <w:szCs w:val="20"/>
        </w:rPr>
        <w:t> </w:t>
      </w:r>
    </w:p>
    <w:p w14:paraId="6A503A17" w14:textId="4AB668C8" w:rsidR="0080483B" w:rsidRPr="0080483B" w:rsidRDefault="0080483B" w:rsidP="0080483B">
      <w:pPr>
        <w:spacing w:after="0" w:line="240" w:lineRule="auto"/>
        <w:ind w:left="709" w:right="709"/>
        <w:jc w:val="both"/>
        <w:rPr>
          <w:rFonts w:ascii="Verdana" w:eastAsia="Century Gothic" w:hAnsi="Verdana" w:cs="Century Gothic"/>
          <w:sz w:val="20"/>
          <w:szCs w:val="20"/>
        </w:rPr>
      </w:pPr>
      <w:r w:rsidRPr="0080483B">
        <w:rPr>
          <w:rFonts w:ascii="Verdana" w:eastAsia="Century Gothic" w:hAnsi="Verdana" w:cs="Century Gothic"/>
          <w:sz w:val="20"/>
          <w:szCs w:val="20"/>
        </w:rPr>
        <w:t>2. ¿Existe inhabilidad para cuándo un alcalde celebra contrato de prestación de servicios profesionales regido por el derecho privado (para defenderlo en asuntos de índole propia y personal) con uno de los abogados asesores externos contratado en el mismo municipio?</w:t>
      </w:r>
    </w:p>
    <w:p w14:paraId="22D17294" w14:textId="77777777" w:rsidR="0080483B" w:rsidRPr="0080483B" w:rsidRDefault="0080483B" w:rsidP="0080483B">
      <w:pPr>
        <w:spacing w:after="0" w:line="240" w:lineRule="auto"/>
        <w:ind w:left="709" w:right="709"/>
        <w:jc w:val="both"/>
        <w:rPr>
          <w:rFonts w:ascii="Verdana" w:eastAsia="Century Gothic" w:hAnsi="Verdana" w:cs="Century Gothic"/>
          <w:sz w:val="20"/>
          <w:szCs w:val="20"/>
        </w:rPr>
      </w:pPr>
      <w:r w:rsidRPr="0080483B">
        <w:rPr>
          <w:rFonts w:ascii="Verdana" w:eastAsia="Century Gothic" w:hAnsi="Verdana" w:cs="Century Gothic"/>
          <w:sz w:val="20"/>
          <w:szCs w:val="20"/>
        </w:rPr>
        <w:t> </w:t>
      </w:r>
    </w:p>
    <w:p w14:paraId="582552A8" w14:textId="59080686" w:rsidR="0080483B" w:rsidRPr="0080483B" w:rsidRDefault="0080483B" w:rsidP="0080483B">
      <w:pPr>
        <w:spacing w:after="0" w:line="240" w:lineRule="auto"/>
        <w:ind w:left="709" w:right="709"/>
        <w:jc w:val="both"/>
        <w:rPr>
          <w:rFonts w:ascii="Verdana" w:eastAsia="Century Gothic" w:hAnsi="Verdana" w:cs="Century Gothic"/>
          <w:sz w:val="20"/>
          <w:szCs w:val="20"/>
        </w:rPr>
      </w:pPr>
      <w:r w:rsidRPr="0080483B">
        <w:rPr>
          <w:rFonts w:ascii="Verdana" w:eastAsia="Century Gothic" w:hAnsi="Verdana" w:cs="Century Gothic"/>
          <w:sz w:val="20"/>
          <w:szCs w:val="20"/>
        </w:rPr>
        <w:t>3. ¿Existe incompatibilidad para cuándo un alcalde celebra contrato de prestación de servicios profesionales regido por el derecho privado (para defenderlo en asuntos de índole propia y personal) con uno de los abogados asesores externos contratado en el mismo municipio?</w:t>
      </w:r>
    </w:p>
    <w:p w14:paraId="2AE0EE65" w14:textId="77777777" w:rsidR="0080483B" w:rsidRPr="0080483B" w:rsidRDefault="0080483B" w:rsidP="0080483B">
      <w:pPr>
        <w:spacing w:after="0" w:line="240" w:lineRule="auto"/>
        <w:ind w:left="709" w:right="709"/>
        <w:jc w:val="both"/>
        <w:rPr>
          <w:rFonts w:ascii="Verdana" w:eastAsia="Century Gothic" w:hAnsi="Verdana" w:cs="Century Gothic"/>
          <w:sz w:val="20"/>
          <w:szCs w:val="20"/>
        </w:rPr>
      </w:pPr>
    </w:p>
    <w:p w14:paraId="0B4F9535" w14:textId="270EADBA" w:rsidR="009F7516" w:rsidRPr="00071255" w:rsidRDefault="0080483B" w:rsidP="0080483B">
      <w:pPr>
        <w:spacing w:after="0" w:line="240" w:lineRule="auto"/>
        <w:ind w:left="709" w:right="709"/>
        <w:jc w:val="both"/>
        <w:rPr>
          <w:rFonts w:ascii="Verdana" w:eastAsia="Century Gothic" w:hAnsi="Verdana" w:cs="Century Gothic"/>
          <w:sz w:val="20"/>
          <w:szCs w:val="20"/>
        </w:rPr>
      </w:pPr>
      <w:r w:rsidRPr="0080483B">
        <w:rPr>
          <w:rFonts w:ascii="Verdana" w:eastAsia="Century Gothic" w:hAnsi="Verdana" w:cs="Century Gothic"/>
          <w:sz w:val="20"/>
          <w:szCs w:val="20"/>
        </w:rPr>
        <w:t xml:space="preserve">4. Existe conflicto de interés: cuándo un contratista celebra contrato de prestación de servicios profesionales regido por el derecho privado para defender un alcalde, el cual, es el representante legal de la entidad territorial donde labora el primero mediante contrato de prestación de servicios profesionales regido por el Estatuto General de la Contratación </w:t>
      </w:r>
      <w:proofErr w:type="gramStart"/>
      <w:r w:rsidRPr="0080483B">
        <w:rPr>
          <w:rFonts w:ascii="Verdana" w:eastAsia="Century Gothic" w:hAnsi="Verdana" w:cs="Century Gothic"/>
          <w:sz w:val="20"/>
          <w:szCs w:val="20"/>
        </w:rPr>
        <w:t>Pública?</w:t>
      </w:r>
      <w:r w:rsidRPr="00071255">
        <w:rPr>
          <w:rFonts w:ascii="Verdana" w:eastAsia="Century Gothic" w:hAnsi="Verdana" w:cs="Century Gothic"/>
          <w:sz w:val="20"/>
          <w:szCs w:val="20"/>
        </w:rPr>
        <w:t>.</w:t>
      </w:r>
      <w:proofErr w:type="gramEnd"/>
      <w:r w:rsidRPr="00071255">
        <w:rPr>
          <w:rFonts w:ascii="Verdana" w:eastAsia="Century Gothic" w:hAnsi="Verdana" w:cs="Century Gothic"/>
          <w:sz w:val="20"/>
          <w:szCs w:val="20"/>
        </w:rPr>
        <w:t>”</w:t>
      </w:r>
    </w:p>
    <w:p w14:paraId="071BD4F2" w14:textId="77777777" w:rsidR="009F7516" w:rsidRPr="008557D1" w:rsidRDefault="009F7516" w:rsidP="009F751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1C4EE5A" w14:textId="77777777" w:rsidR="009F7516" w:rsidRPr="008557D1" w:rsidRDefault="009F7516" w:rsidP="009F7516">
      <w:pPr>
        <w:spacing w:after="120" w:line="276" w:lineRule="auto"/>
        <w:ind w:firstLine="709"/>
        <w:jc w:val="both"/>
        <w:rPr>
          <w:rFonts w:ascii="Verdana" w:eastAsia="Calibri" w:hAnsi="Verdana" w:cs="Arial"/>
          <w:szCs w:val="24"/>
          <w:lang w:val="es-ES_tradnl" w:eastAsia="es-ES_tradnl"/>
        </w:rPr>
      </w:pPr>
      <w:r w:rsidRPr="008557D1">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8557D1">
        <w:rPr>
          <w:rFonts w:ascii="Verdana" w:eastAsia="Calibri" w:hAnsi="Verdana" w:cs="Arial"/>
          <w:szCs w:val="24"/>
          <w:lang w:val="es-ES_tradnl" w:eastAsia="es-ES_tradnl"/>
        </w:rPr>
        <w:tab/>
      </w:r>
    </w:p>
    <w:p w14:paraId="0AF8D382" w14:textId="77777777" w:rsidR="009F7516" w:rsidRPr="008557D1" w:rsidRDefault="009F7516" w:rsidP="009F7516">
      <w:pPr>
        <w:spacing w:after="0" w:line="276" w:lineRule="auto"/>
        <w:ind w:firstLine="709"/>
        <w:jc w:val="both"/>
        <w:rPr>
          <w:rFonts w:ascii="Verdana" w:eastAsia="Calibri" w:hAnsi="Verdana" w:cs="Arial"/>
          <w:lang w:val="es-ES" w:eastAsia="es-ES"/>
        </w:rPr>
      </w:pPr>
      <w:r w:rsidRPr="008557D1">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el problema jurídico de su consulta. </w:t>
      </w:r>
    </w:p>
    <w:p w14:paraId="06D6C96B" w14:textId="77777777" w:rsidR="009F7516" w:rsidRPr="008557D1" w:rsidRDefault="009F7516" w:rsidP="005F6E54">
      <w:pPr>
        <w:spacing w:after="0" w:line="276" w:lineRule="auto"/>
        <w:ind w:firstLine="709"/>
        <w:jc w:val="both"/>
        <w:rPr>
          <w:rFonts w:ascii="Verdana" w:eastAsia="Calibri" w:hAnsi="Verdana" w:cs="Arial"/>
          <w:lang w:val="es-ES" w:eastAsia="es-ES"/>
        </w:rPr>
      </w:pPr>
    </w:p>
    <w:p w14:paraId="78F9C145" w14:textId="77777777" w:rsidR="009F7516" w:rsidRPr="008557D1" w:rsidRDefault="009F7516" w:rsidP="005F6E5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557D1">
        <w:rPr>
          <w:rFonts w:ascii="Verdana" w:eastAsia="Century Gothic" w:hAnsi="Verdana" w:cs="Century Gothic"/>
          <w:b/>
          <w:bCs/>
        </w:rPr>
        <w:t>Problema planteado:</w:t>
      </w:r>
    </w:p>
    <w:p w14:paraId="20786523" w14:textId="77777777" w:rsidR="009F7516" w:rsidRPr="008557D1" w:rsidRDefault="009F7516" w:rsidP="005F6E54">
      <w:pPr>
        <w:tabs>
          <w:tab w:val="left" w:pos="426"/>
        </w:tabs>
        <w:spacing w:after="0" w:line="276" w:lineRule="auto"/>
        <w:jc w:val="both"/>
        <w:rPr>
          <w:rFonts w:ascii="Verdana" w:eastAsia="Century Gothic" w:hAnsi="Verdana" w:cs="Century Gothic"/>
          <w:lang w:val="es-ES"/>
        </w:rPr>
      </w:pPr>
    </w:p>
    <w:p w14:paraId="45CCA6F0" w14:textId="61EB47CB" w:rsidR="009F7516" w:rsidRPr="008557D1" w:rsidRDefault="009F7516" w:rsidP="00896343">
      <w:pPr>
        <w:spacing w:after="0" w:line="276" w:lineRule="auto"/>
        <w:jc w:val="both"/>
        <w:rPr>
          <w:rFonts w:ascii="Verdana" w:eastAsia="Century Gothic" w:hAnsi="Verdana" w:cs="Century Gothic"/>
        </w:rPr>
      </w:pPr>
      <w:r w:rsidRPr="008557D1">
        <w:rPr>
          <w:rFonts w:ascii="Verdana" w:eastAsia="Century Gothic" w:hAnsi="Verdana" w:cs="Century Gothic"/>
        </w:rPr>
        <w:t xml:space="preserve">De acuerdo con el contenido de su solicitud, esta Agencia resolverá </w:t>
      </w:r>
      <w:r w:rsidR="00071255">
        <w:rPr>
          <w:rFonts w:ascii="Verdana" w:eastAsia="Century Gothic" w:hAnsi="Verdana" w:cs="Century Gothic"/>
        </w:rPr>
        <w:t xml:space="preserve">los </w:t>
      </w:r>
      <w:r w:rsidRPr="008557D1">
        <w:rPr>
          <w:rFonts w:ascii="Verdana" w:eastAsia="Century Gothic" w:hAnsi="Verdana" w:cs="Century Gothic"/>
        </w:rPr>
        <w:t xml:space="preserve"> siguiente</w:t>
      </w:r>
      <w:r w:rsidR="00071255">
        <w:rPr>
          <w:rFonts w:ascii="Verdana" w:eastAsia="Century Gothic" w:hAnsi="Verdana" w:cs="Century Gothic"/>
        </w:rPr>
        <w:t xml:space="preserve">s </w:t>
      </w:r>
      <w:r w:rsidRPr="008557D1">
        <w:rPr>
          <w:rFonts w:ascii="Verdana" w:eastAsia="Century Gothic" w:hAnsi="Verdana" w:cs="Century Gothic"/>
        </w:rPr>
        <w:t>problema</w:t>
      </w:r>
      <w:r w:rsidR="00071255">
        <w:rPr>
          <w:rFonts w:ascii="Verdana" w:eastAsia="Century Gothic" w:hAnsi="Verdana" w:cs="Century Gothic"/>
        </w:rPr>
        <w:t>s</w:t>
      </w:r>
      <w:r w:rsidRPr="008557D1">
        <w:rPr>
          <w:rFonts w:ascii="Verdana" w:eastAsia="Century Gothic" w:hAnsi="Verdana" w:cs="Century Gothic"/>
        </w:rPr>
        <w:t xml:space="preserve"> jurídico</w:t>
      </w:r>
      <w:r w:rsidR="00071255">
        <w:rPr>
          <w:rFonts w:ascii="Verdana" w:eastAsia="Century Gothic" w:hAnsi="Verdana" w:cs="Century Gothic"/>
        </w:rPr>
        <w:t>s</w:t>
      </w:r>
      <w:r w:rsidRPr="008557D1">
        <w:rPr>
          <w:rFonts w:ascii="Verdana" w:eastAsia="Century Gothic" w:hAnsi="Verdana" w:cs="Century Gothic"/>
        </w:rPr>
        <w:t xml:space="preserve">: </w:t>
      </w:r>
      <w:r w:rsidR="00071255">
        <w:rPr>
          <w:rFonts w:ascii="Verdana" w:eastAsia="Century Gothic" w:hAnsi="Verdana" w:cs="Century Gothic"/>
        </w:rPr>
        <w:t>i)</w:t>
      </w:r>
      <w:r w:rsidR="00071255" w:rsidRPr="00071255">
        <w:t xml:space="preserve"> </w:t>
      </w:r>
      <w:r w:rsidR="00071255" w:rsidRPr="00071255">
        <w:rPr>
          <w:rFonts w:ascii="Verdana" w:eastAsia="Century Gothic" w:hAnsi="Verdana" w:cs="Century Gothic"/>
        </w:rPr>
        <w:t>¿Se configura un conflicto de interés o una vulneración al principio de moralidad administrativa cuando un alcalde celebra un contrato de prestación de servicios personales con un abogado que, al mismo tiempo, asesora jurídicamente al municipio mediante un contrato estatal?</w:t>
      </w:r>
      <w:r w:rsidR="00071255">
        <w:rPr>
          <w:rFonts w:ascii="Verdana" w:eastAsia="Century Gothic" w:hAnsi="Verdana" w:cs="Century Gothic"/>
        </w:rPr>
        <w:t xml:space="preserve"> </w:t>
      </w:r>
      <w:proofErr w:type="spellStart"/>
      <w:r w:rsidR="00071255">
        <w:rPr>
          <w:rFonts w:ascii="Verdana" w:eastAsia="Century Gothic" w:hAnsi="Verdana" w:cs="Century Gothic"/>
        </w:rPr>
        <w:t>ii</w:t>
      </w:r>
      <w:proofErr w:type="spellEnd"/>
      <w:r w:rsidR="00071255">
        <w:rPr>
          <w:rFonts w:ascii="Verdana" w:eastAsia="Century Gothic" w:hAnsi="Verdana" w:cs="Century Gothic"/>
        </w:rPr>
        <w:t>)</w:t>
      </w:r>
      <w:r w:rsidR="00071255" w:rsidRPr="00071255">
        <w:t xml:space="preserve"> </w:t>
      </w:r>
      <w:r w:rsidR="00071255" w:rsidRPr="00071255">
        <w:rPr>
          <w:rFonts w:ascii="Verdana" w:eastAsia="Century Gothic" w:hAnsi="Verdana" w:cs="Century Gothic"/>
        </w:rPr>
        <w:t>¿Puede considerarse que existe una incompatibilidad funcional o una inhabilidad sobreviniente cuando un abogado contratado por el municipio para prestar asesoría jurídica celebra, de manera paralela, un contrato de defensa personal con el alcalde, generando un posible cruce de intereses entre lo público y lo privado?</w:t>
      </w:r>
    </w:p>
    <w:p w14:paraId="572D1A01" w14:textId="77777777" w:rsidR="009F7516" w:rsidRPr="008557D1" w:rsidRDefault="009F7516" w:rsidP="005F6E54">
      <w:pPr>
        <w:spacing w:after="0" w:line="276" w:lineRule="auto"/>
        <w:jc w:val="both"/>
        <w:rPr>
          <w:rFonts w:ascii="Verdana" w:eastAsia="Calibri" w:hAnsi="Verdana" w:cs="Arial"/>
          <w:lang w:val="es-ES"/>
        </w:rPr>
      </w:pPr>
    </w:p>
    <w:p w14:paraId="784B89E0" w14:textId="77777777" w:rsidR="009F7516" w:rsidRPr="008557D1" w:rsidRDefault="009F7516" w:rsidP="005F6E5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557D1">
        <w:rPr>
          <w:rFonts w:ascii="Verdana" w:eastAsia="Century Gothic" w:hAnsi="Verdana" w:cs="Century Gothic"/>
          <w:b/>
          <w:bCs/>
        </w:rPr>
        <w:t>Respuesta:</w:t>
      </w:r>
    </w:p>
    <w:p w14:paraId="04F55DB3" w14:textId="77777777" w:rsidR="009F7516" w:rsidRPr="008557D1" w:rsidRDefault="009F7516" w:rsidP="005F6E54">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F7516" w:rsidRPr="008557D1" w14:paraId="337577E3" w14:textId="77777777" w:rsidTr="003B7A33">
        <w:trPr>
          <w:trHeight w:val="688"/>
        </w:trPr>
        <w:tc>
          <w:tcPr>
            <w:tcW w:w="8828" w:type="dxa"/>
            <w:shd w:val="clear" w:color="auto" w:fill="auto"/>
          </w:tcPr>
          <w:p w14:paraId="07ABAA7D" w14:textId="77777777" w:rsidR="003B7A33" w:rsidRPr="00A41A73" w:rsidRDefault="003B7A33" w:rsidP="003B7A33">
            <w:pPr>
              <w:spacing w:after="120" w:line="276" w:lineRule="auto"/>
              <w:jc w:val="both"/>
              <w:rPr>
                <w:rFonts w:ascii="Verdana" w:eastAsia="Calibri" w:hAnsi="Verdana" w:cs="Arial"/>
              </w:rPr>
            </w:pPr>
            <w:r w:rsidRPr="00A41A73">
              <w:rPr>
                <w:rFonts w:ascii="Verdana" w:eastAsia="Calibri" w:hAnsi="Verdana" w:cs="Arial"/>
              </w:rPr>
              <w:t>Es preciso señalar que el régimen de inhabilidades e incompatibilidades en la contratación estatal está regulado de manera taxativa por la Constitución y la ley, con el propósito de garantizar la moralidad, transparencia, imparcialidad e idoneidad en la función pública y la gestión contractual estatal. Estas restricciones, al afectar derechos fundamentales como el de la igualdad, el debido proceso y la libertad contractual, deben ser interpretadas de forma restrictiva y con sujeción estricta al principio de legalidad.</w:t>
            </w:r>
          </w:p>
          <w:p w14:paraId="5FB82738" w14:textId="77777777" w:rsidR="003B7A33" w:rsidRPr="00A41A73" w:rsidRDefault="003B7A33" w:rsidP="003B7A33">
            <w:pPr>
              <w:widowControl w:val="0"/>
              <w:autoSpaceDE w:val="0"/>
              <w:autoSpaceDN w:val="0"/>
              <w:spacing w:after="120" w:line="276" w:lineRule="auto"/>
              <w:ind w:firstLine="709"/>
              <w:jc w:val="both"/>
              <w:rPr>
                <w:rFonts w:ascii="Verdana" w:eastAsia="Calibri" w:hAnsi="Verdana" w:cs="Arial"/>
              </w:rPr>
            </w:pPr>
            <w:r w:rsidRPr="00A41A73">
              <w:rPr>
                <w:rFonts w:ascii="Verdana" w:eastAsia="Calibri" w:hAnsi="Verdana" w:cs="Arial"/>
              </w:rPr>
              <w:t xml:space="preserve">En el marco de la contratación estatal, las figuras de la incompatibilidad y el conflicto de interés cumplen una función esencial de garantía para la moralidad, la transparencia y la imparcialidad en la gestión pública. Las incompatibilidades son prohibiciones de origen legal que impiden a una persona ejercer simultáneamente ciertos cargos, funciones o contratos, cuando su coexistencia pueda comprometer el interés público. Estas se encuentran reguladas de forma expresa en la Constitución Política, la Ley 80 de 1993, la Ley 734 de 2002 (Código Disciplinario), la Ley 1150 de 2007 y normas complementarias, y su configuración requiere una estricta sujeción al principio de legalidad. Por su parte, el conflicto de interés no exige una prohibición legal previa, sino que se presenta cuando una persona —ya sea servidor público o contratista— se encuentra en una situación en la que sus intereses personales, familiares o económicos pueden influir o entrar en tensión con el cumplimiento de sus deberes públicos. A diferencia de la incompatibilidad, el conflicto de interés exige un análisis casuístico, enfocado en prevenir que decisiones públicas se vean orientadas por intereses particulares. Si no es gestionado adecuadamente, puede comprometer gravemente principios constitucionales como la moralidad administrativa, la transparencia y la eficiencia. </w:t>
            </w:r>
          </w:p>
          <w:p w14:paraId="36C576D2" w14:textId="77777777" w:rsidR="003B7A33" w:rsidRPr="002F4497" w:rsidRDefault="003B7A33" w:rsidP="003B7A33">
            <w:pPr>
              <w:widowControl w:val="0"/>
              <w:autoSpaceDE w:val="0"/>
              <w:autoSpaceDN w:val="0"/>
              <w:spacing w:after="120" w:line="276" w:lineRule="auto"/>
              <w:ind w:firstLine="709"/>
              <w:jc w:val="both"/>
              <w:rPr>
                <w:rFonts w:ascii="Verdana" w:eastAsia="Arial MT" w:hAnsi="Verdana" w:cs="Arial"/>
                <w:lang w:eastAsia="es-ES" w:bidi="es-ES"/>
              </w:rPr>
            </w:pPr>
            <w:r w:rsidRPr="00A41A73">
              <w:rPr>
                <w:rFonts w:ascii="Verdana" w:eastAsia="Arial MT" w:hAnsi="Verdana" w:cs="Arial"/>
                <w:lang w:eastAsia="es-ES" w:bidi="es-ES"/>
              </w:rPr>
              <w:t>i)</w:t>
            </w:r>
            <w:r w:rsidRPr="00A41A73">
              <w:rPr>
                <w:rFonts w:ascii="Verdana" w:hAnsi="Verdana"/>
              </w:rPr>
              <w:t xml:space="preserve"> </w:t>
            </w:r>
            <w:r w:rsidRPr="00B225A8">
              <w:rPr>
                <w:rFonts w:ascii="Verdana" w:hAnsi="Verdana"/>
              </w:rPr>
              <w:t xml:space="preserve">Colombia Compra Eficiente, en su rol de entidad rectora de la contratación estatal, no emite conceptos ni resuelve situaciones particulares. Sin embargo, conforme a la Constitución Política de 1991, el artículo 209, y la Ley 80 de 1993, es claro que el conflicto de interés se presenta cuando una persona en ejercicio de funciones públicas tiene intereses particulares que puedan comprometer su imparcialidad, objetividad y transparencia. La Ley 734 de 2002 (Código Disciplinario Único) y la Ley 1150 de 2007 también </w:t>
            </w:r>
            <w:r w:rsidRPr="00B225A8">
              <w:rPr>
                <w:rFonts w:ascii="Verdana" w:hAnsi="Verdana"/>
              </w:rPr>
              <w:lastRenderedPageBreak/>
              <w:t>refuerzan la obligación de probidad y moralidad en la función pública. En este sentido, la identificación y manifestación del conflicto de interés corresponde directamente a la persona que se encuentra en dicha situación, quien debe informar oportunamente a la autoridad competente y abstenerse de intervenir en decisiones relacionadas mientras no se resuelva el conflicto conforme a la ley. Corresponde a la entidad contratante, dentro del marco legal vigente, verificar y adoptar las medidas necesarias para garantizar el cumplimiento de los principios de transparencia, moralidad y probidad en el proceso contractual.</w:t>
            </w:r>
          </w:p>
          <w:p w14:paraId="506C2A35" w14:textId="77777777" w:rsidR="003B7A33" w:rsidRPr="00E7728F" w:rsidRDefault="003B7A33" w:rsidP="003B7A33">
            <w:pPr>
              <w:widowControl w:val="0"/>
              <w:autoSpaceDE w:val="0"/>
              <w:autoSpaceDN w:val="0"/>
              <w:spacing w:after="120" w:line="276" w:lineRule="auto"/>
              <w:ind w:firstLine="709"/>
              <w:jc w:val="both"/>
              <w:rPr>
                <w:rFonts w:ascii="Verdana" w:eastAsia="Arial MT" w:hAnsi="Verdana" w:cs="Arial"/>
                <w:lang w:eastAsia="es-ES" w:bidi="es-ES"/>
              </w:rPr>
            </w:pPr>
            <w:proofErr w:type="spellStart"/>
            <w:r>
              <w:rPr>
                <w:rFonts w:ascii="Verdana" w:eastAsia="Arial MT" w:hAnsi="Verdana" w:cs="Arial"/>
                <w:lang w:eastAsia="es-ES" w:bidi="es-ES"/>
              </w:rPr>
              <w:t>ii</w:t>
            </w:r>
            <w:proofErr w:type="spellEnd"/>
            <w:r>
              <w:rPr>
                <w:rFonts w:ascii="Verdana" w:eastAsia="Arial MT" w:hAnsi="Verdana" w:cs="Arial"/>
                <w:lang w:eastAsia="es-ES" w:bidi="es-ES"/>
              </w:rPr>
              <w:t xml:space="preserve">) </w:t>
            </w:r>
            <w:r w:rsidRPr="00E7728F">
              <w:rPr>
                <w:rFonts w:ascii="Verdana" w:eastAsia="Arial MT" w:hAnsi="Verdana" w:cs="Arial"/>
                <w:lang w:eastAsia="es-ES" w:bidi="es-ES"/>
              </w:rPr>
              <w:t>Respecto a la pregunta sobre si existe incompatibilidad funcional cuando un abogado contratado por el municipio para asesoría jurídica celebra simultáneamente un contrato de defensa personal con el alcalde, es importante precisar que la incompatibilidad es una prohibición legal expresa, prevista en la ley, que impide ejercer simultáneamente determinadas funciones o contratos debido a un conflicto objetivo de intereses.</w:t>
            </w:r>
          </w:p>
          <w:p w14:paraId="609C1DE0" w14:textId="77777777" w:rsidR="003B7A33" w:rsidRPr="00E7728F" w:rsidRDefault="003B7A33" w:rsidP="003B7A33">
            <w:pPr>
              <w:widowControl w:val="0"/>
              <w:autoSpaceDE w:val="0"/>
              <w:autoSpaceDN w:val="0"/>
              <w:spacing w:after="120" w:line="276" w:lineRule="auto"/>
              <w:ind w:firstLine="709"/>
              <w:jc w:val="both"/>
              <w:rPr>
                <w:rFonts w:ascii="Verdana" w:eastAsia="Arial MT" w:hAnsi="Verdana" w:cs="Arial"/>
                <w:lang w:eastAsia="es-ES" w:bidi="es-ES"/>
              </w:rPr>
            </w:pPr>
            <w:r w:rsidRPr="00E7728F">
              <w:rPr>
                <w:rFonts w:ascii="Verdana" w:eastAsia="Arial MT" w:hAnsi="Verdana" w:cs="Arial"/>
                <w:lang w:eastAsia="es-ES" w:bidi="es-ES"/>
              </w:rPr>
              <w:t>En este sentido, la Ley 80 de 1993 y el Código Disciplinario Único (Ley 734 de 2002) establecen las causales de incompatibilidad e inhabilidad, las cuales deben estar claramente configuradas en cada caso concreto. El simple hecho de que exista un contrato con el alcalde y otro con el municipio no implica automáticamente una incompatibilidad, salvo que la ley expresamente lo determine o que la concurrencia de roles comprometa la independencia, imparcialidad y transparencia en el ejercicio de las funciones públicas.</w:t>
            </w:r>
          </w:p>
          <w:p w14:paraId="46C29FB3" w14:textId="6033066C" w:rsidR="009F7516" w:rsidRPr="008557D1" w:rsidRDefault="003B7A33" w:rsidP="003B7A33">
            <w:pPr>
              <w:spacing w:line="276" w:lineRule="auto"/>
              <w:ind w:firstLine="709"/>
              <w:jc w:val="both"/>
              <w:rPr>
                <w:rFonts w:ascii="Verdana" w:eastAsia="Calibri" w:hAnsi="Verdana" w:cs="Arial"/>
              </w:rPr>
            </w:pPr>
            <w:r w:rsidRPr="00E7728F">
              <w:rPr>
                <w:rFonts w:ascii="Verdana" w:eastAsia="Arial MT" w:hAnsi="Verdana" w:cs="Arial"/>
                <w:lang w:eastAsia="es-ES" w:bidi="es-ES"/>
              </w:rPr>
              <w:t>Por lo tanto, la existencia de una incompatibilidad funcional en este supuesto debe ser evaluada por la entidad contratante o la autoridad competente, analizando las condiciones específicas y la normatividad aplicable.</w:t>
            </w:r>
          </w:p>
        </w:tc>
      </w:tr>
    </w:tbl>
    <w:p w14:paraId="3C84FB7C" w14:textId="77777777" w:rsidR="009F7516" w:rsidRPr="008557D1" w:rsidRDefault="009F7516" w:rsidP="009F7516">
      <w:pPr>
        <w:tabs>
          <w:tab w:val="left" w:pos="142"/>
          <w:tab w:val="left" w:pos="284"/>
        </w:tabs>
        <w:spacing w:after="0" w:line="276" w:lineRule="auto"/>
        <w:jc w:val="both"/>
        <w:rPr>
          <w:rFonts w:ascii="Verdana" w:eastAsia="Century Gothic" w:hAnsi="Verdana" w:cs="Century Gothic"/>
          <w:b/>
          <w:bCs/>
          <w:lang w:val="es-ES"/>
        </w:rPr>
      </w:pPr>
    </w:p>
    <w:p w14:paraId="54B08A7B" w14:textId="77777777" w:rsidR="009F7516" w:rsidRPr="008557D1" w:rsidRDefault="009F7516" w:rsidP="009F751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557D1">
        <w:rPr>
          <w:rFonts w:ascii="Verdana" w:eastAsia="Century Gothic" w:hAnsi="Verdana" w:cs="Century Gothic"/>
          <w:b/>
          <w:bCs/>
        </w:rPr>
        <w:t>Razones de la respuesta:</w:t>
      </w:r>
    </w:p>
    <w:p w14:paraId="13BD60A3" w14:textId="77777777" w:rsidR="009F7516" w:rsidRPr="008557D1" w:rsidRDefault="009F7516" w:rsidP="009F7516">
      <w:pPr>
        <w:spacing w:after="0" w:line="276" w:lineRule="auto"/>
        <w:jc w:val="both"/>
        <w:rPr>
          <w:rFonts w:ascii="Verdana" w:eastAsia="Calibri" w:hAnsi="Verdana" w:cs="Arial"/>
          <w:lang w:val="es-ES"/>
        </w:rPr>
      </w:pPr>
    </w:p>
    <w:p w14:paraId="6330F96C" w14:textId="77777777" w:rsidR="009F7516" w:rsidRPr="008557D1" w:rsidRDefault="009F7516" w:rsidP="009F7516">
      <w:pPr>
        <w:spacing w:after="0" w:line="276" w:lineRule="auto"/>
        <w:jc w:val="both"/>
        <w:rPr>
          <w:rFonts w:ascii="Verdana" w:eastAsia="Calibri" w:hAnsi="Verdana" w:cs="Arial"/>
          <w:lang w:val="es-ES"/>
        </w:rPr>
      </w:pPr>
      <w:r w:rsidRPr="008557D1">
        <w:rPr>
          <w:rFonts w:ascii="Verdana" w:eastAsia="Calibri" w:hAnsi="Verdana" w:cs="Arial"/>
          <w:lang w:val="es-ES"/>
        </w:rPr>
        <w:t xml:space="preserve">Lo anterior se sustenta en las siguientes consideraciones: </w:t>
      </w:r>
    </w:p>
    <w:p w14:paraId="68DD8484" w14:textId="77777777" w:rsidR="009F7516" w:rsidRPr="008557D1" w:rsidRDefault="009F7516" w:rsidP="009F7516">
      <w:pPr>
        <w:spacing w:after="0" w:line="276" w:lineRule="auto"/>
        <w:jc w:val="both"/>
        <w:rPr>
          <w:rFonts w:ascii="Verdana" w:eastAsia="Calibri" w:hAnsi="Verdana" w:cs="Arial"/>
          <w:lang w:val="es-ES"/>
        </w:rPr>
      </w:pPr>
    </w:p>
    <w:p w14:paraId="1531A575" w14:textId="77777777" w:rsidR="009F7516" w:rsidRPr="008557D1" w:rsidRDefault="009F7516" w:rsidP="00896343">
      <w:pPr>
        <w:widowControl w:val="0"/>
        <w:autoSpaceDE w:val="0"/>
        <w:autoSpaceDN w:val="0"/>
        <w:spacing w:after="120" w:line="276" w:lineRule="auto"/>
        <w:jc w:val="both"/>
        <w:rPr>
          <w:rFonts w:ascii="Verdana" w:eastAsia="Calibri" w:hAnsi="Verdana" w:cs="Arial"/>
          <w:lang w:val="es-ES_tradnl"/>
        </w:rPr>
      </w:pPr>
      <w:r w:rsidRPr="008557D1">
        <w:rPr>
          <w:rFonts w:ascii="Verdana" w:eastAsia="Calibri" w:hAnsi="Verdana" w:cs="Arial"/>
          <w:lang w:val="es-ES_tradnl"/>
        </w:rPr>
        <w:t xml:space="preserve">En primer lugar, debe advertirse que, las inhabilidades son circunstancias establecidas por la Constitución o en la ley que impiden que personas naturales o jurídicas sean elegidas o designadas en un cargo público o celebren contratos con el Estado, con el objetivo de garantizar la idoneidad, imparcialidad, probidad, transparencia y moralidad de la función pública, garantizando el </w:t>
      </w:r>
      <w:r w:rsidRPr="008557D1">
        <w:rPr>
          <w:rFonts w:ascii="Verdana" w:eastAsia="Calibri" w:hAnsi="Verdana" w:cs="Arial"/>
          <w:lang w:val="es-ES_tradnl"/>
        </w:rPr>
        <w:lastRenderedPageBreak/>
        <w:t>interés general.</w:t>
      </w:r>
    </w:p>
    <w:p w14:paraId="6FB072F9" w14:textId="77777777" w:rsidR="00F36232" w:rsidRDefault="009F7516" w:rsidP="0040768A">
      <w:pPr>
        <w:widowControl w:val="0"/>
        <w:autoSpaceDE w:val="0"/>
        <w:autoSpaceDN w:val="0"/>
        <w:spacing w:after="120" w:line="276" w:lineRule="auto"/>
        <w:ind w:firstLine="709"/>
        <w:jc w:val="both"/>
        <w:rPr>
          <w:rFonts w:ascii="Verdana" w:eastAsia="Calibri" w:hAnsi="Verdana" w:cs="Arial"/>
          <w:lang w:val="es-ES_tradnl"/>
        </w:rPr>
      </w:pPr>
      <w:r w:rsidRPr="008557D1">
        <w:rPr>
          <w:rFonts w:ascii="Verdana" w:eastAsia="Calibri" w:hAnsi="Verdana" w:cs="Arial"/>
          <w:lang w:val="es-ES_tradnl"/>
        </w:rPr>
        <w:t xml:space="preserve">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w:t>
      </w:r>
    </w:p>
    <w:p w14:paraId="564B7B68" w14:textId="083C4F50" w:rsidR="009F7516" w:rsidRPr="008557D1" w:rsidRDefault="009F7516" w:rsidP="00896343">
      <w:pPr>
        <w:widowControl w:val="0"/>
        <w:autoSpaceDE w:val="0"/>
        <w:autoSpaceDN w:val="0"/>
        <w:spacing w:after="120" w:line="276" w:lineRule="auto"/>
        <w:ind w:firstLine="709"/>
        <w:jc w:val="both"/>
        <w:rPr>
          <w:rFonts w:ascii="Verdana" w:eastAsia="Calibri" w:hAnsi="Verdana" w:cs="Arial"/>
          <w:lang w:val="es-ES_tradnl"/>
        </w:rPr>
      </w:pPr>
      <w:r w:rsidRPr="008557D1">
        <w:rPr>
          <w:rFonts w:ascii="Verdana" w:eastAsia="Calibri" w:hAnsi="Verdana" w:cs="Arial"/>
          <w:lang w:val="es-ES_tradnl"/>
        </w:rPr>
        <w:t>Al respecto,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8557D1">
        <w:rPr>
          <w:rStyle w:val="Refdenotaalpie"/>
          <w:rFonts w:ascii="Verdana" w:eastAsia="Calibri" w:hAnsi="Verdana" w:cs="Arial"/>
          <w:lang w:val="es-ES_tradnl"/>
        </w:rPr>
        <w:footnoteReference w:id="2"/>
      </w:r>
      <w:r w:rsidR="0040768A" w:rsidRPr="008557D1">
        <w:rPr>
          <w:rFonts w:ascii="Verdana" w:eastAsia="Calibri" w:hAnsi="Verdana" w:cs="Arial"/>
          <w:lang w:val="es-ES_tradnl"/>
        </w:rPr>
        <w:t>.</w:t>
      </w:r>
    </w:p>
    <w:p w14:paraId="71441A8C" w14:textId="0A1D95A2" w:rsidR="009F7516" w:rsidRPr="008557D1" w:rsidRDefault="0040768A" w:rsidP="00896343">
      <w:pPr>
        <w:widowControl w:val="0"/>
        <w:autoSpaceDE w:val="0"/>
        <w:autoSpaceDN w:val="0"/>
        <w:spacing w:after="0" w:line="276" w:lineRule="auto"/>
        <w:jc w:val="both"/>
        <w:rPr>
          <w:rFonts w:ascii="Verdana" w:eastAsia="Calibri" w:hAnsi="Verdana" w:cs="Arial"/>
          <w:lang w:val="es-ES_tradnl"/>
        </w:rPr>
      </w:pPr>
      <w:r w:rsidRPr="008557D1">
        <w:rPr>
          <w:rFonts w:ascii="Verdana" w:eastAsia="Calibri" w:hAnsi="Verdana" w:cs="Arial"/>
          <w:lang w:val="es-ES_tradnl"/>
        </w:rPr>
        <w:tab/>
      </w:r>
      <w:r w:rsidR="009F7516" w:rsidRPr="008557D1">
        <w:rPr>
          <w:rFonts w:ascii="Verdana" w:eastAsia="Calibri" w:hAnsi="Verdana" w:cs="Arial"/>
          <w:lang w:val="es-ES_tradnl"/>
        </w:rPr>
        <w:t xml:space="preserve">La consagración de limitaciones que afectan la capacidad jurídica para contratar desarrolla los principios de la función administrativa consagrados en el </w:t>
      </w:r>
      <w:bookmarkStart w:id="4" w:name="_Hlk197333194"/>
      <w:r w:rsidR="009F7516" w:rsidRPr="008557D1">
        <w:rPr>
          <w:rFonts w:ascii="Verdana" w:eastAsia="Calibri" w:hAnsi="Verdana" w:cs="Arial"/>
          <w:lang w:val="es-ES_tradnl"/>
        </w:rPr>
        <w:t>artículo 209</w:t>
      </w:r>
      <w:bookmarkEnd w:id="4"/>
      <w:r w:rsidR="009F7516" w:rsidRPr="008557D1">
        <w:rPr>
          <w:rFonts w:ascii="Verdana" w:eastAsia="Calibri" w:hAnsi="Verdana" w:cs="Arial"/>
          <w:lang w:val="es-ES_tradnl"/>
        </w:rPr>
        <w:t xml:space="preserve"> de la </w:t>
      </w:r>
      <w:bookmarkStart w:id="5" w:name="_Hlk197333187"/>
      <w:r w:rsidR="009F7516" w:rsidRPr="008557D1">
        <w:rPr>
          <w:rFonts w:ascii="Verdana" w:eastAsia="Calibri" w:hAnsi="Verdana" w:cs="Arial"/>
          <w:lang w:val="es-ES_tradnl"/>
        </w:rPr>
        <w:t>Constitución Política</w:t>
      </w:r>
      <w:bookmarkEnd w:id="5"/>
      <w:r w:rsidR="009F7516" w:rsidRPr="008557D1">
        <w:rPr>
          <w:rFonts w:ascii="Verdana" w:eastAsia="Calibri" w:hAnsi="Verdana" w:cs="Arial"/>
          <w:lang w:val="es-ES_tradnl"/>
        </w:rPr>
        <w:t xml:space="preserve">, con especial énfasis el de moralidad. Así lo entiende el Consejo de Estado: </w:t>
      </w:r>
    </w:p>
    <w:p w14:paraId="5CBB5562" w14:textId="77777777" w:rsidR="009F7516" w:rsidRPr="008557D1" w:rsidRDefault="009F7516" w:rsidP="00C40F57">
      <w:pPr>
        <w:widowControl w:val="0"/>
        <w:autoSpaceDE w:val="0"/>
        <w:autoSpaceDN w:val="0"/>
        <w:spacing w:after="0" w:line="276" w:lineRule="auto"/>
        <w:jc w:val="both"/>
        <w:rPr>
          <w:rFonts w:ascii="Verdana" w:eastAsia="Calibri" w:hAnsi="Verdana" w:cs="Arial"/>
          <w:lang w:val="es-ES_tradnl"/>
        </w:rPr>
      </w:pPr>
    </w:p>
    <w:p w14:paraId="19C7796E" w14:textId="77777777" w:rsidR="009F7516" w:rsidRPr="008557D1" w:rsidRDefault="009F7516" w:rsidP="00896343">
      <w:pPr>
        <w:widowControl w:val="0"/>
        <w:autoSpaceDE w:val="0"/>
        <w:autoSpaceDN w:val="0"/>
        <w:spacing w:after="0" w:line="240" w:lineRule="auto"/>
        <w:ind w:left="709" w:right="709"/>
        <w:jc w:val="both"/>
        <w:rPr>
          <w:rFonts w:ascii="Verdana" w:eastAsia="Calibri" w:hAnsi="Verdana" w:cs="Arial"/>
          <w:sz w:val="20"/>
          <w:szCs w:val="20"/>
          <w:lang w:val="es-ES_tradnl"/>
        </w:rPr>
      </w:pPr>
      <w:r w:rsidRPr="008557D1">
        <w:rPr>
          <w:rFonts w:ascii="Verdana" w:eastAsia="Calibri" w:hAnsi="Verdana" w:cs="Arial"/>
          <w:sz w:val="20"/>
          <w:szCs w:val="20"/>
          <w:lang w:val="es-ES_tradnl"/>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148A28DC" w14:textId="77777777" w:rsidR="009F7516" w:rsidRPr="008557D1" w:rsidRDefault="009F7516" w:rsidP="00896343">
      <w:pPr>
        <w:widowControl w:val="0"/>
        <w:autoSpaceDE w:val="0"/>
        <w:autoSpaceDN w:val="0"/>
        <w:spacing w:after="0" w:line="240" w:lineRule="auto"/>
        <w:ind w:left="709" w:right="709"/>
        <w:jc w:val="both"/>
        <w:rPr>
          <w:rFonts w:ascii="Verdana" w:eastAsia="Calibri" w:hAnsi="Verdana" w:cs="Arial"/>
          <w:lang w:val="es-ES_tradnl"/>
        </w:rPr>
      </w:pPr>
    </w:p>
    <w:p w14:paraId="134E46BB" w14:textId="2C020CA5" w:rsidR="009F7516" w:rsidRPr="008557D1" w:rsidRDefault="009F7516" w:rsidP="00896343">
      <w:pPr>
        <w:widowControl w:val="0"/>
        <w:autoSpaceDE w:val="0"/>
        <w:autoSpaceDN w:val="0"/>
        <w:spacing w:after="0" w:line="240" w:lineRule="auto"/>
        <w:ind w:left="709" w:right="709"/>
        <w:jc w:val="both"/>
        <w:rPr>
          <w:rFonts w:ascii="Verdana" w:eastAsia="Calibri" w:hAnsi="Verdana" w:cs="Arial"/>
          <w:sz w:val="20"/>
          <w:szCs w:val="20"/>
          <w:lang w:val="es-ES_tradnl"/>
        </w:rPr>
      </w:pPr>
      <w:r w:rsidRPr="008557D1">
        <w:rPr>
          <w:rFonts w:ascii="Verdana" w:eastAsia="Calibri" w:hAnsi="Verdana" w:cs="Arial"/>
          <w:sz w:val="20"/>
          <w:szCs w:val="20"/>
          <w:lang w:val="es-ES_tradnl"/>
        </w:rPr>
        <w:t xml:space="preserve">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w:t>
      </w:r>
      <w:r w:rsidRPr="008557D1">
        <w:rPr>
          <w:rFonts w:ascii="Verdana" w:eastAsia="Calibri" w:hAnsi="Verdana" w:cs="Arial"/>
          <w:sz w:val="20"/>
          <w:szCs w:val="20"/>
          <w:lang w:val="es-ES_tradnl"/>
        </w:rPr>
        <w:lastRenderedPageBreak/>
        <w:t>que puede ser impuesta sobre el derecho individual a contratar con el Estado”</w:t>
      </w:r>
      <w:r w:rsidRPr="008557D1">
        <w:rPr>
          <w:rStyle w:val="Refdenotaalpie"/>
          <w:rFonts w:ascii="Verdana" w:eastAsia="Calibri" w:hAnsi="Verdana" w:cs="Arial"/>
          <w:sz w:val="20"/>
          <w:szCs w:val="20"/>
          <w:lang w:val="es-ES_tradnl"/>
        </w:rPr>
        <w:footnoteReference w:id="3"/>
      </w:r>
      <w:r w:rsidR="00C40F57">
        <w:rPr>
          <w:rFonts w:ascii="Verdana" w:eastAsia="Calibri" w:hAnsi="Verdana" w:cs="Arial"/>
          <w:sz w:val="20"/>
          <w:szCs w:val="20"/>
          <w:lang w:val="es-ES_tradnl"/>
        </w:rPr>
        <w:t>.</w:t>
      </w:r>
    </w:p>
    <w:p w14:paraId="3CFC405C" w14:textId="77777777" w:rsidR="009F7516" w:rsidRPr="008557D1" w:rsidRDefault="009F7516" w:rsidP="009F7516">
      <w:pPr>
        <w:widowControl w:val="0"/>
        <w:autoSpaceDE w:val="0"/>
        <w:autoSpaceDN w:val="0"/>
        <w:spacing w:after="0" w:line="276" w:lineRule="auto"/>
        <w:jc w:val="both"/>
        <w:rPr>
          <w:rFonts w:ascii="Verdana" w:eastAsia="Calibri" w:hAnsi="Verdana" w:cs="Arial"/>
          <w:lang w:val="es-ES_tradnl"/>
        </w:rPr>
      </w:pPr>
    </w:p>
    <w:p w14:paraId="47D4C803" w14:textId="65ABD089" w:rsidR="00DC0597" w:rsidRDefault="00CA63ED" w:rsidP="2BE19C99">
      <w:pPr>
        <w:widowControl w:val="0"/>
        <w:autoSpaceDE w:val="0"/>
        <w:autoSpaceDN w:val="0"/>
        <w:spacing w:after="120" w:line="276" w:lineRule="auto"/>
        <w:ind w:firstLine="708"/>
        <w:jc w:val="both"/>
        <w:rPr>
          <w:rFonts w:ascii="Verdana" w:eastAsia="Calibri" w:hAnsi="Verdana" w:cs="Arial"/>
          <w:lang w:val="es-ES"/>
        </w:rPr>
      </w:pPr>
      <w:r w:rsidRPr="2BE19C99">
        <w:rPr>
          <w:rFonts w:ascii="Verdana" w:eastAsia="Calibri" w:hAnsi="Verdana" w:cs="Arial"/>
          <w:lang w:val="es-ES"/>
        </w:rPr>
        <w:t>Conforme lo anterior, s</w:t>
      </w:r>
      <w:r w:rsidR="009F7516" w:rsidRPr="2BE19C99">
        <w:rPr>
          <w:rFonts w:ascii="Verdana" w:eastAsia="Calibri" w:hAnsi="Verdana" w:cs="Arial"/>
          <w:lang w:val="es-ES"/>
        </w:rPr>
        <w:t xml:space="preserve">e puede afirmar que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w:t>
      </w:r>
    </w:p>
    <w:p w14:paraId="343DEDC0" w14:textId="55A8CD32" w:rsidR="009F7516" w:rsidRPr="008557D1" w:rsidRDefault="009F7516" w:rsidP="009F7516">
      <w:pPr>
        <w:widowControl w:val="0"/>
        <w:autoSpaceDE w:val="0"/>
        <w:autoSpaceDN w:val="0"/>
        <w:spacing w:after="0" w:line="276" w:lineRule="auto"/>
        <w:ind w:firstLine="708"/>
        <w:jc w:val="both"/>
        <w:rPr>
          <w:rFonts w:ascii="Verdana" w:eastAsia="Calibri" w:hAnsi="Verdana" w:cs="Arial"/>
          <w:lang w:val="es-ES_tradnl"/>
        </w:rPr>
      </w:pPr>
      <w:r w:rsidRPr="008557D1">
        <w:rPr>
          <w:rFonts w:ascii="Verdana" w:eastAsia="Calibri" w:hAnsi="Verdana" w:cs="Arial"/>
          <w:lang w:val="es-ES_tradnl"/>
        </w:rPr>
        <w:t xml:space="preserve">La Corte Constitucional ha reconocido que estas limitaciones deben estar justificadas en la salvaguarda del interés general y que su lectura e interpretación es taxativa y restrictiva: </w:t>
      </w:r>
    </w:p>
    <w:p w14:paraId="46D6C0E8" w14:textId="77777777" w:rsidR="009F7516" w:rsidRPr="008557D1" w:rsidRDefault="009F7516" w:rsidP="009F7516">
      <w:pPr>
        <w:widowControl w:val="0"/>
        <w:autoSpaceDE w:val="0"/>
        <w:autoSpaceDN w:val="0"/>
        <w:spacing w:after="0" w:line="276" w:lineRule="auto"/>
        <w:jc w:val="both"/>
        <w:rPr>
          <w:rFonts w:ascii="Verdana" w:eastAsia="Calibri" w:hAnsi="Verdana" w:cs="Arial"/>
          <w:lang w:val="es-ES_tradnl"/>
        </w:rPr>
      </w:pPr>
    </w:p>
    <w:p w14:paraId="37B35C2C" w14:textId="77777777" w:rsidR="009F7516" w:rsidRPr="008557D1" w:rsidRDefault="009F7516" w:rsidP="00896343">
      <w:pPr>
        <w:widowControl w:val="0"/>
        <w:tabs>
          <w:tab w:val="left" w:pos="8647"/>
        </w:tabs>
        <w:autoSpaceDE w:val="0"/>
        <w:autoSpaceDN w:val="0"/>
        <w:spacing w:after="0" w:line="240" w:lineRule="auto"/>
        <w:ind w:left="709" w:right="709"/>
        <w:jc w:val="both"/>
        <w:rPr>
          <w:rFonts w:ascii="Verdana" w:eastAsia="Calibri" w:hAnsi="Verdana" w:cs="Arial"/>
          <w:sz w:val="20"/>
          <w:szCs w:val="20"/>
          <w:lang w:val="es-ES"/>
        </w:rPr>
      </w:pPr>
      <w:r w:rsidRPr="008557D1">
        <w:rPr>
          <w:rFonts w:ascii="Verdana" w:eastAsia="Calibri" w:hAnsi="Verdana" w:cs="Arial"/>
          <w:sz w:val="20"/>
          <w:szCs w:val="20"/>
          <w:lang w:val="es-ES"/>
        </w:rPr>
        <w:t xml:space="preserve">“Todo régimen de inhabilidades e incompatibilidades de suyo excluye a ciertas categorías de personas del proceso de contratación, generando incapacidades especiales, impedimentos y prohibiciones de variada naturaleza, que en cierta medida afectan el derecho a la personalidad jurídica traducido, a su turno, en el principio general de capacidad legal [CC arts. 1502 y 1503; ley 80 de 1993, art. 6]. De ordinario, como ocurre en la contratación estatal, la inobservancia del régimen de inhabilidades e </w:t>
      </w:r>
      <w:proofErr w:type="gramStart"/>
      <w:r w:rsidRPr="008557D1">
        <w:rPr>
          <w:rFonts w:ascii="Verdana" w:eastAsia="Calibri" w:hAnsi="Verdana" w:cs="Arial"/>
          <w:sz w:val="20"/>
          <w:szCs w:val="20"/>
          <w:lang w:val="es-ES"/>
        </w:rPr>
        <w:t>incompatibilidades,</w:t>
      </w:r>
      <w:proofErr w:type="gramEnd"/>
      <w:r w:rsidRPr="008557D1">
        <w:rPr>
          <w:rFonts w:ascii="Verdana" w:eastAsia="Calibri" w:hAnsi="Verdana" w:cs="Arial"/>
          <w:sz w:val="20"/>
          <w:szCs w:val="20"/>
          <w:lang w:val="es-ES"/>
        </w:rPr>
        <w:t xml:space="preserve"> se erige en causal de nulidad del contrato celebrado en esas condiciones (ley 80 de 1993, art. 44).</w:t>
      </w:r>
    </w:p>
    <w:p w14:paraId="76E3E04B" w14:textId="77777777" w:rsidR="009F7516" w:rsidRPr="008557D1" w:rsidRDefault="009F7516" w:rsidP="00896343">
      <w:pPr>
        <w:widowControl w:val="0"/>
        <w:autoSpaceDE w:val="0"/>
        <w:autoSpaceDN w:val="0"/>
        <w:spacing w:after="0" w:line="240" w:lineRule="auto"/>
        <w:ind w:left="709" w:right="709"/>
        <w:jc w:val="both"/>
        <w:rPr>
          <w:rFonts w:ascii="Verdana" w:eastAsia="Calibri" w:hAnsi="Verdana" w:cs="Arial"/>
          <w:lang w:val="es-ES_tradnl"/>
        </w:rPr>
      </w:pPr>
    </w:p>
    <w:p w14:paraId="1F20950F" w14:textId="77777777" w:rsidR="009F7516" w:rsidRPr="008557D1" w:rsidRDefault="009F7516" w:rsidP="00896343">
      <w:pPr>
        <w:widowControl w:val="0"/>
        <w:autoSpaceDE w:val="0"/>
        <w:autoSpaceDN w:val="0"/>
        <w:spacing w:after="0" w:line="240" w:lineRule="auto"/>
        <w:ind w:left="709" w:right="709"/>
        <w:jc w:val="both"/>
        <w:rPr>
          <w:rFonts w:ascii="Verdana" w:eastAsia="Calibri" w:hAnsi="Verdana" w:cs="Arial"/>
          <w:sz w:val="20"/>
          <w:szCs w:val="20"/>
          <w:lang w:val="es-ES_tradnl"/>
        </w:rPr>
      </w:pPr>
      <w:r w:rsidRPr="008557D1">
        <w:rPr>
          <w:rFonts w:ascii="Verdana" w:eastAsia="Calibri" w:hAnsi="Verdana" w:cs="Arial"/>
          <w:sz w:val="20"/>
          <w:szCs w:val="20"/>
          <w:lang w:val="es-ES_tradnl"/>
        </w:rPr>
        <w:t>El carácter reconocidamente taxativo y restrictivo de este régimen y el de las correlativas nulidades, obedece a la necesidad de salvaguardar el interés general ínsito en la contratación pública de manera que implique el menor sacrificio posible al derecho de igualdad y de reconocimiento de la personalidad jurídica de quienes aspiran a contratar con el Estado. Es evidente que si la restricción legal [incompatibilidad o inhabilidad] no se sustenta en ninguna necesidad de protección del interés general o ésta es irrazonable o desproporcionada, en esa misma medida pierde justificación constitucional como medio legítimo para restringir, en ese caso, el derecho a la igualdad y el reconocimiento de la personalidad jurídica de las personas que resultan rechazadas del ámbito contractual del Estado”.</w:t>
      </w:r>
      <w:r w:rsidRPr="008557D1">
        <w:rPr>
          <w:rStyle w:val="Refdenotaalpie"/>
          <w:rFonts w:ascii="Verdana" w:eastAsia="Calibri" w:hAnsi="Verdana" w:cs="Arial"/>
          <w:sz w:val="20"/>
          <w:szCs w:val="20"/>
          <w:lang w:val="es-ES_tradnl"/>
        </w:rPr>
        <w:footnoteReference w:id="4"/>
      </w:r>
    </w:p>
    <w:p w14:paraId="40032502" w14:textId="77777777" w:rsidR="009F7516" w:rsidRPr="008557D1" w:rsidRDefault="009F7516" w:rsidP="009F7516">
      <w:pPr>
        <w:widowControl w:val="0"/>
        <w:autoSpaceDE w:val="0"/>
        <w:autoSpaceDN w:val="0"/>
        <w:spacing w:after="0" w:line="276" w:lineRule="auto"/>
        <w:ind w:left="567"/>
        <w:jc w:val="both"/>
        <w:rPr>
          <w:rFonts w:ascii="Verdana" w:eastAsia="Calibri" w:hAnsi="Verdana" w:cs="Arial"/>
          <w:lang w:val="es-ES_tradnl"/>
        </w:rPr>
      </w:pPr>
    </w:p>
    <w:p w14:paraId="53AF9F48" w14:textId="77777777" w:rsidR="009F7516" w:rsidRPr="008557D1" w:rsidRDefault="009F7516" w:rsidP="00896343">
      <w:pPr>
        <w:widowControl w:val="0"/>
        <w:autoSpaceDE w:val="0"/>
        <w:autoSpaceDN w:val="0"/>
        <w:spacing w:after="0" w:line="276" w:lineRule="auto"/>
        <w:ind w:firstLine="567"/>
        <w:jc w:val="both"/>
        <w:rPr>
          <w:rFonts w:ascii="Verdana" w:eastAsia="Calibri" w:hAnsi="Verdana" w:cs="Arial"/>
          <w:lang w:val="es-ES_tradnl"/>
        </w:rPr>
      </w:pPr>
      <w:r w:rsidRPr="008557D1">
        <w:rPr>
          <w:rFonts w:ascii="Verdana" w:eastAsia="Calibri" w:hAnsi="Verdana" w:cs="Arial"/>
          <w:lang w:val="es-ES_tradnl"/>
        </w:rPr>
        <w:t xml:space="preserve">Además, la Corte Constitucional explica que el legislador tiene la competencia para determinar qué hechos o situaciones generan inhabilidad para contratar, pues este régimen es un aspecto propio del Estatuto General de Contratación de la Administración Pública – en adelante EGCAP –, cuya </w:t>
      </w:r>
      <w:r w:rsidRPr="008557D1">
        <w:rPr>
          <w:rFonts w:ascii="Verdana" w:eastAsia="Calibri" w:hAnsi="Verdana" w:cs="Arial"/>
          <w:lang w:val="es-ES_tradnl"/>
        </w:rPr>
        <w:lastRenderedPageBreak/>
        <w:t>expedición compete al Congreso de la República a la luz del artículo 150 de la Constitución Política, y que en esta materia rige el principio de legalidad:</w:t>
      </w:r>
    </w:p>
    <w:p w14:paraId="137E7A08" w14:textId="77777777" w:rsidR="009F7516" w:rsidRPr="008557D1" w:rsidRDefault="009F7516" w:rsidP="009F7516">
      <w:pPr>
        <w:widowControl w:val="0"/>
        <w:autoSpaceDE w:val="0"/>
        <w:autoSpaceDN w:val="0"/>
        <w:spacing w:after="0" w:line="276" w:lineRule="auto"/>
        <w:jc w:val="both"/>
        <w:rPr>
          <w:rFonts w:ascii="Verdana" w:eastAsia="Calibri" w:hAnsi="Verdana" w:cs="Arial"/>
          <w:lang w:val="es-ES_tradnl"/>
        </w:rPr>
      </w:pPr>
    </w:p>
    <w:p w14:paraId="761C3575" w14:textId="77777777" w:rsidR="009F7516" w:rsidRPr="008557D1" w:rsidRDefault="009F7516" w:rsidP="00896343">
      <w:pPr>
        <w:widowControl w:val="0"/>
        <w:autoSpaceDE w:val="0"/>
        <w:autoSpaceDN w:val="0"/>
        <w:spacing w:after="0" w:line="240" w:lineRule="auto"/>
        <w:ind w:left="709" w:right="709"/>
        <w:jc w:val="both"/>
        <w:rPr>
          <w:rFonts w:ascii="Verdana" w:eastAsia="Calibri" w:hAnsi="Verdana" w:cs="Arial"/>
          <w:sz w:val="20"/>
          <w:szCs w:val="20"/>
          <w:lang w:val="es-ES"/>
        </w:rPr>
      </w:pPr>
      <w:r w:rsidRPr="795AA69A">
        <w:rPr>
          <w:rFonts w:ascii="Verdana" w:eastAsia="Calibri" w:hAnsi="Verdana" w:cs="Arial"/>
          <w:sz w:val="20"/>
          <w:szCs w:val="20"/>
          <w:lang w:val="es-ES"/>
        </w:rPr>
        <w:t xml:space="preserve">“Las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principio pro libértate, sino el de legalidad, el que ordena que la función pública debe someterse estrictamente a lo que disponga la Constitución y la ley (CP art. 6). </w:t>
      </w:r>
    </w:p>
    <w:p w14:paraId="333BBE51" w14:textId="77777777" w:rsidR="009F7516" w:rsidRPr="008557D1" w:rsidRDefault="009F7516" w:rsidP="00896343">
      <w:pPr>
        <w:widowControl w:val="0"/>
        <w:autoSpaceDE w:val="0"/>
        <w:autoSpaceDN w:val="0"/>
        <w:spacing w:after="0" w:line="240" w:lineRule="auto"/>
        <w:ind w:left="709" w:right="709"/>
        <w:jc w:val="both"/>
        <w:rPr>
          <w:rFonts w:ascii="Verdana" w:eastAsia="Calibri" w:hAnsi="Verdana" w:cs="Arial"/>
          <w:sz w:val="20"/>
          <w:szCs w:val="20"/>
          <w:lang w:val="es-ES_tradnl"/>
        </w:rPr>
      </w:pPr>
      <w:r w:rsidRPr="008557D1">
        <w:rPr>
          <w:rFonts w:ascii="Verdana" w:eastAsia="Calibri" w:hAnsi="Verdana" w:cs="Arial"/>
          <w:sz w:val="20"/>
          <w:szCs w:val="20"/>
          <w:lang w:val="es-ES_tradnl"/>
        </w:rPr>
        <w:t xml:space="preserve">[…] </w:t>
      </w:r>
    </w:p>
    <w:p w14:paraId="16010A29" w14:textId="77777777" w:rsidR="009F7516" w:rsidRPr="008557D1" w:rsidRDefault="009F7516" w:rsidP="00896343">
      <w:pPr>
        <w:widowControl w:val="0"/>
        <w:autoSpaceDE w:val="0"/>
        <w:autoSpaceDN w:val="0"/>
        <w:spacing w:after="0" w:line="240" w:lineRule="auto"/>
        <w:ind w:left="709" w:right="709"/>
        <w:jc w:val="both"/>
        <w:rPr>
          <w:rFonts w:ascii="Verdana" w:eastAsia="Calibri" w:hAnsi="Verdana" w:cs="Arial"/>
          <w:sz w:val="20"/>
          <w:szCs w:val="20"/>
          <w:lang w:val="es-ES"/>
        </w:rPr>
      </w:pPr>
      <w:r w:rsidRPr="795AA69A">
        <w:rPr>
          <w:rFonts w:ascii="Verdana" w:eastAsia="Calibri" w:hAnsi="Verdana" w:cs="Arial"/>
          <w:sz w:val="20"/>
          <w:szCs w:val="20"/>
          <w:lang w:val="es-ES"/>
        </w:rPr>
        <w:t xml:space="preserve">Se comprende con facilidad que el régimen de inhabilidades e </w:t>
      </w:r>
      <w:proofErr w:type="gramStart"/>
      <w:r w:rsidRPr="795AA69A">
        <w:rPr>
          <w:rFonts w:ascii="Verdana" w:eastAsia="Calibri" w:hAnsi="Verdana" w:cs="Arial"/>
          <w:sz w:val="20"/>
          <w:szCs w:val="20"/>
          <w:lang w:val="es-ES"/>
        </w:rPr>
        <w:t>incompatibilidades,</w:t>
      </w:r>
      <w:proofErr w:type="gramEnd"/>
      <w:r w:rsidRPr="795AA69A">
        <w:rPr>
          <w:rFonts w:ascii="Verdana" w:eastAsia="Calibri" w:hAnsi="Verdana" w:cs="Arial"/>
          <w:sz w:val="20"/>
          <w:szCs w:val="20"/>
          <w:lang w:val="es-ES"/>
        </w:rPr>
        <w:t xml:space="preserve"> corresponde a una materia de normal y obligada inclusión en un estatuto contractual. El legislador, a quien se ha confiado expedir el indicado estatuto, tiene, pues, competencia para establecerlo (CP art. 150)”. </w:t>
      </w:r>
      <w:r w:rsidRPr="795AA69A">
        <w:rPr>
          <w:rStyle w:val="Refdenotaalpie"/>
          <w:rFonts w:ascii="Verdana" w:eastAsia="Calibri" w:hAnsi="Verdana" w:cs="Arial"/>
          <w:sz w:val="20"/>
          <w:szCs w:val="20"/>
          <w:lang w:val="es-ES"/>
        </w:rPr>
        <w:footnoteReference w:id="5"/>
      </w:r>
    </w:p>
    <w:p w14:paraId="40EF8D7A" w14:textId="77777777" w:rsidR="009F7516" w:rsidRPr="008557D1" w:rsidRDefault="009F7516" w:rsidP="009F7516">
      <w:pPr>
        <w:widowControl w:val="0"/>
        <w:autoSpaceDE w:val="0"/>
        <w:autoSpaceDN w:val="0"/>
        <w:spacing w:after="0" w:line="276" w:lineRule="auto"/>
        <w:ind w:left="851" w:right="616"/>
        <w:jc w:val="both"/>
        <w:rPr>
          <w:rFonts w:ascii="Verdana" w:eastAsia="Calibri" w:hAnsi="Verdana" w:cs="Arial"/>
          <w:sz w:val="20"/>
          <w:szCs w:val="20"/>
          <w:lang w:val="es-ES_tradnl"/>
        </w:rPr>
      </w:pPr>
    </w:p>
    <w:p w14:paraId="41135F35" w14:textId="0B6BF343" w:rsidR="009F7516" w:rsidRPr="008557D1" w:rsidRDefault="00AE63AF" w:rsidP="00896343">
      <w:pPr>
        <w:widowControl w:val="0"/>
        <w:autoSpaceDE w:val="0"/>
        <w:autoSpaceDN w:val="0"/>
        <w:spacing w:after="120" w:line="276" w:lineRule="auto"/>
        <w:ind w:firstLine="708"/>
        <w:jc w:val="both"/>
        <w:rPr>
          <w:rFonts w:ascii="Verdana" w:eastAsia="Calibri" w:hAnsi="Verdana" w:cs="Arial"/>
          <w:lang w:val="es-ES"/>
        </w:rPr>
      </w:pPr>
      <w:r w:rsidRPr="795AA69A">
        <w:rPr>
          <w:rFonts w:ascii="Verdana" w:eastAsia="Calibri" w:hAnsi="Verdana" w:cs="Arial"/>
          <w:lang w:val="es-ES"/>
        </w:rPr>
        <w:t>Ahora bien, c</w:t>
      </w:r>
      <w:r w:rsidR="009F7516" w:rsidRPr="795AA69A">
        <w:rPr>
          <w:rFonts w:ascii="Verdana" w:eastAsia="Calibri" w:hAnsi="Verdana" w:cs="Arial"/>
          <w:lang w:val="es-ES"/>
        </w:rPr>
        <w:t xml:space="preserve">onviene también distinguir las fuentes de las inhabilidades, las cuales han sido clasificadas en dos (2) grupos: i) inhabilidades-sanción y </w:t>
      </w:r>
      <w:proofErr w:type="spellStart"/>
      <w:r w:rsidR="009F7516" w:rsidRPr="795AA69A">
        <w:rPr>
          <w:rFonts w:ascii="Verdana" w:eastAsia="Calibri" w:hAnsi="Verdana" w:cs="Arial"/>
          <w:lang w:val="es-ES"/>
        </w:rPr>
        <w:t>ii</w:t>
      </w:r>
      <w:proofErr w:type="spellEnd"/>
      <w:r w:rsidR="009F7516" w:rsidRPr="795AA69A">
        <w:rPr>
          <w:rFonts w:ascii="Verdana" w:eastAsia="Calibri" w:hAnsi="Verdana" w:cs="Arial"/>
          <w:lang w:val="es-ES"/>
        </w:rPr>
        <w:t xml:space="preserve">) inhabilidades-requisito. En el </w:t>
      </w:r>
      <w:r w:rsidR="009F7516" w:rsidRPr="00896343">
        <w:rPr>
          <w:rFonts w:ascii="Verdana" w:eastAsia="Calibri" w:hAnsi="Verdana" w:cs="Arial"/>
          <w:i/>
          <w:iCs/>
          <w:lang w:val="es-ES"/>
        </w:rPr>
        <w:t>primer grupo</w:t>
      </w:r>
      <w:r w:rsidR="009F7516" w:rsidRPr="795AA69A">
        <w:rPr>
          <w:rFonts w:ascii="Verdana" w:eastAsia="Calibri" w:hAnsi="Verdana" w:cs="Arial"/>
          <w:lang w:val="es-ES"/>
        </w:rPr>
        <w:t xml:space="preserve"> se encuentran las inhabilidades que surgen como consecuencia de un proceso sancionatorio, en los ámbitos penal, disciplinario, contravencional o de pérdida de investidura. En el </w:t>
      </w:r>
      <w:r w:rsidR="009F7516" w:rsidRPr="00896343">
        <w:rPr>
          <w:rFonts w:ascii="Verdana" w:eastAsia="Calibri" w:hAnsi="Verdana" w:cs="Arial"/>
          <w:i/>
          <w:iCs/>
          <w:lang w:val="es-ES"/>
        </w:rPr>
        <w:t>segundo grupo</w:t>
      </w:r>
      <w:r w:rsidR="009F7516" w:rsidRPr="795AA69A">
        <w:rPr>
          <w:rFonts w:ascii="Verdana" w:eastAsia="Calibri" w:hAnsi="Verdana" w:cs="Arial"/>
          <w:lang w:val="es-ES"/>
        </w:rPr>
        <w:t xml:space="preserve"> están aquellas que no devienen de un proceso sancionatorio, sino de condiciones propias de la persona y garantizan la moralidad, la imparcialidad, la eficacia y la transparencia.</w:t>
      </w:r>
      <w:r w:rsidR="009F7516" w:rsidRPr="795AA69A">
        <w:rPr>
          <w:rStyle w:val="Refdenotaalpie"/>
          <w:rFonts w:ascii="Verdana" w:eastAsia="Calibri" w:hAnsi="Verdana" w:cs="Arial"/>
          <w:lang w:val="es-ES"/>
        </w:rPr>
        <w:footnoteReference w:id="6"/>
      </w:r>
    </w:p>
    <w:p w14:paraId="4BC5BB29" w14:textId="202DB81C" w:rsidR="009F7516" w:rsidRPr="008557D1" w:rsidRDefault="009F7516" w:rsidP="00896343">
      <w:pPr>
        <w:widowControl w:val="0"/>
        <w:autoSpaceDE w:val="0"/>
        <w:autoSpaceDN w:val="0"/>
        <w:spacing w:after="120" w:line="276" w:lineRule="auto"/>
        <w:ind w:firstLine="708"/>
        <w:jc w:val="both"/>
        <w:rPr>
          <w:rFonts w:ascii="Verdana" w:eastAsia="Calibri" w:hAnsi="Verdana" w:cs="Arial"/>
          <w:lang w:val="es-ES_tradnl"/>
        </w:rPr>
      </w:pPr>
      <w:r w:rsidRPr="008557D1">
        <w:rPr>
          <w:rFonts w:ascii="Verdana" w:eastAsia="Calibri" w:hAnsi="Verdana" w:cs="Arial"/>
          <w:lang w:val="es-ES_tradnl"/>
        </w:rPr>
        <w:t xml:space="preserve"> A manera de ejemplo, en materia contractual, los literales c), d) y j) del numeral 1 del artículo 8 de la</w:t>
      </w:r>
      <w:bookmarkStart w:id="6" w:name="_Hlk197333316"/>
      <w:r w:rsidRPr="008557D1">
        <w:rPr>
          <w:rFonts w:ascii="Verdana" w:eastAsia="Calibri" w:hAnsi="Verdana" w:cs="Arial"/>
          <w:lang w:val="es-ES_tradnl"/>
        </w:rPr>
        <w:t xml:space="preserve"> </w:t>
      </w:r>
      <w:bookmarkEnd w:id="6"/>
      <w:r w:rsidRPr="008557D1">
        <w:rPr>
          <w:rFonts w:ascii="Verdana" w:eastAsia="Calibri" w:hAnsi="Verdana" w:cs="Arial"/>
          <w:lang w:val="es-ES_tradnl"/>
        </w:rPr>
        <w:t xml:space="preserve">establecen inhabilidades-sanción, porque la prohibición para contratar con el Estado en esos eventos es una consecuencia de una declaratoria de responsabilidad que surge luego de un proceso sancionatorio –administrativo, disciplinario o penal–; mientras que las inhabilidades de los literales f), g) y h) del numeral 1° de la norma citada establecen inhabilidades–requisito, pues no se configuran por la comisión previa de una falta o un delito que dio lugar a una declaratoria por parte de la Administración o el juez, sino de aspectos propios de la persona, derivados, por </w:t>
      </w:r>
      <w:r w:rsidRPr="008557D1">
        <w:rPr>
          <w:rFonts w:ascii="Verdana" w:eastAsia="Calibri" w:hAnsi="Verdana" w:cs="Arial"/>
          <w:lang w:val="es-ES_tradnl"/>
        </w:rPr>
        <w:lastRenderedPageBreak/>
        <w:t xml:space="preserve">ejemplo, del parentesco o la afinidad o de la condición de servidor público. </w:t>
      </w:r>
    </w:p>
    <w:p w14:paraId="425CA819" w14:textId="77777777" w:rsidR="009F7516" w:rsidRPr="008557D1" w:rsidRDefault="009F7516" w:rsidP="00896343">
      <w:pPr>
        <w:widowControl w:val="0"/>
        <w:autoSpaceDE w:val="0"/>
        <w:autoSpaceDN w:val="0"/>
        <w:spacing w:after="120" w:line="276" w:lineRule="auto"/>
        <w:ind w:firstLine="708"/>
        <w:jc w:val="both"/>
        <w:rPr>
          <w:rFonts w:ascii="Verdana" w:eastAsia="Calibri" w:hAnsi="Verdana" w:cs="Arial"/>
          <w:lang w:val="es-ES_tradnl"/>
        </w:rPr>
      </w:pPr>
      <w:r w:rsidRPr="008557D1">
        <w:rPr>
          <w:rFonts w:ascii="Verdana" w:eastAsia="Calibri" w:hAnsi="Verdana" w:cs="Arial"/>
          <w:lang w:val="es-ES_tradnl"/>
        </w:rPr>
        <w:t xml:space="preserve">En ambos eventos, la inhabilidad tiene como fuente una situación o un hecho propio del proponente –una conducta o una condición– ajena a la oferta. La inhabilidad surge, entre otros, por su grado de parentesco o afinidad, por su condición de servidor público o por una declaratoria de responsabilidad penal, disciplinaria o sancionatoria contractual sobre él. </w:t>
      </w:r>
    </w:p>
    <w:p w14:paraId="3F78A776" w14:textId="40DF804F" w:rsidR="009F7516" w:rsidRPr="008557D1" w:rsidRDefault="009F7516" w:rsidP="00896343">
      <w:pPr>
        <w:widowControl w:val="0"/>
        <w:autoSpaceDE w:val="0"/>
        <w:autoSpaceDN w:val="0"/>
        <w:spacing w:after="120" w:line="276" w:lineRule="auto"/>
        <w:ind w:firstLine="708"/>
        <w:jc w:val="both"/>
        <w:rPr>
          <w:rFonts w:ascii="Verdana" w:eastAsia="Calibri" w:hAnsi="Verdana" w:cs="Arial"/>
          <w:lang w:val="es-ES_tradnl"/>
        </w:rPr>
      </w:pPr>
      <w:r w:rsidRPr="008557D1">
        <w:rPr>
          <w:rFonts w:ascii="Verdana" w:eastAsia="Calibri" w:hAnsi="Verdana" w:cs="Arial"/>
          <w:lang w:val="es-ES_tradnl"/>
        </w:rPr>
        <w:t xml:space="preserve">Ahora bien, las inhabilidades e incompatibilidades –como ya se dijo– al ser restricciones o límites especiales a la capacidad para presentar ofertas y celebrar contratos estatales, solo pueden tipificarse en la ley –o sea, deben satisfacer el principio de legalidad– y su interpretación debe ser </w:t>
      </w:r>
      <w:r w:rsidRPr="008557D1">
        <w:rPr>
          <w:rFonts w:ascii="Verdana" w:eastAsia="Calibri" w:hAnsi="Verdana" w:cs="Arial"/>
          <w:i/>
          <w:iCs/>
          <w:lang w:val="es-ES_tradnl"/>
        </w:rPr>
        <w:t xml:space="preserve">restrictiva </w:t>
      </w:r>
      <w:r w:rsidRPr="008557D1">
        <w:rPr>
          <w:rStyle w:val="Refdenotaalpie"/>
          <w:rFonts w:ascii="Verdana" w:eastAsia="Calibri" w:hAnsi="Verdana" w:cs="Arial"/>
          <w:i/>
          <w:iCs/>
          <w:lang w:val="es-ES_tradnl"/>
        </w:rPr>
        <w:footnoteReference w:id="7"/>
      </w:r>
      <w:r w:rsidR="006A2568">
        <w:rPr>
          <w:rFonts w:ascii="Verdana" w:eastAsia="Calibri" w:hAnsi="Verdana" w:cs="Arial"/>
          <w:lang w:val="es-ES_tradnl"/>
        </w:rPr>
        <w:t>. S</w:t>
      </w:r>
      <w:r w:rsidRPr="008557D1">
        <w:rPr>
          <w:rFonts w:ascii="Verdana" w:eastAsia="Calibri" w:hAnsi="Verdana" w:cs="Arial"/>
          <w:lang w:val="es-ES_tradnl"/>
        </w:rPr>
        <w:t xml:space="preserve">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 </w:t>
      </w:r>
    </w:p>
    <w:p w14:paraId="2ECEF2A1" w14:textId="77777777" w:rsidR="003C7B47" w:rsidRDefault="009F7516" w:rsidP="00896343">
      <w:pPr>
        <w:widowControl w:val="0"/>
        <w:autoSpaceDE w:val="0"/>
        <w:autoSpaceDN w:val="0"/>
        <w:spacing w:after="120" w:line="276" w:lineRule="auto"/>
        <w:ind w:firstLine="708"/>
        <w:jc w:val="both"/>
        <w:rPr>
          <w:rFonts w:ascii="Verdana" w:eastAsia="Calibri" w:hAnsi="Verdana" w:cs="Arial"/>
          <w:lang w:val="es-ES_tradnl"/>
        </w:rPr>
      </w:pPr>
      <w:r w:rsidRPr="008557D1">
        <w:rPr>
          <w:rFonts w:ascii="Verdana" w:eastAsia="Calibri" w:hAnsi="Verdana" w:cs="Arial"/>
          <w:lang w:val="es-ES_tradnl"/>
        </w:rPr>
        <w:t xml:space="preserve">En efecto, el máximo tribunal constitucional ha indicado que, al precisar el sentido de este tipo de normas,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 </w:t>
      </w:r>
      <w:r w:rsidRPr="008557D1">
        <w:rPr>
          <w:rStyle w:val="Refdenotaalpie"/>
          <w:rFonts w:ascii="Verdana" w:eastAsia="Calibri" w:hAnsi="Verdana" w:cs="Arial"/>
          <w:lang w:val="es-ES_tradnl"/>
        </w:rPr>
        <w:footnoteReference w:id="8"/>
      </w:r>
      <w:r w:rsidRPr="008557D1">
        <w:rPr>
          <w:rFonts w:ascii="Verdana" w:eastAsia="Calibri" w:hAnsi="Verdana" w:cs="Arial"/>
          <w:lang w:val="es-ES_tradnl"/>
        </w:rPr>
        <w:t xml:space="preserve">. </w:t>
      </w:r>
    </w:p>
    <w:p w14:paraId="7F477A7E" w14:textId="674A7748" w:rsidR="009F7516" w:rsidRPr="008557D1" w:rsidRDefault="009F7516" w:rsidP="009F7516">
      <w:pPr>
        <w:widowControl w:val="0"/>
        <w:autoSpaceDE w:val="0"/>
        <w:autoSpaceDN w:val="0"/>
        <w:spacing w:after="0" w:line="276" w:lineRule="auto"/>
        <w:ind w:firstLine="708"/>
        <w:jc w:val="both"/>
        <w:rPr>
          <w:rFonts w:ascii="Verdana" w:eastAsia="Calibri" w:hAnsi="Verdana" w:cs="Arial"/>
          <w:lang w:val="es-ES_tradnl"/>
        </w:rPr>
      </w:pPr>
      <w:r w:rsidRPr="008557D1">
        <w:rPr>
          <w:rFonts w:ascii="Verdana" w:eastAsia="Calibri" w:hAnsi="Verdana" w:cs="Arial"/>
          <w:lang w:val="es-ES_tradnl"/>
        </w:rPr>
        <w:t>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8557D1">
        <w:rPr>
          <w:rStyle w:val="Refdenotaalpie"/>
          <w:rFonts w:ascii="Verdana" w:eastAsia="Calibri" w:hAnsi="Verdana" w:cs="Arial"/>
          <w:lang w:val="es-ES_tradnl"/>
        </w:rPr>
        <w:footnoteReference w:id="9"/>
      </w:r>
      <w:r w:rsidRPr="008557D1">
        <w:rPr>
          <w:rFonts w:ascii="Verdana" w:eastAsia="Calibri" w:hAnsi="Verdana" w:cs="Arial"/>
          <w:lang w:val="es-ES_tradnl"/>
        </w:rPr>
        <w:t xml:space="preserve"> . En tal </w:t>
      </w:r>
      <w:r w:rsidRPr="008557D1">
        <w:rPr>
          <w:rFonts w:ascii="Verdana" w:eastAsia="Calibri" w:hAnsi="Verdana" w:cs="Arial"/>
          <w:lang w:val="es-ES_tradnl"/>
        </w:rPr>
        <w:lastRenderedPageBreak/>
        <w:t>sentido, la Sección Tercera ha señalado que:</w:t>
      </w:r>
    </w:p>
    <w:p w14:paraId="743328BC" w14:textId="77777777" w:rsidR="009F7516" w:rsidRPr="008557D1" w:rsidRDefault="009F7516" w:rsidP="009F7516">
      <w:pPr>
        <w:widowControl w:val="0"/>
        <w:autoSpaceDE w:val="0"/>
        <w:autoSpaceDN w:val="0"/>
        <w:spacing w:after="0" w:line="276" w:lineRule="auto"/>
        <w:jc w:val="both"/>
        <w:rPr>
          <w:rFonts w:ascii="Verdana" w:eastAsia="Calibri" w:hAnsi="Verdana" w:cs="Arial"/>
          <w:lang w:val="es-ES_tradnl"/>
        </w:rPr>
      </w:pPr>
    </w:p>
    <w:p w14:paraId="69AEA2F7" w14:textId="77777777" w:rsidR="009F7516" w:rsidRPr="008557D1" w:rsidRDefault="009F7516" w:rsidP="00896343">
      <w:pPr>
        <w:widowControl w:val="0"/>
        <w:autoSpaceDE w:val="0"/>
        <w:autoSpaceDN w:val="0"/>
        <w:spacing w:after="0" w:line="240" w:lineRule="auto"/>
        <w:ind w:left="709" w:right="709"/>
        <w:jc w:val="both"/>
        <w:rPr>
          <w:rFonts w:ascii="Verdana" w:eastAsia="Calibri" w:hAnsi="Verdana" w:cs="Arial"/>
          <w:sz w:val="20"/>
          <w:szCs w:val="20"/>
          <w:lang w:val="es-ES_tradnl"/>
        </w:rPr>
      </w:pPr>
      <w:r w:rsidRPr="008557D1">
        <w:rPr>
          <w:rFonts w:ascii="Verdana" w:eastAsia="Calibri" w:hAnsi="Verdana" w:cs="Arial"/>
          <w:sz w:val="20"/>
          <w:szCs w:val="20"/>
          <w:lang w:val="es-ES_tradnl"/>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8557D1">
        <w:rPr>
          <w:rStyle w:val="Refdenotaalpie"/>
          <w:rFonts w:ascii="Verdana" w:eastAsia="Calibri" w:hAnsi="Verdana" w:cs="Arial"/>
          <w:sz w:val="20"/>
          <w:szCs w:val="20"/>
          <w:lang w:val="es-ES_tradnl"/>
        </w:rPr>
        <w:footnoteReference w:id="10"/>
      </w:r>
    </w:p>
    <w:p w14:paraId="6BAEC282" w14:textId="77777777" w:rsidR="009F7516" w:rsidRPr="008557D1" w:rsidRDefault="009F7516" w:rsidP="00896343">
      <w:pPr>
        <w:widowControl w:val="0"/>
        <w:autoSpaceDE w:val="0"/>
        <w:autoSpaceDN w:val="0"/>
        <w:spacing w:after="0" w:line="240" w:lineRule="auto"/>
        <w:ind w:left="709" w:right="709"/>
        <w:jc w:val="both"/>
        <w:rPr>
          <w:rFonts w:ascii="Verdana" w:eastAsia="Calibri" w:hAnsi="Verdana" w:cs="Arial"/>
          <w:sz w:val="20"/>
          <w:szCs w:val="20"/>
          <w:lang w:val="es-ES_tradnl"/>
        </w:rPr>
      </w:pPr>
    </w:p>
    <w:p w14:paraId="2A68DAD5" w14:textId="77777777" w:rsidR="009F7516" w:rsidRPr="008557D1" w:rsidRDefault="009F7516" w:rsidP="00896343">
      <w:pPr>
        <w:widowControl w:val="0"/>
        <w:autoSpaceDE w:val="0"/>
        <w:autoSpaceDN w:val="0"/>
        <w:spacing w:after="0" w:line="240" w:lineRule="auto"/>
        <w:ind w:left="709" w:right="709"/>
        <w:jc w:val="both"/>
        <w:rPr>
          <w:rFonts w:ascii="Verdana" w:eastAsia="Calibri" w:hAnsi="Verdana" w:cs="Arial"/>
          <w:sz w:val="20"/>
          <w:szCs w:val="20"/>
          <w:lang w:val="es-ES_tradnl"/>
        </w:rPr>
      </w:pPr>
      <w:r w:rsidRPr="008557D1">
        <w:rPr>
          <w:rFonts w:ascii="Verdana" w:eastAsia="Calibri" w:hAnsi="Verdana" w:cs="Arial"/>
          <w:sz w:val="20"/>
          <w:szCs w:val="20"/>
          <w:lang w:val="es-ES_tradnl"/>
        </w:rPr>
        <w:t>También ha dicho que:</w:t>
      </w:r>
    </w:p>
    <w:p w14:paraId="139FDC8C" w14:textId="77777777" w:rsidR="009F7516" w:rsidRPr="008557D1" w:rsidRDefault="009F7516" w:rsidP="00896343">
      <w:pPr>
        <w:widowControl w:val="0"/>
        <w:autoSpaceDE w:val="0"/>
        <w:autoSpaceDN w:val="0"/>
        <w:spacing w:after="0" w:line="240" w:lineRule="auto"/>
        <w:ind w:left="709" w:right="709"/>
        <w:jc w:val="both"/>
        <w:rPr>
          <w:rFonts w:ascii="Verdana" w:eastAsia="Calibri" w:hAnsi="Verdana" w:cs="Arial"/>
          <w:sz w:val="20"/>
          <w:szCs w:val="20"/>
          <w:lang w:val="es-ES_tradnl"/>
        </w:rPr>
      </w:pPr>
    </w:p>
    <w:p w14:paraId="76DC9F0D" w14:textId="77777777" w:rsidR="009F7516" w:rsidRPr="008557D1" w:rsidRDefault="009F7516" w:rsidP="00896343">
      <w:pPr>
        <w:widowControl w:val="0"/>
        <w:autoSpaceDE w:val="0"/>
        <w:autoSpaceDN w:val="0"/>
        <w:spacing w:after="0" w:line="240" w:lineRule="auto"/>
        <w:ind w:left="709" w:right="709"/>
        <w:jc w:val="both"/>
        <w:rPr>
          <w:rFonts w:ascii="Verdana" w:eastAsia="Calibri" w:hAnsi="Verdana" w:cs="Arial"/>
          <w:sz w:val="20"/>
          <w:szCs w:val="20"/>
          <w:lang w:val="es-ES"/>
        </w:rPr>
      </w:pPr>
      <w:r w:rsidRPr="795AA69A">
        <w:rPr>
          <w:rFonts w:ascii="Verdana" w:eastAsia="Calibri" w:hAnsi="Verdana" w:cs="Arial"/>
          <w:sz w:val="20"/>
          <w:szCs w:val="20"/>
          <w:lang w:val="es-ES"/>
        </w:rPr>
        <w:t xml:space="preserve">[…] la aplicación de estos preceptos exige una interpretación restrictiva, dado que según el principio hermenéutico pro </w:t>
      </w:r>
      <w:proofErr w:type="spellStart"/>
      <w:r w:rsidRPr="795AA69A">
        <w:rPr>
          <w:rFonts w:ascii="Verdana" w:eastAsia="Calibri" w:hAnsi="Verdana" w:cs="Arial"/>
          <w:sz w:val="20"/>
          <w:szCs w:val="20"/>
          <w:lang w:val="es-ES"/>
        </w:rPr>
        <w:t>libertate</w:t>
      </w:r>
      <w:proofErr w:type="spellEnd"/>
      <w:r w:rsidRPr="795AA69A">
        <w:rPr>
          <w:rFonts w:ascii="Verdana" w:eastAsia="Calibri" w:hAnsi="Verdana" w:cs="Arial"/>
          <w:sz w:val="20"/>
          <w:szCs w:val="20"/>
          <w:lang w:val="es-ES"/>
        </w:rPr>
        <w:t>,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 .</w:t>
      </w:r>
      <w:r w:rsidRPr="795AA69A">
        <w:rPr>
          <w:rStyle w:val="Refdenotaalpie"/>
          <w:rFonts w:ascii="Verdana" w:eastAsia="Calibri" w:hAnsi="Verdana" w:cs="Arial"/>
          <w:sz w:val="20"/>
          <w:szCs w:val="20"/>
          <w:lang w:val="es-ES"/>
        </w:rPr>
        <w:footnoteReference w:id="11"/>
      </w:r>
    </w:p>
    <w:p w14:paraId="08CEBEC5" w14:textId="77777777" w:rsidR="009F7516" w:rsidRPr="008557D1" w:rsidRDefault="009F7516" w:rsidP="009F7516">
      <w:pPr>
        <w:widowControl w:val="0"/>
        <w:autoSpaceDE w:val="0"/>
        <w:autoSpaceDN w:val="0"/>
        <w:spacing w:after="0" w:line="276" w:lineRule="auto"/>
        <w:jc w:val="both"/>
        <w:rPr>
          <w:rFonts w:ascii="Verdana" w:eastAsia="Calibri" w:hAnsi="Verdana" w:cs="Arial"/>
          <w:lang w:val="es-ES_tradnl"/>
        </w:rPr>
      </w:pPr>
    </w:p>
    <w:p w14:paraId="7E794795" w14:textId="63030158" w:rsidR="009F7516" w:rsidRPr="008557D1" w:rsidRDefault="009F7516" w:rsidP="00896343">
      <w:pPr>
        <w:widowControl w:val="0"/>
        <w:autoSpaceDE w:val="0"/>
        <w:autoSpaceDN w:val="0"/>
        <w:spacing w:after="120" w:line="276" w:lineRule="auto"/>
        <w:ind w:firstLine="708"/>
        <w:jc w:val="both"/>
        <w:rPr>
          <w:rFonts w:ascii="Verdana" w:eastAsia="Calibri" w:hAnsi="Verdana" w:cs="Arial"/>
          <w:lang w:val="es-ES"/>
        </w:rPr>
      </w:pPr>
      <w:r w:rsidRPr="795AA69A">
        <w:rPr>
          <w:rFonts w:ascii="Verdana" w:eastAsia="Calibri" w:hAnsi="Verdana" w:cs="Arial"/>
          <w:lang w:val="es-ES"/>
        </w:rPr>
        <w:t>Como se aprecia</w:t>
      </w:r>
      <w:r w:rsidR="003C7B47" w:rsidRPr="795AA69A">
        <w:rPr>
          <w:rFonts w:ascii="Verdana" w:eastAsia="Calibri" w:hAnsi="Verdana" w:cs="Arial"/>
          <w:lang w:val="es-ES"/>
        </w:rPr>
        <w:t xml:space="preserve"> de las normas y la jurisprudencia citada</w:t>
      </w:r>
      <w:r w:rsidRPr="795AA69A">
        <w:rPr>
          <w:rFonts w:ascii="Verdana" w:eastAsia="Calibri" w:hAnsi="Verdana" w:cs="Arial"/>
          <w:lang w:val="es-ES"/>
        </w:rPr>
        <w:t xml:space="preserve">, el principio </w:t>
      </w:r>
      <w:r w:rsidRPr="00896343">
        <w:rPr>
          <w:rFonts w:ascii="Verdana" w:eastAsia="Calibri" w:hAnsi="Verdana" w:cs="Arial"/>
          <w:i/>
          <w:iCs/>
          <w:lang w:val="es-ES"/>
        </w:rPr>
        <w:t xml:space="preserve">pro </w:t>
      </w:r>
      <w:proofErr w:type="spellStart"/>
      <w:r w:rsidRPr="00896343">
        <w:rPr>
          <w:rFonts w:ascii="Verdana" w:eastAsia="Calibri" w:hAnsi="Verdana" w:cs="Arial"/>
          <w:i/>
          <w:iCs/>
          <w:lang w:val="es-ES"/>
        </w:rPr>
        <w:t>libertate</w:t>
      </w:r>
      <w:proofErr w:type="spellEnd"/>
      <w:r w:rsidRPr="795AA69A">
        <w:rPr>
          <w:rFonts w:ascii="Verdana" w:eastAsia="Calibri" w:hAnsi="Verdana" w:cs="Arial"/>
          <w:lang w:val="es-ES"/>
        </w:rPr>
        <w:t xml:space="preserve"> es el que debe dirigir la interpretación de las disposiciones normativas que consagran restricciones de derechos, como sucede con las causales de inhabilidad e incompatibilidad en la contratación estatal. Por lo tanto, no es posible llevar a cabo la interpretación extensiva de estas, debiendo preferirse aquella que menos limita el derecho de las personas, salvaguardando el interés general en la contratación pública de manera que implique el menor sacrificio posible al derecho de igualdad.</w:t>
      </w:r>
    </w:p>
    <w:p w14:paraId="2D18AC3E" w14:textId="77777777" w:rsidR="00027481" w:rsidRPr="00896343" w:rsidRDefault="00027481" w:rsidP="00027481">
      <w:pPr>
        <w:spacing w:before="120" w:after="0" w:line="276" w:lineRule="auto"/>
        <w:ind w:firstLine="709"/>
        <w:jc w:val="both"/>
        <w:rPr>
          <w:rFonts w:ascii="Verdana" w:eastAsia="Calibri" w:hAnsi="Verdana" w:cs="Arial"/>
          <w:lang w:val="es-ES_tradnl"/>
        </w:rPr>
      </w:pPr>
      <w:r w:rsidRPr="00896343">
        <w:rPr>
          <w:rFonts w:ascii="Verdana" w:eastAsia="Times New Roman" w:hAnsi="Verdana" w:cs="Arial"/>
          <w:color w:val="000000"/>
          <w:shd w:val="clear" w:color="auto" w:fill="FFFFFF"/>
          <w:lang w:val="es-ES" w:eastAsia="es-ES_tradnl"/>
        </w:rPr>
        <w:t xml:space="preserve">Ahora bien, </w:t>
      </w:r>
      <w:r w:rsidRPr="00896343">
        <w:rPr>
          <w:rFonts w:ascii="Verdana" w:eastAsia="Calibri" w:hAnsi="Verdana" w:cs="Arial"/>
          <w:lang w:val="es-ES_tradnl"/>
        </w:rPr>
        <w:t xml:space="preserve">con la finalidad de resolver las dudas planteadas en su consulta, se estudiará el artículo 8 de la Ley 80 de 1993, el cual reza de la siguiente forma: </w:t>
      </w:r>
    </w:p>
    <w:p w14:paraId="26948E62" w14:textId="77777777" w:rsidR="00027481" w:rsidRPr="00896343" w:rsidRDefault="00027481" w:rsidP="00027481">
      <w:pPr>
        <w:spacing w:after="0" w:line="276" w:lineRule="auto"/>
        <w:ind w:left="709" w:right="902"/>
        <w:jc w:val="both"/>
        <w:rPr>
          <w:rFonts w:ascii="Verdana" w:eastAsia="Aptos" w:hAnsi="Verdana" w:cs="Arial"/>
          <w:lang w:val="es-MX" w:eastAsia="es-MX"/>
        </w:rPr>
      </w:pPr>
      <w:bookmarkStart w:id="7" w:name="8"/>
    </w:p>
    <w:bookmarkEnd w:id="7"/>
    <w:p w14:paraId="2C27007F"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“ARTICULO 8°. DE LAS INHABILIDADES E INCOMPATIBILIDADES PARA CONTRATAR.</w:t>
      </w:r>
    </w:p>
    <w:p w14:paraId="6F4AD922"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p>
    <w:p w14:paraId="2578D4C1"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1°. Son inhábiles para participar en licitaciones o concursos y para celebrar contratos con las entidades estatales:</w:t>
      </w:r>
    </w:p>
    <w:p w14:paraId="2786BD11"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p>
    <w:p w14:paraId="770FFD8E"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a) Las personas que se hallen inhabilitadas para contratar por la Constitución y las leyes.</w:t>
      </w:r>
    </w:p>
    <w:p w14:paraId="3B7F1C42"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p>
    <w:p w14:paraId="166BEA91"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b) Quienes participaron en las licitaciones o concursos o celebraron los contratos de que trata el literal anterior estando inhabilitados.</w:t>
      </w:r>
    </w:p>
    <w:p w14:paraId="4512874E"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p>
    <w:p w14:paraId="72DD91E0"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c) Quienes dieron lugar a la declaratoria de caducidad.</w:t>
      </w:r>
    </w:p>
    <w:p w14:paraId="393236B6"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p>
    <w:p w14:paraId="5669B32A"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 xml:space="preserve">d) Quienes en sentencia judicial hayan sido condenados a la pena accesoria de interdicción de derechos y funciones públicas y quienes hayan sido sancionados disciplinariamente con destitución. </w:t>
      </w:r>
    </w:p>
    <w:p w14:paraId="300B444D"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p>
    <w:p w14:paraId="3B4802FB"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e) Quienes sin justa causa se abstengan de suscribir el contrato estatal adjudicado.</w:t>
      </w:r>
    </w:p>
    <w:p w14:paraId="54A73C30"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p>
    <w:p w14:paraId="2EBCD195"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f) Los servidores públicos.</w:t>
      </w:r>
    </w:p>
    <w:p w14:paraId="1CC11A4C"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p>
    <w:p w14:paraId="371A8EEE" w14:textId="77777777" w:rsidR="00027481" w:rsidRPr="00896343" w:rsidRDefault="00027481" w:rsidP="00427B24">
      <w:pPr>
        <w:spacing w:after="0" w:line="240" w:lineRule="auto"/>
        <w:ind w:left="709" w:right="709"/>
        <w:contextualSpacing/>
        <w:jc w:val="both"/>
        <w:rPr>
          <w:rFonts w:ascii="Verdana" w:eastAsia="Aptos" w:hAnsi="Verdana" w:cs="Arial"/>
          <w:i/>
          <w:iCs/>
          <w:sz w:val="20"/>
          <w:szCs w:val="20"/>
          <w:lang w:val="es-MX" w:eastAsia="es-MX"/>
        </w:rPr>
      </w:pPr>
      <w:r w:rsidRPr="00896343">
        <w:rPr>
          <w:rFonts w:ascii="Verdana" w:eastAsia="Aptos" w:hAnsi="Verdana" w:cs="Arial"/>
          <w:i/>
          <w:iCs/>
          <w:sz w:val="20"/>
          <w:szCs w:val="20"/>
          <w:lang w:val="es-MX" w:eastAsia="es-MX"/>
        </w:rPr>
        <w:t>g) Quienes sean cónyuges o compañeros permanentes y quienes se encuentren dentro del segundo grado de consanguinidad o segundo de afinidad con cualquier otra persona que formalmente haya presentado propuesta para una misma licitación.</w:t>
      </w:r>
    </w:p>
    <w:p w14:paraId="10EA1894" w14:textId="77777777" w:rsidR="00027481" w:rsidRPr="00896343" w:rsidRDefault="00027481" w:rsidP="00427B24">
      <w:pPr>
        <w:spacing w:after="0" w:line="240" w:lineRule="auto"/>
        <w:ind w:left="709" w:right="709"/>
        <w:contextualSpacing/>
        <w:jc w:val="both"/>
        <w:rPr>
          <w:rFonts w:ascii="Verdana" w:eastAsia="Aptos" w:hAnsi="Verdana" w:cs="Arial"/>
          <w:i/>
          <w:iCs/>
          <w:sz w:val="20"/>
          <w:szCs w:val="20"/>
          <w:lang w:val="es-MX" w:eastAsia="es-MX"/>
        </w:rPr>
      </w:pPr>
    </w:p>
    <w:p w14:paraId="7FBDB09E" w14:textId="77777777" w:rsidR="00027481" w:rsidRPr="00896343" w:rsidRDefault="00027481" w:rsidP="00427B24">
      <w:pPr>
        <w:spacing w:after="0" w:line="240" w:lineRule="auto"/>
        <w:ind w:left="709" w:right="709"/>
        <w:contextualSpacing/>
        <w:jc w:val="both"/>
        <w:rPr>
          <w:rFonts w:ascii="Verdana" w:eastAsia="Aptos" w:hAnsi="Verdana" w:cs="Arial"/>
          <w:i/>
          <w:iCs/>
          <w:sz w:val="20"/>
          <w:szCs w:val="20"/>
          <w:lang w:val="es-MX" w:eastAsia="es-MX"/>
        </w:rPr>
      </w:pPr>
      <w:r w:rsidRPr="00896343">
        <w:rPr>
          <w:rFonts w:ascii="Verdana" w:eastAsia="Aptos" w:hAnsi="Verdana" w:cs="Arial"/>
          <w:i/>
          <w:iCs/>
          <w:sz w:val="20"/>
          <w:szCs w:val="20"/>
          <w:lang w:val="es-MX" w:eastAsia="es-MX"/>
        </w:rPr>
        <w:t>h)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w:t>
      </w:r>
    </w:p>
    <w:p w14:paraId="2B2D88D9"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p>
    <w:p w14:paraId="0CE7B298"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i) Los socios de sociedades de personas a las cuales se haya declarado la caducidad, así como las sociedades de personas de las que aquellos formen parte con posterioridad a dicha declaratoria.</w:t>
      </w:r>
    </w:p>
    <w:p w14:paraId="2FBB28D1"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p>
    <w:p w14:paraId="3A19AB39"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Las inhabilidades a que se refieren los literales c), d) e i) se extenderán por un término de cinco (5) años contado a partir de la fecha de ejecutoria del acto que declaró la caducidad, o de la sentencia que impuso la pena, o del acto que dispuso la destitución; las previstas en los literales b) y e), se extenderán por un término de cinco (5) años contado a partir de la fecha de ocurrencia del hecho de la participación en la licitación, o de la de celebración del contrato, o de la de expiración del plazo para su firma.</w:t>
      </w:r>
    </w:p>
    <w:p w14:paraId="05CA869F"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p>
    <w:p w14:paraId="459B3E3B"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 xml:space="preserve">j) Literal reglamentado por el Decreto 1358 de 2020. Literal modificado por la Ley 2014 de 2019, artículo 2º. Las personas naturales que hayan sido declaradas responsables judicialmente por la comisión de delitos contra la Administración pública, o de cualquiera de los delitos o faltas contempladas por la Ley 1474 de 2011 y sus normas modificatorias o de cualquiera de las conductas delictivas contempladas por las convenciones </w:t>
      </w:r>
      <w:r w:rsidRPr="00896343">
        <w:rPr>
          <w:rFonts w:ascii="Verdana" w:eastAsia="Aptos" w:hAnsi="Verdana" w:cs="Arial"/>
          <w:sz w:val="20"/>
          <w:szCs w:val="20"/>
          <w:lang w:val="es-MX" w:eastAsia="es-MX"/>
        </w:rPr>
        <w:lastRenderedPageBreak/>
        <w:t>o tratados de lucha contra la corrupción suscritos y ratificados por Colombia, así como las personas jurídicas que hayan sido declaradas responsables administrativamente por la conducta de soborno transnacional.</w:t>
      </w:r>
    </w:p>
    <w:p w14:paraId="6FAF274F"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p>
    <w:p w14:paraId="2D8405A6"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 xml:space="preserve">Esta inhabilidad procederá preventivamente aún en los casos en los que esté pendiente la decisión sobre la impugnación de la sentencia condenatoria.  </w:t>
      </w:r>
    </w:p>
    <w:p w14:paraId="3CD98633"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p>
    <w:p w14:paraId="7FFE24A5"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Asimismo, la inhabilidad se extenderá a las sociedades de las que hagan parte dichas personas en calidad de administradores, representantes legales, miembros de junta directiva o de socios controlantes, a sus matrices y a sus subordinadas, a los grupos empresariales a los que estas pertenezcan cuando la conducta delictiva haya sido parte de una política del grupo y a las sucursales de sociedades extranjeras, con excepción de las sociedades anónimas abiertas.</w:t>
      </w:r>
    </w:p>
    <w:p w14:paraId="53D0D124"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p>
    <w:p w14:paraId="0CF42E05"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También se considerarán inhabilitadas para contratar, las personas jurídicas sobre las cuales se haya ordenado la suspensión de la personería jurídica en los términos de ley, o cuyos representantes legales, administradores de hecho o de derecho, miembros de junta directiva o sus socios controlantes, sus matrices, subordinadas y/o las sucursales de sociedades extranjeras, hayan sido beneficiados con la aplicación de un principio de oportunidad por cualquier delito contra la Administración pública o el patrimonio del Estado.</w:t>
      </w:r>
    </w:p>
    <w:p w14:paraId="0E96246D"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p>
    <w:p w14:paraId="31001C53"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La inhabilidad prevista en este literal se extenderá de forma permanente a las sociedades de las que hagan parte dichas personas en las calidades presentadas en los incisos anteriores, y se aplicará de igual forma a las personas naturales que hayan sido declaradas responsables judicialmente por la comisión de delitos mencionados en este literal.</w:t>
      </w:r>
    </w:p>
    <w:p w14:paraId="6C4B74DD"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p>
    <w:p w14:paraId="25CF44E3"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k) Literal adicionado por la Ley 1474 de 2011, artículo 2º. Éste modificado por la Ley 1778 de 2016, artículo 33. Inhabilidad para contratar de quienes financien campañas políticas. Las personas naturales o jurídicas que hayan financiado campañas políticas a la Presidencia de la República, a las gobernaciones, a las alcaldías o al Congreso de la República, con aportes superiores al dos por ciento (2.0%)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w:t>
      </w:r>
    </w:p>
    <w:p w14:paraId="1B928305"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p>
    <w:p w14:paraId="5EB92664"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 xml:space="preserve">La inhabilidad se extenderá por todo el período para el cual el candidato fue elegido. Esta causal también operará para las personas que se encuentren dentro del segundo grado de consanguinidad, segundo de </w:t>
      </w:r>
      <w:r w:rsidRPr="00896343">
        <w:rPr>
          <w:rFonts w:ascii="Verdana" w:eastAsia="Aptos" w:hAnsi="Verdana" w:cs="Arial"/>
          <w:sz w:val="20"/>
          <w:szCs w:val="20"/>
          <w:lang w:val="es-MX" w:eastAsia="es-MX"/>
        </w:rPr>
        <w:lastRenderedPageBreak/>
        <w:t>afinidad, o primero civil de la persona que ha financiado la campaña política.</w:t>
      </w:r>
    </w:p>
    <w:p w14:paraId="0002A06D"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p>
    <w:p w14:paraId="7FD11DC1"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Esta inhabilidad comprenderá también a las personas jurídicas en las cuales el representante legal, los miembros de junta directiva o cualquiera de sus socios controlantes hayan financiado directamente o por interpuesta persona campañas políticas a la Presidencia de la República, a las gobernaciones, las alcaldías o al Congreso de la República.</w:t>
      </w:r>
    </w:p>
    <w:p w14:paraId="146F831B"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p>
    <w:p w14:paraId="15056C2B"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La inhabilidad contemplada en esta norma no se aplicará respecto de los contratos de prestación de servicios profesionales.</w:t>
      </w:r>
    </w:p>
    <w:p w14:paraId="0C135A6F"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p>
    <w:p w14:paraId="5D80F943"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k) Literal adicionado por la Ley 1474 de 2011, artículo 84, parágrafo 2º. (éste declarado exequible condicionalmente por los cargos analizados por la Corte Constitucional en la Sentencia C-434 de 2013.).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w:t>
      </w:r>
    </w:p>
    <w:p w14:paraId="37E76E3C"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p>
    <w:p w14:paraId="447CC70B"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Esta inhabilidad se extenderá por un término de cinco (5) años, contados a partir de la ejecutoria del acto administrativo que así lo declare, previa la actuación administrativa correspondiente.</w:t>
      </w:r>
    </w:p>
    <w:p w14:paraId="01ECC345"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p>
    <w:p w14:paraId="730BF279"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2°. Tampoco podrán participar en licitaciones o concursos ni celebrar contratos estatales con la entidad respectiva:</w:t>
      </w:r>
    </w:p>
    <w:p w14:paraId="2C6205F2"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p>
    <w:p w14:paraId="478AD461"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a) Quienes fueron miembros de la junta o consejo directivo o servidores públicos de la entidad contratante. Esta incompatibilidad solo comprende a quienes desempeñaron funciones en los niveles directivo, asesor o ejecutivo y se extiende por el término de un (1) año, contado a partir de la fecha del retiro.</w:t>
      </w:r>
    </w:p>
    <w:p w14:paraId="3402614F"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p>
    <w:p w14:paraId="5A5BE5E5"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 xml:space="preserve">b) Las personas que tengan vínculos de parentesco, hasta el segundo grado de consanguinidad, segundo de afinidad o primero civil con los servidores públicos de los niveles directivo, asesor, ejecutivo o con los miembros de la junta o consejo directivo, o con las personas que ejerzan </w:t>
      </w:r>
      <w:proofErr w:type="spellStart"/>
      <w:r w:rsidRPr="00896343">
        <w:rPr>
          <w:rFonts w:ascii="Verdana" w:eastAsia="Aptos" w:hAnsi="Verdana" w:cs="Arial"/>
          <w:sz w:val="20"/>
          <w:szCs w:val="20"/>
          <w:lang w:val="es-MX" w:eastAsia="es-MX"/>
        </w:rPr>
        <w:t>ejerzan</w:t>
      </w:r>
      <w:proofErr w:type="spellEnd"/>
      <w:r w:rsidRPr="00896343">
        <w:rPr>
          <w:rFonts w:ascii="Verdana" w:eastAsia="Aptos" w:hAnsi="Verdana" w:cs="Arial"/>
          <w:sz w:val="20"/>
          <w:szCs w:val="20"/>
          <w:lang w:val="es-MX" w:eastAsia="es-MX"/>
        </w:rPr>
        <w:t xml:space="preserve"> el control interno o fiscal de la entidad contratante.</w:t>
      </w:r>
    </w:p>
    <w:p w14:paraId="128F6600"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p>
    <w:p w14:paraId="2248BF61"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 xml:space="preserve">c) El cónyuge, compañero o compañera permanente del servidor público en los niveles directivo, asesor, ejecutivo, o de un miembro de la junta o consejo directivo, o de quien ejerza funciones de control interno o de control fiscal.  </w:t>
      </w:r>
    </w:p>
    <w:p w14:paraId="5BE2BA9D"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p>
    <w:p w14:paraId="241DF2BA"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 xml:space="preserve">d) Las corporaciones, asociaciones, fundaciones y las sociedades anónimas que no tengan el carácter de abiertas, así como las sociedades </w:t>
      </w:r>
      <w:r w:rsidRPr="00896343">
        <w:rPr>
          <w:rFonts w:ascii="Verdana" w:eastAsia="Aptos" w:hAnsi="Verdana" w:cs="Arial"/>
          <w:sz w:val="20"/>
          <w:szCs w:val="20"/>
          <w:lang w:val="es-MX" w:eastAsia="es-MX"/>
        </w:rPr>
        <w:lastRenderedPageBreak/>
        <w:t>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w:t>
      </w:r>
    </w:p>
    <w:p w14:paraId="2BF58D4F"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p>
    <w:p w14:paraId="063ACAF9"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e) Los miembros de las juntas o consejos directivos. Esta incompatibilidad sólo se predica respecto de la entidad a la cual prestan sus servicios y de las del sector administrativo al que la misma esté adscrita o vinculada.</w:t>
      </w:r>
    </w:p>
    <w:p w14:paraId="18895993"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p>
    <w:p w14:paraId="683E08D5"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f) Literal adicionado por la Ley 1474 de 2011, artículo 4º.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w:t>
      </w:r>
    </w:p>
    <w:p w14:paraId="2EE5C891"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p>
    <w:p w14:paraId="404C3FD0"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 xml:space="preserve">Esta incompatibilidad también operará para las personas que se encuentren dentro del primer grado de consanguinidad, primero de afinidad, o primero civil del </w:t>
      </w:r>
      <w:proofErr w:type="gramStart"/>
      <w:r w:rsidRPr="00896343">
        <w:rPr>
          <w:rFonts w:ascii="Verdana" w:eastAsia="Aptos" w:hAnsi="Verdana" w:cs="Arial"/>
          <w:sz w:val="20"/>
          <w:szCs w:val="20"/>
          <w:lang w:val="es-MX" w:eastAsia="es-MX"/>
        </w:rPr>
        <w:t>ex empleado</w:t>
      </w:r>
      <w:proofErr w:type="gramEnd"/>
      <w:r w:rsidRPr="00896343">
        <w:rPr>
          <w:rFonts w:ascii="Verdana" w:eastAsia="Aptos" w:hAnsi="Verdana" w:cs="Arial"/>
          <w:sz w:val="20"/>
          <w:szCs w:val="20"/>
          <w:lang w:val="es-MX" w:eastAsia="es-MX"/>
        </w:rPr>
        <w:t xml:space="preserve"> público.</w:t>
      </w:r>
    </w:p>
    <w:p w14:paraId="4838DFEF"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p>
    <w:p w14:paraId="48F3B7B4"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PARAGRAFO 1°. La inhabilidad prevista en el literal d) del ordinal 2°. de este artículo no se aplicará en relación con las corporaciones, asociaciones, fundaciones y sociedades allí mencionadas, cuando por disposición legal o estatutaria el servidor público en los niveles referidos debe desempeñar en ellas cargos de dirección o manejo.</w:t>
      </w:r>
    </w:p>
    <w:p w14:paraId="48DB531A"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p>
    <w:p w14:paraId="210FD6B4"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Inciso adicionado por la Ley 1150 de 2007, artículo 18. En las causales de inhabilidad por parentesco o por matrimonio, los vínculos desaparecen por muerte o por disolución del matrimonio.</w:t>
      </w:r>
    </w:p>
    <w:p w14:paraId="77AC6B17"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p>
    <w:p w14:paraId="2C9537EF"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PARAGRAFO 2°. Para los efectos previstos en este artículo, el Gobierno Nacional determinará que debe entenderse por sociedades anónimas abiertas.</w:t>
      </w:r>
    </w:p>
    <w:p w14:paraId="738F98EC"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p>
    <w:p w14:paraId="66EA926A" w14:textId="77777777" w:rsidR="00027481" w:rsidRPr="00896343" w:rsidRDefault="00027481" w:rsidP="00427B24">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PARÁGRAFO 3º. Adicionado por la Ley 2014 de 2019, artículo 3o. Las inhabilidades e incompatibilidades contempladas en este artículo se aplicarán a cualquier proceso de contratación privada en el que se comprometan recursos públicos”. [Énfasis fuera del texto original]</w:t>
      </w:r>
    </w:p>
    <w:p w14:paraId="4FFFCFF0" w14:textId="77777777" w:rsidR="00027481" w:rsidRPr="00896343" w:rsidRDefault="00027481" w:rsidP="00427B24">
      <w:pPr>
        <w:spacing w:after="0" w:line="276" w:lineRule="auto"/>
        <w:ind w:firstLine="709"/>
        <w:jc w:val="both"/>
        <w:rPr>
          <w:rFonts w:ascii="Verdana" w:eastAsia="Calibri" w:hAnsi="Verdana" w:cs="Arial"/>
          <w:color w:val="000000"/>
          <w:szCs w:val="24"/>
          <w:lang w:val="es-ES_tradnl" w:eastAsia="es-ES_tradnl"/>
        </w:rPr>
      </w:pPr>
    </w:p>
    <w:p w14:paraId="23D90574" w14:textId="7CE1EB71" w:rsidR="00027481" w:rsidRPr="00896343" w:rsidRDefault="00027481" w:rsidP="00027481">
      <w:pPr>
        <w:spacing w:after="120" w:line="276" w:lineRule="auto"/>
        <w:ind w:firstLine="709"/>
        <w:jc w:val="both"/>
        <w:rPr>
          <w:rFonts w:ascii="Verdana" w:eastAsia="Calibri" w:hAnsi="Verdana" w:cs="Arial"/>
          <w:color w:val="000000"/>
          <w:lang w:val="es-ES_tradnl" w:eastAsia="es-ES_tradnl"/>
        </w:rPr>
      </w:pPr>
      <w:bookmarkStart w:id="8" w:name="_Hlk141426805"/>
      <w:r w:rsidRPr="00896343">
        <w:rPr>
          <w:rFonts w:ascii="Verdana" w:eastAsia="Calibri" w:hAnsi="Verdana" w:cs="Arial"/>
          <w:color w:val="000000"/>
          <w:lang w:val="es-ES_tradnl" w:eastAsia="es-ES_tradnl"/>
        </w:rPr>
        <w:t xml:space="preserve">Teniendo en cuenta el objeto de su solicitud, es menester referirse a las </w:t>
      </w:r>
      <w:r w:rsidRPr="00896343">
        <w:rPr>
          <w:rFonts w:ascii="Verdana" w:eastAsia="Calibri" w:hAnsi="Verdana" w:cs="Arial"/>
          <w:lang w:val="es-ES_tradnl"/>
        </w:rPr>
        <w:t>inhabilidades de las personas por vínculos naturales o jurídicos</w:t>
      </w:r>
      <w:bookmarkEnd w:id="8"/>
      <w:r w:rsidRPr="00896343">
        <w:rPr>
          <w:rFonts w:ascii="Verdana" w:eastAsia="Calibri" w:hAnsi="Verdana" w:cs="Arial"/>
          <w:lang w:val="es-ES_tradnl"/>
        </w:rPr>
        <w:t>.</w:t>
      </w:r>
      <w:r w:rsidRPr="00896343">
        <w:rPr>
          <w:rFonts w:ascii="Verdana" w:eastAsia="Calibri" w:hAnsi="Verdana" w:cs="Arial"/>
          <w:color w:val="000000"/>
          <w:lang w:val="es-ES_tradnl" w:eastAsia="es-ES_tradnl"/>
        </w:rPr>
        <w:t xml:space="preserve"> </w:t>
      </w:r>
      <w:r w:rsidRPr="00896343">
        <w:rPr>
          <w:rFonts w:ascii="Verdana" w:eastAsia="Calibri" w:hAnsi="Verdana" w:cs="Arial"/>
          <w:lang w:val="es-ES_tradnl"/>
        </w:rPr>
        <w:t xml:space="preserve">En ese contexto, resulta a bien señalar que el literal g) del numeral 1° del artículo 8 de la Ley 80 de 1993 determina que son inhábiles para participar en </w:t>
      </w:r>
      <w:r w:rsidR="00692B1B" w:rsidRPr="00692B1B">
        <w:rPr>
          <w:rFonts w:ascii="Verdana" w:eastAsia="Calibri" w:hAnsi="Verdana" w:cs="Arial"/>
          <w:lang w:val="es-ES_tradnl"/>
        </w:rPr>
        <w:t xml:space="preserve">procesos de contratación </w:t>
      </w:r>
      <w:r w:rsidRPr="00896343">
        <w:rPr>
          <w:rFonts w:ascii="Verdana" w:eastAsia="Calibri" w:hAnsi="Verdana" w:cs="Arial"/>
          <w:lang w:val="es-ES_tradnl"/>
        </w:rPr>
        <w:t xml:space="preserve">o suscribir contratos con </w:t>
      </w:r>
      <w:r w:rsidR="00692B1B" w:rsidRPr="00692B1B">
        <w:rPr>
          <w:rFonts w:ascii="Verdana" w:eastAsia="Calibri" w:hAnsi="Verdana" w:cs="Arial"/>
          <w:lang w:val="es-ES_tradnl"/>
        </w:rPr>
        <w:t xml:space="preserve">entidades estatales </w:t>
      </w:r>
      <w:r w:rsidRPr="00896343">
        <w:rPr>
          <w:rFonts w:ascii="Verdana" w:eastAsia="Calibri" w:hAnsi="Verdana" w:cs="Arial"/>
          <w:lang w:val="es-ES_tradnl"/>
        </w:rPr>
        <w:t xml:space="preserve">“Quienes sean cónyuges o </w:t>
      </w:r>
      <w:r w:rsidRPr="00896343">
        <w:rPr>
          <w:rFonts w:ascii="Verdana" w:eastAsia="Calibri" w:hAnsi="Verdana" w:cs="Arial"/>
          <w:lang w:val="es-ES_tradnl"/>
        </w:rPr>
        <w:lastRenderedPageBreak/>
        <w:t xml:space="preserve">compañeros permanentes y quiénes se encuentren dentro del segundo grado de consanguinidad o segundo de afinidad con cualquier otra persona que formalmente haya presentado propuesta para una misma licitación”. Similar prohibición, se encuentra en el literal h) del numeral 1 </w:t>
      </w:r>
      <w:r w:rsidRPr="00896343">
        <w:rPr>
          <w:rFonts w:ascii="Verdana" w:eastAsia="Calibri" w:hAnsi="Verdana" w:cs="Arial"/>
          <w:i/>
          <w:iCs/>
          <w:lang w:val="es-ES_tradnl"/>
        </w:rPr>
        <w:t xml:space="preserve">ibidem, </w:t>
      </w:r>
      <w:r w:rsidRPr="00896343">
        <w:rPr>
          <w:rFonts w:ascii="Verdana" w:eastAsia="Calibri" w:hAnsi="Verdana" w:cs="Arial"/>
          <w:lang w:val="es-ES_tradnl"/>
        </w:rPr>
        <w:t>cuando la participación simultánea en el proceso es de sociedades, distintas a las sociedades anónimas abiertas.</w:t>
      </w:r>
    </w:p>
    <w:p w14:paraId="57B2EFC2" w14:textId="77777777" w:rsidR="00027481" w:rsidRPr="00896343" w:rsidRDefault="00027481" w:rsidP="00027481">
      <w:pPr>
        <w:spacing w:after="120" w:line="276" w:lineRule="auto"/>
        <w:jc w:val="both"/>
        <w:rPr>
          <w:rFonts w:ascii="Verdana" w:eastAsia="Calibri" w:hAnsi="Verdana" w:cs="Arial"/>
          <w:lang w:val="es-ES_tradnl"/>
        </w:rPr>
      </w:pPr>
      <w:r w:rsidRPr="00896343">
        <w:rPr>
          <w:rFonts w:ascii="Verdana" w:eastAsia="Calibri" w:hAnsi="Verdana" w:cs="Arial"/>
          <w:lang w:val="es-ES_tradnl"/>
        </w:rPr>
        <w:tab/>
        <w:t>Dichas inhabilidades tienen fundamento en las relaciones familiares o de parentesco, tales como los cónyuges o compañeros permanentes, así como aquellas personas respecto de las cuales se predican relaciones de consanguinidad o afinidad hasta el segundo grado. Esto implica que las referidas causales de inhabilidad se instituyen, única y exclusivamente, con el propósito de limitar la capacidad en la participación en Procesos de Contratación de las denominadas personas naturales</w:t>
      </w:r>
      <w:r w:rsidRPr="00896343">
        <w:rPr>
          <w:rFonts w:ascii="Verdana" w:eastAsia="Calibri" w:hAnsi="Verdana" w:cs="Arial"/>
          <w:vertAlign w:val="superscript"/>
          <w:lang w:val="es-ES"/>
        </w:rPr>
        <w:footnoteReference w:id="12"/>
      </w:r>
      <w:r w:rsidRPr="00896343">
        <w:rPr>
          <w:rFonts w:ascii="Verdana" w:eastAsia="Calibri" w:hAnsi="Verdana" w:cs="Arial"/>
          <w:lang w:val="es-ES"/>
        </w:rPr>
        <w:t>, esto es, sujetos de derechos y obligaciones de la especie humana unidos entre sí, ya sea por vínculos naturales o jurídicos</w:t>
      </w:r>
      <w:r w:rsidRPr="00896343">
        <w:rPr>
          <w:rFonts w:ascii="Verdana" w:eastAsia="Calibri" w:hAnsi="Verdana" w:cs="Arial"/>
          <w:vertAlign w:val="superscript"/>
          <w:lang w:val="es-ES"/>
        </w:rPr>
        <w:footnoteReference w:id="13"/>
      </w:r>
      <w:r w:rsidRPr="00896343">
        <w:rPr>
          <w:rFonts w:ascii="Verdana" w:eastAsia="Calibri" w:hAnsi="Verdana" w:cs="Arial"/>
          <w:lang w:val="es-ES"/>
        </w:rPr>
        <w:t>.</w:t>
      </w:r>
    </w:p>
    <w:p w14:paraId="06A4BD4C" w14:textId="77777777" w:rsidR="00027481" w:rsidRPr="00896343" w:rsidRDefault="00027481" w:rsidP="00027481">
      <w:pPr>
        <w:spacing w:after="120" w:line="276" w:lineRule="auto"/>
        <w:jc w:val="both"/>
        <w:rPr>
          <w:rFonts w:ascii="Verdana" w:eastAsia="Calibri" w:hAnsi="Verdana" w:cs="Arial"/>
          <w:lang w:val="es-ES_tradnl"/>
        </w:rPr>
      </w:pPr>
      <w:r w:rsidRPr="00896343">
        <w:rPr>
          <w:rFonts w:ascii="Verdana" w:eastAsia="Calibri" w:hAnsi="Verdana" w:cs="Arial"/>
          <w:lang w:val="es-ES_tradnl"/>
        </w:rPr>
        <w:tab/>
        <w:t>Los cónyuges son aquellas personas vinculadas entre sí a través del contrato de matrimonio</w:t>
      </w:r>
      <w:r w:rsidRPr="00896343">
        <w:rPr>
          <w:rFonts w:ascii="Verdana" w:eastAsia="Calibri" w:hAnsi="Verdana" w:cs="Arial"/>
          <w:vertAlign w:val="superscript"/>
          <w:lang w:val="es-ES_tradnl"/>
        </w:rPr>
        <w:footnoteReference w:id="14"/>
      </w:r>
      <w:r w:rsidRPr="00896343">
        <w:rPr>
          <w:rFonts w:ascii="Verdana" w:eastAsia="Calibri" w:hAnsi="Verdana" w:cs="Arial"/>
          <w:lang w:val="es-ES_tradnl"/>
        </w:rPr>
        <w:t>, que puede ser civil o religioso. Mientras que los compañeros permanentes son aquellas personas que integran una comunidad de vida, sin estar casados, denominada unión marital de hecho</w:t>
      </w:r>
      <w:r w:rsidRPr="00896343">
        <w:rPr>
          <w:rFonts w:ascii="Verdana" w:eastAsia="Calibri" w:hAnsi="Verdana" w:cs="Arial"/>
          <w:vertAlign w:val="superscript"/>
          <w:lang w:val="es-ES_tradnl"/>
        </w:rPr>
        <w:footnoteReference w:id="15"/>
      </w:r>
      <w:r w:rsidRPr="00896343">
        <w:rPr>
          <w:rFonts w:ascii="Verdana" w:eastAsia="Calibri" w:hAnsi="Verdana" w:cs="Arial"/>
          <w:lang w:val="es-ES_tradnl"/>
        </w:rPr>
        <w:t>. Tratándose de compañeros permanentes, la Corte Constitucional extendió los efectos de la inhabilidad objeto de estudio a las parejas del mismo sexo, considerando la protección o salvaguarda del principio de igualdad</w:t>
      </w:r>
      <w:r w:rsidRPr="00896343">
        <w:rPr>
          <w:rFonts w:ascii="Verdana" w:eastAsia="Calibri" w:hAnsi="Verdana" w:cs="Arial"/>
          <w:vertAlign w:val="superscript"/>
          <w:lang w:val="es-ES_tradnl"/>
        </w:rPr>
        <w:footnoteReference w:id="16"/>
      </w:r>
      <w:r w:rsidRPr="00896343">
        <w:rPr>
          <w:rFonts w:ascii="Verdana" w:eastAsia="Calibri" w:hAnsi="Verdana" w:cs="Arial"/>
          <w:lang w:val="es-ES_tradnl"/>
        </w:rPr>
        <w:t>.</w:t>
      </w:r>
    </w:p>
    <w:p w14:paraId="78FEBB96" w14:textId="77777777" w:rsidR="00027481" w:rsidRPr="00896343" w:rsidRDefault="00027481" w:rsidP="00027481">
      <w:pPr>
        <w:spacing w:after="120" w:line="276" w:lineRule="auto"/>
        <w:jc w:val="both"/>
        <w:rPr>
          <w:rFonts w:ascii="Verdana" w:eastAsia="Calibri" w:hAnsi="Verdana" w:cs="Arial"/>
          <w:lang w:val="es-ES"/>
        </w:rPr>
      </w:pPr>
      <w:r w:rsidRPr="00896343">
        <w:rPr>
          <w:rFonts w:ascii="Verdana" w:eastAsia="Calibri" w:hAnsi="Verdana" w:cs="Arial"/>
          <w:lang w:val="es-ES_tradnl"/>
        </w:rPr>
        <w:tab/>
      </w:r>
      <w:r w:rsidRPr="00896343">
        <w:rPr>
          <w:rFonts w:ascii="Verdana" w:eastAsia="Calibri" w:hAnsi="Verdana" w:cs="Arial"/>
          <w:lang w:val="es-ES"/>
        </w:rPr>
        <w:t xml:space="preserve">De otra parte, en relación con el parentesco, conforme al Código Civil, este se clasifica en parentesco de consanguinidad o parentesco de afinidad. El parentesco de consanguinidad corresponde a la “[…] relación o conexión que </w:t>
      </w:r>
      <w:r w:rsidRPr="00896343">
        <w:rPr>
          <w:rFonts w:ascii="Verdana" w:eastAsia="Calibri" w:hAnsi="Verdana" w:cs="Arial"/>
          <w:lang w:val="es-ES"/>
        </w:rPr>
        <w:lastRenderedPageBreak/>
        <w:t>existe entre las personas que descienden de un mismo tronco o raíz, o que están unidas por los vínculos de la sangre”</w:t>
      </w:r>
      <w:r w:rsidRPr="00896343">
        <w:rPr>
          <w:rFonts w:ascii="Verdana" w:eastAsia="Calibri" w:hAnsi="Verdana" w:cs="Arial"/>
          <w:vertAlign w:val="superscript"/>
          <w:lang w:val="es-ES"/>
        </w:rPr>
        <w:footnoteReference w:id="17"/>
      </w:r>
      <w:r w:rsidRPr="00896343">
        <w:rPr>
          <w:rFonts w:ascii="Verdana" w:eastAsia="Calibri" w:hAnsi="Verdana" w:cs="Arial"/>
          <w:lang w:val="es-ES"/>
        </w:rPr>
        <w:t>. El parentesco de afinidad se refiere a la relación surgida entre una persona y los consanguíneos de su esposo, esposa o compañeros permanentes, según el caso</w:t>
      </w:r>
      <w:r w:rsidRPr="00896343">
        <w:rPr>
          <w:rFonts w:ascii="Verdana" w:eastAsia="Calibri" w:hAnsi="Verdana" w:cs="Arial"/>
          <w:vertAlign w:val="superscript"/>
          <w:lang w:val="es-ES"/>
        </w:rPr>
        <w:footnoteReference w:id="18"/>
      </w:r>
      <w:r w:rsidRPr="00896343">
        <w:rPr>
          <w:rFonts w:ascii="Verdana" w:eastAsia="Calibri" w:hAnsi="Verdana" w:cs="Arial"/>
          <w:lang w:val="es-ES"/>
        </w:rPr>
        <w:t xml:space="preserve">. Es precio señalar que la Corte Constitucional si bien declaró la </w:t>
      </w:r>
      <w:proofErr w:type="spellStart"/>
      <w:r w:rsidRPr="00896343">
        <w:rPr>
          <w:rFonts w:ascii="Verdana" w:eastAsia="Calibri" w:hAnsi="Verdana" w:cs="Arial"/>
          <w:lang w:val="es-ES"/>
        </w:rPr>
        <w:t>inexequibilidad</w:t>
      </w:r>
      <w:proofErr w:type="spellEnd"/>
      <w:r w:rsidRPr="00896343">
        <w:rPr>
          <w:rFonts w:ascii="Verdana" w:eastAsia="Calibri" w:hAnsi="Verdana" w:cs="Arial"/>
          <w:lang w:val="es-ES"/>
        </w:rPr>
        <w:t xml:space="preserve"> del parentesco de afinidad ilegítima, reconoció la vigencia de la denominada afinidad extramatrimonial</w:t>
      </w:r>
      <w:r w:rsidRPr="00896343">
        <w:rPr>
          <w:rFonts w:ascii="Verdana" w:eastAsia="Calibri" w:hAnsi="Verdana" w:cs="Arial"/>
          <w:vertAlign w:val="superscript"/>
          <w:lang w:val="es-ES"/>
        </w:rPr>
        <w:footnoteReference w:id="19"/>
      </w:r>
      <w:r w:rsidRPr="00896343">
        <w:rPr>
          <w:rFonts w:ascii="Verdana" w:eastAsia="Calibri" w:hAnsi="Verdana" w:cs="Arial"/>
          <w:lang w:val="es-ES"/>
        </w:rPr>
        <w:t>.</w:t>
      </w:r>
    </w:p>
    <w:p w14:paraId="5F6F656C" w14:textId="77777777" w:rsidR="00027481" w:rsidRPr="00896343" w:rsidRDefault="00027481" w:rsidP="00027481">
      <w:pPr>
        <w:spacing w:after="120" w:line="276" w:lineRule="auto"/>
        <w:jc w:val="both"/>
        <w:rPr>
          <w:rFonts w:ascii="Verdana" w:eastAsia="Calibri" w:hAnsi="Verdana" w:cs="Arial"/>
          <w:lang w:val="es-ES_tradnl"/>
        </w:rPr>
      </w:pPr>
      <w:r w:rsidRPr="00896343">
        <w:rPr>
          <w:rFonts w:ascii="Verdana" w:eastAsia="Calibri" w:hAnsi="Verdana" w:cs="Arial"/>
          <w:lang w:val="es-ES_tradnl"/>
        </w:rPr>
        <w:tab/>
        <w:t>En cuanto a los grados del parentesco se refiere, ya sea de consanguinidad o de afinidad</w:t>
      </w:r>
      <w:r w:rsidRPr="00896343">
        <w:rPr>
          <w:rFonts w:ascii="Verdana" w:eastAsia="Calibri" w:hAnsi="Verdana" w:cs="Arial"/>
          <w:vertAlign w:val="superscript"/>
          <w:lang w:val="es-ES_tradnl"/>
        </w:rPr>
        <w:footnoteReference w:id="20"/>
      </w:r>
      <w:r w:rsidRPr="00896343">
        <w:rPr>
          <w:rFonts w:ascii="Verdana" w:eastAsia="Calibri" w:hAnsi="Verdana" w:cs="Arial"/>
          <w:lang w:val="es-ES_tradnl"/>
        </w:rPr>
        <w:t>, estos se cuentan en consideración al número de generaciones existentes entre las personas. De esta manera, esta causal de inhabilidad se configura, por ejemplo, respecto de los hermanos, abuelos y nietos, quienes se encuentran en el segundo grado de consanguinidad. Mientras que, en segundo grado de afinidad están los hermanos (cuñados), abuelos y nietos del cónyuge o compañero(a) permanente.</w:t>
      </w:r>
    </w:p>
    <w:p w14:paraId="4305B90A" w14:textId="77777777" w:rsidR="001C3E46" w:rsidRDefault="00027481" w:rsidP="00027481">
      <w:pPr>
        <w:spacing w:before="120" w:after="0" w:line="276" w:lineRule="auto"/>
        <w:ind w:firstLine="709"/>
        <w:jc w:val="both"/>
        <w:rPr>
          <w:rFonts w:ascii="Verdana" w:eastAsia="Calibri" w:hAnsi="Verdana" w:cs="Arial"/>
          <w:lang w:val="es-ES_tradnl" w:eastAsia="es-CO"/>
        </w:rPr>
      </w:pPr>
      <w:r w:rsidRPr="00896343">
        <w:rPr>
          <w:rFonts w:ascii="Verdana" w:eastAsia="Calibri" w:hAnsi="Verdana" w:cs="Arial"/>
          <w:lang w:val="es-ES_tradnl" w:eastAsia="es-CO"/>
        </w:rPr>
        <w:t xml:space="preserve">La Corte Constitucional justifica estas inhabilidades en la medida que garantizan la competencia en igualdad de oportunidades para los proponentes que participan en los </w:t>
      </w:r>
      <w:r w:rsidR="007B2088" w:rsidRPr="007B2088">
        <w:rPr>
          <w:rFonts w:ascii="Verdana" w:eastAsia="Calibri" w:hAnsi="Verdana" w:cs="Arial"/>
          <w:lang w:val="es-ES_tradnl" w:eastAsia="es-CO"/>
        </w:rPr>
        <w:t>procesos de contratación</w:t>
      </w:r>
      <w:r w:rsidRPr="00896343">
        <w:rPr>
          <w:rFonts w:ascii="Verdana" w:eastAsia="Calibri" w:hAnsi="Verdana" w:cs="Arial"/>
          <w:lang w:val="es-ES_tradnl" w:eastAsia="es-CO"/>
        </w:rPr>
        <w:t xml:space="preserve">, así como la selección objetiva del contratista que se traduce en la obtención de mejores condiciones en la celebración del negocio jurídico propuesto por la Entidad Estatal contratante, materializándose los fines de la contratación estatal, especialmente, la satisfacción del interés general. </w:t>
      </w:r>
    </w:p>
    <w:p w14:paraId="372495F0" w14:textId="77777777" w:rsidR="001C3E46" w:rsidRDefault="00027481" w:rsidP="795AA69A">
      <w:pPr>
        <w:spacing w:before="120" w:after="0" w:line="276" w:lineRule="auto"/>
        <w:ind w:firstLine="709"/>
        <w:jc w:val="both"/>
        <w:rPr>
          <w:rFonts w:ascii="Verdana" w:eastAsia="Calibri" w:hAnsi="Verdana" w:cs="Arial"/>
          <w:lang w:val="es-ES" w:eastAsia="es-CO"/>
        </w:rPr>
      </w:pPr>
      <w:r w:rsidRPr="00896343">
        <w:rPr>
          <w:rFonts w:ascii="Verdana" w:eastAsia="Calibri" w:hAnsi="Verdana" w:cs="Arial"/>
          <w:i/>
          <w:iCs/>
          <w:lang w:val="es-ES" w:eastAsia="es-CO"/>
        </w:rPr>
        <w:t>Contrario sensu</w:t>
      </w:r>
      <w:r w:rsidRPr="00896343">
        <w:rPr>
          <w:rFonts w:ascii="Verdana" w:eastAsia="Calibri" w:hAnsi="Verdana" w:cs="Arial"/>
          <w:lang w:val="es-ES" w:eastAsia="es-CO"/>
        </w:rPr>
        <w:t xml:space="preserve">, en virtud de la lealtad e intimidad propias de las relaciones familiares, la participación en </w:t>
      </w:r>
      <w:r w:rsidR="007B2088" w:rsidRPr="795AA69A">
        <w:rPr>
          <w:rFonts w:ascii="Verdana" w:eastAsia="Calibri" w:hAnsi="Verdana" w:cs="Arial"/>
          <w:lang w:val="es-ES" w:eastAsia="es-CO"/>
        </w:rPr>
        <w:t>procesos de contratación</w:t>
      </w:r>
      <w:r w:rsidRPr="00896343">
        <w:rPr>
          <w:rFonts w:ascii="Verdana" w:eastAsia="Calibri" w:hAnsi="Verdana" w:cs="Arial"/>
          <w:lang w:val="es-ES" w:eastAsia="es-CO"/>
        </w:rPr>
        <w:t xml:space="preserve"> de personas unidas por vínculos familiares frustran la igualdad de oportunidades entre los participantes, así como la obtención de mejores condiciones de contratación para el Estado, pues los miembros de una misma familia pueden concertar entre sí con el propósito de hacerse al contrato y obtener un provecho económico, en </w:t>
      </w:r>
      <w:r w:rsidRPr="00896343">
        <w:rPr>
          <w:rFonts w:ascii="Verdana" w:eastAsia="Calibri" w:hAnsi="Verdana" w:cs="Arial"/>
          <w:lang w:val="es-ES" w:eastAsia="es-CO"/>
        </w:rPr>
        <w:lastRenderedPageBreak/>
        <w:t xml:space="preserve">perjuicio tanto de los demás participantes como del Estado, y en contravía de los principios que rigen la contratación pública y la función administrativa, especialmente, los de transparencia y moralidad. </w:t>
      </w:r>
    </w:p>
    <w:p w14:paraId="4F92CADB" w14:textId="53EFF205" w:rsidR="00027481" w:rsidRPr="00896343" w:rsidRDefault="00027481" w:rsidP="00027481">
      <w:pPr>
        <w:spacing w:before="120" w:after="0" w:line="276" w:lineRule="auto"/>
        <w:ind w:firstLine="709"/>
        <w:jc w:val="both"/>
        <w:rPr>
          <w:rFonts w:ascii="Verdana" w:eastAsia="Calibri" w:hAnsi="Verdana" w:cs="Arial"/>
          <w:lang w:val="es-ES_tradnl" w:eastAsia="es-CO"/>
        </w:rPr>
      </w:pPr>
      <w:r w:rsidRPr="00896343">
        <w:rPr>
          <w:rFonts w:ascii="Verdana" w:eastAsia="Calibri" w:hAnsi="Verdana" w:cs="Arial"/>
          <w:lang w:val="es-ES_tradnl" w:eastAsia="es-CO"/>
        </w:rPr>
        <w:t>Por esas razones, la jurisprudencia explica que:</w:t>
      </w:r>
    </w:p>
    <w:p w14:paraId="4D7D1F9B" w14:textId="77777777" w:rsidR="00027481" w:rsidRPr="00896343" w:rsidRDefault="00027481" w:rsidP="00027481">
      <w:pPr>
        <w:spacing w:after="0" w:line="240" w:lineRule="auto"/>
        <w:ind w:left="709" w:right="709"/>
        <w:jc w:val="both"/>
        <w:rPr>
          <w:rFonts w:ascii="Verdana" w:eastAsia="Times New Roman" w:hAnsi="Verdana" w:cs="Arial"/>
          <w:sz w:val="21"/>
          <w:szCs w:val="21"/>
          <w:lang w:eastAsia="es-CO"/>
        </w:rPr>
      </w:pPr>
    </w:p>
    <w:p w14:paraId="5432544D" w14:textId="77777777" w:rsidR="00027481" w:rsidRPr="00896343" w:rsidRDefault="00027481" w:rsidP="00027481">
      <w:pPr>
        <w:spacing w:after="0" w:line="240" w:lineRule="auto"/>
        <w:ind w:left="709" w:right="709"/>
        <w:jc w:val="both"/>
        <w:rPr>
          <w:rFonts w:ascii="Verdana" w:eastAsia="Times New Roman" w:hAnsi="Verdana" w:cs="Arial"/>
          <w:sz w:val="20"/>
          <w:szCs w:val="20"/>
          <w:lang w:eastAsia="es-CO"/>
        </w:rPr>
      </w:pPr>
      <w:r w:rsidRPr="00896343">
        <w:rPr>
          <w:rFonts w:ascii="Verdana" w:eastAsia="Times New Roman" w:hAnsi="Verdana" w:cs="Arial"/>
          <w:sz w:val="20"/>
          <w:szCs w:val="20"/>
          <w:lang w:eastAsia="es-CO"/>
        </w:rPr>
        <w:t xml:space="preserve">“Concluye la Corte que dado que los intereses de los miembros de una </w:t>
      </w:r>
      <w:proofErr w:type="gramStart"/>
      <w:r w:rsidRPr="00896343">
        <w:rPr>
          <w:rFonts w:ascii="Verdana" w:eastAsia="Times New Roman" w:hAnsi="Verdana" w:cs="Arial"/>
          <w:sz w:val="20"/>
          <w:szCs w:val="20"/>
          <w:lang w:eastAsia="es-CO"/>
        </w:rPr>
        <w:t>familia,</w:t>
      </w:r>
      <w:proofErr w:type="gramEnd"/>
      <w:r w:rsidRPr="00896343">
        <w:rPr>
          <w:rFonts w:ascii="Verdana" w:eastAsia="Times New Roman" w:hAnsi="Verdana" w:cs="Arial"/>
          <w:sz w:val="20"/>
          <w:szCs w:val="20"/>
          <w:lang w:eastAsia="es-CO"/>
        </w:rPr>
        <w:t xml:space="preserve"> tienen una alta probabilidad de incidir negativamente en la consecución de los objetivos que el Estado se traza al abrir una licitación o concurso, vale decir, obtener las mejores condiciones y promover al máximo la igualdad de acceso de los particulares, se justifica </w:t>
      </w:r>
      <w:proofErr w:type="gramStart"/>
      <w:r w:rsidRPr="00896343">
        <w:rPr>
          <w:rFonts w:ascii="Verdana" w:eastAsia="Times New Roman" w:hAnsi="Verdana" w:cs="Arial"/>
          <w:sz w:val="20"/>
          <w:szCs w:val="20"/>
          <w:lang w:eastAsia="es-CO"/>
        </w:rPr>
        <w:t>que</w:t>
      </w:r>
      <w:proofErr w:type="gramEnd"/>
      <w:r w:rsidRPr="00896343">
        <w:rPr>
          <w:rFonts w:ascii="Verdana" w:eastAsia="Times New Roman" w:hAnsi="Verdana" w:cs="Arial"/>
          <w:sz w:val="20"/>
          <w:szCs w:val="20"/>
          <w:lang w:eastAsia="es-CO"/>
        </w:rPr>
        <w:t xml:space="preserve"> en este caso, </w:t>
      </w:r>
      <w:proofErr w:type="gramStart"/>
      <w:r w:rsidRPr="00896343">
        <w:rPr>
          <w:rFonts w:ascii="Verdana" w:eastAsia="Times New Roman" w:hAnsi="Verdana" w:cs="Arial"/>
          <w:sz w:val="20"/>
          <w:szCs w:val="20"/>
          <w:lang w:eastAsia="es-CO"/>
        </w:rPr>
        <w:t>en razón del</w:t>
      </w:r>
      <w:proofErr w:type="gramEnd"/>
      <w:r w:rsidRPr="00896343">
        <w:rPr>
          <w:rFonts w:ascii="Verdana" w:eastAsia="Times New Roman" w:hAnsi="Verdana" w:cs="Arial"/>
          <w:sz w:val="20"/>
          <w:szCs w:val="20"/>
          <w:lang w:eastAsia="es-CO"/>
        </w:rPr>
        <w:t xml:space="preserve"> interés general, se dicte una regla que restrinja su participación”</w:t>
      </w:r>
      <w:r w:rsidRPr="00896343">
        <w:rPr>
          <w:rFonts w:ascii="Verdana" w:eastAsia="Calibri" w:hAnsi="Verdana" w:cs="Arial"/>
          <w:sz w:val="20"/>
          <w:szCs w:val="20"/>
          <w:vertAlign w:val="superscript"/>
          <w:lang w:val="es-ES_tradnl" w:eastAsia="es-CO"/>
        </w:rPr>
        <w:t xml:space="preserve"> </w:t>
      </w:r>
      <w:r w:rsidRPr="00896343">
        <w:rPr>
          <w:rFonts w:ascii="Verdana" w:eastAsia="Calibri" w:hAnsi="Verdana" w:cs="Arial"/>
          <w:sz w:val="20"/>
          <w:szCs w:val="20"/>
          <w:vertAlign w:val="superscript"/>
          <w:lang w:val="es-ES_tradnl" w:eastAsia="es-CO"/>
        </w:rPr>
        <w:footnoteReference w:id="21"/>
      </w:r>
      <w:r w:rsidRPr="00896343">
        <w:rPr>
          <w:rFonts w:ascii="Verdana" w:eastAsia="Times New Roman" w:hAnsi="Verdana" w:cs="Arial"/>
          <w:sz w:val="20"/>
          <w:szCs w:val="20"/>
          <w:lang w:eastAsia="es-CO"/>
        </w:rPr>
        <w:t>.</w:t>
      </w:r>
    </w:p>
    <w:p w14:paraId="29D8E365" w14:textId="77777777" w:rsidR="00027481" w:rsidRPr="00896343" w:rsidRDefault="00027481" w:rsidP="00027481">
      <w:pPr>
        <w:spacing w:after="0"/>
        <w:ind w:firstLine="709"/>
        <w:jc w:val="both"/>
        <w:rPr>
          <w:rFonts w:ascii="Verdana" w:eastAsia="Calibri" w:hAnsi="Verdana" w:cs="Arial"/>
          <w:lang w:val="es-ES_tradnl"/>
        </w:rPr>
      </w:pPr>
    </w:p>
    <w:p w14:paraId="00984FDE" w14:textId="77777777" w:rsidR="00027481" w:rsidRPr="00896343" w:rsidRDefault="00027481" w:rsidP="00027481">
      <w:pPr>
        <w:spacing w:after="120" w:line="276" w:lineRule="auto"/>
        <w:ind w:firstLine="709"/>
        <w:jc w:val="both"/>
        <w:rPr>
          <w:rFonts w:ascii="Verdana" w:eastAsia="Calibri" w:hAnsi="Verdana" w:cs="Arial"/>
          <w:lang w:val="es-ES_tradnl"/>
        </w:rPr>
      </w:pPr>
      <w:r w:rsidRPr="00896343">
        <w:rPr>
          <w:rFonts w:ascii="Verdana" w:eastAsia="Calibri" w:hAnsi="Verdana" w:cs="Arial"/>
        </w:rPr>
        <w:t>A su vez, el Consejo de Estado reconoce que, si bien estas inhabilidades son una limitación a la libertad negocial de las personas, las mismas se justifican en la medida que previene la utilización de factores de poder, consecuencia de relaciones familiares, cuyo propósito es obtener un provecho económico individual, en perjuicio del interés general que prevalece en el ejercicio de la función pública</w:t>
      </w:r>
      <w:r w:rsidRPr="00896343">
        <w:rPr>
          <w:rFonts w:ascii="Verdana" w:eastAsia="Calibri" w:hAnsi="Verdana" w:cs="Arial"/>
          <w:vertAlign w:val="superscript"/>
        </w:rPr>
        <w:footnoteReference w:id="22"/>
      </w:r>
      <w:r w:rsidRPr="00896343">
        <w:rPr>
          <w:rFonts w:ascii="Verdana" w:eastAsia="Calibri" w:hAnsi="Verdana" w:cs="Arial"/>
        </w:rPr>
        <w:t>.</w:t>
      </w:r>
      <w:r w:rsidRPr="00896343">
        <w:rPr>
          <w:rFonts w:ascii="Verdana" w:eastAsia="Calibri" w:hAnsi="Verdana" w:cs="Arial"/>
          <w:lang w:val="es-ES_tradnl"/>
        </w:rPr>
        <w:tab/>
      </w:r>
    </w:p>
    <w:p w14:paraId="6E3CB7A2" w14:textId="106DB16B" w:rsidR="00027481" w:rsidRPr="00896343" w:rsidRDefault="00027481" w:rsidP="00027481">
      <w:pPr>
        <w:spacing w:after="120" w:line="276" w:lineRule="auto"/>
        <w:ind w:firstLine="709"/>
        <w:jc w:val="both"/>
        <w:rPr>
          <w:rFonts w:ascii="Verdana" w:eastAsia="Calibri" w:hAnsi="Verdana" w:cs="Arial"/>
          <w:lang w:val="es-ES"/>
        </w:rPr>
      </w:pPr>
      <w:r w:rsidRPr="00896343">
        <w:rPr>
          <w:rFonts w:ascii="Verdana" w:eastAsia="Calibri" w:hAnsi="Verdana" w:cs="Arial"/>
          <w:lang w:val="es-ES"/>
        </w:rPr>
        <w:t xml:space="preserve">Bajo esa orbita, se precisa que las citadas inhabilidades se predican de las personas que ostentan vínculos en los términos expuestos y que presenten formalmente ofertas en un </w:t>
      </w:r>
      <w:r w:rsidR="001C3E46" w:rsidRPr="001C3E46">
        <w:rPr>
          <w:rFonts w:ascii="Verdana" w:eastAsia="Calibri" w:hAnsi="Verdana" w:cs="Arial"/>
          <w:lang w:val="es-ES"/>
        </w:rPr>
        <w:t xml:space="preserve">proceso de contratación </w:t>
      </w:r>
      <w:r w:rsidRPr="00896343">
        <w:rPr>
          <w:rFonts w:ascii="Verdana" w:eastAsia="Calibri" w:hAnsi="Verdana" w:cs="Arial"/>
          <w:lang w:val="es-ES"/>
        </w:rPr>
        <w:t>después que lo ha hecho su esposo, esposa, compañero(a) permanente o algún pariente hasta el segundo grado de consanguinidad o afinidad. Es por eso por lo que, en el artículo 2.2.1.1.2.2.5 del Decreto 1082 de 2015, se dispuso que la Entidad Estatal contratante dejará constancia de la fecha y hora en que recibió las correspondientes ofertas, para establecer cuál fue la primera en el tiempo y/o cual(es) se encuentra(n) inhabilitada(s) acorde al literal g) y h) del numeral 1 del artículo 8 de la Ley 80 de 1993.</w:t>
      </w:r>
    </w:p>
    <w:p w14:paraId="2A5DC6B4" w14:textId="77777777" w:rsidR="00027481" w:rsidRPr="00896343" w:rsidRDefault="00027481" w:rsidP="00027481">
      <w:pPr>
        <w:spacing w:after="120" w:line="276" w:lineRule="auto"/>
        <w:ind w:firstLine="709"/>
        <w:jc w:val="both"/>
        <w:rPr>
          <w:rFonts w:ascii="Verdana" w:eastAsia="Calibri" w:hAnsi="Verdana" w:cs="Arial"/>
          <w:lang w:val="es-ES_tradnl"/>
        </w:rPr>
      </w:pPr>
      <w:r w:rsidRPr="00896343">
        <w:rPr>
          <w:rFonts w:ascii="Verdana" w:eastAsia="Calibri" w:hAnsi="Verdana" w:cs="Arial"/>
          <w:lang w:val="es-ES_tradnl"/>
        </w:rPr>
        <w:t xml:space="preserve">En conclusión, </w:t>
      </w:r>
      <w:bookmarkStart w:id="9" w:name="_Hlk143237097"/>
      <w:r w:rsidRPr="00896343">
        <w:rPr>
          <w:rFonts w:ascii="Verdana" w:eastAsia="Calibri" w:hAnsi="Verdana" w:cs="Arial"/>
          <w:lang w:val="es-ES_tradnl"/>
        </w:rPr>
        <w:t xml:space="preserve">debido a que el régimen de inhabilidades se interpreta de manera restrictiva, las causales de inhabilidad dispuestas en el literal g) y h) del numeral 1° del artículo 8 de la Ley 80 de 1993 </w:t>
      </w:r>
      <w:bookmarkEnd w:id="9"/>
      <w:r w:rsidRPr="00896343">
        <w:rPr>
          <w:rFonts w:ascii="Verdana" w:eastAsia="Calibri" w:hAnsi="Verdana" w:cs="Arial"/>
          <w:lang w:val="es-ES_tradnl"/>
        </w:rPr>
        <w:t>no se aplican al caso puesto en consideración de esta Agencia.</w:t>
      </w:r>
      <w:r w:rsidRPr="00896343">
        <w:rPr>
          <w:rFonts w:ascii="Verdana" w:eastAsia="Calibri" w:hAnsi="Verdana" w:cs="Arial"/>
          <w:lang w:val="es-ES_tradnl"/>
        </w:rPr>
        <w:tab/>
      </w:r>
    </w:p>
    <w:p w14:paraId="2D04BAD6" w14:textId="77777777" w:rsidR="0085527B" w:rsidRPr="00896343" w:rsidRDefault="0085527B" w:rsidP="0085527B">
      <w:pPr>
        <w:spacing w:after="120" w:line="276" w:lineRule="auto"/>
        <w:ind w:firstLine="709"/>
        <w:jc w:val="both"/>
        <w:rPr>
          <w:rFonts w:ascii="Verdana" w:eastAsia="Aptos" w:hAnsi="Verdana" w:cs="Arial"/>
          <w:lang w:eastAsia="es-MX"/>
        </w:rPr>
      </w:pPr>
      <w:r w:rsidRPr="00896343">
        <w:rPr>
          <w:rFonts w:ascii="Verdana" w:eastAsia="Calibri" w:hAnsi="Verdana" w:cs="Arial"/>
          <w:lang w:val="es-ES_tradnl"/>
        </w:rPr>
        <w:lastRenderedPageBreak/>
        <w:t xml:space="preserve">Ahora bien, los literales </w:t>
      </w:r>
      <w:r w:rsidRPr="00896343">
        <w:rPr>
          <w:rFonts w:ascii="Verdana" w:eastAsia="Aptos" w:hAnsi="Verdana" w:cs="Arial"/>
          <w:lang w:eastAsia="es-MX"/>
        </w:rPr>
        <w:t xml:space="preserve">b) y c) del numeral 2° del artículo 8 de la Ley 80 de 1993 consagran dos (2) restricciones para contratar relacionadas con el parentesco. En ese sentido no podrán participar en Procesos de Contratación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así como del cónyuge, compañero o compañera permanente del servidor público en los niveles directivo, asesor, ejecutivo, o de un miembro de la junta o consejo directivo, o de quien ejerza funciones de control interno o de control fiscal.  </w:t>
      </w:r>
    </w:p>
    <w:p w14:paraId="298064B5" w14:textId="7DA482CA" w:rsidR="0085527B" w:rsidRPr="00896343" w:rsidRDefault="0085527B" w:rsidP="0085527B">
      <w:pPr>
        <w:spacing w:after="120" w:line="276" w:lineRule="auto"/>
        <w:ind w:firstLine="709"/>
        <w:jc w:val="both"/>
        <w:rPr>
          <w:rFonts w:ascii="Verdana" w:eastAsia="Calibri" w:hAnsi="Verdana" w:cs="Arial"/>
          <w:color w:val="000000"/>
          <w:lang w:val="es-ES_tradnl" w:eastAsia="es-ES_tradnl"/>
        </w:rPr>
      </w:pPr>
      <w:r w:rsidRPr="00896343">
        <w:rPr>
          <w:rFonts w:ascii="Verdana" w:eastAsia="Calibri" w:hAnsi="Verdana" w:cs="Arial"/>
          <w:color w:val="000000"/>
          <w:lang w:val="es-ES_tradnl" w:eastAsia="es-ES_tradnl"/>
        </w:rPr>
        <w:t xml:space="preserve">Conforme lo expuesto, en cada caso deberá analizarse si un proponente tiene algún tipo de parentesco con un </w:t>
      </w:r>
      <w:r w:rsidRPr="00896343">
        <w:rPr>
          <w:rFonts w:ascii="Verdana" w:eastAsia="Aptos" w:hAnsi="Verdana" w:cs="Arial"/>
          <w:lang w:eastAsia="es-MX"/>
        </w:rPr>
        <w:t xml:space="preserve">servidor público en los niveles directivo, asesor, ejecutivo, o de un miembro de la junta o consejo directivo, o de quien ejerza funciones de control interno o de control fiscal de la </w:t>
      </w:r>
      <w:r w:rsidR="00743355" w:rsidRPr="00743355">
        <w:rPr>
          <w:rFonts w:ascii="Verdana" w:eastAsia="Aptos" w:hAnsi="Verdana" w:cs="Arial"/>
          <w:lang w:eastAsia="es-MX"/>
        </w:rPr>
        <w:t>entidad estatal que adelanta el proceso de contratación.</w:t>
      </w:r>
    </w:p>
    <w:p w14:paraId="2D38395D" w14:textId="77777777" w:rsidR="0037243A" w:rsidRDefault="0085527B" w:rsidP="0085527B">
      <w:pPr>
        <w:spacing w:after="120" w:line="276" w:lineRule="auto"/>
        <w:ind w:firstLine="708"/>
        <w:jc w:val="both"/>
        <w:rPr>
          <w:rFonts w:ascii="Verdana" w:eastAsia="Calibri" w:hAnsi="Verdana" w:cs="Arial"/>
          <w:color w:val="000000"/>
          <w:lang w:val="es-ES_tradnl"/>
        </w:rPr>
      </w:pPr>
      <w:r w:rsidRPr="00896343">
        <w:rPr>
          <w:rFonts w:ascii="Verdana" w:eastAsia="Calibri" w:hAnsi="Verdana" w:cs="Arial"/>
          <w:color w:val="000000"/>
        </w:rPr>
        <w:t>En segundo lugar</w:t>
      </w:r>
      <w:r w:rsidRPr="00896343">
        <w:rPr>
          <w:rFonts w:ascii="Verdana" w:eastAsia="Calibri" w:hAnsi="Verdana" w:cs="Arial"/>
          <w:color w:val="000000"/>
          <w:lang w:val="es-ES_tradnl"/>
        </w:rPr>
        <w:t xml:space="preserve">, </w:t>
      </w:r>
      <w:r w:rsidR="0037243A">
        <w:rPr>
          <w:rFonts w:ascii="Verdana" w:eastAsia="Calibri" w:hAnsi="Verdana" w:cs="Arial"/>
          <w:color w:val="000000"/>
          <w:lang w:val="es-ES_tradnl"/>
        </w:rPr>
        <w:t>resulta fundamental</w:t>
      </w:r>
      <w:r w:rsidRPr="00896343">
        <w:rPr>
          <w:rFonts w:ascii="Verdana" w:eastAsia="Calibri" w:hAnsi="Verdana" w:cs="Arial"/>
          <w:color w:val="000000"/>
          <w:lang w:val="es-ES_tradnl"/>
        </w:rPr>
        <w:t xml:space="preserve"> hace</w:t>
      </w:r>
      <w:r w:rsidR="0037243A">
        <w:rPr>
          <w:rFonts w:ascii="Verdana" w:eastAsia="Calibri" w:hAnsi="Verdana" w:cs="Arial"/>
          <w:color w:val="000000"/>
          <w:lang w:val="es-ES_tradnl"/>
        </w:rPr>
        <w:t>r</w:t>
      </w:r>
      <w:r w:rsidRPr="00896343">
        <w:rPr>
          <w:rFonts w:ascii="Verdana" w:eastAsia="Calibri" w:hAnsi="Verdana" w:cs="Arial"/>
          <w:color w:val="000000"/>
          <w:lang w:val="es-ES_tradnl"/>
        </w:rPr>
        <w:t xml:space="preserve"> referencia al régimen de los conflictos de interés en la contratación estatal</w:t>
      </w:r>
      <w:r w:rsidR="0037243A">
        <w:rPr>
          <w:rFonts w:ascii="Verdana" w:eastAsia="Calibri" w:hAnsi="Verdana" w:cs="Arial"/>
          <w:color w:val="000000"/>
          <w:lang w:val="es-ES_tradnl"/>
        </w:rPr>
        <w:t xml:space="preserve">. Al respecto, </w:t>
      </w:r>
      <w:r w:rsidRPr="00896343">
        <w:rPr>
          <w:rFonts w:ascii="Verdana" w:eastAsia="Calibri" w:hAnsi="Verdana" w:cs="Arial"/>
          <w:color w:val="000000"/>
          <w:lang w:val="es-ES_tradnl"/>
        </w:rPr>
        <w:t xml:space="preserve">debe señalarse que, de acuerdo con el artículo 209 de la Constitución Política de 1991, la función administrativa debe desarrollarse conforme al principio de moralidad, mandato que se concreta en la idea de que “[…] todas las personas y los servidores públicos están obligados a actuar con rectitud, lealtad y honestidad en las actuaciones administrativas […]” –numeral 5 del artículo 3 de la Ley 1437 de 2011–. </w:t>
      </w:r>
    </w:p>
    <w:p w14:paraId="3DA439BD" w14:textId="7DD3462D" w:rsidR="0085527B" w:rsidRPr="00896343" w:rsidRDefault="0085527B" w:rsidP="795AA69A">
      <w:pPr>
        <w:spacing w:after="120" w:line="276" w:lineRule="auto"/>
        <w:ind w:firstLine="708"/>
        <w:jc w:val="both"/>
        <w:rPr>
          <w:rFonts w:ascii="Verdana" w:eastAsia="Calibri" w:hAnsi="Verdana" w:cs="Arial"/>
          <w:color w:val="000000"/>
          <w:lang w:val="es-ES"/>
        </w:rPr>
      </w:pPr>
      <w:r w:rsidRPr="00896343">
        <w:rPr>
          <w:rFonts w:ascii="Verdana" w:eastAsia="Calibri" w:hAnsi="Verdana" w:cs="Arial"/>
          <w:color w:val="000000" w:themeColor="text1"/>
          <w:lang w:val="es-ES"/>
        </w:rPr>
        <w:t xml:space="preserve">En desarrollo de esta directriz, </w:t>
      </w:r>
      <w:bookmarkStart w:id="10" w:name="_Hlk36672204"/>
      <w:r w:rsidRPr="00896343">
        <w:rPr>
          <w:rFonts w:ascii="Verdana" w:eastAsia="Calibri" w:hAnsi="Verdana" w:cs="Arial"/>
          <w:color w:val="000000" w:themeColor="text1"/>
          <w:lang w:val="es-ES"/>
        </w:rPr>
        <w:t xml:space="preserve">el régimen de los </w:t>
      </w:r>
      <w:r w:rsidRPr="00896343">
        <w:rPr>
          <w:rFonts w:ascii="Verdana" w:eastAsia="Calibri" w:hAnsi="Verdana" w:cs="Arial"/>
          <w:i/>
          <w:iCs/>
          <w:color w:val="000000" w:themeColor="text1"/>
          <w:lang w:val="es-ES"/>
        </w:rPr>
        <w:t>conflictos de interés</w:t>
      </w:r>
      <w:r w:rsidRPr="00896343">
        <w:rPr>
          <w:rFonts w:ascii="Verdana" w:eastAsia="Calibri" w:hAnsi="Verdana" w:cs="Arial"/>
          <w:color w:val="000000" w:themeColor="text1"/>
          <w:lang w:val="es-ES"/>
        </w:rPr>
        <w:t xml:space="preserve"> tiene como objetivo la prevalencia del bien común sobre el particular, razón por la cual se configuran cuando los servidores públicos actúan influenciados por consideraciones personales que colisionan con el deber de preservar su independencia e imparcialidad. En este sentido, se definen como la </w:t>
      </w:r>
      <w:bookmarkStart w:id="11" w:name="_Hlk36668905"/>
      <w:r w:rsidRPr="00896343">
        <w:rPr>
          <w:rFonts w:ascii="Verdana" w:eastAsia="Calibri" w:hAnsi="Verdana" w:cs="Arial"/>
          <w:color w:val="000000" w:themeColor="text1"/>
          <w:lang w:val="es-ES"/>
        </w:rPr>
        <w:t>concurrencia de intereses antagónicos que afectan la transparencia de las decisiones, al implicar –en detrimento del interés general– el aprovechamiento personal, familiar o particular</w:t>
      </w:r>
      <w:bookmarkEnd w:id="10"/>
      <w:bookmarkEnd w:id="11"/>
      <w:r w:rsidRPr="00896343">
        <w:rPr>
          <w:rFonts w:ascii="Verdana" w:eastAsia="Calibri" w:hAnsi="Verdana" w:cs="Arial"/>
          <w:color w:val="000000"/>
          <w:vertAlign w:val="superscript"/>
          <w:lang w:val="es-ES_tradnl"/>
        </w:rPr>
        <w:footnoteReference w:id="23"/>
      </w:r>
      <w:r w:rsidRPr="00896343">
        <w:rPr>
          <w:rFonts w:ascii="Verdana" w:eastAsia="Calibri" w:hAnsi="Verdana" w:cs="Arial"/>
          <w:color w:val="000000" w:themeColor="text1"/>
          <w:lang w:val="es-ES"/>
        </w:rPr>
        <w:t>.</w:t>
      </w:r>
    </w:p>
    <w:p w14:paraId="00FAE7DF" w14:textId="77777777" w:rsidR="0063336B" w:rsidRDefault="0085527B" w:rsidP="0085527B">
      <w:pPr>
        <w:spacing w:after="120" w:line="276" w:lineRule="auto"/>
        <w:jc w:val="both"/>
        <w:rPr>
          <w:rFonts w:ascii="Verdana" w:eastAsia="Calibri" w:hAnsi="Verdana" w:cs="Arial"/>
          <w:color w:val="000000"/>
          <w:lang w:val="es-ES"/>
        </w:rPr>
      </w:pPr>
      <w:r w:rsidRPr="00896343">
        <w:rPr>
          <w:rFonts w:ascii="Verdana" w:eastAsia="Calibri" w:hAnsi="Verdana" w:cs="Arial"/>
          <w:color w:val="000000"/>
          <w:lang w:val="es-ES_tradnl"/>
        </w:rPr>
        <w:lastRenderedPageBreak/>
        <w:tab/>
      </w:r>
      <w:r w:rsidRPr="00896343">
        <w:rPr>
          <w:rFonts w:ascii="Verdana" w:eastAsia="Calibri" w:hAnsi="Verdana" w:cs="Arial"/>
          <w:color w:val="000000"/>
          <w:lang w:val="es-ES"/>
        </w:rPr>
        <w:t xml:space="preserve">La institución jurídica de los conflictos de interés no está definida con carácter general en el ordenamiento jurídico y tampoco de forma precisa en las normas que regulan la contratación estatal, por lo que es un asunto ausente en el EGCAP. No obstante, existen disposiciones especiales como el régimen de los congresistas, de los concejales o el régimen disciplinario de los servidores públicos, donde se definen causales de conflictos de interés. En todo caso, la satisfacción del principio de moralidad, el deber de probidad y rectitud también se exige a los contratistas. </w:t>
      </w:r>
    </w:p>
    <w:p w14:paraId="6047D429" w14:textId="488A696A" w:rsidR="0085527B" w:rsidRPr="00896343" w:rsidRDefault="0085527B" w:rsidP="00896343">
      <w:pPr>
        <w:spacing w:after="120" w:line="276" w:lineRule="auto"/>
        <w:ind w:firstLine="708"/>
        <w:jc w:val="both"/>
        <w:rPr>
          <w:rFonts w:ascii="Verdana" w:eastAsia="Calibri" w:hAnsi="Verdana" w:cs="Arial"/>
          <w:color w:val="000000"/>
          <w:lang w:val="es-ES"/>
        </w:rPr>
      </w:pPr>
      <w:r w:rsidRPr="00896343">
        <w:rPr>
          <w:rFonts w:ascii="Verdana" w:eastAsia="Calibri" w:hAnsi="Verdana" w:cs="Arial"/>
          <w:color w:val="000000"/>
          <w:lang w:val="es-ES"/>
        </w:rPr>
        <w:t xml:space="preserve">Al respecto, el artículo 3 de la Ley 80 de 1993 dispone que la actividad contractual del Estado se dirige tanto al cumplimiento de los fines estatales como a la continua y eficiente prestación de los servicios públicos, precisando que “Los particulares, por su parte, tendrán en cuenta al celebrar y ejecutar contratos con las entidades estatales que colaboran con ellas en el logro de sus fines y cumplen una función social que, como tal, implica obligaciones”. En concordancia con lo anterior, el numeral 2 del artículo 5 del EGCAP dispone que aquellos obrarán con lealtad y buena fe en las distintas etapas contractuales. </w:t>
      </w:r>
    </w:p>
    <w:p w14:paraId="297B9B83" w14:textId="77777777" w:rsidR="0063336B" w:rsidRDefault="0085527B" w:rsidP="0085527B">
      <w:pPr>
        <w:spacing w:after="120" w:line="276" w:lineRule="auto"/>
        <w:jc w:val="both"/>
        <w:rPr>
          <w:rFonts w:ascii="Verdana" w:eastAsia="Calibri" w:hAnsi="Verdana" w:cs="Arial"/>
          <w:color w:val="000000"/>
          <w:lang w:val="es-ES_tradnl"/>
        </w:rPr>
      </w:pPr>
      <w:r w:rsidRPr="00896343">
        <w:rPr>
          <w:rFonts w:ascii="Verdana" w:eastAsia="Calibri" w:hAnsi="Verdana" w:cs="Arial"/>
          <w:color w:val="000000"/>
          <w:lang w:val="es-ES_tradnl"/>
        </w:rPr>
        <w:tab/>
        <w:t xml:space="preserve">Sin perjuicio de lo anterior, el EGCAP no establece una noción o causales particulares de conflictos de interés aplicables a los proponentes o contratistas del Estado. En efecto, además de las disposiciones brevemente enunciadas en el párrafo precedente, la Ley 1437 de 2011 establece un régimen de “conflictos de interés  y causales de impedimento y recusación” –artículos 11 y 12–, que si bien aplican en los procedimientos administrativos, en general, incluyendo los de selección de contratistas del Estado, están dirigidos a los servidores públicos que adelantan estas actuaciones en desarrollo de la actividad contractual de la Entidad Estatal de la cual hacen parte. </w:t>
      </w:r>
    </w:p>
    <w:p w14:paraId="3EA31431" w14:textId="295D5BAB" w:rsidR="0085527B" w:rsidRPr="00896343" w:rsidRDefault="0085527B" w:rsidP="00896343">
      <w:pPr>
        <w:spacing w:after="120" w:line="276" w:lineRule="auto"/>
        <w:ind w:firstLine="708"/>
        <w:jc w:val="both"/>
        <w:rPr>
          <w:rFonts w:ascii="Verdana" w:eastAsia="Calibri" w:hAnsi="Verdana" w:cs="Arial"/>
          <w:color w:val="000000"/>
          <w:lang w:val="es-ES_tradnl"/>
        </w:rPr>
      </w:pPr>
      <w:r w:rsidRPr="00896343">
        <w:rPr>
          <w:rFonts w:ascii="Verdana" w:eastAsia="Calibri" w:hAnsi="Verdana" w:cs="Arial"/>
          <w:color w:val="000000"/>
          <w:lang w:val="es-ES_tradnl"/>
        </w:rPr>
        <w:t xml:space="preserve">Por lo </w:t>
      </w:r>
      <w:r w:rsidR="006A3373">
        <w:rPr>
          <w:rFonts w:ascii="Verdana" w:eastAsia="Calibri" w:hAnsi="Verdana" w:cs="Arial"/>
          <w:color w:val="000000"/>
          <w:lang w:val="es-ES_tradnl"/>
        </w:rPr>
        <w:t>expuesto en el párrafo precedente</w:t>
      </w:r>
      <w:r w:rsidRPr="00896343">
        <w:rPr>
          <w:rFonts w:ascii="Verdana" w:eastAsia="Calibri" w:hAnsi="Verdana" w:cs="Arial"/>
          <w:color w:val="000000"/>
          <w:lang w:val="es-ES_tradnl"/>
        </w:rPr>
        <w:t xml:space="preserve">, sus destinatarios no son los proponentes o contratistas particulares que participan en el procedimiento de selección o celebran el contrato con la </w:t>
      </w:r>
      <w:r w:rsidR="006A3373" w:rsidRPr="006A3373">
        <w:rPr>
          <w:rFonts w:ascii="Verdana" w:eastAsia="Calibri" w:hAnsi="Verdana" w:cs="Arial"/>
          <w:color w:val="000000"/>
          <w:lang w:val="es-ES_tradnl"/>
        </w:rPr>
        <w:t>entidad estatal</w:t>
      </w:r>
      <w:r w:rsidRPr="00896343">
        <w:rPr>
          <w:rFonts w:ascii="Verdana" w:eastAsia="Calibri" w:hAnsi="Verdana" w:cs="Arial"/>
          <w:color w:val="000000"/>
          <w:lang w:val="es-ES_tradnl"/>
        </w:rPr>
        <w:t xml:space="preserve">, sino los servidores mencionados. En este sentido, en caso de presentarse alguna de las causales establecidas en el artículo 11 del Código de Procedimiento Administrativo o de lo Contencioso Administrativo –en adelante CPACA–, corresponde aplicar el </w:t>
      </w:r>
      <w:r w:rsidRPr="0046349D">
        <w:rPr>
          <w:rFonts w:ascii="Verdana" w:eastAsia="Calibri" w:hAnsi="Verdana" w:cs="Arial"/>
          <w:color w:val="000000"/>
          <w:lang w:val="es-ES_tradnl"/>
        </w:rPr>
        <w:t>trámite</w:t>
      </w:r>
      <w:r w:rsidRPr="00896343">
        <w:rPr>
          <w:rFonts w:ascii="Verdana" w:eastAsia="Calibri" w:hAnsi="Verdana" w:cs="Arial"/>
          <w:color w:val="000000"/>
          <w:lang w:val="es-ES_tradnl"/>
        </w:rPr>
        <w:t xml:space="preserve"> establecido en el artículo 12 de la misma ley.</w:t>
      </w:r>
    </w:p>
    <w:p w14:paraId="71244A53" w14:textId="1EC98D1F" w:rsidR="009F7516" w:rsidRPr="0046349D" w:rsidRDefault="009F7516" w:rsidP="009F7516">
      <w:pPr>
        <w:widowControl w:val="0"/>
        <w:autoSpaceDE w:val="0"/>
        <w:autoSpaceDN w:val="0"/>
        <w:spacing w:after="120" w:line="276" w:lineRule="auto"/>
        <w:ind w:firstLine="709"/>
        <w:jc w:val="both"/>
        <w:rPr>
          <w:rFonts w:ascii="Verdana" w:eastAsia="Arial MT" w:hAnsi="Verdana" w:cs="Arial"/>
          <w:lang w:eastAsia="es-ES" w:bidi="es-ES"/>
        </w:rPr>
      </w:pPr>
      <w:r w:rsidRPr="0046349D">
        <w:rPr>
          <w:rFonts w:ascii="Verdana" w:eastAsia="Arial MT" w:hAnsi="Verdana" w:cs="Arial"/>
          <w:lang w:eastAsia="es-ES" w:bidi="es-ES"/>
        </w:rPr>
        <w:t xml:space="preserve">En </w:t>
      </w:r>
      <w:r w:rsidR="0046349D" w:rsidRPr="0046349D">
        <w:rPr>
          <w:rFonts w:ascii="Verdana" w:eastAsia="Arial MT" w:hAnsi="Verdana" w:cs="Arial"/>
          <w:lang w:eastAsia="es-ES" w:bidi="es-ES"/>
        </w:rPr>
        <w:t xml:space="preserve">conclusión, En relación con ambas situaciones, Colombia Compra Eficiente (CCE) probablemente se pronunciaría en términos de la necesidad de evitar cualquier riesgo de conflicto de interés o de falta de transparencia en los procesos de contratación pública. Dado que CCE promueve la contratación </w:t>
      </w:r>
      <w:r w:rsidR="0046349D" w:rsidRPr="0046349D">
        <w:rPr>
          <w:rFonts w:ascii="Verdana" w:eastAsia="Arial MT" w:hAnsi="Verdana" w:cs="Arial"/>
          <w:lang w:eastAsia="es-ES" w:bidi="es-ES"/>
        </w:rPr>
        <w:lastRenderedPageBreak/>
        <w:t>pública eficiente y transparente, recomendaría evitar cualquier vínculo contractual que pudiera comprometer la imparcialidad y la objetividad en las decisiones contractuales. CCE resaltaría que, aunque la Ley 80 de 1993 no establece de forma explícita conflictos de interés para los contratistas, el principio de moralidad administrativa y los principios generales de la contratación pública requieren que las decisiones sean tomadas sin influencias personales o familiares que puedan desvirtuar el interés general. En este sentido, CCE podría sugerir la revisión de las circunstancias y la adopción de medidas correctivas, como la nulidad de los contratos afectados o la suspensión de la relación contractual, en caso de que se identifique una violación de los principios de transparencia y legalidad.</w:t>
      </w:r>
    </w:p>
    <w:p w14:paraId="2ED6CA96" w14:textId="77777777" w:rsidR="009F7516" w:rsidRPr="008557D1" w:rsidRDefault="009F7516" w:rsidP="009F7516">
      <w:pPr>
        <w:widowControl w:val="0"/>
        <w:autoSpaceDE w:val="0"/>
        <w:autoSpaceDN w:val="0"/>
        <w:spacing w:after="0" w:line="276" w:lineRule="auto"/>
        <w:ind w:firstLine="708"/>
        <w:jc w:val="both"/>
        <w:rPr>
          <w:rFonts w:ascii="Verdana" w:hAnsi="Verdana" w:cs="Arial"/>
        </w:rPr>
      </w:pPr>
    </w:p>
    <w:p w14:paraId="0126AA7F" w14:textId="77777777" w:rsidR="009F7516" w:rsidRPr="008557D1" w:rsidRDefault="009F7516" w:rsidP="009F751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557D1">
        <w:rPr>
          <w:rFonts w:ascii="Verdana" w:eastAsia="Century Gothic" w:hAnsi="Verdana" w:cs="Century Gothic"/>
          <w:b/>
          <w:bCs/>
        </w:rPr>
        <w:t>Referencias normativas, jurisprudenciales y otras fuentes:</w:t>
      </w:r>
    </w:p>
    <w:p w14:paraId="436780FC" w14:textId="77777777" w:rsidR="009F7516" w:rsidRPr="008557D1" w:rsidRDefault="009F7516" w:rsidP="009F7516">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F7516" w:rsidRPr="008557D1" w14:paraId="5DF20662" w14:textId="77777777" w:rsidTr="009F7516">
        <w:trPr>
          <w:trHeight w:val="870"/>
        </w:trPr>
        <w:tc>
          <w:tcPr>
            <w:tcW w:w="8647" w:type="dxa"/>
          </w:tcPr>
          <w:p w14:paraId="74CC1BE3" w14:textId="77777777" w:rsidR="009F7516" w:rsidRPr="00896343" w:rsidRDefault="009F7516" w:rsidP="009F7516">
            <w:pPr>
              <w:pStyle w:val="Prrafodelista"/>
              <w:numPr>
                <w:ilvl w:val="0"/>
                <w:numId w:val="17"/>
              </w:numPr>
              <w:rPr>
                <w:rFonts w:ascii="Verdana" w:hAnsi="Verdana"/>
              </w:rPr>
            </w:pPr>
            <w:r w:rsidRPr="008557D1">
              <w:rPr>
                <w:rFonts w:ascii="Verdana" w:eastAsia="Calibri" w:hAnsi="Verdana" w:cs="Arial"/>
                <w:lang w:val="es-ES_tradnl"/>
              </w:rPr>
              <w:t>Constitución Política, artículo 6, artículo 29 y artículo 209.</w:t>
            </w:r>
          </w:p>
          <w:p w14:paraId="5556BEB0" w14:textId="77777777" w:rsidR="009F7516" w:rsidRPr="00896343" w:rsidRDefault="009F7516" w:rsidP="009F7516">
            <w:pPr>
              <w:pStyle w:val="Prrafodelista"/>
              <w:numPr>
                <w:ilvl w:val="0"/>
                <w:numId w:val="17"/>
              </w:numPr>
              <w:rPr>
                <w:rFonts w:ascii="Verdana" w:hAnsi="Verdana"/>
              </w:rPr>
            </w:pPr>
            <w:r w:rsidRPr="008557D1">
              <w:rPr>
                <w:rFonts w:ascii="Verdana" w:eastAsia="Calibri" w:hAnsi="Verdana" w:cs="Arial"/>
                <w:lang w:val="es-ES_tradnl"/>
              </w:rPr>
              <w:t>Ley 80 de 1993, artículo 8, artículo 9, artículo 12, artículo, artículo 25, artículo 30.</w:t>
            </w:r>
          </w:p>
          <w:p w14:paraId="7BDE3D13" w14:textId="77777777" w:rsidR="009F7516" w:rsidRPr="00896343" w:rsidRDefault="009F7516" w:rsidP="009F7516">
            <w:pPr>
              <w:pStyle w:val="Prrafodelista"/>
              <w:numPr>
                <w:ilvl w:val="0"/>
                <w:numId w:val="17"/>
              </w:numPr>
              <w:rPr>
                <w:rFonts w:ascii="Verdana" w:hAnsi="Verdana"/>
              </w:rPr>
            </w:pPr>
            <w:r w:rsidRPr="008557D1">
              <w:rPr>
                <w:rFonts w:ascii="Verdana" w:eastAsia="Calibri" w:hAnsi="Verdana" w:cs="Arial"/>
                <w:lang w:val="es-ES_tradnl"/>
              </w:rPr>
              <w:t xml:space="preserve">Ley 1150 de 2007, artículo 9.  </w:t>
            </w:r>
          </w:p>
          <w:p w14:paraId="17DA0BA0" w14:textId="77777777" w:rsidR="009F7516" w:rsidRPr="00896343" w:rsidRDefault="009F7516" w:rsidP="009F7516">
            <w:pPr>
              <w:pStyle w:val="Prrafodelista"/>
              <w:numPr>
                <w:ilvl w:val="0"/>
                <w:numId w:val="17"/>
              </w:numPr>
              <w:rPr>
                <w:rFonts w:ascii="Verdana" w:hAnsi="Verdana"/>
              </w:rPr>
            </w:pPr>
            <w:r w:rsidRPr="008557D1">
              <w:rPr>
                <w:rFonts w:ascii="Verdana" w:eastAsia="Calibri" w:hAnsi="Verdana" w:cs="Arial"/>
                <w:lang w:eastAsia="es-ES"/>
              </w:rPr>
              <w:t>Ley 4170 de 2011, artículos 3, numeral 5º, y 11, numeral 8º.</w:t>
            </w:r>
          </w:p>
          <w:p w14:paraId="22FCA735" w14:textId="77777777" w:rsidR="009F7516" w:rsidRPr="008557D1" w:rsidRDefault="009F7516" w:rsidP="009F7516">
            <w:pPr>
              <w:pStyle w:val="Prrafodelista"/>
              <w:widowControl w:val="0"/>
              <w:numPr>
                <w:ilvl w:val="0"/>
                <w:numId w:val="17"/>
              </w:numPr>
              <w:autoSpaceDE w:val="0"/>
              <w:autoSpaceDN w:val="0"/>
              <w:spacing w:after="120"/>
              <w:jc w:val="both"/>
              <w:rPr>
                <w:rFonts w:ascii="Verdana" w:hAnsi="Verdana" w:cs="Arial"/>
              </w:rPr>
            </w:pPr>
            <w:r w:rsidRPr="008557D1">
              <w:rPr>
                <w:rFonts w:ascii="Verdana" w:eastAsia="Calibri" w:hAnsi="Verdana" w:cs="Arial"/>
                <w:lang w:eastAsia="es-ES"/>
              </w:rPr>
              <w:t>Ley 1437 de 2011, artículo 44.</w:t>
            </w:r>
            <w:r w:rsidRPr="008557D1">
              <w:rPr>
                <w:rFonts w:ascii="Verdana" w:hAnsi="Verdana" w:cs="Arial"/>
              </w:rPr>
              <w:t xml:space="preserve"> </w:t>
            </w:r>
          </w:p>
          <w:p w14:paraId="51A76AEE" w14:textId="77777777" w:rsidR="009F7516" w:rsidRPr="008557D1" w:rsidRDefault="009F7516" w:rsidP="009F7516">
            <w:pPr>
              <w:pStyle w:val="Prrafodelista"/>
              <w:widowControl w:val="0"/>
              <w:numPr>
                <w:ilvl w:val="0"/>
                <w:numId w:val="17"/>
              </w:numPr>
              <w:autoSpaceDE w:val="0"/>
              <w:autoSpaceDN w:val="0"/>
              <w:spacing w:after="120"/>
              <w:jc w:val="both"/>
              <w:rPr>
                <w:rFonts w:ascii="Verdana" w:hAnsi="Verdana" w:cs="Arial"/>
                <w:lang w:val="es-CO"/>
              </w:rPr>
            </w:pPr>
            <w:r w:rsidRPr="008557D1">
              <w:rPr>
                <w:rFonts w:ascii="Verdana" w:hAnsi="Verdana" w:cs="Arial"/>
                <w:lang w:val="es-ES_tradnl"/>
              </w:rPr>
              <w:t>Corte Constitucional. Sentencia T-1039 de 2006 Magistrado Ponente: Humberto Sierra Porto</w:t>
            </w:r>
          </w:p>
          <w:p w14:paraId="1EBDFBAA" w14:textId="77777777" w:rsidR="009F7516" w:rsidRPr="008557D1" w:rsidRDefault="009F7516" w:rsidP="009F7516">
            <w:pPr>
              <w:pStyle w:val="Prrafodelista"/>
              <w:widowControl w:val="0"/>
              <w:numPr>
                <w:ilvl w:val="0"/>
                <w:numId w:val="17"/>
              </w:numPr>
              <w:autoSpaceDE w:val="0"/>
              <w:autoSpaceDN w:val="0"/>
              <w:spacing w:after="120"/>
              <w:jc w:val="both"/>
              <w:rPr>
                <w:rFonts w:ascii="Verdana" w:hAnsi="Verdana" w:cs="Arial"/>
                <w:lang w:val="es-CO"/>
              </w:rPr>
            </w:pPr>
            <w:r w:rsidRPr="008557D1">
              <w:rPr>
                <w:rFonts w:ascii="Verdana" w:hAnsi="Verdana" w:cs="Arial"/>
                <w:lang w:val="es-ES_tradnl"/>
              </w:rPr>
              <w:t xml:space="preserve">Consejo de Estado. Sala de Consulta y Servicio Civil. Concepto del 30 de abril de 2015. Expediente: 2251. Consejero Ponente: Álvaro </w:t>
            </w:r>
            <w:proofErr w:type="spellStart"/>
            <w:r w:rsidRPr="008557D1">
              <w:rPr>
                <w:rFonts w:ascii="Verdana" w:hAnsi="Verdana" w:cs="Arial"/>
                <w:lang w:val="es-ES_tradnl"/>
              </w:rPr>
              <w:t>Namén</w:t>
            </w:r>
            <w:proofErr w:type="spellEnd"/>
            <w:r w:rsidRPr="008557D1">
              <w:rPr>
                <w:rFonts w:ascii="Verdana" w:hAnsi="Verdana" w:cs="Arial"/>
                <w:lang w:val="es-ES_tradnl"/>
              </w:rPr>
              <w:t xml:space="preserve"> Vargas</w:t>
            </w:r>
          </w:p>
          <w:p w14:paraId="796C5C01" w14:textId="77777777" w:rsidR="009F7516" w:rsidRPr="008557D1" w:rsidRDefault="009F7516" w:rsidP="009F7516">
            <w:pPr>
              <w:pStyle w:val="Prrafodelista"/>
              <w:widowControl w:val="0"/>
              <w:numPr>
                <w:ilvl w:val="0"/>
                <w:numId w:val="17"/>
              </w:numPr>
              <w:autoSpaceDE w:val="0"/>
              <w:autoSpaceDN w:val="0"/>
              <w:spacing w:after="120"/>
              <w:jc w:val="both"/>
              <w:rPr>
                <w:rFonts w:ascii="Verdana" w:hAnsi="Verdana" w:cs="Arial"/>
                <w:lang w:val="es-CO"/>
              </w:rPr>
            </w:pPr>
            <w:r w:rsidRPr="008557D1">
              <w:rPr>
                <w:rFonts w:ascii="Verdana" w:hAnsi="Verdana" w:cs="Arial"/>
                <w:lang w:val="es-ES_tradnl"/>
              </w:rPr>
              <w:t xml:space="preserve">Consejo de Estado. Sección Tercera. Subsección A. Sentencia del 24 de junio de 2015. </w:t>
            </w:r>
            <w:proofErr w:type="spellStart"/>
            <w:r w:rsidRPr="008557D1">
              <w:rPr>
                <w:rFonts w:ascii="Verdana" w:hAnsi="Verdana" w:cs="Arial"/>
                <w:lang w:val="es-ES_tradnl"/>
              </w:rPr>
              <w:t>Exp</w:t>
            </w:r>
            <w:proofErr w:type="spellEnd"/>
            <w:r w:rsidRPr="008557D1">
              <w:rPr>
                <w:rFonts w:ascii="Verdana" w:hAnsi="Verdana" w:cs="Arial"/>
                <w:lang w:val="es-ES_tradnl"/>
              </w:rPr>
              <w:t>. 40.635. Consejero Ponente: Hernán Andrade Rincón (E).</w:t>
            </w:r>
          </w:p>
          <w:p w14:paraId="4D129BDB" w14:textId="77777777" w:rsidR="009F7516" w:rsidRPr="008557D1" w:rsidRDefault="009F7516" w:rsidP="009F7516">
            <w:pPr>
              <w:pStyle w:val="Prrafodelista"/>
              <w:widowControl w:val="0"/>
              <w:numPr>
                <w:ilvl w:val="0"/>
                <w:numId w:val="17"/>
              </w:numPr>
              <w:autoSpaceDE w:val="0"/>
              <w:autoSpaceDN w:val="0"/>
              <w:spacing w:after="120"/>
              <w:jc w:val="both"/>
              <w:rPr>
                <w:rFonts w:ascii="Verdana" w:hAnsi="Verdana" w:cs="Arial"/>
              </w:rPr>
            </w:pPr>
            <w:r w:rsidRPr="008557D1">
              <w:rPr>
                <w:rFonts w:ascii="Verdana" w:hAnsi="Verdana" w:cs="Arial"/>
                <w:lang w:val="es-ES_tradnl"/>
              </w:rPr>
              <w:t xml:space="preserve">Consejo de Estado. Sección Tercera. Subsección C. Sentencia del 22 de mayo de 2013. </w:t>
            </w:r>
            <w:proofErr w:type="spellStart"/>
            <w:r w:rsidRPr="008557D1">
              <w:rPr>
                <w:rFonts w:ascii="Verdana" w:hAnsi="Verdana" w:cs="Arial"/>
                <w:lang w:val="es-ES_tradnl"/>
              </w:rPr>
              <w:t>Exp</w:t>
            </w:r>
            <w:proofErr w:type="spellEnd"/>
            <w:r w:rsidRPr="008557D1">
              <w:rPr>
                <w:rFonts w:ascii="Verdana" w:hAnsi="Verdana" w:cs="Arial"/>
                <w:lang w:val="es-ES_tradnl"/>
              </w:rPr>
              <w:t xml:space="preserve">. 24.057. Consejera Ponente: Olga </w:t>
            </w:r>
            <w:proofErr w:type="spellStart"/>
            <w:r w:rsidRPr="008557D1">
              <w:rPr>
                <w:rFonts w:ascii="Verdana" w:hAnsi="Verdana" w:cs="Arial"/>
                <w:lang w:val="es-ES_tradnl"/>
              </w:rPr>
              <w:t>Melida</w:t>
            </w:r>
            <w:proofErr w:type="spellEnd"/>
            <w:r w:rsidRPr="008557D1">
              <w:rPr>
                <w:rFonts w:ascii="Verdana" w:hAnsi="Verdana" w:cs="Arial"/>
                <w:lang w:val="es-ES_tradnl"/>
              </w:rPr>
              <w:t xml:space="preserve"> Valle De </w:t>
            </w:r>
            <w:proofErr w:type="spellStart"/>
            <w:r w:rsidRPr="008557D1">
              <w:rPr>
                <w:rFonts w:ascii="Verdana" w:hAnsi="Verdana" w:cs="Arial"/>
                <w:lang w:val="es-ES_tradnl"/>
              </w:rPr>
              <w:t>De</w:t>
            </w:r>
            <w:proofErr w:type="spellEnd"/>
            <w:r w:rsidRPr="008557D1">
              <w:rPr>
                <w:rFonts w:ascii="Verdana" w:hAnsi="Verdana" w:cs="Arial"/>
                <w:lang w:val="es-ES_tradnl"/>
              </w:rPr>
              <w:t xml:space="preserve"> La Hoz.</w:t>
            </w:r>
          </w:p>
        </w:tc>
      </w:tr>
    </w:tbl>
    <w:p w14:paraId="28EBD809" w14:textId="77777777" w:rsidR="009F7516" w:rsidRPr="008557D1" w:rsidRDefault="009F7516" w:rsidP="00896343">
      <w:pPr>
        <w:widowControl w:val="0"/>
        <w:autoSpaceDE w:val="0"/>
        <w:autoSpaceDN w:val="0"/>
        <w:spacing w:after="0" w:line="276" w:lineRule="auto"/>
        <w:jc w:val="both"/>
        <w:rPr>
          <w:rFonts w:ascii="Verdana" w:hAnsi="Verdana" w:cs="Arial"/>
        </w:rPr>
      </w:pPr>
    </w:p>
    <w:p w14:paraId="7ACBA376" w14:textId="77777777" w:rsidR="009F7516" w:rsidRPr="008557D1" w:rsidRDefault="009F7516" w:rsidP="00CD492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557D1">
        <w:rPr>
          <w:rFonts w:ascii="Verdana" w:eastAsia="Century Gothic" w:hAnsi="Verdana" w:cs="Century Gothic"/>
          <w:b/>
          <w:bCs/>
        </w:rPr>
        <w:t>Doctrina de la Agencia Nacional de Contratación Pública:</w:t>
      </w:r>
    </w:p>
    <w:p w14:paraId="714AF008" w14:textId="77777777" w:rsidR="009F7516" w:rsidRPr="008557D1" w:rsidRDefault="009F7516" w:rsidP="00CD4929">
      <w:pPr>
        <w:widowControl w:val="0"/>
        <w:autoSpaceDE w:val="0"/>
        <w:autoSpaceDN w:val="0"/>
        <w:spacing w:after="0" w:line="276" w:lineRule="auto"/>
        <w:jc w:val="both"/>
        <w:rPr>
          <w:rFonts w:ascii="Verdana" w:hAnsi="Verdana" w:cs="Arial"/>
        </w:rPr>
      </w:pPr>
    </w:p>
    <w:p w14:paraId="61817E8A" w14:textId="77777777" w:rsidR="009F7516" w:rsidRPr="008557D1" w:rsidRDefault="009F7516" w:rsidP="009F7516">
      <w:pPr>
        <w:widowControl w:val="0"/>
        <w:autoSpaceDE w:val="0"/>
        <w:autoSpaceDN w:val="0"/>
        <w:spacing w:after="120" w:line="276" w:lineRule="auto"/>
        <w:jc w:val="both"/>
        <w:rPr>
          <w:rFonts w:ascii="Verdana" w:hAnsi="Verdana" w:cs="Arial"/>
        </w:rPr>
      </w:pPr>
      <w:r w:rsidRPr="008557D1">
        <w:rPr>
          <w:rFonts w:ascii="Verdana" w:eastAsia="Calibri" w:hAnsi="Verdana" w:cs="Arial"/>
          <w:lang w:val="es-ES_tradnl" w:eastAsia="es-ES_tradnl"/>
        </w:rPr>
        <w:t xml:space="preserve">Sobre el régimen de inhabilidades e incompatibilidades se pronunció esta Subdirección en los conceptos </w:t>
      </w:r>
      <w:r w:rsidRPr="008557D1">
        <w:rPr>
          <w:rFonts w:ascii="Verdana" w:eastAsia="Calibri" w:hAnsi="Verdana" w:cs="Arial"/>
          <w:lang w:val="es-MX"/>
        </w:rPr>
        <w:t xml:space="preserve">C−402 del 26 de junio de 2020, C−365 del 30 de junio de 2020, C−386 del 24 de julio de 2020, C-585 del 14 de septiembre de 2020, C–592 del 14 de septiembre de 2020, C−551 de 24 de septiembre de 2020, C−709 del 7 de diciembre de 2020, C–721 de 14 de diciembre de 2020, </w:t>
      </w:r>
      <w:r w:rsidRPr="008557D1">
        <w:rPr>
          <w:rFonts w:ascii="Verdana" w:eastAsia="Calibri" w:hAnsi="Verdana" w:cs="Arial"/>
          <w:lang w:val="es-MX"/>
        </w:rPr>
        <w:lastRenderedPageBreak/>
        <w:t>C–004 del 12 de febrero de 2021, C–815 del 18 de febrero de 2021, C–047 del 8 de marzo de 2021, C–113 del 30 de marzo de 2021, C–122 del 30 de marzo de 2021, C–178 del 28 de abril de 2021, C−190 del 30 de abril de 2021, C−210 del 12 de mayo de 2021, C−275 del 11 de junio de 2021, C−293 del 28 de junio de 2021, C−321 del 2 de julio de 2021, C−410 del 7 de julio de 2021, C−491 del 14 de septiembre de 2021, C−522 del 1 de octubre de 2021, C−128 del 25 de marzo de 2022, C−252 del 3 de mayo de 2022, C−376 del 14 de junio de 2022, C−413 del 24 de junio de 2022, C−691 del 20 de octubre de 2022, C−731 del 10 de noviembre de 2022, C−928 del 26 de enero de 2023, C−126 del 24 de abril de 2023, C−175 del 4 de mayo de 2023, C−234 del 5 de julio de 2023, C−010 del 31 de enero de 2024 y C-039 del 23 de abril de 2024</w:t>
      </w:r>
      <w:r w:rsidRPr="008557D1">
        <w:rPr>
          <w:rFonts w:ascii="Verdana" w:hAnsi="Verdana" w:cs="Arial"/>
        </w:rPr>
        <w:t>. También se ha pronunciado sobre el conflicto de interés en los conceptos C-229 del 16 de abril de 2020, C-815 del 18 de febrero de 2021, C-449 del 31 de agosto de 2021, C-288 del 14 de julio de 2023, C-651 del 22 de octubre de 2024, C-680 del 15 de noviembre de 2024, C-693 del 19 de noviembre de 2024 y C-839 del 13 de diciembre de 2024</w:t>
      </w:r>
      <w:r w:rsidRPr="008557D1">
        <w:rPr>
          <w:rFonts w:ascii="Verdana" w:hAnsi="Verdana" w:cs="Arial"/>
          <w:shd w:val="clear" w:color="auto" w:fill="FFFFFF"/>
          <w:lang w:val="es-ES"/>
        </w:rPr>
        <w:t>. Es</w:t>
      </w:r>
      <w:r w:rsidRPr="008557D1">
        <w:rPr>
          <w:rFonts w:ascii="Verdana" w:hAnsi="Verdana"/>
        </w:rPr>
        <w:t>tos y otros conceptos se encuentran disponibles para consulta en el Sistema de relatoría de la Agencia, al cual se puede acceder a través del siguiente enlace:</w:t>
      </w:r>
      <w:r w:rsidRPr="008557D1">
        <w:rPr>
          <w:rFonts w:ascii="Verdana" w:hAnsi="Verdana" w:cs="Arial"/>
          <w:shd w:val="clear" w:color="auto" w:fill="FFFFFF"/>
          <w:lang w:val="es-ES"/>
        </w:rPr>
        <w:t xml:space="preserve"> </w:t>
      </w:r>
      <w:hyperlink r:id="rId12" w:history="1">
        <w:r w:rsidRPr="008557D1">
          <w:rPr>
            <w:rFonts w:ascii="Verdana" w:hAnsi="Verdana" w:cs="Arial"/>
            <w:color w:val="0563C1" w:themeColor="hyperlink"/>
            <w:u w:val="single"/>
            <w:shd w:val="clear" w:color="auto" w:fill="FFFFFF"/>
            <w:lang w:val="es-ES"/>
          </w:rPr>
          <w:t>https://relatoria.colombiacompra.gov.co/busqueda/conceptos</w:t>
        </w:r>
      </w:hyperlink>
      <w:r w:rsidRPr="008557D1">
        <w:rPr>
          <w:rFonts w:ascii="Verdana" w:hAnsi="Verdana" w:cs="Arial"/>
          <w:shd w:val="clear" w:color="auto" w:fill="FFFFFF"/>
          <w:lang w:val="es-ES"/>
        </w:rPr>
        <w:t>.</w:t>
      </w:r>
      <w:r w:rsidRPr="008557D1">
        <w:rPr>
          <w:rFonts w:ascii="Verdana" w:hAnsi="Verdana" w:cs="Arial"/>
          <w:color w:val="FF0000"/>
          <w:shd w:val="clear" w:color="auto" w:fill="FFFFFF"/>
          <w:lang w:val="es-ES"/>
        </w:rPr>
        <w:t xml:space="preserve"> </w:t>
      </w:r>
      <w:r w:rsidRPr="008557D1">
        <w:rPr>
          <w:rFonts w:ascii="Verdana" w:hAnsi="Verdana" w:cs="Arial"/>
          <w:color w:val="000000" w:themeColor="text1"/>
          <w:shd w:val="clear" w:color="auto" w:fill="FFFFFF"/>
        </w:rPr>
        <w:t>  </w:t>
      </w:r>
    </w:p>
    <w:p w14:paraId="3FE054CA" w14:textId="77777777" w:rsidR="009F7516" w:rsidRPr="008557D1" w:rsidRDefault="009F7516" w:rsidP="009F7516">
      <w:pPr>
        <w:spacing w:after="0" w:line="276" w:lineRule="auto"/>
        <w:jc w:val="both"/>
        <w:rPr>
          <w:rFonts w:ascii="Verdana" w:hAnsi="Verdana"/>
        </w:rPr>
      </w:pPr>
    </w:p>
    <w:p w14:paraId="1C21AF5D" w14:textId="77777777" w:rsidR="009F7516" w:rsidRPr="008557D1" w:rsidRDefault="009F7516" w:rsidP="009F7516">
      <w:pPr>
        <w:widowControl w:val="0"/>
        <w:autoSpaceDE w:val="0"/>
        <w:autoSpaceDN w:val="0"/>
        <w:spacing w:after="0" w:line="276" w:lineRule="auto"/>
        <w:jc w:val="both"/>
        <w:rPr>
          <w:rStyle w:val="normaltextrun"/>
          <w:rFonts w:ascii="Verdana" w:hAnsi="Verdana" w:cs="Arial"/>
          <w:shd w:val="clear" w:color="auto" w:fill="FFFFFF"/>
          <w:lang w:val="es-ES"/>
        </w:rPr>
      </w:pPr>
      <w:r w:rsidRPr="008557D1">
        <w:rPr>
          <w:rStyle w:val="normaltextrun"/>
          <w:rFonts w:ascii="Verdana" w:hAnsi="Verdana" w:cs="Arial"/>
          <w:shd w:val="clear" w:color="auto" w:fill="FFFFFF"/>
          <w:lang w:val="es-ES"/>
        </w:rPr>
        <w:t>Es</w:t>
      </w:r>
      <w:r w:rsidRPr="008557D1">
        <w:rPr>
          <w:rFonts w:ascii="Verdana" w:hAnsi="Verdana"/>
        </w:rPr>
        <w:t>tos y otros conceptos se encuentran disponibles para consulta en el Sistema de relatoría de la Agencia, al cual se puede acceder a través del siguiente enlace:</w:t>
      </w:r>
      <w:r w:rsidRPr="008557D1">
        <w:rPr>
          <w:rStyle w:val="normaltextrun"/>
          <w:rFonts w:ascii="Verdana" w:hAnsi="Verdana" w:cs="Arial"/>
          <w:shd w:val="clear" w:color="auto" w:fill="FFFFFF"/>
          <w:lang w:val="es-ES"/>
        </w:rPr>
        <w:t xml:space="preserve"> </w:t>
      </w:r>
      <w:hyperlink r:id="rId13" w:history="1">
        <w:r w:rsidRPr="008557D1">
          <w:rPr>
            <w:rStyle w:val="Hipervnculo"/>
            <w:rFonts w:ascii="Verdana" w:hAnsi="Verdana" w:cs="Arial"/>
            <w:shd w:val="clear" w:color="auto" w:fill="FFFFFF"/>
            <w:lang w:val="es-ES"/>
          </w:rPr>
          <w:t>https://relatoria.colombiacompra.gov.co/busqueda/conceptos</w:t>
        </w:r>
      </w:hyperlink>
      <w:r w:rsidRPr="008557D1">
        <w:rPr>
          <w:rStyle w:val="normaltextrun"/>
          <w:rFonts w:ascii="Verdana" w:hAnsi="Verdana" w:cs="Arial"/>
          <w:shd w:val="clear" w:color="auto" w:fill="FFFFFF"/>
          <w:lang w:val="es-ES"/>
        </w:rPr>
        <w:t xml:space="preserve">. </w:t>
      </w:r>
    </w:p>
    <w:p w14:paraId="6DEF4191" w14:textId="77777777" w:rsidR="009F7516" w:rsidRPr="008557D1" w:rsidRDefault="009F7516" w:rsidP="009F7516">
      <w:pPr>
        <w:widowControl w:val="0"/>
        <w:autoSpaceDE w:val="0"/>
        <w:autoSpaceDN w:val="0"/>
        <w:spacing w:after="0" w:line="276" w:lineRule="auto"/>
        <w:jc w:val="both"/>
        <w:rPr>
          <w:rStyle w:val="normaltextrun"/>
          <w:rFonts w:ascii="Verdana" w:hAnsi="Verdana" w:cs="Arial"/>
          <w:shd w:val="clear" w:color="auto" w:fill="FFFFFF"/>
          <w:lang w:val="es-ES"/>
        </w:rPr>
      </w:pPr>
    </w:p>
    <w:p w14:paraId="2DFF8948" w14:textId="091BC035" w:rsidR="009F7516" w:rsidRPr="008557D1" w:rsidRDefault="009F7516" w:rsidP="009F7516">
      <w:pPr>
        <w:spacing w:after="0" w:line="276" w:lineRule="auto"/>
        <w:jc w:val="both"/>
        <w:rPr>
          <w:rFonts w:ascii="Verdana" w:hAnsi="Verdana"/>
        </w:rPr>
      </w:pPr>
      <w:r w:rsidRPr="008557D1">
        <w:rPr>
          <w:rFonts w:ascii="Verdana" w:hAnsi="Verdana"/>
        </w:rPr>
        <w:t xml:space="preserve">Por último, lo invitamos a seguirnos en las redes sociales en las cuales se difunde información institucional: </w:t>
      </w:r>
    </w:p>
    <w:p w14:paraId="3F42646D" w14:textId="77777777" w:rsidR="009F7516" w:rsidRPr="008557D1" w:rsidRDefault="009F7516" w:rsidP="009F7516">
      <w:pPr>
        <w:spacing w:after="0" w:line="276" w:lineRule="auto"/>
        <w:jc w:val="both"/>
        <w:rPr>
          <w:rFonts w:ascii="Verdana" w:hAnsi="Verdana"/>
        </w:rPr>
      </w:pPr>
    </w:p>
    <w:p w14:paraId="71137832" w14:textId="77777777" w:rsidR="009F7516" w:rsidRPr="008557D1" w:rsidRDefault="009F7516" w:rsidP="009F7516">
      <w:pPr>
        <w:spacing w:after="0" w:line="276" w:lineRule="auto"/>
        <w:jc w:val="both"/>
        <w:rPr>
          <w:rFonts w:ascii="Verdana" w:hAnsi="Verdana"/>
        </w:rPr>
      </w:pPr>
      <w:r w:rsidRPr="008557D1">
        <w:rPr>
          <w:rFonts w:ascii="Verdana" w:hAnsi="Verdana"/>
        </w:rPr>
        <w:t xml:space="preserve">Twitter: </w:t>
      </w:r>
      <w:r w:rsidRPr="008557D1">
        <w:rPr>
          <w:rStyle w:val="Hipervnculo"/>
          <w:rFonts w:ascii="Verdana" w:hAnsi="Verdana"/>
        </w:rPr>
        <w:t>@colombiacompra</w:t>
      </w:r>
      <w:r w:rsidRPr="008557D1">
        <w:rPr>
          <w:rFonts w:ascii="Verdana" w:hAnsi="Verdana"/>
        </w:rPr>
        <w:t xml:space="preserve"> </w:t>
      </w:r>
    </w:p>
    <w:p w14:paraId="12F704C3" w14:textId="77777777" w:rsidR="009F7516" w:rsidRPr="008557D1" w:rsidRDefault="009F7516" w:rsidP="009F7516">
      <w:pPr>
        <w:spacing w:after="0" w:line="276" w:lineRule="auto"/>
        <w:jc w:val="both"/>
        <w:rPr>
          <w:rFonts w:ascii="Verdana" w:hAnsi="Verdana"/>
        </w:rPr>
      </w:pPr>
      <w:r w:rsidRPr="008557D1">
        <w:rPr>
          <w:rFonts w:ascii="Verdana" w:hAnsi="Verdana"/>
        </w:rPr>
        <w:t xml:space="preserve">Facebook: </w:t>
      </w:r>
      <w:proofErr w:type="spellStart"/>
      <w:r w:rsidRPr="008557D1">
        <w:rPr>
          <w:rStyle w:val="Hipervnculo"/>
          <w:rFonts w:ascii="Verdana" w:hAnsi="Verdana"/>
        </w:rPr>
        <w:t>ColombiaCompraEficiente</w:t>
      </w:r>
      <w:proofErr w:type="spellEnd"/>
    </w:p>
    <w:p w14:paraId="297E6437" w14:textId="77777777" w:rsidR="009F7516" w:rsidRPr="008557D1" w:rsidRDefault="009F7516" w:rsidP="009F7516">
      <w:pPr>
        <w:spacing w:after="0" w:line="276" w:lineRule="auto"/>
        <w:jc w:val="both"/>
        <w:rPr>
          <w:rStyle w:val="Hipervnculo"/>
          <w:rFonts w:ascii="Verdana" w:hAnsi="Verdana"/>
        </w:rPr>
      </w:pPr>
      <w:r w:rsidRPr="008557D1">
        <w:rPr>
          <w:rFonts w:ascii="Verdana" w:hAnsi="Verdana"/>
        </w:rPr>
        <w:t xml:space="preserve">LinkedIn: </w:t>
      </w:r>
      <w:r w:rsidRPr="008557D1">
        <w:rPr>
          <w:rStyle w:val="Hipervnculo"/>
          <w:rFonts w:ascii="Verdana" w:hAnsi="Verdana"/>
        </w:rPr>
        <w:t>Agencia Nacional de Contratación Pública - Colombia Compra Eficiente</w:t>
      </w:r>
      <w:r w:rsidRPr="008557D1">
        <w:rPr>
          <w:rFonts w:ascii="Verdana" w:hAnsi="Verdana"/>
        </w:rPr>
        <w:t xml:space="preserve"> Instagram: </w:t>
      </w:r>
      <w:r w:rsidRPr="008557D1">
        <w:rPr>
          <w:rStyle w:val="Hipervnculo"/>
          <w:rFonts w:ascii="Verdana" w:hAnsi="Verdana"/>
        </w:rPr>
        <w:t>@colombiacompraeficiente_cce</w:t>
      </w:r>
    </w:p>
    <w:p w14:paraId="70D74E5F" w14:textId="77777777" w:rsidR="009F7516" w:rsidRPr="008557D1" w:rsidRDefault="009F7516" w:rsidP="009F7516">
      <w:pPr>
        <w:widowControl w:val="0"/>
        <w:autoSpaceDE w:val="0"/>
        <w:autoSpaceDN w:val="0"/>
        <w:spacing w:after="0" w:line="276" w:lineRule="auto"/>
        <w:jc w:val="both"/>
        <w:rPr>
          <w:rFonts w:ascii="Verdana" w:hAnsi="Verdana"/>
        </w:rPr>
      </w:pPr>
    </w:p>
    <w:p w14:paraId="2212ED77" w14:textId="77777777" w:rsidR="009F7516" w:rsidRPr="008557D1" w:rsidRDefault="009F7516" w:rsidP="009F7516">
      <w:pPr>
        <w:widowControl w:val="0"/>
        <w:autoSpaceDE w:val="0"/>
        <w:autoSpaceDN w:val="0"/>
        <w:spacing w:after="0" w:line="276" w:lineRule="auto"/>
        <w:jc w:val="both"/>
        <w:rPr>
          <w:rFonts w:ascii="Verdana" w:hAnsi="Verdana" w:cs="Arial"/>
          <w:lang w:val="es-ES_tradnl"/>
        </w:rPr>
      </w:pPr>
      <w:r w:rsidRPr="008557D1">
        <w:rPr>
          <w:rFonts w:ascii="Verdana" w:hAnsi="Verdana" w:cs="Arial"/>
        </w:rPr>
        <w:t xml:space="preserve">Este concepto tiene el alcance previsto en el artículo 28 del Código de Procedimiento Administrativo y de lo Contencioso Administrativo </w:t>
      </w:r>
      <w:r w:rsidRPr="008557D1">
        <w:rPr>
          <w:rFonts w:ascii="Verdana" w:hAnsi="Verdana" w:cs="Arial"/>
          <w:lang w:val="es-ES_tradnl"/>
        </w:rPr>
        <w:t>y las expresiones aquí utilizadas con mayúscula inicial deben ser entendidas con el significado que les otorga el artículo 2.2.1.1.1.3.1. del Decreto 1082 de 2015.</w:t>
      </w:r>
    </w:p>
    <w:p w14:paraId="4B2CA1B5" w14:textId="77777777" w:rsidR="009F7516" w:rsidRPr="008557D1" w:rsidRDefault="009F7516" w:rsidP="009F7516">
      <w:pPr>
        <w:widowControl w:val="0"/>
        <w:autoSpaceDE w:val="0"/>
        <w:autoSpaceDN w:val="0"/>
        <w:spacing w:after="0" w:line="276" w:lineRule="auto"/>
        <w:jc w:val="both"/>
        <w:rPr>
          <w:rFonts w:ascii="Verdana" w:hAnsi="Verdana" w:cs="Arial"/>
        </w:rPr>
      </w:pPr>
    </w:p>
    <w:p w14:paraId="0A446E6E" w14:textId="77777777" w:rsidR="009F7516" w:rsidRPr="008557D1" w:rsidRDefault="009F7516" w:rsidP="009F7516">
      <w:pPr>
        <w:widowControl w:val="0"/>
        <w:autoSpaceDE w:val="0"/>
        <w:autoSpaceDN w:val="0"/>
        <w:spacing w:after="0" w:line="276" w:lineRule="auto"/>
        <w:jc w:val="both"/>
        <w:rPr>
          <w:rFonts w:ascii="Verdana" w:hAnsi="Verdana" w:cs="Arial"/>
        </w:rPr>
      </w:pPr>
    </w:p>
    <w:p w14:paraId="7E4D24FC" w14:textId="77777777" w:rsidR="009F7516" w:rsidRPr="008557D1" w:rsidRDefault="009F7516" w:rsidP="009F7516">
      <w:pPr>
        <w:spacing w:after="0" w:line="276" w:lineRule="auto"/>
        <w:rPr>
          <w:rFonts w:ascii="Verdana" w:hAnsi="Verdana" w:cs="Arial"/>
          <w:lang w:eastAsia="es-CO"/>
        </w:rPr>
      </w:pPr>
      <w:r w:rsidRPr="008557D1">
        <w:rPr>
          <w:rFonts w:ascii="Verdana" w:eastAsia="Times New Roman" w:hAnsi="Verdana" w:cs="Arial"/>
          <w:lang w:eastAsia="es-CO"/>
        </w:rPr>
        <w:t>Atentamente,</w:t>
      </w:r>
      <w:r w:rsidRPr="008557D1">
        <w:rPr>
          <w:rFonts w:ascii="Verdana" w:hAnsi="Verdana" w:cs="Arial"/>
          <w:lang w:eastAsia="es-CO"/>
        </w:rPr>
        <w:t xml:space="preserve"> </w:t>
      </w:r>
    </w:p>
    <w:p w14:paraId="6FAF0BCA" w14:textId="7E021A24" w:rsidR="009F7516" w:rsidRPr="00431EB9" w:rsidRDefault="00431EB9" w:rsidP="00431EB9">
      <w:pPr>
        <w:spacing w:line="276" w:lineRule="auto"/>
        <w:jc w:val="center"/>
        <w:rPr>
          <w:rFonts w:ascii="Verdana" w:hAnsi="Verdana" w:cs="Arial"/>
          <w:lang w:val="es-ES_tradnl" w:eastAsia="es-CO"/>
        </w:rPr>
      </w:pPr>
      <w:r>
        <w:rPr>
          <w:noProof/>
          <w:color w:val="000000"/>
        </w:rPr>
        <w:drawing>
          <wp:inline distT="0" distB="0" distL="0" distR="0" wp14:anchorId="1CD2BC2E" wp14:editId="4872B79D">
            <wp:extent cx="3254188" cy="1399177"/>
            <wp:effectExtent l="0" t="0" r="3810" b="0"/>
            <wp:docPr id="50643142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431420" name="Imagen 1" descr="Texto&#10;&#10;El contenido generado por IA puede ser incorrecto."/>
                    <pic:cNvPicPr/>
                  </pic:nvPicPr>
                  <pic:blipFill>
                    <a:blip r:embed="rId14">
                      <a:extLst>
                        <a:ext uri="{28A0092B-C50C-407E-A947-70E740481C1C}">
                          <a14:useLocalDpi xmlns:a14="http://schemas.microsoft.com/office/drawing/2010/main" val="0"/>
                        </a:ext>
                      </a:extLst>
                    </a:blip>
                    <a:stretch>
                      <a:fillRect/>
                    </a:stretch>
                  </pic:blipFill>
                  <pic:spPr>
                    <a:xfrm>
                      <a:off x="0" y="0"/>
                      <a:ext cx="3264519" cy="1403619"/>
                    </a:xfrm>
                    <a:prstGeom prst="rect">
                      <a:avLst/>
                    </a:prstGeom>
                  </pic:spPr>
                </pic:pic>
              </a:graphicData>
            </a:graphic>
          </wp:inline>
        </w:drawing>
      </w:r>
      <w:bookmarkEnd w:id="0"/>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0483B" w:rsidRPr="00115E3D" w14:paraId="4A4F6B6A" w14:textId="77777777" w:rsidTr="005F0C36">
        <w:trPr>
          <w:trHeight w:val="315"/>
        </w:trPr>
        <w:tc>
          <w:tcPr>
            <w:tcW w:w="893" w:type="dxa"/>
            <w:vAlign w:val="center"/>
            <w:hideMark/>
          </w:tcPr>
          <w:p w14:paraId="58FEC50C" w14:textId="77777777" w:rsidR="0080483B" w:rsidRPr="00115E3D" w:rsidRDefault="0080483B" w:rsidP="005F0C36">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0DA50E6" w14:textId="77777777" w:rsidR="0080483B" w:rsidRPr="001B2D15" w:rsidRDefault="0080483B" w:rsidP="005F0C36">
            <w:pPr>
              <w:contextualSpacing/>
              <w:rPr>
                <w:rFonts w:ascii="Verdana" w:eastAsia="Arial" w:hAnsi="Verdana" w:cs="Arial"/>
                <w:color w:val="000000" w:themeColor="text1"/>
                <w:sz w:val="14"/>
                <w:szCs w:val="14"/>
              </w:rPr>
            </w:pPr>
            <w:r w:rsidRPr="001B2D15">
              <w:rPr>
                <w:rFonts w:ascii="Verdana" w:eastAsia="Arial" w:hAnsi="Verdana" w:cs="Arial"/>
                <w:color w:val="000000" w:themeColor="text1"/>
                <w:sz w:val="14"/>
                <w:szCs w:val="14"/>
              </w:rPr>
              <w:t>A</w:t>
            </w:r>
            <w:r w:rsidRPr="001B2D15">
              <w:rPr>
                <w:rFonts w:ascii="Verdana" w:eastAsia="Arial" w:hAnsi="Verdana" w:cs="Arial"/>
                <w:sz w:val="14"/>
                <w:szCs w:val="14"/>
              </w:rPr>
              <w:t xml:space="preserve">ndreina Cerpa Muñoz </w:t>
            </w:r>
          </w:p>
          <w:p w14:paraId="125E64D8" w14:textId="77777777" w:rsidR="0080483B" w:rsidRPr="001B2D15" w:rsidRDefault="0080483B" w:rsidP="005F0C36">
            <w:pPr>
              <w:contextualSpacing/>
              <w:rPr>
                <w:rFonts w:ascii="Verdana" w:eastAsia="Arial" w:hAnsi="Verdana" w:cs="Arial"/>
                <w:color w:val="000000" w:themeColor="text1"/>
                <w:sz w:val="14"/>
                <w:szCs w:val="14"/>
              </w:rPr>
            </w:pPr>
            <w:r w:rsidRPr="001B2D15">
              <w:rPr>
                <w:rStyle w:val="normaltextrun"/>
                <w:rFonts w:ascii="Verdana" w:eastAsia="Arial" w:hAnsi="Verdana" w:cs="Arial"/>
                <w:color w:val="000000" w:themeColor="text1"/>
                <w:sz w:val="14"/>
                <w:szCs w:val="14"/>
              </w:rPr>
              <w:t>Analista T2-02 de la Subdirección de Gestión Contractual</w:t>
            </w:r>
          </w:p>
        </w:tc>
      </w:tr>
      <w:tr w:rsidR="0080483B" w:rsidRPr="00115E3D" w14:paraId="08485135" w14:textId="77777777" w:rsidTr="005F0C36">
        <w:trPr>
          <w:trHeight w:val="330"/>
        </w:trPr>
        <w:tc>
          <w:tcPr>
            <w:tcW w:w="893" w:type="dxa"/>
            <w:vAlign w:val="center"/>
            <w:hideMark/>
          </w:tcPr>
          <w:p w14:paraId="63D89D25" w14:textId="77777777" w:rsidR="0080483B" w:rsidRPr="00115E3D" w:rsidRDefault="0080483B" w:rsidP="005F0C36">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81173E7" w14:textId="77777777" w:rsidR="0080483B" w:rsidRPr="001B2D15" w:rsidRDefault="0080483B" w:rsidP="005F0C36">
            <w:pPr>
              <w:pStyle w:val="paragraph"/>
              <w:spacing w:before="0" w:beforeAutospacing="0" w:after="0" w:afterAutospacing="0"/>
              <w:contextualSpacing/>
              <w:textAlignment w:val="baseline"/>
              <w:rPr>
                <w:rFonts w:ascii="Verdana" w:hAnsi="Verdana" w:cs="Segoe UI"/>
                <w:color w:val="000000" w:themeColor="text1"/>
                <w:sz w:val="14"/>
                <w:szCs w:val="14"/>
              </w:rPr>
            </w:pPr>
            <w:r>
              <w:rPr>
                <w:rFonts w:ascii="Verdana" w:hAnsi="Verdana" w:cs="Segoe UI"/>
                <w:color w:val="000000" w:themeColor="text1"/>
                <w:sz w:val="14"/>
                <w:szCs w:val="14"/>
              </w:rPr>
              <w:t xml:space="preserve">Juan David Cárdenas Cabeza </w:t>
            </w:r>
          </w:p>
          <w:p w14:paraId="20982822" w14:textId="77777777" w:rsidR="0080483B" w:rsidRPr="001B2D15" w:rsidRDefault="0080483B" w:rsidP="005F0C36">
            <w:pPr>
              <w:pStyle w:val="paragraph"/>
              <w:spacing w:before="0" w:beforeAutospacing="0" w:after="0" w:afterAutospacing="0"/>
              <w:contextualSpacing/>
              <w:textAlignment w:val="baseline"/>
              <w:rPr>
                <w:rFonts w:ascii="Verdana" w:hAnsi="Verdana" w:cs="Segoe UI"/>
                <w:color w:val="000000" w:themeColor="text1"/>
                <w:sz w:val="14"/>
                <w:szCs w:val="14"/>
              </w:rPr>
            </w:pPr>
            <w:r w:rsidRPr="001B2D15">
              <w:rPr>
                <w:rStyle w:val="normaltextrun"/>
                <w:rFonts w:ascii="Verdana" w:hAnsi="Verdana" w:cs="Arial"/>
                <w:color w:val="000000" w:themeColor="text1"/>
                <w:sz w:val="14"/>
                <w:szCs w:val="14"/>
                <w:lang w:val="es-ES"/>
              </w:rPr>
              <w:t>Contratista de la Subdirección de Gestión Contractual</w:t>
            </w:r>
            <w:r w:rsidRPr="001B2D15">
              <w:rPr>
                <w:rStyle w:val="eop"/>
                <w:rFonts w:ascii="Verdana" w:hAnsi="Verdana" w:cs="Arial"/>
                <w:color w:val="000000" w:themeColor="text1"/>
                <w:sz w:val="14"/>
                <w:szCs w:val="14"/>
              </w:rPr>
              <w:t> </w:t>
            </w:r>
          </w:p>
        </w:tc>
      </w:tr>
      <w:tr w:rsidR="0080483B" w:rsidRPr="00115E3D" w14:paraId="599D98DC" w14:textId="77777777" w:rsidTr="005F0C36">
        <w:trPr>
          <w:trHeight w:val="300"/>
        </w:trPr>
        <w:tc>
          <w:tcPr>
            <w:tcW w:w="893" w:type="dxa"/>
            <w:vAlign w:val="center"/>
          </w:tcPr>
          <w:p w14:paraId="59602236" w14:textId="77777777" w:rsidR="0080483B" w:rsidRPr="00115E3D" w:rsidRDefault="0080483B" w:rsidP="005F0C36">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80D6827" w14:textId="77777777" w:rsidR="0080483B" w:rsidRPr="001B2D15" w:rsidRDefault="0080483B" w:rsidP="005F0C36">
            <w:pPr>
              <w:contextualSpacing/>
              <w:rPr>
                <w:rFonts w:ascii="Verdana" w:eastAsia="Calibri" w:hAnsi="Verdana" w:cs="Arial"/>
                <w:color w:val="000000" w:themeColor="text1"/>
                <w:sz w:val="14"/>
                <w:szCs w:val="14"/>
                <w:lang w:val="pt-BR" w:eastAsia="es-ES"/>
              </w:rPr>
            </w:pPr>
            <w:r w:rsidRPr="001B2D15">
              <w:rPr>
                <w:rFonts w:ascii="Verdana" w:eastAsia="Calibri" w:hAnsi="Verdana" w:cs="Arial"/>
                <w:color w:val="000000" w:themeColor="text1"/>
                <w:sz w:val="14"/>
                <w:szCs w:val="14"/>
                <w:lang w:val="pt-BR" w:eastAsia="es-ES"/>
              </w:rPr>
              <w:t xml:space="preserve">Carolina Quintero </w:t>
            </w:r>
            <w:proofErr w:type="spellStart"/>
            <w:r w:rsidRPr="001B2D15">
              <w:rPr>
                <w:rFonts w:ascii="Verdana" w:eastAsia="Calibri" w:hAnsi="Verdana" w:cs="Arial"/>
                <w:color w:val="000000" w:themeColor="text1"/>
                <w:sz w:val="14"/>
                <w:szCs w:val="14"/>
                <w:lang w:val="pt-BR" w:eastAsia="es-ES"/>
              </w:rPr>
              <w:t>Gacharná</w:t>
            </w:r>
            <w:proofErr w:type="spellEnd"/>
          </w:p>
          <w:p w14:paraId="156187A6" w14:textId="77777777" w:rsidR="0080483B" w:rsidRPr="001B2D15" w:rsidRDefault="0080483B" w:rsidP="005F0C36">
            <w:pPr>
              <w:contextualSpacing/>
              <w:rPr>
                <w:rFonts w:ascii="Verdana" w:eastAsia="Calibri" w:hAnsi="Verdana" w:cs="Arial"/>
                <w:color w:val="000000" w:themeColor="text1"/>
                <w:sz w:val="14"/>
                <w:szCs w:val="14"/>
                <w:lang w:val="pt-BR" w:eastAsia="es-ES"/>
              </w:rPr>
            </w:pPr>
            <w:r w:rsidRPr="001B2D15">
              <w:rPr>
                <w:rFonts w:ascii="Verdana" w:eastAsia="Calibri" w:hAnsi="Verdana" w:cs="Arial"/>
                <w:color w:val="000000" w:themeColor="text1"/>
                <w:sz w:val="14"/>
                <w:szCs w:val="14"/>
                <w:lang w:eastAsia="es-ES"/>
              </w:rPr>
              <w:t>Subdirectora</w:t>
            </w:r>
            <w:r w:rsidRPr="001B2D15">
              <w:rPr>
                <w:rFonts w:ascii="Verdana" w:eastAsia="Calibri" w:hAnsi="Verdana" w:cs="Arial"/>
                <w:color w:val="000000" w:themeColor="text1"/>
                <w:sz w:val="14"/>
                <w:szCs w:val="14"/>
                <w:lang w:val="pt-BR" w:eastAsia="es-ES"/>
              </w:rPr>
              <w:t xml:space="preserve"> de Gestión </w:t>
            </w:r>
            <w:proofErr w:type="spellStart"/>
            <w:r w:rsidRPr="001B2D15">
              <w:rPr>
                <w:rFonts w:ascii="Verdana" w:eastAsia="Calibri" w:hAnsi="Verdana" w:cs="Arial"/>
                <w:color w:val="000000" w:themeColor="text1"/>
                <w:sz w:val="14"/>
                <w:szCs w:val="14"/>
                <w:lang w:val="pt-BR" w:eastAsia="es-ES"/>
              </w:rPr>
              <w:t>Contractual</w:t>
            </w:r>
            <w:proofErr w:type="spellEnd"/>
            <w:r w:rsidRPr="001B2D15">
              <w:rPr>
                <w:rFonts w:ascii="Verdana" w:eastAsia="Calibri" w:hAnsi="Verdana" w:cs="Arial"/>
                <w:color w:val="000000" w:themeColor="text1"/>
                <w:sz w:val="14"/>
                <w:szCs w:val="14"/>
                <w:lang w:val="pt-BR" w:eastAsia="es-ES"/>
              </w:rPr>
              <w:t xml:space="preserve"> ANCP – CCE</w:t>
            </w:r>
          </w:p>
        </w:tc>
      </w:tr>
    </w:tbl>
    <w:p w14:paraId="67DD3F8C" w14:textId="77777777" w:rsidR="009F7516" w:rsidRPr="00896343" w:rsidRDefault="009F7516" w:rsidP="009F7516">
      <w:pPr>
        <w:rPr>
          <w:rFonts w:ascii="Verdana" w:hAnsi="Verdana"/>
        </w:rPr>
      </w:pPr>
    </w:p>
    <w:p w14:paraId="3900974D" w14:textId="77777777" w:rsidR="003D5B0D" w:rsidRPr="00896343" w:rsidRDefault="003D5B0D" w:rsidP="009F7516">
      <w:pPr>
        <w:rPr>
          <w:rFonts w:ascii="Verdana" w:hAnsi="Verdana"/>
        </w:rPr>
      </w:pPr>
    </w:p>
    <w:sectPr w:rsidR="003D5B0D" w:rsidRPr="00896343"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2363FE" w14:textId="77777777" w:rsidR="007E2655" w:rsidRDefault="007E2655" w:rsidP="004A1847">
      <w:pPr>
        <w:spacing w:after="0" w:line="240" w:lineRule="auto"/>
      </w:pPr>
      <w:r>
        <w:separator/>
      </w:r>
    </w:p>
  </w:endnote>
  <w:endnote w:type="continuationSeparator" w:id="0">
    <w:p w14:paraId="62B4DC03" w14:textId="77777777" w:rsidR="007E2655" w:rsidRDefault="007E2655" w:rsidP="004A1847">
      <w:pPr>
        <w:spacing w:after="0" w:line="240" w:lineRule="auto"/>
      </w:pPr>
      <w:r>
        <w:continuationSeparator/>
      </w:r>
    </w:p>
  </w:endnote>
  <w:endnote w:type="continuationNotice" w:id="1">
    <w:p w14:paraId="16771489" w14:textId="77777777" w:rsidR="007E2655" w:rsidRDefault="007E265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9060B1" w14:textId="77777777" w:rsidR="007E2655" w:rsidRDefault="007E2655" w:rsidP="004A1847">
      <w:pPr>
        <w:spacing w:after="0" w:line="240" w:lineRule="auto"/>
      </w:pPr>
      <w:r>
        <w:separator/>
      </w:r>
    </w:p>
  </w:footnote>
  <w:footnote w:type="continuationSeparator" w:id="0">
    <w:p w14:paraId="5BE1B905" w14:textId="77777777" w:rsidR="007E2655" w:rsidRDefault="007E2655" w:rsidP="004A1847">
      <w:pPr>
        <w:spacing w:after="0" w:line="240" w:lineRule="auto"/>
      </w:pPr>
      <w:r>
        <w:continuationSeparator/>
      </w:r>
    </w:p>
  </w:footnote>
  <w:footnote w:type="continuationNotice" w:id="1">
    <w:p w14:paraId="47399692" w14:textId="77777777" w:rsidR="007E2655" w:rsidRDefault="007E2655">
      <w:pPr>
        <w:spacing w:after="0" w:line="240" w:lineRule="auto"/>
      </w:pPr>
    </w:p>
  </w:footnote>
  <w:footnote w:id="2">
    <w:p w14:paraId="30E7FA4F" w14:textId="77777777" w:rsidR="009F7516" w:rsidRPr="005360B8" w:rsidRDefault="009F7516" w:rsidP="009F7516">
      <w:pPr>
        <w:pStyle w:val="Textonotapie"/>
        <w:contextualSpacing/>
        <w:jc w:val="both"/>
        <w:rPr>
          <w:rFonts w:ascii="Verdana" w:hAnsi="Verdana" w:cs="Arial"/>
          <w:sz w:val="16"/>
          <w:szCs w:val="16"/>
          <w:lang w:val="pt-BR"/>
        </w:rPr>
      </w:pPr>
      <w:r w:rsidRPr="005360B8">
        <w:rPr>
          <w:rStyle w:val="Refdenotaalpie"/>
          <w:rFonts w:ascii="Verdana" w:hAnsi="Verdana"/>
          <w:sz w:val="16"/>
          <w:szCs w:val="16"/>
        </w:rPr>
        <w:footnoteRef/>
      </w:r>
      <w:r w:rsidRPr="005360B8">
        <w:rPr>
          <w:rFonts w:ascii="Verdana" w:hAnsi="Verdana"/>
          <w:sz w:val="16"/>
          <w:szCs w:val="16"/>
        </w:rPr>
        <w:t xml:space="preserve"> </w:t>
      </w:r>
      <w:r w:rsidRPr="005360B8">
        <w:rPr>
          <w:rFonts w:ascii="Verdana" w:hAnsi="Verdana" w:cs="Arial"/>
          <w:sz w:val="16"/>
          <w:szCs w:val="16"/>
          <w:lang w:val="pt-BR"/>
        </w:rPr>
        <w:t xml:space="preserve">Corte Constitucional. Sentencia C-1016 de 2012. M.P. Jorge Iván Palacio. </w:t>
      </w:r>
    </w:p>
    <w:p w14:paraId="4E7A7DF8" w14:textId="77777777" w:rsidR="009F7516" w:rsidRPr="005360B8" w:rsidRDefault="009F7516" w:rsidP="009F7516">
      <w:pPr>
        <w:pStyle w:val="Textonotapie"/>
        <w:rPr>
          <w:lang w:val="es-ES"/>
        </w:rPr>
      </w:pPr>
    </w:p>
  </w:footnote>
  <w:footnote w:id="3">
    <w:p w14:paraId="4C3F61B1" w14:textId="77777777" w:rsidR="009F7516" w:rsidRPr="00E333E3" w:rsidRDefault="009F7516" w:rsidP="009F7516">
      <w:pPr>
        <w:pStyle w:val="Textonotapie"/>
        <w:contextualSpacing/>
        <w:jc w:val="both"/>
        <w:rPr>
          <w:rFonts w:ascii="Verdana" w:hAnsi="Verdana" w:cs="Arial"/>
          <w:sz w:val="16"/>
          <w:szCs w:val="16"/>
          <w:lang w:val="pt-BR"/>
        </w:rPr>
      </w:pPr>
      <w:r w:rsidRPr="00E333E3">
        <w:rPr>
          <w:rStyle w:val="Refdenotaalpie"/>
          <w:rFonts w:ascii="Verdana" w:hAnsi="Verdana"/>
          <w:sz w:val="16"/>
          <w:szCs w:val="16"/>
        </w:rPr>
        <w:footnoteRef/>
      </w:r>
      <w:r w:rsidRPr="00E333E3">
        <w:rPr>
          <w:rFonts w:ascii="Verdana" w:hAnsi="Verdana"/>
          <w:sz w:val="16"/>
          <w:szCs w:val="16"/>
        </w:rPr>
        <w:t xml:space="preserve"> </w:t>
      </w:r>
      <w:r w:rsidRPr="00E333E3">
        <w:rPr>
          <w:rFonts w:ascii="Verdana" w:hAnsi="Verdana" w:cs="Arial"/>
          <w:sz w:val="16"/>
          <w:szCs w:val="16"/>
        </w:rPr>
        <w:t xml:space="preserve">Consejo De Estado. Sección Tercera. Subsección A. Sentencia del 13 de noviembre de 2013. </w:t>
      </w:r>
      <w:r w:rsidRPr="00E333E3">
        <w:rPr>
          <w:rFonts w:ascii="Verdana" w:hAnsi="Verdana" w:cs="Arial"/>
          <w:sz w:val="16"/>
          <w:szCs w:val="16"/>
          <w:lang w:val="pt-BR"/>
        </w:rPr>
        <w:t xml:space="preserve">Rad. 25.646. C.P. Mauricio Fajardo Gómez.  </w:t>
      </w:r>
    </w:p>
    <w:p w14:paraId="3693B1E5" w14:textId="77777777" w:rsidR="009F7516" w:rsidRPr="00E333E3" w:rsidRDefault="009F7516" w:rsidP="009F7516">
      <w:pPr>
        <w:pStyle w:val="Textonotapie"/>
        <w:rPr>
          <w:rFonts w:ascii="Verdana" w:hAnsi="Verdana"/>
          <w:sz w:val="16"/>
          <w:szCs w:val="16"/>
          <w:lang w:val="es-ES"/>
        </w:rPr>
      </w:pPr>
    </w:p>
  </w:footnote>
  <w:footnote w:id="4">
    <w:p w14:paraId="5B1C7BED" w14:textId="77777777" w:rsidR="009F7516" w:rsidRPr="00E333E3" w:rsidRDefault="009F7516" w:rsidP="009F7516">
      <w:pPr>
        <w:pStyle w:val="Textonotapie"/>
        <w:rPr>
          <w:rFonts w:ascii="Verdana" w:hAnsi="Verdana"/>
          <w:sz w:val="16"/>
          <w:szCs w:val="16"/>
          <w:lang w:val="es-ES"/>
        </w:rPr>
      </w:pPr>
      <w:r w:rsidRPr="00E333E3">
        <w:rPr>
          <w:rStyle w:val="Refdenotaalpie"/>
          <w:rFonts w:ascii="Verdana" w:hAnsi="Verdana"/>
          <w:sz w:val="16"/>
          <w:szCs w:val="16"/>
        </w:rPr>
        <w:footnoteRef/>
      </w:r>
      <w:r w:rsidRPr="00E333E3">
        <w:rPr>
          <w:rFonts w:ascii="Verdana" w:hAnsi="Verdana"/>
          <w:sz w:val="16"/>
          <w:szCs w:val="16"/>
        </w:rPr>
        <w:t xml:space="preserve"> Corte Constitucional. Sentencia C-415 de 1994. M.P. Eduardo Cifuentes Muñoz.</w:t>
      </w:r>
    </w:p>
  </w:footnote>
  <w:footnote w:id="5">
    <w:p w14:paraId="6ECB15DA" w14:textId="77777777" w:rsidR="009F7516" w:rsidRPr="004D11CB" w:rsidRDefault="009F7516" w:rsidP="009F7516">
      <w:pPr>
        <w:pStyle w:val="Textonotapie"/>
        <w:rPr>
          <w:rFonts w:ascii="Verdana" w:hAnsi="Verdana"/>
          <w:sz w:val="16"/>
          <w:szCs w:val="16"/>
          <w:lang w:val="es-ES"/>
        </w:rPr>
      </w:pPr>
      <w:r w:rsidRPr="004D11CB">
        <w:rPr>
          <w:rStyle w:val="Refdenotaalpie"/>
          <w:rFonts w:ascii="Verdana" w:hAnsi="Verdana"/>
          <w:sz w:val="16"/>
          <w:szCs w:val="16"/>
        </w:rPr>
        <w:footnoteRef/>
      </w:r>
      <w:r w:rsidRPr="004D11CB">
        <w:rPr>
          <w:rFonts w:ascii="Verdana" w:hAnsi="Verdana"/>
          <w:sz w:val="16"/>
          <w:szCs w:val="16"/>
        </w:rPr>
        <w:t xml:space="preserve"> </w:t>
      </w:r>
      <w:r w:rsidRPr="004D11CB">
        <w:rPr>
          <w:rFonts w:ascii="Verdana" w:hAnsi="Verdana" w:cs="Arial"/>
          <w:sz w:val="16"/>
          <w:szCs w:val="16"/>
          <w:lang w:val="pt-BR"/>
        </w:rPr>
        <w:t>Ibidem.</w:t>
      </w:r>
    </w:p>
  </w:footnote>
  <w:footnote w:id="6">
    <w:p w14:paraId="00123579" w14:textId="77777777" w:rsidR="009F7516" w:rsidRPr="004D11CB" w:rsidRDefault="009F7516" w:rsidP="009F7516">
      <w:pPr>
        <w:pStyle w:val="Textonotapie"/>
        <w:rPr>
          <w:rFonts w:ascii="Verdana" w:hAnsi="Verdana"/>
          <w:sz w:val="16"/>
          <w:szCs w:val="16"/>
          <w:lang w:val="es-ES"/>
        </w:rPr>
      </w:pPr>
      <w:r w:rsidRPr="004D11CB">
        <w:rPr>
          <w:rStyle w:val="Refdenotaalpie"/>
          <w:rFonts w:ascii="Verdana" w:hAnsi="Verdana"/>
          <w:sz w:val="16"/>
          <w:szCs w:val="16"/>
        </w:rPr>
        <w:footnoteRef/>
      </w:r>
      <w:r w:rsidRPr="004D11CB">
        <w:rPr>
          <w:rFonts w:ascii="Verdana" w:hAnsi="Verdana"/>
          <w:sz w:val="16"/>
          <w:szCs w:val="16"/>
        </w:rPr>
        <w:t xml:space="preserve"> </w:t>
      </w:r>
      <w:r w:rsidRPr="004D11CB">
        <w:rPr>
          <w:rFonts w:ascii="Verdana" w:hAnsi="Verdana" w:cs="Arial"/>
          <w:sz w:val="16"/>
          <w:szCs w:val="16"/>
          <w:lang w:val="pt-BR"/>
        </w:rPr>
        <w:t xml:space="preserve">Corte Constitucional. </w:t>
      </w:r>
      <w:r w:rsidRPr="004D11CB">
        <w:rPr>
          <w:rFonts w:ascii="Verdana" w:hAnsi="Verdana" w:cs="Arial"/>
          <w:sz w:val="16"/>
          <w:szCs w:val="16"/>
        </w:rPr>
        <w:t>Sentencia C-780 de 2001. M.P. Jaime Córdoba Triviño.</w:t>
      </w:r>
    </w:p>
  </w:footnote>
  <w:footnote w:id="7">
    <w:p w14:paraId="559A1E60" w14:textId="77777777" w:rsidR="009F7516" w:rsidRPr="004D11CB" w:rsidRDefault="009F7516" w:rsidP="009F7516">
      <w:pPr>
        <w:pStyle w:val="Textonotapie"/>
        <w:rPr>
          <w:rFonts w:ascii="Verdana" w:hAnsi="Verdana"/>
          <w:sz w:val="16"/>
          <w:szCs w:val="16"/>
          <w:lang w:val="es-ES"/>
        </w:rPr>
      </w:pPr>
      <w:r w:rsidRPr="004D11CB">
        <w:rPr>
          <w:rStyle w:val="Refdenotaalpie"/>
          <w:rFonts w:ascii="Verdana" w:hAnsi="Verdana"/>
          <w:sz w:val="16"/>
          <w:szCs w:val="16"/>
        </w:rPr>
        <w:footnoteRef/>
      </w:r>
      <w:r w:rsidRPr="004D11CB">
        <w:rPr>
          <w:rFonts w:ascii="Verdana" w:hAnsi="Verdana"/>
          <w:sz w:val="16"/>
          <w:szCs w:val="16"/>
        </w:rPr>
        <w:t xml:space="preserve"> </w:t>
      </w:r>
      <w:r w:rsidRPr="004D11CB">
        <w:rPr>
          <w:rFonts w:ascii="Verdana" w:hAnsi="Verdana" w:cs="Arial"/>
          <w:sz w:val="16"/>
          <w:szCs w:val="16"/>
          <w:lang w:val="pt-BR"/>
        </w:rPr>
        <w:t>Ibidem</w:t>
      </w:r>
      <w:r w:rsidRPr="004D11CB">
        <w:rPr>
          <w:rFonts w:ascii="Verdana" w:hAnsi="Verdana" w:cs="Arial"/>
          <w:color w:val="000000"/>
          <w:sz w:val="16"/>
          <w:szCs w:val="16"/>
          <w:lang w:val="es-ES"/>
        </w:rPr>
        <w:t>. Página 69.</w:t>
      </w:r>
    </w:p>
  </w:footnote>
  <w:footnote w:id="8">
    <w:p w14:paraId="148C244B" w14:textId="77777777" w:rsidR="009F7516" w:rsidRPr="004D11CB" w:rsidRDefault="009F7516" w:rsidP="009F7516">
      <w:pPr>
        <w:pStyle w:val="Textonotapie"/>
        <w:jc w:val="both"/>
        <w:rPr>
          <w:rFonts w:ascii="Verdana" w:hAnsi="Verdana"/>
          <w:sz w:val="16"/>
          <w:szCs w:val="16"/>
          <w:lang w:val="es-ES"/>
        </w:rPr>
      </w:pPr>
      <w:r>
        <w:rPr>
          <w:rStyle w:val="Refdenotaalpie"/>
        </w:rPr>
        <w:footnoteRef/>
      </w:r>
      <w:r>
        <w:t xml:space="preserve"> </w:t>
      </w:r>
      <w:r w:rsidRPr="004D11CB">
        <w:rPr>
          <w:rFonts w:ascii="Verdana" w:hAnsi="Verdana"/>
          <w:sz w:val="16"/>
          <w:szCs w:val="16"/>
        </w:rPr>
        <w:t xml:space="preserve">Corte Constitucional. Sentencia T-1039 de 2006. </w:t>
      </w:r>
      <w:r w:rsidRPr="00850F05">
        <w:rPr>
          <w:rFonts w:ascii="Verdana" w:hAnsi="Verdana"/>
          <w:sz w:val="16"/>
          <w:szCs w:val="16"/>
          <w:lang w:val="it-IT"/>
        </w:rPr>
        <w:t xml:space="preserve">Magistrado Ponente: Humberto Sierra Porto. </w:t>
      </w:r>
      <w:r w:rsidRPr="004D11CB">
        <w:rPr>
          <w:rFonts w:ascii="Verdana" w:hAnsi="Verdana"/>
          <w:sz w:val="16"/>
          <w:szCs w:val="16"/>
        </w:rPr>
        <w:t>La Corte ha mantenido este criterio en las sentencias: C-903 de 2008. Magistrado Ponente: Jaime Araujo Rentería; C-101 de 2018. Magistrada Ponente Gloria Stella Ortiz Delgado; entre otras.</w:t>
      </w:r>
    </w:p>
  </w:footnote>
  <w:footnote w:id="9">
    <w:p w14:paraId="5F590312" w14:textId="77777777" w:rsidR="009F7516" w:rsidRPr="00E77D0F" w:rsidRDefault="009F7516" w:rsidP="009F7516">
      <w:pPr>
        <w:pStyle w:val="Textonotapie"/>
        <w:rPr>
          <w:rFonts w:ascii="Verdana" w:hAnsi="Verdana"/>
          <w:sz w:val="16"/>
          <w:szCs w:val="16"/>
        </w:rPr>
      </w:pPr>
      <w:r>
        <w:rPr>
          <w:rStyle w:val="Refdenotaalpie"/>
        </w:rPr>
        <w:footnoteRef/>
      </w:r>
      <w:r>
        <w:t xml:space="preserve"> </w:t>
      </w:r>
      <w:r w:rsidRPr="004D11CB">
        <w:rPr>
          <w:rFonts w:ascii="Verdana" w:hAnsi="Verdana"/>
          <w:sz w:val="16"/>
          <w:szCs w:val="16"/>
        </w:rPr>
        <w:t>Consejo de Estado. Sala de Consulta y Servicio Civil. Concepto del 30 de abril de 2015. Expediente: 2.251. Consejero Ponente: Álvaro Namén Vargas.</w:t>
      </w:r>
    </w:p>
  </w:footnote>
  <w:footnote w:id="10">
    <w:p w14:paraId="74D7C1B9" w14:textId="77777777" w:rsidR="009F7516" w:rsidRPr="001C7DC9" w:rsidRDefault="009F7516" w:rsidP="009F7516">
      <w:pPr>
        <w:spacing w:line="240" w:lineRule="auto"/>
        <w:rPr>
          <w:rFonts w:ascii="Verdana" w:hAnsi="Verdana"/>
          <w:kern w:val="2"/>
          <w:sz w:val="16"/>
          <w:szCs w:val="16"/>
          <w:lang w:val="es-MX"/>
          <w14:ligatures w14:val="standardContextual"/>
        </w:rPr>
      </w:pPr>
      <w:r w:rsidRPr="001C7DC9">
        <w:rPr>
          <w:rStyle w:val="Refdenotaalpie"/>
          <w:rFonts w:ascii="Verdana" w:hAnsi="Verdana"/>
          <w:sz w:val="16"/>
          <w:szCs w:val="16"/>
        </w:rPr>
        <w:footnoteRef/>
      </w:r>
      <w:r w:rsidRPr="001C7DC9">
        <w:rPr>
          <w:rFonts w:ascii="Verdana" w:hAnsi="Verdana"/>
          <w:sz w:val="16"/>
          <w:szCs w:val="16"/>
        </w:rPr>
        <w:t xml:space="preserve"> </w:t>
      </w:r>
      <w:r w:rsidRPr="001C7DC9">
        <w:rPr>
          <w:rFonts w:ascii="Verdana" w:hAnsi="Verdana"/>
          <w:kern w:val="2"/>
          <w:sz w:val="16"/>
          <w:szCs w:val="16"/>
          <w:lang w:val="es-MX"/>
          <w14:ligatures w14:val="standardContextual"/>
        </w:rPr>
        <w:t>Consejo de Estado. Sección Tercera. Subsección A. Sentencia del 24 de junio de 2015. Exp. 40.635. Consejero Ponente: Hernán Andrade Rincón (E).</w:t>
      </w:r>
    </w:p>
  </w:footnote>
  <w:footnote w:id="11">
    <w:p w14:paraId="142FBD89" w14:textId="77777777" w:rsidR="009F7516" w:rsidRPr="001C7DC9" w:rsidRDefault="009F7516" w:rsidP="009F7516">
      <w:pPr>
        <w:pStyle w:val="Textonotapie"/>
        <w:rPr>
          <w:rFonts w:ascii="Verdana" w:hAnsi="Verdana"/>
          <w:sz w:val="16"/>
          <w:szCs w:val="16"/>
          <w:lang w:val="es-ES"/>
        </w:rPr>
      </w:pPr>
      <w:r w:rsidRPr="001C7DC9">
        <w:rPr>
          <w:rStyle w:val="Refdenotaalpie"/>
          <w:rFonts w:ascii="Verdana" w:hAnsi="Verdana"/>
          <w:sz w:val="16"/>
          <w:szCs w:val="16"/>
        </w:rPr>
        <w:footnoteRef/>
      </w:r>
      <w:r w:rsidRPr="001C7DC9">
        <w:rPr>
          <w:rFonts w:ascii="Verdana" w:hAnsi="Verdana"/>
          <w:sz w:val="16"/>
          <w:szCs w:val="16"/>
        </w:rPr>
        <w:t xml:space="preserve"> Consejo de Estado. Sección Tercera. Subsección C. Sentencia del 22 de mayo de 2013. Exp. 24.057. Consejera Ponente: Olga Melida Valle De De La Hoz.</w:t>
      </w:r>
    </w:p>
  </w:footnote>
  <w:footnote w:id="12">
    <w:p w14:paraId="6A9CA85A" w14:textId="77777777" w:rsidR="00027481" w:rsidRPr="007A0D4B" w:rsidRDefault="00027481" w:rsidP="00027481">
      <w:pPr>
        <w:pStyle w:val="Textonotapie"/>
        <w:ind w:firstLine="709"/>
        <w:contextualSpacing/>
        <w:jc w:val="both"/>
        <w:rPr>
          <w:rFonts w:ascii="Century Gothic" w:hAnsi="Century Gothic" w:cs="Arial"/>
          <w:sz w:val="16"/>
          <w:szCs w:val="16"/>
        </w:rPr>
      </w:pPr>
      <w:r w:rsidRPr="007A0D4B">
        <w:rPr>
          <w:rStyle w:val="Refdenotaalpie"/>
          <w:rFonts w:ascii="Century Gothic" w:hAnsi="Century Gothic" w:cs="Arial"/>
          <w:sz w:val="16"/>
          <w:szCs w:val="16"/>
        </w:rPr>
        <w:footnoteRef/>
      </w:r>
      <w:r w:rsidRPr="007A0D4B">
        <w:rPr>
          <w:rFonts w:ascii="Century Gothic" w:hAnsi="Century Gothic" w:cs="Arial"/>
          <w:sz w:val="16"/>
          <w:szCs w:val="16"/>
        </w:rPr>
        <w:t xml:space="preserve"> Código Civil: “Artículo 33. Palabras relacionadas con las personas. La palabra persona en su sentido general se aplica(rá) a la especie humana, sin distinción de sexo”.</w:t>
      </w:r>
    </w:p>
    <w:p w14:paraId="16F3710B" w14:textId="77777777" w:rsidR="00027481" w:rsidRPr="007A0D4B" w:rsidRDefault="00027481" w:rsidP="00027481">
      <w:pPr>
        <w:pStyle w:val="Textonotapie"/>
        <w:ind w:firstLine="709"/>
        <w:contextualSpacing/>
        <w:jc w:val="both"/>
        <w:rPr>
          <w:rFonts w:ascii="Century Gothic" w:hAnsi="Century Gothic" w:cs="Arial"/>
          <w:sz w:val="16"/>
          <w:szCs w:val="16"/>
          <w:lang w:val="es-CO"/>
        </w:rPr>
      </w:pPr>
    </w:p>
  </w:footnote>
  <w:footnote w:id="13">
    <w:p w14:paraId="14447F80" w14:textId="77777777" w:rsidR="00027481" w:rsidRPr="007A0D4B" w:rsidRDefault="00027481" w:rsidP="00027481">
      <w:pPr>
        <w:pStyle w:val="Textonotapie"/>
        <w:ind w:firstLine="709"/>
        <w:contextualSpacing/>
        <w:jc w:val="both"/>
        <w:rPr>
          <w:rFonts w:ascii="Century Gothic" w:hAnsi="Century Gothic" w:cs="Arial"/>
          <w:sz w:val="16"/>
          <w:szCs w:val="16"/>
        </w:rPr>
      </w:pPr>
      <w:r w:rsidRPr="007A0D4B">
        <w:rPr>
          <w:rStyle w:val="Refdenotaalpie"/>
          <w:rFonts w:ascii="Century Gothic" w:hAnsi="Century Gothic" w:cs="Arial"/>
          <w:sz w:val="16"/>
          <w:szCs w:val="16"/>
        </w:rPr>
        <w:footnoteRef/>
      </w:r>
      <w:r w:rsidRPr="007A0D4B">
        <w:rPr>
          <w:rFonts w:ascii="Century Gothic" w:hAnsi="Century Gothic" w:cs="Arial"/>
          <w:sz w:val="16"/>
          <w:szCs w:val="16"/>
        </w:rPr>
        <w:t>Constitución Política de Colombia: “Artículo 42. La familia es el núcleo fundamental de la sociedad. Se constituye por vínculos naturales o jurídicos, por la decisión libre de un hombre y una mujer de contraer matrimonio o por la voluntad responsable de conformarla”.</w:t>
      </w:r>
    </w:p>
    <w:p w14:paraId="22DC1670" w14:textId="77777777" w:rsidR="00027481" w:rsidRPr="007A0D4B" w:rsidRDefault="00027481" w:rsidP="00027481">
      <w:pPr>
        <w:pStyle w:val="Textonotapie"/>
        <w:ind w:firstLine="709"/>
        <w:contextualSpacing/>
        <w:jc w:val="both"/>
        <w:rPr>
          <w:rFonts w:ascii="Century Gothic" w:hAnsi="Century Gothic" w:cs="Arial"/>
          <w:sz w:val="16"/>
          <w:szCs w:val="16"/>
          <w:lang w:val="es-CO"/>
        </w:rPr>
      </w:pPr>
    </w:p>
  </w:footnote>
  <w:footnote w:id="14">
    <w:p w14:paraId="70557E5B" w14:textId="77777777" w:rsidR="00027481" w:rsidRPr="007A0D4B" w:rsidRDefault="00027481" w:rsidP="00027481">
      <w:pPr>
        <w:pStyle w:val="Textonotapie"/>
        <w:ind w:firstLine="709"/>
        <w:contextualSpacing/>
        <w:jc w:val="both"/>
        <w:rPr>
          <w:rFonts w:ascii="Century Gothic" w:hAnsi="Century Gothic" w:cs="Arial"/>
          <w:sz w:val="16"/>
          <w:szCs w:val="16"/>
        </w:rPr>
      </w:pPr>
      <w:r w:rsidRPr="007A0D4B">
        <w:rPr>
          <w:rStyle w:val="Refdenotaalpie"/>
          <w:rFonts w:ascii="Century Gothic" w:hAnsi="Century Gothic" w:cs="Arial"/>
          <w:sz w:val="16"/>
          <w:szCs w:val="16"/>
        </w:rPr>
        <w:footnoteRef/>
      </w:r>
      <w:r w:rsidRPr="007A0D4B">
        <w:rPr>
          <w:rFonts w:ascii="Century Gothic" w:hAnsi="Century Gothic" w:cs="Arial"/>
          <w:sz w:val="16"/>
          <w:szCs w:val="16"/>
        </w:rPr>
        <w:t xml:space="preserve"> Código Civil: “Artículo 113. Definición. El matrimonio es un contrato solemne por el cual un hombre y una mujer se unen con el fin de vivir juntos, de procrear y de auxiliarse mutuamente”.</w:t>
      </w:r>
    </w:p>
    <w:p w14:paraId="1ADD67B1" w14:textId="77777777" w:rsidR="00027481" w:rsidRPr="007A0D4B" w:rsidRDefault="00027481" w:rsidP="00027481">
      <w:pPr>
        <w:pStyle w:val="Textonotapie"/>
        <w:ind w:firstLine="709"/>
        <w:contextualSpacing/>
        <w:jc w:val="both"/>
        <w:rPr>
          <w:rFonts w:ascii="Century Gothic" w:hAnsi="Century Gothic" w:cs="Arial"/>
          <w:sz w:val="16"/>
          <w:szCs w:val="16"/>
          <w:lang w:val="es-CO"/>
        </w:rPr>
      </w:pPr>
    </w:p>
  </w:footnote>
  <w:footnote w:id="15">
    <w:p w14:paraId="3ADFA3E1" w14:textId="77777777" w:rsidR="00027481" w:rsidRPr="007A0D4B" w:rsidRDefault="00027481" w:rsidP="00027481">
      <w:pPr>
        <w:pStyle w:val="Textonotapie"/>
        <w:ind w:firstLine="709"/>
        <w:contextualSpacing/>
        <w:jc w:val="both"/>
        <w:rPr>
          <w:rFonts w:ascii="Century Gothic" w:hAnsi="Century Gothic" w:cs="Arial"/>
          <w:sz w:val="16"/>
          <w:szCs w:val="16"/>
        </w:rPr>
      </w:pPr>
      <w:r w:rsidRPr="007A0D4B">
        <w:rPr>
          <w:rStyle w:val="Refdenotaalpie"/>
          <w:rFonts w:ascii="Century Gothic" w:hAnsi="Century Gothic" w:cs="Arial"/>
          <w:sz w:val="16"/>
          <w:szCs w:val="16"/>
        </w:rPr>
        <w:footnoteRef/>
      </w:r>
      <w:r w:rsidRPr="007A0D4B">
        <w:rPr>
          <w:rFonts w:ascii="Century Gothic" w:hAnsi="Century Gothic" w:cs="Arial"/>
          <w:sz w:val="16"/>
          <w:szCs w:val="16"/>
        </w:rPr>
        <w:t xml:space="preserve"> Ley 54 de 1990: “Artículo 1. A partir de la vigencia de la presente Ley y para todos los efectos civiles, se denomina Unión Marital de Hecho, la formada entre un hombre y una mujer, </w:t>
      </w:r>
      <w:r w:rsidRPr="007A0D4B">
        <w:rPr>
          <w:rFonts w:ascii="Century Gothic" w:hAnsi="Century Gothic" w:cs="Arial"/>
          <w:sz w:val="16"/>
          <w:szCs w:val="16"/>
        </w:rPr>
        <w:t>que sin estar casados, hacen una comunidad de vida permanente y singular.</w:t>
      </w:r>
    </w:p>
    <w:p w14:paraId="309EB985" w14:textId="77777777" w:rsidR="00027481" w:rsidRPr="007A0D4B" w:rsidRDefault="00027481" w:rsidP="00027481">
      <w:pPr>
        <w:pStyle w:val="Textonotapie"/>
        <w:ind w:firstLine="709"/>
        <w:contextualSpacing/>
        <w:jc w:val="both"/>
        <w:rPr>
          <w:rFonts w:ascii="Century Gothic" w:hAnsi="Century Gothic" w:cs="Arial"/>
          <w:sz w:val="16"/>
          <w:szCs w:val="16"/>
        </w:rPr>
      </w:pPr>
      <w:r w:rsidRPr="007A0D4B">
        <w:rPr>
          <w:rFonts w:ascii="Century Gothic" w:hAnsi="Century Gothic" w:cs="Arial"/>
          <w:sz w:val="16"/>
          <w:szCs w:val="16"/>
        </w:rPr>
        <w:t>Igualmente, y para todos los efectos civiles, se denominan compañero y compañera permanente, al hombre y la mujer que forman parte de la unión marital de hecho”.</w:t>
      </w:r>
    </w:p>
    <w:p w14:paraId="543FE16E" w14:textId="77777777" w:rsidR="00027481" w:rsidRPr="007A0D4B" w:rsidRDefault="00027481" w:rsidP="00027481">
      <w:pPr>
        <w:pStyle w:val="Textonotapie"/>
        <w:ind w:firstLine="709"/>
        <w:contextualSpacing/>
        <w:jc w:val="both"/>
        <w:rPr>
          <w:rFonts w:ascii="Century Gothic" w:hAnsi="Century Gothic" w:cs="Arial"/>
          <w:sz w:val="16"/>
          <w:szCs w:val="16"/>
          <w:lang w:val="es-CO"/>
        </w:rPr>
      </w:pPr>
    </w:p>
  </w:footnote>
  <w:footnote w:id="16">
    <w:p w14:paraId="31B8290E" w14:textId="77777777" w:rsidR="00027481" w:rsidRPr="007A0D4B" w:rsidRDefault="00027481" w:rsidP="00027481">
      <w:pPr>
        <w:pStyle w:val="Textonotapie"/>
        <w:ind w:firstLine="709"/>
        <w:contextualSpacing/>
        <w:jc w:val="both"/>
        <w:rPr>
          <w:rFonts w:ascii="Century Gothic" w:hAnsi="Century Gothic" w:cs="Arial"/>
          <w:sz w:val="16"/>
          <w:szCs w:val="16"/>
        </w:rPr>
      </w:pPr>
      <w:r w:rsidRPr="007A0D4B">
        <w:rPr>
          <w:rStyle w:val="Refdenotaalpie"/>
          <w:rFonts w:ascii="Century Gothic" w:hAnsi="Century Gothic" w:cs="Arial"/>
          <w:sz w:val="16"/>
          <w:szCs w:val="16"/>
        </w:rPr>
        <w:footnoteRef/>
      </w:r>
      <w:r w:rsidRPr="007A0D4B">
        <w:rPr>
          <w:rFonts w:ascii="Century Gothic" w:hAnsi="Century Gothic" w:cs="Arial"/>
          <w:sz w:val="16"/>
          <w:szCs w:val="16"/>
        </w:rPr>
        <w:t xml:space="preserve"> Corte Constitucional. Sentencia C-029 de 2009. M.P. Rodrigo Escobar Gil.</w:t>
      </w:r>
    </w:p>
    <w:p w14:paraId="010BCDBD" w14:textId="77777777" w:rsidR="00027481" w:rsidRPr="007A0D4B" w:rsidRDefault="00027481" w:rsidP="00027481">
      <w:pPr>
        <w:pStyle w:val="Textonotapie"/>
        <w:ind w:firstLine="709"/>
        <w:contextualSpacing/>
        <w:jc w:val="both"/>
        <w:rPr>
          <w:rFonts w:ascii="Century Gothic" w:hAnsi="Century Gothic" w:cs="Arial"/>
          <w:sz w:val="16"/>
          <w:szCs w:val="16"/>
          <w:lang w:val="es-CO"/>
        </w:rPr>
      </w:pPr>
    </w:p>
  </w:footnote>
  <w:footnote w:id="17">
    <w:p w14:paraId="3CE0825C" w14:textId="77777777" w:rsidR="00027481" w:rsidRPr="007A0D4B" w:rsidRDefault="00027481" w:rsidP="00027481">
      <w:pPr>
        <w:pStyle w:val="Textonotapie"/>
        <w:ind w:firstLine="709"/>
        <w:contextualSpacing/>
        <w:jc w:val="both"/>
        <w:rPr>
          <w:rFonts w:ascii="Century Gothic" w:hAnsi="Century Gothic" w:cs="Arial"/>
          <w:sz w:val="16"/>
          <w:szCs w:val="16"/>
        </w:rPr>
      </w:pPr>
      <w:r w:rsidRPr="007A0D4B">
        <w:rPr>
          <w:rStyle w:val="Refdenotaalpie"/>
          <w:rFonts w:ascii="Century Gothic" w:hAnsi="Century Gothic" w:cs="Arial"/>
          <w:sz w:val="16"/>
          <w:szCs w:val="16"/>
        </w:rPr>
        <w:footnoteRef/>
      </w:r>
      <w:r w:rsidRPr="007A0D4B">
        <w:rPr>
          <w:rFonts w:ascii="Century Gothic" w:hAnsi="Century Gothic" w:cs="Arial"/>
          <w:sz w:val="16"/>
          <w:szCs w:val="16"/>
        </w:rPr>
        <w:t xml:space="preserve"> Código Civil: “Artículo 36”.</w:t>
      </w:r>
    </w:p>
    <w:p w14:paraId="0BF5CDD5" w14:textId="77777777" w:rsidR="00027481" w:rsidRPr="007A0D4B" w:rsidRDefault="00027481" w:rsidP="00027481">
      <w:pPr>
        <w:pStyle w:val="Textonotapie"/>
        <w:ind w:firstLine="709"/>
        <w:contextualSpacing/>
        <w:jc w:val="both"/>
        <w:rPr>
          <w:rFonts w:ascii="Century Gothic" w:hAnsi="Century Gothic" w:cs="Arial"/>
          <w:sz w:val="16"/>
          <w:szCs w:val="16"/>
          <w:lang w:val="es-CO"/>
        </w:rPr>
      </w:pPr>
    </w:p>
  </w:footnote>
  <w:footnote w:id="18">
    <w:p w14:paraId="6FE60B1D" w14:textId="77777777" w:rsidR="00027481" w:rsidRPr="007A0D4B" w:rsidRDefault="00027481" w:rsidP="00027481">
      <w:pPr>
        <w:pStyle w:val="Textonotapie"/>
        <w:ind w:firstLine="709"/>
        <w:contextualSpacing/>
        <w:jc w:val="both"/>
        <w:rPr>
          <w:rFonts w:ascii="Century Gothic" w:hAnsi="Century Gothic" w:cs="Arial"/>
          <w:sz w:val="16"/>
          <w:szCs w:val="16"/>
        </w:rPr>
      </w:pPr>
      <w:r w:rsidRPr="007A0D4B">
        <w:rPr>
          <w:rStyle w:val="Refdenotaalpie"/>
          <w:rFonts w:ascii="Century Gothic" w:hAnsi="Century Gothic" w:cs="Arial"/>
          <w:sz w:val="16"/>
          <w:szCs w:val="16"/>
        </w:rPr>
        <w:footnoteRef/>
      </w:r>
      <w:r w:rsidRPr="007A0D4B">
        <w:rPr>
          <w:rFonts w:ascii="Century Gothic" w:hAnsi="Century Gothic" w:cs="Arial"/>
          <w:sz w:val="16"/>
          <w:szCs w:val="16"/>
        </w:rPr>
        <w:t xml:space="preserve"> Código Civil: “Artículo 36”.</w:t>
      </w:r>
    </w:p>
    <w:p w14:paraId="67455437" w14:textId="77777777" w:rsidR="00027481" w:rsidRPr="007A0D4B" w:rsidRDefault="00027481" w:rsidP="00027481">
      <w:pPr>
        <w:pStyle w:val="Textonotapie"/>
        <w:ind w:firstLine="709"/>
        <w:contextualSpacing/>
        <w:jc w:val="both"/>
        <w:rPr>
          <w:rFonts w:ascii="Century Gothic" w:hAnsi="Century Gothic" w:cs="Arial"/>
          <w:sz w:val="16"/>
          <w:szCs w:val="16"/>
          <w:lang w:val="es-CO"/>
        </w:rPr>
      </w:pPr>
    </w:p>
  </w:footnote>
  <w:footnote w:id="19">
    <w:p w14:paraId="69BCA568" w14:textId="77777777" w:rsidR="00027481" w:rsidRPr="007A0D4B" w:rsidRDefault="00027481" w:rsidP="00027481">
      <w:pPr>
        <w:pStyle w:val="Textonotapie"/>
        <w:ind w:firstLine="709"/>
        <w:contextualSpacing/>
        <w:jc w:val="both"/>
        <w:rPr>
          <w:rFonts w:ascii="Century Gothic" w:hAnsi="Century Gothic" w:cs="Arial"/>
          <w:sz w:val="16"/>
          <w:szCs w:val="16"/>
        </w:rPr>
      </w:pPr>
      <w:r w:rsidRPr="007A0D4B">
        <w:rPr>
          <w:rStyle w:val="Refdenotaalpie"/>
          <w:rFonts w:ascii="Century Gothic" w:hAnsi="Century Gothic" w:cs="Arial"/>
          <w:sz w:val="16"/>
          <w:szCs w:val="16"/>
        </w:rPr>
        <w:footnoteRef/>
      </w:r>
      <w:r w:rsidRPr="007A0D4B">
        <w:rPr>
          <w:rFonts w:ascii="Century Gothic" w:hAnsi="Century Gothic" w:cs="Arial"/>
          <w:sz w:val="16"/>
          <w:szCs w:val="16"/>
        </w:rPr>
        <w:t xml:space="preserve"> Corte Constitucional. Sentencia C </w:t>
      </w:r>
      <w:r w:rsidRPr="007A0D4B">
        <w:rPr>
          <w:rFonts w:ascii="Arial" w:hAnsi="Arial" w:cs="Arial"/>
          <w:sz w:val="16"/>
          <w:szCs w:val="16"/>
        </w:rPr>
        <w:t>‒</w:t>
      </w:r>
      <w:r w:rsidRPr="007A0D4B">
        <w:rPr>
          <w:rFonts w:ascii="Century Gothic" w:hAnsi="Century Gothic" w:cs="Arial"/>
          <w:sz w:val="16"/>
          <w:szCs w:val="16"/>
        </w:rPr>
        <w:t xml:space="preserve"> 595 de 1996. M.P. Jorge Arango Mej</w:t>
      </w:r>
      <w:r w:rsidRPr="007A0D4B">
        <w:rPr>
          <w:rFonts w:ascii="Century Gothic" w:hAnsi="Century Gothic" w:cs="Century Gothic"/>
          <w:sz w:val="16"/>
          <w:szCs w:val="16"/>
        </w:rPr>
        <w:t>í</w:t>
      </w:r>
      <w:r w:rsidRPr="007A0D4B">
        <w:rPr>
          <w:rFonts w:ascii="Century Gothic" w:hAnsi="Century Gothic" w:cs="Arial"/>
          <w:sz w:val="16"/>
          <w:szCs w:val="16"/>
        </w:rPr>
        <w:t>a.</w:t>
      </w:r>
    </w:p>
    <w:p w14:paraId="05228869" w14:textId="77777777" w:rsidR="00027481" w:rsidRPr="007A0D4B" w:rsidRDefault="00027481" w:rsidP="00027481">
      <w:pPr>
        <w:pStyle w:val="Textonotapie"/>
        <w:ind w:firstLine="709"/>
        <w:contextualSpacing/>
        <w:jc w:val="both"/>
        <w:rPr>
          <w:rFonts w:ascii="Century Gothic" w:hAnsi="Century Gothic" w:cs="Arial"/>
          <w:sz w:val="16"/>
          <w:szCs w:val="16"/>
          <w:lang w:val="es-CO"/>
        </w:rPr>
      </w:pPr>
    </w:p>
  </w:footnote>
  <w:footnote w:id="20">
    <w:p w14:paraId="18D7E0C4" w14:textId="77777777" w:rsidR="00027481" w:rsidRPr="007A0D4B" w:rsidRDefault="00027481" w:rsidP="00027481">
      <w:pPr>
        <w:pStyle w:val="Textonotapie"/>
        <w:ind w:firstLine="709"/>
        <w:contextualSpacing/>
        <w:jc w:val="both"/>
        <w:rPr>
          <w:rFonts w:ascii="Century Gothic" w:hAnsi="Century Gothic" w:cs="Arial"/>
          <w:sz w:val="16"/>
          <w:szCs w:val="16"/>
        </w:rPr>
      </w:pPr>
      <w:r w:rsidRPr="007A0D4B">
        <w:rPr>
          <w:rStyle w:val="Refdenotaalpie"/>
          <w:rFonts w:ascii="Century Gothic" w:hAnsi="Century Gothic" w:cs="Arial"/>
          <w:sz w:val="16"/>
          <w:szCs w:val="16"/>
        </w:rPr>
        <w:footnoteRef/>
      </w:r>
      <w:r w:rsidRPr="007A0D4B">
        <w:rPr>
          <w:rFonts w:ascii="Century Gothic" w:hAnsi="Century Gothic" w:cs="Arial"/>
          <w:sz w:val="16"/>
          <w:szCs w:val="16"/>
        </w:rPr>
        <w:t xml:space="preserve"> Código Civil: “Artículo 37. Grados de consanguinidad. Los grados de consanguinidad entre dos personas se cuentan por el número de generaciones. Así, el nieto está en segundo grado de consanguinidad con el abuelo, y dos primos hermanos en cuarto grado de consanguinidad entre sí”.</w:t>
      </w:r>
    </w:p>
    <w:p w14:paraId="2CD670A8" w14:textId="77777777" w:rsidR="00027481" w:rsidRPr="007A0D4B" w:rsidRDefault="00027481" w:rsidP="00027481">
      <w:pPr>
        <w:pStyle w:val="Textonotapie"/>
        <w:ind w:firstLine="709"/>
        <w:contextualSpacing/>
        <w:jc w:val="both"/>
        <w:rPr>
          <w:rFonts w:ascii="Century Gothic" w:hAnsi="Century Gothic" w:cs="Arial"/>
          <w:sz w:val="16"/>
          <w:szCs w:val="16"/>
        </w:rPr>
      </w:pPr>
      <w:r w:rsidRPr="007A0D4B">
        <w:rPr>
          <w:rFonts w:ascii="Century Gothic" w:hAnsi="Century Gothic" w:cs="Arial"/>
          <w:sz w:val="16"/>
          <w:szCs w:val="16"/>
        </w:rPr>
        <w:t>[…]</w:t>
      </w:r>
    </w:p>
    <w:p w14:paraId="39ACB260" w14:textId="77777777" w:rsidR="00027481" w:rsidRPr="007A0D4B" w:rsidRDefault="00027481" w:rsidP="00027481">
      <w:pPr>
        <w:pStyle w:val="Textonotapie"/>
        <w:ind w:firstLine="709"/>
        <w:contextualSpacing/>
        <w:jc w:val="both"/>
        <w:rPr>
          <w:rFonts w:ascii="Century Gothic" w:hAnsi="Century Gothic" w:cs="Arial"/>
          <w:sz w:val="16"/>
          <w:szCs w:val="16"/>
        </w:rPr>
      </w:pPr>
      <w:r w:rsidRPr="007A0D4B">
        <w:rPr>
          <w:rFonts w:ascii="Century Gothic" w:hAnsi="Century Gothic" w:cs="Arial"/>
          <w:sz w:val="16"/>
          <w:szCs w:val="16"/>
        </w:rPr>
        <w:t>“Artículo 47. Afinidad legítima. […] La línea o grado de afinidad legítima de una persona con un consanguíneo de su marido o mujer, se califica por la línea o grado de consanguinidad legítima de dicho marido o mujer con el dicho consanguíneo […]”.</w:t>
      </w:r>
    </w:p>
    <w:p w14:paraId="3143E272" w14:textId="77777777" w:rsidR="00027481" w:rsidRPr="007A0D4B" w:rsidRDefault="00027481" w:rsidP="00027481">
      <w:pPr>
        <w:pStyle w:val="Textonotapie"/>
        <w:ind w:firstLine="709"/>
        <w:contextualSpacing/>
        <w:jc w:val="both"/>
        <w:rPr>
          <w:rFonts w:ascii="Century Gothic" w:hAnsi="Century Gothic" w:cs="Arial"/>
          <w:sz w:val="16"/>
          <w:szCs w:val="16"/>
          <w:lang w:val="es-CO"/>
        </w:rPr>
      </w:pPr>
    </w:p>
  </w:footnote>
  <w:footnote w:id="21">
    <w:p w14:paraId="1452F387" w14:textId="77777777" w:rsidR="00027481" w:rsidRPr="007A0D4B" w:rsidRDefault="00027481" w:rsidP="00027481">
      <w:pPr>
        <w:pStyle w:val="Textonotapie"/>
        <w:ind w:firstLine="709"/>
        <w:contextualSpacing/>
        <w:jc w:val="both"/>
        <w:rPr>
          <w:rFonts w:ascii="Century Gothic" w:hAnsi="Century Gothic" w:cs="Arial"/>
          <w:sz w:val="16"/>
          <w:szCs w:val="16"/>
        </w:rPr>
      </w:pPr>
      <w:r w:rsidRPr="007A0D4B">
        <w:rPr>
          <w:rStyle w:val="Refdenotaalpie"/>
          <w:rFonts w:ascii="Century Gothic" w:hAnsi="Century Gothic" w:cs="Arial"/>
          <w:sz w:val="16"/>
          <w:szCs w:val="16"/>
        </w:rPr>
        <w:footnoteRef/>
      </w:r>
      <w:r w:rsidRPr="007A0D4B">
        <w:rPr>
          <w:rFonts w:ascii="Century Gothic" w:hAnsi="Century Gothic" w:cs="Arial"/>
          <w:sz w:val="16"/>
          <w:szCs w:val="16"/>
        </w:rPr>
        <w:t xml:space="preserve"> Corte Constitucional. Sentencia C-415 de 1994. M.P. Eduardo Cifuentes Muñoz.</w:t>
      </w:r>
    </w:p>
    <w:p w14:paraId="4D5539CA" w14:textId="77777777" w:rsidR="00027481" w:rsidRPr="007A0D4B" w:rsidRDefault="00027481" w:rsidP="00027481">
      <w:pPr>
        <w:pStyle w:val="Textonotapie"/>
        <w:ind w:firstLine="709"/>
        <w:contextualSpacing/>
        <w:jc w:val="both"/>
        <w:rPr>
          <w:rFonts w:ascii="Century Gothic" w:hAnsi="Century Gothic" w:cs="Arial"/>
          <w:sz w:val="16"/>
          <w:szCs w:val="16"/>
          <w:lang w:val="es-CO"/>
        </w:rPr>
      </w:pPr>
    </w:p>
  </w:footnote>
  <w:footnote w:id="22">
    <w:p w14:paraId="5996D99E" w14:textId="77777777" w:rsidR="00027481" w:rsidRPr="007A0D4B" w:rsidRDefault="00027481" w:rsidP="00027481">
      <w:pPr>
        <w:pStyle w:val="Textonotapie"/>
        <w:ind w:firstLine="709"/>
        <w:contextualSpacing/>
        <w:jc w:val="both"/>
        <w:rPr>
          <w:rFonts w:ascii="Century Gothic" w:hAnsi="Century Gothic" w:cs="Arial"/>
          <w:sz w:val="16"/>
          <w:szCs w:val="16"/>
        </w:rPr>
      </w:pPr>
      <w:r w:rsidRPr="007A0D4B">
        <w:rPr>
          <w:rStyle w:val="Refdenotaalpie"/>
          <w:rFonts w:ascii="Century Gothic" w:hAnsi="Century Gothic" w:cs="Arial"/>
          <w:sz w:val="16"/>
          <w:szCs w:val="16"/>
        </w:rPr>
        <w:footnoteRef/>
      </w:r>
      <w:r w:rsidRPr="007A0D4B">
        <w:rPr>
          <w:rFonts w:ascii="Century Gothic" w:hAnsi="Century Gothic" w:cs="Arial"/>
          <w:sz w:val="16"/>
          <w:szCs w:val="16"/>
        </w:rPr>
        <w:t xml:space="preserve"> Consejo de Estado. Sección Tercera. Subsección C. Sentencia del 9 de julio de 2014. Rad. 47.830. C.P. Jaime Orlando Santofimio Gamboa.</w:t>
      </w:r>
    </w:p>
    <w:p w14:paraId="0B275712" w14:textId="77777777" w:rsidR="00027481" w:rsidRPr="007A0D4B" w:rsidRDefault="00027481" w:rsidP="00027481">
      <w:pPr>
        <w:pStyle w:val="Textonotapie"/>
        <w:ind w:firstLine="709"/>
        <w:contextualSpacing/>
        <w:jc w:val="both"/>
        <w:rPr>
          <w:rFonts w:ascii="Century Gothic" w:hAnsi="Century Gothic" w:cs="Arial"/>
          <w:sz w:val="16"/>
          <w:szCs w:val="16"/>
          <w:lang w:val="es-CO"/>
        </w:rPr>
      </w:pPr>
    </w:p>
  </w:footnote>
  <w:footnote w:id="23">
    <w:p w14:paraId="7130DF01" w14:textId="77777777" w:rsidR="0085527B" w:rsidRPr="0065478C" w:rsidRDefault="0085527B" w:rsidP="0085527B">
      <w:pPr>
        <w:pStyle w:val="Textonotapie"/>
        <w:ind w:firstLine="708"/>
        <w:contextualSpacing/>
        <w:jc w:val="both"/>
        <w:rPr>
          <w:rFonts w:ascii="Century Gothic" w:hAnsi="Century Gothic" w:cs="Arial"/>
          <w:color w:val="000000"/>
          <w:sz w:val="16"/>
          <w:szCs w:val="16"/>
        </w:rPr>
      </w:pPr>
      <w:r w:rsidRPr="0065478C">
        <w:rPr>
          <w:rStyle w:val="Refdenotaalpie"/>
          <w:rFonts w:ascii="Century Gothic" w:hAnsi="Century Gothic" w:cs="Arial"/>
          <w:color w:val="000000"/>
          <w:sz w:val="16"/>
          <w:szCs w:val="16"/>
        </w:rPr>
        <w:footnoteRef/>
      </w:r>
      <w:r w:rsidRPr="0065478C">
        <w:rPr>
          <w:rFonts w:ascii="Century Gothic" w:hAnsi="Century Gothic" w:cs="Arial"/>
          <w:color w:val="000000"/>
          <w:sz w:val="16"/>
          <w:szCs w:val="16"/>
        </w:rPr>
        <w:t xml:space="preserve"> Consejo de Estado. Sala de Consulta y de Servicio Civil. Concepto del 23 de marzo de 2011. Rad. 2.045. C.P. Enrique José Arboleda Perdomo.</w:t>
      </w:r>
    </w:p>
    <w:p w14:paraId="7AE82883" w14:textId="77777777" w:rsidR="0085527B" w:rsidRPr="0065478C" w:rsidRDefault="0085527B" w:rsidP="0085527B">
      <w:pPr>
        <w:pStyle w:val="Textonotapie"/>
        <w:ind w:firstLine="708"/>
        <w:contextualSpacing/>
        <w:jc w:val="both"/>
        <w:rPr>
          <w:rFonts w:ascii="Century Gothic" w:hAnsi="Century Gothic" w:cs="Arial"/>
          <w:color w:val="000000"/>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5DF31B1"/>
    <w:multiLevelType w:val="hybridMultilevel"/>
    <w:tmpl w:val="4434F53C"/>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2"/>
  </w:num>
  <w:num w:numId="7" w16cid:durableId="1946422806">
    <w:abstractNumId w:val="5"/>
  </w:num>
  <w:num w:numId="8" w16cid:durableId="152644682">
    <w:abstractNumId w:val="11"/>
  </w:num>
  <w:num w:numId="9" w16cid:durableId="1317221377">
    <w:abstractNumId w:val="7"/>
  </w:num>
  <w:num w:numId="10" w16cid:durableId="1471245386">
    <w:abstractNumId w:val="10"/>
  </w:num>
  <w:num w:numId="11" w16cid:durableId="289172385">
    <w:abstractNumId w:val="8"/>
  </w:num>
  <w:num w:numId="12" w16cid:durableId="1470781324">
    <w:abstractNumId w:val="1"/>
  </w:num>
  <w:num w:numId="13" w16cid:durableId="1512908409">
    <w:abstractNumId w:val="3"/>
  </w:num>
  <w:num w:numId="14" w16cid:durableId="895897244">
    <w:abstractNumId w:val="13"/>
  </w:num>
  <w:num w:numId="15" w16cid:durableId="390349800">
    <w:abstractNumId w:val="9"/>
  </w:num>
  <w:num w:numId="16" w16cid:durableId="341274352">
    <w:abstractNumId w:val="0"/>
  </w:num>
  <w:num w:numId="17" w16cid:durableId="41097678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0BD9"/>
    <w:rsid w:val="00016F78"/>
    <w:rsid w:val="00027481"/>
    <w:rsid w:val="000405B1"/>
    <w:rsid w:val="00046945"/>
    <w:rsid w:val="000523C3"/>
    <w:rsid w:val="00061B2A"/>
    <w:rsid w:val="00071255"/>
    <w:rsid w:val="00081C45"/>
    <w:rsid w:val="00082362"/>
    <w:rsid w:val="000A683E"/>
    <w:rsid w:val="000B19B9"/>
    <w:rsid w:val="000D0334"/>
    <w:rsid w:val="000D7189"/>
    <w:rsid w:val="000F260A"/>
    <w:rsid w:val="000F6486"/>
    <w:rsid w:val="00125105"/>
    <w:rsid w:val="00127233"/>
    <w:rsid w:val="001511A0"/>
    <w:rsid w:val="001C3E46"/>
    <w:rsid w:val="001E4177"/>
    <w:rsid w:val="001F7DC6"/>
    <w:rsid w:val="002421BB"/>
    <w:rsid w:val="00251823"/>
    <w:rsid w:val="0025796E"/>
    <w:rsid w:val="002707A2"/>
    <w:rsid w:val="00293DE1"/>
    <w:rsid w:val="002951A0"/>
    <w:rsid w:val="002962BC"/>
    <w:rsid w:val="002A093D"/>
    <w:rsid w:val="002A0DD0"/>
    <w:rsid w:val="002A49AC"/>
    <w:rsid w:val="002A64FD"/>
    <w:rsid w:val="002C327D"/>
    <w:rsid w:val="002C7A84"/>
    <w:rsid w:val="002E4FD9"/>
    <w:rsid w:val="00322A85"/>
    <w:rsid w:val="00324168"/>
    <w:rsid w:val="003448F4"/>
    <w:rsid w:val="00347886"/>
    <w:rsid w:val="0037243A"/>
    <w:rsid w:val="00374F5E"/>
    <w:rsid w:val="00377E3E"/>
    <w:rsid w:val="0038192D"/>
    <w:rsid w:val="00397AD5"/>
    <w:rsid w:val="003A779E"/>
    <w:rsid w:val="003B7A33"/>
    <w:rsid w:val="003C7B47"/>
    <w:rsid w:val="003D0F4D"/>
    <w:rsid w:val="003D5B0D"/>
    <w:rsid w:val="003E0499"/>
    <w:rsid w:val="003F3941"/>
    <w:rsid w:val="00406575"/>
    <w:rsid w:val="0040768A"/>
    <w:rsid w:val="00414C74"/>
    <w:rsid w:val="0042722E"/>
    <w:rsid w:val="00427B24"/>
    <w:rsid w:val="00431EB9"/>
    <w:rsid w:val="0044528D"/>
    <w:rsid w:val="004504F1"/>
    <w:rsid w:val="00456073"/>
    <w:rsid w:val="004613EC"/>
    <w:rsid w:val="0046349D"/>
    <w:rsid w:val="004A1847"/>
    <w:rsid w:val="004A305D"/>
    <w:rsid w:val="004C2D76"/>
    <w:rsid w:val="004F21C4"/>
    <w:rsid w:val="004F685F"/>
    <w:rsid w:val="004F7500"/>
    <w:rsid w:val="00554B20"/>
    <w:rsid w:val="005566E8"/>
    <w:rsid w:val="00574867"/>
    <w:rsid w:val="005910A8"/>
    <w:rsid w:val="00591460"/>
    <w:rsid w:val="005A1DE1"/>
    <w:rsid w:val="005B0298"/>
    <w:rsid w:val="005B3816"/>
    <w:rsid w:val="005C3777"/>
    <w:rsid w:val="005C5CDC"/>
    <w:rsid w:val="005D476C"/>
    <w:rsid w:val="005F2C87"/>
    <w:rsid w:val="005F6E54"/>
    <w:rsid w:val="006036EE"/>
    <w:rsid w:val="006219F8"/>
    <w:rsid w:val="0063336B"/>
    <w:rsid w:val="00665D70"/>
    <w:rsid w:val="006900D9"/>
    <w:rsid w:val="00692B1B"/>
    <w:rsid w:val="00696797"/>
    <w:rsid w:val="00696B5E"/>
    <w:rsid w:val="006A2568"/>
    <w:rsid w:val="006A3373"/>
    <w:rsid w:val="006D6AE5"/>
    <w:rsid w:val="00706C16"/>
    <w:rsid w:val="00743355"/>
    <w:rsid w:val="00756841"/>
    <w:rsid w:val="007649AB"/>
    <w:rsid w:val="00771D0C"/>
    <w:rsid w:val="007833AC"/>
    <w:rsid w:val="00796BE8"/>
    <w:rsid w:val="007B2088"/>
    <w:rsid w:val="007B268C"/>
    <w:rsid w:val="007B7171"/>
    <w:rsid w:val="007C0C0F"/>
    <w:rsid w:val="007C3DC2"/>
    <w:rsid w:val="007E2655"/>
    <w:rsid w:val="007E5497"/>
    <w:rsid w:val="0080483B"/>
    <w:rsid w:val="008061A0"/>
    <w:rsid w:val="00806F5F"/>
    <w:rsid w:val="00820278"/>
    <w:rsid w:val="00850F05"/>
    <w:rsid w:val="0085527B"/>
    <w:rsid w:val="008557D1"/>
    <w:rsid w:val="00867F95"/>
    <w:rsid w:val="008779A1"/>
    <w:rsid w:val="008843B6"/>
    <w:rsid w:val="00891928"/>
    <w:rsid w:val="00896343"/>
    <w:rsid w:val="008A041F"/>
    <w:rsid w:val="008A446D"/>
    <w:rsid w:val="008C43C8"/>
    <w:rsid w:val="008D180B"/>
    <w:rsid w:val="008F0EA7"/>
    <w:rsid w:val="00923EEF"/>
    <w:rsid w:val="009250E4"/>
    <w:rsid w:val="009419F9"/>
    <w:rsid w:val="0095685E"/>
    <w:rsid w:val="00961B09"/>
    <w:rsid w:val="00965334"/>
    <w:rsid w:val="0097093E"/>
    <w:rsid w:val="00986AC5"/>
    <w:rsid w:val="009A0DFA"/>
    <w:rsid w:val="009B2D26"/>
    <w:rsid w:val="009C71FA"/>
    <w:rsid w:val="009C72E7"/>
    <w:rsid w:val="009D3058"/>
    <w:rsid w:val="009F3A13"/>
    <w:rsid w:val="009F7516"/>
    <w:rsid w:val="00A10753"/>
    <w:rsid w:val="00A122D3"/>
    <w:rsid w:val="00A17F13"/>
    <w:rsid w:val="00A20739"/>
    <w:rsid w:val="00A33C78"/>
    <w:rsid w:val="00A9188C"/>
    <w:rsid w:val="00AB0ADB"/>
    <w:rsid w:val="00AC2EAB"/>
    <w:rsid w:val="00AE63AF"/>
    <w:rsid w:val="00AE6E50"/>
    <w:rsid w:val="00B01B1A"/>
    <w:rsid w:val="00B6522C"/>
    <w:rsid w:val="00B66319"/>
    <w:rsid w:val="00B72CD3"/>
    <w:rsid w:val="00B72FFF"/>
    <w:rsid w:val="00BB5667"/>
    <w:rsid w:val="00BC3D36"/>
    <w:rsid w:val="00BD7F72"/>
    <w:rsid w:val="00C04FB3"/>
    <w:rsid w:val="00C30A7A"/>
    <w:rsid w:val="00C330EB"/>
    <w:rsid w:val="00C40F57"/>
    <w:rsid w:val="00C41061"/>
    <w:rsid w:val="00C70791"/>
    <w:rsid w:val="00C754BE"/>
    <w:rsid w:val="00C76B1C"/>
    <w:rsid w:val="00CA63ED"/>
    <w:rsid w:val="00CB175E"/>
    <w:rsid w:val="00CB2080"/>
    <w:rsid w:val="00CB6357"/>
    <w:rsid w:val="00CC1847"/>
    <w:rsid w:val="00CC1B26"/>
    <w:rsid w:val="00CD4929"/>
    <w:rsid w:val="00CD523A"/>
    <w:rsid w:val="00CF17C4"/>
    <w:rsid w:val="00D0311B"/>
    <w:rsid w:val="00D423A2"/>
    <w:rsid w:val="00D520D8"/>
    <w:rsid w:val="00D63AC2"/>
    <w:rsid w:val="00D7383B"/>
    <w:rsid w:val="00D80467"/>
    <w:rsid w:val="00DA231B"/>
    <w:rsid w:val="00DC0597"/>
    <w:rsid w:val="00DC39FC"/>
    <w:rsid w:val="00DD5ADB"/>
    <w:rsid w:val="00DE5638"/>
    <w:rsid w:val="00DF5254"/>
    <w:rsid w:val="00E16408"/>
    <w:rsid w:val="00E20894"/>
    <w:rsid w:val="00E245AB"/>
    <w:rsid w:val="00E2764C"/>
    <w:rsid w:val="00E27F2E"/>
    <w:rsid w:val="00E41153"/>
    <w:rsid w:val="00E50AFE"/>
    <w:rsid w:val="00E67606"/>
    <w:rsid w:val="00E75C92"/>
    <w:rsid w:val="00E771DC"/>
    <w:rsid w:val="00E8772A"/>
    <w:rsid w:val="00E90F6B"/>
    <w:rsid w:val="00E92C27"/>
    <w:rsid w:val="00EA0E3D"/>
    <w:rsid w:val="00EC38A7"/>
    <w:rsid w:val="00ED14E5"/>
    <w:rsid w:val="00ED1CAE"/>
    <w:rsid w:val="00ED7384"/>
    <w:rsid w:val="00EE1AA8"/>
    <w:rsid w:val="00F0097A"/>
    <w:rsid w:val="00F31EDC"/>
    <w:rsid w:val="00F36232"/>
    <w:rsid w:val="00F462B3"/>
    <w:rsid w:val="00F5664F"/>
    <w:rsid w:val="00F6323C"/>
    <w:rsid w:val="00F666C4"/>
    <w:rsid w:val="00F76AFC"/>
    <w:rsid w:val="00F869AD"/>
    <w:rsid w:val="00FA47C0"/>
    <w:rsid w:val="00FB5DD1"/>
    <w:rsid w:val="00FC2B5D"/>
    <w:rsid w:val="00FF1449"/>
    <w:rsid w:val="19E5D95A"/>
    <w:rsid w:val="2BE19C99"/>
    <w:rsid w:val="795AA69A"/>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9C1C33AD-301F-4CD6-BBA9-B394091F5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F751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F7516"/>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516674">
      <w:bodyDiv w:val="1"/>
      <w:marLeft w:val="0"/>
      <w:marRight w:val="0"/>
      <w:marTop w:val="0"/>
      <w:marBottom w:val="0"/>
      <w:divBdr>
        <w:top w:val="none" w:sz="0" w:space="0" w:color="auto"/>
        <w:left w:val="none" w:sz="0" w:space="0" w:color="auto"/>
        <w:bottom w:val="none" w:sz="0" w:space="0" w:color="auto"/>
        <w:right w:val="none" w:sz="0" w:space="0" w:color="auto"/>
      </w:divBdr>
    </w:div>
    <w:div w:id="413015278">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50446776">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751924659">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objetor4@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jpe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purl.org/dc/dcmitype/"/>
    <ds:schemaRef ds:uri="a6cb9e4b-f1d1-4245-83ec-6cad768d538a"/>
    <ds:schemaRef ds:uri="http://schemas.microsoft.com/office/2006/documentManagement/types"/>
    <ds:schemaRef ds:uri="http://schemas.microsoft.com/office/2006/metadata/properties"/>
    <ds:schemaRef ds:uri="9d85dbaf-23eb-4e57-a637-93dcacc8b1a1"/>
    <ds:schemaRef ds:uri="http://schemas.openxmlformats.org/package/2006/metadata/core-properties"/>
    <ds:schemaRef ds:uri="http://purl.org/dc/terms/"/>
    <ds:schemaRef ds:uri="http://schemas.microsoft.com/office/infopath/2007/PartnerControls"/>
    <ds:schemaRef ds:uri="http://www.w3.org/XML/1998/namespace"/>
    <ds:schemaRef ds:uri="http://purl.org/dc/elements/1.1/"/>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8E23BDD0-DE99-4A64-B727-4137633A81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7365</Words>
  <Characters>40513</Characters>
  <Application>Microsoft Office Word</Application>
  <DocSecurity>0</DocSecurity>
  <Lines>337</Lines>
  <Paragraphs>95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2025-05-20T22:05:00Z</dcterms:created>
  <dcterms:modified xsi:type="dcterms:W3CDTF">2025-05-20T22:05:00Z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