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2A3C8" w14:textId="77777777" w:rsidR="00FB4D13" w:rsidRPr="00FC49A2" w:rsidRDefault="00FB4D13" w:rsidP="00FB4D13">
      <w:pPr>
        <w:spacing w:after="0" w:line="240" w:lineRule="auto"/>
        <w:jc w:val="both"/>
        <w:rPr>
          <w:rFonts w:ascii="Verdana" w:eastAsia="Calibri" w:hAnsi="Verdana" w:cs="Arial"/>
          <w:b/>
          <w:bCs/>
          <w:lang w:val="es-ES_tradnl" w:eastAsia="es-ES_tradnl"/>
        </w:rPr>
      </w:pPr>
      <w:bookmarkStart w:id="0" w:name="_Hlk143780582"/>
      <w:r w:rsidRPr="00FC49A2">
        <w:rPr>
          <w:rFonts w:ascii="Verdana" w:eastAsia="Calibri" w:hAnsi="Verdana" w:cs="Arial"/>
          <w:b/>
          <w:bCs/>
          <w:lang w:val="es-ES_tradnl" w:eastAsia="es-ES_tradnl"/>
        </w:rPr>
        <w:t>CONVOCATORIAS LIMITADAS A MIPYMES – Requisitos – Artículo 2.2.1.2.4.2.2 del Decreto 1082 de 2015</w:t>
      </w:r>
      <w:r>
        <w:rPr>
          <w:rFonts w:ascii="Verdana" w:eastAsia="Calibri" w:hAnsi="Verdana" w:cs="Arial"/>
          <w:b/>
          <w:bCs/>
          <w:lang w:val="es-ES_tradnl" w:eastAsia="es-ES_tradnl"/>
        </w:rPr>
        <w:t>.</w:t>
      </w:r>
      <w:r w:rsidRPr="00FC49A2">
        <w:rPr>
          <w:rFonts w:ascii="Verdana" w:eastAsia="Calibri" w:hAnsi="Verdana" w:cs="Arial"/>
          <w:b/>
          <w:bCs/>
          <w:lang w:val="es-ES_tradnl" w:eastAsia="es-ES_tradnl"/>
        </w:rPr>
        <w:t xml:space="preserve"> </w:t>
      </w:r>
    </w:p>
    <w:p w14:paraId="3C320A18" w14:textId="77777777" w:rsidR="00FB4D13" w:rsidRPr="00FC49A2" w:rsidRDefault="00FB4D13" w:rsidP="00FB4D13">
      <w:pPr>
        <w:spacing w:after="0" w:line="240" w:lineRule="auto"/>
        <w:jc w:val="both"/>
        <w:rPr>
          <w:rFonts w:ascii="Verdana" w:eastAsia="Calibri" w:hAnsi="Verdana" w:cs="Arial"/>
          <w:b/>
          <w:bCs/>
          <w:sz w:val="20"/>
          <w:szCs w:val="20"/>
          <w:highlight w:val="yellow"/>
          <w:lang w:val="es-ES_tradnl" w:eastAsia="es-ES_tradnl"/>
        </w:rPr>
      </w:pPr>
    </w:p>
    <w:p w14:paraId="66BA1DC6" w14:textId="77777777" w:rsidR="00FB4D13" w:rsidRPr="00FC49A2" w:rsidRDefault="00FB4D13" w:rsidP="00FB4D13">
      <w:pPr>
        <w:spacing w:after="0" w:line="240" w:lineRule="auto"/>
        <w:jc w:val="both"/>
        <w:rPr>
          <w:rFonts w:ascii="Verdana" w:eastAsia="Aptos" w:hAnsi="Verdana" w:cs="Times New Roman"/>
          <w:sz w:val="20"/>
          <w:szCs w:val="20"/>
        </w:rPr>
      </w:pPr>
      <w:r w:rsidRPr="00FC49A2">
        <w:rPr>
          <w:rFonts w:ascii="Verdana" w:eastAsia="Aptos" w:hAnsi="Verdana" w:cs="Times New Roman"/>
          <w:sz w:val="20"/>
          <w:szCs w:val="20"/>
        </w:rPr>
        <w:t xml:space="preserve">El numeral primero limita cuantitativamente los procesos contractuales en los que se puede hacer esa “convocatoria limitada a </w:t>
      </w:r>
      <w:proofErr w:type="spellStart"/>
      <w:r w:rsidRPr="00FC49A2">
        <w:rPr>
          <w:rFonts w:ascii="Verdana" w:eastAsia="Aptos" w:hAnsi="Verdana" w:cs="Times New Roman"/>
          <w:sz w:val="20"/>
          <w:szCs w:val="20"/>
        </w:rPr>
        <w:t>Mipymes</w:t>
      </w:r>
      <w:proofErr w:type="spellEnd"/>
      <w:r w:rsidRPr="00FC49A2">
        <w:rPr>
          <w:rFonts w:ascii="Verdana" w:eastAsia="Aptos" w:hAnsi="Verdana" w:cs="Times New Roman"/>
          <w:sz w:val="20"/>
          <w:szCs w:val="20"/>
        </w:rPr>
        <w:t>”,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Nótese que la norma no hace referencia a la tasa de cambio representativa del mercado –TRM –, establecida diariamente por la Superintendencia Financiera de Colombia, según lo que establece el artículo 40 de la Resolución Externa No. 1 de 2018 y la Circular Reglamentaria Externa- DODM-146, ambas expedidas por el Banco de la República.</w:t>
      </w:r>
    </w:p>
    <w:p w14:paraId="0D1513B8" w14:textId="77777777" w:rsidR="00FB4D13" w:rsidRPr="00FC49A2" w:rsidRDefault="00FB4D13" w:rsidP="00FB4D13">
      <w:pPr>
        <w:spacing w:after="0" w:line="240" w:lineRule="auto"/>
        <w:jc w:val="both"/>
        <w:rPr>
          <w:rFonts w:ascii="Verdana" w:eastAsia="Aptos" w:hAnsi="Verdana" w:cs="Times New Roman"/>
          <w:sz w:val="20"/>
          <w:szCs w:val="20"/>
        </w:rPr>
      </w:pPr>
    </w:p>
    <w:p w14:paraId="7CA224B3" w14:textId="77777777" w:rsidR="00FB4D13" w:rsidRPr="00FC49A2" w:rsidRDefault="00FB4D13" w:rsidP="00FB4D13">
      <w:pPr>
        <w:spacing w:after="0" w:line="240" w:lineRule="auto"/>
        <w:jc w:val="both"/>
        <w:rPr>
          <w:rFonts w:ascii="Verdana" w:eastAsia="Aptos" w:hAnsi="Verdana" w:cs="Times New Roman"/>
          <w:sz w:val="20"/>
          <w:szCs w:val="20"/>
        </w:rPr>
      </w:pPr>
      <w:r w:rsidRPr="00FC49A2">
        <w:rPr>
          <w:rFonts w:ascii="Verdana" w:eastAsia="Aptos" w:hAnsi="Verdana" w:cs="Times New Roman"/>
          <w:sz w:val="20"/>
          <w:szCs w:val="20"/>
        </w:rPr>
        <w:t xml:space="preserve">El numeral segundo establece dos exigencias: por un lado, que al menos dos (2) </w:t>
      </w:r>
      <w:proofErr w:type="spellStart"/>
      <w:r w:rsidRPr="00FC49A2">
        <w:rPr>
          <w:rFonts w:ascii="Verdana" w:eastAsia="Aptos" w:hAnsi="Verdana" w:cs="Times New Roman"/>
          <w:sz w:val="20"/>
          <w:szCs w:val="20"/>
        </w:rPr>
        <w:t>Mipymes</w:t>
      </w:r>
      <w:proofErr w:type="spellEnd"/>
      <w:r w:rsidRPr="00FC49A2">
        <w:rPr>
          <w:rFonts w:ascii="Verdana" w:eastAsia="Aptos" w:hAnsi="Verdana" w:cs="Times New Roman"/>
          <w:sz w:val="20"/>
          <w:szCs w:val="20"/>
        </w:rPr>
        <w:t xml:space="preserve"> nacionales presenten a la entidad la solicitud formal de limitar el proceso contractual; y por el otro, que hagan la solicitud por lo menos un (1) día hábil antes de la expedición del acto administrativo de apertura, o el que haga sus veces de acuerdo con la normativa aplicable a cada Proceso de Contratación. Adicionalmente, el segundo inciso del numeral 2 de la norma indica que, tratándose de personas jurídicas, las solicitudes solo podrán realizarla las “[…] Mipyme, cuyo objeto social les permita ejecutar el contrato relacionado con el proceso contractual”.</w:t>
      </w:r>
    </w:p>
    <w:p w14:paraId="7366E355" w14:textId="77777777" w:rsidR="00FB4D13" w:rsidRPr="00FC49A2" w:rsidRDefault="00FB4D13" w:rsidP="00FB4D13">
      <w:pPr>
        <w:spacing w:after="0" w:line="240" w:lineRule="auto"/>
        <w:jc w:val="both"/>
        <w:rPr>
          <w:rFonts w:ascii="Verdana" w:eastAsia="Aptos" w:hAnsi="Verdana" w:cs="Times New Roman"/>
          <w:sz w:val="20"/>
          <w:szCs w:val="20"/>
        </w:rPr>
      </w:pPr>
    </w:p>
    <w:p w14:paraId="4D2C1AE8" w14:textId="77777777" w:rsidR="00FB4D13" w:rsidRPr="004A615F" w:rsidRDefault="00FB4D13" w:rsidP="3144D4B8">
      <w:pPr>
        <w:widowControl w:val="0"/>
        <w:autoSpaceDE w:val="0"/>
        <w:autoSpaceDN w:val="0"/>
        <w:spacing w:after="0" w:line="240" w:lineRule="auto"/>
        <w:ind w:right="109"/>
        <w:jc w:val="both"/>
        <w:rPr>
          <w:rFonts w:ascii="Verdana" w:eastAsia="Arial" w:hAnsi="Verdana" w:cs="Arial"/>
          <w:b/>
          <w:bCs/>
          <w:color w:val="000000" w:themeColor="text1"/>
          <w:lang w:val="es-ES"/>
        </w:rPr>
      </w:pPr>
      <w:r w:rsidRPr="3144D4B8">
        <w:rPr>
          <w:rFonts w:ascii="Verdana" w:eastAsia="Arial" w:hAnsi="Verdana" w:cs="Arial"/>
          <w:b/>
          <w:bCs/>
          <w:color w:val="000000" w:themeColor="text1"/>
          <w:lang w:val="es-ES"/>
        </w:rPr>
        <w:t xml:space="preserve">CONVOCATORIAS LIMITADAS A MIPYMES NACIONALES – Limitación territorial – Relevancia del domicilio de la </w:t>
      </w:r>
      <w:proofErr w:type="spellStart"/>
      <w:r w:rsidRPr="3144D4B8">
        <w:rPr>
          <w:rFonts w:ascii="Verdana" w:eastAsia="Arial" w:hAnsi="Verdana" w:cs="Arial"/>
          <w:b/>
          <w:bCs/>
          <w:color w:val="000000" w:themeColor="text1"/>
          <w:lang w:val="es-ES"/>
        </w:rPr>
        <w:t>Mipymes</w:t>
      </w:r>
      <w:proofErr w:type="spellEnd"/>
      <w:r w:rsidRPr="3144D4B8">
        <w:rPr>
          <w:rFonts w:ascii="Verdana" w:eastAsia="Arial" w:hAnsi="Verdana" w:cs="Arial"/>
          <w:b/>
          <w:bCs/>
          <w:color w:val="000000" w:themeColor="text1"/>
          <w:lang w:val="es-ES"/>
        </w:rPr>
        <w:t>.</w:t>
      </w:r>
    </w:p>
    <w:p w14:paraId="301106D5" w14:textId="77777777" w:rsidR="00FB4D13" w:rsidRPr="004A615F" w:rsidRDefault="00FB4D13" w:rsidP="00FB4D13">
      <w:pPr>
        <w:widowControl w:val="0"/>
        <w:autoSpaceDE w:val="0"/>
        <w:autoSpaceDN w:val="0"/>
        <w:spacing w:after="0" w:line="240" w:lineRule="auto"/>
        <w:ind w:right="109"/>
        <w:jc w:val="both"/>
        <w:rPr>
          <w:rFonts w:ascii="Verdana" w:eastAsia="Arial" w:hAnsi="Verdana" w:cs="Arial"/>
          <w:color w:val="000000" w:themeColor="text1"/>
          <w:sz w:val="20"/>
          <w:szCs w:val="20"/>
          <w:lang w:val="es-ES_tradnl"/>
        </w:rPr>
      </w:pPr>
    </w:p>
    <w:p w14:paraId="183FD6F9" w14:textId="77777777" w:rsidR="00FB4D13" w:rsidRPr="00F013EC" w:rsidRDefault="00FB4D13" w:rsidP="3144D4B8">
      <w:pPr>
        <w:widowControl w:val="0"/>
        <w:autoSpaceDE w:val="0"/>
        <w:autoSpaceDN w:val="0"/>
        <w:spacing w:after="0" w:line="240" w:lineRule="auto"/>
        <w:ind w:right="109"/>
        <w:jc w:val="both"/>
        <w:rPr>
          <w:rFonts w:ascii="Verdana" w:eastAsia="Arial" w:hAnsi="Verdana" w:cs="Arial"/>
          <w:color w:val="000000" w:themeColor="text1"/>
          <w:sz w:val="20"/>
          <w:szCs w:val="20"/>
          <w:highlight w:val="yellow"/>
          <w:lang w:val="es-ES"/>
        </w:rPr>
      </w:pPr>
      <w:r w:rsidRPr="3144D4B8">
        <w:rPr>
          <w:rFonts w:ascii="Verdana" w:eastAsia="Arial" w:hAnsi="Verdana" w:cs="Arial"/>
          <w:color w:val="000000" w:themeColor="text1"/>
          <w:sz w:val="20"/>
          <w:szCs w:val="20"/>
          <w:lang w:val="es-ES"/>
        </w:rPr>
        <w:t>Ahora bien, el artículo 2.2.1.2.4.2.3. del Decreto 1082 de 2015, modificado por el artículo 5 del Decreto 1860 de 2021 se refiere a las “</w:t>
      </w:r>
      <w:proofErr w:type="spellStart"/>
      <w:r w:rsidRPr="3144D4B8">
        <w:rPr>
          <w:rFonts w:ascii="Verdana" w:eastAsia="Arial" w:hAnsi="Verdana" w:cs="Arial"/>
          <w:color w:val="000000" w:themeColor="text1"/>
          <w:sz w:val="20"/>
          <w:szCs w:val="20"/>
          <w:lang w:val="es-ES"/>
        </w:rPr>
        <w:t>mipyme</w:t>
      </w:r>
      <w:proofErr w:type="spellEnd"/>
      <w:r w:rsidRPr="3144D4B8">
        <w:rPr>
          <w:rFonts w:ascii="Verdana" w:eastAsia="Arial" w:hAnsi="Verdana" w:cs="Arial"/>
          <w:color w:val="000000" w:themeColor="text1"/>
          <w:sz w:val="20"/>
          <w:szCs w:val="20"/>
          <w:lang w:val="es-ES"/>
        </w:rPr>
        <w:t xml:space="preserve"> colombianas que tengan domicilio en los departamentos o municipios en donde se va a ejecutar el contrato”. Esta precisión es importante, pues el incentivo previsto en la norma únicamente aplica en el lugar de ejecución del contratado en el que la Mipyme tiene su “domicilio”, y no en donde tiene sucursales, agencias o establecimientos de comercio. Para explicar las implicaciones del artículo, en primera instancia, debe analizarse el alcance del término “domicilio” que, para el caso de las sociedades, se constituye en uno de los atributos de su personalidad que, de acuerdo con el ordenamiento jurídico colombiano, son aquellas propiedades o características de identidad propias de las personas, sean naturales o jurídicas, como titulares de derecho. En esta línea, este término es definido por el Código Civil en el artículo 76, el cual lo concibe como la residencia acompañada real o presuntivamente del ánimo de permanecer en ella, lo cual, para el caso de las sociedades se interpreta como el sitio donde éstas tienen el asiento principal de sus negocios.</w:t>
      </w:r>
      <w:r w:rsidRPr="3144D4B8">
        <w:rPr>
          <w:rFonts w:ascii="Verdana" w:eastAsia="Arial" w:hAnsi="Verdana" w:cs="Arial"/>
          <w:color w:val="000000" w:themeColor="text1"/>
          <w:sz w:val="20"/>
          <w:szCs w:val="20"/>
          <w:highlight w:val="yellow"/>
          <w:lang w:val="es-ES"/>
        </w:rPr>
        <w:t xml:space="preserve"> </w:t>
      </w:r>
    </w:p>
    <w:p w14:paraId="6426CDC5" w14:textId="77777777" w:rsidR="00FB4D13" w:rsidRPr="00F013EC" w:rsidRDefault="00FB4D13" w:rsidP="00FB4D13">
      <w:pPr>
        <w:widowControl w:val="0"/>
        <w:autoSpaceDE w:val="0"/>
        <w:autoSpaceDN w:val="0"/>
        <w:spacing w:after="0" w:line="240" w:lineRule="auto"/>
        <w:ind w:right="109"/>
        <w:jc w:val="both"/>
        <w:rPr>
          <w:rFonts w:ascii="Verdana" w:eastAsia="Arial" w:hAnsi="Verdana" w:cs="Arial"/>
          <w:b/>
          <w:bCs/>
          <w:sz w:val="20"/>
          <w:szCs w:val="20"/>
          <w:highlight w:val="yellow"/>
          <w:lang w:val="es-ES"/>
        </w:rPr>
      </w:pPr>
    </w:p>
    <w:p w14:paraId="3FB0EB10" w14:textId="77777777" w:rsidR="00FB4D13" w:rsidRDefault="00FB4D13" w:rsidP="00FB4D13">
      <w:pPr>
        <w:spacing w:after="0"/>
        <w:rPr>
          <w:rFonts w:ascii="Verdana" w:hAnsi="Verdana"/>
        </w:rPr>
      </w:pPr>
    </w:p>
    <w:p w14:paraId="01369F41" w14:textId="77777777" w:rsidR="00FB4D13" w:rsidRDefault="00FB4D13" w:rsidP="00FB4D13">
      <w:pPr>
        <w:spacing w:after="0"/>
        <w:rPr>
          <w:rFonts w:ascii="Verdana" w:hAnsi="Verdana"/>
        </w:rPr>
      </w:pPr>
    </w:p>
    <w:p w14:paraId="27883D4F" w14:textId="77777777" w:rsidR="00FB4D13" w:rsidRDefault="00FB4D13" w:rsidP="00FB4D13">
      <w:pPr>
        <w:spacing w:after="0"/>
        <w:rPr>
          <w:rFonts w:ascii="Verdana" w:hAnsi="Verdana"/>
        </w:rPr>
      </w:pPr>
    </w:p>
    <w:p w14:paraId="30A4B81F" w14:textId="77777777" w:rsidR="00FB4D13" w:rsidRDefault="00FB4D13" w:rsidP="00FB4D13">
      <w:pPr>
        <w:spacing w:after="0"/>
        <w:rPr>
          <w:rFonts w:ascii="Verdana" w:hAnsi="Verdana"/>
        </w:rPr>
      </w:pPr>
    </w:p>
    <w:p w14:paraId="3A3859FC" w14:textId="77777777" w:rsidR="00FB4D13" w:rsidRDefault="00FB4D13" w:rsidP="00FB4D13">
      <w:pPr>
        <w:spacing w:after="0"/>
        <w:rPr>
          <w:rFonts w:ascii="Verdana" w:hAnsi="Verdana"/>
        </w:rPr>
      </w:pPr>
    </w:p>
    <w:p w14:paraId="1EE0FD24" w14:textId="77777777" w:rsidR="00FB4D13" w:rsidRDefault="00FB4D13" w:rsidP="00FB4D13">
      <w:pPr>
        <w:spacing w:after="0"/>
        <w:rPr>
          <w:rFonts w:ascii="Verdana" w:hAnsi="Verdana"/>
        </w:rPr>
      </w:pPr>
    </w:p>
    <w:p w14:paraId="384B7316" w14:textId="77777777" w:rsidR="00962D76" w:rsidRDefault="00962D76" w:rsidP="00FB4D13">
      <w:pPr>
        <w:spacing w:after="0"/>
        <w:rPr>
          <w:rFonts w:ascii="Verdana" w:hAnsi="Verdana"/>
        </w:rPr>
      </w:pPr>
    </w:p>
    <w:p w14:paraId="07E36D9E" w14:textId="3579FD71" w:rsidR="00962D76" w:rsidRDefault="00962D76" w:rsidP="00FB4D13">
      <w:pPr>
        <w:spacing w:after="0"/>
        <w:rPr>
          <w:rFonts w:ascii="Verdana" w:hAnsi="Verdana"/>
        </w:rPr>
      </w:pPr>
    </w:p>
    <w:p w14:paraId="385C0F1E" w14:textId="23FCA1C8" w:rsidR="00FB4D13" w:rsidRDefault="003524C1" w:rsidP="00FB4D13">
      <w:pPr>
        <w:spacing w:after="0"/>
        <w:rPr>
          <w:rFonts w:ascii="Verdana" w:hAnsi="Verdana"/>
        </w:rPr>
      </w:pPr>
      <w:r>
        <w:rPr>
          <w:noProof/>
        </w:rPr>
        <w:drawing>
          <wp:anchor distT="0" distB="0" distL="114300" distR="114300" simplePos="0" relativeHeight="251658240" behindDoc="1" locked="0" layoutInCell="1" allowOverlap="1" wp14:anchorId="26006C3A" wp14:editId="084D5CB3">
            <wp:simplePos x="0" y="0"/>
            <wp:positionH relativeFrom="column">
              <wp:posOffset>2967990</wp:posOffset>
            </wp:positionH>
            <wp:positionV relativeFrom="paragraph">
              <wp:posOffset>33020</wp:posOffset>
            </wp:positionV>
            <wp:extent cx="3028950" cy="819150"/>
            <wp:effectExtent l="0" t="0" r="0" b="0"/>
            <wp:wrapTight wrapText="bothSides">
              <wp:wrapPolygon edited="0">
                <wp:start x="0" y="0"/>
                <wp:lineTo x="0" y="21098"/>
                <wp:lineTo x="21464" y="21098"/>
                <wp:lineTo x="21464" y="0"/>
                <wp:lineTo x="0" y="0"/>
              </wp:wrapPolygon>
            </wp:wrapTight>
            <wp:docPr id="8120663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066328" name=""/>
                    <pic:cNvPicPr/>
                  </pic:nvPicPr>
                  <pic:blipFill>
                    <a:blip r:embed="rId10">
                      <a:extLst>
                        <a:ext uri="{28A0092B-C50C-407E-A947-70E740481C1C}">
                          <a14:useLocalDpi xmlns:a14="http://schemas.microsoft.com/office/drawing/2010/main" val="0"/>
                        </a:ext>
                      </a:extLst>
                    </a:blip>
                    <a:stretch>
                      <a:fillRect/>
                    </a:stretch>
                  </pic:blipFill>
                  <pic:spPr>
                    <a:xfrm>
                      <a:off x="0" y="0"/>
                      <a:ext cx="3028950" cy="819150"/>
                    </a:xfrm>
                    <a:prstGeom prst="rect">
                      <a:avLst/>
                    </a:prstGeom>
                  </pic:spPr>
                </pic:pic>
              </a:graphicData>
            </a:graphic>
          </wp:anchor>
        </w:drawing>
      </w:r>
      <w:r w:rsidR="00FB4D13" w:rsidRPr="0044528D">
        <w:rPr>
          <w:rFonts w:ascii="Verdana" w:hAnsi="Verdana"/>
        </w:rPr>
        <w:t xml:space="preserve">Bogotá D.C., </w:t>
      </w:r>
      <w:r w:rsidR="00962D76">
        <w:rPr>
          <w:rFonts w:ascii="Verdana" w:hAnsi="Verdana"/>
        </w:rPr>
        <w:t>04</w:t>
      </w:r>
      <w:r w:rsidR="00FB4D13">
        <w:rPr>
          <w:rFonts w:ascii="Verdana" w:hAnsi="Verdana"/>
        </w:rPr>
        <w:t xml:space="preserve"> de </w:t>
      </w:r>
      <w:proofErr w:type="gramStart"/>
      <w:r w:rsidR="00962D76">
        <w:rPr>
          <w:rFonts w:ascii="Verdana" w:hAnsi="Verdana"/>
        </w:rPr>
        <w:t>Junio</w:t>
      </w:r>
      <w:proofErr w:type="gramEnd"/>
      <w:r w:rsidR="00FB4D13">
        <w:rPr>
          <w:rFonts w:ascii="Verdana" w:hAnsi="Verdana"/>
        </w:rPr>
        <w:t xml:space="preserve"> de 2025.</w:t>
      </w:r>
    </w:p>
    <w:p w14:paraId="3EBCBEDA" w14:textId="77777777" w:rsidR="00FB4D13" w:rsidRDefault="00FB4D13" w:rsidP="00FB4D13">
      <w:pPr>
        <w:spacing w:after="0"/>
        <w:rPr>
          <w:rFonts w:ascii="Verdana" w:hAnsi="Verdana"/>
        </w:rPr>
      </w:pPr>
      <w:bookmarkStart w:id="1" w:name="_Hlk180638295"/>
    </w:p>
    <w:p w14:paraId="69F27993" w14:textId="77777777" w:rsidR="00FB4D13" w:rsidRDefault="00FB4D13" w:rsidP="00FB4D13">
      <w:pPr>
        <w:spacing w:after="0"/>
        <w:rPr>
          <w:rFonts w:ascii="Verdana" w:hAnsi="Verdana"/>
        </w:rPr>
      </w:pPr>
    </w:p>
    <w:p w14:paraId="162EE814" w14:textId="77777777" w:rsidR="00FB4D13" w:rsidRPr="005E62E2" w:rsidRDefault="00FB4D13" w:rsidP="00FB4D13">
      <w:pPr>
        <w:spacing w:after="0" w:line="240" w:lineRule="auto"/>
        <w:jc w:val="both"/>
        <w:rPr>
          <w:rFonts w:ascii="Verdana" w:eastAsia="Calibri" w:hAnsi="Verdana" w:cs="Arial"/>
          <w:lang w:eastAsia="es-ES"/>
        </w:rPr>
      </w:pPr>
      <w:bookmarkStart w:id="2" w:name="_Hlk181166167"/>
      <w:r w:rsidRPr="005E62E2">
        <w:rPr>
          <w:rFonts w:ascii="Verdana" w:eastAsia="Calibri" w:hAnsi="Verdana" w:cs="Arial"/>
          <w:lang w:eastAsia="es-ES"/>
        </w:rPr>
        <w:t>Señor</w:t>
      </w:r>
      <w:r>
        <w:rPr>
          <w:rFonts w:ascii="Verdana" w:eastAsia="Calibri" w:hAnsi="Verdana" w:cs="Arial"/>
          <w:lang w:eastAsia="es-ES"/>
        </w:rPr>
        <w:t>a</w:t>
      </w:r>
    </w:p>
    <w:p w14:paraId="2089FB6B" w14:textId="77777777" w:rsidR="00FB4D13" w:rsidRPr="00F013EC" w:rsidRDefault="00FB4D13" w:rsidP="00FB4D13">
      <w:pPr>
        <w:spacing w:after="0" w:line="240" w:lineRule="auto"/>
        <w:jc w:val="both"/>
        <w:rPr>
          <w:rFonts w:ascii="Verdana" w:eastAsia="Calibri" w:hAnsi="Verdana" w:cs="Arial"/>
          <w:b/>
          <w:bCs/>
          <w:color w:val="000000"/>
          <w:lang w:eastAsia="es-ES_tradnl"/>
        </w:rPr>
      </w:pPr>
      <w:r w:rsidRPr="00F013EC">
        <w:rPr>
          <w:rFonts w:ascii="Verdana" w:eastAsia="Calibri" w:hAnsi="Verdana" w:cs="Arial"/>
          <w:b/>
          <w:bCs/>
          <w:color w:val="000000"/>
          <w:lang w:eastAsia="es-ES_tradnl"/>
        </w:rPr>
        <w:t>LISSET ROCIO ROMERO BECERRA</w:t>
      </w:r>
    </w:p>
    <w:p w14:paraId="687EFB87" w14:textId="77777777" w:rsidR="00FB4D13" w:rsidRPr="00F013EC" w:rsidRDefault="00FB4D13" w:rsidP="00FB4D13">
      <w:pPr>
        <w:spacing w:after="0" w:line="240" w:lineRule="auto"/>
        <w:rPr>
          <w:rFonts w:ascii="Verdana" w:eastAsia="Calibri" w:hAnsi="Verdana" w:cs="Arial"/>
          <w:color w:val="000000"/>
          <w:lang w:val="pt-PT" w:eastAsia="es-ES_tradnl"/>
        </w:rPr>
      </w:pPr>
      <w:hyperlink r:id="rId11" w:history="1">
        <w:r w:rsidRPr="00F013EC">
          <w:rPr>
            <w:rStyle w:val="Hipervnculo"/>
            <w:rFonts w:ascii="Verdana" w:eastAsia="Calibri" w:hAnsi="Verdana" w:cs="Arial"/>
            <w:lang w:val="pt-PT" w:eastAsia="es-ES_tradnl"/>
          </w:rPr>
          <w:t>lisethrocio@gmail.com</w:t>
        </w:r>
      </w:hyperlink>
      <w:r w:rsidRPr="00F013EC">
        <w:rPr>
          <w:rFonts w:ascii="Verdana" w:eastAsia="Calibri" w:hAnsi="Verdana" w:cs="Arial"/>
          <w:color w:val="000000"/>
          <w:lang w:val="pt-PT" w:eastAsia="es-ES_tradnl"/>
        </w:rPr>
        <w:t xml:space="preserve"> </w:t>
      </w:r>
    </w:p>
    <w:p w14:paraId="6A846B11" w14:textId="77777777" w:rsidR="00FB4D13" w:rsidRPr="00E16B22" w:rsidRDefault="00FB4D13" w:rsidP="00FB4D13">
      <w:pPr>
        <w:spacing w:after="0" w:line="240" w:lineRule="auto"/>
        <w:rPr>
          <w:rFonts w:ascii="Verdana" w:eastAsia="Calibri" w:hAnsi="Verdana" w:cs="Arial"/>
          <w:color w:val="000000"/>
          <w:lang w:val="pt-PT" w:eastAsia="es-ES_tradnl"/>
        </w:rPr>
      </w:pPr>
      <w:r w:rsidRPr="00E16B22">
        <w:rPr>
          <w:rFonts w:ascii="Verdana" w:eastAsia="Calibri" w:hAnsi="Verdana" w:cs="Arial"/>
          <w:color w:val="000000"/>
          <w:lang w:val="pt-PT" w:eastAsia="es-ES_tradnl"/>
        </w:rPr>
        <w:t>Bogota D.C.</w:t>
      </w: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FB4D13" w:rsidRPr="00593A5F" w14:paraId="07F8F911" w14:textId="77777777" w:rsidTr="00A32A4D">
        <w:trPr>
          <w:trHeight w:val="884"/>
        </w:trPr>
        <w:tc>
          <w:tcPr>
            <w:tcW w:w="2410" w:type="dxa"/>
          </w:tcPr>
          <w:p w14:paraId="750C6322" w14:textId="77777777" w:rsidR="00FB4D13" w:rsidRPr="00B6773F" w:rsidRDefault="00FB4D13" w:rsidP="00A32A4D">
            <w:pPr>
              <w:jc w:val="both"/>
              <w:rPr>
                <w:rFonts w:ascii="Verdana" w:eastAsia="Calibri" w:hAnsi="Verdana" w:cs="Arial"/>
                <w:b/>
                <w:bCs/>
                <w:color w:val="7030A0"/>
                <w:lang w:val="pt-PT" w:eastAsia="es-ES_tradnl"/>
              </w:rPr>
            </w:pPr>
          </w:p>
        </w:tc>
        <w:tc>
          <w:tcPr>
            <w:tcW w:w="6804" w:type="dxa"/>
            <w:gridSpan w:val="2"/>
          </w:tcPr>
          <w:p w14:paraId="77440822" w14:textId="77777777" w:rsidR="00FB4D13" w:rsidRPr="002B5057" w:rsidRDefault="00FB4D13" w:rsidP="00A32A4D">
            <w:pPr>
              <w:jc w:val="both"/>
              <w:rPr>
                <w:rFonts w:ascii="Verdana" w:eastAsia="Calibri" w:hAnsi="Verdana" w:cs="Arial"/>
                <w:b/>
                <w:bCs/>
                <w:color w:val="7030A0"/>
                <w:lang w:val="es-ES" w:eastAsia="es-ES"/>
              </w:rPr>
            </w:pPr>
            <w:r w:rsidRPr="002B5057">
              <w:rPr>
                <w:rFonts w:ascii="Verdana" w:eastAsia="Calibri" w:hAnsi="Verdana" w:cs="Arial"/>
                <w:b/>
                <w:bCs/>
                <w:lang w:val="es-ES" w:eastAsia="es-ES"/>
              </w:rPr>
              <w:t xml:space="preserve">Concepto C- </w:t>
            </w:r>
            <w:r>
              <w:rPr>
                <w:rFonts w:ascii="Verdana" w:eastAsia="Calibri" w:hAnsi="Verdana" w:cs="Arial"/>
                <w:b/>
                <w:bCs/>
                <w:lang w:val="es-ES" w:eastAsia="es-ES"/>
              </w:rPr>
              <w:t>507</w:t>
            </w:r>
            <w:r w:rsidRPr="002B5057">
              <w:rPr>
                <w:rFonts w:ascii="Verdana" w:eastAsia="Calibri" w:hAnsi="Verdana" w:cs="Arial"/>
                <w:b/>
                <w:bCs/>
                <w:lang w:val="es-ES" w:eastAsia="es-ES"/>
              </w:rPr>
              <w:t xml:space="preserve"> de 2025</w:t>
            </w:r>
          </w:p>
        </w:tc>
      </w:tr>
      <w:tr w:rsidR="00FB4D13" w:rsidRPr="00593A5F" w14:paraId="6714D3AC" w14:textId="77777777" w:rsidTr="00A32A4D">
        <w:trPr>
          <w:trHeight w:val="884"/>
        </w:trPr>
        <w:tc>
          <w:tcPr>
            <w:tcW w:w="2410" w:type="dxa"/>
          </w:tcPr>
          <w:p w14:paraId="7577A643" w14:textId="77777777" w:rsidR="00FB4D13" w:rsidRPr="00593A5F" w:rsidRDefault="00FB4D13" w:rsidP="00A32A4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0A32552D" w14:textId="77777777" w:rsidR="00FB4D13" w:rsidRDefault="00FB4D13" w:rsidP="00A32A4D">
            <w:pPr>
              <w:spacing w:line="276" w:lineRule="auto"/>
              <w:jc w:val="both"/>
              <w:rPr>
                <w:rFonts w:ascii="Verdana" w:eastAsia="Calibri" w:hAnsi="Verdana" w:cs="Arial"/>
                <w:lang w:val="es-ES" w:eastAsia="es-ES"/>
              </w:rPr>
            </w:pPr>
            <w:r w:rsidRPr="00281394">
              <w:rPr>
                <w:rFonts w:ascii="Verdana" w:eastAsia="Calibri" w:hAnsi="Verdana" w:cs="Arial"/>
                <w:lang w:val="es-ES" w:eastAsia="es-ES"/>
              </w:rPr>
              <w:t>CONVOCATORIAS LIMITADAS A MIPYMES – Requisitos – Artículo 2.2.1.2.4.2.2 del Decreto 1082 de 2015.</w:t>
            </w:r>
            <w:r>
              <w:t xml:space="preserve"> </w:t>
            </w:r>
            <w:r w:rsidRPr="00281394">
              <w:rPr>
                <w:rFonts w:ascii="Verdana" w:eastAsia="Calibri" w:hAnsi="Verdana" w:cs="Arial"/>
                <w:lang w:val="es-ES" w:eastAsia="es-ES"/>
              </w:rPr>
              <w:t xml:space="preserve">CONVOCATORIAS LIMITADAS A MIPYMES NACIONALES – Limitación territorial – Relevancia del domicilio de la </w:t>
            </w:r>
            <w:proofErr w:type="spellStart"/>
            <w:r w:rsidRPr="00281394">
              <w:rPr>
                <w:rFonts w:ascii="Verdana" w:eastAsia="Calibri" w:hAnsi="Verdana" w:cs="Arial"/>
                <w:lang w:val="es-ES" w:eastAsia="es-ES"/>
              </w:rPr>
              <w:t>Mipymes</w:t>
            </w:r>
            <w:proofErr w:type="spellEnd"/>
            <w:r w:rsidRPr="00281394">
              <w:rPr>
                <w:rFonts w:ascii="Verdana" w:eastAsia="Calibri" w:hAnsi="Verdana" w:cs="Arial"/>
                <w:lang w:val="es-ES" w:eastAsia="es-ES"/>
              </w:rPr>
              <w:t>.</w:t>
            </w:r>
          </w:p>
          <w:p w14:paraId="47FA4423" w14:textId="77777777" w:rsidR="00FB4D13" w:rsidRPr="00606078" w:rsidRDefault="00FB4D13" w:rsidP="00A32A4D">
            <w:pPr>
              <w:spacing w:line="276" w:lineRule="auto"/>
              <w:jc w:val="both"/>
              <w:rPr>
                <w:rFonts w:ascii="Verdana" w:eastAsia="Calibri" w:hAnsi="Verdana" w:cs="Arial"/>
                <w:b/>
                <w:bCs/>
                <w:highlight w:val="yellow"/>
                <w:lang w:val="es-ES" w:eastAsia="es-ES"/>
              </w:rPr>
            </w:pPr>
          </w:p>
        </w:tc>
      </w:tr>
      <w:tr w:rsidR="00FB4D13" w:rsidRPr="00593A5F" w14:paraId="13BFEDA4" w14:textId="77777777" w:rsidTr="00A32A4D">
        <w:tc>
          <w:tcPr>
            <w:tcW w:w="2410" w:type="dxa"/>
          </w:tcPr>
          <w:p w14:paraId="250948F9" w14:textId="77777777" w:rsidR="00FB4D13" w:rsidRPr="006730E9" w:rsidRDefault="00FB4D13" w:rsidP="00A32A4D">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04149FA" w14:textId="77777777" w:rsidR="00FB4D13" w:rsidRPr="006730E9" w:rsidRDefault="00FB4D13" w:rsidP="00A32A4D">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F013EC">
              <w:rPr>
                <w:rFonts w:ascii="Verdana" w:eastAsia="Calibri" w:hAnsi="Verdana" w:cs="Arial"/>
                <w:lang w:val="es-ES_tradnl" w:eastAsia="es-ES_tradnl"/>
              </w:rPr>
              <w:t>P20250424003923</w:t>
            </w:r>
            <w:r>
              <w:rPr>
                <w:rFonts w:ascii="Verdana" w:eastAsia="Calibri" w:hAnsi="Verdana" w:cs="Arial"/>
                <w:lang w:val="es-ES_tradnl" w:eastAsia="es-ES_tradnl"/>
              </w:rPr>
              <w:t>.</w:t>
            </w:r>
          </w:p>
        </w:tc>
      </w:tr>
      <w:tr w:rsidR="00FB4D13" w:rsidRPr="00DB23D2" w14:paraId="064F5074" w14:textId="77777777" w:rsidTr="00A32A4D">
        <w:trPr>
          <w:gridAfter w:val="1"/>
          <w:wAfter w:w="336" w:type="dxa"/>
          <w:trHeight w:val="233"/>
        </w:trPr>
        <w:tc>
          <w:tcPr>
            <w:tcW w:w="8878" w:type="dxa"/>
            <w:gridSpan w:val="2"/>
          </w:tcPr>
          <w:p w14:paraId="450C5CC2" w14:textId="77777777" w:rsidR="00FB4D13" w:rsidRPr="00DB23D2" w:rsidRDefault="00FB4D13" w:rsidP="00A32A4D">
            <w:pPr>
              <w:spacing w:after="120" w:line="276" w:lineRule="auto"/>
              <w:jc w:val="both"/>
              <w:rPr>
                <w:rFonts w:ascii="Verdana" w:eastAsia="Calibri" w:hAnsi="Verdana" w:cs="Arial"/>
                <w:lang w:val="es-ES_tradnl" w:eastAsia="es-ES"/>
              </w:rPr>
            </w:pPr>
          </w:p>
        </w:tc>
      </w:tr>
    </w:tbl>
    <w:p w14:paraId="2BCE1AAE" w14:textId="77777777" w:rsidR="00FB4D13" w:rsidRPr="006730E9" w:rsidRDefault="00FB4D13" w:rsidP="00FB4D1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Romero;</w:t>
      </w:r>
    </w:p>
    <w:p w14:paraId="1CE242F4" w14:textId="77777777" w:rsidR="00FB4D13" w:rsidRDefault="00FB4D13" w:rsidP="00FB4D13">
      <w:pPr>
        <w:tabs>
          <w:tab w:val="left" w:pos="3768"/>
        </w:tabs>
        <w:spacing w:after="0" w:line="276" w:lineRule="auto"/>
        <w:jc w:val="both"/>
        <w:rPr>
          <w:rFonts w:ascii="Verdana" w:eastAsia="Calibri" w:hAnsi="Verdana" w:cs="Arial"/>
          <w:color w:val="000000" w:themeColor="text1"/>
          <w:lang w:val="es-ES" w:eastAsia="es-ES"/>
        </w:rPr>
      </w:pPr>
    </w:p>
    <w:p w14:paraId="2F2F57E5" w14:textId="77777777" w:rsidR="00FB4D13" w:rsidRPr="006730E9" w:rsidRDefault="00FB4D13" w:rsidP="00FB4D1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w:t>
      </w:r>
      <w:r>
        <w:rPr>
          <w:rFonts w:ascii="Verdana" w:eastAsia="Calibri" w:hAnsi="Verdana" w:cs="Arial"/>
          <w:lang w:val="es-ES" w:eastAsia="es-ES"/>
        </w:rPr>
        <w:t>a su</w:t>
      </w:r>
      <w:r w:rsidRPr="006730E9">
        <w:rPr>
          <w:rFonts w:ascii="Verdana" w:eastAsia="Calibri" w:hAnsi="Verdana" w:cs="Arial"/>
          <w:lang w:val="es-ES" w:eastAsia="es-ES"/>
        </w:rPr>
        <w:t xml:space="preserve"> solicitud </w:t>
      </w:r>
      <w:r>
        <w:rPr>
          <w:rFonts w:ascii="Verdana" w:eastAsia="Calibri" w:hAnsi="Verdana" w:cs="Arial"/>
          <w:lang w:val="es-ES" w:eastAsia="es-ES"/>
        </w:rPr>
        <w:t xml:space="preserve">trasladada por competencia por la Contaduría General de la Nación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10 </w:t>
      </w:r>
      <w:r w:rsidRPr="00E5644F">
        <w:rPr>
          <w:rFonts w:ascii="Verdana" w:eastAsia="Calibri" w:hAnsi="Verdana" w:cs="Arial"/>
          <w:lang w:val="es-ES" w:eastAsia="es-ES"/>
        </w:rPr>
        <w:t xml:space="preserve">de </w:t>
      </w:r>
      <w:r>
        <w:rPr>
          <w:rFonts w:ascii="Verdana" w:eastAsia="Calibri" w:hAnsi="Verdana" w:cs="Arial"/>
          <w:lang w:val="es-ES" w:eastAsia="es-ES"/>
        </w:rPr>
        <w:t>abril</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 xml:space="preserve">mediante </w:t>
      </w:r>
      <w:r w:rsidRPr="006730E9">
        <w:rPr>
          <w:rFonts w:ascii="Verdana" w:eastAsia="Calibri" w:hAnsi="Verdana" w:cs="Arial"/>
          <w:lang w:val="es-ES" w:eastAsia="es-ES"/>
        </w:rPr>
        <w:t>la</w:t>
      </w:r>
      <w:r>
        <w:rPr>
          <w:rFonts w:ascii="Verdana" w:eastAsia="Calibri" w:hAnsi="Verdana" w:cs="Arial"/>
          <w:lang w:val="es-ES" w:eastAsia="es-ES"/>
        </w:rPr>
        <w:t>s</w:t>
      </w:r>
      <w:r w:rsidRPr="006730E9">
        <w:rPr>
          <w:rFonts w:ascii="Verdana" w:eastAsia="Calibri" w:hAnsi="Verdana" w:cs="Arial"/>
          <w:lang w:val="es-ES" w:eastAsia="es-ES"/>
        </w:rPr>
        <w:t xml:space="preserve"> cual</w:t>
      </w:r>
      <w:r>
        <w:rPr>
          <w:rFonts w:ascii="Verdana" w:eastAsia="Calibri" w:hAnsi="Verdana" w:cs="Arial"/>
          <w:lang w:val="es-ES" w:eastAsia="es-ES"/>
        </w:rPr>
        <w:t>es</w:t>
      </w:r>
      <w:r w:rsidRPr="006730E9">
        <w:rPr>
          <w:rFonts w:ascii="Verdana" w:eastAsia="Calibri" w:hAnsi="Verdana" w:cs="Arial"/>
          <w:lang w:val="es-ES" w:eastAsia="es-ES"/>
        </w:rPr>
        <w:t xml:space="preserve"> manifiesta lo siguiente: </w:t>
      </w:r>
    </w:p>
    <w:p w14:paraId="464BAA15" w14:textId="77777777" w:rsidR="00FB4D13" w:rsidRPr="00326382" w:rsidRDefault="00FB4D13" w:rsidP="00FB4D13">
      <w:pPr>
        <w:spacing w:after="0" w:line="240" w:lineRule="auto"/>
        <w:ind w:left="709" w:right="474"/>
        <w:jc w:val="both"/>
        <w:rPr>
          <w:rFonts w:ascii="Verdana" w:hAnsi="Verdana" w:cs="Arial"/>
          <w:sz w:val="20"/>
          <w:szCs w:val="20"/>
          <w:shd w:val="clear" w:color="auto" w:fill="FFFFFF"/>
        </w:rPr>
      </w:pPr>
      <w:bookmarkStart w:id="3" w:name="_Hlk95313578"/>
    </w:p>
    <w:bookmarkEnd w:id="3"/>
    <w:p w14:paraId="5FC8C2D1" w14:textId="77777777" w:rsidR="00FB4D13" w:rsidRDefault="00FB4D13" w:rsidP="00FB4D13">
      <w:pPr>
        <w:pStyle w:val="Prrafodelista"/>
        <w:tabs>
          <w:tab w:val="left" w:pos="142"/>
          <w:tab w:val="left" w:pos="284"/>
        </w:tabs>
        <w:ind w:left="709" w:right="709"/>
        <w:jc w:val="both"/>
        <w:rPr>
          <w:rFonts w:ascii="Verdana" w:eastAsia="Century Gothic" w:hAnsi="Verdana" w:cs="Century Gothic"/>
          <w:i/>
          <w:iCs/>
          <w:lang w:val="es-CO"/>
        </w:rPr>
      </w:pPr>
      <w:r w:rsidRPr="005758A5">
        <w:rPr>
          <w:rFonts w:ascii="Verdana" w:eastAsia="Century Gothic" w:hAnsi="Verdana" w:cs="Century Gothic"/>
          <w:i/>
          <w:iCs/>
          <w:lang w:val="es-CO"/>
        </w:rPr>
        <w:t>(…)</w:t>
      </w:r>
    </w:p>
    <w:p w14:paraId="33E6A7F0" w14:textId="77777777" w:rsidR="00FB4D13" w:rsidRPr="005758A5" w:rsidRDefault="00FB4D13" w:rsidP="00FB4D13">
      <w:pPr>
        <w:pStyle w:val="Prrafodelista"/>
        <w:tabs>
          <w:tab w:val="left" w:pos="142"/>
          <w:tab w:val="left" w:pos="284"/>
        </w:tabs>
        <w:ind w:left="709" w:right="709"/>
        <w:jc w:val="both"/>
        <w:rPr>
          <w:rFonts w:ascii="Verdana" w:eastAsia="Century Gothic" w:hAnsi="Verdana" w:cs="Century Gothic"/>
          <w:i/>
          <w:iCs/>
        </w:rPr>
      </w:pPr>
    </w:p>
    <w:p w14:paraId="32C57E20" w14:textId="77777777" w:rsidR="00FB4D13" w:rsidRDefault="00FB4D13" w:rsidP="00FB4D13">
      <w:pPr>
        <w:pStyle w:val="Prrafodelista"/>
        <w:tabs>
          <w:tab w:val="left" w:pos="142"/>
          <w:tab w:val="left" w:pos="284"/>
        </w:tabs>
        <w:ind w:left="709" w:right="709"/>
        <w:jc w:val="both"/>
        <w:rPr>
          <w:rFonts w:ascii="Verdana" w:hAnsi="Verdana"/>
          <w:i/>
          <w:iCs/>
          <w:lang w:val="es-CO"/>
        </w:rPr>
      </w:pPr>
      <w:r>
        <w:rPr>
          <w:rFonts w:ascii="Verdana" w:hAnsi="Verdana"/>
          <w:i/>
          <w:iCs/>
        </w:rPr>
        <w:t>“</w:t>
      </w:r>
      <w:r w:rsidRPr="00F013EC">
        <w:rPr>
          <w:rFonts w:ascii="Verdana" w:hAnsi="Verdana"/>
          <w:i/>
          <w:iCs/>
          <w:lang w:val="es-CO"/>
        </w:rPr>
        <w:t xml:space="preserve">Me dirijo a ustedes como empresaria interesada en participar de las convocatorias públicas presentes en el departamento de Casanare, pero surge la duda, ya que mi empresa tiene domicilio principal en Bogotá, pero tengo una sucursal en la ciudad de </w:t>
      </w:r>
      <w:r>
        <w:rPr>
          <w:rFonts w:ascii="Verdana" w:hAnsi="Verdana"/>
          <w:i/>
          <w:iCs/>
          <w:lang w:val="es-CO"/>
        </w:rPr>
        <w:t>Y</w:t>
      </w:r>
      <w:r w:rsidRPr="00F013EC">
        <w:rPr>
          <w:rFonts w:ascii="Verdana" w:hAnsi="Verdana"/>
          <w:i/>
          <w:iCs/>
          <w:lang w:val="es-CO"/>
        </w:rPr>
        <w:t xml:space="preserve">opal; he visto que el proceso en el que quiero participar tiene la condición de "limitación de </w:t>
      </w:r>
      <w:proofErr w:type="spellStart"/>
      <w:r w:rsidRPr="00F013EC">
        <w:rPr>
          <w:rFonts w:ascii="Verdana" w:hAnsi="Verdana"/>
          <w:i/>
          <w:iCs/>
          <w:lang w:val="es-CO"/>
        </w:rPr>
        <w:t>Mypimes</w:t>
      </w:r>
      <w:proofErr w:type="spellEnd"/>
      <w:r w:rsidRPr="00F013EC">
        <w:rPr>
          <w:rFonts w:ascii="Verdana" w:hAnsi="Verdana"/>
          <w:i/>
          <w:iCs/>
          <w:lang w:val="es-CO"/>
        </w:rPr>
        <w:t xml:space="preserve"> a orden departamental", en ese caso, consulto a ustedes si puedo postularme como oferente al proceso, adjuntando la cámara de comercio de mi sucursal en </w:t>
      </w:r>
      <w:r>
        <w:rPr>
          <w:rFonts w:ascii="Verdana" w:hAnsi="Verdana"/>
          <w:i/>
          <w:iCs/>
          <w:lang w:val="es-CO"/>
        </w:rPr>
        <w:t>Y</w:t>
      </w:r>
      <w:r w:rsidRPr="00F013EC">
        <w:rPr>
          <w:rFonts w:ascii="Verdana" w:hAnsi="Verdana"/>
          <w:i/>
          <w:iCs/>
          <w:lang w:val="es-CO"/>
        </w:rPr>
        <w:t xml:space="preserve">opal </w:t>
      </w:r>
      <w:r w:rsidRPr="00F013EC">
        <w:rPr>
          <w:rFonts w:ascii="Verdana" w:hAnsi="Verdana"/>
          <w:i/>
          <w:iCs/>
          <w:lang w:val="es-CO"/>
        </w:rPr>
        <w:lastRenderedPageBreak/>
        <w:t>Casanare? O no puedo participar por tener domicilio principal fuera del departamento</w:t>
      </w:r>
      <w:proofErr w:type="gramStart"/>
      <w:r w:rsidRPr="00F013EC">
        <w:rPr>
          <w:rFonts w:ascii="Verdana" w:hAnsi="Verdana"/>
          <w:i/>
          <w:iCs/>
          <w:lang w:val="es-CO"/>
        </w:rPr>
        <w:t>? ”</w:t>
      </w:r>
      <w:proofErr w:type="gramEnd"/>
    </w:p>
    <w:p w14:paraId="5D846698" w14:textId="77777777" w:rsidR="00FB4D13" w:rsidRPr="00F013EC" w:rsidRDefault="00FB4D13" w:rsidP="00FB4D13">
      <w:pPr>
        <w:pStyle w:val="Prrafodelista"/>
        <w:tabs>
          <w:tab w:val="left" w:pos="142"/>
          <w:tab w:val="left" w:pos="284"/>
        </w:tabs>
        <w:ind w:left="709" w:right="709"/>
        <w:jc w:val="both"/>
        <w:rPr>
          <w:rFonts w:ascii="Verdana" w:hAnsi="Verdana"/>
          <w:i/>
          <w:iCs/>
          <w:lang w:val="es-CO"/>
        </w:rPr>
      </w:pPr>
    </w:p>
    <w:p w14:paraId="3B60AE4F" w14:textId="77777777" w:rsidR="00FB4D13" w:rsidRPr="000852B0" w:rsidRDefault="00FB4D13" w:rsidP="00FB4D13">
      <w:pPr>
        <w:pStyle w:val="Prrafodelista"/>
        <w:tabs>
          <w:tab w:val="left" w:pos="142"/>
          <w:tab w:val="left" w:pos="284"/>
        </w:tabs>
        <w:ind w:left="709" w:right="709"/>
        <w:jc w:val="both"/>
        <w:rPr>
          <w:rFonts w:ascii="Verdana" w:hAnsi="Verdana"/>
          <w:i/>
          <w:iCs/>
        </w:rPr>
      </w:pPr>
      <w:r w:rsidRPr="000852B0">
        <w:rPr>
          <w:rFonts w:ascii="Verdana" w:eastAsia="Century Gothic" w:hAnsi="Verdana" w:cs="Century Gothic"/>
          <w:i/>
          <w:iCs/>
          <w:lang w:val="es-CO"/>
        </w:rPr>
        <w:t>(…)</w:t>
      </w:r>
    </w:p>
    <w:p w14:paraId="070BE56B" w14:textId="77777777" w:rsidR="00FB4D13" w:rsidRPr="00AA3B9F" w:rsidRDefault="00FB4D13" w:rsidP="00FB4D13">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E6CEFBE" w14:textId="77777777" w:rsidR="00FB4D13" w:rsidRDefault="00FB4D13" w:rsidP="00FB4D13">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w:t>
      </w:r>
      <w:r>
        <w:rPr>
          <w:rFonts w:ascii="Verdana" w:eastAsia="Calibri" w:hAnsi="Verdana" w:cs="Arial"/>
          <w:lang w:val="es-ES" w:eastAsia="es-ES"/>
        </w:rPr>
        <w:t>s</w:t>
      </w:r>
      <w:r w:rsidRPr="00AA3B9F">
        <w:rPr>
          <w:rFonts w:ascii="Verdana" w:eastAsia="Calibri" w:hAnsi="Verdana" w:cs="Arial"/>
          <w:lang w:val="es-ES" w:eastAsia="es-ES"/>
        </w:rPr>
        <w:t xml:space="preserve"> consulta</w:t>
      </w:r>
      <w:r>
        <w:rPr>
          <w:rFonts w:ascii="Verdana" w:eastAsia="Calibri" w:hAnsi="Verdana" w:cs="Arial"/>
          <w:lang w:val="es-ES" w:eastAsia="es-ES"/>
        </w:rPr>
        <w:t>s</w:t>
      </w:r>
      <w:r w:rsidRPr="00AA3B9F">
        <w:rPr>
          <w:rFonts w:ascii="Verdana" w:eastAsia="Calibri" w:hAnsi="Verdana" w:cs="Arial"/>
          <w:lang w:val="es-ES" w:eastAsia="es-ES"/>
        </w:rPr>
        <w:t xml:space="preserve"> dentro de los límites de la referida competencia consultiva, esto es, haciendo abstracción de las circunstancias particulares y concretas mencionadas en su</w:t>
      </w:r>
      <w:r>
        <w:rPr>
          <w:rFonts w:ascii="Verdana" w:eastAsia="Calibri" w:hAnsi="Verdana" w:cs="Arial"/>
          <w:lang w:val="es-ES" w:eastAsia="es-ES"/>
        </w:rPr>
        <w:t>s</w:t>
      </w:r>
      <w:r w:rsidRPr="00AA3B9F">
        <w:rPr>
          <w:rFonts w:ascii="Verdana" w:eastAsia="Calibri" w:hAnsi="Verdana" w:cs="Arial"/>
          <w:lang w:val="es-ES" w:eastAsia="es-ES"/>
        </w:rPr>
        <w:t xml:space="preserve"> peticion</w:t>
      </w:r>
      <w:r>
        <w:rPr>
          <w:rFonts w:ascii="Verdana" w:eastAsia="Calibri" w:hAnsi="Verdana" w:cs="Arial"/>
          <w:lang w:val="es-ES" w:eastAsia="es-ES"/>
        </w:rPr>
        <w:t>es</w:t>
      </w:r>
      <w:r w:rsidRPr="00AA3B9F">
        <w:rPr>
          <w:rFonts w:ascii="Verdana" w:eastAsia="Calibri" w:hAnsi="Verdana" w:cs="Arial"/>
          <w:lang w:val="es-ES" w:eastAsia="es-ES"/>
        </w:rPr>
        <w:t>, pero haciendo unas consideraciones sobre las normas generales relacionadas con los problemas jurídicos de su</w:t>
      </w:r>
      <w:r>
        <w:rPr>
          <w:rFonts w:ascii="Verdana" w:eastAsia="Calibri" w:hAnsi="Verdana" w:cs="Arial"/>
          <w:lang w:val="es-ES" w:eastAsia="es-ES"/>
        </w:rPr>
        <w:t>s</w:t>
      </w:r>
      <w:r w:rsidRPr="00AA3B9F">
        <w:rPr>
          <w:rFonts w:ascii="Verdana" w:eastAsia="Calibri" w:hAnsi="Verdana" w:cs="Arial"/>
          <w:lang w:val="es-ES" w:eastAsia="es-ES"/>
        </w:rPr>
        <w:t xml:space="preserve"> consulta</w:t>
      </w:r>
      <w:r>
        <w:rPr>
          <w:rFonts w:ascii="Verdana" w:eastAsia="Calibri" w:hAnsi="Verdana" w:cs="Arial"/>
          <w:lang w:val="es-ES" w:eastAsia="es-ES"/>
        </w:rPr>
        <w:t>s</w:t>
      </w:r>
      <w:r w:rsidRPr="00AA3B9F">
        <w:rPr>
          <w:rFonts w:ascii="Verdana" w:eastAsia="Calibri" w:hAnsi="Verdana" w:cs="Arial"/>
          <w:lang w:val="es-ES" w:eastAsia="es-ES"/>
        </w:rPr>
        <w:t xml:space="preserve">.  </w:t>
      </w:r>
    </w:p>
    <w:p w14:paraId="64363CDD" w14:textId="77777777" w:rsidR="00FB4D13" w:rsidRPr="00AA3B9F" w:rsidRDefault="00FB4D13" w:rsidP="00FB4D13">
      <w:pPr>
        <w:spacing w:after="0" w:line="276" w:lineRule="auto"/>
        <w:ind w:firstLine="709"/>
        <w:jc w:val="both"/>
        <w:rPr>
          <w:rFonts w:ascii="Verdana" w:eastAsia="Calibri" w:hAnsi="Verdana" w:cs="Arial"/>
          <w:lang w:val="es-ES" w:eastAsia="es-ES"/>
        </w:rPr>
      </w:pPr>
    </w:p>
    <w:p w14:paraId="0FC9D968" w14:textId="77777777" w:rsidR="00FB4D13" w:rsidRPr="00593A5F" w:rsidRDefault="00FB4D13" w:rsidP="00FB4D1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w:t>
      </w:r>
      <w:r>
        <w:rPr>
          <w:rFonts w:ascii="Verdana" w:eastAsia="Century Gothic" w:hAnsi="Verdana" w:cs="Century Gothic"/>
          <w:b/>
          <w:bCs/>
        </w:rPr>
        <w:t xml:space="preserve">jurídicos </w:t>
      </w:r>
      <w:r w:rsidRPr="00593A5F">
        <w:rPr>
          <w:rFonts w:ascii="Verdana" w:eastAsia="Century Gothic" w:hAnsi="Verdana" w:cs="Century Gothic"/>
          <w:b/>
          <w:bCs/>
        </w:rPr>
        <w:t>planteado</w:t>
      </w:r>
      <w:r>
        <w:rPr>
          <w:rFonts w:ascii="Verdana" w:eastAsia="Century Gothic" w:hAnsi="Verdana" w:cs="Century Gothic"/>
          <w:b/>
          <w:bCs/>
        </w:rPr>
        <w:t>s</w:t>
      </w:r>
      <w:r w:rsidRPr="00593A5F">
        <w:rPr>
          <w:rFonts w:ascii="Verdana" w:eastAsia="Century Gothic" w:hAnsi="Verdana" w:cs="Century Gothic"/>
          <w:b/>
          <w:bCs/>
        </w:rPr>
        <w:t>:</w:t>
      </w:r>
    </w:p>
    <w:p w14:paraId="4DA62C91" w14:textId="77777777" w:rsidR="00FB4D13" w:rsidRPr="00593A5F" w:rsidRDefault="00FB4D13" w:rsidP="00FB4D13">
      <w:pPr>
        <w:tabs>
          <w:tab w:val="left" w:pos="426"/>
        </w:tabs>
        <w:spacing w:after="0" w:line="276" w:lineRule="auto"/>
        <w:jc w:val="both"/>
        <w:rPr>
          <w:rFonts w:ascii="Verdana" w:eastAsia="Century Gothic" w:hAnsi="Verdana" w:cs="Century Gothic"/>
          <w:lang w:val="es-ES"/>
        </w:rPr>
      </w:pPr>
    </w:p>
    <w:p w14:paraId="7B08A2F2" w14:textId="77777777" w:rsidR="00FB4D13" w:rsidRPr="008A574A" w:rsidRDefault="00FB4D13" w:rsidP="00FB4D13">
      <w:pPr>
        <w:pStyle w:val="Prrafodelista"/>
        <w:spacing w:after="0" w:line="276" w:lineRule="auto"/>
        <w:ind w:left="0" w:right="51"/>
        <w:jc w:val="both"/>
        <w:rPr>
          <w:rFonts w:ascii="Verdana" w:eastAsia="Century Gothic" w:hAnsi="Verdana" w:cs="Century Gothic"/>
        </w:rPr>
      </w:pPr>
      <w:r w:rsidRPr="008A574A">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8A574A">
        <w:rPr>
          <w:rFonts w:ascii="Verdana" w:eastAsia="Century Gothic" w:hAnsi="Verdana" w:cs="Century Gothic"/>
        </w:rPr>
        <w:t xml:space="preserve"> siguiente</w:t>
      </w:r>
      <w:r>
        <w:rPr>
          <w:rFonts w:ascii="Verdana" w:eastAsia="Century Gothic" w:hAnsi="Verdana" w:cs="Century Gothic"/>
        </w:rPr>
        <w:t>s</w:t>
      </w:r>
      <w:r w:rsidRPr="008A574A">
        <w:rPr>
          <w:rFonts w:ascii="Verdana" w:eastAsia="Century Gothic" w:hAnsi="Verdana" w:cs="Century Gothic"/>
        </w:rPr>
        <w:t xml:space="preserve"> problema</w:t>
      </w:r>
      <w:r>
        <w:rPr>
          <w:rFonts w:ascii="Verdana" w:eastAsia="Century Gothic" w:hAnsi="Verdana" w:cs="Century Gothic"/>
        </w:rPr>
        <w:t>s</w:t>
      </w:r>
      <w:r w:rsidRPr="008A574A">
        <w:rPr>
          <w:rFonts w:ascii="Verdana" w:eastAsia="Century Gothic" w:hAnsi="Verdana" w:cs="Century Gothic"/>
        </w:rPr>
        <w:t xml:space="preserve"> jurídico: </w:t>
      </w:r>
      <w:r w:rsidRPr="000A1E24">
        <w:rPr>
          <w:rFonts w:ascii="Verdana" w:hAnsi="Verdana"/>
          <w:lang w:val="es-CO"/>
        </w:rPr>
        <w:t xml:space="preserve">¿Es jurídicamente viable que una Mipyme, con domicilio principal fuera del departamento de ejecución de un contrato, participe en un proceso de selección limitado a </w:t>
      </w:r>
      <w:proofErr w:type="spellStart"/>
      <w:r w:rsidRPr="000A1E24">
        <w:rPr>
          <w:rFonts w:ascii="Verdana" w:hAnsi="Verdana"/>
          <w:lang w:val="es-CO"/>
        </w:rPr>
        <w:t>Mipymes</w:t>
      </w:r>
      <w:proofErr w:type="spellEnd"/>
      <w:r w:rsidRPr="000A1E24">
        <w:rPr>
          <w:rFonts w:ascii="Verdana" w:hAnsi="Verdana"/>
          <w:lang w:val="es-CO"/>
        </w:rPr>
        <w:t xml:space="preserve"> domiciliadas en esa región, invocando su sucursal establecida en dicho territorio?</w:t>
      </w:r>
    </w:p>
    <w:p w14:paraId="156009D0" w14:textId="77777777" w:rsidR="00FB4D13" w:rsidRDefault="00FB4D13" w:rsidP="00FB4D13">
      <w:pPr>
        <w:pStyle w:val="Prrafodelista"/>
        <w:ind w:left="0" w:right="49"/>
        <w:jc w:val="both"/>
        <w:rPr>
          <w:rFonts w:ascii="Verdana" w:eastAsia="Century Gothic" w:hAnsi="Verdana" w:cs="Century Gothic"/>
          <w:lang w:val="es-CO"/>
        </w:rPr>
      </w:pPr>
    </w:p>
    <w:p w14:paraId="2065399F" w14:textId="77777777" w:rsidR="00FB4D13" w:rsidRPr="00593A5F" w:rsidRDefault="00FB4D13" w:rsidP="00FB4D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660400F" w14:textId="77777777" w:rsidR="00FB4D13" w:rsidRPr="00593A5F" w:rsidRDefault="00FB4D13" w:rsidP="00FB4D1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B4D13" w:rsidRPr="00593A5F" w14:paraId="61BCA22B" w14:textId="77777777" w:rsidTr="00A32A4D">
        <w:tc>
          <w:tcPr>
            <w:tcW w:w="8828" w:type="dxa"/>
          </w:tcPr>
          <w:p w14:paraId="15865B3D" w14:textId="77777777" w:rsidR="00FB4D13" w:rsidRDefault="00FB4D13" w:rsidP="00A32A4D">
            <w:pPr>
              <w:spacing w:line="276" w:lineRule="auto"/>
              <w:jc w:val="both"/>
              <w:rPr>
                <w:rFonts w:ascii="Verdana" w:eastAsia="Calibri" w:hAnsi="Verdana" w:cs="Arial"/>
                <w:lang w:val="es-ES"/>
              </w:rPr>
            </w:pPr>
            <w:r w:rsidRPr="00FC49A2">
              <w:rPr>
                <w:rFonts w:ascii="Verdana" w:eastAsia="Calibri" w:hAnsi="Verdana" w:cs="Arial"/>
                <w:lang w:val="es-ES"/>
              </w:rPr>
              <w:t xml:space="preserve">El artículo 2.2.1.2.4.2.3 del Decreto 1082 de 2015 desarrolla las convocatorias limitadas territorialmente a </w:t>
            </w:r>
            <w:proofErr w:type="spellStart"/>
            <w:r w:rsidRPr="00FC49A2">
              <w:rPr>
                <w:rFonts w:ascii="Verdana" w:eastAsia="Calibri" w:hAnsi="Verdana" w:cs="Arial"/>
                <w:lang w:val="es-ES"/>
              </w:rPr>
              <w:t>Mipymes</w:t>
            </w:r>
            <w:proofErr w:type="spellEnd"/>
            <w:r w:rsidRPr="00FC49A2">
              <w:rPr>
                <w:rFonts w:ascii="Verdana" w:eastAsia="Calibri" w:hAnsi="Verdana" w:cs="Arial"/>
                <w:lang w:val="es-ES"/>
              </w:rPr>
              <w:t xml:space="preserve"> colombianas, señalando que “[…] las Entidades Estatales, independientemente de su régimen de contratación, los patrimonios autónomos constituidos por Entidades Estatales y los particulares </w:t>
            </w:r>
            <w:r w:rsidRPr="00FC49A2">
              <w:rPr>
                <w:rFonts w:ascii="Verdana" w:eastAsia="Calibri" w:hAnsi="Verdana" w:cs="Arial"/>
                <w:lang w:val="es-ES"/>
              </w:rPr>
              <w:lastRenderedPageBreak/>
              <w:t xml:space="preserve">que ejecuten recursos públicos, pueden realizar convocatorias limitadas a Mipyme colombianas que tengan </w:t>
            </w:r>
            <w:r w:rsidRPr="00A53190">
              <w:rPr>
                <w:rFonts w:ascii="Verdana" w:eastAsia="Calibri" w:hAnsi="Verdana" w:cs="Arial"/>
                <w:b/>
                <w:bCs/>
                <w:lang w:val="es-ES"/>
              </w:rPr>
              <w:t>domicilio</w:t>
            </w:r>
            <w:r w:rsidRPr="00FC49A2">
              <w:rPr>
                <w:rFonts w:ascii="Verdana" w:eastAsia="Calibri" w:hAnsi="Verdana" w:cs="Arial"/>
                <w:lang w:val="es-ES"/>
              </w:rPr>
              <w:t xml:space="preserve"> en los departamentos o municipios en donde se va a ejecutar el contrato […]”. Como se observa, los sujetos referenciados en la norma precitada podrán limitar sus procesos de contratación territorialmente a las </w:t>
            </w:r>
            <w:proofErr w:type="spellStart"/>
            <w:r w:rsidRPr="00FC49A2">
              <w:rPr>
                <w:rFonts w:ascii="Verdana" w:eastAsia="Calibri" w:hAnsi="Verdana" w:cs="Arial"/>
                <w:lang w:val="es-ES"/>
              </w:rPr>
              <w:t>Mipymes</w:t>
            </w:r>
            <w:proofErr w:type="spellEnd"/>
            <w:r w:rsidRPr="00FC49A2">
              <w:rPr>
                <w:rFonts w:ascii="Verdana" w:eastAsia="Calibri" w:hAnsi="Verdana" w:cs="Arial"/>
                <w:lang w:val="es-ES"/>
              </w:rPr>
              <w:t xml:space="preserve"> observando las reglas señaladas en dicha norma</w:t>
            </w:r>
            <w:r>
              <w:rPr>
                <w:rFonts w:ascii="Verdana" w:eastAsia="Calibri" w:hAnsi="Verdana" w:cs="Arial"/>
                <w:lang w:val="es-ES"/>
              </w:rPr>
              <w:t>.</w:t>
            </w:r>
          </w:p>
          <w:p w14:paraId="5E66FA31" w14:textId="77777777" w:rsidR="00FB4D13" w:rsidRDefault="00FB4D13" w:rsidP="00A32A4D">
            <w:pPr>
              <w:spacing w:line="276" w:lineRule="auto"/>
              <w:jc w:val="both"/>
              <w:rPr>
                <w:rFonts w:ascii="Verdana" w:eastAsia="Calibri" w:hAnsi="Verdana" w:cs="Arial"/>
                <w:lang w:val="es-ES"/>
              </w:rPr>
            </w:pPr>
          </w:p>
          <w:p w14:paraId="2F990B22" w14:textId="77777777" w:rsidR="00FB4D13" w:rsidRDefault="00FB4D13" w:rsidP="00A32A4D">
            <w:pPr>
              <w:spacing w:line="276" w:lineRule="auto"/>
              <w:jc w:val="both"/>
              <w:rPr>
                <w:rFonts w:ascii="Verdana" w:eastAsia="Calibri" w:hAnsi="Verdana" w:cs="Arial"/>
                <w:bCs/>
                <w:lang w:val="es-MX" w:eastAsia="es-ES" w:bidi="es-ES"/>
              </w:rPr>
            </w:pPr>
            <w:r>
              <w:rPr>
                <w:rFonts w:ascii="Verdana" w:eastAsia="Calibri" w:hAnsi="Verdana" w:cs="Arial"/>
                <w:bCs/>
                <w:lang w:val="es-MX" w:eastAsia="es-ES" w:bidi="es-ES"/>
              </w:rPr>
              <w:t xml:space="preserve">De esta </w:t>
            </w:r>
            <w:proofErr w:type="gramStart"/>
            <w:r>
              <w:rPr>
                <w:rFonts w:ascii="Verdana" w:eastAsia="Calibri" w:hAnsi="Verdana" w:cs="Arial"/>
                <w:bCs/>
                <w:lang w:val="es-MX" w:eastAsia="es-ES" w:bidi="es-ES"/>
              </w:rPr>
              <w:t xml:space="preserve">manera, </w:t>
            </w:r>
            <w:r w:rsidRPr="00A53190">
              <w:rPr>
                <w:rFonts w:ascii="Verdana" w:eastAsia="Calibri" w:hAnsi="Verdana" w:cs="Arial"/>
                <w:bCs/>
                <w:lang w:val="es-MX" w:eastAsia="es-ES" w:bidi="es-ES"/>
              </w:rPr>
              <w:t xml:space="preserve"> el</w:t>
            </w:r>
            <w:proofErr w:type="gramEnd"/>
            <w:r w:rsidRPr="00A53190">
              <w:rPr>
                <w:rFonts w:ascii="Verdana" w:eastAsia="Calibri" w:hAnsi="Verdana" w:cs="Arial"/>
                <w:bCs/>
                <w:lang w:val="es-MX" w:eastAsia="es-ES" w:bidi="es-ES"/>
              </w:rPr>
              <w:t xml:space="preserve"> incentivo previsto en la norma únicamente aplica en el lugar de ejecución del contratado en el que la Mipyme tiene su “domicilio”, y no en donde tiene sucursales, agencias o establecimientos de comercio. Para explicar las implicaciones del artículo, en primera instancia, debe analizarse el alcance del término “domicilio” que, para el caso de las sociedades, se constituye en uno de los atributos de su personalidad que, de acuerdo con el ordenamiento jurídico colombiano, son aquellas propiedades o características de identidad propias de las personas, sean naturales o jurídicas, como titulares de derecho. En esta línea, este término es definido por el Código Civil en el artículo 76, el cual lo concibe como la residencia acompañada real o presuntivamente del ánimo de permanecer en ella, lo cual, para el caso de las sociedades se interpreta como el sitio donde éstas tienen el asiento principal de sus negocios.</w:t>
            </w:r>
          </w:p>
          <w:p w14:paraId="1D4CEF52" w14:textId="77777777" w:rsidR="00FB4D13" w:rsidRDefault="00FB4D13" w:rsidP="00A32A4D">
            <w:pPr>
              <w:spacing w:line="276" w:lineRule="auto"/>
              <w:jc w:val="both"/>
              <w:rPr>
                <w:rFonts w:ascii="Verdana" w:eastAsia="Calibri" w:hAnsi="Verdana" w:cs="Arial"/>
                <w:bCs/>
                <w:lang w:val="es-MX" w:eastAsia="es-ES" w:bidi="es-ES"/>
              </w:rPr>
            </w:pPr>
          </w:p>
          <w:p w14:paraId="2B85D9B5" w14:textId="77777777" w:rsidR="00FB4D13" w:rsidRDefault="00FB4D13" w:rsidP="00A32A4D">
            <w:pPr>
              <w:spacing w:line="276" w:lineRule="auto"/>
              <w:jc w:val="both"/>
              <w:rPr>
                <w:rFonts w:ascii="Verdana" w:eastAsia="Calibri" w:hAnsi="Verdana" w:cs="Arial"/>
                <w:bCs/>
                <w:lang w:eastAsia="es-ES" w:bidi="es-ES"/>
              </w:rPr>
            </w:pPr>
            <w:r>
              <w:rPr>
                <w:rFonts w:ascii="Verdana" w:eastAsia="Calibri" w:hAnsi="Verdana" w:cs="Arial"/>
                <w:bCs/>
                <w:lang w:eastAsia="es-ES" w:bidi="es-ES"/>
              </w:rPr>
              <w:t xml:space="preserve">Así las cosas, </w:t>
            </w:r>
            <w:r w:rsidRPr="00A53190">
              <w:rPr>
                <w:rFonts w:ascii="Verdana" w:eastAsia="Calibri" w:hAnsi="Verdana" w:cs="Arial"/>
                <w:bCs/>
                <w:lang w:eastAsia="es-ES" w:bidi="es-ES"/>
              </w:rPr>
              <w:t xml:space="preserve">las limitaciones territoriales en los procesos de contratación para </w:t>
            </w:r>
            <w:proofErr w:type="spellStart"/>
            <w:r w:rsidRPr="00A53190">
              <w:rPr>
                <w:rFonts w:ascii="Verdana" w:eastAsia="Calibri" w:hAnsi="Verdana" w:cs="Arial"/>
                <w:bCs/>
                <w:lang w:eastAsia="es-ES" w:bidi="es-ES"/>
              </w:rPr>
              <w:t>Mipymes</w:t>
            </w:r>
            <w:proofErr w:type="spellEnd"/>
            <w:r w:rsidRPr="00A53190">
              <w:rPr>
                <w:rFonts w:ascii="Verdana" w:eastAsia="Calibri" w:hAnsi="Verdana" w:cs="Arial"/>
                <w:bCs/>
                <w:lang w:eastAsia="es-ES" w:bidi="es-ES"/>
              </w:rPr>
              <w:t xml:space="preserve"> se refieren al domicilio principal de la empresa, el cual se acredita con el certificado de existencia y representación legal. La mera existencia de una sucursal en el departamento no es suficiente para que una Mipyme cuyo domicilio principal está en otra jurisdicción pueda participar en convocatorias limitadas territorialmente. La finalidad de la norma es incentivar el desarrollo empresarial y la generación de empleo en la región de ejecución del contrato, y se considera que el domicilio principal es el que mejor refleja esta vinculación.</w:t>
            </w:r>
            <w:r w:rsidRPr="00612EB8">
              <w:rPr>
                <w:rFonts w:ascii="Verdana" w:eastAsia="Calibri" w:hAnsi="Verdana" w:cs="Arial"/>
                <w:bCs/>
                <w:lang w:eastAsia="es-ES" w:bidi="es-ES"/>
              </w:rPr>
              <w:t xml:space="preserve"> </w:t>
            </w:r>
          </w:p>
          <w:p w14:paraId="48FDC214" w14:textId="77777777" w:rsidR="00FB4D13" w:rsidRDefault="00FB4D13" w:rsidP="00A32A4D">
            <w:pPr>
              <w:spacing w:line="276" w:lineRule="auto"/>
              <w:contextualSpacing/>
              <w:jc w:val="both"/>
              <w:rPr>
                <w:rFonts w:ascii="Verdana" w:eastAsia="Calibri" w:hAnsi="Verdana" w:cs="Times New Roman"/>
                <w:lang w:val="es-ES"/>
              </w:rPr>
            </w:pPr>
          </w:p>
          <w:p w14:paraId="4A0B647D" w14:textId="77777777" w:rsidR="00FB4D13" w:rsidRPr="00DB4737" w:rsidRDefault="00FB4D13" w:rsidP="00A32A4D">
            <w:pPr>
              <w:spacing w:line="276" w:lineRule="auto"/>
              <w:contextualSpacing/>
              <w:jc w:val="both"/>
              <w:rPr>
                <w:rFonts w:ascii="Verdana" w:eastAsia="Calibri" w:hAnsi="Verdana" w:cs="Times New Roman"/>
                <w:lang w:val="es-ES"/>
              </w:rPr>
            </w:pPr>
            <w:r w:rsidRPr="00DB4737">
              <w:rPr>
                <w:rFonts w:ascii="Verdana" w:eastAsia="Calibri" w:hAnsi="Verdana" w:cs="Times New Roman"/>
                <w:lang w:val="es-ES"/>
              </w:rPr>
              <w:t xml:space="preserve">Finalmente debe advertirse, que el análisis para resolver problemas específicos en torno </w:t>
            </w:r>
            <w:r>
              <w:rPr>
                <w:rFonts w:ascii="Verdana" w:eastAsia="Calibri" w:hAnsi="Verdana" w:cs="Times New Roman"/>
                <w:lang w:val="es-ES"/>
              </w:rPr>
              <w:t xml:space="preserve">a los procesos de contratación </w:t>
            </w:r>
            <w:r w:rsidRPr="00DB4737">
              <w:rPr>
                <w:rFonts w:ascii="Verdana" w:eastAsia="Calibri" w:hAnsi="Verdana" w:cs="Times New Roman"/>
                <w:lang w:val="es-ES"/>
              </w:rPr>
              <w:t xml:space="preserve">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w:t>
            </w:r>
            <w:r w:rsidRPr="00DB4737">
              <w:rPr>
                <w:rFonts w:ascii="Verdana" w:eastAsia="Calibri" w:hAnsi="Verdana" w:cs="Times New Roman"/>
                <w:lang w:val="es-ES"/>
              </w:rPr>
              <w:lastRenderedPageBreak/>
              <w:t>corresponderá a los interesados de adoptar la decisión y, en caso de conflicto, a las autoridades judiciales, fiscales y disciplinarias.</w:t>
            </w:r>
          </w:p>
          <w:p w14:paraId="321AE67A" w14:textId="77777777" w:rsidR="00FB4D13" w:rsidRDefault="00FB4D13" w:rsidP="00A32A4D">
            <w:pPr>
              <w:spacing w:line="276" w:lineRule="auto"/>
              <w:contextualSpacing/>
              <w:jc w:val="both"/>
              <w:rPr>
                <w:rFonts w:ascii="Verdana" w:eastAsia="Calibri" w:hAnsi="Verdana" w:cs="Times New Roman"/>
                <w:lang w:val="es-ES"/>
              </w:rPr>
            </w:pPr>
          </w:p>
          <w:p w14:paraId="4D08B2B5" w14:textId="77777777" w:rsidR="00FB4D13" w:rsidRPr="00F40564" w:rsidRDefault="00FB4D13" w:rsidP="00A32A4D">
            <w:pPr>
              <w:spacing w:line="276" w:lineRule="auto"/>
              <w:contextualSpacing/>
              <w:jc w:val="both"/>
              <w:rPr>
                <w:rFonts w:ascii="Verdana" w:hAnsi="Verdana" w:cs="Arial"/>
                <w:bCs/>
                <w:color w:val="000000" w:themeColor="text1"/>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FB4D13" w:rsidRPr="00593A5F" w14:paraId="2EE65B4C" w14:textId="77777777" w:rsidTr="00A32A4D">
        <w:tc>
          <w:tcPr>
            <w:tcW w:w="8828" w:type="dxa"/>
          </w:tcPr>
          <w:p w14:paraId="1CA6325A" w14:textId="77777777" w:rsidR="00FB4D13" w:rsidRPr="002973E9" w:rsidRDefault="00FB4D13" w:rsidP="00A32A4D">
            <w:pPr>
              <w:spacing w:line="276" w:lineRule="auto"/>
              <w:jc w:val="both"/>
              <w:rPr>
                <w:rFonts w:ascii="Verdana" w:eastAsia="Calibri" w:hAnsi="Verdana" w:cs="Arial"/>
                <w:lang w:val="es-ES"/>
              </w:rPr>
            </w:pPr>
          </w:p>
        </w:tc>
      </w:tr>
    </w:tbl>
    <w:p w14:paraId="564939B7" w14:textId="77777777" w:rsidR="00FB4D13" w:rsidRDefault="00FB4D13" w:rsidP="00FB4D13">
      <w:pPr>
        <w:tabs>
          <w:tab w:val="left" w:pos="142"/>
          <w:tab w:val="left" w:pos="284"/>
        </w:tabs>
        <w:spacing w:after="0" w:line="276" w:lineRule="auto"/>
        <w:jc w:val="both"/>
        <w:rPr>
          <w:rFonts w:ascii="Verdana" w:eastAsia="Century Gothic" w:hAnsi="Verdana" w:cs="Century Gothic"/>
          <w:b/>
          <w:bCs/>
          <w:lang w:val="es-ES"/>
        </w:rPr>
      </w:pPr>
    </w:p>
    <w:p w14:paraId="523809C8" w14:textId="77777777" w:rsidR="00FB4D13" w:rsidRPr="00593A5F" w:rsidRDefault="00FB4D13" w:rsidP="00FB4D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ADC1180" w14:textId="77777777" w:rsidR="00FB4D13" w:rsidRPr="004A615F" w:rsidRDefault="00FB4D13" w:rsidP="00FB4D13">
      <w:pPr>
        <w:spacing w:before="120" w:after="0" w:line="276" w:lineRule="auto"/>
        <w:ind w:firstLine="709"/>
        <w:jc w:val="both"/>
        <w:rPr>
          <w:rFonts w:ascii="Verdana" w:eastAsia="Arial" w:hAnsi="Verdana" w:cs="Arial"/>
          <w:lang w:eastAsia="es-ES_tradnl"/>
        </w:rPr>
      </w:pPr>
      <w:r w:rsidRPr="004A615F">
        <w:rPr>
          <w:rFonts w:ascii="Verdana" w:eastAsia="Arial" w:hAnsi="Verdana" w:cs="Arial"/>
          <w:lang w:eastAsia="es-ES_tradnl"/>
        </w:rPr>
        <w:t xml:space="preserve">El artículo 2.2.1.2.4.2.2. del Decreto 1082 de 2015 -modificado por el Decreto 1860 de 2021- establece los requisitos que se deben acreditar en las “convocatorias limitadas a </w:t>
      </w:r>
      <w:proofErr w:type="spellStart"/>
      <w:r w:rsidRPr="004A615F">
        <w:rPr>
          <w:rFonts w:ascii="Verdana" w:eastAsia="Arial" w:hAnsi="Verdana" w:cs="Arial"/>
          <w:lang w:eastAsia="es-ES_tradnl"/>
        </w:rPr>
        <w:t>Mipymes</w:t>
      </w:r>
      <w:proofErr w:type="spellEnd"/>
      <w:r w:rsidRPr="004A615F">
        <w:rPr>
          <w:rFonts w:ascii="Verdana" w:eastAsia="Arial" w:hAnsi="Verdana" w:cs="Arial"/>
          <w:lang w:eastAsia="es-ES_tradnl"/>
        </w:rPr>
        <w:t>”.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Al respecto indica lo siguiente:</w:t>
      </w:r>
    </w:p>
    <w:p w14:paraId="77983F27" w14:textId="77777777" w:rsidR="00FB4D13" w:rsidRPr="004A615F" w:rsidRDefault="00FB4D13" w:rsidP="00FB4D13">
      <w:pPr>
        <w:spacing w:before="120" w:after="0" w:line="276" w:lineRule="auto"/>
        <w:ind w:firstLine="709"/>
        <w:jc w:val="both"/>
        <w:rPr>
          <w:rFonts w:ascii="Verdana" w:eastAsia="Arial" w:hAnsi="Verdana" w:cs="Arial"/>
          <w:lang w:eastAsia="es-ES_tradnl"/>
        </w:rPr>
      </w:pPr>
    </w:p>
    <w:p w14:paraId="26BBAB56" w14:textId="77777777" w:rsidR="00FB4D13" w:rsidRPr="004A615F" w:rsidRDefault="00FB4D13" w:rsidP="1511DC6C">
      <w:pPr>
        <w:spacing w:after="0" w:line="240" w:lineRule="auto"/>
        <w:ind w:left="709" w:right="709"/>
        <w:jc w:val="both"/>
        <w:rPr>
          <w:rFonts w:ascii="Verdana" w:eastAsia="Calibri" w:hAnsi="Verdana" w:cs="Arial"/>
          <w:lang w:val="es-ES" w:eastAsia="es-CO"/>
        </w:rPr>
      </w:pPr>
      <w:r w:rsidRPr="1511DC6C">
        <w:rPr>
          <w:rFonts w:ascii="Verdana" w:eastAsia="Calibri" w:hAnsi="Verdana" w:cs="Arial"/>
          <w:lang w:val="es-ES" w:eastAsia="es-ES"/>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08A8D8F0" w14:textId="77777777" w:rsidR="00FB4D13" w:rsidRPr="004A615F" w:rsidRDefault="00FB4D13" w:rsidP="00FB4D13">
      <w:pPr>
        <w:spacing w:after="0" w:line="240" w:lineRule="auto"/>
        <w:ind w:left="709" w:right="709"/>
        <w:contextualSpacing/>
        <w:jc w:val="both"/>
        <w:rPr>
          <w:rFonts w:ascii="Verdana" w:eastAsia="Calibri" w:hAnsi="Verdana" w:cs="Arial"/>
          <w:lang w:val="es-ES_tradnl" w:eastAsia="es-ES_tradnl"/>
        </w:rPr>
      </w:pPr>
    </w:p>
    <w:p w14:paraId="509728BB" w14:textId="77777777" w:rsidR="00FB4D13" w:rsidRPr="004A615F" w:rsidRDefault="00FB4D13" w:rsidP="00FB4D13">
      <w:pPr>
        <w:spacing w:after="0" w:line="240" w:lineRule="auto"/>
        <w:ind w:left="709" w:right="709"/>
        <w:contextualSpacing/>
        <w:jc w:val="both"/>
        <w:rPr>
          <w:rFonts w:ascii="Verdana" w:eastAsia="Calibri" w:hAnsi="Verdana" w:cs="Arial"/>
          <w:lang w:val="es-ES_tradnl" w:eastAsia="es-ES_tradnl"/>
        </w:rPr>
      </w:pPr>
      <w:r w:rsidRPr="004A615F">
        <w:rPr>
          <w:rFonts w:ascii="Verdana" w:eastAsia="Calibri" w:hAnsi="Verdana" w:cs="Arial"/>
          <w:lang w:val="es-ES_tradnl" w:eastAsia="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52027AF4" w14:textId="77777777" w:rsidR="00FB4D13" w:rsidRPr="004A615F" w:rsidRDefault="00FB4D13" w:rsidP="00FB4D13">
      <w:pPr>
        <w:spacing w:after="0" w:line="240" w:lineRule="auto"/>
        <w:ind w:left="709" w:right="709"/>
        <w:contextualSpacing/>
        <w:jc w:val="both"/>
        <w:rPr>
          <w:rFonts w:ascii="Verdana" w:eastAsia="Calibri" w:hAnsi="Verdana" w:cs="Arial"/>
          <w:lang w:val="es-ES_tradnl" w:eastAsia="es-ES_tradnl"/>
        </w:rPr>
      </w:pPr>
    </w:p>
    <w:p w14:paraId="4433C77F" w14:textId="77777777" w:rsidR="00FB4D13" w:rsidRPr="004A615F" w:rsidRDefault="00FB4D13" w:rsidP="1511DC6C">
      <w:pPr>
        <w:spacing w:after="0" w:line="240" w:lineRule="auto"/>
        <w:ind w:left="709" w:right="709"/>
        <w:contextualSpacing/>
        <w:jc w:val="both"/>
        <w:rPr>
          <w:rFonts w:ascii="Verdana" w:eastAsia="Calibri" w:hAnsi="Verdana" w:cs="Arial"/>
          <w:lang w:val="es-ES" w:eastAsia="es-ES"/>
        </w:rPr>
      </w:pPr>
      <w:r w:rsidRPr="1511DC6C">
        <w:rPr>
          <w:rFonts w:ascii="Verdana" w:eastAsia="Calibri" w:hAnsi="Verdana" w:cs="Arial"/>
          <w:lang w:val="es-ES" w:eastAsia="es-ES"/>
        </w:rPr>
        <w:lastRenderedPageBreak/>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11791959" w14:textId="77777777" w:rsidR="00FB4D13" w:rsidRPr="004A615F" w:rsidRDefault="00FB4D13" w:rsidP="00FB4D13">
      <w:pPr>
        <w:spacing w:after="0" w:line="240" w:lineRule="auto"/>
        <w:ind w:left="709" w:right="709"/>
        <w:contextualSpacing/>
        <w:jc w:val="both"/>
        <w:rPr>
          <w:rFonts w:ascii="Verdana" w:eastAsia="Calibri" w:hAnsi="Verdana" w:cs="Arial"/>
          <w:lang w:val="es-ES_tradnl" w:eastAsia="es-ES_tradnl"/>
        </w:rPr>
      </w:pPr>
    </w:p>
    <w:p w14:paraId="6DCE2660" w14:textId="77777777" w:rsidR="00FB4D13" w:rsidRPr="004A615F" w:rsidRDefault="00FB4D13" w:rsidP="1511DC6C">
      <w:pPr>
        <w:spacing w:after="0" w:line="240" w:lineRule="auto"/>
        <w:ind w:left="709" w:right="709"/>
        <w:contextualSpacing/>
        <w:jc w:val="both"/>
        <w:rPr>
          <w:rFonts w:ascii="Verdana" w:eastAsia="Calibri" w:hAnsi="Verdana" w:cs="Arial"/>
          <w:lang w:val="es-ES" w:eastAsia="es-ES"/>
        </w:rPr>
      </w:pPr>
      <w:r w:rsidRPr="1511DC6C">
        <w:rPr>
          <w:rFonts w:ascii="Verdana" w:eastAsia="Calibri" w:hAnsi="Verdana" w:cs="Arial"/>
          <w:lang w:val="es-ES" w:eastAsia="es-ES"/>
        </w:rPr>
        <w:t>Parágrafo. Las cooperativas y demás entidades de economía solidaria, siempre que tengan la calidad de Mipyme, podrán solicitar y participar en las convocatorias limitadas en las mismas condiciones dispuestas en el presente artículo”.</w:t>
      </w:r>
    </w:p>
    <w:p w14:paraId="18A30FD0" w14:textId="77777777" w:rsidR="00FB4D13" w:rsidRPr="004A615F" w:rsidRDefault="00FB4D13" w:rsidP="00FB4D13">
      <w:pPr>
        <w:spacing w:after="0" w:line="276" w:lineRule="auto"/>
        <w:contextualSpacing/>
        <w:jc w:val="both"/>
        <w:rPr>
          <w:rFonts w:ascii="Verdana" w:eastAsia="Arial" w:hAnsi="Verdana" w:cs="Arial"/>
          <w:lang w:eastAsia="es-ES_tradnl"/>
        </w:rPr>
      </w:pPr>
    </w:p>
    <w:p w14:paraId="42A2576F" w14:textId="77777777" w:rsidR="00FB4D13" w:rsidRPr="004A615F" w:rsidRDefault="00FB4D13" w:rsidP="00FB4D13">
      <w:pPr>
        <w:spacing w:after="120" w:line="276" w:lineRule="auto"/>
        <w:ind w:firstLine="709"/>
        <w:jc w:val="both"/>
        <w:rPr>
          <w:rFonts w:ascii="Verdana" w:eastAsia="Arial" w:hAnsi="Verdana" w:cs="Arial"/>
          <w:lang w:eastAsia="es-ES_tradnl"/>
        </w:rPr>
      </w:pPr>
      <w:r w:rsidRPr="004A615F">
        <w:rPr>
          <w:rFonts w:ascii="Verdana" w:eastAsia="Arial" w:hAnsi="Verdana" w:cs="Arial"/>
          <w:lang w:eastAsia="es-ES_tradnl"/>
        </w:rPr>
        <w:t xml:space="preserve">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Por su parte, el numeral segundo establece dos exigencias: por un lado, que al menos dos (2) </w:t>
      </w:r>
      <w:proofErr w:type="spellStart"/>
      <w:r w:rsidRPr="004A615F">
        <w:rPr>
          <w:rFonts w:ascii="Verdana" w:eastAsia="Arial" w:hAnsi="Verdana" w:cs="Arial"/>
          <w:lang w:eastAsia="es-ES_tradnl"/>
        </w:rPr>
        <w:t>Mipymes</w:t>
      </w:r>
      <w:proofErr w:type="spellEnd"/>
      <w:r w:rsidRPr="004A615F">
        <w:rPr>
          <w:rFonts w:ascii="Verdana" w:eastAsia="Arial" w:hAnsi="Verdana" w:cs="Arial"/>
          <w:lang w:eastAsia="es-ES_tradnl"/>
        </w:rPr>
        <w:t xml:space="preserve"> colombianas presenten a la entidad la solicitud de limitar el proceso contractual; y, por el otro, que hagan la solicitud por lo menos un día (1) hábil antes de la expedición del acto administrativo de apertura del proceso de contratación. Además, la norma señala que, </w:t>
      </w:r>
      <w:r w:rsidRPr="004A615F">
        <w:rPr>
          <w:rFonts w:ascii="Verdana" w:eastAsia="Arial" w:hAnsi="Verdana" w:cs="Arial"/>
          <w:lang w:val="es-ES_tradnl" w:eastAsia="es-ES_tradnl"/>
        </w:rPr>
        <w:t>tratándose de personas jurídicas, las solicitudes solo las podrán realizar Mipyme, cuyo objeto social les permita ejecutar el contrato relacionado con el proceso contractual. De igual forma, este artículo incluye a las cooperativas y demás entidades de economía solidaria dentro de los sujetos que pueden solicitar y participar en las convocatorias limitadas a Mipyme, siempre que estas cumplan con las condiciones señaladas en el artículo.</w:t>
      </w:r>
    </w:p>
    <w:p w14:paraId="690111FE" w14:textId="77777777" w:rsidR="00FB4D13" w:rsidRPr="004A615F" w:rsidRDefault="00FB4D13" w:rsidP="00FB4D13">
      <w:pPr>
        <w:spacing w:after="120" w:line="276" w:lineRule="auto"/>
        <w:ind w:firstLine="709"/>
        <w:jc w:val="both"/>
        <w:rPr>
          <w:rFonts w:ascii="Verdana" w:eastAsia="Arial" w:hAnsi="Verdana" w:cs="Arial"/>
          <w:lang w:eastAsia="es-ES_tradnl"/>
        </w:rPr>
      </w:pPr>
      <w:r w:rsidRPr="004A615F">
        <w:rPr>
          <w:rFonts w:ascii="Verdana" w:eastAsia="Arial" w:hAnsi="Verdana" w:cs="Arial"/>
          <w:lang w:val="es-ES_tradnl" w:eastAsia="es-ES_tradnl"/>
        </w:rPr>
        <w:t>De esta manera, en todos los procesos de contratación, independientemente de la modalidad de selección, las Entidades Estatales, cualquiera que sea su régimen de contratación,</w:t>
      </w:r>
      <w:r w:rsidRPr="004A615F">
        <w:rPr>
          <w:rFonts w:ascii="Verdana" w:eastAsia="Arial" w:hAnsi="Verdana" w:cs="Arial"/>
          <w:lang w:eastAsia="es-ES_tradnl"/>
        </w:rPr>
        <w:t xml:space="preserve"> los patrimonios autónomos constituidos por entidades estatales y los particulares que ejecuten recursos públicos, deberán limitar las convocatorias con pluralidad de oferentes a </w:t>
      </w:r>
      <w:proofErr w:type="spellStart"/>
      <w:r w:rsidRPr="004A615F">
        <w:rPr>
          <w:rFonts w:ascii="Verdana" w:eastAsia="Arial" w:hAnsi="Verdana" w:cs="Arial"/>
          <w:lang w:eastAsia="es-ES_tradnl"/>
        </w:rPr>
        <w:lastRenderedPageBreak/>
        <w:t>Mipymes</w:t>
      </w:r>
      <w:proofErr w:type="spellEnd"/>
      <w:r w:rsidRPr="004A615F">
        <w:rPr>
          <w:rFonts w:ascii="Verdana" w:eastAsia="Arial" w:hAnsi="Verdana" w:cs="Arial"/>
          <w:lang w:eastAsia="es-ES_tradnl"/>
        </w:rPr>
        <w:t xml:space="preserve"> colombianas, una vez concurran todos los requisitos señalados anteriormente y siempre que cuenten con mínimo un (1) año de existencia.</w:t>
      </w:r>
    </w:p>
    <w:p w14:paraId="691C20DA" w14:textId="77777777" w:rsidR="00FB4D13" w:rsidRPr="004A615F" w:rsidRDefault="00FB4D13" w:rsidP="00FB4D13">
      <w:pPr>
        <w:spacing w:before="120" w:after="0" w:line="276" w:lineRule="auto"/>
        <w:ind w:firstLine="709"/>
        <w:jc w:val="both"/>
        <w:rPr>
          <w:rFonts w:ascii="Verdana" w:eastAsia="Arial" w:hAnsi="Verdana" w:cs="Arial"/>
          <w:lang w:val="es-ES_tradnl" w:eastAsia="es-ES_tradnl"/>
        </w:rPr>
      </w:pPr>
      <w:r w:rsidRPr="004A615F">
        <w:rPr>
          <w:rFonts w:ascii="Verdana" w:eastAsia="Arial" w:hAnsi="Verdana" w:cs="Arial"/>
          <w:lang w:eastAsia="es-ES_tradnl"/>
        </w:rPr>
        <w:t>Así las cosas, es claro que el término de un (1) año que exige la norma se predica respecto del tiempo mínimo de constitución que debe tener la Mipyme interesada en participar del proceso limitado.</w:t>
      </w:r>
    </w:p>
    <w:p w14:paraId="77253464" w14:textId="77777777" w:rsidR="00FB4D13" w:rsidRPr="004A615F" w:rsidRDefault="00FB4D13" w:rsidP="00FB4D13">
      <w:pPr>
        <w:spacing w:before="120" w:after="0" w:line="276" w:lineRule="auto"/>
        <w:ind w:firstLine="709"/>
        <w:jc w:val="both"/>
        <w:rPr>
          <w:rFonts w:ascii="Verdana" w:eastAsia="Arial" w:hAnsi="Verdana" w:cs="Arial"/>
          <w:lang w:val="es-ES_tradnl" w:eastAsia="es-ES_tradnl"/>
        </w:rPr>
      </w:pPr>
      <w:r w:rsidRPr="004A615F">
        <w:rPr>
          <w:rFonts w:ascii="Verdana" w:eastAsia="Calibri" w:hAnsi="Verdana" w:cs="Arial"/>
          <w:lang w:val="es-ES_tradnl"/>
        </w:rPr>
        <w:t xml:space="preserve">De otra parte, sobre las limitaciones territoriales para convocatorias de </w:t>
      </w:r>
      <w:proofErr w:type="spellStart"/>
      <w:r w:rsidRPr="004A615F">
        <w:rPr>
          <w:rFonts w:ascii="Verdana" w:eastAsia="Calibri" w:hAnsi="Verdana" w:cs="Arial"/>
          <w:lang w:val="es-ES_tradnl"/>
        </w:rPr>
        <w:t>Mipymes</w:t>
      </w:r>
      <w:proofErr w:type="spellEnd"/>
      <w:r w:rsidRPr="004A615F">
        <w:rPr>
          <w:rFonts w:ascii="Verdana" w:eastAsia="Calibri" w:hAnsi="Verdana" w:cs="Arial"/>
          <w:lang w:val="es-ES_tradnl"/>
        </w:rPr>
        <w:t xml:space="preserve"> a la luz del antiguo artículo 2.2.1.2.4.2.3 del Decreto 1082 de 2015, esta Agencia -</w:t>
      </w:r>
      <w:r w:rsidRPr="004A615F">
        <w:rPr>
          <w:rFonts w:ascii="Verdana" w:hAnsi="Verdana" w:cs="Arial"/>
        </w:rPr>
        <w:t>en los conceptos del 29 de enero de 2018 (radicado No. 4201714000006924),</w:t>
      </w:r>
      <w:r w:rsidRPr="004A615F">
        <w:rPr>
          <w:rFonts w:ascii="Verdana" w:eastAsia="Calibri" w:hAnsi="Verdana" w:cs="Arial"/>
        </w:rPr>
        <w:t xml:space="preserve"> C-045 del 17 de marzo de 2020, C-162 del 16 de abril de 2020, C-214 del 21 de abril de 2020, C-258 del 17 de abril de 2020, C-364 del 4 de junio de 2020, C-413 del 30 de junio de 2020</w:t>
      </w:r>
      <w:r w:rsidRPr="004A615F">
        <w:rPr>
          <w:rFonts w:ascii="Verdana" w:hAnsi="Verdana" w:cs="Arial"/>
        </w:rPr>
        <w:t xml:space="preserve">, </w:t>
      </w:r>
      <w:r w:rsidRPr="004A615F">
        <w:rPr>
          <w:rFonts w:ascii="Verdana" w:eastAsia="Calibri" w:hAnsi="Verdana" w:cs="Arial"/>
        </w:rPr>
        <w:t>C-492 del 24 de julio de 2020, C-523 del 11 de agosto de 2020, C-610 del 14 de septiembre de 2020 y C-700 de 1 de diciembre de 2020-</w:t>
      </w:r>
      <w:r w:rsidRPr="004A615F">
        <w:rPr>
          <w:rFonts w:ascii="Verdana" w:eastAsia="Calibri" w:hAnsi="Verdana" w:cs="Arial"/>
          <w:lang w:val="es-ES_tradnl"/>
        </w:rPr>
        <w:t xml:space="preserve"> venía sosteniendo que, para que se permitiera la participación de una Mipyme en uno de estos procesos, era necesario que esta demostrara estar domiciliada en el municipio o departamento en el que se ejecutaría el contrato. La tesis se expuso en los siguientes términos</w:t>
      </w:r>
      <w:r w:rsidRPr="004A615F">
        <w:rPr>
          <w:rFonts w:ascii="Verdana" w:eastAsia="Calibri" w:hAnsi="Verdana" w:cs="Arial"/>
        </w:rPr>
        <w:t>:</w:t>
      </w:r>
    </w:p>
    <w:p w14:paraId="6957E16D" w14:textId="77777777" w:rsidR="00FB4D13" w:rsidRPr="004A615F" w:rsidRDefault="00FB4D13" w:rsidP="00FB4D13">
      <w:pPr>
        <w:spacing w:after="0" w:line="240" w:lineRule="auto"/>
        <w:ind w:right="709"/>
        <w:contextualSpacing/>
        <w:jc w:val="both"/>
        <w:rPr>
          <w:rFonts w:ascii="Verdana" w:hAnsi="Verdana" w:cs="Arial"/>
        </w:rPr>
      </w:pPr>
    </w:p>
    <w:p w14:paraId="6B701199" w14:textId="77777777" w:rsidR="00FB4D13" w:rsidRPr="004A615F" w:rsidRDefault="00FB4D13" w:rsidP="00FB4D13">
      <w:pPr>
        <w:spacing w:after="0" w:line="240" w:lineRule="auto"/>
        <w:ind w:left="709" w:right="709"/>
        <w:contextualSpacing/>
        <w:jc w:val="both"/>
        <w:rPr>
          <w:rFonts w:ascii="Verdana" w:hAnsi="Verdana" w:cs="Arial"/>
        </w:rPr>
      </w:pPr>
      <w:r w:rsidRPr="004A615F">
        <w:rPr>
          <w:rFonts w:ascii="Verdana" w:hAnsi="Verdana" w:cs="Arial"/>
        </w:rPr>
        <w:t xml:space="preserve">“Es de resaltar que </w:t>
      </w:r>
      <w:r w:rsidRPr="004A615F">
        <w:rPr>
          <w:rFonts w:ascii="Verdana" w:hAnsi="Verdana" w:cs="Arial"/>
          <w:i/>
          <w:iCs/>
        </w:rPr>
        <w:t xml:space="preserve">estas normas se refieren a las </w:t>
      </w:r>
      <w:proofErr w:type="spellStart"/>
      <w:r w:rsidRPr="004A615F">
        <w:rPr>
          <w:rFonts w:ascii="Verdana" w:hAnsi="Verdana" w:cs="Arial"/>
          <w:i/>
          <w:iCs/>
        </w:rPr>
        <w:t>Mipymes</w:t>
      </w:r>
      <w:proofErr w:type="spellEnd"/>
      <w:r w:rsidRPr="004A615F">
        <w:rPr>
          <w:rFonts w:ascii="Verdana" w:hAnsi="Verdana" w:cs="Arial"/>
          <w:i/>
          <w:iCs/>
        </w:rPr>
        <w:t xml:space="preserve"> nacionales genéricamente y, particularmente, a las </w:t>
      </w:r>
      <w:proofErr w:type="spellStart"/>
      <w:r w:rsidRPr="004A615F">
        <w:rPr>
          <w:rFonts w:ascii="Verdana" w:hAnsi="Verdana" w:cs="Arial"/>
          <w:i/>
          <w:iCs/>
        </w:rPr>
        <w:t>Mipymes</w:t>
      </w:r>
      <w:proofErr w:type="spellEnd"/>
      <w:r w:rsidRPr="004A615F">
        <w:rPr>
          <w:rFonts w:ascii="Verdana" w:hAnsi="Verdana" w:cs="Arial"/>
          <w:i/>
          <w:iCs/>
        </w:rPr>
        <w:t xml:space="preserve"> nacionales «domiciliadas en los departamentos o municipios en donde se va a ejecutar el contrato».</w:t>
      </w:r>
      <w:r w:rsidRPr="004A615F">
        <w:rPr>
          <w:rFonts w:ascii="Verdana" w:hAnsi="Verdana" w:cs="Arial"/>
        </w:rPr>
        <w:t xml:space="preserve"> En ambos casos se refiere a </w:t>
      </w:r>
      <w:proofErr w:type="spellStart"/>
      <w:r w:rsidRPr="004A615F">
        <w:rPr>
          <w:rFonts w:ascii="Verdana" w:hAnsi="Verdana" w:cs="Arial"/>
        </w:rPr>
        <w:t>Mipymes</w:t>
      </w:r>
      <w:proofErr w:type="spellEnd"/>
      <w:r w:rsidRPr="004A615F">
        <w:rPr>
          <w:rFonts w:ascii="Verdana" w:hAnsi="Verdana" w:cs="Arial"/>
        </w:rPr>
        <w:t xml:space="preserve"> nacionales, distinguiéndolas de las empresas extranjeras. Del artículo 2.2.1.2.4.2.3. del Decreto 1082 de 2015 no se deriva que existan </w:t>
      </w:r>
      <w:proofErr w:type="spellStart"/>
      <w:r w:rsidRPr="004A615F">
        <w:rPr>
          <w:rFonts w:ascii="Verdana" w:hAnsi="Verdana" w:cs="Arial"/>
        </w:rPr>
        <w:t>Mipymes</w:t>
      </w:r>
      <w:proofErr w:type="spellEnd"/>
      <w:r w:rsidRPr="004A615F">
        <w:rPr>
          <w:rFonts w:ascii="Verdana" w:hAnsi="Verdana" w:cs="Arial"/>
        </w:rPr>
        <w:t xml:space="preserve">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4A615F">
        <w:rPr>
          <w:rFonts w:ascii="Verdana" w:hAnsi="Verdana" w:cs="Arial"/>
        </w:rPr>
        <w:t>Mipymes</w:t>
      </w:r>
      <w:proofErr w:type="spellEnd"/>
      <w:r w:rsidRPr="004A615F">
        <w:rPr>
          <w:rFonts w:ascii="Verdana" w:hAnsi="Verdana" w:cs="Arial"/>
        </w:rPr>
        <w:t xml:space="preserve"> del orden nacional. Otra cosa es que las normas de contratación permitan que las </w:t>
      </w:r>
      <w:proofErr w:type="spellStart"/>
      <w:r w:rsidRPr="004A615F">
        <w:rPr>
          <w:rFonts w:ascii="Verdana" w:hAnsi="Verdana" w:cs="Arial"/>
        </w:rPr>
        <w:t>Mipymes</w:t>
      </w:r>
      <w:proofErr w:type="spellEnd"/>
      <w:r w:rsidRPr="004A615F">
        <w:rPr>
          <w:rFonts w:ascii="Verdana" w:hAnsi="Verdana" w:cs="Arial"/>
        </w:rPr>
        <w:t xml:space="preserve"> nacionales con «domicilio» en un municipio o departamento puedan beneficiarse en la ejecución de un contrato dentro de la entidad territorial en la que tienen su «domicilio». De todos modos, las </w:t>
      </w:r>
      <w:proofErr w:type="spellStart"/>
      <w:r w:rsidRPr="004A615F">
        <w:rPr>
          <w:rFonts w:ascii="Verdana" w:hAnsi="Verdana" w:cs="Arial"/>
        </w:rPr>
        <w:t>Mipymes</w:t>
      </w:r>
      <w:proofErr w:type="spellEnd"/>
      <w:r w:rsidRPr="004A615F">
        <w:rPr>
          <w:rFonts w:ascii="Verdana" w:hAnsi="Verdana" w:cs="Arial"/>
        </w:rPr>
        <w:t xml:space="preserve"> domiciliadas en un municipio o departamento son </w:t>
      </w:r>
      <w:proofErr w:type="spellStart"/>
      <w:r w:rsidRPr="004A615F">
        <w:rPr>
          <w:rFonts w:ascii="Verdana" w:hAnsi="Verdana" w:cs="Arial"/>
        </w:rPr>
        <w:t>Mipymes</w:t>
      </w:r>
      <w:proofErr w:type="spellEnd"/>
      <w:r w:rsidRPr="004A615F">
        <w:rPr>
          <w:rFonts w:ascii="Verdana" w:hAnsi="Verdana" w:cs="Arial"/>
        </w:rPr>
        <w:t xml:space="preserve"> nacionales. En consecuencia, no es procedente distinguir entre </w:t>
      </w:r>
      <w:proofErr w:type="spellStart"/>
      <w:r w:rsidRPr="004A615F">
        <w:rPr>
          <w:rFonts w:ascii="Verdana" w:hAnsi="Verdana" w:cs="Arial"/>
        </w:rPr>
        <w:t>Mipymes</w:t>
      </w:r>
      <w:proofErr w:type="spellEnd"/>
      <w:r w:rsidRPr="004A615F">
        <w:rPr>
          <w:rFonts w:ascii="Verdana" w:hAnsi="Verdana" w:cs="Arial"/>
        </w:rPr>
        <w:t xml:space="preserve"> nacionales y </w:t>
      </w:r>
      <w:proofErr w:type="spellStart"/>
      <w:r w:rsidRPr="004A615F">
        <w:rPr>
          <w:rFonts w:ascii="Verdana" w:hAnsi="Verdana" w:cs="Arial"/>
        </w:rPr>
        <w:t>Mipymes</w:t>
      </w:r>
      <w:proofErr w:type="spellEnd"/>
      <w:r w:rsidRPr="004A615F">
        <w:rPr>
          <w:rFonts w:ascii="Verdana" w:hAnsi="Verdana" w:cs="Arial"/>
        </w:rPr>
        <w:t xml:space="preserve"> municipales o departamentales, habida cuenta que estas últimas no existen como categoría dentro del ordenamiento normativo.</w:t>
      </w:r>
    </w:p>
    <w:p w14:paraId="45601637" w14:textId="77777777" w:rsidR="00FB4D13" w:rsidRPr="004A615F" w:rsidRDefault="00FB4D13" w:rsidP="00FB4D13">
      <w:pPr>
        <w:spacing w:after="0" w:line="240" w:lineRule="auto"/>
        <w:ind w:left="709" w:right="709"/>
        <w:contextualSpacing/>
        <w:jc w:val="both"/>
        <w:rPr>
          <w:rFonts w:ascii="Verdana" w:hAnsi="Verdana" w:cs="Arial"/>
        </w:rPr>
      </w:pPr>
    </w:p>
    <w:p w14:paraId="12410ABC" w14:textId="77777777" w:rsidR="00FB4D13" w:rsidRPr="004A615F" w:rsidRDefault="00FB4D13" w:rsidP="00FB4D13">
      <w:pPr>
        <w:spacing w:after="0" w:line="240" w:lineRule="auto"/>
        <w:ind w:left="709" w:right="709"/>
        <w:contextualSpacing/>
        <w:jc w:val="both"/>
        <w:rPr>
          <w:rFonts w:ascii="Verdana" w:hAnsi="Verdana" w:cs="Arial"/>
        </w:rPr>
      </w:pPr>
      <w:r w:rsidRPr="004A615F">
        <w:rPr>
          <w:rFonts w:ascii="Verdana" w:hAnsi="Verdana" w:cs="Arial"/>
        </w:rPr>
        <w:lastRenderedPageBreak/>
        <w:t xml:space="preserve">Igualmente, se debe precisar que </w:t>
      </w:r>
      <w:r w:rsidRPr="004A615F">
        <w:rPr>
          <w:rFonts w:ascii="Verdana" w:hAnsi="Verdana" w:cs="Arial"/>
          <w:i/>
          <w:iCs/>
        </w:rPr>
        <w:t>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r w:rsidRPr="004A615F">
        <w:rPr>
          <w:rFonts w:ascii="Verdana" w:hAnsi="Verdana" w:cs="Arial"/>
          <w:i/>
          <w:iCs/>
          <w:vertAlign w:val="superscript"/>
        </w:rPr>
        <w:footnoteReference w:id="1"/>
      </w:r>
      <w:r w:rsidRPr="004A615F">
        <w:rPr>
          <w:rFonts w:ascii="Verdana" w:hAnsi="Verdana" w:cs="Arial"/>
        </w:rPr>
        <w:t>. (Énfasis fuera de texto)</w:t>
      </w:r>
    </w:p>
    <w:p w14:paraId="64457E19" w14:textId="77777777" w:rsidR="00FB4D13" w:rsidRPr="004A615F" w:rsidRDefault="00FB4D13" w:rsidP="00FB4D13">
      <w:pPr>
        <w:spacing w:after="0" w:line="276" w:lineRule="auto"/>
        <w:ind w:left="709" w:right="709"/>
        <w:jc w:val="both"/>
        <w:rPr>
          <w:rFonts w:ascii="Verdana" w:hAnsi="Verdana" w:cs="Arial"/>
        </w:rPr>
      </w:pPr>
    </w:p>
    <w:p w14:paraId="590380F0" w14:textId="77777777" w:rsidR="00FB4D13" w:rsidRPr="004A615F" w:rsidRDefault="00FB4D13" w:rsidP="00FB4D13">
      <w:pPr>
        <w:spacing w:after="120" w:line="276" w:lineRule="auto"/>
        <w:ind w:firstLine="709"/>
        <w:jc w:val="both"/>
        <w:rPr>
          <w:rFonts w:ascii="Verdana" w:eastAsia="Calibri" w:hAnsi="Verdana" w:cs="Arial"/>
          <w:lang w:val="es-ES_tradnl"/>
        </w:rPr>
      </w:pPr>
      <w:r w:rsidRPr="004A615F">
        <w:rPr>
          <w:rFonts w:ascii="Verdana" w:hAnsi="Verdana" w:cs="Arial"/>
        </w:rPr>
        <w:t xml:space="preserve">Como se puede apreciar, la anterior postura, mantenida en vigencia del artículo </w:t>
      </w:r>
      <w:r w:rsidRPr="004A615F">
        <w:rPr>
          <w:rFonts w:ascii="Verdana" w:eastAsia="Calibri" w:hAnsi="Verdana" w:cs="Arial"/>
          <w:lang w:val="es-ES_tradnl"/>
        </w:rPr>
        <w:t>2.2.1.2.4.2.3 del Decreto 1082 de 2015, no contemplaba la posibilidad de que una Mipyme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Mipyme.</w:t>
      </w:r>
    </w:p>
    <w:p w14:paraId="76765AB0" w14:textId="77777777" w:rsidR="00FB4D13" w:rsidRPr="004A615F" w:rsidRDefault="00FB4D13" w:rsidP="1511DC6C">
      <w:pPr>
        <w:spacing w:after="120" w:line="276" w:lineRule="auto"/>
        <w:ind w:firstLine="709"/>
        <w:jc w:val="both"/>
        <w:rPr>
          <w:rFonts w:ascii="Verdana" w:eastAsia="Calibri" w:hAnsi="Verdana" w:cs="Arial"/>
          <w:lang w:val="es-ES"/>
        </w:rPr>
      </w:pPr>
      <w:r w:rsidRPr="1511DC6C">
        <w:rPr>
          <w:rFonts w:ascii="Verdana" w:eastAsia="Calibri" w:hAnsi="Verdana" w:cs="Arial"/>
          <w:lang w:val="es-ES"/>
        </w:rPr>
        <w:t xml:space="preserve">Ahora bien, el texto del actual artículo 2.2.1.2.4.2.3, modificado por el artículo 5 del Decreto 1860 de 2021, no varía la tesis adoptada en los conceptos citados anteriormente de la Agencia Nacional de Contratación Pública -Colombia Compra Eficiente- emitidos de manera previa a la expedición de este reglamento. Esto, comoquiera que, respecto del domicilio de las </w:t>
      </w:r>
      <w:proofErr w:type="spellStart"/>
      <w:r w:rsidRPr="1511DC6C">
        <w:rPr>
          <w:rFonts w:ascii="Verdana" w:eastAsia="Calibri" w:hAnsi="Verdana" w:cs="Arial"/>
          <w:lang w:val="es-ES"/>
        </w:rPr>
        <w:t>Mipymes</w:t>
      </w:r>
      <w:proofErr w:type="spellEnd"/>
      <w:r w:rsidRPr="1511DC6C">
        <w:rPr>
          <w:rFonts w:ascii="Verdana" w:eastAsia="Calibri" w:hAnsi="Verdana" w:cs="Arial"/>
          <w:lang w:val="es-ES"/>
        </w:rPr>
        <w:t xml:space="preserve"> en el departamento o municipio donde se ejecuta el contrato, la reglamentación no sufrió ningún tipo de alteración o modificación. Así se desprende del texto de la nueva norma que es del siguiente tenor:</w:t>
      </w:r>
    </w:p>
    <w:p w14:paraId="35821A88" w14:textId="77777777" w:rsidR="00FB4D13" w:rsidRPr="004A615F" w:rsidRDefault="00FB4D13" w:rsidP="00FB4D13">
      <w:pPr>
        <w:spacing w:after="0" w:line="240" w:lineRule="auto"/>
        <w:ind w:left="709" w:right="709"/>
        <w:jc w:val="both"/>
        <w:rPr>
          <w:rFonts w:ascii="Verdana" w:hAnsi="Verdana" w:cs="Arial"/>
        </w:rPr>
      </w:pPr>
      <w:r w:rsidRPr="004A615F">
        <w:rPr>
          <w:rFonts w:ascii="Verdana" w:hAnsi="Verdana" w:cs="Arial"/>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5B40B257" w14:textId="77777777" w:rsidR="00FB4D13" w:rsidRPr="004A615F" w:rsidRDefault="00FB4D13" w:rsidP="00FB4D13">
      <w:pPr>
        <w:spacing w:after="0" w:line="240" w:lineRule="auto"/>
        <w:ind w:left="709" w:right="709"/>
        <w:jc w:val="both"/>
        <w:rPr>
          <w:rFonts w:ascii="Verdana" w:hAnsi="Verdana" w:cs="Arial"/>
        </w:rPr>
      </w:pPr>
    </w:p>
    <w:p w14:paraId="5C0692C3" w14:textId="77777777" w:rsidR="00FB4D13" w:rsidRPr="004A615F" w:rsidRDefault="00FB4D13" w:rsidP="00FB4D13">
      <w:pPr>
        <w:spacing w:after="0" w:line="240" w:lineRule="auto"/>
        <w:ind w:left="709" w:right="709"/>
        <w:jc w:val="both"/>
        <w:rPr>
          <w:rFonts w:ascii="Verdana" w:hAnsi="Verdana" w:cs="Arial"/>
        </w:rPr>
      </w:pPr>
      <w:r w:rsidRPr="004A615F">
        <w:rPr>
          <w:rFonts w:ascii="Verdana" w:hAnsi="Verdana" w:cs="Arial"/>
        </w:rPr>
        <w:t>(…)</w:t>
      </w:r>
    </w:p>
    <w:p w14:paraId="033936E8" w14:textId="77777777" w:rsidR="00FB4D13" w:rsidRPr="004A615F" w:rsidRDefault="00FB4D13" w:rsidP="00FB4D13">
      <w:pPr>
        <w:spacing w:after="0" w:line="240" w:lineRule="auto"/>
        <w:ind w:left="709" w:right="709"/>
        <w:jc w:val="both"/>
        <w:rPr>
          <w:rFonts w:ascii="Verdana" w:hAnsi="Verdana" w:cs="Arial"/>
        </w:rPr>
      </w:pPr>
    </w:p>
    <w:p w14:paraId="44FC239E" w14:textId="77777777" w:rsidR="00FB4D13" w:rsidRPr="004A615F" w:rsidRDefault="00FB4D13" w:rsidP="00FB4D13">
      <w:pPr>
        <w:spacing w:after="0" w:line="240" w:lineRule="auto"/>
        <w:ind w:left="709" w:right="709"/>
        <w:jc w:val="both"/>
        <w:rPr>
          <w:rFonts w:ascii="Verdana" w:eastAsia="Calibri" w:hAnsi="Verdana" w:cs="Arial"/>
          <w:lang w:val="es-ES_tradnl"/>
        </w:rPr>
      </w:pPr>
      <w:r w:rsidRPr="004A615F">
        <w:rPr>
          <w:rFonts w:ascii="Verdana" w:hAnsi="Verdana" w:cs="Arial"/>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w:t>
      </w:r>
      <w:r w:rsidRPr="004A615F">
        <w:rPr>
          <w:rFonts w:ascii="Verdana" w:hAnsi="Verdana" w:cs="Arial"/>
        </w:rPr>
        <w:lastRenderedPageBreak/>
        <w:t>domicilio en los departamentos o municipios en donde se va a ejecutar el contrato. Cada Mipyme deberá acreditar su domicilio con los documentos a los que se refiere el siguiente artículo”.</w:t>
      </w:r>
    </w:p>
    <w:p w14:paraId="17EF4D3A" w14:textId="77777777" w:rsidR="00FB4D13" w:rsidRPr="004A615F" w:rsidRDefault="00FB4D13" w:rsidP="00FB4D13">
      <w:pPr>
        <w:spacing w:after="0" w:line="276" w:lineRule="auto"/>
        <w:ind w:right="709"/>
        <w:jc w:val="both"/>
        <w:rPr>
          <w:rFonts w:ascii="Verdana" w:eastAsia="Calibri" w:hAnsi="Verdana" w:cs="Arial"/>
          <w:lang w:val="es-ES_tradnl"/>
        </w:rPr>
      </w:pPr>
    </w:p>
    <w:p w14:paraId="527278F8" w14:textId="77777777" w:rsidR="00FB4D13" w:rsidRPr="004A615F" w:rsidRDefault="00FB4D13" w:rsidP="00FB4D13">
      <w:pPr>
        <w:spacing w:after="120" w:line="276" w:lineRule="auto"/>
        <w:ind w:firstLine="709"/>
        <w:jc w:val="both"/>
        <w:rPr>
          <w:rFonts w:ascii="Verdana" w:eastAsia="Calibri" w:hAnsi="Verdana" w:cs="Arial"/>
          <w:lang w:val="es-ES_tradnl"/>
        </w:rPr>
      </w:pPr>
      <w:r w:rsidRPr="004A615F">
        <w:rPr>
          <w:rFonts w:ascii="Verdana" w:eastAsia="Calibri" w:hAnsi="Verdana" w:cs="Arial"/>
          <w:lang w:val="es-ES_tradnl"/>
        </w:rPr>
        <w:t xml:space="preserve">La norma reglamentaria coincide con la redacción del parágrafo 1º del artículo 34 de la Ley 2069 de 2020, según el cual sí es posible limitar convocatorias a la participación de </w:t>
      </w:r>
      <w:proofErr w:type="spellStart"/>
      <w:r w:rsidRPr="004A615F">
        <w:rPr>
          <w:rFonts w:ascii="Verdana" w:eastAsia="Calibri" w:hAnsi="Verdana" w:cs="Arial"/>
          <w:lang w:val="es-ES_tradnl"/>
        </w:rPr>
        <w:t>Mipymes</w:t>
      </w:r>
      <w:proofErr w:type="spellEnd"/>
      <w:r w:rsidRPr="004A615F">
        <w:rPr>
          <w:rFonts w:ascii="Verdana" w:eastAsia="Calibri" w:hAnsi="Verdana" w:cs="Arial"/>
          <w:lang w:val="es-ES_tradnl"/>
        </w:rPr>
        <w:t xml:space="preserve"> “(…) </w:t>
      </w:r>
      <w:r w:rsidRPr="004A615F">
        <w:rPr>
          <w:rFonts w:ascii="Verdana" w:eastAsia="Calibri" w:hAnsi="Verdana" w:cs="Arial"/>
        </w:rPr>
        <w:t>del ámbito municipal o departamental correspondiente al de la ejecución del contrato</w:t>
      </w:r>
      <w:r w:rsidRPr="004A615F">
        <w:rPr>
          <w:rFonts w:ascii="Verdana" w:eastAsia="Calibri" w:hAnsi="Verdana" w:cs="Arial"/>
          <w:lang w:val="es-ES_tradnl"/>
        </w:rPr>
        <w:t>”. En tales términos, la norma citada sólo contempla la posibilidad de limitar convocatorias a MiPymes con domicilio en esos dos tipos de entidades territoriales.</w:t>
      </w:r>
    </w:p>
    <w:p w14:paraId="0C97A634" w14:textId="77777777" w:rsidR="00FB4D13" w:rsidRPr="004A615F" w:rsidRDefault="00FB4D13" w:rsidP="00FB4D13">
      <w:pPr>
        <w:spacing w:after="120" w:line="276" w:lineRule="auto"/>
        <w:ind w:firstLine="709"/>
        <w:jc w:val="both"/>
        <w:rPr>
          <w:rFonts w:ascii="Verdana" w:eastAsia="Calibri" w:hAnsi="Verdana" w:cs="Arial"/>
          <w:lang w:val="es-ES_tradnl"/>
        </w:rPr>
      </w:pPr>
      <w:r w:rsidRPr="004A615F">
        <w:rPr>
          <w:rFonts w:ascii="Verdana" w:eastAsia="Calibri" w:hAnsi="Verdana" w:cs="Arial"/>
          <w:lang w:val="es-ES_tradnl"/>
        </w:rPr>
        <w:t xml:space="preserve">Ello significa que </w:t>
      </w:r>
      <w:r w:rsidRPr="004A615F">
        <w:rPr>
          <w:rFonts w:ascii="Verdana" w:eastAsia="Arial" w:hAnsi="Verdana" w:cs="Arial"/>
          <w:color w:val="000000"/>
          <w:lang w:val="es-MX"/>
        </w:rPr>
        <w:t xml:space="preserve">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 que las </w:t>
      </w:r>
      <w:proofErr w:type="spellStart"/>
      <w:r w:rsidRPr="004A615F">
        <w:rPr>
          <w:rFonts w:ascii="Verdana" w:eastAsia="Arial" w:hAnsi="Verdana" w:cs="Arial"/>
          <w:color w:val="000000"/>
          <w:lang w:val="es-MX"/>
        </w:rPr>
        <w:t>Mipymes</w:t>
      </w:r>
      <w:proofErr w:type="spellEnd"/>
      <w:r w:rsidRPr="004A615F">
        <w:rPr>
          <w:rFonts w:ascii="Verdana" w:eastAsia="Arial" w:hAnsi="Verdana" w:cs="Arial"/>
          <w:color w:val="000000"/>
          <w:lang w:val="es-MX"/>
        </w:rPr>
        <w:t xml:space="preserve"> nacionales puedan beneficiarse de la ejecución de un contrato dentro de la entidad territorial en la que tienen su “domicilio”, siempre que el proceso de contratación efectivamente se limite a </w:t>
      </w:r>
      <w:proofErr w:type="spellStart"/>
      <w:r w:rsidRPr="004A615F">
        <w:rPr>
          <w:rFonts w:ascii="Verdana" w:eastAsia="Arial" w:hAnsi="Verdana" w:cs="Arial"/>
          <w:color w:val="000000"/>
          <w:lang w:val="es-MX"/>
        </w:rPr>
        <w:t>Mipymes</w:t>
      </w:r>
      <w:proofErr w:type="spellEnd"/>
      <w:r w:rsidRPr="004A615F">
        <w:rPr>
          <w:rFonts w:ascii="Verdana" w:eastAsia="Arial" w:hAnsi="Verdana" w:cs="Arial"/>
          <w:color w:val="000000"/>
          <w:lang w:val="es-MX"/>
        </w:rPr>
        <w:t xml:space="preserve"> domiciliadas en determinado ámbito territorial, de conformidad con las reglas establecidas en el Decreto 1082 de 2015, modificado por el Decreto 1860 de 2021.</w:t>
      </w:r>
    </w:p>
    <w:p w14:paraId="30CFBFC8" w14:textId="77777777" w:rsidR="00FB4D13" w:rsidRPr="004A615F" w:rsidRDefault="00FB4D13" w:rsidP="00FB4D13">
      <w:pPr>
        <w:spacing w:after="120" w:line="276" w:lineRule="auto"/>
        <w:ind w:firstLine="709"/>
        <w:jc w:val="both"/>
        <w:rPr>
          <w:rFonts w:ascii="Verdana" w:eastAsia="Calibri" w:hAnsi="Verdana" w:cs="Arial"/>
          <w:lang w:val="es-ES_tradnl"/>
        </w:rPr>
      </w:pPr>
      <w:r w:rsidRPr="004A615F">
        <w:rPr>
          <w:rFonts w:ascii="Verdana" w:eastAsia="Arial" w:hAnsi="Verdana" w:cs="Arial"/>
          <w:color w:val="000000"/>
          <w:lang w:val="es-MX"/>
        </w:rPr>
        <w:t>Ahora bien, el artículo 2.2.1.2.4.2.3. del Decreto 1082 de 2015, modificado por el artículo 5 del Decreto 1860 de 2021 se refiere a las “</w:t>
      </w:r>
      <w:proofErr w:type="spellStart"/>
      <w:r w:rsidRPr="004A615F">
        <w:rPr>
          <w:rFonts w:ascii="Verdana" w:eastAsia="Arial" w:hAnsi="Verdana" w:cs="Arial"/>
          <w:color w:val="000000"/>
          <w:lang w:val="es-MX"/>
        </w:rPr>
        <w:t>mipyme</w:t>
      </w:r>
      <w:proofErr w:type="spellEnd"/>
      <w:r w:rsidRPr="004A615F">
        <w:rPr>
          <w:rFonts w:ascii="Verdana" w:eastAsia="Arial" w:hAnsi="Verdana" w:cs="Arial"/>
          <w:color w:val="000000"/>
          <w:lang w:val="es-MX"/>
        </w:rPr>
        <w:t xml:space="preserve"> colombianas que tengan </w:t>
      </w:r>
      <w:r w:rsidRPr="004A615F">
        <w:rPr>
          <w:rFonts w:ascii="Verdana" w:eastAsia="Arial" w:hAnsi="Verdana" w:cs="Arial"/>
          <w:i/>
          <w:iCs/>
          <w:color w:val="000000"/>
          <w:lang w:val="es-MX"/>
        </w:rPr>
        <w:t>domicilio</w:t>
      </w:r>
      <w:r w:rsidRPr="004A615F">
        <w:rPr>
          <w:rFonts w:ascii="Verdana" w:eastAsia="Arial" w:hAnsi="Verdana" w:cs="Arial"/>
          <w:color w:val="000000"/>
          <w:lang w:val="es-MX"/>
        </w:rPr>
        <w:t xml:space="preserve"> en los departamentos o municipios en donde se va a ejecutar el contrato”. Esta precisión es importante, pues el incentivo previsto en la norma únicamente aplica en el lugar de ejecución del contrato en el que la Mipyme tiene su “domicilio” y no en donde tiene sucursales, agencias o establecimientos de comercio.</w:t>
      </w:r>
    </w:p>
    <w:p w14:paraId="2CFD198C" w14:textId="77777777" w:rsidR="00FB4D13" w:rsidRPr="004A615F" w:rsidRDefault="00FB4D13" w:rsidP="00FB4D13">
      <w:pPr>
        <w:spacing w:after="120" w:line="276" w:lineRule="auto"/>
        <w:ind w:firstLine="709"/>
        <w:jc w:val="both"/>
        <w:rPr>
          <w:rFonts w:ascii="Verdana" w:eastAsia="Calibri" w:hAnsi="Verdana" w:cs="Arial"/>
          <w:lang w:val="es-ES_tradnl"/>
        </w:rPr>
      </w:pPr>
      <w:r w:rsidRPr="004A615F">
        <w:rPr>
          <w:rFonts w:ascii="Verdana" w:eastAsia="Arial" w:hAnsi="Verdana" w:cs="Arial"/>
          <w:color w:val="000000"/>
          <w:lang w:val="es-MX"/>
        </w:rPr>
        <w:t xml:space="preserve">Para explicar las implicaciones del artículo, en primer lugar, debe analizarse el alcance del término </w:t>
      </w:r>
      <w:r w:rsidRPr="004A615F">
        <w:rPr>
          <w:rFonts w:ascii="Verdana" w:hAnsi="Verdana" w:cs="Arial"/>
          <w:color w:val="000000" w:themeColor="text1"/>
        </w:rPr>
        <w:t>“domicilio” que, para el caso de las sociedades, se constituye en uno de los atributos de su personalidad que, con arreglo al ordenamiento jurídico colombiano, son aquellas propiedades o características de identidad propias de las personas, sean naturales o jurídicas, como titulares de derecho. En esta línea, este término es definido por el Código Civil en el artículo 76</w:t>
      </w:r>
      <w:r w:rsidRPr="004A615F">
        <w:rPr>
          <w:rFonts w:ascii="Verdana" w:hAnsi="Verdana" w:cs="Arial"/>
          <w:color w:val="000000" w:themeColor="text1"/>
          <w:vertAlign w:val="superscript"/>
        </w:rPr>
        <w:footnoteReference w:id="2"/>
      </w:r>
      <w:r w:rsidRPr="004A615F">
        <w:rPr>
          <w:rFonts w:ascii="Verdana" w:hAnsi="Verdana" w:cs="Arial"/>
          <w:color w:val="000000" w:themeColor="text1"/>
        </w:rPr>
        <w:t xml:space="preserve">, el cual lo concibe como la residencia acompañada real o presuntivamente </w:t>
      </w:r>
      <w:r w:rsidRPr="004A615F">
        <w:rPr>
          <w:rFonts w:ascii="Verdana" w:hAnsi="Verdana" w:cs="Arial"/>
          <w:color w:val="000000" w:themeColor="text1"/>
        </w:rPr>
        <w:lastRenderedPageBreak/>
        <w:t xml:space="preserve">del ánimo de permanecer en ella, lo que para el caso de las sociedades se interpreta como el sitio donde éstas tienen el asiento principal de sus negocios. </w:t>
      </w:r>
    </w:p>
    <w:p w14:paraId="04C9EB0D" w14:textId="77777777" w:rsidR="00FB4D13" w:rsidRPr="004A615F" w:rsidRDefault="00FB4D13" w:rsidP="00FB4D13">
      <w:pPr>
        <w:spacing w:after="120" w:line="276" w:lineRule="auto"/>
        <w:ind w:firstLine="709"/>
        <w:jc w:val="both"/>
        <w:rPr>
          <w:rFonts w:ascii="Verdana" w:eastAsia="Calibri" w:hAnsi="Verdana" w:cs="Arial"/>
          <w:color w:val="000000" w:themeColor="text1"/>
          <w:lang w:val="es-ES" w:eastAsia="es-ES"/>
        </w:rPr>
      </w:pPr>
      <w:r w:rsidRPr="004A615F">
        <w:rPr>
          <w:rFonts w:ascii="Verdana" w:eastAsia="Arial" w:hAnsi="Verdana" w:cs="Arial"/>
          <w:color w:val="000000"/>
          <w:lang w:val="es-MX"/>
        </w:rPr>
        <w:t>En segundo lugar, el artículo 263 del Código de Comercio define las</w:t>
      </w:r>
      <w:r>
        <w:rPr>
          <w:rFonts w:ascii="Verdana" w:eastAsia="Arial" w:hAnsi="Verdana" w:cs="Arial"/>
          <w:color w:val="000000"/>
          <w:lang w:val="es-MX"/>
        </w:rPr>
        <w:t xml:space="preserve"> sucursales </w:t>
      </w:r>
      <w:r w:rsidRPr="004A615F">
        <w:rPr>
          <w:rFonts w:ascii="Verdana" w:eastAsia="Arial" w:hAnsi="Verdana" w:cs="Arial"/>
          <w:color w:val="000000"/>
          <w:lang w:val="es-MX"/>
        </w:rPr>
        <w:t>como “los establecimientos de comercio abiertos por una sociedad, dentro o fuera de su domicilio, para el desarrollo de los negocios sociales o parte de ellos, administrados por mandatarios con facultades para representar la sociedad”. A renglón seguido, el artículo 264 señala que son agencias de una sociedad “sus establecimientos de comercio cuyos administradores carezcan de poder para representarla”</w:t>
      </w:r>
      <w:r>
        <w:rPr>
          <w:rFonts w:ascii="Verdana" w:eastAsia="Arial" w:hAnsi="Verdana" w:cs="Arial"/>
          <w:color w:val="000000"/>
          <w:lang w:val="es-MX"/>
        </w:rPr>
        <w:t>, e</w:t>
      </w:r>
      <w:proofErr w:type="spellStart"/>
      <w:r w:rsidRPr="004A615F">
        <w:rPr>
          <w:rFonts w:ascii="Verdana" w:eastAsia="Calibri" w:hAnsi="Verdana" w:cs="Arial"/>
          <w:color w:val="000000" w:themeColor="text1"/>
          <w:lang w:val="es-ES" w:eastAsia="es-ES"/>
        </w:rPr>
        <w:t>sta</w:t>
      </w:r>
      <w:proofErr w:type="spellEnd"/>
      <w:r w:rsidRPr="004A615F">
        <w:rPr>
          <w:rFonts w:ascii="Verdana" w:eastAsia="Calibri" w:hAnsi="Verdana" w:cs="Arial"/>
          <w:color w:val="000000" w:themeColor="text1"/>
          <w:lang w:val="es-ES" w:eastAsia="es-ES"/>
        </w:rPr>
        <w:t xml:space="preserve"> precisión es importante, pues el incentivo previsto en la norma únicamente aplica en el lugar de ejecución del contratado en el que la Mipyme tiene su “domicilio”, y no en donde tiene sucursales, agencias o establecimientos de comercio. Para explicar las implicaciones del artículo, en primera instancia, debe analizarse el alcance del término “domicilio” que, para el caso de las sociedades, se constituye en uno de los atributos de su personalidad que, de acuerdo con el ordenamiento jurídico colombiano, son aquellas propiedades o características de identidad propias de las personas, sean naturales o jurídicas, como titulares de derecho. En esta línea, este término es definido por el Código Civil en el artículo 76, el cual lo concibe como la residencia acompañada real o presuntivamente del ánimo de permanecer en ella, lo cual, para el caso de las sociedades se interpreta como el sitio donde éstas tienen el asiento principal de sus negocios.</w:t>
      </w:r>
    </w:p>
    <w:p w14:paraId="514B075F" w14:textId="77777777" w:rsidR="00FB4D13" w:rsidRPr="004A615F" w:rsidRDefault="00FB4D13" w:rsidP="00FB4D13">
      <w:pPr>
        <w:spacing w:after="120" w:line="276" w:lineRule="auto"/>
        <w:ind w:firstLine="709"/>
        <w:jc w:val="both"/>
        <w:rPr>
          <w:rFonts w:ascii="Verdana" w:eastAsia="Arial" w:hAnsi="Verdana" w:cs="Arial"/>
          <w:color w:val="000000"/>
          <w:lang w:val="es-MX"/>
        </w:rPr>
      </w:pPr>
      <w:r w:rsidRPr="004A615F">
        <w:rPr>
          <w:rFonts w:ascii="Verdana" w:eastAsia="Arial" w:hAnsi="Verdana" w:cs="Arial"/>
          <w:color w:val="000000"/>
          <w:lang w:val="es-MX"/>
        </w:rPr>
        <w:t xml:space="preserve">Nótese que la norma se refiere a los conceptos de “sucursal”, “agencia” y “domicilio” de forma diferente, de lo que se deriva que las sociedades comerciales tienen un domicilio y pueden tener una o varias sucursales que son establecimientos de comercio, esto es, bienes mercantiles pertenecientes a la sociedad. En ese mismo sentido, los artículos 110 y 111 </w:t>
      </w:r>
      <w:r w:rsidRPr="004A615F">
        <w:rPr>
          <w:rFonts w:ascii="Verdana" w:eastAsia="Arial" w:hAnsi="Verdana" w:cs="Arial"/>
          <w:i/>
          <w:color w:val="000000"/>
          <w:lang w:val="es-MX"/>
        </w:rPr>
        <w:t>ibidem</w:t>
      </w:r>
      <w:r w:rsidRPr="004A615F">
        <w:rPr>
          <w:rFonts w:ascii="Verdana" w:eastAsia="Arial" w:hAnsi="Verdana" w:cs="Arial"/>
          <w:color w:val="000000"/>
          <w:lang w:val="es-MX"/>
        </w:rPr>
        <w:t xml:space="preserve"> se refieren a los conceptos de “sucursal” y “domicilio” de forma independiente. El uno para referirse a los requisitos de constitución de una sociedad comercial y el otro para determinar el lugar donde se debe inscribir la escritura pública de constitución de la sociedad comercial. En esta medida, si el legislador distinguió entre uno y otro y si el reglamento se refiere al “domicilio”, se entiende que no es procedente extender el beneficio contenido en el artículo 2.2.1.2.4.2.3. </w:t>
      </w:r>
      <w:r w:rsidRPr="004A615F">
        <w:rPr>
          <w:rFonts w:ascii="Verdana" w:eastAsia="Arial" w:hAnsi="Verdana" w:cs="Arial"/>
          <w:i/>
          <w:color w:val="000000"/>
          <w:lang w:val="es-MX"/>
        </w:rPr>
        <w:t xml:space="preserve">ibidem </w:t>
      </w:r>
      <w:r w:rsidRPr="004A615F">
        <w:rPr>
          <w:rFonts w:ascii="Verdana" w:eastAsia="Arial" w:hAnsi="Verdana" w:cs="Arial"/>
          <w:color w:val="000000"/>
          <w:lang w:val="es-MX"/>
        </w:rPr>
        <w:t>a las entidades que tienen “sucursales” y “agencias” en el municipio o departamento en donde se va a ejecutar el contrato estatal.</w:t>
      </w:r>
    </w:p>
    <w:p w14:paraId="4666A373" w14:textId="77777777" w:rsidR="00FB4D13" w:rsidRPr="004A615F" w:rsidRDefault="00FB4D13" w:rsidP="00FB4D13">
      <w:pPr>
        <w:spacing w:after="120" w:line="276" w:lineRule="auto"/>
        <w:ind w:firstLine="709"/>
        <w:jc w:val="both"/>
        <w:rPr>
          <w:rFonts w:ascii="Verdana" w:eastAsia="Arial" w:hAnsi="Verdana" w:cs="Arial"/>
          <w:color w:val="000000" w:themeColor="text1"/>
          <w:lang w:val="es-ES_tradnl"/>
        </w:rPr>
      </w:pPr>
      <w:r w:rsidRPr="004A615F">
        <w:rPr>
          <w:rFonts w:ascii="Verdana" w:hAnsi="Verdana" w:cs="Arial"/>
          <w:color w:val="000000" w:themeColor="text1"/>
        </w:rPr>
        <w:t xml:space="preserve">De conformidad con lo anterior, se evidencia que la limitación territorial regulada en </w:t>
      </w:r>
      <w:r w:rsidRPr="004A615F">
        <w:rPr>
          <w:rFonts w:ascii="Verdana" w:eastAsia="Arial" w:hAnsi="Verdana" w:cs="Arial"/>
          <w:color w:val="000000" w:themeColor="text1"/>
          <w:lang w:val="es-ES_tradnl"/>
        </w:rPr>
        <w:t xml:space="preserve">el artículo 2.2.1.2.4.2.3. del Decreto 1082 de 2015 será aplicada para aquellas </w:t>
      </w:r>
      <w:proofErr w:type="spellStart"/>
      <w:r w:rsidRPr="004A615F">
        <w:rPr>
          <w:rFonts w:ascii="Verdana" w:eastAsia="Arial" w:hAnsi="Verdana" w:cs="Arial"/>
          <w:color w:val="000000" w:themeColor="text1"/>
          <w:lang w:val="es-ES_tradnl"/>
        </w:rPr>
        <w:t>Mipymes</w:t>
      </w:r>
      <w:proofErr w:type="spellEnd"/>
      <w:r w:rsidRPr="004A615F">
        <w:rPr>
          <w:rFonts w:ascii="Verdana" w:eastAsia="Arial" w:hAnsi="Verdana" w:cs="Arial"/>
          <w:color w:val="000000" w:themeColor="text1"/>
          <w:lang w:val="es-ES_tradnl"/>
        </w:rPr>
        <w:t xml:space="preserve"> que tengan su domicilio principal en el municipio o </w:t>
      </w:r>
      <w:r w:rsidRPr="004A615F">
        <w:rPr>
          <w:rFonts w:ascii="Verdana" w:eastAsia="Arial" w:hAnsi="Verdana" w:cs="Arial"/>
          <w:color w:val="000000" w:themeColor="text1"/>
          <w:lang w:val="es-ES_tradnl"/>
        </w:rPr>
        <w:lastRenderedPageBreak/>
        <w:t xml:space="preserve">departamento respectivo. Por tanto, este artículo no aplicaría frente a la ubicación de las sucursales y agencias de las </w:t>
      </w:r>
      <w:proofErr w:type="spellStart"/>
      <w:r w:rsidRPr="004A615F">
        <w:rPr>
          <w:rFonts w:ascii="Verdana" w:eastAsia="Arial" w:hAnsi="Verdana" w:cs="Arial"/>
          <w:color w:val="000000" w:themeColor="text1"/>
          <w:lang w:val="es-ES_tradnl"/>
        </w:rPr>
        <w:t>Mipymes</w:t>
      </w:r>
      <w:proofErr w:type="spellEnd"/>
      <w:r w:rsidRPr="004A615F">
        <w:rPr>
          <w:rFonts w:ascii="Verdana" w:eastAsia="Arial" w:hAnsi="Verdana" w:cs="Arial"/>
          <w:color w:val="000000" w:themeColor="text1"/>
          <w:lang w:val="es-ES_tradnl"/>
        </w:rPr>
        <w:t>. De este modo, la participación de los diferentes procesos de contratación cuando está limitada territorialmente está condicionada al domicilio principal de la Mipyme respectiva.</w:t>
      </w:r>
    </w:p>
    <w:p w14:paraId="6A9947BE" w14:textId="77777777" w:rsidR="00FB4D13" w:rsidRDefault="00FB4D13" w:rsidP="00FB4D13">
      <w:pPr>
        <w:spacing w:line="276" w:lineRule="auto"/>
        <w:ind w:firstLine="708"/>
        <w:jc w:val="both"/>
        <w:rPr>
          <w:rFonts w:ascii="Verdana" w:eastAsia="Calibri" w:hAnsi="Verdana" w:cs="Arial"/>
          <w:bCs/>
          <w:lang w:val="es-MX" w:eastAsia="es-ES" w:bidi="es-ES"/>
        </w:rPr>
      </w:pPr>
      <w:r>
        <w:rPr>
          <w:rFonts w:ascii="Verdana" w:eastAsia="Calibri" w:hAnsi="Verdana" w:cs="Arial"/>
          <w:bCs/>
          <w:lang w:val="es-MX" w:eastAsia="es-ES" w:bidi="es-ES"/>
        </w:rPr>
        <w:t xml:space="preserve">De esta </w:t>
      </w:r>
      <w:proofErr w:type="gramStart"/>
      <w:r>
        <w:rPr>
          <w:rFonts w:ascii="Verdana" w:eastAsia="Calibri" w:hAnsi="Verdana" w:cs="Arial"/>
          <w:bCs/>
          <w:lang w:val="es-MX" w:eastAsia="es-ES" w:bidi="es-ES"/>
        </w:rPr>
        <w:t xml:space="preserve">manera, </w:t>
      </w:r>
      <w:r w:rsidRPr="00A53190">
        <w:rPr>
          <w:rFonts w:ascii="Verdana" w:eastAsia="Calibri" w:hAnsi="Verdana" w:cs="Arial"/>
          <w:bCs/>
          <w:lang w:val="es-MX" w:eastAsia="es-ES" w:bidi="es-ES"/>
        </w:rPr>
        <w:t xml:space="preserve"> el</w:t>
      </w:r>
      <w:proofErr w:type="gramEnd"/>
      <w:r w:rsidRPr="00A53190">
        <w:rPr>
          <w:rFonts w:ascii="Verdana" w:eastAsia="Calibri" w:hAnsi="Verdana" w:cs="Arial"/>
          <w:bCs/>
          <w:lang w:val="es-MX" w:eastAsia="es-ES" w:bidi="es-ES"/>
        </w:rPr>
        <w:t xml:space="preserve"> incentivo previsto en la norma únicamente aplica en el lugar de ejecución del contratado en el que la Mipyme tiene su “domicilio”, y no en donde tiene sucursales, agencias o establecimientos de comercio. Para explicar las implicaciones del artículo, en primera instancia, debe analizarse el alcance del término “domicilio” que, para el caso de las sociedades, se constituye en uno de los atributos de su personalidad que, de acuerdo con el ordenamiento jurídico colombiano, son aquellas propiedades o características de identidad propias de las personas, sean naturales o jurídicas, como titulares de derecho. En esta línea, este término es definido por el Código Civil en el artículo 76, el cual lo concibe como la residencia acompañada real o presuntivamente del ánimo de permanecer en ella, lo cual, para el caso de las sociedades se interpreta como el sitio donde éstas tienen el asiento principal de sus negocios.</w:t>
      </w:r>
    </w:p>
    <w:p w14:paraId="1562437B" w14:textId="77777777" w:rsidR="00FB4D13" w:rsidRDefault="00FB4D13" w:rsidP="00FB4D13">
      <w:pPr>
        <w:spacing w:line="276" w:lineRule="auto"/>
        <w:ind w:firstLine="708"/>
        <w:jc w:val="both"/>
        <w:rPr>
          <w:rFonts w:ascii="Verdana" w:eastAsia="Calibri" w:hAnsi="Verdana" w:cs="Arial"/>
          <w:bCs/>
          <w:lang w:eastAsia="es-ES" w:bidi="es-ES"/>
        </w:rPr>
      </w:pPr>
      <w:r>
        <w:rPr>
          <w:rFonts w:ascii="Verdana" w:eastAsia="Calibri" w:hAnsi="Verdana" w:cs="Arial"/>
          <w:bCs/>
          <w:lang w:eastAsia="es-ES" w:bidi="es-ES"/>
        </w:rPr>
        <w:t xml:space="preserve">Así las cosas, </w:t>
      </w:r>
      <w:r w:rsidRPr="00A53190">
        <w:rPr>
          <w:rFonts w:ascii="Verdana" w:eastAsia="Calibri" w:hAnsi="Verdana" w:cs="Arial"/>
          <w:bCs/>
          <w:lang w:eastAsia="es-ES" w:bidi="es-ES"/>
        </w:rPr>
        <w:t xml:space="preserve">las limitaciones territoriales en los procesos de contratación para </w:t>
      </w:r>
      <w:proofErr w:type="spellStart"/>
      <w:r w:rsidRPr="00A53190">
        <w:rPr>
          <w:rFonts w:ascii="Verdana" w:eastAsia="Calibri" w:hAnsi="Verdana" w:cs="Arial"/>
          <w:bCs/>
          <w:lang w:eastAsia="es-ES" w:bidi="es-ES"/>
        </w:rPr>
        <w:t>Mipymes</w:t>
      </w:r>
      <w:proofErr w:type="spellEnd"/>
      <w:r w:rsidRPr="00A53190">
        <w:rPr>
          <w:rFonts w:ascii="Verdana" w:eastAsia="Calibri" w:hAnsi="Verdana" w:cs="Arial"/>
          <w:bCs/>
          <w:lang w:eastAsia="es-ES" w:bidi="es-ES"/>
        </w:rPr>
        <w:t xml:space="preserve"> se refieren al domicilio principal de la empresa, el cual se acredita con el certificado de existencia y representación legal. La mera existencia de una sucursal en el departamento no es suficiente para que una Mipyme cuyo domicilio principal está en otra jurisdicción pueda participar en convocatorias limitadas territorialmente. La finalidad de la norma es incentivar el desarrollo empresarial y la generación de empleo en la región de ejecución del contrato, y se </w:t>
      </w:r>
      <w:r>
        <w:rPr>
          <w:rFonts w:ascii="Verdana" w:eastAsia="Calibri" w:hAnsi="Verdana" w:cs="Arial"/>
          <w:bCs/>
          <w:lang w:eastAsia="es-ES" w:bidi="es-ES"/>
        </w:rPr>
        <w:t>c</w:t>
      </w:r>
      <w:r w:rsidRPr="00A53190">
        <w:rPr>
          <w:rFonts w:ascii="Verdana" w:eastAsia="Calibri" w:hAnsi="Verdana" w:cs="Arial"/>
          <w:bCs/>
          <w:lang w:eastAsia="es-ES" w:bidi="es-ES"/>
        </w:rPr>
        <w:t>onsidera que el domicilio principal es el que mejor refleja esta vinculación.</w:t>
      </w:r>
      <w:r w:rsidRPr="00612EB8">
        <w:rPr>
          <w:rFonts w:ascii="Verdana" w:eastAsia="Calibri" w:hAnsi="Verdana" w:cs="Arial"/>
          <w:bCs/>
          <w:lang w:eastAsia="es-ES" w:bidi="es-ES"/>
        </w:rPr>
        <w:t xml:space="preserve"> </w:t>
      </w:r>
    </w:p>
    <w:p w14:paraId="75C37808" w14:textId="77777777" w:rsidR="00FB4D13" w:rsidRPr="00DB4737" w:rsidRDefault="00FB4D13" w:rsidP="00FB4D13">
      <w:pPr>
        <w:spacing w:after="0"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6E0CD81" w14:textId="77777777" w:rsidR="00FB4D13" w:rsidRPr="00DB4737" w:rsidRDefault="00FB4D13" w:rsidP="00FB4D13">
      <w:pPr>
        <w:spacing w:after="0"/>
        <w:ind w:left="720"/>
        <w:contextualSpacing/>
        <w:rPr>
          <w:rFonts w:ascii="Verdana" w:eastAsia="Calibri" w:hAnsi="Verdana" w:cs="Times New Roman"/>
          <w:lang w:val="es-ES"/>
        </w:rPr>
      </w:pPr>
    </w:p>
    <w:p w14:paraId="5938BEC7" w14:textId="77777777" w:rsidR="00FB4D13" w:rsidRDefault="00FB4D13" w:rsidP="00FB4D13">
      <w:pPr>
        <w:spacing w:after="120" w:line="276" w:lineRule="auto"/>
        <w:ind w:firstLine="708"/>
        <w:jc w:val="both"/>
        <w:rPr>
          <w:rFonts w:ascii="Verdana" w:eastAsia="Calibri" w:hAnsi="Verdana" w:cs="Times New Roman"/>
          <w:lang w:val="es-ES"/>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w:t>
      </w:r>
      <w:r w:rsidRPr="00DB4737">
        <w:rPr>
          <w:rFonts w:ascii="Verdana" w:eastAsia="Calibri" w:hAnsi="Verdana" w:cs="Times New Roman"/>
          <w:lang w:val="es-ES"/>
        </w:rPr>
        <w:lastRenderedPageBreak/>
        <w:t>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70FBCE3A" w14:textId="77777777" w:rsidR="00FB4D13" w:rsidRDefault="00FB4D13" w:rsidP="00FB4D13">
      <w:pPr>
        <w:spacing w:after="120" w:line="276" w:lineRule="auto"/>
        <w:ind w:firstLine="708"/>
        <w:jc w:val="both"/>
        <w:rPr>
          <w:rFonts w:ascii="Verdana" w:eastAsia="Calibri" w:hAnsi="Verdana" w:cs="Times New Roman"/>
          <w:lang w:val="es-ES"/>
        </w:rPr>
      </w:pPr>
    </w:p>
    <w:p w14:paraId="07238388" w14:textId="77777777" w:rsidR="00FB4D13" w:rsidRDefault="00FB4D13" w:rsidP="00FB4D13">
      <w:pPr>
        <w:spacing w:after="120" w:line="276" w:lineRule="auto"/>
        <w:ind w:firstLine="708"/>
        <w:jc w:val="both"/>
        <w:rPr>
          <w:rFonts w:ascii="Verdana" w:eastAsia="Calibri" w:hAnsi="Verdana" w:cs="Times New Roman"/>
          <w:lang w:val="es-ES"/>
        </w:rPr>
      </w:pPr>
    </w:p>
    <w:p w14:paraId="7879A0A4" w14:textId="77777777" w:rsidR="00FB4D13" w:rsidRPr="00593A5F" w:rsidRDefault="00FB4D13" w:rsidP="00FB4D13">
      <w:pPr>
        <w:spacing w:after="120" w:line="276" w:lineRule="auto"/>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B4D13" w:rsidRPr="00593A5F" w14:paraId="14EA2A5A" w14:textId="77777777" w:rsidTr="00A32A4D">
        <w:trPr>
          <w:trHeight w:val="870"/>
        </w:trPr>
        <w:tc>
          <w:tcPr>
            <w:tcW w:w="8647" w:type="dxa"/>
          </w:tcPr>
          <w:p w14:paraId="6D14A22B" w14:textId="77777777" w:rsidR="00FB4D13" w:rsidRPr="00FC49A2" w:rsidRDefault="00FB4D13" w:rsidP="00A32A4D">
            <w:pPr>
              <w:widowControl w:val="0"/>
              <w:numPr>
                <w:ilvl w:val="0"/>
                <w:numId w:val="17"/>
              </w:numPr>
              <w:autoSpaceDE w:val="0"/>
              <w:autoSpaceDN w:val="0"/>
              <w:spacing w:after="120" w:line="276" w:lineRule="auto"/>
              <w:contextualSpacing/>
              <w:jc w:val="both"/>
              <w:rPr>
                <w:rFonts w:ascii="Verdana" w:eastAsia="Aptos" w:hAnsi="Verdana" w:cs="Arial"/>
              </w:rPr>
            </w:pPr>
            <w:r w:rsidRPr="00FC49A2">
              <w:rPr>
                <w:rFonts w:ascii="Verdana" w:eastAsia="Calibri" w:hAnsi="Verdana" w:cs="Arial"/>
                <w:lang w:val="es-ES"/>
              </w:rPr>
              <w:t xml:space="preserve">Decreto 1082. Artículos 2.2.1.2.4.2.2, 2.2.1.2.4.2.3 y </w:t>
            </w:r>
            <w:r w:rsidRPr="00FC49A2">
              <w:rPr>
                <w:rFonts w:ascii="Verdana" w:eastAsia="Calibri" w:hAnsi="Verdana" w:cs="Times New Roman"/>
                <w:lang w:val="es-ES"/>
              </w:rPr>
              <w:t xml:space="preserve">2.2.1.2.4.2.4 </w:t>
            </w:r>
          </w:p>
          <w:p w14:paraId="4B9E4FB8" w14:textId="77777777" w:rsidR="00FB4D13" w:rsidRPr="00FC49A2" w:rsidRDefault="00FB4D13" w:rsidP="00A32A4D">
            <w:pPr>
              <w:widowControl w:val="0"/>
              <w:numPr>
                <w:ilvl w:val="0"/>
                <w:numId w:val="17"/>
              </w:numPr>
              <w:autoSpaceDE w:val="0"/>
              <w:autoSpaceDN w:val="0"/>
              <w:spacing w:after="120" w:line="276" w:lineRule="auto"/>
              <w:contextualSpacing/>
              <w:jc w:val="both"/>
              <w:rPr>
                <w:rFonts w:ascii="Verdana" w:eastAsia="Aptos" w:hAnsi="Verdana" w:cs="Arial"/>
              </w:rPr>
            </w:pPr>
            <w:r w:rsidRPr="00FC49A2">
              <w:rPr>
                <w:rFonts w:ascii="Verdana" w:eastAsia="Aptos" w:hAnsi="Verdana" w:cs="Arial"/>
              </w:rPr>
              <w:t>Ley 2069 de 2020. Artículo 34</w:t>
            </w:r>
          </w:p>
          <w:p w14:paraId="136528AD" w14:textId="77777777" w:rsidR="00FB4D13" w:rsidRPr="00FC49A2" w:rsidRDefault="00FB4D13" w:rsidP="00A32A4D">
            <w:pPr>
              <w:widowControl w:val="0"/>
              <w:numPr>
                <w:ilvl w:val="0"/>
                <w:numId w:val="17"/>
              </w:numPr>
              <w:autoSpaceDE w:val="0"/>
              <w:autoSpaceDN w:val="0"/>
              <w:spacing w:line="276" w:lineRule="auto"/>
              <w:contextualSpacing/>
              <w:jc w:val="both"/>
              <w:rPr>
                <w:rFonts w:ascii="Verdana" w:eastAsia="Aptos" w:hAnsi="Verdana" w:cs="Arial"/>
              </w:rPr>
            </w:pPr>
            <w:r w:rsidRPr="00FC49A2">
              <w:rPr>
                <w:rFonts w:ascii="Verdana" w:eastAsia="Calibri" w:hAnsi="Verdana" w:cs="Arial"/>
                <w:lang w:val="es-ES"/>
              </w:rPr>
              <w:t>Decreto 1860 de 2021. Artículo 5</w:t>
            </w:r>
          </w:p>
          <w:p w14:paraId="2AD63EBB" w14:textId="77777777" w:rsidR="00FB4D13" w:rsidRPr="001A0556" w:rsidRDefault="00FB4D13" w:rsidP="00A32A4D">
            <w:pPr>
              <w:pStyle w:val="Prrafodelista"/>
              <w:widowControl w:val="0"/>
              <w:numPr>
                <w:ilvl w:val="0"/>
                <w:numId w:val="17"/>
              </w:numPr>
              <w:autoSpaceDE w:val="0"/>
              <w:autoSpaceDN w:val="0"/>
              <w:spacing w:after="120" w:line="276" w:lineRule="auto"/>
              <w:jc w:val="both"/>
              <w:rPr>
                <w:rFonts w:ascii="Verdana" w:hAnsi="Verdana" w:cs="Arial"/>
              </w:rPr>
            </w:pPr>
            <w:r w:rsidRPr="00FC49A2">
              <w:rPr>
                <w:rFonts w:ascii="Verdana" w:eastAsia="Aptos" w:hAnsi="Verdana" w:cs="Arial"/>
              </w:rPr>
              <w:t>Ley 1450 de 2011: Artículo 32, Parágrafo 1</w:t>
            </w:r>
          </w:p>
          <w:p w14:paraId="78314327" w14:textId="77777777" w:rsidR="00FB4D13" w:rsidRPr="002B5057" w:rsidRDefault="00FB4D13" w:rsidP="00A32A4D">
            <w:pPr>
              <w:pStyle w:val="Prrafodelista"/>
              <w:widowControl w:val="0"/>
              <w:numPr>
                <w:ilvl w:val="0"/>
                <w:numId w:val="17"/>
              </w:numPr>
              <w:autoSpaceDE w:val="0"/>
              <w:autoSpaceDN w:val="0"/>
              <w:spacing w:after="120" w:line="276" w:lineRule="auto"/>
              <w:jc w:val="both"/>
              <w:rPr>
                <w:rFonts w:ascii="Verdana" w:hAnsi="Verdana" w:cs="Arial"/>
              </w:rPr>
            </w:pPr>
            <w:r>
              <w:rPr>
                <w:rFonts w:ascii="Verdana" w:eastAsia="Aptos" w:hAnsi="Verdana" w:cs="Arial"/>
              </w:rPr>
              <w:t>Código de Comercio. Artículo 263.</w:t>
            </w:r>
          </w:p>
        </w:tc>
      </w:tr>
    </w:tbl>
    <w:p w14:paraId="766789D8" w14:textId="77777777" w:rsidR="00FB4D13" w:rsidRPr="00593A5F" w:rsidRDefault="00FB4D13" w:rsidP="00FB4D13">
      <w:pPr>
        <w:widowControl w:val="0"/>
        <w:autoSpaceDE w:val="0"/>
        <w:autoSpaceDN w:val="0"/>
        <w:spacing w:after="0" w:line="276" w:lineRule="auto"/>
        <w:jc w:val="both"/>
        <w:rPr>
          <w:rFonts w:ascii="Verdana" w:hAnsi="Verdana" w:cs="Arial"/>
        </w:rPr>
      </w:pPr>
    </w:p>
    <w:p w14:paraId="7D202AC9" w14:textId="77777777" w:rsidR="00FB4D13" w:rsidRPr="00593A5F" w:rsidRDefault="00FB4D13" w:rsidP="00FB4D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166305" w14:textId="77777777" w:rsidR="00FB4D13" w:rsidRDefault="00FB4D13" w:rsidP="00FB4D13">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33E1965A" w14:textId="77777777" w:rsidR="00FB4D13" w:rsidRPr="00185EE9" w:rsidRDefault="00FB4D13" w:rsidP="00FB4D13">
      <w:pPr>
        <w:widowControl w:val="0"/>
        <w:autoSpaceDE w:val="0"/>
        <w:autoSpaceDN w:val="0"/>
        <w:spacing w:after="0" w:line="276" w:lineRule="auto"/>
        <w:jc w:val="both"/>
        <w:rPr>
          <w:rFonts w:ascii="Verdana" w:eastAsia="Calibri" w:hAnsi="Verdana" w:cs="Times New Roman"/>
        </w:rPr>
      </w:pPr>
      <w:r w:rsidRPr="00FC49A2">
        <w:rPr>
          <w:rFonts w:ascii="Verdana" w:eastAsia="Aptos" w:hAnsi="Verdana" w:cs="Arial"/>
          <w:shd w:val="clear" w:color="auto" w:fill="FFFFFF"/>
          <w:lang w:val="es-ES"/>
        </w:rPr>
        <w:t xml:space="preserve">Sobre las convocatorias limitadas a </w:t>
      </w:r>
      <w:proofErr w:type="spellStart"/>
      <w:r w:rsidRPr="00FC49A2">
        <w:rPr>
          <w:rFonts w:ascii="Verdana" w:eastAsia="Aptos" w:hAnsi="Verdana" w:cs="Arial"/>
          <w:shd w:val="clear" w:color="auto" w:fill="FFFFFF"/>
          <w:lang w:val="es-ES"/>
        </w:rPr>
        <w:t>Mipymes</w:t>
      </w:r>
      <w:proofErr w:type="spellEnd"/>
      <w:r w:rsidRPr="00FC49A2">
        <w:rPr>
          <w:rFonts w:ascii="Verdana" w:eastAsia="Aptos" w:hAnsi="Verdana" w:cs="Arial"/>
          <w:shd w:val="clear" w:color="auto" w:fill="FFFFFF"/>
          <w:lang w:val="es-ES"/>
        </w:rPr>
        <w:t xml:space="preserve">, según la modificación realizada por el Decreto 1860 de 2021 al Decreto 1082 de 2015, esta Subdirección se ha referido en los Conceptos C-043 del 09 de febrero de 2021, C-005 del 16 de febrero de 2021, C-081 del 23 de febrero de 2021, C-087 del 23 de febrero de 2021, C- 025 del 25 de febrero de 2021, C-037 del 26 de febrero de 2021, C-035 del 02 de marzo de 2021, C-040 del 02 de marzo de 2021, C-044 del 03 de marzo de 2021, C-102 del 25 de marzo de 2021, C-125 del 05 de abril de 2021, C-127 del 06 de abril de 2021, C-130 del 07 de abril de 2021, C- 144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 entre otros. La Agencia también ha analizado las limitaciones territoriales de convocatorias a </w:t>
      </w:r>
      <w:proofErr w:type="spellStart"/>
      <w:r w:rsidRPr="00FC49A2">
        <w:rPr>
          <w:rFonts w:ascii="Verdana" w:eastAsia="Aptos" w:hAnsi="Verdana" w:cs="Arial"/>
          <w:shd w:val="clear" w:color="auto" w:fill="FFFFFF"/>
          <w:lang w:val="es-ES"/>
        </w:rPr>
        <w:t>Mipymes</w:t>
      </w:r>
      <w:proofErr w:type="spellEnd"/>
      <w:r w:rsidRPr="00FC49A2">
        <w:rPr>
          <w:rFonts w:ascii="Verdana" w:eastAsia="Aptos" w:hAnsi="Verdana" w:cs="Arial"/>
          <w:shd w:val="clear" w:color="auto" w:fill="FFFFFF"/>
          <w:lang w:val="es-ES"/>
        </w:rPr>
        <w:t xml:space="preserve">, en los conceptos concepto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w:t>
      </w:r>
      <w:r w:rsidRPr="00FC49A2">
        <w:rPr>
          <w:rFonts w:ascii="Verdana" w:eastAsia="Aptos" w:hAnsi="Verdana" w:cs="Arial"/>
          <w:shd w:val="clear" w:color="auto" w:fill="FFFFFF"/>
          <w:lang w:val="es-ES"/>
        </w:rPr>
        <w:lastRenderedPageBreak/>
        <w:t xml:space="preserve">octubre de 2022, C-699 del 25 de octubre de 2022, C-744 del 08 de noviembre de 2022 y C-758 del 10 de noviembre de 2022, C-089 del 28 de abril de 2023, </w:t>
      </w:r>
      <w:r w:rsidRPr="001A0556">
        <w:rPr>
          <w:rStyle w:val="normaltextrun"/>
          <w:rFonts w:ascii="Verdana" w:hAnsi="Verdana" w:cs="Arial"/>
          <w:shd w:val="clear" w:color="auto" w:fill="FFFFFF"/>
          <w:lang w:val="es-ES"/>
        </w:rPr>
        <w:t>,</w:t>
      </w:r>
      <w:r w:rsidRPr="001A0556">
        <w:rPr>
          <w:rFonts w:ascii="Verdana" w:eastAsia="Aptos" w:hAnsi="Verdana" w:cs="Arial"/>
          <w:shd w:val="clear" w:color="auto" w:fill="FFFFFF"/>
          <w:lang w:val="es-ES"/>
        </w:rPr>
        <w:t xml:space="preserve"> entre</w:t>
      </w:r>
      <w:r w:rsidRPr="00B52642">
        <w:rPr>
          <w:rFonts w:ascii="Verdana" w:eastAsia="Aptos" w:hAnsi="Verdana" w:cs="Arial"/>
          <w:shd w:val="clear" w:color="auto" w:fill="FFFFFF"/>
          <w:lang w:val="es-ES"/>
        </w:rPr>
        <w:t xml:space="preserve"> otros</w:t>
      </w:r>
      <w:r>
        <w:rPr>
          <w:rFonts w:ascii="Verdana" w:eastAsia="Calibri" w:hAnsi="Verdana" w:cs="Times New Roman"/>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051C4DF" w14:textId="77777777" w:rsidR="00FB4D13" w:rsidRPr="0065720B" w:rsidRDefault="00FB4D13" w:rsidP="00FB4D13">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0BFA9879" w14:textId="77777777" w:rsidR="00FB4D13" w:rsidRDefault="00FB4D13" w:rsidP="00FB4D13">
      <w:pPr>
        <w:widowControl w:val="0"/>
        <w:autoSpaceDE w:val="0"/>
        <w:autoSpaceDN w:val="0"/>
        <w:spacing w:after="0" w:line="276" w:lineRule="auto"/>
        <w:jc w:val="both"/>
        <w:rPr>
          <w:rStyle w:val="normaltextrun"/>
          <w:rFonts w:ascii="Verdana" w:hAnsi="Verdana" w:cs="Arial"/>
          <w:shd w:val="clear" w:color="auto" w:fill="FFFFFF"/>
          <w:lang w:val="es-ES"/>
        </w:rPr>
      </w:pPr>
    </w:p>
    <w:p w14:paraId="27B81E5E" w14:textId="77777777" w:rsidR="00FB4D13" w:rsidRPr="00505CD6" w:rsidRDefault="00FB4D13" w:rsidP="00FB4D13">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5D71CFC4" w14:textId="77777777" w:rsidR="00FB4D13" w:rsidRPr="00505CD6" w:rsidRDefault="00FB4D13" w:rsidP="00FB4D13">
      <w:pPr>
        <w:widowControl w:val="0"/>
        <w:autoSpaceDE w:val="0"/>
        <w:autoSpaceDN w:val="0"/>
        <w:spacing w:after="0" w:line="276" w:lineRule="auto"/>
        <w:jc w:val="both"/>
        <w:rPr>
          <w:rFonts w:ascii="Verdana" w:hAnsi="Verdana" w:cs="Arial"/>
          <w:color w:val="000000" w:themeColor="text1"/>
          <w:shd w:val="clear" w:color="auto" w:fill="FFFFFF"/>
        </w:rPr>
      </w:pPr>
    </w:p>
    <w:p w14:paraId="723C8750" w14:textId="77777777" w:rsidR="00FB4D13" w:rsidRPr="00505CD6" w:rsidRDefault="00FB4D13" w:rsidP="00FB4D13">
      <w:pPr>
        <w:widowControl w:val="0"/>
        <w:numPr>
          <w:ilvl w:val="0"/>
          <w:numId w:val="1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3" w:tgtFrame="_blank" w:tooltip="Dirección URL original: https://www.colombiacompra.gov.co/content/03-documentos-tipo-para-los-procesos-de-seleccion-de-interventoria-de-obra-publica-de. Haga clic o pulse si confía en este vínculo." w:history="1">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14:paraId="17200499" w14:textId="77777777" w:rsidR="00FB4D13" w:rsidRPr="00505CD6" w:rsidRDefault="00FB4D13" w:rsidP="00FB4D13">
      <w:pPr>
        <w:widowControl w:val="0"/>
        <w:numPr>
          <w:ilvl w:val="0"/>
          <w:numId w:val="1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r:id="rId14" w:tgtFrame="_blank" w:tooltip="Dirección URL original: https://www.colombiacompra.gov.co/content/02-documentos-tipo-para-los-procesos-de-seleccion-de-consultoria-de-obra-publica-de. Haga clic o pulse si confía en este vínculo." w:history="1">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14:paraId="425D10DD" w14:textId="77777777" w:rsidR="00FB4D13" w:rsidRPr="00505CD6" w:rsidRDefault="00FB4D13" w:rsidP="00FB4D13">
      <w:pPr>
        <w:widowControl w:val="0"/>
        <w:autoSpaceDE w:val="0"/>
        <w:autoSpaceDN w:val="0"/>
        <w:spacing w:after="0" w:line="276" w:lineRule="auto"/>
        <w:jc w:val="both"/>
        <w:rPr>
          <w:rFonts w:ascii="Verdana" w:hAnsi="Verdana" w:cs="Arial"/>
          <w:color w:val="000000" w:themeColor="text1"/>
          <w:shd w:val="clear" w:color="auto" w:fill="FFFFFF"/>
        </w:rPr>
      </w:pPr>
    </w:p>
    <w:p w14:paraId="075CB95E" w14:textId="77777777" w:rsidR="00FB4D13" w:rsidRDefault="00FB4D13" w:rsidP="00FB4D13">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0B3FFEC7" w14:textId="77777777" w:rsidR="00FB4D13" w:rsidRPr="00505CD6" w:rsidRDefault="00FB4D13" w:rsidP="00FB4D13">
      <w:pPr>
        <w:widowControl w:val="0"/>
        <w:autoSpaceDE w:val="0"/>
        <w:autoSpaceDN w:val="0"/>
        <w:spacing w:after="0" w:line="276" w:lineRule="auto"/>
        <w:jc w:val="both"/>
        <w:rPr>
          <w:rFonts w:ascii="Verdana" w:eastAsia="Calibri" w:hAnsi="Verdana" w:cs="Arial"/>
          <w:color w:val="000000" w:themeColor="text1"/>
        </w:rPr>
      </w:pPr>
    </w:p>
    <w:p w14:paraId="311DD18A" w14:textId="77777777" w:rsidR="00FB4D13" w:rsidRPr="00505CD6" w:rsidRDefault="00FB4D13" w:rsidP="00FB4D1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5FFC6C47" w14:textId="77777777" w:rsidR="00FB4D13" w:rsidRPr="00505CD6" w:rsidRDefault="00FB4D13" w:rsidP="00FB4D13">
      <w:pPr>
        <w:widowControl w:val="0"/>
        <w:autoSpaceDE w:val="0"/>
        <w:autoSpaceDN w:val="0"/>
        <w:spacing w:after="0" w:line="276" w:lineRule="auto"/>
        <w:jc w:val="both"/>
        <w:rPr>
          <w:rFonts w:ascii="Verdana" w:hAnsi="Verdana" w:cs="Arial"/>
        </w:rPr>
      </w:pPr>
    </w:p>
    <w:p w14:paraId="71D2D521" w14:textId="77777777" w:rsidR="00FB4D13" w:rsidRPr="00505CD6" w:rsidRDefault="00FB4D13" w:rsidP="00FB4D13">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0473E10" w14:textId="08DA855E" w:rsidR="00FB4D13" w:rsidRPr="00EF055B" w:rsidRDefault="003808E2" w:rsidP="00FB4D13">
      <w:pPr>
        <w:spacing w:line="276" w:lineRule="auto"/>
        <w:jc w:val="center"/>
        <w:rPr>
          <w:noProof/>
          <w:color w:val="000000"/>
        </w:rPr>
      </w:pPr>
      <w:r>
        <w:rPr>
          <w:noProof/>
          <w:color w:val="000000"/>
        </w:rPr>
        <w:drawing>
          <wp:inline distT="0" distB="0" distL="0" distR="0" wp14:anchorId="423B1621" wp14:editId="49589EF8">
            <wp:extent cx="4054025" cy="1743075"/>
            <wp:effectExtent l="0" t="0" r="3810" b="0"/>
            <wp:docPr id="15074144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414485" name="Imagen 1507414485"/>
                    <pic:cNvPicPr/>
                  </pic:nvPicPr>
                  <pic:blipFill>
                    <a:blip r:embed="rId16">
                      <a:extLst>
                        <a:ext uri="{28A0092B-C50C-407E-A947-70E740481C1C}">
                          <a14:useLocalDpi xmlns:a14="http://schemas.microsoft.com/office/drawing/2010/main" val="0"/>
                        </a:ext>
                      </a:extLst>
                    </a:blip>
                    <a:stretch>
                      <a:fillRect/>
                    </a:stretch>
                  </pic:blipFill>
                  <pic:spPr>
                    <a:xfrm>
                      <a:off x="0" y="0"/>
                      <a:ext cx="4056276" cy="174404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B4D13" w:rsidRPr="00593A5F" w14:paraId="19C702DA" w14:textId="77777777" w:rsidTr="00A32A4D">
        <w:trPr>
          <w:trHeight w:val="315"/>
        </w:trPr>
        <w:tc>
          <w:tcPr>
            <w:tcW w:w="893" w:type="dxa"/>
            <w:vAlign w:val="center"/>
            <w:hideMark/>
          </w:tcPr>
          <w:p w14:paraId="0824B505" w14:textId="77777777" w:rsidR="00FB4D13" w:rsidRPr="003751C7" w:rsidRDefault="00FB4D13" w:rsidP="00A32A4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41460E" w14:textId="77777777" w:rsidR="00FB4D13" w:rsidRDefault="00FB4D13" w:rsidP="00A32A4D">
            <w:pPr>
              <w:pStyle w:val="paragraph"/>
              <w:spacing w:before="0" w:beforeAutospacing="0" w:after="0" w:afterAutospacing="0"/>
              <w:contextualSpacing/>
              <w:textAlignment w:val="baseline"/>
              <w:rPr>
                <w:rStyle w:val="normaltextrun"/>
                <w:rFonts w:ascii="Verdana" w:hAnsi="Verdana" w:cstheme="minorHAnsi"/>
                <w:sz w:val="16"/>
                <w:szCs w:val="16"/>
              </w:rPr>
            </w:pPr>
            <w:proofErr w:type="spellStart"/>
            <w:r>
              <w:rPr>
                <w:rStyle w:val="normaltextrun"/>
                <w:rFonts w:ascii="Verdana" w:hAnsi="Verdana" w:cstheme="minorHAnsi"/>
                <w:sz w:val="16"/>
                <w:szCs w:val="16"/>
              </w:rPr>
              <w:t>Karol</w:t>
            </w:r>
            <w:proofErr w:type="spellEnd"/>
            <w:r>
              <w:rPr>
                <w:rStyle w:val="normaltextrun"/>
                <w:rFonts w:ascii="Verdana" w:hAnsi="Verdana" w:cstheme="minorHAnsi"/>
                <w:sz w:val="16"/>
                <w:szCs w:val="16"/>
              </w:rPr>
              <w:t xml:space="preserve"> Andrea González Marín.</w:t>
            </w:r>
          </w:p>
          <w:p w14:paraId="7A293444" w14:textId="77777777" w:rsidR="00FB4D13" w:rsidRPr="000015E6" w:rsidRDefault="00FB4D13" w:rsidP="00A32A4D">
            <w:pPr>
              <w:contextualSpacing/>
              <w:rPr>
                <w:rFonts w:ascii="Verdana" w:eastAsia="Arial" w:hAnsi="Verdana" w:cs="Arial"/>
                <w:sz w:val="16"/>
                <w:szCs w:val="16"/>
              </w:rPr>
            </w:pPr>
            <w:r w:rsidRPr="00E24803">
              <w:rPr>
                <w:rFonts w:ascii="Verdana" w:hAnsi="Verdana"/>
                <w:sz w:val="16"/>
                <w:szCs w:val="16"/>
              </w:rPr>
              <w:t>Contratista de la Subdirección de Gestión Contractual</w:t>
            </w:r>
          </w:p>
        </w:tc>
      </w:tr>
      <w:tr w:rsidR="00FB4D13" w:rsidRPr="00593A5F" w14:paraId="50AB8DA1" w14:textId="77777777" w:rsidTr="00A32A4D">
        <w:trPr>
          <w:trHeight w:val="330"/>
        </w:trPr>
        <w:tc>
          <w:tcPr>
            <w:tcW w:w="893" w:type="dxa"/>
            <w:vAlign w:val="center"/>
            <w:hideMark/>
          </w:tcPr>
          <w:p w14:paraId="02C53034" w14:textId="77777777" w:rsidR="00FB4D13" w:rsidRPr="003751C7" w:rsidRDefault="00FB4D13" w:rsidP="00A32A4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D6E78C" w14:textId="77777777" w:rsidR="00FB4D13" w:rsidRDefault="00FB4D13" w:rsidP="00A32A4D">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Diana Lucia Saavedra.</w:t>
            </w:r>
          </w:p>
          <w:p w14:paraId="0C7DC998" w14:textId="77777777" w:rsidR="00FB4D13" w:rsidRPr="00EF40D2" w:rsidRDefault="00FB4D13" w:rsidP="00A32A4D">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Pr="000015E6">
              <w:rPr>
                <w:rStyle w:val="normaltextrun"/>
                <w:rFonts w:ascii="Verdana" w:eastAsia="Arial" w:hAnsi="Verdana" w:cs="Arial"/>
                <w:sz w:val="16"/>
                <w:szCs w:val="16"/>
              </w:rPr>
              <w:t>Subdirección de Gestión Contractual</w:t>
            </w:r>
          </w:p>
        </w:tc>
      </w:tr>
      <w:tr w:rsidR="00FB4D13" w:rsidRPr="00593A5F" w14:paraId="4CD4A7A7" w14:textId="77777777" w:rsidTr="00A32A4D">
        <w:trPr>
          <w:trHeight w:val="300"/>
        </w:trPr>
        <w:tc>
          <w:tcPr>
            <w:tcW w:w="893" w:type="dxa"/>
            <w:vAlign w:val="center"/>
          </w:tcPr>
          <w:p w14:paraId="60654948" w14:textId="77777777" w:rsidR="00FB4D13" w:rsidRPr="003751C7" w:rsidRDefault="00FB4D13" w:rsidP="00A32A4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B9294C" w14:textId="77777777" w:rsidR="00FB4D13" w:rsidRPr="000015E6" w:rsidRDefault="00FB4D13" w:rsidP="00A32A4D">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r>
              <w:rPr>
                <w:rFonts w:ascii="Verdana" w:eastAsia="Calibri" w:hAnsi="Verdana" w:cs="Arial"/>
                <w:sz w:val="16"/>
                <w:szCs w:val="16"/>
                <w:lang w:val="pt-BR" w:eastAsia="es-ES"/>
              </w:rPr>
              <w:t>.</w:t>
            </w:r>
          </w:p>
          <w:p w14:paraId="62720FCA" w14:textId="77777777" w:rsidR="00FB4D13" w:rsidRPr="000015E6" w:rsidRDefault="00FB4D13" w:rsidP="00A32A4D">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1"/>
      <w:bookmarkEnd w:id="2"/>
    </w:tbl>
    <w:p w14:paraId="15308165" w14:textId="77777777" w:rsidR="00FB4D13" w:rsidRPr="0044528D" w:rsidRDefault="00FB4D13" w:rsidP="00FB4D13">
      <w:pPr>
        <w:spacing w:after="0"/>
        <w:rPr>
          <w:rFonts w:ascii="Verdana" w:hAnsi="Verdana"/>
        </w:rPr>
      </w:pPr>
    </w:p>
    <w:p w14:paraId="00E0BD5D" w14:textId="77777777" w:rsidR="00FB4D13" w:rsidRPr="0044528D" w:rsidRDefault="00FB4D13" w:rsidP="00FB4D13">
      <w:pPr>
        <w:spacing w:after="0" w:line="240" w:lineRule="auto"/>
        <w:textAlignment w:val="baseline"/>
        <w:rPr>
          <w:rFonts w:ascii="Verdana" w:eastAsia="Times New Roman" w:hAnsi="Verdana" w:cs="Segoe UI"/>
          <w:b/>
          <w:bCs/>
          <w:color w:val="46589C"/>
          <w:lang w:val="es-ES" w:eastAsia="es-CO"/>
        </w:rPr>
      </w:pPr>
    </w:p>
    <w:p w14:paraId="67DD3F8C" w14:textId="77777777" w:rsidR="002707A2" w:rsidRPr="0044528D" w:rsidRDefault="002707A2" w:rsidP="00E245AB">
      <w:pPr>
        <w:spacing w:after="0"/>
        <w:jc w:val="both"/>
        <w:rPr>
          <w:rStyle w:val="Hipervnculo"/>
          <w:rFonts w:ascii="Verdana" w:hAnsi="Verdana"/>
        </w:rPr>
      </w:pPr>
    </w:p>
    <w:bookmarkEnd w:id="0"/>
    <w:p w14:paraId="3900974D" w14:textId="77777777"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82715" w14:textId="77777777" w:rsidR="00440615" w:rsidRDefault="00440615" w:rsidP="004A1847">
      <w:pPr>
        <w:spacing w:after="0" w:line="240" w:lineRule="auto"/>
      </w:pPr>
      <w:r>
        <w:separator/>
      </w:r>
    </w:p>
  </w:endnote>
  <w:endnote w:type="continuationSeparator" w:id="0">
    <w:p w14:paraId="1C4F483A" w14:textId="77777777" w:rsidR="00440615" w:rsidRDefault="0044061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06705" w14:textId="77777777" w:rsidR="00440615" w:rsidRDefault="00440615" w:rsidP="004A1847">
      <w:pPr>
        <w:spacing w:after="0" w:line="240" w:lineRule="auto"/>
      </w:pPr>
      <w:r>
        <w:separator/>
      </w:r>
    </w:p>
  </w:footnote>
  <w:footnote w:type="continuationSeparator" w:id="0">
    <w:p w14:paraId="64A7BF7F" w14:textId="77777777" w:rsidR="00440615" w:rsidRDefault="00440615" w:rsidP="004A1847">
      <w:pPr>
        <w:spacing w:after="0" w:line="240" w:lineRule="auto"/>
      </w:pPr>
      <w:r>
        <w:continuationSeparator/>
      </w:r>
    </w:p>
  </w:footnote>
  <w:footnote w:id="1">
    <w:p w14:paraId="5785FA7B" w14:textId="77777777" w:rsidR="00FB4D13" w:rsidRPr="00E14140" w:rsidRDefault="00FB4D13" w:rsidP="00FB4D13">
      <w:pPr>
        <w:pStyle w:val="Textonotapie"/>
        <w:ind w:firstLine="708"/>
        <w:contextualSpacing/>
        <w:rPr>
          <w:rFonts w:ascii="Verdana" w:hAnsi="Verdana" w:cs="Arial"/>
          <w:sz w:val="16"/>
          <w:szCs w:val="16"/>
        </w:rPr>
      </w:pPr>
      <w:r w:rsidRPr="00E14140">
        <w:rPr>
          <w:rStyle w:val="Refdenotaalpie"/>
          <w:rFonts w:ascii="Verdana" w:hAnsi="Verdana" w:cs="Arial"/>
          <w:sz w:val="16"/>
          <w:szCs w:val="16"/>
        </w:rPr>
        <w:footnoteRef/>
      </w:r>
      <w:r w:rsidRPr="00E14140">
        <w:rPr>
          <w:rFonts w:ascii="Verdana" w:hAnsi="Verdana" w:cs="Arial"/>
          <w:sz w:val="16"/>
          <w:szCs w:val="16"/>
        </w:rPr>
        <w:t xml:space="preserve">  Agencia Nacional de Contratación Pública – Colombia Compra Eficiente. Concepto C-045 del 17 de marzo de 2020. Radicado de salida No. 2202013000001974.</w:t>
      </w:r>
    </w:p>
  </w:footnote>
  <w:footnote w:id="2">
    <w:p w14:paraId="49E71833" w14:textId="77777777" w:rsidR="00FB4D13" w:rsidRPr="00E14140" w:rsidRDefault="00FB4D13" w:rsidP="00FB4D13">
      <w:pPr>
        <w:pStyle w:val="Textonotapie"/>
        <w:ind w:firstLine="708"/>
        <w:contextualSpacing/>
        <w:jc w:val="both"/>
        <w:rPr>
          <w:rFonts w:ascii="Verdana" w:hAnsi="Verdana" w:cs="Arial"/>
          <w:sz w:val="16"/>
          <w:szCs w:val="16"/>
        </w:rPr>
      </w:pPr>
      <w:r w:rsidRPr="00E14140">
        <w:rPr>
          <w:rStyle w:val="Refdenotaalpie"/>
          <w:rFonts w:ascii="Verdana" w:hAnsi="Verdana" w:cs="Arial"/>
          <w:sz w:val="16"/>
          <w:szCs w:val="16"/>
        </w:rPr>
        <w:footnoteRef/>
      </w:r>
      <w:r w:rsidRPr="00E14140">
        <w:rPr>
          <w:rFonts w:ascii="Verdana" w:hAnsi="Verdana" w:cs="Arial"/>
          <w:sz w:val="16"/>
          <w:szCs w:val="16"/>
        </w:rPr>
        <w:t xml:space="preserve"> </w:t>
      </w:r>
      <w:bookmarkStart w:id="4" w:name="76"/>
      <w:r w:rsidRPr="00E14140">
        <w:rPr>
          <w:rFonts w:ascii="Verdana" w:hAnsi="Verdana" w:cs="Arial"/>
          <w:bCs/>
          <w:sz w:val="16"/>
          <w:szCs w:val="16"/>
        </w:rPr>
        <w:t>Artículo 76. “Domicilio.</w:t>
      </w:r>
      <w:bookmarkEnd w:id="4"/>
      <w:r w:rsidRPr="00E14140">
        <w:rPr>
          <w:rFonts w:ascii="Verdana" w:hAnsi="Verdana" w:cs="Arial"/>
          <w:sz w:val="16"/>
          <w:szCs w:val="16"/>
        </w:rPr>
        <w:t> El domicilio consiste en la residencia acompañada, real o presuntivamente del ánimo de permanecer en ella”.</w:t>
      </w:r>
    </w:p>
    <w:p w14:paraId="41983C5C" w14:textId="77777777" w:rsidR="00FB4D13" w:rsidRPr="00095A67" w:rsidRDefault="00FB4D13" w:rsidP="00FB4D13">
      <w:pPr>
        <w:pStyle w:val="Textonotapie"/>
        <w:ind w:firstLine="708"/>
        <w:contextualSpacing/>
        <w:jc w:val="both"/>
        <w:rPr>
          <w:rFonts w:ascii="Arial" w:hAnsi="Arial" w:cs="Arial"/>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79089576">
    <w:abstractNumId w:val="9"/>
  </w:num>
  <w:num w:numId="18" w16cid:durableId="19822999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11A0"/>
    <w:rsid w:val="001D4A36"/>
    <w:rsid w:val="001E4177"/>
    <w:rsid w:val="001F7DC6"/>
    <w:rsid w:val="002421BB"/>
    <w:rsid w:val="0025796E"/>
    <w:rsid w:val="002707A2"/>
    <w:rsid w:val="002951A0"/>
    <w:rsid w:val="002962BC"/>
    <w:rsid w:val="002A093D"/>
    <w:rsid w:val="002A0DD0"/>
    <w:rsid w:val="002A49AC"/>
    <w:rsid w:val="002A64FD"/>
    <w:rsid w:val="002C3C59"/>
    <w:rsid w:val="002C7A84"/>
    <w:rsid w:val="002E4FD9"/>
    <w:rsid w:val="00322A85"/>
    <w:rsid w:val="00324168"/>
    <w:rsid w:val="003448F4"/>
    <w:rsid w:val="003524C1"/>
    <w:rsid w:val="00374F5E"/>
    <w:rsid w:val="00377E3E"/>
    <w:rsid w:val="003808E2"/>
    <w:rsid w:val="003A779E"/>
    <w:rsid w:val="003D0F4D"/>
    <w:rsid w:val="003D5B0D"/>
    <w:rsid w:val="003E0499"/>
    <w:rsid w:val="003F3941"/>
    <w:rsid w:val="00406575"/>
    <w:rsid w:val="00414C74"/>
    <w:rsid w:val="0042722E"/>
    <w:rsid w:val="00440615"/>
    <w:rsid w:val="0044528D"/>
    <w:rsid w:val="004A1847"/>
    <w:rsid w:val="004A305D"/>
    <w:rsid w:val="004F21C4"/>
    <w:rsid w:val="004F685F"/>
    <w:rsid w:val="005566E8"/>
    <w:rsid w:val="00574867"/>
    <w:rsid w:val="00591460"/>
    <w:rsid w:val="005B3816"/>
    <w:rsid w:val="005C3777"/>
    <w:rsid w:val="005C5CDC"/>
    <w:rsid w:val="005D476C"/>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A446D"/>
    <w:rsid w:val="008D180B"/>
    <w:rsid w:val="008F0EA7"/>
    <w:rsid w:val="00923EEF"/>
    <w:rsid w:val="009419F9"/>
    <w:rsid w:val="0095685E"/>
    <w:rsid w:val="00961B09"/>
    <w:rsid w:val="00962D76"/>
    <w:rsid w:val="00965334"/>
    <w:rsid w:val="0097093E"/>
    <w:rsid w:val="00986AC5"/>
    <w:rsid w:val="009A0DFA"/>
    <w:rsid w:val="009B2D26"/>
    <w:rsid w:val="009C71FA"/>
    <w:rsid w:val="009C72E7"/>
    <w:rsid w:val="009D3058"/>
    <w:rsid w:val="009F3A13"/>
    <w:rsid w:val="009F52C6"/>
    <w:rsid w:val="00A122D3"/>
    <w:rsid w:val="00A17F13"/>
    <w:rsid w:val="00A20739"/>
    <w:rsid w:val="00A33C78"/>
    <w:rsid w:val="00AB0ADB"/>
    <w:rsid w:val="00B01B1A"/>
    <w:rsid w:val="00B66319"/>
    <w:rsid w:val="00B72CD3"/>
    <w:rsid w:val="00B72FFF"/>
    <w:rsid w:val="00BC3D36"/>
    <w:rsid w:val="00BD7F72"/>
    <w:rsid w:val="00C04FB3"/>
    <w:rsid w:val="00C330EB"/>
    <w:rsid w:val="00C41061"/>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4D13"/>
    <w:rsid w:val="00FB5DD1"/>
    <w:rsid w:val="00FC2B5D"/>
    <w:rsid w:val="00FF1449"/>
    <w:rsid w:val="1511DC6C"/>
    <w:rsid w:val="165E9519"/>
    <w:rsid w:val="3144D4B8"/>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B4D1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B4D1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sethrocio@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275A2F9-FE56-41F4-8E76-EA03F87B9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5144</Words>
  <Characters>28292</Characters>
  <Application>Microsoft Office Word</Application>
  <DocSecurity>0</DocSecurity>
  <Lines>235</Lines>
  <Paragraphs>66</Paragraphs>
  <ScaleCrop>false</ScaleCrop>
  <Company/>
  <LinksUpToDate>false</LinksUpToDate>
  <CharactersWithSpaces>33370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2023-01-10T21:18:00Z</cp:lastPrinted>
  <dcterms:created xsi:type="dcterms:W3CDTF">2025-06-06T13:41:00Z</dcterms:created>
  <dcterms:modified xsi:type="dcterms:W3CDTF">2025-10-10T16:06:00Z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