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1B015" w14:textId="77777777" w:rsidR="001F218E" w:rsidRDefault="001F218E" w:rsidP="0044798F">
      <w:pPr>
        <w:spacing w:after="0" w:line="240" w:lineRule="auto"/>
        <w:jc w:val="both"/>
        <w:rPr>
          <w:rFonts w:ascii="Verdana" w:eastAsia="Calibri" w:hAnsi="Verdana" w:cs="Arial"/>
          <w:b/>
          <w:bCs/>
          <w:lang w:val="es-MX" w:eastAsia="es-ES_tradnl"/>
        </w:rPr>
      </w:pPr>
      <w:bookmarkStart w:id="0" w:name="_Hlk143780582"/>
      <w:r w:rsidRPr="00380FFB">
        <w:rPr>
          <w:rFonts w:ascii="Verdana" w:eastAsia="Calibri" w:hAnsi="Verdana" w:cs="Arial"/>
          <w:b/>
          <w:bCs/>
          <w:lang w:val="es-MX" w:eastAsia="es-ES_tradnl"/>
        </w:rPr>
        <w:t xml:space="preserve">LEY DE GARANTÍAS ELECTORALES ‒ Finalidad </w:t>
      </w:r>
    </w:p>
    <w:p w14:paraId="537D13F5" w14:textId="77777777" w:rsidR="001F218E" w:rsidRPr="00380FFB" w:rsidRDefault="001F218E" w:rsidP="0044798F">
      <w:pPr>
        <w:spacing w:after="0" w:line="240" w:lineRule="auto"/>
        <w:jc w:val="both"/>
        <w:rPr>
          <w:rFonts w:ascii="Verdana" w:eastAsia="Calibri" w:hAnsi="Verdana" w:cs="Arial"/>
          <w:b/>
          <w:bCs/>
          <w:lang w:val="es-MX" w:eastAsia="es-ES_tradnl"/>
        </w:rPr>
      </w:pPr>
    </w:p>
    <w:p w14:paraId="00738170" w14:textId="3FB2C1C5" w:rsidR="001F218E" w:rsidRDefault="001F218E" w:rsidP="0044798F">
      <w:pPr>
        <w:spacing w:after="0"/>
        <w:jc w:val="both"/>
        <w:rPr>
          <w:rFonts w:ascii="Verdana" w:eastAsia="Calibri" w:hAnsi="Verdana" w:cs="Arial"/>
          <w:sz w:val="20"/>
          <w:szCs w:val="20"/>
          <w:lang w:val="es-MX" w:eastAsia="es-ES_tradnl"/>
        </w:rPr>
      </w:pPr>
      <w:r>
        <w:rPr>
          <w:rFonts w:ascii="Verdana" w:eastAsia="Calibri" w:hAnsi="Verdana" w:cs="Arial"/>
          <w:sz w:val="20"/>
          <w:szCs w:val="20"/>
          <w:lang w:val="es-MX" w:eastAsia="es-ES_tradnl"/>
        </w:rPr>
        <w:t>L</w:t>
      </w:r>
      <w:r w:rsidRPr="00EC0195">
        <w:rPr>
          <w:rFonts w:ascii="Verdana" w:eastAsia="Calibri" w:hAnsi="Verdana" w:cs="Arial"/>
          <w:sz w:val="20"/>
          <w:szCs w:val="20"/>
          <w:lang w:val="es-MX" w:eastAsia="es-ES_tradnl"/>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6A395A96" w14:textId="77777777" w:rsidR="001F218E" w:rsidRPr="00A7472C" w:rsidRDefault="001F218E" w:rsidP="0044798F">
      <w:pPr>
        <w:spacing w:after="0" w:line="240" w:lineRule="auto"/>
        <w:jc w:val="both"/>
        <w:rPr>
          <w:rFonts w:ascii="Verdana" w:eastAsia="Calibri" w:hAnsi="Verdana" w:cs="Arial"/>
          <w:sz w:val="20"/>
          <w:szCs w:val="20"/>
          <w:lang w:val="es-MX" w:eastAsia="es-ES_tradnl"/>
        </w:rPr>
      </w:pPr>
    </w:p>
    <w:p w14:paraId="35550F79" w14:textId="77777777" w:rsidR="001F218E" w:rsidRDefault="001F218E" w:rsidP="0044798F">
      <w:pPr>
        <w:spacing w:after="0" w:line="240" w:lineRule="auto"/>
        <w:jc w:val="both"/>
        <w:rPr>
          <w:rFonts w:ascii="Verdana" w:eastAsia="Calibri" w:hAnsi="Verdana" w:cs="Arial"/>
          <w:b/>
          <w:bCs/>
          <w:lang w:val="es-MX" w:eastAsia="es-ES_tradnl"/>
        </w:rPr>
      </w:pPr>
      <w:r w:rsidRPr="00380FFB">
        <w:rPr>
          <w:rFonts w:ascii="Verdana" w:eastAsia="Calibri" w:hAnsi="Verdana" w:cs="Arial"/>
          <w:b/>
          <w:bCs/>
          <w:lang w:val="es-MX" w:eastAsia="es-ES_tradnl"/>
        </w:rPr>
        <w:t xml:space="preserve">LEY DE GARANTÍAS ELECTORALES ‒ Tipos de restricciones ‒ Ámbito temporal </w:t>
      </w:r>
    </w:p>
    <w:p w14:paraId="1B3F783D" w14:textId="77777777" w:rsidR="001F218E" w:rsidRPr="00380FFB" w:rsidRDefault="001F218E" w:rsidP="0044798F">
      <w:pPr>
        <w:spacing w:after="0" w:line="240" w:lineRule="auto"/>
        <w:jc w:val="both"/>
        <w:rPr>
          <w:rFonts w:ascii="Verdana" w:eastAsia="Calibri" w:hAnsi="Verdana" w:cs="Arial"/>
          <w:b/>
          <w:bCs/>
          <w:lang w:val="es-MX" w:eastAsia="es-ES_tradnl"/>
        </w:rPr>
      </w:pPr>
    </w:p>
    <w:p w14:paraId="6CF4897C" w14:textId="77777777" w:rsidR="001F218E" w:rsidRDefault="001F218E" w:rsidP="0044798F">
      <w:pPr>
        <w:spacing w:after="0"/>
        <w:jc w:val="both"/>
        <w:rPr>
          <w:rFonts w:ascii="Verdana" w:eastAsia="Arial" w:hAnsi="Verdana" w:cs="Arial"/>
          <w:sz w:val="20"/>
          <w:szCs w:val="20"/>
          <w:lang w:val="es-ES" w:eastAsia="es-ES" w:bidi="es-ES"/>
        </w:rPr>
      </w:pPr>
      <w:r w:rsidRPr="00A14964">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Pr="00A14964">
        <w:rPr>
          <w:rFonts w:ascii="Verdana" w:eastAsia="Arial" w:hAnsi="Verdana" w:cs="Arial"/>
          <w:i/>
          <w:sz w:val="20"/>
          <w:szCs w:val="20"/>
          <w:lang w:val="es-ES" w:eastAsia="es-ES" w:bidi="es-ES"/>
        </w:rPr>
        <w:t>En primer lugar</w:t>
      </w:r>
      <w:r w:rsidRPr="00A14964">
        <w:rPr>
          <w:rFonts w:ascii="Verdana" w:eastAsia="Arial" w:hAnsi="Verdana" w:cs="Arial"/>
          <w:sz w:val="20"/>
          <w:szCs w:val="20"/>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14964">
        <w:rPr>
          <w:rFonts w:ascii="Verdana" w:eastAsia="Arial" w:hAnsi="Verdana" w:cs="Arial"/>
          <w:i/>
          <w:sz w:val="20"/>
          <w:szCs w:val="20"/>
          <w:lang w:val="es-ES" w:eastAsia="es-ES" w:bidi="es-ES"/>
        </w:rPr>
        <w:t>En segundo lugar</w:t>
      </w:r>
      <w:r w:rsidRPr="00A14964">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C4B4544" w14:textId="77777777" w:rsidR="001F218E" w:rsidRPr="00A14964" w:rsidRDefault="001F218E" w:rsidP="0044798F">
      <w:pPr>
        <w:spacing w:after="0" w:line="240" w:lineRule="auto"/>
        <w:jc w:val="both"/>
        <w:rPr>
          <w:rFonts w:ascii="Verdana" w:eastAsia="Calibri" w:hAnsi="Verdana" w:cs="Arial"/>
          <w:b/>
          <w:bCs/>
          <w:sz w:val="20"/>
          <w:szCs w:val="20"/>
          <w:lang w:val="es-MX" w:eastAsia="es-ES_tradnl"/>
        </w:rPr>
      </w:pPr>
    </w:p>
    <w:p w14:paraId="6EAD3F35" w14:textId="77777777" w:rsidR="001F218E" w:rsidRDefault="001F218E" w:rsidP="0044798F">
      <w:pPr>
        <w:spacing w:after="0" w:line="240" w:lineRule="auto"/>
        <w:jc w:val="both"/>
        <w:rPr>
          <w:rFonts w:ascii="Verdana" w:eastAsia="Calibri" w:hAnsi="Verdana" w:cs="Arial"/>
          <w:b/>
          <w:bCs/>
          <w:lang w:val="es-MX" w:eastAsia="es-ES_tradnl"/>
        </w:rPr>
      </w:pPr>
      <w:r w:rsidRPr="00380FFB">
        <w:rPr>
          <w:rFonts w:ascii="Verdana" w:eastAsia="Calibri" w:hAnsi="Verdana" w:cs="Arial"/>
          <w:b/>
          <w:bCs/>
          <w:lang w:val="es-MX" w:eastAsia="es-ES_tradnl"/>
        </w:rPr>
        <w:t xml:space="preserve"> LEY DE GARANTÍAS ELECTORALES ‒ Prohibición por elección de cargos populares </w:t>
      </w:r>
    </w:p>
    <w:p w14:paraId="075EB7B0" w14:textId="77777777" w:rsidR="001F218E" w:rsidRPr="00380FFB" w:rsidRDefault="001F218E" w:rsidP="0044798F">
      <w:pPr>
        <w:spacing w:after="0" w:line="240" w:lineRule="auto"/>
        <w:jc w:val="both"/>
        <w:rPr>
          <w:rFonts w:ascii="Verdana" w:eastAsia="Calibri" w:hAnsi="Verdana" w:cs="Arial"/>
          <w:b/>
          <w:bCs/>
          <w:lang w:val="es-MX" w:eastAsia="es-ES_tradnl"/>
        </w:rPr>
      </w:pPr>
    </w:p>
    <w:p w14:paraId="57B98FE9" w14:textId="77777777" w:rsidR="001F218E" w:rsidRDefault="001F218E" w:rsidP="0044798F">
      <w:pPr>
        <w:spacing w:after="0"/>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E</w:t>
      </w:r>
      <w:r w:rsidRPr="00A14964">
        <w:rPr>
          <w:rFonts w:ascii="Verdana" w:eastAsia="Times New Roman" w:hAnsi="Verdana" w:cs="Arial"/>
          <w:sz w:val="20"/>
          <w:szCs w:val="20"/>
          <w:lang w:val="es-MX" w:eastAsia="es-CO"/>
        </w:rPr>
        <w:t xml:space="preserve">l parágrafo del artículo 38 de la Ley 996 de 2005 prohíbe a los Alcaldes, Gobernadores, Secretarios, Gerentes y Directores de las entidades del orden municipal, departamental o distrital celebrar </w:t>
      </w:r>
      <w:r w:rsidRPr="00A14964">
        <w:rPr>
          <w:rFonts w:ascii="Verdana" w:eastAsia="Times New Roman" w:hAnsi="Verdana" w:cs="Arial"/>
          <w:i/>
          <w:iCs/>
          <w:sz w:val="20"/>
          <w:szCs w:val="20"/>
          <w:lang w:val="es-MX" w:eastAsia="es-CO"/>
        </w:rPr>
        <w:t>convenios interadministrativos</w:t>
      </w:r>
      <w:r w:rsidRPr="00A14964">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A14964">
        <w:rPr>
          <w:rFonts w:ascii="Verdana" w:eastAsia="Times New Roman" w:hAnsi="Verdana" w:cs="Arial"/>
          <w:i/>
          <w:sz w:val="20"/>
          <w:szCs w:val="20"/>
          <w:lang w:val="es-MX" w:eastAsia="es-CO"/>
        </w:rPr>
        <w:t>ibidem</w:t>
      </w:r>
      <w:r w:rsidRPr="00A14964">
        <w:rPr>
          <w:rFonts w:ascii="Verdana" w:eastAsia="Times New Roman" w:hAnsi="Verdana" w:cs="Arial"/>
          <w:sz w:val="20"/>
          <w:szCs w:val="20"/>
          <w:lang w:val="es-MX" w:eastAsia="es-CO"/>
        </w:rPr>
        <w:t xml:space="preserve">, no podrá celebrar tales </w:t>
      </w:r>
      <w:r w:rsidRPr="00A14964">
        <w:rPr>
          <w:rFonts w:ascii="Verdana" w:eastAsia="Times New Roman" w:hAnsi="Verdana" w:cs="Arial"/>
          <w:i/>
          <w:iCs/>
          <w:sz w:val="20"/>
          <w:szCs w:val="20"/>
          <w:lang w:val="es-MX" w:eastAsia="es-CO"/>
        </w:rPr>
        <w:t>convenios</w:t>
      </w:r>
      <w:r w:rsidRPr="00A14964">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r>
        <w:rPr>
          <w:rFonts w:ascii="Verdana" w:eastAsia="Times New Roman" w:hAnsi="Verdana" w:cs="Arial"/>
          <w:sz w:val="20"/>
          <w:szCs w:val="20"/>
          <w:lang w:val="es-MX" w:eastAsia="es-CO"/>
        </w:rPr>
        <w:t>.</w:t>
      </w:r>
    </w:p>
    <w:p w14:paraId="04D2C799" w14:textId="77777777" w:rsidR="001F218E" w:rsidRPr="00A14964" w:rsidRDefault="001F218E" w:rsidP="0044798F">
      <w:pPr>
        <w:spacing w:after="0" w:line="240" w:lineRule="auto"/>
        <w:jc w:val="both"/>
        <w:rPr>
          <w:rFonts w:ascii="Verdana" w:eastAsia="Calibri" w:hAnsi="Verdana" w:cs="Arial"/>
          <w:b/>
          <w:bCs/>
          <w:sz w:val="20"/>
          <w:szCs w:val="20"/>
          <w:lang w:val="es-MX" w:eastAsia="es-ES_tradnl"/>
        </w:rPr>
      </w:pPr>
    </w:p>
    <w:p w14:paraId="253FE5EA" w14:textId="77777777" w:rsidR="001F218E" w:rsidRPr="00380FFB" w:rsidRDefault="001F218E" w:rsidP="0044798F">
      <w:pPr>
        <w:spacing w:after="0" w:line="240" w:lineRule="auto"/>
        <w:jc w:val="both"/>
        <w:rPr>
          <w:rFonts w:ascii="Verdana" w:eastAsia="Calibri" w:hAnsi="Verdana" w:cs="Arial"/>
          <w:b/>
          <w:bCs/>
          <w:lang w:val="es-ES" w:eastAsia="es-ES"/>
        </w:rPr>
      </w:pPr>
      <w:r w:rsidRPr="00380FFB">
        <w:rPr>
          <w:rFonts w:ascii="Verdana" w:eastAsia="Calibri" w:hAnsi="Verdana" w:cs="Arial"/>
          <w:b/>
          <w:bCs/>
          <w:lang w:val="es-MX" w:eastAsia="es-ES_tradnl"/>
        </w:rPr>
        <w:t>ELECCIONES ATÍPICAS</w:t>
      </w:r>
      <w:r w:rsidRPr="00380FFB">
        <w:rPr>
          <w:rFonts w:ascii="Verdana" w:eastAsia="Calibri" w:hAnsi="Verdana" w:cs="Arial"/>
          <w:b/>
          <w:bCs/>
          <w:lang w:val="es-ES" w:eastAsia="es-ES"/>
        </w:rPr>
        <w:t xml:space="preserve"> – Aplicación ley de garantías</w:t>
      </w:r>
    </w:p>
    <w:p w14:paraId="1F6417BA" w14:textId="77777777" w:rsidR="001F218E" w:rsidRDefault="001F218E" w:rsidP="0044798F">
      <w:pPr>
        <w:spacing w:after="0" w:line="240" w:lineRule="auto"/>
        <w:rPr>
          <w:rFonts w:ascii="Verdana" w:eastAsia="Geomanist Light" w:hAnsi="Verdana" w:cs="Arial"/>
          <w:color w:val="000000" w:themeColor="text1"/>
        </w:rPr>
      </w:pPr>
    </w:p>
    <w:p w14:paraId="5DEF0C9E" w14:textId="77777777" w:rsidR="001F218E" w:rsidRPr="00A14964" w:rsidRDefault="001F218E" w:rsidP="0044798F">
      <w:pPr>
        <w:spacing w:after="0" w:line="240" w:lineRule="auto"/>
        <w:jc w:val="both"/>
        <w:rPr>
          <w:rFonts w:ascii="Verdana" w:eastAsia="Geomanist Light" w:hAnsi="Verdana" w:cs="Arial"/>
          <w:color w:val="000000" w:themeColor="text1"/>
          <w:sz w:val="20"/>
          <w:szCs w:val="20"/>
        </w:rPr>
      </w:pPr>
      <w:r>
        <w:rPr>
          <w:rFonts w:ascii="Verdana" w:eastAsia="Calibri" w:hAnsi="Verdana" w:cs="Arial"/>
          <w:sz w:val="20"/>
          <w:szCs w:val="20"/>
          <w:lang w:eastAsia="es-ES" w:bidi="es-ES"/>
        </w:rPr>
        <w:t>P</w:t>
      </w:r>
      <w:r w:rsidRPr="00A14964">
        <w:rPr>
          <w:rFonts w:ascii="Verdana" w:eastAsia="Calibri" w:hAnsi="Verdana" w:cs="Arial"/>
          <w:sz w:val="20"/>
          <w:szCs w:val="20"/>
          <w:lang w:eastAsia="es-ES" w:bidi="es-ES"/>
        </w:rPr>
        <w:t xml:space="preserve">ara las elecciones atípicas de alcaldía resulta aplicable las restricciones señaladas en el parágrafo del artículo 38 de la Ley 996 de 2005, lo que significa que, en materia de </w:t>
      </w:r>
      <w:r w:rsidRPr="00A14964">
        <w:rPr>
          <w:rFonts w:ascii="Verdana" w:eastAsia="Calibri" w:hAnsi="Verdana" w:cs="Arial"/>
          <w:sz w:val="20"/>
          <w:szCs w:val="20"/>
          <w:lang w:eastAsia="es-ES" w:bidi="es-ES"/>
        </w:rPr>
        <w:lastRenderedPageBreak/>
        <w:t>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w:t>
      </w:r>
    </w:p>
    <w:p w14:paraId="36C3DF44" w14:textId="476B6320" w:rsidR="001F218E" w:rsidRDefault="001F218E" w:rsidP="0044798F">
      <w:pPr>
        <w:spacing w:after="0" w:line="240" w:lineRule="auto"/>
        <w:jc w:val="both"/>
        <w:rPr>
          <w:rFonts w:ascii="Verdana" w:eastAsia="Geomanist Light" w:hAnsi="Verdana" w:cs="Arial"/>
          <w:color w:val="000000" w:themeColor="text1"/>
          <w:sz w:val="20"/>
          <w:szCs w:val="20"/>
        </w:rPr>
      </w:pPr>
    </w:p>
    <w:p w14:paraId="09B33BEC" w14:textId="1765DBD2" w:rsidR="004D1E55" w:rsidRDefault="004D1E55">
      <w:pPr>
        <w:rPr>
          <w:rFonts w:ascii="Verdana" w:hAnsi="Verdana"/>
        </w:rPr>
      </w:pPr>
      <w:r>
        <w:rPr>
          <w:rFonts w:ascii="Verdana" w:hAnsi="Verdana"/>
        </w:rPr>
        <w:br w:type="page"/>
      </w:r>
    </w:p>
    <w:p w14:paraId="39AEC7F4" w14:textId="77777777" w:rsidR="0044798F" w:rsidRDefault="0044798F" w:rsidP="00F00796">
      <w:pPr>
        <w:spacing w:after="0"/>
        <w:rPr>
          <w:rFonts w:ascii="Verdana" w:hAnsi="Verdana"/>
        </w:rPr>
      </w:pPr>
    </w:p>
    <w:p w14:paraId="543F9A9E" w14:textId="77777777" w:rsidR="0044798F" w:rsidRDefault="0044798F" w:rsidP="00F00796">
      <w:pPr>
        <w:spacing w:after="0"/>
        <w:rPr>
          <w:rFonts w:ascii="Verdana" w:hAnsi="Verdana"/>
        </w:rPr>
      </w:pPr>
    </w:p>
    <w:p w14:paraId="676E879E" w14:textId="5E1962C7" w:rsidR="00F00796" w:rsidRPr="00277150" w:rsidRDefault="00E2397D" w:rsidP="00F00796">
      <w:pPr>
        <w:spacing w:after="0"/>
        <w:rPr>
          <w:rFonts w:ascii="Verdana" w:hAnsi="Verdana"/>
        </w:rPr>
      </w:pPr>
      <w:r w:rsidRPr="00277150">
        <w:rPr>
          <w:rFonts w:ascii="Verdana" w:hAnsi="Verdana"/>
        </w:rPr>
        <w:t xml:space="preserve">Bogotá D.C., </w:t>
      </w:r>
      <w:r w:rsidR="00CD1796">
        <w:rPr>
          <w:rFonts w:ascii="Verdana" w:hAnsi="Verdana"/>
        </w:rPr>
        <w:t>26 de junio de 2025</w:t>
      </w:r>
    </w:p>
    <w:p w14:paraId="16559F47" w14:textId="0139AC1E" w:rsidR="00F00796" w:rsidRPr="00277150" w:rsidRDefault="00F00796" w:rsidP="00F00796">
      <w:pPr>
        <w:spacing w:after="0"/>
        <w:rPr>
          <w:rFonts w:ascii="Verdana" w:hAnsi="Verdana"/>
        </w:rPr>
      </w:pPr>
    </w:p>
    <w:p w14:paraId="302F8E2A" w14:textId="0DE4B0CD" w:rsidR="00BD4BCA" w:rsidRPr="00277150" w:rsidRDefault="00BD4BCA" w:rsidP="00F00796">
      <w:pPr>
        <w:spacing w:after="0"/>
        <w:rPr>
          <w:rFonts w:ascii="Verdana" w:hAnsi="Verdana"/>
        </w:rPr>
      </w:pPr>
    </w:p>
    <w:p w14:paraId="4C5A60BE" w14:textId="3B310176" w:rsidR="00F00796" w:rsidRPr="00277150" w:rsidRDefault="00F00796" w:rsidP="00F00796">
      <w:pPr>
        <w:spacing w:after="0" w:line="240" w:lineRule="auto"/>
        <w:rPr>
          <w:rFonts w:ascii="Verdana" w:eastAsia="Calibri" w:hAnsi="Verdana" w:cs="Times New Roman"/>
          <w:lang w:val="es-MX"/>
        </w:rPr>
      </w:pPr>
      <w:bookmarkStart w:id="1" w:name="_Hlk201674464"/>
      <w:r w:rsidRPr="00277150">
        <w:rPr>
          <w:rFonts w:ascii="Verdana" w:eastAsia="Calibri" w:hAnsi="Verdana" w:cs="Times New Roman"/>
          <w:lang w:val="es-MX"/>
        </w:rPr>
        <w:t>Señor</w:t>
      </w:r>
    </w:p>
    <w:p w14:paraId="3C58F162" w14:textId="5B1C05A4" w:rsidR="004D1E55" w:rsidRDefault="004D1E55" w:rsidP="00F00796">
      <w:pPr>
        <w:spacing w:after="0" w:line="240" w:lineRule="auto"/>
        <w:rPr>
          <w:rFonts w:ascii="Verdana" w:eastAsia="Calibri" w:hAnsi="Verdana" w:cs="Times New Roman"/>
          <w:b/>
        </w:rPr>
      </w:pPr>
      <w:r w:rsidRPr="004D1E55">
        <w:rPr>
          <w:rFonts w:ascii="Verdana" w:eastAsia="Calibri" w:hAnsi="Verdana" w:cs="Times New Roman"/>
          <w:b/>
        </w:rPr>
        <w:t>Carlos Mauricio Tascón Ospina</w:t>
      </w:r>
    </w:p>
    <w:p w14:paraId="2217CB48" w14:textId="0D95A240" w:rsidR="00F00796" w:rsidRDefault="004D1E55" w:rsidP="00F00796">
      <w:pPr>
        <w:spacing w:after="0" w:line="256" w:lineRule="auto"/>
        <w:rPr>
          <w:rFonts w:ascii="Verdana" w:eastAsia="Calibri" w:hAnsi="Verdana" w:cs="Times New Roman"/>
          <w:u w:val="single"/>
        </w:rPr>
      </w:pPr>
      <w:hyperlink r:id="rId11" w:history="1">
        <w:r w:rsidRPr="0010092A">
          <w:rPr>
            <w:rStyle w:val="Hipervnculo"/>
            <w:rFonts w:ascii="Verdana" w:eastAsia="Calibri" w:hAnsi="Verdana" w:cs="Times New Roman"/>
          </w:rPr>
          <w:t>juridico@bugalagrande-valle.gov.co</w:t>
        </w:r>
      </w:hyperlink>
    </w:p>
    <w:p w14:paraId="130831A1" w14:textId="51D7AC5C" w:rsidR="004D1E55" w:rsidRPr="00963AD4" w:rsidRDefault="00963AD4" w:rsidP="00F00796">
      <w:pPr>
        <w:spacing w:after="0" w:line="256" w:lineRule="auto"/>
        <w:rPr>
          <w:rFonts w:ascii="Verdana" w:eastAsia="Calibri" w:hAnsi="Verdana" w:cs="Times New Roman"/>
        </w:rPr>
      </w:pPr>
      <w:r w:rsidRPr="00963AD4">
        <w:rPr>
          <w:rFonts w:ascii="Verdana" w:eastAsia="Calibri" w:hAnsi="Verdana" w:cs="Times New Roman"/>
        </w:rPr>
        <w:t>Bugalagrande, Valle del Cauca</w:t>
      </w:r>
    </w:p>
    <w:p w14:paraId="05DE5F67" w14:textId="77777777" w:rsidR="00F00796" w:rsidRDefault="00F00796" w:rsidP="00F00796">
      <w:pPr>
        <w:spacing w:after="0" w:line="256" w:lineRule="auto"/>
        <w:rPr>
          <w:rFonts w:ascii="Verdana" w:eastAsia="Calibri" w:hAnsi="Verdana" w:cs="Times New Roman"/>
        </w:rPr>
      </w:pPr>
    </w:p>
    <w:p w14:paraId="6AAE5DFB" w14:textId="77777777" w:rsidR="009D5983" w:rsidRDefault="009D5983" w:rsidP="00F00796">
      <w:pPr>
        <w:spacing w:after="0" w:line="256" w:lineRule="auto"/>
        <w:rPr>
          <w:rFonts w:ascii="Verdana" w:eastAsia="Calibri" w:hAnsi="Verdana" w:cs="Times New Roman"/>
        </w:rPr>
      </w:pPr>
    </w:p>
    <w:p w14:paraId="56C50393" w14:textId="41AC7E0D" w:rsidR="009D5983" w:rsidRPr="00A12CB6" w:rsidRDefault="009D5983" w:rsidP="009D5983">
      <w:pPr>
        <w:spacing w:after="0" w:line="256" w:lineRule="auto"/>
        <w:jc w:val="right"/>
        <w:rPr>
          <w:rFonts w:ascii="Verdana" w:eastAsia="Calibri" w:hAnsi="Verdana" w:cs="Times New Roman"/>
        </w:rPr>
      </w:pPr>
      <w:r w:rsidRPr="009D5983">
        <w:rPr>
          <w:rFonts w:ascii="Verdana" w:eastAsia="Calibri" w:hAnsi="Verdana" w:cs="Times New Roman"/>
          <w:noProof/>
        </w:rPr>
        <w:drawing>
          <wp:inline distT="0" distB="0" distL="0" distR="0" wp14:anchorId="116C854D" wp14:editId="0B42A6E1">
            <wp:extent cx="2743438" cy="701101"/>
            <wp:effectExtent l="0" t="0" r="0" b="3810"/>
            <wp:docPr id="172819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1948" name=""/>
                    <pic:cNvPicPr/>
                  </pic:nvPicPr>
                  <pic:blipFill>
                    <a:blip r:embed="rId12"/>
                    <a:stretch>
                      <a:fillRect/>
                    </a:stretch>
                  </pic:blipFill>
                  <pic:spPr>
                    <a:xfrm>
                      <a:off x="0" y="0"/>
                      <a:ext cx="2743438" cy="701101"/>
                    </a:xfrm>
                    <a:prstGeom prst="rect">
                      <a:avLst/>
                    </a:prstGeom>
                  </pic:spPr>
                </pic:pic>
              </a:graphicData>
            </a:graphic>
          </wp:inline>
        </w:drawing>
      </w:r>
    </w:p>
    <w:p w14:paraId="3EFEA884" w14:textId="066AA786" w:rsidR="00F00796" w:rsidRPr="00A12CB6" w:rsidRDefault="00F00796" w:rsidP="00F00796">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sidR="00E2397D">
        <w:rPr>
          <w:rFonts w:ascii="Verdana" w:eastAsia="Calibri" w:hAnsi="Verdana" w:cs="Times New Roman"/>
          <w:b/>
          <w:bCs/>
          <w:lang w:val="es-ES"/>
        </w:rPr>
        <w:t xml:space="preserve">                  Concepto C–</w:t>
      </w:r>
      <w:r w:rsidR="004D1E55">
        <w:rPr>
          <w:rFonts w:ascii="Verdana" w:eastAsia="Calibri" w:hAnsi="Verdana" w:cs="Times New Roman"/>
          <w:b/>
          <w:bCs/>
          <w:lang w:val="es-ES"/>
        </w:rPr>
        <w:t>616</w:t>
      </w:r>
      <w:r w:rsidR="00E2397D">
        <w:rPr>
          <w:rFonts w:ascii="Verdana" w:eastAsia="Calibri" w:hAnsi="Verdana" w:cs="Times New Roman"/>
          <w:b/>
          <w:bCs/>
          <w:lang w:val="es-ES"/>
        </w:rPr>
        <w:t xml:space="preserve"> </w:t>
      </w:r>
      <w:r w:rsidRPr="00A12CB6">
        <w:rPr>
          <w:rFonts w:ascii="Verdana" w:eastAsia="Calibri" w:hAnsi="Verdana" w:cs="Times New Roman"/>
          <w:b/>
          <w:bCs/>
          <w:lang w:val="es-ES"/>
        </w:rPr>
        <w:t>de 2025</w:t>
      </w:r>
    </w:p>
    <w:p w14:paraId="4A93AF56" w14:textId="77777777" w:rsidR="00F00796" w:rsidRPr="00A12CB6" w:rsidRDefault="00F00796" w:rsidP="00F00796">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00796" w:rsidRPr="00A12CB6" w14:paraId="7D90DBE1" w14:textId="77777777" w:rsidTr="00505795">
        <w:trPr>
          <w:trHeight w:val="645"/>
        </w:trPr>
        <w:tc>
          <w:tcPr>
            <w:tcW w:w="2685" w:type="dxa"/>
            <w:hideMark/>
          </w:tcPr>
          <w:p w14:paraId="1EBA58DA" w14:textId="77777777" w:rsidR="00F00796" w:rsidRPr="00A12CB6" w:rsidRDefault="00F00796" w:rsidP="00505795">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6DEF582B" w14:textId="5ADDBD53" w:rsidR="00F00796" w:rsidRPr="00AA1328" w:rsidRDefault="00605537" w:rsidP="00B80CC6">
            <w:pPr>
              <w:spacing w:line="276" w:lineRule="auto"/>
              <w:jc w:val="both"/>
              <w:rPr>
                <w:rFonts w:ascii="Verdana" w:hAnsi="Verdana" w:cs="Arial"/>
                <w:lang w:val="es-ES" w:eastAsia="es-ES"/>
              </w:rPr>
            </w:pPr>
            <w:r w:rsidRPr="00605537">
              <w:rPr>
                <w:rFonts w:ascii="Verdana" w:hAnsi="Verdana" w:cs="Arial"/>
                <w:lang w:eastAsia="es-ES_tradnl"/>
              </w:rPr>
              <w:t>LEY DE GARANTÍAS ELECTORALES ‒ Finalidad / LEY DE GARANTÍAS ELECTORALES ‒ Tipos de restricciones ‒ Ámbito temporal – celebración- límite / LEY DE GARANTÍAS ELECTORALES – Contratos y convenios interadministrativos – Criterio orgánico / CONTRATOS Y CONVENIOS INTERADMINISTRATIVOS – Definición – Criterio orgánico / CONTRATOS Y CONVENIOS INTERADMINISTRATIVOS – Definición – Criterio orgánico / LEY DE GARANTÍAS ELECTORALES – Prohibición artículo 33 – Contratación directa – Alcance / LEY DE GARANTÍAS ELECTORALES – Excepciones / LEY DE GARANTÍAS ELECTORALES – Prohibición del artículo 33 – Destinatarios</w:t>
            </w:r>
          </w:p>
        </w:tc>
        <w:tc>
          <w:tcPr>
            <w:tcW w:w="6237" w:type="dxa"/>
          </w:tcPr>
          <w:p w14:paraId="12165393" w14:textId="77777777" w:rsidR="00F00796" w:rsidRPr="00A12CB6" w:rsidRDefault="00F00796" w:rsidP="00505795">
            <w:pPr>
              <w:spacing w:line="256" w:lineRule="auto"/>
              <w:rPr>
                <w:rFonts w:ascii="Verdana" w:hAnsi="Verdana"/>
              </w:rPr>
            </w:pPr>
          </w:p>
        </w:tc>
      </w:tr>
      <w:tr w:rsidR="00F00796" w:rsidRPr="00A12CB6" w14:paraId="48C15E19" w14:textId="77777777" w:rsidTr="00505795">
        <w:tc>
          <w:tcPr>
            <w:tcW w:w="2685" w:type="dxa"/>
          </w:tcPr>
          <w:p w14:paraId="395050C2" w14:textId="77777777" w:rsidR="00F00796" w:rsidRDefault="00F00796" w:rsidP="00505795">
            <w:pPr>
              <w:spacing w:line="256" w:lineRule="auto"/>
              <w:rPr>
                <w:rFonts w:ascii="Verdana" w:hAnsi="Verdana"/>
                <w:lang w:val="es-ES_tradnl"/>
              </w:rPr>
            </w:pPr>
          </w:p>
          <w:p w14:paraId="5936EC6E" w14:textId="77777777" w:rsidR="00F00796" w:rsidRPr="00A12CB6" w:rsidRDefault="00F00796" w:rsidP="00505795">
            <w:pPr>
              <w:spacing w:line="256" w:lineRule="auto"/>
              <w:rPr>
                <w:rFonts w:ascii="Verdana" w:hAnsi="Verdana"/>
                <w:lang w:val="es-ES_tradnl"/>
              </w:rPr>
            </w:pPr>
          </w:p>
          <w:p w14:paraId="2B191C84" w14:textId="77777777" w:rsidR="00F00796" w:rsidRPr="00A12CB6" w:rsidRDefault="00F00796" w:rsidP="00505795">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7D67C4A6" w14:textId="77777777" w:rsidR="00F00796" w:rsidRDefault="00F00796" w:rsidP="00505795">
            <w:pPr>
              <w:spacing w:line="257" w:lineRule="auto"/>
              <w:rPr>
                <w:rFonts w:ascii="Verdana" w:hAnsi="Verdana"/>
                <w:lang w:val="es-ES_tradnl"/>
              </w:rPr>
            </w:pPr>
          </w:p>
          <w:p w14:paraId="10F00633" w14:textId="77777777" w:rsidR="00F00796" w:rsidRPr="00A12CB6" w:rsidRDefault="00F00796" w:rsidP="00505795">
            <w:pPr>
              <w:spacing w:line="257" w:lineRule="auto"/>
              <w:rPr>
                <w:rFonts w:ascii="Verdana" w:hAnsi="Verdana"/>
                <w:lang w:val="es-ES_tradnl"/>
              </w:rPr>
            </w:pPr>
          </w:p>
          <w:p w14:paraId="632A8999" w14:textId="6B898674" w:rsidR="00F00796" w:rsidRPr="00630891" w:rsidRDefault="00F00796" w:rsidP="00505795">
            <w:pPr>
              <w:spacing w:line="257" w:lineRule="auto"/>
              <w:jc w:val="both"/>
              <w:rPr>
                <w:rFonts w:ascii="Verdana" w:hAnsi="Verdana"/>
              </w:rPr>
            </w:pPr>
            <w:r w:rsidRPr="00A12CB6">
              <w:rPr>
                <w:rFonts w:ascii="Verdana" w:hAnsi="Verdana"/>
                <w:lang w:val="es-ES_tradnl"/>
              </w:rPr>
              <w:t xml:space="preserve">Respuesta a consulta con radicado No. </w:t>
            </w:r>
            <w:r w:rsidR="004D1E55" w:rsidRPr="004D1E55">
              <w:rPr>
                <w:rFonts w:ascii="Verdana" w:hAnsi="Verdana"/>
              </w:rPr>
              <w:t>P20250519004790</w:t>
            </w:r>
            <w:r w:rsidR="004D1E55">
              <w:rPr>
                <w:rFonts w:ascii="Verdana" w:hAnsi="Verdana"/>
              </w:rPr>
              <w:t>.</w:t>
            </w:r>
          </w:p>
          <w:p w14:paraId="71ED9FD3" w14:textId="77777777" w:rsidR="00F00796" w:rsidRPr="00630891" w:rsidRDefault="00F00796" w:rsidP="00505795">
            <w:pPr>
              <w:spacing w:line="257" w:lineRule="auto"/>
              <w:jc w:val="both"/>
              <w:rPr>
                <w:rFonts w:ascii="Verdana" w:hAnsi="Verdana"/>
              </w:rPr>
            </w:pPr>
          </w:p>
          <w:p w14:paraId="44195B69" w14:textId="77777777" w:rsidR="00F00796" w:rsidRPr="00A12CB6" w:rsidRDefault="00F00796" w:rsidP="00505795">
            <w:pPr>
              <w:spacing w:line="257" w:lineRule="auto"/>
              <w:jc w:val="both"/>
              <w:rPr>
                <w:rFonts w:ascii="Verdana" w:hAnsi="Verdana"/>
              </w:rPr>
            </w:pPr>
          </w:p>
        </w:tc>
        <w:tc>
          <w:tcPr>
            <w:tcW w:w="6237" w:type="dxa"/>
          </w:tcPr>
          <w:p w14:paraId="1BD4AB6E" w14:textId="77777777" w:rsidR="00F00796" w:rsidRPr="00A12CB6" w:rsidRDefault="00F00796" w:rsidP="00505795">
            <w:pPr>
              <w:spacing w:line="256" w:lineRule="auto"/>
              <w:rPr>
                <w:rFonts w:ascii="Verdana" w:hAnsi="Verdana"/>
                <w:lang w:val="es-ES_tradnl"/>
              </w:rPr>
            </w:pPr>
          </w:p>
        </w:tc>
      </w:tr>
    </w:tbl>
    <w:p w14:paraId="3D43B555" w14:textId="78CB2998" w:rsidR="00F00796" w:rsidRPr="00A12CB6" w:rsidRDefault="00E2397D" w:rsidP="00F00796">
      <w:pPr>
        <w:spacing w:after="0" w:line="256" w:lineRule="auto"/>
        <w:rPr>
          <w:rFonts w:ascii="Verdana" w:eastAsia="Calibri" w:hAnsi="Verdana" w:cs="Times New Roman"/>
          <w:lang w:val="es-ES"/>
        </w:rPr>
      </w:pPr>
      <w:r>
        <w:rPr>
          <w:rFonts w:ascii="Verdana" w:eastAsia="Calibri" w:hAnsi="Verdana" w:cs="Times New Roman"/>
          <w:lang w:val="es-ES"/>
        </w:rPr>
        <w:t>Estimad</w:t>
      </w:r>
      <w:r w:rsidR="004D1E55">
        <w:rPr>
          <w:rFonts w:ascii="Verdana" w:eastAsia="Calibri" w:hAnsi="Verdana" w:cs="Times New Roman"/>
          <w:lang w:val="es-ES"/>
        </w:rPr>
        <w:t>o señor Tascón</w:t>
      </w:r>
      <w:r w:rsidR="00F00796" w:rsidRPr="003469FD">
        <w:rPr>
          <w:rFonts w:ascii="Verdana" w:eastAsia="Calibri" w:hAnsi="Verdana" w:cs="Times New Roman"/>
          <w:lang w:val="es-ES"/>
        </w:rPr>
        <w:t>:</w:t>
      </w:r>
      <w:r w:rsidR="00F00796" w:rsidRPr="00A12CB6">
        <w:rPr>
          <w:rFonts w:ascii="Verdana" w:eastAsia="Calibri" w:hAnsi="Verdana" w:cs="Times New Roman"/>
          <w:lang w:val="es-ES"/>
        </w:rPr>
        <w:t xml:space="preserve"> </w:t>
      </w:r>
    </w:p>
    <w:p w14:paraId="699045F5" w14:textId="77777777" w:rsidR="00F00796" w:rsidRPr="00A12CB6" w:rsidRDefault="00F00796" w:rsidP="00F00796">
      <w:pPr>
        <w:spacing w:after="0" w:line="256" w:lineRule="auto"/>
        <w:rPr>
          <w:rFonts w:ascii="Verdana" w:eastAsia="Calibri" w:hAnsi="Verdana" w:cs="Times New Roman"/>
          <w:lang w:val="es-ES"/>
        </w:rPr>
      </w:pPr>
    </w:p>
    <w:p w14:paraId="5ED8BE2A" w14:textId="124B1DC7" w:rsidR="00F00796" w:rsidRDefault="00F00796" w:rsidP="00F00796">
      <w:pPr>
        <w:spacing w:after="0" w:line="276" w:lineRule="auto"/>
        <w:jc w:val="both"/>
        <w:rPr>
          <w:rFonts w:ascii="Verdana" w:eastAsia="Calibri" w:hAnsi="Verdana" w:cs="Times New Roman"/>
        </w:rPr>
      </w:pPr>
      <w:r w:rsidRPr="00A12061">
        <w:rPr>
          <w:rFonts w:ascii="Verdana" w:eastAsia="Calibri" w:hAnsi="Verdana" w:cs="Times New Roman"/>
          <w:lang w:val="es-ES"/>
        </w:rPr>
        <w:t xml:space="preserve">En ejercicio de la competencia otorgada por los artículos 3, numeral 5º, y 11, numeral 8º, del Decreto Ley 4170 de 2011, la Agencia Nacional de Contratación </w:t>
      </w:r>
      <w:r w:rsidRPr="00A12061">
        <w:rPr>
          <w:rFonts w:ascii="Verdana" w:eastAsia="Calibri" w:hAnsi="Verdana" w:cs="Times New Roman"/>
          <w:lang w:val="es-ES"/>
        </w:rPr>
        <w:lastRenderedPageBreak/>
        <w:t>Pública – Colombia Compra Eficiente– responde la solicit</w:t>
      </w:r>
      <w:r w:rsidR="00E2397D">
        <w:rPr>
          <w:rFonts w:ascii="Verdana" w:eastAsia="Calibri" w:hAnsi="Verdana" w:cs="Times New Roman"/>
          <w:lang w:val="es-ES"/>
        </w:rPr>
        <w:t xml:space="preserve">ud de consulta presentada el </w:t>
      </w:r>
      <w:r w:rsidR="004D1E55">
        <w:rPr>
          <w:rFonts w:ascii="Verdana" w:eastAsia="Calibri" w:hAnsi="Verdana" w:cs="Times New Roman"/>
          <w:lang w:val="es-ES"/>
        </w:rPr>
        <w:t>1</w:t>
      </w:r>
      <w:r w:rsidR="00963AD4">
        <w:rPr>
          <w:rFonts w:ascii="Verdana" w:eastAsia="Calibri" w:hAnsi="Verdana" w:cs="Times New Roman"/>
          <w:lang w:val="es-ES"/>
        </w:rPr>
        <w:t>9</w:t>
      </w:r>
      <w:r>
        <w:rPr>
          <w:rFonts w:ascii="Verdana" w:eastAsia="Calibri" w:hAnsi="Verdana" w:cs="Times New Roman"/>
          <w:lang w:val="es-ES"/>
        </w:rPr>
        <w:t xml:space="preserve"> de </w:t>
      </w:r>
      <w:r w:rsidR="004D1E55">
        <w:rPr>
          <w:rFonts w:ascii="Verdana" w:eastAsia="Calibri" w:hAnsi="Verdana" w:cs="Times New Roman"/>
          <w:lang w:val="es-ES"/>
        </w:rPr>
        <w:t>mayo</w:t>
      </w:r>
      <w:r>
        <w:rPr>
          <w:rFonts w:ascii="Verdana" w:eastAsia="Calibri" w:hAnsi="Verdana" w:cs="Times New Roman"/>
          <w:lang w:val="es-ES"/>
        </w:rPr>
        <w:t xml:space="preserve"> de 2025</w:t>
      </w:r>
      <w:r w:rsidRPr="00A12061">
        <w:rPr>
          <w:rFonts w:ascii="Verdana" w:eastAsia="Calibri" w:hAnsi="Verdana" w:cs="Times New Roman"/>
          <w:lang w:val="es-ES"/>
        </w:rPr>
        <w:t>, en la cual manifiesta lo siguiente:</w:t>
      </w:r>
      <w:r w:rsidRPr="000D6D0E">
        <w:rPr>
          <w:rFonts w:ascii="Verdana" w:eastAsia="Calibri" w:hAnsi="Verdana" w:cs="Times New Roman"/>
        </w:rPr>
        <w:t xml:space="preserve"> </w:t>
      </w:r>
    </w:p>
    <w:p w14:paraId="138A766F" w14:textId="5B0C5C0D" w:rsidR="00E2397D" w:rsidRPr="00E2397D" w:rsidRDefault="00E2397D" w:rsidP="00E2397D">
      <w:pPr>
        <w:spacing w:after="0" w:line="240" w:lineRule="auto"/>
        <w:ind w:right="709"/>
        <w:jc w:val="both"/>
        <w:rPr>
          <w:rFonts w:ascii="Verdana" w:eastAsia="Calibri" w:hAnsi="Verdana" w:cs="Times New Roman"/>
          <w:i/>
          <w:iCs/>
          <w:sz w:val="20"/>
        </w:rPr>
      </w:pPr>
    </w:p>
    <w:p w14:paraId="6A8C7FBF" w14:textId="74A6F66B" w:rsidR="00F00796" w:rsidRDefault="004D1E55" w:rsidP="004D1E55">
      <w:pPr>
        <w:spacing w:after="0" w:line="240" w:lineRule="auto"/>
        <w:ind w:left="709" w:right="709"/>
        <w:jc w:val="both"/>
        <w:rPr>
          <w:rFonts w:ascii="Verdana" w:eastAsia="Calibri" w:hAnsi="Verdana" w:cs="Times New Roman"/>
          <w:i/>
          <w:iCs/>
          <w:sz w:val="20"/>
        </w:rPr>
      </w:pPr>
      <w:r>
        <w:rPr>
          <w:rFonts w:ascii="Verdana" w:eastAsia="Calibri" w:hAnsi="Verdana" w:cs="Times New Roman"/>
          <w:i/>
          <w:iCs/>
          <w:sz w:val="20"/>
        </w:rPr>
        <w:t>“</w:t>
      </w:r>
      <w:r w:rsidRPr="004D1E55">
        <w:rPr>
          <w:rFonts w:ascii="Verdana" w:eastAsia="Calibri" w:hAnsi="Verdana" w:cs="Times New Roman"/>
          <w:i/>
          <w:iCs/>
          <w:sz w:val="20"/>
        </w:rPr>
        <w:t>Por medio de la presente me permito formular consulta en los siguientes términos: 1. La ley 996 de 2005, por medio de la cual se reglamenta la elección de presidente de la República, de conformidad con el artículo 152 literal f) de la Constitución Política de Colombia, y de acuerdo con lo establecido en el Acto Legislativo 02 de 2004, y se dictan otras disposiciones, determina:</w:t>
      </w:r>
    </w:p>
    <w:p w14:paraId="7125ED82" w14:textId="77777777" w:rsidR="004D1E55" w:rsidRDefault="004D1E55" w:rsidP="004D1E55">
      <w:pPr>
        <w:spacing w:after="0" w:line="240" w:lineRule="auto"/>
        <w:ind w:left="709" w:right="709"/>
        <w:jc w:val="both"/>
        <w:rPr>
          <w:rFonts w:ascii="Verdana" w:eastAsia="Calibri" w:hAnsi="Verdana" w:cs="Times New Roman"/>
          <w:i/>
          <w:iCs/>
          <w:sz w:val="20"/>
        </w:rPr>
      </w:pPr>
    </w:p>
    <w:p w14:paraId="6DAD8297" w14:textId="6815C737" w:rsidR="004D1E55" w:rsidRDefault="004D1E55" w:rsidP="004D1E55">
      <w:pPr>
        <w:spacing w:after="0" w:line="240" w:lineRule="auto"/>
        <w:ind w:left="709" w:right="709"/>
        <w:jc w:val="both"/>
        <w:rPr>
          <w:rFonts w:ascii="Verdana" w:eastAsia="Calibri" w:hAnsi="Verdana" w:cs="Times New Roman"/>
          <w:i/>
          <w:iCs/>
          <w:sz w:val="20"/>
        </w:rPr>
      </w:pPr>
      <w:r>
        <w:rPr>
          <w:rFonts w:ascii="Verdana" w:eastAsia="Calibri" w:hAnsi="Verdana" w:cs="Times New Roman"/>
          <w:i/>
          <w:iCs/>
          <w:sz w:val="20"/>
        </w:rPr>
        <w:t xml:space="preserve">[…] </w:t>
      </w:r>
    </w:p>
    <w:p w14:paraId="5D06D8A3" w14:textId="77777777" w:rsidR="004D1E55" w:rsidRDefault="004D1E55" w:rsidP="004D1E55">
      <w:pPr>
        <w:spacing w:after="0" w:line="240" w:lineRule="auto"/>
        <w:ind w:left="709" w:right="709"/>
        <w:jc w:val="both"/>
        <w:rPr>
          <w:rFonts w:ascii="Verdana" w:eastAsia="Calibri" w:hAnsi="Verdana" w:cs="Times New Roman"/>
          <w:i/>
          <w:iCs/>
          <w:sz w:val="20"/>
        </w:rPr>
      </w:pPr>
    </w:p>
    <w:p w14:paraId="09C63CF6" w14:textId="77777777"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Según esta norma y el calendario electoral las elecciones de congreso son el 8 de marzo de 2026, esta restricción inicia el 8 de noviembre de 2025. 2. El Municipio en el periodo enero a mayo de 2026 deben celebrar los siguientes contratos:</w:t>
      </w:r>
    </w:p>
    <w:p w14:paraId="1AC15C5F" w14:textId="67BAF141"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 xml:space="preserve"> a) Contrato para la ejecución del PLAN DE INTERVENCIONES COLECTIVAS (PIC) DEL MUNICIPIO DE BUGALAGRANDE-VALLE con el HOSPITAL SAN BERNABE ESE DE BUGALAGRANDE.</w:t>
      </w:r>
    </w:p>
    <w:p w14:paraId="026B4176" w14:textId="77777777"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 xml:space="preserve">b) Contrato para TRANSFERENCIA DE LOS DE RECURSOS ECONÓMICOS DEL ORDEN MUNICIPAL A TRAVÉS DEL FONDO DE SOLIDARIDAD Y REDISTRIBUCIÓN DE INGRESOS-FSRI, TENDIENTES AL OTORGAMIENTO DE SUBSIDIOS A LA DEMANDA DEL SERVICIO PÚBLICO DOMICILIARIO DE ASEO, ACUEDUCTO Y ALCANATRILLADO PARA USUARIOS DE LOS ESTRATOS 1, 2 Y 3 DEL MUNICIPIO DE BUGALAGRANDE PARA LA VIGENCIA 2026, con los prestadores del SERVICIO PÚBLICO DOMICILIARIO DE ASEO, ACUEDUCTO Y ALCANATRILLADO en el Municipio. </w:t>
      </w:r>
    </w:p>
    <w:p w14:paraId="3B8D54E7" w14:textId="5EB93676"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 xml:space="preserve">c) Contrato para TRANSFERIR LA SOBRETASA BOMBERIL AL CUERPO DE BOMBEROS VOLUNTARIOS DEL MUNICIPIO DE BUGALAGRANDE PARA LA VIGENCIA 2026. </w:t>
      </w:r>
    </w:p>
    <w:p w14:paraId="4CA84C2A" w14:textId="77777777" w:rsidR="004D1E55" w:rsidRDefault="004D1E55" w:rsidP="004D1E55">
      <w:pPr>
        <w:spacing w:after="0" w:line="240" w:lineRule="auto"/>
        <w:ind w:left="709" w:right="709"/>
        <w:jc w:val="both"/>
        <w:rPr>
          <w:rFonts w:ascii="Verdana" w:eastAsia="Calibri" w:hAnsi="Verdana" w:cs="Times New Roman"/>
          <w:i/>
          <w:iCs/>
          <w:sz w:val="20"/>
        </w:rPr>
      </w:pPr>
    </w:p>
    <w:p w14:paraId="3FFE2DA1" w14:textId="0C71A915"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Los contratos citados están exceptuados de la aplicación de la Ley de Garantías.</w:t>
      </w:r>
      <w:r>
        <w:rPr>
          <w:rFonts w:ascii="Verdana" w:eastAsia="Calibri" w:hAnsi="Verdana" w:cs="Times New Roman"/>
          <w:i/>
          <w:iCs/>
          <w:sz w:val="20"/>
        </w:rPr>
        <w:t xml:space="preserve">” [sic] </w:t>
      </w:r>
    </w:p>
    <w:p w14:paraId="6DCBCFBF" w14:textId="77777777" w:rsidR="004D1E55" w:rsidRDefault="004D1E55" w:rsidP="00F00796">
      <w:pPr>
        <w:spacing w:after="0" w:line="240" w:lineRule="auto"/>
        <w:ind w:right="709"/>
        <w:jc w:val="both"/>
        <w:rPr>
          <w:rFonts w:ascii="Verdana" w:eastAsia="Calibri" w:hAnsi="Verdana" w:cs="Times New Roman"/>
          <w:i/>
          <w:iCs/>
          <w:sz w:val="20"/>
        </w:rPr>
      </w:pPr>
    </w:p>
    <w:p w14:paraId="4292952D" w14:textId="77777777" w:rsidR="004D1E55" w:rsidRPr="0038606D" w:rsidRDefault="004D1E55" w:rsidP="00F00796">
      <w:pPr>
        <w:spacing w:after="0" w:line="240" w:lineRule="auto"/>
        <w:ind w:right="709"/>
        <w:jc w:val="both"/>
        <w:rPr>
          <w:rFonts w:ascii="Verdana" w:eastAsia="Calibri" w:hAnsi="Verdana" w:cs="Times New Roman"/>
          <w:i/>
          <w:iCs/>
          <w:sz w:val="20"/>
        </w:rPr>
      </w:pPr>
    </w:p>
    <w:p w14:paraId="2B0DB3E5" w14:textId="77777777" w:rsidR="00F00796" w:rsidRPr="00A12CB6" w:rsidRDefault="00F00796" w:rsidP="00F00796">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A12CB6">
        <w:rPr>
          <w:rFonts w:ascii="Verdana" w:eastAsia="Calibri" w:hAnsi="Verdana" w:cs="Times New Roman"/>
          <w:lang w:val="es-ES"/>
        </w:rPr>
        <w:lastRenderedPageBreak/>
        <w:t>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7BB29DD" w14:textId="54E0EF52" w:rsidR="00F00796" w:rsidRPr="00A12CB6" w:rsidRDefault="00F00796" w:rsidP="00F00796">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w:t>
      </w:r>
      <w:r w:rsidR="003A40E2">
        <w:rPr>
          <w:rFonts w:ascii="Verdana" w:eastAsia="Calibri" w:hAnsi="Verdana" w:cs="Times New Roman"/>
          <w:lang w:val="es-ES"/>
        </w:rPr>
        <w:t xml:space="preserve">los problemas jurídicos </w:t>
      </w:r>
      <w:r>
        <w:rPr>
          <w:rFonts w:ascii="Verdana" w:eastAsia="Calibri" w:hAnsi="Verdana" w:cs="Times New Roman"/>
          <w:lang w:val="es-ES"/>
        </w:rPr>
        <w:t xml:space="preserve">de su consulta. </w:t>
      </w:r>
    </w:p>
    <w:p w14:paraId="7241DCAC" w14:textId="77777777" w:rsidR="00F00796" w:rsidRPr="00A12CB6" w:rsidRDefault="00F00796" w:rsidP="00F00796">
      <w:pPr>
        <w:spacing w:after="0" w:line="256" w:lineRule="auto"/>
        <w:rPr>
          <w:rFonts w:ascii="Verdana" w:eastAsia="Calibri" w:hAnsi="Verdana" w:cs="Times New Roman"/>
          <w:lang w:val="es-ES"/>
        </w:rPr>
      </w:pPr>
    </w:p>
    <w:p w14:paraId="63BBA712" w14:textId="77777777" w:rsidR="00F00796" w:rsidRPr="00A12CB6" w:rsidRDefault="00F00796" w:rsidP="00F00796">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31054FA8" w14:textId="77777777" w:rsidR="00F00796" w:rsidRPr="00A12CB6" w:rsidRDefault="00F00796" w:rsidP="00F00796">
      <w:pPr>
        <w:spacing w:after="0" w:line="256" w:lineRule="auto"/>
        <w:rPr>
          <w:rFonts w:ascii="Verdana" w:eastAsia="Calibri" w:hAnsi="Verdana" w:cs="Times New Roman"/>
        </w:rPr>
      </w:pPr>
    </w:p>
    <w:p w14:paraId="47C08EC6" w14:textId="3D1F7FC6" w:rsidR="00277150" w:rsidRDefault="00F00796" w:rsidP="00D86C54">
      <w:pPr>
        <w:spacing w:after="0" w:line="276" w:lineRule="auto"/>
        <w:jc w:val="both"/>
        <w:rPr>
          <w:rFonts w:ascii="Verdana" w:eastAsia="Calibri" w:hAnsi="Verdana" w:cs="Times New Roman"/>
          <w:i/>
          <w:iCs/>
          <w:lang w:val="es-ES"/>
        </w:rPr>
      </w:pPr>
      <w:r w:rsidRPr="134495F9">
        <w:rPr>
          <w:rFonts w:ascii="Verdana" w:eastAsia="Calibri" w:hAnsi="Verdana" w:cs="Times New Roman"/>
        </w:rPr>
        <w:t xml:space="preserve">De acuerdo con el contenido de sus solicitudes, esta Agencia procede a resolver </w:t>
      </w:r>
      <w:r w:rsidR="004D1E55">
        <w:rPr>
          <w:rFonts w:ascii="Verdana" w:eastAsia="Calibri" w:hAnsi="Verdana" w:cs="Times New Roman"/>
        </w:rPr>
        <w:t>el siguiente problema jurídico</w:t>
      </w:r>
      <w:r w:rsidRPr="134495F9">
        <w:rPr>
          <w:rFonts w:ascii="Verdana" w:eastAsia="Calibri" w:hAnsi="Verdana" w:cs="Times New Roman"/>
        </w:rPr>
        <w:t>:</w:t>
      </w:r>
      <w:r w:rsidR="00277150">
        <w:rPr>
          <w:rFonts w:ascii="Verdana" w:eastAsia="Calibri" w:hAnsi="Verdana" w:cs="Times New Roman"/>
          <w:iCs/>
          <w:lang w:val="es-ES"/>
        </w:rPr>
        <w:t xml:space="preserve"> </w:t>
      </w:r>
      <w:r w:rsidR="00605537" w:rsidRPr="00605537">
        <w:rPr>
          <w:rFonts w:ascii="Verdana" w:eastAsia="Calibri" w:hAnsi="Verdana" w:cs="Times New Roman"/>
          <w:iCs/>
        </w:rPr>
        <w:t>¿Qué restricciones de la Ley de Garantías Electorales proceden respecto de la celebración o la ejecución de los contratos estatales?</w:t>
      </w:r>
    </w:p>
    <w:p w14:paraId="73663A76" w14:textId="77777777" w:rsidR="00D86C54" w:rsidRPr="00277150" w:rsidRDefault="00D86C54" w:rsidP="00D86C54">
      <w:pPr>
        <w:spacing w:after="0" w:line="276" w:lineRule="auto"/>
        <w:jc w:val="both"/>
        <w:rPr>
          <w:rFonts w:ascii="Verdana" w:eastAsia="Calibri" w:hAnsi="Verdana" w:cs="Times New Roman"/>
          <w:i/>
          <w:iCs/>
          <w:lang w:val="es-ES"/>
        </w:rPr>
      </w:pPr>
    </w:p>
    <w:p w14:paraId="3C139A31" w14:textId="77777777" w:rsidR="00F00796" w:rsidRDefault="00F00796" w:rsidP="00F00796">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7A36237D" w14:textId="19DD4731" w:rsidR="00F00796" w:rsidRPr="00A12CB6" w:rsidRDefault="00F00796" w:rsidP="00F00796">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00796" w:rsidRPr="001205D1" w14:paraId="726944FD" w14:textId="77777777" w:rsidTr="00505795">
        <w:trPr>
          <w:trHeight w:val="345"/>
          <w:jc w:val="center"/>
        </w:trPr>
        <w:tc>
          <w:tcPr>
            <w:tcW w:w="8784" w:type="dxa"/>
            <w:tcBorders>
              <w:bottom w:val="single" w:sz="4" w:space="0" w:color="auto"/>
            </w:tcBorders>
          </w:tcPr>
          <w:p w14:paraId="05801F5E" w14:textId="208F3B69" w:rsidR="00EB3BB3" w:rsidRDefault="00971062" w:rsidP="00EB3BB3">
            <w:pPr>
              <w:spacing w:line="276" w:lineRule="auto"/>
              <w:jc w:val="both"/>
              <w:rPr>
                <w:rFonts w:ascii="Verdana" w:eastAsia="Calibri" w:hAnsi="Verdana" w:cs="Times New Roman"/>
              </w:rPr>
            </w:pPr>
            <w:r w:rsidRPr="00971062">
              <w:rPr>
                <w:rFonts w:ascii="Verdana" w:eastAsia="Calibri" w:hAnsi="Verdana" w:cs="Times New Roman"/>
              </w:rPr>
              <w:t>En cuanto al problema jurídico, objeto de consulta, se precisa que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4E8F98AA" w14:textId="77777777" w:rsidR="00971062" w:rsidRDefault="00971062" w:rsidP="00554BD4">
            <w:pPr>
              <w:spacing w:after="120" w:line="276" w:lineRule="auto"/>
              <w:jc w:val="both"/>
              <w:rPr>
                <w:rFonts w:ascii="Verdana" w:hAnsi="Verdana" w:cs="Arial"/>
                <w:lang w:eastAsia="es-ES"/>
              </w:rPr>
            </w:pPr>
          </w:p>
          <w:p w14:paraId="6E654E21" w14:textId="68921D6C" w:rsidR="00971062" w:rsidRDefault="00971062" w:rsidP="00554BD4">
            <w:pPr>
              <w:spacing w:after="120" w:line="276" w:lineRule="auto"/>
              <w:jc w:val="both"/>
              <w:rPr>
                <w:rFonts w:ascii="Verdana" w:hAnsi="Verdana" w:cs="Arial"/>
                <w:lang w:eastAsia="es-ES"/>
              </w:rPr>
            </w:pPr>
            <w:r>
              <w:rPr>
                <w:rFonts w:ascii="Verdana" w:hAnsi="Verdana" w:cs="Arial"/>
                <w:lang w:eastAsia="es-ES"/>
              </w:rPr>
              <w:t xml:space="preserve">    </w:t>
            </w:r>
            <w:r w:rsidRPr="00971062">
              <w:rPr>
                <w:rFonts w:ascii="Verdana" w:hAnsi="Verdana" w:cs="Arial"/>
                <w:lang w:eastAsia="es-ES"/>
              </w:rPr>
              <w:t xml:space="preserve">Por un lado, el </w:t>
            </w:r>
            <w:r w:rsidRPr="00410C36">
              <w:rPr>
                <w:rFonts w:ascii="Verdana" w:hAnsi="Verdana" w:cs="Arial"/>
                <w:i/>
                <w:iCs/>
                <w:lang w:eastAsia="es-ES"/>
              </w:rPr>
              <w:t>artículo 33 de la Ley 996 de 2005</w:t>
            </w:r>
            <w:r w:rsidRPr="00971062">
              <w:rPr>
                <w:rFonts w:ascii="Verdana" w:hAnsi="Verdana" w:cs="Arial"/>
                <w:lang w:eastAsia="es-ES"/>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1A94FBE" w14:textId="77777777" w:rsidR="00410C36" w:rsidRDefault="00410C36" w:rsidP="00554BD4">
            <w:pPr>
              <w:spacing w:after="120" w:line="276" w:lineRule="auto"/>
              <w:jc w:val="both"/>
              <w:rPr>
                <w:rFonts w:ascii="Verdana" w:hAnsi="Verdana" w:cs="Arial"/>
                <w:lang w:eastAsia="es-ES"/>
              </w:rPr>
            </w:pPr>
            <w:r w:rsidRPr="00410C36">
              <w:rPr>
                <w:rFonts w:ascii="Verdana" w:hAnsi="Verdana" w:cs="Arial"/>
                <w:lang w:eastAsia="es-ES"/>
              </w:rPr>
              <w:lastRenderedPageBreak/>
              <w:t xml:space="preserve">Por otro lado, el </w:t>
            </w:r>
            <w:r w:rsidRPr="00410C36">
              <w:rPr>
                <w:rFonts w:ascii="Verdana" w:hAnsi="Verdana" w:cs="Arial"/>
                <w:i/>
                <w:iCs/>
                <w:lang w:eastAsia="es-ES"/>
              </w:rPr>
              <w:t xml:space="preserve">parágrafo del artículo 38 de la Ley 996 de 2005 </w:t>
            </w:r>
            <w:r w:rsidRPr="00410C36">
              <w:rPr>
                <w:rFonts w:ascii="Verdana" w:hAnsi="Verdana" w:cs="Arial"/>
                <w:lang w:eastAsia="es-ES"/>
              </w:rPr>
              <w:t>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w:t>
            </w:r>
            <w:r w:rsidRPr="00410C36">
              <w:t xml:space="preserve"> </w:t>
            </w:r>
            <w:r w:rsidRPr="00410C36">
              <w:rPr>
                <w:rFonts w:ascii="Verdana" w:hAnsi="Verdana" w:cs="Arial"/>
                <w:lang w:eastAsia="es-ES"/>
              </w:rPr>
              <w:t xml:space="preserve">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5668195D" w14:textId="1D9B9517" w:rsidR="00F45C0D" w:rsidRDefault="00410C36" w:rsidP="00554BD4">
            <w:pPr>
              <w:spacing w:after="120" w:line="276" w:lineRule="auto"/>
              <w:jc w:val="both"/>
              <w:rPr>
                <w:rFonts w:ascii="Verdana" w:hAnsi="Verdana" w:cs="Arial"/>
                <w:lang w:eastAsia="es-ES"/>
              </w:rPr>
            </w:pPr>
            <w:r>
              <w:rPr>
                <w:rFonts w:ascii="Verdana" w:hAnsi="Verdana" w:cs="Arial"/>
                <w:lang w:eastAsia="es-ES"/>
              </w:rPr>
              <w:t xml:space="preserve">    </w:t>
            </w:r>
            <w:r w:rsidRPr="00410C36">
              <w:rPr>
                <w:rFonts w:ascii="Verdana" w:hAnsi="Verdana" w:cs="Arial"/>
                <w:lang w:eastAsia="es-ES"/>
              </w:rPr>
              <w:t xml:space="preserve">Para entender el momento de aplicación de estas restricciones, es preciso señalar que el vocablo “celebrar” es definido por el Diccionario Panhispánico del Español Jurídico como: “1. </w:t>
            </w:r>
            <w:r w:rsidRPr="00410C36">
              <w:rPr>
                <w:rFonts w:ascii="Verdana" w:hAnsi="Verdana" w:cs="Arial"/>
                <w:i/>
                <w:iCs/>
                <w:lang w:eastAsia="es-ES"/>
              </w:rPr>
              <w:t>Gral.</w:t>
            </w:r>
            <w:r w:rsidRPr="00410C36">
              <w:rPr>
                <w:rFonts w:ascii="Verdana" w:hAnsi="Verdana" w:cs="Arial"/>
                <w:lang w:eastAsia="es-ES"/>
              </w:rPr>
              <w:t xml:space="preserve"> Otorgar o firmar un contrato. 2. </w:t>
            </w:r>
            <w:proofErr w:type="spellStart"/>
            <w:r w:rsidRPr="00410C36">
              <w:rPr>
                <w:rFonts w:ascii="Verdana" w:hAnsi="Verdana" w:cs="Arial"/>
                <w:i/>
                <w:iCs/>
                <w:lang w:eastAsia="es-ES"/>
              </w:rPr>
              <w:t>Proc</w:t>
            </w:r>
            <w:proofErr w:type="spellEnd"/>
            <w:r w:rsidRPr="00410C36">
              <w:rPr>
                <w:rFonts w:ascii="Verdana" w:hAnsi="Verdana" w:cs="Arial"/>
                <w:lang w:eastAsia="es-ES"/>
              </w:rPr>
              <w:t>. Realizar los actos procesales propios de un juicio o vista”. Dentro de las dos definiciones, la que se acerca a la expresión “celebrar” en el contexto de la Ley de Garantías Electorales es la primera, esto es, la firma y perfeccionamiento del contrato.</w:t>
            </w:r>
          </w:p>
          <w:p w14:paraId="48E33AE8" w14:textId="5A3F3E63" w:rsidR="00F45C0D" w:rsidRDefault="00F45C0D" w:rsidP="00554BD4">
            <w:pPr>
              <w:spacing w:after="120" w:line="276" w:lineRule="auto"/>
              <w:jc w:val="both"/>
              <w:rPr>
                <w:rFonts w:ascii="Verdana" w:hAnsi="Verdana" w:cs="Arial"/>
                <w:lang w:eastAsia="es-ES"/>
              </w:rPr>
            </w:pPr>
            <w:r>
              <w:rPr>
                <w:rFonts w:ascii="Verdana" w:hAnsi="Verdana" w:cs="Arial"/>
                <w:lang w:eastAsia="es-ES"/>
              </w:rPr>
              <w:t xml:space="preserve">    </w:t>
            </w:r>
            <w:r w:rsidRPr="00F45C0D">
              <w:rPr>
                <w:rFonts w:ascii="Verdana" w:hAnsi="Verdana" w:cs="Arial"/>
                <w:lang w:eastAsia="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w:t>
            </w:r>
            <w:proofErr w:type="spellStart"/>
            <w:r w:rsidRPr="006A1E0C">
              <w:rPr>
                <w:rFonts w:ascii="Verdana" w:hAnsi="Verdana" w:cs="Arial"/>
                <w:i/>
                <w:iCs/>
                <w:lang w:eastAsia="es-ES"/>
              </w:rPr>
              <w:t>ibídem</w:t>
            </w:r>
            <w:proofErr w:type="spellEnd"/>
            <w:r w:rsidRPr="00F45C0D">
              <w:rPr>
                <w:rFonts w:ascii="Verdana" w:hAnsi="Verdana" w:cs="Arial"/>
                <w:lang w:eastAsia="es-ES"/>
              </w:rPr>
              <w:t>,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750335AB" w14:textId="77777777" w:rsidR="00410C36" w:rsidRDefault="00410C36" w:rsidP="00554BD4">
            <w:pPr>
              <w:spacing w:after="120" w:line="276" w:lineRule="auto"/>
              <w:jc w:val="both"/>
              <w:rPr>
                <w:rFonts w:ascii="Verdana" w:hAnsi="Verdana" w:cs="Arial"/>
                <w:lang w:eastAsia="es-ES"/>
              </w:rPr>
            </w:pPr>
          </w:p>
          <w:p w14:paraId="619063B4" w14:textId="77777777" w:rsidR="00E80C38" w:rsidRDefault="00E80C38" w:rsidP="00554BD4">
            <w:pPr>
              <w:spacing w:after="120" w:line="276" w:lineRule="auto"/>
              <w:jc w:val="both"/>
              <w:rPr>
                <w:rFonts w:ascii="Verdana" w:hAnsi="Verdana" w:cs="Arial"/>
                <w:lang w:eastAsia="es-ES"/>
              </w:rPr>
            </w:pPr>
            <w:r>
              <w:rPr>
                <w:rFonts w:ascii="Verdana" w:hAnsi="Verdana" w:cs="Arial"/>
                <w:lang w:eastAsia="es-ES"/>
              </w:rPr>
              <w:t xml:space="preserve">   </w:t>
            </w:r>
            <w:r w:rsidRPr="00E80C38">
              <w:rPr>
                <w:rFonts w:ascii="Verdana" w:hAnsi="Verdana" w:cs="Arial"/>
                <w:lang w:eastAsia="es-ES"/>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w:t>
            </w:r>
            <w:r w:rsidRPr="00E80C38">
              <w:rPr>
                <w:rFonts w:ascii="Verdana" w:hAnsi="Verdana" w:cs="Arial"/>
                <w:lang w:eastAsia="es-ES"/>
              </w:rPr>
              <w:lastRenderedPageBreak/>
              <w:t xml:space="preserve">el registro presupuestal, o en algunos casos, la firma del acta de inicio, si así se determinó. </w:t>
            </w:r>
          </w:p>
          <w:p w14:paraId="1482A10E" w14:textId="2883E9F7" w:rsidR="000C538B" w:rsidRPr="00E80C38" w:rsidRDefault="00E80C38" w:rsidP="00E80C38">
            <w:pPr>
              <w:spacing w:after="120" w:line="276" w:lineRule="auto"/>
              <w:jc w:val="both"/>
              <w:rPr>
                <w:rFonts w:ascii="Verdana" w:hAnsi="Verdana" w:cs="Arial"/>
                <w:lang w:eastAsia="es-ES"/>
              </w:rPr>
            </w:pPr>
            <w:r>
              <w:rPr>
                <w:rFonts w:ascii="Verdana" w:hAnsi="Verdana" w:cs="Arial"/>
                <w:lang w:eastAsia="es-ES"/>
              </w:rPr>
              <w:t xml:space="preserve">   </w:t>
            </w:r>
            <w:r w:rsidRPr="00E80C38">
              <w:rPr>
                <w:rFonts w:ascii="Verdana" w:hAnsi="Verdana" w:cs="Arial"/>
                <w:lang w:eastAsia="es-ES"/>
              </w:rPr>
              <w:t>Así mismo, como en otras oportunidades lo ha manifestado esta Agencia, las prórrogas, modificaciones o adiciones de los contratos suscritos antes de la entrada en vigencia de las prohibiciones anotadas, así como la</w:t>
            </w:r>
            <w:r>
              <w:rPr>
                <w:rFonts w:ascii="Verdana" w:hAnsi="Verdana" w:cs="Arial"/>
                <w:lang w:eastAsia="es-ES"/>
              </w:rPr>
              <w:t xml:space="preserve"> </w:t>
            </w:r>
            <w:r w:rsidRPr="00E80C38">
              <w:rPr>
                <w:rFonts w:ascii="Verdana" w:hAnsi="Verdana" w:cs="Arial"/>
                <w:lang w:eastAsia="es-ES"/>
              </w:rPr>
              <w:t>cesión de los mismos, pueden tener lugar en el período de aplicación de la Ley de Garantías, sin que ello haga nugatoria la restricción de la contratación directa y siempre que cumplan los principios de planeación, transparencia y responsabilidad</w:t>
            </w:r>
            <w:r>
              <w:rPr>
                <w:rFonts w:ascii="Verdana" w:hAnsi="Verdana" w:cs="Arial"/>
                <w:lang w:eastAsia="es-ES"/>
              </w:rPr>
              <w:t>.</w:t>
            </w:r>
            <w:r w:rsidR="004D1E55" w:rsidRPr="004D1E55">
              <w:rPr>
                <w:rFonts w:ascii="Verdana" w:eastAsia="Calibri" w:hAnsi="Verdana" w:cs="Arial"/>
                <w:lang w:eastAsia="es-ES" w:bidi="es-ES"/>
              </w:rPr>
              <w:t> </w:t>
            </w:r>
          </w:p>
        </w:tc>
      </w:tr>
    </w:tbl>
    <w:p w14:paraId="63F44EFF" w14:textId="14996177" w:rsidR="009325CC" w:rsidRPr="00A12CB6" w:rsidRDefault="009325CC" w:rsidP="00F00796">
      <w:pPr>
        <w:spacing w:after="0" w:line="276" w:lineRule="auto"/>
        <w:jc w:val="both"/>
        <w:rPr>
          <w:rFonts w:ascii="Verdana" w:eastAsia="Calibri" w:hAnsi="Verdana" w:cs="Arial"/>
          <w:bCs/>
          <w:color w:val="000000" w:themeColor="text1"/>
        </w:rPr>
      </w:pPr>
    </w:p>
    <w:p w14:paraId="517763AE" w14:textId="77777777" w:rsidR="00F00796" w:rsidRPr="0093558D" w:rsidRDefault="00F00796" w:rsidP="00F00796">
      <w:pPr>
        <w:numPr>
          <w:ilvl w:val="0"/>
          <w:numId w:val="19"/>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6C37EEEA" w14:textId="77777777" w:rsidR="00F00796" w:rsidRPr="00A12CB6" w:rsidRDefault="00F00796" w:rsidP="00F00796">
      <w:pPr>
        <w:spacing w:after="0" w:line="256" w:lineRule="auto"/>
        <w:rPr>
          <w:rFonts w:ascii="Verdana" w:eastAsia="Calibri" w:hAnsi="Verdana" w:cs="Times New Roman"/>
          <w:b/>
          <w:bCs/>
          <w:lang w:val="es-ES"/>
        </w:rPr>
      </w:pPr>
    </w:p>
    <w:p w14:paraId="38D565A5" w14:textId="77777777" w:rsidR="00F00796" w:rsidRPr="00A12CB6" w:rsidRDefault="00F00796" w:rsidP="00F00796">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2F576F09" w14:textId="77777777" w:rsidR="00E2397D" w:rsidRPr="00E2397D" w:rsidRDefault="00E2397D" w:rsidP="00E2397D">
      <w:pPr>
        <w:spacing w:after="0" w:line="276" w:lineRule="auto"/>
        <w:jc w:val="both"/>
        <w:rPr>
          <w:rFonts w:ascii="Verdana" w:eastAsia="Calibri" w:hAnsi="Verdana" w:cs="Arial"/>
          <w:color w:val="000000" w:themeColor="text1"/>
        </w:rPr>
      </w:pPr>
    </w:p>
    <w:p w14:paraId="484B8BCE" w14:textId="77777777" w:rsidR="00E2397D" w:rsidRPr="00E2397D" w:rsidRDefault="00E2397D" w:rsidP="00E2397D">
      <w:pPr>
        <w:tabs>
          <w:tab w:val="left" w:pos="426"/>
        </w:tabs>
        <w:spacing w:after="120" w:line="276" w:lineRule="auto"/>
        <w:jc w:val="both"/>
        <w:rPr>
          <w:rFonts w:ascii="Verdana" w:eastAsia="Times New Roman" w:hAnsi="Verdana" w:cs="Arial"/>
          <w:lang w:eastAsia="es-CO"/>
        </w:rPr>
      </w:pPr>
      <w:r w:rsidRPr="00E2397D">
        <w:rPr>
          <w:rFonts w:ascii="Verdana" w:eastAsia="Calibri" w:hAnsi="Verdana" w:cs="Arial"/>
        </w:rPr>
        <w:t>i. El ordenamiento jurídico colombiano contempla previsiones claras para evitar la obtención de beneficios personales en asuntos propios de la administración pública</w:t>
      </w:r>
      <w:r w:rsidRPr="00E2397D">
        <w:rPr>
          <w:rFonts w:ascii="Verdana" w:eastAsia="Calibri" w:hAnsi="Verdana" w:cs="Arial"/>
          <w:i/>
        </w:rPr>
        <w:t xml:space="preserve">. </w:t>
      </w:r>
      <w:r w:rsidRPr="00E2397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E2397D">
        <w:rPr>
          <w:vertAlign w:val="superscript"/>
        </w:rPr>
        <w:footnoteReference w:id="2"/>
      </w:r>
      <w:r w:rsidRPr="00E2397D">
        <w:rPr>
          <w:rFonts w:ascii="Verdana" w:eastAsia="Calibri" w:hAnsi="Verdana" w:cs="Arial"/>
        </w:rPr>
        <w:t xml:space="preserve">. </w:t>
      </w:r>
    </w:p>
    <w:p w14:paraId="32EEF48D" w14:textId="7B98F1FB" w:rsidR="00E2397D" w:rsidRPr="006B14B5" w:rsidRDefault="00E2397D" w:rsidP="006B14B5">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r w:rsidRPr="00E2397D">
        <w:rPr>
          <w:rFonts w:ascii="Verdana" w:eastAsia="Times New Roman" w:hAnsi="Verdana" w:cs="Arial"/>
          <w:lang w:val="es-MX" w:eastAsia="es-CO"/>
        </w:rPr>
        <w:t xml:space="preserve">En armonía </w:t>
      </w:r>
      <w:r w:rsidRPr="00E2397D">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1428898F" w14:textId="77777777" w:rsidR="00E2397D" w:rsidRPr="00E2397D" w:rsidRDefault="00E2397D" w:rsidP="00E2397D">
      <w:pPr>
        <w:spacing w:after="0" w:line="276" w:lineRule="auto"/>
        <w:ind w:right="709"/>
        <w:contextualSpacing/>
        <w:jc w:val="both"/>
        <w:rPr>
          <w:rFonts w:ascii="Verdana" w:eastAsia="Times New Roman" w:hAnsi="Verdana" w:cs="Arial"/>
          <w:lang w:val="es-ES" w:eastAsia="es-CO"/>
        </w:rPr>
      </w:pPr>
    </w:p>
    <w:p w14:paraId="7231FF99"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EDEECDF" w14:textId="6C2D1C3A" w:rsidR="00E2397D" w:rsidRPr="00E2397D" w:rsidRDefault="00EB3BB3" w:rsidP="00EB3BB3">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931E79A"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3A8EDF74" w14:textId="77777777" w:rsidR="00E2397D" w:rsidRPr="00E2397D" w:rsidRDefault="00E2397D" w:rsidP="00E2397D">
      <w:pPr>
        <w:spacing w:after="0" w:line="276" w:lineRule="auto"/>
        <w:ind w:firstLine="709"/>
        <w:jc w:val="both"/>
        <w:rPr>
          <w:rFonts w:ascii="Verdana" w:eastAsia="Times New Roman" w:hAnsi="Verdana" w:cs="Arial"/>
          <w:lang w:val="es-MX" w:eastAsia="es-CO"/>
        </w:rPr>
      </w:pPr>
      <w:bookmarkStart w:id="3" w:name="_Hlk78818186"/>
    </w:p>
    <w:p w14:paraId="161F3D2F" w14:textId="72DA8A61" w:rsidR="00E2397D" w:rsidRPr="00E2397D" w:rsidRDefault="00E2397D" w:rsidP="00E2397D">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sidR="006B14B5">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477AF7F6" w14:textId="77777777" w:rsidR="00E2397D" w:rsidRPr="008841E9" w:rsidRDefault="00E2397D" w:rsidP="00E2397D">
      <w:pPr>
        <w:spacing w:after="0" w:line="276" w:lineRule="auto"/>
        <w:ind w:firstLine="709"/>
        <w:jc w:val="both"/>
        <w:rPr>
          <w:rFonts w:ascii="Verdana" w:eastAsia="Times New Roman" w:hAnsi="Verdana" w:cs="Arial"/>
          <w:lang w:val="es-ES" w:eastAsia="es-CO"/>
        </w:rPr>
      </w:pPr>
    </w:p>
    <w:p w14:paraId="53876192"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BB709A4" w14:textId="77777777" w:rsidR="00E2397D" w:rsidRPr="00E2397D" w:rsidRDefault="00E2397D" w:rsidP="00E2397D">
      <w:pPr>
        <w:spacing w:after="0" w:line="240" w:lineRule="auto"/>
        <w:ind w:right="709"/>
        <w:contextualSpacing/>
        <w:jc w:val="both"/>
        <w:rPr>
          <w:rFonts w:ascii="Verdana" w:eastAsia="Times New Roman" w:hAnsi="Verdana" w:cs="Arial"/>
          <w:lang w:val="es-MX" w:eastAsia="es-CO"/>
        </w:rPr>
      </w:pPr>
    </w:p>
    <w:p w14:paraId="07F985C3"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0A8D51A0" w14:textId="77777777" w:rsidR="00E2397D" w:rsidRPr="00E2397D" w:rsidRDefault="00E2397D" w:rsidP="00E2397D">
      <w:pPr>
        <w:spacing w:after="0" w:line="276" w:lineRule="auto"/>
        <w:jc w:val="both"/>
        <w:rPr>
          <w:rFonts w:ascii="Verdana" w:eastAsia="Calibri" w:hAnsi="Verdana" w:cs="Arial"/>
          <w:bCs/>
          <w:lang w:val="es-ES_tradnl"/>
        </w:rPr>
      </w:pPr>
    </w:p>
    <w:p w14:paraId="6A811B0C" w14:textId="5A3016F4" w:rsidR="00E2397D" w:rsidRDefault="00E2397D" w:rsidP="001A0B04">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1ED8781" w14:textId="77777777" w:rsidR="001A0B04" w:rsidRPr="00E2397D" w:rsidRDefault="001A0B04" w:rsidP="001A0B04">
      <w:pPr>
        <w:spacing w:after="0" w:line="276" w:lineRule="auto"/>
        <w:ind w:firstLine="709"/>
        <w:jc w:val="both"/>
        <w:rPr>
          <w:rFonts w:ascii="Verdana" w:eastAsia="Arial" w:hAnsi="Verdana" w:cs="Arial"/>
          <w:lang w:val="es-ES" w:eastAsia="es-ES" w:bidi="es-ES"/>
        </w:rPr>
      </w:pPr>
    </w:p>
    <w:p w14:paraId="75F796D7" w14:textId="77777777" w:rsidR="00E2397D" w:rsidRPr="00E2397D" w:rsidRDefault="00E2397D" w:rsidP="00E2397D">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36629D22" w14:textId="77777777" w:rsidR="00E2397D" w:rsidRPr="00E2397D" w:rsidRDefault="00E2397D" w:rsidP="00E2397D">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032F1E7" w14:textId="77777777" w:rsidR="00E2397D" w:rsidRDefault="00E2397D" w:rsidP="00E2397D">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5"/>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51417AB" w14:textId="2DB8DC4D" w:rsidR="003A0145" w:rsidRDefault="003A0145" w:rsidP="00E2397D">
      <w:pPr>
        <w:widowControl w:val="0"/>
        <w:autoSpaceDE w:val="0"/>
        <w:autoSpaceDN w:val="0"/>
        <w:spacing w:after="120" w:line="276" w:lineRule="auto"/>
        <w:ind w:right="113" w:firstLine="709"/>
        <w:jc w:val="both"/>
        <w:rPr>
          <w:rFonts w:ascii="Verdana" w:eastAsia="Arial" w:hAnsi="Verdana" w:cs="Arial"/>
          <w:lang w:val="es-ES" w:eastAsia="es-ES" w:bidi="es-ES"/>
        </w:rPr>
      </w:pPr>
      <w:r w:rsidRPr="003A0145">
        <w:rPr>
          <w:rFonts w:ascii="Verdana" w:eastAsia="Arial" w:hAnsi="Verdana" w:cs="Arial"/>
          <w:lang w:eastAsia="es-ES" w:bidi="es-ES"/>
        </w:rPr>
        <w:t>Para entender el momento de aplicación de estas restricciones, es preciso señalar que el vocablo “celebrar” es definido por el Diccionario Panhispánico del Español Jurídico como: “1</w:t>
      </w:r>
      <w:r w:rsidRPr="003A0145">
        <w:rPr>
          <w:rFonts w:ascii="Verdana" w:eastAsia="Arial" w:hAnsi="Verdana" w:cs="Arial"/>
          <w:i/>
          <w:iCs/>
          <w:lang w:eastAsia="es-ES" w:bidi="es-ES"/>
        </w:rPr>
        <w:t>. Gral</w:t>
      </w:r>
      <w:r w:rsidRPr="003A0145">
        <w:rPr>
          <w:rFonts w:ascii="Verdana" w:eastAsia="Arial" w:hAnsi="Verdana" w:cs="Arial"/>
          <w:lang w:eastAsia="es-ES" w:bidi="es-ES"/>
        </w:rPr>
        <w:t xml:space="preserve">. Otorgar o firmar un contrato. 2. </w:t>
      </w:r>
      <w:proofErr w:type="spellStart"/>
      <w:r w:rsidRPr="00545822">
        <w:rPr>
          <w:rFonts w:ascii="Verdana" w:eastAsia="Arial" w:hAnsi="Verdana" w:cs="Arial"/>
          <w:i/>
          <w:iCs/>
          <w:lang w:eastAsia="es-ES" w:bidi="es-ES"/>
        </w:rPr>
        <w:t>Proc</w:t>
      </w:r>
      <w:proofErr w:type="spellEnd"/>
      <w:r w:rsidRPr="003A0145">
        <w:rPr>
          <w:rFonts w:ascii="Verdana" w:eastAsia="Arial" w:hAnsi="Verdana" w:cs="Arial"/>
          <w:lang w:eastAsia="es-ES" w:bidi="es-ES"/>
        </w:rPr>
        <w:t>. Realizar los actos procesales propios de un juicio o vista”. Dentro de las dos definiciones, la que se acerca a la expresión “celebrar” en el contexto de la Ley de Garantías Electorales es la primera, esto es, al perfeccionamiento del contrato.</w:t>
      </w:r>
    </w:p>
    <w:p w14:paraId="22F4F753" w14:textId="24BD2FD0" w:rsidR="003A0145" w:rsidRDefault="001366C9" w:rsidP="00E2397D">
      <w:pPr>
        <w:widowControl w:val="0"/>
        <w:autoSpaceDE w:val="0"/>
        <w:autoSpaceDN w:val="0"/>
        <w:spacing w:after="120" w:line="276" w:lineRule="auto"/>
        <w:ind w:right="113" w:firstLine="709"/>
        <w:jc w:val="both"/>
        <w:rPr>
          <w:rFonts w:ascii="Verdana" w:eastAsia="Arial" w:hAnsi="Verdana" w:cs="Arial"/>
          <w:lang w:val="es-ES" w:eastAsia="es-ES" w:bidi="es-ES"/>
        </w:rPr>
      </w:pPr>
      <w:r w:rsidRPr="001366C9">
        <w:rPr>
          <w:rFonts w:ascii="Verdana" w:eastAsia="Arial" w:hAnsi="Verdana" w:cs="Arial"/>
          <w:lang w:eastAsia="es-ES" w:bidi="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w:t>
      </w:r>
      <w:proofErr w:type="spellStart"/>
      <w:r w:rsidRPr="000D71F8">
        <w:rPr>
          <w:rFonts w:ascii="Verdana" w:eastAsia="Arial" w:hAnsi="Verdana" w:cs="Arial"/>
          <w:i/>
          <w:iCs/>
          <w:lang w:eastAsia="es-ES" w:bidi="es-ES"/>
        </w:rPr>
        <w:t>ibídem</w:t>
      </w:r>
      <w:proofErr w:type="spellEnd"/>
      <w:r w:rsidRPr="001366C9">
        <w:rPr>
          <w:rFonts w:ascii="Verdana" w:eastAsia="Arial" w:hAnsi="Verdana" w:cs="Arial"/>
          <w:lang w:eastAsia="es-ES" w:bidi="es-ES"/>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w:t>
      </w:r>
      <w:r w:rsidRPr="001366C9">
        <w:rPr>
          <w:rFonts w:ascii="Verdana" w:eastAsia="Arial" w:hAnsi="Verdana" w:cs="Arial"/>
          <w:lang w:eastAsia="es-ES" w:bidi="es-ES"/>
        </w:rPr>
        <w:lastRenderedPageBreak/>
        <w:t>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483FE916" w14:textId="38DA5635" w:rsidR="003A0145" w:rsidRDefault="008014B6" w:rsidP="00E2397D">
      <w:pPr>
        <w:widowControl w:val="0"/>
        <w:autoSpaceDE w:val="0"/>
        <w:autoSpaceDN w:val="0"/>
        <w:spacing w:after="120" w:line="276" w:lineRule="auto"/>
        <w:ind w:right="113" w:firstLine="709"/>
        <w:jc w:val="both"/>
        <w:rPr>
          <w:rFonts w:ascii="Verdana" w:eastAsia="Arial" w:hAnsi="Verdana" w:cs="Arial"/>
          <w:lang w:eastAsia="es-ES" w:bidi="es-ES"/>
        </w:rPr>
      </w:pPr>
      <w:r w:rsidRPr="008014B6">
        <w:rPr>
          <w:rFonts w:ascii="Verdana" w:eastAsia="Arial" w:hAnsi="Verdana" w:cs="Arial"/>
          <w:lang w:eastAsia="es-ES" w:bidi="es-ES"/>
        </w:rPr>
        <w:t>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w:t>
      </w:r>
    </w:p>
    <w:p w14:paraId="352E160C" w14:textId="686B1FFA" w:rsidR="008014B6" w:rsidRPr="00E2397D" w:rsidRDefault="008014B6" w:rsidP="00E2397D">
      <w:pPr>
        <w:widowControl w:val="0"/>
        <w:autoSpaceDE w:val="0"/>
        <w:autoSpaceDN w:val="0"/>
        <w:spacing w:after="120" w:line="276" w:lineRule="auto"/>
        <w:ind w:right="113" w:firstLine="709"/>
        <w:jc w:val="both"/>
        <w:rPr>
          <w:rFonts w:ascii="Verdana" w:eastAsia="Arial" w:hAnsi="Verdana" w:cs="Arial"/>
          <w:lang w:val="es-ES" w:eastAsia="es-ES" w:bidi="es-ES"/>
        </w:rPr>
      </w:pPr>
      <w:r w:rsidRPr="008014B6">
        <w:rPr>
          <w:rFonts w:ascii="Verdana" w:eastAsia="Arial" w:hAnsi="Verdana" w:cs="Arial"/>
          <w:lang w:eastAsia="es-ES" w:bidi="es-ES"/>
        </w:rPr>
        <w:t>Así mismo, 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E2397D">
        <w:rPr>
          <w:rFonts w:ascii="Verdana" w:eastAsia="Calibri" w:hAnsi="Verdana" w:cs="Arial"/>
          <w:vertAlign w:val="superscript"/>
        </w:rPr>
        <w:footnoteReference w:id="10"/>
      </w:r>
      <w:r w:rsidRPr="00E2397D">
        <w:rPr>
          <w:rFonts w:ascii="Verdana" w:eastAsia="Calibri" w:hAnsi="Verdana" w:cs="Arial"/>
          <w:lang w:val="es-MX"/>
        </w:rPr>
        <w:t>.</w:t>
      </w:r>
    </w:p>
    <w:p w14:paraId="3D76E882" w14:textId="59A82506" w:rsidR="00E2397D" w:rsidRPr="00E2397D" w:rsidRDefault="00E2397D" w:rsidP="00E2397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sidR="00310E5C">
        <w:rPr>
          <w:rFonts w:ascii="Verdana" w:eastAsia="Arial" w:hAnsi="Verdana" w:cs="Arial"/>
          <w:lang w:val="es-ES" w:eastAsia="es-ES" w:bidi="es-ES"/>
        </w:rPr>
        <w:t>era</w:t>
      </w:r>
      <w:r w:rsidRPr="00E2397D">
        <w:rPr>
          <w:rFonts w:ascii="Verdana" w:eastAsia="Arial" w:hAnsi="Verdana" w:cs="Arial"/>
          <w:lang w:val="es-ES" w:eastAsia="es-ES" w:bidi="es-ES"/>
        </w:rPr>
        <w:t>:</w:t>
      </w:r>
    </w:p>
    <w:p w14:paraId="15C2A8E9" w14:textId="77777777" w:rsidR="00E2397D" w:rsidRPr="00E2397D" w:rsidRDefault="00E2397D" w:rsidP="00E2397D">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7D6A0CC" w14:textId="77777777" w:rsidR="00E2397D" w:rsidRPr="00E2397D" w:rsidRDefault="00E2397D" w:rsidP="00E2397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w:t>
      </w:r>
      <w:r w:rsidRPr="00E2397D">
        <w:rPr>
          <w:rFonts w:ascii="Verdana" w:eastAsia="Arial" w:hAnsi="Verdana" w:cs="Arial"/>
          <w:sz w:val="20"/>
          <w:szCs w:val="20"/>
          <w:lang w:eastAsia="es-ES" w:bidi="es-ES"/>
        </w:rPr>
        <w:lastRenderedPageBreak/>
        <w:t>contenidas en el parágrafo del artículo 38”.</w:t>
      </w:r>
      <w:r w:rsidRPr="00E2397D">
        <w:rPr>
          <w:rFonts w:ascii="Verdana" w:eastAsia="Arial" w:hAnsi="Verdana" w:cs="Arial"/>
          <w:sz w:val="20"/>
          <w:szCs w:val="20"/>
          <w:vertAlign w:val="superscript"/>
          <w:lang w:eastAsia="es-ES" w:bidi="es-ES"/>
        </w:rPr>
        <w:footnoteReference w:id="11"/>
      </w:r>
    </w:p>
    <w:p w14:paraId="2FE3AE1E" w14:textId="77777777" w:rsidR="00E2397D" w:rsidRPr="00E2397D" w:rsidRDefault="00E2397D" w:rsidP="00E2397D">
      <w:pPr>
        <w:widowControl w:val="0"/>
        <w:autoSpaceDE w:val="0"/>
        <w:autoSpaceDN w:val="0"/>
        <w:spacing w:after="0" w:line="276" w:lineRule="auto"/>
        <w:contextualSpacing/>
        <w:rPr>
          <w:rFonts w:ascii="Verdana" w:eastAsia="Arial" w:hAnsi="Verdana" w:cs="Arial"/>
          <w:lang w:val="es-ES" w:eastAsia="es-ES" w:bidi="es-ES"/>
        </w:rPr>
      </w:pPr>
    </w:p>
    <w:p w14:paraId="4C9B7FFA" w14:textId="34776F46" w:rsidR="00E2397D" w:rsidRPr="00E2397D" w:rsidRDefault="00E2397D" w:rsidP="00E2397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sidR="00325755">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048973D0" w14:textId="1DB1D6E3" w:rsidR="00E2397D" w:rsidRPr="00E2397D" w:rsidRDefault="00E2397D" w:rsidP="00E2397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sidR="00310E5C">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56F760A8" w14:textId="77777777" w:rsidR="00325755" w:rsidRDefault="00E2397D" w:rsidP="00325755">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w:t>
      </w:r>
      <w:r w:rsidRPr="00E2397D">
        <w:rPr>
          <w:rFonts w:ascii="Verdana" w:eastAsia="Arial" w:hAnsi="Verdana" w:cs="Arial"/>
          <w:lang w:val="es-ES" w:eastAsia="es-ES" w:bidi="es-ES"/>
        </w:rPr>
        <w:lastRenderedPageBreak/>
        <w:t xml:space="preserve">excepto para el Vicepresidente que no haya ejercido la presidencia o que la haya ejercido por un tiempo inferior a tres (3) meses durante el respectivo cuatrienio, en forma continua o discontinua, conforme al artículo 197 de la Constitución Política. </w:t>
      </w:r>
    </w:p>
    <w:p w14:paraId="7E73EE43" w14:textId="77777777" w:rsidR="002A1CEF" w:rsidRDefault="002A1CEF" w:rsidP="00325755">
      <w:pPr>
        <w:spacing w:after="0" w:line="276" w:lineRule="auto"/>
        <w:ind w:firstLine="709"/>
        <w:jc w:val="both"/>
        <w:rPr>
          <w:rFonts w:ascii="Verdana" w:eastAsia="Arial" w:hAnsi="Verdana" w:cs="Arial"/>
          <w:lang w:val="es-ES" w:eastAsia="es-ES" w:bidi="es-ES"/>
        </w:rPr>
      </w:pPr>
    </w:p>
    <w:p w14:paraId="1D91E0B3" w14:textId="77777777" w:rsidR="002A1CEF" w:rsidRDefault="002A1CEF" w:rsidP="002A1CEF">
      <w:pPr>
        <w:spacing w:after="0" w:line="276" w:lineRule="auto"/>
        <w:jc w:val="both"/>
        <w:rPr>
          <w:rFonts w:ascii="Verdana" w:eastAsia="Arial" w:hAnsi="Verdana" w:cs="Arial"/>
          <w:lang w:eastAsia="es-ES" w:bidi="es-ES"/>
        </w:rPr>
      </w:pPr>
      <w:proofErr w:type="spellStart"/>
      <w:r w:rsidRPr="002A1CEF">
        <w:rPr>
          <w:rFonts w:ascii="Verdana" w:eastAsia="Arial" w:hAnsi="Verdana" w:cs="Arial"/>
          <w:lang w:eastAsia="es-ES" w:bidi="es-ES"/>
        </w:rPr>
        <w:t>iii</w:t>
      </w:r>
      <w:proofErr w:type="spellEnd"/>
      <w:r w:rsidRPr="002A1CEF">
        <w:rPr>
          <w:rFonts w:ascii="Verdana" w:eastAsia="Arial" w:hAnsi="Verdana" w:cs="Arial"/>
          <w:lang w:eastAsia="es-ES" w:bidi="es-ES"/>
        </w:rPr>
        <w:t xml:space="preserve">. Ahora bien, para responder al problema jurídico planteado resulta necesario precisar el alcance de la prohibición establecida en el parágrafo del artículo 38 de la Ley 996 de 2005. La citada norma dispone: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[Énfasis fuera del texto original] </w:t>
      </w:r>
    </w:p>
    <w:p w14:paraId="60799256" w14:textId="77777777" w:rsidR="002A1CEF" w:rsidRDefault="002A1CEF" w:rsidP="002A1CEF">
      <w:pPr>
        <w:spacing w:after="0" w:line="276" w:lineRule="auto"/>
        <w:jc w:val="both"/>
        <w:rPr>
          <w:rFonts w:ascii="Verdana" w:eastAsia="Arial" w:hAnsi="Verdana" w:cs="Arial"/>
          <w:lang w:eastAsia="es-ES" w:bidi="es-ES"/>
        </w:rPr>
      </w:pPr>
    </w:p>
    <w:p w14:paraId="4E50D67C" w14:textId="0065E7C8" w:rsidR="002A1CEF" w:rsidRDefault="002A1CEF" w:rsidP="002A1CEF">
      <w:pPr>
        <w:spacing w:after="0" w:line="276" w:lineRule="auto"/>
        <w:ind w:firstLine="360"/>
        <w:jc w:val="both"/>
        <w:rPr>
          <w:rFonts w:ascii="Verdana" w:eastAsia="Arial" w:hAnsi="Verdana" w:cs="Arial"/>
          <w:lang w:eastAsia="es-ES" w:bidi="es-ES"/>
        </w:rPr>
      </w:pPr>
      <w:r w:rsidRPr="002A1CEF">
        <w:rPr>
          <w:rFonts w:ascii="Verdana" w:eastAsia="Arial" w:hAnsi="Verdana" w:cs="Arial"/>
          <w:lang w:eastAsia="es-ES" w:bidi="es-ES"/>
        </w:rPr>
        <w:t>Sobre este aspecto, es importante señalar que esta Subdirección, en los conceptos emitidos sobre la aplicación de la Ley de Garantías Electorales, ha defendido y mantenido la postura acerca de que la prohibición señalada en el parágrafo del artículo 38 cobija tanto a los convenios como a los contratos interadministrativos. Esta tesis se fundamenta en que 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w:t>
      </w:r>
    </w:p>
    <w:p w14:paraId="176F5C31" w14:textId="77777777" w:rsidR="0090165B" w:rsidRDefault="0090165B" w:rsidP="002A1CEF">
      <w:pPr>
        <w:spacing w:after="0" w:line="276" w:lineRule="auto"/>
        <w:ind w:firstLine="360"/>
        <w:jc w:val="both"/>
        <w:rPr>
          <w:rFonts w:ascii="Verdana" w:eastAsia="Arial" w:hAnsi="Verdana" w:cs="Arial"/>
          <w:lang w:eastAsia="es-ES" w:bidi="es-ES"/>
        </w:rPr>
      </w:pPr>
    </w:p>
    <w:p w14:paraId="2B48BCE2" w14:textId="62289D3A" w:rsidR="0090165B" w:rsidRDefault="0090165B" w:rsidP="002A1CEF">
      <w:pPr>
        <w:spacing w:after="0" w:line="276" w:lineRule="auto"/>
        <w:ind w:firstLine="360"/>
        <w:jc w:val="both"/>
        <w:rPr>
          <w:rFonts w:ascii="Verdana" w:eastAsia="Arial" w:hAnsi="Verdana" w:cs="Arial"/>
          <w:lang w:val="es-ES" w:eastAsia="es-ES" w:bidi="es-ES"/>
        </w:rPr>
      </w:pPr>
      <w:r w:rsidRPr="0090165B">
        <w:rPr>
          <w:rFonts w:ascii="Verdana" w:eastAsia="Arial" w:hAnsi="Verdana" w:cs="Arial"/>
          <w:lang w:eastAsia="es-ES" w:bidi="es-ES"/>
        </w:rPr>
        <w:t>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sz w:val="20"/>
          <w:szCs w:val="20"/>
          <w:vertAlign w:val="superscript"/>
          <w:lang w:eastAsia="es-ES" w:bidi="es-ES"/>
        </w:rPr>
        <w:footnoteReference w:id="12"/>
      </w:r>
      <w:r w:rsidRPr="0090165B">
        <w:rPr>
          <w:rFonts w:ascii="Verdana" w:eastAsia="Arial" w:hAnsi="Verdana" w:cs="Arial"/>
          <w:lang w:eastAsia="es-ES" w:bidi="es-ES"/>
        </w:rPr>
        <w:t xml:space="preserve">. Incluso, la Corte Constitucional fundamenta la posibilidad de celebrar convenios interadministrativos de forma directa, con </w:t>
      </w:r>
      <w:r w:rsidRPr="0090165B">
        <w:rPr>
          <w:rFonts w:ascii="Verdana" w:eastAsia="Arial" w:hAnsi="Verdana" w:cs="Arial"/>
          <w:lang w:eastAsia="es-ES" w:bidi="es-ES"/>
        </w:rPr>
        <w:lastRenderedPageBreak/>
        <w:t>fundamento en la causal establecida en la Ley 1150 de 2007 respecto a los contratos interadministrativos</w:t>
      </w:r>
      <w:r w:rsidRPr="00E2397D">
        <w:rPr>
          <w:rFonts w:ascii="Verdana" w:eastAsia="Arial" w:hAnsi="Verdana" w:cs="Arial"/>
          <w:sz w:val="20"/>
          <w:szCs w:val="20"/>
          <w:vertAlign w:val="superscript"/>
          <w:lang w:eastAsia="es-ES" w:bidi="es-ES"/>
        </w:rPr>
        <w:footnoteReference w:id="13"/>
      </w:r>
      <w:r w:rsidRPr="0090165B">
        <w:rPr>
          <w:rFonts w:ascii="Verdana" w:eastAsia="Arial" w:hAnsi="Verdana" w:cs="Arial"/>
          <w:lang w:eastAsia="es-ES" w:bidi="es-ES"/>
        </w:rPr>
        <w:t>.</w:t>
      </w:r>
    </w:p>
    <w:p w14:paraId="282CABCF" w14:textId="63F206AF" w:rsidR="00E2397D" w:rsidRDefault="00E2397D" w:rsidP="00E2397D">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p>
    <w:p w14:paraId="1B4D2416" w14:textId="77777777" w:rsidR="00D37044" w:rsidRDefault="0090165B" w:rsidP="00E2397D">
      <w:pPr>
        <w:spacing w:after="120" w:line="276" w:lineRule="auto"/>
        <w:ind w:firstLine="708"/>
        <w:jc w:val="both"/>
        <w:rPr>
          <w:rFonts w:ascii="Verdana" w:eastAsia="Arial" w:hAnsi="Verdana" w:cs="Arial"/>
          <w:lang w:eastAsia="es-ES" w:bidi="es-ES"/>
        </w:rPr>
      </w:pPr>
      <w:r w:rsidRPr="0090165B">
        <w:rPr>
          <w:rFonts w:ascii="Verdana" w:eastAsia="Arial" w:hAnsi="Verdana" w:cs="Arial"/>
          <w:lang w:eastAsia="es-ES" w:bidi="es-ES"/>
        </w:rPr>
        <w:t xml:space="preserve">De este modo, en la Circular Externa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 </w:t>
      </w:r>
    </w:p>
    <w:p w14:paraId="2D8BAEB8" w14:textId="77777777" w:rsidR="00D37044" w:rsidRDefault="00D37044" w:rsidP="00D37044">
      <w:pPr>
        <w:spacing w:after="120" w:line="276" w:lineRule="auto"/>
        <w:ind w:left="708" w:firstLine="708"/>
        <w:jc w:val="both"/>
        <w:rPr>
          <w:rFonts w:ascii="Verdana" w:eastAsia="Arial" w:hAnsi="Verdana" w:cs="Arial"/>
          <w:sz w:val="21"/>
          <w:szCs w:val="21"/>
          <w:lang w:eastAsia="es-ES" w:bidi="es-ES"/>
        </w:rPr>
      </w:pPr>
    </w:p>
    <w:p w14:paraId="0818C533" w14:textId="4A796104" w:rsidR="00D37044" w:rsidRPr="00A94B0C" w:rsidRDefault="00D37044" w:rsidP="00D37044">
      <w:pPr>
        <w:spacing w:after="120" w:line="276" w:lineRule="auto"/>
        <w:ind w:left="708" w:firstLine="708"/>
        <w:jc w:val="both"/>
        <w:rPr>
          <w:rFonts w:ascii="Verdana" w:eastAsia="Arial" w:hAnsi="Verdana" w:cs="Arial"/>
          <w:sz w:val="20"/>
          <w:szCs w:val="20"/>
          <w:lang w:eastAsia="es-ES" w:bidi="es-ES"/>
        </w:rPr>
      </w:pPr>
      <w:r w:rsidRPr="00A94B0C">
        <w:rPr>
          <w:rFonts w:ascii="Verdana" w:eastAsia="Arial" w:hAnsi="Verdana" w:cs="Arial"/>
          <w:sz w:val="20"/>
          <w:szCs w:val="20"/>
          <w:lang w:eastAsia="es-ES" w:bidi="es-ES"/>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 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w:t>
      </w:r>
      <w:r w:rsidRPr="00A94B0C">
        <w:rPr>
          <w:rFonts w:ascii="Verdana" w:eastAsia="Arial" w:hAnsi="Verdana" w:cs="Arial"/>
          <w:sz w:val="20"/>
          <w:szCs w:val="20"/>
          <w:lang w:eastAsia="es-ES" w:bidi="es-ES"/>
        </w:rPr>
        <w:lastRenderedPageBreak/>
        <w:t>ejecuten para lograr apoyos indebidos mediante la suscripción de contratos y/o convenios, que para efectos de la Ley de Garantías tienen la misma connotación y propósito”.</w:t>
      </w:r>
    </w:p>
    <w:p w14:paraId="0F870938" w14:textId="77777777" w:rsidR="00D37044" w:rsidRDefault="00D37044" w:rsidP="00D37044">
      <w:pPr>
        <w:spacing w:after="120" w:line="276" w:lineRule="auto"/>
        <w:ind w:firstLine="708"/>
        <w:jc w:val="both"/>
        <w:rPr>
          <w:rFonts w:ascii="Verdana" w:eastAsia="Arial" w:hAnsi="Verdana" w:cs="Arial"/>
          <w:lang w:eastAsia="es-ES" w:bidi="es-ES"/>
        </w:rPr>
      </w:pPr>
      <w:r w:rsidRPr="00D37044">
        <w:rPr>
          <w:rFonts w:ascii="Verdana" w:eastAsia="Arial" w:hAnsi="Verdana" w:cs="Arial"/>
          <w:lang w:eastAsia="es-ES" w:bidi="es-ES"/>
        </w:rPr>
        <w:t xml:space="preserve">Con base en lo expuesto, debido a que no existe una definición legal que diferencie los conceptos de contrato y convenio, esta Agencia ha partido de su asimilación para la aplicación de la Ley de Garantías Electorales, por lo que la interpretación que se ha efectuado del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 </w:t>
      </w:r>
    </w:p>
    <w:p w14:paraId="17647187" w14:textId="6176346F" w:rsidR="00D37044" w:rsidRDefault="00D37044" w:rsidP="00D37044">
      <w:pPr>
        <w:spacing w:after="120" w:line="276" w:lineRule="auto"/>
        <w:ind w:firstLine="708"/>
        <w:jc w:val="both"/>
        <w:rPr>
          <w:rFonts w:ascii="Verdana" w:eastAsia="Arial" w:hAnsi="Verdana" w:cs="Arial"/>
          <w:lang w:eastAsia="es-ES" w:bidi="es-ES"/>
        </w:rPr>
      </w:pPr>
      <w:r w:rsidRPr="00D37044">
        <w:rPr>
          <w:rFonts w:ascii="Verdana" w:eastAsia="Arial" w:hAnsi="Verdana" w:cs="Arial"/>
          <w:lang w:eastAsia="es-ES" w:bidi="es-ES"/>
        </w:rPr>
        <w:t>No obstante, conviene señalar que, mediante auto de 4 de octubre del 2024, el Consejo de Estado, Sección Tercera, decretó medida de suspensión provisional parcial del numeral 16.2 de la Circular Externa Única de 2022 expedida por la Agencia Nacional de Contratación Pública -Colombia Compra Eficiente-, concretamente, respecto de los siguientes apartes normativos</w:t>
      </w:r>
      <w:r w:rsidR="00791487" w:rsidRPr="00E2397D">
        <w:rPr>
          <w:rFonts w:ascii="Verdana" w:eastAsia="Arial" w:hAnsi="Verdana" w:cs="Arial"/>
          <w:sz w:val="20"/>
          <w:szCs w:val="20"/>
          <w:vertAlign w:val="superscript"/>
          <w:lang w:eastAsia="es-ES" w:bidi="es-ES"/>
        </w:rPr>
        <w:footnoteReference w:id="14"/>
      </w:r>
      <w:r w:rsidR="00791487">
        <w:rPr>
          <w:rFonts w:ascii="Verdana" w:eastAsia="Arial" w:hAnsi="Verdana" w:cs="Arial"/>
          <w:lang w:eastAsia="es-ES" w:bidi="es-ES"/>
        </w:rPr>
        <w:t>:</w:t>
      </w:r>
    </w:p>
    <w:p w14:paraId="48F13448" w14:textId="7DFDDE0F" w:rsidR="00BD46D0" w:rsidRPr="00BD46D0" w:rsidRDefault="00BD46D0" w:rsidP="00D37044">
      <w:pPr>
        <w:spacing w:after="120" w:line="276" w:lineRule="auto"/>
        <w:ind w:firstLine="708"/>
        <w:jc w:val="both"/>
        <w:rPr>
          <w:rFonts w:ascii="Verdana" w:eastAsia="Arial" w:hAnsi="Verdana" w:cs="Arial"/>
          <w:sz w:val="21"/>
          <w:szCs w:val="21"/>
          <w:lang w:eastAsia="es-ES" w:bidi="es-ES"/>
        </w:rPr>
      </w:pPr>
      <w:r w:rsidRPr="00BD46D0">
        <w:rPr>
          <w:rFonts w:ascii="Verdana" w:eastAsia="Arial" w:hAnsi="Verdana" w:cs="Arial"/>
          <w:sz w:val="21"/>
          <w:szCs w:val="21"/>
          <w:lang w:eastAsia="es-ES" w:bidi="es-ES"/>
        </w:rPr>
        <w:t xml:space="preserve">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BD46D0">
        <w:rPr>
          <w:rFonts w:ascii="Verdana" w:eastAsia="Arial" w:hAnsi="Verdana" w:cs="Arial"/>
          <w:sz w:val="21"/>
          <w:szCs w:val="21"/>
          <w:lang w:eastAsia="es-ES" w:bidi="es-ES"/>
        </w:rPr>
        <w:t>ii</w:t>
      </w:r>
      <w:proofErr w:type="spellEnd"/>
      <w:r w:rsidRPr="00BD46D0">
        <w:rPr>
          <w:rFonts w:ascii="Verdana" w:eastAsia="Arial" w:hAnsi="Verdana" w:cs="Arial"/>
          <w:sz w:val="21"/>
          <w:szCs w:val="21"/>
          <w:lang w:eastAsia="es-ES" w:bidi="es-ES"/>
        </w:rPr>
        <w:t>)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1212718F" w14:textId="77777777" w:rsidR="00BD46D0" w:rsidRDefault="00BD46D0" w:rsidP="00BD46D0">
      <w:pPr>
        <w:spacing w:after="120" w:line="276" w:lineRule="auto"/>
        <w:ind w:firstLine="708"/>
        <w:jc w:val="both"/>
        <w:rPr>
          <w:rFonts w:ascii="Verdana" w:eastAsia="Arial" w:hAnsi="Verdana" w:cs="Arial"/>
          <w:lang w:eastAsia="es-ES" w:bidi="es-ES"/>
        </w:rPr>
      </w:pPr>
      <w:r w:rsidRPr="00BD46D0">
        <w:rPr>
          <w:rFonts w:ascii="Verdana" w:eastAsia="Arial" w:hAnsi="Verdana" w:cs="Arial"/>
          <w:lang w:eastAsia="es-ES" w:bidi="es-ES"/>
        </w:rPr>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w:t>
      </w:r>
      <w:r w:rsidRPr="00BD46D0">
        <w:rPr>
          <w:rFonts w:ascii="Verdana" w:eastAsia="Arial" w:hAnsi="Verdana" w:cs="Arial"/>
          <w:lang w:eastAsia="es-ES" w:bidi="es-ES"/>
        </w:rPr>
        <w:lastRenderedPageBreak/>
        <w:t>la Ley 996 de 2005 concluyó que “</w:t>
      </w:r>
      <w:r w:rsidRPr="00BD46D0">
        <w:rPr>
          <w:rFonts w:ascii="Verdana" w:eastAsia="Arial" w:hAnsi="Verdana" w:cs="Arial"/>
          <w:i/>
          <w:iCs/>
          <w:lang w:eastAsia="es-ES" w:bidi="es-ES"/>
        </w:rPr>
        <w:t>si el legislador no diferenció al establecer la</w:t>
      </w:r>
      <w:r>
        <w:rPr>
          <w:rFonts w:ascii="Verdana" w:eastAsia="Arial" w:hAnsi="Verdana" w:cs="Arial"/>
          <w:i/>
          <w:iCs/>
          <w:lang w:eastAsia="es-ES" w:bidi="es-ES"/>
        </w:rPr>
        <w:t xml:space="preserve"> </w:t>
      </w:r>
      <w:r w:rsidRPr="00BD46D0">
        <w:rPr>
          <w:rFonts w:ascii="Verdana" w:eastAsia="Arial" w:hAnsi="Verdana" w:cs="Arial"/>
          <w:i/>
          <w:iCs/>
          <w:lang w:eastAsia="es-ES" w:bidi="es-ES"/>
        </w:rPr>
        <w:t xml:space="preserve">prohibición o la restricción, mal haría el reglamento en aplicar un efecto expansivo o extensivo para incluir una categoría no cobijada con la limitación, (…)”. </w:t>
      </w:r>
      <w:r w:rsidRPr="00BD46D0">
        <w:rPr>
          <w:rFonts w:ascii="Verdana" w:eastAsia="Arial" w:hAnsi="Verdana" w:cs="Arial"/>
          <w:lang w:eastAsia="es-ES" w:bidi="es-ES"/>
        </w:rPr>
        <w:t>Por tal motivo, para efectos de decretar la medida de suspensión provisional de los apartes señalados del numeral 16.2 de la Circular Externa Única, argumentó que “</w:t>
      </w:r>
      <w:r w:rsidRPr="00BD46D0">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BD46D0">
        <w:rPr>
          <w:rFonts w:ascii="Verdana" w:eastAsia="Arial" w:hAnsi="Verdana" w:cs="Arial"/>
          <w:lang w:eastAsia="es-ES" w:bidi="es-ES"/>
        </w:rPr>
        <w:t xml:space="preserve">”. </w:t>
      </w:r>
    </w:p>
    <w:p w14:paraId="1C44F658" w14:textId="2E0BB458" w:rsidR="00BD46D0" w:rsidRDefault="00BD46D0" w:rsidP="00BD46D0">
      <w:pPr>
        <w:spacing w:after="120" w:line="276" w:lineRule="auto"/>
        <w:ind w:firstLine="708"/>
        <w:jc w:val="both"/>
        <w:rPr>
          <w:rFonts w:ascii="Verdana" w:eastAsia="Arial" w:hAnsi="Verdana" w:cs="Arial"/>
          <w:lang w:eastAsia="es-ES" w:bidi="es-ES"/>
        </w:rPr>
      </w:pPr>
      <w:r w:rsidRPr="00BD46D0">
        <w:rPr>
          <w:rFonts w:ascii="Verdana" w:eastAsia="Arial" w:hAnsi="Verdana" w:cs="Arial"/>
          <w:lang w:eastAsia="es-ES" w:bidi="es-ES"/>
        </w:rPr>
        <w:t>Bajo este contexto, esta Agencia debe manifestar que, si bien respeta y acata las decisiones proferidas por el Consejo de Estado, como es el caso del auto de suspensión provisional parcial del numeral 16.2 de la Circular Externa Única,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evitar cualquier tipo de arbitrariedad, de ventaja injustificada, de uso irregular de los recursos del Estado en las campañas políticas, o que los recursos del Estado se ejecuten para lograr apoyos indebidos mediante la suscripción de contratos y/o convenios, que para efectos de la Ley de Garantías tienen la misma connotación y propósitos.</w:t>
      </w:r>
    </w:p>
    <w:p w14:paraId="029BB018" w14:textId="77777777" w:rsidR="00E84431" w:rsidRDefault="00E84431" w:rsidP="00BD46D0">
      <w:pPr>
        <w:spacing w:after="120" w:line="276" w:lineRule="auto"/>
        <w:ind w:firstLine="708"/>
        <w:jc w:val="both"/>
        <w:rPr>
          <w:rFonts w:ascii="Verdana" w:eastAsia="Arial" w:hAnsi="Verdana" w:cs="Arial"/>
          <w:lang w:eastAsia="es-ES" w:bidi="es-ES"/>
        </w:rPr>
      </w:pPr>
      <w:r w:rsidRPr="00E84431">
        <w:rPr>
          <w:rFonts w:ascii="Verdana" w:eastAsia="Arial" w:hAnsi="Verdana" w:cs="Arial"/>
          <w:lang w:eastAsia="es-ES" w:bidi="es-ES"/>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16.2 de la Circular Externa Única. Al señalar que los contratos interadministrativos deberían estar sujetos a las restricciones consagradas en el parágrafo del artículo 38, la Agencia busca proteger la transparencia, igualdad e integridad del proceso electoral. Así las cosas, a la fecha, se espera la decisión final respecto a la declaratoria de nulidad del numeral 16.2 de la Circular Externa Única que adopte el Consejo de Estado. </w:t>
      </w:r>
    </w:p>
    <w:p w14:paraId="744B8265" w14:textId="77777777" w:rsidR="001F242D" w:rsidRDefault="00E84431" w:rsidP="00BD46D0">
      <w:pPr>
        <w:spacing w:after="120" w:line="276" w:lineRule="auto"/>
        <w:ind w:firstLine="708"/>
        <w:jc w:val="both"/>
        <w:rPr>
          <w:rFonts w:ascii="Verdana" w:eastAsia="Arial" w:hAnsi="Verdana" w:cs="Arial"/>
          <w:lang w:eastAsia="es-ES" w:bidi="es-ES"/>
        </w:rPr>
      </w:pPr>
      <w:r w:rsidRPr="00E84431">
        <w:rPr>
          <w:rFonts w:ascii="Verdana" w:eastAsia="Arial" w:hAnsi="Verdana" w:cs="Arial"/>
          <w:lang w:eastAsia="es-ES" w:bidi="es-ES"/>
        </w:rPr>
        <w:t xml:space="preserve">De esta manera, se observa entonces que el parágrafo del artículo 38 de la Ley 996 de 2005 prohíbe a los Alcaldes, Gobernadores, Secretarios, Gerentes y Directores de las entidades del orden municipal, departamental o distrital celebrar convenios </w:t>
      </w:r>
      <w:r w:rsidRPr="00C53DF6">
        <w:rPr>
          <w:rFonts w:ascii="Verdana" w:eastAsia="Arial" w:hAnsi="Verdana" w:cs="Arial"/>
          <w:i/>
          <w:iCs/>
          <w:lang w:eastAsia="es-ES" w:bidi="es-ES"/>
        </w:rPr>
        <w:t>interadministrativos</w:t>
      </w:r>
      <w:r w:rsidRPr="00E84431">
        <w:rPr>
          <w:rFonts w:ascii="Verdana" w:eastAsia="Arial" w:hAnsi="Verdana" w:cs="Arial"/>
          <w:lang w:eastAsia="es-ES" w:bidi="es-ES"/>
        </w:rPr>
        <w:t xml:space="preserve"> para la ejecución de recursos públicos. En este sentido, si una o ambas partes de la relación contractual es una entidad de aquellas descritas en el parágrafo </w:t>
      </w:r>
      <w:r w:rsidRPr="00890EB2">
        <w:rPr>
          <w:rFonts w:ascii="Verdana" w:eastAsia="Arial" w:hAnsi="Verdana" w:cs="Arial"/>
          <w:i/>
          <w:iCs/>
          <w:lang w:eastAsia="es-ES" w:bidi="es-ES"/>
        </w:rPr>
        <w:t>ibidem</w:t>
      </w:r>
      <w:r w:rsidRPr="00E84431">
        <w:rPr>
          <w:rFonts w:ascii="Verdana" w:eastAsia="Arial" w:hAnsi="Verdana" w:cs="Arial"/>
          <w:lang w:eastAsia="es-ES" w:bidi="es-ES"/>
        </w:rPr>
        <w:t xml:space="preserve">, no podrá celebrar tales </w:t>
      </w:r>
      <w:r w:rsidRPr="00890EB2">
        <w:rPr>
          <w:rFonts w:ascii="Verdana" w:eastAsia="Arial" w:hAnsi="Verdana" w:cs="Arial"/>
          <w:i/>
          <w:iCs/>
          <w:lang w:eastAsia="es-ES" w:bidi="es-ES"/>
        </w:rPr>
        <w:t>convenios</w:t>
      </w:r>
      <w:r w:rsidR="001F242D">
        <w:rPr>
          <w:rFonts w:ascii="Verdana" w:eastAsia="Arial" w:hAnsi="Verdana" w:cs="Arial"/>
          <w:i/>
          <w:iCs/>
          <w:lang w:eastAsia="es-ES" w:bidi="es-ES"/>
        </w:rPr>
        <w:t xml:space="preserve"> </w:t>
      </w:r>
      <w:r w:rsidR="001F242D" w:rsidRPr="001F242D">
        <w:rPr>
          <w:rFonts w:ascii="Verdana" w:eastAsia="Arial" w:hAnsi="Verdana" w:cs="Arial"/>
          <w:lang w:eastAsia="es-ES" w:bidi="es-ES"/>
        </w:rPr>
        <w:lastRenderedPageBreak/>
        <w:t xml:space="preserve">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0C4F0435" w14:textId="62F1D4C2" w:rsidR="00E84431" w:rsidRDefault="001F242D" w:rsidP="00BD46D0">
      <w:pPr>
        <w:spacing w:after="120" w:line="276" w:lineRule="auto"/>
        <w:ind w:firstLine="708"/>
        <w:jc w:val="both"/>
        <w:rPr>
          <w:rFonts w:ascii="Verdana" w:eastAsia="Arial" w:hAnsi="Verdana" w:cs="Arial"/>
          <w:lang w:eastAsia="es-ES" w:bidi="es-ES"/>
        </w:rPr>
      </w:pPr>
      <w:r w:rsidRPr="001F242D">
        <w:rPr>
          <w:rFonts w:ascii="Verdana" w:eastAsia="Arial" w:hAnsi="Verdana" w:cs="Arial"/>
          <w:lang w:eastAsia="es-ES" w:bidi="es-ES"/>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E2397D">
        <w:rPr>
          <w:rFonts w:ascii="Verdana" w:eastAsia="Arial" w:hAnsi="Verdana" w:cs="Arial"/>
          <w:sz w:val="20"/>
          <w:szCs w:val="20"/>
          <w:vertAlign w:val="superscript"/>
          <w:lang w:eastAsia="es-ES" w:bidi="es-ES"/>
        </w:rPr>
        <w:footnoteReference w:id="15"/>
      </w:r>
      <w:r w:rsidRPr="001F242D">
        <w:rPr>
          <w:rFonts w:ascii="Verdana" w:eastAsia="Arial" w:hAnsi="Verdana" w:cs="Arial"/>
          <w:lang w:eastAsia="es-ES" w:bidi="es-ES"/>
        </w:rPr>
        <w:t>.</w:t>
      </w:r>
    </w:p>
    <w:p w14:paraId="5DDEEFF1" w14:textId="77777777" w:rsidR="00A35927" w:rsidRDefault="00A35927" w:rsidP="00A35927">
      <w:pPr>
        <w:spacing w:after="120" w:line="276" w:lineRule="auto"/>
        <w:jc w:val="both"/>
        <w:rPr>
          <w:rFonts w:ascii="Verdana" w:eastAsia="Arial" w:hAnsi="Verdana" w:cs="Arial"/>
          <w:lang w:eastAsia="es-ES" w:bidi="es-ES"/>
        </w:rPr>
      </w:pPr>
      <w:r w:rsidRPr="00A35927">
        <w:rPr>
          <w:rFonts w:ascii="Verdana" w:eastAsia="Arial" w:hAnsi="Verdana" w:cs="Arial"/>
          <w:lang w:eastAsia="es-ES" w:bidi="es-ES"/>
        </w:rPr>
        <w:t xml:space="preserve">iv)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 </w:t>
      </w:r>
    </w:p>
    <w:p w14:paraId="70E1D9D3" w14:textId="4808542C" w:rsidR="00A34C1E" w:rsidRPr="00A94B0C" w:rsidRDefault="00A35927" w:rsidP="00A34C1E">
      <w:pPr>
        <w:spacing w:after="120" w:line="276" w:lineRule="auto"/>
        <w:ind w:left="708"/>
        <w:jc w:val="both"/>
        <w:rPr>
          <w:rFonts w:ascii="Verdana" w:eastAsia="Arial" w:hAnsi="Verdana" w:cs="Arial"/>
          <w:sz w:val="20"/>
          <w:szCs w:val="20"/>
          <w:lang w:eastAsia="es-ES" w:bidi="es-ES"/>
        </w:rPr>
      </w:pPr>
      <w:r w:rsidRPr="00A94B0C">
        <w:rPr>
          <w:rFonts w:ascii="Verdana" w:eastAsia="Arial" w:hAnsi="Verdana" w:cs="Arial"/>
          <w:sz w:val="20"/>
          <w:szCs w:val="20"/>
          <w:lang w:eastAsia="es-ES" w:bidi="es-ES"/>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00A34C1E" w:rsidRPr="00A94B0C">
        <w:rPr>
          <w:rFonts w:ascii="Verdana" w:eastAsia="Arial" w:hAnsi="Verdana" w:cs="Arial"/>
          <w:sz w:val="20"/>
          <w:szCs w:val="20"/>
          <w:vertAlign w:val="superscript"/>
          <w:lang w:eastAsia="es-ES" w:bidi="es-ES"/>
        </w:rPr>
        <w:footnoteReference w:id="16"/>
      </w:r>
      <w:r w:rsidRPr="00A94B0C">
        <w:rPr>
          <w:rFonts w:ascii="Verdana" w:eastAsia="Arial" w:hAnsi="Verdana" w:cs="Arial"/>
          <w:sz w:val="20"/>
          <w:szCs w:val="20"/>
          <w:lang w:eastAsia="es-ES" w:bidi="es-ES"/>
        </w:rPr>
        <w:t xml:space="preserve">. </w:t>
      </w:r>
    </w:p>
    <w:p w14:paraId="255F6D57" w14:textId="6FF82E37" w:rsidR="00A35927" w:rsidRPr="00A94B0C" w:rsidRDefault="00A35927" w:rsidP="00A34C1E">
      <w:pPr>
        <w:spacing w:after="120" w:line="276" w:lineRule="auto"/>
        <w:ind w:left="708"/>
        <w:jc w:val="both"/>
        <w:rPr>
          <w:rFonts w:ascii="Verdana" w:eastAsia="Arial" w:hAnsi="Verdana" w:cs="Arial"/>
          <w:sz w:val="20"/>
          <w:szCs w:val="20"/>
          <w:lang w:eastAsia="es-ES" w:bidi="es-ES"/>
        </w:rPr>
      </w:pPr>
      <w:r w:rsidRPr="00A94B0C">
        <w:rPr>
          <w:rFonts w:ascii="Verdana" w:eastAsia="Arial" w:hAnsi="Verdana" w:cs="Arial"/>
          <w:sz w:val="20"/>
          <w:szCs w:val="20"/>
          <w:lang w:eastAsia="es-ES" w:bidi="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w:t>
      </w:r>
      <w:r w:rsidR="008B6537" w:rsidRPr="00A94B0C">
        <w:rPr>
          <w:rFonts w:ascii="Verdana" w:eastAsia="Arial" w:hAnsi="Verdana" w:cs="Arial"/>
          <w:sz w:val="20"/>
          <w:szCs w:val="20"/>
          <w:lang w:eastAsia="es-ES" w:bidi="es-ES"/>
        </w:rPr>
        <w:t xml:space="preserve"> </w:t>
      </w:r>
      <w:r w:rsidR="008B6537" w:rsidRPr="00A94B0C">
        <w:rPr>
          <w:rFonts w:ascii="Verdana" w:eastAsia="Arial" w:hAnsi="Verdana" w:cs="Arial"/>
          <w:sz w:val="20"/>
          <w:szCs w:val="20"/>
          <w:lang w:eastAsia="es-ES" w:bidi="es-ES"/>
        </w:rPr>
        <w:t>pública o concurso</w:t>
      </w:r>
      <w:r w:rsidR="008B6537" w:rsidRPr="00A94B0C">
        <w:rPr>
          <w:rFonts w:ascii="Verdana" w:eastAsia="Arial" w:hAnsi="Verdana" w:cs="Arial"/>
          <w:sz w:val="20"/>
          <w:szCs w:val="20"/>
          <w:vertAlign w:val="superscript"/>
          <w:lang w:eastAsia="es-ES" w:bidi="es-ES"/>
        </w:rPr>
        <w:footnoteReference w:id="17"/>
      </w:r>
      <w:r w:rsidR="008B6537" w:rsidRPr="00A94B0C">
        <w:rPr>
          <w:rFonts w:ascii="Verdana" w:eastAsia="Arial" w:hAnsi="Verdana" w:cs="Arial"/>
          <w:sz w:val="20"/>
          <w:szCs w:val="20"/>
          <w:lang w:eastAsia="es-ES" w:bidi="es-ES"/>
        </w:rPr>
        <w:t xml:space="preserve">. Por tanto, no son materia de la prohibición las demás modalidades de selección previstas en la ley 1150 de 2007, siendo estas, la licitación pública, el concurso de méritos y la selección abreviada, </w:t>
      </w:r>
      <w:r w:rsidR="008B6537" w:rsidRPr="00A94B0C">
        <w:rPr>
          <w:rFonts w:ascii="Verdana" w:eastAsia="Arial" w:hAnsi="Verdana" w:cs="Arial"/>
          <w:sz w:val="20"/>
          <w:szCs w:val="20"/>
          <w:lang w:eastAsia="es-ES" w:bidi="es-ES"/>
        </w:rPr>
        <w:lastRenderedPageBreak/>
        <w:t>razón por la cual en ese periodo preelectoral de que trata la disposición pueden las entidades públicas seguir contratando bajo estos sistemas. [...]</w:t>
      </w:r>
      <w:r w:rsidR="008B6537" w:rsidRPr="00A94B0C">
        <w:rPr>
          <w:rFonts w:ascii="Verdana" w:eastAsia="Arial" w:hAnsi="Verdana" w:cs="Arial"/>
          <w:sz w:val="20"/>
          <w:szCs w:val="20"/>
          <w:vertAlign w:val="superscript"/>
          <w:lang w:eastAsia="es-ES" w:bidi="es-ES"/>
        </w:rPr>
        <w:footnoteReference w:id="18"/>
      </w:r>
      <w:r w:rsidR="008B6537" w:rsidRPr="00A94B0C">
        <w:rPr>
          <w:rFonts w:ascii="Verdana" w:eastAsia="Arial" w:hAnsi="Verdana" w:cs="Arial"/>
          <w:sz w:val="20"/>
          <w:szCs w:val="20"/>
          <w:lang w:eastAsia="es-ES" w:bidi="es-ES"/>
        </w:rPr>
        <w:t>.</w:t>
      </w:r>
    </w:p>
    <w:p w14:paraId="52B809F1" w14:textId="4A3999EF" w:rsidR="00393504" w:rsidRPr="00393504" w:rsidRDefault="00393504" w:rsidP="00393504">
      <w:pPr>
        <w:spacing w:after="120" w:line="276" w:lineRule="auto"/>
        <w:ind w:firstLine="708"/>
        <w:jc w:val="both"/>
        <w:rPr>
          <w:rFonts w:ascii="Verdana" w:eastAsia="Arial" w:hAnsi="Verdana" w:cs="Arial"/>
          <w:lang w:eastAsia="es-ES" w:bidi="es-ES"/>
        </w:rPr>
      </w:pPr>
      <w:r w:rsidRPr="00393504">
        <w:rPr>
          <w:rFonts w:ascii="Verdana" w:eastAsia="Arial" w:hAnsi="Verdana" w:cs="Arial"/>
          <w:lang w:eastAsia="es-ES" w:bidi="es-ES"/>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w:t>
      </w:r>
      <w:r w:rsidRPr="001860ED">
        <w:rPr>
          <w:rFonts w:ascii="Verdana" w:eastAsia="Arial" w:hAnsi="Verdana" w:cs="Arial"/>
          <w:sz w:val="21"/>
          <w:szCs w:val="21"/>
          <w:vertAlign w:val="superscript"/>
          <w:lang w:eastAsia="es-ES" w:bidi="es-ES"/>
        </w:rPr>
        <w:footnoteReference w:id="19"/>
      </w:r>
      <w:r>
        <w:rPr>
          <w:rFonts w:ascii="Verdana" w:eastAsia="Arial" w:hAnsi="Verdana" w:cs="Arial"/>
          <w:sz w:val="21"/>
          <w:szCs w:val="21"/>
          <w:lang w:eastAsia="es-ES" w:bidi="es-ES"/>
        </w:rPr>
        <w:t xml:space="preserve"> </w:t>
      </w:r>
      <w:r w:rsidRPr="00393504">
        <w:rPr>
          <w:rFonts w:ascii="Verdana" w:eastAsia="Arial" w:hAnsi="Verdana" w:cs="Arial"/>
          <w:lang w:eastAsia="es-ES" w:bidi="es-ES"/>
        </w:rPr>
        <w:t>y sistematizó las causales de contratación directa</w:t>
      </w:r>
      <w:r w:rsidRPr="001860ED">
        <w:rPr>
          <w:rFonts w:ascii="Verdana" w:eastAsia="Arial" w:hAnsi="Verdana" w:cs="Arial"/>
          <w:sz w:val="21"/>
          <w:szCs w:val="21"/>
          <w:vertAlign w:val="superscript"/>
          <w:lang w:eastAsia="es-ES" w:bidi="es-ES"/>
        </w:rPr>
        <w:footnoteReference w:id="20"/>
      </w:r>
      <w:r w:rsidRPr="00393504">
        <w:rPr>
          <w:rFonts w:ascii="Verdana" w:eastAsia="Arial" w:hAnsi="Verdana" w:cs="Arial"/>
          <w:lang w:eastAsia="es-ES" w:bidi="es-ES"/>
        </w:rPr>
        <w:t xml:space="preserve">, además lo es con la posterior creación de la modalidad de mínima cuantía establecida actualmente en el numeral 5 del artículo 2 de la Ley 1150 de 2007, de acuerdo con las modificaciones realizadas por leyes posteriores. </w:t>
      </w:r>
    </w:p>
    <w:p w14:paraId="293A6196" w14:textId="77777777" w:rsidR="009438AA" w:rsidRDefault="00393504" w:rsidP="00393504">
      <w:pPr>
        <w:spacing w:after="120" w:line="276" w:lineRule="auto"/>
        <w:ind w:firstLine="708"/>
        <w:jc w:val="both"/>
        <w:rPr>
          <w:rFonts w:ascii="Verdana" w:eastAsia="Arial" w:hAnsi="Verdana" w:cs="Arial"/>
          <w:lang w:eastAsia="es-ES" w:bidi="es-ES"/>
        </w:rPr>
      </w:pPr>
      <w:r w:rsidRPr="00393504">
        <w:rPr>
          <w:rFonts w:ascii="Verdana" w:eastAsia="Arial" w:hAnsi="Verdana" w:cs="Arial"/>
          <w:lang w:eastAsia="es-ES" w:bidi="es-ES"/>
        </w:rPr>
        <w:t>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860ED">
        <w:rPr>
          <w:rFonts w:ascii="Verdana" w:eastAsia="Arial" w:hAnsi="Verdana" w:cs="Arial"/>
          <w:sz w:val="21"/>
          <w:szCs w:val="21"/>
          <w:vertAlign w:val="superscript"/>
          <w:lang w:eastAsia="es-ES" w:bidi="es-ES"/>
        </w:rPr>
        <w:footnoteReference w:id="21"/>
      </w:r>
      <w:r w:rsidRPr="00393504">
        <w:rPr>
          <w:rFonts w:ascii="Verdana" w:eastAsia="Arial" w:hAnsi="Verdana" w:cs="Arial"/>
          <w:lang w:eastAsia="es-ES" w:bidi="es-ES"/>
        </w:rPr>
        <w:t>, han establecido sistemas de</w:t>
      </w:r>
      <w:r w:rsidR="009438AA">
        <w:rPr>
          <w:rFonts w:ascii="Verdana" w:eastAsia="Arial" w:hAnsi="Verdana" w:cs="Arial"/>
          <w:lang w:eastAsia="es-ES" w:bidi="es-ES"/>
        </w:rPr>
        <w:t xml:space="preserve"> </w:t>
      </w:r>
      <w:r w:rsidR="009438AA" w:rsidRPr="009438AA">
        <w:rPr>
          <w:rFonts w:ascii="Verdana" w:eastAsia="Arial" w:hAnsi="Verdana" w:cs="Arial"/>
          <w:lang w:eastAsia="es-ES" w:bidi="es-ES"/>
        </w:rPr>
        <w:t xml:space="preserve">contratación que implican convocatoria pública y participación de varios oferentes». </w:t>
      </w:r>
    </w:p>
    <w:p w14:paraId="2D51AF63" w14:textId="77777777" w:rsidR="000B6918" w:rsidRDefault="009438AA" w:rsidP="00393504">
      <w:pPr>
        <w:spacing w:after="120" w:line="276" w:lineRule="auto"/>
        <w:ind w:firstLine="708"/>
        <w:jc w:val="both"/>
        <w:rPr>
          <w:rFonts w:ascii="Verdana" w:eastAsia="Arial" w:hAnsi="Verdana" w:cs="Arial"/>
          <w:lang w:eastAsia="es-ES" w:bidi="es-ES"/>
        </w:rPr>
      </w:pPr>
      <w:r w:rsidRPr="009438AA">
        <w:rPr>
          <w:rFonts w:ascii="Verdana" w:eastAsia="Arial" w:hAnsi="Verdana" w:cs="Arial"/>
          <w:lang w:eastAsia="es-ES" w:bidi="es-ES"/>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9438AA">
        <w:rPr>
          <w:rFonts w:ascii="Verdana" w:eastAsia="Arial" w:hAnsi="Verdana" w:cs="Arial"/>
          <w:lang w:eastAsia="es-ES" w:bidi="es-ES"/>
        </w:rPr>
        <w:lastRenderedPageBreak/>
        <w:t>inscribirse en forma previa se haga de manera pública, y que se permita la participación de una pluralidad de oferentes</w:t>
      </w:r>
      <w:r w:rsidRPr="001860ED">
        <w:rPr>
          <w:rFonts w:ascii="Verdana" w:eastAsia="Arial" w:hAnsi="Verdana" w:cs="Arial"/>
          <w:sz w:val="21"/>
          <w:szCs w:val="21"/>
          <w:vertAlign w:val="superscript"/>
          <w:lang w:eastAsia="es-ES" w:bidi="es-ES"/>
        </w:rPr>
        <w:footnoteReference w:id="22"/>
      </w:r>
      <w:r>
        <w:rPr>
          <w:rFonts w:ascii="Verdana" w:eastAsia="Arial" w:hAnsi="Verdana" w:cs="Arial"/>
          <w:lang w:eastAsia="es-ES" w:bidi="es-ES"/>
        </w:rPr>
        <w:t>.</w:t>
      </w:r>
      <w:r w:rsidRPr="009438AA">
        <w:rPr>
          <w:rFonts w:ascii="Verdana" w:eastAsia="Arial" w:hAnsi="Verdana" w:cs="Arial"/>
          <w:lang w:eastAsia="es-ES" w:bidi="es-ES"/>
        </w:rPr>
        <w:t xml:space="preserve"> </w:t>
      </w:r>
    </w:p>
    <w:p w14:paraId="04CEA768" w14:textId="77777777" w:rsidR="000B6918" w:rsidRDefault="009438AA" w:rsidP="00393504">
      <w:pPr>
        <w:spacing w:after="120" w:line="276" w:lineRule="auto"/>
        <w:ind w:firstLine="708"/>
        <w:jc w:val="both"/>
        <w:rPr>
          <w:rFonts w:ascii="Verdana" w:eastAsia="Arial" w:hAnsi="Verdana" w:cs="Arial"/>
          <w:lang w:eastAsia="es-ES" w:bidi="es-ES"/>
        </w:rPr>
      </w:pPr>
      <w:r w:rsidRPr="009438AA">
        <w:rPr>
          <w:rFonts w:ascii="Verdana" w:eastAsia="Arial" w:hAnsi="Verdana" w:cs="Arial"/>
          <w:lang w:eastAsia="es-ES" w:bidi="es-ES"/>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 </w:t>
      </w:r>
    </w:p>
    <w:p w14:paraId="49B079DB" w14:textId="31C2449A" w:rsidR="00393504" w:rsidRDefault="009438AA" w:rsidP="00393504">
      <w:pPr>
        <w:spacing w:after="120" w:line="276" w:lineRule="auto"/>
        <w:ind w:firstLine="708"/>
        <w:jc w:val="both"/>
        <w:rPr>
          <w:rFonts w:ascii="Verdana" w:eastAsia="Arial" w:hAnsi="Verdana" w:cs="Arial"/>
          <w:lang w:eastAsia="es-ES" w:bidi="es-ES"/>
        </w:rPr>
      </w:pPr>
      <w:r w:rsidRPr="009438AA">
        <w:rPr>
          <w:rFonts w:ascii="Verdana" w:eastAsia="Arial" w:hAnsi="Verdana" w:cs="Arial"/>
          <w:lang w:eastAsia="es-ES" w:bidi="es-ES"/>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1860ED">
        <w:rPr>
          <w:rFonts w:ascii="Verdana" w:eastAsia="Arial" w:hAnsi="Verdana" w:cs="Arial"/>
          <w:sz w:val="21"/>
          <w:szCs w:val="21"/>
          <w:vertAlign w:val="superscript"/>
          <w:lang w:eastAsia="es-ES" w:bidi="es-ES"/>
        </w:rPr>
        <w:footnoteReference w:id="23"/>
      </w:r>
      <w:r w:rsidRPr="009438AA">
        <w:rPr>
          <w:rFonts w:ascii="Verdana" w:eastAsia="Arial" w:hAnsi="Verdana" w:cs="Arial"/>
          <w:lang w:eastAsia="es-ES" w:bidi="es-ES"/>
        </w:rPr>
        <w:t>.</w:t>
      </w:r>
    </w:p>
    <w:p w14:paraId="43618777" w14:textId="77777777" w:rsidR="00FE1ADE" w:rsidRDefault="007210B4" w:rsidP="00393504">
      <w:pPr>
        <w:spacing w:after="120" w:line="276" w:lineRule="auto"/>
        <w:ind w:firstLine="708"/>
        <w:jc w:val="both"/>
        <w:rPr>
          <w:rFonts w:ascii="Verdana" w:eastAsia="Arial" w:hAnsi="Verdana" w:cs="Arial"/>
          <w:lang w:eastAsia="es-ES" w:bidi="es-ES"/>
        </w:rPr>
      </w:pPr>
      <w:r w:rsidRPr="007210B4">
        <w:rPr>
          <w:rFonts w:ascii="Verdana" w:eastAsia="Arial" w:hAnsi="Verdana" w:cs="Arial"/>
          <w:lang w:eastAsia="es-ES" w:bidi="es-ES"/>
        </w:rPr>
        <w:t>De lo anterior se desprende que la restricción aplica, sin perjuicio de las excepciones establecidas en la misma ley,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w:t>
      </w:r>
      <w:r w:rsidR="0069328F">
        <w:rPr>
          <w:rFonts w:ascii="Verdana" w:eastAsia="Arial" w:hAnsi="Verdana" w:cs="Arial"/>
          <w:lang w:eastAsia="es-ES" w:bidi="es-ES"/>
        </w:rPr>
        <w:t xml:space="preserve"> </w:t>
      </w:r>
      <w:r w:rsidR="0069328F" w:rsidRPr="0069328F">
        <w:rPr>
          <w:rFonts w:ascii="Verdana" w:eastAsia="Arial" w:hAnsi="Verdana" w:cs="Arial"/>
          <w:lang w:eastAsia="es-ES" w:bidi="es-ES"/>
        </w:rPr>
        <w:t xml:space="preserve">preelectoral de que trata la disposición las entidades públicas pueden seguir contratando bajo estos sistemas. </w:t>
      </w:r>
    </w:p>
    <w:p w14:paraId="25392D08" w14:textId="233F2F27" w:rsidR="00FE1ADE" w:rsidRDefault="0069328F" w:rsidP="00393504">
      <w:pPr>
        <w:spacing w:after="120" w:line="276" w:lineRule="auto"/>
        <w:ind w:firstLine="708"/>
        <w:jc w:val="both"/>
        <w:rPr>
          <w:rFonts w:ascii="Verdana" w:eastAsia="Arial" w:hAnsi="Verdana" w:cs="Arial"/>
          <w:lang w:eastAsia="es-ES" w:bidi="es-ES"/>
        </w:rPr>
      </w:pPr>
      <w:r w:rsidRPr="0069328F">
        <w:rPr>
          <w:rFonts w:ascii="Verdana" w:eastAsia="Arial" w:hAnsi="Verdana" w:cs="Arial"/>
          <w:lang w:eastAsia="es-ES" w:bidi="es-ES"/>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1860ED">
        <w:rPr>
          <w:rFonts w:ascii="Verdana" w:eastAsia="Arial" w:hAnsi="Verdana" w:cs="Arial"/>
          <w:sz w:val="21"/>
          <w:szCs w:val="21"/>
          <w:vertAlign w:val="superscript"/>
          <w:lang w:eastAsia="es-ES" w:bidi="es-ES"/>
        </w:rPr>
        <w:footnoteReference w:id="24"/>
      </w:r>
      <w:r w:rsidRPr="0069328F">
        <w:rPr>
          <w:rFonts w:ascii="Verdana" w:eastAsia="Arial" w:hAnsi="Verdana" w:cs="Arial"/>
          <w:lang w:eastAsia="es-ES" w:bidi="es-ES"/>
        </w:rPr>
        <w:t xml:space="preserve">. </w:t>
      </w:r>
      <w:r w:rsidRPr="0069328F">
        <w:rPr>
          <w:rFonts w:ascii="Verdana" w:eastAsia="Arial" w:hAnsi="Verdana" w:cs="Arial"/>
          <w:lang w:eastAsia="es-ES" w:bidi="es-ES"/>
        </w:rPr>
        <w:lastRenderedPageBreak/>
        <w:t xml:space="preserve">Además, también es posible que contratos celebrados previamente se continúen ejecutando con normalidad. </w:t>
      </w:r>
    </w:p>
    <w:p w14:paraId="15513641" w14:textId="77777777" w:rsidR="00BE0896" w:rsidRDefault="0069328F" w:rsidP="00393504">
      <w:pPr>
        <w:spacing w:after="120" w:line="276" w:lineRule="auto"/>
        <w:ind w:firstLine="708"/>
        <w:jc w:val="both"/>
        <w:rPr>
          <w:rFonts w:ascii="Verdana" w:eastAsia="Arial" w:hAnsi="Verdana" w:cs="Arial"/>
          <w:lang w:eastAsia="es-ES" w:bidi="es-ES"/>
        </w:rPr>
      </w:pPr>
      <w:r w:rsidRPr="0069328F">
        <w:rPr>
          <w:rFonts w:ascii="Verdana" w:eastAsia="Arial" w:hAnsi="Verdana" w:cs="Arial"/>
          <w:lang w:eastAsia="es-ES" w:bidi="es-ES"/>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9328F">
        <w:rPr>
          <w:rFonts w:ascii="Verdana" w:eastAsia="Arial" w:hAnsi="Verdana" w:cs="Arial"/>
          <w:lang w:eastAsia="es-ES" w:bidi="es-ES"/>
        </w:rPr>
        <w:t>ii</w:t>
      </w:r>
      <w:proofErr w:type="spellEnd"/>
      <w:r w:rsidRPr="0069328F">
        <w:rPr>
          <w:rFonts w:ascii="Verdana" w:eastAsia="Arial" w:hAnsi="Verdana" w:cs="Arial"/>
          <w:lang w:eastAsia="es-ES" w:bidi="es-ES"/>
        </w:rPr>
        <w:t xml:space="preserve">) los contratos de crédito público; </w:t>
      </w:r>
      <w:proofErr w:type="spellStart"/>
      <w:r w:rsidRPr="0069328F">
        <w:rPr>
          <w:rFonts w:ascii="Verdana" w:eastAsia="Arial" w:hAnsi="Verdana" w:cs="Arial"/>
          <w:lang w:eastAsia="es-ES" w:bidi="es-ES"/>
        </w:rPr>
        <w:t>iii</w:t>
      </w:r>
      <w:proofErr w:type="spellEnd"/>
      <w:r w:rsidRPr="0069328F">
        <w:rPr>
          <w:rFonts w:ascii="Verdana" w:eastAsia="Arial" w:hAnsi="Verdana" w:cs="Arial"/>
          <w:lang w:eastAsia="es-ES" w:bidi="es-ES"/>
        </w:rPr>
        <w:t xml:space="preserve">)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2D8996DC" w14:textId="7DDF6282" w:rsidR="00BE0896" w:rsidRDefault="00BE0896" w:rsidP="00D37044">
      <w:pPr>
        <w:spacing w:after="120" w:line="276" w:lineRule="auto"/>
        <w:ind w:firstLine="708"/>
        <w:jc w:val="both"/>
        <w:rPr>
          <w:rFonts w:ascii="Verdana" w:eastAsia="Arial" w:hAnsi="Verdana" w:cs="Arial"/>
          <w:lang w:eastAsia="es-ES" w:bidi="es-ES"/>
        </w:rPr>
      </w:pPr>
      <w:r w:rsidRPr="00BE0896">
        <w:rPr>
          <w:rFonts w:ascii="Verdana" w:eastAsia="Arial" w:hAnsi="Verdana" w:cs="Arial"/>
          <w:lang w:eastAsia="es-ES" w:bidi="es-ES"/>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BE0896">
        <w:rPr>
          <w:rFonts w:ascii="Verdana" w:eastAsia="Arial" w:hAnsi="Verdana" w:cs="Arial"/>
          <w:sz w:val="21"/>
          <w:szCs w:val="21"/>
          <w:vertAlign w:val="superscript"/>
          <w:lang w:eastAsia="es-ES" w:bidi="es-ES"/>
        </w:rPr>
        <w:t xml:space="preserve"> </w:t>
      </w:r>
      <w:r w:rsidRPr="001860ED">
        <w:rPr>
          <w:rFonts w:ascii="Verdana" w:eastAsia="Arial" w:hAnsi="Verdana" w:cs="Arial"/>
          <w:sz w:val="21"/>
          <w:szCs w:val="21"/>
          <w:vertAlign w:val="superscript"/>
          <w:lang w:eastAsia="es-ES" w:bidi="es-ES"/>
        </w:rPr>
        <w:footnoteReference w:id="25"/>
      </w:r>
      <w:r w:rsidRPr="009438AA">
        <w:rPr>
          <w:rFonts w:ascii="Verdana" w:eastAsia="Arial" w:hAnsi="Verdana" w:cs="Arial"/>
          <w:lang w:eastAsia="es-ES" w:bidi="es-ES"/>
        </w:rPr>
        <w:t>.</w:t>
      </w:r>
      <w:r w:rsidRPr="00BE0896">
        <w:rPr>
          <w:rFonts w:ascii="Verdana" w:eastAsia="Arial" w:hAnsi="Verdana" w:cs="Arial"/>
          <w:lang w:eastAsia="es-ES" w:bidi="es-ES"/>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D2F48ED" w14:textId="77777777" w:rsidR="00247C46" w:rsidRDefault="00247C46" w:rsidP="00D37044">
      <w:pPr>
        <w:spacing w:after="120" w:line="276" w:lineRule="auto"/>
        <w:ind w:firstLine="708"/>
        <w:jc w:val="both"/>
        <w:rPr>
          <w:rFonts w:ascii="Verdana" w:eastAsia="Arial" w:hAnsi="Verdana" w:cs="Arial"/>
          <w:lang w:eastAsia="es-ES" w:bidi="es-ES"/>
        </w:rPr>
      </w:pPr>
      <w:r w:rsidRPr="00247C46">
        <w:rPr>
          <w:rFonts w:ascii="Verdana" w:eastAsia="Arial" w:hAnsi="Verdana" w:cs="Arial"/>
          <w:lang w:eastAsia="es-ES" w:bidi="es-ES"/>
        </w:rPr>
        <w:t xml:space="preserve">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w:t>
      </w:r>
      <w:r w:rsidRPr="00247C46">
        <w:rPr>
          <w:rFonts w:ascii="Verdana" w:eastAsia="Arial" w:hAnsi="Verdana" w:cs="Arial"/>
          <w:lang w:eastAsia="es-ES" w:bidi="es-ES"/>
        </w:rPr>
        <w:lastRenderedPageBreak/>
        <w:t xml:space="preserve">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La Sala de Consulta y Servicio Civil del Consejo de Estado, en Concepto 1727 de fecha 20 de febrero de 2006, consideró que: </w:t>
      </w:r>
    </w:p>
    <w:p w14:paraId="5048E2DB" w14:textId="0708F5C0" w:rsidR="00247C46" w:rsidRPr="00A94B0C" w:rsidRDefault="00247C46" w:rsidP="00247C46">
      <w:pPr>
        <w:spacing w:after="120" w:line="276" w:lineRule="auto"/>
        <w:ind w:left="708"/>
        <w:jc w:val="both"/>
        <w:rPr>
          <w:rFonts w:ascii="Verdana" w:eastAsia="Arial" w:hAnsi="Verdana" w:cs="Arial"/>
          <w:sz w:val="20"/>
          <w:szCs w:val="20"/>
          <w:lang w:eastAsia="es-ES" w:bidi="es-ES"/>
        </w:rPr>
      </w:pPr>
      <w:r w:rsidRPr="00A94B0C">
        <w:rPr>
          <w:rFonts w:ascii="Verdana" w:eastAsia="Arial" w:hAnsi="Verdana" w:cs="Arial"/>
          <w:sz w:val="20"/>
          <w:szCs w:val="20"/>
          <w:lang w:eastAsia="es-ES" w:bidi="es-ES"/>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003A7610" w:rsidRPr="00A94B0C">
        <w:rPr>
          <w:rFonts w:ascii="Verdana" w:eastAsia="Arial" w:hAnsi="Verdana" w:cs="Arial"/>
          <w:sz w:val="20"/>
          <w:szCs w:val="20"/>
          <w:vertAlign w:val="superscript"/>
          <w:lang w:eastAsia="es-ES" w:bidi="es-ES"/>
        </w:rPr>
        <w:footnoteReference w:id="26"/>
      </w:r>
      <w:r w:rsidR="003A7610" w:rsidRPr="00A94B0C">
        <w:rPr>
          <w:rFonts w:ascii="Verdana" w:eastAsia="Arial" w:hAnsi="Verdana" w:cs="Arial"/>
          <w:sz w:val="20"/>
          <w:szCs w:val="20"/>
          <w:lang w:eastAsia="es-ES" w:bidi="es-ES"/>
        </w:rPr>
        <w:t>.</w:t>
      </w:r>
      <w:r w:rsidRPr="00A94B0C">
        <w:rPr>
          <w:rFonts w:ascii="Verdana" w:eastAsia="Arial" w:hAnsi="Verdana" w:cs="Arial"/>
          <w:sz w:val="20"/>
          <w:szCs w:val="20"/>
          <w:lang w:eastAsia="es-ES" w:bidi="es-ES"/>
        </w:rPr>
        <w:t xml:space="preserve"> </w:t>
      </w:r>
    </w:p>
    <w:p w14:paraId="7CD2827F" w14:textId="51001AB8" w:rsidR="00247C46" w:rsidRDefault="00247C46" w:rsidP="00D37044">
      <w:pPr>
        <w:spacing w:after="120" w:line="276" w:lineRule="auto"/>
        <w:ind w:firstLine="708"/>
        <w:jc w:val="both"/>
        <w:rPr>
          <w:rFonts w:ascii="Verdana" w:eastAsia="Arial" w:hAnsi="Verdana" w:cs="Arial"/>
          <w:lang w:eastAsia="es-ES" w:bidi="es-ES"/>
        </w:rPr>
      </w:pPr>
      <w:r w:rsidRPr="00247C46">
        <w:rPr>
          <w:rFonts w:ascii="Verdana" w:eastAsia="Arial" w:hAnsi="Verdana" w:cs="Arial"/>
          <w:lang w:eastAsia="es-ES" w:bidi="es-ES"/>
        </w:rPr>
        <w:t>De igual forma, en Concepto con radicado 1738 del 6 de abril de 2006, esa misma Corporación manifestó que “Las restricciones de la Ley de Garantías</w:t>
      </w:r>
      <w:r w:rsidR="00A91418">
        <w:rPr>
          <w:rFonts w:ascii="Verdana" w:eastAsia="Arial" w:hAnsi="Verdana" w:cs="Arial"/>
          <w:lang w:eastAsia="es-ES" w:bidi="es-ES"/>
        </w:rPr>
        <w:t xml:space="preserve"> </w:t>
      </w:r>
      <w:r w:rsidR="00A91418" w:rsidRPr="00A91418">
        <w:rPr>
          <w:rFonts w:ascii="Verdana" w:eastAsia="Arial" w:hAnsi="Verdana" w:cs="Arial"/>
          <w:lang w:eastAsia="es-ES" w:bidi="es-ES"/>
        </w:rPr>
        <w:t>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00A91418" w:rsidRPr="00A91418">
        <w:rPr>
          <w:rFonts w:ascii="Verdana" w:eastAsia="Arial" w:hAnsi="Verdana" w:cs="Arial"/>
          <w:sz w:val="21"/>
          <w:szCs w:val="21"/>
          <w:vertAlign w:val="superscript"/>
          <w:lang w:eastAsia="es-ES" w:bidi="es-ES"/>
        </w:rPr>
        <w:t xml:space="preserve"> </w:t>
      </w:r>
      <w:r w:rsidR="00A91418" w:rsidRPr="001860ED">
        <w:rPr>
          <w:rFonts w:ascii="Verdana" w:eastAsia="Arial" w:hAnsi="Verdana" w:cs="Arial"/>
          <w:sz w:val="21"/>
          <w:szCs w:val="21"/>
          <w:vertAlign w:val="superscript"/>
          <w:lang w:eastAsia="es-ES" w:bidi="es-ES"/>
        </w:rPr>
        <w:footnoteReference w:id="27"/>
      </w:r>
      <w:r w:rsidR="00A91418" w:rsidRPr="00A91418">
        <w:rPr>
          <w:rFonts w:ascii="Verdana" w:eastAsia="Arial" w:hAnsi="Verdana" w:cs="Arial"/>
          <w:lang w:eastAsia="es-ES" w:bidi="es-ES"/>
        </w:rPr>
        <w:t>. Además, la Sala de Consulta y Servicio Civil del Consejo de Estado realizó la siguiente distinción, retomando el pronunciamiento de la misma sala del 20 de febrero de 2006, citado anteriormente:</w:t>
      </w:r>
    </w:p>
    <w:p w14:paraId="5ED48F33" w14:textId="77777777" w:rsidR="00A94B0C" w:rsidRPr="00A94B0C" w:rsidRDefault="00F56E8F" w:rsidP="00F56E8F">
      <w:pPr>
        <w:spacing w:after="120" w:line="276" w:lineRule="auto"/>
        <w:ind w:left="708"/>
        <w:jc w:val="both"/>
        <w:rPr>
          <w:rFonts w:ascii="Verdana" w:eastAsia="Arial" w:hAnsi="Verdana" w:cs="Arial"/>
          <w:sz w:val="20"/>
          <w:szCs w:val="20"/>
          <w:lang w:eastAsia="es-ES" w:bidi="es-ES"/>
        </w:rPr>
      </w:pPr>
      <w:r w:rsidRPr="00A94B0C">
        <w:rPr>
          <w:rFonts w:ascii="Verdana" w:eastAsia="Arial" w:hAnsi="Verdana" w:cs="Arial"/>
          <w:sz w:val="20"/>
          <w:szCs w:val="20"/>
          <w:lang w:eastAsia="es-ES" w:bidi="es-ES"/>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w:t>
      </w:r>
      <w:r w:rsidRPr="00A94B0C">
        <w:rPr>
          <w:rFonts w:ascii="Verdana" w:eastAsia="Arial" w:hAnsi="Verdana" w:cs="Arial"/>
          <w:sz w:val="20"/>
          <w:szCs w:val="20"/>
          <w:lang w:eastAsia="es-ES" w:bidi="es-ES"/>
        </w:rPr>
        <w:lastRenderedPageBreak/>
        <w:t xml:space="preserve">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 </w:t>
      </w:r>
    </w:p>
    <w:p w14:paraId="26CEC519" w14:textId="59098F8A" w:rsidR="00F56E8F" w:rsidRDefault="00F56E8F" w:rsidP="00F56E8F">
      <w:pPr>
        <w:spacing w:after="120" w:line="276" w:lineRule="auto"/>
        <w:ind w:left="708"/>
        <w:jc w:val="both"/>
        <w:rPr>
          <w:rFonts w:ascii="Verdana" w:eastAsia="Arial" w:hAnsi="Verdana" w:cs="Arial"/>
          <w:sz w:val="20"/>
          <w:szCs w:val="20"/>
          <w:lang w:eastAsia="es-ES" w:bidi="es-ES"/>
        </w:rPr>
      </w:pPr>
      <w:r w:rsidRPr="00A94B0C">
        <w:rPr>
          <w:rFonts w:ascii="Verdana" w:eastAsia="Arial" w:hAnsi="Verdana" w:cs="Arial"/>
          <w:sz w:val="20"/>
          <w:szCs w:val="20"/>
          <w:lang w:eastAsia="es-ES" w:bidi="es-ES"/>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A94B0C">
        <w:rPr>
          <w:rFonts w:ascii="Verdana" w:eastAsia="Arial" w:hAnsi="Verdana" w:cs="Arial"/>
          <w:sz w:val="20"/>
          <w:szCs w:val="20"/>
          <w:vertAlign w:val="superscript"/>
          <w:lang w:eastAsia="es-ES" w:bidi="es-ES"/>
        </w:rPr>
        <w:footnoteReference w:id="28"/>
      </w:r>
      <w:r w:rsidRPr="00A94B0C">
        <w:rPr>
          <w:rFonts w:ascii="Verdana" w:eastAsia="Arial" w:hAnsi="Verdana" w:cs="Arial"/>
          <w:sz w:val="20"/>
          <w:szCs w:val="20"/>
          <w:lang w:eastAsia="es-ES" w:bidi="es-ES"/>
        </w:rPr>
        <w:t>.</w:t>
      </w:r>
    </w:p>
    <w:p w14:paraId="347BD575" w14:textId="77777777" w:rsidR="00921980" w:rsidRDefault="00921980" w:rsidP="00921980">
      <w:pPr>
        <w:spacing w:after="120" w:line="276" w:lineRule="auto"/>
        <w:jc w:val="both"/>
        <w:rPr>
          <w:rFonts w:ascii="Verdana" w:eastAsia="Arial" w:hAnsi="Verdana" w:cs="Arial"/>
          <w:sz w:val="20"/>
          <w:szCs w:val="20"/>
          <w:lang w:eastAsia="es-ES" w:bidi="es-ES"/>
        </w:rPr>
      </w:pPr>
    </w:p>
    <w:p w14:paraId="5009EC85" w14:textId="056BD57A" w:rsidR="00921980" w:rsidRDefault="00921980" w:rsidP="00921980">
      <w:pPr>
        <w:spacing w:after="120" w:line="276" w:lineRule="auto"/>
        <w:ind w:firstLine="708"/>
        <w:jc w:val="both"/>
        <w:rPr>
          <w:rFonts w:ascii="Verdana" w:eastAsia="Arial" w:hAnsi="Verdana" w:cs="Arial"/>
          <w:lang w:eastAsia="es-ES" w:bidi="es-ES"/>
        </w:rPr>
      </w:pPr>
      <w:r w:rsidRPr="00921980">
        <w:rPr>
          <w:rFonts w:ascii="Verdana" w:eastAsia="Arial" w:hAnsi="Verdana" w:cs="Arial"/>
          <w:lang w:eastAsia="es-ES" w:bidi="es-ES"/>
        </w:rPr>
        <w:t>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921980">
        <w:rPr>
          <w:rFonts w:ascii="Verdana" w:eastAsia="Arial" w:hAnsi="Verdana" w:cs="Arial"/>
          <w:sz w:val="20"/>
          <w:szCs w:val="20"/>
          <w:vertAlign w:val="superscript"/>
          <w:lang w:eastAsia="es-ES" w:bidi="es-ES"/>
        </w:rPr>
        <w:t xml:space="preserve"> </w:t>
      </w:r>
      <w:r w:rsidRPr="00A94B0C">
        <w:rPr>
          <w:rFonts w:ascii="Verdana" w:eastAsia="Arial" w:hAnsi="Verdana" w:cs="Arial"/>
          <w:sz w:val="20"/>
          <w:szCs w:val="20"/>
          <w:vertAlign w:val="superscript"/>
          <w:lang w:eastAsia="es-ES" w:bidi="es-ES"/>
        </w:rPr>
        <w:footnoteReference w:id="29"/>
      </w:r>
      <w:r w:rsidRPr="00921980">
        <w:rPr>
          <w:rFonts w:ascii="Verdana" w:eastAsia="Arial" w:hAnsi="Verdana" w:cs="Arial"/>
          <w:lang w:eastAsia="es-ES" w:bidi="es-ES"/>
        </w:rPr>
        <w:t xml:space="preserve">. </w:t>
      </w:r>
    </w:p>
    <w:p w14:paraId="424CC34A" w14:textId="3CC780C2" w:rsidR="009624D1" w:rsidRDefault="009624D1" w:rsidP="009624D1">
      <w:pPr>
        <w:spacing w:after="120" w:line="276" w:lineRule="auto"/>
        <w:ind w:firstLine="708"/>
        <w:jc w:val="both"/>
        <w:rPr>
          <w:rFonts w:ascii="Verdana" w:eastAsia="Arial" w:hAnsi="Verdana" w:cs="Arial"/>
          <w:lang w:eastAsia="es-ES" w:bidi="es-ES"/>
        </w:rPr>
      </w:pPr>
      <w:r w:rsidRPr="009624D1">
        <w:rPr>
          <w:rFonts w:ascii="Verdana" w:eastAsia="Arial" w:hAnsi="Verdana" w:cs="Arial"/>
          <w:lang w:eastAsia="es-ES" w:bidi="es-ES"/>
        </w:rPr>
        <w:t xml:space="preserve">Sin perjuicio de estos pronunciamientos de la Sala de Consulta y Servicio Civil, como la ha señalado esa misma Corporación, la restricción prevista en la Ley 996 de 2005 cobija a cualquier entidad pública independiente del régimen jurídico, que pueda mediante la contratación directa romper el equilibrio entre los candidatos en desarrollo de las elecciones presidenciales. Tampoco existe un </w:t>
      </w:r>
      <w:r w:rsidRPr="009624D1">
        <w:rPr>
          <w:rFonts w:ascii="Verdana" w:eastAsia="Arial" w:hAnsi="Verdana" w:cs="Arial"/>
          <w:lang w:eastAsia="es-ES" w:bidi="es-ES"/>
        </w:rPr>
        <w:lastRenderedPageBreak/>
        <w:t>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8BEBAE4" w14:textId="77777777" w:rsidR="00AB1841" w:rsidRDefault="009624D1" w:rsidP="00D37044">
      <w:pPr>
        <w:spacing w:after="120" w:line="276" w:lineRule="auto"/>
        <w:ind w:firstLine="708"/>
        <w:jc w:val="both"/>
        <w:rPr>
          <w:rFonts w:ascii="Verdana" w:eastAsia="Arial" w:hAnsi="Verdana" w:cs="Arial"/>
          <w:lang w:eastAsia="es-ES" w:bidi="es-ES"/>
        </w:rPr>
      </w:pPr>
      <w:r w:rsidRPr="009624D1">
        <w:rPr>
          <w:rFonts w:ascii="Verdana" w:eastAsia="Arial" w:hAnsi="Verdana" w:cs="Arial"/>
          <w:lang w:eastAsia="es-ES" w:bidi="es-ES"/>
        </w:rPr>
        <w:t>En tal sentido, atendiendo al desarrollo realizado de la prohibición establecida en el artículo 33 de la Ley de Garantías Electorales y señalados algunos pronunciamientos relevantes en la materia,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w:t>
      </w:r>
      <w:r w:rsidR="00AB1841">
        <w:rPr>
          <w:rFonts w:ascii="Verdana" w:eastAsia="Arial" w:hAnsi="Verdana" w:cs="Arial"/>
          <w:lang w:eastAsia="es-ES" w:bidi="es-ES"/>
        </w:rPr>
        <w:t xml:space="preserve"> </w:t>
      </w:r>
      <w:r w:rsidR="00AB1841" w:rsidRPr="00AB1841">
        <w:rPr>
          <w:rFonts w:ascii="Verdana" w:eastAsia="Arial" w:hAnsi="Verdana" w:cs="Arial"/>
          <w:lang w:eastAsia="es-ES" w:bidi="es-ES"/>
        </w:rPr>
        <w:t xml:space="preserve">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73D145C0" w14:textId="04A8F9CA" w:rsidR="00AB1841" w:rsidRDefault="00AB1841" w:rsidP="00AB1841">
      <w:pPr>
        <w:spacing w:after="120" w:line="276" w:lineRule="auto"/>
        <w:ind w:firstLine="708"/>
        <w:jc w:val="both"/>
        <w:rPr>
          <w:rFonts w:ascii="Verdana" w:eastAsia="Arial" w:hAnsi="Verdana" w:cs="Arial"/>
          <w:lang w:eastAsia="es-ES" w:bidi="es-ES"/>
        </w:rPr>
      </w:pPr>
      <w:r w:rsidRPr="00AB1841">
        <w:rPr>
          <w:rFonts w:ascii="Verdana" w:eastAsia="Arial" w:hAnsi="Verdana" w:cs="Arial"/>
          <w:lang w:eastAsia="es-ES" w:bidi="es-ES"/>
        </w:rPr>
        <w:t>Finalmente, se reitera, como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A94B0C">
        <w:rPr>
          <w:rFonts w:ascii="Verdana" w:eastAsia="Arial" w:hAnsi="Verdana" w:cs="Arial"/>
          <w:sz w:val="20"/>
          <w:szCs w:val="20"/>
          <w:vertAlign w:val="superscript"/>
          <w:lang w:eastAsia="es-ES" w:bidi="es-ES"/>
        </w:rPr>
        <w:footnoteReference w:id="30"/>
      </w:r>
      <w:r>
        <w:rPr>
          <w:rFonts w:ascii="Verdana" w:eastAsia="Arial" w:hAnsi="Verdana" w:cs="Arial"/>
          <w:lang w:eastAsia="es-ES" w:bidi="es-ES"/>
        </w:rPr>
        <w:t>.</w:t>
      </w:r>
      <w:r w:rsidRPr="00AB1841">
        <w:rPr>
          <w:rFonts w:ascii="Verdana" w:eastAsia="Arial" w:hAnsi="Verdana" w:cs="Arial"/>
          <w:lang w:eastAsia="es-ES" w:bidi="es-ES"/>
        </w:rPr>
        <w:t xml:space="preserve">Además, también es posible que contratos celebrados previamente se continúen ejecutando con normalidad. </w:t>
      </w:r>
    </w:p>
    <w:p w14:paraId="3774B8DB" w14:textId="68D2A358" w:rsidR="009624D1" w:rsidRDefault="00AB1841" w:rsidP="00AB1841">
      <w:pPr>
        <w:spacing w:after="120" w:line="276" w:lineRule="auto"/>
        <w:ind w:firstLine="708"/>
        <w:jc w:val="both"/>
        <w:rPr>
          <w:rFonts w:ascii="Verdana" w:eastAsia="Arial" w:hAnsi="Verdana" w:cs="Arial"/>
          <w:lang w:eastAsia="es-ES" w:bidi="es-ES"/>
        </w:rPr>
      </w:pPr>
      <w:r w:rsidRPr="00AB1841">
        <w:rPr>
          <w:rFonts w:ascii="Verdana" w:eastAsia="Arial" w:hAnsi="Verdana" w:cs="Arial"/>
          <w:lang w:eastAsia="es-ES" w:bidi="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w:t>
      </w:r>
      <w:r w:rsidRPr="00AB1841">
        <w:rPr>
          <w:rFonts w:ascii="Verdana" w:eastAsia="Arial" w:hAnsi="Verdana" w:cs="Arial"/>
          <w:lang w:eastAsia="es-ES" w:bidi="es-ES"/>
        </w:rPr>
        <w:lastRenderedPageBreak/>
        <w:t>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22954382" w14:textId="23B70AD4" w:rsidR="00E2397D" w:rsidRPr="00431BD2" w:rsidRDefault="00E2397D" w:rsidP="00431BD2">
      <w:pPr>
        <w:pStyle w:val="Prrafodelista"/>
        <w:numPr>
          <w:ilvl w:val="0"/>
          <w:numId w:val="19"/>
        </w:numPr>
        <w:spacing w:after="120" w:line="276" w:lineRule="auto"/>
        <w:jc w:val="both"/>
        <w:rPr>
          <w:rFonts w:ascii="Verdana" w:eastAsia="Century Gothic" w:hAnsi="Verdana" w:cs="Century Gothic"/>
          <w:b/>
          <w:bCs/>
        </w:rPr>
      </w:pPr>
      <w:r w:rsidRPr="00431BD2">
        <w:rPr>
          <w:rFonts w:ascii="Verdana" w:eastAsia="Century Gothic" w:hAnsi="Verdana" w:cs="Century Gothic"/>
          <w:b/>
          <w:bCs/>
        </w:rPr>
        <w:t xml:space="preserve">Referencias normativas </w:t>
      </w:r>
    </w:p>
    <w:p w14:paraId="534B9536" w14:textId="77777777" w:rsidR="00E2397D" w:rsidRPr="00E2397D" w:rsidRDefault="00E2397D" w:rsidP="00E2397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2397D" w:rsidRPr="00E2397D" w14:paraId="781227E0" w14:textId="77777777" w:rsidTr="00505795">
        <w:trPr>
          <w:trHeight w:val="856"/>
          <w:jc w:val="center"/>
        </w:trPr>
        <w:tc>
          <w:tcPr>
            <w:tcW w:w="8647" w:type="dxa"/>
          </w:tcPr>
          <w:p w14:paraId="15A8214B" w14:textId="26649672" w:rsidR="00E2397D" w:rsidRPr="00E2397D" w:rsidRDefault="00E2397D" w:rsidP="006B4CA3">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E2397D">
              <w:rPr>
                <w:rFonts w:ascii="Verdana" w:eastAsia="Arial MT" w:hAnsi="Verdana" w:cs="Arial"/>
                <w:lang w:eastAsia="es-ES" w:bidi="es-ES"/>
              </w:rPr>
              <w:t>Constitución Política: Artículo 127.</w:t>
            </w:r>
          </w:p>
          <w:p w14:paraId="690F3DCF" w14:textId="77777777"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 xml:space="preserve">Ley 80 de 1993, artículos 39, 41, 44, 46, 49 y 60. </w:t>
            </w:r>
          </w:p>
          <w:p w14:paraId="08C32D35" w14:textId="77777777"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 xml:space="preserve">Ley 1150 de 2007, artículo 11. </w:t>
            </w:r>
          </w:p>
          <w:p w14:paraId="42A9F929" w14:textId="77777777"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eastAsia="es-ES" w:bidi="es-ES"/>
              </w:rPr>
              <w:t>Ley 1437 de 2011, artículos 10, 141 y 164.</w:t>
            </w:r>
          </w:p>
          <w:p w14:paraId="0DC8687F" w14:textId="026221B5"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Código Civil. Artículo 1740, 1741</w:t>
            </w:r>
            <w:r>
              <w:rPr>
                <w:rFonts w:ascii="Verdana" w:eastAsia="Arial MT" w:hAnsi="Verdana" w:cs="Arial"/>
                <w:lang w:val="es-ES" w:eastAsia="es-ES" w:bidi="es-ES"/>
              </w:rPr>
              <w:t>.</w:t>
            </w:r>
          </w:p>
          <w:p w14:paraId="6D720701" w14:textId="636140D3"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Código de Comercio. Artículo 899</w:t>
            </w:r>
            <w:r>
              <w:rPr>
                <w:rFonts w:ascii="Verdana" w:eastAsia="Arial MT" w:hAnsi="Verdana" w:cs="Arial"/>
                <w:lang w:val="es-ES" w:eastAsia="es-ES" w:bidi="es-ES"/>
              </w:rPr>
              <w:t xml:space="preserve">. </w:t>
            </w:r>
          </w:p>
          <w:p w14:paraId="6E120A91" w14:textId="5542598B" w:rsidR="00E2397D" w:rsidRPr="00E2397D" w:rsidRDefault="00E2397D"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E2397D">
              <w:rPr>
                <w:rFonts w:ascii="Verdana" w:eastAsia="Arial MT" w:hAnsi="Verdana" w:cs="Arial"/>
                <w:bCs/>
                <w:lang w:val="es-ES" w:eastAsia="es-ES" w:bidi="es-ES"/>
              </w:rPr>
              <w:t>Ley 996 de 2005: artículos 33 y 38 parágrafo.</w:t>
            </w:r>
          </w:p>
          <w:p w14:paraId="20BE64F3" w14:textId="77777777" w:rsidR="008853C1" w:rsidRPr="00431BD2" w:rsidRDefault="00E2397D" w:rsidP="003A40E2">
            <w:pPr>
              <w:widowControl w:val="0"/>
              <w:numPr>
                <w:ilvl w:val="0"/>
                <w:numId w:val="20"/>
              </w:numPr>
              <w:autoSpaceDE w:val="0"/>
              <w:autoSpaceDN w:val="0"/>
              <w:spacing w:after="120" w:line="276" w:lineRule="auto"/>
              <w:ind w:left="714" w:hanging="357"/>
              <w:jc w:val="both"/>
              <w:rPr>
                <w:rFonts w:ascii="Verdana" w:eastAsia="Calibri" w:hAnsi="Verdana" w:cs="Arial"/>
                <w:lang w:val="es-ES"/>
              </w:rPr>
            </w:pPr>
            <w:r w:rsidRPr="00E2397D">
              <w:rPr>
                <w:rFonts w:ascii="Verdana" w:eastAsia="Arial MT" w:hAnsi="Verdana" w:cs="Arial"/>
                <w:lang w:eastAsia="es-ES" w:bidi="es-ES"/>
              </w:rPr>
              <w:t>Ley 136 de 1994: Artículo 98.</w:t>
            </w:r>
          </w:p>
          <w:p w14:paraId="0181507F" w14:textId="1C3E542B" w:rsidR="00431BD2" w:rsidRDefault="00431BD2" w:rsidP="00431BD2">
            <w:pPr>
              <w:widowControl w:val="0"/>
              <w:autoSpaceDE w:val="0"/>
              <w:autoSpaceDN w:val="0"/>
              <w:spacing w:after="120" w:line="276" w:lineRule="auto"/>
              <w:ind w:left="357"/>
              <w:jc w:val="both"/>
              <w:rPr>
                <w:rFonts w:ascii="Verdana" w:eastAsia="Calibri" w:hAnsi="Verdana" w:cs="Arial"/>
              </w:rPr>
            </w:pPr>
            <w:r w:rsidRPr="00431BD2">
              <w:rPr>
                <w:rFonts w:ascii="Verdana" w:eastAsia="Calibri" w:hAnsi="Verdana" w:cs="Arial"/>
              </w:rPr>
              <w:t xml:space="preserve">• </w:t>
            </w:r>
            <w:r>
              <w:rPr>
                <w:rFonts w:ascii="Verdana" w:eastAsia="Calibri" w:hAnsi="Verdana" w:cs="Arial"/>
              </w:rPr>
              <w:t xml:space="preserve"> </w:t>
            </w:r>
            <w:r w:rsidRPr="00431BD2">
              <w:rPr>
                <w:rFonts w:ascii="Verdana" w:eastAsia="Calibri" w:hAnsi="Verdana" w:cs="Arial"/>
              </w:rPr>
              <w:t xml:space="preserve">Colombia Compra Eficiente. Circular Externa Única. Numeral 16.5. Disponible en línea: </w:t>
            </w:r>
            <w:hyperlink r:id="rId13" w:history="1">
              <w:r w:rsidRPr="00E87CB4">
                <w:rPr>
                  <w:rStyle w:val="Hipervnculo"/>
                  <w:rFonts w:ascii="Verdana" w:eastAsia="Calibri" w:hAnsi="Verdana" w:cs="Arial"/>
                </w:rPr>
                <w:t>https://www.colombiacompra.gov.co/normativay-relatoria/circular-unica-externa</w:t>
              </w:r>
            </w:hyperlink>
            <w:r>
              <w:rPr>
                <w:rFonts w:ascii="Verdana" w:eastAsia="Calibri" w:hAnsi="Verdana" w:cs="Arial"/>
              </w:rPr>
              <w:t xml:space="preserve">  </w:t>
            </w:r>
            <w:r w:rsidRPr="00431BD2">
              <w:rPr>
                <w:rFonts w:ascii="Verdana" w:eastAsia="Calibri" w:hAnsi="Verdana" w:cs="Arial"/>
              </w:rPr>
              <w:t xml:space="preserve"> </w:t>
            </w:r>
          </w:p>
          <w:p w14:paraId="3BA5B6B3" w14:textId="77777777" w:rsidR="000A18ED" w:rsidRDefault="00431BD2" w:rsidP="000A18ED">
            <w:pPr>
              <w:widowControl w:val="0"/>
              <w:autoSpaceDE w:val="0"/>
              <w:autoSpaceDN w:val="0"/>
              <w:spacing w:after="120" w:line="276" w:lineRule="auto"/>
              <w:ind w:left="357"/>
              <w:jc w:val="both"/>
              <w:rPr>
                <w:rFonts w:ascii="Verdana" w:eastAsia="Calibri" w:hAnsi="Verdana" w:cs="Arial"/>
              </w:rPr>
            </w:pPr>
            <w:r w:rsidRPr="00431BD2">
              <w:rPr>
                <w:rFonts w:ascii="Verdana" w:eastAsia="Calibri" w:hAnsi="Verdana" w:cs="Arial"/>
              </w:rPr>
              <w:t xml:space="preserve">• </w:t>
            </w:r>
            <w:r>
              <w:rPr>
                <w:rFonts w:ascii="Verdana" w:eastAsia="Calibri" w:hAnsi="Verdana" w:cs="Arial"/>
              </w:rPr>
              <w:t xml:space="preserve"> </w:t>
            </w:r>
            <w:r w:rsidRPr="00431BD2">
              <w:rPr>
                <w:rFonts w:ascii="Verdana" w:eastAsia="Calibri" w:hAnsi="Verdana" w:cs="Arial"/>
              </w:rPr>
              <w:t xml:space="preserve">Consejo de Estado. Sala de Consulta y Servicio Civil. Concepto de 20 </w:t>
            </w:r>
            <w:r w:rsidR="000A18ED">
              <w:rPr>
                <w:rFonts w:ascii="Verdana" w:eastAsia="Calibri" w:hAnsi="Verdana" w:cs="Arial"/>
              </w:rPr>
              <w:t xml:space="preserve">    </w:t>
            </w:r>
            <w:r w:rsidRPr="00431BD2">
              <w:rPr>
                <w:rFonts w:ascii="Verdana" w:eastAsia="Calibri" w:hAnsi="Verdana" w:cs="Arial"/>
              </w:rPr>
              <w:t>de febrero de 2006. Radicado. 1727. C.P. Enrique José Arboleda Perdomo.</w:t>
            </w:r>
          </w:p>
          <w:p w14:paraId="4683423F" w14:textId="2B8B85A4" w:rsidR="000A18ED" w:rsidRPr="000A18ED" w:rsidRDefault="00431BD2" w:rsidP="000A18ED">
            <w:pPr>
              <w:pStyle w:val="Prrafodelista"/>
              <w:widowControl w:val="0"/>
              <w:numPr>
                <w:ilvl w:val="0"/>
                <w:numId w:val="20"/>
              </w:numPr>
              <w:autoSpaceDE w:val="0"/>
              <w:autoSpaceDN w:val="0"/>
              <w:spacing w:after="120" w:line="276" w:lineRule="auto"/>
              <w:jc w:val="both"/>
              <w:rPr>
                <w:rFonts w:ascii="Verdana" w:eastAsia="Calibri" w:hAnsi="Verdana" w:cs="Arial"/>
              </w:rPr>
            </w:pPr>
            <w:r w:rsidRPr="000A18ED">
              <w:rPr>
                <w:rFonts w:ascii="Verdana" w:eastAsia="Calibri" w:hAnsi="Verdana" w:cs="Arial"/>
              </w:rPr>
              <w:t xml:space="preserve">Consejo de Estado. Sala de Consulta y Servicio Civil. Concepto de 6 de abril de 2006. Radicado. 1738. C.P. Enrique José Arboleda Perdomo. </w:t>
            </w:r>
          </w:p>
          <w:p w14:paraId="7E8E4944" w14:textId="1314D419" w:rsidR="000A18ED" w:rsidRPr="000A18ED" w:rsidRDefault="00431BD2" w:rsidP="000A18ED">
            <w:pPr>
              <w:pStyle w:val="Prrafodelista"/>
              <w:widowControl w:val="0"/>
              <w:numPr>
                <w:ilvl w:val="0"/>
                <w:numId w:val="20"/>
              </w:numPr>
              <w:autoSpaceDE w:val="0"/>
              <w:autoSpaceDN w:val="0"/>
              <w:spacing w:after="120" w:line="276" w:lineRule="auto"/>
              <w:jc w:val="both"/>
              <w:rPr>
                <w:rFonts w:ascii="Verdana" w:eastAsia="Calibri" w:hAnsi="Verdana" w:cs="Arial"/>
              </w:rPr>
            </w:pPr>
            <w:r w:rsidRPr="00431BD2">
              <w:rPr>
                <w:rFonts w:ascii="Verdana" w:eastAsia="Calibri" w:hAnsi="Verdana" w:cs="Arial"/>
              </w:rPr>
              <w:t xml:space="preserve">Consejo de Estado. Sala de Consulta y Servicio Civil. Concepto de 6 de abril de 2006. Radicado 1738. Consejero Ponente: Enrique José Arboleda Perdomo. </w:t>
            </w:r>
          </w:p>
          <w:p w14:paraId="77B14055" w14:textId="16238BFE" w:rsidR="000A18ED" w:rsidRPr="000A18ED" w:rsidRDefault="00431BD2" w:rsidP="000A18ED">
            <w:pPr>
              <w:pStyle w:val="Prrafodelista"/>
              <w:widowControl w:val="0"/>
              <w:numPr>
                <w:ilvl w:val="0"/>
                <w:numId w:val="20"/>
              </w:numPr>
              <w:autoSpaceDE w:val="0"/>
              <w:autoSpaceDN w:val="0"/>
              <w:spacing w:after="120" w:line="276" w:lineRule="auto"/>
              <w:jc w:val="both"/>
              <w:rPr>
                <w:rFonts w:ascii="Verdana" w:eastAsia="Calibri" w:hAnsi="Verdana" w:cs="Arial"/>
              </w:rPr>
            </w:pPr>
            <w:r w:rsidRPr="00431BD2">
              <w:rPr>
                <w:rFonts w:ascii="Verdana" w:eastAsia="Calibri" w:hAnsi="Verdana" w:cs="Arial"/>
              </w:rPr>
              <w:t xml:space="preserve">Consejo de Estado, Sala de Consulta y Servicio Civil de fecha 24 de julio de 2013, Radicado 2166, C. P. Álvaro </w:t>
            </w:r>
            <w:proofErr w:type="spellStart"/>
            <w:r w:rsidRPr="00431BD2">
              <w:rPr>
                <w:rFonts w:ascii="Verdana" w:eastAsia="Calibri" w:hAnsi="Verdana" w:cs="Arial"/>
              </w:rPr>
              <w:t>Namén</w:t>
            </w:r>
            <w:proofErr w:type="spellEnd"/>
            <w:r w:rsidRPr="00431BD2">
              <w:rPr>
                <w:rFonts w:ascii="Verdana" w:eastAsia="Calibri" w:hAnsi="Verdana" w:cs="Arial"/>
              </w:rPr>
              <w:t xml:space="preserve"> Vargas. </w:t>
            </w:r>
          </w:p>
          <w:p w14:paraId="6C81A6CD" w14:textId="77777777" w:rsidR="000A18ED" w:rsidRDefault="00431BD2" w:rsidP="00431BD2">
            <w:pPr>
              <w:pStyle w:val="Prrafodelista"/>
              <w:widowControl w:val="0"/>
              <w:numPr>
                <w:ilvl w:val="0"/>
                <w:numId w:val="20"/>
              </w:numPr>
              <w:autoSpaceDE w:val="0"/>
              <w:autoSpaceDN w:val="0"/>
              <w:spacing w:after="120" w:line="276" w:lineRule="auto"/>
              <w:jc w:val="both"/>
              <w:rPr>
                <w:rFonts w:ascii="Verdana" w:eastAsia="Calibri" w:hAnsi="Verdana" w:cs="Arial"/>
              </w:rPr>
            </w:pPr>
            <w:r w:rsidRPr="00431BD2">
              <w:rPr>
                <w:rFonts w:ascii="Verdana" w:eastAsia="Calibri" w:hAnsi="Verdana" w:cs="Arial"/>
              </w:rPr>
              <w:t xml:space="preserve">Consejo de Estado. Sala de Consulta y Servicio Civil. Concepto del 2 de septiembre de 2013. Radicado: 2168. Consejero Ponente: Álvaro </w:t>
            </w:r>
            <w:proofErr w:type="spellStart"/>
            <w:r w:rsidRPr="00431BD2">
              <w:rPr>
                <w:rFonts w:ascii="Verdana" w:eastAsia="Calibri" w:hAnsi="Verdana" w:cs="Arial"/>
              </w:rPr>
              <w:t>Namén</w:t>
            </w:r>
            <w:proofErr w:type="spellEnd"/>
            <w:r w:rsidRPr="00431BD2">
              <w:rPr>
                <w:rFonts w:ascii="Verdana" w:eastAsia="Calibri" w:hAnsi="Verdana" w:cs="Arial"/>
              </w:rPr>
              <w:t xml:space="preserve"> Vargas. </w:t>
            </w:r>
          </w:p>
          <w:p w14:paraId="18CDC4B2" w14:textId="77777777" w:rsidR="000A18ED" w:rsidRDefault="00431BD2" w:rsidP="00431BD2">
            <w:pPr>
              <w:pStyle w:val="Prrafodelista"/>
              <w:widowControl w:val="0"/>
              <w:numPr>
                <w:ilvl w:val="0"/>
                <w:numId w:val="20"/>
              </w:numPr>
              <w:autoSpaceDE w:val="0"/>
              <w:autoSpaceDN w:val="0"/>
              <w:spacing w:after="120" w:line="276" w:lineRule="auto"/>
              <w:jc w:val="both"/>
              <w:rPr>
                <w:rFonts w:ascii="Verdana" w:eastAsia="Calibri" w:hAnsi="Verdana" w:cs="Arial"/>
              </w:rPr>
            </w:pPr>
            <w:r w:rsidRPr="00431BD2">
              <w:rPr>
                <w:rFonts w:ascii="Verdana" w:eastAsia="Calibri" w:hAnsi="Verdana" w:cs="Arial"/>
              </w:rPr>
              <w:t xml:space="preserve">Consejo de Estado. Sala de Consulta y Servicio Civil. Concepto del 08 de mayo de 2018. Radicado. 2.382. C.P. Álvaro </w:t>
            </w:r>
            <w:proofErr w:type="spellStart"/>
            <w:r w:rsidRPr="00431BD2">
              <w:rPr>
                <w:rFonts w:ascii="Verdana" w:eastAsia="Calibri" w:hAnsi="Verdana" w:cs="Arial"/>
              </w:rPr>
              <w:t>Namén</w:t>
            </w:r>
            <w:proofErr w:type="spellEnd"/>
            <w:r w:rsidRPr="00431BD2">
              <w:rPr>
                <w:rFonts w:ascii="Verdana" w:eastAsia="Calibri" w:hAnsi="Verdana" w:cs="Arial"/>
              </w:rPr>
              <w:t xml:space="preserve"> Vargas. </w:t>
            </w:r>
          </w:p>
          <w:p w14:paraId="0DC19211" w14:textId="77777777" w:rsidR="000A18ED" w:rsidRPr="000A18ED" w:rsidRDefault="00431BD2" w:rsidP="00431BD2">
            <w:pPr>
              <w:pStyle w:val="Prrafodelista"/>
              <w:widowControl w:val="0"/>
              <w:numPr>
                <w:ilvl w:val="0"/>
                <w:numId w:val="20"/>
              </w:numPr>
              <w:autoSpaceDE w:val="0"/>
              <w:autoSpaceDN w:val="0"/>
              <w:spacing w:after="120" w:line="276" w:lineRule="auto"/>
              <w:jc w:val="both"/>
              <w:rPr>
                <w:rFonts w:ascii="Verdana" w:eastAsia="Calibri" w:hAnsi="Verdana" w:cs="Arial"/>
              </w:rPr>
            </w:pPr>
            <w:r w:rsidRPr="00431BD2">
              <w:rPr>
                <w:rFonts w:ascii="Verdana" w:eastAsia="Calibri" w:hAnsi="Verdana" w:cs="Arial"/>
              </w:rPr>
              <w:t xml:space="preserve">Consejo de Estado, Sala de lo Contencioso Administrativo, Sección </w:t>
            </w:r>
            <w:r w:rsidRPr="00431BD2">
              <w:rPr>
                <w:rFonts w:ascii="Verdana" w:eastAsia="Calibri" w:hAnsi="Verdana" w:cs="Arial"/>
              </w:rPr>
              <w:lastRenderedPageBreak/>
              <w:t>Tercera. Auto del 4 de octubre de 2024. Radicado. 70.313. MP: Fredy Ibarra Martínez.</w:t>
            </w:r>
            <w:r w:rsidR="000A18ED" w:rsidRPr="000A18ED">
              <w:rPr>
                <w:rFonts w:asciiTheme="minorHAnsi" w:hAnsiTheme="minorHAnsi"/>
                <w:lang w:val="es-CO"/>
              </w:rPr>
              <w:t xml:space="preserve"> </w:t>
            </w:r>
          </w:p>
          <w:p w14:paraId="1065B677" w14:textId="77777777" w:rsidR="000A18ED" w:rsidRPr="000A18ED" w:rsidRDefault="000A18ED" w:rsidP="00431BD2">
            <w:pPr>
              <w:pStyle w:val="Prrafodelista"/>
              <w:widowControl w:val="0"/>
              <w:numPr>
                <w:ilvl w:val="0"/>
                <w:numId w:val="20"/>
              </w:numPr>
              <w:autoSpaceDE w:val="0"/>
              <w:autoSpaceDN w:val="0"/>
              <w:spacing w:after="120" w:line="276" w:lineRule="auto"/>
              <w:jc w:val="both"/>
              <w:rPr>
                <w:rFonts w:ascii="Verdana" w:eastAsia="Calibri" w:hAnsi="Verdana" w:cs="Arial"/>
              </w:rPr>
            </w:pPr>
            <w:r w:rsidRPr="000A18ED">
              <w:rPr>
                <w:rFonts w:ascii="Verdana" w:eastAsia="Calibri" w:hAnsi="Verdana" w:cs="Arial"/>
                <w:lang w:val="es-CO"/>
              </w:rPr>
              <w:t xml:space="preserve">Corte Constitucional. Sentencia C -1153 de 2005. M.P. Marco Gerardo Monroy Cabra. </w:t>
            </w:r>
          </w:p>
          <w:p w14:paraId="7D566FF6" w14:textId="1EF1CC92" w:rsidR="00431BD2" w:rsidRPr="000A18ED" w:rsidRDefault="000A18ED" w:rsidP="000A18ED">
            <w:pPr>
              <w:widowControl w:val="0"/>
              <w:autoSpaceDE w:val="0"/>
              <w:autoSpaceDN w:val="0"/>
              <w:spacing w:after="120" w:line="276" w:lineRule="auto"/>
              <w:ind w:left="360"/>
              <w:jc w:val="both"/>
              <w:rPr>
                <w:rFonts w:ascii="Verdana" w:eastAsia="Calibri" w:hAnsi="Verdana" w:cs="Arial"/>
              </w:rPr>
            </w:pPr>
            <w:r w:rsidRPr="000A18ED">
              <w:rPr>
                <w:rFonts w:ascii="Verdana" w:eastAsia="Calibri" w:hAnsi="Verdana" w:cs="Arial"/>
              </w:rPr>
              <w:t xml:space="preserve">• </w:t>
            </w:r>
            <w:r>
              <w:rPr>
                <w:rFonts w:ascii="Verdana" w:eastAsia="Calibri" w:hAnsi="Verdana" w:cs="Arial"/>
              </w:rPr>
              <w:t xml:space="preserve"> </w:t>
            </w:r>
            <w:r w:rsidRPr="000A18ED">
              <w:rPr>
                <w:rFonts w:ascii="Verdana" w:eastAsia="Calibri" w:hAnsi="Verdana" w:cs="Arial"/>
              </w:rPr>
              <w:t>Corte Constitucional. Sentencia C-671 de 2015. M.P. Alberto Rojas Ríos</w:t>
            </w:r>
          </w:p>
        </w:tc>
      </w:tr>
    </w:tbl>
    <w:p w14:paraId="6B90B1C9" w14:textId="77777777" w:rsidR="00E2397D" w:rsidRPr="00E2397D" w:rsidRDefault="00E2397D" w:rsidP="00E2397D">
      <w:pPr>
        <w:widowControl w:val="0"/>
        <w:autoSpaceDE w:val="0"/>
        <w:autoSpaceDN w:val="0"/>
        <w:spacing w:after="0" w:line="276" w:lineRule="auto"/>
        <w:jc w:val="both"/>
        <w:rPr>
          <w:rFonts w:ascii="Verdana" w:hAnsi="Verdana" w:cs="Arial"/>
        </w:rPr>
      </w:pPr>
    </w:p>
    <w:p w14:paraId="29015E23" w14:textId="38E78C12" w:rsidR="00E2397D" w:rsidRPr="00E2397D" w:rsidRDefault="000A18ED" w:rsidP="00E2397D">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V. </w:t>
      </w:r>
      <w:r w:rsidR="00E2397D" w:rsidRPr="00E2397D">
        <w:rPr>
          <w:rFonts w:ascii="Verdana" w:eastAsia="Century Gothic" w:hAnsi="Verdana" w:cs="Century Gothic"/>
          <w:b/>
          <w:bCs/>
        </w:rPr>
        <w:t>Doctrina de la Agencia Nacional de Contratación Pública:</w:t>
      </w:r>
    </w:p>
    <w:p w14:paraId="348530C5" w14:textId="77777777" w:rsidR="00E2397D" w:rsidRPr="00E2397D" w:rsidRDefault="00E2397D" w:rsidP="00E2397D">
      <w:pPr>
        <w:widowControl w:val="0"/>
        <w:autoSpaceDE w:val="0"/>
        <w:autoSpaceDN w:val="0"/>
        <w:spacing w:after="0" w:line="276" w:lineRule="auto"/>
        <w:jc w:val="both"/>
        <w:rPr>
          <w:rFonts w:ascii="Verdana" w:hAnsi="Verdana" w:cs="Arial"/>
        </w:rPr>
      </w:pPr>
    </w:p>
    <w:p w14:paraId="74ACB70D" w14:textId="70B7454E" w:rsidR="00E2397D" w:rsidRPr="00E2397D" w:rsidRDefault="00E2397D" w:rsidP="003A40E2">
      <w:pPr>
        <w:widowControl w:val="0"/>
        <w:autoSpaceDE w:val="0"/>
        <w:autoSpaceDN w:val="0"/>
        <w:spacing w:after="0" w:line="276" w:lineRule="auto"/>
        <w:jc w:val="both"/>
        <w:rPr>
          <w:rFonts w:ascii="Verdana" w:eastAsia="Calibri" w:hAnsi="Verdana" w:cs="Arial"/>
          <w:color w:val="000000" w:themeColor="text1"/>
          <w:lang w:val="es-ES_tradnl" w:eastAsia="es-ES_tradnl"/>
        </w:rPr>
      </w:pPr>
      <w:r w:rsidRPr="00E2397D">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entre otros. </w:t>
      </w:r>
      <w:r w:rsidR="0062005D">
        <w:rPr>
          <w:rFonts w:ascii="Verdana" w:hAnsi="Verdana" w:cs="Arial"/>
          <w:shd w:val="clear" w:color="auto" w:fill="FFFFFF"/>
        </w:rPr>
        <w:t>E</w:t>
      </w:r>
      <w:proofErr w:type="spellStart"/>
      <w:r w:rsidRPr="00E2397D">
        <w:rPr>
          <w:rFonts w:ascii="Verdana" w:hAnsi="Verdana" w:cs="Arial"/>
          <w:shd w:val="clear" w:color="auto" w:fill="FFFFFF"/>
          <w:lang w:val="es-ES"/>
        </w:rPr>
        <w:t>stos</w:t>
      </w:r>
      <w:proofErr w:type="spellEnd"/>
      <w:r w:rsidRPr="00E2397D">
        <w:rPr>
          <w:rFonts w:ascii="Verdana" w:hAnsi="Verdana" w:cs="Arial"/>
          <w:shd w:val="clear" w:color="auto" w:fill="FFFFFF"/>
          <w:lang w:val="es-ES"/>
        </w:rPr>
        <w:t xml:space="preserve"> y otros </w:t>
      </w:r>
      <w:r w:rsidRPr="00E2397D">
        <w:rPr>
          <w:rFonts w:ascii="Verdana" w:hAnsi="Verdana"/>
        </w:rPr>
        <w:t>conceptos se encuentran disponibles para consulta en el Sistema de relatoría de la Agencia, al cual se puede acceder a través del siguiente enlace:</w:t>
      </w:r>
      <w:r w:rsidRPr="00E2397D">
        <w:rPr>
          <w:rFonts w:ascii="Verdana" w:hAnsi="Verdana" w:cs="Arial"/>
          <w:shd w:val="clear" w:color="auto" w:fill="FFFFFF"/>
        </w:rPr>
        <w:t xml:space="preserve"> </w:t>
      </w:r>
      <w:hyperlink r:id="rId14" w:history="1">
        <w:r w:rsidRPr="00E2397D">
          <w:rPr>
            <w:rFonts w:ascii="Verdana" w:hAnsi="Verdana" w:cs="Arial"/>
            <w:color w:val="0563C1" w:themeColor="hyperlink"/>
            <w:u w:val="single"/>
            <w:shd w:val="clear" w:color="auto" w:fill="FFFFFF"/>
          </w:rPr>
          <w:t>https://relatoria.colombiacompra.gov.co/busqueda/conceptos</w:t>
        </w:r>
      </w:hyperlink>
      <w:r w:rsidRPr="00E2397D">
        <w:rPr>
          <w:rFonts w:ascii="Verdana" w:hAnsi="Verdana" w:cs="Arial"/>
          <w:shd w:val="clear" w:color="auto" w:fill="FFFFFF"/>
        </w:rPr>
        <w:t>.</w:t>
      </w:r>
      <w:r w:rsidRPr="00E2397D">
        <w:rPr>
          <w:rFonts w:ascii="Verdana" w:hAnsi="Verdana" w:cs="Arial"/>
          <w:color w:val="FF0000"/>
          <w:shd w:val="clear" w:color="auto" w:fill="FFFFFF"/>
        </w:rPr>
        <w:t xml:space="preserve"> </w:t>
      </w:r>
      <w:r w:rsidRPr="00E2397D">
        <w:rPr>
          <w:rFonts w:ascii="Verdana" w:hAnsi="Verdana" w:cs="Arial"/>
          <w:color w:val="000000" w:themeColor="text1"/>
          <w:shd w:val="clear" w:color="auto" w:fill="FFFFFF"/>
        </w:rPr>
        <w:t>  </w:t>
      </w:r>
    </w:p>
    <w:p w14:paraId="3109EDD5" w14:textId="3045CB81" w:rsidR="00F00796" w:rsidRDefault="00F00796" w:rsidP="00F00796">
      <w:pPr>
        <w:spacing w:after="0"/>
        <w:jc w:val="both"/>
        <w:rPr>
          <w:rFonts w:ascii="Verdana" w:hAnsi="Verdana"/>
        </w:rPr>
      </w:pPr>
    </w:p>
    <w:p w14:paraId="64F5C2F1" w14:textId="77777777" w:rsidR="00F00796" w:rsidRPr="0044528D" w:rsidRDefault="00F00796" w:rsidP="00F00796">
      <w:pPr>
        <w:spacing w:after="0"/>
        <w:jc w:val="both"/>
        <w:rPr>
          <w:rFonts w:ascii="Verdana" w:hAnsi="Verdana"/>
        </w:rPr>
      </w:pPr>
      <w:r w:rsidRPr="0044528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3448B17" w14:textId="77777777" w:rsidR="00F00796" w:rsidRPr="0044528D" w:rsidRDefault="00F00796" w:rsidP="00F00796">
      <w:pPr>
        <w:spacing w:after="0" w:line="240" w:lineRule="auto"/>
        <w:jc w:val="both"/>
        <w:rPr>
          <w:rFonts w:ascii="Verdana" w:hAnsi="Verdana"/>
        </w:rPr>
      </w:pPr>
    </w:p>
    <w:p w14:paraId="3798CEA4"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7C3C48E2"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2FC5081A"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34D4ACFB"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5" w:history="1">
        <w:r w:rsidRPr="0044528D">
          <w:rPr>
            <w:rStyle w:val="Hipervnculo"/>
            <w:rFonts w:ascii="Verdana" w:hAnsi="Verdana"/>
          </w:rPr>
          <w:t>www.colombiacompra.gov.co</w:t>
        </w:r>
      </w:hyperlink>
    </w:p>
    <w:p w14:paraId="5DFCE35C" w14:textId="77777777" w:rsidR="00F00796" w:rsidRPr="0044528D" w:rsidRDefault="00F00796" w:rsidP="00F00796">
      <w:pPr>
        <w:pStyle w:val="Prrafodelista"/>
        <w:spacing w:after="0" w:line="240" w:lineRule="auto"/>
        <w:ind w:left="785"/>
        <w:jc w:val="both"/>
        <w:rPr>
          <w:rFonts w:ascii="Verdana" w:hAnsi="Verdana"/>
        </w:rPr>
      </w:pPr>
    </w:p>
    <w:p w14:paraId="49AB39E1" w14:textId="77777777" w:rsidR="00F00796" w:rsidRPr="0044528D" w:rsidRDefault="00F00796" w:rsidP="00F00796">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48D85770" w14:textId="77777777" w:rsidR="00F00796" w:rsidRPr="0044528D" w:rsidRDefault="00F00796" w:rsidP="00F00796">
      <w:pPr>
        <w:spacing w:after="0" w:line="240" w:lineRule="auto"/>
        <w:jc w:val="both"/>
        <w:rPr>
          <w:rFonts w:ascii="Verdana" w:hAnsi="Verdana"/>
        </w:rPr>
      </w:pPr>
    </w:p>
    <w:p w14:paraId="2E9F3057" w14:textId="77777777" w:rsidR="00F00796" w:rsidRPr="0044528D" w:rsidRDefault="00F00796" w:rsidP="00F00796">
      <w:pPr>
        <w:spacing w:after="0" w:line="240" w:lineRule="auto"/>
        <w:jc w:val="both"/>
        <w:rPr>
          <w:rFonts w:ascii="Verdana" w:hAnsi="Verdana"/>
        </w:rPr>
      </w:pPr>
      <w:r w:rsidRPr="0044528D">
        <w:rPr>
          <w:rFonts w:ascii="Verdana" w:hAnsi="Verdana"/>
        </w:rPr>
        <w:lastRenderedPageBreak/>
        <w:t xml:space="preserve">Twitter: </w:t>
      </w:r>
      <w:r w:rsidRPr="0044528D">
        <w:rPr>
          <w:rStyle w:val="Hipervnculo"/>
          <w:rFonts w:ascii="Verdana" w:hAnsi="Verdana"/>
        </w:rPr>
        <w:t>@colombiacompra</w:t>
      </w:r>
      <w:r w:rsidRPr="0044528D">
        <w:rPr>
          <w:rFonts w:ascii="Verdana" w:hAnsi="Verdana"/>
        </w:rPr>
        <w:t xml:space="preserve"> </w:t>
      </w:r>
    </w:p>
    <w:p w14:paraId="2C0E4C7A" w14:textId="77777777" w:rsidR="00F00796" w:rsidRPr="0044528D" w:rsidRDefault="00F00796" w:rsidP="00F00796">
      <w:pPr>
        <w:spacing w:after="0" w:line="240" w:lineRule="auto"/>
        <w:jc w:val="both"/>
        <w:rPr>
          <w:rFonts w:ascii="Verdana" w:hAnsi="Verdana"/>
        </w:rPr>
      </w:pPr>
      <w:r w:rsidRPr="0044528D">
        <w:rPr>
          <w:rFonts w:ascii="Verdana" w:hAnsi="Verdana"/>
        </w:rPr>
        <w:t xml:space="preserve">Facebook: </w:t>
      </w:r>
      <w:proofErr w:type="spellStart"/>
      <w:r w:rsidRPr="0044528D">
        <w:rPr>
          <w:rStyle w:val="Hipervnculo"/>
          <w:rFonts w:ascii="Verdana" w:hAnsi="Verdana"/>
        </w:rPr>
        <w:t>ColombiaCompraEficiente</w:t>
      </w:r>
      <w:proofErr w:type="spellEnd"/>
    </w:p>
    <w:p w14:paraId="3B98BA1D" w14:textId="77777777" w:rsidR="00F00796" w:rsidRPr="0044528D" w:rsidRDefault="00F00796" w:rsidP="00F00796">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6D28C38C" w14:textId="77777777" w:rsidR="00F00796" w:rsidRPr="0044528D" w:rsidRDefault="00F00796" w:rsidP="00F00796">
      <w:pPr>
        <w:spacing w:after="0" w:line="240" w:lineRule="auto"/>
        <w:jc w:val="both"/>
        <w:rPr>
          <w:rFonts w:ascii="Verdana" w:hAnsi="Verdana"/>
        </w:rPr>
      </w:pPr>
    </w:p>
    <w:p w14:paraId="4FE2C9F8" w14:textId="77777777" w:rsidR="00F00796" w:rsidRPr="00185EE9" w:rsidRDefault="00F00796" w:rsidP="00F00796">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A6B0F87" w14:textId="77777777" w:rsidR="00F00796" w:rsidRPr="00185EE9" w:rsidRDefault="00F00796" w:rsidP="00F00796">
      <w:pPr>
        <w:spacing w:after="0" w:line="256" w:lineRule="auto"/>
        <w:jc w:val="both"/>
        <w:rPr>
          <w:rFonts w:ascii="Verdana" w:eastAsia="Calibri" w:hAnsi="Verdana" w:cs="Times New Roman"/>
        </w:rPr>
      </w:pPr>
    </w:p>
    <w:p w14:paraId="3D79CE53" w14:textId="657AC82E" w:rsidR="00615F46" w:rsidRDefault="00F00796" w:rsidP="00B93E58">
      <w:pPr>
        <w:spacing w:after="0" w:line="256" w:lineRule="auto"/>
        <w:jc w:val="both"/>
        <w:rPr>
          <w:rFonts w:ascii="Verdana" w:eastAsia="Calibri" w:hAnsi="Verdana" w:cs="Times New Roman"/>
        </w:rPr>
      </w:pPr>
      <w:r w:rsidRPr="00185EE9">
        <w:rPr>
          <w:rFonts w:ascii="Verdana" w:eastAsia="Calibri" w:hAnsi="Verdana" w:cs="Times New Roman"/>
        </w:rPr>
        <w:t>Atentamente,</w:t>
      </w:r>
      <w:bookmarkEnd w:id="0"/>
    </w:p>
    <w:p w14:paraId="325E6EF1" w14:textId="77777777" w:rsidR="00B93E58" w:rsidRPr="00B93E58" w:rsidRDefault="00B93E58" w:rsidP="00B93E58">
      <w:pPr>
        <w:spacing w:after="0" w:line="256" w:lineRule="auto"/>
        <w:jc w:val="both"/>
        <w:rPr>
          <w:rFonts w:ascii="Verdana" w:hAnsi="Verdana"/>
          <w:lang w:val="es-MX"/>
        </w:rPr>
      </w:pPr>
    </w:p>
    <w:p w14:paraId="12332D2D" w14:textId="71E03BFE" w:rsidR="004D1E55" w:rsidRDefault="009D5983" w:rsidP="004D1E55">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426A646D" wp14:editId="069B8BD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5058DD41" w14:textId="77777777" w:rsidR="004D1E55" w:rsidRDefault="004D1E55" w:rsidP="004D1E55">
      <w:pPr>
        <w:spacing w:after="0" w:line="276" w:lineRule="auto"/>
        <w:jc w:val="center"/>
        <w:rPr>
          <w:rFonts w:ascii="Verdana" w:hAnsi="Verdana"/>
          <w:lang w:val="es-ES_tradnl"/>
        </w:rPr>
      </w:pPr>
    </w:p>
    <w:p w14:paraId="7C2CF282" w14:textId="77777777" w:rsidR="004D1E55" w:rsidRPr="00D53651" w:rsidRDefault="004D1E55" w:rsidP="004D1E55">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1E55" w:rsidRPr="00D53651" w14:paraId="63776338" w14:textId="77777777" w:rsidTr="003E1B14">
        <w:trPr>
          <w:trHeight w:val="315"/>
        </w:trPr>
        <w:tc>
          <w:tcPr>
            <w:tcW w:w="893" w:type="dxa"/>
            <w:vAlign w:val="center"/>
            <w:hideMark/>
          </w:tcPr>
          <w:p w14:paraId="636054A5"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019C1BAE" w14:textId="6C7865BA" w:rsidR="004D1E55" w:rsidRPr="00D53651" w:rsidRDefault="00CC50EF" w:rsidP="003E1B14">
            <w:pPr>
              <w:spacing w:line="276" w:lineRule="auto"/>
              <w:jc w:val="both"/>
              <w:rPr>
                <w:rFonts w:ascii="Verdana" w:hAnsi="Verdana"/>
                <w:sz w:val="16"/>
                <w:szCs w:val="16"/>
              </w:rPr>
            </w:pPr>
            <w:r>
              <w:rPr>
                <w:rFonts w:ascii="Verdana" w:hAnsi="Verdana"/>
                <w:sz w:val="16"/>
                <w:szCs w:val="16"/>
              </w:rPr>
              <w:t xml:space="preserve">Diana </w:t>
            </w:r>
            <w:r w:rsidR="004D1E55" w:rsidRPr="00D53651">
              <w:rPr>
                <w:rFonts w:ascii="Verdana" w:hAnsi="Verdana"/>
                <w:sz w:val="16"/>
                <w:szCs w:val="16"/>
              </w:rPr>
              <w:t xml:space="preserve">Carolina Blanco Rodriguez </w:t>
            </w:r>
          </w:p>
          <w:p w14:paraId="5CDE9E9A"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4D1E55" w:rsidRPr="00D53651" w14:paraId="5B1ED1D5" w14:textId="77777777" w:rsidTr="003E1B14">
        <w:trPr>
          <w:trHeight w:val="330"/>
        </w:trPr>
        <w:tc>
          <w:tcPr>
            <w:tcW w:w="893" w:type="dxa"/>
            <w:vAlign w:val="center"/>
            <w:hideMark/>
          </w:tcPr>
          <w:p w14:paraId="76264883"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35B8BC62"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 xml:space="preserve">Diana Saavedra </w:t>
            </w:r>
          </w:p>
          <w:p w14:paraId="0B1FB992"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4D1E55" w:rsidRPr="00D53651" w14:paraId="19C8516D" w14:textId="77777777" w:rsidTr="003E1B14">
        <w:trPr>
          <w:trHeight w:val="300"/>
        </w:trPr>
        <w:tc>
          <w:tcPr>
            <w:tcW w:w="893" w:type="dxa"/>
            <w:vAlign w:val="center"/>
            <w:hideMark/>
          </w:tcPr>
          <w:p w14:paraId="4864B045"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9CB2360" w14:textId="77777777" w:rsidR="004D1E55" w:rsidRPr="00D53651" w:rsidRDefault="004D1E55" w:rsidP="003E1B14">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611911AF" w14:textId="77777777" w:rsidR="004D1E55" w:rsidRPr="00D53651" w:rsidRDefault="004D1E55" w:rsidP="003E1B14">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bookmarkEnd w:id="1"/>
    </w:tbl>
    <w:p w14:paraId="175862FB" w14:textId="5C92D6A1" w:rsidR="0044798F" w:rsidRPr="004D1E55" w:rsidRDefault="0044798F" w:rsidP="00B93E58">
      <w:pPr>
        <w:spacing w:after="0" w:line="276" w:lineRule="auto"/>
        <w:jc w:val="center"/>
        <w:rPr>
          <w:noProof/>
        </w:rPr>
      </w:pPr>
    </w:p>
    <w:sectPr w:rsidR="0044798F" w:rsidRPr="004D1E5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89531" w14:textId="77777777" w:rsidR="00DC1E6B" w:rsidRDefault="00DC1E6B" w:rsidP="004A1847">
      <w:pPr>
        <w:spacing w:after="0" w:line="240" w:lineRule="auto"/>
      </w:pPr>
      <w:r>
        <w:separator/>
      </w:r>
    </w:p>
  </w:endnote>
  <w:endnote w:type="continuationSeparator" w:id="0">
    <w:p w14:paraId="3A7EACB8" w14:textId="77777777" w:rsidR="00DC1E6B" w:rsidRDefault="00DC1E6B" w:rsidP="004A1847">
      <w:pPr>
        <w:spacing w:after="0" w:line="240" w:lineRule="auto"/>
      </w:pPr>
      <w:r>
        <w:continuationSeparator/>
      </w:r>
    </w:p>
  </w:endnote>
  <w:endnote w:type="continuationNotice" w:id="1">
    <w:p w14:paraId="41129EF1" w14:textId="77777777" w:rsidR="00DC1E6B" w:rsidRDefault="00DC1E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505795" w:rsidRDefault="00505795">
    <w:pPr>
      <w:pStyle w:val="Piedepgina"/>
    </w:pPr>
  </w:p>
  <w:p w14:paraId="594D6D9F" w14:textId="6E17AAA5" w:rsidR="00505795" w:rsidRPr="00174B77" w:rsidRDefault="0050579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B93E58" w:rsidRPr="00B93E58">
      <w:rPr>
        <w:rFonts w:ascii="Verdana" w:eastAsiaTheme="minorEastAsia" w:hAnsi="Verdana"/>
        <w:b/>
        <w:bCs/>
        <w:noProof/>
        <w:sz w:val="16"/>
        <w:szCs w:val="16"/>
      </w:rPr>
      <w:t>34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05795" w:rsidRDefault="0050579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05795" w:rsidRPr="00E41027" w:rsidRDefault="00505795"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505795" w:rsidRDefault="0050579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94B49" w14:textId="77777777" w:rsidR="00DC1E6B" w:rsidRDefault="00DC1E6B" w:rsidP="004A1847">
      <w:pPr>
        <w:spacing w:after="0" w:line="240" w:lineRule="auto"/>
      </w:pPr>
      <w:r>
        <w:separator/>
      </w:r>
    </w:p>
  </w:footnote>
  <w:footnote w:type="continuationSeparator" w:id="0">
    <w:p w14:paraId="572E49CB" w14:textId="77777777" w:rsidR="00DC1E6B" w:rsidRDefault="00DC1E6B" w:rsidP="004A1847">
      <w:pPr>
        <w:spacing w:after="0" w:line="240" w:lineRule="auto"/>
      </w:pPr>
      <w:r>
        <w:continuationSeparator/>
      </w:r>
    </w:p>
  </w:footnote>
  <w:footnote w:type="continuationNotice" w:id="1">
    <w:p w14:paraId="7C97CB30" w14:textId="77777777" w:rsidR="00DC1E6B" w:rsidRDefault="00DC1E6B">
      <w:pPr>
        <w:spacing w:after="0" w:line="240" w:lineRule="auto"/>
      </w:pPr>
    </w:p>
  </w:footnote>
  <w:footnote w:id="2">
    <w:p w14:paraId="20F7647C" w14:textId="77777777" w:rsidR="00505795" w:rsidRPr="00310E5C" w:rsidRDefault="00505795" w:rsidP="003A40E2">
      <w:pPr>
        <w:pStyle w:val="Textonotapie"/>
        <w:ind w:firstLine="709"/>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El artículo 127 de l</w:t>
      </w:r>
      <w:r w:rsidRPr="00310E5C">
        <w:rPr>
          <w:rFonts w:ascii="Verdana" w:hAnsi="Verdana" w:cs="Arial"/>
          <w:sz w:val="16"/>
          <w:szCs w:val="16"/>
        </w:rPr>
        <w:t xml:space="preserve">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26F969A" w14:textId="57848C36" w:rsidR="00505795" w:rsidRPr="00310E5C" w:rsidRDefault="00505795" w:rsidP="00B93E58">
      <w:pPr>
        <w:pStyle w:val="Textonotapie"/>
        <w:ind w:firstLine="709"/>
        <w:jc w:val="both"/>
        <w:rPr>
          <w:rFonts w:ascii="Verdana" w:hAnsi="Verdana" w:cs="Arial"/>
          <w:sz w:val="16"/>
          <w:szCs w:val="16"/>
        </w:rPr>
      </w:pPr>
      <w:r w:rsidRPr="00310E5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4DF17992" w14:textId="77777777" w:rsidR="00505795" w:rsidRPr="00310E5C" w:rsidRDefault="00505795" w:rsidP="003A40E2">
      <w:pPr>
        <w:pStyle w:val="Textonotapie"/>
        <w:ind w:firstLine="709"/>
        <w:jc w:val="both"/>
        <w:rPr>
          <w:rFonts w:ascii="Verdana" w:hAnsi="Verdana" w:cs="Arial"/>
          <w:sz w:val="16"/>
          <w:szCs w:val="16"/>
        </w:rPr>
      </w:pPr>
      <w:r w:rsidRPr="00310E5C">
        <w:rPr>
          <w:rStyle w:val="Refdenotaalpie"/>
          <w:rFonts w:ascii="Verdana" w:hAnsi="Verdana" w:cs="Arial"/>
          <w:sz w:val="16"/>
          <w:szCs w:val="16"/>
        </w:rPr>
        <w:footnoteRef/>
      </w:r>
      <w:r w:rsidRPr="00310E5C">
        <w:rPr>
          <w:rFonts w:ascii="Verdana" w:hAnsi="Verdana" w:cs="Arial"/>
          <w:sz w:val="16"/>
          <w:szCs w:val="16"/>
        </w:rPr>
        <w:t xml:space="preserve"> Gaceta del Congreso de la República No. 71 del 2005.</w:t>
      </w:r>
    </w:p>
  </w:footnote>
  <w:footnote w:id="4">
    <w:p w14:paraId="43D1B7E5" w14:textId="77777777" w:rsidR="00505795" w:rsidRPr="00310E5C" w:rsidRDefault="00505795" w:rsidP="003A40E2">
      <w:pPr>
        <w:pStyle w:val="Textonotapie"/>
        <w:ind w:firstLine="709"/>
        <w:jc w:val="both"/>
        <w:rPr>
          <w:rFonts w:ascii="Verdana" w:hAnsi="Verdana" w:cs="Arial"/>
          <w:sz w:val="16"/>
          <w:szCs w:val="16"/>
          <w:lang w:val="pt-BR"/>
        </w:rPr>
      </w:pPr>
      <w:r w:rsidRPr="00310E5C">
        <w:rPr>
          <w:rStyle w:val="Refdenotaalpie"/>
          <w:rFonts w:ascii="Verdana" w:hAnsi="Verdana" w:cs="Arial"/>
          <w:sz w:val="16"/>
          <w:szCs w:val="16"/>
        </w:rPr>
        <w:footnoteRef/>
      </w:r>
      <w:r w:rsidRPr="00310E5C">
        <w:rPr>
          <w:rFonts w:ascii="Verdana" w:hAnsi="Verdana" w:cs="Arial"/>
          <w:sz w:val="16"/>
          <w:szCs w:val="16"/>
          <w:lang w:val="pt-BR"/>
        </w:rPr>
        <w:t xml:space="preserve"> Corte Constitucional, Sentencia C- 1153 de 2005, M.P. Marco Gerardo </w:t>
      </w:r>
      <w:proofErr w:type="spellStart"/>
      <w:r w:rsidRPr="00310E5C">
        <w:rPr>
          <w:rFonts w:ascii="Verdana" w:hAnsi="Verdana" w:cs="Arial"/>
          <w:sz w:val="16"/>
          <w:szCs w:val="16"/>
          <w:lang w:val="pt-BR"/>
        </w:rPr>
        <w:t>Monroy</w:t>
      </w:r>
      <w:proofErr w:type="spellEnd"/>
      <w:r w:rsidRPr="00310E5C">
        <w:rPr>
          <w:rFonts w:ascii="Verdana" w:hAnsi="Verdana" w:cs="Arial"/>
          <w:sz w:val="16"/>
          <w:szCs w:val="16"/>
          <w:lang w:val="pt-BR"/>
        </w:rPr>
        <w:t xml:space="preserve"> Cabra.</w:t>
      </w:r>
    </w:p>
  </w:footnote>
  <w:footnote w:id="5">
    <w:p w14:paraId="199E03D6" w14:textId="23CDE6D8" w:rsidR="00505795" w:rsidRPr="00310E5C" w:rsidRDefault="00505795" w:rsidP="00B93E58">
      <w:pPr>
        <w:pStyle w:val="Textonotapie"/>
        <w:ind w:firstLine="709"/>
        <w:jc w:val="both"/>
        <w:rPr>
          <w:rFonts w:ascii="Verdana" w:hAnsi="Verdana" w:cs="Arial"/>
          <w:sz w:val="16"/>
          <w:szCs w:val="16"/>
          <w:lang w:val="pt-BR"/>
        </w:rPr>
      </w:pPr>
      <w:r w:rsidRPr="00310E5C">
        <w:rPr>
          <w:rStyle w:val="Refdenotaalpie"/>
          <w:rFonts w:ascii="Verdana" w:hAnsi="Verdana" w:cs="Arial"/>
          <w:sz w:val="16"/>
          <w:szCs w:val="16"/>
        </w:rPr>
        <w:footnoteRef/>
      </w:r>
      <w:r w:rsidRPr="00310E5C">
        <w:rPr>
          <w:rFonts w:ascii="Verdana" w:hAnsi="Verdana" w:cs="Arial"/>
          <w:sz w:val="16"/>
          <w:szCs w:val="16"/>
          <w:lang w:val="pt-BR"/>
        </w:rPr>
        <w:t xml:space="preserve"> Corte Constitucional. Sentencias: C-233 de 4 de abril de 2002, expediente: D-3704; C-551 de 9 de </w:t>
      </w:r>
      <w:proofErr w:type="spellStart"/>
      <w:r w:rsidRPr="00310E5C">
        <w:rPr>
          <w:rFonts w:ascii="Verdana" w:hAnsi="Verdana" w:cs="Arial"/>
          <w:sz w:val="16"/>
          <w:szCs w:val="16"/>
          <w:lang w:val="pt-BR"/>
        </w:rPr>
        <w:t>julio</w:t>
      </w:r>
      <w:proofErr w:type="spellEnd"/>
      <w:r w:rsidRPr="00310E5C">
        <w:rPr>
          <w:rFonts w:ascii="Verdana" w:hAnsi="Verdana" w:cs="Arial"/>
          <w:sz w:val="16"/>
          <w:szCs w:val="16"/>
          <w:lang w:val="pt-BR"/>
        </w:rPr>
        <w:t xml:space="preserve"> de 2003, expediente: CRF-001 de 9 de </w:t>
      </w:r>
      <w:proofErr w:type="spellStart"/>
      <w:r w:rsidRPr="00310E5C">
        <w:rPr>
          <w:rFonts w:ascii="Verdana" w:hAnsi="Verdana" w:cs="Arial"/>
          <w:sz w:val="16"/>
          <w:szCs w:val="16"/>
          <w:lang w:val="pt-BR"/>
        </w:rPr>
        <w:t>julio</w:t>
      </w:r>
      <w:proofErr w:type="spellEnd"/>
      <w:r w:rsidRPr="00310E5C">
        <w:rPr>
          <w:rFonts w:ascii="Verdana" w:hAnsi="Verdana" w:cs="Arial"/>
          <w:sz w:val="16"/>
          <w:szCs w:val="16"/>
          <w:lang w:val="pt-BR"/>
        </w:rPr>
        <w:t xml:space="preserve"> de 2003; C-652 de 5 de agosto de 2003, expediente: D-4330; C-353 de 20 de </w:t>
      </w:r>
      <w:proofErr w:type="spellStart"/>
      <w:r w:rsidRPr="00310E5C">
        <w:rPr>
          <w:rFonts w:ascii="Verdana" w:hAnsi="Verdana" w:cs="Arial"/>
          <w:sz w:val="16"/>
          <w:szCs w:val="16"/>
          <w:lang w:val="pt-BR"/>
        </w:rPr>
        <w:t>mayo</w:t>
      </w:r>
      <w:proofErr w:type="spellEnd"/>
      <w:r w:rsidRPr="00310E5C">
        <w:rPr>
          <w:rFonts w:ascii="Verdana" w:hAnsi="Verdana" w:cs="Arial"/>
          <w:sz w:val="16"/>
          <w:szCs w:val="16"/>
          <w:lang w:val="pt-BR"/>
        </w:rPr>
        <w:t xml:space="preserve"> de 2009, expediente: D-7518, C-541 de 30 de </w:t>
      </w:r>
      <w:proofErr w:type="spellStart"/>
      <w:r w:rsidRPr="00310E5C">
        <w:rPr>
          <w:rFonts w:ascii="Verdana" w:hAnsi="Verdana" w:cs="Arial"/>
          <w:sz w:val="16"/>
          <w:szCs w:val="16"/>
          <w:lang w:val="pt-BR"/>
        </w:rPr>
        <w:t>junio</w:t>
      </w:r>
      <w:proofErr w:type="spellEnd"/>
      <w:r w:rsidRPr="00310E5C">
        <w:rPr>
          <w:rFonts w:ascii="Verdana" w:hAnsi="Verdana" w:cs="Arial"/>
          <w:sz w:val="16"/>
          <w:szCs w:val="16"/>
          <w:lang w:val="pt-BR"/>
        </w:rPr>
        <w:t xml:space="preserve"> de 2010, expediente: DD7966; entre </w:t>
      </w:r>
      <w:proofErr w:type="spellStart"/>
      <w:r w:rsidRPr="00310E5C">
        <w:rPr>
          <w:rFonts w:ascii="Verdana" w:hAnsi="Verdana" w:cs="Arial"/>
          <w:sz w:val="16"/>
          <w:szCs w:val="16"/>
          <w:lang w:val="pt-BR"/>
        </w:rPr>
        <w:t>otras</w:t>
      </w:r>
      <w:proofErr w:type="spellEnd"/>
      <w:r w:rsidRPr="00310E5C">
        <w:rPr>
          <w:rFonts w:ascii="Verdana" w:hAnsi="Verdana" w:cs="Arial"/>
          <w:sz w:val="16"/>
          <w:szCs w:val="16"/>
          <w:lang w:val="pt-BR"/>
        </w:rPr>
        <w:t>.</w:t>
      </w:r>
    </w:p>
  </w:footnote>
  <w:footnote w:id="6">
    <w:p w14:paraId="5E05F8B0" w14:textId="77777777" w:rsidR="00505795" w:rsidRPr="00310E5C" w:rsidRDefault="00505795" w:rsidP="003A40E2">
      <w:pPr>
        <w:pStyle w:val="Textonotapie"/>
        <w:ind w:firstLine="709"/>
        <w:jc w:val="both"/>
        <w:rPr>
          <w:rFonts w:ascii="Verdana" w:hAnsi="Verdana" w:cs="Arial"/>
          <w:sz w:val="16"/>
          <w:szCs w:val="16"/>
          <w:lang w:val="es-CO"/>
        </w:rPr>
      </w:pPr>
      <w:r w:rsidRPr="00310E5C">
        <w:rPr>
          <w:rStyle w:val="Refdenotaalpie"/>
          <w:rFonts w:ascii="Verdana" w:hAnsi="Verdana" w:cs="Arial"/>
          <w:sz w:val="16"/>
          <w:szCs w:val="16"/>
        </w:rPr>
        <w:footnoteRef/>
      </w:r>
      <w:r w:rsidRPr="00310E5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250FB4C" w14:textId="77777777" w:rsidR="00505795" w:rsidRPr="00310E5C" w:rsidRDefault="00505795" w:rsidP="003A40E2">
      <w:pPr>
        <w:pStyle w:val="Textonotapie"/>
        <w:ind w:firstLine="709"/>
        <w:jc w:val="both"/>
        <w:rPr>
          <w:rFonts w:ascii="Verdana" w:hAnsi="Verdana" w:cs="Arial"/>
          <w:sz w:val="16"/>
          <w:szCs w:val="16"/>
        </w:rPr>
      </w:pPr>
      <w:r w:rsidRPr="00310E5C">
        <w:rPr>
          <w:rStyle w:val="Refdenotaalpie"/>
          <w:rFonts w:ascii="Verdana" w:hAnsi="Verdana" w:cs="Arial"/>
          <w:sz w:val="16"/>
          <w:szCs w:val="16"/>
        </w:rPr>
        <w:footnoteRef/>
      </w:r>
      <w:r w:rsidRPr="00310E5C">
        <w:rPr>
          <w:rFonts w:ascii="Verdana" w:hAnsi="Verdana" w:cs="Arial"/>
          <w:sz w:val="16"/>
          <w:szCs w:val="16"/>
        </w:rPr>
        <w:t xml:space="preserve"> Consejo de Estado, Sala de Consulta y Servicio Civil de fecha 24 de julio de 2013, radicado 2166, C. P. Álvaro </w:t>
      </w:r>
      <w:proofErr w:type="spellStart"/>
      <w:r w:rsidRPr="00310E5C">
        <w:rPr>
          <w:rFonts w:ascii="Verdana" w:hAnsi="Verdana" w:cs="Arial"/>
          <w:sz w:val="16"/>
          <w:szCs w:val="16"/>
        </w:rPr>
        <w:t>Namén</w:t>
      </w:r>
      <w:proofErr w:type="spellEnd"/>
      <w:r w:rsidRPr="00310E5C">
        <w:rPr>
          <w:rFonts w:ascii="Verdana" w:hAnsi="Verdana" w:cs="Arial"/>
          <w:sz w:val="16"/>
          <w:szCs w:val="16"/>
        </w:rPr>
        <w:t xml:space="preserve"> Vargas.  </w:t>
      </w:r>
    </w:p>
  </w:footnote>
  <w:footnote w:id="8">
    <w:p w14:paraId="47C555BF" w14:textId="77777777" w:rsidR="00505795" w:rsidRPr="00310E5C" w:rsidRDefault="00505795" w:rsidP="003A40E2">
      <w:pPr>
        <w:spacing w:after="0" w:line="240" w:lineRule="auto"/>
        <w:ind w:firstLine="709"/>
        <w:jc w:val="both"/>
        <w:rPr>
          <w:rFonts w:ascii="Verdana" w:eastAsia="Times New Roman" w:hAnsi="Verdana" w:cs="Arial"/>
          <w:sz w:val="16"/>
          <w:szCs w:val="16"/>
        </w:rPr>
      </w:pPr>
      <w:r w:rsidRPr="00310E5C">
        <w:rPr>
          <w:rStyle w:val="Refdenotaalpie"/>
          <w:rFonts w:ascii="Verdana" w:hAnsi="Verdana" w:cs="Arial"/>
          <w:sz w:val="16"/>
          <w:szCs w:val="16"/>
        </w:rPr>
        <w:footnoteRef/>
      </w:r>
      <w:r w:rsidRPr="00310E5C">
        <w:rPr>
          <w:rFonts w:ascii="Verdana" w:hAnsi="Verdana" w:cs="Arial"/>
          <w:sz w:val="16"/>
          <w:szCs w:val="16"/>
        </w:rPr>
        <w:t xml:space="preserve"> </w:t>
      </w:r>
      <w:bookmarkStart w:id="6" w:name="33"/>
      <w:r w:rsidRPr="00310E5C">
        <w:rPr>
          <w:rFonts w:ascii="Verdana" w:eastAsia="Calibri" w:hAnsi="Verdana" w:cs="Arial"/>
          <w:color w:val="000000"/>
          <w:sz w:val="16"/>
          <w:szCs w:val="16"/>
        </w:rPr>
        <w:t>“</w:t>
      </w:r>
      <w:r w:rsidRPr="00310E5C">
        <w:rPr>
          <w:rFonts w:ascii="Verdana" w:eastAsia="Times New Roman" w:hAnsi="Verdana" w:cs="Arial"/>
          <w:sz w:val="16"/>
          <w:szCs w:val="16"/>
        </w:rPr>
        <w:t>Artículo 33. Restricciones a la contratación pública.</w:t>
      </w:r>
      <w:bookmarkEnd w:id="6"/>
      <w:r w:rsidRPr="00310E5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87750A2" w14:textId="77777777" w:rsidR="00505795" w:rsidRPr="00310E5C" w:rsidRDefault="00505795" w:rsidP="003A40E2">
      <w:pPr>
        <w:spacing w:after="0" w:line="240" w:lineRule="auto"/>
        <w:ind w:firstLine="709"/>
        <w:jc w:val="both"/>
        <w:rPr>
          <w:rFonts w:ascii="Verdana" w:eastAsia="Times New Roman" w:hAnsi="Verdana" w:cs="Arial"/>
          <w:sz w:val="16"/>
          <w:szCs w:val="16"/>
        </w:rPr>
      </w:pPr>
      <w:r w:rsidRPr="00310E5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310E5C">
        <w:rPr>
          <w:rFonts w:ascii="Verdana" w:eastAsia="Calibri" w:hAnsi="Verdana" w:cs="Arial"/>
          <w:color w:val="000000"/>
          <w:sz w:val="16"/>
          <w:szCs w:val="16"/>
        </w:rPr>
        <w:t>”</w:t>
      </w:r>
      <w:r w:rsidRPr="00310E5C">
        <w:rPr>
          <w:rFonts w:ascii="Verdana" w:eastAsia="Times New Roman" w:hAnsi="Verdana" w:cs="Arial"/>
          <w:sz w:val="16"/>
          <w:szCs w:val="16"/>
        </w:rPr>
        <w:t>.</w:t>
      </w:r>
    </w:p>
    <w:p w14:paraId="145D454D" w14:textId="77777777" w:rsidR="00505795" w:rsidRPr="00310E5C" w:rsidRDefault="00505795" w:rsidP="003A40E2">
      <w:pPr>
        <w:spacing w:after="0" w:line="240" w:lineRule="auto"/>
        <w:ind w:firstLine="709"/>
        <w:jc w:val="both"/>
        <w:rPr>
          <w:rFonts w:ascii="Verdana" w:eastAsia="Times New Roman" w:hAnsi="Verdana" w:cs="Arial"/>
          <w:sz w:val="16"/>
          <w:szCs w:val="16"/>
        </w:rPr>
      </w:pPr>
    </w:p>
  </w:footnote>
  <w:footnote w:id="9">
    <w:p w14:paraId="5938448F" w14:textId="77777777" w:rsidR="00505795" w:rsidRPr="00310E5C" w:rsidRDefault="00505795" w:rsidP="003A40E2">
      <w:pPr>
        <w:pStyle w:val="NormalWeb"/>
        <w:spacing w:before="0" w:beforeAutospacing="0" w:after="0" w:afterAutospacing="0"/>
        <w:ind w:firstLine="709"/>
        <w:jc w:val="both"/>
        <w:rPr>
          <w:rFonts w:ascii="Verdana" w:hAnsi="Verdana" w:cs="Arial"/>
          <w:sz w:val="16"/>
          <w:szCs w:val="16"/>
          <w:lang w:val="es-MX"/>
        </w:rPr>
      </w:pPr>
      <w:r w:rsidRPr="00310E5C">
        <w:rPr>
          <w:rStyle w:val="Refdenotaalpie"/>
          <w:rFonts w:ascii="Verdana" w:hAnsi="Verdana" w:cs="Arial"/>
          <w:sz w:val="16"/>
          <w:szCs w:val="16"/>
        </w:rPr>
        <w:footnoteRef/>
      </w:r>
      <w:r w:rsidRPr="00310E5C">
        <w:rPr>
          <w:rFonts w:ascii="Verdana" w:hAnsi="Verdana" w:cs="Arial"/>
          <w:sz w:val="16"/>
          <w:szCs w:val="16"/>
        </w:rPr>
        <w:t xml:space="preserve"> </w:t>
      </w:r>
      <w:bookmarkStart w:id="7" w:name="38"/>
      <w:r w:rsidRPr="00310E5C">
        <w:rPr>
          <w:rFonts w:ascii="Verdana" w:eastAsia="Calibri" w:hAnsi="Verdana" w:cs="Arial"/>
          <w:color w:val="000000"/>
          <w:sz w:val="16"/>
          <w:szCs w:val="16"/>
        </w:rPr>
        <w:t>“</w:t>
      </w:r>
      <w:r w:rsidRPr="00310E5C">
        <w:rPr>
          <w:rFonts w:ascii="Verdana" w:hAnsi="Verdana" w:cs="Arial"/>
          <w:sz w:val="16"/>
          <w:szCs w:val="16"/>
          <w:lang w:val="es-MX"/>
        </w:rPr>
        <w:t>Artículo 38. Prohibiciones para los servidores públicos. A los empleados del Estado les está prohibido:</w:t>
      </w:r>
      <w:bookmarkEnd w:id="7"/>
      <w:r w:rsidRPr="00310E5C">
        <w:rPr>
          <w:rFonts w:ascii="Verdana" w:hAnsi="Verdana" w:cs="Arial"/>
          <w:sz w:val="16"/>
          <w:szCs w:val="16"/>
          <w:lang w:val="es-MX"/>
        </w:rPr>
        <w:t xml:space="preserve"> […]</w:t>
      </w:r>
    </w:p>
    <w:p w14:paraId="5F737299" w14:textId="10B1A22E" w:rsidR="00505795" w:rsidRPr="00310E5C" w:rsidRDefault="00505795" w:rsidP="003A40E2">
      <w:pPr>
        <w:pStyle w:val="NormalWeb"/>
        <w:spacing w:before="0" w:beforeAutospacing="0" w:after="0" w:afterAutospacing="0"/>
        <w:ind w:firstLine="709"/>
        <w:jc w:val="both"/>
        <w:rPr>
          <w:rFonts w:ascii="Verdana" w:hAnsi="Verdana" w:cs="Arial"/>
          <w:sz w:val="16"/>
          <w:szCs w:val="16"/>
          <w:lang w:val="es-MX"/>
        </w:rPr>
      </w:pPr>
      <w:r w:rsidRPr="00310E5C">
        <w:rPr>
          <w:rStyle w:val="baj"/>
          <w:rFonts w:ascii="Verdana" w:hAnsi="Verdana" w:cs="Arial"/>
          <w:sz w:val="16"/>
          <w:szCs w:val="16"/>
          <w:lang w:val="es-MX"/>
        </w:rPr>
        <w:t>Parágrafo.</w:t>
      </w:r>
      <w:r w:rsidRPr="00310E5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10E5C">
        <w:rPr>
          <w:rFonts w:ascii="Verdana" w:eastAsia="Calibri" w:hAnsi="Verdana" w:cs="Arial"/>
          <w:color w:val="000000"/>
          <w:sz w:val="16"/>
          <w:szCs w:val="16"/>
        </w:rPr>
        <w:t>”</w:t>
      </w:r>
      <w:r w:rsidR="006B4CA3">
        <w:rPr>
          <w:rFonts w:ascii="Verdana" w:hAnsi="Verdana" w:cs="Arial"/>
          <w:sz w:val="16"/>
          <w:szCs w:val="16"/>
          <w:lang w:val="es-MX"/>
        </w:rPr>
        <w:t>.</w:t>
      </w:r>
    </w:p>
  </w:footnote>
  <w:footnote w:id="10">
    <w:p w14:paraId="70B6BB98" w14:textId="249338F2" w:rsidR="008014B6" w:rsidRPr="00310E5C" w:rsidRDefault="008014B6" w:rsidP="008014B6">
      <w:pPr>
        <w:pStyle w:val="NormalWeb"/>
        <w:spacing w:before="0" w:beforeAutospacing="0" w:after="0" w:afterAutospacing="0"/>
        <w:ind w:firstLine="709"/>
        <w:jc w:val="both"/>
        <w:rPr>
          <w:rFonts w:ascii="Verdana" w:hAnsi="Verdana" w:cs="Arial"/>
          <w:sz w:val="16"/>
          <w:szCs w:val="16"/>
          <w:lang w:val="es-MX"/>
        </w:rPr>
      </w:pPr>
      <w:r w:rsidRPr="00310E5C">
        <w:rPr>
          <w:rStyle w:val="Refdenotaalpie"/>
          <w:rFonts w:ascii="Verdana" w:hAnsi="Verdana" w:cs="Arial"/>
          <w:sz w:val="16"/>
          <w:szCs w:val="16"/>
        </w:rPr>
        <w:footnoteRef/>
      </w:r>
      <w:r w:rsidRPr="00310E5C">
        <w:rPr>
          <w:rFonts w:ascii="Verdana" w:hAnsi="Verdana" w:cs="Arial"/>
          <w:sz w:val="16"/>
          <w:szCs w:val="16"/>
        </w:rPr>
        <w:t xml:space="preserve"> </w:t>
      </w:r>
      <w:r w:rsidRPr="008014B6">
        <w:rPr>
          <w:rFonts w:ascii="Verdana" w:hAnsi="Verdana" w:cs="Arial"/>
          <w:sz w:val="16"/>
          <w:szCs w:val="16"/>
        </w:rPr>
        <w:t>Colombia Compra Eficiente. Circular Externa Única. Numeral 16.5.</w:t>
      </w:r>
    </w:p>
    <w:p w14:paraId="2D47A723" w14:textId="2B4B01D9" w:rsidR="008014B6" w:rsidRPr="00310E5C" w:rsidRDefault="008014B6" w:rsidP="008014B6">
      <w:pPr>
        <w:pStyle w:val="NormalWeb"/>
        <w:spacing w:before="0" w:beforeAutospacing="0" w:after="0" w:afterAutospacing="0"/>
        <w:ind w:firstLine="709"/>
        <w:jc w:val="both"/>
        <w:rPr>
          <w:rFonts w:ascii="Verdana" w:hAnsi="Verdana" w:cs="Arial"/>
          <w:sz w:val="16"/>
          <w:szCs w:val="16"/>
          <w:lang w:val="es-MX"/>
        </w:rPr>
      </w:pPr>
    </w:p>
  </w:footnote>
  <w:footnote w:id="11">
    <w:p w14:paraId="6B004114" w14:textId="77777777" w:rsidR="00505795" w:rsidRPr="00310E5C" w:rsidRDefault="00505795" w:rsidP="003A40E2">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310E5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5D120ECA" w14:textId="16585EF1" w:rsidR="0090165B" w:rsidRPr="00310E5C" w:rsidRDefault="0090165B" w:rsidP="0090165B">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310E5C">
        <w:rPr>
          <w:rFonts w:ascii="Verdana" w:hAnsi="Verdana" w:cs="Arial"/>
          <w:sz w:val="16"/>
          <w:szCs w:val="16"/>
        </w:rPr>
        <w:t xml:space="preserve"> </w:t>
      </w:r>
      <w:r w:rsidRPr="0090165B">
        <w:rPr>
          <w:rFonts w:ascii="Verdana" w:hAnsi="Verdana" w:cs="Arial"/>
          <w:sz w:val="16"/>
          <w:szCs w:val="16"/>
        </w:rPr>
        <w:t>1 Es lo que sucede, por ejemplo, con el Decreto 092 de 2017, que en su desarrollo hace referencia tanto a los “contratos” como a los “convenios”.</w:t>
      </w:r>
    </w:p>
  </w:footnote>
  <w:footnote w:id="13">
    <w:p w14:paraId="4B24B64D" w14:textId="3DBDD6D4" w:rsidR="0090165B" w:rsidRPr="00310E5C" w:rsidRDefault="0090165B" w:rsidP="0090165B">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w:t>
      </w:r>
      <w:r>
        <w:rPr>
          <w:rFonts w:ascii="Verdana" w:hAnsi="Verdana" w:cs="Arial"/>
          <w:sz w:val="16"/>
          <w:szCs w:val="16"/>
        </w:rPr>
        <w:t xml:space="preserve"> </w:t>
      </w:r>
      <w:r w:rsidRPr="0090165B">
        <w:rPr>
          <w:rFonts w:ascii="Verdana" w:hAnsi="Verdana" w:cs="Arial"/>
          <w:sz w:val="16"/>
          <w:szCs w:val="16"/>
        </w:rPr>
        <w:t>únicamente será proponente aquélla. En tal sentido, la causal de contratación directa es aplicable a los convenios y a los contratos interadministrativos”. (Corte Constitucional. Sentencia C-671 de 2015. M.P. Alberto Rojas Ríos).</w:t>
      </w:r>
    </w:p>
  </w:footnote>
  <w:footnote w:id="14">
    <w:p w14:paraId="3BA26E82" w14:textId="25AF22AF" w:rsidR="00791487" w:rsidRPr="00310E5C" w:rsidRDefault="00791487" w:rsidP="00791487">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791487">
        <w:rPr>
          <w:rFonts w:ascii="Verdana" w:hAnsi="Verdana" w:cs="Arial"/>
          <w:sz w:val="16"/>
          <w:szCs w:val="16"/>
        </w:rPr>
        <w:t>Consejo de Estado, Sala de lo Contencioso Administrativo, Sección Tercera. Auto del 4 de octubre de 2024. Radicado No. 70.313. MP: Fredy Ibarra Martínez</w:t>
      </w:r>
    </w:p>
  </w:footnote>
  <w:footnote w:id="15">
    <w:p w14:paraId="727BFFF9" w14:textId="5F95E098" w:rsidR="001F242D" w:rsidRPr="00310E5C" w:rsidRDefault="001F242D" w:rsidP="001F242D">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1F242D">
        <w:rPr>
          <w:rFonts w:ascii="Verdana" w:hAnsi="Verdana" w:cs="Arial"/>
          <w:sz w:val="16"/>
          <w:szCs w:val="16"/>
        </w:rPr>
        <w:t>Consejo de Estado. Sala de Consulta y Servicio Civil. Concepto del 15 de noviembre de 2007. Expediente número 1863. Consejero Ponente: Luis Fernando Álvarez Jaramillo.</w:t>
      </w:r>
    </w:p>
  </w:footnote>
  <w:footnote w:id="16">
    <w:p w14:paraId="0291F30E" w14:textId="69FC3F6F" w:rsidR="00A34C1E" w:rsidRPr="00310E5C" w:rsidRDefault="00A34C1E" w:rsidP="00A34C1E">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A34C1E">
        <w:rPr>
          <w:rFonts w:ascii="Verdana" w:hAnsi="Verdana" w:cs="Arial"/>
          <w:sz w:val="16"/>
          <w:szCs w:val="16"/>
        </w:rPr>
        <w:t>“[25] Cfr. Consejo de Estado. Sección Tercera. Sentencia de 3 de diciembre de 2007. Radicados: 24.715, 25.206, 25.409, 24.524, 27.834, 25.410, 26.105, 28.244, 31.447 -acumulados-“.</w:t>
      </w:r>
    </w:p>
  </w:footnote>
  <w:footnote w:id="17">
    <w:p w14:paraId="52187FB8" w14:textId="59749652" w:rsidR="008B6537" w:rsidRPr="00310E5C" w:rsidRDefault="008B6537" w:rsidP="008B6537">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00F463A0" w:rsidRPr="00F463A0">
        <w:rPr>
          <w:rFonts w:ascii="Verdana" w:hAnsi="Verdana" w:cs="Arial"/>
          <w:sz w:val="16"/>
          <w:szCs w:val="16"/>
        </w:rPr>
        <w:t>“[26] Al respecto ver el concepto 1712 de 2 de febrero de 2006. Consejo de Estado Sala de Consulta y Servicio Civil”.</w:t>
      </w:r>
    </w:p>
  </w:footnote>
  <w:footnote w:id="18">
    <w:p w14:paraId="6E7CFFE9" w14:textId="2F1A5D08" w:rsidR="008B6537" w:rsidRPr="00310E5C" w:rsidRDefault="008B6537" w:rsidP="008B6537">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00F463A0" w:rsidRPr="00F463A0">
        <w:rPr>
          <w:rFonts w:ascii="Verdana" w:hAnsi="Verdana" w:cs="Arial"/>
          <w:sz w:val="16"/>
          <w:szCs w:val="16"/>
        </w:rPr>
        <w:t xml:space="preserve">Consejo de Estado. Sala de Consulta y Servicio Civil. Concepto del 2 de septiembre de 2013. Radicación número: 11001-03-06-000-2013-00412-00 (2168). Consejero Ponente: Álvaro </w:t>
      </w:r>
      <w:proofErr w:type="spellStart"/>
      <w:r w:rsidR="00F463A0" w:rsidRPr="00F463A0">
        <w:rPr>
          <w:rFonts w:ascii="Verdana" w:hAnsi="Verdana" w:cs="Arial"/>
          <w:sz w:val="16"/>
          <w:szCs w:val="16"/>
        </w:rPr>
        <w:t>Namén</w:t>
      </w:r>
      <w:proofErr w:type="spellEnd"/>
      <w:r w:rsidR="00F463A0" w:rsidRPr="00F463A0">
        <w:rPr>
          <w:rFonts w:ascii="Verdana" w:hAnsi="Verdana" w:cs="Arial"/>
          <w:sz w:val="16"/>
          <w:szCs w:val="16"/>
        </w:rPr>
        <w:t xml:space="preserve"> Vargas.</w:t>
      </w:r>
    </w:p>
  </w:footnote>
  <w:footnote w:id="19">
    <w:p w14:paraId="53560B5E" w14:textId="1877B37E" w:rsidR="00393504" w:rsidRPr="00310E5C" w:rsidRDefault="00393504" w:rsidP="00393504">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393504">
        <w:rPr>
          <w:rFonts w:ascii="Verdana" w:hAnsi="Verdana" w:cs="Arial"/>
          <w:sz w:val="16"/>
          <w:szCs w:val="16"/>
        </w:rPr>
        <w:t>Artículo 2</w:t>
      </w:r>
      <w:r>
        <w:rPr>
          <w:rFonts w:ascii="Verdana" w:hAnsi="Verdana" w:cs="Arial"/>
          <w:sz w:val="16"/>
          <w:szCs w:val="16"/>
        </w:rPr>
        <w:t>.</w:t>
      </w:r>
    </w:p>
  </w:footnote>
  <w:footnote w:id="20">
    <w:p w14:paraId="34A7E0DF" w14:textId="3F92F2CD" w:rsidR="00393504" w:rsidRPr="00310E5C" w:rsidRDefault="00393504" w:rsidP="00393504">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393504">
        <w:rPr>
          <w:rFonts w:ascii="Verdana" w:hAnsi="Verdana" w:cs="Arial"/>
          <w:i/>
          <w:iCs/>
          <w:sz w:val="16"/>
          <w:szCs w:val="16"/>
        </w:rPr>
        <w:t>Ídem</w:t>
      </w:r>
      <w:r w:rsidRPr="00393504">
        <w:rPr>
          <w:rFonts w:ascii="Verdana" w:hAnsi="Verdana" w:cs="Arial"/>
          <w:i/>
          <w:iCs/>
          <w:sz w:val="16"/>
          <w:szCs w:val="16"/>
        </w:rPr>
        <w:t>.</w:t>
      </w:r>
    </w:p>
  </w:footnote>
  <w:footnote w:id="21">
    <w:p w14:paraId="08AA4D6C" w14:textId="31FB3B89" w:rsidR="00393504" w:rsidRPr="00310E5C" w:rsidRDefault="00393504" w:rsidP="00393504">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00AA351F" w:rsidRPr="00AA351F">
        <w:rPr>
          <w:rFonts w:ascii="Verdana" w:hAnsi="Verdana" w:cs="Arial"/>
          <w:sz w:val="16"/>
          <w:szCs w:val="16"/>
        </w:rPr>
        <w:t>“[…] A este respecto, cabe recordar que el artículo 860 del Código de Comercio regula la licitación en el derecho privado”</w:t>
      </w:r>
    </w:p>
  </w:footnote>
  <w:footnote w:id="22">
    <w:p w14:paraId="040696D2" w14:textId="77777777" w:rsidR="009438AA" w:rsidRPr="00310E5C" w:rsidRDefault="009438AA" w:rsidP="009438AA">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AA351F">
        <w:rPr>
          <w:rFonts w:ascii="Verdana" w:hAnsi="Verdana" w:cs="Arial"/>
          <w:sz w:val="16"/>
          <w:szCs w:val="16"/>
        </w:rPr>
        <w:t>“[…] A este respecto, cabe recordar que el artículo 860 del Código de Comercio regula la licitación en el derecho privado”</w:t>
      </w:r>
    </w:p>
  </w:footnote>
  <w:footnote w:id="23">
    <w:p w14:paraId="64C31E2A" w14:textId="77777777" w:rsidR="009438AA" w:rsidRPr="00310E5C" w:rsidRDefault="009438AA" w:rsidP="009438AA">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AA351F">
        <w:rPr>
          <w:rFonts w:ascii="Verdana" w:hAnsi="Verdana" w:cs="Arial"/>
          <w:sz w:val="16"/>
          <w:szCs w:val="16"/>
        </w:rPr>
        <w:t>“[…] A este respecto, cabe recordar que el artículo 860 del Código de Comercio regula la licitación en el derecho privado”</w:t>
      </w:r>
    </w:p>
  </w:footnote>
  <w:footnote w:id="24">
    <w:p w14:paraId="5E977085" w14:textId="4BCA679D" w:rsidR="0069328F" w:rsidRPr="00310E5C" w:rsidRDefault="0069328F" w:rsidP="0069328F">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69328F">
        <w:rPr>
          <w:rFonts w:ascii="Verdana" w:hAnsi="Verdana" w:cs="Arial"/>
          <w:sz w:val="16"/>
          <w:szCs w:val="16"/>
        </w:rPr>
        <w:t>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5">
    <w:p w14:paraId="08173881" w14:textId="61EAE433" w:rsidR="00BE0896" w:rsidRPr="00310E5C" w:rsidRDefault="00BE0896" w:rsidP="00BE0896">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AA351F">
        <w:rPr>
          <w:rFonts w:ascii="Verdana" w:hAnsi="Verdana" w:cs="Arial"/>
          <w:sz w:val="16"/>
          <w:szCs w:val="16"/>
        </w:rPr>
        <w:t xml:space="preserve">“[…] </w:t>
      </w:r>
      <w:r w:rsidR="007A77D8" w:rsidRPr="007A77D8">
        <w:rPr>
          <w:rFonts w:ascii="Verdana" w:hAnsi="Verdana" w:cs="Arial"/>
          <w:sz w:val="16"/>
          <w:szCs w:val="16"/>
        </w:rPr>
        <w:t xml:space="preserve">La Corte Constitucional mediante Sentencia C-1153-05 de 11 de noviembre de 2005, Magistrado Ponente Marco Gerardo Monroy Cabra, efectuó el Control constitucional al Proyecto de Ley Estatutaria </w:t>
      </w:r>
      <w:proofErr w:type="spellStart"/>
      <w:r w:rsidR="007A77D8" w:rsidRPr="007A77D8">
        <w:rPr>
          <w:rFonts w:ascii="Verdana" w:hAnsi="Verdana" w:cs="Arial"/>
          <w:sz w:val="16"/>
          <w:szCs w:val="16"/>
        </w:rPr>
        <w:t>N°</w:t>
      </w:r>
      <w:proofErr w:type="spellEnd"/>
      <w:r w:rsidR="007A77D8" w:rsidRPr="007A77D8">
        <w:rPr>
          <w:rFonts w:ascii="Verdana" w:hAnsi="Verdana" w:cs="Arial"/>
          <w:sz w:val="16"/>
          <w:szCs w:val="16"/>
        </w:rPr>
        <w:t xml:space="preserve"> 216/05 Senado, </w:t>
      </w:r>
      <w:proofErr w:type="spellStart"/>
      <w:r w:rsidR="007A77D8" w:rsidRPr="007A77D8">
        <w:rPr>
          <w:rFonts w:ascii="Verdana" w:hAnsi="Verdana" w:cs="Arial"/>
          <w:sz w:val="16"/>
          <w:szCs w:val="16"/>
        </w:rPr>
        <w:t>N°</w:t>
      </w:r>
      <w:proofErr w:type="spellEnd"/>
      <w:r w:rsidR="007A77D8" w:rsidRPr="007A77D8">
        <w:rPr>
          <w:rFonts w:ascii="Verdana" w:hAnsi="Verdana" w:cs="Arial"/>
          <w:sz w:val="16"/>
          <w:szCs w:val="16"/>
        </w:rPr>
        <w:t xml:space="preserve"> 235-Cámara que dio lugar a la Ley de Garantías Electorales.</w:t>
      </w:r>
    </w:p>
  </w:footnote>
  <w:footnote w:id="26">
    <w:p w14:paraId="5F9C3779" w14:textId="05094AE4" w:rsidR="003A7610" w:rsidRPr="00310E5C" w:rsidRDefault="003A7610" w:rsidP="003A7610">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00942F32" w:rsidRPr="00942F32">
        <w:rPr>
          <w:rFonts w:ascii="Verdana" w:hAnsi="Verdana" w:cs="Arial"/>
          <w:sz w:val="16"/>
          <w:szCs w:val="16"/>
        </w:rPr>
        <w:t>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7">
    <w:p w14:paraId="55DB16A2" w14:textId="5EAFCDA7" w:rsidR="00A91418" w:rsidRPr="00310E5C" w:rsidRDefault="00A91418" w:rsidP="00A91418">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00F56E8F" w:rsidRPr="00F56E8F">
        <w:rPr>
          <w:rFonts w:ascii="Verdana" w:hAnsi="Verdana" w:cs="Arial"/>
          <w:sz w:val="16"/>
          <w:szCs w:val="16"/>
        </w:rPr>
        <w:t>Consejo de Estado. Sala de Consulta y Servicio Civil. Concepto de 6 de abril de 2006. Radicación Número: 11001-03-06-000-2006-00038-00 (1738). Consejero Ponente: Enrique José Arboleda Perdomo: “Si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p>
  </w:footnote>
  <w:footnote w:id="28">
    <w:p w14:paraId="041C84DF" w14:textId="55825CC7" w:rsidR="00F56E8F" w:rsidRPr="00310E5C" w:rsidRDefault="00F56E8F" w:rsidP="00F56E8F">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00414E1C" w:rsidRPr="00414E1C">
        <w:rPr>
          <w:rFonts w:ascii="Verdana" w:hAnsi="Verdana" w:cs="Arial"/>
          <w:sz w:val="16"/>
          <w:szCs w:val="16"/>
        </w:rPr>
        <w:t>Consejo de Estado. Sala de Consulta y Servicio Civil. Concepto de 6 de abril de 2006. Radicación Número: 11001-03-06-000-2006-00038-00(1738). Consejero Ponente: Enrique José Arboleda Perdomo.</w:t>
      </w:r>
    </w:p>
  </w:footnote>
  <w:footnote w:id="29">
    <w:p w14:paraId="1FC28B6F" w14:textId="0905152F" w:rsidR="00921980" w:rsidRPr="00310E5C" w:rsidRDefault="00921980" w:rsidP="00921980">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921980">
        <w:rPr>
          <w:rFonts w:ascii="Verdana" w:hAnsi="Verdana" w:cs="Arial"/>
          <w:sz w:val="16"/>
          <w:szCs w:val="16"/>
        </w:rPr>
        <w:t>Consejo de Estado. Sala de Consulta y Servicio Civil, ídem.</w:t>
      </w:r>
    </w:p>
  </w:footnote>
  <w:footnote w:id="30">
    <w:p w14:paraId="7F874D2F" w14:textId="4B262F3D" w:rsidR="00AB1841" w:rsidRPr="00310E5C" w:rsidRDefault="00AB1841" w:rsidP="00AB1841">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90165B">
        <w:rPr>
          <w:rFonts w:ascii="Verdana" w:hAnsi="Verdana" w:cs="Arial"/>
          <w:sz w:val="16"/>
          <w:szCs w:val="16"/>
        </w:rPr>
        <w:t xml:space="preserve"> </w:t>
      </w:r>
      <w:r w:rsidRPr="00AB1841">
        <w:rPr>
          <w:rFonts w:ascii="Verdana" w:hAnsi="Verdana" w:cs="Arial"/>
          <w:sz w:val="16"/>
          <w:szCs w:val="16"/>
        </w:rPr>
        <w:t>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505795" w:rsidRDefault="00505795">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05795" w:rsidRDefault="00505795">
    <w:pPr>
      <w:pStyle w:val="Encabezado"/>
    </w:pPr>
  </w:p>
  <w:p w14:paraId="3079FC11" w14:textId="77777777" w:rsidR="00505795" w:rsidRDefault="00505795" w:rsidP="004A305D">
    <w:pPr>
      <w:spacing w:after="0"/>
      <w:rPr>
        <w:rFonts w:ascii="Verdana" w:hAnsi="Verdana"/>
        <w:b/>
        <w:bCs/>
      </w:rPr>
    </w:pPr>
  </w:p>
  <w:p w14:paraId="5E18350A" w14:textId="705F7B76" w:rsidR="00505795" w:rsidRPr="004A305D" w:rsidRDefault="00505795" w:rsidP="00B01B1A">
    <w:pPr>
      <w:spacing w:after="0" w:line="120" w:lineRule="auto"/>
      <w:rPr>
        <w:rFonts w:ascii="Century Gothic" w:eastAsia="Geo" w:hAnsi="Century Gothic" w:cs="Geo"/>
        <w:sz w:val="16"/>
        <w:szCs w:val="16"/>
        <w:lang w:eastAsia="es-CO"/>
      </w:rPr>
    </w:pPr>
  </w:p>
  <w:p w14:paraId="1FD1C243" w14:textId="6D74A3CF" w:rsidR="00505795" w:rsidRDefault="0050579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6" type="#_x0000_t75" style="width:11.4pt;height:11.4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577668375">
    <w:abstractNumId w:val="13"/>
  </w:num>
  <w:num w:numId="2" w16cid:durableId="1452087678">
    <w:abstractNumId w:val="3"/>
  </w:num>
  <w:num w:numId="3" w16cid:durableId="1600328616">
    <w:abstractNumId w:val="11"/>
  </w:num>
  <w:num w:numId="4" w16cid:durableId="15327217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6504395">
    <w:abstractNumId w:val="3"/>
  </w:num>
  <w:num w:numId="6" w16cid:durableId="672144935">
    <w:abstractNumId w:val="26"/>
  </w:num>
  <w:num w:numId="7" w16cid:durableId="542910905">
    <w:abstractNumId w:val="12"/>
  </w:num>
  <w:num w:numId="8" w16cid:durableId="693271301">
    <w:abstractNumId w:val="25"/>
  </w:num>
  <w:num w:numId="9" w16cid:durableId="1741559956">
    <w:abstractNumId w:val="14"/>
  </w:num>
  <w:num w:numId="10" w16cid:durableId="437527260">
    <w:abstractNumId w:val="24"/>
  </w:num>
  <w:num w:numId="11" w16cid:durableId="827594929">
    <w:abstractNumId w:val="15"/>
  </w:num>
  <w:num w:numId="12" w16cid:durableId="1148018003">
    <w:abstractNumId w:val="1"/>
  </w:num>
  <w:num w:numId="13" w16cid:durableId="747385034">
    <w:abstractNumId w:val="8"/>
  </w:num>
  <w:num w:numId="14" w16cid:durableId="147408369">
    <w:abstractNumId w:val="27"/>
  </w:num>
  <w:num w:numId="15" w16cid:durableId="2052920088">
    <w:abstractNumId w:val="23"/>
  </w:num>
  <w:num w:numId="16" w16cid:durableId="199217643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8899684">
    <w:abstractNumId w:val="4"/>
  </w:num>
  <w:num w:numId="18" w16cid:durableId="1886600675">
    <w:abstractNumId w:val="22"/>
  </w:num>
  <w:num w:numId="19" w16cid:durableId="1169901770">
    <w:abstractNumId w:val="10"/>
  </w:num>
  <w:num w:numId="20" w16cid:durableId="200673662">
    <w:abstractNumId w:val="16"/>
  </w:num>
  <w:num w:numId="21" w16cid:durableId="790588832">
    <w:abstractNumId w:val="28"/>
  </w:num>
  <w:num w:numId="22" w16cid:durableId="2030792491">
    <w:abstractNumId w:val="19"/>
  </w:num>
  <w:num w:numId="23" w16cid:durableId="168718835">
    <w:abstractNumId w:val="7"/>
  </w:num>
  <w:num w:numId="24" w16cid:durableId="585840674">
    <w:abstractNumId w:val="17"/>
  </w:num>
  <w:num w:numId="25" w16cid:durableId="203518212">
    <w:abstractNumId w:val="2"/>
  </w:num>
  <w:num w:numId="26" w16cid:durableId="625935432">
    <w:abstractNumId w:val="5"/>
  </w:num>
  <w:num w:numId="27" w16cid:durableId="1530794593">
    <w:abstractNumId w:val="20"/>
  </w:num>
  <w:num w:numId="28" w16cid:durableId="226192536">
    <w:abstractNumId w:val="6"/>
  </w:num>
  <w:num w:numId="29" w16cid:durableId="1750348805">
    <w:abstractNumId w:val="9"/>
  </w:num>
  <w:num w:numId="30" w16cid:durableId="255288685">
    <w:abstractNumId w:val="0"/>
  </w:num>
  <w:num w:numId="31" w16cid:durableId="303970704">
    <w:abstractNumId w:val="18"/>
  </w:num>
  <w:num w:numId="32" w16cid:durableId="16068386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224F2"/>
    <w:rsid w:val="00023C3E"/>
    <w:rsid w:val="0002653B"/>
    <w:rsid w:val="00034682"/>
    <w:rsid w:val="00035E21"/>
    <w:rsid w:val="00042856"/>
    <w:rsid w:val="0004434A"/>
    <w:rsid w:val="0005281E"/>
    <w:rsid w:val="00055421"/>
    <w:rsid w:val="0005682C"/>
    <w:rsid w:val="00056D71"/>
    <w:rsid w:val="00061B2A"/>
    <w:rsid w:val="00062BAF"/>
    <w:rsid w:val="000630B9"/>
    <w:rsid w:val="000643B2"/>
    <w:rsid w:val="00065E80"/>
    <w:rsid w:val="00066BB4"/>
    <w:rsid w:val="0007022C"/>
    <w:rsid w:val="00071DE6"/>
    <w:rsid w:val="000754B0"/>
    <w:rsid w:val="00077439"/>
    <w:rsid w:val="000774B8"/>
    <w:rsid w:val="00082362"/>
    <w:rsid w:val="0008328D"/>
    <w:rsid w:val="00084D78"/>
    <w:rsid w:val="0009387A"/>
    <w:rsid w:val="0009387B"/>
    <w:rsid w:val="000963C6"/>
    <w:rsid w:val="000974AC"/>
    <w:rsid w:val="0009762F"/>
    <w:rsid w:val="000A18ED"/>
    <w:rsid w:val="000A31B9"/>
    <w:rsid w:val="000A3330"/>
    <w:rsid w:val="000A36D8"/>
    <w:rsid w:val="000A3D63"/>
    <w:rsid w:val="000A683A"/>
    <w:rsid w:val="000A683E"/>
    <w:rsid w:val="000B19B9"/>
    <w:rsid w:val="000B3001"/>
    <w:rsid w:val="000B6918"/>
    <w:rsid w:val="000C2889"/>
    <w:rsid w:val="000C3673"/>
    <w:rsid w:val="000C538B"/>
    <w:rsid w:val="000D0152"/>
    <w:rsid w:val="000D0334"/>
    <w:rsid w:val="000D0B4D"/>
    <w:rsid w:val="000D3B29"/>
    <w:rsid w:val="000D71F8"/>
    <w:rsid w:val="000E06F4"/>
    <w:rsid w:val="000E1AC7"/>
    <w:rsid w:val="000E4CE4"/>
    <w:rsid w:val="000F2A7A"/>
    <w:rsid w:val="000F6486"/>
    <w:rsid w:val="000F669F"/>
    <w:rsid w:val="001063B3"/>
    <w:rsid w:val="00107ACA"/>
    <w:rsid w:val="001114A9"/>
    <w:rsid w:val="00111979"/>
    <w:rsid w:val="00116537"/>
    <w:rsid w:val="00120766"/>
    <w:rsid w:val="00122FA6"/>
    <w:rsid w:val="001240BD"/>
    <w:rsid w:val="00125105"/>
    <w:rsid w:val="001268F7"/>
    <w:rsid w:val="00127233"/>
    <w:rsid w:val="001366C9"/>
    <w:rsid w:val="001372FC"/>
    <w:rsid w:val="00143E81"/>
    <w:rsid w:val="00143FD9"/>
    <w:rsid w:val="00145047"/>
    <w:rsid w:val="00146C57"/>
    <w:rsid w:val="00150ADA"/>
    <w:rsid w:val="001569A8"/>
    <w:rsid w:val="0016332F"/>
    <w:rsid w:val="0016642E"/>
    <w:rsid w:val="001717E9"/>
    <w:rsid w:val="0017238A"/>
    <w:rsid w:val="001800BA"/>
    <w:rsid w:val="00180A30"/>
    <w:rsid w:val="00185EE9"/>
    <w:rsid w:val="001860ED"/>
    <w:rsid w:val="00187F79"/>
    <w:rsid w:val="00196F32"/>
    <w:rsid w:val="00197274"/>
    <w:rsid w:val="001A0B04"/>
    <w:rsid w:val="001A237A"/>
    <w:rsid w:val="001A26CF"/>
    <w:rsid w:val="001A2919"/>
    <w:rsid w:val="001B2CFE"/>
    <w:rsid w:val="001C222E"/>
    <w:rsid w:val="001C22F9"/>
    <w:rsid w:val="001D1C29"/>
    <w:rsid w:val="001D2CCC"/>
    <w:rsid w:val="001E3C06"/>
    <w:rsid w:val="001E4177"/>
    <w:rsid w:val="001F0A0F"/>
    <w:rsid w:val="001F218E"/>
    <w:rsid w:val="001F242D"/>
    <w:rsid w:val="001F4EFD"/>
    <w:rsid w:val="001F5E13"/>
    <w:rsid w:val="001F6D11"/>
    <w:rsid w:val="001F7DC6"/>
    <w:rsid w:val="00202886"/>
    <w:rsid w:val="00205784"/>
    <w:rsid w:val="00210946"/>
    <w:rsid w:val="00213510"/>
    <w:rsid w:val="0021372A"/>
    <w:rsid w:val="00215CEF"/>
    <w:rsid w:val="00217A08"/>
    <w:rsid w:val="00220B77"/>
    <w:rsid w:val="00221D27"/>
    <w:rsid w:val="00237233"/>
    <w:rsid w:val="002421BB"/>
    <w:rsid w:val="00245707"/>
    <w:rsid w:val="00246A81"/>
    <w:rsid w:val="00247C46"/>
    <w:rsid w:val="00251A5F"/>
    <w:rsid w:val="00252B30"/>
    <w:rsid w:val="0025796E"/>
    <w:rsid w:val="002603E5"/>
    <w:rsid w:val="002638B2"/>
    <w:rsid w:val="002660F2"/>
    <w:rsid w:val="002664BB"/>
    <w:rsid w:val="00266D24"/>
    <w:rsid w:val="002707A2"/>
    <w:rsid w:val="00277150"/>
    <w:rsid w:val="002826F0"/>
    <w:rsid w:val="002835A6"/>
    <w:rsid w:val="002844ED"/>
    <w:rsid w:val="00286FAD"/>
    <w:rsid w:val="002951A0"/>
    <w:rsid w:val="002962BC"/>
    <w:rsid w:val="002A093D"/>
    <w:rsid w:val="002A0DD0"/>
    <w:rsid w:val="002A1CEF"/>
    <w:rsid w:val="002A1D2F"/>
    <w:rsid w:val="002A49AC"/>
    <w:rsid w:val="002A64FD"/>
    <w:rsid w:val="002A6BBF"/>
    <w:rsid w:val="002B1E57"/>
    <w:rsid w:val="002B1F7F"/>
    <w:rsid w:val="002B290B"/>
    <w:rsid w:val="002B61F2"/>
    <w:rsid w:val="002B7233"/>
    <w:rsid w:val="002B7AD9"/>
    <w:rsid w:val="002C110E"/>
    <w:rsid w:val="002C379A"/>
    <w:rsid w:val="002C765E"/>
    <w:rsid w:val="002C7A84"/>
    <w:rsid w:val="002D13A1"/>
    <w:rsid w:val="002D3F0D"/>
    <w:rsid w:val="002E1D98"/>
    <w:rsid w:val="002E2C3F"/>
    <w:rsid w:val="002E4FD9"/>
    <w:rsid w:val="002E6F15"/>
    <w:rsid w:val="002F13FD"/>
    <w:rsid w:val="002F53FB"/>
    <w:rsid w:val="00303544"/>
    <w:rsid w:val="00303985"/>
    <w:rsid w:val="003039C1"/>
    <w:rsid w:val="00310DBE"/>
    <w:rsid w:val="00310E5C"/>
    <w:rsid w:val="003119D8"/>
    <w:rsid w:val="0031430F"/>
    <w:rsid w:val="00320BBD"/>
    <w:rsid w:val="003226F7"/>
    <w:rsid w:val="00322A85"/>
    <w:rsid w:val="00324168"/>
    <w:rsid w:val="00325755"/>
    <w:rsid w:val="0033032A"/>
    <w:rsid w:val="00330C97"/>
    <w:rsid w:val="00334C6A"/>
    <w:rsid w:val="00336C05"/>
    <w:rsid w:val="003409C8"/>
    <w:rsid w:val="00342675"/>
    <w:rsid w:val="00343512"/>
    <w:rsid w:val="003448F4"/>
    <w:rsid w:val="00345330"/>
    <w:rsid w:val="00350480"/>
    <w:rsid w:val="003522B9"/>
    <w:rsid w:val="003528DF"/>
    <w:rsid w:val="00352C12"/>
    <w:rsid w:val="00354BCA"/>
    <w:rsid w:val="00354FEA"/>
    <w:rsid w:val="00362DEE"/>
    <w:rsid w:val="0036594E"/>
    <w:rsid w:val="003665EE"/>
    <w:rsid w:val="0037010E"/>
    <w:rsid w:val="003734F4"/>
    <w:rsid w:val="00374F5E"/>
    <w:rsid w:val="0037527B"/>
    <w:rsid w:val="00377E3E"/>
    <w:rsid w:val="003815B3"/>
    <w:rsid w:val="003815E8"/>
    <w:rsid w:val="00386D13"/>
    <w:rsid w:val="00391392"/>
    <w:rsid w:val="00392A49"/>
    <w:rsid w:val="00393504"/>
    <w:rsid w:val="00393812"/>
    <w:rsid w:val="003A0145"/>
    <w:rsid w:val="003A26D1"/>
    <w:rsid w:val="003A3B30"/>
    <w:rsid w:val="003A40E2"/>
    <w:rsid w:val="003A477B"/>
    <w:rsid w:val="003A7610"/>
    <w:rsid w:val="003A779E"/>
    <w:rsid w:val="003B005A"/>
    <w:rsid w:val="003B0636"/>
    <w:rsid w:val="003B6385"/>
    <w:rsid w:val="003B78C4"/>
    <w:rsid w:val="003C3FA5"/>
    <w:rsid w:val="003D0F4D"/>
    <w:rsid w:val="003D1B5E"/>
    <w:rsid w:val="003D5B0D"/>
    <w:rsid w:val="003E0499"/>
    <w:rsid w:val="003E40F2"/>
    <w:rsid w:val="003E7EAA"/>
    <w:rsid w:val="003F3941"/>
    <w:rsid w:val="00400676"/>
    <w:rsid w:val="004008A9"/>
    <w:rsid w:val="0040480E"/>
    <w:rsid w:val="00406575"/>
    <w:rsid w:val="004069AB"/>
    <w:rsid w:val="00410906"/>
    <w:rsid w:val="00410C36"/>
    <w:rsid w:val="00414E1C"/>
    <w:rsid w:val="0041655A"/>
    <w:rsid w:val="00426FD7"/>
    <w:rsid w:val="0042722E"/>
    <w:rsid w:val="00427DA0"/>
    <w:rsid w:val="00431BD2"/>
    <w:rsid w:val="00440391"/>
    <w:rsid w:val="004405A4"/>
    <w:rsid w:val="004426AD"/>
    <w:rsid w:val="00442C7F"/>
    <w:rsid w:val="0044528D"/>
    <w:rsid w:val="0044798F"/>
    <w:rsid w:val="00450920"/>
    <w:rsid w:val="004530EA"/>
    <w:rsid w:val="00454D48"/>
    <w:rsid w:val="004554F9"/>
    <w:rsid w:val="0046004D"/>
    <w:rsid w:val="00461A6A"/>
    <w:rsid w:val="004633DE"/>
    <w:rsid w:val="00465E71"/>
    <w:rsid w:val="00466040"/>
    <w:rsid w:val="00471654"/>
    <w:rsid w:val="004734BD"/>
    <w:rsid w:val="00475854"/>
    <w:rsid w:val="00480BAF"/>
    <w:rsid w:val="00482608"/>
    <w:rsid w:val="00483749"/>
    <w:rsid w:val="00484809"/>
    <w:rsid w:val="00484BB1"/>
    <w:rsid w:val="00495DCA"/>
    <w:rsid w:val="004A0980"/>
    <w:rsid w:val="004A0B8B"/>
    <w:rsid w:val="004A1847"/>
    <w:rsid w:val="004A305D"/>
    <w:rsid w:val="004A3312"/>
    <w:rsid w:val="004A66E3"/>
    <w:rsid w:val="004B01B2"/>
    <w:rsid w:val="004B740F"/>
    <w:rsid w:val="004C28C6"/>
    <w:rsid w:val="004C4B37"/>
    <w:rsid w:val="004D026D"/>
    <w:rsid w:val="004D1E55"/>
    <w:rsid w:val="004D23A7"/>
    <w:rsid w:val="004E221E"/>
    <w:rsid w:val="004E2892"/>
    <w:rsid w:val="004E4C0B"/>
    <w:rsid w:val="004E505B"/>
    <w:rsid w:val="004E7CE7"/>
    <w:rsid w:val="004F21C4"/>
    <w:rsid w:val="004F3012"/>
    <w:rsid w:val="004F3B9E"/>
    <w:rsid w:val="004F5559"/>
    <w:rsid w:val="004F685F"/>
    <w:rsid w:val="004F7EC9"/>
    <w:rsid w:val="00504CBE"/>
    <w:rsid w:val="00505795"/>
    <w:rsid w:val="00514598"/>
    <w:rsid w:val="005163B5"/>
    <w:rsid w:val="0052543A"/>
    <w:rsid w:val="00525FDB"/>
    <w:rsid w:val="0052785C"/>
    <w:rsid w:val="00533E1B"/>
    <w:rsid w:val="00540C2D"/>
    <w:rsid w:val="0054335F"/>
    <w:rsid w:val="00545822"/>
    <w:rsid w:val="00552502"/>
    <w:rsid w:val="00554BD4"/>
    <w:rsid w:val="005566E8"/>
    <w:rsid w:val="00560CB5"/>
    <w:rsid w:val="00564F8B"/>
    <w:rsid w:val="00573A01"/>
    <w:rsid w:val="00574122"/>
    <w:rsid w:val="00574867"/>
    <w:rsid w:val="00577D09"/>
    <w:rsid w:val="0058087F"/>
    <w:rsid w:val="00591460"/>
    <w:rsid w:val="00592628"/>
    <w:rsid w:val="00597C75"/>
    <w:rsid w:val="005A0868"/>
    <w:rsid w:val="005A0CFB"/>
    <w:rsid w:val="005A282F"/>
    <w:rsid w:val="005A2AC9"/>
    <w:rsid w:val="005A6C21"/>
    <w:rsid w:val="005B2CCE"/>
    <w:rsid w:val="005B58C1"/>
    <w:rsid w:val="005B6033"/>
    <w:rsid w:val="005C3777"/>
    <w:rsid w:val="005C5CDC"/>
    <w:rsid w:val="005D17C8"/>
    <w:rsid w:val="005D2B2B"/>
    <w:rsid w:val="005D476C"/>
    <w:rsid w:val="005D5F91"/>
    <w:rsid w:val="005D7B25"/>
    <w:rsid w:val="005E6B74"/>
    <w:rsid w:val="005F3CE0"/>
    <w:rsid w:val="005F7C43"/>
    <w:rsid w:val="00601DFC"/>
    <w:rsid w:val="00605537"/>
    <w:rsid w:val="00605A00"/>
    <w:rsid w:val="00610812"/>
    <w:rsid w:val="00612CE7"/>
    <w:rsid w:val="00615F46"/>
    <w:rsid w:val="0062005D"/>
    <w:rsid w:val="006219F8"/>
    <w:rsid w:val="0063165E"/>
    <w:rsid w:val="00632C08"/>
    <w:rsid w:val="00650FF7"/>
    <w:rsid w:val="00656421"/>
    <w:rsid w:val="00660F6A"/>
    <w:rsid w:val="00663B19"/>
    <w:rsid w:val="00665032"/>
    <w:rsid w:val="00665D70"/>
    <w:rsid w:val="00671DAC"/>
    <w:rsid w:val="006747C7"/>
    <w:rsid w:val="006827AC"/>
    <w:rsid w:val="006859A3"/>
    <w:rsid w:val="006900D9"/>
    <w:rsid w:val="006920AE"/>
    <w:rsid w:val="0069328F"/>
    <w:rsid w:val="00697B17"/>
    <w:rsid w:val="006A0008"/>
    <w:rsid w:val="006A10DF"/>
    <w:rsid w:val="006A1E0C"/>
    <w:rsid w:val="006A3147"/>
    <w:rsid w:val="006B14B5"/>
    <w:rsid w:val="006B25DE"/>
    <w:rsid w:val="006B4CA3"/>
    <w:rsid w:val="006C0240"/>
    <w:rsid w:val="006C238E"/>
    <w:rsid w:val="006C5595"/>
    <w:rsid w:val="006D12F8"/>
    <w:rsid w:val="006D4E33"/>
    <w:rsid w:val="006E41C6"/>
    <w:rsid w:val="006F0D40"/>
    <w:rsid w:val="006F2501"/>
    <w:rsid w:val="00700975"/>
    <w:rsid w:val="00704D9B"/>
    <w:rsid w:val="00705E5F"/>
    <w:rsid w:val="00706C16"/>
    <w:rsid w:val="00711C85"/>
    <w:rsid w:val="0071458F"/>
    <w:rsid w:val="0071627C"/>
    <w:rsid w:val="007210B4"/>
    <w:rsid w:val="00723A7F"/>
    <w:rsid w:val="00723F2B"/>
    <w:rsid w:val="007312C3"/>
    <w:rsid w:val="00737C53"/>
    <w:rsid w:val="00737DFA"/>
    <w:rsid w:val="007534CA"/>
    <w:rsid w:val="00756841"/>
    <w:rsid w:val="0076066F"/>
    <w:rsid w:val="00762AA9"/>
    <w:rsid w:val="007649AB"/>
    <w:rsid w:val="007670E3"/>
    <w:rsid w:val="00771D0C"/>
    <w:rsid w:val="00771FD2"/>
    <w:rsid w:val="0078274D"/>
    <w:rsid w:val="007833AC"/>
    <w:rsid w:val="00784D58"/>
    <w:rsid w:val="00786FBF"/>
    <w:rsid w:val="00790AB7"/>
    <w:rsid w:val="007913EA"/>
    <w:rsid w:val="00791487"/>
    <w:rsid w:val="00791769"/>
    <w:rsid w:val="00796340"/>
    <w:rsid w:val="007A23EA"/>
    <w:rsid w:val="007A5189"/>
    <w:rsid w:val="007A77D8"/>
    <w:rsid w:val="007B0D88"/>
    <w:rsid w:val="007B268C"/>
    <w:rsid w:val="007B7171"/>
    <w:rsid w:val="007B7D02"/>
    <w:rsid w:val="007C0C0F"/>
    <w:rsid w:val="007C2E67"/>
    <w:rsid w:val="007C3DC2"/>
    <w:rsid w:val="007C4E2B"/>
    <w:rsid w:val="007D0457"/>
    <w:rsid w:val="007D124A"/>
    <w:rsid w:val="007D43C9"/>
    <w:rsid w:val="007E5497"/>
    <w:rsid w:val="007E635B"/>
    <w:rsid w:val="007F28CA"/>
    <w:rsid w:val="007F52A4"/>
    <w:rsid w:val="007F60FB"/>
    <w:rsid w:val="007F7B94"/>
    <w:rsid w:val="00800789"/>
    <w:rsid w:val="008014B6"/>
    <w:rsid w:val="00804981"/>
    <w:rsid w:val="00806F5F"/>
    <w:rsid w:val="00811270"/>
    <w:rsid w:val="00811E4F"/>
    <w:rsid w:val="008163D7"/>
    <w:rsid w:val="00820278"/>
    <w:rsid w:val="00834554"/>
    <w:rsid w:val="00834B31"/>
    <w:rsid w:val="00840ADC"/>
    <w:rsid w:val="00840E97"/>
    <w:rsid w:val="00841A23"/>
    <w:rsid w:val="00843902"/>
    <w:rsid w:val="00843928"/>
    <w:rsid w:val="00843BF7"/>
    <w:rsid w:val="008449B3"/>
    <w:rsid w:val="00846276"/>
    <w:rsid w:val="00850E23"/>
    <w:rsid w:val="00851137"/>
    <w:rsid w:val="00853978"/>
    <w:rsid w:val="0085432F"/>
    <w:rsid w:val="00856C43"/>
    <w:rsid w:val="00864209"/>
    <w:rsid w:val="0087325B"/>
    <w:rsid w:val="00877EBA"/>
    <w:rsid w:val="0088002A"/>
    <w:rsid w:val="00881ABA"/>
    <w:rsid w:val="008841E9"/>
    <w:rsid w:val="008843B6"/>
    <w:rsid w:val="008853C1"/>
    <w:rsid w:val="00886C89"/>
    <w:rsid w:val="00887569"/>
    <w:rsid w:val="00890EB2"/>
    <w:rsid w:val="00891928"/>
    <w:rsid w:val="00894B8B"/>
    <w:rsid w:val="008961BA"/>
    <w:rsid w:val="008A00A4"/>
    <w:rsid w:val="008A446D"/>
    <w:rsid w:val="008A7A64"/>
    <w:rsid w:val="008A7F08"/>
    <w:rsid w:val="008B2F0E"/>
    <w:rsid w:val="008B5A2E"/>
    <w:rsid w:val="008B6537"/>
    <w:rsid w:val="008D180B"/>
    <w:rsid w:val="008D1BDB"/>
    <w:rsid w:val="008D6CDA"/>
    <w:rsid w:val="008D7227"/>
    <w:rsid w:val="008E1F92"/>
    <w:rsid w:val="008E7333"/>
    <w:rsid w:val="008E7B09"/>
    <w:rsid w:val="008F0EA7"/>
    <w:rsid w:val="008F1CA9"/>
    <w:rsid w:val="008F7BB9"/>
    <w:rsid w:val="0090165B"/>
    <w:rsid w:val="00904692"/>
    <w:rsid w:val="00910097"/>
    <w:rsid w:val="00911C7C"/>
    <w:rsid w:val="0091561E"/>
    <w:rsid w:val="00920849"/>
    <w:rsid w:val="00921980"/>
    <w:rsid w:val="00922F57"/>
    <w:rsid w:val="00923EEF"/>
    <w:rsid w:val="009325CC"/>
    <w:rsid w:val="0093558D"/>
    <w:rsid w:val="009411F5"/>
    <w:rsid w:val="009419F9"/>
    <w:rsid w:val="00942F32"/>
    <w:rsid w:val="009438AA"/>
    <w:rsid w:val="00945B9F"/>
    <w:rsid w:val="00950BE2"/>
    <w:rsid w:val="00953AA4"/>
    <w:rsid w:val="00955305"/>
    <w:rsid w:val="0095685E"/>
    <w:rsid w:val="009572D9"/>
    <w:rsid w:val="009600D2"/>
    <w:rsid w:val="00961409"/>
    <w:rsid w:val="00961B09"/>
    <w:rsid w:val="00962300"/>
    <w:rsid w:val="009624D1"/>
    <w:rsid w:val="00963AD4"/>
    <w:rsid w:val="00965334"/>
    <w:rsid w:val="0097093E"/>
    <w:rsid w:val="00971062"/>
    <w:rsid w:val="009725F1"/>
    <w:rsid w:val="00976025"/>
    <w:rsid w:val="00976F04"/>
    <w:rsid w:val="009800BE"/>
    <w:rsid w:val="00982E41"/>
    <w:rsid w:val="00983B79"/>
    <w:rsid w:val="00983EEA"/>
    <w:rsid w:val="00984649"/>
    <w:rsid w:val="009858BE"/>
    <w:rsid w:val="009A0DFA"/>
    <w:rsid w:val="009A3C2C"/>
    <w:rsid w:val="009A4A40"/>
    <w:rsid w:val="009B2D26"/>
    <w:rsid w:val="009B3595"/>
    <w:rsid w:val="009B5228"/>
    <w:rsid w:val="009B6C8C"/>
    <w:rsid w:val="009B780F"/>
    <w:rsid w:val="009C2DD0"/>
    <w:rsid w:val="009C3AC7"/>
    <w:rsid w:val="009C71FA"/>
    <w:rsid w:val="009C72E7"/>
    <w:rsid w:val="009D0555"/>
    <w:rsid w:val="009D1086"/>
    <w:rsid w:val="009D3058"/>
    <w:rsid w:val="009D3A11"/>
    <w:rsid w:val="009D44C4"/>
    <w:rsid w:val="009D5983"/>
    <w:rsid w:val="009D6427"/>
    <w:rsid w:val="009D67FD"/>
    <w:rsid w:val="009E4636"/>
    <w:rsid w:val="009E5A30"/>
    <w:rsid w:val="009E7C0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5580"/>
    <w:rsid w:val="00A332DD"/>
    <w:rsid w:val="00A339A9"/>
    <w:rsid w:val="00A33C78"/>
    <w:rsid w:val="00A34B38"/>
    <w:rsid w:val="00A34C1E"/>
    <w:rsid w:val="00A34D87"/>
    <w:rsid w:val="00A35538"/>
    <w:rsid w:val="00A35927"/>
    <w:rsid w:val="00A3685A"/>
    <w:rsid w:val="00A3783B"/>
    <w:rsid w:val="00A37BC4"/>
    <w:rsid w:val="00A42050"/>
    <w:rsid w:val="00A43292"/>
    <w:rsid w:val="00A445C0"/>
    <w:rsid w:val="00A52D82"/>
    <w:rsid w:val="00A56959"/>
    <w:rsid w:val="00A56FCA"/>
    <w:rsid w:val="00A6004A"/>
    <w:rsid w:val="00A613C2"/>
    <w:rsid w:val="00A7332E"/>
    <w:rsid w:val="00A745FA"/>
    <w:rsid w:val="00A74DE6"/>
    <w:rsid w:val="00A75866"/>
    <w:rsid w:val="00A8086A"/>
    <w:rsid w:val="00A80F32"/>
    <w:rsid w:val="00A828F1"/>
    <w:rsid w:val="00A830AD"/>
    <w:rsid w:val="00A86E16"/>
    <w:rsid w:val="00A87F7D"/>
    <w:rsid w:val="00A91418"/>
    <w:rsid w:val="00A9244C"/>
    <w:rsid w:val="00A94B0C"/>
    <w:rsid w:val="00A94D14"/>
    <w:rsid w:val="00A95106"/>
    <w:rsid w:val="00A95A1A"/>
    <w:rsid w:val="00AA1328"/>
    <w:rsid w:val="00AA23BB"/>
    <w:rsid w:val="00AA351F"/>
    <w:rsid w:val="00AB0ADB"/>
    <w:rsid w:val="00AB1841"/>
    <w:rsid w:val="00AB3FD1"/>
    <w:rsid w:val="00AC0DF9"/>
    <w:rsid w:val="00AC0EAB"/>
    <w:rsid w:val="00AC4701"/>
    <w:rsid w:val="00AC49A2"/>
    <w:rsid w:val="00AD73E2"/>
    <w:rsid w:val="00AE2631"/>
    <w:rsid w:val="00AE3D6C"/>
    <w:rsid w:val="00AF1BEC"/>
    <w:rsid w:val="00AF54CA"/>
    <w:rsid w:val="00B009B8"/>
    <w:rsid w:val="00B01B1A"/>
    <w:rsid w:val="00B0268A"/>
    <w:rsid w:val="00B0410F"/>
    <w:rsid w:val="00B07DDD"/>
    <w:rsid w:val="00B14E03"/>
    <w:rsid w:val="00B26B98"/>
    <w:rsid w:val="00B35201"/>
    <w:rsid w:val="00B35ADC"/>
    <w:rsid w:val="00B37C24"/>
    <w:rsid w:val="00B40FBC"/>
    <w:rsid w:val="00B427E2"/>
    <w:rsid w:val="00B46F27"/>
    <w:rsid w:val="00B47FD7"/>
    <w:rsid w:val="00B51F75"/>
    <w:rsid w:val="00B52169"/>
    <w:rsid w:val="00B53E27"/>
    <w:rsid w:val="00B558AF"/>
    <w:rsid w:val="00B615BA"/>
    <w:rsid w:val="00B62D8B"/>
    <w:rsid w:val="00B72CD3"/>
    <w:rsid w:val="00B72FFF"/>
    <w:rsid w:val="00B76CEB"/>
    <w:rsid w:val="00B80CC6"/>
    <w:rsid w:val="00B8257D"/>
    <w:rsid w:val="00B82B8B"/>
    <w:rsid w:val="00B86FE2"/>
    <w:rsid w:val="00B91186"/>
    <w:rsid w:val="00B93423"/>
    <w:rsid w:val="00B93E58"/>
    <w:rsid w:val="00B948E8"/>
    <w:rsid w:val="00BA0A22"/>
    <w:rsid w:val="00BA2EF4"/>
    <w:rsid w:val="00BA6BE0"/>
    <w:rsid w:val="00BB22DA"/>
    <w:rsid w:val="00BB2C9D"/>
    <w:rsid w:val="00BC0036"/>
    <w:rsid w:val="00BC05A6"/>
    <w:rsid w:val="00BC3D36"/>
    <w:rsid w:val="00BC4B34"/>
    <w:rsid w:val="00BC7498"/>
    <w:rsid w:val="00BD424C"/>
    <w:rsid w:val="00BD46D0"/>
    <w:rsid w:val="00BD4BCA"/>
    <w:rsid w:val="00BD7F72"/>
    <w:rsid w:val="00BE03BC"/>
    <w:rsid w:val="00BE0896"/>
    <w:rsid w:val="00BE0A18"/>
    <w:rsid w:val="00BF0D99"/>
    <w:rsid w:val="00BF1201"/>
    <w:rsid w:val="00BF1D4A"/>
    <w:rsid w:val="00BF230F"/>
    <w:rsid w:val="00C002E3"/>
    <w:rsid w:val="00C012CC"/>
    <w:rsid w:val="00C04FB3"/>
    <w:rsid w:val="00C06C4F"/>
    <w:rsid w:val="00C147D0"/>
    <w:rsid w:val="00C159C1"/>
    <w:rsid w:val="00C16346"/>
    <w:rsid w:val="00C166F4"/>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3DF6"/>
    <w:rsid w:val="00C57281"/>
    <w:rsid w:val="00C57E63"/>
    <w:rsid w:val="00C65D65"/>
    <w:rsid w:val="00C66D80"/>
    <w:rsid w:val="00C67703"/>
    <w:rsid w:val="00C7173F"/>
    <w:rsid w:val="00C730B6"/>
    <w:rsid w:val="00C7352F"/>
    <w:rsid w:val="00C7482D"/>
    <w:rsid w:val="00C754BE"/>
    <w:rsid w:val="00C76466"/>
    <w:rsid w:val="00C76B1C"/>
    <w:rsid w:val="00C82239"/>
    <w:rsid w:val="00C90209"/>
    <w:rsid w:val="00C915DD"/>
    <w:rsid w:val="00C91B94"/>
    <w:rsid w:val="00C92665"/>
    <w:rsid w:val="00CA4272"/>
    <w:rsid w:val="00CA6A9D"/>
    <w:rsid w:val="00CA7F6B"/>
    <w:rsid w:val="00CB6357"/>
    <w:rsid w:val="00CC0FA3"/>
    <w:rsid w:val="00CC1B26"/>
    <w:rsid w:val="00CC49F7"/>
    <w:rsid w:val="00CC50EF"/>
    <w:rsid w:val="00CC54DB"/>
    <w:rsid w:val="00CC7787"/>
    <w:rsid w:val="00CD087D"/>
    <w:rsid w:val="00CD1796"/>
    <w:rsid w:val="00CD41CB"/>
    <w:rsid w:val="00CD5EE0"/>
    <w:rsid w:val="00CE02A2"/>
    <w:rsid w:val="00CE3273"/>
    <w:rsid w:val="00CE509A"/>
    <w:rsid w:val="00CE5414"/>
    <w:rsid w:val="00CF241F"/>
    <w:rsid w:val="00CF7826"/>
    <w:rsid w:val="00D0157A"/>
    <w:rsid w:val="00D036D8"/>
    <w:rsid w:val="00D038ED"/>
    <w:rsid w:val="00D06D26"/>
    <w:rsid w:val="00D07A67"/>
    <w:rsid w:val="00D10B75"/>
    <w:rsid w:val="00D13351"/>
    <w:rsid w:val="00D15E25"/>
    <w:rsid w:val="00D20368"/>
    <w:rsid w:val="00D22361"/>
    <w:rsid w:val="00D22598"/>
    <w:rsid w:val="00D26924"/>
    <w:rsid w:val="00D35468"/>
    <w:rsid w:val="00D37044"/>
    <w:rsid w:val="00D413F6"/>
    <w:rsid w:val="00D4231B"/>
    <w:rsid w:val="00D423A2"/>
    <w:rsid w:val="00D45E4A"/>
    <w:rsid w:val="00D520D8"/>
    <w:rsid w:val="00D52961"/>
    <w:rsid w:val="00D55048"/>
    <w:rsid w:val="00D56C6D"/>
    <w:rsid w:val="00D57FA4"/>
    <w:rsid w:val="00D62DE7"/>
    <w:rsid w:val="00D63AC2"/>
    <w:rsid w:val="00D665B4"/>
    <w:rsid w:val="00D7080D"/>
    <w:rsid w:val="00D7383B"/>
    <w:rsid w:val="00D7609E"/>
    <w:rsid w:val="00D81A63"/>
    <w:rsid w:val="00D81D25"/>
    <w:rsid w:val="00D85C60"/>
    <w:rsid w:val="00D86C54"/>
    <w:rsid w:val="00D91F8B"/>
    <w:rsid w:val="00D94C40"/>
    <w:rsid w:val="00DA231B"/>
    <w:rsid w:val="00DA23A0"/>
    <w:rsid w:val="00DA7F66"/>
    <w:rsid w:val="00DB186F"/>
    <w:rsid w:val="00DB77B8"/>
    <w:rsid w:val="00DC1E6B"/>
    <w:rsid w:val="00DC39FC"/>
    <w:rsid w:val="00DC4385"/>
    <w:rsid w:val="00DC484F"/>
    <w:rsid w:val="00DC4C27"/>
    <w:rsid w:val="00DC51BC"/>
    <w:rsid w:val="00DC78A7"/>
    <w:rsid w:val="00DC793F"/>
    <w:rsid w:val="00DE3BDD"/>
    <w:rsid w:val="00DE4629"/>
    <w:rsid w:val="00DE58C9"/>
    <w:rsid w:val="00DE6EAA"/>
    <w:rsid w:val="00DF11FD"/>
    <w:rsid w:val="00DF5254"/>
    <w:rsid w:val="00E052F2"/>
    <w:rsid w:val="00E12426"/>
    <w:rsid w:val="00E14EB2"/>
    <w:rsid w:val="00E16408"/>
    <w:rsid w:val="00E20894"/>
    <w:rsid w:val="00E2397D"/>
    <w:rsid w:val="00E23B70"/>
    <w:rsid w:val="00E245AB"/>
    <w:rsid w:val="00E26239"/>
    <w:rsid w:val="00E2764C"/>
    <w:rsid w:val="00E27F2E"/>
    <w:rsid w:val="00E35539"/>
    <w:rsid w:val="00E413EA"/>
    <w:rsid w:val="00E47F28"/>
    <w:rsid w:val="00E50AFE"/>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0C38"/>
    <w:rsid w:val="00E84431"/>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D042A"/>
    <w:rsid w:val="00ED0D4A"/>
    <w:rsid w:val="00EE1AA8"/>
    <w:rsid w:val="00EE6DCD"/>
    <w:rsid w:val="00EF26C3"/>
    <w:rsid w:val="00EF419E"/>
    <w:rsid w:val="00EF489F"/>
    <w:rsid w:val="00F00796"/>
    <w:rsid w:val="00F11213"/>
    <w:rsid w:val="00F11BAA"/>
    <w:rsid w:val="00F177C1"/>
    <w:rsid w:val="00F17EB6"/>
    <w:rsid w:val="00F238F2"/>
    <w:rsid w:val="00F248A2"/>
    <w:rsid w:val="00F260AA"/>
    <w:rsid w:val="00F27B26"/>
    <w:rsid w:val="00F30B1C"/>
    <w:rsid w:val="00F31EDC"/>
    <w:rsid w:val="00F34D02"/>
    <w:rsid w:val="00F34E84"/>
    <w:rsid w:val="00F40BAD"/>
    <w:rsid w:val="00F45C0D"/>
    <w:rsid w:val="00F462B3"/>
    <w:rsid w:val="00F463A0"/>
    <w:rsid w:val="00F50DC9"/>
    <w:rsid w:val="00F5184B"/>
    <w:rsid w:val="00F5491E"/>
    <w:rsid w:val="00F55081"/>
    <w:rsid w:val="00F55168"/>
    <w:rsid w:val="00F5664F"/>
    <w:rsid w:val="00F56E8F"/>
    <w:rsid w:val="00F61ABB"/>
    <w:rsid w:val="00F626C4"/>
    <w:rsid w:val="00F64D9E"/>
    <w:rsid w:val="00F664EC"/>
    <w:rsid w:val="00F666C4"/>
    <w:rsid w:val="00F7684C"/>
    <w:rsid w:val="00F76AFC"/>
    <w:rsid w:val="00F80CBE"/>
    <w:rsid w:val="00F85198"/>
    <w:rsid w:val="00F85237"/>
    <w:rsid w:val="00F939CB"/>
    <w:rsid w:val="00F9479C"/>
    <w:rsid w:val="00F965EE"/>
    <w:rsid w:val="00F97949"/>
    <w:rsid w:val="00FA1110"/>
    <w:rsid w:val="00FA1361"/>
    <w:rsid w:val="00FA34EC"/>
    <w:rsid w:val="00FA358D"/>
    <w:rsid w:val="00FA47C0"/>
    <w:rsid w:val="00FB4425"/>
    <w:rsid w:val="00FB4F08"/>
    <w:rsid w:val="00FB5615"/>
    <w:rsid w:val="00FB5DD1"/>
    <w:rsid w:val="00FB5F87"/>
    <w:rsid w:val="00FC07B5"/>
    <w:rsid w:val="00FC2B5D"/>
    <w:rsid w:val="00FD00BB"/>
    <w:rsid w:val="00FD00E9"/>
    <w:rsid w:val="00FD03E3"/>
    <w:rsid w:val="00FD108E"/>
    <w:rsid w:val="00FD653F"/>
    <w:rsid w:val="00FE122A"/>
    <w:rsid w:val="00FE1ADE"/>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E21"/>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styleId="Mencinsinresolver">
    <w:name w:val="Unresolved Mention"/>
    <w:basedOn w:val="Fuentedeprrafopredeter"/>
    <w:uiPriority w:val="99"/>
    <w:semiHidden/>
    <w:unhideWhenUsed/>
    <w:rsid w:val="004D1E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1910965180">
      <w:bodyDiv w:val="1"/>
      <w:marLeft w:val="0"/>
      <w:marRight w:val="0"/>
      <w:marTop w:val="0"/>
      <w:marBottom w:val="0"/>
      <w:divBdr>
        <w:top w:val="none" w:sz="0" w:space="0" w:color="auto"/>
        <w:left w:val="none" w:sz="0" w:space="0" w:color="auto"/>
        <w:bottom w:val="none" w:sz="0" w:space="0" w:color="auto"/>
        <w:right w:val="none" w:sz="0" w:space="0" w:color="auto"/>
      </w:divBdr>
    </w:div>
    <w:div w:id="1981112007">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ircular-unica-externa"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uridico@bugalagrande-valle.gov.co" TargetMode="External"/><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D71E0147-BC63-43F8-9733-FB15106D8C4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26</Pages>
  <Words>8697</Words>
  <Characters>47835</Characters>
  <Application>Microsoft Office Word</Application>
  <DocSecurity>0</DocSecurity>
  <Lines>398</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51</cp:revision>
  <cp:lastPrinted>2025-02-25T15:45:00Z</cp:lastPrinted>
  <dcterms:created xsi:type="dcterms:W3CDTF">2025-06-24T21:24:00Z</dcterms:created>
  <dcterms:modified xsi:type="dcterms:W3CDTF">2025-08-15T03:53:00Z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