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1B015" w14:textId="77777777" w:rsidR="001F218E" w:rsidRDefault="001F218E" w:rsidP="0044798F">
      <w:pPr>
        <w:spacing w:after="0" w:line="240" w:lineRule="auto"/>
        <w:jc w:val="both"/>
        <w:rPr>
          <w:rFonts w:ascii="Verdana" w:eastAsia="Calibri" w:hAnsi="Verdana" w:cs="Arial"/>
          <w:b/>
          <w:bCs/>
          <w:lang w:val="es-MX" w:eastAsia="es-ES_tradnl"/>
        </w:rPr>
      </w:pPr>
      <w:bookmarkStart w:id="0" w:name="_Hlk143780582"/>
      <w:r w:rsidRPr="00380FFB">
        <w:rPr>
          <w:rFonts w:ascii="Verdana" w:eastAsia="Calibri" w:hAnsi="Verdana" w:cs="Arial"/>
          <w:b/>
          <w:bCs/>
          <w:lang w:val="es-MX" w:eastAsia="es-ES_tradnl"/>
        </w:rPr>
        <w:t xml:space="preserve">LEY DE GARANTÍAS ELECTORALES ‒ Finalidad </w:t>
      </w:r>
    </w:p>
    <w:p w14:paraId="537D13F5"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00738170" w14:textId="3FB2C1C5" w:rsidR="001F218E" w:rsidRDefault="001F218E" w:rsidP="0044798F">
      <w:pPr>
        <w:spacing w:after="0"/>
        <w:jc w:val="both"/>
        <w:rPr>
          <w:rFonts w:ascii="Verdana" w:eastAsia="Calibri" w:hAnsi="Verdana" w:cs="Arial"/>
          <w:sz w:val="20"/>
          <w:szCs w:val="20"/>
          <w:lang w:val="es-MX" w:eastAsia="es-ES_tradnl"/>
        </w:rPr>
      </w:pPr>
      <w:r>
        <w:rPr>
          <w:rFonts w:ascii="Verdana" w:eastAsia="Calibri" w:hAnsi="Verdana" w:cs="Arial"/>
          <w:sz w:val="20"/>
          <w:szCs w:val="20"/>
          <w:lang w:val="es-MX" w:eastAsia="es-ES_tradnl"/>
        </w:rPr>
        <w:t>L</w:t>
      </w:r>
      <w:r w:rsidRPr="00EC0195">
        <w:rPr>
          <w:rFonts w:ascii="Verdana" w:eastAsia="Calibri" w:hAnsi="Verdana" w:cs="Arial"/>
          <w:sz w:val="20"/>
          <w:szCs w:val="20"/>
          <w:lang w:val="es-MX" w:eastAsia="es-ES_tradnl"/>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A395A96" w14:textId="77777777" w:rsidR="001F218E" w:rsidRPr="00A7472C" w:rsidRDefault="001F218E" w:rsidP="0044798F">
      <w:pPr>
        <w:spacing w:after="0" w:line="240" w:lineRule="auto"/>
        <w:jc w:val="both"/>
        <w:rPr>
          <w:rFonts w:ascii="Verdana" w:eastAsia="Calibri" w:hAnsi="Verdana" w:cs="Arial"/>
          <w:sz w:val="20"/>
          <w:szCs w:val="20"/>
          <w:lang w:val="es-MX" w:eastAsia="es-ES_tradnl"/>
        </w:rPr>
      </w:pPr>
    </w:p>
    <w:p w14:paraId="35550F79" w14:textId="77777777" w:rsidR="001F218E" w:rsidRDefault="001F218E" w:rsidP="0044798F">
      <w:pPr>
        <w:spacing w:after="0" w:line="240" w:lineRule="auto"/>
        <w:jc w:val="both"/>
        <w:rPr>
          <w:rFonts w:ascii="Verdana" w:eastAsia="Calibri" w:hAnsi="Verdana" w:cs="Arial"/>
          <w:b/>
          <w:bCs/>
          <w:lang w:val="es-MX" w:eastAsia="es-ES_tradnl"/>
        </w:rPr>
      </w:pPr>
      <w:r w:rsidRPr="00380FFB">
        <w:rPr>
          <w:rFonts w:ascii="Verdana" w:eastAsia="Calibri" w:hAnsi="Verdana" w:cs="Arial"/>
          <w:b/>
          <w:bCs/>
          <w:lang w:val="es-MX" w:eastAsia="es-ES_tradnl"/>
        </w:rPr>
        <w:t xml:space="preserve">LEY DE GARANTÍAS ELECTORALES ‒ Tipos de restricciones ‒ Ámbito temporal </w:t>
      </w:r>
    </w:p>
    <w:p w14:paraId="1B3F783D"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6CF4897C" w14:textId="77777777" w:rsidR="001F218E" w:rsidRDefault="001F218E" w:rsidP="0044798F">
      <w:pPr>
        <w:spacing w:after="0"/>
        <w:jc w:val="both"/>
        <w:rPr>
          <w:rFonts w:ascii="Verdana" w:eastAsia="Arial" w:hAnsi="Verdana" w:cs="Arial"/>
          <w:sz w:val="20"/>
          <w:szCs w:val="20"/>
          <w:lang w:val="es-ES" w:eastAsia="es-ES" w:bidi="es-ES"/>
        </w:rPr>
      </w:pPr>
      <w:r w:rsidRPr="00A14964">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A14964">
        <w:rPr>
          <w:rFonts w:ascii="Verdana" w:eastAsia="Arial" w:hAnsi="Verdana" w:cs="Arial"/>
          <w:i/>
          <w:sz w:val="20"/>
          <w:szCs w:val="20"/>
          <w:lang w:val="es-ES" w:eastAsia="es-ES" w:bidi="es-ES"/>
        </w:rPr>
        <w:t>En primer lugar</w:t>
      </w:r>
      <w:r w:rsidRPr="00A14964">
        <w:rPr>
          <w:rFonts w:ascii="Verdana" w:eastAsia="Arial" w:hAnsi="Verdana" w:cs="Arial"/>
          <w:sz w:val="20"/>
          <w:szCs w:val="20"/>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14964">
        <w:rPr>
          <w:rFonts w:ascii="Verdana" w:eastAsia="Arial" w:hAnsi="Verdana" w:cs="Arial"/>
          <w:i/>
          <w:sz w:val="20"/>
          <w:szCs w:val="20"/>
          <w:lang w:val="es-ES" w:eastAsia="es-ES" w:bidi="es-ES"/>
        </w:rPr>
        <w:t>En segundo lugar</w:t>
      </w:r>
      <w:r w:rsidRPr="00A14964">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C4B4544" w14:textId="77777777" w:rsidR="001F218E" w:rsidRPr="00A14964" w:rsidRDefault="001F218E" w:rsidP="0044798F">
      <w:pPr>
        <w:spacing w:after="0" w:line="240" w:lineRule="auto"/>
        <w:jc w:val="both"/>
        <w:rPr>
          <w:rFonts w:ascii="Verdana" w:eastAsia="Calibri" w:hAnsi="Verdana" w:cs="Arial"/>
          <w:b/>
          <w:bCs/>
          <w:sz w:val="20"/>
          <w:szCs w:val="20"/>
          <w:lang w:val="es-MX" w:eastAsia="es-ES_tradnl"/>
        </w:rPr>
      </w:pPr>
    </w:p>
    <w:p w14:paraId="6EAD3F35" w14:textId="77777777" w:rsidR="001F218E" w:rsidRDefault="001F218E" w:rsidP="0044798F">
      <w:pPr>
        <w:spacing w:after="0" w:line="240" w:lineRule="auto"/>
        <w:jc w:val="both"/>
        <w:rPr>
          <w:rFonts w:ascii="Verdana" w:eastAsia="Calibri" w:hAnsi="Verdana" w:cs="Arial"/>
          <w:b/>
          <w:bCs/>
          <w:lang w:val="es-MX" w:eastAsia="es-ES_tradnl"/>
        </w:rPr>
      </w:pPr>
      <w:r w:rsidRPr="00380FFB">
        <w:rPr>
          <w:rFonts w:ascii="Verdana" w:eastAsia="Calibri" w:hAnsi="Verdana" w:cs="Arial"/>
          <w:b/>
          <w:bCs/>
          <w:lang w:val="es-MX" w:eastAsia="es-ES_tradnl"/>
        </w:rPr>
        <w:t xml:space="preserve"> LEY DE GARANTÍAS ELECTORALES ‒ Prohibición por elección de cargos populares </w:t>
      </w:r>
    </w:p>
    <w:p w14:paraId="075EB7B0" w14:textId="77777777" w:rsidR="001F218E" w:rsidRPr="00380FFB" w:rsidRDefault="001F218E" w:rsidP="0044798F">
      <w:pPr>
        <w:spacing w:after="0" w:line="240" w:lineRule="auto"/>
        <w:jc w:val="both"/>
        <w:rPr>
          <w:rFonts w:ascii="Verdana" w:eastAsia="Calibri" w:hAnsi="Verdana" w:cs="Arial"/>
          <w:b/>
          <w:bCs/>
          <w:lang w:val="es-MX" w:eastAsia="es-ES_tradnl"/>
        </w:rPr>
      </w:pPr>
    </w:p>
    <w:p w14:paraId="57B98FE9" w14:textId="77777777" w:rsidR="001F218E" w:rsidRDefault="001F218E" w:rsidP="0044798F">
      <w:pPr>
        <w:spacing w:after="0"/>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E</w:t>
      </w:r>
      <w:r w:rsidRPr="00A14964">
        <w:rPr>
          <w:rFonts w:ascii="Verdana" w:eastAsia="Times New Roman" w:hAnsi="Verdana" w:cs="Arial"/>
          <w:sz w:val="20"/>
          <w:szCs w:val="20"/>
          <w:lang w:val="es-MX" w:eastAsia="es-CO"/>
        </w:rPr>
        <w:t xml:space="preserve">l parágrafo del artículo 38 de la Ley 996 de 2005 prohíbe a los Alcaldes, Gobernadores, Secretarios, Gerentes y Directores de las entidades del orden municipal, departamental o distrital celebrar </w:t>
      </w:r>
      <w:r w:rsidRPr="00A14964">
        <w:rPr>
          <w:rFonts w:ascii="Verdana" w:eastAsia="Times New Roman" w:hAnsi="Verdana" w:cs="Arial"/>
          <w:i/>
          <w:iCs/>
          <w:sz w:val="20"/>
          <w:szCs w:val="20"/>
          <w:lang w:val="es-MX" w:eastAsia="es-CO"/>
        </w:rPr>
        <w:t>convenios interadministrativos</w:t>
      </w:r>
      <w:r w:rsidRPr="00A14964">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A14964">
        <w:rPr>
          <w:rFonts w:ascii="Verdana" w:eastAsia="Times New Roman" w:hAnsi="Verdana" w:cs="Arial"/>
          <w:i/>
          <w:sz w:val="20"/>
          <w:szCs w:val="20"/>
          <w:lang w:val="es-MX" w:eastAsia="es-CO"/>
        </w:rPr>
        <w:t>ibidem</w:t>
      </w:r>
      <w:r w:rsidRPr="00A14964">
        <w:rPr>
          <w:rFonts w:ascii="Verdana" w:eastAsia="Times New Roman" w:hAnsi="Verdana" w:cs="Arial"/>
          <w:sz w:val="20"/>
          <w:szCs w:val="20"/>
          <w:lang w:val="es-MX" w:eastAsia="es-CO"/>
        </w:rPr>
        <w:t xml:space="preserve">, no podrá celebrar tales </w:t>
      </w:r>
      <w:r w:rsidRPr="00A14964">
        <w:rPr>
          <w:rFonts w:ascii="Verdana" w:eastAsia="Times New Roman" w:hAnsi="Verdana" w:cs="Arial"/>
          <w:i/>
          <w:iCs/>
          <w:sz w:val="20"/>
          <w:szCs w:val="20"/>
          <w:lang w:val="es-MX" w:eastAsia="es-CO"/>
        </w:rPr>
        <w:t>convenios</w:t>
      </w:r>
      <w:r w:rsidRPr="00A14964">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Pr>
          <w:rFonts w:ascii="Verdana" w:eastAsia="Times New Roman" w:hAnsi="Verdana" w:cs="Arial"/>
          <w:sz w:val="20"/>
          <w:szCs w:val="20"/>
          <w:lang w:val="es-MX" w:eastAsia="es-CO"/>
        </w:rPr>
        <w:t>.</w:t>
      </w:r>
    </w:p>
    <w:p w14:paraId="04D2C799" w14:textId="77777777" w:rsidR="001F218E" w:rsidRPr="00A14964" w:rsidRDefault="001F218E" w:rsidP="0044798F">
      <w:pPr>
        <w:spacing w:after="0" w:line="240" w:lineRule="auto"/>
        <w:jc w:val="both"/>
        <w:rPr>
          <w:rFonts w:ascii="Verdana" w:eastAsia="Calibri" w:hAnsi="Verdana" w:cs="Arial"/>
          <w:b/>
          <w:bCs/>
          <w:sz w:val="20"/>
          <w:szCs w:val="20"/>
          <w:lang w:val="es-MX" w:eastAsia="es-ES_tradnl"/>
        </w:rPr>
      </w:pPr>
    </w:p>
    <w:p w14:paraId="253FE5EA" w14:textId="77777777" w:rsidR="001F218E" w:rsidRPr="00380FFB" w:rsidRDefault="001F218E" w:rsidP="0044798F">
      <w:pPr>
        <w:spacing w:after="0" w:line="240" w:lineRule="auto"/>
        <w:jc w:val="both"/>
        <w:rPr>
          <w:rFonts w:ascii="Verdana" w:eastAsia="Calibri" w:hAnsi="Verdana" w:cs="Arial"/>
          <w:b/>
          <w:bCs/>
          <w:lang w:val="es-ES" w:eastAsia="es-ES"/>
        </w:rPr>
      </w:pPr>
      <w:r w:rsidRPr="00380FFB">
        <w:rPr>
          <w:rFonts w:ascii="Verdana" w:eastAsia="Calibri" w:hAnsi="Verdana" w:cs="Arial"/>
          <w:b/>
          <w:bCs/>
          <w:lang w:val="es-MX" w:eastAsia="es-ES_tradnl"/>
        </w:rPr>
        <w:t>ELECCIONES ATÍPICAS</w:t>
      </w:r>
      <w:r w:rsidRPr="00380FFB">
        <w:rPr>
          <w:rFonts w:ascii="Verdana" w:eastAsia="Calibri" w:hAnsi="Verdana" w:cs="Arial"/>
          <w:b/>
          <w:bCs/>
          <w:lang w:val="es-ES" w:eastAsia="es-ES"/>
        </w:rPr>
        <w:t xml:space="preserve"> – Aplicación ley de garantías</w:t>
      </w:r>
    </w:p>
    <w:p w14:paraId="1F6417BA" w14:textId="77777777" w:rsidR="001F218E" w:rsidRDefault="001F218E" w:rsidP="0044798F">
      <w:pPr>
        <w:spacing w:after="0" w:line="240" w:lineRule="auto"/>
        <w:rPr>
          <w:rFonts w:ascii="Verdana" w:eastAsia="Geomanist Light" w:hAnsi="Verdana" w:cs="Arial"/>
          <w:color w:val="000000" w:themeColor="text1"/>
        </w:rPr>
      </w:pPr>
    </w:p>
    <w:p w14:paraId="5DEF0C9E" w14:textId="77777777" w:rsidR="001F218E" w:rsidRPr="00A14964" w:rsidRDefault="001F218E" w:rsidP="0044798F">
      <w:pPr>
        <w:spacing w:after="0" w:line="240" w:lineRule="auto"/>
        <w:jc w:val="both"/>
        <w:rPr>
          <w:rFonts w:ascii="Verdana" w:eastAsia="Geomanist Light" w:hAnsi="Verdana" w:cs="Arial"/>
          <w:color w:val="000000" w:themeColor="text1"/>
          <w:sz w:val="20"/>
          <w:szCs w:val="20"/>
        </w:rPr>
      </w:pPr>
      <w:r>
        <w:rPr>
          <w:rFonts w:ascii="Verdana" w:eastAsia="Calibri" w:hAnsi="Verdana" w:cs="Arial"/>
          <w:sz w:val="20"/>
          <w:szCs w:val="20"/>
          <w:lang w:eastAsia="es-ES" w:bidi="es-ES"/>
        </w:rPr>
        <w:t>P</w:t>
      </w:r>
      <w:r w:rsidRPr="00A14964">
        <w:rPr>
          <w:rFonts w:ascii="Verdana" w:eastAsia="Calibri" w:hAnsi="Verdana" w:cs="Arial"/>
          <w:sz w:val="20"/>
          <w:szCs w:val="20"/>
          <w:lang w:eastAsia="es-ES" w:bidi="es-ES"/>
        </w:rPr>
        <w:t xml:space="preserve">ara las elecciones atípicas de alcaldía resulta aplicable las restricciones señaladas en el parágrafo del artículo 38 de la Ley 996 de 2005, lo que significa que, en materia de </w:t>
      </w:r>
      <w:r w:rsidRPr="00A14964">
        <w:rPr>
          <w:rFonts w:ascii="Verdana" w:eastAsia="Calibri" w:hAnsi="Verdana" w:cs="Arial"/>
          <w:sz w:val="20"/>
          <w:szCs w:val="20"/>
          <w:lang w:eastAsia="es-ES" w:bidi="es-ES"/>
        </w:rPr>
        <w:lastRenderedPageBreak/>
        <w:t>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w:t>
      </w:r>
    </w:p>
    <w:p w14:paraId="36C3DF44" w14:textId="476B6320" w:rsidR="001F218E" w:rsidRDefault="001F218E" w:rsidP="0044798F">
      <w:pPr>
        <w:spacing w:after="0" w:line="240" w:lineRule="auto"/>
        <w:jc w:val="both"/>
        <w:rPr>
          <w:rFonts w:ascii="Verdana" w:eastAsia="Geomanist Light" w:hAnsi="Verdana" w:cs="Arial"/>
          <w:color w:val="000000" w:themeColor="text1"/>
          <w:sz w:val="20"/>
          <w:szCs w:val="20"/>
        </w:rPr>
      </w:pPr>
    </w:p>
    <w:p w14:paraId="09B33BEC" w14:textId="1765DBD2" w:rsidR="004D1E55" w:rsidRDefault="004D1E55">
      <w:pPr>
        <w:rPr>
          <w:rFonts w:ascii="Verdana" w:hAnsi="Verdana"/>
        </w:rPr>
      </w:pPr>
      <w:r>
        <w:rPr>
          <w:rFonts w:ascii="Verdana" w:hAnsi="Verdana"/>
        </w:rPr>
        <w:br w:type="page"/>
      </w:r>
    </w:p>
    <w:p w14:paraId="39AEC7F4" w14:textId="77777777" w:rsidR="0044798F" w:rsidRDefault="0044798F" w:rsidP="00F00796">
      <w:pPr>
        <w:spacing w:after="0"/>
        <w:rPr>
          <w:rFonts w:ascii="Verdana" w:hAnsi="Verdana"/>
        </w:rPr>
      </w:pPr>
    </w:p>
    <w:p w14:paraId="543F9A9E" w14:textId="77777777" w:rsidR="0044798F" w:rsidRDefault="0044798F" w:rsidP="00F00796">
      <w:pPr>
        <w:spacing w:after="0"/>
        <w:rPr>
          <w:rFonts w:ascii="Verdana" w:hAnsi="Verdana"/>
        </w:rPr>
      </w:pPr>
    </w:p>
    <w:p w14:paraId="676E879E" w14:textId="5E1962C7" w:rsidR="00F00796" w:rsidRPr="00277150" w:rsidRDefault="00E2397D" w:rsidP="00F00796">
      <w:pPr>
        <w:spacing w:after="0"/>
        <w:rPr>
          <w:rFonts w:ascii="Verdana" w:hAnsi="Verdana"/>
        </w:rPr>
      </w:pPr>
      <w:r w:rsidRPr="00277150">
        <w:rPr>
          <w:rFonts w:ascii="Verdana" w:hAnsi="Verdana"/>
        </w:rPr>
        <w:t xml:space="preserve">Bogotá D.C., </w:t>
      </w:r>
      <w:r w:rsidR="00CD1796">
        <w:rPr>
          <w:rFonts w:ascii="Verdana" w:hAnsi="Verdana"/>
        </w:rPr>
        <w:t>26 de junio de 2025</w:t>
      </w:r>
    </w:p>
    <w:p w14:paraId="16559F47" w14:textId="0139AC1E" w:rsidR="00F00796" w:rsidRPr="00277150" w:rsidRDefault="00F00796" w:rsidP="00F00796">
      <w:pPr>
        <w:spacing w:after="0"/>
        <w:rPr>
          <w:rFonts w:ascii="Verdana" w:hAnsi="Verdana"/>
        </w:rPr>
      </w:pPr>
    </w:p>
    <w:p w14:paraId="302F8E2A" w14:textId="0DE4B0CD" w:rsidR="00BD4BCA" w:rsidRPr="00277150" w:rsidRDefault="00BD4BCA" w:rsidP="00F00796">
      <w:pPr>
        <w:spacing w:after="0"/>
        <w:rPr>
          <w:rFonts w:ascii="Verdana" w:hAnsi="Verdana"/>
        </w:rPr>
      </w:pPr>
    </w:p>
    <w:p w14:paraId="4C5A60BE" w14:textId="3B310176" w:rsidR="00F00796" w:rsidRPr="00277150" w:rsidRDefault="00F00796" w:rsidP="00F00796">
      <w:pPr>
        <w:spacing w:after="0" w:line="240" w:lineRule="auto"/>
        <w:rPr>
          <w:rFonts w:ascii="Verdana" w:eastAsia="Calibri" w:hAnsi="Verdana" w:cs="Times New Roman"/>
          <w:lang w:val="es-MX"/>
        </w:rPr>
      </w:pPr>
      <w:bookmarkStart w:id="1" w:name="_Hlk201674464"/>
      <w:r w:rsidRPr="00277150">
        <w:rPr>
          <w:rFonts w:ascii="Verdana" w:eastAsia="Calibri" w:hAnsi="Verdana" w:cs="Times New Roman"/>
          <w:lang w:val="es-MX"/>
        </w:rPr>
        <w:t>Señor</w:t>
      </w:r>
    </w:p>
    <w:p w14:paraId="3C58F162" w14:textId="5B1C05A4" w:rsidR="004D1E55" w:rsidRDefault="004D1E55" w:rsidP="00F00796">
      <w:pPr>
        <w:spacing w:after="0" w:line="240" w:lineRule="auto"/>
        <w:rPr>
          <w:rFonts w:ascii="Verdana" w:eastAsia="Calibri" w:hAnsi="Verdana" w:cs="Times New Roman"/>
          <w:b/>
        </w:rPr>
      </w:pPr>
      <w:r w:rsidRPr="004D1E55">
        <w:rPr>
          <w:rFonts w:ascii="Verdana" w:eastAsia="Calibri" w:hAnsi="Verdana" w:cs="Times New Roman"/>
          <w:b/>
        </w:rPr>
        <w:t>Carlos Mauricio Tascón Ospina</w:t>
      </w:r>
    </w:p>
    <w:p w14:paraId="2217CB48" w14:textId="0D95A240" w:rsidR="00F00796" w:rsidRDefault="004D1E55" w:rsidP="00F00796">
      <w:pPr>
        <w:spacing w:after="0" w:line="256" w:lineRule="auto"/>
        <w:rPr>
          <w:rFonts w:ascii="Verdana" w:eastAsia="Calibri" w:hAnsi="Verdana" w:cs="Times New Roman"/>
          <w:u w:val="single"/>
        </w:rPr>
      </w:pPr>
      <w:hyperlink r:id="rId11" w:history="1">
        <w:r w:rsidRPr="0010092A">
          <w:rPr>
            <w:rStyle w:val="Hipervnculo"/>
            <w:rFonts w:ascii="Verdana" w:eastAsia="Calibri" w:hAnsi="Verdana" w:cs="Times New Roman"/>
          </w:rPr>
          <w:t>juridico@bugalagrande-valle.gov.co</w:t>
        </w:r>
      </w:hyperlink>
    </w:p>
    <w:p w14:paraId="130831A1" w14:textId="51D7AC5C" w:rsidR="004D1E55" w:rsidRPr="00963AD4" w:rsidRDefault="00963AD4" w:rsidP="00F00796">
      <w:pPr>
        <w:spacing w:after="0" w:line="256" w:lineRule="auto"/>
        <w:rPr>
          <w:rFonts w:ascii="Verdana" w:eastAsia="Calibri" w:hAnsi="Verdana" w:cs="Times New Roman"/>
        </w:rPr>
      </w:pPr>
      <w:r w:rsidRPr="00963AD4">
        <w:rPr>
          <w:rFonts w:ascii="Verdana" w:eastAsia="Calibri" w:hAnsi="Verdana" w:cs="Times New Roman"/>
        </w:rPr>
        <w:t>Bugalagrande, Valle del Cauca</w:t>
      </w:r>
    </w:p>
    <w:p w14:paraId="05DE5F67" w14:textId="77777777" w:rsidR="00F00796" w:rsidRDefault="00F00796" w:rsidP="00F00796">
      <w:pPr>
        <w:spacing w:after="0" w:line="256" w:lineRule="auto"/>
        <w:rPr>
          <w:rFonts w:ascii="Verdana" w:eastAsia="Calibri" w:hAnsi="Verdana" w:cs="Times New Roman"/>
        </w:rPr>
      </w:pPr>
    </w:p>
    <w:p w14:paraId="6AAE5DFB" w14:textId="77777777" w:rsidR="009D5983" w:rsidRDefault="009D5983" w:rsidP="00F00796">
      <w:pPr>
        <w:spacing w:after="0" w:line="256" w:lineRule="auto"/>
        <w:rPr>
          <w:rFonts w:ascii="Verdana" w:eastAsia="Calibri" w:hAnsi="Verdana" w:cs="Times New Roman"/>
        </w:rPr>
      </w:pPr>
    </w:p>
    <w:p w14:paraId="56C50393" w14:textId="41AC7E0D" w:rsidR="009D5983" w:rsidRPr="00A12CB6" w:rsidRDefault="009D5983" w:rsidP="009D5983">
      <w:pPr>
        <w:spacing w:after="0" w:line="256" w:lineRule="auto"/>
        <w:jc w:val="right"/>
        <w:rPr>
          <w:rFonts w:ascii="Verdana" w:eastAsia="Calibri" w:hAnsi="Verdana" w:cs="Times New Roman"/>
        </w:rPr>
      </w:pPr>
      <w:r w:rsidRPr="009D5983">
        <w:rPr>
          <w:rFonts w:ascii="Verdana" w:eastAsia="Calibri" w:hAnsi="Verdana" w:cs="Times New Roman"/>
        </w:rPr>
        <w:drawing>
          <wp:inline distT="0" distB="0" distL="0" distR="0" wp14:anchorId="116C854D" wp14:editId="0B42A6E1">
            <wp:extent cx="2743438" cy="701101"/>
            <wp:effectExtent l="0" t="0" r="0" b="3810"/>
            <wp:docPr id="172819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1948" name=""/>
                    <pic:cNvPicPr/>
                  </pic:nvPicPr>
                  <pic:blipFill>
                    <a:blip r:embed="rId12"/>
                    <a:stretch>
                      <a:fillRect/>
                    </a:stretch>
                  </pic:blipFill>
                  <pic:spPr>
                    <a:xfrm>
                      <a:off x="0" y="0"/>
                      <a:ext cx="2743438" cy="701101"/>
                    </a:xfrm>
                    <a:prstGeom prst="rect">
                      <a:avLst/>
                    </a:prstGeom>
                  </pic:spPr>
                </pic:pic>
              </a:graphicData>
            </a:graphic>
          </wp:inline>
        </w:drawing>
      </w:r>
    </w:p>
    <w:p w14:paraId="3EFEA884" w14:textId="066AA786" w:rsidR="00F00796" w:rsidRPr="00A12CB6" w:rsidRDefault="00F00796" w:rsidP="00F00796">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sidR="00E2397D">
        <w:rPr>
          <w:rFonts w:ascii="Verdana" w:eastAsia="Calibri" w:hAnsi="Verdana" w:cs="Times New Roman"/>
          <w:b/>
          <w:bCs/>
          <w:lang w:val="es-ES"/>
        </w:rPr>
        <w:t xml:space="preserve">                  Concepto C–</w:t>
      </w:r>
      <w:r w:rsidR="004D1E55">
        <w:rPr>
          <w:rFonts w:ascii="Verdana" w:eastAsia="Calibri" w:hAnsi="Verdana" w:cs="Times New Roman"/>
          <w:b/>
          <w:bCs/>
          <w:lang w:val="es-ES"/>
        </w:rPr>
        <w:t>616</w:t>
      </w:r>
      <w:r w:rsidR="00E2397D">
        <w:rPr>
          <w:rFonts w:ascii="Verdana" w:eastAsia="Calibri" w:hAnsi="Verdana" w:cs="Times New Roman"/>
          <w:b/>
          <w:bCs/>
          <w:lang w:val="es-ES"/>
        </w:rPr>
        <w:t xml:space="preserve"> </w:t>
      </w:r>
      <w:r w:rsidRPr="00A12CB6">
        <w:rPr>
          <w:rFonts w:ascii="Verdana" w:eastAsia="Calibri" w:hAnsi="Verdana" w:cs="Times New Roman"/>
          <w:b/>
          <w:bCs/>
          <w:lang w:val="es-ES"/>
        </w:rPr>
        <w:t>de 2025</w:t>
      </w:r>
    </w:p>
    <w:p w14:paraId="4A93AF56" w14:textId="77777777" w:rsidR="00F00796" w:rsidRPr="00A12CB6" w:rsidRDefault="00F00796" w:rsidP="00F0079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00796" w:rsidRPr="00A12CB6" w14:paraId="7D90DBE1" w14:textId="77777777" w:rsidTr="00505795">
        <w:trPr>
          <w:trHeight w:val="645"/>
        </w:trPr>
        <w:tc>
          <w:tcPr>
            <w:tcW w:w="2685" w:type="dxa"/>
            <w:hideMark/>
          </w:tcPr>
          <w:p w14:paraId="1EBA58DA" w14:textId="77777777" w:rsidR="00F00796" w:rsidRPr="00A12CB6" w:rsidRDefault="00F00796" w:rsidP="00505795">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DEF582B" w14:textId="7BBC3B28" w:rsidR="00F00796" w:rsidRPr="00AA1328" w:rsidRDefault="00AA1328" w:rsidP="00B80CC6">
            <w:pPr>
              <w:spacing w:line="276" w:lineRule="auto"/>
              <w:jc w:val="both"/>
              <w:rPr>
                <w:rFonts w:ascii="Verdana" w:hAnsi="Verdana" w:cs="Arial"/>
                <w:lang w:val="es-ES" w:eastAsia="es-ES"/>
              </w:rPr>
            </w:pPr>
            <w:r w:rsidRPr="00461891">
              <w:rPr>
                <w:rFonts w:ascii="Verdana" w:hAnsi="Verdana" w:cs="Arial"/>
                <w:lang w:val="es-MX" w:eastAsia="es-ES_tradnl"/>
              </w:rPr>
              <w:t xml:space="preserve">LEY DE GARANTÍAS ELECTORALES </w:t>
            </w:r>
            <w:r w:rsidRPr="00461891">
              <w:rPr>
                <w:rFonts w:ascii="Verdana" w:hAnsi="Verdana" w:cs="Arial"/>
                <w:bCs/>
                <w:lang w:val="es-MX" w:eastAsia="es-ES_tradnl"/>
              </w:rPr>
              <w:t>‒</w:t>
            </w:r>
            <w:r w:rsidRPr="00461891">
              <w:rPr>
                <w:rFonts w:ascii="Verdana" w:hAnsi="Verdana" w:cs="Arial"/>
                <w:lang w:val="es-MX" w:eastAsia="es-ES_tradnl"/>
              </w:rPr>
              <w:t xml:space="preserve"> Finalidad / LEY DE GARANTÍAS ELECTORALES </w:t>
            </w:r>
            <w:r w:rsidRPr="00461891">
              <w:rPr>
                <w:rFonts w:ascii="Verdana" w:hAnsi="Verdana" w:cs="Arial"/>
                <w:bCs/>
                <w:lang w:val="es-MX" w:eastAsia="es-ES_tradnl"/>
              </w:rPr>
              <w:t>‒</w:t>
            </w:r>
            <w:r w:rsidRPr="00461891">
              <w:rPr>
                <w:rFonts w:ascii="Verdana" w:hAnsi="Verdana" w:cs="Arial"/>
                <w:lang w:val="es-MX" w:eastAsia="es-ES_tradnl"/>
              </w:rPr>
              <w:t xml:space="preserve"> Tipos de restricciones </w:t>
            </w:r>
            <w:r w:rsidRPr="00461891">
              <w:rPr>
                <w:rFonts w:ascii="Verdana" w:hAnsi="Verdana" w:cs="Arial"/>
                <w:bCs/>
                <w:lang w:val="es-MX" w:eastAsia="es-ES_tradnl"/>
              </w:rPr>
              <w:t>‒</w:t>
            </w:r>
            <w:r w:rsidRPr="00461891">
              <w:rPr>
                <w:rFonts w:ascii="Verdana" w:hAnsi="Verdana" w:cs="Arial"/>
                <w:lang w:val="es-MX" w:eastAsia="es-ES_tradnl"/>
              </w:rPr>
              <w:t xml:space="preserve"> Ámbito temporal / LEY DE GARANTÍAS ELECTORALES </w:t>
            </w:r>
            <w:r w:rsidRPr="00461891">
              <w:rPr>
                <w:rFonts w:ascii="Verdana" w:hAnsi="Verdana" w:cs="Arial"/>
                <w:bCs/>
                <w:lang w:val="es-MX" w:eastAsia="es-ES_tradnl"/>
              </w:rPr>
              <w:t>‒</w:t>
            </w:r>
            <w:r w:rsidRPr="00461891">
              <w:rPr>
                <w:rFonts w:ascii="Verdana" w:hAnsi="Verdana" w:cs="Arial"/>
                <w:lang w:val="es-MX" w:eastAsia="es-ES_tradnl"/>
              </w:rPr>
              <w:t xml:space="preserve"> Prohibición por elección de cargos populares –ELECCIONES ATÍPICAS</w:t>
            </w:r>
            <w:r w:rsidRPr="00461891">
              <w:rPr>
                <w:rFonts w:ascii="Verdana" w:hAnsi="Verdana" w:cs="Arial"/>
                <w:lang w:val="es-ES" w:eastAsia="es-ES"/>
              </w:rPr>
              <w:t xml:space="preserve"> – Aplicación ley de garantías</w:t>
            </w:r>
            <w:r>
              <w:rPr>
                <w:rFonts w:ascii="Verdana" w:hAnsi="Verdana" w:cs="Arial"/>
                <w:lang w:val="es-ES" w:eastAsia="es-ES"/>
              </w:rPr>
              <w:t xml:space="preserve"> / </w:t>
            </w:r>
            <w:r w:rsidR="00303985" w:rsidRPr="00303985">
              <w:rPr>
                <w:rFonts w:ascii="Verdana" w:hAnsi="Verdana" w:cs="Arial"/>
                <w:lang w:val="es-ES" w:eastAsia="es-ES"/>
              </w:rPr>
              <w:t>LIQUIDACIÓN – Definición – Objet</w:t>
            </w:r>
            <w:r w:rsidR="00303985">
              <w:rPr>
                <w:rFonts w:ascii="Verdana" w:hAnsi="Verdana" w:cs="Arial"/>
                <w:lang w:val="es-ES" w:eastAsia="es-ES"/>
              </w:rPr>
              <w:t xml:space="preserve">ivo </w:t>
            </w:r>
          </w:p>
        </w:tc>
        <w:tc>
          <w:tcPr>
            <w:tcW w:w="6237" w:type="dxa"/>
          </w:tcPr>
          <w:p w14:paraId="12165393" w14:textId="77777777" w:rsidR="00F00796" w:rsidRPr="00A12CB6" w:rsidRDefault="00F00796" w:rsidP="00505795">
            <w:pPr>
              <w:spacing w:line="256" w:lineRule="auto"/>
              <w:rPr>
                <w:rFonts w:ascii="Verdana" w:hAnsi="Verdana"/>
              </w:rPr>
            </w:pPr>
          </w:p>
        </w:tc>
      </w:tr>
      <w:tr w:rsidR="00F00796" w:rsidRPr="00A12CB6" w14:paraId="48C15E19" w14:textId="77777777" w:rsidTr="00505795">
        <w:tc>
          <w:tcPr>
            <w:tcW w:w="2685" w:type="dxa"/>
          </w:tcPr>
          <w:p w14:paraId="395050C2" w14:textId="77777777" w:rsidR="00F00796" w:rsidRDefault="00F00796" w:rsidP="00505795">
            <w:pPr>
              <w:spacing w:line="256" w:lineRule="auto"/>
              <w:rPr>
                <w:rFonts w:ascii="Verdana" w:hAnsi="Verdana"/>
                <w:lang w:val="es-ES_tradnl"/>
              </w:rPr>
            </w:pPr>
          </w:p>
          <w:p w14:paraId="5936EC6E" w14:textId="77777777" w:rsidR="00F00796" w:rsidRPr="00A12CB6" w:rsidRDefault="00F00796" w:rsidP="00505795">
            <w:pPr>
              <w:spacing w:line="256" w:lineRule="auto"/>
              <w:rPr>
                <w:rFonts w:ascii="Verdana" w:hAnsi="Verdana"/>
                <w:lang w:val="es-ES_tradnl"/>
              </w:rPr>
            </w:pPr>
          </w:p>
          <w:p w14:paraId="2B191C84" w14:textId="77777777" w:rsidR="00F00796" w:rsidRPr="00A12CB6" w:rsidRDefault="00F00796" w:rsidP="00505795">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7D67C4A6" w14:textId="77777777" w:rsidR="00F00796" w:rsidRDefault="00F00796" w:rsidP="00505795">
            <w:pPr>
              <w:spacing w:line="257" w:lineRule="auto"/>
              <w:rPr>
                <w:rFonts w:ascii="Verdana" w:hAnsi="Verdana"/>
                <w:lang w:val="es-ES_tradnl"/>
              </w:rPr>
            </w:pPr>
          </w:p>
          <w:p w14:paraId="10F00633" w14:textId="77777777" w:rsidR="00F00796" w:rsidRPr="00A12CB6" w:rsidRDefault="00F00796" w:rsidP="00505795">
            <w:pPr>
              <w:spacing w:line="257" w:lineRule="auto"/>
              <w:rPr>
                <w:rFonts w:ascii="Verdana" w:hAnsi="Verdana"/>
                <w:lang w:val="es-ES_tradnl"/>
              </w:rPr>
            </w:pPr>
          </w:p>
          <w:p w14:paraId="632A8999" w14:textId="6B898674" w:rsidR="00F00796" w:rsidRPr="00630891" w:rsidRDefault="00F00796" w:rsidP="00505795">
            <w:pPr>
              <w:spacing w:line="257" w:lineRule="auto"/>
              <w:jc w:val="both"/>
              <w:rPr>
                <w:rFonts w:ascii="Verdana" w:hAnsi="Verdana"/>
              </w:rPr>
            </w:pPr>
            <w:r w:rsidRPr="00A12CB6">
              <w:rPr>
                <w:rFonts w:ascii="Verdana" w:hAnsi="Verdana"/>
                <w:lang w:val="es-ES_tradnl"/>
              </w:rPr>
              <w:t xml:space="preserve">Respuesta a consulta con radicado No. </w:t>
            </w:r>
            <w:r w:rsidR="004D1E55" w:rsidRPr="004D1E55">
              <w:rPr>
                <w:rFonts w:ascii="Verdana" w:hAnsi="Verdana"/>
              </w:rPr>
              <w:t>P20250519004790</w:t>
            </w:r>
            <w:r w:rsidR="004D1E55">
              <w:rPr>
                <w:rFonts w:ascii="Verdana" w:hAnsi="Verdana"/>
              </w:rPr>
              <w:t>.</w:t>
            </w:r>
          </w:p>
          <w:p w14:paraId="71ED9FD3" w14:textId="77777777" w:rsidR="00F00796" w:rsidRPr="00630891" w:rsidRDefault="00F00796" w:rsidP="00505795">
            <w:pPr>
              <w:spacing w:line="257" w:lineRule="auto"/>
              <w:jc w:val="both"/>
              <w:rPr>
                <w:rFonts w:ascii="Verdana" w:hAnsi="Verdana"/>
              </w:rPr>
            </w:pPr>
          </w:p>
          <w:p w14:paraId="44195B69" w14:textId="77777777" w:rsidR="00F00796" w:rsidRPr="00A12CB6" w:rsidRDefault="00F00796" w:rsidP="00505795">
            <w:pPr>
              <w:spacing w:line="257" w:lineRule="auto"/>
              <w:jc w:val="both"/>
              <w:rPr>
                <w:rFonts w:ascii="Verdana" w:hAnsi="Verdana"/>
              </w:rPr>
            </w:pPr>
          </w:p>
        </w:tc>
        <w:tc>
          <w:tcPr>
            <w:tcW w:w="6237" w:type="dxa"/>
          </w:tcPr>
          <w:p w14:paraId="1BD4AB6E" w14:textId="77777777" w:rsidR="00F00796" w:rsidRPr="00A12CB6" w:rsidRDefault="00F00796" w:rsidP="00505795">
            <w:pPr>
              <w:spacing w:line="256" w:lineRule="auto"/>
              <w:rPr>
                <w:rFonts w:ascii="Verdana" w:hAnsi="Verdana"/>
                <w:lang w:val="es-ES_tradnl"/>
              </w:rPr>
            </w:pPr>
          </w:p>
        </w:tc>
      </w:tr>
    </w:tbl>
    <w:p w14:paraId="3D43B555" w14:textId="78CB2998" w:rsidR="00F00796" w:rsidRPr="00A12CB6" w:rsidRDefault="00E2397D" w:rsidP="00F00796">
      <w:pPr>
        <w:spacing w:after="0" w:line="256" w:lineRule="auto"/>
        <w:rPr>
          <w:rFonts w:ascii="Verdana" w:eastAsia="Calibri" w:hAnsi="Verdana" w:cs="Times New Roman"/>
          <w:lang w:val="es-ES"/>
        </w:rPr>
      </w:pPr>
      <w:r>
        <w:rPr>
          <w:rFonts w:ascii="Verdana" w:eastAsia="Calibri" w:hAnsi="Verdana" w:cs="Times New Roman"/>
          <w:lang w:val="es-ES"/>
        </w:rPr>
        <w:t>Estimad</w:t>
      </w:r>
      <w:r w:rsidR="004D1E55">
        <w:rPr>
          <w:rFonts w:ascii="Verdana" w:eastAsia="Calibri" w:hAnsi="Verdana" w:cs="Times New Roman"/>
          <w:lang w:val="es-ES"/>
        </w:rPr>
        <w:t>o señor Tascón</w:t>
      </w:r>
      <w:r w:rsidR="00F00796" w:rsidRPr="003469FD">
        <w:rPr>
          <w:rFonts w:ascii="Verdana" w:eastAsia="Calibri" w:hAnsi="Verdana" w:cs="Times New Roman"/>
          <w:lang w:val="es-ES"/>
        </w:rPr>
        <w:t>:</w:t>
      </w:r>
      <w:r w:rsidR="00F00796" w:rsidRPr="00A12CB6">
        <w:rPr>
          <w:rFonts w:ascii="Verdana" w:eastAsia="Calibri" w:hAnsi="Verdana" w:cs="Times New Roman"/>
          <w:lang w:val="es-ES"/>
        </w:rPr>
        <w:t xml:space="preserve"> </w:t>
      </w:r>
    </w:p>
    <w:p w14:paraId="699045F5" w14:textId="77777777" w:rsidR="00F00796" w:rsidRPr="00A12CB6" w:rsidRDefault="00F00796" w:rsidP="00F00796">
      <w:pPr>
        <w:spacing w:after="0" w:line="256" w:lineRule="auto"/>
        <w:rPr>
          <w:rFonts w:ascii="Verdana" w:eastAsia="Calibri" w:hAnsi="Verdana" w:cs="Times New Roman"/>
          <w:lang w:val="es-ES"/>
        </w:rPr>
      </w:pPr>
    </w:p>
    <w:p w14:paraId="5ED8BE2A" w14:textId="124B1DC7" w:rsidR="00F00796" w:rsidRDefault="00F00796" w:rsidP="00F00796">
      <w:pPr>
        <w:spacing w:after="0" w:line="276" w:lineRule="auto"/>
        <w:jc w:val="both"/>
        <w:rPr>
          <w:rFonts w:ascii="Verdana" w:eastAsia="Calibri" w:hAnsi="Verdana" w:cs="Times New Roman"/>
        </w:rPr>
      </w:pPr>
      <w:r w:rsidRPr="00A12061">
        <w:rPr>
          <w:rFonts w:ascii="Verdana" w:eastAsia="Calibri" w:hAnsi="Verdana" w:cs="Times New Roman"/>
          <w:lang w:val="es-ES"/>
        </w:rPr>
        <w:t>En ejercicio de la competencia otorgada por los artículos 3, numeral 5º, y 11, numeral 8º, del Decreto Ley 4170 de 2011, la Agencia Nacional de Contratación Pública – Colombia Compra Eficiente– responde la solicit</w:t>
      </w:r>
      <w:r w:rsidR="00E2397D">
        <w:rPr>
          <w:rFonts w:ascii="Verdana" w:eastAsia="Calibri" w:hAnsi="Verdana" w:cs="Times New Roman"/>
          <w:lang w:val="es-ES"/>
        </w:rPr>
        <w:t xml:space="preserve">ud de consulta presentada el </w:t>
      </w:r>
      <w:r w:rsidR="004D1E55">
        <w:rPr>
          <w:rFonts w:ascii="Verdana" w:eastAsia="Calibri" w:hAnsi="Verdana" w:cs="Times New Roman"/>
          <w:lang w:val="es-ES"/>
        </w:rPr>
        <w:t>1</w:t>
      </w:r>
      <w:r w:rsidR="00963AD4">
        <w:rPr>
          <w:rFonts w:ascii="Verdana" w:eastAsia="Calibri" w:hAnsi="Verdana" w:cs="Times New Roman"/>
          <w:lang w:val="es-ES"/>
        </w:rPr>
        <w:t>9</w:t>
      </w:r>
      <w:r>
        <w:rPr>
          <w:rFonts w:ascii="Verdana" w:eastAsia="Calibri" w:hAnsi="Verdana" w:cs="Times New Roman"/>
          <w:lang w:val="es-ES"/>
        </w:rPr>
        <w:t xml:space="preserve"> de </w:t>
      </w:r>
      <w:r w:rsidR="004D1E55">
        <w:rPr>
          <w:rFonts w:ascii="Verdana" w:eastAsia="Calibri" w:hAnsi="Verdana" w:cs="Times New Roman"/>
          <w:lang w:val="es-ES"/>
        </w:rPr>
        <w:t>mayo</w:t>
      </w:r>
      <w:r>
        <w:rPr>
          <w:rFonts w:ascii="Verdana" w:eastAsia="Calibri" w:hAnsi="Verdana" w:cs="Times New Roman"/>
          <w:lang w:val="es-ES"/>
        </w:rPr>
        <w:t xml:space="preserve"> de 2025</w:t>
      </w:r>
      <w:r w:rsidRPr="00A12061">
        <w:rPr>
          <w:rFonts w:ascii="Verdana" w:eastAsia="Calibri" w:hAnsi="Verdana" w:cs="Times New Roman"/>
          <w:lang w:val="es-ES"/>
        </w:rPr>
        <w:t>, en la cual manifiesta lo siguiente:</w:t>
      </w:r>
      <w:r w:rsidRPr="000D6D0E">
        <w:rPr>
          <w:rFonts w:ascii="Verdana" w:eastAsia="Calibri" w:hAnsi="Verdana" w:cs="Times New Roman"/>
        </w:rPr>
        <w:t xml:space="preserve"> </w:t>
      </w:r>
    </w:p>
    <w:p w14:paraId="138A766F" w14:textId="5B0C5C0D" w:rsidR="00E2397D" w:rsidRPr="00E2397D" w:rsidRDefault="00E2397D" w:rsidP="00E2397D">
      <w:pPr>
        <w:spacing w:after="0" w:line="240" w:lineRule="auto"/>
        <w:ind w:right="709"/>
        <w:jc w:val="both"/>
        <w:rPr>
          <w:rFonts w:ascii="Verdana" w:eastAsia="Calibri" w:hAnsi="Verdana" w:cs="Times New Roman"/>
          <w:i/>
          <w:iCs/>
          <w:sz w:val="20"/>
        </w:rPr>
      </w:pPr>
    </w:p>
    <w:p w14:paraId="6A8C7FBF" w14:textId="74A6F66B" w:rsidR="00F00796" w:rsidRDefault="004D1E55" w:rsidP="004D1E55">
      <w:pPr>
        <w:spacing w:after="0" w:line="240" w:lineRule="auto"/>
        <w:ind w:left="709" w:right="709"/>
        <w:jc w:val="both"/>
        <w:rPr>
          <w:rFonts w:ascii="Verdana" w:eastAsia="Calibri" w:hAnsi="Verdana" w:cs="Times New Roman"/>
          <w:i/>
          <w:iCs/>
          <w:sz w:val="20"/>
        </w:rPr>
      </w:pPr>
      <w:r>
        <w:rPr>
          <w:rFonts w:ascii="Verdana" w:eastAsia="Calibri" w:hAnsi="Verdana" w:cs="Times New Roman"/>
          <w:i/>
          <w:iCs/>
          <w:sz w:val="20"/>
        </w:rPr>
        <w:t>“</w:t>
      </w:r>
      <w:r w:rsidRPr="004D1E55">
        <w:rPr>
          <w:rFonts w:ascii="Verdana" w:eastAsia="Calibri" w:hAnsi="Verdana" w:cs="Times New Roman"/>
          <w:i/>
          <w:iCs/>
          <w:sz w:val="20"/>
        </w:rPr>
        <w:t xml:space="preserve">Por medio de la presente me permito formular consulta en los siguientes términos: 1. La ley 996 de 2005, por medio de la cual se reglamenta la elección de presidente de la República, de conformidad con el artículo 152 literal f) de la Constitución Política de Colombia, y de acuerdo con lo </w:t>
      </w:r>
      <w:r w:rsidRPr="004D1E55">
        <w:rPr>
          <w:rFonts w:ascii="Verdana" w:eastAsia="Calibri" w:hAnsi="Verdana" w:cs="Times New Roman"/>
          <w:i/>
          <w:iCs/>
          <w:sz w:val="20"/>
        </w:rPr>
        <w:lastRenderedPageBreak/>
        <w:t>establecido en el Acto Legislativo 02 de 2004, y se dictan otras disposiciones, determina:</w:t>
      </w:r>
    </w:p>
    <w:p w14:paraId="7125ED82" w14:textId="77777777" w:rsidR="004D1E55" w:rsidRDefault="004D1E55" w:rsidP="004D1E55">
      <w:pPr>
        <w:spacing w:after="0" w:line="240" w:lineRule="auto"/>
        <w:ind w:left="709" w:right="709"/>
        <w:jc w:val="both"/>
        <w:rPr>
          <w:rFonts w:ascii="Verdana" w:eastAsia="Calibri" w:hAnsi="Verdana" w:cs="Times New Roman"/>
          <w:i/>
          <w:iCs/>
          <w:sz w:val="20"/>
        </w:rPr>
      </w:pPr>
    </w:p>
    <w:p w14:paraId="6DAD8297" w14:textId="6815C737" w:rsidR="004D1E55" w:rsidRDefault="004D1E55" w:rsidP="004D1E55">
      <w:pPr>
        <w:spacing w:after="0" w:line="240" w:lineRule="auto"/>
        <w:ind w:left="709" w:right="709"/>
        <w:jc w:val="both"/>
        <w:rPr>
          <w:rFonts w:ascii="Verdana" w:eastAsia="Calibri" w:hAnsi="Verdana" w:cs="Times New Roman"/>
          <w:i/>
          <w:iCs/>
          <w:sz w:val="20"/>
        </w:rPr>
      </w:pPr>
      <w:r>
        <w:rPr>
          <w:rFonts w:ascii="Verdana" w:eastAsia="Calibri" w:hAnsi="Verdana" w:cs="Times New Roman"/>
          <w:i/>
          <w:iCs/>
          <w:sz w:val="20"/>
        </w:rPr>
        <w:t xml:space="preserve">[…] </w:t>
      </w:r>
    </w:p>
    <w:p w14:paraId="5D06D8A3" w14:textId="77777777" w:rsidR="004D1E55" w:rsidRDefault="004D1E55" w:rsidP="004D1E55">
      <w:pPr>
        <w:spacing w:after="0" w:line="240" w:lineRule="auto"/>
        <w:ind w:left="709" w:right="709"/>
        <w:jc w:val="both"/>
        <w:rPr>
          <w:rFonts w:ascii="Verdana" w:eastAsia="Calibri" w:hAnsi="Verdana" w:cs="Times New Roman"/>
          <w:i/>
          <w:iCs/>
          <w:sz w:val="20"/>
        </w:rPr>
      </w:pPr>
    </w:p>
    <w:p w14:paraId="09C63CF6" w14:textId="77777777"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Según esta norma y el calendario electoral las elecciones de congreso son el 8 de marzo de 2026, esta restricción inicia el 8 de noviembre de 2025. 2. El Municipio en el periodo enero a mayo de 2026 deben celebrar los siguientes contratos:</w:t>
      </w:r>
    </w:p>
    <w:p w14:paraId="1AC15C5F" w14:textId="67BAF141"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 a) Contrato para la ejecución del PLAN DE INTERVENCIONES COLECTIVAS (PIC) DEL MUNICIPIO DE BUGALAGRANDE-VALLE con el HOSPITAL SAN BERNABE ESE DE BUGALAGRANDE.</w:t>
      </w:r>
    </w:p>
    <w:p w14:paraId="026B4176" w14:textId="77777777"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b) Contrato para TRANSFERENCIA DE LOS DE RECURSOS ECONÓMICOS DEL ORDEN MUNICIPAL A TRAVÉS DEL FONDO DE SOLIDARIDAD Y REDISTRIBUCIÓN DE INGRESOS-FSRI, TENDIENTES AL OTORGAMIENTO DE SUBSIDIOS A LA DEMANDA DEL SERVICIO PÚBLICO DOMICILIARIO DE ASEO, ACUEDUCTO Y ALCANATRILLADO PARA USUARIOS DE LOS ESTRATOS 1, 2 Y 3 DEL MUNICIPIO DE BUGALAGRANDE PARA LA VIGENCIA 2026, con los prestadores del SERVICIO PÚBLICO DOMICILIARIO DE ASEO, ACUEDUCTO Y ALCANATRILLADO en el Municipio. </w:t>
      </w:r>
    </w:p>
    <w:p w14:paraId="3B8D54E7" w14:textId="5EB93676"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 xml:space="preserve">c) Contrato para TRANSFERIR LA SOBRETASA BOMBERIL AL CUERPO DE BOMBEROS VOLUNTARIOS DEL MUNICIPIO DE BUGALAGRANDE PARA LA VIGENCIA 2026. </w:t>
      </w:r>
    </w:p>
    <w:p w14:paraId="4CA84C2A" w14:textId="77777777" w:rsidR="004D1E55" w:rsidRDefault="004D1E55" w:rsidP="004D1E55">
      <w:pPr>
        <w:spacing w:after="0" w:line="240" w:lineRule="auto"/>
        <w:ind w:left="709" w:right="709"/>
        <w:jc w:val="both"/>
        <w:rPr>
          <w:rFonts w:ascii="Verdana" w:eastAsia="Calibri" w:hAnsi="Verdana" w:cs="Times New Roman"/>
          <w:i/>
          <w:iCs/>
          <w:sz w:val="20"/>
        </w:rPr>
      </w:pPr>
    </w:p>
    <w:p w14:paraId="3FFE2DA1" w14:textId="0C71A915" w:rsidR="004D1E55" w:rsidRDefault="004D1E55" w:rsidP="004D1E55">
      <w:pPr>
        <w:spacing w:after="0" w:line="240" w:lineRule="auto"/>
        <w:ind w:left="709" w:right="709"/>
        <w:jc w:val="both"/>
        <w:rPr>
          <w:rFonts w:ascii="Verdana" w:eastAsia="Calibri" w:hAnsi="Verdana" w:cs="Times New Roman"/>
          <w:i/>
          <w:iCs/>
          <w:sz w:val="20"/>
        </w:rPr>
      </w:pPr>
      <w:r w:rsidRPr="004D1E55">
        <w:rPr>
          <w:rFonts w:ascii="Verdana" w:eastAsia="Calibri" w:hAnsi="Verdana" w:cs="Times New Roman"/>
          <w:i/>
          <w:iCs/>
          <w:sz w:val="20"/>
        </w:rPr>
        <w:t>Los contratos citados están exceptuados de la aplicación de la Ley de Garantías.</w:t>
      </w:r>
      <w:r>
        <w:rPr>
          <w:rFonts w:ascii="Verdana" w:eastAsia="Calibri" w:hAnsi="Verdana" w:cs="Times New Roman"/>
          <w:i/>
          <w:iCs/>
          <w:sz w:val="20"/>
        </w:rPr>
        <w:t xml:space="preserve">” [sic] </w:t>
      </w:r>
    </w:p>
    <w:p w14:paraId="6DCBCFBF" w14:textId="77777777" w:rsidR="004D1E55" w:rsidRDefault="004D1E55" w:rsidP="00F00796">
      <w:pPr>
        <w:spacing w:after="0" w:line="240" w:lineRule="auto"/>
        <w:ind w:right="709"/>
        <w:jc w:val="both"/>
        <w:rPr>
          <w:rFonts w:ascii="Verdana" w:eastAsia="Calibri" w:hAnsi="Verdana" w:cs="Times New Roman"/>
          <w:i/>
          <w:iCs/>
          <w:sz w:val="20"/>
        </w:rPr>
      </w:pPr>
    </w:p>
    <w:p w14:paraId="4292952D" w14:textId="77777777" w:rsidR="004D1E55" w:rsidRPr="0038606D" w:rsidRDefault="004D1E55" w:rsidP="00F00796">
      <w:pPr>
        <w:spacing w:after="0" w:line="240" w:lineRule="auto"/>
        <w:ind w:right="709"/>
        <w:jc w:val="both"/>
        <w:rPr>
          <w:rFonts w:ascii="Verdana" w:eastAsia="Calibri" w:hAnsi="Verdana" w:cs="Times New Roman"/>
          <w:i/>
          <w:iCs/>
          <w:sz w:val="20"/>
        </w:rPr>
      </w:pPr>
    </w:p>
    <w:p w14:paraId="2B0DB3E5" w14:textId="77777777" w:rsidR="00F00796" w:rsidRPr="00A12CB6" w:rsidRDefault="00F00796" w:rsidP="00F00796">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7BB29DD" w14:textId="54E0EF52" w:rsidR="00F00796" w:rsidRPr="00A12CB6" w:rsidRDefault="00F00796" w:rsidP="00F00796">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w:t>
      </w:r>
      <w:r w:rsidR="003A40E2">
        <w:rPr>
          <w:rFonts w:ascii="Verdana" w:eastAsia="Calibri" w:hAnsi="Verdana" w:cs="Times New Roman"/>
          <w:lang w:val="es-ES"/>
        </w:rPr>
        <w:t xml:space="preserve">los problemas jurídicos </w:t>
      </w:r>
      <w:r>
        <w:rPr>
          <w:rFonts w:ascii="Verdana" w:eastAsia="Calibri" w:hAnsi="Verdana" w:cs="Times New Roman"/>
          <w:lang w:val="es-ES"/>
        </w:rPr>
        <w:t xml:space="preserve">de su consulta. </w:t>
      </w:r>
    </w:p>
    <w:p w14:paraId="7241DCAC" w14:textId="77777777" w:rsidR="00F00796" w:rsidRPr="00A12CB6" w:rsidRDefault="00F00796" w:rsidP="00F00796">
      <w:pPr>
        <w:spacing w:after="0" w:line="256" w:lineRule="auto"/>
        <w:rPr>
          <w:rFonts w:ascii="Verdana" w:eastAsia="Calibri" w:hAnsi="Verdana" w:cs="Times New Roman"/>
          <w:lang w:val="es-ES"/>
        </w:rPr>
      </w:pPr>
    </w:p>
    <w:p w14:paraId="63BBA712" w14:textId="77777777" w:rsidR="00F00796" w:rsidRPr="00A12CB6" w:rsidRDefault="00F00796" w:rsidP="00F00796">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31054FA8" w14:textId="77777777" w:rsidR="00F00796" w:rsidRPr="00A12CB6" w:rsidRDefault="00F00796" w:rsidP="00F00796">
      <w:pPr>
        <w:spacing w:after="0" w:line="256" w:lineRule="auto"/>
        <w:rPr>
          <w:rFonts w:ascii="Verdana" w:eastAsia="Calibri" w:hAnsi="Verdana" w:cs="Times New Roman"/>
        </w:rPr>
      </w:pPr>
    </w:p>
    <w:p w14:paraId="47C08EC6" w14:textId="38874226" w:rsidR="00277150" w:rsidRDefault="00F00796" w:rsidP="00D86C54">
      <w:pPr>
        <w:spacing w:after="0" w:line="276" w:lineRule="auto"/>
        <w:jc w:val="both"/>
        <w:rPr>
          <w:rFonts w:ascii="Verdana" w:eastAsia="Calibri" w:hAnsi="Verdana" w:cs="Times New Roman"/>
          <w:i/>
          <w:iCs/>
          <w:lang w:val="es-ES"/>
        </w:rPr>
      </w:pPr>
      <w:r w:rsidRPr="134495F9">
        <w:rPr>
          <w:rFonts w:ascii="Verdana" w:eastAsia="Calibri" w:hAnsi="Verdana" w:cs="Times New Roman"/>
        </w:rPr>
        <w:t xml:space="preserve">De acuerdo con el contenido de sus solicitudes, esta Agencia procede a resolver </w:t>
      </w:r>
      <w:r w:rsidR="004D1E55">
        <w:rPr>
          <w:rFonts w:ascii="Verdana" w:eastAsia="Calibri" w:hAnsi="Verdana" w:cs="Times New Roman"/>
        </w:rPr>
        <w:t>el siguiente problema jurídico</w:t>
      </w:r>
      <w:r w:rsidRPr="134495F9">
        <w:rPr>
          <w:rFonts w:ascii="Verdana" w:eastAsia="Calibri" w:hAnsi="Verdana" w:cs="Times New Roman"/>
        </w:rPr>
        <w:t>:</w:t>
      </w:r>
      <w:r w:rsidR="00277150">
        <w:rPr>
          <w:rFonts w:ascii="Verdana" w:eastAsia="Calibri" w:hAnsi="Verdana" w:cs="Times New Roman"/>
          <w:iCs/>
          <w:lang w:val="es-ES"/>
        </w:rPr>
        <w:t xml:space="preserve"> </w:t>
      </w:r>
      <w:r w:rsidR="00277150" w:rsidRPr="00277150">
        <w:rPr>
          <w:rFonts w:ascii="Verdana" w:eastAsia="Calibri" w:hAnsi="Verdana" w:cs="Times New Roman"/>
          <w:iCs/>
          <w:lang w:val="es-ES"/>
        </w:rPr>
        <w:t>¿</w:t>
      </w:r>
      <w:r w:rsidR="00277150">
        <w:rPr>
          <w:rFonts w:ascii="Verdana" w:eastAsia="Calibri" w:hAnsi="Verdana" w:cs="Times New Roman"/>
          <w:iCs/>
          <w:lang w:val="es-ES"/>
        </w:rPr>
        <w:t xml:space="preserve">Existen restricciones para la contratación en elección territoriales atípicas en el marco de la Ley de Garantías Electorales? </w:t>
      </w:r>
    </w:p>
    <w:p w14:paraId="73663A76" w14:textId="77777777" w:rsidR="00D86C54" w:rsidRPr="00277150" w:rsidRDefault="00D86C54" w:rsidP="00D86C54">
      <w:pPr>
        <w:spacing w:after="0" w:line="276" w:lineRule="auto"/>
        <w:jc w:val="both"/>
        <w:rPr>
          <w:rFonts w:ascii="Verdana" w:eastAsia="Calibri" w:hAnsi="Verdana" w:cs="Times New Roman"/>
          <w:i/>
          <w:iCs/>
          <w:lang w:val="es-ES"/>
        </w:rPr>
      </w:pPr>
    </w:p>
    <w:p w14:paraId="3C139A31" w14:textId="77777777" w:rsidR="00F00796" w:rsidRDefault="00F00796" w:rsidP="00F00796">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7A36237D" w14:textId="19DD4731" w:rsidR="00F00796" w:rsidRPr="00A12CB6" w:rsidRDefault="00F00796" w:rsidP="00F0079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00796" w:rsidRPr="001205D1" w14:paraId="726944FD" w14:textId="77777777" w:rsidTr="00505795">
        <w:trPr>
          <w:trHeight w:val="345"/>
          <w:jc w:val="center"/>
        </w:trPr>
        <w:tc>
          <w:tcPr>
            <w:tcW w:w="8784" w:type="dxa"/>
            <w:tcBorders>
              <w:bottom w:val="single" w:sz="4" w:space="0" w:color="auto"/>
            </w:tcBorders>
          </w:tcPr>
          <w:p w14:paraId="05801F5E" w14:textId="77777777" w:rsidR="00EB3BB3" w:rsidRDefault="00EB3BB3" w:rsidP="00EB3BB3">
            <w:pPr>
              <w:spacing w:line="276" w:lineRule="auto"/>
              <w:jc w:val="both"/>
              <w:rPr>
                <w:rFonts w:ascii="Verdana" w:eastAsia="Calibri" w:hAnsi="Verdana" w:cs="Times New Roman"/>
              </w:rPr>
            </w:pPr>
          </w:p>
          <w:p w14:paraId="2B902AE1" w14:textId="20B4A1E4" w:rsidR="00554BD4" w:rsidRDefault="001A0B04" w:rsidP="00554BD4">
            <w:pPr>
              <w:spacing w:after="120" w:line="276" w:lineRule="auto"/>
              <w:jc w:val="both"/>
              <w:rPr>
                <w:rFonts w:ascii="Verdana" w:eastAsia="Arial" w:hAnsi="Verdana" w:cs="Arial"/>
                <w:lang w:val="es-ES" w:eastAsia="es-ES" w:bidi="es-ES"/>
              </w:rPr>
            </w:pPr>
            <w:r>
              <w:rPr>
                <w:rFonts w:ascii="Verdana" w:hAnsi="Verdana" w:cs="Arial"/>
                <w:lang w:eastAsia="es-ES"/>
              </w:rPr>
              <w:t xml:space="preserve">i. </w:t>
            </w:r>
            <w:r w:rsidR="008841E9">
              <w:rPr>
                <w:rFonts w:ascii="Verdana" w:eastAsia="Arial" w:hAnsi="Verdana" w:cs="Arial"/>
                <w:lang w:eastAsia="es-ES" w:bidi="es-ES"/>
              </w:rPr>
              <w:t>E</w:t>
            </w:r>
            <w:r w:rsidR="00AA1328" w:rsidRPr="00E2397D">
              <w:rPr>
                <w:rFonts w:ascii="Verdana" w:eastAsia="Arial" w:hAnsi="Verdana" w:cs="Arial"/>
                <w:lang w:val="es-ES" w:eastAsia="es-ES" w:bidi="es-ES"/>
              </w:rPr>
              <w:t>n relación con</w:t>
            </w:r>
            <w:r w:rsidR="008841E9">
              <w:rPr>
                <w:rFonts w:ascii="Verdana" w:eastAsia="Arial" w:hAnsi="Verdana" w:cs="Arial"/>
                <w:lang w:val="es-ES" w:eastAsia="es-ES" w:bidi="es-ES"/>
              </w:rPr>
              <w:t xml:space="preserve"> el problema jurídico planteado, se precisa que, de acuerdo a </w:t>
            </w:r>
            <w:r w:rsidR="00554BD4" w:rsidRPr="00554BD4">
              <w:rPr>
                <w:rFonts w:ascii="Verdana" w:eastAsia="Arial" w:hAnsi="Verdana" w:cs="Arial"/>
                <w:lang w:eastAsia="es-ES" w:bidi="es-ES"/>
              </w:rPr>
              <w:t>la interpretación de las normas generales del sistema de compras públicas,</w:t>
            </w:r>
            <w:r w:rsidR="00554BD4" w:rsidRPr="00554BD4">
              <w:rPr>
                <w:rFonts w:ascii="Verdana" w:eastAsia="Arial" w:hAnsi="Verdana" w:cs="Arial"/>
                <w:lang w:val="es-ES" w:eastAsia="es-ES" w:bidi="es-ES"/>
              </w:rPr>
              <w:t xml:space="preserve"> la Ley 996 de 2005 establece dos (2) tipos de restricciones en materia de contratación, las cuales coinciden parcialmente. </w:t>
            </w:r>
            <w:r w:rsidR="00554BD4" w:rsidRPr="00554BD4">
              <w:rPr>
                <w:rFonts w:ascii="Verdana" w:eastAsia="Arial" w:hAnsi="Verdana" w:cs="Arial"/>
                <w:i/>
                <w:lang w:val="es-ES" w:eastAsia="es-ES" w:bidi="es-ES"/>
              </w:rPr>
              <w:t>En primer lugar</w:t>
            </w:r>
            <w:r w:rsidR="00554BD4" w:rsidRPr="00554BD4">
              <w:rPr>
                <w:rFonts w:ascii="Verdana" w:eastAsia="Arial" w:hAnsi="Verdana" w:cs="Arial"/>
                <w:lang w:val="es-ES" w:eastAsia="es-ES" w:bidi="es-ES"/>
              </w:rPr>
              <w:t xml:space="preserve">, la del artículo 33 que </w:t>
            </w:r>
            <w:r w:rsidR="008841E9">
              <w:rPr>
                <w:rFonts w:ascii="Verdana" w:eastAsia="Arial" w:hAnsi="Verdana" w:cs="Arial"/>
                <w:lang w:val="es-ES" w:eastAsia="es-ES" w:bidi="es-ES"/>
              </w:rPr>
              <w:t xml:space="preserve">aplica </w:t>
            </w:r>
            <w:r w:rsidR="00554BD4" w:rsidRPr="00554BD4">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00554BD4" w:rsidRPr="00554BD4">
              <w:rPr>
                <w:rFonts w:ascii="Verdana" w:eastAsia="Arial" w:hAnsi="Verdana" w:cs="Arial"/>
                <w:i/>
                <w:lang w:val="es-ES" w:eastAsia="es-ES" w:bidi="es-ES"/>
              </w:rPr>
              <w:t>En segundo lugar</w:t>
            </w:r>
            <w:r w:rsidR="00554BD4" w:rsidRPr="00554BD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B7014C2" w14:textId="77777777" w:rsidR="008841E9" w:rsidRPr="00554BD4" w:rsidRDefault="008841E9" w:rsidP="008841E9">
            <w:pPr>
              <w:spacing w:after="120" w:line="276" w:lineRule="auto"/>
              <w:ind w:firstLine="708"/>
              <w:jc w:val="both"/>
              <w:rPr>
                <w:rFonts w:ascii="Verdana" w:eastAsia="Arial" w:hAnsi="Verdana" w:cs="Arial"/>
                <w:lang w:val="es-ES" w:eastAsia="es-ES" w:bidi="es-ES"/>
              </w:rPr>
            </w:pPr>
            <w:r w:rsidRPr="00554BD4">
              <w:rPr>
                <w:rFonts w:ascii="Verdana" w:eastAsia="Arial" w:hAnsi="Verdana" w:cs="Arial"/>
                <w:lang w:val="es-ES" w:eastAsia="es-ES" w:bidi="es-ES"/>
              </w:rPr>
              <w:t xml:space="preserve">De esta manera, tratándose de elecciones en general, excluyendo las correspondientes al Presidente de la República, las restricciones que resultan aplicables son las contenidas en el parágrafo del artículo 38. Es decir, cuando se convoca a elecciones para cargos de elección popular los </w:t>
            </w:r>
            <w:r w:rsidRPr="00554BD4">
              <w:rPr>
                <w:rFonts w:ascii="Verdana" w:eastAsia="Arial" w:hAnsi="Verdana" w:cs="Arial"/>
                <w:lang w:eastAsia="es-ES" w:bidi="es-ES"/>
              </w:rPr>
              <w:t xml:space="preserve">Gobernadores, </w:t>
            </w:r>
            <w:r w:rsidRPr="00554BD4">
              <w:rPr>
                <w:rFonts w:ascii="Verdana" w:eastAsia="Arial" w:hAnsi="Verdana" w:cs="Arial"/>
                <w:lang w:eastAsia="es-ES" w:bidi="es-ES"/>
              </w:rPr>
              <w:lastRenderedPageBreak/>
              <w:t xml:space="preserve">Alcaldes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w:t>
            </w:r>
          </w:p>
          <w:p w14:paraId="5993E63E" w14:textId="18775DE4" w:rsidR="00AA1328" w:rsidRPr="00E2397D" w:rsidRDefault="00AA1328" w:rsidP="00AA1328">
            <w:pPr>
              <w:spacing w:after="120" w:line="276" w:lineRule="auto"/>
              <w:ind w:firstLine="709"/>
              <w:jc w:val="both"/>
              <w:rPr>
                <w:rFonts w:ascii="Verdana" w:eastAsia="Calibri" w:hAnsi="Verdana" w:cs="Arial"/>
              </w:rPr>
            </w:pPr>
            <w:r w:rsidRPr="00E2397D">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p>
          <w:p w14:paraId="19F4C03A" w14:textId="77777777" w:rsidR="00AA1328" w:rsidRPr="00E2397D" w:rsidRDefault="00AA1328" w:rsidP="00AA1328">
            <w:pPr>
              <w:spacing w:after="120" w:line="276" w:lineRule="auto"/>
              <w:ind w:firstLine="709"/>
              <w:jc w:val="both"/>
              <w:rPr>
                <w:rFonts w:ascii="Verdana" w:eastAsia="Calibri" w:hAnsi="Verdana" w:cs="Arial"/>
              </w:rPr>
            </w:pPr>
            <w:r w:rsidRPr="00E2397D">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5E5465CB" w14:textId="08B49085" w:rsidR="001A0B04" w:rsidRDefault="00505795" w:rsidP="00615F46">
            <w:pPr>
              <w:widowControl w:val="0"/>
              <w:autoSpaceDE w:val="0"/>
              <w:autoSpaceDN w:val="0"/>
              <w:spacing w:after="120" w:line="276" w:lineRule="auto"/>
              <w:ind w:firstLine="709"/>
              <w:jc w:val="both"/>
              <w:rPr>
                <w:rFonts w:ascii="Verdana" w:eastAsia="Calibri" w:hAnsi="Verdana" w:cs="Arial"/>
                <w:lang w:eastAsia="es-ES" w:bidi="es-ES"/>
              </w:rPr>
            </w:pPr>
            <w:r>
              <w:rPr>
                <w:rFonts w:ascii="Verdana" w:eastAsia="Calibri" w:hAnsi="Verdana" w:cs="Arial"/>
                <w:lang w:eastAsia="es-ES" w:bidi="es-ES"/>
              </w:rPr>
              <w:t>Así las cosas</w:t>
            </w:r>
            <w:r w:rsidR="00AA1328" w:rsidRPr="00E2397D">
              <w:rPr>
                <w:rFonts w:ascii="Verdana" w:eastAsia="Calibri" w:hAnsi="Verdana" w:cs="Arial"/>
                <w:lang w:eastAsia="es-ES" w:bidi="es-ES"/>
              </w:rPr>
              <w:t>, se concluye que p</w:t>
            </w:r>
            <w:r w:rsidR="008841E9">
              <w:rPr>
                <w:rFonts w:ascii="Verdana" w:eastAsia="Calibri" w:hAnsi="Verdana" w:cs="Arial"/>
                <w:lang w:eastAsia="es-ES" w:bidi="es-ES"/>
              </w:rPr>
              <w:t xml:space="preserve">ara las elecciones territoriales atípicas </w:t>
            </w:r>
            <w:r w:rsidR="00AA1328" w:rsidRPr="00E2397D">
              <w:rPr>
                <w:rFonts w:ascii="Verdana" w:eastAsia="Calibri" w:hAnsi="Verdana" w:cs="Arial"/>
                <w:lang w:eastAsia="es-ES" w:bidi="es-ES"/>
              </w:rPr>
              <w:t xml:space="preserve">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1D0566B2" w14:textId="77777777" w:rsidR="004D1E55" w:rsidRPr="004D1E55" w:rsidRDefault="004D1E55" w:rsidP="004D1E55">
            <w:pPr>
              <w:widowControl w:val="0"/>
              <w:autoSpaceDE w:val="0"/>
              <w:autoSpaceDN w:val="0"/>
              <w:spacing w:after="120" w:line="276" w:lineRule="auto"/>
              <w:ind w:firstLine="709"/>
              <w:jc w:val="both"/>
              <w:rPr>
                <w:rFonts w:ascii="Verdana" w:eastAsia="Calibri" w:hAnsi="Verdana" w:cs="Arial"/>
                <w:lang w:eastAsia="es-ES" w:bidi="es-ES"/>
              </w:rPr>
            </w:pPr>
            <w:r w:rsidRPr="004D1E55">
              <w:rPr>
                <w:rFonts w:ascii="Verdana" w:eastAsia="Calibri" w:hAnsi="Verdana" w:cs="Arial"/>
                <w:lang w:eastAsia="es-ES" w:bidi="es-ES"/>
              </w:rPr>
              <w:t xml:space="preserve">En todo caso, y más allá de la explicación previamente expuesta, es preciso advertir que el análisis requerido para resolver situaciones concretas sobre las condiciones en que las Entidades Estatales pueden adelantar sus </w:t>
            </w:r>
            <w:r w:rsidRPr="004D1E55">
              <w:rPr>
                <w:rFonts w:ascii="Verdana" w:eastAsia="Calibri" w:hAnsi="Verdana" w:cs="Arial"/>
                <w:lang w:eastAsia="es-ES" w:bidi="es-ES"/>
              </w:rPr>
              <w:lastRenderedPageBreak/>
              <w:t>procesos de contratación debe ser realizado por los interesados, conforme a lo señalado en la aclaración preliminar del presente escrito. En consecuencia, previa consulta con sus asesores jurídicos corresponde a dichos interesados adoptar las decisiones pertinentes frente a casos particulares y, en caso de controversia, acudir a las autoridades judiciales, fiscales o disciplinarias competentes. En ese sentido, cada entidad es responsable de definir la forma en que desarrolla su gestión contractual, sin que le corresponda a Colombia Compra Eficiente validar o avalar sus actuaciones.</w:t>
            </w:r>
          </w:p>
          <w:p w14:paraId="1482A10E" w14:textId="781BC649" w:rsidR="000C538B" w:rsidRPr="00EB3BB3" w:rsidRDefault="004D1E55" w:rsidP="004D1E55">
            <w:pPr>
              <w:widowControl w:val="0"/>
              <w:autoSpaceDE w:val="0"/>
              <w:autoSpaceDN w:val="0"/>
              <w:spacing w:after="120" w:line="276" w:lineRule="auto"/>
              <w:ind w:firstLine="709"/>
              <w:jc w:val="both"/>
              <w:rPr>
                <w:rFonts w:ascii="Verdana" w:eastAsia="Calibri" w:hAnsi="Verdana" w:cs="Arial"/>
                <w:lang w:val="es-ES"/>
              </w:rPr>
            </w:pPr>
            <w:r w:rsidRPr="004D1E55">
              <w:rPr>
                <w:rFonts w:ascii="Verdana" w:eastAsia="Calibri" w:hAnsi="Verdana" w:cs="Arial"/>
                <w:lang w:eastAsia="es-ES" w:bidi="es-ES"/>
              </w:rPr>
              <w:t> </w:t>
            </w:r>
          </w:p>
        </w:tc>
      </w:tr>
    </w:tbl>
    <w:p w14:paraId="63F44EFF" w14:textId="14996177" w:rsidR="009325CC" w:rsidRPr="00A12CB6" w:rsidRDefault="009325CC" w:rsidP="00F00796">
      <w:pPr>
        <w:spacing w:after="0" w:line="276" w:lineRule="auto"/>
        <w:jc w:val="both"/>
        <w:rPr>
          <w:rFonts w:ascii="Verdana" w:eastAsia="Calibri" w:hAnsi="Verdana" w:cs="Arial"/>
          <w:bCs/>
          <w:color w:val="000000" w:themeColor="text1"/>
        </w:rPr>
      </w:pPr>
    </w:p>
    <w:p w14:paraId="517763AE" w14:textId="77777777" w:rsidR="00F00796" w:rsidRPr="0093558D" w:rsidRDefault="00F00796" w:rsidP="00F00796">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6C37EEEA" w14:textId="77777777" w:rsidR="00F00796" w:rsidRPr="00A12CB6" w:rsidRDefault="00F00796" w:rsidP="00F00796">
      <w:pPr>
        <w:spacing w:after="0" w:line="256" w:lineRule="auto"/>
        <w:rPr>
          <w:rFonts w:ascii="Verdana" w:eastAsia="Calibri" w:hAnsi="Verdana" w:cs="Times New Roman"/>
          <w:b/>
          <w:bCs/>
          <w:lang w:val="es-ES"/>
        </w:rPr>
      </w:pPr>
    </w:p>
    <w:p w14:paraId="38D565A5" w14:textId="77777777" w:rsidR="00F00796" w:rsidRPr="00A12CB6" w:rsidRDefault="00F00796" w:rsidP="00F00796">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2F576F09" w14:textId="77777777" w:rsidR="00E2397D" w:rsidRPr="00E2397D" w:rsidRDefault="00E2397D" w:rsidP="00E2397D">
      <w:pPr>
        <w:spacing w:after="0" w:line="276" w:lineRule="auto"/>
        <w:jc w:val="both"/>
        <w:rPr>
          <w:rFonts w:ascii="Verdana" w:eastAsia="Calibri" w:hAnsi="Verdana" w:cs="Arial"/>
          <w:color w:val="000000" w:themeColor="text1"/>
        </w:rPr>
      </w:pPr>
    </w:p>
    <w:p w14:paraId="484B8BCE" w14:textId="77777777" w:rsidR="00E2397D" w:rsidRPr="00E2397D" w:rsidRDefault="00E2397D" w:rsidP="00E2397D">
      <w:pPr>
        <w:tabs>
          <w:tab w:val="left" w:pos="426"/>
        </w:tabs>
        <w:spacing w:after="120" w:line="276" w:lineRule="auto"/>
        <w:jc w:val="both"/>
        <w:rPr>
          <w:rFonts w:ascii="Verdana" w:eastAsia="Times New Roman" w:hAnsi="Verdana" w:cs="Arial"/>
          <w:lang w:eastAsia="es-CO"/>
        </w:rPr>
      </w:pPr>
      <w:r w:rsidRPr="00E2397D">
        <w:rPr>
          <w:rFonts w:ascii="Verdana" w:eastAsia="Calibri" w:hAnsi="Verdana" w:cs="Arial"/>
        </w:rPr>
        <w:t>i. El ordenamiento jurídico colombiano contempla previsiones claras para evitar la obtención de beneficios personales en asuntos propios de la administración pública</w:t>
      </w:r>
      <w:r w:rsidRPr="00E2397D">
        <w:rPr>
          <w:rFonts w:ascii="Verdana" w:eastAsia="Calibri" w:hAnsi="Verdana" w:cs="Arial"/>
          <w:i/>
        </w:rPr>
        <w:t xml:space="preserve">. </w:t>
      </w:r>
      <w:r w:rsidRPr="00E2397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E2397D">
        <w:rPr>
          <w:vertAlign w:val="superscript"/>
        </w:rPr>
        <w:footnoteReference w:id="2"/>
      </w:r>
      <w:r w:rsidRPr="00E2397D">
        <w:rPr>
          <w:rFonts w:ascii="Verdana" w:eastAsia="Calibri" w:hAnsi="Verdana" w:cs="Arial"/>
        </w:rPr>
        <w:t xml:space="preserve">. </w:t>
      </w:r>
    </w:p>
    <w:p w14:paraId="32EEF48D" w14:textId="7B98F1FB" w:rsidR="00E2397D" w:rsidRPr="006B14B5" w:rsidRDefault="00E2397D" w:rsidP="006B14B5">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1428898F" w14:textId="77777777" w:rsidR="00E2397D" w:rsidRPr="00E2397D" w:rsidRDefault="00E2397D" w:rsidP="00E2397D">
      <w:pPr>
        <w:spacing w:after="0" w:line="276" w:lineRule="auto"/>
        <w:ind w:right="709"/>
        <w:contextualSpacing/>
        <w:jc w:val="both"/>
        <w:rPr>
          <w:rFonts w:ascii="Verdana" w:eastAsia="Times New Roman" w:hAnsi="Verdana" w:cs="Arial"/>
          <w:lang w:val="es-ES" w:eastAsia="es-CO"/>
        </w:rPr>
      </w:pPr>
    </w:p>
    <w:p w14:paraId="7231FF99"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EDEECDF" w14:textId="6C2D1C3A" w:rsidR="00E2397D" w:rsidRPr="00E2397D" w:rsidRDefault="00EB3BB3" w:rsidP="00EB3BB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931E79A"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3A8EDF74" w14:textId="77777777" w:rsidR="00E2397D" w:rsidRPr="00E2397D" w:rsidRDefault="00E2397D" w:rsidP="00E2397D">
      <w:pPr>
        <w:spacing w:after="0" w:line="276" w:lineRule="auto"/>
        <w:ind w:firstLine="709"/>
        <w:jc w:val="both"/>
        <w:rPr>
          <w:rFonts w:ascii="Verdana" w:eastAsia="Times New Roman" w:hAnsi="Verdana" w:cs="Arial"/>
          <w:lang w:val="es-MX" w:eastAsia="es-CO"/>
        </w:rPr>
      </w:pPr>
      <w:bookmarkStart w:id="3" w:name="_Hlk78818186"/>
    </w:p>
    <w:p w14:paraId="161F3D2F" w14:textId="72DA8A61" w:rsidR="00E2397D" w:rsidRPr="00E2397D" w:rsidRDefault="00E2397D" w:rsidP="00E2397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sidR="006B14B5">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477AF7F6" w14:textId="77777777" w:rsidR="00E2397D" w:rsidRPr="008841E9" w:rsidRDefault="00E2397D" w:rsidP="00E2397D">
      <w:pPr>
        <w:spacing w:after="0" w:line="276" w:lineRule="auto"/>
        <w:ind w:firstLine="709"/>
        <w:jc w:val="both"/>
        <w:rPr>
          <w:rFonts w:ascii="Verdana" w:eastAsia="Times New Roman" w:hAnsi="Verdana" w:cs="Arial"/>
          <w:lang w:val="es-ES" w:eastAsia="es-CO"/>
        </w:rPr>
      </w:pPr>
    </w:p>
    <w:p w14:paraId="53876192"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BB709A4" w14:textId="77777777" w:rsidR="00E2397D" w:rsidRPr="00E2397D" w:rsidRDefault="00E2397D" w:rsidP="00E2397D">
      <w:pPr>
        <w:spacing w:after="0" w:line="240" w:lineRule="auto"/>
        <w:ind w:right="709"/>
        <w:contextualSpacing/>
        <w:jc w:val="both"/>
        <w:rPr>
          <w:rFonts w:ascii="Verdana" w:eastAsia="Times New Roman" w:hAnsi="Verdana" w:cs="Arial"/>
          <w:lang w:val="es-MX" w:eastAsia="es-CO"/>
        </w:rPr>
      </w:pPr>
    </w:p>
    <w:p w14:paraId="07F985C3" w14:textId="77777777" w:rsidR="00E2397D" w:rsidRPr="00E2397D" w:rsidRDefault="00E2397D" w:rsidP="00E2397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0A8D51A0" w14:textId="77777777" w:rsidR="00E2397D" w:rsidRPr="00E2397D" w:rsidRDefault="00E2397D" w:rsidP="00E2397D">
      <w:pPr>
        <w:spacing w:after="0" w:line="276" w:lineRule="auto"/>
        <w:jc w:val="both"/>
        <w:rPr>
          <w:rFonts w:ascii="Verdana" w:eastAsia="Calibri" w:hAnsi="Verdana" w:cs="Arial"/>
          <w:bCs/>
          <w:lang w:val="es-ES_tradnl"/>
        </w:rPr>
      </w:pPr>
    </w:p>
    <w:p w14:paraId="6A811B0C" w14:textId="5A3016F4" w:rsidR="00E2397D" w:rsidRDefault="00E2397D" w:rsidP="001A0B0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1ED8781" w14:textId="77777777" w:rsidR="001A0B04" w:rsidRPr="00E2397D" w:rsidRDefault="001A0B04" w:rsidP="001A0B04">
      <w:pPr>
        <w:spacing w:after="0" w:line="276" w:lineRule="auto"/>
        <w:ind w:firstLine="709"/>
        <w:jc w:val="both"/>
        <w:rPr>
          <w:rFonts w:ascii="Verdana" w:eastAsia="Arial" w:hAnsi="Verdana" w:cs="Arial"/>
          <w:lang w:val="es-ES" w:eastAsia="es-ES" w:bidi="es-ES"/>
        </w:rPr>
      </w:pPr>
    </w:p>
    <w:p w14:paraId="75F796D7" w14:textId="77777777" w:rsidR="00E2397D" w:rsidRPr="00E2397D" w:rsidRDefault="00E2397D" w:rsidP="00E2397D">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36629D22" w14:textId="77777777" w:rsidR="00E2397D" w:rsidRPr="00E2397D" w:rsidRDefault="00E2397D" w:rsidP="00E2397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032F1E7" w14:textId="77777777" w:rsidR="00E2397D" w:rsidRPr="00E2397D" w:rsidRDefault="00E2397D" w:rsidP="00E2397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5"/>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D76E882" w14:textId="59A82506" w:rsidR="00E2397D" w:rsidRPr="00E2397D" w:rsidRDefault="00E2397D" w:rsidP="00E2397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sidR="00310E5C">
        <w:rPr>
          <w:rFonts w:ascii="Verdana" w:eastAsia="Arial" w:hAnsi="Verdana" w:cs="Arial"/>
          <w:lang w:val="es-ES" w:eastAsia="es-ES" w:bidi="es-ES"/>
        </w:rPr>
        <w:t>era</w:t>
      </w:r>
      <w:r w:rsidRPr="00E2397D">
        <w:rPr>
          <w:rFonts w:ascii="Verdana" w:eastAsia="Arial" w:hAnsi="Verdana" w:cs="Arial"/>
          <w:lang w:val="es-ES" w:eastAsia="es-ES" w:bidi="es-ES"/>
        </w:rPr>
        <w:t>:</w:t>
      </w:r>
    </w:p>
    <w:p w14:paraId="15C2A8E9" w14:textId="77777777" w:rsidR="00E2397D" w:rsidRPr="00E2397D" w:rsidRDefault="00E2397D" w:rsidP="00E2397D">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7D6A0CC" w14:textId="77777777" w:rsidR="00E2397D" w:rsidRPr="00E2397D" w:rsidRDefault="00E2397D" w:rsidP="00E2397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E2397D">
        <w:rPr>
          <w:rFonts w:ascii="Verdana" w:eastAsia="Arial" w:hAnsi="Verdana" w:cs="Arial"/>
          <w:sz w:val="20"/>
          <w:szCs w:val="20"/>
          <w:lang w:eastAsia="es-ES" w:bidi="es-ES"/>
        </w:rPr>
        <w:t>se integran parcialmente</w:t>
      </w:r>
      <w:bookmarkEnd w:id="8"/>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w:t>
      </w:r>
      <w:r w:rsidRPr="00E2397D">
        <w:rPr>
          <w:rFonts w:ascii="Verdana" w:eastAsia="Arial" w:hAnsi="Verdana" w:cs="Arial"/>
          <w:sz w:val="20"/>
          <w:szCs w:val="20"/>
          <w:lang w:eastAsia="es-ES" w:bidi="es-ES"/>
        </w:rPr>
        <w:lastRenderedPageBreak/>
        <w:t>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2FE3AE1E" w14:textId="77777777" w:rsidR="00E2397D" w:rsidRPr="00E2397D" w:rsidRDefault="00E2397D" w:rsidP="00E2397D">
      <w:pPr>
        <w:widowControl w:val="0"/>
        <w:autoSpaceDE w:val="0"/>
        <w:autoSpaceDN w:val="0"/>
        <w:spacing w:after="0" w:line="276" w:lineRule="auto"/>
        <w:contextualSpacing/>
        <w:rPr>
          <w:rFonts w:ascii="Verdana" w:eastAsia="Arial" w:hAnsi="Verdana" w:cs="Arial"/>
          <w:lang w:val="es-ES" w:eastAsia="es-ES" w:bidi="es-ES"/>
        </w:rPr>
      </w:pPr>
    </w:p>
    <w:p w14:paraId="4C9B7FFA" w14:textId="34776F46" w:rsidR="00E2397D" w:rsidRPr="00E2397D" w:rsidRDefault="00E2397D" w:rsidP="00E2397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sidR="00325755">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10"/>
    <w:p w14:paraId="048973D0" w14:textId="1DB1D6E3" w:rsidR="00E2397D" w:rsidRPr="00E2397D" w:rsidRDefault="00E2397D" w:rsidP="00E2397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sidR="00310E5C">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56F760A8" w14:textId="77777777" w:rsidR="00325755" w:rsidRDefault="00E2397D" w:rsidP="00325755">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w:t>
      </w:r>
      <w:r w:rsidRPr="00E2397D">
        <w:rPr>
          <w:rFonts w:ascii="Verdana" w:eastAsia="Arial" w:hAnsi="Verdana" w:cs="Arial"/>
          <w:lang w:val="es-ES" w:eastAsia="es-ES" w:bidi="es-ES"/>
        </w:rPr>
        <w:lastRenderedPageBreak/>
        <w:t xml:space="preserve">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282CABCF" w14:textId="63F206AF" w:rsidR="00E2397D" w:rsidRPr="00E2397D" w:rsidRDefault="00E2397D" w:rsidP="00E2397D">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p>
    <w:p w14:paraId="22954382" w14:textId="2E21F6BD" w:rsidR="00E2397D" w:rsidRPr="008853C1" w:rsidRDefault="00E2397D" w:rsidP="008853C1">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 xml:space="preserve">Referencias normativas </w:t>
      </w:r>
    </w:p>
    <w:p w14:paraId="534B9536" w14:textId="77777777" w:rsidR="00E2397D" w:rsidRPr="00E2397D" w:rsidRDefault="00E2397D" w:rsidP="00E2397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2397D" w:rsidRPr="00E2397D" w14:paraId="781227E0" w14:textId="77777777" w:rsidTr="00505795">
        <w:trPr>
          <w:trHeight w:val="856"/>
          <w:jc w:val="center"/>
        </w:trPr>
        <w:tc>
          <w:tcPr>
            <w:tcW w:w="8647" w:type="dxa"/>
          </w:tcPr>
          <w:p w14:paraId="15A8214B" w14:textId="26649672" w:rsidR="00E2397D" w:rsidRPr="00E2397D" w:rsidRDefault="00E2397D" w:rsidP="006B4CA3">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t>Constitución Política: Artículo 127.</w:t>
            </w:r>
          </w:p>
          <w:p w14:paraId="690F3DCF"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 xml:space="preserve">Ley 80 de 1993, artículos 39, 41, 44, 46, 49 y 60. </w:t>
            </w:r>
          </w:p>
          <w:p w14:paraId="08C32D35"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 xml:space="preserve">Ley 1150 de 2007, artículo 11. </w:t>
            </w:r>
          </w:p>
          <w:p w14:paraId="42A9F929" w14:textId="77777777"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eastAsia="es-ES" w:bidi="es-ES"/>
              </w:rPr>
              <w:t>Ley 1437 de 2011, artículos 10, 141 y 164.</w:t>
            </w:r>
          </w:p>
          <w:p w14:paraId="0DC8687F" w14:textId="026221B5"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Código Civil. Artículo 1740, 1741</w:t>
            </w:r>
            <w:r>
              <w:rPr>
                <w:rFonts w:ascii="Verdana" w:eastAsia="Arial MT" w:hAnsi="Verdana" w:cs="Arial"/>
                <w:lang w:val="es-ES" w:eastAsia="es-ES" w:bidi="es-ES"/>
              </w:rPr>
              <w:t>.</w:t>
            </w:r>
          </w:p>
          <w:p w14:paraId="6D720701" w14:textId="636140D3" w:rsidR="006B4CA3" w:rsidRPr="006B4CA3" w:rsidRDefault="006B4CA3"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6B4CA3">
              <w:rPr>
                <w:rFonts w:ascii="Verdana" w:eastAsia="Arial MT" w:hAnsi="Verdana" w:cs="Arial"/>
                <w:lang w:val="es-ES" w:eastAsia="es-ES" w:bidi="es-ES"/>
              </w:rPr>
              <w:t>Código de Comercio. Artículo 899</w:t>
            </w:r>
            <w:r>
              <w:rPr>
                <w:rFonts w:ascii="Verdana" w:eastAsia="Arial MT" w:hAnsi="Verdana" w:cs="Arial"/>
                <w:lang w:val="es-ES" w:eastAsia="es-ES" w:bidi="es-ES"/>
              </w:rPr>
              <w:t xml:space="preserve">. </w:t>
            </w:r>
          </w:p>
          <w:p w14:paraId="6E120A91" w14:textId="5542598B" w:rsidR="00E2397D" w:rsidRPr="00E2397D" w:rsidRDefault="00E2397D" w:rsidP="006B4CA3">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7D566FF6" w14:textId="16761953" w:rsidR="008853C1" w:rsidRPr="006B4CA3" w:rsidRDefault="00E2397D" w:rsidP="003A40E2">
            <w:pPr>
              <w:widowControl w:val="0"/>
              <w:numPr>
                <w:ilvl w:val="0"/>
                <w:numId w:val="20"/>
              </w:numPr>
              <w:autoSpaceDE w:val="0"/>
              <w:autoSpaceDN w:val="0"/>
              <w:spacing w:after="120" w:line="276" w:lineRule="auto"/>
              <w:ind w:left="714" w:hanging="357"/>
              <w:jc w:val="both"/>
              <w:rPr>
                <w:rFonts w:ascii="Verdana" w:eastAsia="Calibri" w:hAnsi="Verdana" w:cs="Arial"/>
                <w:lang w:val="es-ES"/>
              </w:rPr>
            </w:pPr>
            <w:r w:rsidRPr="00E2397D">
              <w:rPr>
                <w:rFonts w:ascii="Verdana" w:eastAsia="Arial MT" w:hAnsi="Verdana" w:cs="Arial"/>
                <w:lang w:eastAsia="es-ES" w:bidi="es-ES"/>
              </w:rPr>
              <w:t>Ley 136 de 1994: Artículo 98.</w:t>
            </w:r>
          </w:p>
        </w:tc>
      </w:tr>
    </w:tbl>
    <w:p w14:paraId="6B90B1C9" w14:textId="77777777" w:rsidR="00E2397D" w:rsidRPr="00E2397D" w:rsidRDefault="00E2397D" w:rsidP="00E2397D">
      <w:pPr>
        <w:widowControl w:val="0"/>
        <w:autoSpaceDE w:val="0"/>
        <w:autoSpaceDN w:val="0"/>
        <w:spacing w:after="0" w:line="276" w:lineRule="auto"/>
        <w:jc w:val="both"/>
        <w:rPr>
          <w:rFonts w:ascii="Verdana" w:hAnsi="Verdana" w:cs="Arial"/>
        </w:rPr>
      </w:pPr>
    </w:p>
    <w:p w14:paraId="29015E23" w14:textId="77777777" w:rsidR="00E2397D" w:rsidRPr="00E2397D" w:rsidRDefault="00E2397D" w:rsidP="00E2397D">
      <w:pPr>
        <w:tabs>
          <w:tab w:val="left" w:pos="142"/>
          <w:tab w:val="left" w:pos="284"/>
        </w:tabs>
        <w:spacing w:after="0" w:line="276" w:lineRule="auto"/>
        <w:jc w:val="both"/>
        <w:rPr>
          <w:rFonts w:ascii="Verdana" w:eastAsia="Century Gothic" w:hAnsi="Verdana" w:cs="Century Gothic"/>
          <w:b/>
          <w:bCs/>
        </w:rPr>
      </w:pPr>
      <w:r w:rsidRPr="00E2397D">
        <w:rPr>
          <w:rFonts w:ascii="Verdana" w:eastAsia="Century Gothic" w:hAnsi="Verdana" w:cs="Century Gothic"/>
          <w:b/>
          <w:bCs/>
        </w:rPr>
        <w:t>Doctrina de la Agencia Nacional de Contratación Pública:</w:t>
      </w:r>
    </w:p>
    <w:p w14:paraId="348530C5" w14:textId="77777777" w:rsidR="00E2397D" w:rsidRPr="00E2397D" w:rsidRDefault="00E2397D" w:rsidP="00E2397D">
      <w:pPr>
        <w:widowControl w:val="0"/>
        <w:autoSpaceDE w:val="0"/>
        <w:autoSpaceDN w:val="0"/>
        <w:spacing w:after="0" w:line="276" w:lineRule="auto"/>
        <w:jc w:val="both"/>
        <w:rPr>
          <w:rFonts w:ascii="Verdana" w:hAnsi="Verdana" w:cs="Arial"/>
        </w:rPr>
      </w:pPr>
    </w:p>
    <w:p w14:paraId="74ACB70D" w14:textId="70B7454E" w:rsidR="00E2397D" w:rsidRPr="00E2397D" w:rsidRDefault="00E2397D" w:rsidP="003A40E2">
      <w:pPr>
        <w:widowControl w:val="0"/>
        <w:autoSpaceDE w:val="0"/>
        <w:autoSpaceDN w:val="0"/>
        <w:spacing w:after="0" w:line="276" w:lineRule="auto"/>
        <w:jc w:val="both"/>
        <w:rPr>
          <w:rFonts w:ascii="Verdana" w:eastAsia="Calibri" w:hAnsi="Verdana" w:cs="Arial"/>
          <w:color w:val="000000" w:themeColor="text1"/>
          <w:lang w:val="es-ES_tradnl" w:eastAsia="es-ES_tradnl"/>
        </w:rPr>
      </w:pPr>
      <w:r w:rsidRPr="00E2397D">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0062005D">
        <w:rPr>
          <w:rFonts w:ascii="Verdana" w:hAnsi="Verdana" w:cs="Arial"/>
          <w:shd w:val="clear" w:color="auto" w:fill="FFFFFF"/>
        </w:rPr>
        <w:t>E</w:t>
      </w:r>
      <w:r w:rsidRPr="00E2397D">
        <w:rPr>
          <w:rFonts w:ascii="Verdana" w:hAnsi="Verdana" w:cs="Arial"/>
          <w:shd w:val="clear" w:color="auto" w:fill="FFFFFF"/>
          <w:lang w:val="es-ES"/>
        </w:rPr>
        <w:t xml:space="preserve">stos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3"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3109EDD5" w14:textId="3045CB81" w:rsidR="00F00796" w:rsidRDefault="00F00796" w:rsidP="00F00796">
      <w:pPr>
        <w:spacing w:after="0"/>
        <w:jc w:val="both"/>
        <w:rPr>
          <w:rFonts w:ascii="Verdana" w:hAnsi="Verdana"/>
        </w:rPr>
      </w:pPr>
    </w:p>
    <w:p w14:paraId="64F5C2F1" w14:textId="77777777" w:rsidR="00F00796" w:rsidRPr="0044528D" w:rsidRDefault="00F00796" w:rsidP="00F00796">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3448B17" w14:textId="77777777" w:rsidR="00F00796" w:rsidRPr="0044528D" w:rsidRDefault="00F00796" w:rsidP="00F00796">
      <w:pPr>
        <w:spacing w:after="0" w:line="240" w:lineRule="auto"/>
        <w:jc w:val="both"/>
        <w:rPr>
          <w:rFonts w:ascii="Verdana" w:hAnsi="Verdana"/>
        </w:rPr>
      </w:pPr>
    </w:p>
    <w:p w14:paraId="3798CEA4"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7C3C48E2"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2FC5081A"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34D4ACFB" w14:textId="77777777" w:rsidR="00F00796" w:rsidRPr="0044528D" w:rsidRDefault="00F00796" w:rsidP="00F00796">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4" w:history="1">
        <w:r w:rsidRPr="0044528D">
          <w:rPr>
            <w:rStyle w:val="Hipervnculo"/>
            <w:rFonts w:ascii="Verdana" w:hAnsi="Verdana"/>
          </w:rPr>
          <w:t>www.colombiacompra.gov.co</w:t>
        </w:r>
      </w:hyperlink>
    </w:p>
    <w:p w14:paraId="5DFCE35C" w14:textId="77777777" w:rsidR="00F00796" w:rsidRPr="0044528D" w:rsidRDefault="00F00796" w:rsidP="00F00796">
      <w:pPr>
        <w:pStyle w:val="Prrafodelista"/>
        <w:spacing w:after="0" w:line="240" w:lineRule="auto"/>
        <w:ind w:left="785"/>
        <w:jc w:val="both"/>
        <w:rPr>
          <w:rFonts w:ascii="Verdana" w:hAnsi="Verdana"/>
        </w:rPr>
      </w:pPr>
    </w:p>
    <w:p w14:paraId="49AB39E1"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48D85770" w14:textId="77777777" w:rsidR="00F00796" w:rsidRPr="0044528D" w:rsidRDefault="00F00796" w:rsidP="00F00796">
      <w:pPr>
        <w:spacing w:after="0" w:line="240" w:lineRule="auto"/>
        <w:jc w:val="both"/>
        <w:rPr>
          <w:rFonts w:ascii="Verdana" w:hAnsi="Verdana"/>
        </w:rPr>
      </w:pPr>
    </w:p>
    <w:p w14:paraId="2E9F3057"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2C0E4C7A"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Facebook: </w:t>
      </w:r>
      <w:r w:rsidRPr="0044528D">
        <w:rPr>
          <w:rStyle w:val="Hipervnculo"/>
          <w:rFonts w:ascii="Verdana" w:hAnsi="Verdana"/>
        </w:rPr>
        <w:t>ColombiaCompraEficiente</w:t>
      </w:r>
    </w:p>
    <w:p w14:paraId="3B98BA1D" w14:textId="77777777" w:rsidR="00F00796" w:rsidRPr="0044528D" w:rsidRDefault="00F00796" w:rsidP="00F00796">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6D28C38C" w14:textId="77777777" w:rsidR="00F00796" w:rsidRPr="0044528D" w:rsidRDefault="00F00796" w:rsidP="00F00796">
      <w:pPr>
        <w:spacing w:after="0" w:line="240" w:lineRule="auto"/>
        <w:jc w:val="both"/>
        <w:rPr>
          <w:rFonts w:ascii="Verdana" w:hAnsi="Verdana"/>
        </w:rPr>
      </w:pPr>
    </w:p>
    <w:p w14:paraId="4FE2C9F8" w14:textId="77777777" w:rsidR="00F00796" w:rsidRPr="00185EE9" w:rsidRDefault="00F00796" w:rsidP="00F00796">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A6B0F87" w14:textId="77777777" w:rsidR="00F00796" w:rsidRPr="00185EE9" w:rsidRDefault="00F00796" w:rsidP="00F00796">
      <w:pPr>
        <w:spacing w:after="0" w:line="256" w:lineRule="auto"/>
        <w:jc w:val="both"/>
        <w:rPr>
          <w:rFonts w:ascii="Verdana" w:eastAsia="Calibri" w:hAnsi="Verdana" w:cs="Times New Roman"/>
        </w:rPr>
      </w:pPr>
    </w:p>
    <w:p w14:paraId="3D79CE53" w14:textId="657AC82E" w:rsidR="00615F46" w:rsidRDefault="00F00796" w:rsidP="00B93E58">
      <w:pPr>
        <w:spacing w:after="0" w:line="256" w:lineRule="auto"/>
        <w:jc w:val="both"/>
        <w:rPr>
          <w:rFonts w:ascii="Verdana" w:eastAsia="Calibri" w:hAnsi="Verdana" w:cs="Times New Roman"/>
        </w:rPr>
      </w:pPr>
      <w:r w:rsidRPr="00185EE9">
        <w:rPr>
          <w:rFonts w:ascii="Verdana" w:eastAsia="Calibri" w:hAnsi="Verdana" w:cs="Times New Roman"/>
        </w:rPr>
        <w:t>Atentamente,</w:t>
      </w:r>
      <w:bookmarkEnd w:id="0"/>
    </w:p>
    <w:p w14:paraId="325E6EF1" w14:textId="77777777" w:rsidR="00B93E58" w:rsidRPr="00B93E58" w:rsidRDefault="00B93E58" w:rsidP="00B93E58">
      <w:pPr>
        <w:spacing w:after="0" w:line="256" w:lineRule="auto"/>
        <w:jc w:val="both"/>
        <w:rPr>
          <w:rFonts w:ascii="Verdana" w:hAnsi="Verdana"/>
          <w:lang w:val="es-MX"/>
        </w:rPr>
      </w:pPr>
    </w:p>
    <w:p w14:paraId="12332D2D" w14:textId="71E03BFE" w:rsidR="004D1E55" w:rsidRDefault="009D5983" w:rsidP="004D1E55">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426A646D" wp14:editId="069B8BD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5058DD41" w14:textId="77777777" w:rsidR="004D1E55" w:rsidRDefault="004D1E55" w:rsidP="004D1E55">
      <w:pPr>
        <w:spacing w:after="0" w:line="276" w:lineRule="auto"/>
        <w:jc w:val="center"/>
        <w:rPr>
          <w:rFonts w:ascii="Verdana" w:hAnsi="Verdana"/>
          <w:lang w:val="es-ES_tradnl"/>
        </w:rPr>
      </w:pPr>
    </w:p>
    <w:p w14:paraId="7C2CF282" w14:textId="77777777" w:rsidR="004D1E55" w:rsidRPr="00D53651" w:rsidRDefault="004D1E55" w:rsidP="004D1E55">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1E55" w:rsidRPr="00D53651" w14:paraId="63776338" w14:textId="77777777" w:rsidTr="003E1B14">
        <w:trPr>
          <w:trHeight w:val="315"/>
        </w:trPr>
        <w:tc>
          <w:tcPr>
            <w:tcW w:w="893" w:type="dxa"/>
            <w:vAlign w:val="center"/>
            <w:hideMark/>
          </w:tcPr>
          <w:p w14:paraId="636054A5"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019C1BAE"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 xml:space="preserve">Carolina Blanco Rodriguez </w:t>
            </w:r>
          </w:p>
          <w:p w14:paraId="5CDE9E9A"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4D1E55" w:rsidRPr="00D53651" w14:paraId="5B1ED1D5" w14:textId="77777777" w:rsidTr="003E1B14">
        <w:trPr>
          <w:trHeight w:val="330"/>
        </w:trPr>
        <w:tc>
          <w:tcPr>
            <w:tcW w:w="893" w:type="dxa"/>
            <w:vAlign w:val="center"/>
            <w:hideMark/>
          </w:tcPr>
          <w:p w14:paraId="76264883"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5B8BC62"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 xml:space="preserve">Diana Saavedra </w:t>
            </w:r>
          </w:p>
          <w:p w14:paraId="0B1FB992"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4D1E55" w:rsidRPr="00D53651" w14:paraId="19C8516D" w14:textId="77777777" w:rsidTr="003E1B14">
        <w:trPr>
          <w:trHeight w:val="300"/>
        </w:trPr>
        <w:tc>
          <w:tcPr>
            <w:tcW w:w="893" w:type="dxa"/>
            <w:vAlign w:val="center"/>
            <w:hideMark/>
          </w:tcPr>
          <w:p w14:paraId="4864B045" w14:textId="77777777" w:rsidR="004D1E55" w:rsidRPr="00D53651" w:rsidRDefault="004D1E55" w:rsidP="003E1B14">
            <w:pPr>
              <w:spacing w:line="276" w:lineRule="auto"/>
              <w:jc w:val="both"/>
              <w:rPr>
                <w:rFonts w:ascii="Verdana" w:hAnsi="Verdana"/>
                <w:sz w:val="16"/>
                <w:szCs w:val="16"/>
              </w:rPr>
            </w:pPr>
            <w:r w:rsidRPr="00D53651">
              <w:rPr>
                <w:rFonts w:ascii="Verdana" w:hAnsi="Verdana"/>
                <w:sz w:val="16"/>
                <w:szCs w:val="16"/>
              </w:rPr>
              <w:lastRenderedPageBreak/>
              <w:t>Aprobó:</w:t>
            </w:r>
          </w:p>
        </w:tc>
        <w:tc>
          <w:tcPr>
            <w:tcW w:w="5628" w:type="dxa"/>
            <w:tcBorders>
              <w:top w:val="dotted" w:sz="4" w:space="0" w:color="7F7F7F"/>
              <w:left w:val="nil"/>
              <w:bottom w:val="dotted" w:sz="4" w:space="0" w:color="7F7F7F"/>
              <w:right w:val="nil"/>
            </w:tcBorders>
            <w:vAlign w:val="center"/>
            <w:hideMark/>
          </w:tcPr>
          <w:p w14:paraId="59CB2360" w14:textId="77777777" w:rsidR="004D1E55" w:rsidRPr="00D53651" w:rsidRDefault="004D1E55" w:rsidP="003E1B14">
            <w:pPr>
              <w:spacing w:line="276" w:lineRule="auto"/>
              <w:jc w:val="both"/>
              <w:rPr>
                <w:rFonts w:ascii="Verdana" w:hAnsi="Verdana"/>
                <w:sz w:val="16"/>
                <w:szCs w:val="16"/>
                <w:lang w:val="pt-BR"/>
              </w:rPr>
            </w:pPr>
            <w:r w:rsidRPr="00D53651">
              <w:rPr>
                <w:rFonts w:ascii="Verdana" w:hAnsi="Verdana"/>
                <w:sz w:val="16"/>
                <w:szCs w:val="16"/>
                <w:lang w:val="pt-BR"/>
              </w:rPr>
              <w:t>Carolina Quintero Gacharná</w:t>
            </w:r>
          </w:p>
          <w:p w14:paraId="611911AF" w14:textId="77777777" w:rsidR="004D1E55" w:rsidRPr="00D53651" w:rsidRDefault="004D1E55" w:rsidP="003E1B1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bookmarkEnd w:id="1"/>
    </w:tbl>
    <w:p w14:paraId="175862FB" w14:textId="5C92D6A1" w:rsidR="0044798F" w:rsidRPr="004D1E55" w:rsidRDefault="0044798F" w:rsidP="00B93E58">
      <w:pPr>
        <w:spacing w:after="0" w:line="276" w:lineRule="auto"/>
        <w:jc w:val="center"/>
        <w:rPr>
          <w:noProof/>
        </w:rPr>
      </w:pPr>
    </w:p>
    <w:sectPr w:rsidR="0044798F" w:rsidRPr="004D1E5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0E719" w14:textId="77777777" w:rsidR="000F2A7A" w:rsidRDefault="000F2A7A" w:rsidP="004A1847">
      <w:pPr>
        <w:spacing w:after="0" w:line="240" w:lineRule="auto"/>
      </w:pPr>
      <w:r>
        <w:separator/>
      </w:r>
    </w:p>
  </w:endnote>
  <w:endnote w:type="continuationSeparator" w:id="0">
    <w:p w14:paraId="64B227C5" w14:textId="77777777" w:rsidR="000F2A7A" w:rsidRDefault="000F2A7A" w:rsidP="004A1847">
      <w:pPr>
        <w:spacing w:after="0" w:line="240" w:lineRule="auto"/>
      </w:pPr>
      <w:r>
        <w:continuationSeparator/>
      </w:r>
    </w:p>
  </w:endnote>
  <w:endnote w:type="continuationNotice" w:id="1">
    <w:p w14:paraId="77515AE5" w14:textId="77777777" w:rsidR="000F2A7A" w:rsidRDefault="000F2A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05795" w:rsidRDefault="00505795">
    <w:pPr>
      <w:pStyle w:val="Piedepgina"/>
    </w:pPr>
  </w:p>
  <w:p w14:paraId="594D6D9F" w14:textId="6E17AAA5"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B93E58" w:rsidRPr="00B93E58">
      <w:rPr>
        <w:rFonts w:ascii="Verdana" w:eastAsiaTheme="minorEastAsia" w:hAnsi="Verdana"/>
        <w:b/>
        <w:bCs/>
        <w:noProof/>
        <w:sz w:val="16"/>
        <w:szCs w:val="16"/>
      </w:rPr>
      <w:t>34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8AFB9" w14:textId="77777777" w:rsidR="000F2A7A" w:rsidRDefault="000F2A7A" w:rsidP="004A1847">
      <w:pPr>
        <w:spacing w:after="0" w:line="240" w:lineRule="auto"/>
      </w:pPr>
      <w:r>
        <w:separator/>
      </w:r>
    </w:p>
  </w:footnote>
  <w:footnote w:type="continuationSeparator" w:id="0">
    <w:p w14:paraId="5DDE7872" w14:textId="77777777" w:rsidR="000F2A7A" w:rsidRDefault="000F2A7A" w:rsidP="004A1847">
      <w:pPr>
        <w:spacing w:after="0" w:line="240" w:lineRule="auto"/>
      </w:pPr>
      <w:r>
        <w:continuationSeparator/>
      </w:r>
    </w:p>
  </w:footnote>
  <w:footnote w:type="continuationNotice" w:id="1">
    <w:p w14:paraId="626F465E" w14:textId="77777777" w:rsidR="000F2A7A" w:rsidRDefault="000F2A7A">
      <w:pPr>
        <w:spacing w:after="0" w:line="240" w:lineRule="auto"/>
      </w:pPr>
    </w:p>
  </w:footnote>
  <w:footnote w:id="2">
    <w:p w14:paraId="20F7647C" w14:textId="77777777" w:rsidR="00505795" w:rsidRPr="00310E5C" w:rsidRDefault="00505795" w:rsidP="003A40E2">
      <w:pPr>
        <w:pStyle w:val="Textonotapie"/>
        <w:ind w:firstLine="709"/>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w:t>
      </w:r>
      <w:r w:rsidRPr="00310E5C">
        <w:rPr>
          <w:rFonts w:ascii="Verdana" w:hAnsi="Verdana" w:cs="Arial"/>
          <w:sz w:val="16"/>
          <w:szCs w:val="16"/>
        </w:rPr>
        <w:t xml:space="preserve">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26F969A" w14:textId="57848C36" w:rsidR="00505795" w:rsidRPr="00310E5C" w:rsidRDefault="00505795" w:rsidP="00B93E58">
      <w:pPr>
        <w:pStyle w:val="Textonotapie"/>
        <w:ind w:firstLine="709"/>
        <w:jc w:val="both"/>
        <w:rPr>
          <w:rFonts w:ascii="Verdana" w:hAnsi="Verdana" w:cs="Arial"/>
          <w:sz w:val="16"/>
          <w:szCs w:val="16"/>
        </w:rPr>
      </w:pPr>
      <w:r w:rsidRPr="00310E5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DF17992" w14:textId="77777777" w:rsidR="00505795" w:rsidRPr="00310E5C" w:rsidRDefault="00505795" w:rsidP="003A40E2">
      <w:pPr>
        <w:pStyle w:val="Textonotapie"/>
        <w:ind w:firstLine="709"/>
        <w:jc w:val="both"/>
        <w:rPr>
          <w:rFonts w:ascii="Verdana"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Gaceta del Congreso de la República No. 71 del 2005.</w:t>
      </w:r>
    </w:p>
  </w:footnote>
  <w:footnote w:id="4">
    <w:p w14:paraId="43D1B7E5" w14:textId="77777777" w:rsidR="00505795" w:rsidRPr="00310E5C" w:rsidRDefault="00505795" w:rsidP="003A40E2">
      <w:pPr>
        <w:pStyle w:val="Textonotapie"/>
        <w:ind w:firstLine="709"/>
        <w:jc w:val="both"/>
        <w:rPr>
          <w:rFonts w:ascii="Verdana" w:hAnsi="Verdana" w:cs="Arial"/>
          <w:sz w:val="16"/>
          <w:szCs w:val="16"/>
          <w:lang w:val="pt-BR"/>
        </w:rPr>
      </w:pPr>
      <w:r w:rsidRPr="00310E5C">
        <w:rPr>
          <w:rStyle w:val="Refdenotaalpie"/>
          <w:rFonts w:ascii="Verdana" w:hAnsi="Verdana" w:cs="Arial"/>
          <w:sz w:val="16"/>
          <w:szCs w:val="16"/>
        </w:rPr>
        <w:footnoteRef/>
      </w:r>
      <w:r w:rsidRPr="00310E5C">
        <w:rPr>
          <w:rFonts w:ascii="Verdana" w:hAnsi="Verdana" w:cs="Arial"/>
          <w:sz w:val="16"/>
          <w:szCs w:val="16"/>
          <w:lang w:val="pt-BR"/>
        </w:rPr>
        <w:t xml:space="preserve"> Corte Constitucional, Sentencia C- 1153 de 2005, M.P. Marco Gerardo Monroy Cabra.</w:t>
      </w:r>
    </w:p>
  </w:footnote>
  <w:footnote w:id="5">
    <w:p w14:paraId="199E03D6" w14:textId="23CDE6D8" w:rsidR="00505795" w:rsidRPr="00310E5C" w:rsidRDefault="00505795" w:rsidP="00B93E58">
      <w:pPr>
        <w:pStyle w:val="Textonotapie"/>
        <w:ind w:firstLine="709"/>
        <w:jc w:val="both"/>
        <w:rPr>
          <w:rFonts w:ascii="Verdana" w:hAnsi="Verdana" w:cs="Arial"/>
          <w:sz w:val="16"/>
          <w:szCs w:val="16"/>
          <w:lang w:val="pt-BR"/>
        </w:rPr>
      </w:pPr>
      <w:r w:rsidRPr="00310E5C">
        <w:rPr>
          <w:rStyle w:val="Refdenotaalpie"/>
          <w:rFonts w:ascii="Verdana" w:hAnsi="Verdana" w:cs="Arial"/>
          <w:sz w:val="16"/>
          <w:szCs w:val="16"/>
        </w:rPr>
        <w:footnoteRef/>
      </w:r>
      <w:r w:rsidRPr="00310E5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E05F8B0" w14:textId="77777777" w:rsidR="00505795" w:rsidRPr="00310E5C" w:rsidRDefault="00505795" w:rsidP="003A40E2">
      <w:pPr>
        <w:pStyle w:val="Textonotapie"/>
        <w:ind w:firstLine="709"/>
        <w:jc w:val="both"/>
        <w:rPr>
          <w:rFonts w:ascii="Verdana" w:hAnsi="Verdana" w:cs="Arial"/>
          <w:sz w:val="16"/>
          <w:szCs w:val="16"/>
          <w:lang w:val="es-CO"/>
        </w:rPr>
      </w:pPr>
      <w:r w:rsidRPr="00310E5C">
        <w:rPr>
          <w:rStyle w:val="Refdenotaalpie"/>
          <w:rFonts w:ascii="Verdana" w:hAnsi="Verdana" w:cs="Arial"/>
          <w:sz w:val="16"/>
          <w:szCs w:val="16"/>
        </w:rPr>
        <w:footnoteRef/>
      </w:r>
      <w:r w:rsidRPr="00310E5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250FB4C" w14:textId="77777777" w:rsidR="00505795" w:rsidRPr="00310E5C" w:rsidRDefault="00505795" w:rsidP="003A40E2">
      <w:pPr>
        <w:pStyle w:val="Textonotapie"/>
        <w:ind w:firstLine="709"/>
        <w:jc w:val="both"/>
        <w:rPr>
          <w:rFonts w:ascii="Verdana"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Consejo de Estado, Sala de Consulta y Servicio Civil de fecha 24 de julio de 2013, radicado 2166, C. P. Álvaro Namén Vargas.  </w:t>
      </w:r>
    </w:p>
  </w:footnote>
  <w:footnote w:id="8">
    <w:p w14:paraId="47C555BF" w14:textId="77777777" w:rsidR="00505795" w:rsidRPr="00310E5C" w:rsidRDefault="00505795" w:rsidP="003A40E2">
      <w:pPr>
        <w:spacing w:after="0" w:line="240" w:lineRule="auto"/>
        <w:ind w:firstLine="709"/>
        <w:jc w:val="both"/>
        <w:rPr>
          <w:rFonts w:ascii="Verdana" w:eastAsia="Times New Roman" w:hAnsi="Verdana" w:cs="Arial"/>
          <w:sz w:val="16"/>
          <w:szCs w:val="16"/>
        </w:rPr>
      </w:pPr>
      <w:r w:rsidRPr="00310E5C">
        <w:rPr>
          <w:rStyle w:val="Refdenotaalpie"/>
          <w:rFonts w:ascii="Verdana" w:hAnsi="Verdana" w:cs="Arial"/>
          <w:sz w:val="16"/>
          <w:szCs w:val="16"/>
        </w:rPr>
        <w:footnoteRef/>
      </w:r>
      <w:r w:rsidRPr="00310E5C">
        <w:rPr>
          <w:rFonts w:ascii="Verdana" w:hAnsi="Verdana" w:cs="Arial"/>
          <w:sz w:val="16"/>
          <w:szCs w:val="16"/>
        </w:rPr>
        <w:t xml:space="preserve"> </w:t>
      </w:r>
      <w:bookmarkStart w:id="6" w:name="33"/>
      <w:r w:rsidRPr="00310E5C">
        <w:rPr>
          <w:rFonts w:ascii="Verdana" w:eastAsia="Calibri" w:hAnsi="Verdana" w:cs="Arial"/>
          <w:color w:val="000000"/>
          <w:sz w:val="16"/>
          <w:szCs w:val="16"/>
        </w:rPr>
        <w:t>“</w:t>
      </w:r>
      <w:r w:rsidRPr="00310E5C">
        <w:rPr>
          <w:rFonts w:ascii="Verdana" w:eastAsia="Times New Roman" w:hAnsi="Verdana" w:cs="Arial"/>
          <w:sz w:val="16"/>
          <w:szCs w:val="16"/>
        </w:rPr>
        <w:t>Artículo 33. Restricciones a la contratación pública.</w:t>
      </w:r>
      <w:bookmarkEnd w:id="6"/>
      <w:r w:rsidRPr="00310E5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87750A2" w14:textId="77777777" w:rsidR="00505795" w:rsidRPr="00310E5C" w:rsidRDefault="00505795" w:rsidP="003A40E2">
      <w:pPr>
        <w:spacing w:after="0" w:line="240" w:lineRule="auto"/>
        <w:ind w:firstLine="709"/>
        <w:jc w:val="both"/>
        <w:rPr>
          <w:rFonts w:ascii="Verdana" w:eastAsia="Times New Roman" w:hAnsi="Verdana" w:cs="Arial"/>
          <w:sz w:val="16"/>
          <w:szCs w:val="16"/>
        </w:rPr>
      </w:pPr>
      <w:r w:rsidRPr="00310E5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310E5C">
        <w:rPr>
          <w:rFonts w:ascii="Verdana" w:eastAsia="Calibri" w:hAnsi="Verdana" w:cs="Arial"/>
          <w:color w:val="000000"/>
          <w:sz w:val="16"/>
          <w:szCs w:val="16"/>
        </w:rPr>
        <w:t>”</w:t>
      </w:r>
      <w:r w:rsidRPr="00310E5C">
        <w:rPr>
          <w:rFonts w:ascii="Verdana" w:eastAsia="Times New Roman" w:hAnsi="Verdana" w:cs="Arial"/>
          <w:sz w:val="16"/>
          <w:szCs w:val="16"/>
        </w:rPr>
        <w:t>.</w:t>
      </w:r>
    </w:p>
    <w:p w14:paraId="145D454D" w14:textId="77777777" w:rsidR="00505795" w:rsidRPr="00310E5C" w:rsidRDefault="00505795" w:rsidP="003A40E2">
      <w:pPr>
        <w:spacing w:after="0" w:line="240" w:lineRule="auto"/>
        <w:ind w:firstLine="709"/>
        <w:jc w:val="both"/>
        <w:rPr>
          <w:rFonts w:ascii="Verdana" w:eastAsia="Times New Roman" w:hAnsi="Verdana" w:cs="Arial"/>
          <w:sz w:val="16"/>
          <w:szCs w:val="16"/>
        </w:rPr>
      </w:pPr>
    </w:p>
  </w:footnote>
  <w:footnote w:id="9">
    <w:p w14:paraId="5938448F" w14:textId="77777777" w:rsidR="00505795" w:rsidRPr="00310E5C" w:rsidRDefault="00505795" w:rsidP="003A40E2">
      <w:pPr>
        <w:pStyle w:val="NormalWeb"/>
        <w:spacing w:before="0" w:beforeAutospacing="0" w:after="0" w:afterAutospacing="0"/>
        <w:ind w:firstLine="709"/>
        <w:jc w:val="both"/>
        <w:rPr>
          <w:rFonts w:ascii="Verdana" w:hAnsi="Verdana" w:cs="Arial"/>
          <w:sz w:val="16"/>
          <w:szCs w:val="16"/>
          <w:lang w:val="es-MX"/>
        </w:rPr>
      </w:pPr>
      <w:r w:rsidRPr="00310E5C">
        <w:rPr>
          <w:rStyle w:val="Refdenotaalpie"/>
          <w:rFonts w:ascii="Verdana" w:hAnsi="Verdana" w:cs="Arial"/>
          <w:sz w:val="16"/>
          <w:szCs w:val="16"/>
        </w:rPr>
        <w:footnoteRef/>
      </w:r>
      <w:r w:rsidRPr="00310E5C">
        <w:rPr>
          <w:rFonts w:ascii="Verdana" w:hAnsi="Verdana" w:cs="Arial"/>
          <w:sz w:val="16"/>
          <w:szCs w:val="16"/>
        </w:rPr>
        <w:t xml:space="preserve"> </w:t>
      </w:r>
      <w:bookmarkStart w:id="7" w:name="38"/>
      <w:r w:rsidRPr="00310E5C">
        <w:rPr>
          <w:rFonts w:ascii="Verdana" w:eastAsia="Calibri" w:hAnsi="Verdana" w:cs="Arial"/>
          <w:color w:val="000000"/>
          <w:sz w:val="16"/>
          <w:szCs w:val="16"/>
        </w:rPr>
        <w:t>“</w:t>
      </w:r>
      <w:r w:rsidRPr="00310E5C">
        <w:rPr>
          <w:rFonts w:ascii="Verdana" w:hAnsi="Verdana" w:cs="Arial"/>
          <w:sz w:val="16"/>
          <w:szCs w:val="16"/>
          <w:lang w:val="es-MX"/>
        </w:rPr>
        <w:t>Artículo 38. Prohibiciones para los servidores públicos. A los empleados del Estado les está prohibido:</w:t>
      </w:r>
      <w:bookmarkEnd w:id="7"/>
      <w:r w:rsidRPr="00310E5C">
        <w:rPr>
          <w:rFonts w:ascii="Verdana" w:hAnsi="Verdana" w:cs="Arial"/>
          <w:sz w:val="16"/>
          <w:szCs w:val="16"/>
          <w:lang w:val="es-MX"/>
        </w:rPr>
        <w:t xml:space="preserve"> […]</w:t>
      </w:r>
    </w:p>
    <w:p w14:paraId="5F737299" w14:textId="10B1A22E" w:rsidR="00505795" w:rsidRPr="00310E5C" w:rsidRDefault="00505795" w:rsidP="003A40E2">
      <w:pPr>
        <w:pStyle w:val="NormalWeb"/>
        <w:spacing w:before="0" w:beforeAutospacing="0" w:after="0" w:afterAutospacing="0"/>
        <w:ind w:firstLine="709"/>
        <w:jc w:val="both"/>
        <w:rPr>
          <w:rFonts w:ascii="Verdana" w:hAnsi="Verdana" w:cs="Arial"/>
          <w:sz w:val="16"/>
          <w:szCs w:val="16"/>
          <w:lang w:val="es-MX"/>
        </w:rPr>
      </w:pPr>
      <w:r w:rsidRPr="00310E5C">
        <w:rPr>
          <w:rStyle w:val="baj"/>
          <w:rFonts w:ascii="Verdana" w:hAnsi="Verdana" w:cs="Arial"/>
          <w:sz w:val="16"/>
          <w:szCs w:val="16"/>
          <w:lang w:val="es-MX"/>
        </w:rPr>
        <w:t>Parágrafo.</w:t>
      </w:r>
      <w:r w:rsidRPr="00310E5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10E5C">
        <w:rPr>
          <w:rFonts w:ascii="Verdana" w:eastAsia="Calibri" w:hAnsi="Verdana" w:cs="Arial"/>
          <w:color w:val="000000"/>
          <w:sz w:val="16"/>
          <w:szCs w:val="16"/>
        </w:rPr>
        <w:t>”</w:t>
      </w:r>
      <w:r w:rsidR="006B4CA3">
        <w:rPr>
          <w:rFonts w:ascii="Verdana" w:hAnsi="Verdana" w:cs="Arial"/>
          <w:sz w:val="16"/>
          <w:szCs w:val="16"/>
          <w:lang w:val="es-MX"/>
        </w:rPr>
        <w:t>.</w:t>
      </w:r>
    </w:p>
  </w:footnote>
  <w:footnote w:id="10">
    <w:p w14:paraId="6B004114" w14:textId="77777777" w:rsidR="00505795" w:rsidRPr="00310E5C" w:rsidRDefault="00505795" w:rsidP="003A40E2">
      <w:pPr>
        <w:spacing w:after="0" w:line="240" w:lineRule="auto"/>
        <w:ind w:left="100" w:right="244" w:firstLine="709"/>
        <w:jc w:val="both"/>
        <w:rPr>
          <w:rFonts w:ascii="Verdana" w:hAnsi="Verdana" w:cs="Arial"/>
          <w:sz w:val="16"/>
          <w:szCs w:val="16"/>
          <w:lang w:val="es-ES"/>
        </w:rPr>
      </w:pPr>
      <w:r w:rsidRPr="00310E5C">
        <w:rPr>
          <w:rStyle w:val="Refdenotaalpie"/>
          <w:rFonts w:ascii="Verdana" w:hAnsi="Verdana" w:cs="Arial"/>
          <w:sz w:val="16"/>
          <w:szCs w:val="16"/>
        </w:rPr>
        <w:footnoteRef/>
      </w:r>
      <w:r w:rsidRPr="00310E5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4pt;height:11.4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577668375">
    <w:abstractNumId w:val="13"/>
  </w:num>
  <w:num w:numId="2" w16cid:durableId="1452087678">
    <w:abstractNumId w:val="3"/>
  </w:num>
  <w:num w:numId="3" w16cid:durableId="1600328616">
    <w:abstractNumId w:val="11"/>
  </w:num>
  <w:num w:numId="4" w16cid:durableId="15327217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504395">
    <w:abstractNumId w:val="3"/>
  </w:num>
  <w:num w:numId="6" w16cid:durableId="672144935">
    <w:abstractNumId w:val="26"/>
  </w:num>
  <w:num w:numId="7" w16cid:durableId="542910905">
    <w:abstractNumId w:val="12"/>
  </w:num>
  <w:num w:numId="8" w16cid:durableId="693271301">
    <w:abstractNumId w:val="25"/>
  </w:num>
  <w:num w:numId="9" w16cid:durableId="1741559956">
    <w:abstractNumId w:val="14"/>
  </w:num>
  <w:num w:numId="10" w16cid:durableId="437527260">
    <w:abstractNumId w:val="24"/>
  </w:num>
  <w:num w:numId="11" w16cid:durableId="827594929">
    <w:abstractNumId w:val="15"/>
  </w:num>
  <w:num w:numId="12" w16cid:durableId="1148018003">
    <w:abstractNumId w:val="1"/>
  </w:num>
  <w:num w:numId="13" w16cid:durableId="747385034">
    <w:abstractNumId w:val="8"/>
  </w:num>
  <w:num w:numId="14" w16cid:durableId="147408369">
    <w:abstractNumId w:val="27"/>
  </w:num>
  <w:num w:numId="15" w16cid:durableId="2052920088">
    <w:abstractNumId w:val="23"/>
  </w:num>
  <w:num w:numId="16" w16cid:durableId="199217643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8899684">
    <w:abstractNumId w:val="4"/>
  </w:num>
  <w:num w:numId="18" w16cid:durableId="1886600675">
    <w:abstractNumId w:val="22"/>
  </w:num>
  <w:num w:numId="19" w16cid:durableId="1169901770">
    <w:abstractNumId w:val="10"/>
  </w:num>
  <w:num w:numId="20" w16cid:durableId="200673662">
    <w:abstractNumId w:val="16"/>
  </w:num>
  <w:num w:numId="21" w16cid:durableId="790588832">
    <w:abstractNumId w:val="28"/>
  </w:num>
  <w:num w:numId="22" w16cid:durableId="2030792491">
    <w:abstractNumId w:val="19"/>
  </w:num>
  <w:num w:numId="23" w16cid:durableId="168718835">
    <w:abstractNumId w:val="7"/>
  </w:num>
  <w:num w:numId="24" w16cid:durableId="585840674">
    <w:abstractNumId w:val="17"/>
  </w:num>
  <w:num w:numId="25" w16cid:durableId="203518212">
    <w:abstractNumId w:val="2"/>
  </w:num>
  <w:num w:numId="26" w16cid:durableId="625935432">
    <w:abstractNumId w:val="5"/>
  </w:num>
  <w:num w:numId="27" w16cid:durableId="1530794593">
    <w:abstractNumId w:val="20"/>
  </w:num>
  <w:num w:numId="28" w16cid:durableId="226192536">
    <w:abstractNumId w:val="6"/>
  </w:num>
  <w:num w:numId="29" w16cid:durableId="1750348805">
    <w:abstractNumId w:val="9"/>
  </w:num>
  <w:num w:numId="30" w16cid:durableId="255288685">
    <w:abstractNumId w:val="0"/>
  </w:num>
  <w:num w:numId="31" w16cid:durableId="303970704">
    <w:abstractNumId w:val="18"/>
  </w:num>
  <w:num w:numId="32" w16cid:durableId="16068386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24F2"/>
    <w:rsid w:val="00023C3E"/>
    <w:rsid w:val="0002653B"/>
    <w:rsid w:val="00034682"/>
    <w:rsid w:val="00035E21"/>
    <w:rsid w:val="00042856"/>
    <w:rsid w:val="0004434A"/>
    <w:rsid w:val="0005281E"/>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3001"/>
    <w:rsid w:val="000C2889"/>
    <w:rsid w:val="000C3673"/>
    <w:rsid w:val="000C538B"/>
    <w:rsid w:val="000D0152"/>
    <w:rsid w:val="000D0334"/>
    <w:rsid w:val="000D0B4D"/>
    <w:rsid w:val="000D3B29"/>
    <w:rsid w:val="000E06F4"/>
    <w:rsid w:val="000E1AC7"/>
    <w:rsid w:val="000E4CE4"/>
    <w:rsid w:val="000F2A7A"/>
    <w:rsid w:val="000F6486"/>
    <w:rsid w:val="000F669F"/>
    <w:rsid w:val="001063B3"/>
    <w:rsid w:val="00107ACA"/>
    <w:rsid w:val="001114A9"/>
    <w:rsid w:val="00111979"/>
    <w:rsid w:val="00116537"/>
    <w:rsid w:val="00120766"/>
    <w:rsid w:val="00122FA6"/>
    <w:rsid w:val="001240BD"/>
    <w:rsid w:val="00125105"/>
    <w:rsid w:val="001268F7"/>
    <w:rsid w:val="00127233"/>
    <w:rsid w:val="001372FC"/>
    <w:rsid w:val="00143E81"/>
    <w:rsid w:val="00143FD9"/>
    <w:rsid w:val="00145047"/>
    <w:rsid w:val="00146C57"/>
    <w:rsid w:val="00150ADA"/>
    <w:rsid w:val="001569A8"/>
    <w:rsid w:val="0016332F"/>
    <w:rsid w:val="0016642E"/>
    <w:rsid w:val="001717E9"/>
    <w:rsid w:val="0017238A"/>
    <w:rsid w:val="001800BA"/>
    <w:rsid w:val="00180A30"/>
    <w:rsid w:val="00185EE9"/>
    <w:rsid w:val="00187F79"/>
    <w:rsid w:val="00196F32"/>
    <w:rsid w:val="00197274"/>
    <w:rsid w:val="001A0B04"/>
    <w:rsid w:val="001A237A"/>
    <w:rsid w:val="001A26CF"/>
    <w:rsid w:val="001A2919"/>
    <w:rsid w:val="001B2CFE"/>
    <w:rsid w:val="001C222E"/>
    <w:rsid w:val="001C22F9"/>
    <w:rsid w:val="001D1C29"/>
    <w:rsid w:val="001D2CCC"/>
    <w:rsid w:val="001E3C06"/>
    <w:rsid w:val="001E4177"/>
    <w:rsid w:val="001F0A0F"/>
    <w:rsid w:val="001F218E"/>
    <w:rsid w:val="001F4EFD"/>
    <w:rsid w:val="001F5E13"/>
    <w:rsid w:val="001F6D11"/>
    <w:rsid w:val="001F7DC6"/>
    <w:rsid w:val="00202886"/>
    <w:rsid w:val="00205784"/>
    <w:rsid w:val="00210946"/>
    <w:rsid w:val="00213510"/>
    <w:rsid w:val="0021372A"/>
    <w:rsid w:val="00215CEF"/>
    <w:rsid w:val="00217A08"/>
    <w:rsid w:val="00220B77"/>
    <w:rsid w:val="00221D27"/>
    <w:rsid w:val="00237233"/>
    <w:rsid w:val="002421BB"/>
    <w:rsid w:val="00245707"/>
    <w:rsid w:val="00246A81"/>
    <w:rsid w:val="00251A5F"/>
    <w:rsid w:val="00252B30"/>
    <w:rsid w:val="0025796E"/>
    <w:rsid w:val="002603E5"/>
    <w:rsid w:val="002638B2"/>
    <w:rsid w:val="002660F2"/>
    <w:rsid w:val="002664BB"/>
    <w:rsid w:val="00266D24"/>
    <w:rsid w:val="002707A2"/>
    <w:rsid w:val="00277150"/>
    <w:rsid w:val="002826F0"/>
    <w:rsid w:val="002835A6"/>
    <w:rsid w:val="002844ED"/>
    <w:rsid w:val="00286FAD"/>
    <w:rsid w:val="002951A0"/>
    <w:rsid w:val="002962BC"/>
    <w:rsid w:val="002A093D"/>
    <w:rsid w:val="002A0DD0"/>
    <w:rsid w:val="002A1D2F"/>
    <w:rsid w:val="002A49AC"/>
    <w:rsid w:val="002A64FD"/>
    <w:rsid w:val="002A6BBF"/>
    <w:rsid w:val="002B1E57"/>
    <w:rsid w:val="002B1F7F"/>
    <w:rsid w:val="002B290B"/>
    <w:rsid w:val="002B61F2"/>
    <w:rsid w:val="002B7233"/>
    <w:rsid w:val="002B7AD9"/>
    <w:rsid w:val="002C110E"/>
    <w:rsid w:val="002C379A"/>
    <w:rsid w:val="002C765E"/>
    <w:rsid w:val="002C7A84"/>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4C6A"/>
    <w:rsid w:val="00336C05"/>
    <w:rsid w:val="003409C8"/>
    <w:rsid w:val="00342675"/>
    <w:rsid w:val="00343512"/>
    <w:rsid w:val="003448F4"/>
    <w:rsid w:val="00345330"/>
    <w:rsid w:val="00350480"/>
    <w:rsid w:val="003522B9"/>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6D13"/>
    <w:rsid w:val="00391392"/>
    <w:rsid w:val="00392A49"/>
    <w:rsid w:val="00393812"/>
    <w:rsid w:val="003A26D1"/>
    <w:rsid w:val="003A3B30"/>
    <w:rsid w:val="003A40E2"/>
    <w:rsid w:val="003A477B"/>
    <w:rsid w:val="003A779E"/>
    <w:rsid w:val="003B005A"/>
    <w:rsid w:val="003B0636"/>
    <w:rsid w:val="003B6385"/>
    <w:rsid w:val="003B78C4"/>
    <w:rsid w:val="003C3FA5"/>
    <w:rsid w:val="003D0F4D"/>
    <w:rsid w:val="003D1B5E"/>
    <w:rsid w:val="003D5B0D"/>
    <w:rsid w:val="003E0499"/>
    <w:rsid w:val="003E40F2"/>
    <w:rsid w:val="003E7EAA"/>
    <w:rsid w:val="003F3941"/>
    <w:rsid w:val="00400676"/>
    <w:rsid w:val="004008A9"/>
    <w:rsid w:val="0040480E"/>
    <w:rsid w:val="00406575"/>
    <w:rsid w:val="004069AB"/>
    <w:rsid w:val="00410906"/>
    <w:rsid w:val="0041655A"/>
    <w:rsid w:val="00426FD7"/>
    <w:rsid w:val="0042722E"/>
    <w:rsid w:val="00427DA0"/>
    <w:rsid w:val="00440391"/>
    <w:rsid w:val="004405A4"/>
    <w:rsid w:val="004426AD"/>
    <w:rsid w:val="00442C7F"/>
    <w:rsid w:val="0044528D"/>
    <w:rsid w:val="0044798F"/>
    <w:rsid w:val="00450920"/>
    <w:rsid w:val="004530EA"/>
    <w:rsid w:val="00454D48"/>
    <w:rsid w:val="004554F9"/>
    <w:rsid w:val="0046004D"/>
    <w:rsid w:val="00461A6A"/>
    <w:rsid w:val="004633DE"/>
    <w:rsid w:val="00465E71"/>
    <w:rsid w:val="00466040"/>
    <w:rsid w:val="00471654"/>
    <w:rsid w:val="004734BD"/>
    <w:rsid w:val="00475854"/>
    <w:rsid w:val="00480BAF"/>
    <w:rsid w:val="00482608"/>
    <w:rsid w:val="00483749"/>
    <w:rsid w:val="00484809"/>
    <w:rsid w:val="00484BB1"/>
    <w:rsid w:val="00495DCA"/>
    <w:rsid w:val="004A0980"/>
    <w:rsid w:val="004A0B8B"/>
    <w:rsid w:val="004A1847"/>
    <w:rsid w:val="004A305D"/>
    <w:rsid w:val="004A3312"/>
    <w:rsid w:val="004A66E3"/>
    <w:rsid w:val="004B01B2"/>
    <w:rsid w:val="004B740F"/>
    <w:rsid w:val="004C28C6"/>
    <w:rsid w:val="004C4B37"/>
    <w:rsid w:val="004D026D"/>
    <w:rsid w:val="004D1E55"/>
    <w:rsid w:val="004D23A7"/>
    <w:rsid w:val="004E221E"/>
    <w:rsid w:val="004E2892"/>
    <w:rsid w:val="004E4C0B"/>
    <w:rsid w:val="004E505B"/>
    <w:rsid w:val="004E7CE7"/>
    <w:rsid w:val="004F21C4"/>
    <w:rsid w:val="004F3012"/>
    <w:rsid w:val="004F3B9E"/>
    <w:rsid w:val="004F5559"/>
    <w:rsid w:val="004F685F"/>
    <w:rsid w:val="004F7EC9"/>
    <w:rsid w:val="00504CBE"/>
    <w:rsid w:val="00505795"/>
    <w:rsid w:val="00514598"/>
    <w:rsid w:val="005163B5"/>
    <w:rsid w:val="0052543A"/>
    <w:rsid w:val="00525FDB"/>
    <w:rsid w:val="0052785C"/>
    <w:rsid w:val="00533E1B"/>
    <w:rsid w:val="00540C2D"/>
    <w:rsid w:val="0054335F"/>
    <w:rsid w:val="00552502"/>
    <w:rsid w:val="00554BD4"/>
    <w:rsid w:val="005566E8"/>
    <w:rsid w:val="00560CB5"/>
    <w:rsid w:val="00564F8B"/>
    <w:rsid w:val="00574122"/>
    <w:rsid w:val="00574867"/>
    <w:rsid w:val="00577D09"/>
    <w:rsid w:val="0058087F"/>
    <w:rsid w:val="00591460"/>
    <w:rsid w:val="00592628"/>
    <w:rsid w:val="00597C75"/>
    <w:rsid w:val="005A0868"/>
    <w:rsid w:val="005A0CFB"/>
    <w:rsid w:val="005A282F"/>
    <w:rsid w:val="005A2AC9"/>
    <w:rsid w:val="005A6C21"/>
    <w:rsid w:val="005B2CCE"/>
    <w:rsid w:val="005B58C1"/>
    <w:rsid w:val="005B6033"/>
    <w:rsid w:val="005C3777"/>
    <w:rsid w:val="005C5CDC"/>
    <w:rsid w:val="005D17C8"/>
    <w:rsid w:val="005D2B2B"/>
    <w:rsid w:val="005D476C"/>
    <w:rsid w:val="005D5F91"/>
    <w:rsid w:val="005D7B25"/>
    <w:rsid w:val="005E6B74"/>
    <w:rsid w:val="005F3CE0"/>
    <w:rsid w:val="005F7C43"/>
    <w:rsid w:val="00601DFC"/>
    <w:rsid w:val="00605A00"/>
    <w:rsid w:val="00610812"/>
    <w:rsid w:val="00612CE7"/>
    <w:rsid w:val="00615F46"/>
    <w:rsid w:val="0062005D"/>
    <w:rsid w:val="006219F8"/>
    <w:rsid w:val="0063165E"/>
    <w:rsid w:val="00632C08"/>
    <w:rsid w:val="00650FF7"/>
    <w:rsid w:val="00656421"/>
    <w:rsid w:val="00660F6A"/>
    <w:rsid w:val="00663B19"/>
    <w:rsid w:val="00665032"/>
    <w:rsid w:val="00665D70"/>
    <w:rsid w:val="00671DAC"/>
    <w:rsid w:val="006747C7"/>
    <w:rsid w:val="006827AC"/>
    <w:rsid w:val="006859A3"/>
    <w:rsid w:val="006900D9"/>
    <w:rsid w:val="006920AE"/>
    <w:rsid w:val="00697B17"/>
    <w:rsid w:val="006A0008"/>
    <w:rsid w:val="006A10DF"/>
    <w:rsid w:val="006A3147"/>
    <w:rsid w:val="006B14B5"/>
    <w:rsid w:val="006B25DE"/>
    <w:rsid w:val="006B4CA3"/>
    <w:rsid w:val="006C0240"/>
    <w:rsid w:val="006C238E"/>
    <w:rsid w:val="006C5595"/>
    <w:rsid w:val="006D12F8"/>
    <w:rsid w:val="006D4E33"/>
    <w:rsid w:val="006E41C6"/>
    <w:rsid w:val="006F0D40"/>
    <w:rsid w:val="006F2501"/>
    <w:rsid w:val="00700975"/>
    <w:rsid w:val="00704D9B"/>
    <w:rsid w:val="00705E5F"/>
    <w:rsid w:val="00706C16"/>
    <w:rsid w:val="00711C85"/>
    <w:rsid w:val="0071458F"/>
    <w:rsid w:val="0071627C"/>
    <w:rsid w:val="00723A7F"/>
    <w:rsid w:val="00723F2B"/>
    <w:rsid w:val="007312C3"/>
    <w:rsid w:val="00737C53"/>
    <w:rsid w:val="00737DFA"/>
    <w:rsid w:val="007534CA"/>
    <w:rsid w:val="00756841"/>
    <w:rsid w:val="0076066F"/>
    <w:rsid w:val="00762AA9"/>
    <w:rsid w:val="007649AB"/>
    <w:rsid w:val="007670E3"/>
    <w:rsid w:val="00771D0C"/>
    <w:rsid w:val="00771FD2"/>
    <w:rsid w:val="0078274D"/>
    <w:rsid w:val="007833AC"/>
    <w:rsid w:val="00784D58"/>
    <w:rsid w:val="00786FBF"/>
    <w:rsid w:val="00790AB7"/>
    <w:rsid w:val="007913EA"/>
    <w:rsid w:val="00791769"/>
    <w:rsid w:val="00796340"/>
    <w:rsid w:val="007A23EA"/>
    <w:rsid w:val="007A5189"/>
    <w:rsid w:val="007B0D88"/>
    <w:rsid w:val="007B268C"/>
    <w:rsid w:val="007B7171"/>
    <w:rsid w:val="007B7D02"/>
    <w:rsid w:val="007C0C0F"/>
    <w:rsid w:val="007C2E67"/>
    <w:rsid w:val="007C3DC2"/>
    <w:rsid w:val="007C4E2B"/>
    <w:rsid w:val="007D0457"/>
    <w:rsid w:val="007D124A"/>
    <w:rsid w:val="007D43C9"/>
    <w:rsid w:val="007E5497"/>
    <w:rsid w:val="007F28CA"/>
    <w:rsid w:val="007F52A4"/>
    <w:rsid w:val="007F60FB"/>
    <w:rsid w:val="007F7B94"/>
    <w:rsid w:val="00800789"/>
    <w:rsid w:val="00804981"/>
    <w:rsid w:val="00806F5F"/>
    <w:rsid w:val="00811270"/>
    <w:rsid w:val="00811E4F"/>
    <w:rsid w:val="008163D7"/>
    <w:rsid w:val="00820278"/>
    <w:rsid w:val="00834554"/>
    <w:rsid w:val="00834B31"/>
    <w:rsid w:val="00840ADC"/>
    <w:rsid w:val="00841A23"/>
    <w:rsid w:val="00843902"/>
    <w:rsid w:val="00843928"/>
    <w:rsid w:val="00843BF7"/>
    <w:rsid w:val="008449B3"/>
    <w:rsid w:val="00846276"/>
    <w:rsid w:val="00850E23"/>
    <w:rsid w:val="00851137"/>
    <w:rsid w:val="00853978"/>
    <w:rsid w:val="0085432F"/>
    <w:rsid w:val="00856C43"/>
    <w:rsid w:val="00864209"/>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7A64"/>
    <w:rsid w:val="008A7F08"/>
    <w:rsid w:val="008B2F0E"/>
    <w:rsid w:val="008B5A2E"/>
    <w:rsid w:val="008D180B"/>
    <w:rsid w:val="008D1BDB"/>
    <w:rsid w:val="008D6CDA"/>
    <w:rsid w:val="008D7227"/>
    <w:rsid w:val="008E1F92"/>
    <w:rsid w:val="008E7333"/>
    <w:rsid w:val="008E7B09"/>
    <w:rsid w:val="008F0EA7"/>
    <w:rsid w:val="008F1CA9"/>
    <w:rsid w:val="008F7BB9"/>
    <w:rsid w:val="00904692"/>
    <w:rsid w:val="00910097"/>
    <w:rsid w:val="00911C7C"/>
    <w:rsid w:val="0091561E"/>
    <w:rsid w:val="00920849"/>
    <w:rsid w:val="00922F57"/>
    <w:rsid w:val="00923EEF"/>
    <w:rsid w:val="009325CC"/>
    <w:rsid w:val="0093558D"/>
    <w:rsid w:val="009411F5"/>
    <w:rsid w:val="009419F9"/>
    <w:rsid w:val="00945B9F"/>
    <w:rsid w:val="00950BE2"/>
    <w:rsid w:val="00953AA4"/>
    <w:rsid w:val="00955305"/>
    <w:rsid w:val="0095685E"/>
    <w:rsid w:val="009572D9"/>
    <w:rsid w:val="009600D2"/>
    <w:rsid w:val="00961409"/>
    <w:rsid w:val="00961B09"/>
    <w:rsid w:val="00962300"/>
    <w:rsid w:val="00963AD4"/>
    <w:rsid w:val="00965334"/>
    <w:rsid w:val="0097093E"/>
    <w:rsid w:val="009725F1"/>
    <w:rsid w:val="00976025"/>
    <w:rsid w:val="00976F04"/>
    <w:rsid w:val="009800BE"/>
    <w:rsid w:val="00982E41"/>
    <w:rsid w:val="00983B79"/>
    <w:rsid w:val="00983EEA"/>
    <w:rsid w:val="00984649"/>
    <w:rsid w:val="009858BE"/>
    <w:rsid w:val="009A0DFA"/>
    <w:rsid w:val="009A3C2C"/>
    <w:rsid w:val="009A4A40"/>
    <w:rsid w:val="009B2D26"/>
    <w:rsid w:val="009B3595"/>
    <w:rsid w:val="009B5228"/>
    <w:rsid w:val="009B6C8C"/>
    <w:rsid w:val="009B780F"/>
    <w:rsid w:val="009C2DD0"/>
    <w:rsid w:val="009C3AC7"/>
    <w:rsid w:val="009C71FA"/>
    <w:rsid w:val="009C72E7"/>
    <w:rsid w:val="009D0555"/>
    <w:rsid w:val="009D1086"/>
    <w:rsid w:val="009D3058"/>
    <w:rsid w:val="009D3A11"/>
    <w:rsid w:val="009D44C4"/>
    <w:rsid w:val="009D5983"/>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6959"/>
    <w:rsid w:val="00A56FCA"/>
    <w:rsid w:val="00A6004A"/>
    <w:rsid w:val="00A613C2"/>
    <w:rsid w:val="00A7332E"/>
    <w:rsid w:val="00A745FA"/>
    <w:rsid w:val="00A74DE6"/>
    <w:rsid w:val="00A75866"/>
    <w:rsid w:val="00A8086A"/>
    <w:rsid w:val="00A80F32"/>
    <w:rsid w:val="00A828F1"/>
    <w:rsid w:val="00A830AD"/>
    <w:rsid w:val="00A87F7D"/>
    <w:rsid w:val="00A9244C"/>
    <w:rsid w:val="00A94D14"/>
    <w:rsid w:val="00A95106"/>
    <w:rsid w:val="00A95A1A"/>
    <w:rsid w:val="00AA1328"/>
    <w:rsid w:val="00AA23BB"/>
    <w:rsid w:val="00AB0ADB"/>
    <w:rsid w:val="00AB3FD1"/>
    <w:rsid w:val="00AC0DF9"/>
    <w:rsid w:val="00AC0EAB"/>
    <w:rsid w:val="00AC4701"/>
    <w:rsid w:val="00AC49A2"/>
    <w:rsid w:val="00AD73E2"/>
    <w:rsid w:val="00AE2631"/>
    <w:rsid w:val="00AE3D6C"/>
    <w:rsid w:val="00AF1BEC"/>
    <w:rsid w:val="00AF54CA"/>
    <w:rsid w:val="00B009B8"/>
    <w:rsid w:val="00B01B1A"/>
    <w:rsid w:val="00B0268A"/>
    <w:rsid w:val="00B0410F"/>
    <w:rsid w:val="00B07DDD"/>
    <w:rsid w:val="00B14E03"/>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72CD3"/>
    <w:rsid w:val="00B72FFF"/>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3D36"/>
    <w:rsid w:val="00BC4B34"/>
    <w:rsid w:val="00BC7498"/>
    <w:rsid w:val="00BD424C"/>
    <w:rsid w:val="00BD4BCA"/>
    <w:rsid w:val="00BD7F72"/>
    <w:rsid w:val="00BE03BC"/>
    <w:rsid w:val="00BE0A18"/>
    <w:rsid w:val="00BF0D99"/>
    <w:rsid w:val="00BF1201"/>
    <w:rsid w:val="00BF1D4A"/>
    <w:rsid w:val="00BF230F"/>
    <w:rsid w:val="00C002E3"/>
    <w:rsid w:val="00C012CC"/>
    <w:rsid w:val="00C04FB3"/>
    <w:rsid w:val="00C06C4F"/>
    <w:rsid w:val="00C147D0"/>
    <w:rsid w:val="00C159C1"/>
    <w:rsid w:val="00C16346"/>
    <w:rsid w:val="00C166F4"/>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E63"/>
    <w:rsid w:val="00C65D65"/>
    <w:rsid w:val="00C66D80"/>
    <w:rsid w:val="00C67703"/>
    <w:rsid w:val="00C7173F"/>
    <w:rsid w:val="00C730B6"/>
    <w:rsid w:val="00C7352F"/>
    <w:rsid w:val="00C7482D"/>
    <w:rsid w:val="00C754BE"/>
    <w:rsid w:val="00C76466"/>
    <w:rsid w:val="00C76B1C"/>
    <w:rsid w:val="00C82239"/>
    <w:rsid w:val="00C90209"/>
    <w:rsid w:val="00C915DD"/>
    <w:rsid w:val="00C91B94"/>
    <w:rsid w:val="00C92665"/>
    <w:rsid w:val="00CA4272"/>
    <w:rsid w:val="00CA6A9D"/>
    <w:rsid w:val="00CA7F6B"/>
    <w:rsid w:val="00CB6357"/>
    <w:rsid w:val="00CC0FA3"/>
    <w:rsid w:val="00CC1B26"/>
    <w:rsid w:val="00CC49F7"/>
    <w:rsid w:val="00CC54DB"/>
    <w:rsid w:val="00CC7787"/>
    <w:rsid w:val="00CD087D"/>
    <w:rsid w:val="00CD1796"/>
    <w:rsid w:val="00CD41CB"/>
    <w:rsid w:val="00CD5EE0"/>
    <w:rsid w:val="00CE02A2"/>
    <w:rsid w:val="00CE3273"/>
    <w:rsid w:val="00CE509A"/>
    <w:rsid w:val="00CE5414"/>
    <w:rsid w:val="00CF241F"/>
    <w:rsid w:val="00CF7826"/>
    <w:rsid w:val="00D0157A"/>
    <w:rsid w:val="00D036D8"/>
    <w:rsid w:val="00D038ED"/>
    <w:rsid w:val="00D06D26"/>
    <w:rsid w:val="00D07A67"/>
    <w:rsid w:val="00D10B75"/>
    <w:rsid w:val="00D13351"/>
    <w:rsid w:val="00D15E25"/>
    <w:rsid w:val="00D20368"/>
    <w:rsid w:val="00D22361"/>
    <w:rsid w:val="00D22598"/>
    <w:rsid w:val="00D26924"/>
    <w:rsid w:val="00D35468"/>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1A63"/>
    <w:rsid w:val="00D81D25"/>
    <w:rsid w:val="00D85C60"/>
    <w:rsid w:val="00D86C54"/>
    <w:rsid w:val="00D91F8B"/>
    <w:rsid w:val="00D94C40"/>
    <w:rsid w:val="00DA231B"/>
    <w:rsid w:val="00DA23A0"/>
    <w:rsid w:val="00DA7F66"/>
    <w:rsid w:val="00DB186F"/>
    <w:rsid w:val="00DB77B8"/>
    <w:rsid w:val="00DC39FC"/>
    <w:rsid w:val="00DC4385"/>
    <w:rsid w:val="00DC484F"/>
    <w:rsid w:val="00DC4C27"/>
    <w:rsid w:val="00DC51BC"/>
    <w:rsid w:val="00DC78A7"/>
    <w:rsid w:val="00DC793F"/>
    <w:rsid w:val="00DE3BDD"/>
    <w:rsid w:val="00DE4629"/>
    <w:rsid w:val="00DE58C9"/>
    <w:rsid w:val="00DE6EAA"/>
    <w:rsid w:val="00DF11FD"/>
    <w:rsid w:val="00DF5254"/>
    <w:rsid w:val="00E052F2"/>
    <w:rsid w:val="00E12426"/>
    <w:rsid w:val="00E14EB2"/>
    <w:rsid w:val="00E16408"/>
    <w:rsid w:val="00E20894"/>
    <w:rsid w:val="00E2397D"/>
    <w:rsid w:val="00E23B70"/>
    <w:rsid w:val="00E245AB"/>
    <w:rsid w:val="00E26239"/>
    <w:rsid w:val="00E2764C"/>
    <w:rsid w:val="00E27F2E"/>
    <w:rsid w:val="00E35539"/>
    <w:rsid w:val="00E413EA"/>
    <w:rsid w:val="00E47F28"/>
    <w:rsid w:val="00E50AFE"/>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E1AA8"/>
    <w:rsid w:val="00EE6DCD"/>
    <w:rsid w:val="00EF26C3"/>
    <w:rsid w:val="00EF419E"/>
    <w:rsid w:val="00EF489F"/>
    <w:rsid w:val="00F00796"/>
    <w:rsid w:val="00F11213"/>
    <w:rsid w:val="00F11BAA"/>
    <w:rsid w:val="00F177C1"/>
    <w:rsid w:val="00F17EB6"/>
    <w:rsid w:val="00F238F2"/>
    <w:rsid w:val="00F248A2"/>
    <w:rsid w:val="00F260AA"/>
    <w:rsid w:val="00F27B26"/>
    <w:rsid w:val="00F30B1C"/>
    <w:rsid w:val="00F31EDC"/>
    <w:rsid w:val="00F34D02"/>
    <w:rsid w:val="00F34E84"/>
    <w:rsid w:val="00F40BAD"/>
    <w:rsid w:val="00F462B3"/>
    <w:rsid w:val="00F50DC9"/>
    <w:rsid w:val="00F5184B"/>
    <w:rsid w:val="00F5491E"/>
    <w:rsid w:val="00F55081"/>
    <w:rsid w:val="00F55168"/>
    <w:rsid w:val="00F5664F"/>
    <w:rsid w:val="00F61ABB"/>
    <w:rsid w:val="00F626C4"/>
    <w:rsid w:val="00F64D9E"/>
    <w:rsid w:val="00F664EC"/>
    <w:rsid w:val="00F666C4"/>
    <w:rsid w:val="00F7684C"/>
    <w:rsid w:val="00F76AFC"/>
    <w:rsid w:val="00F80CBE"/>
    <w:rsid w:val="00F85198"/>
    <w:rsid w:val="00F85237"/>
    <w:rsid w:val="00F939CB"/>
    <w:rsid w:val="00F9479C"/>
    <w:rsid w:val="00F965EE"/>
    <w:rsid w:val="00F97949"/>
    <w:rsid w:val="00FA1110"/>
    <w:rsid w:val="00FA1361"/>
    <w:rsid w:val="00FA34EC"/>
    <w:rsid w:val="00FA358D"/>
    <w:rsid w:val="00FA47C0"/>
    <w:rsid w:val="00FB4425"/>
    <w:rsid w:val="00FB4F08"/>
    <w:rsid w:val="00FB5615"/>
    <w:rsid w:val="00FB5DD1"/>
    <w:rsid w:val="00FB5F87"/>
    <w:rsid w:val="00FC07B5"/>
    <w:rsid w:val="00FC2B5D"/>
    <w:rsid w:val="00FD00BB"/>
    <w:rsid w:val="00FD00E9"/>
    <w:rsid w:val="00FD03E3"/>
    <w:rsid w:val="00FD108E"/>
    <w:rsid w:val="00FD653F"/>
    <w:rsid w:val="00FE122A"/>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E2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styleId="Mencinsinresolver">
    <w:name w:val="Unresolved Mention"/>
    <w:basedOn w:val="Fuentedeprrafopredeter"/>
    <w:uiPriority w:val="99"/>
    <w:semiHidden/>
    <w:unhideWhenUsed/>
    <w:rsid w:val="004D1E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1910965180">
      <w:bodyDiv w:val="1"/>
      <w:marLeft w:val="0"/>
      <w:marRight w:val="0"/>
      <w:marTop w:val="0"/>
      <w:marBottom w:val="0"/>
      <w:divBdr>
        <w:top w:val="none" w:sz="0" w:space="0" w:color="auto"/>
        <w:left w:val="none" w:sz="0" w:space="0" w:color="auto"/>
        <w:bottom w:val="none" w:sz="0" w:space="0" w:color="auto"/>
        <w:right w:val="none" w:sz="0" w:space="0" w:color="auto"/>
      </w:divBdr>
    </w:div>
    <w:div w:id="198111200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uridico@bugalagrande-valle.gov.co" TargetMode="Externa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71E0147-BC63-43F8-9733-FB15106D8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4010</Words>
  <Characters>22055</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4</cp:revision>
  <cp:lastPrinted>2025-02-25T15:45:00Z</cp:lastPrinted>
  <dcterms:created xsi:type="dcterms:W3CDTF">2025-06-24T21:24:00Z</dcterms:created>
  <dcterms:modified xsi:type="dcterms:W3CDTF">2025-06-27T02:15:00Z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