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81B4B" w14:textId="77777777" w:rsidR="000C039A" w:rsidRDefault="000C039A" w:rsidP="000C039A">
      <w:pPr>
        <w:spacing w:after="0" w:line="276" w:lineRule="auto"/>
        <w:jc w:val="both"/>
        <w:rPr>
          <w:rFonts w:ascii="Verdana" w:eastAsia="Calibri" w:hAnsi="Verdana" w:cs="Arial"/>
          <w:b/>
        </w:rPr>
      </w:pPr>
      <w:bookmarkStart w:id="0" w:name="_Hlk143780582"/>
      <w:r w:rsidRPr="002F0A58">
        <w:rPr>
          <w:rFonts w:ascii="Verdana" w:eastAsia="Calibri" w:hAnsi="Verdana" w:cs="Arial"/>
          <w:b/>
        </w:rPr>
        <w:t>ASOCIACIONES DE MUNICIPIOS/ENTIDADES PÚBLICAS</w:t>
      </w:r>
      <w:r>
        <w:rPr>
          <w:rFonts w:ascii="Verdana" w:eastAsia="Calibri" w:hAnsi="Verdana" w:cs="Arial"/>
          <w:b/>
        </w:rPr>
        <w:t xml:space="preserve"> - </w:t>
      </w:r>
      <w:r w:rsidRPr="002F0A58">
        <w:rPr>
          <w:rFonts w:ascii="Verdana" w:eastAsia="Calibri" w:hAnsi="Verdana" w:cs="Arial"/>
          <w:b/>
        </w:rPr>
        <w:t>contrato interadministrativo de obra – restricciones a la contratación directa</w:t>
      </w:r>
    </w:p>
    <w:p w14:paraId="273C10CC" w14:textId="77777777" w:rsidR="000C039A" w:rsidRDefault="000C039A" w:rsidP="000C039A">
      <w:pPr>
        <w:spacing w:after="0" w:line="276" w:lineRule="auto"/>
        <w:jc w:val="both"/>
        <w:rPr>
          <w:rFonts w:ascii="Verdana" w:eastAsia="Calibri" w:hAnsi="Verdana" w:cs="Arial"/>
          <w:b/>
          <w:lang w:val="es-ES" w:eastAsia="es-ES"/>
        </w:rPr>
      </w:pPr>
    </w:p>
    <w:p w14:paraId="465D2206" w14:textId="77777777" w:rsidR="000C039A" w:rsidRDefault="000C039A" w:rsidP="000C039A">
      <w:pPr>
        <w:spacing w:after="0" w:line="240" w:lineRule="auto"/>
        <w:jc w:val="both"/>
        <w:rPr>
          <w:rFonts w:ascii="Verdana" w:hAnsi="Verdana"/>
          <w:sz w:val="20"/>
          <w:szCs w:val="20"/>
          <w:lang w:val="es-ES"/>
        </w:rPr>
      </w:pPr>
      <w:r w:rsidRPr="0A90A729">
        <w:rPr>
          <w:rFonts w:ascii="Verdana" w:hAnsi="Verdana"/>
          <w:sz w:val="20"/>
          <w:szCs w:val="20"/>
          <w:lang w:val="es-ES"/>
        </w:rPr>
        <w:t>En caso de que las asociaciones de municipios a las que hace referencia el artículo 149 de la Ley 136 de 1994, así como las asociaciones de entidades públicas que desarrolla el artículo 95 de la Ley 489 de 1998 tengan la naturaleza jurídica de entes solidarios de carácter público, deberán someterse a las disposiciones del EGCAP, es decir, que la celebración de contratos entre entidades estatales con asociaciones o cooperativas de entidades territoriales y en general con entes solidarios, se someterá a los procesos de selección del Estatuto General, en los que participarán en igualdad de condiciones con los particulares, en virtud del artículo 10 de la Ley 1150 de 2007. Por tanto, corresponde a cada ente verificar su naturaleza jurídica para determinar si es o no una persona jurídica sin ánimo de lucro conformada por la asociación de entidades públicas, lo cual podrá validar –por ejemplo– con los fundamentos, el contenido del respetivo acto de creación y su objeto.</w:t>
      </w:r>
    </w:p>
    <w:p w14:paraId="7DEF17B1" w14:textId="77777777" w:rsidR="000C039A" w:rsidRPr="00CF5504" w:rsidRDefault="000C039A" w:rsidP="000C039A">
      <w:pPr>
        <w:spacing w:after="0" w:line="240" w:lineRule="auto"/>
        <w:jc w:val="both"/>
        <w:rPr>
          <w:rFonts w:ascii="Verdana" w:hAnsi="Verdana"/>
          <w:bCs/>
          <w:sz w:val="20"/>
          <w:szCs w:val="20"/>
          <w:lang w:val="es-ES_tradnl"/>
        </w:rPr>
      </w:pPr>
    </w:p>
    <w:p w14:paraId="586CE77F" w14:textId="77777777" w:rsidR="000C039A" w:rsidRDefault="000C039A" w:rsidP="000C039A">
      <w:pPr>
        <w:spacing w:after="0" w:line="240" w:lineRule="auto"/>
        <w:jc w:val="both"/>
        <w:rPr>
          <w:rFonts w:ascii="Verdana" w:eastAsia="Times New Roman" w:hAnsi="Verdana" w:cs="Arial"/>
          <w:lang w:eastAsia="es-ES_tradnl"/>
        </w:rPr>
      </w:pPr>
      <w:r w:rsidRPr="00CF5504">
        <w:rPr>
          <w:rFonts w:ascii="Verdana" w:hAnsi="Verdana"/>
          <w:bCs/>
          <w:sz w:val="20"/>
          <w:szCs w:val="20"/>
          <w:lang w:val="es-ES_tradnl"/>
        </w:rPr>
        <w:t>Así mismo, si el tipo de contrato es de obra, suministro, prestación de servicios de evaluación de conformidad respecto de las normas o reglamentos técnicos, encargos fiduciarios y fiducia pública, aplicará la restricción del literal c) del numeral 4 del artículo 2, modificado por el artículo 92 de la Ley 1474 de 2011 por lo que no podrá acudirse a la causal de contratación directa para la celebración del contrato interadministrativo. En esa medida, sí resulta posible y viable jurídicamente que las asociaciones de entidades públicas y las asociaciones de municipios celebren contratos interadministrativos de obra, pero deberán someterse a los procesos de selección de la Ley 1150 de 2007, en igualdad de condiciones con los particulares, a través de procedimientos competitivos, limitándose, en consecuencia, la modalidad de contratación directa.</w:t>
      </w:r>
    </w:p>
    <w:p w14:paraId="59D5A736" w14:textId="77777777" w:rsidR="000C039A" w:rsidRDefault="000C039A" w:rsidP="00733A47">
      <w:pPr>
        <w:spacing w:after="0" w:line="240" w:lineRule="auto"/>
        <w:jc w:val="both"/>
        <w:rPr>
          <w:rFonts w:ascii="Verdana" w:hAnsi="Verdana"/>
        </w:rPr>
      </w:pPr>
    </w:p>
    <w:p w14:paraId="6CCCF7B0" w14:textId="77777777" w:rsidR="000C039A" w:rsidRDefault="000C039A" w:rsidP="00733A47">
      <w:pPr>
        <w:spacing w:after="0" w:line="240" w:lineRule="auto"/>
        <w:jc w:val="both"/>
        <w:rPr>
          <w:rFonts w:ascii="Verdana" w:hAnsi="Verdana"/>
        </w:rPr>
      </w:pPr>
    </w:p>
    <w:p w14:paraId="58A9C8AB" w14:textId="77777777" w:rsidR="000C039A" w:rsidRDefault="000C039A" w:rsidP="00733A47">
      <w:pPr>
        <w:spacing w:after="0" w:line="240" w:lineRule="auto"/>
        <w:jc w:val="both"/>
        <w:rPr>
          <w:rFonts w:ascii="Verdana" w:hAnsi="Verdana"/>
        </w:rPr>
      </w:pPr>
    </w:p>
    <w:p w14:paraId="5F2868BB" w14:textId="77777777" w:rsidR="000C039A" w:rsidRDefault="000C039A" w:rsidP="00733A47">
      <w:pPr>
        <w:spacing w:after="0" w:line="240" w:lineRule="auto"/>
        <w:jc w:val="both"/>
        <w:rPr>
          <w:rFonts w:ascii="Verdana" w:hAnsi="Verdana"/>
        </w:rPr>
      </w:pPr>
    </w:p>
    <w:p w14:paraId="316D9CC3" w14:textId="77777777" w:rsidR="000C039A" w:rsidRDefault="000C039A" w:rsidP="00733A47">
      <w:pPr>
        <w:spacing w:after="0" w:line="240" w:lineRule="auto"/>
        <w:jc w:val="both"/>
        <w:rPr>
          <w:rFonts w:ascii="Verdana" w:hAnsi="Verdana"/>
        </w:rPr>
      </w:pPr>
    </w:p>
    <w:p w14:paraId="54E16734" w14:textId="77777777" w:rsidR="000C039A" w:rsidRDefault="000C039A" w:rsidP="00733A47">
      <w:pPr>
        <w:spacing w:after="0" w:line="240" w:lineRule="auto"/>
        <w:jc w:val="both"/>
        <w:rPr>
          <w:rFonts w:ascii="Verdana" w:hAnsi="Verdana"/>
        </w:rPr>
      </w:pPr>
    </w:p>
    <w:p w14:paraId="6BF94897" w14:textId="77777777" w:rsidR="000C039A" w:rsidRDefault="000C039A" w:rsidP="00733A47">
      <w:pPr>
        <w:spacing w:after="0" w:line="240" w:lineRule="auto"/>
        <w:jc w:val="both"/>
        <w:rPr>
          <w:rFonts w:ascii="Verdana" w:hAnsi="Verdana"/>
        </w:rPr>
      </w:pPr>
    </w:p>
    <w:p w14:paraId="48440794" w14:textId="77777777" w:rsidR="000C039A" w:rsidRDefault="000C039A" w:rsidP="00733A47">
      <w:pPr>
        <w:spacing w:after="0" w:line="240" w:lineRule="auto"/>
        <w:jc w:val="both"/>
        <w:rPr>
          <w:rFonts w:ascii="Verdana" w:hAnsi="Verdana"/>
        </w:rPr>
      </w:pPr>
    </w:p>
    <w:p w14:paraId="5C4D9585" w14:textId="77777777" w:rsidR="000C039A" w:rsidRDefault="000C039A" w:rsidP="00733A47">
      <w:pPr>
        <w:spacing w:after="0" w:line="240" w:lineRule="auto"/>
        <w:jc w:val="both"/>
        <w:rPr>
          <w:rFonts w:ascii="Verdana" w:hAnsi="Verdana"/>
        </w:rPr>
      </w:pPr>
    </w:p>
    <w:p w14:paraId="3EBEB365" w14:textId="77777777" w:rsidR="000C039A" w:rsidRDefault="000C039A" w:rsidP="00733A47">
      <w:pPr>
        <w:spacing w:after="0" w:line="240" w:lineRule="auto"/>
        <w:jc w:val="both"/>
        <w:rPr>
          <w:rFonts w:ascii="Verdana" w:hAnsi="Verdana"/>
        </w:rPr>
      </w:pPr>
    </w:p>
    <w:p w14:paraId="339E6C39" w14:textId="77777777" w:rsidR="000C039A" w:rsidRDefault="000C039A" w:rsidP="00733A47">
      <w:pPr>
        <w:spacing w:after="0" w:line="240" w:lineRule="auto"/>
        <w:jc w:val="both"/>
        <w:rPr>
          <w:rFonts w:ascii="Verdana" w:hAnsi="Verdana"/>
        </w:rPr>
      </w:pPr>
    </w:p>
    <w:p w14:paraId="2C1DD7BA" w14:textId="77777777" w:rsidR="000C039A" w:rsidRDefault="000C039A" w:rsidP="00733A47">
      <w:pPr>
        <w:spacing w:after="0" w:line="240" w:lineRule="auto"/>
        <w:jc w:val="both"/>
        <w:rPr>
          <w:rFonts w:ascii="Verdana" w:hAnsi="Verdana"/>
        </w:rPr>
      </w:pPr>
    </w:p>
    <w:p w14:paraId="17C31A9D" w14:textId="77777777" w:rsidR="000C039A" w:rsidRDefault="000C039A" w:rsidP="00733A47">
      <w:pPr>
        <w:spacing w:after="0" w:line="240" w:lineRule="auto"/>
        <w:jc w:val="both"/>
        <w:rPr>
          <w:rFonts w:ascii="Verdana" w:hAnsi="Verdana"/>
        </w:rPr>
      </w:pPr>
    </w:p>
    <w:p w14:paraId="71F61BDC" w14:textId="77777777" w:rsidR="000C039A" w:rsidRDefault="000C039A" w:rsidP="00733A47">
      <w:pPr>
        <w:spacing w:after="0" w:line="240" w:lineRule="auto"/>
        <w:jc w:val="both"/>
        <w:rPr>
          <w:rFonts w:ascii="Verdana" w:hAnsi="Verdana"/>
        </w:rPr>
      </w:pPr>
    </w:p>
    <w:p w14:paraId="1E06F0A7" w14:textId="77777777" w:rsidR="000C039A" w:rsidRDefault="000C039A" w:rsidP="00733A47">
      <w:pPr>
        <w:spacing w:after="0" w:line="240" w:lineRule="auto"/>
        <w:jc w:val="both"/>
        <w:rPr>
          <w:rFonts w:ascii="Verdana" w:hAnsi="Verdana"/>
        </w:rPr>
      </w:pPr>
    </w:p>
    <w:p w14:paraId="54477C23" w14:textId="77777777" w:rsidR="000C039A" w:rsidRDefault="000C039A" w:rsidP="00733A47">
      <w:pPr>
        <w:spacing w:after="0" w:line="240" w:lineRule="auto"/>
        <w:jc w:val="both"/>
        <w:rPr>
          <w:rFonts w:ascii="Verdana" w:hAnsi="Verdana"/>
        </w:rPr>
      </w:pPr>
    </w:p>
    <w:p w14:paraId="19EAEAFD" w14:textId="77777777" w:rsidR="000C039A" w:rsidRDefault="000C039A" w:rsidP="00733A47">
      <w:pPr>
        <w:spacing w:after="0" w:line="240" w:lineRule="auto"/>
        <w:jc w:val="both"/>
        <w:rPr>
          <w:rFonts w:ascii="Verdana" w:hAnsi="Verdana"/>
        </w:rPr>
      </w:pPr>
    </w:p>
    <w:p w14:paraId="60FFE81B" w14:textId="77777777" w:rsidR="000C039A" w:rsidRDefault="000C039A" w:rsidP="00733A47">
      <w:pPr>
        <w:spacing w:after="0" w:line="240" w:lineRule="auto"/>
        <w:jc w:val="both"/>
        <w:rPr>
          <w:rFonts w:ascii="Verdana" w:hAnsi="Verdana"/>
        </w:rPr>
      </w:pPr>
    </w:p>
    <w:p w14:paraId="233F56AD" w14:textId="77777777" w:rsidR="000C039A" w:rsidRDefault="000C039A" w:rsidP="00733A47">
      <w:pPr>
        <w:spacing w:after="0" w:line="240" w:lineRule="auto"/>
        <w:jc w:val="both"/>
        <w:rPr>
          <w:rFonts w:ascii="Verdana" w:hAnsi="Verdana"/>
        </w:rPr>
      </w:pPr>
    </w:p>
    <w:p w14:paraId="5ACE2859" w14:textId="26E6946D" w:rsidR="000C039A" w:rsidRPr="000C039A" w:rsidRDefault="000C039A" w:rsidP="00733A47">
      <w:pPr>
        <w:spacing w:after="0" w:line="240" w:lineRule="auto"/>
        <w:jc w:val="both"/>
        <w:rPr>
          <w:rFonts w:ascii="Verdana" w:eastAsia="Calibri" w:hAnsi="Verdana" w:cs="Arial"/>
          <w:color w:val="000000" w:themeColor="text1"/>
          <w:lang w:val="es-ES" w:eastAsia="es-ES"/>
        </w:rPr>
      </w:pPr>
      <w:r w:rsidRPr="000C039A">
        <w:rPr>
          <w:rFonts w:ascii="Verdana" w:hAnsi="Verdana"/>
          <w:noProof/>
        </w:rPr>
        <w:drawing>
          <wp:anchor distT="0" distB="0" distL="0" distR="0" simplePos="0" relativeHeight="251659264" behindDoc="0" locked="0" layoutInCell="1" allowOverlap="1" wp14:anchorId="5135D86A" wp14:editId="391BE8C8">
            <wp:simplePos x="0" y="0"/>
            <wp:positionH relativeFrom="page">
              <wp:posOffset>4350370</wp:posOffset>
            </wp:positionH>
            <wp:positionV relativeFrom="paragraph">
              <wp:posOffset>-152385</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1" cstate="print"/>
                    <a:stretch>
                      <a:fillRect/>
                    </a:stretch>
                  </pic:blipFill>
                  <pic:spPr>
                    <a:xfrm>
                      <a:off x="0" y="0"/>
                      <a:ext cx="2400300" cy="615950"/>
                    </a:xfrm>
                    <a:prstGeom prst="rect">
                      <a:avLst/>
                    </a:prstGeom>
                  </pic:spPr>
                </pic:pic>
              </a:graphicData>
            </a:graphic>
          </wp:anchor>
        </w:drawing>
      </w:r>
      <w:r w:rsidRPr="000C039A">
        <w:rPr>
          <w:rFonts w:ascii="Verdana" w:hAnsi="Verdana"/>
        </w:rPr>
        <w:t>Bogotá</w:t>
      </w:r>
      <w:r w:rsidRPr="000C039A">
        <w:rPr>
          <w:rFonts w:ascii="Verdana" w:hAnsi="Verdana"/>
          <w:spacing w:val="-6"/>
        </w:rPr>
        <w:t xml:space="preserve"> </w:t>
      </w:r>
      <w:r w:rsidRPr="000C039A">
        <w:rPr>
          <w:rFonts w:ascii="Verdana" w:hAnsi="Verdana"/>
        </w:rPr>
        <w:t>D.C.,</w:t>
      </w:r>
      <w:r w:rsidRPr="000C039A">
        <w:rPr>
          <w:rFonts w:ascii="Verdana" w:hAnsi="Verdana"/>
          <w:spacing w:val="2"/>
        </w:rPr>
        <w:t xml:space="preserve"> </w:t>
      </w:r>
      <w:r w:rsidRPr="000C039A">
        <w:rPr>
          <w:rFonts w:ascii="Verdana" w:hAnsi="Verdana"/>
        </w:rPr>
        <w:t>06</w:t>
      </w:r>
      <w:r w:rsidRPr="000C039A">
        <w:rPr>
          <w:rFonts w:ascii="Verdana" w:hAnsi="Verdana"/>
          <w:spacing w:val="-2"/>
        </w:rPr>
        <w:t xml:space="preserve"> </w:t>
      </w:r>
      <w:r w:rsidRPr="000C039A">
        <w:rPr>
          <w:rFonts w:ascii="Verdana" w:hAnsi="Verdana"/>
        </w:rPr>
        <w:t xml:space="preserve">Junio </w:t>
      </w:r>
      <w:r w:rsidRPr="000C039A">
        <w:rPr>
          <w:rFonts w:ascii="Verdana" w:hAnsi="Verdana"/>
          <w:spacing w:val="-4"/>
        </w:rPr>
        <w:t>2025</w:t>
      </w:r>
    </w:p>
    <w:p w14:paraId="31FBF50A" w14:textId="5D2680F1" w:rsidR="000C039A" w:rsidRPr="000C039A" w:rsidRDefault="000C039A" w:rsidP="00733A47">
      <w:pPr>
        <w:spacing w:after="0" w:line="240" w:lineRule="auto"/>
        <w:jc w:val="both"/>
        <w:rPr>
          <w:rFonts w:ascii="Verdana" w:eastAsia="Calibri" w:hAnsi="Verdana" w:cs="Arial"/>
          <w:color w:val="000000" w:themeColor="text1"/>
          <w:lang w:val="es-ES" w:eastAsia="es-ES"/>
        </w:rPr>
      </w:pPr>
    </w:p>
    <w:p w14:paraId="1DD54A6B" w14:textId="45800B50" w:rsidR="000C039A" w:rsidRPr="000C039A" w:rsidRDefault="000C039A" w:rsidP="00733A47">
      <w:pPr>
        <w:spacing w:after="0" w:line="240" w:lineRule="auto"/>
        <w:jc w:val="both"/>
        <w:rPr>
          <w:rFonts w:ascii="Verdana" w:eastAsia="Calibri" w:hAnsi="Verdana" w:cs="Arial"/>
          <w:color w:val="000000" w:themeColor="text1"/>
          <w:lang w:val="es-ES" w:eastAsia="es-ES"/>
        </w:rPr>
      </w:pPr>
    </w:p>
    <w:p w14:paraId="643A74DC" w14:textId="2360A61C" w:rsidR="00733A47" w:rsidRPr="000C039A" w:rsidRDefault="00733A47" w:rsidP="00733A47">
      <w:pPr>
        <w:spacing w:after="0" w:line="240" w:lineRule="auto"/>
        <w:jc w:val="both"/>
        <w:rPr>
          <w:rFonts w:ascii="Verdana" w:eastAsia="Calibri" w:hAnsi="Verdana" w:cs="Arial"/>
          <w:color w:val="000000" w:themeColor="text1"/>
          <w:lang w:val="es-ES" w:eastAsia="es-ES"/>
        </w:rPr>
      </w:pPr>
      <w:r w:rsidRPr="000C039A">
        <w:rPr>
          <w:rFonts w:ascii="Verdana" w:eastAsia="Calibri" w:hAnsi="Verdana" w:cs="Arial"/>
          <w:color w:val="000000" w:themeColor="text1"/>
          <w:lang w:val="es-ES" w:eastAsia="es-ES"/>
        </w:rPr>
        <w:t>Señor</w:t>
      </w:r>
    </w:p>
    <w:p w14:paraId="31A1F7DC" w14:textId="23CCAA13" w:rsidR="00733A47" w:rsidRPr="000C039A" w:rsidRDefault="00733A47" w:rsidP="00733A47">
      <w:pPr>
        <w:spacing w:after="0" w:line="240" w:lineRule="auto"/>
        <w:rPr>
          <w:rFonts w:ascii="Verdana" w:eastAsia="Calibri" w:hAnsi="Verdana" w:cs="Arial"/>
          <w:b/>
          <w:color w:val="000000" w:themeColor="text1"/>
          <w:lang w:eastAsia="es-ES_tradnl"/>
        </w:rPr>
      </w:pPr>
      <w:r w:rsidRPr="000C039A">
        <w:rPr>
          <w:rFonts w:ascii="Verdana" w:eastAsia="Calibri" w:hAnsi="Verdana" w:cs="Arial"/>
          <w:b/>
          <w:color w:val="000000" w:themeColor="text1"/>
          <w:lang w:val="es-ES_tradnl" w:eastAsia="es-ES_tradnl"/>
        </w:rPr>
        <w:t>Luis Alfonso Mogollón</w:t>
      </w:r>
      <w:r w:rsidRPr="000C039A">
        <w:rPr>
          <w:rFonts w:ascii="Verdana" w:eastAsia="Calibri" w:hAnsi="Verdana" w:cs="Arial"/>
          <w:b/>
          <w:color w:val="000000" w:themeColor="text1"/>
          <w:lang w:eastAsia="es-ES_tradnl"/>
        </w:rPr>
        <w:t xml:space="preserve"> </w:t>
      </w:r>
      <w:proofErr w:type="spellStart"/>
      <w:r w:rsidRPr="000C039A">
        <w:rPr>
          <w:rFonts w:ascii="Verdana" w:eastAsia="Calibri" w:hAnsi="Verdana" w:cs="Arial"/>
          <w:b/>
          <w:color w:val="000000" w:themeColor="text1"/>
          <w:lang w:eastAsia="es-ES_tradnl"/>
        </w:rPr>
        <w:t>Behaine</w:t>
      </w:r>
      <w:proofErr w:type="spellEnd"/>
      <w:r w:rsidRPr="000C039A">
        <w:rPr>
          <w:rFonts w:ascii="Verdana" w:eastAsia="Calibri" w:hAnsi="Verdana" w:cs="Arial"/>
          <w:b/>
          <w:color w:val="000000" w:themeColor="text1"/>
          <w:lang w:eastAsia="es-ES_tradnl"/>
        </w:rPr>
        <w:t xml:space="preserve"> </w:t>
      </w:r>
      <w:r w:rsidR="000C039A" w:rsidRPr="000C039A">
        <w:rPr>
          <w:rFonts w:ascii="Verdana" w:eastAsia="Calibri" w:hAnsi="Verdana" w:cs="Arial"/>
          <w:b/>
          <w:color w:val="000000" w:themeColor="text1"/>
          <w:lang w:eastAsia="es-ES_tradnl"/>
        </w:rPr>
        <w:t xml:space="preserve">                           </w:t>
      </w:r>
    </w:p>
    <w:p w14:paraId="2DAE87E4" w14:textId="77777777" w:rsidR="00733A47" w:rsidRPr="000C039A" w:rsidRDefault="00733A47" w:rsidP="00733A47">
      <w:pPr>
        <w:spacing w:after="0" w:line="240" w:lineRule="auto"/>
        <w:rPr>
          <w:rFonts w:ascii="Verdana" w:eastAsia="Calibri" w:hAnsi="Verdana" w:cs="Arial"/>
          <w:color w:val="000000" w:themeColor="text1"/>
          <w:u w:val="single"/>
          <w:lang w:eastAsia="es-ES"/>
        </w:rPr>
      </w:pPr>
      <w:r w:rsidRPr="000C039A">
        <w:rPr>
          <w:rFonts w:ascii="Verdana" w:eastAsia="Calibri" w:hAnsi="Verdana" w:cs="Arial"/>
          <w:color w:val="000000" w:themeColor="text1"/>
          <w:u w:val="single"/>
          <w:lang w:eastAsia="es-ES"/>
        </w:rPr>
        <w:t>Luismogollon20@hotmail.com</w:t>
      </w:r>
    </w:p>
    <w:p w14:paraId="1BA00EEC" w14:textId="77777777" w:rsidR="00733A47" w:rsidRPr="000C039A" w:rsidRDefault="00733A47" w:rsidP="00733A47">
      <w:pPr>
        <w:spacing w:after="0" w:line="240" w:lineRule="auto"/>
        <w:rPr>
          <w:rFonts w:ascii="Verdana" w:eastAsia="Calibri" w:hAnsi="Verdana" w:cs="Arial"/>
          <w:b/>
          <w:bCs/>
          <w:color w:val="000000" w:themeColor="text1"/>
          <w:lang w:val="en-US" w:eastAsia="es-ES"/>
        </w:rPr>
      </w:pPr>
      <w:r w:rsidRPr="000C039A">
        <w:rPr>
          <w:rFonts w:ascii="Verdana" w:eastAsia="Calibri" w:hAnsi="Verdana" w:cs="Arial"/>
          <w:color w:val="000000" w:themeColor="text1"/>
          <w:lang w:val="en-US" w:eastAsia="es-ES"/>
        </w:rPr>
        <w:t>Monteria, Cordoba</w:t>
      </w:r>
    </w:p>
    <w:p w14:paraId="66692616" w14:textId="77777777" w:rsidR="00733A47" w:rsidRPr="00400004" w:rsidRDefault="00733A47" w:rsidP="00733A47">
      <w:pPr>
        <w:spacing w:after="0" w:line="240" w:lineRule="auto"/>
        <w:rPr>
          <w:rFonts w:ascii="Verdana" w:eastAsia="Calibri" w:hAnsi="Verdana" w:cs="Arial"/>
          <w:b/>
          <w:bCs/>
          <w:color w:val="000000"/>
          <w:lang w:val="en-US" w:eastAsia="es-ES_tradnl"/>
        </w:rPr>
      </w:pPr>
    </w:p>
    <w:p w14:paraId="6AE6F63A" w14:textId="77777777" w:rsidR="00733A47" w:rsidRPr="00400004" w:rsidRDefault="00733A47" w:rsidP="00733A47">
      <w:pPr>
        <w:spacing w:after="0" w:line="240" w:lineRule="auto"/>
        <w:rPr>
          <w:rFonts w:ascii="Verdana" w:eastAsia="Calibri" w:hAnsi="Verdana" w:cs="Arial"/>
          <w:b/>
          <w:bCs/>
          <w:color w:val="000000"/>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33A47" w:rsidRPr="00593A5F" w14:paraId="39476D40" w14:textId="77777777" w:rsidTr="00EE5BCC">
        <w:trPr>
          <w:trHeight w:val="884"/>
        </w:trPr>
        <w:tc>
          <w:tcPr>
            <w:tcW w:w="2689" w:type="dxa"/>
          </w:tcPr>
          <w:p w14:paraId="3980FFEA" w14:textId="77777777" w:rsidR="00733A47" w:rsidRPr="00400004" w:rsidRDefault="00733A47" w:rsidP="00EE5BCC">
            <w:pPr>
              <w:jc w:val="both"/>
              <w:rPr>
                <w:rFonts w:ascii="Verdana" w:eastAsia="Calibri" w:hAnsi="Verdana" w:cs="Arial"/>
                <w:b/>
                <w:bCs/>
                <w:color w:val="7030A0"/>
                <w:lang w:val="en-US" w:eastAsia="es-ES_tradnl"/>
              </w:rPr>
            </w:pPr>
          </w:p>
        </w:tc>
        <w:tc>
          <w:tcPr>
            <w:tcW w:w="6100" w:type="dxa"/>
          </w:tcPr>
          <w:p w14:paraId="24E67C9E" w14:textId="77777777" w:rsidR="00733A47" w:rsidRPr="00C00976" w:rsidRDefault="00733A47" w:rsidP="00EE5BCC">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Pr>
                <w:rFonts w:ascii="Verdana" w:eastAsia="Calibri" w:hAnsi="Verdana" w:cs="Arial"/>
                <w:b/>
                <w:bCs/>
                <w:lang w:val="es-ES" w:eastAsia="es-ES"/>
              </w:rPr>
              <w:t>- 492 de 2025</w:t>
            </w:r>
            <w:r w:rsidRPr="00C00976">
              <w:rPr>
                <w:rFonts w:ascii="Verdana" w:eastAsia="Calibri" w:hAnsi="Verdana" w:cs="Arial"/>
                <w:b/>
                <w:bCs/>
                <w:color w:val="7030A0"/>
                <w:lang w:val="es-ES" w:eastAsia="es-ES"/>
              </w:rPr>
              <w:t xml:space="preserve"> </w:t>
            </w:r>
          </w:p>
        </w:tc>
      </w:tr>
      <w:tr w:rsidR="00733A47" w:rsidRPr="00593A5F" w14:paraId="4D96866B" w14:textId="77777777" w:rsidTr="00EE5BCC">
        <w:trPr>
          <w:trHeight w:val="884"/>
        </w:trPr>
        <w:tc>
          <w:tcPr>
            <w:tcW w:w="2689" w:type="dxa"/>
          </w:tcPr>
          <w:p w14:paraId="0436FE67" w14:textId="77777777" w:rsidR="00733A47" w:rsidRPr="00B64A07" w:rsidRDefault="00733A47" w:rsidP="00EE5BCC">
            <w:pPr>
              <w:jc w:val="both"/>
              <w:rPr>
                <w:rFonts w:ascii="Verdana" w:eastAsia="Calibri" w:hAnsi="Verdana" w:cs="Arial"/>
                <w:color w:val="000000" w:themeColor="text1"/>
                <w:lang w:val="es-ES_tradnl" w:eastAsia="es-ES_tradnl"/>
              </w:rPr>
            </w:pPr>
            <w:r w:rsidRPr="00B64A07">
              <w:rPr>
                <w:rFonts w:ascii="Verdana" w:eastAsia="Calibri" w:hAnsi="Verdana" w:cs="Arial"/>
                <w:b/>
                <w:color w:val="000000" w:themeColor="text1"/>
                <w:lang w:val="es-ES_tradnl" w:eastAsia="es-ES_tradnl"/>
              </w:rPr>
              <w:t>Temas:</w:t>
            </w:r>
            <w:r w:rsidRPr="00B64A07">
              <w:rPr>
                <w:rFonts w:ascii="Verdana" w:eastAsia="Calibri" w:hAnsi="Verdana" w:cs="Arial"/>
                <w:color w:val="000000" w:themeColor="text1"/>
                <w:lang w:val="es-ES_tradnl" w:eastAsia="es-ES_tradnl"/>
              </w:rPr>
              <w:t xml:space="preserve">                   </w:t>
            </w:r>
          </w:p>
        </w:tc>
        <w:tc>
          <w:tcPr>
            <w:tcW w:w="6100" w:type="dxa"/>
          </w:tcPr>
          <w:p w14:paraId="4CCA7A34" w14:textId="77777777" w:rsidR="00733A47" w:rsidRDefault="00733A47" w:rsidP="00EE5BCC">
            <w:pPr>
              <w:jc w:val="both"/>
              <w:rPr>
                <w:rFonts w:ascii="Verdana" w:hAnsi="Verdana" w:cs="Arial"/>
                <w:bCs/>
                <w:lang w:eastAsia="es-ES"/>
              </w:rPr>
            </w:pPr>
            <w:r w:rsidRPr="00BF6782">
              <w:rPr>
                <w:rFonts w:ascii="Verdana" w:eastAsia="Calibri" w:hAnsi="Verdana" w:cs="Arial"/>
                <w:lang w:val="es-ES" w:eastAsia="es-ES"/>
              </w:rPr>
              <w:t xml:space="preserve">ASOCIACIONES DE MUNICIPIOS – Naturaleza </w:t>
            </w:r>
            <w:r>
              <w:rPr>
                <w:rFonts w:ascii="Verdana" w:eastAsia="Calibri" w:hAnsi="Verdana" w:cs="Arial"/>
                <w:lang w:val="es-ES" w:eastAsia="es-ES"/>
              </w:rPr>
              <w:t>jurídica</w:t>
            </w:r>
            <w:r w:rsidRPr="00BF6782">
              <w:rPr>
                <w:rFonts w:ascii="Verdana" w:eastAsia="Calibri" w:hAnsi="Verdana" w:cs="Arial"/>
                <w:lang w:val="es-ES" w:eastAsia="es-ES"/>
              </w:rPr>
              <w:t xml:space="preserve"> / </w:t>
            </w:r>
            <w:r w:rsidRPr="00C45C5D">
              <w:rPr>
                <w:rFonts w:ascii="Verdana" w:eastAsia="Calibri" w:hAnsi="Verdana" w:cs="Arial"/>
                <w:bCs/>
                <w:lang w:val="es-ES_tradnl"/>
              </w:rPr>
              <w:t xml:space="preserve">CONVENIOS INTERADMINISTRATIVOS – Asociaciones de Municipios </w:t>
            </w:r>
            <w:r>
              <w:rPr>
                <w:rFonts w:ascii="Verdana" w:eastAsia="Times New Roman" w:hAnsi="Verdana" w:cs="Arial"/>
                <w:lang w:val="es-MX" w:eastAsia="es-ES_tradnl"/>
              </w:rPr>
              <w:t xml:space="preserve">/ </w:t>
            </w:r>
            <w:r>
              <w:rPr>
                <w:rFonts w:ascii="Verdana" w:hAnsi="Verdana" w:cs="Arial"/>
                <w:bCs/>
                <w:lang w:eastAsia="es-ES"/>
              </w:rPr>
              <w:t>INTERVENTORIA – definición - causal taxativa.</w:t>
            </w:r>
          </w:p>
          <w:p w14:paraId="0EBEECFE" w14:textId="77777777" w:rsidR="00733A47" w:rsidRPr="00B64A07" w:rsidRDefault="00733A47" w:rsidP="00EE5BCC">
            <w:pPr>
              <w:jc w:val="both"/>
              <w:rPr>
                <w:rFonts w:ascii="Verdana" w:eastAsia="Calibri" w:hAnsi="Verdana" w:cs="Arial"/>
                <w:color w:val="000000" w:themeColor="text1"/>
                <w:lang w:val="es-ES" w:eastAsia="es-ES"/>
              </w:rPr>
            </w:pPr>
          </w:p>
        </w:tc>
      </w:tr>
      <w:tr w:rsidR="00733A47" w:rsidRPr="00D81705" w14:paraId="5EB39C65" w14:textId="77777777" w:rsidTr="00EE5BCC">
        <w:tc>
          <w:tcPr>
            <w:tcW w:w="2689" w:type="dxa"/>
          </w:tcPr>
          <w:p w14:paraId="22AF8EEA" w14:textId="77777777" w:rsidR="00733A47" w:rsidRPr="00B64A07" w:rsidRDefault="00733A47" w:rsidP="00EE5BCC">
            <w:pPr>
              <w:jc w:val="both"/>
              <w:rPr>
                <w:rFonts w:ascii="Verdana" w:eastAsia="Calibri" w:hAnsi="Verdana" w:cs="Arial"/>
                <w:b/>
                <w:color w:val="000000" w:themeColor="text1"/>
                <w:lang w:val="es-ES_tradnl" w:eastAsia="es-ES_tradnl"/>
              </w:rPr>
            </w:pPr>
            <w:r w:rsidRPr="00B64A07">
              <w:rPr>
                <w:rFonts w:ascii="Verdana" w:eastAsia="Calibri" w:hAnsi="Verdana" w:cs="Arial"/>
                <w:b/>
                <w:color w:val="000000" w:themeColor="text1"/>
                <w:lang w:val="es-ES_tradnl" w:eastAsia="es-ES_tradnl"/>
              </w:rPr>
              <w:t>Radicación:</w:t>
            </w:r>
            <w:r w:rsidRPr="00B64A07">
              <w:rPr>
                <w:rFonts w:ascii="Verdana" w:eastAsia="Calibri" w:hAnsi="Verdana" w:cs="Arial"/>
                <w:color w:val="000000" w:themeColor="text1"/>
                <w:lang w:val="es-ES_tradnl" w:eastAsia="es-ES_tradnl"/>
              </w:rPr>
              <w:t xml:space="preserve">               </w:t>
            </w:r>
          </w:p>
        </w:tc>
        <w:tc>
          <w:tcPr>
            <w:tcW w:w="6100" w:type="dxa"/>
          </w:tcPr>
          <w:p w14:paraId="440A6AE5" w14:textId="77777777" w:rsidR="00733A47" w:rsidRPr="00D81705" w:rsidRDefault="00733A47" w:rsidP="00EE5BCC">
            <w:pPr>
              <w:jc w:val="both"/>
              <w:rPr>
                <w:rFonts w:ascii="Verdana" w:eastAsia="Calibri" w:hAnsi="Verdana" w:cs="Arial"/>
                <w:color w:val="000000" w:themeColor="text1"/>
                <w:lang w:val="es-ES_tradnl" w:eastAsia="es-ES_tradnl"/>
              </w:rPr>
            </w:pPr>
            <w:r w:rsidRPr="00D81705">
              <w:rPr>
                <w:rFonts w:ascii="Verdana" w:eastAsia="Calibri" w:hAnsi="Verdana" w:cs="Arial"/>
                <w:color w:val="000000" w:themeColor="text1"/>
                <w:lang w:val="es-ES_tradnl" w:eastAsia="es-ES_tradnl"/>
              </w:rPr>
              <w:t xml:space="preserve">Respuesta a consulta con radicado No. </w:t>
            </w:r>
            <w:r w:rsidRPr="00D81705">
              <w:rPr>
                <w:rFonts w:ascii="Verdana" w:hAnsi="Verdana"/>
                <w:color w:val="000000" w:themeColor="text1"/>
                <w:shd w:val="clear" w:color="auto" w:fill="F5F5F5"/>
              </w:rPr>
              <w:t>P20250423003825</w:t>
            </w:r>
            <w:r w:rsidRPr="00D81705">
              <w:rPr>
                <w:rFonts w:ascii="Verdana" w:eastAsia="Calibri" w:hAnsi="Verdana" w:cs="Arial"/>
                <w:color w:val="000000" w:themeColor="text1"/>
                <w:lang w:val="es-ES_tradnl" w:eastAsia="es-ES_tradnl"/>
              </w:rPr>
              <w:t xml:space="preserve"> </w:t>
            </w:r>
          </w:p>
        </w:tc>
      </w:tr>
    </w:tbl>
    <w:p w14:paraId="2B83BA4A" w14:textId="77777777" w:rsidR="00733A47" w:rsidRPr="00593A5F" w:rsidRDefault="00733A47" w:rsidP="00733A47">
      <w:pPr>
        <w:spacing w:after="0" w:line="240" w:lineRule="auto"/>
        <w:jc w:val="both"/>
        <w:rPr>
          <w:rFonts w:ascii="Verdana" w:eastAsia="Calibri" w:hAnsi="Verdana" w:cs="Arial"/>
          <w:color w:val="000000"/>
          <w:lang w:val="es-ES_tradnl" w:eastAsia="es-ES_tradnl"/>
        </w:rPr>
      </w:pPr>
    </w:p>
    <w:p w14:paraId="778E7C6D" w14:textId="77777777" w:rsidR="00733A47" w:rsidRPr="00593A5F" w:rsidRDefault="00733A47" w:rsidP="00733A47">
      <w:pPr>
        <w:spacing w:after="0" w:line="240" w:lineRule="auto"/>
        <w:jc w:val="both"/>
        <w:rPr>
          <w:rFonts w:ascii="Verdana" w:eastAsia="Calibri" w:hAnsi="Verdana" w:cs="Arial"/>
          <w:color w:val="000000"/>
          <w:lang w:val="es-ES_tradnl" w:eastAsia="es-ES_tradnl"/>
        </w:rPr>
      </w:pPr>
    </w:p>
    <w:p w14:paraId="30484FBE" w14:textId="77777777" w:rsidR="00733A47" w:rsidRDefault="00733A47" w:rsidP="00733A47">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Estimado seño</w:t>
      </w:r>
      <w:r>
        <w:rPr>
          <w:rFonts w:ascii="Verdana" w:eastAsia="Calibri" w:hAnsi="Verdana" w:cs="Arial"/>
          <w:color w:val="000000" w:themeColor="text1"/>
          <w:lang w:val="es-ES" w:eastAsia="es-ES"/>
        </w:rPr>
        <w:t>r Mogollón</w:t>
      </w:r>
      <w:r w:rsidRPr="00593A5F">
        <w:rPr>
          <w:rFonts w:ascii="Verdana" w:eastAsia="Calibri" w:hAnsi="Verdana" w:cs="Arial"/>
          <w:color w:val="000000" w:themeColor="text1"/>
          <w:lang w:val="es-ES" w:eastAsia="es-ES"/>
        </w:rPr>
        <w:t xml:space="preserve">: </w:t>
      </w:r>
    </w:p>
    <w:p w14:paraId="6128064F" w14:textId="77777777" w:rsidR="00733A47" w:rsidRDefault="00733A47" w:rsidP="00733A4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787002E" w14:textId="77777777" w:rsidR="00733A47" w:rsidRPr="00400004" w:rsidRDefault="00733A47" w:rsidP="00733A47">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fecha 23</w:t>
      </w:r>
      <w:r w:rsidRPr="005233F3">
        <w:rPr>
          <w:rFonts w:ascii="Verdana" w:eastAsia="Calibri" w:hAnsi="Verdana" w:cs="Arial"/>
          <w:color w:val="7030A0"/>
          <w:lang w:val="es-ES" w:eastAsia="es-ES"/>
        </w:rPr>
        <w:t xml:space="preserve"> </w:t>
      </w:r>
      <w:r w:rsidRPr="00593A5F">
        <w:rPr>
          <w:rFonts w:ascii="Verdana" w:eastAsia="Calibri" w:hAnsi="Verdana" w:cs="Arial"/>
          <w:color w:val="000000" w:themeColor="text1"/>
          <w:lang w:val="es-ES" w:eastAsia="es-ES"/>
        </w:rPr>
        <w:t>d</w:t>
      </w:r>
      <w:r>
        <w:rPr>
          <w:rFonts w:ascii="Verdana" w:eastAsia="Calibri" w:hAnsi="Verdana" w:cs="Arial"/>
          <w:color w:val="000000" w:themeColor="text1"/>
          <w:lang w:val="es-ES" w:eastAsia="es-ES"/>
        </w:rPr>
        <w:t xml:space="preserve">e abril </w:t>
      </w:r>
      <w:r w:rsidRPr="00593A5F">
        <w:rPr>
          <w:rFonts w:ascii="Verdana" w:eastAsia="Calibri" w:hAnsi="Verdana" w:cs="Arial"/>
          <w:color w:val="000000" w:themeColor="text1"/>
          <w:lang w:val="es-ES" w:eastAsia="es-ES"/>
        </w:rPr>
        <w:t xml:space="preserve">de </w:t>
      </w:r>
      <w:r w:rsidRPr="00400004">
        <w:rPr>
          <w:rFonts w:ascii="Verdana" w:eastAsia="Calibri" w:hAnsi="Verdana" w:cs="Arial"/>
          <w:color w:val="000000" w:themeColor="text1"/>
          <w:lang w:val="es-ES" w:eastAsia="es-ES"/>
        </w:rPr>
        <w:t xml:space="preserve">2025, en la cual manifiesta lo siguiente: </w:t>
      </w:r>
    </w:p>
    <w:p w14:paraId="711ECBBC" w14:textId="77777777" w:rsidR="00733A47" w:rsidRPr="00400004" w:rsidRDefault="00733A47" w:rsidP="00733A47">
      <w:pPr>
        <w:pStyle w:val="Prrafodelista"/>
        <w:tabs>
          <w:tab w:val="left" w:pos="142"/>
          <w:tab w:val="left" w:pos="284"/>
        </w:tabs>
        <w:spacing w:line="276" w:lineRule="auto"/>
        <w:ind w:left="0"/>
        <w:jc w:val="both"/>
        <w:rPr>
          <w:rFonts w:ascii="Verdana" w:eastAsia="Century Gothic" w:hAnsi="Verdana" w:cs="Century Gothic"/>
          <w:b/>
          <w:bCs/>
          <w:color w:val="000000" w:themeColor="text1"/>
        </w:rPr>
      </w:pPr>
    </w:p>
    <w:p w14:paraId="457AE222" w14:textId="77777777" w:rsidR="00733A47" w:rsidRPr="00400004" w:rsidRDefault="00733A47" w:rsidP="00733A47">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sidRPr="00400004">
        <w:rPr>
          <w:rFonts w:ascii="Verdana" w:eastAsia="Century Gothic" w:hAnsi="Verdana" w:cs="Century Gothic"/>
          <w:color w:val="000000" w:themeColor="text1"/>
          <w:sz w:val="20"/>
          <w:szCs w:val="20"/>
          <w:lang w:val="es-ES"/>
        </w:rPr>
        <w:t xml:space="preserve">“Pueden los municipios contratar de manera directa la interventoría de obras públicas con Asociaciones de Municipios, siempre que el objeto a contratar tenga relación directa con el objeto de </w:t>
      </w:r>
      <w:proofErr w:type="gramStart"/>
      <w:r w:rsidRPr="00400004">
        <w:rPr>
          <w:rFonts w:ascii="Verdana" w:eastAsia="Century Gothic" w:hAnsi="Verdana" w:cs="Century Gothic"/>
          <w:color w:val="000000" w:themeColor="text1"/>
          <w:sz w:val="20"/>
          <w:szCs w:val="20"/>
          <w:lang w:val="es-ES"/>
        </w:rPr>
        <w:t>las mismas</w:t>
      </w:r>
      <w:proofErr w:type="gramEnd"/>
      <w:r w:rsidRPr="00400004">
        <w:rPr>
          <w:rFonts w:ascii="Verdana" w:eastAsia="Century Gothic" w:hAnsi="Verdana" w:cs="Century Gothic"/>
          <w:color w:val="000000" w:themeColor="text1"/>
          <w:sz w:val="20"/>
          <w:szCs w:val="20"/>
          <w:lang w:val="es-ES"/>
        </w:rPr>
        <w:t xml:space="preserve"> señalado en sus estatutos o reglamentos”</w:t>
      </w:r>
      <w:bookmarkEnd w:id="1"/>
      <w:r w:rsidRPr="00400004">
        <w:rPr>
          <w:rFonts w:ascii="Verdana" w:eastAsia="Century Gothic" w:hAnsi="Verdana" w:cs="Century Gothic"/>
          <w:color w:val="000000" w:themeColor="text1"/>
          <w:sz w:val="20"/>
          <w:szCs w:val="20"/>
          <w:lang w:val="es-ES"/>
        </w:rPr>
        <w:t>.</w:t>
      </w:r>
    </w:p>
    <w:p w14:paraId="16420F57" w14:textId="77777777" w:rsidR="00733A47" w:rsidRPr="00593A5F" w:rsidRDefault="00733A47" w:rsidP="00733A47">
      <w:pPr>
        <w:pStyle w:val="Prrafodelista"/>
        <w:tabs>
          <w:tab w:val="left" w:pos="142"/>
          <w:tab w:val="left" w:pos="284"/>
        </w:tabs>
        <w:spacing w:line="276" w:lineRule="auto"/>
        <w:ind w:left="0"/>
        <w:jc w:val="both"/>
        <w:rPr>
          <w:rFonts w:ascii="Verdana" w:eastAsia="Century Gothic" w:hAnsi="Verdana" w:cs="Century Gothic"/>
          <w:b/>
          <w:bCs/>
        </w:rPr>
      </w:pPr>
    </w:p>
    <w:p w14:paraId="7F53400A" w14:textId="77777777" w:rsidR="00733A47" w:rsidRDefault="00733A47" w:rsidP="00733A47">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7CCABC1" w14:textId="77777777" w:rsidR="00733A47" w:rsidRDefault="00733A47" w:rsidP="00733A47">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41E5E926" w14:textId="77777777" w:rsidR="00733A47" w:rsidRPr="00593A5F" w:rsidRDefault="00733A47" w:rsidP="00733A47">
      <w:pPr>
        <w:spacing w:after="0" w:line="276" w:lineRule="auto"/>
        <w:ind w:firstLine="709"/>
        <w:jc w:val="both"/>
        <w:rPr>
          <w:rFonts w:ascii="Verdana" w:eastAsia="Calibri" w:hAnsi="Verdana" w:cs="Arial"/>
          <w:color w:val="000000"/>
          <w:lang w:val="es-ES" w:eastAsia="es-ES"/>
        </w:rPr>
      </w:pPr>
    </w:p>
    <w:p w14:paraId="2C2E2F12" w14:textId="77777777" w:rsidR="00733A47" w:rsidRPr="00593A5F" w:rsidRDefault="00733A47" w:rsidP="00733A4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2D09E55" w14:textId="77777777" w:rsidR="00733A47" w:rsidRPr="00593A5F" w:rsidRDefault="00733A47" w:rsidP="00733A47">
      <w:pPr>
        <w:tabs>
          <w:tab w:val="left" w:pos="426"/>
        </w:tabs>
        <w:spacing w:after="0" w:line="276" w:lineRule="auto"/>
        <w:jc w:val="both"/>
        <w:rPr>
          <w:rFonts w:ascii="Verdana" w:eastAsia="Century Gothic" w:hAnsi="Verdana" w:cs="Century Gothic"/>
          <w:lang w:val="es-ES"/>
        </w:rPr>
      </w:pPr>
    </w:p>
    <w:p w14:paraId="1856DFB9" w14:textId="49CC0744" w:rsidR="00733A47" w:rsidRPr="00C37052" w:rsidRDefault="00733A47" w:rsidP="00733A47">
      <w:pPr>
        <w:spacing w:after="0" w:line="276" w:lineRule="auto"/>
        <w:jc w:val="both"/>
        <w:rPr>
          <w:rFonts w:ascii="Verdana" w:eastAsia="Century Gothic" w:hAnsi="Verdana" w:cs="Century Gothic"/>
        </w:rPr>
      </w:pPr>
      <w:r w:rsidRPr="00400004">
        <w:rPr>
          <w:rFonts w:ascii="Verdana" w:eastAsia="Century Gothic" w:hAnsi="Verdana" w:cs="Century Gothic"/>
        </w:rPr>
        <w:t xml:space="preserve">De acuerdo con el contenido de su solicitud, esta Agencia resolverá el siguiente problema jurídico: </w:t>
      </w:r>
      <w:r w:rsidRPr="00C37052">
        <w:rPr>
          <w:rFonts w:ascii="Verdana" w:eastAsia="Century Gothic" w:hAnsi="Verdana" w:cs="Century Gothic"/>
          <w:color w:val="000000" w:themeColor="text1"/>
        </w:rPr>
        <w:t>¿</w:t>
      </w:r>
      <w:r w:rsidRPr="00C37052">
        <w:rPr>
          <w:rFonts w:ascii="Verdana" w:eastAsia="Century Gothic" w:hAnsi="Verdana" w:cs="Century Gothic"/>
          <w:color w:val="000000" w:themeColor="text1"/>
          <w:lang w:val="es-ES"/>
        </w:rPr>
        <w:t xml:space="preserve">Es posible que una entidad </w:t>
      </w:r>
      <w:r>
        <w:rPr>
          <w:rFonts w:ascii="Verdana" w:eastAsia="Century Gothic" w:hAnsi="Verdana" w:cs="Century Gothic"/>
          <w:color w:val="000000" w:themeColor="text1"/>
          <w:lang w:val="es-ES"/>
        </w:rPr>
        <w:t>pública</w:t>
      </w:r>
      <w:r w:rsidRPr="00C37052">
        <w:rPr>
          <w:rFonts w:ascii="Verdana" w:eastAsia="Century Gothic" w:hAnsi="Verdana" w:cs="Century Gothic"/>
          <w:color w:val="000000" w:themeColor="text1"/>
          <w:lang w:val="es-ES"/>
        </w:rPr>
        <w:t xml:space="preserve"> contrate de manera directa la interventoría de obras públicas con Asociaciones de Municipios</w:t>
      </w:r>
      <w:r w:rsidR="009B6023">
        <w:rPr>
          <w:rFonts w:ascii="Verdana" w:eastAsia="Century Gothic" w:hAnsi="Verdana" w:cs="Century Gothic"/>
          <w:color w:val="000000" w:themeColor="text1"/>
          <w:lang w:val="es-ES"/>
        </w:rPr>
        <w:t xml:space="preserve">, a través de </w:t>
      </w:r>
      <w:r w:rsidR="00F87CF6">
        <w:rPr>
          <w:rFonts w:ascii="Verdana" w:eastAsia="Century Gothic" w:hAnsi="Verdana" w:cs="Century Gothic"/>
          <w:color w:val="000000" w:themeColor="text1"/>
          <w:lang w:val="es-ES"/>
        </w:rPr>
        <w:t xml:space="preserve">un contrato </w:t>
      </w:r>
      <w:r w:rsidR="000972DF">
        <w:rPr>
          <w:rFonts w:ascii="Verdana" w:eastAsia="Century Gothic" w:hAnsi="Verdana" w:cs="Century Gothic"/>
          <w:color w:val="000000" w:themeColor="text1"/>
          <w:lang w:val="es-ES"/>
        </w:rPr>
        <w:t>interadministrativo</w:t>
      </w:r>
      <w:r w:rsidRPr="00C37052">
        <w:rPr>
          <w:rFonts w:ascii="Verdana" w:eastAsia="Century Gothic" w:hAnsi="Verdana" w:cs="Century Gothic"/>
          <w:color w:val="000000" w:themeColor="text1"/>
        </w:rPr>
        <w:t xml:space="preserve">? </w:t>
      </w:r>
    </w:p>
    <w:p w14:paraId="57D18291" w14:textId="77777777" w:rsidR="00733A47" w:rsidRPr="00593A5F" w:rsidRDefault="00733A47" w:rsidP="00733A47">
      <w:pPr>
        <w:spacing w:after="0" w:line="276" w:lineRule="auto"/>
        <w:jc w:val="both"/>
        <w:rPr>
          <w:rFonts w:ascii="Verdana" w:eastAsia="Calibri" w:hAnsi="Verdana" w:cs="Arial"/>
          <w:color w:val="7030A0"/>
          <w:lang w:val="es-ES"/>
        </w:rPr>
      </w:pPr>
    </w:p>
    <w:p w14:paraId="1B8AD4A9" w14:textId="77777777" w:rsidR="00733A47" w:rsidRPr="00593A5F" w:rsidRDefault="00733A47" w:rsidP="6578903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Respuesta:</w:t>
      </w:r>
      <w:commentRangeStart w:id="2"/>
      <w:commentRangeEnd w:id="2"/>
      <w:r>
        <w:commentReference w:id="2"/>
      </w:r>
    </w:p>
    <w:p w14:paraId="380D2505" w14:textId="77777777" w:rsidR="00733A47" w:rsidRPr="00593A5F" w:rsidRDefault="00733A47" w:rsidP="00733A4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33A47" w:rsidRPr="00593A5F" w14:paraId="1801EB21" w14:textId="77777777" w:rsidTr="00EE5BCC">
        <w:tc>
          <w:tcPr>
            <w:tcW w:w="8828" w:type="dxa"/>
            <w:shd w:val="clear" w:color="auto" w:fill="auto"/>
          </w:tcPr>
          <w:p w14:paraId="18C2D29F" w14:textId="77777777" w:rsidR="00D53C47" w:rsidRDefault="002D36EF" w:rsidP="00BD514F">
            <w:pPr>
              <w:pStyle w:val="NormalWeb"/>
              <w:spacing w:line="276" w:lineRule="auto"/>
              <w:jc w:val="both"/>
              <w:rPr>
                <w:rFonts w:ascii="Verdana" w:hAnsi="Verdana"/>
                <w:sz w:val="22"/>
                <w:szCs w:val="22"/>
              </w:rPr>
            </w:pPr>
            <w:r w:rsidRPr="00D53C47">
              <w:rPr>
                <w:rFonts w:ascii="Verdana" w:hAnsi="Verdana"/>
                <w:sz w:val="22"/>
                <w:szCs w:val="22"/>
              </w:rPr>
              <w:t>La normativa de contratación pública en Colombia establece restricciones claras para la modalidad de contratación directa en contratos interadministrativos. Específicamente, el</w:t>
            </w:r>
            <w:r w:rsidRPr="00D53C47">
              <w:rPr>
                <w:rFonts w:ascii="Verdana" w:hAnsi="Verdana"/>
                <w:b/>
                <w:bCs/>
                <w:sz w:val="22"/>
                <w:szCs w:val="22"/>
              </w:rPr>
              <w:t xml:space="preserve"> </w:t>
            </w:r>
            <w:r w:rsidRPr="00D53C47">
              <w:rPr>
                <w:rStyle w:val="Textoennegrita"/>
                <w:rFonts w:ascii="Verdana" w:hAnsi="Verdana"/>
                <w:b w:val="0"/>
                <w:bCs w:val="0"/>
                <w:sz w:val="22"/>
                <w:szCs w:val="22"/>
              </w:rPr>
              <w:t>artículo 92 de la Ley 1474 de 2011</w:t>
            </w:r>
            <w:r w:rsidRPr="00D53C47">
              <w:rPr>
                <w:rFonts w:ascii="Verdana" w:hAnsi="Verdana"/>
                <w:sz w:val="22"/>
                <w:szCs w:val="22"/>
              </w:rPr>
              <w:t>, que modificó el literal c) del numeral 4 del artículo 2 de la Ley 1150 de 2007, prohíbe de manera taxativa la celebración de contratos bajo esta modalidad para ciertos objetos y tipologías contractuales.</w:t>
            </w:r>
          </w:p>
          <w:p w14:paraId="7BF9C311" w14:textId="4C03393F" w:rsidR="002D36EF" w:rsidRPr="00D53C47" w:rsidRDefault="00D53C47" w:rsidP="00BD514F">
            <w:pPr>
              <w:pStyle w:val="NormalWeb"/>
              <w:spacing w:line="276" w:lineRule="auto"/>
              <w:jc w:val="both"/>
              <w:rPr>
                <w:rFonts w:ascii="Verdana" w:hAnsi="Verdana"/>
                <w:sz w:val="22"/>
                <w:szCs w:val="22"/>
              </w:rPr>
            </w:pPr>
            <w:r>
              <w:rPr>
                <w:rFonts w:ascii="Verdana" w:hAnsi="Verdana"/>
                <w:sz w:val="22"/>
                <w:szCs w:val="22"/>
              </w:rPr>
              <w:t xml:space="preserve">       </w:t>
            </w:r>
            <w:r w:rsidR="002D36EF" w:rsidRPr="00D53C47">
              <w:rPr>
                <w:rFonts w:ascii="Verdana" w:hAnsi="Verdana"/>
                <w:sz w:val="22"/>
                <w:szCs w:val="22"/>
              </w:rPr>
              <w:t>En particular, se exceptúa la posibilidad de contratar directamente: los Contratos de obra, Suministro, Prestación de servicios de evaluación de conformidad respecto de las normas o reglamentos técnicos y Encargos fiduciarios y fiducia pública.</w:t>
            </w:r>
            <w:r w:rsidR="00BD514F" w:rsidRPr="00D53C47">
              <w:rPr>
                <w:rFonts w:ascii="Verdana" w:hAnsi="Verdana"/>
                <w:sz w:val="22"/>
                <w:szCs w:val="22"/>
              </w:rPr>
              <w:t xml:space="preserve"> </w:t>
            </w:r>
            <w:r w:rsidR="002D36EF" w:rsidRPr="00D53C47">
              <w:rPr>
                <w:rFonts w:ascii="Verdana" w:hAnsi="Verdana"/>
                <w:sz w:val="22"/>
                <w:szCs w:val="22"/>
              </w:rPr>
              <w:t xml:space="preserve">Adicionalmente, la ley establece una prohibición específica para las personas jurídicas sin ánimo de lucro que son conformadas por la asociación de entidades públicas. Se determina que estas deben </w:t>
            </w:r>
            <w:r w:rsidR="002D36EF" w:rsidRPr="00D53C47">
              <w:rPr>
                <w:rFonts w:ascii="Verdana" w:hAnsi="Verdana"/>
                <w:sz w:val="22"/>
                <w:szCs w:val="22"/>
              </w:rPr>
              <w:lastRenderedPageBreak/>
              <w:t>someterse a los procesos de selección competitivos establecidos en la</w:t>
            </w:r>
            <w:r w:rsidR="002D36EF" w:rsidRPr="00D53C47">
              <w:rPr>
                <w:rFonts w:ascii="Verdana" w:hAnsi="Verdana"/>
                <w:b/>
                <w:bCs/>
                <w:sz w:val="22"/>
                <w:szCs w:val="22"/>
              </w:rPr>
              <w:t xml:space="preserve"> </w:t>
            </w:r>
            <w:r w:rsidR="002D36EF" w:rsidRPr="00D53C47">
              <w:rPr>
                <w:rStyle w:val="Textoennegrita"/>
                <w:rFonts w:ascii="Verdana" w:hAnsi="Verdana"/>
                <w:b w:val="0"/>
                <w:bCs w:val="0"/>
                <w:sz w:val="22"/>
                <w:szCs w:val="22"/>
              </w:rPr>
              <w:t>Ley 1150 de 2007</w:t>
            </w:r>
            <w:r w:rsidR="002D36EF" w:rsidRPr="00D53C47">
              <w:rPr>
                <w:rFonts w:ascii="Verdana" w:hAnsi="Verdana"/>
                <w:b/>
                <w:bCs/>
                <w:sz w:val="22"/>
                <w:szCs w:val="22"/>
              </w:rPr>
              <w:t>,</w:t>
            </w:r>
            <w:r w:rsidR="002D36EF" w:rsidRPr="00D53C47">
              <w:rPr>
                <w:rFonts w:ascii="Verdana" w:hAnsi="Verdana"/>
                <w:sz w:val="22"/>
                <w:szCs w:val="22"/>
              </w:rPr>
              <w:t xml:space="preserve"> es decir, la licitación pública y la selección abreviada.</w:t>
            </w:r>
          </w:p>
          <w:p w14:paraId="37BD61E1" w14:textId="77777777" w:rsidR="002D36EF" w:rsidRPr="00D53C47" w:rsidRDefault="002D36EF" w:rsidP="00BD514F">
            <w:pPr>
              <w:pStyle w:val="NormalWeb"/>
              <w:spacing w:line="276" w:lineRule="auto"/>
              <w:rPr>
                <w:rFonts w:ascii="Verdana" w:hAnsi="Verdana"/>
                <w:sz w:val="22"/>
                <w:szCs w:val="22"/>
              </w:rPr>
            </w:pPr>
            <w:r w:rsidRPr="00D53C47">
              <w:rPr>
                <w:rFonts w:ascii="Verdana" w:hAnsi="Verdana"/>
                <w:sz w:val="22"/>
                <w:szCs w:val="22"/>
              </w:rPr>
              <w:t>Esto significa que deben competir en igualdad de condiciones con los particulares, limitándose, en consecuencia, la posibilidad de acudir a la modalidad de contratación directa.</w:t>
            </w:r>
          </w:p>
          <w:p w14:paraId="58C7CB17" w14:textId="3871ED4E" w:rsidR="002D36EF" w:rsidRPr="00D53C47" w:rsidRDefault="00D53C47" w:rsidP="00BD514F">
            <w:pPr>
              <w:pStyle w:val="NormalWeb"/>
              <w:spacing w:line="276" w:lineRule="auto"/>
              <w:jc w:val="both"/>
              <w:rPr>
                <w:rFonts w:ascii="Verdana" w:hAnsi="Verdana"/>
                <w:sz w:val="22"/>
                <w:szCs w:val="22"/>
              </w:rPr>
            </w:pPr>
            <w:r>
              <w:rPr>
                <w:rFonts w:ascii="Verdana" w:hAnsi="Verdana"/>
                <w:sz w:val="22"/>
                <w:szCs w:val="22"/>
              </w:rPr>
              <w:t xml:space="preserve">       </w:t>
            </w:r>
            <w:r w:rsidR="00BD514F" w:rsidRPr="00D53C47">
              <w:rPr>
                <w:rFonts w:ascii="Verdana" w:hAnsi="Verdana"/>
                <w:sz w:val="22"/>
                <w:szCs w:val="22"/>
              </w:rPr>
              <w:t xml:space="preserve">Por lo que </w:t>
            </w:r>
            <w:r w:rsidR="007C2ECF" w:rsidRPr="00D53C47">
              <w:rPr>
                <w:rFonts w:ascii="Verdana" w:hAnsi="Verdana"/>
                <w:sz w:val="22"/>
                <w:szCs w:val="22"/>
              </w:rPr>
              <w:t xml:space="preserve">remitiéndonos al objeto de la consulta, cuyo propósito es </w:t>
            </w:r>
            <w:r w:rsidR="00BD514F" w:rsidRPr="00D53C47">
              <w:rPr>
                <w:rFonts w:ascii="Verdana" w:hAnsi="Verdana"/>
                <w:sz w:val="22"/>
                <w:szCs w:val="22"/>
              </w:rPr>
              <w:t xml:space="preserve">determinar </w:t>
            </w:r>
            <w:r w:rsidR="002D36EF" w:rsidRPr="00D53C47">
              <w:rPr>
                <w:rFonts w:ascii="Verdana" w:hAnsi="Verdana"/>
                <w:sz w:val="22"/>
                <w:szCs w:val="22"/>
              </w:rPr>
              <w:t xml:space="preserve">si es viable contratar de manera directa la interventoría de obras públicas con una asociación de municipios, es necesario analizar si este servicio se enmarca en las prohibiciones del </w:t>
            </w:r>
            <w:r w:rsidR="002D36EF" w:rsidRPr="00D53C47">
              <w:rPr>
                <w:rStyle w:val="Textoennegrita"/>
                <w:rFonts w:ascii="Verdana" w:hAnsi="Verdana"/>
                <w:b w:val="0"/>
                <w:bCs w:val="0"/>
                <w:sz w:val="22"/>
                <w:szCs w:val="22"/>
              </w:rPr>
              <w:t>artículo 92</w:t>
            </w:r>
            <w:r w:rsidR="002D36EF" w:rsidRPr="00D53C47">
              <w:rPr>
                <w:rFonts w:ascii="Verdana" w:hAnsi="Verdana"/>
                <w:sz w:val="22"/>
                <w:szCs w:val="22"/>
              </w:rPr>
              <w:t xml:space="preserve"> ya mencionado. Dicho artículo prohíbe categóricamente la contratación directa para la </w:t>
            </w:r>
            <w:r w:rsidR="002D36EF" w:rsidRPr="00D53C47">
              <w:rPr>
                <w:rStyle w:val="Textoennegrita"/>
                <w:rFonts w:ascii="Verdana" w:hAnsi="Verdana"/>
                <w:sz w:val="22"/>
                <w:szCs w:val="22"/>
              </w:rPr>
              <w:t>“</w:t>
            </w:r>
            <w:r w:rsidR="002D36EF" w:rsidRPr="00D53C47">
              <w:rPr>
                <w:rStyle w:val="Textoennegrita"/>
                <w:rFonts w:ascii="Verdana" w:hAnsi="Verdana"/>
                <w:b w:val="0"/>
                <w:bCs w:val="0"/>
                <w:sz w:val="22"/>
                <w:szCs w:val="22"/>
              </w:rPr>
              <w:t>prestación de</w:t>
            </w:r>
            <w:r w:rsidR="002D36EF" w:rsidRPr="00D53C47">
              <w:rPr>
                <w:rStyle w:val="Textoennegrita"/>
                <w:rFonts w:ascii="Verdana" w:hAnsi="Verdana"/>
                <w:sz w:val="22"/>
                <w:szCs w:val="22"/>
              </w:rPr>
              <w:t xml:space="preserve"> </w:t>
            </w:r>
            <w:r w:rsidR="002D36EF" w:rsidRPr="00D53C47">
              <w:rPr>
                <w:rStyle w:val="Textoennegrita"/>
                <w:rFonts w:ascii="Verdana" w:hAnsi="Verdana"/>
                <w:b w:val="0"/>
                <w:bCs w:val="0"/>
                <w:sz w:val="22"/>
                <w:szCs w:val="22"/>
              </w:rPr>
              <w:t>servicios de evaluación de conformidad respecto de las normas o reglamentos técnicos”</w:t>
            </w:r>
            <w:r w:rsidR="002D36EF" w:rsidRPr="00D53C47">
              <w:rPr>
                <w:rFonts w:ascii="Verdana" w:hAnsi="Verdana"/>
                <w:b/>
                <w:bCs/>
                <w:sz w:val="22"/>
                <w:szCs w:val="22"/>
              </w:rPr>
              <w:t>.</w:t>
            </w:r>
          </w:p>
          <w:p w14:paraId="0849F4B7" w14:textId="6A68E1A4" w:rsidR="002D36EF" w:rsidRPr="00D53C47" w:rsidRDefault="00D53C47" w:rsidP="00222383">
            <w:pPr>
              <w:pStyle w:val="NormalWeb"/>
              <w:spacing w:line="276" w:lineRule="auto"/>
              <w:jc w:val="both"/>
              <w:rPr>
                <w:rFonts w:ascii="Verdana" w:hAnsi="Verdana"/>
                <w:sz w:val="22"/>
                <w:szCs w:val="22"/>
              </w:rPr>
            </w:pPr>
            <w:r>
              <w:rPr>
                <w:rFonts w:ascii="Verdana" w:hAnsi="Verdana"/>
                <w:sz w:val="22"/>
                <w:szCs w:val="22"/>
              </w:rPr>
              <w:t xml:space="preserve">       </w:t>
            </w:r>
            <w:r w:rsidR="00BD514F" w:rsidRPr="00D53C47">
              <w:rPr>
                <w:rFonts w:ascii="Verdana" w:hAnsi="Verdana"/>
                <w:sz w:val="22"/>
                <w:szCs w:val="22"/>
              </w:rPr>
              <w:t xml:space="preserve">Definición </w:t>
            </w:r>
            <w:r w:rsidR="007C2ECF" w:rsidRPr="00D53C47">
              <w:rPr>
                <w:rFonts w:ascii="Verdana" w:hAnsi="Verdana"/>
                <w:sz w:val="22"/>
                <w:szCs w:val="22"/>
              </w:rPr>
              <w:t xml:space="preserve">que encuadra con el </w:t>
            </w:r>
            <w:r w:rsidR="002D36EF" w:rsidRPr="00D53C47">
              <w:rPr>
                <w:rStyle w:val="Textoennegrita"/>
                <w:rFonts w:ascii="Verdana" w:hAnsi="Verdana"/>
                <w:b w:val="0"/>
                <w:bCs w:val="0"/>
                <w:sz w:val="22"/>
                <w:szCs w:val="22"/>
              </w:rPr>
              <w:t>artículo 83 de la Ley 1474 de 2011</w:t>
            </w:r>
            <w:r w:rsidR="00BD514F" w:rsidRPr="00D53C47">
              <w:rPr>
                <w:rStyle w:val="Textoennegrita"/>
                <w:rFonts w:ascii="Verdana" w:hAnsi="Verdana"/>
                <w:b w:val="0"/>
                <w:bCs w:val="0"/>
                <w:sz w:val="22"/>
                <w:szCs w:val="22"/>
              </w:rPr>
              <w:t>, en cuanto allí</w:t>
            </w:r>
            <w:r w:rsidR="002D36EF" w:rsidRPr="00D53C47">
              <w:rPr>
                <w:rFonts w:ascii="Verdana" w:hAnsi="Verdana"/>
                <w:sz w:val="22"/>
                <w:szCs w:val="22"/>
              </w:rPr>
              <w:t xml:space="preserve"> </w:t>
            </w:r>
            <w:r w:rsidR="00BD514F" w:rsidRPr="00D53C47">
              <w:rPr>
                <w:rFonts w:ascii="Verdana" w:hAnsi="Verdana"/>
                <w:sz w:val="22"/>
                <w:szCs w:val="22"/>
              </w:rPr>
              <w:t xml:space="preserve">se </w:t>
            </w:r>
            <w:r w:rsidR="002D36EF" w:rsidRPr="00D53C47">
              <w:rPr>
                <w:rFonts w:ascii="Verdana" w:hAnsi="Verdana"/>
                <w:sz w:val="22"/>
                <w:szCs w:val="22"/>
              </w:rPr>
              <w:t xml:space="preserve">define </w:t>
            </w:r>
            <w:r w:rsidR="00BD514F" w:rsidRPr="00D53C47">
              <w:rPr>
                <w:rFonts w:ascii="Verdana" w:hAnsi="Verdana"/>
                <w:sz w:val="22"/>
                <w:szCs w:val="22"/>
              </w:rPr>
              <w:t xml:space="preserve">que </w:t>
            </w:r>
            <w:r w:rsidR="002D36EF" w:rsidRPr="00D53C47">
              <w:rPr>
                <w:rFonts w:ascii="Verdana" w:hAnsi="Verdana"/>
                <w:sz w:val="22"/>
                <w:szCs w:val="22"/>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163CCC8A" w14:textId="38532ABC" w:rsidR="002D36EF" w:rsidRPr="00D53C47" w:rsidRDefault="00D53C47" w:rsidP="00426071">
            <w:pPr>
              <w:pStyle w:val="NormalWeb"/>
              <w:jc w:val="both"/>
              <w:rPr>
                <w:rFonts w:ascii="Verdana" w:hAnsi="Verdana"/>
                <w:sz w:val="22"/>
                <w:szCs w:val="22"/>
              </w:rPr>
            </w:pPr>
            <w:r>
              <w:rPr>
                <w:rFonts w:ascii="Verdana" w:hAnsi="Verdana"/>
                <w:sz w:val="22"/>
                <w:szCs w:val="22"/>
              </w:rPr>
              <w:t xml:space="preserve">        </w:t>
            </w:r>
            <w:r w:rsidR="00222383" w:rsidRPr="00D53C47">
              <w:rPr>
                <w:rFonts w:ascii="Verdana" w:hAnsi="Verdana"/>
                <w:sz w:val="22"/>
                <w:szCs w:val="22"/>
              </w:rPr>
              <w:t xml:space="preserve">Esta </w:t>
            </w:r>
            <w:r w:rsidR="00426071" w:rsidRPr="00D53C47">
              <w:rPr>
                <w:rFonts w:ascii="Verdana" w:hAnsi="Verdana"/>
                <w:sz w:val="22"/>
                <w:szCs w:val="22"/>
              </w:rPr>
              <w:t>interpretación</w:t>
            </w:r>
            <w:r w:rsidR="002D36EF" w:rsidRPr="00D53C47">
              <w:rPr>
                <w:rFonts w:ascii="Verdana" w:hAnsi="Verdana"/>
                <w:sz w:val="22"/>
                <w:szCs w:val="22"/>
              </w:rPr>
              <w:t xml:space="preserve"> se ve reforzada por el </w:t>
            </w:r>
            <w:r w:rsidR="002D36EF" w:rsidRPr="00D53C47">
              <w:rPr>
                <w:rStyle w:val="Textoennegrita"/>
                <w:rFonts w:ascii="Verdana" w:hAnsi="Verdana"/>
                <w:b w:val="0"/>
                <w:bCs w:val="0"/>
                <w:sz w:val="22"/>
                <w:szCs w:val="22"/>
              </w:rPr>
              <w:t>Concepto No. 2092 del 28 de junio de 2012</w:t>
            </w:r>
            <w:r w:rsidR="002D36EF" w:rsidRPr="00D53C47">
              <w:rPr>
                <w:rFonts w:ascii="Verdana" w:hAnsi="Verdana"/>
                <w:sz w:val="22"/>
                <w:szCs w:val="22"/>
              </w:rPr>
              <w:t xml:space="preserve"> (C.P. William Zambrano Cetina) de la Sala de Consulta y Servicio Civil del Consejo de Estado. Este concepto llegó a dos conclusiones fundamentales sobre la contratación directa interadministrativa:</w:t>
            </w:r>
          </w:p>
          <w:p w14:paraId="00EF364C" w14:textId="77777777" w:rsidR="00BD514F" w:rsidRPr="00D53C47" w:rsidRDefault="00BD514F" w:rsidP="00D53C47">
            <w:pPr>
              <w:spacing w:before="100" w:beforeAutospacing="1" w:after="100" w:afterAutospacing="1"/>
              <w:ind w:left="709" w:right="709"/>
              <w:jc w:val="both"/>
              <w:rPr>
                <w:rFonts w:ascii="Verdana" w:hAnsi="Verdana"/>
              </w:rPr>
            </w:pPr>
            <w:r w:rsidRPr="00D53C47">
              <w:rPr>
                <w:rFonts w:ascii="Verdana" w:hAnsi="Verdana"/>
              </w:rPr>
              <w:t>“</w:t>
            </w:r>
            <w:r w:rsidR="002D36EF" w:rsidRPr="00D53C47">
              <w:rPr>
                <w:rFonts w:ascii="Verdana" w:hAnsi="Verdana"/>
              </w:rPr>
              <w:t xml:space="preserve">En primer lugar, la viabilidad de suscribir estos contratos está sujeta a que las obligaciones contractuales tengan una </w:t>
            </w:r>
            <w:r w:rsidR="002D36EF" w:rsidRPr="00D53C47">
              <w:rPr>
                <w:rStyle w:val="Textoennegrita"/>
                <w:rFonts w:ascii="Verdana" w:hAnsi="Verdana"/>
              </w:rPr>
              <w:t>relación directa con el objeto de la entidad pública</w:t>
            </w:r>
            <w:r w:rsidR="002D36EF" w:rsidRPr="00D53C47">
              <w:rPr>
                <w:rFonts w:ascii="Verdana" w:hAnsi="Verdana"/>
              </w:rPr>
              <w:t xml:space="preserve"> que actúa como contratista.</w:t>
            </w:r>
            <w:r w:rsidRPr="00D53C47">
              <w:rPr>
                <w:rFonts w:ascii="Verdana" w:hAnsi="Verdana"/>
              </w:rPr>
              <w:t xml:space="preserve"> </w:t>
            </w:r>
          </w:p>
          <w:p w14:paraId="7786D564" w14:textId="1BF566EB" w:rsidR="002D36EF" w:rsidRPr="00D53C47" w:rsidRDefault="002D36EF" w:rsidP="00D53C47">
            <w:pPr>
              <w:spacing w:before="100" w:beforeAutospacing="1" w:after="100" w:afterAutospacing="1"/>
              <w:ind w:left="709" w:right="709"/>
              <w:jc w:val="both"/>
              <w:rPr>
                <w:rFonts w:ascii="Verdana" w:hAnsi="Verdana"/>
              </w:rPr>
            </w:pPr>
            <w:r w:rsidRPr="00D53C47">
              <w:rPr>
                <w:rFonts w:ascii="Verdana" w:hAnsi="Verdana"/>
              </w:rPr>
              <w:t xml:space="preserve">En segundo lugar, los contratos interadministrativos de obra, suministro, </w:t>
            </w:r>
            <w:r w:rsidRPr="00D53C47">
              <w:rPr>
                <w:rStyle w:val="Textoennegrita"/>
                <w:rFonts w:ascii="Verdana" w:hAnsi="Verdana"/>
              </w:rPr>
              <w:t>prestación de servicios de evaluación de conformidad</w:t>
            </w:r>
            <w:r w:rsidRPr="00D53C47">
              <w:rPr>
                <w:rFonts w:ascii="Verdana" w:hAnsi="Verdana"/>
              </w:rPr>
              <w:t xml:space="preserve">, encargos fiduciarios y fiducia pública, suscritos con instituciones de educación superior, </w:t>
            </w:r>
            <w:r w:rsidRPr="00D53C47">
              <w:rPr>
                <w:rStyle w:val="Textoennegrita"/>
                <w:rFonts w:ascii="Verdana" w:hAnsi="Verdana"/>
              </w:rPr>
              <w:t>entre otras</w:t>
            </w:r>
            <w:r w:rsidRPr="00D53C47">
              <w:rPr>
                <w:rFonts w:ascii="Verdana" w:hAnsi="Verdana"/>
              </w:rPr>
              <w:t xml:space="preserve">, no pueden </w:t>
            </w:r>
            <w:r w:rsidRPr="00D53C47">
              <w:rPr>
                <w:rFonts w:ascii="Verdana" w:hAnsi="Verdana"/>
              </w:rPr>
              <w:lastRenderedPageBreak/>
              <w:t>realizarse por contratación directa. En cambio, requieren licitación pública o selección abreviada, y el objeto contractual debe, igualmente, tener relación con la misionalidad de la entidad</w:t>
            </w:r>
            <w:r w:rsidR="00426071" w:rsidRPr="00D53C47">
              <w:rPr>
                <w:rFonts w:ascii="Verdana" w:hAnsi="Verdana"/>
              </w:rPr>
              <w:t>”</w:t>
            </w:r>
            <w:r w:rsidRPr="00D53C47">
              <w:rPr>
                <w:rFonts w:ascii="Verdana" w:hAnsi="Verdana"/>
              </w:rPr>
              <w:t>.</w:t>
            </w:r>
          </w:p>
          <w:p w14:paraId="6B16F90C" w14:textId="4B20FFBA" w:rsidR="002D36EF" w:rsidRPr="00D53C47" w:rsidRDefault="00D53C47" w:rsidP="00426071">
            <w:pPr>
              <w:pStyle w:val="NormalWeb"/>
              <w:jc w:val="both"/>
              <w:rPr>
                <w:rFonts w:ascii="Verdana" w:hAnsi="Verdana"/>
                <w:sz w:val="22"/>
                <w:szCs w:val="22"/>
              </w:rPr>
            </w:pPr>
            <w:r>
              <w:rPr>
                <w:rFonts w:ascii="Verdana" w:hAnsi="Verdana"/>
                <w:sz w:val="22"/>
                <w:szCs w:val="22"/>
              </w:rPr>
              <w:t xml:space="preserve">      </w:t>
            </w:r>
            <w:r w:rsidR="002D36EF" w:rsidRPr="00D53C47">
              <w:rPr>
                <w:rFonts w:ascii="Verdana" w:hAnsi="Verdana"/>
                <w:sz w:val="22"/>
                <w:szCs w:val="22"/>
              </w:rPr>
              <w:t xml:space="preserve">La expresión </w:t>
            </w:r>
            <w:r w:rsidR="002D36EF" w:rsidRPr="00D53C47">
              <w:rPr>
                <w:rStyle w:val="Textoennegrita"/>
                <w:rFonts w:ascii="Verdana" w:hAnsi="Verdana"/>
                <w:sz w:val="22"/>
                <w:szCs w:val="22"/>
              </w:rPr>
              <w:t>“entre otros”</w:t>
            </w:r>
            <w:r w:rsidR="002D36EF" w:rsidRPr="00D53C47">
              <w:rPr>
                <w:rFonts w:ascii="Verdana" w:hAnsi="Verdana"/>
                <w:sz w:val="22"/>
                <w:szCs w:val="22"/>
              </w:rPr>
              <w:t>, utilizada por el Consejo de Estado, incluye a las personas jurídicas sin ánimo de lucro conformadas por la asociación de entidades públicas, como es el caso de una asociación de municipios. Dado que esta es una norma de excepción, su aplicación no puede ser extensiva ni analógica. Por lo tanto, cada entidad debe verificar su propia naturaleza jurídica en su acto de creación para determinar si encaja en esta categoría.</w:t>
            </w:r>
          </w:p>
          <w:p w14:paraId="6B5D31E6" w14:textId="71077A22" w:rsidR="002D36EF" w:rsidRPr="00D53C47" w:rsidRDefault="00D53C47" w:rsidP="00426071">
            <w:pPr>
              <w:pStyle w:val="NormalWeb"/>
              <w:jc w:val="both"/>
              <w:rPr>
                <w:rFonts w:ascii="Verdana" w:hAnsi="Verdana"/>
                <w:sz w:val="22"/>
                <w:szCs w:val="22"/>
              </w:rPr>
            </w:pPr>
            <w:r>
              <w:rPr>
                <w:rFonts w:ascii="Verdana" w:hAnsi="Verdana"/>
                <w:sz w:val="22"/>
                <w:szCs w:val="22"/>
              </w:rPr>
              <w:t xml:space="preserve">       </w:t>
            </w:r>
            <w:r w:rsidR="002D36EF" w:rsidRPr="00D53C47">
              <w:rPr>
                <w:rFonts w:ascii="Verdana" w:hAnsi="Verdana"/>
                <w:sz w:val="22"/>
                <w:szCs w:val="22"/>
              </w:rPr>
              <w:t xml:space="preserve">Así las cosas, es claro que el </w:t>
            </w:r>
            <w:r w:rsidR="002D36EF" w:rsidRPr="00D53C47">
              <w:rPr>
                <w:rStyle w:val="Textoennegrita"/>
                <w:rFonts w:ascii="Verdana" w:hAnsi="Verdana"/>
                <w:b w:val="0"/>
                <w:bCs w:val="0"/>
                <w:sz w:val="22"/>
                <w:szCs w:val="22"/>
              </w:rPr>
              <w:t>artículo 92 de la Ley 1474 de 2011</w:t>
            </w:r>
            <w:r w:rsidR="002D36EF" w:rsidRPr="00D53C47">
              <w:rPr>
                <w:rFonts w:ascii="Verdana" w:hAnsi="Verdana"/>
                <w:sz w:val="22"/>
                <w:szCs w:val="22"/>
              </w:rPr>
              <w:t xml:space="preserve"> contempla dos prohibiciones que aplican a este caso: i) La naturaleza del servicio: la interventoría se enmarca en la "prestación de servicios de evaluación de conformidad". </w:t>
            </w:r>
            <w:proofErr w:type="spellStart"/>
            <w:r w:rsidR="002D36EF" w:rsidRPr="00D53C47">
              <w:rPr>
                <w:rFonts w:ascii="Verdana" w:hAnsi="Verdana"/>
                <w:sz w:val="22"/>
                <w:szCs w:val="22"/>
              </w:rPr>
              <w:t>ii</w:t>
            </w:r>
            <w:proofErr w:type="spellEnd"/>
            <w:r w:rsidR="002D36EF" w:rsidRPr="00D53C47">
              <w:rPr>
                <w:rFonts w:ascii="Verdana" w:hAnsi="Verdana"/>
                <w:sz w:val="22"/>
                <w:szCs w:val="22"/>
              </w:rPr>
              <w:t>) La naturaleza de la entidad: ser una persona jurídica sin ánimo de lucro conformada por una asociación de entidades públicas.</w:t>
            </w:r>
          </w:p>
          <w:p w14:paraId="30E68ED2" w14:textId="110A5E06" w:rsidR="00426071" w:rsidRPr="00426071" w:rsidRDefault="00D53C47" w:rsidP="00426071">
            <w:pPr>
              <w:pStyle w:val="NormalWeb"/>
              <w:jc w:val="both"/>
              <w:rPr>
                <w:rFonts w:ascii="Verdana" w:hAnsi="Verdana"/>
              </w:rPr>
            </w:pPr>
            <w:r>
              <w:rPr>
                <w:rFonts w:ascii="Verdana" w:hAnsi="Verdana"/>
                <w:sz w:val="22"/>
                <w:szCs w:val="22"/>
              </w:rPr>
              <w:t xml:space="preserve">       </w:t>
            </w:r>
            <w:r w:rsidR="002D36EF" w:rsidRPr="00D53C47">
              <w:rPr>
                <w:rFonts w:ascii="Verdana" w:hAnsi="Verdana"/>
                <w:sz w:val="22"/>
                <w:szCs w:val="22"/>
              </w:rPr>
              <w:t>Bajo estos supuestos, las Asociaciones de Municipios están obligadas a competir a través de las reglas de selección objetiva. Esta exigencia garantiza el cumplimiento de los principios de transparencia y libre concurrencia que rigen la contratación pública en Colombia.</w:t>
            </w:r>
          </w:p>
        </w:tc>
      </w:tr>
    </w:tbl>
    <w:p w14:paraId="1CA6067D" w14:textId="77777777" w:rsidR="00733A47" w:rsidRPr="00593A5F" w:rsidRDefault="00733A47" w:rsidP="00733A47">
      <w:pPr>
        <w:tabs>
          <w:tab w:val="left" w:pos="142"/>
          <w:tab w:val="left" w:pos="284"/>
        </w:tabs>
        <w:spacing w:after="0" w:line="276" w:lineRule="auto"/>
        <w:jc w:val="both"/>
        <w:rPr>
          <w:rFonts w:ascii="Verdana" w:eastAsia="Century Gothic" w:hAnsi="Verdana" w:cs="Century Gothic"/>
          <w:b/>
          <w:bCs/>
          <w:lang w:val="es-ES"/>
        </w:rPr>
      </w:pPr>
    </w:p>
    <w:p w14:paraId="2853B76A" w14:textId="77777777" w:rsidR="00733A47" w:rsidRPr="00593A5F" w:rsidRDefault="00733A47" w:rsidP="00733A4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EB0145B" w14:textId="77777777" w:rsidR="00733A47" w:rsidRPr="00593A5F" w:rsidRDefault="00733A47" w:rsidP="00733A47">
      <w:pPr>
        <w:spacing w:after="0" w:line="276" w:lineRule="auto"/>
        <w:jc w:val="both"/>
        <w:rPr>
          <w:rFonts w:ascii="Verdana" w:eastAsia="Calibri" w:hAnsi="Verdana" w:cs="Arial"/>
          <w:color w:val="7030A0"/>
          <w:lang w:val="es-ES"/>
        </w:rPr>
      </w:pPr>
    </w:p>
    <w:p w14:paraId="3409BF66" w14:textId="77777777" w:rsidR="00733A47" w:rsidRDefault="00733A47" w:rsidP="00733A47">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5008BCF" w14:textId="77777777" w:rsidR="00733A47" w:rsidRDefault="00733A47" w:rsidP="00733A47">
      <w:pPr>
        <w:spacing w:after="0" w:line="276" w:lineRule="auto"/>
        <w:jc w:val="both"/>
        <w:rPr>
          <w:rFonts w:ascii="Verdana" w:eastAsia="Calibri" w:hAnsi="Verdana" w:cs="Arial"/>
          <w:lang w:val="es-ES"/>
        </w:rPr>
      </w:pPr>
    </w:p>
    <w:p w14:paraId="310089A6" w14:textId="77777777" w:rsidR="00733A47" w:rsidRPr="00EE0A17" w:rsidRDefault="00733A47" w:rsidP="00733A47">
      <w:pPr>
        <w:spacing w:before="120" w:line="276" w:lineRule="auto"/>
        <w:jc w:val="both"/>
        <w:rPr>
          <w:rFonts w:ascii="Verdana" w:eastAsia="Calibri" w:hAnsi="Verdana" w:cs="Times New Roman"/>
          <w:color w:val="000000"/>
        </w:rPr>
      </w:pPr>
      <w:r w:rsidRPr="00EE0A17">
        <w:rPr>
          <w:rFonts w:ascii="Verdana" w:eastAsia="Calibri" w:hAnsi="Verdana" w:cs="Times New Roman"/>
          <w:color w:val="000000"/>
        </w:rPr>
        <w:t>i.</w:t>
      </w:r>
      <w:r>
        <w:rPr>
          <w:rFonts w:ascii="Verdana" w:eastAsia="Calibri" w:hAnsi="Verdana" w:cs="Times New Roman"/>
          <w:color w:val="000000"/>
        </w:rPr>
        <w:t xml:space="preserve"> </w:t>
      </w:r>
      <w:r w:rsidRPr="00EE0A17">
        <w:rPr>
          <w:rFonts w:ascii="Verdana" w:eastAsia="Calibri" w:hAnsi="Verdana" w:cs="Times New Roman"/>
          <w:color w:val="000000"/>
        </w:rPr>
        <w:t xml:space="preserve">La Ley 136 de 1994, en el artículo 149 señaló que las </w:t>
      </w:r>
      <w:r w:rsidRPr="00EE0A17">
        <w:rPr>
          <w:rFonts w:ascii="Verdana" w:eastAsia="Calibri" w:hAnsi="Verdana" w:cs="Times New Roman"/>
          <w:i/>
          <w:iCs/>
          <w:color w:val="000000"/>
        </w:rPr>
        <w:t>asociaciones de municipios</w:t>
      </w:r>
      <w:r w:rsidRPr="00EE0A17">
        <w:rPr>
          <w:rFonts w:ascii="Verdana" w:eastAsia="Calibri" w:hAnsi="Verdana" w:cs="Times New Roman"/>
          <w:color w:val="000000"/>
        </w:rPr>
        <w:t xml:space="preserve"> “son entidades administrativas de derecho público, con personería jurídica y patrimonio propio e independiente de los entes que la conforman; se rige por sus propios estatutos y gozarán para el desarrollo de su objetivo, de los mismos derechos, privilegios, excepciones y prerrogativas otorgadas por la ley a los municipios. Los actos de las asociaciones son revisables y anulables por la Jurisdicción Contencioso-administrativa”.</w:t>
      </w:r>
    </w:p>
    <w:p w14:paraId="7CAD6C1C" w14:textId="77777777" w:rsidR="00733A47" w:rsidRPr="00C45C5D" w:rsidRDefault="00733A47" w:rsidP="00733A47">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 xml:space="preserve">Por su parte, el artículo 148 de la referida Ley 136 de 1994 autorizó que “Dos o más municipios de uno o más departamentos podrán asociarse para organizar conjuntamente la prestación de servicios públicos, la ejecución de obras o el cumplimiento de funciones administrativas, procurando eficiencia y </w:t>
      </w:r>
      <w:r w:rsidRPr="00C45C5D">
        <w:rPr>
          <w:rFonts w:ascii="Verdana" w:eastAsia="Calibri" w:hAnsi="Verdana" w:cs="Times New Roman"/>
          <w:color w:val="000000"/>
        </w:rPr>
        <w:lastRenderedPageBreak/>
        <w:t>eficacia en los mismos, así como el desarrollo integral de sus territorios y colaborar mutuamente en la ejecución de obras públicas”.</w:t>
      </w:r>
    </w:p>
    <w:p w14:paraId="241960F7" w14:textId="77777777" w:rsidR="00733A47" w:rsidRPr="00C45C5D" w:rsidRDefault="00733A47" w:rsidP="00733A47">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A su vez, la Ley 1454 de 2011, orgánica del ordenamiento territorial, concibió a las asociaciones de municipios como una clase de los denominados esquemas asociativos territoriales</w:t>
      </w:r>
      <w:r w:rsidRPr="00C45C5D">
        <w:rPr>
          <w:rFonts w:ascii="Verdana" w:eastAsia="Calibri" w:hAnsi="Verdana" w:cs="Times New Roman"/>
          <w:vertAlign w:val="superscript"/>
        </w:rPr>
        <w:footnoteReference w:id="1"/>
      </w:r>
      <w:r w:rsidRPr="00C45C5D">
        <w:rPr>
          <w:rFonts w:ascii="Verdana" w:eastAsia="Calibri" w:hAnsi="Verdana" w:cs="Times New Roman"/>
          <w:color w:val="000000"/>
        </w:rPr>
        <w:t>, sobre los que el artículo 17 señala que “son entidades administrativas de derecho público, con personería jurídica y patrimonio propio e independiente de los entes que la conforman”. De igual forma, el parágrafo de esa norma indica que “en concordancia con lo previsto en el artículo 95 de la Ley 489 de 1998, las entidades territoriales podrán continuar asociándose mediante la celebración de convenios interadministrativos o mediante la conformación de personas jurídicas de derecho público o derecho privado”. Es decir, la diferencia entre las asociaciones de entidades territoriales y las asociaciones de municipios es de género y especie: si bien todas las asociaciones de municipios son asociaciones de entidades territoriales, no todas las asociaciones de entidades territoriales son asociaciones de municipios.</w:t>
      </w:r>
    </w:p>
    <w:p w14:paraId="7CA9A1B1" w14:textId="77777777" w:rsidR="00733A47" w:rsidRPr="00C45C5D" w:rsidRDefault="00733A47" w:rsidP="00733A47">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En cuanto a la manera como se conforman las asociaciones de municipios, tanto la Ley 136 de 1994 –artículo 150–</w:t>
      </w:r>
      <w:r w:rsidRPr="00C45C5D">
        <w:rPr>
          <w:rFonts w:ascii="Verdana" w:eastAsia="Calibri" w:hAnsi="Verdana" w:cs="Times New Roman"/>
          <w:vertAlign w:val="superscript"/>
        </w:rPr>
        <w:footnoteReference w:id="2"/>
      </w:r>
      <w:r w:rsidRPr="00C45C5D">
        <w:rPr>
          <w:rFonts w:ascii="Verdana" w:eastAsia="Calibri" w:hAnsi="Verdana" w:cs="Times New Roman"/>
          <w:color w:val="000000"/>
        </w:rPr>
        <w:t>, como la Ley 1454 de 2011 –artículo 14–, establecen que se hace a través de convenios, en los términos indicados en dichas disposiciones</w:t>
      </w:r>
      <w:r w:rsidRPr="00C45C5D">
        <w:rPr>
          <w:rFonts w:ascii="Verdana" w:eastAsia="Calibri" w:hAnsi="Verdana" w:cs="Times New Roman"/>
          <w:vertAlign w:val="superscript"/>
        </w:rPr>
        <w:footnoteReference w:id="3"/>
      </w:r>
      <w:r w:rsidRPr="00C45C5D">
        <w:rPr>
          <w:rFonts w:ascii="Verdana" w:eastAsia="Calibri" w:hAnsi="Verdana" w:cs="Times New Roman"/>
          <w:color w:val="000000"/>
        </w:rPr>
        <w:t>. El citado parágrafo del artículo 17 de la Ley 1454 de 2011 reconoce que las entidades territoriales pueden seguir asociándose a través de convenios interadministrativos, por lo que se entiende que la suscripción de convenios es un mecanismo para que las entidades territoriales se asocien. Además, la naturaleza y el carácter de persona jurídica que dichas leyes le atribuyen a las asociaciones de municipios conducen a entender que son entidades diferentes a los municipios que las conforman.</w:t>
      </w:r>
    </w:p>
    <w:p w14:paraId="12AD0BD3" w14:textId="77777777" w:rsidR="00733A47" w:rsidRPr="00C45C5D" w:rsidRDefault="00733A47" w:rsidP="00733A47">
      <w:pPr>
        <w:spacing w:before="120" w:after="0" w:line="276" w:lineRule="auto"/>
        <w:ind w:firstLine="708"/>
        <w:jc w:val="both"/>
        <w:rPr>
          <w:rFonts w:ascii="Verdana" w:eastAsia="Calibri" w:hAnsi="Verdana" w:cs="Times New Roman"/>
          <w:color w:val="000000"/>
        </w:rPr>
      </w:pPr>
      <w:r w:rsidRPr="00C45C5D">
        <w:rPr>
          <w:rFonts w:ascii="Verdana" w:eastAsia="Calibri" w:hAnsi="Verdana" w:cs="Times New Roman"/>
          <w:color w:val="000000"/>
        </w:rPr>
        <w:t xml:space="preserve">Ahora bien, la normativa expuesta se relaciona con las asociaciones de entidades territoriales, particularmente de municipios. Sin embargo, lo anterior no implica desconocer la posibilidad que existe, en general, para las demás entidades estatales para asociarse, particularmente, con fundamento en lo </w:t>
      </w:r>
      <w:r w:rsidRPr="00C45C5D">
        <w:rPr>
          <w:rFonts w:ascii="Verdana" w:eastAsia="Calibri" w:hAnsi="Verdana" w:cs="Times New Roman"/>
          <w:color w:val="000000"/>
        </w:rPr>
        <w:lastRenderedPageBreak/>
        <w:t>prescrito en el artículo 95 de la Ley 489 de 1998, que permite la asociación de entidades públicas, estableciendo la posibilidad de conformar personas jurídicas sin ánimo de lucro</w:t>
      </w:r>
      <w:r w:rsidRPr="00C45C5D">
        <w:rPr>
          <w:rFonts w:ascii="Verdana" w:eastAsia="Calibri" w:hAnsi="Verdana" w:cs="Times New Roman"/>
          <w:color w:val="000000"/>
          <w:vertAlign w:val="superscript"/>
        </w:rPr>
        <w:footnoteReference w:id="4"/>
      </w:r>
      <w:r w:rsidRPr="00C45C5D">
        <w:rPr>
          <w:rFonts w:ascii="Verdana" w:eastAsia="Calibri" w:hAnsi="Verdana" w:cs="Times New Roman"/>
          <w:color w:val="000000"/>
        </w:rPr>
        <w:t xml:space="preserve">. </w:t>
      </w:r>
      <w:r w:rsidRPr="00C45C5D">
        <w:rPr>
          <w:rFonts w:ascii="Verdana" w:eastAsia="Calibri" w:hAnsi="Verdana" w:cs="Times New Roman"/>
          <w:color w:val="000000"/>
          <w:shd w:val="clear" w:color="auto" w:fill="FFFFFF"/>
        </w:rPr>
        <w:t>De este modo, la naturaleza y el carácter de persona jurídica que dichas leyes le atribuyen a las asociaciones de municipios conducen a entender que son entidades diferentes a los municipios que las conforman. </w:t>
      </w:r>
    </w:p>
    <w:p w14:paraId="13AB4F2F" w14:textId="77777777" w:rsidR="00733A47" w:rsidRPr="00C45C5D" w:rsidRDefault="00733A47" w:rsidP="00733A47">
      <w:pPr>
        <w:spacing w:before="120" w:after="0" w:line="276" w:lineRule="auto"/>
        <w:ind w:firstLine="708"/>
        <w:jc w:val="both"/>
        <w:rPr>
          <w:rFonts w:ascii="Verdana" w:eastAsia="Calibri" w:hAnsi="Verdana" w:cs="Segoe UI"/>
          <w:sz w:val="18"/>
          <w:szCs w:val="18"/>
        </w:rPr>
      </w:pPr>
      <w:r w:rsidRPr="00C45C5D">
        <w:rPr>
          <w:rFonts w:ascii="Verdana" w:eastAsia="Calibri" w:hAnsi="Verdana" w:cs="Arial"/>
          <w:color w:val="000000"/>
        </w:rPr>
        <w:t xml:space="preserve">Dicho lo anterior, en relación con la naturaleza jurídica de las asociaciones de municipios, puede afirmarse que su régimen de contratación es el general. Lo anterior se desprende, además, de lo previsto en </w:t>
      </w:r>
      <w:bookmarkStart w:id="3" w:name="_Hlk190464686"/>
      <w:r w:rsidRPr="00C45C5D">
        <w:rPr>
          <w:rFonts w:ascii="Verdana" w:eastAsia="Calibri" w:hAnsi="Verdana" w:cs="Arial"/>
          <w:color w:val="000000"/>
        </w:rPr>
        <w:t xml:space="preserve">el numeral 1 del artículo 2 de la Ley 80 de 1993, que define como entidades estatales, sujetas a dicho estatuto a: “La Nación, las regiones, los departamentos, las provincias, el distrito capital y los distritos especiales, las áreas metropolitanas, </w:t>
      </w:r>
      <w:r w:rsidRPr="00C45C5D">
        <w:rPr>
          <w:rFonts w:ascii="Verdana" w:eastAsia="Calibri" w:hAnsi="Verdana" w:cs="Arial"/>
          <w:i/>
          <w:iCs/>
          <w:color w:val="000000"/>
        </w:rPr>
        <w:t>las asociaciones de municipios</w:t>
      </w:r>
      <w:r w:rsidRPr="00C45C5D">
        <w:rPr>
          <w:rFonts w:ascii="Verdana" w:eastAsia="Calibri" w:hAnsi="Verdana" w:cs="Arial"/>
          <w:color w:val="000000"/>
        </w:rPr>
        <w:t>, los territorios indígenas y los municipios (…)” (Énfasis fuera de texto). Así las cosas, el Estatuto General de Contratación de la Administración Pública establece que las asociaciones de municipios son entidades estatales para efectos contractuales, razón por la cual se someten a dicho estatuto</w:t>
      </w:r>
      <w:bookmarkEnd w:id="3"/>
      <w:r w:rsidRPr="00C45C5D">
        <w:rPr>
          <w:rFonts w:ascii="Verdana" w:eastAsia="Calibri" w:hAnsi="Verdana" w:cs="Arial"/>
          <w:color w:val="000000"/>
        </w:rPr>
        <w:t>.  </w:t>
      </w:r>
      <w:r w:rsidRPr="00C45C5D">
        <w:rPr>
          <w:rFonts w:ascii="Verdana" w:eastAsia="Arial" w:hAnsi="Verdana" w:cs="Times New Roman"/>
          <w:color w:val="000000"/>
        </w:rPr>
        <w:t> </w:t>
      </w:r>
    </w:p>
    <w:p w14:paraId="2E097406" w14:textId="77777777" w:rsidR="00733A47" w:rsidRDefault="00733A47" w:rsidP="00733A47">
      <w:pPr>
        <w:spacing w:before="120" w:after="0" w:line="276" w:lineRule="auto"/>
        <w:ind w:firstLine="708"/>
        <w:jc w:val="both"/>
        <w:rPr>
          <w:rFonts w:ascii="Calibri" w:eastAsia="Calibri" w:hAnsi="Calibri" w:cs="Arial"/>
          <w:color w:val="000000"/>
        </w:rPr>
      </w:pPr>
      <w:r w:rsidRPr="00C45C5D">
        <w:rPr>
          <w:rFonts w:ascii="Verdana" w:eastAsia="Calibri" w:hAnsi="Verdana" w:cs="Arial"/>
          <w:color w:val="000000"/>
        </w:rPr>
        <w:t>De forma más precisa, el artículo 10 de la Ley 1150 de 2007 establece que “Las cooperativas, las asociaciones conformadas por entidades territoriales y en general los entes solidarios de carácter público estarán sometidos a las disposiciones del Estatuto General de Contratación de la Administración Pública […]”. Dicho lo anterior, resulta claro que el régimen contractual de las asociaciones de municipios no es especial, puesto que por mandato legal se someten al EGCAP</w:t>
      </w:r>
      <w:r>
        <w:rPr>
          <w:rFonts w:ascii="Verdana" w:eastAsia="Calibri" w:hAnsi="Verdana" w:cs="Arial"/>
          <w:color w:val="000000"/>
        </w:rPr>
        <w:t>.</w:t>
      </w:r>
    </w:p>
    <w:p w14:paraId="3BB4DBA1" w14:textId="77777777" w:rsidR="00733A47" w:rsidRPr="00BC7B60" w:rsidRDefault="00733A47" w:rsidP="00733A47">
      <w:pPr>
        <w:spacing w:before="120" w:after="0" w:line="276" w:lineRule="auto"/>
        <w:jc w:val="both"/>
        <w:rPr>
          <w:rFonts w:ascii="Calibri" w:eastAsia="Calibri" w:hAnsi="Calibri" w:cs="Arial"/>
          <w:color w:val="000000"/>
        </w:rPr>
      </w:pPr>
      <w:r>
        <w:rPr>
          <w:rFonts w:ascii="Verdana" w:hAnsi="Verdana"/>
          <w:color w:val="000000" w:themeColor="text1"/>
        </w:rPr>
        <w:t>ii. Ahora bien, para resolver la consulta sobre la posibilidad de que las asociaciones de municipios celebren contratos y/o convenios interadministrativos, es necesario estudiar el marco jurídico, iniciando por un análisis histórico</w:t>
      </w:r>
      <w:r>
        <w:rPr>
          <w:rFonts w:ascii="Verdana" w:eastAsia="Calibri" w:hAnsi="Verdana" w:cs="Times New Roman"/>
          <w:color w:val="000000"/>
        </w:rPr>
        <w:t>. En tal sentido, l</w:t>
      </w:r>
      <w:r w:rsidRPr="00C45C5D">
        <w:rPr>
          <w:rFonts w:ascii="Verdana" w:eastAsia="Calibri" w:hAnsi="Verdana" w:cs="Times New Roman"/>
          <w:color w:val="000000"/>
        </w:rPr>
        <w:t>a Ley 80 de 1993, en el parágrafo 1 del artículo 2, incluía a las cooperativas y asociaciones de entidades territoriales dentro de la categoría de entidades estatales sometidas a la Ley 80 de 1993, y las facultaba para suscribir convenios</w:t>
      </w:r>
      <w:r w:rsidRPr="00C45C5D">
        <w:rPr>
          <w:rFonts w:ascii="Verdana" w:eastAsia="Calibri" w:hAnsi="Verdana" w:cs="Times New Roman"/>
          <w:color w:val="000000"/>
          <w:spacing w:val="-18"/>
        </w:rPr>
        <w:t xml:space="preserve"> </w:t>
      </w:r>
      <w:r w:rsidRPr="00C45C5D">
        <w:rPr>
          <w:rFonts w:ascii="Verdana" w:eastAsia="Calibri" w:hAnsi="Verdana" w:cs="Times New Roman"/>
          <w:color w:val="000000"/>
        </w:rPr>
        <w:t>interadministrativos:</w:t>
      </w:r>
    </w:p>
    <w:p w14:paraId="245A73FA" w14:textId="77777777" w:rsidR="00733A47" w:rsidRPr="00C45C5D" w:rsidRDefault="00733A47" w:rsidP="00733A47">
      <w:pPr>
        <w:widowControl w:val="0"/>
        <w:autoSpaceDE w:val="0"/>
        <w:autoSpaceDN w:val="0"/>
        <w:spacing w:before="3" w:after="0" w:line="276" w:lineRule="auto"/>
        <w:rPr>
          <w:rFonts w:ascii="Verdana" w:eastAsia="Arial" w:hAnsi="Verdana" w:cs="Arial"/>
          <w:color w:val="000000"/>
          <w:lang w:val="es-ES"/>
        </w:rPr>
      </w:pPr>
    </w:p>
    <w:p w14:paraId="3D1FF20C" w14:textId="77777777" w:rsidR="00733A47" w:rsidRPr="00C45C5D" w:rsidRDefault="00733A47" w:rsidP="00733A47">
      <w:pPr>
        <w:widowControl w:val="0"/>
        <w:autoSpaceDE w:val="0"/>
        <w:autoSpaceDN w:val="0"/>
        <w:spacing w:after="0" w:line="240" w:lineRule="auto"/>
        <w:ind w:left="652" w:right="652"/>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 xml:space="preserve">“Parágrafo 1. Para los solos efectos de esta ley, también se denominan entidades estatales las cooperativas y asociaciones conformadas por entidades territoriales, las cuales estarán sujetas a las disposiciones del </w:t>
      </w:r>
      <w:r w:rsidRPr="00C45C5D">
        <w:rPr>
          <w:rFonts w:ascii="Verdana" w:eastAsia="Arial" w:hAnsi="Verdana" w:cs="Arial"/>
          <w:color w:val="000000"/>
          <w:sz w:val="20"/>
          <w:szCs w:val="20"/>
          <w:lang w:val="es-ES"/>
        </w:rPr>
        <w:lastRenderedPageBreak/>
        <w:t>presente estatuto, especialmente cuando en desarrollo de convenios interadministrativos celebren contratos por cuenta de dichas entidades”.</w:t>
      </w:r>
    </w:p>
    <w:p w14:paraId="0D9580FE" w14:textId="77777777" w:rsidR="00733A47" w:rsidRPr="00C45C5D" w:rsidRDefault="00733A47" w:rsidP="00733A47">
      <w:pPr>
        <w:widowControl w:val="0"/>
        <w:autoSpaceDE w:val="0"/>
        <w:autoSpaceDN w:val="0"/>
        <w:spacing w:before="3" w:after="0" w:line="276" w:lineRule="auto"/>
        <w:rPr>
          <w:rFonts w:ascii="Verdana" w:eastAsia="Arial" w:hAnsi="Verdana" w:cs="Arial"/>
          <w:color w:val="000000"/>
          <w:lang w:val="es-ES"/>
        </w:rPr>
      </w:pPr>
    </w:p>
    <w:p w14:paraId="3B824074" w14:textId="77777777" w:rsidR="00733A47" w:rsidRPr="00C45C5D" w:rsidRDefault="00733A47" w:rsidP="00733A47">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En virtud de lo anterior, el parágrafo del artículo 2 de la Ley 80 de 1993 facultaba a las cooperativas y asociaciones de entidades territoriales para celebrar convenios interadministrativos. Posteriormente, el numeral 2 del artículo 14 Decreto 2170 de 2002 desarrolló la posibilidad de que los entes solidarios de carácter público, como las cooperativas y las asociaciones de entidades territoriales, pudieran suscribir directamente, sin necesidad de adelantar procesos de selección competitivos, convenios interadministrativos, siempre que se acreditaran los siguientes requisitos establecidos en la norma indicada:</w:t>
      </w:r>
    </w:p>
    <w:p w14:paraId="0EEF741E" w14:textId="77777777" w:rsidR="00733A47" w:rsidRPr="00C45C5D" w:rsidRDefault="00733A47" w:rsidP="00733A47">
      <w:pPr>
        <w:widowControl w:val="0"/>
        <w:autoSpaceDE w:val="0"/>
        <w:autoSpaceDN w:val="0"/>
        <w:spacing w:before="2" w:after="0" w:line="276" w:lineRule="auto"/>
        <w:rPr>
          <w:rFonts w:ascii="Verdana" w:eastAsia="Arial" w:hAnsi="Verdana" w:cs="Arial"/>
          <w:color w:val="000000"/>
          <w:lang w:val="es-ES"/>
        </w:rPr>
      </w:pPr>
    </w:p>
    <w:p w14:paraId="13464B70" w14:textId="77777777" w:rsidR="00733A47" w:rsidRPr="00C45C5D" w:rsidRDefault="00733A47" w:rsidP="00733A47">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14. De conformidad con lo previsto en el parágrafo del artículo 2o. de la Ley 80 de 1993, los contratos que se celebren en desarrollo de los convenios interadministrativos estarán sujetos a dicha ley.</w:t>
      </w:r>
    </w:p>
    <w:p w14:paraId="0AC8C56F" w14:textId="77777777" w:rsidR="00733A47" w:rsidRPr="00C45C5D" w:rsidRDefault="00733A47" w:rsidP="00733A47">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w:t>
      </w:r>
    </w:p>
    <w:p w14:paraId="534ADA36" w14:textId="77777777" w:rsidR="00733A47" w:rsidRPr="00C45C5D" w:rsidRDefault="00733A47" w:rsidP="00733A47">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Cuando el objeto del contrato solamente pueda ser desarrollado por una entidad, el mismo se celebrará sin necesidad de adelantar proceso de selección alguno, circunstancia que deberá ser certificada por la Superintendencia de Economía Solidaria o quien haga sus veces en el caso de cooperativas o por el Ministerio del Interior en el caso de asociaciones de entidades territoriales”.</w:t>
      </w:r>
    </w:p>
    <w:p w14:paraId="79A22DDE" w14:textId="77777777" w:rsidR="00733A47" w:rsidRPr="00C45C5D" w:rsidRDefault="00733A47" w:rsidP="00733A47">
      <w:pPr>
        <w:widowControl w:val="0"/>
        <w:autoSpaceDE w:val="0"/>
        <w:autoSpaceDN w:val="0"/>
        <w:spacing w:before="3" w:after="0" w:line="276" w:lineRule="auto"/>
        <w:rPr>
          <w:rFonts w:ascii="Verdana" w:eastAsia="Arial" w:hAnsi="Verdana" w:cs="Arial"/>
          <w:color w:val="000000"/>
          <w:lang w:val="es-ES"/>
        </w:rPr>
      </w:pPr>
    </w:p>
    <w:p w14:paraId="5DC69F33" w14:textId="77777777" w:rsidR="00733A47" w:rsidRPr="00C45C5D" w:rsidRDefault="00733A47" w:rsidP="00733A47">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No obstante, el artículo 1 del Decreto 4375 de 2006 modificó el artículo 14 del Decreto 2170 de 2002, para restringir la celebración de los convenios interadministrativos por parte de dichas entidades, al introducir como requisito para su celebración la aplicación del artículo</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29</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de</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la</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Ley</w:t>
      </w:r>
      <w:r w:rsidRPr="00C45C5D">
        <w:rPr>
          <w:rFonts w:ascii="Verdana" w:eastAsia="Arial" w:hAnsi="Verdana" w:cs="Arial"/>
          <w:color w:val="000000"/>
          <w:spacing w:val="38"/>
          <w:lang w:val="es-ES"/>
        </w:rPr>
        <w:t xml:space="preserve"> </w:t>
      </w:r>
      <w:r w:rsidRPr="00C45C5D">
        <w:rPr>
          <w:rFonts w:ascii="Verdana" w:eastAsia="Arial" w:hAnsi="Verdana" w:cs="Arial"/>
          <w:color w:val="000000"/>
          <w:lang w:val="es-ES"/>
        </w:rPr>
        <w:t>80</w:t>
      </w:r>
      <w:r w:rsidRPr="00C45C5D">
        <w:rPr>
          <w:rFonts w:ascii="Verdana" w:eastAsia="Arial" w:hAnsi="Verdana" w:cs="Arial"/>
          <w:color w:val="000000"/>
          <w:spacing w:val="44"/>
          <w:lang w:val="es-ES"/>
        </w:rPr>
        <w:t xml:space="preserve"> </w:t>
      </w:r>
      <w:r w:rsidRPr="00C45C5D">
        <w:rPr>
          <w:rFonts w:ascii="Verdana" w:eastAsia="Arial" w:hAnsi="Verdana" w:cs="Arial"/>
          <w:color w:val="000000"/>
          <w:lang w:val="es-ES"/>
        </w:rPr>
        <w:t>de</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1993,</w:t>
      </w:r>
      <w:r w:rsidRPr="00C45C5D">
        <w:rPr>
          <w:rFonts w:ascii="Verdana" w:eastAsia="Arial" w:hAnsi="Verdana" w:cs="Arial"/>
          <w:color w:val="000000"/>
          <w:spacing w:val="39"/>
          <w:lang w:val="es-ES"/>
        </w:rPr>
        <w:t xml:space="preserve"> </w:t>
      </w:r>
      <w:r w:rsidRPr="00C45C5D">
        <w:rPr>
          <w:rFonts w:ascii="Verdana" w:eastAsia="Arial" w:hAnsi="Verdana" w:cs="Arial"/>
          <w:color w:val="000000"/>
          <w:lang w:val="es-ES"/>
        </w:rPr>
        <w:t>normativa</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que</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desarrolla</w:t>
      </w:r>
      <w:r w:rsidRPr="00C45C5D">
        <w:rPr>
          <w:rFonts w:ascii="Verdana" w:eastAsia="Arial" w:hAnsi="Verdana" w:cs="Arial"/>
          <w:color w:val="000000"/>
          <w:spacing w:val="40"/>
          <w:lang w:val="es-ES"/>
        </w:rPr>
        <w:t xml:space="preserve"> </w:t>
      </w:r>
      <w:r w:rsidRPr="00C45C5D">
        <w:rPr>
          <w:rFonts w:ascii="Verdana" w:eastAsia="Arial" w:hAnsi="Verdana" w:cs="Arial"/>
          <w:color w:val="000000"/>
          <w:lang w:val="es-ES"/>
        </w:rPr>
        <w:t>la</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selección</w:t>
      </w:r>
      <w:r w:rsidRPr="00C45C5D">
        <w:rPr>
          <w:rFonts w:ascii="Verdana" w:eastAsia="Arial" w:hAnsi="Verdana" w:cs="Arial"/>
          <w:color w:val="000000"/>
          <w:spacing w:val="38"/>
          <w:lang w:val="es-ES"/>
        </w:rPr>
        <w:t xml:space="preserve"> </w:t>
      </w:r>
      <w:r w:rsidRPr="00C45C5D">
        <w:rPr>
          <w:rFonts w:ascii="Verdana" w:eastAsia="Arial" w:hAnsi="Verdana" w:cs="Arial"/>
          <w:color w:val="000000"/>
          <w:lang w:val="es-ES"/>
        </w:rPr>
        <w:t>objetiva</w:t>
      </w:r>
      <w:r w:rsidRPr="00C45C5D">
        <w:rPr>
          <w:rFonts w:ascii="Verdana" w:eastAsia="Arial" w:hAnsi="Verdana" w:cs="Arial"/>
          <w:color w:val="000000"/>
          <w:spacing w:val="41"/>
          <w:lang w:val="es-ES"/>
        </w:rPr>
        <w:t xml:space="preserve"> </w:t>
      </w:r>
      <w:r w:rsidRPr="00C45C5D">
        <w:rPr>
          <w:rFonts w:ascii="Verdana" w:eastAsia="Arial" w:hAnsi="Verdana" w:cs="Arial"/>
          <w:color w:val="000000"/>
          <w:lang w:val="es-ES"/>
        </w:rPr>
        <w:t>como principio orientador para los procesos de selección sometidos al Estatuto General de Contratación de la Administración Pública:</w:t>
      </w:r>
    </w:p>
    <w:p w14:paraId="27D6439E" w14:textId="77777777" w:rsidR="00733A47" w:rsidRPr="00C45C5D" w:rsidRDefault="00733A47" w:rsidP="00733A47">
      <w:pPr>
        <w:widowControl w:val="0"/>
        <w:autoSpaceDE w:val="0"/>
        <w:autoSpaceDN w:val="0"/>
        <w:spacing w:before="1" w:after="0" w:line="276" w:lineRule="auto"/>
        <w:rPr>
          <w:rFonts w:ascii="Verdana" w:eastAsia="Arial" w:hAnsi="Verdana" w:cs="Arial"/>
          <w:color w:val="000000"/>
          <w:lang w:val="es-ES"/>
        </w:rPr>
      </w:pPr>
    </w:p>
    <w:p w14:paraId="61ECC0F0" w14:textId="77777777" w:rsidR="00733A47" w:rsidRPr="00C45C5D" w:rsidRDefault="00733A47" w:rsidP="00733A47">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14. De los contratos interadministrativos con cooperativas y asociaciones conformadas por entidades territoriales. De conformidad con lo previsto en el parágrafo del artículo 2o de la Ley 80 de 1993, los contratos que se celebren en desarrollo de los convenios interadministrativos estarán sujetos a dicha ley.</w:t>
      </w:r>
    </w:p>
    <w:p w14:paraId="52B2AE66" w14:textId="77777777" w:rsidR="00733A47" w:rsidRPr="00C45C5D" w:rsidRDefault="00733A47" w:rsidP="00733A47">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La selección de estas entidades se hará conforme a las siguientes reglas:</w:t>
      </w:r>
    </w:p>
    <w:p w14:paraId="2BD95885" w14:textId="77777777" w:rsidR="00733A47" w:rsidRPr="00C45C5D" w:rsidRDefault="00733A47" w:rsidP="00733A47">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 xml:space="preserve">La entidad demandante del bien, obra o servicio invitará a presentar ofertas a todas aquellas cooperativas o asociaciones de entidades </w:t>
      </w:r>
      <w:r w:rsidRPr="00C45C5D">
        <w:rPr>
          <w:rFonts w:ascii="Verdana" w:eastAsia="Arial" w:hAnsi="Verdana" w:cs="Arial"/>
          <w:color w:val="000000"/>
          <w:sz w:val="20"/>
          <w:szCs w:val="20"/>
          <w:lang w:val="es-ES"/>
        </w:rPr>
        <w:lastRenderedPageBreak/>
        <w:t>territoriales que puedan ejecutar el contrato, para adelantar entre ellas un concurso que permita la selección de la oferta más favorable en los términos del artículo 29 de la Ley 80 de 1993.</w:t>
      </w:r>
    </w:p>
    <w:p w14:paraId="4C25BB82" w14:textId="77777777" w:rsidR="00733A47" w:rsidRPr="00C45C5D" w:rsidRDefault="00733A47" w:rsidP="00733A47">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Las entidades a que se refiere el presente artículo deberán inscribirse en el RUP, en relación con los contratos a que se refiere el artículo 22 de la Ley 80 de 1993 y sólo podrán celebrar contratos respecto de los cuales posean la debida y comprobada experiencia, solidez financiera, capacidad técnica, administrativa y jurídica que les permita ejecutar directamente y sin la necesidad de ningún tercero el correspondiente contrato”.</w:t>
      </w:r>
    </w:p>
    <w:p w14:paraId="5E975838" w14:textId="77777777" w:rsidR="00733A47" w:rsidRPr="00C45C5D" w:rsidRDefault="00733A47" w:rsidP="00733A47">
      <w:pPr>
        <w:widowControl w:val="0"/>
        <w:autoSpaceDE w:val="0"/>
        <w:autoSpaceDN w:val="0"/>
        <w:spacing w:after="0" w:line="276" w:lineRule="auto"/>
        <w:ind w:left="668" w:right="531"/>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b/>
      </w:r>
    </w:p>
    <w:p w14:paraId="6F204F0E" w14:textId="77777777" w:rsidR="00733A47" w:rsidRPr="00C45C5D" w:rsidRDefault="00733A47" w:rsidP="00733A47">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De este modo, la modificación realizada por el artículo 1 del Decreto 4375 de 2006 restringió la libertad contractual de las cooperativas y asociaciones de entidades territoriales para celebrar convenios interadministrativos de forma directa, sometiéndolas a las reglas de la selección objetiva indicadas en caso de que estas pretendieran contratar o ser contratadas por una entidad</w:t>
      </w:r>
      <w:r w:rsidRPr="00C45C5D">
        <w:rPr>
          <w:rFonts w:ascii="Verdana" w:eastAsia="Arial" w:hAnsi="Verdana" w:cs="Arial"/>
          <w:color w:val="000000"/>
          <w:spacing w:val="-2"/>
          <w:lang w:val="es-ES"/>
        </w:rPr>
        <w:t xml:space="preserve"> </w:t>
      </w:r>
      <w:r w:rsidRPr="00C45C5D">
        <w:rPr>
          <w:rFonts w:ascii="Verdana" w:eastAsia="Arial" w:hAnsi="Verdana" w:cs="Arial"/>
          <w:color w:val="000000"/>
          <w:lang w:val="es-ES"/>
        </w:rPr>
        <w:t>estatal.</w:t>
      </w:r>
    </w:p>
    <w:p w14:paraId="4585CFCF" w14:textId="77777777" w:rsidR="00733A47" w:rsidRPr="00C45C5D" w:rsidRDefault="00733A47" w:rsidP="00733A47">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A su vez, con la vigencia de la Ley 1150 de 2007, normativa que introdujo medidas para la eficiencia y la transparencia en la contratación pública, se establecieron nuevos criterios para la celebración de convenios interadministrativos para la actividad contractual de cooperativas y asociaciones de entidades territoriales. Particularmente, el artículo 32 de la Ley 1150 de 2007 derogó de manera expresa el parágrafo 1 del artículo 2 de la Ley 80 de 1993, que permitía la celebración de convenios interadministrativos por parte de cooperativas y asociaciones de entidades</w:t>
      </w:r>
      <w:r w:rsidRPr="00C45C5D">
        <w:rPr>
          <w:rFonts w:ascii="Verdana" w:eastAsia="Arial" w:hAnsi="Verdana" w:cs="Arial"/>
          <w:color w:val="000000"/>
          <w:spacing w:val="-12"/>
          <w:lang w:val="es-ES"/>
        </w:rPr>
        <w:t xml:space="preserve"> </w:t>
      </w:r>
      <w:r w:rsidRPr="00C45C5D">
        <w:rPr>
          <w:rFonts w:ascii="Verdana" w:eastAsia="Arial" w:hAnsi="Verdana" w:cs="Arial"/>
          <w:color w:val="000000"/>
          <w:lang w:val="es-ES"/>
        </w:rPr>
        <w:t>territoriales</w:t>
      </w:r>
      <w:r w:rsidRPr="00C45C5D">
        <w:rPr>
          <w:rFonts w:ascii="Verdana" w:eastAsia="Arial" w:hAnsi="Verdana" w:cs="Arial"/>
          <w:color w:val="000000"/>
          <w:vertAlign w:val="superscript"/>
          <w:lang w:val="es-ES"/>
        </w:rPr>
        <w:footnoteReference w:id="5"/>
      </w:r>
      <w:r w:rsidRPr="00C45C5D">
        <w:rPr>
          <w:rFonts w:ascii="Verdana" w:eastAsia="Arial" w:hAnsi="Verdana" w:cs="Arial"/>
          <w:color w:val="000000"/>
          <w:lang w:val="es-ES"/>
        </w:rPr>
        <w:t>. Además, en armonía con lo anterior, el artículo 10 de la Ley 1150 de 2007 estableció:</w:t>
      </w:r>
    </w:p>
    <w:p w14:paraId="39821E7A" w14:textId="77777777" w:rsidR="00733A47" w:rsidRPr="00C45C5D" w:rsidRDefault="00733A47" w:rsidP="00733A47">
      <w:pPr>
        <w:widowControl w:val="0"/>
        <w:autoSpaceDE w:val="0"/>
        <w:autoSpaceDN w:val="0"/>
        <w:spacing w:before="8" w:after="0" w:line="276" w:lineRule="auto"/>
        <w:rPr>
          <w:rFonts w:ascii="Verdana" w:eastAsia="Arial" w:hAnsi="Verdana" w:cs="Arial"/>
          <w:color w:val="000000"/>
          <w:lang w:val="es-ES"/>
        </w:rPr>
      </w:pPr>
    </w:p>
    <w:p w14:paraId="4FD805D6" w14:textId="77777777" w:rsidR="00733A47" w:rsidRPr="00C45C5D" w:rsidRDefault="00733A47" w:rsidP="00733A47">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p>
    <w:p w14:paraId="2D64C294" w14:textId="77777777" w:rsidR="00733A47" w:rsidRPr="00C45C5D" w:rsidRDefault="00733A47" w:rsidP="00733A47">
      <w:pPr>
        <w:widowControl w:val="0"/>
        <w:autoSpaceDE w:val="0"/>
        <w:autoSpaceDN w:val="0"/>
        <w:spacing w:before="4" w:after="0" w:line="276" w:lineRule="auto"/>
        <w:rPr>
          <w:rFonts w:ascii="Verdana" w:eastAsia="Arial" w:hAnsi="Verdana" w:cs="Arial"/>
          <w:color w:val="000000"/>
          <w:lang w:val="es-ES"/>
        </w:rPr>
      </w:pPr>
    </w:p>
    <w:p w14:paraId="0D896775" w14:textId="77777777" w:rsidR="00733A47" w:rsidRPr="00C45C5D" w:rsidRDefault="00733A47" w:rsidP="00733A47">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 xml:space="preserve">A partir de la norma citada, la celebración de contratos con entidades estatales, las cooperativas y asociaciones conformadas por entidades territoriales deben someterse a los procesos de selección de la Ley 1150 de </w:t>
      </w:r>
      <w:r w:rsidRPr="00C45C5D">
        <w:rPr>
          <w:rFonts w:ascii="Verdana" w:eastAsia="Arial" w:hAnsi="Verdana" w:cs="Arial"/>
          <w:color w:val="000000"/>
          <w:lang w:val="es-ES"/>
        </w:rPr>
        <w:lastRenderedPageBreak/>
        <w:t xml:space="preserve">2007, en igualdad de condiciones con los particulares. </w:t>
      </w:r>
      <w:r w:rsidRPr="00C45C5D">
        <w:rPr>
          <w:rFonts w:ascii="Verdana" w:eastAsia="Arial" w:hAnsi="Verdana" w:cs="Arial"/>
          <w:color w:val="000000"/>
          <w:shd w:val="clear" w:color="auto" w:fill="FFFFFF"/>
          <w:lang w:val="es-ES"/>
        </w:rPr>
        <w:t xml:space="preserve">Así las cosas, la finalidad de la norma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6B52B61D" w14:textId="77777777" w:rsidR="00733A47" w:rsidRPr="00C45C5D" w:rsidRDefault="00733A47" w:rsidP="00733A47">
      <w:pPr>
        <w:widowControl w:val="0"/>
        <w:autoSpaceDE w:val="0"/>
        <w:autoSpaceDN w:val="0"/>
        <w:spacing w:after="12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De la evolución normativa expuesta se advierte que la prohibición de celebrar contratos mediante la modalidad de contratación directa, incluyendo la imposibilidad de acudir a la causal de contratos interadministrativos, por parte de asociaciones de entidades territoriales tiene como fundamento: i) la derogatoria expresa del artículo 32 de la Ley 1150 de 2007, que dejó sin efectos el parágrafo 1 del artículo 2 de la Ley 80 de 1993; y, particularmente, ii) el artículo 10 de la ley 1150 de 2007 que establece que la celebración de contratos entre una entidad estatal con, entre otras, asociaciones de entidades territoriales  únicamente se pueden realizar mediante un proceso competitivo, pues deben participar “en igualdad de condiciones con los particulares” y no mediante la modalidad de contratación directa, incluyendo en la prohibición acudir a la causal de los contratos interadministrativos.</w:t>
      </w:r>
    </w:p>
    <w:p w14:paraId="5F2162BB" w14:textId="77777777" w:rsidR="00733A47" w:rsidRPr="00C45C5D" w:rsidRDefault="00733A47" w:rsidP="00733A47">
      <w:pPr>
        <w:widowControl w:val="0"/>
        <w:autoSpaceDE w:val="0"/>
        <w:autoSpaceDN w:val="0"/>
        <w:spacing w:after="0" w:line="276" w:lineRule="auto"/>
        <w:ind w:right="108" w:firstLine="709"/>
        <w:jc w:val="both"/>
        <w:rPr>
          <w:rFonts w:ascii="Verdana" w:eastAsia="Arial" w:hAnsi="Verdana" w:cs="Arial"/>
          <w:color w:val="000000"/>
          <w:lang w:val="es-ES"/>
        </w:rPr>
      </w:pPr>
      <w:r w:rsidRPr="00C45C5D">
        <w:rPr>
          <w:rFonts w:ascii="Verdana" w:eastAsia="Arial" w:hAnsi="Verdana" w:cs="Arial"/>
          <w:color w:val="000000"/>
          <w:lang w:val="es-ES"/>
        </w:rPr>
        <w:t>No obstante, continuando con el análisis del desarrollo normativo, debe tenerse en cuenta que posterior a la Ley 1150 de 2007 se expidió la Ley 1454 de 2011, que en el parágrafo del artículo 17 es concluyente frente a la posibilidad que tienen las asociaciones de departamentos, las provincias y las asociaciones de distritos y de municipios de suscribir convenios interadministrativos, en los términos establecidos en el artículo 95 de la ley 489 de 1998:</w:t>
      </w:r>
    </w:p>
    <w:p w14:paraId="1ED584DD" w14:textId="77777777" w:rsidR="00733A47" w:rsidRPr="00C45C5D" w:rsidRDefault="00733A47" w:rsidP="00733A47">
      <w:pPr>
        <w:widowControl w:val="0"/>
        <w:autoSpaceDE w:val="0"/>
        <w:autoSpaceDN w:val="0"/>
        <w:spacing w:after="0" w:line="276" w:lineRule="auto"/>
        <w:ind w:right="108" w:firstLine="709"/>
        <w:jc w:val="both"/>
        <w:rPr>
          <w:rFonts w:ascii="Verdana" w:eastAsia="Arial" w:hAnsi="Verdana" w:cs="Arial"/>
          <w:color w:val="000000"/>
          <w:lang w:val="es-ES"/>
        </w:rPr>
      </w:pPr>
    </w:p>
    <w:p w14:paraId="0056DF77" w14:textId="77777777" w:rsidR="00733A47" w:rsidRPr="00C45C5D" w:rsidRDefault="00733A47" w:rsidP="00733A47">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 xml:space="preserve">“Artículo 17. Naturaleza y funcionamiento de los esquemas asociativos. Las asociaciones de departamentos, las provincias y las </w:t>
      </w:r>
      <w:r w:rsidRPr="00C45C5D">
        <w:rPr>
          <w:rFonts w:ascii="Verdana" w:eastAsia="Arial" w:hAnsi="Verdana" w:cs="Arial"/>
          <w:i/>
          <w:iCs/>
          <w:color w:val="000000"/>
          <w:sz w:val="20"/>
          <w:szCs w:val="20"/>
          <w:lang w:val="es-ES"/>
        </w:rPr>
        <w:t>asociaciones de distritos y de municipios</w:t>
      </w:r>
      <w:r w:rsidRPr="00C45C5D">
        <w:rPr>
          <w:rFonts w:ascii="Verdana" w:eastAsia="Arial" w:hAnsi="Verdana" w:cs="Arial"/>
          <w:color w:val="000000"/>
          <w:sz w:val="20"/>
          <w:szCs w:val="20"/>
          <w:lang w:val="es-ES"/>
        </w:rPr>
        <w:t xml:space="preserve"> son entidades administrativas de derecho público, con personería jurídica y patrimonio propio e independiente de los entes que la conforman.</w:t>
      </w:r>
    </w:p>
    <w:p w14:paraId="1FC78F28" w14:textId="77777777" w:rsidR="00733A47" w:rsidRPr="00C45C5D" w:rsidRDefault="00733A47" w:rsidP="00733A47">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Las asociaciones de departamentos podrán constituirse en regiones administrativas y de planificación, previa autorización de sus asambleas departamentales.</w:t>
      </w:r>
    </w:p>
    <w:p w14:paraId="45CBAA7A" w14:textId="77777777" w:rsidR="00733A47" w:rsidRPr="00C45C5D" w:rsidRDefault="00733A47" w:rsidP="00733A47">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 xml:space="preserve">En ningún caso las entidades territoriales que se asocien podrán generar gastos de funcionamiento adicionales con cargo a su presupuesto o al presupuesto general de la Nación, ni incrementar la planta burocrática de </w:t>
      </w:r>
      <w:r w:rsidRPr="00C45C5D">
        <w:rPr>
          <w:rFonts w:ascii="Verdana" w:eastAsia="Arial" w:hAnsi="Verdana" w:cs="Arial"/>
          <w:color w:val="000000"/>
          <w:sz w:val="20"/>
          <w:szCs w:val="20"/>
          <w:lang w:val="es-ES"/>
        </w:rPr>
        <w:lastRenderedPageBreak/>
        <w:t>las respectivas entidades que las conformen.</w:t>
      </w:r>
    </w:p>
    <w:p w14:paraId="3157F458" w14:textId="77777777" w:rsidR="00733A47" w:rsidRPr="00C45C5D" w:rsidRDefault="00733A47" w:rsidP="00733A47">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PARÁGRAFO. En concordancia con lo previsto en el artículo </w:t>
      </w:r>
      <w:hyperlink r:id="rId16" w:anchor="95" w:history="1">
        <w:r w:rsidRPr="00C45C5D">
          <w:rPr>
            <w:rFonts w:ascii="Verdana" w:eastAsia="Arial" w:hAnsi="Verdana" w:cs="Arial"/>
            <w:color w:val="000000"/>
            <w:sz w:val="20"/>
            <w:szCs w:val="20"/>
            <w:lang w:val="es-ES"/>
          </w:rPr>
          <w:t>95</w:t>
        </w:r>
      </w:hyperlink>
      <w:r w:rsidRPr="00C45C5D">
        <w:rPr>
          <w:rFonts w:ascii="Verdana" w:eastAsia="Arial" w:hAnsi="Verdana" w:cs="Arial"/>
          <w:color w:val="000000"/>
          <w:sz w:val="20"/>
          <w:szCs w:val="20"/>
          <w:lang w:val="es-ES"/>
        </w:rPr>
        <w:t xml:space="preserve"> de la Ley 489 de 1998, las Entidades Territoriales podrán continuar asociándose mediante la celebración de convenios interadministrativos o mediante la conformación de personas jurídicas de derecho público o derecho privado”. </w:t>
      </w:r>
    </w:p>
    <w:p w14:paraId="1645AEA3" w14:textId="77777777" w:rsidR="00733A47" w:rsidRPr="00C45C5D" w:rsidRDefault="00733A47" w:rsidP="00733A47">
      <w:pPr>
        <w:widowControl w:val="0"/>
        <w:autoSpaceDE w:val="0"/>
        <w:autoSpaceDN w:val="0"/>
        <w:spacing w:after="0" w:line="276" w:lineRule="auto"/>
        <w:ind w:right="108" w:firstLine="709"/>
        <w:jc w:val="both"/>
        <w:rPr>
          <w:rFonts w:ascii="Verdana" w:eastAsia="Arial" w:hAnsi="Verdana" w:cs="Arial"/>
          <w:color w:val="000000"/>
          <w:lang w:val="es-ES"/>
        </w:rPr>
      </w:pPr>
    </w:p>
    <w:p w14:paraId="0A494E74" w14:textId="77777777" w:rsidR="00733A47" w:rsidRPr="00C45C5D" w:rsidRDefault="00733A47" w:rsidP="00733A47">
      <w:pPr>
        <w:widowControl w:val="0"/>
        <w:autoSpaceDE w:val="0"/>
        <w:autoSpaceDN w:val="0"/>
        <w:spacing w:after="0" w:line="276" w:lineRule="auto"/>
        <w:ind w:right="108"/>
        <w:jc w:val="both"/>
        <w:rPr>
          <w:rFonts w:ascii="Verdana" w:eastAsia="Arial" w:hAnsi="Verdana" w:cs="Arial"/>
          <w:color w:val="000000"/>
          <w:lang w:val="es-ES"/>
        </w:rPr>
      </w:pPr>
      <w:r w:rsidRPr="00C45C5D">
        <w:rPr>
          <w:rFonts w:ascii="Verdana" w:eastAsia="Arial" w:hAnsi="Verdana" w:cs="Arial"/>
          <w:color w:val="000000"/>
          <w:lang w:val="es-ES"/>
        </w:rPr>
        <w:tab/>
        <w:t>Para finalizar el recuento normativo, es necesario hacer referencia a la modificación realizada por el artículo 92 de la Ley 1474 de 2011 al literal </w:t>
      </w:r>
      <w:hyperlink r:id="rId17" w:anchor="2.4.c" w:history="1">
        <w:r w:rsidRPr="00C45C5D">
          <w:rPr>
            <w:rFonts w:ascii="Verdana" w:eastAsia="Arial" w:hAnsi="Verdana" w:cs="Arial"/>
            <w:color w:val="000000"/>
            <w:lang w:val="es-ES"/>
          </w:rPr>
          <w:t>c)</w:t>
        </w:r>
      </w:hyperlink>
      <w:r w:rsidRPr="00C45C5D">
        <w:rPr>
          <w:rFonts w:ascii="Verdana" w:eastAsia="Arial" w:hAnsi="Verdana" w:cs="Arial"/>
          <w:color w:val="000000"/>
          <w:lang w:val="es-ES"/>
        </w:rPr>
        <w:t> del numeral 4 del artículo 2 de la Ley 1150 de 2007. En efecto, el artículo 92 indicado prohíbe acudir a la causal de contratación directa para celebrar ciertas tipologías y objetos contractuales por parte de ciertas entidades, donde se incluye esta restricción precisa frente a las asociaciones de entidades públicas. En efecto, la disposición establece:</w:t>
      </w:r>
    </w:p>
    <w:p w14:paraId="39536433" w14:textId="77777777" w:rsidR="00733A47" w:rsidRPr="00C45C5D" w:rsidRDefault="00733A47" w:rsidP="00733A47">
      <w:pPr>
        <w:widowControl w:val="0"/>
        <w:autoSpaceDE w:val="0"/>
        <w:autoSpaceDN w:val="0"/>
        <w:spacing w:after="0" w:line="276" w:lineRule="auto"/>
        <w:ind w:right="108" w:firstLine="708"/>
        <w:jc w:val="both"/>
        <w:rPr>
          <w:rFonts w:ascii="Verdana" w:eastAsia="Arial" w:hAnsi="Verdana" w:cs="Arial"/>
          <w:color w:val="000000"/>
          <w:lang w:val="es-ES"/>
        </w:rPr>
      </w:pPr>
    </w:p>
    <w:p w14:paraId="4F37CADF" w14:textId="77777777" w:rsidR="00733A47" w:rsidRPr="00C45C5D" w:rsidRDefault="00733A47" w:rsidP="00733A47">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“Artículo 92. Contratos interadministrativos. Modifícase el inciso primero del literal c) del numeral 4 del artículo 2o de la Ley 1150 de 2007, el cual quedará así:</w:t>
      </w:r>
    </w:p>
    <w:p w14:paraId="2A6EBEC1" w14:textId="77777777" w:rsidR="00733A47" w:rsidRPr="00C45C5D" w:rsidRDefault="00733A47" w:rsidP="00733A47">
      <w:pPr>
        <w:widowControl w:val="0"/>
        <w:autoSpaceDE w:val="0"/>
        <w:autoSpaceDN w:val="0"/>
        <w:spacing w:after="12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color w:val="000000"/>
          <w:sz w:val="20"/>
          <w:szCs w:val="20"/>
          <w:lang w:val="es-ES"/>
        </w:rPr>
        <w:t>c) Contratos interadministrativos, siempre que las obligaciones derivadas del mismo tengan relación directa con el objeto de la entidad ejecutora señalado en la ley o en sus reglamentos.</w:t>
      </w:r>
    </w:p>
    <w:p w14:paraId="7598C19C" w14:textId="77777777" w:rsidR="00733A47" w:rsidRPr="00C45C5D" w:rsidRDefault="00733A47" w:rsidP="00733A47">
      <w:pPr>
        <w:widowControl w:val="0"/>
        <w:autoSpaceDE w:val="0"/>
        <w:autoSpaceDN w:val="0"/>
        <w:spacing w:after="0" w:line="240" w:lineRule="auto"/>
        <w:ind w:left="709" w:right="709"/>
        <w:jc w:val="both"/>
        <w:rPr>
          <w:rFonts w:ascii="Verdana" w:eastAsia="Arial" w:hAnsi="Verdana" w:cs="Arial"/>
          <w:color w:val="000000"/>
          <w:sz w:val="20"/>
          <w:szCs w:val="20"/>
          <w:lang w:val="es-ES"/>
        </w:rPr>
      </w:pPr>
      <w:r w:rsidRPr="00C45C5D">
        <w:rPr>
          <w:rFonts w:ascii="Verdana" w:eastAsia="Arial" w:hAnsi="Verdana" w:cs="Arial"/>
          <w:i/>
          <w:iCs/>
          <w:color w:val="000000"/>
          <w:sz w:val="20"/>
          <w:szCs w:val="20"/>
          <w:lang w:val="es-ES"/>
        </w:rPr>
        <w:t>Se exceptúan los contratos de obra, suministro, prestación de servicios de evaluación de conformidad respecto de las normas o reglamentos técnicos, encargos fiduciarios y fiducia pública cuando</w:t>
      </w:r>
      <w:r w:rsidRPr="00C45C5D">
        <w:rPr>
          <w:rFonts w:ascii="Verdana" w:eastAsia="Arial" w:hAnsi="Verdana" w:cs="Arial"/>
          <w:color w:val="000000"/>
          <w:sz w:val="20"/>
          <w:szCs w:val="20"/>
          <w:lang w:val="es-ES"/>
        </w:rPr>
        <w:t xml:space="preserve"> las instituciones de educación superior públicas o las Sociedades de Economía Mixta con participación mayoritaria del Estado, o </w:t>
      </w:r>
      <w:r w:rsidRPr="00C45C5D">
        <w:rPr>
          <w:rFonts w:ascii="Verdana" w:eastAsia="Arial" w:hAnsi="Verdana" w:cs="Arial"/>
          <w:i/>
          <w:iCs/>
          <w:color w:val="000000"/>
          <w:sz w:val="20"/>
          <w:szCs w:val="20"/>
          <w:lang w:val="es-ES"/>
        </w:rPr>
        <w:t>las personas jurídicas sin ánimo de lucro conformadas por la asociación de entidades públicas</w:t>
      </w:r>
      <w:r w:rsidRPr="00C45C5D">
        <w:rPr>
          <w:rFonts w:ascii="Verdana" w:eastAsia="Arial" w:hAnsi="Verdana" w:cs="Arial"/>
          <w:color w:val="000000"/>
          <w:sz w:val="20"/>
          <w:szCs w:val="20"/>
          <w:lang w:val="es-ES"/>
        </w:rPr>
        <w:t>, o</w:t>
      </w:r>
      <w:r w:rsidRPr="00C45C5D">
        <w:rPr>
          <w:rFonts w:ascii="Verdana" w:eastAsia="Arial" w:hAnsi="Verdana" w:cs="Arial"/>
          <w:i/>
          <w:iCs/>
          <w:color w:val="000000"/>
          <w:sz w:val="20"/>
          <w:szCs w:val="20"/>
          <w:lang w:val="es-ES"/>
        </w:rPr>
        <w:t xml:space="preserve"> </w:t>
      </w:r>
      <w:r w:rsidRPr="00C45C5D">
        <w:rPr>
          <w:rFonts w:ascii="Verdana" w:eastAsia="Arial" w:hAnsi="Verdana" w:cs="Arial"/>
          <w:color w:val="000000"/>
          <w:sz w:val="20"/>
          <w:szCs w:val="20"/>
          <w:lang w:val="es-ES"/>
        </w:rPr>
        <w:t>las federaciones de entidades territoriales</w:t>
      </w:r>
      <w:r w:rsidRPr="00C45C5D">
        <w:rPr>
          <w:rFonts w:ascii="Verdana" w:eastAsia="Arial" w:hAnsi="Verdana" w:cs="Arial"/>
          <w:i/>
          <w:iCs/>
          <w:color w:val="000000"/>
          <w:sz w:val="20"/>
          <w:szCs w:val="20"/>
          <w:lang w:val="es-ES"/>
        </w:rPr>
        <w:t xml:space="preserve"> sean las ejecutoras</w:t>
      </w:r>
      <w:r w:rsidRPr="00C45C5D">
        <w:rPr>
          <w:rFonts w:ascii="Verdana" w:eastAsia="Arial" w:hAnsi="Verdana" w:cs="Arial"/>
          <w:color w:val="000000"/>
          <w:sz w:val="20"/>
          <w:szCs w:val="20"/>
          <w:lang w:val="es-ES"/>
        </w:rPr>
        <w:t>. Estos contratos podrán ser ejecutados por las mismas, siempre que participen en procesos de licitación pública o contratación abreviada de acuerdo con lo dispuesto por los numerales 1 y 2 del presente artículo”. (Énfasis fuera de texto)</w:t>
      </w:r>
    </w:p>
    <w:p w14:paraId="3B015FA8" w14:textId="38E5B019" w:rsidR="00D53C47" w:rsidRPr="00D53C47" w:rsidRDefault="00D53C47" w:rsidP="00D53C47">
      <w:pPr>
        <w:pStyle w:val="NormalWeb"/>
        <w:spacing w:line="276" w:lineRule="auto"/>
        <w:jc w:val="both"/>
        <w:rPr>
          <w:rFonts w:ascii="Verdana" w:hAnsi="Verdana"/>
          <w:sz w:val="22"/>
          <w:szCs w:val="22"/>
        </w:rPr>
      </w:pPr>
      <w:r>
        <w:rPr>
          <w:rFonts w:ascii="Verdana" w:hAnsi="Verdana"/>
          <w:sz w:val="22"/>
          <w:szCs w:val="22"/>
          <w:lang w:val="es-ES"/>
        </w:rPr>
        <w:t xml:space="preserve">        </w:t>
      </w:r>
      <w:r w:rsidRPr="00D53C47">
        <w:rPr>
          <w:rFonts w:ascii="Verdana" w:hAnsi="Verdana"/>
          <w:sz w:val="22"/>
          <w:szCs w:val="22"/>
          <w:lang w:val="es-ES"/>
        </w:rPr>
        <w:t>Esta</w:t>
      </w:r>
      <w:r w:rsidRPr="00D53C47">
        <w:rPr>
          <w:rFonts w:ascii="Verdana" w:hAnsi="Verdana"/>
          <w:sz w:val="22"/>
          <w:szCs w:val="22"/>
        </w:rPr>
        <w:t xml:space="preserve"> normativa de contratación pública en Colombia establece restricciones claras para la modalidad de contratación directa en contratos interadministrativos. Específicamente, el</w:t>
      </w:r>
      <w:r w:rsidRPr="00D53C47">
        <w:rPr>
          <w:rFonts w:ascii="Verdana" w:hAnsi="Verdana"/>
          <w:b/>
          <w:bCs/>
          <w:sz w:val="22"/>
          <w:szCs w:val="22"/>
        </w:rPr>
        <w:t xml:space="preserve"> </w:t>
      </w:r>
      <w:r w:rsidRPr="00D53C47">
        <w:rPr>
          <w:rStyle w:val="Textoennegrita"/>
          <w:rFonts w:ascii="Verdana" w:hAnsi="Verdana"/>
          <w:b w:val="0"/>
          <w:bCs w:val="0"/>
          <w:sz w:val="22"/>
          <w:szCs w:val="22"/>
        </w:rPr>
        <w:t>artículo 92 de la Ley 1474 de 2011</w:t>
      </w:r>
      <w:r w:rsidRPr="00D53C47">
        <w:rPr>
          <w:rFonts w:ascii="Verdana" w:hAnsi="Verdana"/>
          <w:sz w:val="22"/>
          <w:szCs w:val="22"/>
        </w:rPr>
        <w:t>, que modificó el literal c) del numeral 4 del artículo 2 de la Ley 1150 de 2007, prohíbe de manera taxativa la celebración de contratos bajo esta modalidad para ciertos objetos y tipologías contractuales.</w:t>
      </w:r>
    </w:p>
    <w:p w14:paraId="54CD6BA8" w14:textId="77777777" w:rsidR="00D53C47" w:rsidRPr="00D53C47" w:rsidRDefault="00D53C47" w:rsidP="00D53C47">
      <w:pPr>
        <w:pStyle w:val="NormalWeb"/>
        <w:spacing w:line="276" w:lineRule="auto"/>
        <w:jc w:val="both"/>
        <w:rPr>
          <w:rFonts w:ascii="Verdana" w:hAnsi="Verdana"/>
          <w:sz w:val="22"/>
          <w:szCs w:val="22"/>
        </w:rPr>
      </w:pPr>
      <w:r>
        <w:rPr>
          <w:rFonts w:ascii="Verdana" w:hAnsi="Verdana"/>
          <w:sz w:val="22"/>
          <w:szCs w:val="22"/>
        </w:rPr>
        <w:t xml:space="preserve">       </w:t>
      </w:r>
      <w:r w:rsidRPr="00D53C47">
        <w:rPr>
          <w:rFonts w:ascii="Verdana" w:hAnsi="Verdana"/>
          <w:sz w:val="22"/>
          <w:szCs w:val="22"/>
        </w:rPr>
        <w:t xml:space="preserve">En particular, se exceptúa la posibilidad de contratar directamente: los Contratos de obra, Suministro, Prestación de servicios de evaluación de conformidad respecto de las normas o reglamentos técnicos y Encargos </w:t>
      </w:r>
      <w:r w:rsidRPr="00D53C47">
        <w:rPr>
          <w:rFonts w:ascii="Verdana" w:hAnsi="Verdana"/>
          <w:sz w:val="22"/>
          <w:szCs w:val="22"/>
        </w:rPr>
        <w:lastRenderedPageBreak/>
        <w:t>fiduciarios y fiducia pública. Adicionalmente, la ley establece una prohibición específica para las personas jurídicas sin ánimo de lucro que son conformadas por la asociación de entidades públicas. Se determina que estas deben someterse a los procesos de selección competitivos establecidos en la</w:t>
      </w:r>
      <w:r w:rsidRPr="00D53C47">
        <w:rPr>
          <w:rFonts w:ascii="Verdana" w:hAnsi="Verdana"/>
          <w:b/>
          <w:bCs/>
          <w:sz w:val="22"/>
          <w:szCs w:val="22"/>
        </w:rPr>
        <w:t xml:space="preserve"> </w:t>
      </w:r>
      <w:r w:rsidRPr="00D53C47">
        <w:rPr>
          <w:rStyle w:val="Textoennegrita"/>
          <w:rFonts w:ascii="Verdana" w:hAnsi="Verdana"/>
          <w:b w:val="0"/>
          <w:bCs w:val="0"/>
          <w:sz w:val="22"/>
          <w:szCs w:val="22"/>
        </w:rPr>
        <w:t>Ley 1150 de 2007</w:t>
      </w:r>
      <w:r w:rsidRPr="00D53C47">
        <w:rPr>
          <w:rFonts w:ascii="Verdana" w:hAnsi="Verdana"/>
          <w:b/>
          <w:bCs/>
          <w:sz w:val="22"/>
          <w:szCs w:val="22"/>
        </w:rPr>
        <w:t>,</w:t>
      </w:r>
      <w:r w:rsidRPr="00D53C47">
        <w:rPr>
          <w:rFonts w:ascii="Verdana" w:hAnsi="Verdana"/>
          <w:sz w:val="22"/>
          <w:szCs w:val="22"/>
        </w:rPr>
        <w:t xml:space="preserve"> es decir, la licitación pública y la selección abreviada.</w:t>
      </w:r>
    </w:p>
    <w:p w14:paraId="67A7FBD2" w14:textId="77777777" w:rsidR="00D53C47" w:rsidRPr="00D53C47" w:rsidRDefault="00D53C47" w:rsidP="00D53C47">
      <w:pPr>
        <w:pStyle w:val="NormalWeb"/>
        <w:spacing w:line="276" w:lineRule="auto"/>
        <w:rPr>
          <w:rFonts w:ascii="Verdana" w:hAnsi="Verdana"/>
          <w:sz w:val="22"/>
          <w:szCs w:val="22"/>
        </w:rPr>
      </w:pPr>
      <w:r w:rsidRPr="00D53C47">
        <w:rPr>
          <w:rFonts w:ascii="Verdana" w:hAnsi="Verdana"/>
          <w:sz w:val="22"/>
          <w:szCs w:val="22"/>
        </w:rPr>
        <w:t>Esto significa que deben competir en igualdad de condiciones con los particulares, limitándose, en consecuencia, la posibilidad de acudir a la modalidad de contratación directa.</w:t>
      </w:r>
    </w:p>
    <w:p w14:paraId="3274A7CB" w14:textId="77777777" w:rsidR="00D53C47" w:rsidRPr="00D53C47" w:rsidRDefault="00D53C47" w:rsidP="00D53C47">
      <w:pPr>
        <w:pStyle w:val="NormalWeb"/>
        <w:spacing w:line="276" w:lineRule="auto"/>
        <w:jc w:val="both"/>
        <w:rPr>
          <w:rFonts w:ascii="Verdana" w:hAnsi="Verdana"/>
          <w:sz w:val="22"/>
          <w:szCs w:val="22"/>
        </w:rPr>
      </w:pPr>
      <w:r>
        <w:rPr>
          <w:rFonts w:ascii="Verdana" w:hAnsi="Verdana"/>
          <w:sz w:val="22"/>
          <w:szCs w:val="22"/>
        </w:rPr>
        <w:t xml:space="preserve">       </w:t>
      </w:r>
      <w:r w:rsidRPr="00D53C47">
        <w:rPr>
          <w:rFonts w:ascii="Verdana" w:hAnsi="Verdana"/>
          <w:sz w:val="22"/>
          <w:szCs w:val="22"/>
        </w:rPr>
        <w:t xml:space="preserve">Por lo que remitiéndonos al objeto de la consulta, cuyo propósito es determinar si es viable contratar de manera directa la interventoría de obras públicas con una asociación de municipios, es necesario analizar si este servicio se enmarca en las prohibiciones del </w:t>
      </w:r>
      <w:r w:rsidRPr="00D53C47">
        <w:rPr>
          <w:rStyle w:val="Textoennegrita"/>
          <w:rFonts w:ascii="Verdana" w:hAnsi="Verdana"/>
          <w:b w:val="0"/>
          <w:bCs w:val="0"/>
          <w:sz w:val="22"/>
          <w:szCs w:val="22"/>
        </w:rPr>
        <w:t>artículo 92</w:t>
      </w:r>
      <w:r w:rsidRPr="00D53C47">
        <w:rPr>
          <w:rFonts w:ascii="Verdana" w:hAnsi="Verdana"/>
          <w:sz w:val="22"/>
          <w:szCs w:val="22"/>
        </w:rPr>
        <w:t xml:space="preserve"> ya mencionado. Dicho artículo prohíbe categóricamente la contratación directa para la </w:t>
      </w:r>
      <w:r w:rsidRPr="00D53C47">
        <w:rPr>
          <w:rStyle w:val="Textoennegrita"/>
          <w:rFonts w:ascii="Verdana" w:hAnsi="Verdana"/>
          <w:sz w:val="22"/>
          <w:szCs w:val="22"/>
        </w:rPr>
        <w:t>“</w:t>
      </w:r>
      <w:r w:rsidRPr="00D53C47">
        <w:rPr>
          <w:rStyle w:val="Textoennegrita"/>
          <w:rFonts w:ascii="Verdana" w:hAnsi="Verdana"/>
          <w:b w:val="0"/>
          <w:bCs w:val="0"/>
          <w:sz w:val="22"/>
          <w:szCs w:val="22"/>
        </w:rPr>
        <w:t>prestación de</w:t>
      </w:r>
      <w:r w:rsidRPr="00D53C47">
        <w:rPr>
          <w:rStyle w:val="Textoennegrita"/>
          <w:rFonts w:ascii="Verdana" w:hAnsi="Verdana"/>
          <w:sz w:val="22"/>
          <w:szCs w:val="22"/>
        </w:rPr>
        <w:t xml:space="preserve"> </w:t>
      </w:r>
      <w:r w:rsidRPr="00D53C47">
        <w:rPr>
          <w:rStyle w:val="Textoennegrita"/>
          <w:rFonts w:ascii="Verdana" w:hAnsi="Verdana"/>
          <w:b w:val="0"/>
          <w:bCs w:val="0"/>
          <w:sz w:val="22"/>
          <w:szCs w:val="22"/>
        </w:rPr>
        <w:t>servicios de evaluación de conformidad respecto de las normas o reglamentos técnicos”</w:t>
      </w:r>
      <w:r w:rsidRPr="00D53C47">
        <w:rPr>
          <w:rFonts w:ascii="Verdana" w:hAnsi="Verdana"/>
          <w:b/>
          <w:bCs/>
          <w:sz w:val="22"/>
          <w:szCs w:val="22"/>
        </w:rPr>
        <w:t>.</w:t>
      </w:r>
    </w:p>
    <w:p w14:paraId="4055DDEE" w14:textId="77777777" w:rsidR="00D53C47" w:rsidRPr="00D53C47" w:rsidRDefault="00D53C47" w:rsidP="00D53C47">
      <w:pPr>
        <w:pStyle w:val="NormalWeb"/>
        <w:spacing w:line="276" w:lineRule="auto"/>
        <w:jc w:val="both"/>
        <w:rPr>
          <w:rFonts w:ascii="Verdana" w:hAnsi="Verdana"/>
          <w:sz w:val="22"/>
          <w:szCs w:val="22"/>
        </w:rPr>
      </w:pPr>
      <w:r>
        <w:rPr>
          <w:rFonts w:ascii="Verdana" w:hAnsi="Verdana"/>
          <w:sz w:val="22"/>
          <w:szCs w:val="22"/>
        </w:rPr>
        <w:t xml:space="preserve">       </w:t>
      </w:r>
      <w:r w:rsidRPr="00D53C47">
        <w:rPr>
          <w:rFonts w:ascii="Verdana" w:hAnsi="Verdana"/>
          <w:sz w:val="22"/>
          <w:szCs w:val="22"/>
        </w:rPr>
        <w:t xml:space="preserve">Definición que encuadra con el </w:t>
      </w:r>
      <w:r w:rsidRPr="00D53C47">
        <w:rPr>
          <w:rStyle w:val="Textoennegrita"/>
          <w:rFonts w:ascii="Verdana" w:hAnsi="Verdana"/>
          <w:b w:val="0"/>
          <w:bCs w:val="0"/>
          <w:sz w:val="22"/>
          <w:szCs w:val="22"/>
        </w:rPr>
        <w:t>artículo 83 de la Ley 1474 de 2011, en cuanto allí</w:t>
      </w:r>
      <w:r w:rsidRPr="00D53C47">
        <w:rPr>
          <w:rFonts w:ascii="Verdana" w:hAnsi="Verdana"/>
          <w:sz w:val="22"/>
          <w:szCs w:val="22"/>
        </w:rPr>
        <w:t xml:space="preserve"> se define que “La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392FBC5E" w14:textId="77777777" w:rsidR="00D53C47" w:rsidRPr="00D53C47" w:rsidRDefault="00D53C47" w:rsidP="00D53C47">
      <w:pPr>
        <w:pStyle w:val="NormalWeb"/>
        <w:jc w:val="both"/>
        <w:rPr>
          <w:rFonts w:ascii="Verdana" w:hAnsi="Verdana"/>
          <w:sz w:val="22"/>
          <w:szCs w:val="22"/>
        </w:rPr>
      </w:pPr>
      <w:r>
        <w:rPr>
          <w:rFonts w:ascii="Verdana" w:hAnsi="Verdana"/>
          <w:sz w:val="22"/>
          <w:szCs w:val="22"/>
        </w:rPr>
        <w:t xml:space="preserve">        </w:t>
      </w:r>
      <w:r w:rsidRPr="00D53C47">
        <w:rPr>
          <w:rFonts w:ascii="Verdana" w:hAnsi="Verdana"/>
          <w:sz w:val="22"/>
          <w:szCs w:val="22"/>
        </w:rPr>
        <w:t xml:space="preserve">Esta interpretación se ve reforzada por el </w:t>
      </w:r>
      <w:r w:rsidRPr="00D53C47">
        <w:rPr>
          <w:rStyle w:val="Textoennegrita"/>
          <w:rFonts w:ascii="Verdana" w:hAnsi="Verdana"/>
          <w:b w:val="0"/>
          <w:bCs w:val="0"/>
          <w:sz w:val="22"/>
          <w:szCs w:val="22"/>
        </w:rPr>
        <w:t>Concepto No. 2092 del 28 de junio de 2012</w:t>
      </w:r>
      <w:r w:rsidRPr="00D53C47">
        <w:rPr>
          <w:rFonts w:ascii="Verdana" w:hAnsi="Verdana"/>
          <w:sz w:val="22"/>
          <w:szCs w:val="22"/>
        </w:rPr>
        <w:t xml:space="preserve"> (C.P. William Zambrano Cetina) de la Sala de Consulta y Servicio Civil del Consejo de Estado. Este concepto llegó a dos conclusiones fundamentales sobre la contratación directa interadministrativa:</w:t>
      </w:r>
    </w:p>
    <w:p w14:paraId="775A31DE" w14:textId="77777777" w:rsidR="00D53C47" w:rsidRPr="00D53C47" w:rsidRDefault="00D53C47" w:rsidP="00D53C47">
      <w:pPr>
        <w:spacing w:before="100" w:beforeAutospacing="1" w:after="100" w:afterAutospacing="1"/>
        <w:ind w:left="709" w:right="709"/>
        <w:jc w:val="both"/>
        <w:rPr>
          <w:rFonts w:ascii="Verdana" w:hAnsi="Verdana"/>
        </w:rPr>
      </w:pPr>
      <w:r w:rsidRPr="00D53C47">
        <w:rPr>
          <w:rFonts w:ascii="Verdana" w:hAnsi="Verdana"/>
        </w:rPr>
        <w:t xml:space="preserve">“En primer lugar, la viabilidad de suscribir estos contratos está sujeta a que las obligaciones contractuales tengan una </w:t>
      </w:r>
      <w:r w:rsidRPr="00D53C47">
        <w:rPr>
          <w:rStyle w:val="Textoennegrita"/>
          <w:rFonts w:ascii="Verdana" w:hAnsi="Verdana"/>
        </w:rPr>
        <w:t>relación directa con el objeto de la entidad pública</w:t>
      </w:r>
      <w:r w:rsidRPr="00D53C47">
        <w:rPr>
          <w:rFonts w:ascii="Verdana" w:hAnsi="Verdana"/>
        </w:rPr>
        <w:t xml:space="preserve"> que actúa como contratista. </w:t>
      </w:r>
    </w:p>
    <w:p w14:paraId="5A381C0A" w14:textId="77777777" w:rsidR="00D53C47" w:rsidRPr="00D53C47" w:rsidRDefault="00D53C47" w:rsidP="00D53C47">
      <w:pPr>
        <w:spacing w:before="100" w:beforeAutospacing="1" w:after="100" w:afterAutospacing="1" w:line="240" w:lineRule="auto"/>
        <w:ind w:left="709" w:right="709"/>
        <w:jc w:val="both"/>
        <w:rPr>
          <w:rFonts w:ascii="Verdana" w:hAnsi="Verdana"/>
        </w:rPr>
      </w:pPr>
      <w:r w:rsidRPr="00D53C47">
        <w:rPr>
          <w:rFonts w:ascii="Verdana" w:hAnsi="Verdana"/>
        </w:rPr>
        <w:t xml:space="preserve">En segundo lugar, los contratos interadministrativos de obra, suministro, </w:t>
      </w:r>
      <w:r w:rsidRPr="00D53C47">
        <w:rPr>
          <w:rStyle w:val="Textoennegrita"/>
          <w:rFonts w:ascii="Verdana" w:hAnsi="Verdana"/>
        </w:rPr>
        <w:t xml:space="preserve">prestación de servicios de evaluación de </w:t>
      </w:r>
      <w:r w:rsidRPr="00D53C47">
        <w:rPr>
          <w:rStyle w:val="Textoennegrita"/>
          <w:rFonts w:ascii="Verdana" w:hAnsi="Verdana"/>
        </w:rPr>
        <w:lastRenderedPageBreak/>
        <w:t>conformidad</w:t>
      </w:r>
      <w:r w:rsidRPr="00D53C47">
        <w:rPr>
          <w:rFonts w:ascii="Verdana" w:hAnsi="Verdana"/>
        </w:rPr>
        <w:t xml:space="preserve">, encargos fiduciarios y fiducia pública, suscritos con instituciones de educación superior, </w:t>
      </w:r>
      <w:r w:rsidRPr="00D53C47">
        <w:rPr>
          <w:rStyle w:val="Textoennegrita"/>
          <w:rFonts w:ascii="Verdana" w:hAnsi="Verdana"/>
        </w:rPr>
        <w:t>entre otras</w:t>
      </w:r>
      <w:r w:rsidRPr="00D53C47">
        <w:rPr>
          <w:rFonts w:ascii="Verdana" w:hAnsi="Verdana"/>
        </w:rPr>
        <w:t>, no pueden realizarse por contratación directa. En cambio, requieren licitación pública o selección abreviada, y el objeto contractual debe, igualmente, tener relación con la misionalidad de la entidad”.</w:t>
      </w:r>
    </w:p>
    <w:p w14:paraId="3598985B" w14:textId="77777777" w:rsidR="00D53C47" w:rsidRPr="00D53C47" w:rsidRDefault="00D53C47" w:rsidP="00D53C47">
      <w:pPr>
        <w:pStyle w:val="NormalWeb"/>
        <w:jc w:val="both"/>
        <w:rPr>
          <w:rFonts w:ascii="Verdana" w:hAnsi="Verdana"/>
          <w:sz w:val="22"/>
          <w:szCs w:val="22"/>
        </w:rPr>
      </w:pPr>
      <w:r>
        <w:rPr>
          <w:rFonts w:ascii="Verdana" w:hAnsi="Verdana"/>
          <w:sz w:val="22"/>
          <w:szCs w:val="22"/>
        </w:rPr>
        <w:t xml:space="preserve">      </w:t>
      </w:r>
      <w:r w:rsidRPr="00D53C47">
        <w:rPr>
          <w:rFonts w:ascii="Verdana" w:hAnsi="Verdana"/>
          <w:sz w:val="22"/>
          <w:szCs w:val="22"/>
        </w:rPr>
        <w:t xml:space="preserve">La expresión </w:t>
      </w:r>
      <w:r w:rsidRPr="00D53C47">
        <w:rPr>
          <w:rStyle w:val="Textoennegrita"/>
          <w:rFonts w:ascii="Verdana" w:hAnsi="Verdana"/>
          <w:sz w:val="22"/>
          <w:szCs w:val="22"/>
        </w:rPr>
        <w:t>“entre otros”</w:t>
      </w:r>
      <w:r w:rsidRPr="00D53C47">
        <w:rPr>
          <w:rFonts w:ascii="Verdana" w:hAnsi="Verdana"/>
          <w:sz w:val="22"/>
          <w:szCs w:val="22"/>
        </w:rPr>
        <w:t>, utilizada por el Consejo de Estado, incluye a las personas jurídicas sin ánimo de lucro conformadas por la asociación de entidades públicas, como es el caso de una asociación de municipios. Dado que esta es una norma de excepción, su aplicación no puede ser extensiva ni analógica. Por lo tanto, cada entidad debe verificar su propia naturaleza jurídica en su acto de creación para determinar si encaja en esta categoría.</w:t>
      </w:r>
    </w:p>
    <w:p w14:paraId="3A19A40A" w14:textId="77777777" w:rsidR="00D53C47" w:rsidRPr="00D53C47" w:rsidRDefault="00D53C47" w:rsidP="00D53C47">
      <w:pPr>
        <w:pStyle w:val="NormalWeb"/>
        <w:jc w:val="both"/>
        <w:rPr>
          <w:rFonts w:ascii="Verdana" w:hAnsi="Verdana"/>
          <w:sz w:val="22"/>
          <w:szCs w:val="22"/>
        </w:rPr>
      </w:pPr>
      <w:r>
        <w:rPr>
          <w:rFonts w:ascii="Verdana" w:hAnsi="Verdana"/>
          <w:sz w:val="22"/>
          <w:szCs w:val="22"/>
        </w:rPr>
        <w:t xml:space="preserve">       </w:t>
      </w:r>
      <w:r w:rsidRPr="00D53C47">
        <w:rPr>
          <w:rFonts w:ascii="Verdana" w:hAnsi="Verdana"/>
          <w:sz w:val="22"/>
          <w:szCs w:val="22"/>
        </w:rPr>
        <w:t xml:space="preserve">Así las cosas, es claro que el </w:t>
      </w:r>
      <w:r w:rsidRPr="00D53C47">
        <w:rPr>
          <w:rStyle w:val="Textoennegrita"/>
          <w:rFonts w:ascii="Verdana" w:hAnsi="Verdana"/>
          <w:b w:val="0"/>
          <w:bCs w:val="0"/>
          <w:sz w:val="22"/>
          <w:szCs w:val="22"/>
        </w:rPr>
        <w:t>artículo 92 de la Ley 1474 de 2011</w:t>
      </w:r>
      <w:r w:rsidRPr="00D53C47">
        <w:rPr>
          <w:rFonts w:ascii="Verdana" w:hAnsi="Verdana"/>
          <w:sz w:val="22"/>
          <w:szCs w:val="22"/>
        </w:rPr>
        <w:t xml:space="preserve"> contempla dos prohibiciones que aplican a este caso: i) La naturaleza del servicio: la interventoría se enmarca en la "prestación de servicios de evaluación de conformidad". </w:t>
      </w:r>
      <w:proofErr w:type="spellStart"/>
      <w:r w:rsidRPr="00D53C47">
        <w:rPr>
          <w:rFonts w:ascii="Verdana" w:hAnsi="Verdana"/>
          <w:sz w:val="22"/>
          <w:szCs w:val="22"/>
        </w:rPr>
        <w:t>ii</w:t>
      </w:r>
      <w:proofErr w:type="spellEnd"/>
      <w:r w:rsidRPr="00D53C47">
        <w:rPr>
          <w:rFonts w:ascii="Verdana" w:hAnsi="Verdana"/>
          <w:sz w:val="22"/>
          <w:szCs w:val="22"/>
        </w:rPr>
        <w:t>) La naturaleza de la entidad: ser una persona jurídica sin ánimo de lucro conformada por una asociación de entidades públicas.</w:t>
      </w:r>
    </w:p>
    <w:p w14:paraId="6A465D14" w14:textId="04B6EA54" w:rsidR="00D53C47" w:rsidRDefault="00D53C47" w:rsidP="00D53C47">
      <w:pPr>
        <w:widowControl w:val="0"/>
        <w:autoSpaceDE w:val="0"/>
        <w:autoSpaceDN w:val="0"/>
        <w:spacing w:after="0" w:line="276" w:lineRule="auto"/>
        <w:ind w:right="108"/>
        <w:jc w:val="both"/>
        <w:rPr>
          <w:rFonts w:ascii="Verdana" w:hAnsi="Verdana"/>
        </w:rPr>
      </w:pPr>
      <w:r>
        <w:rPr>
          <w:rFonts w:ascii="Verdana" w:hAnsi="Verdana"/>
        </w:rPr>
        <w:t xml:space="preserve">       </w:t>
      </w:r>
      <w:r w:rsidRPr="00D53C47">
        <w:rPr>
          <w:rFonts w:ascii="Verdana" w:hAnsi="Verdana"/>
        </w:rPr>
        <w:t>Bajo estos supuestos, las Asociaciones de Municipios están obligadas a competir a través de las reglas de selección objetiva. Esta exigencia garantiza el cumplimiento de los principios de transparencia y libre concurrencia que rigen la contratación pública en Colombia.</w:t>
      </w:r>
    </w:p>
    <w:p w14:paraId="7500638F" w14:textId="77777777" w:rsidR="00D53C47" w:rsidRPr="00D53C47" w:rsidRDefault="00D53C47" w:rsidP="00D53C47">
      <w:pPr>
        <w:widowControl w:val="0"/>
        <w:autoSpaceDE w:val="0"/>
        <w:autoSpaceDN w:val="0"/>
        <w:spacing w:after="0" w:line="276" w:lineRule="auto"/>
        <w:ind w:right="108"/>
        <w:jc w:val="both"/>
        <w:rPr>
          <w:rFonts w:ascii="Verdana" w:eastAsia="Arial" w:hAnsi="Verdana" w:cs="Arial"/>
          <w:color w:val="000000"/>
          <w:lang w:val="es-ES"/>
        </w:rPr>
      </w:pPr>
    </w:p>
    <w:p w14:paraId="6623D01F" w14:textId="77777777" w:rsidR="00733A47" w:rsidRPr="00593A5F" w:rsidRDefault="00733A47" w:rsidP="00733A4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06F4163A" w14:textId="77777777" w:rsidR="00733A47" w:rsidRPr="00593A5F" w:rsidRDefault="00733A47" w:rsidP="00733A4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33A47" w:rsidRPr="00593A5F" w14:paraId="2E95D9F7" w14:textId="77777777" w:rsidTr="00EE5BCC">
        <w:trPr>
          <w:trHeight w:val="870"/>
        </w:trPr>
        <w:tc>
          <w:tcPr>
            <w:tcW w:w="8647" w:type="dxa"/>
          </w:tcPr>
          <w:p w14:paraId="5D0554D5" w14:textId="77777777" w:rsidR="00733A47" w:rsidRPr="00C45C5D" w:rsidRDefault="00733A47" w:rsidP="00733A47">
            <w:pPr>
              <w:numPr>
                <w:ilvl w:val="0"/>
                <w:numId w:val="17"/>
              </w:numPr>
              <w:spacing w:line="256" w:lineRule="auto"/>
              <w:ind w:left="318" w:hanging="284"/>
              <w:contextualSpacing/>
              <w:rPr>
                <w:rFonts w:ascii="Verdana" w:eastAsia="Calibri" w:hAnsi="Verdana" w:cs="Arial"/>
                <w:color w:val="000000"/>
                <w:lang w:val="es-MX" w:eastAsia="es-ES"/>
              </w:rPr>
            </w:pPr>
            <w:r w:rsidRPr="00C45C5D">
              <w:rPr>
                <w:rFonts w:ascii="Verdana" w:eastAsia="Arial MT" w:hAnsi="Verdana" w:cs="Arial"/>
                <w:lang w:val="es-MX" w:eastAsia="es-ES" w:bidi="es-ES"/>
              </w:rPr>
              <w:t xml:space="preserve">Ley 80 de 1993, artículo 2 </w:t>
            </w:r>
          </w:p>
          <w:p w14:paraId="30945E33" w14:textId="77777777" w:rsidR="00733A47" w:rsidRPr="00C45C5D" w:rsidRDefault="00733A47" w:rsidP="00733A47">
            <w:pPr>
              <w:numPr>
                <w:ilvl w:val="0"/>
                <w:numId w:val="17"/>
              </w:numPr>
              <w:spacing w:line="256" w:lineRule="auto"/>
              <w:ind w:left="318" w:hanging="284"/>
              <w:contextualSpacing/>
              <w:jc w:val="both"/>
              <w:rPr>
                <w:rFonts w:ascii="Verdana" w:eastAsia="Calibri" w:hAnsi="Verdana" w:cs="Arial"/>
                <w:shd w:val="clear" w:color="auto" w:fill="FFFFFF"/>
                <w:lang w:val="es-MX"/>
              </w:rPr>
            </w:pPr>
            <w:r w:rsidRPr="00C45C5D">
              <w:rPr>
                <w:rFonts w:ascii="Verdana" w:eastAsia="Calibri" w:hAnsi="Verdana" w:cs="Arial"/>
                <w:color w:val="000000"/>
                <w:lang w:val="es-MX" w:eastAsia="es-ES"/>
              </w:rPr>
              <w:t>Ley 1150 de 2007, artículo 2, numeral 4, literal c, artículo 32</w:t>
            </w:r>
          </w:p>
          <w:p w14:paraId="46EE96CE" w14:textId="77777777" w:rsidR="00733A47" w:rsidRPr="00C45C5D" w:rsidRDefault="00733A47" w:rsidP="00733A47">
            <w:pPr>
              <w:numPr>
                <w:ilvl w:val="0"/>
                <w:numId w:val="17"/>
              </w:numPr>
              <w:spacing w:line="256" w:lineRule="auto"/>
              <w:ind w:left="318" w:hanging="284"/>
              <w:contextualSpacing/>
              <w:jc w:val="both"/>
              <w:rPr>
                <w:rFonts w:ascii="Verdana" w:eastAsia="Calibri" w:hAnsi="Verdana" w:cs="Arial"/>
                <w:shd w:val="clear" w:color="auto" w:fill="FFFFFF"/>
                <w:lang w:val="es-MX"/>
              </w:rPr>
            </w:pPr>
            <w:r w:rsidRPr="00C45C5D">
              <w:rPr>
                <w:rFonts w:ascii="Verdana" w:eastAsia="Calibri" w:hAnsi="Verdana" w:cs="Arial"/>
                <w:shd w:val="clear" w:color="auto" w:fill="FFFFFF"/>
                <w:lang w:val="es-MX"/>
              </w:rPr>
              <w:t>Ley 136 de 1994, artículo 148, 149 y 150</w:t>
            </w:r>
          </w:p>
          <w:p w14:paraId="4A1C333A" w14:textId="77777777" w:rsidR="00733A47" w:rsidRPr="00C45C5D" w:rsidRDefault="00733A47" w:rsidP="00733A47">
            <w:pPr>
              <w:numPr>
                <w:ilvl w:val="0"/>
                <w:numId w:val="17"/>
              </w:numPr>
              <w:spacing w:line="256" w:lineRule="auto"/>
              <w:ind w:left="318" w:hanging="284"/>
              <w:contextualSpacing/>
              <w:jc w:val="both"/>
              <w:rPr>
                <w:rFonts w:ascii="Verdana" w:eastAsia="Calibri" w:hAnsi="Verdana" w:cs="Arial"/>
                <w:shd w:val="clear" w:color="auto" w:fill="FFFFFF"/>
                <w:lang w:val="es-MX"/>
              </w:rPr>
            </w:pPr>
            <w:r w:rsidRPr="00C45C5D">
              <w:rPr>
                <w:rFonts w:ascii="Verdana" w:hAnsi="Verdana"/>
                <w:color w:val="000000" w:themeColor="text1"/>
                <w:lang w:val="es-MX"/>
              </w:rPr>
              <w:t>Ley 1454 de 2011, artículo 17</w:t>
            </w:r>
          </w:p>
          <w:p w14:paraId="36E62278" w14:textId="77777777" w:rsidR="00733A47" w:rsidRDefault="00733A47" w:rsidP="00733A47">
            <w:pPr>
              <w:numPr>
                <w:ilvl w:val="0"/>
                <w:numId w:val="17"/>
              </w:numPr>
              <w:spacing w:line="256" w:lineRule="auto"/>
              <w:ind w:left="318" w:hanging="284"/>
              <w:contextualSpacing/>
              <w:jc w:val="both"/>
              <w:rPr>
                <w:rFonts w:ascii="Verdana" w:eastAsia="Calibri" w:hAnsi="Verdana" w:cs="Arial"/>
                <w:shd w:val="clear" w:color="auto" w:fill="FFFFFF"/>
                <w:lang w:val="es-MX"/>
              </w:rPr>
            </w:pPr>
            <w:r w:rsidRPr="00C45C5D">
              <w:rPr>
                <w:rFonts w:ascii="Verdana" w:eastAsia="Calibri" w:hAnsi="Verdana" w:cs="Arial"/>
                <w:shd w:val="clear" w:color="auto" w:fill="FFFFFF"/>
                <w:lang w:val="es-MX"/>
              </w:rPr>
              <w:t>Ley 489 de 1998, artículo 95</w:t>
            </w:r>
          </w:p>
          <w:p w14:paraId="35C52CBC" w14:textId="77777777" w:rsidR="00733A47" w:rsidRDefault="00733A47" w:rsidP="00733A47">
            <w:pPr>
              <w:numPr>
                <w:ilvl w:val="0"/>
                <w:numId w:val="17"/>
              </w:numPr>
              <w:spacing w:line="256" w:lineRule="auto"/>
              <w:ind w:left="318" w:hanging="284"/>
              <w:contextualSpacing/>
              <w:jc w:val="both"/>
              <w:rPr>
                <w:rFonts w:ascii="Verdana" w:eastAsia="Calibri" w:hAnsi="Verdana" w:cs="Arial"/>
                <w:shd w:val="clear" w:color="auto" w:fill="FFFFFF"/>
                <w:lang w:val="es-MX"/>
              </w:rPr>
            </w:pPr>
            <w:r w:rsidRPr="00FE0139">
              <w:rPr>
                <w:rFonts w:ascii="Verdana" w:eastAsia="Calibri" w:hAnsi="Verdana" w:cs="Arial"/>
                <w:shd w:val="clear" w:color="auto" w:fill="FFFFFF"/>
                <w:lang w:val="es-MX"/>
              </w:rPr>
              <w:t>Ley 1474 de 2011, artículo</w:t>
            </w:r>
            <w:r>
              <w:rPr>
                <w:rFonts w:ascii="Verdana" w:eastAsia="Calibri" w:hAnsi="Verdana" w:cs="Arial"/>
                <w:shd w:val="clear" w:color="auto" w:fill="FFFFFF"/>
                <w:lang w:val="es-MX"/>
              </w:rPr>
              <w:t xml:space="preserve">s </w:t>
            </w:r>
            <w:r w:rsidRPr="00FE0139">
              <w:rPr>
                <w:rFonts w:ascii="Verdana" w:eastAsia="Calibri" w:hAnsi="Verdana" w:cs="Arial"/>
                <w:shd w:val="clear" w:color="auto" w:fill="FFFFFF"/>
                <w:lang w:val="es-MX"/>
              </w:rPr>
              <w:t xml:space="preserve"> </w:t>
            </w:r>
            <w:r w:rsidRPr="00AA1B6D">
              <w:rPr>
                <w:rFonts w:ascii="Verdana" w:eastAsia="Aptos" w:hAnsi="Verdana" w:cs="Arial"/>
              </w:rPr>
              <w:t>83</w:t>
            </w:r>
            <w:r>
              <w:rPr>
                <w:rFonts w:ascii="Verdana" w:eastAsia="Aptos" w:hAnsi="Verdana" w:cs="Arial"/>
              </w:rPr>
              <w:t xml:space="preserve"> y </w:t>
            </w:r>
            <w:r w:rsidRPr="00FE0139">
              <w:rPr>
                <w:rFonts w:ascii="Verdana" w:eastAsia="Calibri" w:hAnsi="Verdana" w:cs="Arial"/>
                <w:shd w:val="clear" w:color="auto" w:fill="FFFFFF"/>
                <w:lang w:val="es-MX"/>
              </w:rPr>
              <w:t>92</w:t>
            </w:r>
            <w:r>
              <w:rPr>
                <w:rFonts w:ascii="Verdana" w:eastAsia="Calibri" w:hAnsi="Verdana" w:cs="Arial"/>
                <w:shd w:val="clear" w:color="auto" w:fill="FFFFFF"/>
                <w:lang w:val="es-MX"/>
              </w:rPr>
              <w:t>.</w:t>
            </w:r>
          </w:p>
          <w:p w14:paraId="68520BA6" w14:textId="77777777" w:rsidR="00733A47" w:rsidRPr="00FE0139" w:rsidRDefault="00733A47" w:rsidP="00733A47">
            <w:pPr>
              <w:numPr>
                <w:ilvl w:val="0"/>
                <w:numId w:val="17"/>
              </w:numPr>
              <w:spacing w:line="256" w:lineRule="auto"/>
              <w:ind w:left="318" w:hanging="284"/>
              <w:contextualSpacing/>
              <w:jc w:val="both"/>
              <w:rPr>
                <w:rFonts w:ascii="Verdana" w:eastAsia="Calibri" w:hAnsi="Verdana" w:cs="Arial"/>
                <w:shd w:val="clear" w:color="auto" w:fill="FFFFFF"/>
                <w:lang w:val="es-MX"/>
              </w:rPr>
            </w:pPr>
            <w:r w:rsidRPr="00AA1B6D">
              <w:rPr>
                <w:rFonts w:ascii="Verdana" w:eastAsia="Arial" w:hAnsi="Verdana" w:cs="Arial"/>
                <w:color w:val="000000"/>
                <w:lang w:val="es-ES"/>
              </w:rPr>
              <w:t>Consejo de</w:t>
            </w:r>
            <w:r>
              <w:rPr>
                <w:rFonts w:ascii="Verdana" w:eastAsia="Arial" w:hAnsi="Verdana" w:cs="Arial"/>
                <w:color w:val="000000"/>
                <w:lang w:val="es-ES"/>
              </w:rPr>
              <w:t xml:space="preserve"> Estado</w:t>
            </w:r>
            <w:r w:rsidRPr="00AA1B6D">
              <w:rPr>
                <w:rFonts w:ascii="Verdana" w:hAnsi="Verdana"/>
              </w:rPr>
              <w:t>, Sala de Consulta y Servicio Civil, a través del Concepto No. 2092 del 28 de junio de 2012, C.P. William Zambrano Cetina</w:t>
            </w:r>
            <w:r>
              <w:rPr>
                <w:rFonts w:ascii="Verdana" w:hAnsi="Verdana"/>
              </w:rPr>
              <w:t>.</w:t>
            </w:r>
          </w:p>
        </w:tc>
      </w:tr>
    </w:tbl>
    <w:p w14:paraId="45D79978" w14:textId="77777777" w:rsidR="00733A47" w:rsidRPr="00593A5F" w:rsidRDefault="00733A47" w:rsidP="00733A47">
      <w:pPr>
        <w:widowControl w:val="0"/>
        <w:autoSpaceDE w:val="0"/>
        <w:autoSpaceDN w:val="0"/>
        <w:spacing w:after="0" w:line="276" w:lineRule="auto"/>
        <w:jc w:val="both"/>
        <w:rPr>
          <w:rFonts w:ascii="Verdana" w:hAnsi="Verdana" w:cs="Arial"/>
        </w:rPr>
      </w:pPr>
    </w:p>
    <w:p w14:paraId="7B276808" w14:textId="77777777" w:rsidR="00733A47" w:rsidRPr="00593A5F" w:rsidRDefault="00733A47" w:rsidP="00733A4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1CEFA23" w14:textId="77777777" w:rsidR="00733A47" w:rsidRPr="00593A5F" w:rsidRDefault="00733A47" w:rsidP="00733A47">
      <w:pPr>
        <w:widowControl w:val="0"/>
        <w:autoSpaceDE w:val="0"/>
        <w:autoSpaceDN w:val="0"/>
        <w:spacing w:after="0" w:line="276" w:lineRule="auto"/>
        <w:jc w:val="both"/>
        <w:rPr>
          <w:rFonts w:ascii="Verdana" w:hAnsi="Verdana" w:cs="Arial"/>
        </w:rPr>
      </w:pPr>
    </w:p>
    <w:p w14:paraId="6C5ED486" w14:textId="77777777" w:rsidR="00733A47" w:rsidRPr="00D13E32" w:rsidRDefault="00733A47" w:rsidP="00733A47">
      <w:pPr>
        <w:widowControl w:val="0"/>
        <w:autoSpaceDE w:val="0"/>
        <w:autoSpaceDN w:val="0"/>
        <w:spacing w:after="0" w:line="276" w:lineRule="auto"/>
        <w:jc w:val="both"/>
        <w:rPr>
          <w:rFonts w:ascii="Verdana" w:hAnsi="Verdana" w:cs="Arial"/>
          <w:color w:val="000000" w:themeColor="text1"/>
          <w:shd w:val="clear" w:color="auto" w:fill="FFFFFF"/>
          <w:lang w:val="es-ES"/>
        </w:rPr>
      </w:pPr>
      <w:r w:rsidRPr="00C45C5D">
        <w:rPr>
          <w:rFonts w:ascii="Verdana" w:eastAsia="Calibri" w:hAnsi="Verdana" w:cs="Arial"/>
          <w:color w:val="000000" w:themeColor="text1"/>
          <w:lang w:val="es-ES" w:eastAsia="es-ES_tradnl"/>
        </w:rPr>
        <w:t>La Agencia Nacional de Contratación Pública – Colombia Compra Eficiente, en los Conceptos 2201913000005444 del 30 de julio de 2019, 2201913000005649 del 8 de agosto de 2019, 4201912000007676 del 20 de diciembre de 2019, C-</w:t>
      </w:r>
      <w:r w:rsidRPr="00C45C5D">
        <w:rPr>
          <w:rFonts w:ascii="Verdana" w:eastAsia="Calibri" w:hAnsi="Verdana" w:cs="Arial"/>
          <w:color w:val="000000" w:themeColor="text1"/>
          <w:lang w:val="es-ES" w:eastAsia="es-ES_tradnl"/>
        </w:rPr>
        <w:lastRenderedPageBreak/>
        <w:t>059 del 25 de febrero de 2020, C-659 del 10 de noviembre de 2020,</w:t>
      </w:r>
      <w:r w:rsidRPr="00C45C5D">
        <w:rPr>
          <w:rFonts w:ascii="Verdana" w:eastAsia="Calibri" w:hAnsi="Verdana" w:cs="Arial"/>
          <w:color w:val="000000" w:themeColor="text1"/>
          <w:lang w:val="es-MX" w:eastAsia="es-ES_tradnl"/>
        </w:rPr>
        <w:t xml:space="preserve"> C-788 del 21 de enero de 2021, C-054 del 10 de marzo de 2021, C-116 del 30 de marzo de 2021, C-149 de 8 de abril de 2021, C-173 del 16 de abril de 2021, C-214 del 13 de mayo de 2021, C-284 del 18 de junio de 2021, C-347 del 23 de julio de 2021, C-664 del 30 de agosto de 2021, C-554 del 6 de octubre de 2021, C-249 del 16 de junio de 2022, C-033 del 27 de febrero de 2023, C-285 del 4 de julio de 2023</w:t>
      </w:r>
      <w:r w:rsidRPr="00C45C5D">
        <w:rPr>
          <w:rFonts w:ascii="Verdana" w:eastAsia="Calibri" w:hAnsi="Verdana" w:cs="Arial"/>
          <w:color w:val="000000" w:themeColor="text1"/>
          <w:lang w:val="es-ES" w:eastAsia="es-ES_tradnl"/>
        </w:rPr>
        <w:t>, C-379 del 29 de octubre de 2023</w:t>
      </w:r>
      <w:r>
        <w:rPr>
          <w:rFonts w:ascii="Verdana" w:eastAsia="Calibri" w:hAnsi="Verdana" w:cs="Arial"/>
          <w:color w:val="000000" w:themeColor="text1"/>
          <w:lang w:val="es-ES" w:eastAsia="es-ES_tradnl"/>
        </w:rPr>
        <w:t xml:space="preserve">, </w:t>
      </w:r>
      <w:r w:rsidRPr="00C45C5D">
        <w:rPr>
          <w:rFonts w:ascii="Verdana" w:eastAsia="Calibri" w:hAnsi="Verdana" w:cs="Arial"/>
          <w:color w:val="000000" w:themeColor="text1"/>
          <w:lang w:val="es-ES" w:eastAsia="es-ES_tradnl"/>
        </w:rPr>
        <w:t xml:space="preserve">C-1044 del 11 de febrero de 2025 </w:t>
      </w:r>
      <w:r>
        <w:rPr>
          <w:rFonts w:ascii="Verdana" w:eastAsia="Calibri" w:hAnsi="Verdana" w:cs="Arial"/>
          <w:color w:val="000000" w:themeColor="text1"/>
          <w:lang w:val="es-ES" w:eastAsia="es-ES_tradnl"/>
        </w:rPr>
        <w:t xml:space="preserve">y C– 442 del 9 de mayo de 2025 </w:t>
      </w:r>
      <w:r w:rsidRPr="00C45C5D">
        <w:rPr>
          <w:rFonts w:ascii="Verdana" w:eastAsia="Calibri" w:hAnsi="Verdana" w:cs="Arial"/>
          <w:color w:val="000000" w:themeColor="text1"/>
          <w:lang w:val="es-ES" w:eastAsia="es-ES_tradnl"/>
        </w:rPr>
        <w:t>se ha pronunciado sobre los esquemas asociativos de entidades territoriales y la celebración de convenios y contratos interadministrativos</w:t>
      </w:r>
      <w:r w:rsidRPr="00D13E32">
        <w:rPr>
          <w:rFonts w:ascii="Verdana" w:eastAsia="Aptos" w:hAnsi="Verdana" w:cs="Arial"/>
          <w:shd w:val="clear" w:color="auto" w:fill="FFFFFF"/>
        </w:rPr>
        <w:t xml:space="preserve">. </w:t>
      </w:r>
      <w:r w:rsidRPr="00D13E32">
        <w:rPr>
          <w:rFonts w:ascii="Verdana" w:hAnsi="Verdana" w:cs="Arial"/>
          <w:shd w:val="clear" w:color="auto" w:fill="FFFFFF"/>
        </w:rPr>
        <w:t>Es</w:t>
      </w:r>
      <w:r w:rsidRPr="00D13E32">
        <w:rPr>
          <w:rFonts w:ascii="Verdana" w:hAnsi="Verdana"/>
        </w:rPr>
        <w:t>tos conceptos se encuentran disponibles para consulta en el Sistema de relatoría de la Agencia, al cual se puede acceder a través del siguiente enlace:</w:t>
      </w:r>
      <w:r w:rsidRPr="00D13E32">
        <w:rPr>
          <w:rFonts w:ascii="Verdana" w:hAnsi="Verdana" w:cs="Arial"/>
          <w:shd w:val="clear" w:color="auto" w:fill="FFFFFF"/>
        </w:rPr>
        <w:t xml:space="preserve"> </w:t>
      </w:r>
      <w:hyperlink r:id="rId18" w:history="1">
        <w:r w:rsidRPr="00D13E32">
          <w:rPr>
            <w:rFonts w:ascii="Verdana" w:hAnsi="Verdana" w:cs="Arial"/>
            <w:color w:val="0563C1" w:themeColor="hyperlink"/>
            <w:u w:val="single"/>
            <w:shd w:val="clear" w:color="auto" w:fill="FFFFFF"/>
          </w:rPr>
          <w:t>https://relatoria.colombiacompra.gov.co/busqueda/conceptos</w:t>
        </w:r>
      </w:hyperlink>
      <w:r w:rsidRPr="00D13E32">
        <w:rPr>
          <w:rFonts w:ascii="Verdana" w:hAnsi="Verdana" w:cs="Arial"/>
          <w:shd w:val="clear" w:color="auto" w:fill="FFFFFF"/>
        </w:rPr>
        <w:t>.</w:t>
      </w:r>
      <w:r w:rsidRPr="00D13E32">
        <w:rPr>
          <w:rFonts w:ascii="Verdana" w:hAnsi="Verdana" w:cs="Arial"/>
          <w:color w:val="FF0000"/>
          <w:shd w:val="clear" w:color="auto" w:fill="FFFFFF"/>
        </w:rPr>
        <w:t xml:space="preserve"> </w:t>
      </w:r>
      <w:r w:rsidRPr="00D13E32">
        <w:rPr>
          <w:rFonts w:ascii="Verdana" w:hAnsi="Verdana" w:cs="Arial"/>
          <w:color w:val="000000" w:themeColor="text1"/>
          <w:shd w:val="clear" w:color="auto" w:fill="FFFFFF"/>
        </w:rPr>
        <w:t>  </w:t>
      </w:r>
    </w:p>
    <w:p w14:paraId="0D0C0148" w14:textId="77777777" w:rsidR="00733A47" w:rsidRDefault="00733A47" w:rsidP="00733A47">
      <w:pPr>
        <w:widowControl w:val="0"/>
        <w:autoSpaceDE w:val="0"/>
        <w:autoSpaceDN w:val="0"/>
        <w:spacing w:after="0" w:line="276" w:lineRule="auto"/>
        <w:jc w:val="both"/>
        <w:rPr>
          <w:rFonts w:ascii="Verdana" w:hAnsi="Verdana" w:cs="Arial"/>
        </w:rPr>
      </w:pPr>
    </w:p>
    <w:p w14:paraId="2099F083" w14:textId="77777777" w:rsidR="00733A47" w:rsidRPr="006926C4" w:rsidRDefault="00733A47" w:rsidP="00733A47">
      <w:pPr>
        <w:jc w:val="both"/>
        <w:rPr>
          <w:rFonts w:ascii="Verdana" w:hAnsi="Verdana" w:cs="Arial"/>
          <w:color w:val="000000" w:themeColor="text1"/>
          <w:shd w:val="clear" w:color="auto" w:fill="FFFFFF"/>
        </w:rPr>
      </w:pPr>
      <w:r w:rsidRPr="006926C4">
        <w:rPr>
          <w:rFonts w:ascii="Verdana" w:hAnsi="Verdana" w:cs="Arial"/>
          <w:color w:val="000000" w:themeColor="text1"/>
          <w:shd w:val="clear" w:color="auto" w:fill="FFFFFF"/>
        </w:rPr>
        <w:t>Nos complace informarle que ya están disponibles las nuevas versiones de los Documentos Tipo para Infraestructura de Transporte, recuerda que es de obligatoria observancia por TODAS las entidades sometidas al EGCAP y entidades de régimen especial, con las excepciones de ley:</w:t>
      </w:r>
    </w:p>
    <w:p w14:paraId="4CACA4C3" w14:textId="77777777" w:rsidR="00733A47" w:rsidRPr="006926C4" w:rsidRDefault="00733A47" w:rsidP="00733A47">
      <w:pPr>
        <w:numPr>
          <w:ilvl w:val="0"/>
          <w:numId w:val="18"/>
        </w:numPr>
        <w:spacing w:after="0" w:line="240" w:lineRule="auto"/>
        <w:jc w:val="both"/>
        <w:rPr>
          <w:rFonts w:ascii="Verdana" w:hAnsi="Verdana" w:cs="Arial"/>
          <w:color w:val="000000" w:themeColor="text1"/>
          <w:shd w:val="clear" w:color="auto" w:fill="FFFFFF"/>
        </w:rPr>
      </w:pPr>
      <w:r w:rsidRPr="006926C4">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9" w:tgtFrame="_blank" w:tooltip="Dirección URL original: https://www.colombiacompra.gov.co/content/03-documentos-tipo-para-los-procesos-de-seleccion-de-interventoria-de-obra-publica-de. Haga clic o pulse si confía en este vínculo." w:history="1">
        <w:r w:rsidRPr="006926C4">
          <w:rPr>
            <w:rStyle w:val="Hipervnculo"/>
            <w:rFonts w:ascii="Verdana" w:hAnsi="Verdana" w:cs="Arial"/>
            <w:color w:val="4472C4" w:themeColor="accent1"/>
            <w:shd w:val="clear" w:color="auto" w:fill="FFFFFF"/>
          </w:rPr>
          <w:t>03. Documentos tipo para los procesos de selección de interventoría de obra pública de infraestructura de transporte – versión 3 | Colombia Compra Eficiente | Agencia Nacional de Contratación Pública</w:t>
        </w:r>
      </w:hyperlink>
    </w:p>
    <w:p w14:paraId="16399825" w14:textId="77777777" w:rsidR="00733A47" w:rsidRPr="006926C4" w:rsidRDefault="00733A47" w:rsidP="00733A47">
      <w:pPr>
        <w:jc w:val="both"/>
        <w:rPr>
          <w:rFonts w:ascii="Verdana" w:hAnsi="Verdana" w:cs="Arial"/>
          <w:color w:val="000000" w:themeColor="text1"/>
          <w:shd w:val="clear" w:color="auto" w:fill="FFFFFF"/>
        </w:rPr>
      </w:pPr>
    </w:p>
    <w:p w14:paraId="3A8E8BF9" w14:textId="77777777" w:rsidR="00733A47" w:rsidRPr="006926C4" w:rsidRDefault="00733A47" w:rsidP="00733A47">
      <w:pPr>
        <w:numPr>
          <w:ilvl w:val="0"/>
          <w:numId w:val="18"/>
        </w:numPr>
        <w:spacing w:after="0" w:line="240" w:lineRule="auto"/>
        <w:jc w:val="both"/>
        <w:rPr>
          <w:rFonts w:ascii="Verdana" w:hAnsi="Verdana" w:cs="Arial"/>
          <w:color w:val="000000" w:themeColor="text1"/>
          <w:shd w:val="clear" w:color="auto" w:fill="FFFFFF"/>
        </w:rPr>
      </w:pPr>
      <w:r w:rsidRPr="006926C4">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6926C4">
        <w:rPr>
          <w:rFonts w:ascii="Verdana" w:hAnsi="Verdana" w:cs="Arial"/>
          <w:color w:val="000000" w:themeColor="text1"/>
          <w:shd w:val="clear" w:color="auto" w:fill="FFFFFF"/>
        </w:rPr>
        <w:t> </w:t>
      </w:r>
      <w:hyperlink r:id="rId20" w:tgtFrame="_blank" w:tooltip="Dirección URL original: https://www.colombiacompra.gov.co/content/02-documentos-tipo-para-los-procesos-de-seleccion-de-consultoria-de-obra-publica-de. Haga clic o pulse si confía en este vínculo." w:history="1">
        <w:r w:rsidRPr="006926C4">
          <w:rPr>
            <w:rStyle w:val="Hipervnculo"/>
            <w:rFonts w:ascii="Verdana" w:hAnsi="Verdana" w:cs="Arial"/>
            <w:color w:val="4472C4" w:themeColor="accent1"/>
            <w:shd w:val="clear" w:color="auto" w:fill="FFFFFF"/>
          </w:rPr>
          <w:t>02. Documentos tipo para los procesos de selección de consultoría de obra pública de infraestructura de transporte – versión 2. | Colombia Compra Eficiente | Agencia Nacional de Contratación Pública</w:t>
        </w:r>
      </w:hyperlink>
    </w:p>
    <w:p w14:paraId="099CA2B5" w14:textId="77777777" w:rsidR="00733A47" w:rsidRPr="006926C4" w:rsidRDefault="00733A47" w:rsidP="00733A47">
      <w:pPr>
        <w:jc w:val="both"/>
        <w:rPr>
          <w:rFonts w:ascii="Verdana" w:hAnsi="Verdana" w:cs="Arial"/>
          <w:color w:val="000000" w:themeColor="text1"/>
          <w:shd w:val="clear" w:color="auto" w:fill="FFFFFF"/>
        </w:rPr>
      </w:pPr>
    </w:p>
    <w:p w14:paraId="591AA5A9" w14:textId="77777777" w:rsidR="00733A47" w:rsidRPr="00475A36" w:rsidRDefault="00733A47" w:rsidP="00733A47">
      <w:pPr>
        <w:jc w:val="both"/>
        <w:rPr>
          <w:rFonts w:ascii="Verdana" w:hAnsi="Verdana"/>
        </w:rPr>
      </w:pPr>
      <w:r w:rsidRPr="006926C4">
        <w:rPr>
          <w:rFonts w:ascii="Verdana" w:hAnsi="Verdana" w:cs="Arial"/>
          <w:color w:val="000000" w:themeColor="text1"/>
          <w:shd w:val="clear" w:color="auto" w:fill="FFFFFF"/>
        </w:rPr>
        <w:t>También, le contamos que ya publicamos </w:t>
      </w:r>
      <w:r w:rsidRPr="006926C4">
        <w:rPr>
          <w:rFonts w:ascii="Verdana" w:hAnsi="Verdana" w:cs="Arial"/>
          <w:b/>
          <w:bCs/>
          <w:color w:val="000000" w:themeColor="text1"/>
          <w:shd w:val="clear" w:color="auto" w:fill="FFFFFF"/>
        </w:rPr>
        <w:t>la nueva Guía de Contratación Pública Sostenible y Socialmente Responsable</w:t>
      </w:r>
      <w:r w:rsidRPr="006926C4">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21" w:tgtFrame="_blank" w:tooltip="Dirección URL original: https://www.colombiacompra.gov.co/manuales-guias-y-pliegos-tipo/manuales-y-guias/guia-de-contratacion-publica-sostenible-y-socialmente. Haga clic o pulse si confía en este vínculo." w:history="1">
        <w:r w:rsidRPr="006926C4">
          <w:rPr>
            <w:rStyle w:val="Hipervnculo"/>
            <w:rFonts w:ascii="Verdana" w:hAnsi="Verdana" w:cs="Arial"/>
            <w:color w:val="4472C4" w:themeColor="accent1"/>
            <w:shd w:val="clear" w:color="auto" w:fill="FFFFFF"/>
          </w:rPr>
          <w:t>Guía de Contratación Pública Sostenible y Socialmente Responsable | Colombia Compra Eficiente | Agencia Nacional de Contratación Pública</w:t>
        </w:r>
      </w:hyperlink>
    </w:p>
    <w:p w14:paraId="6E522F2A" w14:textId="77777777" w:rsidR="00733A47" w:rsidRPr="006926C4" w:rsidRDefault="00733A47" w:rsidP="00733A47">
      <w:pPr>
        <w:jc w:val="both"/>
        <w:rPr>
          <w:rFonts w:ascii="Verdana" w:hAnsi="Verdana"/>
        </w:rPr>
      </w:pPr>
      <w:r w:rsidRPr="006926C4">
        <w:rPr>
          <w:rFonts w:ascii="Verdana" w:hAnsi="Verdana"/>
        </w:rPr>
        <w:lastRenderedPageBreak/>
        <w:t xml:space="preserve">Por último, lo invitamos a seguirnos en las redes sociales en las cuales se difunde información institucional: </w:t>
      </w:r>
    </w:p>
    <w:p w14:paraId="61E8583D" w14:textId="77777777" w:rsidR="00733A47" w:rsidRPr="006926C4" w:rsidRDefault="00733A47" w:rsidP="00733A47">
      <w:pPr>
        <w:spacing w:line="240" w:lineRule="auto"/>
        <w:jc w:val="both"/>
        <w:rPr>
          <w:rFonts w:ascii="Verdana" w:hAnsi="Verdana"/>
        </w:rPr>
      </w:pPr>
      <w:r w:rsidRPr="006926C4">
        <w:rPr>
          <w:rFonts w:ascii="Verdana" w:hAnsi="Verdana"/>
        </w:rPr>
        <w:t xml:space="preserve">Twitter: </w:t>
      </w:r>
      <w:r w:rsidRPr="006926C4">
        <w:rPr>
          <w:rStyle w:val="Hipervnculo"/>
          <w:rFonts w:ascii="Verdana" w:hAnsi="Verdana"/>
          <w:color w:val="4472C4" w:themeColor="accent1"/>
        </w:rPr>
        <w:t>@colombiacompra</w:t>
      </w:r>
      <w:r w:rsidRPr="006926C4">
        <w:rPr>
          <w:rFonts w:ascii="Verdana" w:hAnsi="Verdana"/>
          <w:color w:val="4472C4" w:themeColor="accent1"/>
        </w:rPr>
        <w:t xml:space="preserve"> </w:t>
      </w:r>
    </w:p>
    <w:p w14:paraId="298E1146" w14:textId="77777777" w:rsidR="00733A47" w:rsidRPr="006926C4" w:rsidRDefault="00733A47" w:rsidP="00733A47">
      <w:pPr>
        <w:spacing w:line="240" w:lineRule="auto"/>
        <w:jc w:val="both"/>
        <w:rPr>
          <w:rFonts w:ascii="Verdana" w:hAnsi="Verdana"/>
        </w:rPr>
      </w:pPr>
      <w:r w:rsidRPr="006926C4">
        <w:rPr>
          <w:rFonts w:ascii="Verdana" w:hAnsi="Verdana"/>
        </w:rPr>
        <w:t xml:space="preserve">Facebook: </w:t>
      </w:r>
      <w:r w:rsidRPr="006926C4">
        <w:rPr>
          <w:rStyle w:val="Hipervnculo"/>
          <w:rFonts w:ascii="Verdana" w:hAnsi="Verdana"/>
          <w:color w:val="4472C4" w:themeColor="accent1"/>
        </w:rPr>
        <w:t>ColombiaCompraEficiente</w:t>
      </w:r>
    </w:p>
    <w:p w14:paraId="4A398099" w14:textId="77777777" w:rsidR="00733A47" w:rsidRPr="00475A36" w:rsidRDefault="00733A47" w:rsidP="00733A47">
      <w:pPr>
        <w:spacing w:line="240" w:lineRule="auto"/>
        <w:jc w:val="both"/>
        <w:rPr>
          <w:rFonts w:ascii="Verdana" w:hAnsi="Verdana"/>
        </w:rPr>
      </w:pPr>
      <w:r w:rsidRPr="006926C4">
        <w:rPr>
          <w:rFonts w:ascii="Verdana" w:hAnsi="Verdana"/>
        </w:rPr>
        <w:t xml:space="preserve">LinkedIn: </w:t>
      </w:r>
      <w:r w:rsidRPr="006926C4">
        <w:rPr>
          <w:rStyle w:val="Hipervnculo"/>
          <w:rFonts w:ascii="Verdana" w:hAnsi="Verdana"/>
          <w:color w:val="4472C4" w:themeColor="accent1"/>
        </w:rPr>
        <w:t>Agencia Nacional de Contratación Pública - Colombia Compra Eficiente</w:t>
      </w:r>
      <w:r w:rsidRPr="006926C4">
        <w:rPr>
          <w:rFonts w:ascii="Verdana" w:hAnsi="Verdana"/>
          <w:color w:val="4472C4" w:themeColor="accent1"/>
        </w:rPr>
        <w:t xml:space="preserve"> </w:t>
      </w:r>
      <w:r w:rsidRPr="006926C4">
        <w:rPr>
          <w:rFonts w:ascii="Verdana" w:hAnsi="Verdana"/>
        </w:rPr>
        <w:t xml:space="preserve">Instagram: </w:t>
      </w:r>
      <w:r w:rsidRPr="006926C4">
        <w:rPr>
          <w:rStyle w:val="Hipervnculo"/>
          <w:rFonts w:ascii="Verdana" w:hAnsi="Verdana"/>
          <w:color w:val="4472C4" w:themeColor="accent1"/>
        </w:rPr>
        <w:t>@colombiacompraeficiente_cce</w:t>
      </w:r>
    </w:p>
    <w:p w14:paraId="1B074314" w14:textId="77777777" w:rsidR="00733A47" w:rsidRPr="006926C4" w:rsidRDefault="00733A47" w:rsidP="00733A47">
      <w:pPr>
        <w:widowControl w:val="0"/>
        <w:autoSpaceDE w:val="0"/>
        <w:autoSpaceDN w:val="0"/>
        <w:spacing w:line="276" w:lineRule="auto"/>
        <w:jc w:val="both"/>
        <w:rPr>
          <w:rFonts w:ascii="Verdana" w:hAnsi="Verdana" w:cs="Arial"/>
          <w:lang w:val="es-ES_tradnl"/>
        </w:rPr>
      </w:pPr>
      <w:r w:rsidRPr="006926C4">
        <w:rPr>
          <w:rFonts w:ascii="Verdana" w:hAnsi="Verdana" w:cs="Arial"/>
        </w:rPr>
        <w:t xml:space="preserve">Este concepto tiene el alcance previsto en el artículo 28 del Código de Procedimiento Administrativo y de lo Contencioso Administrativo </w:t>
      </w:r>
      <w:r w:rsidRPr="006926C4">
        <w:rPr>
          <w:rFonts w:ascii="Verdana" w:hAnsi="Verdana" w:cs="Arial"/>
          <w:lang w:val="es-ES_tradnl"/>
        </w:rPr>
        <w:t>y las expresiones aquí utilizadas con mayúscula inicial deben ser entendidas con el significado que les otorga el artículo 2.2.1.1.1.3.1. del Decreto 1082 de 2015.</w:t>
      </w:r>
    </w:p>
    <w:p w14:paraId="00A51369" w14:textId="77777777" w:rsidR="00733A47" w:rsidRPr="005D083D" w:rsidRDefault="00733A47" w:rsidP="00733A47">
      <w:pPr>
        <w:widowControl w:val="0"/>
        <w:autoSpaceDE w:val="0"/>
        <w:autoSpaceDN w:val="0"/>
        <w:spacing w:after="0" w:line="276" w:lineRule="auto"/>
        <w:jc w:val="both"/>
        <w:rPr>
          <w:rFonts w:ascii="Verdana" w:hAnsi="Verdana" w:cs="Arial"/>
          <w:color w:val="FF0000"/>
          <w:shd w:val="clear" w:color="auto" w:fill="FFFFFF"/>
          <w:lang w:val="es-ES"/>
        </w:rPr>
      </w:pPr>
    </w:p>
    <w:p w14:paraId="57E65F03" w14:textId="77777777" w:rsidR="00733A47" w:rsidRPr="00593A5F" w:rsidRDefault="00733A47" w:rsidP="00733A47">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BD7D4F3" w14:textId="2E8C9BDE" w:rsidR="00733A47" w:rsidRPr="00593A5F" w:rsidRDefault="00DC040B" w:rsidP="00733A47">
      <w:pPr>
        <w:spacing w:line="276" w:lineRule="auto"/>
        <w:jc w:val="center"/>
        <w:rPr>
          <w:rFonts w:ascii="Verdana" w:hAnsi="Verdana" w:cs="Arial"/>
          <w:color w:val="000000"/>
          <w:lang w:val="es-ES_tradnl" w:eastAsia="es-CO"/>
        </w:rPr>
      </w:pPr>
      <w:r>
        <w:rPr>
          <w:noProof/>
        </w:rPr>
        <w:drawing>
          <wp:inline distT="0" distB="0" distL="0" distR="0" wp14:anchorId="63446CA9" wp14:editId="53098781">
            <wp:extent cx="3771429" cy="1400000"/>
            <wp:effectExtent l="0" t="0" r="635" b="0"/>
            <wp:docPr id="16031495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14956" name="Imagen 1" descr="Texto&#10;&#10;El contenido generado por IA puede ser incorrecto."/>
                    <pic:cNvPicPr/>
                  </pic:nvPicPr>
                  <pic:blipFill>
                    <a:blip r:embed="rId22"/>
                    <a:stretch>
                      <a:fillRect/>
                    </a:stretch>
                  </pic:blipFill>
                  <pic:spPr>
                    <a:xfrm>
                      <a:off x="0" y="0"/>
                      <a:ext cx="3771429" cy="1400000"/>
                    </a:xfrm>
                    <a:prstGeom prst="rect">
                      <a:avLst/>
                    </a:prstGeom>
                  </pic:spPr>
                </pic:pic>
              </a:graphicData>
            </a:graphic>
          </wp:inline>
        </w:drawing>
      </w:r>
    </w:p>
    <w:tbl>
      <w:tblPr>
        <w:tblStyle w:val="TableNormal"/>
        <w:tblW w:w="0" w:type="auto"/>
        <w:tblInd w:w="328" w:type="dxa"/>
        <w:tblLayout w:type="fixed"/>
        <w:tblLook w:val="01E0" w:firstRow="1" w:lastRow="1" w:firstColumn="1" w:lastColumn="1" w:noHBand="0" w:noVBand="0"/>
      </w:tblPr>
      <w:tblGrid>
        <w:gridCol w:w="915"/>
        <w:gridCol w:w="5548"/>
      </w:tblGrid>
      <w:tr w:rsidR="00733A47" w:rsidRPr="00733A47" w14:paraId="49A21EC0" w14:textId="77777777" w:rsidTr="00EE5BCC">
        <w:trPr>
          <w:trHeight w:val="435"/>
        </w:trPr>
        <w:tc>
          <w:tcPr>
            <w:tcW w:w="915" w:type="dxa"/>
          </w:tcPr>
          <w:p w14:paraId="621151EE" w14:textId="77777777" w:rsidR="00733A47" w:rsidRPr="00733A47" w:rsidRDefault="00733A47" w:rsidP="00EE5BCC">
            <w:pPr>
              <w:pStyle w:val="TableParagraph"/>
              <w:spacing w:before="110"/>
              <w:ind w:right="53"/>
              <w:jc w:val="center"/>
              <w:rPr>
                <w:rFonts w:ascii="Verdana" w:hAnsi="Verdana"/>
                <w:sz w:val="16"/>
                <w:szCs w:val="16"/>
              </w:rPr>
            </w:pPr>
            <w:r w:rsidRPr="00733A47">
              <w:rPr>
                <w:rFonts w:ascii="Verdana" w:hAnsi="Verdana"/>
                <w:spacing w:val="-2"/>
                <w:sz w:val="16"/>
                <w:szCs w:val="16"/>
              </w:rPr>
              <w:t>Elaboró:</w:t>
            </w:r>
          </w:p>
        </w:tc>
        <w:tc>
          <w:tcPr>
            <w:tcW w:w="5548" w:type="dxa"/>
            <w:tcBorders>
              <w:bottom w:val="dotted" w:sz="4" w:space="0" w:color="919191"/>
            </w:tcBorders>
          </w:tcPr>
          <w:p w14:paraId="4D8107A1" w14:textId="77777777" w:rsidR="00733A47" w:rsidRPr="00733A47" w:rsidRDefault="00733A47" w:rsidP="00EE5BCC">
            <w:pPr>
              <w:pStyle w:val="TableParagraph"/>
              <w:spacing w:line="217" w:lineRule="exact"/>
              <w:ind w:left="110"/>
              <w:rPr>
                <w:rFonts w:ascii="Verdana" w:hAnsi="Verdana"/>
                <w:sz w:val="16"/>
                <w:szCs w:val="16"/>
              </w:rPr>
            </w:pPr>
            <w:r w:rsidRPr="00733A47">
              <w:rPr>
                <w:rFonts w:ascii="Verdana" w:hAnsi="Verdana"/>
                <w:sz w:val="16"/>
                <w:szCs w:val="16"/>
              </w:rPr>
              <w:t>Andrea</w:t>
            </w:r>
            <w:r w:rsidRPr="00733A47">
              <w:rPr>
                <w:rFonts w:ascii="Verdana" w:hAnsi="Verdana"/>
                <w:spacing w:val="-4"/>
                <w:sz w:val="16"/>
                <w:szCs w:val="16"/>
              </w:rPr>
              <w:t xml:space="preserve"> </w:t>
            </w:r>
            <w:r w:rsidRPr="00733A47">
              <w:rPr>
                <w:rFonts w:ascii="Verdana" w:hAnsi="Verdana"/>
                <w:sz w:val="16"/>
                <w:szCs w:val="16"/>
              </w:rPr>
              <w:t>del</w:t>
            </w:r>
            <w:r w:rsidRPr="00733A47">
              <w:rPr>
                <w:rFonts w:ascii="Verdana" w:hAnsi="Verdana"/>
                <w:spacing w:val="-4"/>
                <w:sz w:val="16"/>
                <w:szCs w:val="16"/>
              </w:rPr>
              <w:t xml:space="preserve"> </w:t>
            </w:r>
            <w:r w:rsidRPr="00733A47">
              <w:rPr>
                <w:rFonts w:ascii="Verdana" w:hAnsi="Verdana"/>
                <w:sz w:val="16"/>
                <w:szCs w:val="16"/>
              </w:rPr>
              <w:t>Pilar</w:t>
            </w:r>
            <w:r w:rsidRPr="00733A47">
              <w:rPr>
                <w:rFonts w:ascii="Verdana" w:hAnsi="Verdana"/>
                <w:spacing w:val="-6"/>
                <w:sz w:val="16"/>
                <w:szCs w:val="16"/>
              </w:rPr>
              <w:t xml:space="preserve"> </w:t>
            </w:r>
            <w:r w:rsidRPr="00733A47">
              <w:rPr>
                <w:rFonts w:ascii="Verdana" w:hAnsi="Verdana"/>
                <w:sz w:val="16"/>
                <w:szCs w:val="16"/>
              </w:rPr>
              <w:t>Garzón</w:t>
            </w:r>
            <w:r w:rsidRPr="00733A47">
              <w:rPr>
                <w:rFonts w:ascii="Verdana" w:hAnsi="Verdana"/>
                <w:spacing w:val="-9"/>
                <w:sz w:val="16"/>
                <w:szCs w:val="16"/>
              </w:rPr>
              <w:t xml:space="preserve"> </w:t>
            </w:r>
            <w:r w:rsidRPr="00733A47">
              <w:rPr>
                <w:rFonts w:ascii="Verdana" w:hAnsi="Verdana"/>
                <w:spacing w:val="-2"/>
                <w:sz w:val="16"/>
                <w:szCs w:val="16"/>
              </w:rPr>
              <w:t>Sánchez</w:t>
            </w:r>
          </w:p>
          <w:p w14:paraId="6A0E821A" w14:textId="77777777" w:rsidR="00733A47" w:rsidRPr="00733A47" w:rsidRDefault="00733A47" w:rsidP="00EE5BCC">
            <w:pPr>
              <w:pStyle w:val="TableParagraph"/>
              <w:spacing w:line="199" w:lineRule="exact"/>
              <w:ind w:left="110"/>
              <w:rPr>
                <w:rFonts w:ascii="Verdana" w:hAnsi="Verdana"/>
                <w:sz w:val="16"/>
                <w:szCs w:val="16"/>
              </w:rPr>
            </w:pPr>
            <w:r w:rsidRPr="00733A47">
              <w:rPr>
                <w:rFonts w:ascii="Verdana" w:hAnsi="Verdana"/>
                <w:sz w:val="16"/>
                <w:szCs w:val="16"/>
              </w:rPr>
              <w:t>Contratista</w:t>
            </w:r>
            <w:r w:rsidRPr="00733A47">
              <w:rPr>
                <w:rFonts w:ascii="Verdana" w:hAnsi="Verdana"/>
                <w:spacing w:val="-6"/>
                <w:sz w:val="16"/>
                <w:szCs w:val="16"/>
              </w:rPr>
              <w:t xml:space="preserve"> </w:t>
            </w:r>
            <w:r w:rsidRPr="00733A47">
              <w:rPr>
                <w:rFonts w:ascii="Verdana" w:hAnsi="Verdana"/>
                <w:sz w:val="16"/>
                <w:szCs w:val="16"/>
              </w:rPr>
              <w:t>de</w:t>
            </w:r>
            <w:r w:rsidRPr="00733A47">
              <w:rPr>
                <w:rFonts w:ascii="Verdana" w:hAnsi="Verdana"/>
                <w:spacing w:val="-9"/>
                <w:sz w:val="16"/>
                <w:szCs w:val="16"/>
              </w:rPr>
              <w:t xml:space="preserve"> </w:t>
            </w:r>
            <w:r w:rsidRPr="00733A47">
              <w:rPr>
                <w:rFonts w:ascii="Verdana" w:hAnsi="Verdana"/>
                <w:sz w:val="16"/>
                <w:szCs w:val="16"/>
              </w:rPr>
              <w:t>la</w:t>
            </w:r>
            <w:r w:rsidRPr="00733A47">
              <w:rPr>
                <w:rFonts w:ascii="Verdana" w:hAnsi="Verdana"/>
                <w:spacing w:val="-5"/>
                <w:sz w:val="16"/>
                <w:szCs w:val="16"/>
              </w:rPr>
              <w:t xml:space="preserve"> </w:t>
            </w:r>
            <w:r w:rsidRPr="00733A47">
              <w:rPr>
                <w:rFonts w:ascii="Verdana" w:hAnsi="Verdana"/>
                <w:sz w:val="16"/>
                <w:szCs w:val="16"/>
              </w:rPr>
              <w:t>Subdirección</w:t>
            </w:r>
            <w:r w:rsidRPr="00733A47">
              <w:rPr>
                <w:rFonts w:ascii="Verdana" w:hAnsi="Verdana"/>
                <w:spacing w:val="-6"/>
                <w:sz w:val="16"/>
                <w:szCs w:val="16"/>
              </w:rPr>
              <w:t xml:space="preserve"> </w:t>
            </w:r>
            <w:r w:rsidRPr="00733A47">
              <w:rPr>
                <w:rFonts w:ascii="Verdana" w:hAnsi="Verdana"/>
                <w:sz w:val="16"/>
                <w:szCs w:val="16"/>
              </w:rPr>
              <w:t>de</w:t>
            </w:r>
            <w:r w:rsidRPr="00733A47">
              <w:rPr>
                <w:rFonts w:ascii="Verdana" w:hAnsi="Verdana"/>
                <w:spacing w:val="-9"/>
                <w:sz w:val="16"/>
                <w:szCs w:val="16"/>
              </w:rPr>
              <w:t xml:space="preserve"> </w:t>
            </w:r>
            <w:r w:rsidRPr="00733A47">
              <w:rPr>
                <w:rFonts w:ascii="Verdana" w:hAnsi="Verdana"/>
                <w:sz w:val="16"/>
                <w:szCs w:val="16"/>
              </w:rPr>
              <w:t>Gestión</w:t>
            </w:r>
            <w:r w:rsidRPr="00733A47">
              <w:rPr>
                <w:rFonts w:ascii="Verdana" w:hAnsi="Verdana"/>
                <w:spacing w:val="-5"/>
                <w:sz w:val="16"/>
                <w:szCs w:val="16"/>
              </w:rPr>
              <w:t xml:space="preserve"> </w:t>
            </w:r>
            <w:r w:rsidRPr="00733A47">
              <w:rPr>
                <w:rFonts w:ascii="Verdana" w:hAnsi="Verdana"/>
                <w:spacing w:val="-2"/>
                <w:sz w:val="16"/>
                <w:szCs w:val="16"/>
              </w:rPr>
              <w:t>Contractual</w:t>
            </w:r>
          </w:p>
        </w:tc>
      </w:tr>
      <w:tr w:rsidR="00733A47" w:rsidRPr="00733A47" w14:paraId="00A4B6AB" w14:textId="77777777" w:rsidTr="00EE5BCC">
        <w:trPr>
          <w:trHeight w:val="440"/>
        </w:trPr>
        <w:tc>
          <w:tcPr>
            <w:tcW w:w="915" w:type="dxa"/>
          </w:tcPr>
          <w:p w14:paraId="6B827687" w14:textId="77777777" w:rsidR="00733A47" w:rsidRPr="00733A47" w:rsidRDefault="00733A47" w:rsidP="00EE5BCC">
            <w:pPr>
              <w:pStyle w:val="TableParagraph"/>
              <w:spacing w:before="109"/>
              <w:ind w:right="142"/>
              <w:jc w:val="center"/>
              <w:rPr>
                <w:rFonts w:ascii="Verdana" w:hAnsi="Verdana"/>
                <w:sz w:val="16"/>
                <w:szCs w:val="16"/>
              </w:rPr>
            </w:pPr>
            <w:r w:rsidRPr="00733A47">
              <w:rPr>
                <w:rFonts w:ascii="Verdana" w:hAnsi="Verdana"/>
                <w:spacing w:val="-2"/>
                <w:sz w:val="16"/>
                <w:szCs w:val="16"/>
              </w:rPr>
              <w:t>Revisó:</w:t>
            </w:r>
          </w:p>
        </w:tc>
        <w:tc>
          <w:tcPr>
            <w:tcW w:w="5548" w:type="dxa"/>
            <w:tcBorders>
              <w:top w:val="dotted" w:sz="4" w:space="0" w:color="919191"/>
              <w:bottom w:val="dotted" w:sz="4" w:space="0" w:color="919191"/>
            </w:tcBorders>
          </w:tcPr>
          <w:p w14:paraId="0709FD87" w14:textId="77777777" w:rsidR="00733A47" w:rsidRPr="00733A47" w:rsidRDefault="00733A47" w:rsidP="00EE5BCC">
            <w:pPr>
              <w:pStyle w:val="TableParagraph"/>
              <w:spacing w:line="218" w:lineRule="exact"/>
              <w:ind w:left="110"/>
              <w:rPr>
                <w:rFonts w:ascii="Verdana" w:hAnsi="Verdana"/>
                <w:sz w:val="16"/>
                <w:szCs w:val="16"/>
              </w:rPr>
            </w:pPr>
            <w:r w:rsidRPr="00733A47">
              <w:rPr>
                <w:rFonts w:ascii="Verdana" w:hAnsi="Verdana"/>
                <w:sz w:val="16"/>
                <w:szCs w:val="16"/>
              </w:rPr>
              <w:t>Juan</w:t>
            </w:r>
            <w:r w:rsidRPr="00733A47">
              <w:rPr>
                <w:rFonts w:ascii="Verdana" w:hAnsi="Verdana"/>
                <w:spacing w:val="-5"/>
                <w:sz w:val="16"/>
                <w:szCs w:val="16"/>
              </w:rPr>
              <w:t xml:space="preserve"> </w:t>
            </w:r>
            <w:r w:rsidRPr="00733A47">
              <w:rPr>
                <w:rFonts w:ascii="Verdana" w:hAnsi="Verdana"/>
                <w:sz w:val="16"/>
                <w:szCs w:val="16"/>
              </w:rPr>
              <w:t>Carlos</w:t>
            </w:r>
            <w:r w:rsidRPr="00733A47">
              <w:rPr>
                <w:rFonts w:ascii="Verdana" w:hAnsi="Verdana"/>
                <w:spacing w:val="-9"/>
                <w:sz w:val="16"/>
                <w:szCs w:val="16"/>
              </w:rPr>
              <w:t xml:space="preserve"> </w:t>
            </w:r>
            <w:r w:rsidRPr="00733A47">
              <w:rPr>
                <w:rFonts w:ascii="Verdana" w:hAnsi="Verdana"/>
                <w:sz w:val="16"/>
                <w:szCs w:val="16"/>
              </w:rPr>
              <w:t>Gonzáles</w:t>
            </w:r>
            <w:r w:rsidRPr="00733A47">
              <w:rPr>
                <w:rFonts w:ascii="Verdana" w:hAnsi="Verdana"/>
                <w:spacing w:val="-4"/>
                <w:sz w:val="16"/>
                <w:szCs w:val="16"/>
              </w:rPr>
              <w:t xml:space="preserve"> </w:t>
            </w:r>
            <w:r w:rsidRPr="00733A47">
              <w:rPr>
                <w:rFonts w:ascii="Verdana" w:hAnsi="Verdana"/>
                <w:spacing w:val="-2"/>
                <w:sz w:val="16"/>
                <w:szCs w:val="16"/>
              </w:rPr>
              <w:t>Vásquez</w:t>
            </w:r>
          </w:p>
          <w:p w14:paraId="254FC77C" w14:textId="77777777" w:rsidR="00733A47" w:rsidRPr="00733A47" w:rsidRDefault="00733A47" w:rsidP="00EE5BCC">
            <w:pPr>
              <w:pStyle w:val="TableParagraph"/>
              <w:spacing w:before="1" w:line="201" w:lineRule="exact"/>
              <w:ind w:left="110"/>
              <w:rPr>
                <w:rFonts w:ascii="Verdana" w:hAnsi="Verdana"/>
                <w:sz w:val="16"/>
                <w:szCs w:val="16"/>
              </w:rPr>
            </w:pPr>
            <w:r w:rsidRPr="00733A47">
              <w:rPr>
                <w:rFonts w:ascii="Verdana" w:hAnsi="Verdana"/>
                <w:sz w:val="16"/>
                <w:szCs w:val="16"/>
              </w:rPr>
              <w:t>Contratista</w:t>
            </w:r>
            <w:r w:rsidRPr="00733A47">
              <w:rPr>
                <w:rFonts w:ascii="Verdana" w:hAnsi="Verdana"/>
                <w:spacing w:val="-6"/>
                <w:sz w:val="16"/>
                <w:szCs w:val="16"/>
              </w:rPr>
              <w:t xml:space="preserve"> </w:t>
            </w:r>
            <w:r w:rsidRPr="00733A47">
              <w:rPr>
                <w:rFonts w:ascii="Verdana" w:hAnsi="Verdana"/>
                <w:sz w:val="16"/>
                <w:szCs w:val="16"/>
              </w:rPr>
              <w:t>de</w:t>
            </w:r>
            <w:r w:rsidRPr="00733A47">
              <w:rPr>
                <w:rFonts w:ascii="Verdana" w:hAnsi="Verdana"/>
                <w:spacing w:val="-9"/>
                <w:sz w:val="16"/>
                <w:szCs w:val="16"/>
              </w:rPr>
              <w:t xml:space="preserve"> </w:t>
            </w:r>
            <w:r w:rsidRPr="00733A47">
              <w:rPr>
                <w:rFonts w:ascii="Verdana" w:hAnsi="Verdana"/>
                <w:sz w:val="16"/>
                <w:szCs w:val="16"/>
              </w:rPr>
              <w:t>la</w:t>
            </w:r>
            <w:r w:rsidRPr="00733A47">
              <w:rPr>
                <w:rFonts w:ascii="Verdana" w:hAnsi="Verdana"/>
                <w:spacing w:val="-5"/>
                <w:sz w:val="16"/>
                <w:szCs w:val="16"/>
              </w:rPr>
              <w:t xml:space="preserve"> </w:t>
            </w:r>
            <w:r w:rsidRPr="00733A47">
              <w:rPr>
                <w:rFonts w:ascii="Verdana" w:hAnsi="Verdana"/>
                <w:sz w:val="16"/>
                <w:szCs w:val="16"/>
              </w:rPr>
              <w:t>Subdirección</w:t>
            </w:r>
            <w:r w:rsidRPr="00733A47">
              <w:rPr>
                <w:rFonts w:ascii="Verdana" w:hAnsi="Verdana"/>
                <w:spacing w:val="-6"/>
                <w:sz w:val="16"/>
                <w:szCs w:val="16"/>
              </w:rPr>
              <w:t xml:space="preserve"> </w:t>
            </w:r>
            <w:r w:rsidRPr="00733A47">
              <w:rPr>
                <w:rFonts w:ascii="Verdana" w:hAnsi="Verdana"/>
                <w:sz w:val="16"/>
                <w:szCs w:val="16"/>
              </w:rPr>
              <w:t>de</w:t>
            </w:r>
            <w:r w:rsidRPr="00733A47">
              <w:rPr>
                <w:rFonts w:ascii="Verdana" w:hAnsi="Verdana"/>
                <w:spacing w:val="-9"/>
                <w:sz w:val="16"/>
                <w:szCs w:val="16"/>
              </w:rPr>
              <w:t xml:space="preserve"> </w:t>
            </w:r>
            <w:r w:rsidRPr="00733A47">
              <w:rPr>
                <w:rFonts w:ascii="Verdana" w:hAnsi="Verdana"/>
                <w:sz w:val="16"/>
                <w:szCs w:val="16"/>
              </w:rPr>
              <w:t>Gestión</w:t>
            </w:r>
            <w:r w:rsidRPr="00733A47">
              <w:rPr>
                <w:rFonts w:ascii="Verdana" w:hAnsi="Verdana"/>
                <w:spacing w:val="-5"/>
                <w:sz w:val="16"/>
                <w:szCs w:val="16"/>
              </w:rPr>
              <w:t xml:space="preserve"> </w:t>
            </w:r>
            <w:r w:rsidRPr="00733A47">
              <w:rPr>
                <w:rFonts w:ascii="Verdana" w:hAnsi="Verdana"/>
                <w:spacing w:val="-2"/>
                <w:sz w:val="16"/>
                <w:szCs w:val="16"/>
              </w:rPr>
              <w:t>Contractual</w:t>
            </w:r>
          </w:p>
        </w:tc>
      </w:tr>
      <w:tr w:rsidR="00733A47" w:rsidRPr="00733A47" w14:paraId="482E055E" w14:textId="77777777" w:rsidTr="00EE5BCC">
        <w:trPr>
          <w:trHeight w:val="432"/>
        </w:trPr>
        <w:tc>
          <w:tcPr>
            <w:tcW w:w="915" w:type="dxa"/>
          </w:tcPr>
          <w:p w14:paraId="4A0070B3" w14:textId="77777777" w:rsidR="00733A47" w:rsidRPr="00733A47" w:rsidRDefault="00733A47" w:rsidP="00EE5BCC">
            <w:pPr>
              <w:pStyle w:val="TableParagraph"/>
              <w:spacing w:before="109"/>
              <w:ind w:right="93"/>
              <w:jc w:val="center"/>
              <w:rPr>
                <w:rFonts w:ascii="Verdana" w:hAnsi="Verdana"/>
                <w:sz w:val="16"/>
                <w:szCs w:val="16"/>
              </w:rPr>
            </w:pPr>
            <w:r w:rsidRPr="00733A47">
              <w:rPr>
                <w:rFonts w:ascii="Verdana" w:hAnsi="Verdana"/>
                <w:spacing w:val="-2"/>
                <w:sz w:val="16"/>
                <w:szCs w:val="16"/>
              </w:rPr>
              <w:t>Aprobó:</w:t>
            </w:r>
          </w:p>
        </w:tc>
        <w:tc>
          <w:tcPr>
            <w:tcW w:w="5548" w:type="dxa"/>
            <w:tcBorders>
              <w:top w:val="dotted" w:sz="4" w:space="0" w:color="919191"/>
            </w:tcBorders>
          </w:tcPr>
          <w:p w14:paraId="0DF04DCF" w14:textId="77777777" w:rsidR="00733A47" w:rsidRPr="00733A47" w:rsidRDefault="00733A47" w:rsidP="00EE5BCC">
            <w:pPr>
              <w:pStyle w:val="TableParagraph"/>
              <w:spacing w:line="216" w:lineRule="exact"/>
              <w:ind w:left="110"/>
              <w:rPr>
                <w:rFonts w:ascii="Verdana" w:hAnsi="Verdana"/>
                <w:sz w:val="16"/>
                <w:szCs w:val="16"/>
              </w:rPr>
            </w:pPr>
            <w:r w:rsidRPr="00733A47">
              <w:rPr>
                <w:rFonts w:ascii="Verdana" w:hAnsi="Verdana"/>
                <w:sz w:val="16"/>
                <w:szCs w:val="16"/>
              </w:rPr>
              <w:t>Carolina</w:t>
            </w:r>
            <w:r w:rsidRPr="00733A47">
              <w:rPr>
                <w:rFonts w:ascii="Verdana" w:hAnsi="Verdana"/>
                <w:spacing w:val="-6"/>
                <w:sz w:val="16"/>
                <w:szCs w:val="16"/>
              </w:rPr>
              <w:t xml:space="preserve"> </w:t>
            </w:r>
            <w:r w:rsidRPr="00733A47">
              <w:rPr>
                <w:rFonts w:ascii="Verdana" w:hAnsi="Verdana"/>
                <w:sz w:val="16"/>
                <w:szCs w:val="16"/>
              </w:rPr>
              <w:t>Quintero</w:t>
            </w:r>
            <w:r w:rsidRPr="00733A47">
              <w:rPr>
                <w:rFonts w:ascii="Verdana" w:hAnsi="Verdana"/>
                <w:spacing w:val="-6"/>
                <w:sz w:val="16"/>
                <w:szCs w:val="16"/>
              </w:rPr>
              <w:t xml:space="preserve"> </w:t>
            </w:r>
            <w:r w:rsidRPr="00733A47">
              <w:rPr>
                <w:rFonts w:ascii="Verdana" w:hAnsi="Verdana"/>
                <w:spacing w:val="-2"/>
                <w:sz w:val="16"/>
                <w:szCs w:val="16"/>
              </w:rPr>
              <w:t>Gacharná</w:t>
            </w:r>
          </w:p>
          <w:p w14:paraId="56E5C7C7" w14:textId="77777777" w:rsidR="00733A47" w:rsidRPr="00733A47" w:rsidRDefault="00733A47" w:rsidP="00EE5BCC">
            <w:pPr>
              <w:pStyle w:val="TableParagraph"/>
              <w:tabs>
                <w:tab w:val="left" w:pos="5547"/>
              </w:tabs>
              <w:spacing w:line="197" w:lineRule="exact"/>
              <w:ind w:left="-15"/>
              <w:rPr>
                <w:rFonts w:ascii="Verdana" w:hAnsi="Verdana"/>
                <w:sz w:val="16"/>
                <w:szCs w:val="16"/>
              </w:rPr>
            </w:pPr>
            <w:r w:rsidRPr="00733A47">
              <w:rPr>
                <w:rFonts w:ascii="Verdana" w:hAnsi="Verdana"/>
                <w:spacing w:val="68"/>
                <w:sz w:val="16"/>
                <w:szCs w:val="16"/>
                <w:u w:val="dotted" w:color="919191"/>
              </w:rPr>
              <w:t xml:space="preserve"> </w:t>
            </w:r>
            <w:r w:rsidRPr="00733A47">
              <w:rPr>
                <w:rFonts w:ascii="Verdana" w:hAnsi="Verdana"/>
                <w:sz w:val="16"/>
                <w:szCs w:val="16"/>
                <w:u w:val="dotted" w:color="919191"/>
              </w:rPr>
              <w:t>Subdirectora</w:t>
            </w:r>
            <w:r w:rsidRPr="00733A47">
              <w:rPr>
                <w:rFonts w:ascii="Verdana" w:hAnsi="Verdana"/>
                <w:spacing w:val="2"/>
                <w:sz w:val="16"/>
                <w:szCs w:val="16"/>
                <w:u w:val="dotted" w:color="919191"/>
              </w:rPr>
              <w:t xml:space="preserve"> </w:t>
            </w:r>
            <w:r w:rsidRPr="00733A47">
              <w:rPr>
                <w:rFonts w:ascii="Verdana" w:hAnsi="Verdana"/>
                <w:sz w:val="16"/>
                <w:szCs w:val="16"/>
                <w:u w:val="dotted" w:color="919191"/>
              </w:rPr>
              <w:t>de</w:t>
            </w:r>
            <w:r w:rsidRPr="00733A47">
              <w:rPr>
                <w:rFonts w:ascii="Verdana" w:hAnsi="Verdana"/>
                <w:spacing w:val="-6"/>
                <w:sz w:val="16"/>
                <w:szCs w:val="16"/>
                <w:u w:val="dotted" w:color="919191"/>
              </w:rPr>
              <w:t xml:space="preserve"> </w:t>
            </w:r>
            <w:r w:rsidRPr="00733A47">
              <w:rPr>
                <w:rFonts w:ascii="Verdana" w:hAnsi="Verdana"/>
                <w:sz w:val="16"/>
                <w:szCs w:val="16"/>
                <w:u w:val="dotted" w:color="919191"/>
              </w:rPr>
              <w:t>Gestión</w:t>
            </w:r>
            <w:r w:rsidRPr="00733A47">
              <w:rPr>
                <w:rFonts w:ascii="Verdana" w:hAnsi="Verdana"/>
                <w:spacing w:val="-3"/>
                <w:sz w:val="16"/>
                <w:szCs w:val="16"/>
                <w:u w:val="dotted" w:color="919191"/>
              </w:rPr>
              <w:t xml:space="preserve"> </w:t>
            </w:r>
            <w:r w:rsidRPr="00733A47">
              <w:rPr>
                <w:rFonts w:ascii="Verdana" w:hAnsi="Verdana"/>
                <w:sz w:val="16"/>
                <w:szCs w:val="16"/>
                <w:u w:val="dotted" w:color="919191"/>
              </w:rPr>
              <w:t>Contractual</w:t>
            </w:r>
            <w:r w:rsidRPr="00733A47">
              <w:rPr>
                <w:rFonts w:ascii="Verdana" w:hAnsi="Verdana"/>
                <w:spacing w:val="-3"/>
                <w:sz w:val="16"/>
                <w:szCs w:val="16"/>
                <w:u w:val="dotted" w:color="919191"/>
              </w:rPr>
              <w:t xml:space="preserve"> </w:t>
            </w:r>
            <w:r w:rsidRPr="00733A47">
              <w:rPr>
                <w:rFonts w:ascii="Verdana" w:hAnsi="Verdana"/>
                <w:sz w:val="16"/>
                <w:szCs w:val="16"/>
                <w:u w:val="dotted" w:color="919191"/>
              </w:rPr>
              <w:t>ANCP</w:t>
            </w:r>
            <w:r w:rsidRPr="00733A47">
              <w:rPr>
                <w:rFonts w:ascii="Verdana" w:hAnsi="Verdana"/>
                <w:spacing w:val="1"/>
                <w:sz w:val="16"/>
                <w:szCs w:val="16"/>
                <w:u w:val="dotted" w:color="919191"/>
              </w:rPr>
              <w:t xml:space="preserve"> </w:t>
            </w:r>
            <w:r w:rsidRPr="00733A47">
              <w:rPr>
                <w:rFonts w:ascii="Verdana" w:hAnsi="Verdana"/>
                <w:sz w:val="16"/>
                <w:szCs w:val="16"/>
                <w:u w:val="dotted" w:color="919191"/>
              </w:rPr>
              <w:t>–</w:t>
            </w:r>
            <w:r w:rsidRPr="00733A47">
              <w:rPr>
                <w:rFonts w:ascii="Verdana" w:hAnsi="Verdana"/>
                <w:spacing w:val="-3"/>
                <w:sz w:val="16"/>
                <w:szCs w:val="16"/>
                <w:u w:val="dotted" w:color="919191"/>
              </w:rPr>
              <w:t xml:space="preserve"> </w:t>
            </w:r>
            <w:r w:rsidRPr="00733A47">
              <w:rPr>
                <w:rFonts w:ascii="Verdana" w:hAnsi="Verdana"/>
                <w:spacing w:val="-5"/>
                <w:sz w:val="16"/>
                <w:szCs w:val="16"/>
                <w:u w:val="dotted" w:color="919191"/>
              </w:rPr>
              <w:t>CCE</w:t>
            </w:r>
            <w:r w:rsidRPr="00733A47">
              <w:rPr>
                <w:rFonts w:ascii="Verdana" w:hAnsi="Verdana"/>
                <w:sz w:val="16"/>
                <w:szCs w:val="16"/>
                <w:u w:val="dotted" w:color="919191"/>
              </w:rPr>
              <w:tab/>
            </w:r>
          </w:p>
        </w:tc>
      </w:tr>
    </w:tbl>
    <w:p w14:paraId="2890CC74" w14:textId="77777777" w:rsidR="00733A47" w:rsidRPr="00593A5F" w:rsidRDefault="00733A47" w:rsidP="00733A47">
      <w:pPr>
        <w:spacing w:after="0" w:line="240" w:lineRule="auto"/>
        <w:rPr>
          <w:rFonts w:ascii="Verdana" w:eastAsia="Times New Roman" w:hAnsi="Verdana" w:cs="Arial"/>
          <w:sz w:val="24"/>
          <w:szCs w:val="24"/>
          <w:lang w:eastAsia="es-ES"/>
        </w:rPr>
      </w:pPr>
    </w:p>
    <w:p w14:paraId="560047CB" w14:textId="77777777" w:rsidR="00733A47" w:rsidRPr="00871B59" w:rsidRDefault="00733A47" w:rsidP="00733A47"/>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Juan Carlos Gonzalez Vasquez" w:date="2025-06-04T11:52:00Z" w:initials="JV">
    <w:p w14:paraId="085F1A02" w14:textId="00C035E7" w:rsidR="00000000" w:rsidRDefault="00000000">
      <w:r>
        <w:annotationRef/>
      </w:r>
      <w:r w:rsidRPr="63D887AE">
        <w:t>sugiero revisar y ajustar todo el documento,  para el caso concreto de interventoria, en cuanto al fondo del problema planteado, , posibilidad de suscribir de contatos interadministrativos, redacción y contenido, ya existe linea en concpetos anteriores particularmente en el concepto C 1044 de 2024</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85F1A0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CB9EECA" w16cex:dateUtc="2025-06-04T16: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85F1A02" w16cid:durableId="3CB9EEC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370F2" w14:textId="77777777" w:rsidR="003C6690" w:rsidRDefault="003C6690" w:rsidP="004A1847">
      <w:pPr>
        <w:spacing w:after="0" w:line="240" w:lineRule="auto"/>
      </w:pPr>
      <w:r>
        <w:separator/>
      </w:r>
    </w:p>
  </w:endnote>
  <w:endnote w:type="continuationSeparator" w:id="0">
    <w:p w14:paraId="4881A59A" w14:textId="77777777" w:rsidR="003C6690" w:rsidRDefault="003C669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9E55D4" w14:textId="77777777" w:rsidR="003C6690" w:rsidRDefault="003C6690" w:rsidP="004A1847">
      <w:pPr>
        <w:spacing w:after="0" w:line="240" w:lineRule="auto"/>
      </w:pPr>
      <w:r>
        <w:separator/>
      </w:r>
    </w:p>
  </w:footnote>
  <w:footnote w:type="continuationSeparator" w:id="0">
    <w:p w14:paraId="253B7471" w14:textId="77777777" w:rsidR="003C6690" w:rsidRDefault="003C6690" w:rsidP="004A1847">
      <w:pPr>
        <w:spacing w:after="0" w:line="240" w:lineRule="auto"/>
      </w:pPr>
      <w:r>
        <w:continuationSeparator/>
      </w:r>
    </w:p>
  </w:footnote>
  <w:footnote w:id="1">
    <w:p w14:paraId="48685FB4" w14:textId="77777777" w:rsidR="00733A47" w:rsidRPr="00B503F5" w:rsidRDefault="00733A47" w:rsidP="00733A47">
      <w:pPr>
        <w:spacing w:after="0" w:line="240" w:lineRule="auto"/>
        <w:jc w:val="both"/>
        <w:rPr>
          <w:rFonts w:ascii="Verdana" w:hAnsi="Verdana" w:cs="Arial"/>
          <w:sz w:val="12"/>
          <w:szCs w:val="12"/>
        </w:rPr>
      </w:pPr>
      <w:r w:rsidRPr="00B503F5">
        <w:rPr>
          <w:rStyle w:val="Refdenotaalpie"/>
          <w:rFonts w:ascii="Verdana" w:hAnsi="Verdana" w:cs="Arial"/>
          <w:sz w:val="12"/>
          <w:szCs w:val="12"/>
        </w:rPr>
        <w:footnoteRef/>
      </w:r>
      <w:r w:rsidRPr="00B503F5">
        <w:rPr>
          <w:rFonts w:ascii="Verdana" w:hAnsi="Verdana" w:cs="Arial"/>
          <w:sz w:val="12"/>
          <w:szCs w:val="12"/>
        </w:rPr>
        <w:t xml:space="preserve"> “Artículo 10. Esquemas Asociativos Territoriales. Constituirán esquemas asociativos territoriales las regiones administrativas y de planificación, las regiones de planeación y gestión, las asociaciones de departamentos, las áreas metropolitanas, las asociaciones de distritos especiales, las provincias administrativas y de planificación, y las asociaciones de municipios”.</w:t>
      </w:r>
    </w:p>
    <w:p w14:paraId="672C67E9" w14:textId="77777777" w:rsidR="00733A47" w:rsidRPr="00B503F5" w:rsidRDefault="00733A47" w:rsidP="00733A47">
      <w:pPr>
        <w:spacing w:after="0" w:line="240" w:lineRule="auto"/>
        <w:ind w:firstLine="720"/>
        <w:jc w:val="both"/>
        <w:rPr>
          <w:rFonts w:ascii="Verdana" w:hAnsi="Verdana" w:cs="Arial"/>
          <w:sz w:val="12"/>
          <w:szCs w:val="12"/>
        </w:rPr>
      </w:pPr>
    </w:p>
  </w:footnote>
  <w:footnote w:id="2">
    <w:p w14:paraId="2D9B4896" w14:textId="77777777" w:rsidR="00733A47" w:rsidRPr="00B503F5" w:rsidRDefault="00733A47" w:rsidP="00733A47">
      <w:pPr>
        <w:spacing w:after="0" w:line="240" w:lineRule="auto"/>
        <w:jc w:val="both"/>
        <w:rPr>
          <w:rFonts w:ascii="Verdana" w:hAnsi="Verdana" w:cs="Arial"/>
          <w:color w:val="000000"/>
          <w:sz w:val="12"/>
          <w:szCs w:val="12"/>
        </w:rPr>
      </w:pPr>
      <w:r w:rsidRPr="00B503F5">
        <w:rPr>
          <w:rStyle w:val="Refdenotaalpie"/>
          <w:rFonts w:ascii="Verdana" w:hAnsi="Verdana" w:cs="Arial"/>
          <w:sz w:val="12"/>
          <w:szCs w:val="12"/>
        </w:rPr>
        <w:footnoteRef/>
      </w:r>
      <w:r w:rsidRPr="00B503F5">
        <w:rPr>
          <w:rFonts w:ascii="Verdana" w:hAnsi="Verdana" w:cs="Arial"/>
          <w:sz w:val="12"/>
          <w:szCs w:val="12"/>
        </w:rPr>
        <w:t xml:space="preserve"> Ley 136 de 1994: </w:t>
      </w:r>
      <w:r w:rsidRPr="00B503F5">
        <w:rPr>
          <w:rFonts w:ascii="Verdana" w:hAnsi="Verdana" w:cs="Arial"/>
          <w:color w:val="000000"/>
          <w:sz w:val="12"/>
          <w:szCs w:val="12"/>
        </w:rPr>
        <w:t xml:space="preserve">“Artículo 150. Conformación y funcionamiento. Las asociaciones para su conformación y funcionamiento se sujetarán a las siguientes reglas:1. Toda asociación de municipios será siempre voluntaria. </w:t>
      </w:r>
      <w:r w:rsidRPr="00B503F5">
        <w:rPr>
          <w:rFonts w:ascii="Verdana" w:hAnsi="Verdana" w:cs="Arial"/>
          <w:i/>
          <w:iCs/>
          <w:color w:val="000000"/>
          <w:sz w:val="12"/>
          <w:szCs w:val="12"/>
        </w:rPr>
        <w:t>Se conformará mediante convenio</w:t>
      </w:r>
      <w:r w:rsidRPr="00B503F5">
        <w:rPr>
          <w:rFonts w:ascii="Verdana" w:hAnsi="Verdana" w:cs="Arial"/>
          <w:color w:val="000000"/>
          <w:sz w:val="12"/>
          <w:szCs w:val="12"/>
        </w:rPr>
        <w:t xml:space="preserve"> suscrito por sus alcaldes, previa autorización de los respectivos concejos” (Cursiva fuera de texto).</w:t>
      </w:r>
    </w:p>
    <w:p w14:paraId="393C6E65" w14:textId="77777777" w:rsidR="00733A47" w:rsidRPr="00B503F5" w:rsidRDefault="00733A47" w:rsidP="00733A47">
      <w:pPr>
        <w:spacing w:after="0" w:line="240" w:lineRule="auto"/>
        <w:jc w:val="both"/>
        <w:rPr>
          <w:rFonts w:ascii="Verdana" w:hAnsi="Verdana" w:cs="Arial"/>
          <w:color w:val="000000"/>
          <w:sz w:val="12"/>
          <w:szCs w:val="12"/>
        </w:rPr>
      </w:pPr>
    </w:p>
  </w:footnote>
  <w:footnote w:id="3">
    <w:p w14:paraId="5E63F29B" w14:textId="77777777" w:rsidR="00733A47" w:rsidRPr="00B503F5" w:rsidRDefault="00733A47" w:rsidP="00733A47">
      <w:pPr>
        <w:spacing w:after="0" w:line="240" w:lineRule="auto"/>
        <w:jc w:val="both"/>
        <w:rPr>
          <w:rFonts w:ascii="Verdana" w:hAnsi="Verdana" w:cs="Arial"/>
          <w:color w:val="000000"/>
          <w:sz w:val="12"/>
          <w:szCs w:val="12"/>
        </w:rPr>
      </w:pPr>
      <w:r w:rsidRPr="00B503F5">
        <w:rPr>
          <w:rStyle w:val="Refdenotaalpie"/>
          <w:rFonts w:ascii="Verdana" w:hAnsi="Verdana" w:cs="Arial"/>
          <w:sz w:val="12"/>
          <w:szCs w:val="12"/>
        </w:rPr>
        <w:footnoteRef/>
      </w:r>
      <w:r w:rsidRPr="00B503F5">
        <w:rPr>
          <w:rFonts w:ascii="Verdana" w:hAnsi="Verdana" w:cs="Arial"/>
          <w:sz w:val="12"/>
          <w:szCs w:val="12"/>
        </w:rPr>
        <w:t xml:space="preserve"> </w:t>
      </w:r>
      <w:r w:rsidRPr="00B503F5">
        <w:rPr>
          <w:rFonts w:ascii="Verdana" w:hAnsi="Verdana" w:cs="Arial"/>
          <w:color w:val="000000"/>
          <w:position w:val="6"/>
          <w:sz w:val="12"/>
          <w:szCs w:val="12"/>
        </w:rPr>
        <w:t xml:space="preserve"> </w:t>
      </w:r>
      <w:r w:rsidRPr="00B503F5">
        <w:rPr>
          <w:rFonts w:ascii="Verdana" w:hAnsi="Verdana" w:cs="Arial"/>
          <w:color w:val="000000"/>
          <w:sz w:val="12"/>
          <w:szCs w:val="12"/>
        </w:rPr>
        <w:t xml:space="preserve">Ley 1454 de 2011: “Artículo 14. Asociaciones de municipios. Dos o más municipios de un mismo departamento o de varios departamentos, podrán asociarse administrativa y políticamente para organizar conjuntamente la prestación de servicios públicos, la ejecución de obras de ámbito regional y el cumplimiento de funciones administrativas propias, </w:t>
      </w:r>
      <w:r w:rsidRPr="00B503F5">
        <w:rPr>
          <w:rFonts w:ascii="Verdana" w:hAnsi="Verdana" w:cs="Arial"/>
          <w:i/>
          <w:iCs/>
          <w:color w:val="000000"/>
          <w:sz w:val="12"/>
          <w:szCs w:val="12"/>
        </w:rPr>
        <w:t>mediante convenio o contrato-plan</w:t>
      </w:r>
      <w:r w:rsidRPr="00B503F5">
        <w:rPr>
          <w:rFonts w:ascii="Verdana" w:hAnsi="Verdana" w:cs="Arial"/>
          <w:color w:val="000000"/>
          <w:sz w:val="12"/>
          <w:szCs w:val="12"/>
        </w:rPr>
        <w:t xml:space="preserve"> suscrito por los alcaldes respectivos, previamente autorizados por los concejos municipales o distritales y para el ejercicio de competencias concertadas entre sí en un marco de acción que integre sus respectivos planes de desarrollo en un modelo de planificación integral conjunto” (Cursiva fuera de texto).</w:t>
      </w:r>
    </w:p>
  </w:footnote>
  <w:footnote w:id="4">
    <w:p w14:paraId="3B5EFCF3" w14:textId="77777777" w:rsidR="00733A47" w:rsidRPr="00B503F5" w:rsidRDefault="00733A47" w:rsidP="00733A47">
      <w:pPr>
        <w:spacing w:after="0" w:line="240" w:lineRule="auto"/>
        <w:jc w:val="both"/>
        <w:rPr>
          <w:rFonts w:ascii="Verdana" w:hAnsi="Verdana" w:cs="Arial"/>
          <w:color w:val="000000"/>
          <w:sz w:val="12"/>
          <w:szCs w:val="12"/>
        </w:rPr>
      </w:pPr>
      <w:r w:rsidRPr="00B503F5">
        <w:rPr>
          <w:rStyle w:val="Refdenotaalpie"/>
          <w:rFonts w:ascii="Verdana" w:hAnsi="Verdana" w:cs="Arial"/>
          <w:sz w:val="12"/>
          <w:szCs w:val="12"/>
        </w:rPr>
        <w:footnoteRef/>
      </w:r>
      <w:r w:rsidRPr="00B503F5">
        <w:rPr>
          <w:rFonts w:ascii="Verdana" w:hAnsi="Verdana" w:cs="Arial"/>
          <w:sz w:val="12"/>
          <w:szCs w:val="12"/>
        </w:rPr>
        <w:t xml:space="preserve"> </w:t>
      </w:r>
      <w:r w:rsidRPr="00B503F5">
        <w:rPr>
          <w:rFonts w:ascii="Verdana" w:hAnsi="Verdana" w:cs="Arial"/>
          <w:color w:val="000000"/>
          <w:sz w:val="12"/>
          <w:szCs w:val="12"/>
        </w:rPr>
        <w:t>“Artículo 95. Asociación entre entidades públicas. Las entidades públicas podrán asociarse con el fin de cooperar en el cumplimiento de funciones administrativas o de prestar conjuntamente servicios que se hallen a su cargo, mediante la celebración de convenios interadministrativos o la conformación de personas jurídicas sin ánimo de</w:t>
      </w:r>
      <w:r w:rsidRPr="00B503F5">
        <w:rPr>
          <w:rFonts w:ascii="Verdana" w:hAnsi="Verdana" w:cs="Arial"/>
          <w:color w:val="000000"/>
          <w:spacing w:val="-4"/>
          <w:sz w:val="12"/>
          <w:szCs w:val="12"/>
        </w:rPr>
        <w:t xml:space="preserve"> </w:t>
      </w:r>
      <w:r w:rsidRPr="00B503F5">
        <w:rPr>
          <w:rFonts w:ascii="Verdana" w:hAnsi="Verdana" w:cs="Arial"/>
          <w:color w:val="000000"/>
          <w:sz w:val="12"/>
          <w:szCs w:val="12"/>
        </w:rPr>
        <w:t>lucro.</w:t>
      </w:r>
    </w:p>
    <w:p w14:paraId="461ACB8C" w14:textId="77777777" w:rsidR="00733A47" w:rsidRPr="00B503F5" w:rsidRDefault="00733A47" w:rsidP="00733A47">
      <w:pPr>
        <w:spacing w:after="0" w:line="240" w:lineRule="auto"/>
        <w:jc w:val="both"/>
        <w:rPr>
          <w:rFonts w:ascii="Verdana" w:hAnsi="Verdana" w:cs="Arial"/>
          <w:color w:val="000000"/>
          <w:sz w:val="12"/>
          <w:szCs w:val="12"/>
        </w:rPr>
      </w:pPr>
      <w:r w:rsidRPr="00B503F5">
        <w:rPr>
          <w:rFonts w:ascii="Verdana" w:hAnsi="Verdana" w:cs="Arial"/>
          <w:color w:val="000000"/>
          <w:sz w:val="12"/>
          <w:szCs w:val="12"/>
        </w:rPr>
        <w:t>Las personas jurídicas sin ánimo de lucro que se conformen por la asociación exclusiva de entidades públicas, se sujetan a las disposiciones previstas en el Código Civil y en las normas para las entidades de este género. Sus Juntas o Consejos Directivos estarán integrados en la forma que prevean los correspondientes estatutos internos, los cuales proveerán igualmente sobre la designación de su representante legal”.</w:t>
      </w:r>
    </w:p>
  </w:footnote>
  <w:footnote w:id="5">
    <w:p w14:paraId="0CFF8876" w14:textId="77777777" w:rsidR="00733A47" w:rsidRPr="00B503F5" w:rsidRDefault="00733A47" w:rsidP="00733A47">
      <w:pPr>
        <w:spacing w:after="0" w:line="240" w:lineRule="auto"/>
        <w:jc w:val="both"/>
        <w:rPr>
          <w:rFonts w:ascii="Verdana" w:hAnsi="Verdana" w:cs="Arial"/>
          <w:color w:val="000000"/>
          <w:sz w:val="12"/>
          <w:szCs w:val="12"/>
        </w:rPr>
      </w:pPr>
      <w:r w:rsidRPr="00B503F5">
        <w:rPr>
          <w:rStyle w:val="Refdenotaalpie"/>
          <w:rFonts w:ascii="Verdana" w:hAnsi="Verdana" w:cs="Arial"/>
          <w:sz w:val="12"/>
          <w:szCs w:val="12"/>
        </w:rPr>
        <w:footnoteRef/>
      </w:r>
      <w:r w:rsidRPr="00B503F5">
        <w:rPr>
          <w:rFonts w:ascii="Verdana" w:hAnsi="Verdana" w:cs="Arial"/>
          <w:sz w:val="12"/>
          <w:szCs w:val="12"/>
        </w:rPr>
        <w:t xml:space="preserve"> </w:t>
      </w:r>
      <w:r w:rsidRPr="00B503F5">
        <w:rPr>
          <w:rFonts w:ascii="Verdana" w:hAnsi="Verdana" w:cs="Arial"/>
          <w:color w:val="000000"/>
          <w:sz w:val="12"/>
          <w:szCs w:val="12"/>
        </w:rPr>
        <w:t>“Parágrafo 1. Para los solos efectos de esta ley, también se denominan entidades estatales las cooperativas y asociaciones conformadas por entidades territoriales, las cuales estarán sujetas a las disposiciones del presente estatuto, especialmente cuando en desarrollo de convenios interadministrativos celebren contratos por cuenta de dichas</w:t>
      </w:r>
      <w:r w:rsidRPr="00B503F5">
        <w:rPr>
          <w:rFonts w:ascii="Verdana" w:hAnsi="Verdana" w:cs="Arial"/>
          <w:color w:val="000000"/>
          <w:spacing w:val="-5"/>
          <w:sz w:val="12"/>
          <w:szCs w:val="12"/>
        </w:rPr>
        <w:t xml:space="preserve"> </w:t>
      </w:r>
      <w:r w:rsidRPr="00B503F5">
        <w:rPr>
          <w:rFonts w:ascii="Verdana" w:hAnsi="Verdana" w:cs="Arial"/>
          <w:color w:val="000000"/>
          <w:sz w:val="12"/>
          <w:szCs w:val="12"/>
        </w:rPr>
        <w:t>entidades”.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0A4D0E34"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778622125" o:spid="_x0000_i1025" type="#_x0000_t75" style="width:11.5pt;height:11.5pt;visibility:visible;mso-wrap-style:square">
            <v:imagedata r:id="rId1" o:title=""/>
          </v:shape>
        </w:pict>
      </mc:Choice>
      <mc:Fallback>
        <w:drawing>
          <wp:inline distT="0" distB="0" distL="0" distR="0" wp14:anchorId="506DF34E" wp14:editId="251BC989">
            <wp:extent cx="146050" cy="146050"/>
            <wp:effectExtent l="0" t="0" r="0" b="0"/>
            <wp:docPr id="1778622125" name="Imagen 1778622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843AA4"/>
    <w:multiLevelType w:val="multilevel"/>
    <w:tmpl w:val="B0F673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5465FB"/>
    <w:multiLevelType w:val="multilevel"/>
    <w:tmpl w:val="1E4A3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6CA6EB2"/>
    <w:multiLevelType w:val="multilevel"/>
    <w:tmpl w:val="CFE4E7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679089576">
    <w:abstractNumId w:val="11"/>
  </w:num>
  <w:num w:numId="18" w16cid:durableId="323241377">
    <w:abstractNumId w:val="12"/>
  </w:num>
  <w:num w:numId="19" w16cid:durableId="951517878">
    <w:abstractNumId w:val="5"/>
  </w:num>
  <w:num w:numId="20" w16cid:durableId="204921106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an Carlos Gonzalez Vasquez">
    <w15:presenceInfo w15:providerId="AD" w15:userId="S::juan.gonzalezv@colombiacompra.gov.co::4d2b5d41-ec7e-498e-a05d-442e182fed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7"/>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38B"/>
    <w:rsid w:val="00046945"/>
    <w:rsid w:val="00061B2A"/>
    <w:rsid w:val="00076C97"/>
    <w:rsid w:val="00082362"/>
    <w:rsid w:val="000972DF"/>
    <w:rsid w:val="000A683E"/>
    <w:rsid w:val="000B19B9"/>
    <w:rsid w:val="000C039A"/>
    <w:rsid w:val="000D0334"/>
    <w:rsid w:val="000F6486"/>
    <w:rsid w:val="00106D27"/>
    <w:rsid w:val="00125105"/>
    <w:rsid w:val="00127233"/>
    <w:rsid w:val="001511A0"/>
    <w:rsid w:val="00176E94"/>
    <w:rsid w:val="00186C61"/>
    <w:rsid w:val="001E4177"/>
    <w:rsid w:val="001F7DC6"/>
    <w:rsid w:val="0021576B"/>
    <w:rsid w:val="00222383"/>
    <w:rsid w:val="002421BB"/>
    <w:rsid w:val="0025796E"/>
    <w:rsid w:val="002707A2"/>
    <w:rsid w:val="002951A0"/>
    <w:rsid w:val="002962BC"/>
    <w:rsid w:val="002A093D"/>
    <w:rsid w:val="002A0DD0"/>
    <w:rsid w:val="002A49AC"/>
    <w:rsid w:val="002A64FD"/>
    <w:rsid w:val="002C7A84"/>
    <w:rsid w:val="002D36EF"/>
    <w:rsid w:val="002E4FD9"/>
    <w:rsid w:val="00322A85"/>
    <w:rsid w:val="00324168"/>
    <w:rsid w:val="003448F4"/>
    <w:rsid w:val="00373EE5"/>
    <w:rsid w:val="00374F5E"/>
    <w:rsid w:val="00377E3E"/>
    <w:rsid w:val="0039161D"/>
    <w:rsid w:val="003A779E"/>
    <w:rsid w:val="003C6690"/>
    <w:rsid w:val="003D0F4D"/>
    <w:rsid w:val="003D5B0D"/>
    <w:rsid w:val="003E0499"/>
    <w:rsid w:val="003F3941"/>
    <w:rsid w:val="00406575"/>
    <w:rsid w:val="00414C74"/>
    <w:rsid w:val="00426071"/>
    <w:rsid w:val="0042722E"/>
    <w:rsid w:val="0044528D"/>
    <w:rsid w:val="00446465"/>
    <w:rsid w:val="00452C88"/>
    <w:rsid w:val="00482066"/>
    <w:rsid w:val="004A1847"/>
    <w:rsid w:val="004A305D"/>
    <w:rsid w:val="004F21C4"/>
    <w:rsid w:val="004F685F"/>
    <w:rsid w:val="005566E8"/>
    <w:rsid w:val="00560F29"/>
    <w:rsid w:val="00574867"/>
    <w:rsid w:val="00591460"/>
    <w:rsid w:val="005B3816"/>
    <w:rsid w:val="005C3777"/>
    <w:rsid w:val="005C5CDC"/>
    <w:rsid w:val="005D476C"/>
    <w:rsid w:val="00616ACB"/>
    <w:rsid w:val="006219F8"/>
    <w:rsid w:val="00665D70"/>
    <w:rsid w:val="006900D9"/>
    <w:rsid w:val="00706C16"/>
    <w:rsid w:val="007152A0"/>
    <w:rsid w:val="00715CA4"/>
    <w:rsid w:val="00733A47"/>
    <w:rsid w:val="00756841"/>
    <w:rsid w:val="007649AB"/>
    <w:rsid w:val="00771D0C"/>
    <w:rsid w:val="007833AC"/>
    <w:rsid w:val="007B268C"/>
    <w:rsid w:val="007B7171"/>
    <w:rsid w:val="007C0C0F"/>
    <w:rsid w:val="007C2ECF"/>
    <w:rsid w:val="007C3DC2"/>
    <w:rsid w:val="007E5497"/>
    <w:rsid w:val="0080008F"/>
    <w:rsid w:val="00805577"/>
    <w:rsid w:val="00806F5F"/>
    <w:rsid w:val="008112C5"/>
    <w:rsid w:val="00820278"/>
    <w:rsid w:val="008243D5"/>
    <w:rsid w:val="00867F95"/>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B6023"/>
    <w:rsid w:val="009C71FA"/>
    <w:rsid w:val="009C72E7"/>
    <w:rsid w:val="009D3058"/>
    <w:rsid w:val="009F3A13"/>
    <w:rsid w:val="00A122D3"/>
    <w:rsid w:val="00A17F13"/>
    <w:rsid w:val="00A20739"/>
    <w:rsid w:val="00A33C78"/>
    <w:rsid w:val="00A43C82"/>
    <w:rsid w:val="00A52191"/>
    <w:rsid w:val="00A57D48"/>
    <w:rsid w:val="00AB0ADB"/>
    <w:rsid w:val="00B01B1A"/>
    <w:rsid w:val="00B32B14"/>
    <w:rsid w:val="00B66319"/>
    <w:rsid w:val="00B72CD3"/>
    <w:rsid w:val="00B72FFF"/>
    <w:rsid w:val="00B76137"/>
    <w:rsid w:val="00B969F2"/>
    <w:rsid w:val="00BAC640"/>
    <w:rsid w:val="00BB5897"/>
    <w:rsid w:val="00BC3D36"/>
    <w:rsid w:val="00BD514F"/>
    <w:rsid w:val="00BD7F72"/>
    <w:rsid w:val="00BE73D5"/>
    <w:rsid w:val="00C04FB3"/>
    <w:rsid w:val="00C330EB"/>
    <w:rsid w:val="00C41061"/>
    <w:rsid w:val="00C754BE"/>
    <w:rsid w:val="00C76B1C"/>
    <w:rsid w:val="00CB6357"/>
    <w:rsid w:val="00CC1B26"/>
    <w:rsid w:val="00D423A2"/>
    <w:rsid w:val="00D520D8"/>
    <w:rsid w:val="00D53C47"/>
    <w:rsid w:val="00D6073C"/>
    <w:rsid w:val="00D63AC2"/>
    <w:rsid w:val="00D7383B"/>
    <w:rsid w:val="00DA231B"/>
    <w:rsid w:val="00DC040B"/>
    <w:rsid w:val="00DC39FC"/>
    <w:rsid w:val="00DF5254"/>
    <w:rsid w:val="00E16408"/>
    <w:rsid w:val="00E20894"/>
    <w:rsid w:val="00E245AB"/>
    <w:rsid w:val="00E2764C"/>
    <w:rsid w:val="00E27F2E"/>
    <w:rsid w:val="00E50AFE"/>
    <w:rsid w:val="00E609FF"/>
    <w:rsid w:val="00E6586F"/>
    <w:rsid w:val="00E75C92"/>
    <w:rsid w:val="00E771DC"/>
    <w:rsid w:val="00E8772A"/>
    <w:rsid w:val="00E90F6B"/>
    <w:rsid w:val="00E92C27"/>
    <w:rsid w:val="00EA0E3D"/>
    <w:rsid w:val="00EC38A7"/>
    <w:rsid w:val="00ED7384"/>
    <w:rsid w:val="00EE1AA8"/>
    <w:rsid w:val="00F24B41"/>
    <w:rsid w:val="00F31EDC"/>
    <w:rsid w:val="00F462B3"/>
    <w:rsid w:val="00F5664F"/>
    <w:rsid w:val="00F666C4"/>
    <w:rsid w:val="00F76AFC"/>
    <w:rsid w:val="00F87CF6"/>
    <w:rsid w:val="00F94E82"/>
    <w:rsid w:val="00FA47C0"/>
    <w:rsid w:val="00FB5DD1"/>
    <w:rsid w:val="00FC2B5D"/>
    <w:rsid w:val="00FF1449"/>
    <w:rsid w:val="066EA62B"/>
    <w:rsid w:val="0A7EC782"/>
    <w:rsid w:val="165E9519"/>
    <w:rsid w:val="17FC59EC"/>
    <w:rsid w:val="1BC375E6"/>
    <w:rsid w:val="29173621"/>
    <w:rsid w:val="2C9398B3"/>
    <w:rsid w:val="2E4396BA"/>
    <w:rsid w:val="2E6B4A4B"/>
    <w:rsid w:val="3019349A"/>
    <w:rsid w:val="382536D9"/>
    <w:rsid w:val="3A892FAB"/>
    <w:rsid w:val="522D6D2A"/>
    <w:rsid w:val="5A15769F"/>
    <w:rsid w:val="5E6973A7"/>
    <w:rsid w:val="6578903B"/>
    <w:rsid w:val="6EFDAB80"/>
    <w:rsid w:val="770E9D66"/>
    <w:rsid w:val="7A9C79CB"/>
    <w:rsid w:val="7B6AA7A6"/>
    <w:rsid w:val="7C183931"/>
    <w:rsid w:val="7EB4235F"/>
    <w:rsid w:val="7F212D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4">
    <w:name w:val="heading 4"/>
    <w:basedOn w:val="Normal"/>
    <w:link w:val="Ttulo4Car"/>
    <w:uiPriority w:val="9"/>
    <w:qFormat/>
    <w:rsid w:val="002D36EF"/>
    <w:pPr>
      <w:spacing w:before="100" w:beforeAutospacing="1" w:after="100" w:afterAutospacing="1" w:line="240" w:lineRule="auto"/>
      <w:outlineLvl w:val="3"/>
    </w:pPr>
    <w:rPr>
      <w:rFonts w:ascii="Times New Roman" w:eastAsia="Times New Roman" w:hAnsi="Times New Roman" w:cs="Times New Roman"/>
      <w:b/>
      <w:bCs/>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33A47"/>
    <w:pPr>
      <w:spacing w:line="240" w:lineRule="exact"/>
    </w:pPr>
    <w:rPr>
      <w:vertAlign w:val="superscript"/>
    </w:rPr>
  </w:style>
  <w:style w:type="table" w:customStyle="1" w:styleId="TableNormal">
    <w:name w:val="Table Normal"/>
    <w:uiPriority w:val="2"/>
    <w:semiHidden/>
    <w:unhideWhenUsed/>
    <w:qFormat/>
    <w:rsid w:val="00733A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33A47"/>
    <w:pPr>
      <w:widowControl w:val="0"/>
      <w:autoSpaceDE w:val="0"/>
      <w:autoSpaceDN w:val="0"/>
      <w:spacing w:after="0" w:line="208" w:lineRule="exact"/>
      <w:ind w:left="119"/>
    </w:pPr>
    <w:rPr>
      <w:rFonts w:ascii="Calibri" w:eastAsia="Calibri" w:hAnsi="Calibri" w:cs="Calibri"/>
      <w:lang w:val="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33A47"/>
    <w:rPr>
      <w:rFonts w:ascii="Geomanist Light" w:hAnsi="Geomanist Light"/>
      <w:lang w:val="es-ES"/>
    </w:rPr>
  </w:style>
  <w:style w:type="paragraph" w:styleId="Textocomentario">
    <w:name w:val="annotation text"/>
    <w:basedOn w:val="Normal"/>
    <w:link w:val="TextocomentarioCar"/>
    <w:uiPriority w:val="99"/>
    <w:semiHidden/>
    <w:unhideWhenUsed/>
    <w:rsid w:val="00A5219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52191"/>
    <w:rPr>
      <w:sz w:val="20"/>
      <w:szCs w:val="20"/>
    </w:rPr>
  </w:style>
  <w:style w:type="character" w:styleId="Refdecomentario">
    <w:name w:val="annotation reference"/>
    <w:basedOn w:val="Fuentedeprrafopredeter"/>
    <w:uiPriority w:val="99"/>
    <w:semiHidden/>
    <w:unhideWhenUsed/>
    <w:rsid w:val="00A52191"/>
    <w:rPr>
      <w:sz w:val="16"/>
      <w:szCs w:val="16"/>
    </w:rPr>
  </w:style>
  <w:style w:type="character" w:customStyle="1" w:styleId="Ttulo4Car">
    <w:name w:val="Título 4 Car"/>
    <w:basedOn w:val="Fuentedeprrafopredeter"/>
    <w:link w:val="Ttulo4"/>
    <w:uiPriority w:val="9"/>
    <w:rsid w:val="002D36EF"/>
    <w:rPr>
      <w:rFonts w:ascii="Times New Roman" w:eastAsia="Times New Roman" w:hAnsi="Times New Roman" w:cs="Times New Roman"/>
      <w:b/>
      <w:bCs/>
      <w:sz w:val="24"/>
      <w:szCs w:val="24"/>
      <w:lang w:eastAsia="es-MX"/>
    </w:rPr>
  </w:style>
  <w:style w:type="character" w:styleId="Textoennegrita">
    <w:name w:val="Strong"/>
    <w:basedOn w:val="Fuentedeprrafopredeter"/>
    <w:uiPriority w:val="22"/>
    <w:qFormat/>
    <w:rsid w:val="002D36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81542174">
      <w:bodyDiv w:val="1"/>
      <w:marLeft w:val="0"/>
      <w:marRight w:val="0"/>
      <w:marTop w:val="0"/>
      <w:marBottom w:val="0"/>
      <w:divBdr>
        <w:top w:val="none" w:sz="0" w:space="0" w:color="auto"/>
        <w:left w:val="none" w:sz="0" w:space="0" w:color="auto"/>
        <w:bottom w:val="none" w:sz="0" w:space="0" w:color="auto"/>
        <w:right w:val="none" w:sz="0" w:space="0" w:color="auto"/>
      </w:divBdr>
      <w:divsChild>
        <w:div w:id="11107098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yperlink" Target="https://relatoria.colombiacompra.gov.co/busqueda/conceptos" TargetMode="Externa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manuales-guias-y-pliegos-tipo%2Fmanuales-y-guias%2Fguia-de-contratacion-publica-sostenible-y-socialmente&amp;data=05%7C02%7Csantiago.herrera%40colombiacompra.gov.co%7Cb18b651bca3a4eb8eab008dd269b400d%7C7b09041e245149d08cb179d5e3d8c1be%7C0%7C0%7C638709170414849914%7CUnknown%7CTWFpbGZsb3d8eyJFbXB0eU1hcGkiOnRydWUsIlYiOiIwLjAuMDAwMCIsIlAiOiJXaW4zMiIsIkFOIjoiTWFpbCIsIldUIjoyfQ%3D%3D%7C0%7C%7C%7C&amp;sdata=DZcOamOFLr5%2FMvTaEwyrmGH46p0E2EeVRK9EI0%2Fzyss%3D&amp;reserved=0" TargetMode="Externa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https://www.funcionpublica.gov.co/eva/gestornormativo/norma.php?i=25678"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secretariasenado.gov.co/senado/basedoc/ley_0489_1998_pr002.html" TargetMode="External"/><Relationship Id="rId20" Type="http://schemas.openxmlformats.org/officeDocument/2006/relationships/hyperlink" Target="https://nam02.safelinks.protection.outlook.com/?url=https%3A%2F%2Fwww.colombiacompra.gov.co%2Fcontent%2F02-documentos-tipo-para-los-procesos-de-seleccion-de-consultoria-de-obra-publica-de&amp;data=05%7C02%7Csantiago.herrera%40colombiacompra.gov.co%7Cb18b651bca3a4eb8eab008dd269b400d%7C7b09041e245149d08cb179d5e3d8c1be%7C0%7C0%7C638709170414832391%7CUnknown%7CTWFpbGZsb3d8eyJFbXB0eU1hcGkiOnRydWUsIlYiOiIwLjAuMDAwMCIsIlAiOiJXaW4zMiIsIkFOIjoiTWFpbCIsIldUIjoyfQ%3D%3D%7C0%7C%7C%7C&amp;sdata=QVD3sz0azJZZvNSHi5xF%2FpgT1wYL%2BVLBpdZyrSAKCNU%3D&amp;reserve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numbering" Target="numbering.xml"/><Relationship Id="rId15" Type="http://schemas.microsoft.com/office/2018/08/relationships/commentsExtensible" Target="commentsExtensible.xm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nam02.safelinks.protection.outlook.com/?url=https%3A%2F%2Fwww.colombiacompra.gov.co%2Fcontent%2F03-documentos-tipo-para-los-procesos-de-seleccion-de-interventoria-de-obra-publica-de&amp;data=05%7C02%7Csantiago.herrera%40colombiacompra.gov.co%7Cb18b651bca3a4eb8eab008dd269b400d%7C7b09041e245149d08cb179d5e3d8c1be%7C0%7C0%7C638709170414808332%7CUnknown%7CTWFpbGZsb3d8eyJFbXB0eU1hcGkiOnRydWUsIlYiOiIwLjAuMDAwMCIsIlAiOiJXaW4zMiIsIkFOIjoiTWFpbCIsIldUIjoyfQ%3D%3D%7C0%7C%7C%7C&amp;sdata=K7MA4S7M7cwwIPsP6WrY42WST6d89ZSAhI2oxiyLwXg%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image" Target="media/image4.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2F00C2A-A158-194B-9B30-63FDF6AEF2CE}">
  <ds:schemaRefs>
    <ds:schemaRef ds:uri="http://schemas.openxmlformats.org/officeDocument/2006/bibliography"/>
  </ds:schemaRefs>
</ds:datastoreItem>
</file>

<file path=customXml/itemProps3.xml><?xml version="1.0" encoding="utf-8"?>
<ds:datastoreItem xmlns:ds="http://schemas.openxmlformats.org/officeDocument/2006/customXml" ds:itemID="{0BBE50DF-5415-45DF-B926-C738C826BDAD}"/>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c086ebc9-8fd5-442b-abc4-722db14db030"/>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5367</Words>
  <Characters>29520</Characters>
  <Application>Microsoft Office Word</Application>
  <DocSecurity>0</DocSecurity>
  <Lines>246</Lines>
  <Paragraphs>69</Paragraphs>
  <ScaleCrop>false</ScaleCrop>
  <Company/>
  <LinksUpToDate>false</LinksUpToDate>
  <CharactersWithSpaces>34818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Andrea del Pilar Garzón Sánchez</cp:lastModifiedBy>
  <cp:revision>3</cp:revision>
  <cp:lastPrinted>2023-01-10T21:18:00Z</cp:lastPrinted>
  <dcterms:created xsi:type="dcterms:W3CDTF">2025-06-11T18:32:00Z</dcterms:created>
  <dcterms:modified xsi:type="dcterms:W3CDTF">2025-06-11T18:33:00Z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