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1D691" w14:textId="77777777" w:rsidR="00F11D2E" w:rsidRPr="006A07FF" w:rsidRDefault="00F11D2E" w:rsidP="006A07FF">
      <w:pPr>
        <w:spacing w:after="100" w:afterAutospacing="1" w:line="240" w:lineRule="auto"/>
        <w:contextualSpacing/>
        <w:jc w:val="both"/>
        <w:rPr>
          <w:rFonts w:ascii="Verdana" w:eastAsia="Calibri" w:hAnsi="Verdana" w:cs="Arial"/>
          <w:b/>
          <w:bCs/>
          <w:color w:val="000000" w:themeColor="text1"/>
          <w:lang w:val="es-ES_tradnl"/>
        </w:rPr>
      </w:pPr>
      <w:bookmarkStart w:id="0" w:name="_Hlk186494164"/>
      <w:r w:rsidRPr="006A07FF">
        <w:rPr>
          <w:rFonts w:ascii="Verdana" w:eastAsia="Calibri" w:hAnsi="Verdana" w:cs="Arial"/>
          <w:b/>
          <w:bCs/>
          <w:color w:val="000000" w:themeColor="text1"/>
        </w:rPr>
        <w:t xml:space="preserve">CONTRATO DE PRESTACIÓN DE SERVICIOS – Concepto </w:t>
      </w:r>
      <w:r w:rsidRPr="006A07FF">
        <w:rPr>
          <w:rFonts w:ascii="Verdana" w:eastAsia="Calibri" w:hAnsi="Verdana" w:cs="Arial"/>
          <w:b/>
          <w:bCs/>
          <w:color w:val="000000" w:themeColor="text1"/>
          <w:lang w:val="es-ES_tradnl"/>
        </w:rPr>
        <w:t xml:space="preserve"> </w:t>
      </w:r>
    </w:p>
    <w:p w14:paraId="76F019F1" w14:textId="77777777" w:rsidR="00F11D2E" w:rsidRDefault="00F11D2E" w:rsidP="006A07FF">
      <w:pPr>
        <w:spacing w:after="100" w:afterAutospacing="1" w:line="240" w:lineRule="auto"/>
        <w:contextualSpacing/>
        <w:jc w:val="both"/>
        <w:rPr>
          <w:rFonts w:ascii="Verdana" w:eastAsia="Calibri" w:hAnsi="Verdana" w:cs="Arial"/>
          <w:color w:val="000000" w:themeColor="text1"/>
          <w:lang w:val="es-ES_tradnl"/>
        </w:rPr>
      </w:pPr>
    </w:p>
    <w:p w14:paraId="5DAEA558" w14:textId="200E2BF5" w:rsidR="00F11D2E" w:rsidRPr="006A07FF" w:rsidRDefault="00F11D2E" w:rsidP="006A07FF">
      <w:pPr>
        <w:spacing w:after="100" w:afterAutospacing="1" w:line="240" w:lineRule="auto"/>
        <w:contextualSpacing/>
        <w:jc w:val="both"/>
        <w:rPr>
          <w:rFonts w:ascii="Verdana" w:eastAsia="Calibri" w:hAnsi="Verdana" w:cs="Arial"/>
          <w:color w:val="000000" w:themeColor="text1"/>
          <w:sz w:val="20"/>
          <w:szCs w:val="20"/>
          <w:lang w:val="es-ES_tradnl"/>
        </w:rPr>
      </w:pPr>
      <w:r w:rsidRPr="00F11D2E">
        <w:rPr>
          <w:rFonts w:ascii="Verdana" w:eastAsia="Calibri" w:hAnsi="Verdana" w:cs="Arial"/>
          <w:color w:val="000000"/>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F11D2E">
        <w:rPr>
          <w:rFonts w:ascii="Verdana" w:eastAsia="Calibri" w:hAnsi="Verdana" w:cs="Arial"/>
          <w:color w:val="000000" w:themeColor="text1"/>
          <w:sz w:val="20"/>
          <w:szCs w:val="20"/>
          <w:lang w:val="es-ES_tradnl"/>
        </w:rPr>
        <w:t xml:space="preserve"> </w:t>
      </w:r>
      <w:r w:rsidRPr="00F11D2E">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F11D2E">
        <w:rPr>
          <w:rFonts w:ascii="Verdana" w:eastAsia="Calibri" w:hAnsi="Verdana" w:cs="Arial"/>
          <w:color w:val="000000" w:themeColor="text1"/>
          <w:sz w:val="20"/>
          <w:szCs w:val="20"/>
          <w:lang w:val="es-ES_tradnl"/>
        </w:rPr>
        <w:t xml:space="preserve"> </w:t>
      </w:r>
      <w:r w:rsidRPr="00F11D2E">
        <w:rPr>
          <w:rFonts w:ascii="Verdana" w:eastAsia="Calibri" w:hAnsi="Verdana" w:cs="Arial"/>
          <w:color w:val="000000"/>
          <w:sz w:val="20"/>
          <w:szCs w:val="20"/>
        </w:rPr>
        <w:t>En ningún caso estos contratos generan relación laboral ni prestaciones sociales y se celebrarán por el término estrictamente indispensable.</w:t>
      </w:r>
    </w:p>
    <w:p w14:paraId="67272331" w14:textId="77777777" w:rsidR="00F11D2E" w:rsidRPr="00F11D2E" w:rsidRDefault="00F11D2E" w:rsidP="006A07FF">
      <w:pPr>
        <w:spacing w:after="100" w:afterAutospacing="1" w:line="240" w:lineRule="auto"/>
        <w:contextualSpacing/>
        <w:jc w:val="both"/>
        <w:rPr>
          <w:rFonts w:ascii="Verdana" w:eastAsia="Calibri" w:hAnsi="Verdana" w:cs="Arial"/>
          <w:b/>
          <w:bCs/>
          <w:color w:val="000000" w:themeColor="text1"/>
          <w:lang w:val="es-ES_tradnl"/>
        </w:rPr>
      </w:pPr>
    </w:p>
    <w:p w14:paraId="02B6237D" w14:textId="77777777" w:rsidR="00F11D2E" w:rsidRPr="00F11D2E" w:rsidRDefault="00F11D2E" w:rsidP="006A07FF">
      <w:pPr>
        <w:spacing w:after="100" w:afterAutospacing="1" w:line="240" w:lineRule="auto"/>
        <w:contextualSpacing/>
        <w:jc w:val="both"/>
        <w:rPr>
          <w:rFonts w:ascii="Verdana" w:eastAsia="Calibri" w:hAnsi="Verdana" w:cs="Arial"/>
          <w:b/>
          <w:bCs/>
          <w:color w:val="000000" w:themeColor="text1"/>
          <w:lang w:val="es-ES_tradnl"/>
        </w:rPr>
      </w:pPr>
      <w:r w:rsidRPr="00F11D2E">
        <w:rPr>
          <w:rFonts w:ascii="Verdana" w:eastAsia="Calibri" w:hAnsi="Verdana" w:cs="Arial"/>
          <w:b/>
          <w:bCs/>
          <w:lang w:val="es-ES_tradnl"/>
        </w:rPr>
        <w:t xml:space="preserve">CONTRATO DE PRESTACIÓN DE SERVICIOS </w:t>
      </w:r>
      <w:r w:rsidRPr="00F11D2E">
        <w:rPr>
          <w:rFonts w:ascii="Verdana" w:eastAsia="Calibri" w:hAnsi="Verdana" w:cs="Arial"/>
          <w:b/>
          <w:bCs/>
          <w:color w:val="000000" w:themeColor="text1"/>
          <w:lang w:val="es-ES_tradnl"/>
        </w:rPr>
        <w:t xml:space="preserve">– Género – </w:t>
      </w:r>
      <w:r w:rsidRPr="00F11D2E">
        <w:rPr>
          <w:rFonts w:ascii="Verdana" w:eastAsia="Calibri" w:hAnsi="Verdana" w:cs="Arial"/>
          <w:b/>
          <w:bCs/>
          <w:lang w:val="es-ES_tradnl"/>
        </w:rPr>
        <w:t xml:space="preserve">Servicios Profesionales </w:t>
      </w:r>
      <w:r w:rsidRPr="00F11D2E">
        <w:rPr>
          <w:rFonts w:ascii="Verdana" w:eastAsia="Calibri" w:hAnsi="Verdana" w:cs="Arial"/>
          <w:b/>
          <w:bCs/>
          <w:color w:val="000000" w:themeColor="text1"/>
          <w:lang w:val="es-ES_tradnl"/>
        </w:rPr>
        <w:t>–</w:t>
      </w:r>
      <w:r w:rsidRPr="00F11D2E">
        <w:rPr>
          <w:rFonts w:ascii="Verdana" w:eastAsia="Calibri" w:hAnsi="Verdana" w:cs="Arial"/>
          <w:b/>
          <w:bCs/>
          <w:lang w:val="es-ES_tradnl"/>
        </w:rPr>
        <w:t xml:space="preserve">Apoyo a la gestión </w:t>
      </w:r>
      <w:r w:rsidRPr="00F11D2E">
        <w:rPr>
          <w:rFonts w:ascii="Verdana" w:eastAsia="Calibri" w:hAnsi="Verdana" w:cs="Arial"/>
          <w:b/>
          <w:bCs/>
          <w:color w:val="000000" w:themeColor="text1"/>
          <w:lang w:val="es-ES_tradnl"/>
        </w:rPr>
        <w:t xml:space="preserve">– Trabajos artísticos – Especie </w:t>
      </w:r>
    </w:p>
    <w:p w14:paraId="71442262" w14:textId="77777777" w:rsidR="00F11D2E" w:rsidRPr="00F11D2E" w:rsidRDefault="00F11D2E" w:rsidP="006A07FF">
      <w:pPr>
        <w:spacing w:after="100" w:afterAutospacing="1" w:line="240" w:lineRule="auto"/>
        <w:contextualSpacing/>
        <w:jc w:val="both"/>
        <w:rPr>
          <w:rFonts w:ascii="Verdana" w:eastAsia="Calibri" w:hAnsi="Verdana" w:cs="Arial"/>
          <w:b/>
          <w:bCs/>
          <w:color w:val="000000" w:themeColor="text1"/>
          <w:lang w:val="es-ES_tradnl"/>
        </w:rPr>
      </w:pPr>
    </w:p>
    <w:p w14:paraId="52C6C9AB" w14:textId="7C98FACF" w:rsidR="00F11D2E" w:rsidRPr="00F11D2E" w:rsidRDefault="00F11D2E" w:rsidP="006A07FF">
      <w:pPr>
        <w:spacing w:after="100" w:afterAutospacing="1" w:line="240" w:lineRule="auto"/>
        <w:contextualSpacing/>
        <w:jc w:val="both"/>
        <w:rPr>
          <w:rFonts w:ascii="Verdana" w:eastAsia="Calibri" w:hAnsi="Verdana" w:cs="Arial"/>
          <w:color w:val="000000"/>
          <w:sz w:val="20"/>
          <w:szCs w:val="20"/>
        </w:rPr>
      </w:pPr>
      <w:r w:rsidRPr="00F11D2E">
        <w:rPr>
          <w:rFonts w:ascii="Verdana" w:eastAsia="Calibri" w:hAnsi="Verdana" w:cs="Arial"/>
          <w:color w:val="000000"/>
          <w:sz w:val="20"/>
          <w:szCs w:val="20"/>
        </w:rPr>
        <w:t xml:space="preserve">Los contratos de prestación de servicios profesionales hacen parte del género denominado </w:t>
      </w:r>
      <w:r w:rsidRPr="00F11D2E">
        <w:rPr>
          <w:rFonts w:ascii="Verdana" w:eastAsia="Calibri" w:hAnsi="Verdana" w:cs="Arial"/>
          <w:i/>
          <w:color w:val="000000"/>
          <w:sz w:val="20"/>
          <w:szCs w:val="20"/>
        </w:rPr>
        <w:t>contratos de prestación de servicios</w:t>
      </w:r>
      <w:r w:rsidRPr="00F11D2E">
        <w:rPr>
          <w:rFonts w:ascii="Verdana" w:eastAsia="Calibri" w:hAnsi="Verdana" w:cs="Arial"/>
          <w:color w:val="000000"/>
          <w:sz w:val="20"/>
          <w:szCs w:val="20"/>
        </w:rPr>
        <w:t xml:space="preserve">,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 La diferencia entre el contrato de prestación de servicios </w:t>
      </w:r>
      <w:r w:rsidRPr="00F11D2E">
        <w:rPr>
          <w:rFonts w:ascii="Verdana" w:eastAsia="Calibri" w:hAnsi="Verdana" w:cs="Arial"/>
          <w:i/>
          <w:color w:val="000000"/>
          <w:sz w:val="20"/>
          <w:szCs w:val="20"/>
        </w:rPr>
        <w:t>profesionales</w:t>
      </w:r>
      <w:r w:rsidRPr="00F11D2E">
        <w:rPr>
          <w:rFonts w:ascii="Verdana" w:eastAsia="Calibri" w:hAnsi="Verdana" w:cs="Arial"/>
          <w:color w:val="000000"/>
          <w:sz w:val="20"/>
          <w:szCs w:val="20"/>
        </w:rPr>
        <w:t xml:space="preserve"> con las otras dos especies del género en el cual se ubican radica en su contenido intelectual intangible y, al mismo tiempo, en la formación profesional que se exige para desempeñar la labor.</w:t>
      </w:r>
    </w:p>
    <w:p w14:paraId="48C9B105" w14:textId="77777777" w:rsidR="00F11D2E" w:rsidRPr="00F11D2E" w:rsidRDefault="00F11D2E" w:rsidP="006A07FF">
      <w:pPr>
        <w:spacing w:after="100" w:afterAutospacing="1" w:line="240" w:lineRule="auto"/>
        <w:contextualSpacing/>
        <w:jc w:val="both"/>
        <w:rPr>
          <w:rFonts w:ascii="Verdana" w:eastAsia="Calibri" w:hAnsi="Verdana" w:cs="Arial"/>
          <w:b/>
          <w:bCs/>
          <w:color w:val="000000" w:themeColor="text1"/>
          <w:lang w:val="es-ES_tradnl"/>
        </w:rPr>
      </w:pPr>
    </w:p>
    <w:p w14:paraId="6DFCBBAA" w14:textId="0887BBE4" w:rsidR="00396682" w:rsidRDefault="00F11D2E" w:rsidP="006A07FF">
      <w:pPr>
        <w:spacing w:after="100" w:afterAutospacing="1" w:line="240" w:lineRule="auto"/>
        <w:contextualSpacing/>
        <w:jc w:val="both"/>
        <w:rPr>
          <w:rFonts w:ascii="Verdana" w:eastAsia="Calibri" w:hAnsi="Verdana" w:cs="Arial"/>
          <w:b/>
          <w:bCs/>
          <w:color w:val="000000" w:themeColor="text1"/>
          <w:lang w:val="es-ES_tradnl"/>
        </w:rPr>
      </w:pPr>
      <w:r w:rsidRPr="00F11D2E">
        <w:rPr>
          <w:rFonts w:ascii="Verdana" w:eastAsia="Calibri" w:hAnsi="Verdana" w:cs="Arial"/>
          <w:b/>
          <w:bCs/>
          <w:lang w:val="es-ES_tradnl"/>
        </w:rPr>
        <w:t xml:space="preserve">CONTRATO DE PRESTACIÓN DE SERVICIOS </w:t>
      </w:r>
      <w:r w:rsidRPr="00F11D2E">
        <w:rPr>
          <w:rFonts w:ascii="Verdana" w:eastAsia="Calibri" w:hAnsi="Verdana" w:cs="Arial"/>
          <w:b/>
          <w:bCs/>
          <w:color w:val="000000" w:themeColor="text1"/>
          <w:lang w:val="es-ES_tradnl"/>
        </w:rPr>
        <w:t>– Características</w:t>
      </w:r>
    </w:p>
    <w:p w14:paraId="5C637EA1" w14:textId="77777777" w:rsidR="006A07FF" w:rsidRPr="006A07FF" w:rsidRDefault="006A07FF" w:rsidP="006A07FF">
      <w:pPr>
        <w:spacing w:after="100" w:afterAutospacing="1" w:line="240" w:lineRule="auto"/>
        <w:contextualSpacing/>
        <w:jc w:val="both"/>
        <w:rPr>
          <w:rFonts w:ascii="Verdana" w:eastAsia="Calibri" w:hAnsi="Verdana" w:cs="Arial"/>
          <w:b/>
          <w:bCs/>
          <w:color w:val="000000" w:themeColor="text1"/>
          <w:lang w:val="es-ES_tradnl"/>
        </w:rPr>
      </w:pPr>
    </w:p>
    <w:p w14:paraId="20248AA4" w14:textId="40238DF4" w:rsidR="00396682" w:rsidRPr="00086F39" w:rsidRDefault="00086F39" w:rsidP="00086F39">
      <w:pPr>
        <w:spacing w:after="0" w:line="240" w:lineRule="auto"/>
        <w:jc w:val="both"/>
        <w:rPr>
          <w:rFonts w:ascii="Verdana" w:eastAsia="Calibri" w:hAnsi="Verdana" w:cs="Arial"/>
          <w:color w:val="000000"/>
        </w:rPr>
      </w:pPr>
      <w:r w:rsidRPr="00086F39">
        <w:rPr>
          <w:rFonts w:ascii="Verdana" w:eastAsia="Calibri" w:hAnsi="Verdana" w:cs="Arial"/>
          <w:color w:val="000000"/>
          <w:sz w:val="20"/>
          <w:szCs w:val="20"/>
        </w:rPr>
        <w:t>A partir de este enunciado normativo, así como de otros, de carácter legal y reglamentario, que complementan su regulación, y de los pronunciamientos judiciales más destacados sobre el tema, es posible señalar las siguientes características del contrato de prestación de servicios que comprenden el marco jurídico aplicable:</w:t>
      </w:r>
      <w:r>
        <w:rPr>
          <w:rFonts w:ascii="Verdana" w:eastAsia="Calibri" w:hAnsi="Verdana" w:cs="Arial"/>
          <w:color w:val="000000"/>
        </w:rPr>
        <w:t xml:space="preserve"> </w:t>
      </w:r>
      <w:r w:rsidR="00F11D2E" w:rsidRPr="00F11D2E">
        <w:rPr>
          <w:rFonts w:ascii="Verdana" w:eastAsia="Times New Roman" w:hAnsi="Verdana" w:cs="Times New Roman"/>
          <w:color w:val="000000"/>
          <w:sz w:val="20"/>
          <w:szCs w:val="20"/>
          <w:lang w:val="es-ES_tradnl" w:eastAsia="es-ES_tradnl"/>
        </w:rPr>
        <w:t xml:space="preserve">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w:t>
      </w:r>
      <w:r w:rsidR="00F11D2E" w:rsidRPr="00F11D2E">
        <w:rPr>
          <w:rFonts w:ascii="Verdana" w:eastAsia="Times New Roman" w:hAnsi="Verdana" w:cs="Times New Roman"/>
          <w:color w:val="000000"/>
          <w:sz w:val="20"/>
          <w:szCs w:val="20"/>
          <w:lang w:val="es-ES_tradnl" w:eastAsia="es-ES_tradnl"/>
        </w:rPr>
        <w:lastRenderedPageBreak/>
        <w:t xml:space="preserve">necesario; j) Para su celebración no se requiere inscripción en el Registro Único de Proponentes (RUP); k) No son necesarias las garantías.  </w:t>
      </w:r>
    </w:p>
    <w:p w14:paraId="4F1189B8" w14:textId="77777777" w:rsidR="006A07FF" w:rsidRDefault="006A07FF" w:rsidP="009B31D6">
      <w:pPr>
        <w:spacing w:after="0" w:line="240" w:lineRule="auto"/>
        <w:rPr>
          <w:rFonts w:ascii="Verdana" w:eastAsia="Times New Roman" w:hAnsi="Verdana" w:cs="Times New Roman"/>
          <w:b/>
          <w:bCs/>
          <w:color w:val="000000"/>
          <w:lang w:val="es-ES_tradnl" w:eastAsia="es-ES_tradnl"/>
        </w:rPr>
      </w:pPr>
    </w:p>
    <w:p w14:paraId="6E7EE5C2" w14:textId="77777777" w:rsidR="00086F39" w:rsidRDefault="00086F39" w:rsidP="009B31D6">
      <w:pPr>
        <w:spacing w:after="0" w:line="240" w:lineRule="auto"/>
        <w:rPr>
          <w:rFonts w:ascii="Verdana" w:eastAsia="Geomanist Light" w:hAnsi="Verdana" w:cs="Arial"/>
          <w:color w:val="000000" w:themeColor="text1"/>
        </w:rPr>
      </w:pPr>
    </w:p>
    <w:p w14:paraId="00B7CAFE" w14:textId="77777777" w:rsidR="00086F39" w:rsidRDefault="00086F39" w:rsidP="009B31D6">
      <w:pPr>
        <w:spacing w:after="0" w:line="240" w:lineRule="auto"/>
        <w:rPr>
          <w:rFonts w:ascii="Verdana" w:eastAsia="Geomanist Light" w:hAnsi="Verdana" w:cs="Arial"/>
          <w:color w:val="000000" w:themeColor="text1"/>
        </w:rPr>
      </w:pPr>
    </w:p>
    <w:p w14:paraId="791F0966" w14:textId="77777777" w:rsidR="00086F39" w:rsidRDefault="00086F39" w:rsidP="009B31D6">
      <w:pPr>
        <w:spacing w:after="0" w:line="240" w:lineRule="auto"/>
        <w:rPr>
          <w:rFonts w:ascii="Verdana" w:eastAsia="Geomanist Light" w:hAnsi="Verdana" w:cs="Arial"/>
          <w:color w:val="000000" w:themeColor="text1"/>
        </w:rPr>
      </w:pPr>
    </w:p>
    <w:p w14:paraId="5F6050D4" w14:textId="77777777" w:rsidR="00086F39" w:rsidRDefault="00086F39" w:rsidP="009B31D6">
      <w:pPr>
        <w:spacing w:after="0" w:line="240" w:lineRule="auto"/>
        <w:rPr>
          <w:rFonts w:ascii="Verdana" w:eastAsia="Geomanist Light" w:hAnsi="Verdana" w:cs="Arial"/>
          <w:color w:val="000000" w:themeColor="text1"/>
        </w:rPr>
      </w:pPr>
    </w:p>
    <w:p w14:paraId="4B378EAF" w14:textId="77777777" w:rsidR="00086F39" w:rsidRDefault="00086F39" w:rsidP="009B31D6">
      <w:pPr>
        <w:spacing w:after="0" w:line="240" w:lineRule="auto"/>
        <w:rPr>
          <w:rFonts w:ascii="Verdana" w:eastAsia="Geomanist Light" w:hAnsi="Verdana" w:cs="Arial"/>
          <w:color w:val="000000" w:themeColor="text1"/>
        </w:rPr>
      </w:pPr>
    </w:p>
    <w:p w14:paraId="478CD096" w14:textId="77777777" w:rsidR="00086F39" w:rsidRDefault="00086F39" w:rsidP="009B31D6">
      <w:pPr>
        <w:spacing w:after="0" w:line="240" w:lineRule="auto"/>
        <w:rPr>
          <w:rFonts w:ascii="Verdana" w:eastAsia="Geomanist Light" w:hAnsi="Verdana" w:cs="Arial"/>
          <w:color w:val="000000" w:themeColor="text1"/>
        </w:rPr>
      </w:pPr>
    </w:p>
    <w:p w14:paraId="0B01A5F9" w14:textId="77777777" w:rsidR="00086F39" w:rsidRDefault="00086F39" w:rsidP="009B31D6">
      <w:pPr>
        <w:spacing w:after="0" w:line="240" w:lineRule="auto"/>
        <w:rPr>
          <w:rFonts w:ascii="Verdana" w:eastAsia="Geomanist Light" w:hAnsi="Verdana" w:cs="Arial"/>
          <w:color w:val="000000" w:themeColor="text1"/>
        </w:rPr>
      </w:pPr>
    </w:p>
    <w:p w14:paraId="60566472" w14:textId="77777777" w:rsidR="00086F39" w:rsidRDefault="00086F39" w:rsidP="009B31D6">
      <w:pPr>
        <w:spacing w:after="0" w:line="240" w:lineRule="auto"/>
        <w:rPr>
          <w:rFonts w:ascii="Verdana" w:eastAsia="Geomanist Light" w:hAnsi="Verdana" w:cs="Arial"/>
          <w:color w:val="000000" w:themeColor="text1"/>
        </w:rPr>
      </w:pPr>
    </w:p>
    <w:p w14:paraId="72D30FD6" w14:textId="77777777" w:rsidR="00086F39" w:rsidRDefault="00086F39" w:rsidP="009B31D6">
      <w:pPr>
        <w:spacing w:after="0" w:line="240" w:lineRule="auto"/>
        <w:rPr>
          <w:rFonts w:ascii="Verdana" w:eastAsia="Geomanist Light" w:hAnsi="Verdana" w:cs="Arial"/>
          <w:color w:val="000000" w:themeColor="text1"/>
        </w:rPr>
      </w:pPr>
    </w:p>
    <w:p w14:paraId="5487192E" w14:textId="77777777" w:rsidR="00086F39" w:rsidRDefault="00086F39" w:rsidP="009B31D6">
      <w:pPr>
        <w:spacing w:after="0" w:line="240" w:lineRule="auto"/>
        <w:rPr>
          <w:rFonts w:ascii="Verdana" w:eastAsia="Geomanist Light" w:hAnsi="Verdana" w:cs="Arial"/>
          <w:color w:val="000000" w:themeColor="text1"/>
        </w:rPr>
      </w:pPr>
    </w:p>
    <w:p w14:paraId="2262B5E3" w14:textId="77777777" w:rsidR="00086F39" w:rsidRDefault="00086F39" w:rsidP="009B31D6">
      <w:pPr>
        <w:spacing w:after="0" w:line="240" w:lineRule="auto"/>
        <w:rPr>
          <w:rFonts w:ascii="Verdana" w:eastAsia="Geomanist Light" w:hAnsi="Verdana" w:cs="Arial"/>
          <w:color w:val="000000" w:themeColor="text1"/>
        </w:rPr>
      </w:pPr>
    </w:p>
    <w:p w14:paraId="583D3BA3" w14:textId="77777777" w:rsidR="00086F39" w:rsidRDefault="00086F39" w:rsidP="009B31D6">
      <w:pPr>
        <w:spacing w:after="0" w:line="240" w:lineRule="auto"/>
        <w:rPr>
          <w:rFonts w:ascii="Verdana" w:eastAsia="Geomanist Light" w:hAnsi="Verdana" w:cs="Arial"/>
          <w:color w:val="000000" w:themeColor="text1"/>
        </w:rPr>
      </w:pPr>
    </w:p>
    <w:p w14:paraId="064C74A5" w14:textId="77777777" w:rsidR="00086F39" w:rsidRDefault="00086F39" w:rsidP="009B31D6">
      <w:pPr>
        <w:spacing w:after="0" w:line="240" w:lineRule="auto"/>
        <w:rPr>
          <w:rFonts w:ascii="Verdana" w:eastAsia="Geomanist Light" w:hAnsi="Verdana" w:cs="Arial"/>
          <w:color w:val="000000" w:themeColor="text1"/>
        </w:rPr>
      </w:pPr>
    </w:p>
    <w:p w14:paraId="73D0FB96" w14:textId="77777777" w:rsidR="00086F39" w:rsidRDefault="00086F39" w:rsidP="009B31D6">
      <w:pPr>
        <w:spacing w:after="0" w:line="240" w:lineRule="auto"/>
        <w:rPr>
          <w:rFonts w:ascii="Verdana" w:eastAsia="Geomanist Light" w:hAnsi="Verdana" w:cs="Arial"/>
          <w:color w:val="000000" w:themeColor="text1"/>
        </w:rPr>
      </w:pPr>
    </w:p>
    <w:p w14:paraId="36771B69" w14:textId="77777777" w:rsidR="00086F39" w:rsidRDefault="00086F39" w:rsidP="009B31D6">
      <w:pPr>
        <w:spacing w:after="0" w:line="240" w:lineRule="auto"/>
        <w:rPr>
          <w:rFonts w:ascii="Verdana" w:eastAsia="Geomanist Light" w:hAnsi="Verdana" w:cs="Arial"/>
          <w:color w:val="000000" w:themeColor="text1"/>
        </w:rPr>
      </w:pPr>
    </w:p>
    <w:p w14:paraId="0B707A5A" w14:textId="77777777" w:rsidR="00086F39" w:rsidRDefault="00086F39" w:rsidP="009B31D6">
      <w:pPr>
        <w:spacing w:after="0" w:line="240" w:lineRule="auto"/>
        <w:rPr>
          <w:rFonts w:ascii="Verdana" w:eastAsia="Geomanist Light" w:hAnsi="Verdana" w:cs="Arial"/>
          <w:color w:val="000000" w:themeColor="text1"/>
        </w:rPr>
      </w:pPr>
    </w:p>
    <w:p w14:paraId="5FFF1BD7" w14:textId="77777777" w:rsidR="00086F39" w:rsidRDefault="00086F39" w:rsidP="009B31D6">
      <w:pPr>
        <w:spacing w:after="0" w:line="240" w:lineRule="auto"/>
        <w:rPr>
          <w:rFonts w:ascii="Verdana" w:eastAsia="Geomanist Light" w:hAnsi="Verdana" w:cs="Arial"/>
          <w:color w:val="000000" w:themeColor="text1"/>
        </w:rPr>
      </w:pPr>
    </w:p>
    <w:p w14:paraId="06C4706B" w14:textId="77777777" w:rsidR="00086F39" w:rsidRDefault="00086F39" w:rsidP="009B31D6">
      <w:pPr>
        <w:spacing w:after="0" w:line="240" w:lineRule="auto"/>
        <w:rPr>
          <w:rFonts w:ascii="Verdana" w:eastAsia="Geomanist Light" w:hAnsi="Verdana" w:cs="Arial"/>
          <w:color w:val="000000" w:themeColor="text1"/>
        </w:rPr>
      </w:pPr>
    </w:p>
    <w:p w14:paraId="1D983871" w14:textId="77777777" w:rsidR="00086F39" w:rsidRDefault="00086F39" w:rsidP="009B31D6">
      <w:pPr>
        <w:spacing w:after="0" w:line="240" w:lineRule="auto"/>
        <w:rPr>
          <w:rFonts w:ascii="Verdana" w:eastAsia="Geomanist Light" w:hAnsi="Verdana" w:cs="Arial"/>
          <w:color w:val="000000" w:themeColor="text1"/>
        </w:rPr>
      </w:pPr>
    </w:p>
    <w:p w14:paraId="4093614D" w14:textId="77777777" w:rsidR="00086F39" w:rsidRDefault="00086F39" w:rsidP="009B31D6">
      <w:pPr>
        <w:spacing w:after="0" w:line="240" w:lineRule="auto"/>
        <w:rPr>
          <w:rFonts w:ascii="Verdana" w:eastAsia="Geomanist Light" w:hAnsi="Verdana" w:cs="Arial"/>
          <w:color w:val="000000" w:themeColor="text1"/>
        </w:rPr>
      </w:pPr>
    </w:p>
    <w:p w14:paraId="73DD13EC" w14:textId="77777777" w:rsidR="00086F39" w:rsidRDefault="00086F39" w:rsidP="009B31D6">
      <w:pPr>
        <w:spacing w:after="0" w:line="240" w:lineRule="auto"/>
        <w:rPr>
          <w:rFonts w:ascii="Verdana" w:eastAsia="Geomanist Light" w:hAnsi="Verdana" w:cs="Arial"/>
          <w:color w:val="000000" w:themeColor="text1"/>
        </w:rPr>
      </w:pPr>
    </w:p>
    <w:p w14:paraId="01E72E15" w14:textId="77777777" w:rsidR="00086F39" w:rsidRDefault="00086F39" w:rsidP="009B31D6">
      <w:pPr>
        <w:spacing w:after="0" w:line="240" w:lineRule="auto"/>
        <w:rPr>
          <w:rFonts w:ascii="Verdana" w:eastAsia="Geomanist Light" w:hAnsi="Verdana" w:cs="Arial"/>
          <w:color w:val="000000" w:themeColor="text1"/>
        </w:rPr>
      </w:pPr>
    </w:p>
    <w:p w14:paraId="47738820" w14:textId="77777777" w:rsidR="00086F39" w:rsidRDefault="00086F39" w:rsidP="009B31D6">
      <w:pPr>
        <w:spacing w:after="0" w:line="240" w:lineRule="auto"/>
        <w:rPr>
          <w:rFonts w:ascii="Verdana" w:eastAsia="Geomanist Light" w:hAnsi="Verdana" w:cs="Arial"/>
          <w:color w:val="000000" w:themeColor="text1"/>
        </w:rPr>
      </w:pPr>
    </w:p>
    <w:p w14:paraId="6CA799F3" w14:textId="77777777" w:rsidR="00086F39" w:rsidRDefault="00086F39" w:rsidP="009B31D6">
      <w:pPr>
        <w:spacing w:after="0" w:line="240" w:lineRule="auto"/>
        <w:rPr>
          <w:rFonts w:ascii="Verdana" w:eastAsia="Geomanist Light" w:hAnsi="Verdana" w:cs="Arial"/>
          <w:color w:val="000000" w:themeColor="text1"/>
        </w:rPr>
      </w:pPr>
    </w:p>
    <w:p w14:paraId="049FE055" w14:textId="77777777" w:rsidR="00086F39" w:rsidRDefault="00086F39" w:rsidP="009B31D6">
      <w:pPr>
        <w:spacing w:after="0" w:line="240" w:lineRule="auto"/>
        <w:rPr>
          <w:rFonts w:ascii="Verdana" w:eastAsia="Geomanist Light" w:hAnsi="Verdana" w:cs="Arial"/>
          <w:color w:val="000000" w:themeColor="text1"/>
        </w:rPr>
      </w:pPr>
    </w:p>
    <w:p w14:paraId="01891FA2" w14:textId="77777777" w:rsidR="00086F39" w:rsidRDefault="00086F39" w:rsidP="009B31D6">
      <w:pPr>
        <w:spacing w:after="0" w:line="240" w:lineRule="auto"/>
        <w:rPr>
          <w:rFonts w:ascii="Verdana" w:eastAsia="Geomanist Light" w:hAnsi="Verdana" w:cs="Arial"/>
          <w:color w:val="000000" w:themeColor="text1"/>
        </w:rPr>
      </w:pPr>
    </w:p>
    <w:p w14:paraId="08193B35" w14:textId="77777777" w:rsidR="00086F39" w:rsidRDefault="00086F39" w:rsidP="009B31D6">
      <w:pPr>
        <w:spacing w:after="0" w:line="240" w:lineRule="auto"/>
        <w:rPr>
          <w:rFonts w:ascii="Verdana" w:eastAsia="Geomanist Light" w:hAnsi="Verdana" w:cs="Arial"/>
          <w:color w:val="000000" w:themeColor="text1"/>
        </w:rPr>
      </w:pPr>
    </w:p>
    <w:p w14:paraId="03855EE0" w14:textId="77777777" w:rsidR="00086F39" w:rsidRDefault="00086F39" w:rsidP="009B31D6">
      <w:pPr>
        <w:spacing w:after="0" w:line="240" w:lineRule="auto"/>
        <w:rPr>
          <w:rFonts w:ascii="Verdana" w:eastAsia="Geomanist Light" w:hAnsi="Verdana" w:cs="Arial"/>
          <w:color w:val="000000" w:themeColor="text1"/>
        </w:rPr>
      </w:pPr>
    </w:p>
    <w:p w14:paraId="36F44A90" w14:textId="77777777" w:rsidR="00086F39" w:rsidRDefault="00086F39" w:rsidP="009B31D6">
      <w:pPr>
        <w:spacing w:after="0" w:line="240" w:lineRule="auto"/>
        <w:rPr>
          <w:rFonts w:ascii="Verdana" w:eastAsia="Geomanist Light" w:hAnsi="Verdana" w:cs="Arial"/>
          <w:color w:val="000000" w:themeColor="text1"/>
        </w:rPr>
      </w:pPr>
    </w:p>
    <w:p w14:paraId="4A0DD1B1" w14:textId="77777777" w:rsidR="00086F39" w:rsidRDefault="00086F39" w:rsidP="009B31D6">
      <w:pPr>
        <w:spacing w:after="0" w:line="240" w:lineRule="auto"/>
        <w:rPr>
          <w:rFonts w:ascii="Verdana" w:eastAsia="Geomanist Light" w:hAnsi="Verdana" w:cs="Arial"/>
          <w:color w:val="000000" w:themeColor="text1"/>
        </w:rPr>
      </w:pPr>
    </w:p>
    <w:p w14:paraId="190B0124" w14:textId="77777777" w:rsidR="00086F39" w:rsidRDefault="00086F39" w:rsidP="009B31D6">
      <w:pPr>
        <w:spacing w:after="0" w:line="240" w:lineRule="auto"/>
        <w:rPr>
          <w:rFonts w:ascii="Verdana" w:eastAsia="Geomanist Light" w:hAnsi="Verdana" w:cs="Arial"/>
          <w:color w:val="000000" w:themeColor="text1"/>
        </w:rPr>
      </w:pPr>
    </w:p>
    <w:p w14:paraId="27C84438" w14:textId="77777777" w:rsidR="00086F39" w:rsidRDefault="00086F39" w:rsidP="009B31D6">
      <w:pPr>
        <w:spacing w:after="0" w:line="240" w:lineRule="auto"/>
        <w:rPr>
          <w:rFonts w:ascii="Verdana" w:eastAsia="Geomanist Light" w:hAnsi="Verdana" w:cs="Arial"/>
          <w:color w:val="000000" w:themeColor="text1"/>
        </w:rPr>
      </w:pPr>
    </w:p>
    <w:p w14:paraId="672F57C2" w14:textId="77777777" w:rsidR="00086F39" w:rsidRDefault="00086F39" w:rsidP="009B31D6">
      <w:pPr>
        <w:spacing w:after="0" w:line="240" w:lineRule="auto"/>
        <w:rPr>
          <w:rFonts w:ascii="Verdana" w:eastAsia="Geomanist Light" w:hAnsi="Verdana" w:cs="Arial"/>
          <w:color w:val="000000" w:themeColor="text1"/>
        </w:rPr>
      </w:pPr>
    </w:p>
    <w:p w14:paraId="16C9F1AC" w14:textId="77777777" w:rsidR="00086F39" w:rsidRDefault="00086F39" w:rsidP="009B31D6">
      <w:pPr>
        <w:spacing w:after="0" w:line="240" w:lineRule="auto"/>
        <w:rPr>
          <w:rFonts w:ascii="Verdana" w:eastAsia="Geomanist Light" w:hAnsi="Verdana" w:cs="Arial"/>
          <w:color w:val="000000" w:themeColor="text1"/>
        </w:rPr>
      </w:pPr>
    </w:p>
    <w:p w14:paraId="7B0CA0F9" w14:textId="77777777" w:rsidR="00086F39" w:rsidRDefault="00086F39" w:rsidP="009B31D6">
      <w:pPr>
        <w:spacing w:after="0" w:line="240" w:lineRule="auto"/>
        <w:rPr>
          <w:rFonts w:ascii="Verdana" w:eastAsia="Geomanist Light" w:hAnsi="Verdana" w:cs="Arial"/>
          <w:color w:val="000000" w:themeColor="text1"/>
        </w:rPr>
      </w:pPr>
    </w:p>
    <w:p w14:paraId="417C8A8E" w14:textId="77777777" w:rsidR="00086F39" w:rsidRDefault="00086F39" w:rsidP="009B31D6">
      <w:pPr>
        <w:spacing w:after="0" w:line="240" w:lineRule="auto"/>
        <w:rPr>
          <w:rFonts w:ascii="Verdana" w:eastAsia="Geomanist Light" w:hAnsi="Verdana" w:cs="Arial"/>
          <w:color w:val="000000" w:themeColor="text1"/>
        </w:rPr>
      </w:pPr>
    </w:p>
    <w:p w14:paraId="5A839939" w14:textId="77777777" w:rsidR="00086F39" w:rsidRDefault="00086F39" w:rsidP="009B31D6">
      <w:pPr>
        <w:spacing w:after="0" w:line="240" w:lineRule="auto"/>
        <w:rPr>
          <w:rFonts w:ascii="Verdana" w:eastAsia="Geomanist Light" w:hAnsi="Verdana" w:cs="Arial"/>
          <w:color w:val="000000" w:themeColor="text1"/>
        </w:rPr>
      </w:pPr>
    </w:p>
    <w:p w14:paraId="039EECA4" w14:textId="77777777" w:rsidR="00086F39" w:rsidRDefault="00086F39" w:rsidP="009B31D6">
      <w:pPr>
        <w:spacing w:after="0" w:line="240" w:lineRule="auto"/>
        <w:rPr>
          <w:rFonts w:ascii="Verdana" w:eastAsia="Geomanist Light" w:hAnsi="Verdana" w:cs="Arial"/>
          <w:color w:val="000000" w:themeColor="text1"/>
        </w:rPr>
      </w:pPr>
    </w:p>
    <w:p w14:paraId="5754294E" w14:textId="77777777" w:rsidR="00086F39" w:rsidRDefault="00086F39" w:rsidP="009B31D6">
      <w:pPr>
        <w:spacing w:after="0" w:line="240" w:lineRule="auto"/>
        <w:rPr>
          <w:rFonts w:ascii="Verdana" w:eastAsia="Geomanist Light" w:hAnsi="Verdana" w:cs="Arial"/>
          <w:color w:val="000000" w:themeColor="text1"/>
        </w:rPr>
      </w:pPr>
    </w:p>
    <w:p w14:paraId="790F4DC1" w14:textId="38A2C45E" w:rsidR="009B31D6" w:rsidRPr="0014781E" w:rsidRDefault="009B31D6" w:rsidP="009B31D6">
      <w:pPr>
        <w:spacing w:after="0" w:line="240" w:lineRule="auto"/>
        <w:rPr>
          <w:rFonts w:ascii="Verdana" w:eastAsia="Geomanist Light" w:hAnsi="Verdana" w:cs="Arial"/>
          <w:color w:val="201F1E"/>
        </w:rPr>
      </w:pPr>
      <w:r w:rsidRPr="0014781E">
        <w:rPr>
          <w:rFonts w:ascii="Verdana" w:eastAsia="Geomanist Light" w:hAnsi="Verdana" w:cs="Arial"/>
          <w:color w:val="000000" w:themeColor="text1"/>
        </w:rPr>
        <w:lastRenderedPageBreak/>
        <w:t>Bogotá D.C., </w:t>
      </w:r>
      <w:r w:rsidR="00003B60">
        <w:rPr>
          <w:rFonts w:ascii="Verdana" w:eastAsia="Geomanist Light" w:hAnsi="Verdana" w:cs="Arial"/>
          <w:color w:val="201F1E"/>
        </w:rPr>
        <w:t>27 de mayo de 2025</w:t>
      </w:r>
    </w:p>
    <w:p w14:paraId="5B26DE59" w14:textId="77777777" w:rsidR="009B31D6" w:rsidRPr="0014781E" w:rsidRDefault="009B31D6" w:rsidP="009B31D6">
      <w:pPr>
        <w:spacing w:after="0" w:line="240" w:lineRule="auto"/>
        <w:jc w:val="both"/>
        <w:rPr>
          <w:rFonts w:ascii="Verdana" w:eastAsia="Calibri" w:hAnsi="Verdana" w:cs="Arial"/>
          <w:color w:val="000000"/>
        </w:rPr>
      </w:pPr>
    </w:p>
    <w:p w14:paraId="7D2CD245" w14:textId="73B4490B" w:rsidR="009B31D6" w:rsidRDefault="00003B60" w:rsidP="00003B60">
      <w:pPr>
        <w:spacing w:after="0" w:line="240" w:lineRule="auto"/>
        <w:jc w:val="right"/>
        <w:rPr>
          <w:rFonts w:ascii="Verdana" w:eastAsia="Calibri" w:hAnsi="Verdana" w:cs="Arial"/>
          <w:color w:val="000000"/>
        </w:rPr>
      </w:pPr>
      <w:r w:rsidRPr="00003B60">
        <w:rPr>
          <w:rFonts w:ascii="Verdana" w:eastAsia="Calibri" w:hAnsi="Verdana" w:cs="Arial"/>
          <w:noProof/>
          <w:color w:val="000000"/>
        </w:rPr>
        <w:drawing>
          <wp:inline distT="0" distB="0" distL="0" distR="0" wp14:anchorId="2869B42B" wp14:editId="7DBFFD45">
            <wp:extent cx="2918460" cy="1143000"/>
            <wp:effectExtent l="0" t="0" r="0" b="0"/>
            <wp:docPr id="11081002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18460" cy="1143000"/>
                    </a:xfrm>
                    <a:prstGeom prst="rect">
                      <a:avLst/>
                    </a:prstGeom>
                    <a:noFill/>
                    <a:ln>
                      <a:noFill/>
                    </a:ln>
                  </pic:spPr>
                </pic:pic>
              </a:graphicData>
            </a:graphic>
          </wp:inline>
        </w:drawing>
      </w:r>
    </w:p>
    <w:p w14:paraId="25786F06" w14:textId="77777777" w:rsidR="00003B60" w:rsidRPr="0014781E" w:rsidRDefault="00003B60" w:rsidP="009B31D6">
      <w:pPr>
        <w:spacing w:after="0" w:line="240" w:lineRule="auto"/>
        <w:jc w:val="both"/>
        <w:rPr>
          <w:rFonts w:ascii="Verdana" w:eastAsia="Calibri" w:hAnsi="Verdana" w:cs="Arial"/>
          <w:color w:val="000000"/>
        </w:rPr>
      </w:pPr>
    </w:p>
    <w:p w14:paraId="3B8BAE62" w14:textId="77777777" w:rsidR="009B31D6" w:rsidRPr="0014781E" w:rsidRDefault="009B31D6" w:rsidP="009B31D6">
      <w:pPr>
        <w:spacing w:after="0" w:line="240" w:lineRule="auto"/>
        <w:jc w:val="both"/>
        <w:rPr>
          <w:rFonts w:ascii="Verdana" w:eastAsia="Calibri" w:hAnsi="Verdana" w:cs="Arial"/>
          <w:lang w:eastAsia="es-ES"/>
        </w:rPr>
      </w:pPr>
      <w:r w:rsidRPr="0014781E">
        <w:rPr>
          <w:rFonts w:ascii="Verdana" w:eastAsia="Calibri" w:hAnsi="Verdana" w:cs="Arial"/>
          <w:lang w:eastAsia="es-ES"/>
        </w:rPr>
        <w:t>Señor</w:t>
      </w:r>
    </w:p>
    <w:p w14:paraId="78ADAF41" w14:textId="77777777" w:rsidR="009B31D6" w:rsidRPr="0014781E" w:rsidRDefault="009B31D6" w:rsidP="009B31D6">
      <w:pPr>
        <w:spacing w:after="0" w:line="240" w:lineRule="auto"/>
        <w:rPr>
          <w:rFonts w:ascii="Verdana" w:eastAsia="Calibri" w:hAnsi="Verdana" w:cs="Arial"/>
          <w:b/>
          <w:bCs/>
          <w:lang w:eastAsia="es-ES"/>
        </w:rPr>
      </w:pPr>
      <w:r w:rsidRPr="0014781E">
        <w:rPr>
          <w:rFonts w:ascii="Verdana" w:hAnsi="Verdana"/>
          <w:b/>
          <w:bCs/>
        </w:rPr>
        <w:t xml:space="preserve">Mario Alejandro Narváez Valencia </w:t>
      </w:r>
    </w:p>
    <w:p w14:paraId="3A293FA8" w14:textId="77777777" w:rsidR="009B31D6" w:rsidRPr="0014781E" w:rsidRDefault="009B31D6" w:rsidP="009B31D6">
      <w:pPr>
        <w:spacing w:after="0" w:line="240" w:lineRule="auto"/>
        <w:rPr>
          <w:rFonts w:ascii="Verdana" w:hAnsi="Verdana"/>
        </w:rPr>
      </w:pPr>
      <w:hyperlink r:id="rId12" w:history="1">
        <w:r w:rsidRPr="0014781E">
          <w:rPr>
            <w:rFonts w:ascii="Verdana" w:hAnsi="Verdana"/>
            <w:color w:val="0563C1" w:themeColor="hyperlink"/>
            <w:u w:val="single"/>
          </w:rPr>
          <w:t>magnusiurisalejandroadvocare@gmail.com</w:t>
        </w:r>
      </w:hyperlink>
      <w:r w:rsidRPr="0014781E">
        <w:rPr>
          <w:rFonts w:ascii="Verdana" w:hAnsi="Verdana"/>
        </w:rPr>
        <w:t xml:space="preserve"> </w:t>
      </w:r>
    </w:p>
    <w:p w14:paraId="5B7BF15D" w14:textId="77777777" w:rsidR="009B31D6" w:rsidRPr="0014781E" w:rsidRDefault="009B31D6" w:rsidP="009B31D6">
      <w:pPr>
        <w:spacing w:after="0" w:line="240" w:lineRule="auto"/>
        <w:rPr>
          <w:rFonts w:ascii="Verdana" w:hAnsi="Verdana"/>
        </w:rPr>
      </w:pPr>
      <w:r w:rsidRPr="0014781E">
        <w:rPr>
          <w:rFonts w:ascii="Verdana" w:hAnsi="Verdana"/>
        </w:rPr>
        <w:t>Bogotá D.C</w:t>
      </w:r>
    </w:p>
    <w:p w14:paraId="3CE754C0" w14:textId="77777777" w:rsidR="009B31D6" w:rsidRPr="0014781E" w:rsidRDefault="009B31D6" w:rsidP="009B31D6">
      <w:pPr>
        <w:spacing w:after="0" w:line="240" w:lineRule="auto"/>
        <w:rPr>
          <w:rFonts w:ascii="Verdana" w:eastAsia="Calibri" w:hAnsi="Verdana" w:cs="Arial"/>
          <w:lang w:eastAsia="es-ES"/>
        </w:rPr>
      </w:pPr>
    </w:p>
    <w:p w14:paraId="11AB2D08" w14:textId="77777777" w:rsidR="009B31D6" w:rsidRPr="0014781E" w:rsidRDefault="009B31D6" w:rsidP="009B31D6">
      <w:pPr>
        <w:spacing w:after="0" w:line="240" w:lineRule="auto"/>
        <w:rPr>
          <w:rFonts w:ascii="Verdana" w:eastAsia="Calibri" w:hAnsi="Verdana" w:cs="Arial"/>
          <w:b/>
          <w:bCs/>
          <w:color w:val="000000"/>
          <w:lang w:eastAsia="es-ES_tradnl"/>
        </w:rPr>
      </w:pPr>
    </w:p>
    <w:p w14:paraId="6EEB593B" w14:textId="77777777" w:rsidR="009B31D6" w:rsidRPr="0014781E" w:rsidRDefault="009B31D6" w:rsidP="009B31D6">
      <w:pPr>
        <w:spacing w:after="0" w:line="240" w:lineRule="auto"/>
        <w:jc w:val="center"/>
        <w:rPr>
          <w:rFonts w:ascii="Verdana" w:eastAsia="Calibri" w:hAnsi="Verdana" w:cs="Arial"/>
          <w:b/>
          <w:bCs/>
          <w:lang w:eastAsia="es-ES"/>
        </w:rPr>
      </w:pPr>
      <w:r w:rsidRPr="0014781E">
        <w:rPr>
          <w:rFonts w:ascii="Verdana" w:eastAsia="Calibri" w:hAnsi="Verdana" w:cs="Arial"/>
          <w:b/>
          <w:bCs/>
          <w:lang w:eastAsia="es-ES"/>
        </w:rPr>
        <w:t>Concepto C – 517 de 2025</w:t>
      </w:r>
    </w:p>
    <w:p w14:paraId="55CB17A8" w14:textId="77777777" w:rsidR="009B31D6" w:rsidRPr="0014781E" w:rsidRDefault="009B31D6" w:rsidP="009B31D6">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B31D6" w:rsidRPr="0014781E" w14:paraId="5B6FD565" w14:textId="77777777" w:rsidTr="000A2669">
        <w:trPr>
          <w:trHeight w:val="884"/>
        </w:trPr>
        <w:tc>
          <w:tcPr>
            <w:tcW w:w="2689" w:type="dxa"/>
          </w:tcPr>
          <w:p w14:paraId="6B575F2C" w14:textId="77777777" w:rsidR="009B31D6" w:rsidRPr="0014781E" w:rsidRDefault="009B31D6" w:rsidP="000A2669">
            <w:pPr>
              <w:jc w:val="both"/>
              <w:rPr>
                <w:rFonts w:ascii="Verdana" w:eastAsia="Calibri" w:hAnsi="Verdana" w:cs="Arial"/>
                <w:color w:val="000000"/>
                <w:lang w:eastAsia="es-ES_tradnl"/>
              </w:rPr>
            </w:pPr>
            <w:r w:rsidRPr="0014781E">
              <w:rPr>
                <w:rFonts w:ascii="Verdana" w:eastAsia="Calibri" w:hAnsi="Verdana" w:cs="Arial"/>
                <w:b/>
                <w:color w:val="000000"/>
                <w:lang w:eastAsia="es-ES_tradnl"/>
              </w:rPr>
              <w:t>Temas:</w:t>
            </w:r>
            <w:r w:rsidRPr="0014781E">
              <w:rPr>
                <w:rFonts w:ascii="Verdana" w:eastAsia="Calibri" w:hAnsi="Verdana" w:cs="Arial"/>
                <w:color w:val="000000"/>
                <w:lang w:eastAsia="es-ES_tradnl"/>
              </w:rPr>
              <w:t xml:space="preserve">                   </w:t>
            </w:r>
          </w:p>
        </w:tc>
        <w:tc>
          <w:tcPr>
            <w:tcW w:w="6100" w:type="dxa"/>
          </w:tcPr>
          <w:p w14:paraId="11EAFE58" w14:textId="77777777" w:rsidR="009B31D6" w:rsidRPr="0014781E" w:rsidRDefault="009B31D6" w:rsidP="000A2669">
            <w:pPr>
              <w:spacing w:line="276" w:lineRule="auto"/>
              <w:contextualSpacing/>
              <w:jc w:val="both"/>
              <w:rPr>
                <w:rFonts w:ascii="Verdana" w:eastAsia="Times New Roman" w:hAnsi="Verdana" w:cs="Arial"/>
                <w:lang w:val="es-ES_tradnl" w:eastAsia="es-MX"/>
              </w:rPr>
            </w:pPr>
            <w:r w:rsidRPr="0014781E">
              <w:rPr>
                <w:rFonts w:ascii="Verdana" w:eastAsia="Calibri" w:hAnsi="Verdana" w:cs="Arial"/>
                <w:color w:val="000000" w:themeColor="text1"/>
              </w:rPr>
              <w:t xml:space="preserve">CONTRATO DE PRESTACIÓN DE SERVICIOS – Concepto </w:t>
            </w:r>
            <w:r w:rsidRPr="0014781E">
              <w:rPr>
                <w:rFonts w:ascii="Verdana" w:eastAsia="Calibri" w:hAnsi="Verdana" w:cs="Arial"/>
                <w:color w:val="000000" w:themeColor="text1"/>
                <w:lang w:val="es-ES_tradnl"/>
              </w:rPr>
              <w:t xml:space="preserve">/ </w:t>
            </w:r>
            <w:r w:rsidRPr="0014781E">
              <w:rPr>
                <w:rFonts w:ascii="Verdana" w:eastAsia="Calibri" w:hAnsi="Verdana" w:cs="Arial"/>
                <w:lang w:val="es-ES_tradnl"/>
              </w:rPr>
              <w:t xml:space="preserve">CONTRATO DE PRESTACIÓN DE SERVICIOS </w:t>
            </w:r>
            <w:r w:rsidRPr="0014781E">
              <w:rPr>
                <w:rFonts w:ascii="Verdana" w:eastAsia="Calibri" w:hAnsi="Verdana" w:cs="Arial"/>
                <w:color w:val="000000" w:themeColor="text1"/>
                <w:lang w:val="es-ES_tradnl"/>
              </w:rPr>
              <w:t xml:space="preserve">– Género – </w:t>
            </w:r>
            <w:r w:rsidRPr="0014781E">
              <w:rPr>
                <w:rFonts w:ascii="Verdana" w:eastAsia="Calibri" w:hAnsi="Verdana" w:cs="Arial"/>
                <w:lang w:val="es-ES_tradnl"/>
              </w:rPr>
              <w:t xml:space="preserve">Servicios Profesionales </w:t>
            </w:r>
            <w:r w:rsidRPr="0014781E">
              <w:rPr>
                <w:rFonts w:ascii="Verdana" w:eastAsia="Calibri" w:hAnsi="Verdana" w:cs="Arial"/>
                <w:color w:val="000000" w:themeColor="text1"/>
                <w:lang w:val="es-ES_tradnl"/>
              </w:rPr>
              <w:t>–</w:t>
            </w:r>
            <w:r w:rsidRPr="0014781E">
              <w:rPr>
                <w:rFonts w:ascii="Verdana" w:eastAsia="Calibri" w:hAnsi="Verdana" w:cs="Arial"/>
                <w:lang w:val="es-ES_tradnl"/>
              </w:rPr>
              <w:t xml:space="preserve">Apoyo a la gestión </w:t>
            </w:r>
            <w:r w:rsidRPr="0014781E">
              <w:rPr>
                <w:rFonts w:ascii="Verdana" w:eastAsia="Calibri" w:hAnsi="Verdana" w:cs="Arial"/>
                <w:color w:val="000000" w:themeColor="text1"/>
                <w:lang w:val="es-ES_tradnl"/>
              </w:rPr>
              <w:t xml:space="preserve">– Trabajos artísticos – Especie / </w:t>
            </w:r>
            <w:r w:rsidRPr="0014781E">
              <w:rPr>
                <w:rFonts w:ascii="Verdana" w:eastAsia="Calibri" w:hAnsi="Verdana" w:cs="Arial"/>
                <w:lang w:val="es-ES_tradnl"/>
              </w:rPr>
              <w:t xml:space="preserve">CONTRATO DE PRESTACIÓN DE SERVICIOS </w:t>
            </w:r>
            <w:r w:rsidRPr="0014781E">
              <w:rPr>
                <w:rFonts w:ascii="Verdana" w:eastAsia="Calibri" w:hAnsi="Verdana" w:cs="Arial"/>
                <w:color w:val="000000" w:themeColor="text1"/>
                <w:lang w:val="es-ES_tradnl"/>
              </w:rPr>
              <w:t>– Características</w:t>
            </w:r>
          </w:p>
          <w:p w14:paraId="7F2C240C" w14:textId="77777777" w:rsidR="009B31D6" w:rsidRPr="0014781E" w:rsidRDefault="009B31D6" w:rsidP="000A2669">
            <w:pPr>
              <w:spacing w:line="276" w:lineRule="auto"/>
              <w:contextualSpacing/>
              <w:jc w:val="both"/>
              <w:rPr>
                <w:rFonts w:ascii="Verdana" w:eastAsia="Calibri" w:hAnsi="Verdana" w:cs="Arial"/>
                <w:lang w:eastAsia="es-ES"/>
              </w:rPr>
            </w:pPr>
          </w:p>
        </w:tc>
      </w:tr>
      <w:tr w:rsidR="009B31D6" w:rsidRPr="0014781E" w14:paraId="4E9F4422" w14:textId="77777777" w:rsidTr="000A2669">
        <w:tc>
          <w:tcPr>
            <w:tcW w:w="2689" w:type="dxa"/>
          </w:tcPr>
          <w:p w14:paraId="6C5A7967" w14:textId="77777777" w:rsidR="009B31D6" w:rsidRPr="0014781E" w:rsidRDefault="009B31D6" w:rsidP="000A2669">
            <w:pPr>
              <w:jc w:val="both"/>
              <w:rPr>
                <w:rFonts w:ascii="Verdana" w:eastAsia="Calibri" w:hAnsi="Verdana" w:cs="Arial"/>
                <w:b/>
                <w:lang w:eastAsia="es-ES_tradnl"/>
              </w:rPr>
            </w:pPr>
            <w:r w:rsidRPr="0014781E">
              <w:rPr>
                <w:rFonts w:ascii="Verdana" w:eastAsia="Calibri" w:hAnsi="Verdana" w:cs="Arial"/>
                <w:b/>
                <w:lang w:eastAsia="es-ES_tradnl"/>
              </w:rPr>
              <w:t>Radicación:</w:t>
            </w:r>
            <w:r w:rsidRPr="0014781E">
              <w:rPr>
                <w:rFonts w:ascii="Verdana" w:eastAsia="Calibri" w:hAnsi="Verdana" w:cs="Arial"/>
                <w:lang w:eastAsia="es-ES_tradnl"/>
              </w:rPr>
              <w:t xml:space="preserve">               </w:t>
            </w:r>
          </w:p>
        </w:tc>
        <w:tc>
          <w:tcPr>
            <w:tcW w:w="6100" w:type="dxa"/>
          </w:tcPr>
          <w:p w14:paraId="65F04BF8" w14:textId="77777777" w:rsidR="009B31D6" w:rsidRPr="0014781E" w:rsidRDefault="009B31D6" w:rsidP="000A2669">
            <w:pPr>
              <w:jc w:val="both"/>
              <w:rPr>
                <w:rFonts w:ascii="Verdana" w:eastAsia="Calibri" w:hAnsi="Verdana" w:cs="Arial"/>
                <w:lang w:eastAsia="es-ES_tradnl"/>
              </w:rPr>
            </w:pPr>
            <w:r w:rsidRPr="0014781E">
              <w:rPr>
                <w:rFonts w:ascii="Verdana" w:eastAsia="Calibri" w:hAnsi="Verdana" w:cs="Arial"/>
                <w:lang w:eastAsia="es-ES_tradnl"/>
              </w:rPr>
              <w:t xml:space="preserve">Respuesta a la consulta con radicado No.  P20250425003992 </w:t>
            </w:r>
          </w:p>
        </w:tc>
      </w:tr>
    </w:tbl>
    <w:p w14:paraId="4F059A6D" w14:textId="77777777" w:rsidR="009B31D6" w:rsidRPr="0014781E" w:rsidRDefault="009B31D6" w:rsidP="009B31D6">
      <w:pPr>
        <w:spacing w:after="0" w:line="240" w:lineRule="auto"/>
        <w:jc w:val="both"/>
        <w:rPr>
          <w:rFonts w:ascii="Verdana" w:eastAsia="Calibri" w:hAnsi="Verdana" w:cs="Arial"/>
          <w:color w:val="000000"/>
          <w:lang w:eastAsia="es-ES_tradnl"/>
        </w:rPr>
      </w:pPr>
    </w:p>
    <w:p w14:paraId="25022BC7" w14:textId="77777777" w:rsidR="009B31D6" w:rsidRPr="0014781E" w:rsidRDefault="009B31D6" w:rsidP="009B31D6">
      <w:pPr>
        <w:spacing w:after="0" w:line="240" w:lineRule="auto"/>
        <w:jc w:val="both"/>
        <w:rPr>
          <w:rFonts w:ascii="Verdana" w:eastAsia="Calibri" w:hAnsi="Verdana" w:cs="Arial"/>
          <w:color w:val="000000"/>
          <w:lang w:eastAsia="es-ES_tradnl"/>
        </w:rPr>
      </w:pPr>
    </w:p>
    <w:p w14:paraId="5F564583" w14:textId="77777777" w:rsidR="009B31D6" w:rsidRPr="0014781E" w:rsidRDefault="009B31D6" w:rsidP="009B31D6">
      <w:pPr>
        <w:spacing w:after="0" w:line="276" w:lineRule="auto"/>
        <w:jc w:val="both"/>
        <w:rPr>
          <w:rFonts w:ascii="Verdana" w:eastAsia="Calibri" w:hAnsi="Verdana" w:cs="Arial"/>
          <w:lang w:eastAsia="es-ES"/>
        </w:rPr>
      </w:pPr>
      <w:r w:rsidRPr="0014781E">
        <w:rPr>
          <w:rFonts w:ascii="Verdana" w:eastAsia="Calibri" w:hAnsi="Verdana" w:cs="Arial"/>
          <w:lang w:eastAsia="es-ES"/>
        </w:rPr>
        <w:t xml:space="preserve">Estimado señor Narváez Valencia: </w:t>
      </w:r>
    </w:p>
    <w:p w14:paraId="0BB592BA" w14:textId="77777777" w:rsidR="009B31D6" w:rsidRPr="0014781E" w:rsidRDefault="009B31D6" w:rsidP="009B31D6">
      <w:pPr>
        <w:tabs>
          <w:tab w:val="left" w:pos="3768"/>
        </w:tabs>
        <w:spacing w:after="0" w:line="276" w:lineRule="auto"/>
        <w:jc w:val="both"/>
        <w:rPr>
          <w:rFonts w:ascii="Verdana" w:eastAsia="Calibri" w:hAnsi="Verdana" w:cs="Arial"/>
          <w:color w:val="000000" w:themeColor="text1"/>
          <w:lang w:eastAsia="es-ES"/>
        </w:rPr>
      </w:pPr>
      <w:r w:rsidRPr="0014781E">
        <w:rPr>
          <w:rFonts w:ascii="Verdana" w:eastAsia="Calibri" w:hAnsi="Verdana" w:cs="Arial"/>
          <w:color w:val="000000" w:themeColor="text1"/>
          <w:lang w:eastAsia="es-ES"/>
        </w:rPr>
        <w:tab/>
      </w:r>
    </w:p>
    <w:p w14:paraId="4FCA9EC5" w14:textId="77777777" w:rsidR="009B31D6" w:rsidRPr="0014781E" w:rsidRDefault="009B31D6" w:rsidP="009B31D6">
      <w:pPr>
        <w:spacing w:after="0" w:line="276" w:lineRule="auto"/>
        <w:jc w:val="both"/>
        <w:rPr>
          <w:rFonts w:ascii="Verdana" w:eastAsia="Calibri" w:hAnsi="Verdana" w:cs="Arial"/>
          <w:i/>
          <w:iCs/>
          <w:lang w:eastAsia="es-ES"/>
        </w:rPr>
      </w:pPr>
      <w:r w:rsidRPr="0014781E">
        <w:rPr>
          <w:rFonts w:ascii="Verdana" w:eastAsia="Calibri" w:hAnsi="Verdana" w:cs="Arial"/>
          <w:color w:val="000000" w:themeColor="text1"/>
          <w:lang w:eastAsia="es-ES"/>
        </w:rPr>
        <w:t>En ejercicio de la competencia otorgada por los artículos 3, numeral 5º, y 11, numeral 8º, del Decreto Ley 4170 de 2011,</w:t>
      </w:r>
      <w:r w:rsidRPr="0014781E">
        <w:rPr>
          <w:rFonts w:ascii="Verdana" w:eastAsia="Arial MT" w:hAnsi="Verdana" w:cs="Arial MT"/>
          <w:lang w:eastAsia="es-ES"/>
        </w:rPr>
        <w:t xml:space="preserve"> </w:t>
      </w:r>
      <w:r w:rsidRPr="0014781E">
        <w:rPr>
          <w:rFonts w:ascii="Verdana" w:hAnsi="Verdana" w:cs="Arial"/>
        </w:rPr>
        <w:t xml:space="preserve">así como lo establecido en el artículo 4 de la Resolución 1707 de 2018 expedida por esta Entidad, </w:t>
      </w:r>
      <w:r w:rsidRPr="0014781E">
        <w:rPr>
          <w:rFonts w:ascii="Verdana" w:eastAsia="Calibri" w:hAnsi="Verdana" w:cs="Arial"/>
          <w:color w:val="000000" w:themeColor="text1"/>
          <w:lang w:eastAsia="es-ES"/>
        </w:rPr>
        <w:t>la Agencia Nacional de Contratación Pública – Colombia Compra Eficiente responde su solicitud de concepto del 25 de abril de 2025,</w:t>
      </w:r>
      <w:r w:rsidRPr="0014781E">
        <w:rPr>
          <w:rFonts w:ascii="Verdana" w:eastAsia="Calibri" w:hAnsi="Verdana" w:cs="Arial"/>
          <w:lang w:eastAsia="es-ES"/>
        </w:rPr>
        <w:t xml:space="preserve"> en la cual consulta sobre lo siguiente:</w:t>
      </w:r>
      <w:r w:rsidRPr="0014781E">
        <w:rPr>
          <w:rFonts w:ascii="Verdana" w:eastAsia="Calibri" w:hAnsi="Verdana" w:cs="Arial"/>
          <w:i/>
          <w:iCs/>
          <w:lang w:eastAsia="es-ES"/>
        </w:rPr>
        <w:t xml:space="preserve"> </w:t>
      </w:r>
      <w:bookmarkStart w:id="1" w:name="_Hlk95313578"/>
    </w:p>
    <w:p w14:paraId="2B39C40F" w14:textId="77777777" w:rsidR="009B31D6" w:rsidRPr="0014781E" w:rsidRDefault="009B31D6" w:rsidP="009B31D6">
      <w:pPr>
        <w:spacing w:after="0" w:line="276" w:lineRule="auto"/>
        <w:jc w:val="both"/>
        <w:rPr>
          <w:rFonts w:ascii="Verdana" w:eastAsia="Calibri" w:hAnsi="Verdana" w:cs="Arial"/>
          <w:i/>
          <w:iCs/>
          <w:lang w:eastAsia="es-ES"/>
        </w:rPr>
      </w:pPr>
    </w:p>
    <w:p w14:paraId="62233AC7" w14:textId="77777777" w:rsidR="009B31D6" w:rsidRPr="0014781E" w:rsidRDefault="009B31D6" w:rsidP="009B31D6">
      <w:pPr>
        <w:spacing w:after="0" w:line="240" w:lineRule="auto"/>
        <w:ind w:left="709" w:right="709"/>
        <w:jc w:val="both"/>
        <w:rPr>
          <w:rFonts w:ascii="Verdana" w:hAnsi="Verdana"/>
          <w:sz w:val="20"/>
          <w:szCs w:val="20"/>
        </w:rPr>
      </w:pPr>
      <w:r w:rsidRPr="0014781E">
        <w:rPr>
          <w:rFonts w:ascii="Verdana" w:eastAsia="Arial" w:hAnsi="Verdana" w:cs="Arial"/>
          <w:i/>
          <w:color w:val="000000"/>
          <w:sz w:val="20"/>
          <w:szCs w:val="20"/>
        </w:rPr>
        <w:t>“</w:t>
      </w:r>
      <w:bookmarkEnd w:id="1"/>
      <w:r w:rsidRPr="0014781E">
        <w:rPr>
          <w:rFonts w:ascii="Verdana" w:hAnsi="Verdana"/>
          <w:sz w:val="20"/>
          <w:szCs w:val="20"/>
        </w:rPr>
        <w:t xml:space="preserve">PRIMERO: Solicito se me brinde ¿Cuál es la normativa que respalda jurídicamente, constitucional y convencional los CONTRATOS DE PRESTACIÓN DE SERVICIOS TIPO CONVENIO ACUERDO DE VOLUNTADES? </w:t>
      </w:r>
    </w:p>
    <w:p w14:paraId="7C92E17F" w14:textId="77777777" w:rsidR="009B31D6" w:rsidRPr="0014781E" w:rsidRDefault="009B31D6" w:rsidP="009B31D6">
      <w:pPr>
        <w:spacing w:after="0" w:line="240" w:lineRule="auto"/>
        <w:ind w:left="709" w:right="709"/>
        <w:jc w:val="both"/>
        <w:rPr>
          <w:rFonts w:ascii="Verdana" w:hAnsi="Verdana"/>
          <w:sz w:val="20"/>
          <w:szCs w:val="20"/>
        </w:rPr>
      </w:pPr>
    </w:p>
    <w:p w14:paraId="29E1B2FC" w14:textId="77777777" w:rsidR="009B31D6" w:rsidRPr="0014781E" w:rsidRDefault="009B31D6" w:rsidP="009B31D6">
      <w:pPr>
        <w:spacing w:after="0" w:line="240" w:lineRule="auto"/>
        <w:ind w:left="709" w:right="709"/>
        <w:jc w:val="both"/>
        <w:rPr>
          <w:rFonts w:ascii="Verdana" w:hAnsi="Verdana"/>
          <w:sz w:val="20"/>
          <w:szCs w:val="20"/>
        </w:rPr>
      </w:pPr>
      <w:r w:rsidRPr="0014781E">
        <w:rPr>
          <w:rFonts w:ascii="Verdana" w:hAnsi="Verdana"/>
          <w:sz w:val="20"/>
          <w:szCs w:val="20"/>
        </w:rPr>
        <w:t xml:space="preserve">SEGUNDO: ¿Cuándo se hace exigible el CONTRATO DE PRESTACIÓN DE SERVICIOS TIPO CONVENIO ACUERDO DE VOLUNTADES? </w:t>
      </w:r>
    </w:p>
    <w:p w14:paraId="529C2C1C" w14:textId="77777777" w:rsidR="009B31D6" w:rsidRPr="0014781E" w:rsidRDefault="009B31D6" w:rsidP="009B31D6">
      <w:pPr>
        <w:spacing w:after="0" w:line="240" w:lineRule="auto"/>
        <w:ind w:left="709" w:right="709"/>
        <w:jc w:val="both"/>
        <w:rPr>
          <w:rFonts w:ascii="Verdana" w:hAnsi="Verdana"/>
          <w:sz w:val="20"/>
          <w:szCs w:val="20"/>
        </w:rPr>
      </w:pPr>
    </w:p>
    <w:p w14:paraId="4C5521B6" w14:textId="77777777" w:rsidR="009B31D6" w:rsidRPr="0014781E" w:rsidRDefault="009B31D6" w:rsidP="009B31D6">
      <w:pPr>
        <w:spacing w:after="0" w:line="240" w:lineRule="auto"/>
        <w:ind w:left="709" w:right="709"/>
        <w:jc w:val="both"/>
        <w:rPr>
          <w:rFonts w:ascii="Verdana" w:hAnsi="Verdana"/>
          <w:sz w:val="20"/>
          <w:szCs w:val="20"/>
        </w:rPr>
      </w:pPr>
      <w:r w:rsidRPr="0014781E">
        <w:rPr>
          <w:rFonts w:ascii="Verdana" w:hAnsi="Verdana"/>
          <w:sz w:val="20"/>
          <w:szCs w:val="20"/>
        </w:rPr>
        <w:t xml:space="preserve">TERCERO: ¿Cuándo opera el fenómeno de PRESCRIPCIÓN en los CONTRATOS DE PRESTACIÓN DE SERVICIOS TIPO CONVENIO ACUERDO DE VOLUNTADES? </w:t>
      </w:r>
    </w:p>
    <w:p w14:paraId="78FB2066" w14:textId="77777777" w:rsidR="009B31D6" w:rsidRPr="0014781E" w:rsidRDefault="009B31D6" w:rsidP="009B31D6">
      <w:pPr>
        <w:spacing w:after="0" w:line="240" w:lineRule="auto"/>
        <w:ind w:left="709" w:right="709"/>
        <w:jc w:val="both"/>
        <w:rPr>
          <w:rFonts w:ascii="Verdana" w:hAnsi="Verdana"/>
          <w:sz w:val="20"/>
          <w:szCs w:val="20"/>
        </w:rPr>
      </w:pPr>
    </w:p>
    <w:p w14:paraId="5516EEBA" w14:textId="77777777" w:rsidR="009B31D6" w:rsidRPr="0014781E" w:rsidRDefault="009B31D6" w:rsidP="009B31D6">
      <w:pPr>
        <w:spacing w:after="0" w:line="240" w:lineRule="auto"/>
        <w:ind w:left="709" w:right="709"/>
        <w:jc w:val="both"/>
        <w:rPr>
          <w:rFonts w:ascii="Verdana" w:hAnsi="Verdana"/>
          <w:sz w:val="20"/>
          <w:szCs w:val="20"/>
        </w:rPr>
      </w:pPr>
      <w:r w:rsidRPr="0014781E">
        <w:rPr>
          <w:rFonts w:ascii="Verdana" w:hAnsi="Verdana"/>
          <w:sz w:val="20"/>
          <w:szCs w:val="20"/>
        </w:rPr>
        <w:t xml:space="preserve">CUARTO: ¿Cuándo opera el fenómeno de la CADUCIDAD en los CONTRATOS DE PRESTACIÓN DE SERVICIOS TIPO CONVENIO ACUERDO DE VOLUNTADES </w:t>
      </w:r>
    </w:p>
    <w:p w14:paraId="6BD13135" w14:textId="77777777" w:rsidR="009B31D6" w:rsidRPr="0014781E" w:rsidRDefault="009B31D6" w:rsidP="009B31D6">
      <w:pPr>
        <w:spacing w:after="0" w:line="240" w:lineRule="auto"/>
        <w:ind w:left="709" w:right="709"/>
        <w:jc w:val="both"/>
        <w:rPr>
          <w:rFonts w:ascii="Verdana" w:hAnsi="Verdana"/>
          <w:sz w:val="20"/>
          <w:szCs w:val="20"/>
        </w:rPr>
      </w:pPr>
    </w:p>
    <w:p w14:paraId="53599DB6" w14:textId="77777777" w:rsidR="009B31D6" w:rsidRPr="0014781E" w:rsidRDefault="009B31D6" w:rsidP="009B31D6">
      <w:pPr>
        <w:spacing w:after="0" w:line="240" w:lineRule="auto"/>
        <w:ind w:left="709" w:right="709"/>
        <w:jc w:val="both"/>
        <w:rPr>
          <w:rFonts w:ascii="Verdana" w:hAnsi="Verdana"/>
          <w:sz w:val="20"/>
          <w:szCs w:val="20"/>
        </w:rPr>
      </w:pPr>
      <w:r w:rsidRPr="0014781E">
        <w:rPr>
          <w:rFonts w:ascii="Verdana" w:hAnsi="Verdana"/>
          <w:sz w:val="20"/>
          <w:szCs w:val="20"/>
        </w:rPr>
        <w:t xml:space="preserve">QUINTO: ¿Qué derechos y obligaciones se adquieren entre las partes que celebran un CONTRATO DE PRESTACIÓN DE SERVICIOS TIPO CONVENIO ACUERDO DE VOLUNTADES? </w:t>
      </w:r>
    </w:p>
    <w:p w14:paraId="300438D8" w14:textId="77777777" w:rsidR="009B31D6" w:rsidRPr="0014781E" w:rsidRDefault="009B31D6" w:rsidP="009B31D6">
      <w:pPr>
        <w:spacing w:after="0" w:line="240" w:lineRule="auto"/>
        <w:ind w:left="709" w:right="709"/>
        <w:jc w:val="both"/>
        <w:rPr>
          <w:rFonts w:ascii="Verdana" w:hAnsi="Verdana"/>
          <w:sz w:val="20"/>
          <w:szCs w:val="20"/>
        </w:rPr>
      </w:pPr>
    </w:p>
    <w:p w14:paraId="2D057543" w14:textId="77777777" w:rsidR="009B31D6" w:rsidRPr="0014781E" w:rsidRDefault="009B31D6" w:rsidP="009B31D6">
      <w:pPr>
        <w:spacing w:after="0" w:line="240" w:lineRule="auto"/>
        <w:ind w:left="709" w:right="709"/>
        <w:jc w:val="both"/>
        <w:rPr>
          <w:rFonts w:ascii="Verdana" w:hAnsi="Verdana"/>
          <w:sz w:val="20"/>
          <w:szCs w:val="20"/>
        </w:rPr>
      </w:pPr>
      <w:r w:rsidRPr="0014781E">
        <w:rPr>
          <w:rFonts w:ascii="Verdana" w:hAnsi="Verdana"/>
          <w:sz w:val="20"/>
          <w:szCs w:val="20"/>
        </w:rPr>
        <w:t xml:space="preserve">SEXTO: ¿Cuál es la duración del CONTRATO DE PRESTACIÓN DE SERVICIOS TIPO CONVENIO ACUERDO DE VOLUNTADES? </w:t>
      </w:r>
    </w:p>
    <w:p w14:paraId="4570470F" w14:textId="77777777" w:rsidR="009B31D6" w:rsidRPr="0014781E" w:rsidRDefault="009B31D6" w:rsidP="009B31D6">
      <w:pPr>
        <w:spacing w:after="0" w:line="240" w:lineRule="auto"/>
        <w:ind w:left="709" w:right="709"/>
        <w:jc w:val="both"/>
        <w:rPr>
          <w:rFonts w:ascii="Verdana" w:hAnsi="Verdana"/>
          <w:sz w:val="20"/>
          <w:szCs w:val="20"/>
        </w:rPr>
      </w:pPr>
    </w:p>
    <w:p w14:paraId="7F62DB5E" w14:textId="77777777" w:rsidR="009B31D6" w:rsidRPr="0014781E" w:rsidRDefault="009B31D6" w:rsidP="009B31D6">
      <w:pPr>
        <w:spacing w:after="0" w:line="240" w:lineRule="auto"/>
        <w:ind w:left="709" w:right="709"/>
        <w:jc w:val="both"/>
        <w:rPr>
          <w:rFonts w:ascii="Verdana" w:hAnsi="Verdana"/>
          <w:sz w:val="20"/>
          <w:szCs w:val="20"/>
        </w:rPr>
      </w:pPr>
      <w:r w:rsidRPr="0014781E">
        <w:rPr>
          <w:rFonts w:ascii="Verdana" w:hAnsi="Verdana"/>
          <w:sz w:val="20"/>
          <w:szCs w:val="20"/>
        </w:rPr>
        <w:t xml:space="preserve">SEPTIMO: ¿Qué se entiende por CONTRATO DE PRESTACIÓN DE SERVICIOS TIPO CONVENIO ACUERDO DE VOLUNTADES a término indefinido? </w:t>
      </w:r>
    </w:p>
    <w:p w14:paraId="0E86ABF3" w14:textId="77777777" w:rsidR="009B31D6" w:rsidRPr="0014781E" w:rsidRDefault="009B31D6" w:rsidP="009B31D6">
      <w:pPr>
        <w:spacing w:after="0" w:line="240" w:lineRule="auto"/>
        <w:ind w:left="709" w:right="709"/>
        <w:jc w:val="both"/>
        <w:rPr>
          <w:rFonts w:ascii="Verdana" w:hAnsi="Verdana"/>
          <w:sz w:val="20"/>
          <w:szCs w:val="20"/>
        </w:rPr>
      </w:pPr>
    </w:p>
    <w:p w14:paraId="5F7F340F" w14:textId="77777777" w:rsidR="009B31D6" w:rsidRPr="0014781E" w:rsidRDefault="009B31D6" w:rsidP="009B31D6">
      <w:pPr>
        <w:spacing w:after="0" w:line="240" w:lineRule="auto"/>
        <w:ind w:left="709" w:right="709"/>
        <w:jc w:val="both"/>
        <w:rPr>
          <w:rFonts w:ascii="Verdana" w:hAnsi="Verdana"/>
          <w:sz w:val="20"/>
          <w:szCs w:val="20"/>
        </w:rPr>
      </w:pPr>
      <w:r w:rsidRPr="0014781E">
        <w:rPr>
          <w:rFonts w:ascii="Verdana" w:hAnsi="Verdana"/>
          <w:sz w:val="20"/>
          <w:szCs w:val="20"/>
        </w:rPr>
        <w:t>OCTAVO: ¿Cuándo se debe liquidar o iniciar con la elaboración del paz y salvo en el CONTRATO DE PRESTACIÓN DE SERVICIOS TIPO CONVENIO ACUERDO DE VOLUNTADES.?</w:t>
      </w:r>
    </w:p>
    <w:p w14:paraId="2DFD18CA" w14:textId="77777777" w:rsidR="009B31D6" w:rsidRPr="0014781E" w:rsidRDefault="009B31D6" w:rsidP="009B31D6">
      <w:pPr>
        <w:spacing w:after="0" w:line="240" w:lineRule="auto"/>
        <w:ind w:left="709" w:right="709"/>
        <w:jc w:val="both"/>
        <w:rPr>
          <w:rFonts w:ascii="Verdana" w:hAnsi="Verdana"/>
          <w:sz w:val="20"/>
          <w:szCs w:val="20"/>
        </w:rPr>
      </w:pPr>
    </w:p>
    <w:p w14:paraId="61ACC217" w14:textId="77777777" w:rsidR="009B31D6" w:rsidRPr="0014781E" w:rsidRDefault="009B31D6" w:rsidP="009B31D6">
      <w:pPr>
        <w:spacing w:after="0" w:line="240" w:lineRule="auto"/>
        <w:ind w:left="709" w:right="709"/>
        <w:jc w:val="both"/>
        <w:rPr>
          <w:rFonts w:ascii="Verdana" w:hAnsi="Verdana"/>
          <w:sz w:val="20"/>
          <w:szCs w:val="20"/>
        </w:rPr>
      </w:pPr>
      <w:r w:rsidRPr="0014781E">
        <w:rPr>
          <w:rFonts w:ascii="Verdana" w:hAnsi="Verdana"/>
          <w:sz w:val="20"/>
          <w:szCs w:val="20"/>
        </w:rPr>
        <w:t xml:space="preserve"> NOVENO: ¿Cuál es el término de presentar la demanda? y ¿Cuál es la figura jurídica que respalda la garantía o reparación del incumplimiento del CONTRATO DE PRESTACIÓN DE SERVICIOS TIPO CONVENIO ACUERDO DE VOLUNTADES?”</w:t>
      </w:r>
    </w:p>
    <w:p w14:paraId="3B9EDBD9" w14:textId="77777777" w:rsidR="009B31D6" w:rsidRPr="0014781E" w:rsidRDefault="009B31D6" w:rsidP="009B31D6">
      <w:pPr>
        <w:spacing w:after="0" w:line="276" w:lineRule="auto"/>
        <w:ind w:left="709" w:right="709"/>
        <w:jc w:val="both"/>
      </w:pPr>
    </w:p>
    <w:p w14:paraId="5864F876" w14:textId="77777777" w:rsidR="009B31D6" w:rsidRPr="0014781E" w:rsidRDefault="009B31D6" w:rsidP="009B31D6">
      <w:pPr>
        <w:spacing w:after="120" w:line="276" w:lineRule="auto"/>
        <w:ind w:firstLine="709"/>
        <w:jc w:val="both"/>
        <w:rPr>
          <w:rFonts w:ascii="Verdana" w:eastAsia="Calibri" w:hAnsi="Verdana" w:cs="Arial"/>
          <w:color w:val="000000"/>
          <w:lang w:eastAsia="es-ES"/>
        </w:rPr>
      </w:pPr>
      <w:r w:rsidRPr="0014781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14781E">
        <w:rPr>
          <w:rFonts w:ascii="Verdana" w:eastAsia="Calibri" w:hAnsi="Verdana" w:cs="Arial"/>
          <w:color w:val="000000"/>
          <w:lang w:eastAsia="es-ES"/>
        </w:rPr>
        <w:lastRenderedPageBreak/>
        <w:t xml:space="preserve">interpretación de normas generales, por definición, no puede extenderse a la resolución de controversias ni a brindar asesorías sobre casos puntuales. </w:t>
      </w:r>
      <w:r w:rsidRPr="0014781E">
        <w:rPr>
          <w:rFonts w:ascii="Verdana" w:eastAsia="Calibri" w:hAnsi="Verdana" w:cs="Arial"/>
          <w:color w:val="000000"/>
          <w:szCs w:val="24"/>
          <w:lang w:eastAsia="es-ES_tradnl"/>
        </w:rPr>
        <w:tab/>
      </w:r>
    </w:p>
    <w:p w14:paraId="349C9E89" w14:textId="77777777" w:rsidR="009B31D6" w:rsidRPr="0014781E" w:rsidRDefault="009B31D6" w:rsidP="009B31D6">
      <w:pPr>
        <w:spacing w:after="0" w:line="276" w:lineRule="auto"/>
        <w:ind w:firstLine="709"/>
        <w:jc w:val="both"/>
        <w:rPr>
          <w:rFonts w:ascii="Verdana" w:eastAsia="Calibri" w:hAnsi="Verdana" w:cs="Arial"/>
          <w:color w:val="000000"/>
          <w:lang w:eastAsia="es-ES"/>
        </w:rPr>
      </w:pPr>
      <w:r w:rsidRPr="0014781E">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14781E">
        <w:rPr>
          <w:rFonts w:ascii="Verdana" w:eastAsia="Calibri" w:hAnsi="Verdana" w:cs="Arial"/>
          <w:color w:val="7030A0"/>
          <w:lang w:eastAsia="es-ES"/>
        </w:rPr>
        <w:t xml:space="preserve"> </w:t>
      </w:r>
      <w:r w:rsidRPr="0014781E">
        <w:rPr>
          <w:rFonts w:ascii="Verdana" w:eastAsia="Calibri" w:hAnsi="Verdana" w:cs="Arial"/>
          <w:color w:val="000000"/>
          <w:lang w:eastAsia="es-ES"/>
        </w:rPr>
        <w:t>problemas</w:t>
      </w:r>
      <w:r w:rsidRPr="0014781E">
        <w:rPr>
          <w:rFonts w:ascii="Verdana" w:eastAsia="Calibri" w:hAnsi="Verdana" w:cs="Arial"/>
          <w:color w:val="7030A0"/>
          <w:lang w:eastAsia="es-ES"/>
        </w:rPr>
        <w:t xml:space="preserve"> </w:t>
      </w:r>
      <w:r w:rsidRPr="0014781E">
        <w:rPr>
          <w:rFonts w:ascii="Verdana" w:eastAsia="Calibri" w:hAnsi="Verdana" w:cs="Arial"/>
          <w:color w:val="000000"/>
          <w:lang w:eastAsia="es-ES"/>
        </w:rPr>
        <w:t>jurídicos</w:t>
      </w:r>
      <w:r w:rsidRPr="0014781E">
        <w:rPr>
          <w:rFonts w:ascii="Verdana" w:eastAsia="Calibri" w:hAnsi="Verdana" w:cs="Arial"/>
          <w:color w:val="7030A0"/>
          <w:lang w:eastAsia="es-ES"/>
        </w:rPr>
        <w:t xml:space="preserve"> </w:t>
      </w:r>
      <w:r w:rsidRPr="0014781E">
        <w:rPr>
          <w:rFonts w:ascii="Verdana" w:eastAsia="Calibri" w:hAnsi="Verdana" w:cs="Arial"/>
          <w:color w:val="000000"/>
          <w:lang w:eastAsia="es-ES"/>
        </w:rPr>
        <w:t xml:space="preserve">de su consulta. </w:t>
      </w:r>
    </w:p>
    <w:p w14:paraId="777AB52C" w14:textId="77777777" w:rsidR="009B31D6" w:rsidRPr="0014781E" w:rsidRDefault="009B31D6" w:rsidP="009B31D6">
      <w:pPr>
        <w:spacing w:after="0" w:line="276" w:lineRule="auto"/>
        <w:ind w:firstLine="709"/>
        <w:jc w:val="both"/>
        <w:rPr>
          <w:rFonts w:ascii="Verdana" w:eastAsia="Calibri" w:hAnsi="Verdana" w:cs="Arial"/>
          <w:color w:val="000000"/>
          <w:lang w:eastAsia="es-ES"/>
        </w:rPr>
      </w:pPr>
    </w:p>
    <w:p w14:paraId="39855D29" w14:textId="77777777" w:rsidR="009B31D6" w:rsidRPr="0014781E" w:rsidRDefault="009B31D6" w:rsidP="009B31D6">
      <w:pPr>
        <w:numPr>
          <w:ilvl w:val="0"/>
          <w:numId w:val="1"/>
        </w:numPr>
        <w:tabs>
          <w:tab w:val="left" w:pos="142"/>
          <w:tab w:val="left" w:pos="284"/>
        </w:tabs>
        <w:spacing w:after="0" w:line="276" w:lineRule="auto"/>
        <w:jc w:val="both"/>
        <w:rPr>
          <w:rFonts w:ascii="Verdana" w:eastAsia="Century Gothic" w:hAnsi="Verdana" w:cs="Century Gothic"/>
          <w:b/>
          <w:bCs/>
        </w:rPr>
      </w:pPr>
      <w:r w:rsidRPr="0014781E">
        <w:rPr>
          <w:rFonts w:ascii="Verdana" w:eastAsia="Century Gothic" w:hAnsi="Verdana" w:cs="Century Gothic"/>
          <w:b/>
          <w:bCs/>
        </w:rPr>
        <w:t>Problemas planteados:</w:t>
      </w:r>
    </w:p>
    <w:p w14:paraId="4C53B141" w14:textId="77777777" w:rsidR="009B31D6" w:rsidRPr="0014781E" w:rsidRDefault="009B31D6" w:rsidP="009B31D6">
      <w:pPr>
        <w:tabs>
          <w:tab w:val="left" w:pos="426"/>
        </w:tabs>
        <w:spacing w:after="0" w:line="276" w:lineRule="auto"/>
        <w:jc w:val="both"/>
        <w:rPr>
          <w:rFonts w:ascii="Verdana" w:eastAsia="Century Gothic" w:hAnsi="Verdana" w:cs="Century Gothic"/>
        </w:rPr>
      </w:pPr>
    </w:p>
    <w:p w14:paraId="41C3EFC4" w14:textId="77777777" w:rsidR="009B31D6" w:rsidRPr="0014781E" w:rsidRDefault="009B31D6" w:rsidP="009B31D6">
      <w:pPr>
        <w:spacing w:after="0" w:line="276" w:lineRule="auto"/>
        <w:jc w:val="both"/>
        <w:rPr>
          <w:rFonts w:ascii="Verdana" w:eastAsia="Century Gothic" w:hAnsi="Verdana" w:cs="Century Gothic"/>
        </w:rPr>
      </w:pPr>
      <w:r w:rsidRPr="0014781E">
        <w:rPr>
          <w:rFonts w:ascii="Verdana" w:eastAsia="Century Gothic" w:hAnsi="Verdana" w:cs="Century Gothic"/>
        </w:rPr>
        <w:t>De acuerdo con el contenido de su solicitud, esta Agencia resolverá el siguiente problema jurídico: ¿Cuál es el marco jurídico de los contratos de prestación de servicios?</w:t>
      </w:r>
    </w:p>
    <w:p w14:paraId="14D2144A" w14:textId="77777777" w:rsidR="009B31D6" w:rsidRPr="0014781E" w:rsidRDefault="009B31D6" w:rsidP="009B31D6">
      <w:pPr>
        <w:spacing w:after="0" w:line="276" w:lineRule="auto"/>
        <w:jc w:val="both"/>
        <w:rPr>
          <w:rFonts w:ascii="Verdana" w:eastAsia="Calibri" w:hAnsi="Verdana" w:cs="Arial"/>
          <w:color w:val="7030A0"/>
        </w:rPr>
      </w:pPr>
    </w:p>
    <w:p w14:paraId="5A610571" w14:textId="77777777" w:rsidR="009B31D6" w:rsidRPr="0014781E" w:rsidRDefault="009B31D6" w:rsidP="009B31D6">
      <w:pPr>
        <w:numPr>
          <w:ilvl w:val="0"/>
          <w:numId w:val="1"/>
        </w:numPr>
        <w:tabs>
          <w:tab w:val="left" w:pos="142"/>
          <w:tab w:val="left" w:pos="284"/>
        </w:tabs>
        <w:spacing w:after="0" w:line="276" w:lineRule="auto"/>
        <w:jc w:val="both"/>
        <w:rPr>
          <w:rFonts w:ascii="Verdana" w:eastAsia="Century Gothic" w:hAnsi="Verdana" w:cs="Century Gothic"/>
          <w:b/>
          <w:bCs/>
        </w:rPr>
      </w:pPr>
      <w:r w:rsidRPr="0014781E">
        <w:rPr>
          <w:rFonts w:ascii="Verdana" w:eastAsia="Century Gothic" w:hAnsi="Verdana" w:cs="Century Gothic"/>
          <w:b/>
          <w:bCs/>
        </w:rPr>
        <w:t>Respuestas:</w:t>
      </w:r>
    </w:p>
    <w:p w14:paraId="571AA07B" w14:textId="77777777" w:rsidR="009B31D6" w:rsidRPr="0014781E" w:rsidRDefault="009B31D6" w:rsidP="009B31D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B31D6" w:rsidRPr="0014781E" w14:paraId="7B13EEE5" w14:textId="77777777" w:rsidTr="000A2669">
        <w:trPr>
          <w:trHeight w:val="977"/>
          <w:jc w:val="center"/>
        </w:trPr>
        <w:tc>
          <w:tcPr>
            <w:tcW w:w="8828" w:type="dxa"/>
            <w:shd w:val="clear" w:color="auto" w:fill="auto"/>
          </w:tcPr>
          <w:p w14:paraId="338B861F" w14:textId="77777777" w:rsidR="009B31D6" w:rsidRPr="0014781E" w:rsidRDefault="009B31D6" w:rsidP="000A2669">
            <w:pPr>
              <w:spacing w:line="276" w:lineRule="auto"/>
              <w:jc w:val="both"/>
              <w:rPr>
                <w:rFonts w:ascii="Verdana" w:eastAsia="Calibri" w:hAnsi="Verdana" w:cs="Arial"/>
                <w:color w:val="000000"/>
              </w:rPr>
            </w:pPr>
            <w:bookmarkStart w:id="2" w:name="_Hlk171694685"/>
            <w:r w:rsidRPr="0014781E">
              <w:rPr>
                <w:rFonts w:ascii="Verdana" w:eastAsia="Calibri" w:hAnsi="Verdana" w:cs="Arial"/>
                <w:lang w:eastAsia="es-CO"/>
              </w:rPr>
              <w:t xml:space="preserve">De conformidad con </w:t>
            </w:r>
            <w:r w:rsidRPr="0014781E">
              <w:rPr>
                <w:rFonts w:ascii="Verdana" w:eastAsia="Calibri" w:hAnsi="Verdana" w:cs="Arial"/>
                <w:color w:val="000000"/>
              </w:rPr>
              <w:t>el numeral 3º del artículo 32 de la Ley 80 de 1993, el contrato de prestación de servicios es uno de los tipos contractuales consagrados en el Estatuto General de Contratación de la Administración Pública, que pueden celebrar las entidades estatales. A partir de este enunciado normativo, así como de otros, de carácter legal y reglamentario, que complementan su regulación, y de los pronunciamientos judiciales más destacados sobre el tema, es posible señalar las siguientes características del contrato de prestación de servicios que comprenden el marco jurídico aplicable:</w:t>
            </w:r>
          </w:p>
          <w:p w14:paraId="0AA51B45" w14:textId="77777777" w:rsidR="009B31D6" w:rsidRPr="0014781E" w:rsidRDefault="009B31D6" w:rsidP="000A2669">
            <w:pPr>
              <w:spacing w:before="120" w:after="120" w:line="276" w:lineRule="auto"/>
              <w:ind w:firstLine="709"/>
              <w:jc w:val="both"/>
              <w:rPr>
                <w:rFonts w:ascii="Verdana" w:eastAsia="Calibri" w:hAnsi="Verdana" w:cs="Arial"/>
                <w:color w:val="000000"/>
              </w:rPr>
            </w:pPr>
            <w:r w:rsidRPr="0014781E">
              <w:rPr>
                <w:rFonts w:ascii="Verdana" w:eastAsia="Calibri" w:hAnsi="Verdana" w:cs="Arial"/>
                <w:color w:val="000000"/>
              </w:rPr>
              <w:t xml:space="preserve">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w:t>
            </w:r>
            <w:r w:rsidRPr="0014781E">
              <w:rPr>
                <w:rFonts w:ascii="Verdana" w:eastAsia="Calibri" w:hAnsi="Verdana" w:cs="Arial"/>
                <w:iCs/>
                <w:color w:val="000000"/>
              </w:rPr>
              <w:t xml:space="preserve">prestación de servicios, se incluyen </w:t>
            </w:r>
            <w:r w:rsidRPr="0014781E">
              <w:rPr>
                <w:rFonts w:ascii="Verdana" w:eastAsia="Calibri" w:hAnsi="Verdana" w:cs="Arial"/>
                <w:iCs/>
                <w:color w:val="000000"/>
                <w:lang w:val="es-ES_tradnl"/>
              </w:rPr>
              <w:t xml:space="preserve">los contratos de prestación de servicios profesionales, los contratos de prestación de servicios apoyo a la gestión y los contratos de prestación de </w:t>
            </w:r>
            <w:r w:rsidRPr="0014781E">
              <w:rPr>
                <w:rFonts w:ascii="Verdana" w:eastAsia="Calibri" w:hAnsi="Verdana" w:cs="Arial"/>
                <w:iCs/>
                <w:color w:val="000000"/>
                <w:lang w:val="es-ES_tradnl"/>
              </w:rPr>
              <w:lastRenderedPageBreak/>
              <w:t xml:space="preserve">servicios artísticos que solo pueden encomendarse a determinadas personas naturales; </w:t>
            </w:r>
            <w:r w:rsidRPr="0014781E">
              <w:rPr>
                <w:rFonts w:ascii="Verdana" w:eastAsia="Calibri" w:hAnsi="Verdana" w:cs="Arial"/>
                <w:color w:val="000000"/>
              </w:rPr>
              <w:t xml:space="preserve">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  </w:t>
            </w:r>
          </w:p>
        </w:tc>
      </w:tr>
    </w:tbl>
    <w:p w14:paraId="46C0B64F" w14:textId="77777777" w:rsidR="009B31D6" w:rsidRPr="0014781E" w:rsidRDefault="009B31D6" w:rsidP="009B31D6">
      <w:pPr>
        <w:tabs>
          <w:tab w:val="left" w:pos="142"/>
          <w:tab w:val="left" w:pos="284"/>
        </w:tabs>
        <w:spacing w:after="0" w:line="276" w:lineRule="auto"/>
        <w:jc w:val="both"/>
        <w:rPr>
          <w:rFonts w:ascii="Verdana" w:eastAsia="Century Gothic" w:hAnsi="Verdana" w:cs="Century Gothic"/>
          <w:b/>
          <w:bCs/>
        </w:rPr>
      </w:pPr>
    </w:p>
    <w:bookmarkEnd w:id="2"/>
    <w:p w14:paraId="6A1EDCEC" w14:textId="77777777" w:rsidR="009B31D6" w:rsidRPr="0014781E" w:rsidRDefault="009B31D6" w:rsidP="009B31D6">
      <w:pPr>
        <w:numPr>
          <w:ilvl w:val="0"/>
          <w:numId w:val="1"/>
        </w:numPr>
        <w:tabs>
          <w:tab w:val="left" w:pos="142"/>
          <w:tab w:val="left" w:pos="284"/>
        </w:tabs>
        <w:spacing w:after="0" w:line="276" w:lineRule="auto"/>
        <w:jc w:val="both"/>
        <w:rPr>
          <w:rFonts w:ascii="Verdana" w:eastAsia="Century Gothic" w:hAnsi="Verdana" w:cs="Century Gothic"/>
          <w:b/>
          <w:bCs/>
        </w:rPr>
      </w:pPr>
      <w:r w:rsidRPr="0014781E">
        <w:rPr>
          <w:rFonts w:ascii="Verdana" w:eastAsia="Century Gothic" w:hAnsi="Verdana" w:cs="Century Gothic"/>
          <w:b/>
          <w:bCs/>
        </w:rPr>
        <w:t>Razones de las respuestas:</w:t>
      </w:r>
    </w:p>
    <w:p w14:paraId="3D0E3CF9" w14:textId="77777777" w:rsidR="009B31D6" w:rsidRPr="0014781E" w:rsidRDefault="009B31D6" w:rsidP="009B31D6">
      <w:pPr>
        <w:spacing w:after="0" w:line="276" w:lineRule="auto"/>
        <w:jc w:val="both"/>
        <w:rPr>
          <w:rFonts w:ascii="Verdana" w:eastAsia="Calibri" w:hAnsi="Verdana" w:cs="Arial"/>
          <w:color w:val="7030A0"/>
        </w:rPr>
      </w:pPr>
    </w:p>
    <w:p w14:paraId="6646043B" w14:textId="77777777" w:rsidR="009B31D6" w:rsidRPr="0014781E" w:rsidRDefault="009B31D6" w:rsidP="009B31D6">
      <w:pPr>
        <w:spacing w:after="0" w:line="276" w:lineRule="auto"/>
        <w:jc w:val="both"/>
        <w:rPr>
          <w:rFonts w:ascii="Verdana" w:eastAsia="Calibri" w:hAnsi="Verdana" w:cs="Arial"/>
        </w:rPr>
      </w:pPr>
      <w:r w:rsidRPr="0014781E">
        <w:rPr>
          <w:rFonts w:ascii="Verdana" w:eastAsia="Calibri" w:hAnsi="Verdana" w:cs="Arial"/>
        </w:rPr>
        <w:t>Lo anterior se sustenta en las siguientes consideraciones:</w:t>
      </w:r>
    </w:p>
    <w:p w14:paraId="271D3B3A" w14:textId="77777777" w:rsidR="009B31D6" w:rsidRPr="0014781E" w:rsidRDefault="009B31D6" w:rsidP="009B31D6">
      <w:pPr>
        <w:spacing w:after="0" w:line="276" w:lineRule="auto"/>
        <w:jc w:val="both"/>
        <w:rPr>
          <w:rFonts w:ascii="Verdana" w:eastAsia="Calibri" w:hAnsi="Verdana" w:cs="Arial"/>
        </w:rPr>
      </w:pPr>
    </w:p>
    <w:p w14:paraId="2775FA36" w14:textId="77777777" w:rsidR="009B31D6" w:rsidRPr="0014781E" w:rsidRDefault="009B31D6" w:rsidP="009B31D6">
      <w:pPr>
        <w:spacing w:after="0" w:line="276" w:lineRule="auto"/>
        <w:jc w:val="both"/>
        <w:rPr>
          <w:rFonts w:ascii="Verdana" w:eastAsia="Calibri" w:hAnsi="Verdana" w:cs="Arial"/>
          <w:color w:val="000000"/>
        </w:rPr>
      </w:pPr>
      <w:r w:rsidRPr="0014781E">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740CB0CC" w14:textId="77777777" w:rsidR="009B31D6" w:rsidRPr="0014781E" w:rsidRDefault="009B31D6" w:rsidP="009B31D6">
      <w:pPr>
        <w:spacing w:after="0" w:line="276" w:lineRule="auto"/>
        <w:jc w:val="both"/>
        <w:rPr>
          <w:rFonts w:ascii="Verdana" w:eastAsia="Calibri" w:hAnsi="Verdana" w:cs="Arial"/>
          <w:color w:val="000000"/>
        </w:rPr>
      </w:pPr>
    </w:p>
    <w:p w14:paraId="25E77161"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r w:rsidRPr="0014781E">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3AF5660A"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p>
    <w:p w14:paraId="73585244"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r w:rsidRPr="0014781E">
        <w:rPr>
          <w:rFonts w:ascii="Verdana" w:eastAsia="Calibri" w:hAnsi="Verdana" w:cs="Arial"/>
          <w:color w:val="000000"/>
          <w:sz w:val="20"/>
          <w:szCs w:val="20"/>
        </w:rPr>
        <w:t>En ningún caso estos contratos generan relación laboral ni prestaciones sociales y se celebrarán por el término estrictamente indispensable.</w:t>
      </w:r>
    </w:p>
    <w:p w14:paraId="1E58E33B" w14:textId="77777777" w:rsidR="009B31D6" w:rsidRPr="0014781E" w:rsidRDefault="009B31D6" w:rsidP="009B31D6">
      <w:pPr>
        <w:tabs>
          <w:tab w:val="left" w:pos="284"/>
        </w:tabs>
        <w:spacing w:after="0" w:line="276" w:lineRule="auto"/>
        <w:contextualSpacing/>
        <w:jc w:val="both"/>
        <w:rPr>
          <w:rFonts w:ascii="Verdana" w:eastAsia="Calibri" w:hAnsi="Verdana" w:cs="Arial"/>
          <w:b/>
          <w:color w:val="000000"/>
        </w:rPr>
      </w:pPr>
    </w:p>
    <w:p w14:paraId="531210E5" w14:textId="77777777" w:rsidR="009B31D6" w:rsidRPr="0014781E" w:rsidRDefault="009B31D6" w:rsidP="009B31D6">
      <w:pPr>
        <w:spacing w:after="0" w:line="276" w:lineRule="auto"/>
        <w:ind w:firstLine="709"/>
        <w:jc w:val="both"/>
        <w:rPr>
          <w:rFonts w:ascii="Verdana" w:eastAsia="Calibri" w:hAnsi="Verdana" w:cs="Arial"/>
          <w:color w:val="000000"/>
        </w:rPr>
      </w:pPr>
      <w:r w:rsidRPr="0014781E">
        <w:rPr>
          <w:rFonts w:ascii="Verdana" w:eastAsia="Calibri" w:hAnsi="Verdana" w:cs="Arial"/>
          <w:color w:val="000000"/>
        </w:rPr>
        <w:t>De otro lado, la celebración de dicho contrato debe efectuarse mediante la modalidad de la contratación directa. Así lo prevé el artículo 2, numeral 4º, literal h) de la Ley 1150 de 2007, que dispone:</w:t>
      </w:r>
    </w:p>
    <w:p w14:paraId="771EFF73" w14:textId="77777777" w:rsidR="009B31D6" w:rsidRPr="0014781E" w:rsidRDefault="009B31D6" w:rsidP="009B31D6">
      <w:pPr>
        <w:spacing w:after="0" w:line="276" w:lineRule="auto"/>
        <w:ind w:firstLine="709"/>
        <w:jc w:val="both"/>
        <w:rPr>
          <w:rFonts w:ascii="Verdana" w:eastAsia="Calibri" w:hAnsi="Verdana" w:cs="Arial"/>
          <w:color w:val="000000"/>
        </w:rPr>
      </w:pPr>
    </w:p>
    <w:p w14:paraId="7B3ACBF2"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r w:rsidRPr="0014781E">
        <w:rPr>
          <w:rFonts w:ascii="Verdana" w:eastAsia="Calibri" w:hAnsi="Verdana" w:cs="Arial"/>
          <w:color w:val="000000"/>
          <w:sz w:val="20"/>
          <w:szCs w:val="20"/>
        </w:rPr>
        <w:t>[…]</w:t>
      </w:r>
    </w:p>
    <w:p w14:paraId="19AEF5C8"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r w:rsidRPr="0014781E">
        <w:rPr>
          <w:rFonts w:ascii="Verdana" w:eastAsia="Calibri" w:hAnsi="Verdana" w:cs="Arial"/>
          <w:color w:val="000000"/>
          <w:sz w:val="20"/>
          <w:szCs w:val="20"/>
        </w:rPr>
        <w:t>Contratación directa. La modalidad de selección de contratación directa, solamente procederá en los siguientes casos:</w:t>
      </w:r>
    </w:p>
    <w:p w14:paraId="6817BEAA"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p>
    <w:p w14:paraId="71FA64C2"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r w:rsidRPr="0014781E">
        <w:rPr>
          <w:rFonts w:ascii="Verdana" w:eastAsia="Calibri" w:hAnsi="Verdana" w:cs="Arial"/>
          <w:color w:val="000000"/>
          <w:sz w:val="20"/>
          <w:szCs w:val="20"/>
        </w:rPr>
        <w:t>[…]</w:t>
      </w:r>
    </w:p>
    <w:p w14:paraId="2DF860FC"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r w:rsidRPr="0014781E">
        <w:rPr>
          <w:rFonts w:ascii="Verdana" w:eastAsia="Calibri" w:hAnsi="Verdana" w:cs="Arial"/>
          <w:color w:val="000000"/>
          <w:sz w:val="20"/>
          <w:szCs w:val="20"/>
        </w:rPr>
        <w:lastRenderedPageBreak/>
        <w:t>h) Para la prestación de servicios profesionales y de apoyo a la gestión, o para la ejecución de trabajos artísticos que sólo puedan encomendarse a determinadas personas naturales;</w:t>
      </w:r>
    </w:p>
    <w:p w14:paraId="2CAD7CCA" w14:textId="77777777" w:rsidR="009B31D6" w:rsidRPr="0014781E" w:rsidRDefault="009B31D6" w:rsidP="009B31D6">
      <w:pPr>
        <w:spacing w:after="0" w:line="240" w:lineRule="auto"/>
        <w:ind w:right="709"/>
        <w:jc w:val="both"/>
        <w:rPr>
          <w:rFonts w:ascii="Verdana" w:eastAsia="Calibri" w:hAnsi="Verdana" w:cs="Arial"/>
          <w:color w:val="000000"/>
          <w:sz w:val="20"/>
          <w:szCs w:val="20"/>
        </w:rPr>
      </w:pPr>
    </w:p>
    <w:p w14:paraId="169911AD" w14:textId="77777777" w:rsidR="009B31D6" w:rsidRPr="0014781E" w:rsidRDefault="009B31D6" w:rsidP="009B31D6">
      <w:pPr>
        <w:spacing w:after="0" w:line="276" w:lineRule="auto"/>
        <w:ind w:firstLine="709"/>
        <w:jc w:val="both"/>
        <w:rPr>
          <w:rFonts w:ascii="Verdana" w:eastAsia="Calibri" w:hAnsi="Verdana" w:cs="Arial"/>
          <w:color w:val="000000"/>
        </w:rPr>
      </w:pPr>
      <w:r w:rsidRPr="0014781E">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0947C77C" w14:textId="77777777" w:rsidR="009B31D6" w:rsidRPr="0014781E" w:rsidRDefault="009B31D6" w:rsidP="009B31D6">
      <w:pPr>
        <w:spacing w:before="120" w:after="120" w:line="276" w:lineRule="auto"/>
        <w:ind w:firstLine="709"/>
        <w:jc w:val="both"/>
        <w:rPr>
          <w:rFonts w:ascii="Verdana" w:eastAsia="Calibri" w:hAnsi="Verdana" w:cs="Arial"/>
          <w:color w:val="000000"/>
        </w:rPr>
      </w:pPr>
      <w:r w:rsidRPr="0014781E">
        <w:rPr>
          <w:rFonts w:ascii="Verdana" w:eastAsia="Calibri" w:hAnsi="Verdana" w:cs="Arial"/>
          <w:color w:val="000000"/>
        </w:rPr>
        <w:t>a) Solo puede celebrarse para realizar “actividades relacionadas con la administración o funcionamiento de la entidad”, es decir, que hagan parte de su giro ordinario o quehacer cotidiano.</w:t>
      </w:r>
    </w:p>
    <w:p w14:paraId="21BC84EA" w14:textId="77777777" w:rsidR="009B31D6" w:rsidRPr="0014781E" w:rsidRDefault="009B31D6" w:rsidP="009B31D6">
      <w:pPr>
        <w:spacing w:before="120" w:after="120" w:line="276" w:lineRule="auto"/>
        <w:ind w:firstLine="709"/>
        <w:jc w:val="both"/>
        <w:rPr>
          <w:rFonts w:ascii="Verdana" w:eastAsia="Calibri" w:hAnsi="Verdana" w:cs="Arial"/>
          <w:color w:val="000000"/>
        </w:rPr>
      </w:pPr>
      <w:r w:rsidRPr="0014781E">
        <w:rPr>
          <w:rFonts w:ascii="Verdana" w:eastAsia="Calibri" w:hAnsi="Verdana" w:cs="Arial"/>
          <w:color w:val="00000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5843C692" w14:textId="77777777" w:rsidR="009B31D6" w:rsidRPr="0014781E" w:rsidRDefault="009B31D6" w:rsidP="009B31D6">
      <w:pPr>
        <w:spacing w:before="120" w:after="120" w:line="276" w:lineRule="auto"/>
        <w:ind w:firstLine="709"/>
        <w:jc w:val="both"/>
        <w:rPr>
          <w:rFonts w:ascii="Verdana" w:eastAsia="Calibri" w:hAnsi="Verdana" w:cs="Arial"/>
          <w:color w:val="000000"/>
        </w:rPr>
      </w:pPr>
      <w:r w:rsidRPr="0014781E">
        <w:rPr>
          <w:rFonts w:ascii="Verdana" w:eastAsia="Calibri" w:hAnsi="Verdana" w:cs="Arial"/>
          <w:color w:val="000000"/>
        </w:rPr>
        <w:t>c) Si bien se celebran para obtener la prestación personal de un servicio, se diferencian del contrato de trabajo</w:t>
      </w:r>
      <w:r w:rsidRPr="0014781E">
        <w:rPr>
          <w:rFonts w:ascii="Verdana" w:eastAsia="Calibri" w:hAnsi="Verdana" w:cs="Arial"/>
          <w:color w:val="000000"/>
          <w:vertAlign w:val="superscript"/>
        </w:rPr>
        <w:footnoteReference w:id="2"/>
      </w:r>
      <w:r w:rsidRPr="0014781E">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14781E">
        <w:rPr>
          <w:rFonts w:ascii="Verdana" w:eastAsia="Calibri" w:hAnsi="Verdana" w:cs="Arial"/>
          <w:i/>
          <w:color w:val="000000"/>
        </w:rPr>
        <w:t>subordinación y dependencia</w:t>
      </w:r>
      <w:r w:rsidRPr="0014781E">
        <w:rPr>
          <w:rFonts w:ascii="Verdana" w:eastAsia="Calibri" w:hAnsi="Verdana" w:cs="Arial"/>
          <w:iCs/>
          <w:color w:val="000000"/>
        </w:rPr>
        <w:t>,</w:t>
      </w:r>
      <w:r w:rsidRPr="0014781E">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w:t>
      </w:r>
      <w:r w:rsidRPr="0014781E">
        <w:rPr>
          <w:rFonts w:ascii="Verdana" w:eastAsia="Calibri" w:hAnsi="Verdana" w:cs="Arial"/>
          <w:color w:val="000000"/>
        </w:rPr>
        <w:lastRenderedPageBreak/>
        <w:t xml:space="preserve">servicios profesionales </w:t>
      </w:r>
      <w:r w:rsidRPr="0014781E">
        <w:rPr>
          <w:rFonts w:ascii="Verdana" w:eastAsia="Calibri" w:hAnsi="Verdana" w:cs="Arial"/>
          <w:i/>
          <w:color w:val="000000"/>
        </w:rPr>
        <w:t>no pueden</w:t>
      </w:r>
      <w:r w:rsidRPr="0014781E">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14781E">
        <w:rPr>
          <w:rFonts w:ascii="Verdana" w:eastAsia="Calibri" w:hAnsi="Verdana" w:cs="Arial"/>
          <w:color w:val="000000"/>
          <w:vertAlign w:val="superscript"/>
        </w:rPr>
        <w:footnoteReference w:id="3"/>
      </w:r>
      <w:r w:rsidRPr="0014781E">
        <w:rPr>
          <w:rFonts w:ascii="Verdana" w:eastAsia="Calibri" w:hAnsi="Verdana" w:cs="Arial"/>
          <w:color w:val="000000"/>
        </w:rPr>
        <w:t xml:space="preserve">. Pero es posible que, a pesar de este mandato deontológico, en la práctica surja la relación laboral, pues, como se sabe, el contrato de trabajo es un </w:t>
      </w:r>
      <w:r w:rsidRPr="0014781E">
        <w:rPr>
          <w:rFonts w:ascii="Verdana" w:eastAsia="Calibri" w:hAnsi="Verdana" w:cs="Arial"/>
          <w:i/>
          <w:color w:val="000000"/>
        </w:rPr>
        <w:t>contrato realidad</w:t>
      </w:r>
      <w:r w:rsidRPr="0014781E">
        <w:rPr>
          <w:rFonts w:ascii="Verdana" w:eastAsia="Calibri" w:hAnsi="Verdana" w:cs="Arial"/>
          <w:color w:val="000000"/>
        </w:rPr>
        <w:t xml:space="preserve">, ya que para su perfeccionamiento rige el principio de la prevalencia de la realidad sobre las formalidades. </w:t>
      </w:r>
    </w:p>
    <w:p w14:paraId="3B25A668" w14:textId="77777777" w:rsidR="009B31D6" w:rsidRPr="0014781E" w:rsidRDefault="009B31D6" w:rsidP="009B31D6">
      <w:pPr>
        <w:spacing w:before="120" w:after="120" w:line="276" w:lineRule="auto"/>
        <w:ind w:firstLine="709"/>
        <w:jc w:val="both"/>
        <w:rPr>
          <w:rFonts w:ascii="Verdana" w:eastAsia="Calibri" w:hAnsi="Verdana" w:cs="Arial"/>
          <w:color w:val="000000"/>
        </w:rPr>
      </w:pPr>
      <w:r w:rsidRPr="0014781E">
        <w:rPr>
          <w:rFonts w:ascii="Verdana" w:eastAsia="Calibri" w:hAnsi="Verdana" w:cs="Arial"/>
          <w:color w:val="000000"/>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14781E">
        <w:rPr>
          <w:rFonts w:ascii="Verdana" w:eastAsia="Calibri" w:hAnsi="Verdana" w:cs="Arial"/>
          <w:color w:val="000000"/>
          <w:vertAlign w:val="superscript"/>
        </w:rPr>
        <w:footnoteReference w:id="4"/>
      </w:r>
      <w:r w:rsidRPr="0014781E">
        <w:rPr>
          <w:rFonts w:ascii="Verdana" w:eastAsia="Calibri" w:hAnsi="Verdana" w:cs="Arial"/>
          <w:color w:val="000000"/>
        </w:rPr>
        <w:t xml:space="preserve">.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w:t>
      </w:r>
      <w:r w:rsidRPr="0014781E">
        <w:rPr>
          <w:rFonts w:ascii="Verdana" w:eastAsia="Calibri" w:hAnsi="Verdana" w:cs="Arial"/>
          <w:color w:val="000000"/>
        </w:rPr>
        <w:lastRenderedPageBreak/>
        <w:t>reglamentaria y/o un contrato de trabajo, según sea la naturaleza jurídica de la entidad pública y el tipo de cargo</w:t>
      </w:r>
      <w:r w:rsidRPr="0014781E">
        <w:rPr>
          <w:rFonts w:ascii="Verdana" w:eastAsia="Calibri" w:hAnsi="Verdana" w:cs="Arial"/>
          <w:color w:val="000000"/>
          <w:vertAlign w:val="superscript"/>
        </w:rPr>
        <w:footnoteReference w:id="5"/>
      </w:r>
      <w:r w:rsidRPr="0014781E">
        <w:rPr>
          <w:rFonts w:ascii="Verdana" w:eastAsia="Calibri" w:hAnsi="Verdana" w:cs="Arial"/>
          <w:color w:val="000000"/>
        </w:rPr>
        <w:t>. De modo que, bajo la perspectiva indicada, se podría invocar la presunción de la existencia de una relación laboral; siendo contrario a uno de los aspectos más relevantes del contrato de prestación de servicio, la autonomía e independencia en la ejecución del mismo.</w:t>
      </w:r>
    </w:p>
    <w:p w14:paraId="2E6DB5AE" w14:textId="77777777" w:rsidR="009B31D6" w:rsidRPr="0014781E" w:rsidRDefault="009B31D6" w:rsidP="009B31D6">
      <w:pPr>
        <w:spacing w:after="0" w:line="276" w:lineRule="auto"/>
        <w:ind w:firstLine="709"/>
        <w:jc w:val="both"/>
        <w:rPr>
          <w:rFonts w:ascii="Verdana" w:eastAsia="Calibri" w:hAnsi="Verdana" w:cs="Arial"/>
          <w:color w:val="000000"/>
        </w:rPr>
      </w:pPr>
      <w:r w:rsidRPr="0014781E">
        <w:rPr>
          <w:rFonts w:ascii="Verdana" w:eastAsia="Calibri" w:hAnsi="Verdana" w:cs="Arial"/>
          <w:color w:val="000000"/>
        </w:rPr>
        <w:t>d) Deben ser temporales. Así lo señaló la Corte Constitucional en la misma providencia a la que se aludió previamente, expresando que:</w:t>
      </w:r>
    </w:p>
    <w:p w14:paraId="41DF9C24" w14:textId="77777777" w:rsidR="009B31D6" w:rsidRPr="0014781E" w:rsidRDefault="009B31D6" w:rsidP="009B31D6">
      <w:pPr>
        <w:spacing w:after="0" w:line="276" w:lineRule="auto"/>
        <w:ind w:firstLine="709"/>
        <w:jc w:val="both"/>
        <w:rPr>
          <w:rFonts w:ascii="Verdana" w:eastAsia="Calibri" w:hAnsi="Verdana" w:cs="Arial"/>
          <w:color w:val="000000"/>
        </w:rPr>
      </w:pPr>
    </w:p>
    <w:p w14:paraId="3A75F94E" w14:textId="77777777" w:rsidR="009B31D6" w:rsidRPr="0014781E" w:rsidRDefault="009B31D6" w:rsidP="009B31D6">
      <w:pPr>
        <w:spacing w:after="0" w:line="240" w:lineRule="auto"/>
        <w:ind w:left="709" w:right="709"/>
        <w:jc w:val="both"/>
        <w:rPr>
          <w:rFonts w:ascii="Verdana" w:eastAsia="Calibri" w:hAnsi="Verdana" w:cs="Arial"/>
          <w:color w:val="000000"/>
          <w:sz w:val="21"/>
          <w:szCs w:val="21"/>
        </w:rPr>
      </w:pPr>
      <w:r w:rsidRPr="0014781E">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14781E">
        <w:rPr>
          <w:rFonts w:ascii="Verdana" w:eastAsia="Calibri" w:hAnsi="Verdana" w:cs="Arial"/>
          <w:color w:val="000000"/>
          <w:sz w:val="21"/>
          <w:szCs w:val="21"/>
          <w:vertAlign w:val="superscript"/>
        </w:rPr>
        <w:footnoteReference w:id="6"/>
      </w:r>
      <w:r w:rsidRPr="0014781E">
        <w:rPr>
          <w:rFonts w:ascii="Verdana" w:eastAsia="Calibri" w:hAnsi="Verdana" w:cs="Arial"/>
          <w:color w:val="000000"/>
          <w:sz w:val="21"/>
          <w:szCs w:val="21"/>
        </w:rPr>
        <w:t>.</w:t>
      </w:r>
    </w:p>
    <w:p w14:paraId="5AE9F236" w14:textId="77777777" w:rsidR="009B31D6" w:rsidRPr="0014781E" w:rsidRDefault="009B31D6" w:rsidP="009B31D6">
      <w:pPr>
        <w:spacing w:after="0" w:line="276" w:lineRule="auto"/>
        <w:ind w:firstLine="709"/>
        <w:jc w:val="both"/>
        <w:rPr>
          <w:rFonts w:ascii="Verdana" w:eastAsia="Calibri" w:hAnsi="Verdana" w:cs="Arial"/>
          <w:color w:val="000000"/>
        </w:rPr>
      </w:pPr>
    </w:p>
    <w:p w14:paraId="5BFDE964" w14:textId="77777777" w:rsidR="009B31D6" w:rsidRPr="0014781E" w:rsidRDefault="009B31D6" w:rsidP="009B31D6">
      <w:pPr>
        <w:spacing w:after="0" w:line="276" w:lineRule="auto"/>
        <w:ind w:firstLine="709"/>
        <w:jc w:val="both"/>
        <w:rPr>
          <w:rFonts w:ascii="Verdana" w:eastAsia="Calibri" w:hAnsi="Verdana" w:cs="Arial"/>
          <w:color w:val="000000"/>
        </w:rPr>
      </w:pPr>
      <w:r w:rsidRPr="0014781E">
        <w:rPr>
          <w:rFonts w:ascii="Verdana" w:eastAsia="Calibri" w:hAnsi="Verdana" w:cs="Arial"/>
          <w:color w:val="000000"/>
        </w:rPr>
        <w:t xml:space="preserve">e) Los contratos de prestación de servicios profesionales hacen parte del género denominado </w:t>
      </w:r>
      <w:r w:rsidRPr="0014781E">
        <w:rPr>
          <w:rFonts w:ascii="Verdana" w:eastAsia="Calibri" w:hAnsi="Verdana" w:cs="Arial"/>
          <w:i/>
          <w:color w:val="000000"/>
        </w:rPr>
        <w:t>contratos de prestación de servicios</w:t>
      </w:r>
      <w:r w:rsidRPr="0014781E">
        <w:rPr>
          <w:rFonts w:ascii="Verdana" w:eastAsia="Calibri" w:hAnsi="Verdana" w:cs="Arial"/>
          <w:color w:val="000000"/>
        </w:rPr>
        <w:t>,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14781E">
        <w:rPr>
          <w:rFonts w:ascii="Verdana" w:eastAsia="Calibri" w:hAnsi="Verdana" w:cs="Arial"/>
          <w:color w:val="000000"/>
          <w:vertAlign w:val="superscript"/>
        </w:rPr>
        <w:footnoteReference w:id="7"/>
      </w:r>
      <w:r w:rsidRPr="0014781E">
        <w:rPr>
          <w:rFonts w:ascii="Verdana" w:eastAsia="Calibri" w:hAnsi="Verdana" w:cs="Arial"/>
          <w:color w:val="000000"/>
        </w:rPr>
        <w:t xml:space="preserve">. La diferencia entre el contrato de prestación de servicios </w:t>
      </w:r>
      <w:r w:rsidRPr="0014781E">
        <w:rPr>
          <w:rFonts w:ascii="Verdana" w:eastAsia="Calibri" w:hAnsi="Verdana" w:cs="Arial"/>
          <w:i/>
          <w:color w:val="000000"/>
        </w:rPr>
        <w:t>profesionales</w:t>
      </w:r>
      <w:r w:rsidRPr="0014781E">
        <w:rPr>
          <w:rFonts w:ascii="Verdana" w:eastAsia="Calibri" w:hAnsi="Verdana" w:cs="Arial"/>
          <w:color w:val="000000"/>
        </w:rPr>
        <w:t xml:space="preserve"> con las otras dos especies del género en el cual se ubican radica en su contenido intelectual intangible y, al mismo tiempo, en la formación profesional que se exige para desempeñar la labor. Así lo consideró el Consejo de Estado en sentencia de </w:t>
      </w:r>
      <w:r w:rsidRPr="0014781E">
        <w:rPr>
          <w:rFonts w:ascii="Verdana" w:eastAsia="Calibri" w:hAnsi="Verdana" w:cs="Arial"/>
          <w:color w:val="000000"/>
        </w:rPr>
        <w:lastRenderedPageBreak/>
        <w:t>unificación jurisprudencial del 2 de diciembre de 2013, al indicar, respecto del contrato de prestación de servicios profesionales, que:</w:t>
      </w:r>
    </w:p>
    <w:p w14:paraId="36EF911F" w14:textId="77777777" w:rsidR="009B31D6" w:rsidRPr="0014781E" w:rsidRDefault="009B31D6" w:rsidP="009B31D6">
      <w:pPr>
        <w:spacing w:after="0" w:line="276" w:lineRule="auto"/>
        <w:ind w:firstLine="709"/>
        <w:jc w:val="both"/>
        <w:rPr>
          <w:rFonts w:ascii="Verdana" w:eastAsia="Calibri" w:hAnsi="Verdana" w:cs="Arial"/>
          <w:color w:val="000000"/>
        </w:rPr>
      </w:pPr>
    </w:p>
    <w:p w14:paraId="1F9F2C67" w14:textId="77777777" w:rsidR="009B31D6" w:rsidRPr="0014781E" w:rsidRDefault="009B31D6" w:rsidP="009B31D6">
      <w:pPr>
        <w:spacing w:after="0" w:line="240" w:lineRule="auto"/>
        <w:ind w:left="709" w:right="709"/>
        <w:jc w:val="both"/>
        <w:rPr>
          <w:rFonts w:ascii="Verdana" w:eastAsia="Calibri" w:hAnsi="Verdana" w:cs="Arial"/>
          <w:color w:val="000000"/>
          <w:sz w:val="21"/>
          <w:szCs w:val="21"/>
        </w:rPr>
      </w:pPr>
      <w:r w:rsidRPr="0014781E">
        <w:rPr>
          <w:rFonts w:ascii="Verdana" w:eastAsia="Calibri" w:hAnsi="Verdana" w:cs="Arial"/>
          <w:color w:val="000000"/>
          <w:sz w:val="20"/>
          <w:szCs w:val="20"/>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14781E">
        <w:rPr>
          <w:rFonts w:ascii="Verdana" w:eastAsia="Calibri" w:hAnsi="Verdana" w:cs="Arial"/>
          <w:color w:val="000000"/>
          <w:sz w:val="21"/>
          <w:szCs w:val="21"/>
          <w:vertAlign w:val="superscript"/>
        </w:rPr>
        <w:footnoteReference w:id="8"/>
      </w:r>
      <w:r w:rsidRPr="0014781E">
        <w:rPr>
          <w:rFonts w:ascii="Verdana" w:eastAsia="Calibri" w:hAnsi="Verdana" w:cs="Arial"/>
          <w:color w:val="000000"/>
          <w:sz w:val="21"/>
          <w:szCs w:val="21"/>
        </w:rPr>
        <w:t>.</w:t>
      </w:r>
    </w:p>
    <w:p w14:paraId="3877329A" w14:textId="77777777" w:rsidR="009B31D6" w:rsidRPr="0014781E" w:rsidRDefault="009B31D6" w:rsidP="009B31D6">
      <w:pPr>
        <w:spacing w:after="0" w:line="276" w:lineRule="auto"/>
        <w:ind w:firstLine="709"/>
        <w:jc w:val="both"/>
        <w:rPr>
          <w:rFonts w:ascii="Verdana" w:eastAsia="Calibri" w:hAnsi="Verdana" w:cs="Arial"/>
          <w:color w:val="000000"/>
        </w:rPr>
      </w:pPr>
    </w:p>
    <w:p w14:paraId="4FDD06DA" w14:textId="77777777" w:rsidR="009B31D6" w:rsidRPr="0014781E" w:rsidRDefault="009B31D6" w:rsidP="009B31D6">
      <w:pPr>
        <w:spacing w:after="0" w:line="276" w:lineRule="auto"/>
        <w:ind w:firstLine="709"/>
        <w:jc w:val="both"/>
        <w:rPr>
          <w:rFonts w:ascii="Verdana" w:eastAsia="Calibri" w:hAnsi="Verdana" w:cs="Arial"/>
          <w:color w:val="000000"/>
        </w:rPr>
      </w:pPr>
      <w:r w:rsidRPr="0014781E">
        <w:rPr>
          <w:rFonts w:ascii="Verdana" w:eastAsia="Calibri" w:hAnsi="Verdana" w:cs="Arial"/>
          <w:color w:val="000000"/>
        </w:rPr>
        <w:t>Objeto que, según la sentencia que se cita, se diferencia del objeto del contrato de prestación de servicios de apoyo a la gestión, porque en este:</w:t>
      </w:r>
    </w:p>
    <w:p w14:paraId="6D5CA8EB" w14:textId="77777777" w:rsidR="009B31D6" w:rsidRPr="0014781E" w:rsidRDefault="009B31D6" w:rsidP="009B31D6">
      <w:pPr>
        <w:spacing w:after="0" w:line="276" w:lineRule="auto"/>
        <w:ind w:firstLine="709"/>
        <w:jc w:val="both"/>
        <w:rPr>
          <w:rFonts w:ascii="Verdana" w:eastAsia="Calibri" w:hAnsi="Verdana" w:cs="Arial"/>
          <w:color w:val="000000"/>
        </w:rPr>
      </w:pPr>
    </w:p>
    <w:p w14:paraId="16C92367"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r w:rsidRPr="0014781E">
        <w:rPr>
          <w:rFonts w:ascii="Verdana" w:eastAsia="Calibri" w:hAnsi="Verdana" w:cs="Arial"/>
          <w:color w:val="000000"/>
          <w:sz w:val="20"/>
          <w:szCs w:val="20"/>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3D5FECC7"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p>
    <w:p w14:paraId="240B5746"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r w:rsidRPr="0014781E">
        <w:rPr>
          <w:rFonts w:ascii="Verdana" w:eastAsia="Calibri" w:hAnsi="Verdana" w:cs="Arial"/>
          <w:color w:val="000000"/>
          <w:sz w:val="20"/>
          <w:szCs w:val="20"/>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621FEF1F"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p>
    <w:p w14:paraId="7E25582B"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r w:rsidRPr="0014781E">
        <w:rPr>
          <w:rFonts w:ascii="Verdana" w:eastAsia="Calibri" w:hAnsi="Verdana"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p>
    <w:p w14:paraId="79B456A3"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p>
    <w:p w14:paraId="166CB682" w14:textId="77777777" w:rsidR="009B31D6" w:rsidRPr="0014781E" w:rsidRDefault="009B31D6" w:rsidP="009B31D6">
      <w:pPr>
        <w:spacing w:after="0" w:line="240" w:lineRule="auto"/>
        <w:ind w:left="709" w:right="709"/>
        <w:jc w:val="both"/>
        <w:rPr>
          <w:rFonts w:ascii="Verdana" w:eastAsia="Calibri" w:hAnsi="Verdana" w:cs="Arial"/>
          <w:color w:val="000000"/>
          <w:sz w:val="21"/>
          <w:szCs w:val="21"/>
        </w:rPr>
      </w:pPr>
      <w:r w:rsidRPr="0014781E">
        <w:rPr>
          <w:rFonts w:ascii="Verdana" w:eastAsia="Calibri" w:hAnsi="Verdana"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r w:rsidRPr="0014781E">
        <w:rPr>
          <w:rFonts w:ascii="Verdana" w:eastAsia="Calibri" w:hAnsi="Verdana" w:cs="Arial"/>
          <w:color w:val="000000"/>
          <w:sz w:val="21"/>
          <w:szCs w:val="21"/>
          <w:vertAlign w:val="superscript"/>
        </w:rPr>
        <w:footnoteReference w:id="9"/>
      </w:r>
      <w:r w:rsidRPr="0014781E">
        <w:rPr>
          <w:rFonts w:ascii="Verdana" w:eastAsia="Calibri" w:hAnsi="Verdana" w:cs="Arial"/>
          <w:color w:val="000000"/>
          <w:sz w:val="21"/>
          <w:szCs w:val="21"/>
        </w:rPr>
        <w:t>.</w:t>
      </w:r>
    </w:p>
    <w:p w14:paraId="63A2667A" w14:textId="77777777" w:rsidR="009B31D6" w:rsidRPr="0014781E" w:rsidRDefault="009B31D6" w:rsidP="009B31D6">
      <w:pPr>
        <w:spacing w:after="0" w:line="276" w:lineRule="auto"/>
        <w:ind w:firstLine="709"/>
        <w:jc w:val="both"/>
        <w:rPr>
          <w:rFonts w:ascii="Verdana" w:eastAsia="Calibri" w:hAnsi="Verdana" w:cs="Arial"/>
          <w:color w:val="000000"/>
        </w:rPr>
      </w:pPr>
    </w:p>
    <w:p w14:paraId="68423A92" w14:textId="77777777" w:rsidR="009B31D6" w:rsidRPr="0014781E" w:rsidRDefault="009B31D6" w:rsidP="009B31D6">
      <w:pPr>
        <w:spacing w:after="0" w:line="276" w:lineRule="auto"/>
        <w:ind w:firstLine="709"/>
        <w:jc w:val="both"/>
        <w:rPr>
          <w:rFonts w:ascii="Verdana" w:eastAsia="Calibri" w:hAnsi="Verdana" w:cs="Arial"/>
          <w:color w:val="000000"/>
        </w:rPr>
      </w:pPr>
      <w:r w:rsidRPr="0014781E">
        <w:rPr>
          <w:rFonts w:ascii="Verdana" w:eastAsia="Calibri" w:hAnsi="Verdana" w:cs="Arial"/>
          <w:color w:val="000000"/>
        </w:rPr>
        <w:lastRenderedPageBreak/>
        <w:t>En relación con el contrato de prestación de servicios artísticos que solo pueden encomendarse a determinadas personas naturales, señala el mencionado fallo que:</w:t>
      </w:r>
    </w:p>
    <w:p w14:paraId="4FCDF497" w14:textId="77777777" w:rsidR="009B31D6" w:rsidRPr="0014781E" w:rsidRDefault="009B31D6" w:rsidP="009B31D6">
      <w:pPr>
        <w:spacing w:after="0" w:line="240" w:lineRule="auto"/>
        <w:ind w:left="709" w:right="709"/>
        <w:jc w:val="both"/>
        <w:rPr>
          <w:rFonts w:ascii="Verdana" w:eastAsia="Calibri" w:hAnsi="Verdana" w:cs="Arial"/>
          <w:color w:val="000000"/>
          <w:sz w:val="20"/>
          <w:szCs w:val="20"/>
        </w:rPr>
      </w:pPr>
    </w:p>
    <w:p w14:paraId="2B2D20DE" w14:textId="77777777" w:rsidR="009B31D6" w:rsidRPr="0014781E" w:rsidRDefault="009B31D6" w:rsidP="009B31D6">
      <w:pPr>
        <w:spacing w:after="0" w:line="240" w:lineRule="auto"/>
        <w:ind w:left="709" w:right="709"/>
        <w:jc w:val="both"/>
        <w:rPr>
          <w:rFonts w:ascii="Verdana" w:eastAsia="Calibri" w:hAnsi="Verdana" w:cs="Arial"/>
          <w:color w:val="000000"/>
          <w:sz w:val="21"/>
          <w:szCs w:val="21"/>
        </w:rPr>
      </w:pPr>
      <w:r w:rsidRPr="0014781E">
        <w:rPr>
          <w:rFonts w:ascii="Verdana" w:eastAsia="Calibri" w:hAnsi="Verdana" w:cs="Arial"/>
          <w:color w:val="000000"/>
          <w:sz w:val="20"/>
          <w:szCs w:val="20"/>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14781E">
        <w:rPr>
          <w:rFonts w:ascii="Verdana" w:eastAsia="Calibri" w:hAnsi="Verdana" w:cs="Arial"/>
          <w:color w:val="000000"/>
          <w:sz w:val="21"/>
          <w:szCs w:val="21"/>
          <w:vertAlign w:val="superscript"/>
        </w:rPr>
        <w:footnoteReference w:id="10"/>
      </w:r>
      <w:r w:rsidRPr="0014781E">
        <w:rPr>
          <w:rFonts w:ascii="Verdana" w:eastAsia="Calibri" w:hAnsi="Verdana" w:cs="Arial"/>
          <w:color w:val="000000"/>
          <w:sz w:val="21"/>
          <w:szCs w:val="21"/>
        </w:rPr>
        <w:t>.</w:t>
      </w:r>
    </w:p>
    <w:p w14:paraId="7D52C095" w14:textId="77777777" w:rsidR="009B31D6" w:rsidRPr="0014781E" w:rsidRDefault="009B31D6" w:rsidP="009B31D6">
      <w:pPr>
        <w:spacing w:after="0" w:line="240" w:lineRule="auto"/>
        <w:ind w:left="709" w:right="709"/>
        <w:jc w:val="both"/>
        <w:rPr>
          <w:rFonts w:ascii="Verdana" w:eastAsia="Calibri" w:hAnsi="Verdana" w:cs="Arial"/>
          <w:color w:val="000000"/>
          <w:sz w:val="21"/>
          <w:szCs w:val="21"/>
        </w:rPr>
      </w:pPr>
    </w:p>
    <w:p w14:paraId="6AB30F75" w14:textId="77777777" w:rsidR="009B31D6" w:rsidRPr="0014781E" w:rsidRDefault="009B31D6" w:rsidP="009B31D6">
      <w:pPr>
        <w:spacing w:after="0" w:line="276" w:lineRule="auto"/>
        <w:ind w:firstLine="709"/>
        <w:jc w:val="both"/>
        <w:rPr>
          <w:rFonts w:ascii="Verdana" w:eastAsia="Calibri" w:hAnsi="Verdana" w:cs="Arial"/>
          <w:color w:val="000000"/>
        </w:rPr>
      </w:pPr>
      <w:r w:rsidRPr="0014781E">
        <w:rPr>
          <w:rFonts w:ascii="Verdana" w:eastAsia="Calibri" w:hAnsi="Verdana" w:cs="Arial"/>
          <w:color w:val="000000"/>
        </w:rPr>
        <w:t>f) Su celebración debe realizarse a través de la modalidad de contratación directa, independientemente de la cuantía y del tipo de servicio profesional, siempre que este no ingrese dentro del objeto del contrato de consultoría, pues,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14781E">
        <w:rPr>
          <w:rFonts w:ascii="Verdana" w:eastAsia="Calibri" w:hAnsi="Verdana" w:cs="Arial"/>
          <w:color w:val="000000"/>
          <w:vertAlign w:val="superscript"/>
        </w:rPr>
        <w:footnoteReference w:id="11"/>
      </w:r>
      <w:r w:rsidRPr="0014781E">
        <w:rPr>
          <w:rFonts w:ascii="Verdana" w:eastAsia="Calibri" w:hAnsi="Verdana" w:cs="Arial"/>
          <w:color w:val="000000"/>
        </w:rPr>
        <w:t>.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7264FB1B" w14:textId="77777777" w:rsidR="009B31D6" w:rsidRPr="0014781E" w:rsidRDefault="009B31D6" w:rsidP="009B31D6">
      <w:pPr>
        <w:spacing w:before="120" w:after="120" w:line="276" w:lineRule="auto"/>
        <w:ind w:firstLine="709"/>
        <w:jc w:val="both"/>
        <w:rPr>
          <w:rFonts w:ascii="Verdana" w:eastAsia="Calibri" w:hAnsi="Verdana" w:cs="Arial"/>
          <w:color w:val="000000"/>
        </w:rPr>
      </w:pPr>
      <w:r w:rsidRPr="0014781E">
        <w:rPr>
          <w:rFonts w:ascii="Verdana" w:eastAsia="Calibri" w:hAnsi="Verdana" w:cs="Arial"/>
          <w:color w:val="000000"/>
        </w:rPr>
        <w:t>g) Para su celebración no se requiere la expedición del acto administrativo de justificación de la contratación directa</w:t>
      </w:r>
      <w:r w:rsidRPr="0014781E">
        <w:rPr>
          <w:rFonts w:ascii="Verdana" w:eastAsia="Calibri" w:hAnsi="Verdana" w:cs="Arial"/>
          <w:color w:val="000000"/>
          <w:vertAlign w:val="superscript"/>
        </w:rPr>
        <w:footnoteReference w:id="12"/>
      </w:r>
      <w:r w:rsidRPr="0014781E">
        <w:rPr>
          <w:rFonts w:ascii="Verdana" w:eastAsia="Calibri" w:hAnsi="Verdana" w:cs="Arial"/>
          <w:color w:val="000000"/>
        </w:rPr>
        <w:t xml:space="preserve">. </w:t>
      </w:r>
    </w:p>
    <w:p w14:paraId="27022176" w14:textId="77777777" w:rsidR="009B31D6" w:rsidRPr="0014781E" w:rsidRDefault="009B31D6" w:rsidP="009B31D6">
      <w:pPr>
        <w:spacing w:before="120" w:after="120" w:line="276" w:lineRule="auto"/>
        <w:ind w:firstLine="709"/>
        <w:jc w:val="both"/>
        <w:rPr>
          <w:rFonts w:ascii="Verdana" w:eastAsia="Calibri" w:hAnsi="Verdana" w:cs="Arial"/>
          <w:color w:val="000000"/>
        </w:rPr>
      </w:pPr>
      <w:r w:rsidRPr="0014781E">
        <w:rPr>
          <w:rFonts w:ascii="Verdana" w:eastAsia="Calibri" w:hAnsi="Verdana" w:cs="Arial"/>
          <w:color w:val="000000"/>
        </w:rPr>
        <w:lastRenderedPageBreak/>
        <w:t>h) Admiten el pacto de cláusulas excepcionales. Es decir, en los contratos de prestación de servicios profesionales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14781E">
        <w:rPr>
          <w:rFonts w:ascii="Verdana" w:eastAsia="Calibri" w:hAnsi="Verdana" w:cs="Arial"/>
          <w:color w:val="000000"/>
          <w:vertAlign w:val="superscript"/>
        </w:rPr>
        <w:footnoteReference w:id="13"/>
      </w:r>
      <w:r w:rsidRPr="0014781E">
        <w:rPr>
          <w:rFonts w:ascii="Verdana" w:eastAsia="Calibri" w:hAnsi="Verdana" w:cs="Arial"/>
          <w:color w:val="000000"/>
        </w:rPr>
        <w:t>.</w:t>
      </w:r>
    </w:p>
    <w:p w14:paraId="17CA8004" w14:textId="77777777" w:rsidR="009B31D6" w:rsidRPr="0014781E" w:rsidRDefault="009B31D6" w:rsidP="009B31D6">
      <w:pPr>
        <w:spacing w:before="120" w:after="120" w:line="276" w:lineRule="auto"/>
        <w:ind w:firstLine="709"/>
        <w:jc w:val="both"/>
        <w:rPr>
          <w:rFonts w:ascii="Verdana" w:eastAsia="Calibri" w:hAnsi="Verdana" w:cs="Arial"/>
          <w:color w:val="000000"/>
        </w:rPr>
      </w:pPr>
      <w:r w:rsidRPr="0014781E">
        <w:rPr>
          <w:rFonts w:ascii="Verdana" w:eastAsia="Calibri" w:hAnsi="Verdana" w:cs="Arial"/>
          <w:color w:val="000000"/>
        </w:rPr>
        <w:t>i) En ellos no es obligatoria la liquidación, pues así lo estableció el artículo 217 del Decreto 019 de 2012, que modificó el artículo 60 de la Ley 80 de 1993</w:t>
      </w:r>
      <w:r w:rsidRPr="0014781E">
        <w:rPr>
          <w:rFonts w:ascii="Verdana" w:eastAsia="Calibri" w:hAnsi="Verdana" w:cs="Arial"/>
          <w:color w:val="000000"/>
          <w:vertAlign w:val="superscript"/>
        </w:rPr>
        <w:footnoteReference w:id="14"/>
      </w:r>
      <w:r w:rsidRPr="0014781E">
        <w:rPr>
          <w:rFonts w:ascii="Verdana" w:eastAsia="Calibri" w:hAnsi="Verdana" w:cs="Arial"/>
          <w:color w:val="000000"/>
        </w:rPr>
        <w:t xml:space="preserve">, </w:t>
      </w:r>
      <w:r w:rsidRPr="0014781E">
        <w:rPr>
          <w:rFonts w:ascii="Verdana" w:eastAsia="Calibri" w:hAnsi="Verdana" w:cs="Arial"/>
          <w:color w:val="000000"/>
          <w:lang w:val="es-ES" w:eastAsia="es-ES"/>
        </w:rPr>
        <w:t>refiriéndose expresamente a los contratos de prestación de servicios profesionales y de apoyo a la gestión.</w:t>
      </w:r>
    </w:p>
    <w:p w14:paraId="4E9DCC41" w14:textId="77777777" w:rsidR="009B31D6" w:rsidRPr="0014781E" w:rsidRDefault="009B31D6" w:rsidP="009B31D6">
      <w:pPr>
        <w:spacing w:after="120" w:line="276" w:lineRule="auto"/>
        <w:ind w:firstLine="709"/>
        <w:jc w:val="both"/>
        <w:rPr>
          <w:rFonts w:ascii="Verdana" w:eastAsia="Calibri" w:hAnsi="Verdana" w:cs="Arial"/>
          <w:color w:val="000000"/>
        </w:rPr>
      </w:pPr>
      <w:r w:rsidRPr="0014781E">
        <w:rPr>
          <w:rFonts w:ascii="Verdana" w:eastAsia="Calibri" w:hAnsi="Verdana" w:cs="Arial"/>
          <w:color w:val="000000"/>
        </w:rPr>
        <w:t>j) Para su celebración no se requiere inscripción en el Registro Único de Proponentes (RUP), según lo prevé el artículo 6 de la Ley 1150 de 2007</w:t>
      </w:r>
      <w:r w:rsidRPr="0014781E">
        <w:rPr>
          <w:rFonts w:ascii="Verdana" w:eastAsia="Calibri" w:hAnsi="Verdana" w:cs="Arial"/>
          <w:color w:val="000000"/>
          <w:vertAlign w:val="superscript"/>
        </w:rPr>
        <w:footnoteReference w:id="15"/>
      </w:r>
      <w:r w:rsidRPr="0014781E">
        <w:rPr>
          <w:rFonts w:ascii="Verdana" w:eastAsia="Calibri" w:hAnsi="Verdana" w:cs="Arial"/>
          <w:color w:val="000000"/>
        </w:rPr>
        <w:t>.</w:t>
      </w:r>
    </w:p>
    <w:p w14:paraId="16B1B94D" w14:textId="77777777" w:rsidR="009B31D6" w:rsidRPr="0014781E" w:rsidRDefault="009B31D6" w:rsidP="009B31D6">
      <w:pPr>
        <w:spacing w:after="120" w:line="276" w:lineRule="auto"/>
        <w:ind w:firstLine="709"/>
        <w:jc w:val="both"/>
        <w:rPr>
          <w:rFonts w:ascii="Verdana" w:eastAsia="Calibri" w:hAnsi="Verdana" w:cs="Arial"/>
          <w:color w:val="000000"/>
        </w:rPr>
      </w:pPr>
      <w:r w:rsidRPr="0014781E">
        <w:rPr>
          <w:rFonts w:ascii="Verdana" w:eastAsia="Calibri" w:hAnsi="Verdana" w:cs="Arial"/>
          <w:color w:val="000000"/>
        </w:rPr>
        <w:lastRenderedPageBreak/>
        <w:t>k) En ellos no son necesarias las garantías</w:t>
      </w:r>
      <w:r w:rsidRPr="0014781E">
        <w:rPr>
          <w:rFonts w:ascii="Verdana" w:eastAsia="Calibri" w:hAnsi="Verdana" w:cs="Arial"/>
          <w:color w:val="000000"/>
          <w:vertAlign w:val="superscript"/>
        </w:rPr>
        <w:footnoteReference w:id="16"/>
      </w:r>
      <w:r w:rsidRPr="0014781E">
        <w:rPr>
          <w:rFonts w:ascii="Verdana" w:eastAsia="Calibri" w:hAnsi="Verdana" w:cs="Arial"/>
          <w:color w:val="000000"/>
        </w:rPr>
        <w:t>.</w:t>
      </w:r>
    </w:p>
    <w:p w14:paraId="3B1E70BA" w14:textId="77777777" w:rsidR="009B31D6" w:rsidRPr="0014781E" w:rsidRDefault="009B31D6" w:rsidP="009B31D6">
      <w:pPr>
        <w:spacing w:after="120" w:line="276" w:lineRule="auto"/>
        <w:ind w:firstLine="709"/>
        <w:jc w:val="both"/>
        <w:rPr>
          <w:rFonts w:ascii="Verdana" w:eastAsia="Calibri" w:hAnsi="Verdana" w:cs="Arial"/>
          <w:color w:val="000000"/>
        </w:rPr>
      </w:pPr>
      <w:r w:rsidRPr="0014781E">
        <w:rPr>
          <w:rFonts w:ascii="Verdana" w:hAnsi="Verdana"/>
        </w:rPr>
        <w:t xml:space="preserve">Conforme </w:t>
      </w:r>
      <w:r w:rsidRPr="0014781E">
        <w:rPr>
          <w:rFonts w:ascii="Verdana" w:eastAsia="Calibri" w:hAnsi="Verdana" w:cs="Arial"/>
          <w:color w:val="000000"/>
          <w:lang w:val="es-ES_tradnl" w:eastAsia="es-ES_tradnl"/>
        </w:rPr>
        <w:t>a</w:t>
      </w:r>
      <w:r w:rsidRPr="0014781E">
        <w:rPr>
          <w:rFonts w:ascii="Verdana" w:hAnsi="Verdana"/>
        </w:rPr>
        <w:t xml:space="preserve"> lo expuesto, las características y requisitos para la celebración del contrato de prestación de servicios se encuentran reguladas en el EGCAP y el marco jurídico aplicable es el expuesto anteriormente. </w:t>
      </w:r>
    </w:p>
    <w:p w14:paraId="19D75A6D" w14:textId="77777777" w:rsidR="009B31D6" w:rsidRPr="0014781E" w:rsidRDefault="009B31D6" w:rsidP="009B31D6">
      <w:pPr>
        <w:widowControl w:val="0"/>
        <w:autoSpaceDE w:val="0"/>
        <w:autoSpaceDN w:val="0"/>
        <w:spacing w:after="120" w:line="276" w:lineRule="auto"/>
        <w:ind w:firstLine="709"/>
        <w:jc w:val="both"/>
        <w:rPr>
          <w:rFonts w:ascii="Verdana" w:hAnsi="Verdana"/>
        </w:rPr>
      </w:pPr>
      <w:r w:rsidRPr="0014781E">
        <w:rPr>
          <w:rFonts w:ascii="Verdana" w:hAnsi="Verdana"/>
        </w:rPr>
        <w:t xml:space="preserve">Ahora bien, respecto de algunas de sus preguntas, resulta importante hacer aclaraciones generales. Preliminarmente, se precisa que la denominación establecida en el numeral 3 del artículo 32 de la Ley 80 de 1993 es el </w:t>
      </w:r>
      <w:r w:rsidRPr="0014781E">
        <w:rPr>
          <w:rFonts w:ascii="Verdana" w:hAnsi="Verdana"/>
          <w:i/>
          <w:iCs/>
        </w:rPr>
        <w:t>contrato de prestación de servicios,</w:t>
      </w:r>
      <w:r w:rsidRPr="0014781E">
        <w:rPr>
          <w:rFonts w:ascii="Verdana" w:hAnsi="Verdana"/>
        </w:rPr>
        <w:t xml:space="preserve"> el cual incluye como especie los contratos de prestación de servicios profesionales, los contratos de prestación de servicios apoyo a la gestión y los contratos de prestación de servicios artísticos que solo pueden encomendarse a determinadas personas naturales.</w:t>
      </w:r>
    </w:p>
    <w:p w14:paraId="75B4CCAE" w14:textId="77777777" w:rsidR="009B31D6" w:rsidRPr="0014781E" w:rsidRDefault="009B31D6" w:rsidP="009B31D6">
      <w:pPr>
        <w:spacing w:after="120" w:line="276" w:lineRule="auto"/>
        <w:ind w:firstLine="708"/>
        <w:jc w:val="both"/>
        <w:rPr>
          <w:rFonts w:ascii="Verdana" w:eastAsia="Calibri" w:hAnsi="Verdana" w:cs="Arial"/>
          <w:lang w:val="es-ES"/>
        </w:rPr>
      </w:pPr>
      <w:r w:rsidRPr="0014781E">
        <w:rPr>
          <w:rFonts w:ascii="Verdana" w:hAnsi="Verdana"/>
        </w:rPr>
        <w:t>De igual manera, se aclara que al tratarse de un contrato estatal, debe cumplir con los requisitos de perfeccionamiento y ejecución establecidos en el artículo 41 de la Ley 80 de 1993. En efecto, conforme lo señala</w:t>
      </w:r>
      <w:r w:rsidRPr="0014781E">
        <w:rPr>
          <w:rFonts w:ascii="Verdana" w:eastAsia="Calibri" w:hAnsi="Verdana" w:cs="Arial"/>
          <w:lang w:val="es-ES_tradnl"/>
        </w:rPr>
        <w:t xml:space="preserve"> el primer inciso del artículo 41 de la Ley 80 de 1993 “</w:t>
      </w:r>
      <w:r w:rsidRPr="0014781E">
        <w:rPr>
          <w:rFonts w:ascii="Verdana" w:eastAsia="Calibri" w:hAnsi="Verdana" w:cs="Arial"/>
          <w:i/>
          <w:iCs/>
          <w:lang w:val="es-ES_tradnl"/>
        </w:rPr>
        <w:t>Los contratos del Estado se perfeccionan cuando se logre acuerdo sobre el objeto y la contraprestación y éste se eleve a escrito</w:t>
      </w:r>
      <w:r w:rsidRPr="0014781E">
        <w:rPr>
          <w:rFonts w:ascii="Verdana" w:eastAsia="Calibri" w:hAnsi="Verdana" w:cs="Arial"/>
          <w:lang w:val="es-ES_tradnl"/>
        </w:rPr>
        <w:t>”, de tal manera que para que el contrato estatal exista, no solo debe haber un acuerdo sobre la obligación principal del negocio –es decir, sobre el “objeto”– y sobre la contraprestación, sino que se debe plasmar por escrito. Además, para su ejecución se deberán cumplir los requisitos de ejecución señalados en el inciso segundo del referido artículo 41</w:t>
      </w:r>
      <w:r w:rsidRPr="0014781E">
        <w:rPr>
          <w:rFonts w:ascii="Verdana" w:eastAsia="Calibri" w:hAnsi="Verdana" w:cs="Arial"/>
          <w:vertAlign w:val="superscript"/>
          <w:lang w:val="es-ES_tradnl"/>
        </w:rPr>
        <w:footnoteReference w:id="17"/>
      </w:r>
      <w:r w:rsidRPr="0014781E">
        <w:rPr>
          <w:rFonts w:ascii="Verdana" w:eastAsia="Calibri" w:hAnsi="Verdana" w:cs="Arial"/>
          <w:lang w:val="es-ES_tradnl"/>
        </w:rPr>
        <w:t xml:space="preserve">, es decir, que se deberá contar </w:t>
      </w:r>
      <w:r w:rsidRPr="0014781E">
        <w:rPr>
          <w:rFonts w:ascii="Verdana" w:eastAsia="Calibri" w:hAnsi="Verdana" w:cs="Arial"/>
          <w:lang w:val="es-ES"/>
        </w:rPr>
        <w:t xml:space="preserve">con: (i) la aprobación de las garantías exigidas en el contrato (cuando aplique), (ii) la existencia de la apropiación presupuestal correspondiente y (iii) </w:t>
      </w:r>
      <w:r w:rsidRPr="0014781E">
        <w:rPr>
          <w:rFonts w:ascii="Verdana" w:eastAsia="Calibri" w:hAnsi="Verdana" w:cs="Arial"/>
          <w:lang w:val="es-ES"/>
        </w:rPr>
        <w:lastRenderedPageBreak/>
        <w:t>la acreditación del cumplimiento de las obligaciones con el Sistema de Seguridad Social Integral.</w:t>
      </w:r>
    </w:p>
    <w:p w14:paraId="341D1B2F" w14:textId="77777777" w:rsidR="009B31D6" w:rsidRPr="0014781E" w:rsidRDefault="009B31D6" w:rsidP="009B31D6">
      <w:pPr>
        <w:spacing w:after="120" w:line="276" w:lineRule="auto"/>
        <w:ind w:firstLine="708"/>
        <w:jc w:val="both"/>
        <w:rPr>
          <w:rFonts w:ascii="Verdana" w:eastAsia="Calibri" w:hAnsi="Verdana" w:cs="Arial"/>
          <w:lang w:val="es-ES"/>
        </w:rPr>
      </w:pPr>
      <w:r w:rsidRPr="0014781E">
        <w:rPr>
          <w:rFonts w:ascii="Verdana" w:eastAsia="Calibri" w:hAnsi="Verdana" w:cs="Arial"/>
          <w:lang w:val="es-ES"/>
        </w:rPr>
        <w:t xml:space="preserve">En este sentido, el contrato estatal existe desde el momento de su perfeccionamiento y para su ejecución, es decir, para el inicio </w:t>
      </w:r>
      <w:r w:rsidRPr="0014781E">
        <w:rPr>
          <w:rFonts w:ascii="Verdana" w:eastAsia="Calibri" w:hAnsi="Verdana" w:cs="Arial"/>
          <w:lang w:val="es-ES_tradnl"/>
        </w:rPr>
        <w:t xml:space="preserve">de la fase de realización de las actividades pactadas en el contrato, </w:t>
      </w:r>
      <w:r w:rsidRPr="0014781E">
        <w:rPr>
          <w:rFonts w:ascii="Verdana" w:eastAsia="Calibri" w:hAnsi="Verdana" w:cs="Arial"/>
          <w:lang w:val="es-ES"/>
        </w:rPr>
        <w:t xml:space="preserve">es necesario que se acrediten los requisitos de ejecución previstos en el artículo 41 </w:t>
      </w:r>
      <w:r w:rsidRPr="0014781E">
        <w:rPr>
          <w:rFonts w:ascii="Verdana" w:eastAsia="Calibri" w:hAnsi="Verdana" w:cs="Arial"/>
          <w:i/>
          <w:iCs/>
          <w:lang w:val="es-ES"/>
        </w:rPr>
        <w:t xml:space="preserve">ibidem. </w:t>
      </w:r>
      <w:r w:rsidRPr="0014781E">
        <w:rPr>
          <w:rFonts w:ascii="Verdana" w:eastAsia="Calibri" w:hAnsi="Verdana" w:cs="Arial"/>
          <w:lang w:val="es-ES"/>
        </w:rPr>
        <w:t>Debido a que en el contrato de prestación de servicios no es obligatoria la exigencia de garantías, si este requisito no ha sido pactado expresamente entre las partes, bastará con el cumplimiento de los otros requisitos establecidos en la citada norma para dar inicio a su ejecución</w:t>
      </w:r>
      <w:r w:rsidRPr="0014781E">
        <w:rPr>
          <w:rFonts w:ascii="Verdana" w:eastAsia="Calibri" w:hAnsi="Verdana" w:cs="Arial"/>
          <w:i/>
          <w:iCs/>
          <w:lang w:val="es-ES"/>
        </w:rPr>
        <w:t xml:space="preserve">. </w:t>
      </w:r>
    </w:p>
    <w:p w14:paraId="5BA8AA2C" w14:textId="77777777" w:rsidR="009B31D6" w:rsidRPr="0014781E" w:rsidRDefault="009B31D6" w:rsidP="009B31D6">
      <w:pPr>
        <w:spacing w:before="120" w:after="0" w:line="276" w:lineRule="auto"/>
        <w:ind w:firstLine="708"/>
        <w:jc w:val="both"/>
        <w:rPr>
          <w:rFonts w:ascii="Verdana" w:eastAsia="Times New Roman" w:hAnsi="Verdana" w:cs="Arial"/>
          <w:color w:val="000000" w:themeColor="text1"/>
          <w:lang w:eastAsia="es-CO"/>
        </w:rPr>
      </w:pPr>
      <w:r w:rsidRPr="0014781E">
        <w:rPr>
          <w:rFonts w:ascii="Verdana" w:eastAsia="Calibri" w:hAnsi="Verdana" w:cs="Arial"/>
          <w:lang w:val="es-ES"/>
        </w:rPr>
        <w:t xml:space="preserve">En aquellos casos en los que, </w:t>
      </w:r>
      <w:r w:rsidRPr="0014781E">
        <w:rPr>
          <w:rFonts w:ascii="Verdana" w:eastAsia="Times New Roman" w:hAnsi="Verdana" w:cs="Arial"/>
          <w:color w:val="000000" w:themeColor="text1"/>
          <w:lang w:eastAsia="es-CO"/>
        </w:rPr>
        <w:t>en función de los riesgos identificados por la entidad tanto en el análisis del sector –art. 2.2.1.1.1.6.1 del Decreto 1082 de 2015– como los estudios y documentos previos –num. 6 del art. 2.2.1.1.2.1.1 ibidem–, se considere la necesidad de solicitar garantías, podrán incluirse las contempladas</w:t>
      </w:r>
      <w:r w:rsidRPr="0014781E">
        <w:rPr>
          <w:rFonts w:ascii="Verdana" w:hAnsi="Verdana"/>
          <w:color w:val="333333"/>
          <w:shd w:val="clear" w:color="auto" w:fill="FFFFFF"/>
        </w:rPr>
        <w:t xml:space="preserve"> en l</w:t>
      </w:r>
      <w:r w:rsidRPr="0014781E">
        <w:rPr>
          <w:rFonts w:ascii="Verdana" w:eastAsia="Times New Roman" w:hAnsi="Verdana" w:cs="Arial"/>
          <w:color w:val="000000" w:themeColor="text1"/>
          <w:lang w:eastAsia="es-CO"/>
        </w:rPr>
        <w:t xml:space="preserve">os artículos 2.2.1.2.3.1.1 al 2.2.1.2.3.5.1. del Decreto Único Reglamentario del sector Administrativo de Planeación Nacional. </w:t>
      </w:r>
    </w:p>
    <w:p w14:paraId="70953A7D" w14:textId="77777777" w:rsidR="009B31D6" w:rsidRPr="0014781E" w:rsidRDefault="009B31D6" w:rsidP="009B31D6">
      <w:pPr>
        <w:spacing w:before="120" w:after="0" w:line="276" w:lineRule="auto"/>
        <w:ind w:firstLine="708"/>
        <w:jc w:val="both"/>
        <w:rPr>
          <w:rFonts w:ascii="Verdana" w:eastAsia="Times New Roman" w:hAnsi="Verdana" w:cs="Arial"/>
          <w:color w:val="000000" w:themeColor="text1"/>
          <w:lang w:eastAsia="es-CO"/>
        </w:rPr>
      </w:pPr>
      <w:r w:rsidRPr="0014781E">
        <w:rPr>
          <w:rFonts w:ascii="Verdana" w:eastAsia="Times New Roman" w:hAnsi="Verdana" w:cs="Arial"/>
          <w:color w:val="000000" w:themeColor="text1"/>
          <w:lang w:eastAsia="es-CO"/>
        </w:rPr>
        <w:t xml:space="preserve">Particularmente, el artículo 2.2.1.2.3.1.7 de dicho decreto reglamenta la garantía única de cumplimiento </w:t>
      </w:r>
      <w:r w:rsidRPr="0014781E">
        <w:rPr>
          <w:rFonts w:ascii="Verdana" w:eastAsia="Calibri" w:hAnsi="Verdana" w:cs="Arial"/>
          <w:lang w:val="es-ES"/>
        </w:rPr>
        <w:t xml:space="preserve">mediante la cual </w:t>
      </w:r>
      <w:r w:rsidRPr="0014781E">
        <w:rPr>
          <w:rFonts w:ascii="Verdana" w:eastAsia="Calibri" w:hAnsi="Verdana" w:cs="Arial"/>
          <w:color w:val="000000" w:themeColor="text1"/>
          <w:lang w:val="es-ES"/>
        </w:rPr>
        <w:t>el contratista ampara los perjuicios que le pueda generar a la entidad el incumplimiento de las obligaciones derivadas del contrato</w:t>
      </w:r>
      <w:r w:rsidRPr="0014781E">
        <w:rPr>
          <w:rFonts w:ascii="Verdana" w:eastAsia="Calibri" w:hAnsi="Verdana" w:cs="Arial"/>
          <w:color w:val="000000" w:themeColor="text1"/>
          <w:vertAlign w:val="superscript"/>
        </w:rPr>
        <w:footnoteReference w:id="18"/>
      </w:r>
      <w:r w:rsidRPr="0014781E">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Esta norma prescribe </w:t>
      </w:r>
      <w:r w:rsidRPr="0014781E">
        <w:rPr>
          <w:rFonts w:ascii="Verdana" w:hAnsi="Verdana" w:cs="Arial"/>
          <w:color w:val="000000" w:themeColor="text1"/>
        </w:rPr>
        <w:t xml:space="preserve">que la garantía de cumplimiento debe cubrir: i) el buen manejo y correcta inversión del anticipo; ii) la devolución del pago anticipado; iii) el cumplimiento del contrato; iv) el pago de salarios, prestaciones sociales legales e indemnizaciones laborales; v)  la estabilidad y calidad de la obra; vi) la </w:t>
      </w:r>
      <w:r w:rsidRPr="0014781E">
        <w:rPr>
          <w:rFonts w:ascii="Verdana" w:eastAsia="Times New Roman" w:hAnsi="Verdana" w:cs="Arial"/>
          <w:color w:val="000000" w:themeColor="text1"/>
          <w:lang w:eastAsia="es-CO"/>
        </w:rPr>
        <w:t xml:space="preserve">calidad del servicio; vii) la calidad y correcto funcionamiento de los </w:t>
      </w:r>
      <w:r w:rsidRPr="0014781E">
        <w:rPr>
          <w:rFonts w:ascii="Verdana" w:eastAsia="Times New Roman" w:hAnsi="Verdana" w:cs="Arial"/>
          <w:color w:val="000000" w:themeColor="text1"/>
          <w:lang w:eastAsia="es-CO"/>
        </w:rPr>
        <w:lastRenderedPageBreak/>
        <w:t>bienes; y viii) los demás incumplimientos de las obligaciones que la entidad estatal considere deben ser amparados</w:t>
      </w:r>
      <w:r w:rsidRPr="0014781E">
        <w:rPr>
          <w:rFonts w:ascii="Verdana" w:eastAsia="Times New Roman" w:hAnsi="Verdana" w:cs="Arial"/>
          <w:color w:val="000000" w:themeColor="text1"/>
          <w:vertAlign w:val="superscript"/>
          <w:lang w:eastAsia="es-CO"/>
        </w:rPr>
        <w:footnoteReference w:id="19"/>
      </w:r>
      <w:r w:rsidRPr="0014781E">
        <w:rPr>
          <w:rFonts w:ascii="Verdana" w:eastAsia="Times New Roman" w:hAnsi="Verdana" w:cs="Arial"/>
          <w:color w:val="000000" w:themeColor="text1"/>
          <w:lang w:eastAsia="es-CO"/>
        </w:rPr>
        <w:t xml:space="preserve">. </w:t>
      </w:r>
    </w:p>
    <w:p w14:paraId="27F1CBD1" w14:textId="77777777" w:rsidR="009B31D6" w:rsidRPr="0014781E" w:rsidRDefault="009B31D6" w:rsidP="009B31D6">
      <w:pPr>
        <w:spacing w:before="120" w:after="0" w:line="276" w:lineRule="auto"/>
        <w:ind w:firstLine="708"/>
        <w:jc w:val="both"/>
        <w:rPr>
          <w:rFonts w:ascii="Verdana" w:eastAsia="Times New Roman" w:hAnsi="Verdana" w:cs="Arial"/>
          <w:color w:val="000000" w:themeColor="text1"/>
          <w:lang w:eastAsia="es-CO"/>
        </w:rPr>
      </w:pPr>
      <w:r w:rsidRPr="0014781E">
        <w:rPr>
          <w:rFonts w:ascii="Verdana" w:eastAsia="Times New Roman" w:hAnsi="Verdana" w:cs="Arial"/>
          <w:color w:val="000000" w:themeColor="text1"/>
          <w:lang w:eastAsia="es-CO"/>
        </w:rPr>
        <w:t xml:space="preserve">De esta manera, con base en el análisis efectuado en los estudios y documentos previos, las entidades estatales podrán determinar la necesidad de exigir la garantía única de cumplimiento, incluyendo el respectivo amparo de cumplimiento, en los contratos de prestación de servicios, cuando se identifiquen riesgos asociados al eventual incumplimiento contractual. </w:t>
      </w:r>
    </w:p>
    <w:p w14:paraId="0224D4E4" w14:textId="77777777" w:rsidR="009B31D6" w:rsidRPr="0014781E" w:rsidRDefault="009B31D6" w:rsidP="009B31D6">
      <w:pPr>
        <w:spacing w:before="120" w:after="0" w:line="276" w:lineRule="auto"/>
        <w:ind w:firstLine="708"/>
        <w:jc w:val="both"/>
        <w:rPr>
          <w:rFonts w:ascii="Verdana" w:hAnsi="Verdana" w:cs="Arial"/>
          <w:color w:val="000000" w:themeColor="text1"/>
        </w:rPr>
      </w:pPr>
      <w:r w:rsidRPr="0014781E">
        <w:rPr>
          <w:rFonts w:ascii="Verdana" w:eastAsia="Times New Roman" w:hAnsi="Verdana" w:cs="Arial"/>
          <w:color w:val="000000" w:themeColor="text1"/>
          <w:lang w:eastAsia="es-CO"/>
        </w:rPr>
        <w:t xml:space="preserve">Por otro lado, también es importante precisar que </w:t>
      </w:r>
      <w:r w:rsidRPr="0014781E">
        <w:rPr>
          <w:rFonts w:ascii="Verdana" w:eastAsia="Calibri" w:hAnsi="Verdana" w:cs="Arial"/>
          <w:lang w:val="es-ES"/>
        </w:rPr>
        <w:t xml:space="preserve">las actividades y obligaciones del contrato de prestación de servicios, como se explicó, deben estar </w:t>
      </w:r>
      <w:r w:rsidRPr="0014781E">
        <w:rPr>
          <w:rFonts w:ascii="Verdana" w:eastAsia="Calibri" w:hAnsi="Verdana" w:cs="Arial"/>
          <w:color w:val="000000"/>
        </w:rPr>
        <w:t xml:space="preserve">relacionadas con la administración o funcionamiento de la entidad, es decir, que hagan parte de su giro ordinario o quehacer cotidiano. </w:t>
      </w:r>
      <w:r w:rsidRPr="0014781E">
        <w:rPr>
          <w:rFonts w:ascii="Verdana" w:hAnsi="Verdana" w:cs="Arial"/>
          <w:color w:val="000000" w:themeColor="text1"/>
        </w:rPr>
        <w:t xml:space="preserve">Estas actividades deben guardar relación con el funcionamiento de la entidad y ejecutarse por el tiempo estrictamente indispensable, teniendo en cuenta las necesidades que la administración pública pretenda satisfacer. En otras palabras, su propósito es desarrollar actividades relacionadas con el cumplimiento de las funciones y </w:t>
      </w:r>
      <w:r w:rsidRPr="0014781E">
        <w:rPr>
          <w:rFonts w:ascii="Verdana" w:hAnsi="Verdana" w:cs="Arial"/>
          <w:color w:val="000000" w:themeColor="text1"/>
        </w:rPr>
        <w:lastRenderedPageBreak/>
        <w:t xml:space="preserve">objeto misional a cargo de la entidad contratante, siempre que tales actividades o funciones sean temporales, excepcionales u ocasionales y no puedan realizarse con el personal de planta, bien por ser insuficiente o bien porque se requieran conocimientos especializados. Por consiguiente, en estos contratos no pueden suplirse, de forma definitiva, las funciones permanentes de la entidad. </w:t>
      </w:r>
    </w:p>
    <w:p w14:paraId="5A07D8A3" w14:textId="77777777" w:rsidR="009B31D6" w:rsidRPr="0014781E" w:rsidRDefault="009B31D6" w:rsidP="009B31D6">
      <w:pPr>
        <w:spacing w:before="120" w:after="120" w:line="276" w:lineRule="auto"/>
        <w:ind w:firstLine="709"/>
        <w:jc w:val="both"/>
        <w:rPr>
          <w:rFonts w:ascii="Verdana" w:hAnsi="Verdana" w:cs="Arial"/>
          <w:color w:val="000000" w:themeColor="text1"/>
        </w:rPr>
      </w:pPr>
      <w:r w:rsidRPr="0014781E">
        <w:rPr>
          <w:rFonts w:ascii="Verdana" w:hAnsi="Verdana" w:cs="Arial"/>
          <w:color w:val="000000" w:themeColor="text1"/>
        </w:rPr>
        <w:t xml:space="preserve">Para efectos de determinar las actividades específicas a desarrollar deberá tenerse en cuenta el tipo de contrato de prestación de servicios que se suscriba, es decir, si se trata de </w:t>
      </w:r>
      <w:r w:rsidRPr="0014781E">
        <w:rPr>
          <w:rFonts w:ascii="Verdana" w:hAnsi="Verdana"/>
        </w:rPr>
        <w:t>contratos de prestación de servicios profesionales, de apoyo a la gestión o de servicios artísticos</w:t>
      </w:r>
      <w:r w:rsidRPr="0014781E">
        <w:rPr>
          <w:rFonts w:ascii="Verdana" w:hAnsi="Verdana" w:cs="Arial"/>
          <w:color w:val="000000" w:themeColor="text1"/>
        </w:rPr>
        <w:t>, ya que su distinción es determinante en las obligaciones a ejecutar. En todo caso, cada entidad estatal es autónoma en la determinación de las obligaciones y derechos a pactar en el contrato de acuerdo con el marco jurídico señalado, revisando, además, que el objeto a contratar no se ubique dentro del ámbito propio de otros tipos contractuales establecidos en la Ley, como, por ejemplo, el contrato de consultoría.</w:t>
      </w:r>
    </w:p>
    <w:p w14:paraId="7A0ECCB1" w14:textId="77777777" w:rsidR="009B31D6" w:rsidRPr="0014781E" w:rsidRDefault="009B31D6" w:rsidP="009B31D6">
      <w:pPr>
        <w:spacing w:before="120" w:after="120" w:line="276" w:lineRule="auto"/>
        <w:ind w:firstLine="709"/>
        <w:jc w:val="both"/>
        <w:rPr>
          <w:rFonts w:ascii="Verdana" w:hAnsi="Verdana" w:cs="Arial"/>
          <w:color w:val="000000" w:themeColor="text1"/>
        </w:rPr>
      </w:pPr>
      <w:r w:rsidRPr="0014781E">
        <w:rPr>
          <w:rFonts w:ascii="Verdana" w:hAnsi="Verdana" w:cs="Arial"/>
          <w:color w:val="000000" w:themeColor="text1"/>
        </w:rPr>
        <w:t>Al respecto, vale la pena poner de presente lo establecido en la</w:t>
      </w:r>
      <w:r w:rsidRPr="0014781E">
        <w:t xml:space="preserve"> “</w:t>
      </w:r>
      <w:r w:rsidRPr="0014781E">
        <w:rPr>
          <w:rFonts w:ascii="Verdana" w:hAnsi="Verdana"/>
        </w:rPr>
        <w:t>Guía para la Incorporación de Lineamientos de Integridad en la Contratación de Prestación de Servicios” expedida por esta Agencia, en la que se indicó que:</w:t>
      </w:r>
      <w:r w:rsidRPr="0014781E">
        <w:t xml:space="preserve"> </w:t>
      </w:r>
      <w:r w:rsidRPr="0014781E">
        <w:rPr>
          <w:rFonts w:ascii="Verdana" w:hAnsi="Verdana" w:cs="Arial"/>
          <w:color w:val="000000" w:themeColor="text1"/>
        </w:rPr>
        <w:t xml:space="preserve"> “la delimitación del objeto del contrato proviene no sólo de las normas positivas que lo definen, sino también de disposiciones prohibitivas o restrictivas que indican que el contrato de prestación de servicios no es un medio para suplir la vinculación de personas naturales en el desempeño de la función pública, ni constituye un instrumento para el cumplimiento propiamente dicho de ella”. </w:t>
      </w:r>
    </w:p>
    <w:p w14:paraId="24CF8D3A" w14:textId="77777777" w:rsidR="009B31D6" w:rsidRPr="0014781E" w:rsidRDefault="009B31D6" w:rsidP="009B31D6">
      <w:pPr>
        <w:spacing w:after="120" w:line="276" w:lineRule="auto"/>
        <w:ind w:firstLine="708"/>
        <w:jc w:val="both"/>
        <w:rPr>
          <w:rFonts w:ascii="Verdana" w:eastAsia="Calibri" w:hAnsi="Verdana" w:cs="Arial"/>
          <w:color w:val="000000"/>
          <w:lang w:val="es-ES_tradnl"/>
        </w:rPr>
      </w:pPr>
      <w:r w:rsidRPr="0014781E">
        <w:rPr>
          <w:rFonts w:ascii="Verdana" w:eastAsia="Calibri" w:hAnsi="Verdana" w:cs="Arial"/>
          <w:color w:val="000000"/>
          <w:lang w:val="es-ES_tradnl"/>
        </w:rPr>
        <w:t>De otra parte, sobre la liquidación en los contratos de prestación de servicio, debe reiterarse que de acuerdo con el artículo 60 de la Ley 80 de 1993 esta no será obligatoria. Lo anterior, sin perjuicio de que la entidad de manera facultativa o potestativa considere en cada caso que el contrato de prestación de servicio requiere de liquidación con arreglo a criterios tales como la naturaleza, objeto y plazo del contrato</w:t>
      </w:r>
      <w:r w:rsidRPr="0014781E">
        <w:rPr>
          <w:rFonts w:ascii="Verdana" w:eastAsia="Calibri" w:hAnsi="Verdana" w:cs="Arial"/>
          <w:color w:val="000000"/>
          <w:vertAlign w:val="superscript"/>
          <w:lang w:val="es-ES_tradnl"/>
        </w:rPr>
        <w:footnoteReference w:id="20"/>
      </w:r>
      <w:r w:rsidRPr="0014781E">
        <w:rPr>
          <w:rFonts w:ascii="Verdana" w:eastAsia="Calibri" w:hAnsi="Verdana" w:cs="Arial"/>
          <w:color w:val="000000"/>
          <w:lang w:val="es-ES_tradnl"/>
        </w:rPr>
        <w:t xml:space="preserve">, así como la probabilidad de que puedan surgir diferencias durante la ejecución del contrato. En este sentido, en el evento en que se considere necesaria la liquidación se deberá tener en cuenta lo previsto en el artículo </w:t>
      </w:r>
      <w:r w:rsidRPr="0014781E">
        <w:rPr>
          <w:rFonts w:ascii="Verdana" w:eastAsia="Calibri" w:hAnsi="Verdana" w:cs="Arial"/>
          <w:color w:val="000000"/>
          <w:lang w:val="es-ES"/>
        </w:rPr>
        <w:t>11 de la Ley 1150 de 2007 que contiene las reglas de tipo procedimental para liquidar los contratos estatales.</w:t>
      </w:r>
    </w:p>
    <w:p w14:paraId="4969A557" w14:textId="77777777" w:rsidR="009B31D6" w:rsidRPr="0014781E" w:rsidRDefault="009B31D6" w:rsidP="009B31D6">
      <w:pPr>
        <w:spacing w:after="120" w:line="276" w:lineRule="auto"/>
        <w:ind w:firstLine="708"/>
        <w:jc w:val="both"/>
        <w:rPr>
          <w:rFonts w:ascii="Verdana" w:eastAsia="Calibri" w:hAnsi="Verdana" w:cs="Arial"/>
          <w:color w:val="000000"/>
        </w:rPr>
      </w:pPr>
      <w:r w:rsidRPr="0014781E">
        <w:rPr>
          <w:rFonts w:ascii="Verdana" w:eastAsia="Calibri" w:hAnsi="Verdana" w:cs="Arial"/>
          <w:color w:val="000000"/>
          <w:lang w:val="es-ES_tradnl"/>
        </w:rPr>
        <w:lastRenderedPageBreak/>
        <w:t xml:space="preserve">Por último, de acuerdo con lo señalado en su consulta se precisa que las figuras de caducidad y prescripción </w:t>
      </w:r>
      <w:r w:rsidRPr="0014781E">
        <w:rPr>
          <w:rFonts w:ascii="Verdana" w:eastAsia="Calibri" w:hAnsi="Verdana" w:cs="Arial"/>
          <w:color w:val="000000"/>
        </w:rPr>
        <w:t>no operan en estricto sentido dentro del desarrollo o ejecución de un contrato estatal, ya que estas instituciones pertenecen al ámbito del ejercicio de acciones en sede judicial o administrativa y no al cumplimiento de las obligaciones contractuales</w:t>
      </w:r>
      <w:r w:rsidRPr="0014781E">
        <w:rPr>
          <w:rFonts w:ascii="Verdana" w:eastAsia="Calibri" w:hAnsi="Verdana" w:cs="Arial"/>
          <w:i/>
          <w:iCs/>
          <w:color w:val="000000"/>
        </w:rPr>
        <w:t>.</w:t>
      </w:r>
      <w:r w:rsidRPr="0014781E">
        <w:rPr>
          <w:rFonts w:ascii="Verdana" w:eastAsia="Calibri" w:hAnsi="Verdana" w:cs="Arial"/>
          <w:color w:val="000000"/>
        </w:rPr>
        <w:t xml:space="preserve"> Por tanto, estas figuras no afectan la existencia, validez ni ejecución del contrato estatal en sí mismo, sino que condicionan la posibilidad de acudir ante la jurisdicción contencioso - administrativa o ante la administración para hacer valer derechos o reclamar obligaciones derivadas del mismo. </w:t>
      </w:r>
    </w:p>
    <w:p w14:paraId="74F8C814" w14:textId="77777777" w:rsidR="009B31D6" w:rsidRPr="0014781E" w:rsidRDefault="009B31D6" w:rsidP="009B31D6">
      <w:pPr>
        <w:spacing w:after="120" w:line="276" w:lineRule="auto"/>
        <w:ind w:firstLine="708"/>
        <w:jc w:val="both"/>
        <w:rPr>
          <w:rFonts w:ascii="Verdana" w:hAnsi="Verdana" w:cs="Arial"/>
        </w:rPr>
      </w:pPr>
      <w:r w:rsidRPr="0014781E">
        <w:rPr>
          <w:rFonts w:ascii="Verdana" w:eastAsia="Calibri" w:hAnsi="Verdana" w:cs="Arial"/>
          <w:color w:val="000000"/>
        </w:rPr>
        <w:t xml:space="preserve">Así las cosas, </w:t>
      </w:r>
      <w:r w:rsidRPr="0014781E">
        <w:rPr>
          <w:rFonts w:ascii="Verdana" w:hAnsi="Verdana" w:cs="Arial"/>
        </w:rPr>
        <w:t xml:space="preserve">al tratarse de un análisis que debe realizarse </w:t>
      </w:r>
      <w:r w:rsidRPr="0014781E">
        <w:rPr>
          <w:rFonts w:ascii="Verdana" w:eastAsia="Calibri" w:hAnsi="Verdana" w:cs="Arial"/>
          <w:color w:val="000000"/>
        </w:rPr>
        <w:t>para resolver problemas específicos en cada caso particular, relacionados con la caducidad y prescripción de determinada acción o derecho</w:t>
      </w:r>
      <w:r w:rsidRPr="0014781E">
        <w:rPr>
          <w:rFonts w:ascii="Verdana" w:hAnsi="Verdana" w:cs="Arial"/>
        </w:rPr>
        <w:t>, según corresponda,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w:t>
      </w:r>
    </w:p>
    <w:p w14:paraId="0720A06E" w14:textId="77777777" w:rsidR="009B31D6" w:rsidRPr="0014781E" w:rsidRDefault="009B31D6" w:rsidP="009B31D6">
      <w:pPr>
        <w:widowControl w:val="0"/>
        <w:autoSpaceDE w:val="0"/>
        <w:autoSpaceDN w:val="0"/>
        <w:spacing w:after="0" w:line="276" w:lineRule="auto"/>
        <w:jc w:val="both"/>
        <w:rPr>
          <w:rFonts w:ascii="Verdana" w:eastAsia="Arial" w:hAnsi="Verdana" w:cs="Arial"/>
          <w:lang w:val="es-ES"/>
        </w:rPr>
      </w:pPr>
    </w:p>
    <w:p w14:paraId="09B74480" w14:textId="77777777" w:rsidR="009B31D6" w:rsidRPr="0014781E" w:rsidRDefault="009B31D6" w:rsidP="009B31D6">
      <w:pPr>
        <w:numPr>
          <w:ilvl w:val="0"/>
          <w:numId w:val="1"/>
        </w:numPr>
        <w:tabs>
          <w:tab w:val="left" w:pos="142"/>
          <w:tab w:val="left" w:pos="284"/>
        </w:tabs>
        <w:spacing w:after="0" w:line="276" w:lineRule="auto"/>
        <w:jc w:val="both"/>
        <w:rPr>
          <w:rFonts w:ascii="Verdana" w:eastAsia="Century Gothic" w:hAnsi="Verdana" w:cs="Century Gothic"/>
          <w:b/>
          <w:bCs/>
        </w:rPr>
      </w:pPr>
      <w:r w:rsidRPr="0014781E">
        <w:rPr>
          <w:rFonts w:ascii="Verdana" w:eastAsia="Century Gothic" w:hAnsi="Verdana" w:cs="Century Gothic"/>
          <w:b/>
          <w:bCs/>
        </w:rPr>
        <w:t>Referencias normativas y jurisprudenciales:</w:t>
      </w:r>
    </w:p>
    <w:p w14:paraId="56CBA03D" w14:textId="77777777" w:rsidR="009B31D6" w:rsidRPr="0014781E" w:rsidRDefault="009B31D6" w:rsidP="009B31D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B31D6" w:rsidRPr="0014781E" w14:paraId="041032F4" w14:textId="77777777" w:rsidTr="000A2669">
        <w:trPr>
          <w:trHeight w:val="410"/>
          <w:jc w:val="center"/>
        </w:trPr>
        <w:tc>
          <w:tcPr>
            <w:tcW w:w="8647" w:type="dxa"/>
          </w:tcPr>
          <w:p w14:paraId="5CCF37C6" w14:textId="77777777" w:rsidR="009B31D6" w:rsidRPr="0014781E" w:rsidRDefault="009B31D6" w:rsidP="009B31D6">
            <w:pPr>
              <w:numPr>
                <w:ilvl w:val="0"/>
                <w:numId w:val="3"/>
              </w:numPr>
              <w:ind w:left="318" w:hanging="284"/>
              <w:contextualSpacing/>
              <w:rPr>
                <w:rFonts w:ascii="Verdana" w:hAnsi="Verdana" w:cs="Arial"/>
                <w:lang w:val="es-MX"/>
              </w:rPr>
            </w:pPr>
            <w:r w:rsidRPr="0014781E">
              <w:rPr>
                <w:rFonts w:ascii="Verdana" w:hAnsi="Verdana" w:cs="Arial"/>
                <w:lang w:val="es-MX"/>
              </w:rPr>
              <w:t xml:space="preserve">Ley 80 de 1993, artículos 14, 25 y 32, numeral 3º, 41 y 60. </w:t>
            </w:r>
          </w:p>
          <w:p w14:paraId="149B8B30" w14:textId="77777777" w:rsidR="009B31D6" w:rsidRPr="0014781E" w:rsidRDefault="009B31D6" w:rsidP="009B31D6">
            <w:pPr>
              <w:numPr>
                <w:ilvl w:val="0"/>
                <w:numId w:val="3"/>
              </w:numPr>
              <w:ind w:left="318" w:hanging="284"/>
              <w:contextualSpacing/>
              <w:rPr>
                <w:rFonts w:ascii="Verdana" w:hAnsi="Verdana" w:cs="Arial"/>
                <w:lang w:val="es-MX"/>
              </w:rPr>
            </w:pPr>
            <w:r w:rsidRPr="0014781E">
              <w:rPr>
                <w:rFonts w:ascii="Verdana" w:hAnsi="Verdana" w:cs="Arial"/>
                <w:lang w:val="es-MX"/>
              </w:rPr>
              <w:t xml:space="preserve">Ley 1150 de 2007, artículo 2, numeral 4º, literal h). </w:t>
            </w:r>
          </w:p>
          <w:p w14:paraId="2E376543" w14:textId="77777777" w:rsidR="009B31D6" w:rsidRPr="0014781E" w:rsidRDefault="009B31D6" w:rsidP="009B31D6">
            <w:pPr>
              <w:numPr>
                <w:ilvl w:val="0"/>
                <w:numId w:val="3"/>
              </w:numPr>
              <w:ind w:left="318" w:hanging="284"/>
              <w:contextualSpacing/>
              <w:rPr>
                <w:rFonts w:ascii="Verdana" w:hAnsi="Verdana" w:cs="Arial"/>
                <w:sz w:val="24"/>
                <w:lang w:val="es-MX"/>
              </w:rPr>
            </w:pPr>
            <w:r w:rsidRPr="0014781E">
              <w:rPr>
                <w:rFonts w:ascii="Verdana" w:hAnsi="Verdana" w:cs="Arial"/>
                <w:lang w:val="es-MX"/>
              </w:rPr>
              <w:t>Decreto 1082 de 2015, artículos 2.2.1.2.1.4.9.</w:t>
            </w:r>
            <w:r w:rsidRPr="0014781E">
              <w:rPr>
                <w:rFonts w:ascii="Verdana" w:hAnsi="Verdana" w:cs="Arial"/>
                <w:sz w:val="24"/>
                <w:lang w:val="es-MX"/>
              </w:rPr>
              <w:t xml:space="preserve"> y </w:t>
            </w:r>
            <w:r w:rsidRPr="0014781E">
              <w:rPr>
                <w:rFonts w:ascii="Verdana" w:eastAsia="Times New Roman" w:hAnsi="Verdana" w:cs="Arial"/>
                <w:color w:val="000000" w:themeColor="text1"/>
                <w:lang w:val="es-MX" w:eastAsia="es-CO"/>
              </w:rPr>
              <w:t>2.2.1.2.3.1.7</w:t>
            </w:r>
          </w:p>
          <w:p w14:paraId="1E34975B" w14:textId="77777777" w:rsidR="009B31D6" w:rsidRPr="0014781E" w:rsidRDefault="009B31D6" w:rsidP="009B31D6">
            <w:pPr>
              <w:numPr>
                <w:ilvl w:val="0"/>
                <w:numId w:val="3"/>
              </w:numPr>
              <w:ind w:left="318" w:hanging="284"/>
              <w:contextualSpacing/>
              <w:jc w:val="both"/>
              <w:rPr>
                <w:rFonts w:ascii="Verdana" w:hAnsi="Verdana" w:cs="Arial"/>
                <w:lang w:val="es-MX"/>
              </w:rPr>
            </w:pPr>
            <w:r w:rsidRPr="0014781E">
              <w:rPr>
                <w:rFonts w:ascii="Verdana" w:hAnsi="Verdana" w:cs="Arial"/>
              </w:rPr>
              <w:t xml:space="preserve">Guía Para la Incorporación de Lineamientos de Integridad en la Contratación de Prestación de Servicios. Disponible en: </w:t>
            </w:r>
            <w:hyperlink r:id="rId13" w:history="1">
              <w:r w:rsidRPr="0014781E">
                <w:rPr>
                  <w:rFonts w:ascii="Verdana" w:hAnsi="Verdana" w:cs="Arial"/>
                  <w:color w:val="0563C1" w:themeColor="hyperlink"/>
                  <w:u w:val="single"/>
                </w:rPr>
                <w:t>https://www.colombiacompra.gov.co/wp-content/uploads/2024/08/cce-eicp-gi-23_guia_contratacion_prestacion_de_servicios_v1_11-07-2023_def_1_1.pdf</w:t>
              </w:r>
            </w:hyperlink>
            <w:r w:rsidRPr="0014781E">
              <w:rPr>
                <w:rFonts w:ascii="Verdana" w:hAnsi="Verdana" w:cs="Arial"/>
              </w:rPr>
              <w:t xml:space="preserve"> </w:t>
            </w:r>
          </w:p>
          <w:p w14:paraId="629F33A1" w14:textId="77777777" w:rsidR="009B31D6" w:rsidRPr="0014781E" w:rsidRDefault="009B31D6" w:rsidP="009B31D6">
            <w:pPr>
              <w:numPr>
                <w:ilvl w:val="0"/>
                <w:numId w:val="3"/>
              </w:numPr>
              <w:ind w:left="318" w:hanging="284"/>
              <w:contextualSpacing/>
              <w:jc w:val="both"/>
              <w:rPr>
                <w:rFonts w:ascii="Verdana" w:hAnsi="Verdana" w:cs="Arial"/>
                <w:lang w:val="es-MX"/>
              </w:rPr>
            </w:pPr>
            <w:r w:rsidRPr="0014781E">
              <w:rPr>
                <w:rFonts w:ascii="Verdana" w:hAnsi="Verdana" w:cs="Arial"/>
                <w:color w:val="000000"/>
                <w:lang w:val="es-MX"/>
              </w:rPr>
              <w:t>Consejo De Estado, Sala de Consulta y Servicio Civil. Radicado No. 1453. Concepto de 6 de agosto de 2003. MP. Augusto Trejos.</w:t>
            </w:r>
          </w:p>
          <w:p w14:paraId="108CA2D3" w14:textId="77777777" w:rsidR="009B31D6" w:rsidRPr="0014781E" w:rsidRDefault="009B31D6" w:rsidP="009B31D6">
            <w:pPr>
              <w:numPr>
                <w:ilvl w:val="0"/>
                <w:numId w:val="3"/>
              </w:numPr>
              <w:ind w:left="318" w:hanging="284"/>
              <w:contextualSpacing/>
              <w:jc w:val="both"/>
              <w:rPr>
                <w:rFonts w:ascii="Verdana" w:hAnsi="Verdana" w:cs="Arial"/>
                <w:lang w:val="es-MX"/>
              </w:rPr>
            </w:pPr>
            <w:r w:rsidRPr="0014781E">
              <w:rPr>
                <w:rFonts w:ascii="Verdana" w:hAnsi="Verdana" w:cs="Arial"/>
                <w:lang w:val="es-MX"/>
              </w:rPr>
              <w:t>Consejo De Estado. Sección Tercera. Subsección A. Sentencia del 12 de febrero de 2015. Exp.  28278. C.P. Carlos Alberto Zambrano Barrera.</w:t>
            </w:r>
          </w:p>
          <w:p w14:paraId="7E4F2B60" w14:textId="77777777" w:rsidR="009B31D6" w:rsidRPr="0014781E" w:rsidRDefault="009B31D6" w:rsidP="009B31D6">
            <w:pPr>
              <w:numPr>
                <w:ilvl w:val="0"/>
                <w:numId w:val="3"/>
              </w:numPr>
              <w:ind w:left="318" w:hanging="284"/>
              <w:contextualSpacing/>
              <w:jc w:val="both"/>
              <w:rPr>
                <w:rFonts w:ascii="Verdana" w:hAnsi="Verdana" w:cs="Arial"/>
                <w:lang w:val="es-MX"/>
              </w:rPr>
            </w:pPr>
            <w:r w:rsidRPr="0014781E">
              <w:rPr>
                <w:rFonts w:ascii="Verdana" w:hAnsi="Verdana" w:cs="Arial"/>
                <w:color w:val="000000"/>
                <w:lang w:val="es-ES"/>
              </w:rPr>
              <w:t>Consejo de Estado. Sección Tercera. Subsección C. Sentencia del 2 de diciembre de 2013. Exp. 41719. Consejero Ponente: Jaime Orlando Santofimio Gamboa.</w:t>
            </w:r>
          </w:p>
          <w:p w14:paraId="3E4000F4" w14:textId="77777777" w:rsidR="009B31D6" w:rsidRPr="0014781E" w:rsidRDefault="009B31D6" w:rsidP="009B31D6">
            <w:pPr>
              <w:numPr>
                <w:ilvl w:val="0"/>
                <w:numId w:val="3"/>
              </w:numPr>
              <w:ind w:left="318" w:hanging="284"/>
              <w:contextualSpacing/>
              <w:jc w:val="both"/>
              <w:rPr>
                <w:rFonts w:ascii="Verdana" w:hAnsi="Verdana" w:cs="Arial"/>
                <w:lang w:val="es-MX"/>
              </w:rPr>
            </w:pPr>
            <w:r w:rsidRPr="0014781E">
              <w:rPr>
                <w:rFonts w:ascii="Verdana" w:hAnsi="Verdana" w:cs="Arial"/>
                <w:color w:val="000000"/>
                <w:lang w:val="es-ES"/>
              </w:rPr>
              <w:t>Corte Constitucional. Sentencia C-154 de 1997. Magistrado Ponente: Hernando Herrera Vergara.</w:t>
            </w:r>
          </w:p>
          <w:p w14:paraId="38716CE1" w14:textId="77777777" w:rsidR="009B31D6" w:rsidRPr="0014781E" w:rsidRDefault="009B31D6" w:rsidP="009B31D6">
            <w:pPr>
              <w:numPr>
                <w:ilvl w:val="0"/>
                <w:numId w:val="3"/>
              </w:numPr>
              <w:ind w:left="318" w:hanging="284"/>
              <w:contextualSpacing/>
              <w:jc w:val="both"/>
              <w:rPr>
                <w:rFonts w:ascii="Verdana" w:hAnsi="Verdana" w:cs="Arial"/>
                <w:lang w:val="es-MX"/>
              </w:rPr>
            </w:pPr>
            <w:r w:rsidRPr="0014781E">
              <w:rPr>
                <w:rFonts w:ascii="Verdana" w:eastAsia="Arial Nova" w:hAnsi="Verdana" w:cs="Arial"/>
                <w:lang w:val="es"/>
              </w:rPr>
              <w:t xml:space="preserve">Corte Constitucional. Sentencia C-614 de 2009. M.P. Jorge Ignacio Pretelt Chaljub. </w:t>
            </w:r>
          </w:p>
          <w:p w14:paraId="726ABE37" w14:textId="77777777" w:rsidR="009B31D6" w:rsidRPr="0014781E" w:rsidRDefault="009B31D6" w:rsidP="009B31D6">
            <w:pPr>
              <w:numPr>
                <w:ilvl w:val="0"/>
                <w:numId w:val="3"/>
              </w:numPr>
              <w:ind w:left="318" w:hanging="284"/>
              <w:contextualSpacing/>
              <w:jc w:val="both"/>
              <w:rPr>
                <w:rFonts w:ascii="Verdana" w:hAnsi="Verdana" w:cs="Arial"/>
                <w:lang w:val="es-MX"/>
              </w:rPr>
            </w:pPr>
            <w:r w:rsidRPr="0014781E">
              <w:rPr>
                <w:rFonts w:ascii="Verdana" w:hAnsi="Verdana" w:cs="Arial"/>
                <w:color w:val="000000"/>
                <w:lang w:val="es-ES"/>
              </w:rPr>
              <w:lastRenderedPageBreak/>
              <w:t>Corte Constitucional. Sentencia C-154 de 1997. Magistrado Ponente: Hernando Herrera Vergara.</w:t>
            </w:r>
          </w:p>
        </w:tc>
      </w:tr>
    </w:tbl>
    <w:p w14:paraId="7C7F6E90" w14:textId="77777777" w:rsidR="009B31D6" w:rsidRPr="0014781E" w:rsidRDefault="009B31D6" w:rsidP="009B31D6">
      <w:pPr>
        <w:widowControl w:val="0"/>
        <w:autoSpaceDE w:val="0"/>
        <w:autoSpaceDN w:val="0"/>
        <w:spacing w:after="0" w:line="276" w:lineRule="auto"/>
        <w:jc w:val="both"/>
        <w:rPr>
          <w:rFonts w:ascii="Verdana" w:hAnsi="Verdana" w:cs="Arial"/>
        </w:rPr>
      </w:pPr>
    </w:p>
    <w:p w14:paraId="3FC185CB" w14:textId="77777777" w:rsidR="009B31D6" w:rsidRPr="0014781E" w:rsidRDefault="009B31D6" w:rsidP="009B31D6">
      <w:pPr>
        <w:numPr>
          <w:ilvl w:val="0"/>
          <w:numId w:val="1"/>
        </w:numPr>
        <w:tabs>
          <w:tab w:val="left" w:pos="142"/>
          <w:tab w:val="left" w:pos="284"/>
        </w:tabs>
        <w:spacing w:after="0" w:line="276" w:lineRule="auto"/>
        <w:jc w:val="both"/>
        <w:rPr>
          <w:rFonts w:ascii="Verdana" w:eastAsia="Century Gothic" w:hAnsi="Verdana" w:cs="Century Gothic"/>
          <w:b/>
          <w:bCs/>
        </w:rPr>
      </w:pPr>
      <w:r w:rsidRPr="0014781E">
        <w:rPr>
          <w:rFonts w:ascii="Verdana" w:eastAsia="Century Gothic" w:hAnsi="Verdana" w:cs="Century Gothic"/>
          <w:b/>
          <w:bCs/>
        </w:rPr>
        <w:t>Doctrina de la Agencia Nacional de Contratación Pública:</w:t>
      </w:r>
    </w:p>
    <w:p w14:paraId="7E36A3C5" w14:textId="77777777" w:rsidR="009B31D6" w:rsidRPr="0014781E" w:rsidRDefault="009B31D6" w:rsidP="009B31D6">
      <w:pPr>
        <w:widowControl w:val="0"/>
        <w:autoSpaceDE w:val="0"/>
        <w:autoSpaceDN w:val="0"/>
        <w:spacing w:after="0" w:line="276" w:lineRule="auto"/>
        <w:jc w:val="both"/>
        <w:rPr>
          <w:rFonts w:ascii="Verdana" w:hAnsi="Verdana" w:cs="Arial"/>
        </w:rPr>
      </w:pPr>
    </w:p>
    <w:p w14:paraId="1135B368" w14:textId="77777777" w:rsidR="009B31D6" w:rsidRPr="0014781E" w:rsidRDefault="009B31D6" w:rsidP="009B31D6">
      <w:pPr>
        <w:widowControl w:val="0"/>
        <w:autoSpaceDE w:val="0"/>
        <w:autoSpaceDN w:val="0"/>
        <w:spacing w:after="0" w:line="276" w:lineRule="auto"/>
        <w:jc w:val="both"/>
        <w:rPr>
          <w:rFonts w:ascii="Verdana" w:eastAsia="Aptos" w:hAnsi="Verdana" w:cs="Segoe UI"/>
          <w:kern w:val="2"/>
          <w14:ligatures w14:val="standardContextual"/>
        </w:rPr>
      </w:pPr>
      <w:r w:rsidRPr="0014781E">
        <w:rPr>
          <w:rFonts w:ascii="Verdana" w:hAnsi="Verdana" w:cs="Arial"/>
          <w:shd w:val="clear" w:color="auto" w:fill="FFFFFF"/>
          <w:lang w:val="es-ES"/>
        </w:rPr>
        <w:t>Sobre los contratos de prestación de servicios, así como los requisitos para su celebración, entre otros, se pronunció esta Subdirección en los conceptos</w:t>
      </w:r>
      <w:r w:rsidRPr="0014781E">
        <w:rPr>
          <w:rFonts w:ascii="Verdana" w:hAnsi="Verdana" w:cs="Calibri"/>
          <w:shd w:val="clear" w:color="auto" w:fill="FFFFFF"/>
        </w:rPr>
        <w:t xml:space="preserve"> </w:t>
      </w:r>
      <w:r w:rsidRPr="0014781E">
        <w:rPr>
          <w:rFonts w:ascii="Verdana" w:hAnsi="Verdana" w:cs="Arial"/>
          <w:shd w:val="clear" w:color="auto" w:fill="FFFFFF"/>
          <w:lang w:val="es-ES"/>
        </w:rPr>
        <w:t>4201913000006452 del 07 de octubre de 2019, 4201912000006434 del 30 de octubre de 2019, 4201913000006444 del 01 de noviembre de 2019, 4201913000006331 del 07 de noviembre de 2019, 4201912000006692 del 12 de noviembre de 2019de noviembre de 2019, 4201912000006692 del 12 de noviembre  de 20194201912000007378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C−282del 12 de mayo de 2020, C−238 del 18 de mayo de 2020, C−260 del 18 de mayo de 2020, C−288 del 21 de mayo de 2020, C−293 del 12 de mayo de 2020, C−313 del 21 de mayo de 2020, C−345 del 21 de mayo de 2020, C−359 del 04de junio de 2020, C−379 del 30 de junio de 2020, C−414 del 30 de junio de 2020,C-661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y C-372 del 26 de Agosto 2024, C-904 del 9 de diciembre de 2024 y C-363 del 15 de abril de 2025, entre otros</w:t>
      </w:r>
      <w:r w:rsidRPr="0014781E">
        <w:rPr>
          <w:rFonts w:ascii="Verdana" w:eastAsia="Aptos" w:hAnsi="Verdana" w:cs="Segoe UI"/>
          <w:kern w:val="2"/>
          <w14:ligatures w14:val="standardContextual"/>
        </w:rPr>
        <w:t>.</w:t>
      </w:r>
      <w:r w:rsidRPr="0014781E">
        <w:rPr>
          <w:rFonts w:ascii="Verdana" w:eastAsia="Aptos" w:hAnsi="Verdana" w:cs="Arial"/>
          <w:shd w:val="clear" w:color="auto" w:fill="FFFFFF"/>
        </w:rPr>
        <w:t xml:space="preserve"> </w:t>
      </w:r>
      <w:r w:rsidRPr="0014781E">
        <w:rPr>
          <w:rFonts w:ascii="Verdana" w:hAnsi="Verdana" w:cs="Arial"/>
          <w:shd w:val="clear" w:color="auto" w:fill="FFFFFF"/>
        </w:rPr>
        <w:t>Es</w:t>
      </w:r>
      <w:r w:rsidRPr="0014781E">
        <w:rPr>
          <w:rFonts w:ascii="Verdana" w:hAnsi="Verdana"/>
        </w:rPr>
        <w:t>te y otros conceptos se encuentran disponibles para consulta en el Sistema de relatoría de la Agencia, al cual se puede acceder a través del siguiente enlace:</w:t>
      </w:r>
      <w:r w:rsidRPr="0014781E">
        <w:rPr>
          <w:rFonts w:ascii="Verdana" w:hAnsi="Verdana" w:cs="Arial"/>
          <w:shd w:val="clear" w:color="auto" w:fill="FFFFFF"/>
        </w:rPr>
        <w:t xml:space="preserve"> </w:t>
      </w:r>
      <w:hyperlink r:id="rId14" w:history="1">
        <w:r w:rsidRPr="0014781E">
          <w:rPr>
            <w:rFonts w:ascii="Verdana" w:hAnsi="Verdana" w:cs="Arial"/>
            <w:color w:val="0000FF"/>
            <w:u w:val="single"/>
            <w:shd w:val="clear" w:color="auto" w:fill="FFFFFF"/>
          </w:rPr>
          <w:t>https://relatoria.colombiacompra.gov.co/</w:t>
        </w:r>
      </w:hyperlink>
      <w:r w:rsidRPr="0014781E">
        <w:rPr>
          <w:rFonts w:ascii="Verdana" w:hAnsi="Verdana" w:cs="Arial"/>
          <w:shd w:val="clear" w:color="auto" w:fill="FFFFFF"/>
        </w:rPr>
        <w:t xml:space="preserve"> </w:t>
      </w:r>
    </w:p>
    <w:p w14:paraId="5430538E" w14:textId="77777777" w:rsidR="009B31D6" w:rsidRPr="0014781E" w:rsidRDefault="009B31D6" w:rsidP="009B31D6">
      <w:pPr>
        <w:widowControl w:val="0"/>
        <w:autoSpaceDE w:val="0"/>
        <w:autoSpaceDN w:val="0"/>
        <w:spacing w:after="0" w:line="276" w:lineRule="auto"/>
        <w:jc w:val="both"/>
        <w:rPr>
          <w:rFonts w:ascii="Verdana" w:hAnsi="Verdana" w:cs="Arial"/>
          <w:shd w:val="clear" w:color="auto" w:fill="FFFFFF"/>
        </w:rPr>
      </w:pPr>
    </w:p>
    <w:p w14:paraId="5D023FF5" w14:textId="77777777" w:rsidR="009B31D6" w:rsidRPr="0014781E" w:rsidRDefault="009B31D6" w:rsidP="009B31D6">
      <w:pPr>
        <w:widowControl w:val="0"/>
        <w:autoSpaceDE w:val="0"/>
        <w:autoSpaceDN w:val="0"/>
        <w:spacing w:after="120" w:line="276" w:lineRule="auto"/>
        <w:jc w:val="both"/>
        <w:rPr>
          <w:rFonts w:ascii="Verdana" w:hAnsi="Verdana" w:cs="Arial"/>
          <w:shd w:val="clear" w:color="auto" w:fill="FFFFFF"/>
        </w:rPr>
      </w:pPr>
      <w:r w:rsidRPr="0014781E">
        <w:rPr>
          <w:rFonts w:ascii="Verdana" w:eastAsia="Times New Roman" w:hAnsi="Verdana" w:cs="Times New Roman"/>
          <w:color w:val="000000"/>
          <w:lang w:eastAsia="es-CO"/>
        </w:rPr>
        <w:t>La Agencia Nacional de Contratación Pública – Colombia Compra Eficiente invita a las Entidades Estatales, a los actores del Sistema de Compra Pública y a la ciudadanía en general a conocer y participar en la actualización de la </w:t>
      </w:r>
      <w:r w:rsidRPr="0014781E">
        <w:rPr>
          <w:rFonts w:ascii="Verdana" w:eastAsia="Times New Roman" w:hAnsi="Verdana" w:cs="Times New Roman"/>
          <w:b/>
          <w:bCs/>
          <w:i/>
          <w:iCs/>
          <w:color w:val="000000"/>
          <w:lang w:eastAsia="es-CO"/>
        </w:rPr>
        <w:t>Guía para la Elaboración de Estudios del Sector</w:t>
      </w:r>
      <w:r w:rsidRPr="0014781E">
        <w:rPr>
          <w:rFonts w:ascii="Verdana" w:eastAsia="Times New Roman" w:hAnsi="Verdana" w:cs="Times New Roman"/>
          <w:color w:val="000000"/>
          <w:lang w:eastAsia="es-CO"/>
        </w:rPr>
        <w:t xml:space="preserve">. Esta herramienta orientadora facilita el análisis del mercado del bien, obra o servicio a contratar, y tiene como </w:t>
      </w:r>
      <w:r w:rsidRPr="0014781E">
        <w:rPr>
          <w:rFonts w:ascii="Verdana" w:eastAsia="Times New Roman" w:hAnsi="Verdana" w:cs="Times New Roman"/>
          <w:color w:val="000000"/>
          <w:lang w:eastAsia="es-CO"/>
        </w:rPr>
        <w:lastRenderedPageBreak/>
        <w:t>propósito promover procesos de contratación más eficientes, competitivos, sostenibles e inclusivos. La guía se encuentra disponible para consulta y comentarios hasta el 22 de mayo de 2025, a través del siguiente enlace: </w:t>
      </w:r>
      <w:hyperlink r:id="rId15" w:tgtFrame="_blank" w:tooltip="Dirección URL original: https://www.colombiacompra.gov.co/archivos/convocatoria/participacion-ciudadana-proyecto-de-la-guia-para-la-elaboracion-de-estudios-del-sector. Haga clic o pulse si confía en este vínculo." w:history="1">
        <w:r w:rsidRPr="0014781E">
          <w:rPr>
            <w:rFonts w:ascii="Verdana" w:eastAsia="Times New Roman" w:hAnsi="Verdana" w:cs="Times New Roman"/>
            <w:color w:val="1A60A6"/>
            <w:u w:val="single"/>
            <w:bdr w:val="none" w:sz="0" w:space="0" w:color="auto" w:frame="1"/>
            <w:lang w:eastAsia="es-CO"/>
          </w:rPr>
          <w:t>https://www.colombiacompra.gov.co/archivos/convocatoria/participacion-ciudadana-proyecto-de-la-guia-para-la-</w:t>
        </w:r>
      </w:hyperlink>
    </w:p>
    <w:p w14:paraId="3A5C7DE2" w14:textId="77777777" w:rsidR="009B31D6" w:rsidRPr="0014781E" w:rsidRDefault="009B31D6" w:rsidP="009B31D6">
      <w:pPr>
        <w:shd w:val="clear" w:color="auto" w:fill="FFFFFF"/>
        <w:spacing w:after="120" w:line="276" w:lineRule="auto"/>
        <w:jc w:val="both"/>
        <w:textAlignment w:val="baseline"/>
        <w:rPr>
          <w:rFonts w:ascii="Verdana" w:eastAsia="Times New Roman" w:hAnsi="Verdana" w:cs="Times New Roman"/>
          <w:color w:val="000000"/>
          <w:lang w:eastAsia="es-CO"/>
        </w:rPr>
      </w:pPr>
      <w:r w:rsidRPr="0014781E">
        <w:rPr>
          <w:rFonts w:ascii="Verdana" w:eastAsia="Times New Roman" w:hAnsi="Verdana" w:cs="Times New Roman"/>
          <w:color w:val="000000"/>
          <w:lang w:eastAsia="es-CO"/>
        </w:rPr>
        <w:t>De otra parte, te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23 de mayo de 2025.  Puede consultar la información en el siguiente enlace: </w:t>
      </w:r>
      <w:hyperlink r:id="rId16" w:tgtFrame="_blank" w:tooltip="Dirección URL original: https://www.colombiacompra.gov.co/normativa-y-relatoria/documentos-tipo. Haga clic o pulse si confía en este vínculo." w:history="1">
        <w:r w:rsidRPr="0014781E">
          <w:rPr>
            <w:rFonts w:ascii="Verdana" w:eastAsia="Times New Roman" w:hAnsi="Verdana" w:cs="Times New Roman"/>
            <w:color w:val="0000FF"/>
            <w:u w:val="single"/>
            <w:bdr w:val="none" w:sz="0" w:space="0" w:color="auto" w:frame="1"/>
            <w:lang w:eastAsia="es-CO"/>
          </w:rPr>
          <w:t>Documentos Tipo – ANCP Colombia Compra Eficiente</w:t>
        </w:r>
      </w:hyperlink>
      <w:r w:rsidRPr="0014781E">
        <w:rPr>
          <w:rFonts w:ascii="Verdana" w:eastAsia="Times New Roman" w:hAnsi="Verdana" w:cs="Times New Roman"/>
          <w:color w:val="000000"/>
          <w:u w:val="single"/>
          <w:lang w:eastAsia="es-CO"/>
        </w:rPr>
        <w:t> </w:t>
      </w:r>
    </w:p>
    <w:p w14:paraId="095625D1" w14:textId="77777777" w:rsidR="009B31D6" w:rsidRPr="0014781E" w:rsidRDefault="009B31D6" w:rsidP="009B31D6">
      <w:pPr>
        <w:shd w:val="clear" w:color="auto" w:fill="FFFFFF"/>
        <w:spacing w:after="120" w:line="276" w:lineRule="auto"/>
        <w:jc w:val="both"/>
        <w:textAlignment w:val="baseline"/>
        <w:rPr>
          <w:rFonts w:ascii="Verdana" w:eastAsia="Times New Roman" w:hAnsi="Verdana" w:cs="Times New Roman"/>
          <w:color w:val="242424"/>
          <w:lang w:eastAsia="es-CO"/>
        </w:rPr>
      </w:pPr>
      <w:r w:rsidRPr="0014781E">
        <w:rPr>
          <w:rFonts w:ascii="Verdana" w:eastAsia="Times New Roman" w:hAnsi="Verdana" w:cs="Times New Roman"/>
          <w:color w:val="000000"/>
          <w:bdr w:val="none" w:sz="0" w:space="0" w:color="auto" w:frame="1"/>
          <w:lang w:eastAsia="es-CO"/>
        </w:rPr>
        <w:t>También le contamos que ya se encuentra disponible la </w:t>
      </w:r>
      <w:r w:rsidRPr="0014781E">
        <w:rPr>
          <w:rFonts w:ascii="Verdana" w:eastAsia="Times New Roman" w:hAnsi="Verdana" w:cs="Times New Roman"/>
          <w:b/>
          <w:bCs/>
          <w:color w:val="000000"/>
          <w:bdr w:val="none" w:sz="0" w:space="0" w:color="auto" w:frame="1"/>
          <w:lang w:eastAsia="es-CO"/>
        </w:rPr>
        <w:t>Guía de lineamientos de transparencia y selección objetiva para el departamento de La Guajira – Objetivo sexto constitucional de la Sentencia T-302 del 2017. </w:t>
      </w:r>
      <w:r w:rsidRPr="0014781E">
        <w:rPr>
          <w:rFonts w:ascii="Verdana" w:eastAsia="Times New Roman" w:hAnsi="Verdana" w:cs="Times New Roman"/>
          <w:color w:val="000000"/>
          <w:bdr w:val="none" w:sz="0" w:space="0" w:color="auto" w:frame="1"/>
          <w:lang w:eastAsia="es-CO"/>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7" w:tgtFrame="_blank" w:tooltip="Dirección URL original: https://www.colombiacompra.gov.co/wp-content/uploads/2025/05/GUIA-DE-LINEAMIENTOS-DE-TRANSPARENCIA-Y-SELECCION-OBJETIVA-1.0.pdf. Haga clic o pulse si confía en este vínculo." w:history="1">
        <w:r w:rsidRPr="0014781E">
          <w:rPr>
            <w:rFonts w:ascii="Verdana" w:eastAsia="Times New Roman" w:hAnsi="Verdana" w:cs="Times New Roman"/>
            <w:color w:val="467886"/>
            <w:u w:val="single"/>
            <w:bdr w:val="none" w:sz="0" w:space="0" w:color="auto" w:frame="1"/>
            <w:lang w:eastAsia="es-CO"/>
          </w:rPr>
          <w:t>Guía de lineamientos de transparencia y selección objetiva para el departamento de La Guajira – Objetivo sexto constitucional de la Sentencia T-302 del 2017</w:t>
        </w:r>
      </w:hyperlink>
      <w:r w:rsidRPr="0014781E">
        <w:rPr>
          <w:rFonts w:ascii="Verdana" w:eastAsia="Times New Roman" w:hAnsi="Verdana" w:cs="Times New Roman"/>
          <w:color w:val="467886"/>
          <w:u w:val="single"/>
          <w:bdr w:val="none" w:sz="0" w:space="0" w:color="auto" w:frame="1"/>
          <w:lang w:eastAsia="es-CO"/>
        </w:rPr>
        <w:t>"</w:t>
      </w:r>
    </w:p>
    <w:p w14:paraId="48F566D1" w14:textId="77777777" w:rsidR="009B31D6" w:rsidRPr="0014781E" w:rsidRDefault="009B31D6" w:rsidP="009B31D6">
      <w:pPr>
        <w:widowControl w:val="0"/>
        <w:autoSpaceDE w:val="0"/>
        <w:autoSpaceDN w:val="0"/>
        <w:spacing w:after="0" w:line="276" w:lineRule="auto"/>
        <w:jc w:val="both"/>
        <w:rPr>
          <w:rFonts w:ascii="Verdana" w:hAnsi="Verdana" w:cs="Arial"/>
        </w:rPr>
      </w:pPr>
      <w:r w:rsidRPr="0014781E">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97639FE" w14:textId="77777777" w:rsidR="009B31D6" w:rsidRPr="0014781E" w:rsidRDefault="009B31D6" w:rsidP="009B31D6">
      <w:pPr>
        <w:widowControl w:val="0"/>
        <w:autoSpaceDE w:val="0"/>
        <w:autoSpaceDN w:val="0"/>
        <w:spacing w:after="0" w:line="276" w:lineRule="auto"/>
        <w:jc w:val="both"/>
        <w:rPr>
          <w:rFonts w:ascii="Verdana" w:hAnsi="Verdana" w:cs="Arial"/>
        </w:rPr>
      </w:pPr>
    </w:p>
    <w:p w14:paraId="179B857D" w14:textId="77777777" w:rsidR="009B31D6" w:rsidRPr="0014781E" w:rsidRDefault="009B31D6" w:rsidP="009B31D6">
      <w:pPr>
        <w:spacing w:after="0" w:line="276" w:lineRule="auto"/>
        <w:rPr>
          <w:rFonts w:ascii="Verdana" w:hAnsi="Verdana" w:cs="Arial"/>
          <w:lang w:eastAsia="es-CO"/>
        </w:rPr>
      </w:pPr>
      <w:r w:rsidRPr="0014781E">
        <w:rPr>
          <w:rFonts w:ascii="Verdana" w:eastAsia="Times New Roman" w:hAnsi="Verdana" w:cs="Arial"/>
          <w:lang w:eastAsia="es-CO"/>
        </w:rPr>
        <w:t>Atentamente,</w:t>
      </w:r>
      <w:r w:rsidRPr="0014781E">
        <w:rPr>
          <w:rFonts w:ascii="Verdana" w:hAnsi="Verdana" w:cs="Arial"/>
          <w:lang w:eastAsia="es-CO"/>
        </w:rPr>
        <w:t xml:space="preserve"> </w:t>
      </w:r>
    </w:p>
    <w:p w14:paraId="445CD970" w14:textId="20F8F5D8" w:rsidR="009B31D6" w:rsidRPr="0014781E" w:rsidRDefault="00E34AAD" w:rsidP="009B31D6">
      <w:pPr>
        <w:spacing w:line="276" w:lineRule="auto"/>
        <w:jc w:val="center"/>
        <w:rPr>
          <w:rFonts w:ascii="Verdana" w:hAnsi="Verdana" w:cs="Arial"/>
          <w:color w:val="000000"/>
          <w:lang w:eastAsia="es-CO"/>
        </w:rPr>
      </w:pPr>
      <w:r>
        <w:rPr>
          <w:noProof/>
        </w:rPr>
        <w:drawing>
          <wp:inline distT="0" distB="0" distL="0" distR="0" wp14:anchorId="09FC1F9C" wp14:editId="285569BB">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360420" cy="113538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B31D6" w:rsidRPr="0014781E" w14:paraId="4B602CED" w14:textId="77777777" w:rsidTr="000A2669">
        <w:trPr>
          <w:trHeight w:val="315"/>
        </w:trPr>
        <w:tc>
          <w:tcPr>
            <w:tcW w:w="893" w:type="dxa"/>
            <w:vAlign w:val="center"/>
            <w:hideMark/>
          </w:tcPr>
          <w:p w14:paraId="390E6D0A" w14:textId="77777777" w:rsidR="009B31D6" w:rsidRPr="0014781E" w:rsidRDefault="009B31D6" w:rsidP="000A2669">
            <w:pPr>
              <w:contextualSpacing/>
              <w:rPr>
                <w:rFonts w:ascii="Verdana" w:hAnsi="Verdana" w:cs="Arial"/>
                <w:sz w:val="16"/>
                <w:szCs w:val="16"/>
                <w:lang w:eastAsia="es-ES"/>
              </w:rPr>
            </w:pPr>
            <w:r w:rsidRPr="0014781E">
              <w:rPr>
                <w:rFonts w:ascii="Verdana" w:hAnsi="Verdana" w:cs="Arial"/>
                <w:sz w:val="16"/>
                <w:szCs w:val="16"/>
                <w:lang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979D9D1" w14:textId="77777777" w:rsidR="009B31D6" w:rsidRPr="0014781E" w:rsidRDefault="009B31D6" w:rsidP="000A2669">
            <w:pPr>
              <w:contextualSpacing/>
              <w:rPr>
                <w:rFonts w:ascii="Verdana" w:hAnsi="Verdana"/>
                <w:sz w:val="16"/>
                <w:szCs w:val="16"/>
              </w:rPr>
            </w:pPr>
            <w:r w:rsidRPr="0014781E">
              <w:rPr>
                <w:rFonts w:ascii="Verdana" w:hAnsi="Verdana"/>
                <w:sz w:val="16"/>
                <w:szCs w:val="16"/>
              </w:rPr>
              <w:t>Tatiana Baquero Iguarán</w:t>
            </w:r>
          </w:p>
          <w:p w14:paraId="52A6282D" w14:textId="77777777" w:rsidR="009B31D6" w:rsidRPr="0014781E" w:rsidRDefault="009B31D6" w:rsidP="000A2669">
            <w:pPr>
              <w:contextualSpacing/>
              <w:rPr>
                <w:rFonts w:ascii="Verdana" w:eastAsia="Arial" w:hAnsi="Verdana" w:cs="Arial"/>
                <w:sz w:val="16"/>
                <w:szCs w:val="16"/>
              </w:rPr>
            </w:pPr>
            <w:r w:rsidRPr="0014781E">
              <w:rPr>
                <w:rFonts w:ascii="Verdana" w:hAnsi="Verdana"/>
                <w:sz w:val="16"/>
                <w:szCs w:val="16"/>
              </w:rPr>
              <w:t>Contratista de la Subdirección de Gestión Contractual</w:t>
            </w:r>
          </w:p>
        </w:tc>
      </w:tr>
      <w:tr w:rsidR="009B31D6" w:rsidRPr="0014781E" w14:paraId="5B90EA9D" w14:textId="77777777" w:rsidTr="000A2669">
        <w:trPr>
          <w:trHeight w:val="330"/>
        </w:trPr>
        <w:tc>
          <w:tcPr>
            <w:tcW w:w="893" w:type="dxa"/>
            <w:vAlign w:val="center"/>
            <w:hideMark/>
          </w:tcPr>
          <w:p w14:paraId="43A84D20" w14:textId="77777777" w:rsidR="009B31D6" w:rsidRPr="0014781E" w:rsidRDefault="009B31D6" w:rsidP="000A2669">
            <w:pPr>
              <w:contextualSpacing/>
              <w:rPr>
                <w:rFonts w:ascii="Verdana" w:hAnsi="Verdana" w:cs="Arial"/>
                <w:sz w:val="16"/>
                <w:szCs w:val="16"/>
                <w:lang w:eastAsia="es-ES"/>
              </w:rPr>
            </w:pPr>
            <w:r w:rsidRPr="0014781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AA393FA" w14:textId="77777777" w:rsidR="009B31D6" w:rsidRPr="0014781E" w:rsidRDefault="009B31D6" w:rsidP="000A2669">
            <w:pPr>
              <w:textAlignment w:val="baseline"/>
              <w:rPr>
                <w:rFonts w:ascii="Verdana" w:eastAsia="Times New Roman" w:hAnsi="Verdana" w:cs="Arial"/>
                <w:sz w:val="16"/>
                <w:szCs w:val="16"/>
                <w:lang w:val="es-MX" w:eastAsia="es-CO"/>
              </w:rPr>
            </w:pPr>
            <w:r w:rsidRPr="0014781E">
              <w:rPr>
                <w:rFonts w:ascii="Verdana" w:eastAsia="Times New Roman" w:hAnsi="Verdana" w:cs="Arial"/>
                <w:sz w:val="16"/>
                <w:szCs w:val="16"/>
                <w:lang w:val="es-MX" w:eastAsia="es-CO"/>
              </w:rPr>
              <w:t>Alejandro Raúl Sarmiento Cantillo</w:t>
            </w:r>
          </w:p>
          <w:p w14:paraId="60709F02" w14:textId="77777777" w:rsidR="009B31D6" w:rsidRPr="0014781E" w:rsidRDefault="009B31D6" w:rsidP="000A2669">
            <w:pPr>
              <w:spacing w:before="100" w:beforeAutospacing="1" w:after="100" w:afterAutospacing="1"/>
              <w:contextualSpacing/>
              <w:textAlignment w:val="baseline"/>
              <w:rPr>
                <w:rFonts w:ascii="Verdana" w:eastAsia="Times New Roman" w:hAnsi="Verdana" w:cs="Segoe UI"/>
                <w:sz w:val="16"/>
                <w:szCs w:val="16"/>
                <w:lang w:eastAsia="es-ES_tradnl"/>
              </w:rPr>
            </w:pPr>
            <w:r w:rsidRPr="0014781E">
              <w:rPr>
                <w:rFonts w:ascii="Verdana" w:eastAsia="Times New Roman" w:hAnsi="Verdana" w:cs="Arial"/>
                <w:sz w:val="16"/>
                <w:szCs w:val="16"/>
                <w:lang w:val="es-MX" w:eastAsia="es-CO"/>
              </w:rPr>
              <w:t>Gestor T1-15 de la Subdirección de Gestión Contractual</w:t>
            </w:r>
          </w:p>
        </w:tc>
      </w:tr>
      <w:tr w:rsidR="009B31D6" w:rsidRPr="0014781E" w14:paraId="1F081C3F" w14:textId="77777777" w:rsidTr="000A2669">
        <w:trPr>
          <w:trHeight w:val="300"/>
        </w:trPr>
        <w:tc>
          <w:tcPr>
            <w:tcW w:w="893" w:type="dxa"/>
            <w:vAlign w:val="center"/>
          </w:tcPr>
          <w:p w14:paraId="61856F89" w14:textId="77777777" w:rsidR="009B31D6" w:rsidRPr="0014781E" w:rsidRDefault="009B31D6" w:rsidP="000A2669">
            <w:pPr>
              <w:contextualSpacing/>
              <w:rPr>
                <w:rFonts w:ascii="Verdana" w:hAnsi="Verdana" w:cs="Arial"/>
                <w:sz w:val="16"/>
                <w:szCs w:val="16"/>
                <w:lang w:eastAsia="es-ES"/>
              </w:rPr>
            </w:pPr>
            <w:r w:rsidRPr="0014781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714C731" w14:textId="77777777" w:rsidR="009B31D6" w:rsidRPr="0014781E" w:rsidRDefault="009B31D6" w:rsidP="000A2669">
            <w:pPr>
              <w:contextualSpacing/>
              <w:rPr>
                <w:rFonts w:ascii="Verdana" w:eastAsia="Calibri" w:hAnsi="Verdana" w:cs="Arial"/>
                <w:sz w:val="16"/>
                <w:szCs w:val="16"/>
                <w:lang w:eastAsia="es-ES"/>
              </w:rPr>
            </w:pPr>
            <w:r w:rsidRPr="0014781E">
              <w:rPr>
                <w:rFonts w:ascii="Verdana" w:eastAsia="Calibri" w:hAnsi="Verdana" w:cs="Arial"/>
                <w:sz w:val="16"/>
                <w:szCs w:val="16"/>
                <w:lang w:eastAsia="es-ES"/>
              </w:rPr>
              <w:t>Carolina Quintero Gacharná</w:t>
            </w:r>
          </w:p>
          <w:p w14:paraId="532A7645" w14:textId="77777777" w:rsidR="009B31D6" w:rsidRPr="0014781E" w:rsidRDefault="009B31D6" w:rsidP="000A2669">
            <w:pPr>
              <w:contextualSpacing/>
              <w:rPr>
                <w:rFonts w:ascii="Verdana" w:eastAsia="Calibri" w:hAnsi="Verdana" w:cs="Arial"/>
                <w:sz w:val="16"/>
                <w:szCs w:val="16"/>
                <w:lang w:eastAsia="es-ES"/>
              </w:rPr>
            </w:pPr>
            <w:r w:rsidRPr="0014781E">
              <w:rPr>
                <w:rFonts w:ascii="Verdana" w:eastAsia="Calibri" w:hAnsi="Verdana" w:cs="Arial"/>
                <w:sz w:val="16"/>
                <w:szCs w:val="16"/>
                <w:lang w:eastAsia="es-ES"/>
              </w:rPr>
              <w:t>Subdirectora de Gestión Contractual ANCP – CCE</w:t>
            </w:r>
          </w:p>
        </w:tc>
      </w:tr>
    </w:tbl>
    <w:p w14:paraId="153054F0" w14:textId="77777777" w:rsidR="009B31D6" w:rsidRPr="0014781E" w:rsidRDefault="009B31D6" w:rsidP="009B31D6"/>
    <w:p w14:paraId="7A372991" w14:textId="77777777" w:rsidR="009B31D6" w:rsidRPr="0014781E" w:rsidRDefault="009B31D6" w:rsidP="009B31D6">
      <w:pPr>
        <w:widowControl w:val="0"/>
        <w:autoSpaceDE w:val="0"/>
        <w:autoSpaceDN w:val="0"/>
        <w:spacing w:after="0" w:line="240" w:lineRule="auto"/>
        <w:jc w:val="both"/>
        <w:rPr>
          <w:rFonts w:ascii="Verdana" w:hAnsi="Verdana" w:cs="Arial"/>
          <w:sz w:val="20"/>
          <w:szCs w:val="20"/>
        </w:rPr>
      </w:pPr>
    </w:p>
    <w:p w14:paraId="31428A3A" w14:textId="77777777" w:rsidR="009B31D6" w:rsidRPr="00F93D79" w:rsidRDefault="009B31D6" w:rsidP="009B31D6"/>
    <w:p w14:paraId="03728C58" w14:textId="77777777" w:rsidR="001332B3" w:rsidRDefault="001332B3" w:rsidP="005A5095">
      <w:pPr>
        <w:spacing w:after="0" w:line="240" w:lineRule="auto"/>
        <w:rPr>
          <w:rFonts w:ascii="Verdana" w:eastAsia="Geomanist Light" w:hAnsi="Verdana" w:cs="Arial"/>
          <w:color w:val="000000" w:themeColor="text1"/>
        </w:rPr>
      </w:pPr>
    </w:p>
    <w:bookmarkEnd w:id="0"/>
    <w:sectPr w:rsidR="001332B3" w:rsidSect="00C44B4C">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E6D42" w14:textId="77777777" w:rsidR="00640E9A" w:rsidRPr="009B7987" w:rsidRDefault="00640E9A" w:rsidP="00B30448">
      <w:pPr>
        <w:spacing w:after="0" w:line="240" w:lineRule="auto"/>
      </w:pPr>
      <w:r w:rsidRPr="009B7987">
        <w:separator/>
      </w:r>
    </w:p>
  </w:endnote>
  <w:endnote w:type="continuationSeparator" w:id="0">
    <w:p w14:paraId="5118DAD1" w14:textId="77777777" w:rsidR="00640E9A" w:rsidRPr="009B7987" w:rsidRDefault="00640E9A" w:rsidP="00B30448">
      <w:pPr>
        <w:spacing w:after="0" w:line="240" w:lineRule="auto"/>
      </w:pPr>
      <w:r w:rsidRPr="009B7987">
        <w:continuationSeparator/>
      </w:r>
    </w:p>
  </w:endnote>
  <w:endnote w:type="continuationNotice" w:id="1">
    <w:p w14:paraId="33B0FE04" w14:textId="77777777" w:rsidR="00640E9A" w:rsidRPr="009B7987" w:rsidRDefault="00640E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D27789" w14:textId="77777777" w:rsidR="00640E9A" w:rsidRPr="009B7987" w:rsidRDefault="00640E9A" w:rsidP="00B30448">
      <w:pPr>
        <w:spacing w:after="0" w:line="240" w:lineRule="auto"/>
      </w:pPr>
      <w:r w:rsidRPr="009B7987">
        <w:separator/>
      </w:r>
    </w:p>
  </w:footnote>
  <w:footnote w:type="continuationSeparator" w:id="0">
    <w:p w14:paraId="3FF307C9" w14:textId="77777777" w:rsidR="00640E9A" w:rsidRPr="009B7987" w:rsidRDefault="00640E9A" w:rsidP="00B30448">
      <w:pPr>
        <w:spacing w:after="0" w:line="240" w:lineRule="auto"/>
      </w:pPr>
      <w:r w:rsidRPr="009B7987">
        <w:continuationSeparator/>
      </w:r>
    </w:p>
  </w:footnote>
  <w:footnote w:type="continuationNotice" w:id="1">
    <w:p w14:paraId="349B4BD9" w14:textId="77777777" w:rsidR="00640E9A" w:rsidRPr="009B7987" w:rsidRDefault="00640E9A">
      <w:pPr>
        <w:spacing w:after="0" w:line="240" w:lineRule="auto"/>
      </w:pPr>
    </w:p>
  </w:footnote>
  <w:footnote w:id="2">
    <w:p w14:paraId="4F3B6C2D"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35B1DB28"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3">
    <w:p w14:paraId="03315B16"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17800E65"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26B50366"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El Gobierno nacional reglamentará el mecanismo para realizar la mensualización de que trata el presente artículo.</w:t>
      </w:r>
    </w:p>
    <w:p w14:paraId="09502E35"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64096C09" w14:textId="77777777" w:rsidR="009B31D6" w:rsidRPr="00FE6A9E" w:rsidRDefault="009B31D6" w:rsidP="009B31D6">
      <w:pPr>
        <w:pStyle w:val="Textonotapie"/>
        <w:ind w:firstLine="709"/>
        <w:jc w:val="both"/>
        <w:rPr>
          <w:rFonts w:ascii="Verdana" w:hAnsi="Verdana" w:cs="Arial"/>
          <w:color w:val="000000"/>
          <w:sz w:val="16"/>
          <w:szCs w:val="16"/>
          <w:lang w:val="es-ES"/>
        </w:rPr>
      </w:pPr>
    </w:p>
  </w:footnote>
  <w:footnote w:id="4">
    <w:p w14:paraId="58828BBB" w14:textId="77777777" w:rsidR="009B31D6" w:rsidRPr="00FE6A9E" w:rsidRDefault="009B31D6" w:rsidP="009B31D6">
      <w:pPr>
        <w:pStyle w:val="Textonotapie"/>
        <w:ind w:firstLine="708"/>
        <w:rPr>
          <w:rFonts w:ascii="Verdana" w:hAnsi="Verdana"/>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Corte Constitucional. Sentencia C-154 de 1997. Magistrado Ponente: Hernando Herrera Vergara.</w:t>
      </w:r>
    </w:p>
  </w:footnote>
  <w:footnote w:id="5">
    <w:p w14:paraId="23376571" w14:textId="77777777" w:rsidR="009B31D6" w:rsidRPr="00FE6A9E" w:rsidRDefault="009B31D6" w:rsidP="009B31D6">
      <w:pPr>
        <w:spacing w:after="0"/>
        <w:ind w:firstLine="708"/>
        <w:jc w:val="both"/>
        <w:rPr>
          <w:rFonts w:ascii="Verdana" w:eastAsia="Arial Nova" w:hAnsi="Verdana" w:cs="Arial"/>
          <w:sz w:val="16"/>
          <w:szCs w:val="16"/>
          <w:lang w:val="es"/>
        </w:rPr>
      </w:pPr>
      <w:r w:rsidRPr="00FE6A9E">
        <w:rPr>
          <w:rStyle w:val="Refdenotaalpie"/>
          <w:rFonts w:ascii="Verdana" w:hAnsi="Verdana" w:cs="Arial"/>
          <w:sz w:val="16"/>
          <w:szCs w:val="16"/>
        </w:rPr>
        <w:footnoteRef/>
      </w:r>
      <w:r w:rsidRPr="00FE6A9E">
        <w:rPr>
          <w:rFonts w:ascii="Verdana" w:hAnsi="Verdana" w:cs="Arial"/>
          <w:sz w:val="16"/>
          <w:szCs w:val="16"/>
        </w:rPr>
        <w:t xml:space="preserve"> </w:t>
      </w:r>
      <w:r w:rsidRPr="00FE6A9E">
        <w:rPr>
          <w:rFonts w:ascii="Verdana" w:eastAsia="Arial Nova" w:hAnsi="Verdana" w:cs="Arial"/>
          <w:sz w:val="16"/>
          <w:szCs w:val="16"/>
          <w:lang w:val="es"/>
        </w:rPr>
        <w:t xml:space="preserve">Corte Constitucional. Sentencia C-614 de 2009. M.P. Jorge Ignacio Pretelt Chaljub. </w:t>
      </w:r>
    </w:p>
    <w:p w14:paraId="1F3B7818" w14:textId="77777777" w:rsidR="009B31D6" w:rsidRPr="00FE6A9E" w:rsidRDefault="009B31D6" w:rsidP="009B31D6">
      <w:pPr>
        <w:pStyle w:val="Textonotapie"/>
        <w:rPr>
          <w:rFonts w:ascii="Verdana" w:hAnsi="Verdana"/>
          <w:sz w:val="16"/>
          <w:szCs w:val="16"/>
        </w:rPr>
      </w:pPr>
    </w:p>
  </w:footnote>
  <w:footnote w:id="6">
    <w:p w14:paraId="477AF49B" w14:textId="77777777" w:rsidR="009B31D6" w:rsidRPr="00FE6A9E" w:rsidRDefault="009B31D6" w:rsidP="009B31D6">
      <w:pPr>
        <w:pStyle w:val="Textonotapie"/>
        <w:ind w:firstLine="708"/>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Corte Constitucional. Sentencia C-154 de 1997. Magistrado Ponente: Hernando Herrera Vergara.</w:t>
      </w:r>
    </w:p>
    <w:p w14:paraId="5306A783" w14:textId="77777777" w:rsidR="009B31D6" w:rsidRPr="00FE6A9E" w:rsidRDefault="009B31D6" w:rsidP="009B31D6">
      <w:pPr>
        <w:pStyle w:val="Textonotapie"/>
        <w:ind w:firstLine="708"/>
        <w:rPr>
          <w:rFonts w:ascii="Verdana" w:hAnsi="Verdana"/>
          <w:sz w:val="16"/>
          <w:szCs w:val="16"/>
        </w:rPr>
      </w:pPr>
    </w:p>
  </w:footnote>
  <w:footnote w:id="7">
    <w:p w14:paraId="41553830"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7D595CFB" w14:textId="77777777" w:rsidR="009B31D6" w:rsidRPr="00FE6A9E" w:rsidRDefault="009B31D6" w:rsidP="009B31D6">
      <w:pPr>
        <w:pStyle w:val="Textonotapie"/>
        <w:ind w:firstLine="708"/>
        <w:rPr>
          <w:rFonts w:ascii="Verdana" w:hAnsi="Verdana"/>
          <w:sz w:val="16"/>
          <w:szCs w:val="16"/>
          <w:lang w:val="es-ES"/>
        </w:rPr>
      </w:pPr>
    </w:p>
  </w:footnote>
  <w:footnote w:id="8">
    <w:p w14:paraId="6850F753"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Consejo de Estado. Sección Tercera. Subsección C. Sentencia del 2 de diciembre de 2013. Exp. 41719. Consejero Ponente: Jaime Orlando Santofimio Gamboa.</w:t>
      </w:r>
    </w:p>
    <w:p w14:paraId="052D2BF5" w14:textId="77777777" w:rsidR="009B31D6" w:rsidRPr="00FE6A9E" w:rsidRDefault="009B31D6" w:rsidP="009B31D6">
      <w:pPr>
        <w:pStyle w:val="Textonotapie"/>
        <w:ind w:firstLine="708"/>
        <w:rPr>
          <w:rFonts w:ascii="Verdana" w:hAnsi="Verdana"/>
          <w:sz w:val="16"/>
          <w:szCs w:val="16"/>
          <w:lang w:val="es-ES"/>
        </w:rPr>
      </w:pPr>
    </w:p>
  </w:footnote>
  <w:footnote w:id="9">
    <w:p w14:paraId="30FC12B2" w14:textId="77777777" w:rsidR="009B31D6" w:rsidRPr="00FE6A9E" w:rsidRDefault="009B31D6" w:rsidP="009B31D6">
      <w:pPr>
        <w:pStyle w:val="Textonotapie"/>
        <w:ind w:firstLine="708"/>
        <w:rPr>
          <w:rFonts w:ascii="Verdana" w:hAnsi="Verdana"/>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Ibíd. </w:t>
      </w:r>
    </w:p>
  </w:footnote>
  <w:footnote w:id="10">
    <w:p w14:paraId="51661573" w14:textId="77777777" w:rsidR="009B31D6" w:rsidRPr="00FE6A9E" w:rsidRDefault="009B31D6" w:rsidP="009B31D6">
      <w:pPr>
        <w:pStyle w:val="Textonotapie"/>
        <w:ind w:firstLine="708"/>
        <w:rPr>
          <w:rFonts w:ascii="Verdana" w:hAnsi="Verdana"/>
          <w:sz w:val="16"/>
          <w:szCs w:val="16"/>
        </w:rPr>
      </w:pPr>
      <w:r w:rsidRPr="00FE6A9E">
        <w:rPr>
          <w:rStyle w:val="Refdenotaalpie"/>
          <w:rFonts w:ascii="Verdana" w:hAnsi="Verdana"/>
          <w:sz w:val="16"/>
          <w:szCs w:val="16"/>
        </w:rPr>
        <w:footnoteRef/>
      </w:r>
      <w:r w:rsidRPr="00FE6A9E">
        <w:rPr>
          <w:rFonts w:ascii="Verdana" w:hAnsi="Verdana"/>
          <w:sz w:val="16"/>
          <w:szCs w:val="16"/>
        </w:rPr>
        <w:t xml:space="preserve"> Ibíd. </w:t>
      </w:r>
    </w:p>
    <w:p w14:paraId="5451AE00" w14:textId="77777777" w:rsidR="009B31D6" w:rsidRPr="00FE6A9E" w:rsidRDefault="009B31D6" w:rsidP="009B31D6">
      <w:pPr>
        <w:pStyle w:val="Textonotapie"/>
        <w:ind w:firstLine="708"/>
        <w:rPr>
          <w:rFonts w:ascii="Verdana" w:hAnsi="Verdana"/>
          <w:sz w:val="16"/>
          <w:szCs w:val="16"/>
          <w:lang w:val="es-ES"/>
        </w:rPr>
      </w:pPr>
    </w:p>
  </w:footnote>
  <w:footnote w:id="11">
    <w:p w14:paraId="5C8D0BF1"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2A100381"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4363355E"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50033841" w14:textId="77777777" w:rsidR="009B31D6" w:rsidRPr="00FE6A9E" w:rsidRDefault="009B31D6" w:rsidP="009B31D6">
      <w:pPr>
        <w:pStyle w:val="Textonotapie"/>
        <w:ind w:firstLine="708"/>
        <w:rPr>
          <w:rFonts w:ascii="Verdana" w:hAnsi="Verdana"/>
          <w:sz w:val="16"/>
          <w:szCs w:val="16"/>
          <w:lang w:val="es-ES"/>
        </w:rPr>
      </w:pPr>
    </w:p>
  </w:footnote>
  <w:footnote w:id="12">
    <w:p w14:paraId="2691FF0A"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49F1EBEA"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1. La causal que invoca para contratar directamente.</w:t>
      </w:r>
    </w:p>
    <w:p w14:paraId="60F43C35"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 El objeto del contrato.</w:t>
      </w:r>
    </w:p>
    <w:p w14:paraId="14B6B30B"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3. El presupuesto para la contratación y las condiciones que exigirá al contratista.</w:t>
      </w:r>
    </w:p>
    <w:p w14:paraId="3FFF7527"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4. El lugar en el cual los interesados pueden consultar los estudios y documentos previos.</w:t>
      </w:r>
    </w:p>
    <w:p w14:paraId="463E2FEF"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5AC1CAB3" w14:textId="77777777" w:rsidR="009B31D6" w:rsidRPr="00FE6A9E" w:rsidRDefault="009B31D6" w:rsidP="009B31D6">
      <w:pPr>
        <w:pStyle w:val="Textonotapie"/>
        <w:ind w:firstLine="708"/>
        <w:rPr>
          <w:rFonts w:ascii="Verdana" w:hAnsi="Verdana"/>
          <w:sz w:val="16"/>
          <w:szCs w:val="16"/>
          <w:lang w:val="es-ES"/>
        </w:rPr>
      </w:pPr>
    </w:p>
  </w:footnote>
  <w:footnote w:id="13">
    <w:p w14:paraId="578A1DED"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Esta norma expresa: “</w:t>
      </w:r>
      <w:r w:rsidRPr="00FE6A9E">
        <w:rPr>
          <w:rFonts w:ascii="Verdana" w:hAnsi="Verdana" w:cs="Arial"/>
          <w:color w:val="000000"/>
          <w:sz w:val="16"/>
          <w:szCs w:val="16"/>
        </w:rPr>
        <w:t>P</w:t>
      </w:r>
      <w:r w:rsidRPr="00FE6A9E">
        <w:rPr>
          <w:rFonts w:ascii="Verdana" w:hAnsi="Verdana" w:cs="Arial"/>
          <w:color w:val="000000"/>
          <w:sz w:val="16"/>
          <w:szCs w:val="16"/>
          <w:lang w:val="es-ES"/>
        </w:rPr>
        <w:t>ara el cumplimiento de los fines de la contratación, las entidades estatales al celebrar un contrato:</w:t>
      </w:r>
    </w:p>
    <w:p w14:paraId="68AAF253"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011F4335"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2761EEB2"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Las entidades estatales podrán pactar estas cláusulas en los contratos de suministro y de prestación de servicios.</w:t>
      </w:r>
    </w:p>
    <w:p w14:paraId="730EDD1B"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Fonts w:ascii="Verdana" w:hAnsi="Verdana" w:cs="Arial"/>
          <w:color w:val="000000"/>
          <w:sz w:val="16"/>
          <w:szCs w:val="16"/>
          <w:lang w:val="es-ES"/>
        </w:rPr>
        <w:t>[…]”.</w:t>
      </w:r>
    </w:p>
    <w:p w14:paraId="1C45543A" w14:textId="77777777" w:rsidR="009B31D6" w:rsidRPr="00FE6A9E" w:rsidRDefault="009B31D6" w:rsidP="009B31D6">
      <w:pPr>
        <w:pStyle w:val="Textonotapie"/>
        <w:ind w:firstLine="708"/>
        <w:rPr>
          <w:rFonts w:ascii="Verdana" w:hAnsi="Verdana"/>
          <w:sz w:val="16"/>
          <w:szCs w:val="16"/>
        </w:rPr>
      </w:pPr>
    </w:p>
  </w:footnote>
  <w:footnote w:id="14">
    <w:p w14:paraId="2ABCF73C" w14:textId="77777777" w:rsidR="009B31D6" w:rsidRPr="00FE6A9E" w:rsidRDefault="009B31D6" w:rsidP="009B31D6">
      <w:pPr>
        <w:pStyle w:val="Textonotapie"/>
        <w:ind w:firstLine="708"/>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2E657B2F" w14:textId="77777777" w:rsidR="009B31D6" w:rsidRPr="00FE6A9E" w:rsidRDefault="009B31D6" w:rsidP="009B31D6">
      <w:pPr>
        <w:pStyle w:val="Textonotapie"/>
        <w:ind w:firstLine="708"/>
        <w:rPr>
          <w:rFonts w:ascii="Verdana" w:hAnsi="Verdana"/>
          <w:sz w:val="16"/>
          <w:szCs w:val="16"/>
        </w:rPr>
      </w:pPr>
    </w:p>
  </w:footnote>
  <w:footnote w:id="15">
    <w:p w14:paraId="0633915F" w14:textId="77777777" w:rsidR="009B31D6" w:rsidRPr="00FE6A9E" w:rsidRDefault="009B31D6" w:rsidP="009B31D6">
      <w:pPr>
        <w:pStyle w:val="Textonotapie"/>
        <w:ind w:firstLine="709"/>
        <w:jc w:val="both"/>
        <w:rPr>
          <w:rFonts w:ascii="Verdana" w:hAnsi="Verdana" w:cs="Arial"/>
          <w:color w:val="000000"/>
          <w:sz w:val="16"/>
          <w:szCs w:val="16"/>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35C8E15" w14:textId="77777777" w:rsidR="009B31D6" w:rsidRPr="00FE6A9E" w:rsidRDefault="009B31D6" w:rsidP="009B31D6">
      <w:pPr>
        <w:pStyle w:val="Textonotapie"/>
        <w:ind w:firstLine="709"/>
        <w:jc w:val="both"/>
        <w:rPr>
          <w:rFonts w:ascii="Verdana" w:hAnsi="Verdana" w:cs="Arial"/>
          <w:color w:val="000000"/>
          <w:sz w:val="16"/>
          <w:szCs w:val="16"/>
        </w:rPr>
      </w:pPr>
      <w:r w:rsidRPr="00FE6A9E">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10C36152" w14:textId="77777777" w:rsidR="009B31D6" w:rsidRPr="00FE6A9E" w:rsidRDefault="009B31D6" w:rsidP="009B31D6">
      <w:pPr>
        <w:pStyle w:val="Textonotapie"/>
        <w:ind w:firstLine="709"/>
        <w:jc w:val="both"/>
        <w:rPr>
          <w:rFonts w:ascii="Verdana" w:hAnsi="Verdana" w:cs="Arial"/>
          <w:color w:val="000000"/>
          <w:sz w:val="16"/>
          <w:szCs w:val="16"/>
        </w:rPr>
      </w:pPr>
      <w:r w:rsidRPr="00FE6A9E">
        <w:rPr>
          <w:rFonts w:ascii="Verdana" w:hAnsi="Verdana" w:cs="Arial"/>
          <w:color w:val="000000"/>
          <w:sz w:val="16"/>
          <w:szCs w:val="16"/>
        </w:rPr>
        <w:t>[…]”.</w:t>
      </w:r>
    </w:p>
    <w:p w14:paraId="32794847" w14:textId="77777777" w:rsidR="009B31D6" w:rsidRPr="00FE6A9E" w:rsidRDefault="009B31D6" w:rsidP="009B31D6">
      <w:pPr>
        <w:pStyle w:val="Textonotapie"/>
        <w:ind w:firstLine="708"/>
        <w:rPr>
          <w:rFonts w:ascii="Verdana" w:hAnsi="Verdana"/>
          <w:sz w:val="16"/>
          <w:szCs w:val="16"/>
        </w:rPr>
      </w:pPr>
    </w:p>
  </w:footnote>
  <w:footnote w:id="16">
    <w:p w14:paraId="71D69C30" w14:textId="77777777" w:rsidR="009B31D6" w:rsidRPr="00FE6A9E" w:rsidRDefault="009B31D6" w:rsidP="009B31D6">
      <w:pPr>
        <w:pStyle w:val="Textonotapie"/>
        <w:ind w:firstLine="709"/>
        <w:jc w:val="both"/>
        <w:rPr>
          <w:rFonts w:ascii="Verdana" w:hAnsi="Verdana" w:cs="Arial"/>
          <w:color w:val="000000"/>
          <w:sz w:val="16"/>
          <w:szCs w:val="16"/>
          <w:lang w:val="es-ES"/>
        </w:rPr>
      </w:pPr>
      <w:r w:rsidRPr="00FE6A9E">
        <w:rPr>
          <w:rStyle w:val="Refdenotaalpie"/>
          <w:rFonts w:ascii="Verdana" w:hAnsi="Verdana"/>
          <w:sz w:val="16"/>
          <w:szCs w:val="16"/>
        </w:rPr>
        <w:footnoteRef/>
      </w:r>
      <w:r w:rsidRPr="00FE6A9E">
        <w:rPr>
          <w:rFonts w:ascii="Verdana" w:hAnsi="Verdana"/>
          <w:sz w:val="16"/>
          <w:szCs w:val="16"/>
        </w:rPr>
        <w:t xml:space="preserve"> </w:t>
      </w:r>
      <w:r w:rsidRPr="00FE6A9E">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5132D9D1" w14:textId="77777777" w:rsidR="009B31D6" w:rsidRPr="00FE6A9E" w:rsidRDefault="009B31D6" w:rsidP="009B31D6">
      <w:pPr>
        <w:pStyle w:val="Textonotapie"/>
        <w:ind w:firstLine="708"/>
        <w:rPr>
          <w:rFonts w:ascii="Verdana" w:hAnsi="Verdana"/>
          <w:sz w:val="16"/>
          <w:szCs w:val="16"/>
          <w:lang w:val="es-ES"/>
        </w:rPr>
      </w:pPr>
    </w:p>
  </w:footnote>
  <w:footnote w:id="17">
    <w:p w14:paraId="26DB14D9" w14:textId="77777777" w:rsidR="009B31D6" w:rsidRPr="00FE6A9E" w:rsidRDefault="009B31D6" w:rsidP="009B31D6">
      <w:pPr>
        <w:pStyle w:val="Textonotapie"/>
        <w:ind w:firstLine="709"/>
        <w:jc w:val="both"/>
        <w:rPr>
          <w:rFonts w:ascii="Verdana" w:hAnsi="Verdana"/>
          <w:sz w:val="16"/>
          <w:szCs w:val="16"/>
          <w:lang w:val="es-CO"/>
        </w:rPr>
      </w:pPr>
      <w:r w:rsidRPr="00FE6A9E">
        <w:rPr>
          <w:rStyle w:val="Refdenotaalpie"/>
          <w:rFonts w:ascii="Verdana" w:hAnsi="Verdana"/>
          <w:sz w:val="16"/>
          <w:szCs w:val="16"/>
        </w:rPr>
        <w:footnoteRef/>
      </w:r>
      <w:r w:rsidRPr="00FE6A9E">
        <w:rPr>
          <w:rFonts w:ascii="Verdana" w:hAnsi="Verdana"/>
          <w:sz w:val="16"/>
          <w:szCs w:val="16"/>
        </w:rPr>
        <w:t xml:space="preserve"> “Para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footnote>
  <w:footnote w:id="18">
    <w:p w14:paraId="3DBB8E37" w14:textId="77777777" w:rsidR="009B31D6" w:rsidRPr="00FE6A9E" w:rsidRDefault="009B31D6" w:rsidP="009B31D6">
      <w:pPr>
        <w:pStyle w:val="Textonotapie"/>
        <w:ind w:firstLine="708"/>
        <w:jc w:val="both"/>
        <w:rPr>
          <w:rFonts w:ascii="Verdana" w:hAnsi="Verdana" w:cs="Arial"/>
          <w:sz w:val="16"/>
          <w:szCs w:val="16"/>
        </w:rPr>
      </w:pPr>
      <w:r w:rsidRPr="00FE6A9E">
        <w:rPr>
          <w:rStyle w:val="Refdenotaalpie"/>
          <w:rFonts w:ascii="Verdana" w:hAnsi="Verdana" w:cs="Arial"/>
          <w:sz w:val="16"/>
          <w:szCs w:val="16"/>
        </w:rPr>
        <w:footnoteRef/>
      </w:r>
      <w:r w:rsidRPr="00FE6A9E">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19">
    <w:p w14:paraId="5F4BB576" w14:textId="77777777" w:rsidR="009B31D6" w:rsidRPr="00FE6A9E" w:rsidRDefault="009B31D6" w:rsidP="009B31D6">
      <w:pPr>
        <w:pStyle w:val="Textonotapie"/>
        <w:ind w:firstLine="708"/>
        <w:jc w:val="both"/>
        <w:rPr>
          <w:rFonts w:ascii="Verdana" w:hAnsi="Verdana" w:cs="Arial"/>
          <w:color w:val="000000" w:themeColor="text1"/>
          <w:sz w:val="16"/>
          <w:szCs w:val="16"/>
          <w:lang w:val="es-CO"/>
        </w:rPr>
      </w:pPr>
      <w:r w:rsidRPr="00FE6A9E">
        <w:rPr>
          <w:rStyle w:val="Refdenotaalpie"/>
          <w:rFonts w:ascii="Verdana" w:hAnsi="Verdana" w:cs="Arial"/>
          <w:color w:val="000000" w:themeColor="text1"/>
          <w:sz w:val="16"/>
          <w:szCs w:val="16"/>
        </w:rPr>
        <w:footnoteRef/>
      </w:r>
      <w:r w:rsidRPr="00FE6A9E">
        <w:rPr>
          <w:rFonts w:ascii="Verdana" w:hAnsi="Verdana" w:cs="Arial"/>
          <w:color w:val="000000" w:themeColor="text1"/>
          <w:sz w:val="16"/>
          <w:szCs w:val="16"/>
        </w:rPr>
        <w:t xml:space="preserve"> </w:t>
      </w:r>
      <w:r w:rsidRPr="00FE6A9E">
        <w:rPr>
          <w:rFonts w:ascii="Verdana" w:hAnsi="Verdana" w:cs="Arial"/>
          <w:color w:val="000000" w:themeColor="text1"/>
          <w:sz w:val="16"/>
          <w:szCs w:val="16"/>
          <w:lang w:val="es-CO"/>
        </w:rPr>
        <w:t xml:space="preserve">“Artículo </w:t>
      </w:r>
      <w:bookmarkStart w:id="3" w:name="_Hlk67919994"/>
      <w:r w:rsidRPr="00FE6A9E">
        <w:rPr>
          <w:rFonts w:ascii="Verdana" w:hAnsi="Verdana" w:cs="Arial"/>
          <w:color w:val="000000" w:themeColor="text1"/>
          <w:sz w:val="16"/>
          <w:szCs w:val="16"/>
          <w:lang w:val="es-CO"/>
        </w:rPr>
        <w:t>2.2.1.2.3.1.7</w:t>
      </w:r>
      <w:bookmarkEnd w:id="3"/>
      <w:r w:rsidRPr="00FE6A9E">
        <w:rPr>
          <w:rFonts w:ascii="Verdana" w:hAnsi="Verdana" w:cs="Arial"/>
          <w:color w:val="000000" w:themeColor="text1"/>
          <w:sz w:val="16"/>
          <w:szCs w:val="16"/>
          <w:lang w:val="es-CO"/>
        </w:rPr>
        <w:t xml:space="preserve">. Garantía de cumplimiento. La garantía de cumplimiento del contrato debe cubrir: </w:t>
      </w:r>
    </w:p>
    <w:p w14:paraId="767D55C4" w14:textId="77777777" w:rsidR="009B31D6" w:rsidRPr="00FE6A9E" w:rsidRDefault="009B31D6" w:rsidP="009B31D6">
      <w:pPr>
        <w:pStyle w:val="Textonotapie"/>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  </w:t>
      </w:r>
      <w:r w:rsidRPr="00FE6A9E">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4150419B" w14:textId="77777777" w:rsidR="009B31D6" w:rsidRPr="00FE6A9E" w:rsidRDefault="009B31D6" w:rsidP="009B31D6">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3EF1A576" w14:textId="77777777" w:rsidR="009B31D6" w:rsidRPr="00FE6A9E" w:rsidRDefault="009B31D6" w:rsidP="009B31D6">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3. Cumplimiento del contrato. Este amparo cubre a la Entidad Estatal de los perjuicios derivados de: </w:t>
      </w:r>
    </w:p>
    <w:p w14:paraId="576564A6" w14:textId="77777777" w:rsidR="009B31D6" w:rsidRPr="00FE6A9E" w:rsidRDefault="009B31D6" w:rsidP="009B31D6">
      <w:pPr>
        <w:pStyle w:val="Textonotapie"/>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  </w:t>
      </w:r>
      <w:r w:rsidRPr="00FE6A9E">
        <w:rPr>
          <w:rFonts w:ascii="Verdana" w:hAnsi="Verdana" w:cs="Arial"/>
          <w:color w:val="000000" w:themeColor="text1"/>
          <w:sz w:val="16"/>
          <w:szCs w:val="16"/>
          <w:lang w:val="es-CO"/>
        </w:rPr>
        <w:tab/>
        <w:t xml:space="preserve">3.1. </w:t>
      </w:r>
      <w:bookmarkStart w:id="4" w:name="_Hlk67920056"/>
      <w:r w:rsidRPr="00FE6A9E">
        <w:rPr>
          <w:rFonts w:ascii="Verdana" w:hAnsi="Verdana" w:cs="Arial"/>
          <w:color w:val="000000" w:themeColor="text1"/>
          <w:sz w:val="16"/>
          <w:szCs w:val="16"/>
          <w:lang w:val="es-CO"/>
        </w:rPr>
        <w:t xml:space="preserve">El incumplimiento total o parcial del contrato, cuando el incumplimiento es imputable al contratista; </w:t>
      </w:r>
    </w:p>
    <w:p w14:paraId="67D32AC4" w14:textId="77777777" w:rsidR="009B31D6" w:rsidRPr="00FE6A9E" w:rsidRDefault="009B31D6" w:rsidP="009B31D6">
      <w:pPr>
        <w:pStyle w:val="Textonotapie"/>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  </w:t>
      </w:r>
      <w:r w:rsidRPr="00FE6A9E">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2B1C81B6" w14:textId="77777777" w:rsidR="009B31D6" w:rsidRPr="00FE6A9E" w:rsidRDefault="009B31D6" w:rsidP="009B31D6">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4"/>
    <w:p w14:paraId="7FA8FB28" w14:textId="77777777" w:rsidR="009B31D6" w:rsidRPr="00FE6A9E" w:rsidRDefault="009B31D6" w:rsidP="009B31D6">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3.4. El pago del valor de las multas y de la cláusula penal pecuniaria. </w:t>
      </w:r>
    </w:p>
    <w:p w14:paraId="10B817C8" w14:textId="77777777" w:rsidR="009B31D6" w:rsidRPr="00FE6A9E" w:rsidRDefault="009B31D6" w:rsidP="009B31D6">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01751D04" w14:textId="77777777" w:rsidR="009B31D6" w:rsidRPr="00FE6A9E" w:rsidRDefault="009B31D6" w:rsidP="009B31D6">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04E6CF44" w14:textId="77777777" w:rsidR="009B31D6" w:rsidRPr="00FE6A9E" w:rsidRDefault="009B31D6" w:rsidP="009B31D6">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25AA08A5" w14:textId="77777777" w:rsidR="009B31D6" w:rsidRPr="00FE6A9E" w:rsidRDefault="009B31D6" w:rsidP="009B31D6">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071A75F9" w14:textId="77777777" w:rsidR="009B31D6" w:rsidRPr="00FE6A9E" w:rsidRDefault="009B31D6" w:rsidP="009B31D6">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1D2C8559" w14:textId="77777777" w:rsidR="009B31D6" w:rsidRPr="00FE6A9E" w:rsidRDefault="009B31D6" w:rsidP="009B31D6">
      <w:pPr>
        <w:pStyle w:val="Textonotapie"/>
        <w:ind w:firstLine="708"/>
        <w:jc w:val="both"/>
        <w:rPr>
          <w:rFonts w:ascii="Verdana" w:hAnsi="Verdana" w:cs="Arial"/>
          <w:color w:val="000000" w:themeColor="text1"/>
          <w:sz w:val="16"/>
          <w:szCs w:val="16"/>
          <w:lang w:val="es-CO"/>
        </w:rPr>
      </w:pPr>
      <w:r w:rsidRPr="00FE6A9E">
        <w:rPr>
          <w:rFonts w:ascii="Verdana" w:hAnsi="Verdana" w:cs="Arial"/>
          <w:color w:val="000000" w:themeColor="text1"/>
          <w:sz w:val="16"/>
          <w:szCs w:val="16"/>
          <w:lang w:val="es-CO"/>
        </w:rPr>
        <w:t xml:space="preserve">8. </w:t>
      </w:r>
      <w:bookmarkStart w:id="5" w:name="_Hlk143267015"/>
      <w:r w:rsidRPr="00FE6A9E">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5"/>
      <w:r w:rsidRPr="00FE6A9E">
        <w:rPr>
          <w:rFonts w:ascii="Verdana" w:hAnsi="Verdana" w:cs="Arial"/>
          <w:color w:val="000000" w:themeColor="text1"/>
          <w:sz w:val="16"/>
          <w:szCs w:val="16"/>
          <w:lang w:val="es-CO"/>
        </w:rPr>
        <w:t>”.</w:t>
      </w:r>
    </w:p>
  </w:footnote>
  <w:footnote w:id="20">
    <w:p w14:paraId="500465C9" w14:textId="77777777" w:rsidR="009B31D6" w:rsidRPr="00FE6A9E" w:rsidRDefault="009B31D6" w:rsidP="009B31D6">
      <w:pPr>
        <w:pStyle w:val="Textonotapie"/>
        <w:ind w:firstLine="708"/>
        <w:jc w:val="both"/>
        <w:rPr>
          <w:rFonts w:ascii="Verdana" w:hAnsi="Verdana" w:cs="Arial"/>
          <w:color w:val="000000"/>
          <w:sz w:val="16"/>
          <w:szCs w:val="16"/>
        </w:rPr>
      </w:pPr>
      <w:r w:rsidRPr="00FE6A9E">
        <w:rPr>
          <w:rStyle w:val="Refdenotaalpie"/>
          <w:rFonts w:ascii="Verdana" w:hAnsi="Verdana" w:cs="Arial"/>
          <w:color w:val="000000"/>
          <w:sz w:val="16"/>
          <w:szCs w:val="16"/>
        </w:rPr>
        <w:footnoteRef/>
      </w:r>
      <w:r w:rsidRPr="00FE6A9E">
        <w:rPr>
          <w:rFonts w:ascii="Verdana" w:hAnsi="Verdana" w:cs="Arial"/>
          <w:color w:val="000000"/>
          <w:sz w:val="16"/>
          <w:szCs w:val="16"/>
        </w:rPr>
        <w:t xml:space="preserve"> CONSEJO DE ESTADO, Sala de Consulta y Servicio Civil. Radicado No. 1453. Concepto de 6 de agosto de 2003. MP. Augusto Trejos.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6"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6"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2"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8"/>
  </w:num>
  <w:num w:numId="5" w16cid:durableId="1982299905">
    <w:abstractNumId w:val="32"/>
  </w:num>
  <w:num w:numId="6" w16cid:durableId="130758360">
    <w:abstractNumId w:val="19"/>
  </w:num>
  <w:num w:numId="7" w16cid:durableId="262541512">
    <w:abstractNumId w:val="29"/>
  </w:num>
  <w:num w:numId="8" w16cid:durableId="1947226218">
    <w:abstractNumId w:val="15"/>
  </w:num>
  <w:num w:numId="9" w16cid:durableId="1180706126">
    <w:abstractNumId w:val="18"/>
  </w:num>
  <w:num w:numId="10" w16cid:durableId="2097506960">
    <w:abstractNumId w:val="24"/>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5"/>
  </w:num>
  <w:num w:numId="19" w16cid:durableId="1910656144">
    <w:abstractNumId w:val="3"/>
  </w:num>
  <w:num w:numId="20" w16cid:durableId="947545103">
    <w:abstractNumId w:val="13"/>
  </w:num>
  <w:num w:numId="21" w16cid:durableId="1851335222">
    <w:abstractNumId w:val="31"/>
  </w:num>
  <w:num w:numId="22" w16cid:durableId="578707994">
    <w:abstractNumId w:val="5"/>
  </w:num>
  <w:num w:numId="23" w16cid:durableId="876742304">
    <w:abstractNumId w:val="11"/>
  </w:num>
  <w:num w:numId="24" w16cid:durableId="1994095851">
    <w:abstractNumId w:val="6"/>
  </w:num>
  <w:num w:numId="25" w16cid:durableId="1567109325">
    <w:abstractNumId w:val="26"/>
  </w:num>
  <w:num w:numId="26" w16cid:durableId="1116487847">
    <w:abstractNumId w:val="20"/>
  </w:num>
  <w:num w:numId="27" w16cid:durableId="611326471">
    <w:abstractNumId w:val="27"/>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0"/>
  </w:num>
  <w:num w:numId="30" w16cid:durableId="363991975">
    <w:abstractNumId w:val="28"/>
  </w:num>
  <w:num w:numId="31" w16cid:durableId="1509440290">
    <w:abstractNumId w:val="23"/>
  </w:num>
  <w:num w:numId="32" w16cid:durableId="1601723362">
    <w:abstractNumId w:val="7"/>
  </w:num>
  <w:num w:numId="33" w16cid:durableId="14845390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3B60"/>
    <w:rsid w:val="00005225"/>
    <w:rsid w:val="000054DB"/>
    <w:rsid w:val="0000587D"/>
    <w:rsid w:val="000059AE"/>
    <w:rsid w:val="00005BB0"/>
    <w:rsid w:val="00006F59"/>
    <w:rsid w:val="00007086"/>
    <w:rsid w:val="00007382"/>
    <w:rsid w:val="00007576"/>
    <w:rsid w:val="0001025F"/>
    <w:rsid w:val="0001155E"/>
    <w:rsid w:val="00011613"/>
    <w:rsid w:val="00011D3C"/>
    <w:rsid w:val="0001222D"/>
    <w:rsid w:val="00012679"/>
    <w:rsid w:val="00012EDA"/>
    <w:rsid w:val="00013B3F"/>
    <w:rsid w:val="00014981"/>
    <w:rsid w:val="00014B0D"/>
    <w:rsid w:val="00016280"/>
    <w:rsid w:val="0001672C"/>
    <w:rsid w:val="00016F04"/>
    <w:rsid w:val="00017870"/>
    <w:rsid w:val="00021068"/>
    <w:rsid w:val="00021595"/>
    <w:rsid w:val="000219D1"/>
    <w:rsid w:val="00021C3A"/>
    <w:rsid w:val="0002202D"/>
    <w:rsid w:val="00022C23"/>
    <w:rsid w:val="00023DF7"/>
    <w:rsid w:val="000267DD"/>
    <w:rsid w:val="000273EA"/>
    <w:rsid w:val="00027B63"/>
    <w:rsid w:val="00027CA9"/>
    <w:rsid w:val="00030B3D"/>
    <w:rsid w:val="00030BC5"/>
    <w:rsid w:val="00030BFB"/>
    <w:rsid w:val="00031DA1"/>
    <w:rsid w:val="00031EAF"/>
    <w:rsid w:val="00033390"/>
    <w:rsid w:val="000361EA"/>
    <w:rsid w:val="0003699E"/>
    <w:rsid w:val="000369C0"/>
    <w:rsid w:val="0003731A"/>
    <w:rsid w:val="00037A8B"/>
    <w:rsid w:val="00040372"/>
    <w:rsid w:val="000408AD"/>
    <w:rsid w:val="00041469"/>
    <w:rsid w:val="0004180C"/>
    <w:rsid w:val="000419D7"/>
    <w:rsid w:val="00042DD7"/>
    <w:rsid w:val="00043EE5"/>
    <w:rsid w:val="000442CC"/>
    <w:rsid w:val="000442DE"/>
    <w:rsid w:val="00044B24"/>
    <w:rsid w:val="0004508D"/>
    <w:rsid w:val="00045B37"/>
    <w:rsid w:val="0004709D"/>
    <w:rsid w:val="000504AA"/>
    <w:rsid w:val="0005086B"/>
    <w:rsid w:val="00050C95"/>
    <w:rsid w:val="00050CAD"/>
    <w:rsid w:val="0005142D"/>
    <w:rsid w:val="00051A3C"/>
    <w:rsid w:val="00051BE4"/>
    <w:rsid w:val="00051E96"/>
    <w:rsid w:val="000526A8"/>
    <w:rsid w:val="00052EF1"/>
    <w:rsid w:val="0005420B"/>
    <w:rsid w:val="000551CB"/>
    <w:rsid w:val="0005620B"/>
    <w:rsid w:val="00057392"/>
    <w:rsid w:val="000577A2"/>
    <w:rsid w:val="000577D3"/>
    <w:rsid w:val="00057963"/>
    <w:rsid w:val="000579AB"/>
    <w:rsid w:val="00060AE4"/>
    <w:rsid w:val="000622B9"/>
    <w:rsid w:val="000631E9"/>
    <w:rsid w:val="00063B4B"/>
    <w:rsid w:val="00064721"/>
    <w:rsid w:val="00064D60"/>
    <w:rsid w:val="00065973"/>
    <w:rsid w:val="00065C6D"/>
    <w:rsid w:val="000665D3"/>
    <w:rsid w:val="00066646"/>
    <w:rsid w:val="00066C7A"/>
    <w:rsid w:val="00066CF1"/>
    <w:rsid w:val="0007144A"/>
    <w:rsid w:val="000716AB"/>
    <w:rsid w:val="00071AB8"/>
    <w:rsid w:val="0007243A"/>
    <w:rsid w:val="000734CB"/>
    <w:rsid w:val="000762C0"/>
    <w:rsid w:val="00076737"/>
    <w:rsid w:val="00076C2B"/>
    <w:rsid w:val="00076C73"/>
    <w:rsid w:val="00076F81"/>
    <w:rsid w:val="000772B1"/>
    <w:rsid w:val="000779DE"/>
    <w:rsid w:val="000800B6"/>
    <w:rsid w:val="00080D15"/>
    <w:rsid w:val="00081B03"/>
    <w:rsid w:val="000847A0"/>
    <w:rsid w:val="00084BFD"/>
    <w:rsid w:val="00086F39"/>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726B"/>
    <w:rsid w:val="00097285"/>
    <w:rsid w:val="000975EA"/>
    <w:rsid w:val="000A021A"/>
    <w:rsid w:val="000A1828"/>
    <w:rsid w:val="000A1D06"/>
    <w:rsid w:val="000A1F38"/>
    <w:rsid w:val="000A2030"/>
    <w:rsid w:val="000A37F5"/>
    <w:rsid w:val="000A413A"/>
    <w:rsid w:val="000A4F1E"/>
    <w:rsid w:val="000A5881"/>
    <w:rsid w:val="000A66A1"/>
    <w:rsid w:val="000A69FB"/>
    <w:rsid w:val="000B1087"/>
    <w:rsid w:val="000B199A"/>
    <w:rsid w:val="000B1FF7"/>
    <w:rsid w:val="000B2529"/>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C6FC1"/>
    <w:rsid w:val="000C7FF8"/>
    <w:rsid w:val="000D0372"/>
    <w:rsid w:val="000D0ADE"/>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1D6F"/>
    <w:rsid w:val="000E2D0D"/>
    <w:rsid w:val="000E3381"/>
    <w:rsid w:val="000E3744"/>
    <w:rsid w:val="000E3CD9"/>
    <w:rsid w:val="000E481D"/>
    <w:rsid w:val="000E4DBF"/>
    <w:rsid w:val="000E4DF2"/>
    <w:rsid w:val="000E5844"/>
    <w:rsid w:val="000E7349"/>
    <w:rsid w:val="000E762D"/>
    <w:rsid w:val="000E77CC"/>
    <w:rsid w:val="000F0144"/>
    <w:rsid w:val="000F0807"/>
    <w:rsid w:val="000F080D"/>
    <w:rsid w:val="000F0B3C"/>
    <w:rsid w:val="000F13D5"/>
    <w:rsid w:val="000F175F"/>
    <w:rsid w:val="000F1AD8"/>
    <w:rsid w:val="000F2F4C"/>
    <w:rsid w:val="000F38D9"/>
    <w:rsid w:val="000F3CED"/>
    <w:rsid w:val="000F414C"/>
    <w:rsid w:val="000F6320"/>
    <w:rsid w:val="000F64FC"/>
    <w:rsid w:val="000F696E"/>
    <w:rsid w:val="000F6C10"/>
    <w:rsid w:val="000F718E"/>
    <w:rsid w:val="001001F2"/>
    <w:rsid w:val="00100207"/>
    <w:rsid w:val="001003C6"/>
    <w:rsid w:val="00100682"/>
    <w:rsid w:val="001010D3"/>
    <w:rsid w:val="0010144A"/>
    <w:rsid w:val="00101C11"/>
    <w:rsid w:val="00102F4F"/>
    <w:rsid w:val="001034DD"/>
    <w:rsid w:val="00104425"/>
    <w:rsid w:val="00104B4C"/>
    <w:rsid w:val="00105135"/>
    <w:rsid w:val="001055A2"/>
    <w:rsid w:val="0010682A"/>
    <w:rsid w:val="00106C4C"/>
    <w:rsid w:val="00107DEF"/>
    <w:rsid w:val="0011037E"/>
    <w:rsid w:val="00110404"/>
    <w:rsid w:val="001109E8"/>
    <w:rsid w:val="00110F73"/>
    <w:rsid w:val="00111E35"/>
    <w:rsid w:val="001128B4"/>
    <w:rsid w:val="00112EBD"/>
    <w:rsid w:val="001132C2"/>
    <w:rsid w:val="0011382D"/>
    <w:rsid w:val="00113AF2"/>
    <w:rsid w:val="00113C17"/>
    <w:rsid w:val="00113FDD"/>
    <w:rsid w:val="00114051"/>
    <w:rsid w:val="00114973"/>
    <w:rsid w:val="00114CFF"/>
    <w:rsid w:val="00114FDF"/>
    <w:rsid w:val="0011650B"/>
    <w:rsid w:val="00116616"/>
    <w:rsid w:val="00116FC5"/>
    <w:rsid w:val="00117163"/>
    <w:rsid w:val="00117BBD"/>
    <w:rsid w:val="001202DF"/>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B24"/>
    <w:rsid w:val="00127234"/>
    <w:rsid w:val="001276C4"/>
    <w:rsid w:val="00127C68"/>
    <w:rsid w:val="00127D5B"/>
    <w:rsid w:val="00131373"/>
    <w:rsid w:val="001314A0"/>
    <w:rsid w:val="00131A1F"/>
    <w:rsid w:val="00131A66"/>
    <w:rsid w:val="00131F9C"/>
    <w:rsid w:val="00132336"/>
    <w:rsid w:val="00132425"/>
    <w:rsid w:val="0013280A"/>
    <w:rsid w:val="001332B3"/>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61A7"/>
    <w:rsid w:val="00146946"/>
    <w:rsid w:val="00146E7C"/>
    <w:rsid w:val="00147F8C"/>
    <w:rsid w:val="00150492"/>
    <w:rsid w:val="001513CE"/>
    <w:rsid w:val="00151465"/>
    <w:rsid w:val="00151AD8"/>
    <w:rsid w:val="00151E77"/>
    <w:rsid w:val="00153287"/>
    <w:rsid w:val="001533E6"/>
    <w:rsid w:val="001538BE"/>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4803"/>
    <w:rsid w:val="00164AE0"/>
    <w:rsid w:val="00165BF5"/>
    <w:rsid w:val="00165F2E"/>
    <w:rsid w:val="0016646A"/>
    <w:rsid w:val="0016793B"/>
    <w:rsid w:val="00167C43"/>
    <w:rsid w:val="001706C9"/>
    <w:rsid w:val="0017120C"/>
    <w:rsid w:val="0017150D"/>
    <w:rsid w:val="001727D7"/>
    <w:rsid w:val="00172C96"/>
    <w:rsid w:val="00172DDC"/>
    <w:rsid w:val="00172F3A"/>
    <w:rsid w:val="00173477"/>
    <w:rsid w:val="0017414F"/>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3F50"/>
    <w:rsid w:val="00184BD9"/>
    <w:rsid w:val="00184ED6"/>
    <w:rsid w:val="00184F13"/>
    <w:rsid w:val="00184FD9"/>
    <w:rsid w:val="00185361"/>
    <w:rsid w:val="00186037"/>
    <w:rsid w:val="00186AE4"/>
    <w:rsid w:val="00186D14"/>
    <w:rsid w:val="001876D8"/>
    <w:rsid w:val="00187F6A"/>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7205"/>
    <w:rsid w:val="00197632"/>
    <w:rsid w:val="0019793F"/>
    <w:rsid w:val="00197A9D"/>
    <w:rsid w:val="001A08E7"/>
    <w:rsid w:val="001A17D7"/>
    <w:rsid w:val="001A1A67"/>
    <w:rsid w:val="001A1FDD"/>
    <w:rsid w:val="001A2D8F"/>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5D4"/>
    <w:rsid w:val="001B4446"/>
    <w:rsid w:val="001B5A00"/>
    <w:rsid w:val="001B5F59"/>
    <w:rsid w:val="001B63A7"/>
    <w:rsid w:val="001B6810"/>
    <w:rsid w:val="001B6E89"/>
    <w:rsid w:val="001B791C"/>
    <w:rsid w:val="001B7D70"/>
    <w:rsid w:val="001C0125"/>
    <w:rsid w:val="001C1074"/>
    <w:rsid w:val="001C21C8"/>
    <w:rsid w:val="001C25F5"/>
    <w:rsid w:val="001C2DFD"/>
    <w:rsid w:val="001C34D0"/>
    <w:rsid w:val="001C4249"/>
    <w:rsid w:val="001C46E3"/>
    <w:rsid w:val="001C4F27"/>
    <w:rsid w:val="001C51FE"/>
    <w:rsid w:val="001C6573"/>
    <w:rsid w:val="001C7D03"/>
    <w:rsid w:val="001D00BE"/>
    <w:rsid w:val="001D079B"/>
    <w:rsid w:val="001D0D32"/>
    <w:rsid w:val="001D17C9"/>
    <w:rsid w:val="001D1AB9"/>
    <w:rsid w:val="001D1F20"/>
    <w:rsid w:val="001D3795"/>
    <w:rsid w:val="001D4006"/>
    <w:rsid w:val="001D54BD"/>
    <w:rsid w:val="001D5C72"/>
    <w:rsid w:val="001D626E"/>
    <w:rsid w:val="001D733B"/>
    <w:rsid w:val="001D73CF"/>
    <w:rsid w:val="001D7E8C"/>
    <w:rsid w:val="001E0902"/>
    <w:rsid w:val="001E1801"/>
    <w:rsid w:val="001E1C73"/>
    <w:rsid w:val="001E1E05"/>
    <w:rsid w:val="001E2254"/>
    <w:rsid w:val="001E22D2"/>
    <w:rsid w:val="001E2343"/>
    <w:rsid w:val="001E3A17"/>
    <w:rsid w:val="001E3FCB"/>
    <w:rsid w:val="001E52DF"/>
    <w:rsid w:val="001E5500"/>
    <w:rsid w:val="001E6BCB"/>
    <w:rsid w:val="001E783B"/>
    <w:rsid w:val="001E7FBC"/>
    <w:rsid w:val="001F0822"/>
    <w:rsid w:val="001F08CB"/>
    <w:rsid w:val="001F105B"/>
    <w:rsid w:val="001F15F6"/>
    <w:rsid w:val="001F179C"/>
    <w:rsid w:val="001F24B7"/>
    <w:rsid w:val="001F2649"/>
    <w:rsid w:val="001F3496"/>
    <w:rsid w:val="001F41CA"/>
    <w:rsid w:val="001F4355"/>
    <w:rsid w:val="001F4819"/>
    <w:rsid w:val="001F48BD"/>
    <w:rsid w:val="001F5034"/>
    <w:rsid w:val="001F61DE"/>
    <w:rsid w:val="001F63AA"/>
    <w:rsid w:val="001F69C8"/>
    <w:rsid w:val="001F7054"/>
    <w:rsid w:val="001F77E5"/>
    <w:rsid w:val="001F7DB7"/>
    <w:rsid w:val="002000AA"/>
    <w:rsid w:val="00201502"/>
    <w:rsid w:val="0020302A"/>
    <w:rsid w:val="002032A0"/>
    <w:rsid w:val="00203532"/>
    <w:rsid w:val="00203AE0"/>
    <w:rsid w:val="00204106"/>
    <w:rsid w:val="00204109"/>
    <w:rsid w:val="0020503A"/>
    <w:rsid w:val="00205041"/>
    <w:rsid w:val="0020524C"/>
    <w:rsid w:val="002059E3"/>
    <w:rsid w:val="002100FF"/>
    <w:rsid w:val="00210543"/>
    <w:rsid w:val="00210B9B"/>
    <w:rsid w:val="0021102F"/>
    <w:rsid w:val="002118D1"/>
    <w:rsid w:val="00211DCE"/>
    <w:rsid w:val="00212390"/>
    <w:rsid w:val="00212897"/>
    <w:rsid w:val="0021386A"/>
    <w:rsid w:val="00213C44"/>
    <w:rsid w:val="00213C9E"/>
    <w:rsid w:val="002147EE"/>
    <w:rsid w:val="00215516"/>
    <w:rsid w:val="002158DC"/>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3E1"/>
    <w:rsid w:val="002225AB"/>
    <w:rsid w:val="00222955"/>
    <w:rsid w:val="002231B0"/>
    <w:rsid w:val="002250D1"/>
    <w:rsid w:val="002267D2"/>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407CE"/>
    <w:rsid w:val="00242325"/>
    <w:rsid w:val="00243A38"/>
    <w:rsid w:val="0024474F"/>
    <w:rsid w:val="00244761"/>
    <w:rsid w:val="002450F2"/>
    <w:rsid w:val="00245B7F"/>
    <w:rsid w:val="002469C2"/>
    <w:rsid w:val="00247BDE"/>
    <w:rsid w:val="00247DE2"/>
    <w:rsid w:val="002505DE"/>
    <w:rsid w:val="002514FA"/>
    <w:rsid w:val="00251DAF"/>
    <w:rsid w:val="00252503"/>
    <w:rsid w:val="00252ED7"/>
    <w:rsid w:val="0025393C"/>
    <w:rsid w:val="002549E7"/>
    <w:rsid w:val="00254A7A"/>
    <w:rsid w:val="00254EA4"/>
    <w:rsid w:val="0025509C"/>
    <w:rsid w:val="002552F8"/>
    <w:rsid w:val="0025575F"/>
    <w:rsid w:val="002571E3"/>
    <w:rsid w:val="002573DA"/>
    <w:rsid w:val="00260496"/>
    <w:rsid w:val="00260542"/>
    <w:rsid w:val="00260BAD"/>
    <w:rsid w:val="0026224C"/>
    <w:rsid w:val="00264C7C"/>
    <w:rsid w:val="0026650F"/>
    <w:rsid w:val="00266DC3"/>
    <w:rsid w:val="0027029D"/>
    <w:rsid w:val="00270443"/>
    <w:rsid w:val="00270EE2"/>
    <w:rsid w:val="0027138C"/>
    <w:rsid w:val="0027165A"/>
    <w:rsid w:val="00272787"/>
    <w:rsid w:val="00272826"/>
    <w:rsid w:val="00272A7B"/>
    <w:rsid w:val="00272C44"/>
    <w:rsid w:val="00272F05"/>
    <w:rsid w:val="00273527"/>
    <w:rsid w:val="00273F6B"/>
    <w:rsid w:val="002747EF"/>
    <w:rsid w:val="00274B06"/>
    <w:rsid w:val="002751D6"/>
    <w:rsid w:val="002754D3"/>
    <w:rsid w:val="00276261"/>
    <w:rsid w:val="00276944"/>
    <w:rsid w:val="00276964"/>
    <w:rsid w:val="002769AE"/>
    <w:rsid w:val="00276CA7"/>
    <w:rsid w:val="002816DD"/>
    <w:rsid w:val="002817A6"/>
    <w:rsid w:val="002821E8"/>
    <w:rsid w:val="00282F1D"/>
    <w:rsid w:val="00283215"/>
    <w:rsid w:val="002833F3"/>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CB7"/>
    <w:rsid w:val="00292E91"/>
    <w:rsid w:val="002930AD"/>
    <w:rsid w:val="00293254"/>
    <w:rsid w:val="00295002"/>
    <w:rsid w:val="0029568E"/>
    <w:rsid w:val="00295E8C"/>
    <w:rsid w:val="002971C7"/>
    <w:rsid w:val="002971F2"/>
    <w:rsid w:val="00297785"/>
    <w:rsid w:val="00297E05"/>
    <w:rsid w:val="002A0444"/>
    <w:rsid w:val="002A0F8D"/>
    <w:rsid w:val="002A1311"/>
    <w:rsid w:val="002A1377"/>
    <w:rsid w:val="002A211A"/>
    <w:rsid w:val="002A264B"/>
    <w:rsid w:val="002A4A82"/>
    <w:rsid w:val="002A4B33"/>
    <w:rsid w:val="002A4C00"/>
    <w:rsid w:val="002A5311"/>
    <w:rsid w:val="002A5863"/>
    <w:rsid w:val="002A6E9B"/>
    <w:rsid w:val="002A6FBB"/>
    <w:rsid w:val="002B05D1"/>
    <w:rsid w:val="002B1933"/>
    <w:rsid w:val="002B20BD"/>
    <w:rsid w:val="002B2611"/>
    <w:rsid w:val="002B27D8"/>
    <w:rsid w:val="002B35B9"/>
    <w:rsid w:val="002B38D2"/>
    <w:rsid w:val="002B3A46"/>
    <w:rsid w:val="002B3F1C"/>
    <w:rsid w:val="002B3F60"/>
    <w:rsid w:val="002B401B"/>
    <w:rsid w:val="002B48C5"/>
    <w:rsid w:val="002B4ED9"/>
    <w:rsid w:val="002B4EF4"/>
    <w:rsid w:val="002B51BB"/>
    <w:rsid w:val="002B58C5"/>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FD5"/>
    <w:rsid w:val="002D68F4"/>
    <w:rsid w:val="002D7395"/>
    <w:rsid w:val="002D7417"/>
    <w:rsid w:val="002D782B"/>
    <w:rsid w:val="002E0D9C"/>
    <w:rsid w:val="002E1247"/>
    <w:rsid w:val="002E26E8"/>
    <w:rsid w:val="002E3DD8"/>
    <w:rsid w:val="002E3ED8"/>
    <w:rsid w:val="002E5A01"/>
    <w:rsid w:val="002E5AF4"/>
    <w:rsid w:val="002E5EA3"/>
    <w:rsid w:val="002E717C"/>
    <w:rsid w:val="002E7533"/>
    <w:rsid w:val="002E7A61"/>
    <w:rsid w:val="002F00B8"/>
    <w:rsid w:val="002F0106"/>
    <w:rsid w:val="002F03C8"/>
    <w:rsid w:val="002F188D"/>
    <w:rsid w:val="002F18A5"/>
    <w:rsid w:val="002F26F3"/>
    <w:rsid w:val="002F317F"/>
    <w:rsid w:val="002F51A2"/>
    <w:rsid w:val="002F5BA8"/>
    <w:rsid w:val="002F5E95"/>
    <w:rsid w:val="002F5F68"/>
    <w:rsid w:val="002F63CA"/>
    <w:rsid w:val="002F67B4"/>
    <w:rsid w:val="002F6F73"/>
    <w:rsid w:val="002F7AA9"/>
    <w:rsid w:val="003004E3"/>
    <w:rsid w:val="00300FF1"/>
    <w:rsid w:val="00301C0D"/>
    <w:rsid w:val="00301D7B"/>
    <w:rsid w:val="00301E19"/>
    <w:rsid w:val="003023DE"/>
    <w:rsid w:val="00302998"/>
    <w:rsid w:val="00303DC4"/>
    <w:rsid w:val="00304676"/>
    <w:rsid w:val="00306BE7"/>
    <w:rsid w:val="00306D4A"/>
    <w:rsid w:val="003110A2"/>
    <w:rsid w:val="00311655"/>
    <w:rsid w:val="00311B66"/>
    <w:rsid w:val="00311F29"/>
    <w:rsid w:val="00312518"/>
    <w:rsid w:val="00314036"/>
    <w:rsid w:val="00314347"/>
    <w:rsid w:val="00314C4F"/>
    <w:rsid w:val="00314FAF"/>
    <w:rsid w:val="003162A5"/>
    <w:rsid w:val="00316591"/>
    <w:rsid w:val="00320553"/>
    <w:rsid w:val="00320C6D"/>
    <w:rsid w:val="003213A8"/>
    <w:rsid w:val="00321FA8"/>
    <w:rsid w:val="00321FFD"/>
    <w:rsid w:val="003225AD"/>
    <w:rsid w:val="00322E18"/>
    <w:rsid w:val="00323C3D"/>
    <w:rsid w:val="00323D1D"/>
    <w:rsid w:val="00323F8A"/>
    <w:rsid w:val="00324752"/>
    <w:rsid w:val="00324D73"/>
    <w:rsid w:val="00326011"/>
    <w:rsid w:val="0032643D"/>
    <w:rsid w:val="00326D02"/>
    <w:rsid w:val="00327069"/>
    <w:rsid w:val="00327812"/>
    <w:rsid w:val="00327AFB"/>
    <w:rsid w:val="00327BAF"/>
    <w:rsid w:val="00327D10"/>
    <w:rsid w:val="00331894"/>
    <w:rsid w:val="00332CB8"/>
    <w:rsid w:val="00333428"/>
    <w:rsid w:val="00334784"/>
    <w:rsid w:val="003350B6"/>
    <w:rsid w:val="0033595E"/>
    <w:rsid w:val="0033601B"/>
    <w:rsid w:val="003364B6"/>
    <w:rsid w:val="0033764C"/>
    <w:rsid w:val="00337DF3"/>
    <w:rsid w:val="00337F8E"/>
    <w:rsid w:val="00340039"/>
    <w:rsid w:val="003400D3"/>
    <w:rsid w:val="0034024F"/>
    <w:rsid w:val="003405C2"/>
    <w:rsid w:val="00340A77"/>
    <w:rsid w:val="00340D39"/>
    <w:rsid w:val="00340DFB"/>
    <w:rsid w:val="00341941"/>
    <w:rsid w:val="0034207A"/>
    <w:rsid w:val="0034278F"/>
    <w:rsid w:val="0034281F"/>
    <w:rsid w:val="00343B47"/>
    <w:rsid w:val="0034404F"/>
    <w:rsid w:val="00344ACC"/>
    <w:rsid w:val="00345F01"/>
    <w:rsid w:val="0034654F"/>
    <w:rsid w:val="00346B28"/>
    <w:rsid w:val="00347685"/>
    <w:rsid w:val="003509A5"/>
    <w:rsid w:val="003515FD"/>
    <w:rsid w:val="003518A4"/>
    <w:rsid w:val="00351E21"/>
    <w:rsid w:val="00352327"/>
    <w:rsid w:val="003526A9"/>
    <w:rsid w:val="00354062"/>
    <w:rsid w:val="00354405"/>
    <w:rsid w:val="00355A76"/>
    <w:rsid w:val="00355DEC"/>
    <w:rsid w:val="0035635F"/>
    <w:rsid w:val="00356E0F"/>
    <w:rsid w:val="0035700C"/>
    <w:rsid w:val="003607EE"/>
    <w:rsid w:val="00360BC8"/>
    <w:rsid w:val="00360E35"/>
    <w:rsid w:val="00361106"/>
    <w:rsid w:val="003617AE"/>
    <w:rsid w:val="00361F64"/>
    <w:rsid w:val="0036215C"/>
    <w:rsid w:val="003630F7"/>
    <w:rsid w:val="0036332B"/>
    <w:rsid w:val="00363589"/>
    <w:rsid w:val="00363636"/>
    <w:rsid w:val="003651AC"/>
    <w:rsid w:val="003653AA"/>
    <w:rsid w:val="00366120"/>
    <w:rsid w:val="003661FF"/>
    <w:rsid w:val="003665A5"/>
    <w:rsid w:val="00366A0C"/>
    <w:rsid w:val="00367238"/>
    <w:rsid w:val="00367462"/>
    <w:rsid w:val="003677D5"/>
    <w:rsid w:val="0037034B"/>
    <w:rsid w:val="00370507"/>
    <w:rsid w:val="00370682"/>
    <w:rsid w:val="00370F0B"/>
    <w:rsid w:val="003718D8"/>
    <w:rsid w:val="00372A01"/>
    <w:rsid w:val="003733DF"/>
    <w:rsid w:val="00373865"/>
    <w:rsid w:val="003739DA"/>
    <w:rsid w:val="00373CE8"/>
    <w:rsid w:val="00374DB0"/>
    <w:rsid w:val="003751C7"/>
    <w:rsid w:val="00375C84"/>
    <w:rsid w:val="00376524"/>
    <w:rsid w:val="00376E3B"/>
    <w:rsid w:val="003776FE"/>
    <w:rsid w:val="00380424"/>
    <w:rsid w:val="00380868"/>
    <w:rsid w:val="00380B9B"/>
    <w:rsid w:val="003818B3"/>
    <w:rsid w:val="003819F5"/>
    <w:rsid w:val="00381A52"/>
    <w:rsid w:val="00381B57"/>
    <w:rsid w:val="00381D47"/>
    <w:rsid w:val="003821CC"/>
    <w:rsid w:val="003835F0"/>
    <w:rsid w:val="003853B1"/>
    <w:rsid w:val="003853ED"/>
    <w:rsid w:val="0038628F"/>
    <w:rsid w:val="00386421"/>
    <w:rsid w:val="0038704C"/>
    <w:rsid w:val="00387AA1"/>
    <w:rsid w:val="0039082A"/>
    <w:rsid w:val="0039101F"/>
    <w:rsid w:val="00392EDB"/>
    <w:rsid w:val="00392FAE"/>
    <w:rsid w:val="003931AA"/>
    <w:rsid w:val="00393EEE"/>
    <w:rsid w:val="003941C0"/>
    <w:rsid w:val="00394D45"/>
    <w:rsid w:val="00395132"/>
    <w:rsid w:val="00395D99"/>
    <w:rsid w:val="00396682"/>
    <w:rsid w:val="003968DF"/>
    <w:rsid w:val="003976C3"/>
    <w:rsid w:val="00397A03"/>
    <w:rsid w:val="00397A64"/>
    <w:rsid w:val="003A099A"/>
    <w:rsid w:val="003A1372"/>
    <w:rsid w:val="003A1D46"/>
    <w:rsid w:val="003A2447"/>
    <w:rsid w:val="003A2B82"/>
    <w:rsid w:val="003A36D3"/>
    <w:rsid w:val="003A3927"/>
    <w:rsid w:val="003A3D2E"/>
    <w:rsid w:val="003A3FF7"/>
    <w:rsid w:val="003A43D1"/>
    <w:rsid w:val="003A6A51"/>
    <w:rsid w:val="003A6E29"/>
    <w:rsid w:val="003A7FEA"/>
    <w:rsid w:val="003B0BDB"/>
    <w:rsid w:val="003B0E88"/>
    <w:rsid w:val="003B106E"/>
    <w:rsid w:val="003B153F"/>
    <w:rsid w:val="003B17B0"/>
    <w:rsid w:val="003B1844"/>
    <w:rsid w:val="003B1A5C"/>
    <w:rsid w:val="003B211E"/>
    <w:rsid w:val="003B24EA"/>
    <w:rsid w:val="003B2DA7"/>
    <w:rsid w:val="003B3AB7"/>
    <w:rsid w:val="003B3ABC"/>
    <w:rsid w:val="003B3CDD"/>
    <w:rsid w:val="003B3D8E"/>
    <w:rsid w:val="003B3FED"/>
    <w:rsid w:val="003B3FF1"/>
    <w:rsid w:val="003B4217"/>
    <w:rsid w:val="003B59A1"/>
    <w:rsid w:val="003B6D11"/>
    <w:rsid w:val="003B74F1"/>
    <w:rsid w:val="003B7541"/>
    <w:rsid w:val="003B7966"/>
    <w:rsid w:val="003B7F07"/>
    <w:rsid w:val="003B7FCE"/>
    <w:rsid w:val="003C0F87"/>
    <w:rsid w:val="003C141E"/>
    <w:rsid w:val="003C1B83"/>
    <w:rsid w:val="003C210E"/>
    <w:rsid w:val="003C21B3"/>
    <w:rsid w:val="003C30AD"/>
    <w:rsid w:val="003C3503"/>
    <w:rsid w:val="003C40DE"/>
    <w:rsid w:val="003C4851"/>
    <w:rsid w:val="003C4C96"/>
    <w:rsid w:val="003C55E0"/>
    <w:rsid w:val="003C5E39"/>
    <w:rsid w:val="003C683A"/>
    <w:rsid w:val="003D0079"/>
    <w:rsid w:val="003D017D"/>
    <w:rsid w:val="003D04D6"/>
    <w:rsid w:val="003D10EC"/>
    <w:rsid w:val="003D28DE"/>
    <w:rsid w:val="003D29B9"/>
    <w:rsid w:val="003D3500"/>
    <w:rsid w:val="003D37B6"/>
    <w:rsid w:val="003D3C68"/>
    <w:rsid w:val="003D450D"/>
    <w:rsid w:val="003D4BA9"/>
    <w:rsid w:val="003D503A"/>
    <w:rsid w:val="003D6505"/>
    <w:rsid w:val="003D71A6"/>
    <w:rsid w:val="003D7709"/>
    <w:rsid w:val="003E004C"/>
    <w:rsid w:val="003E0BAF"/>
    <w:rsid w:val="003E0E25"/>
    <w:rsid w:val="003E1409"/>
    <w:rsid w:val="003E16F2"/>
    <w:rsid w:val="003E2195"/>
    <w:rsid w:val="003E36A5"/>
    <w:rsid w:val="003E4A52"/>
    <w:rsid w:val="003E5CBA"/>
    <w:rsid w:val="003E78A9"/>
    <w:rsid w:val="003E7912"/>
    <w:rsid w:val="003F04E6"/>
    <w:rsid w:val="003F2CDD"/>
    <w:rsid w:val="003F3FB3"/>
    <w:rsid w:val="003F45D7"/>
    <w:rsid w:val="003F4C1B"/>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4592"/>
    <w:rsid w:val="00404B58"/>
    <w:rsid w:val="0040544F"/>
    <w:rsid w:val="00405537"/>
    <w:rsid w:val="0040625C"/>
    <w:rsid w:val="004069D2"/>
    <w:rsid w:val="004076FF"/>
    <w:rsid w:val="00411B17"/>
    <w:rsid w:val="00411FFF"/>
    <w:rsid w:val="0041222D"/>
    <w:rsid w:val="004124F2"/>
    <w:rsid w:val="00412E6F"/>
    <w:rsid w:val="00413C5C"/>
    <w:rsid w:val="0041413F"/>
    <w:rsid w:val="0041567A"/>
    <w:rsid w:val="00415BAB"/>
    <w:rsid w:val="00415BCF"/>
    <w:rsid w:val="00416297"/>
    <w:rsid w:val="00417083"/>
    <w:rsid w:val="00417E36"/>
    <w:rsid w:val="0042057C"/>
    <w:rsid w:val="00420BDF"/>
    <w:rsid w:val="00421608"/>
    <w:rsid w:val="00421C23"/>
    <w:rsid w:val="0042261E"/>
    <w:rsid w:val="00422749"/>
    <w:rsid w:val="004228F2"/>
    <w:rsid w:val="004233DC"/>
    <w:rsid w:val="00424888"/>
    <w:rsid w:val="004255D9"/>
    <w:rsid w:val="00425763"/>
    <w:rsid w:val="00425C3C"/>
    <w:rsid w:val="00426F8D"/>
    <w:rsid w:val="00427D1B"/>
    <w:rsid w:val="00427E40"/>
    <w:rsid w:val="004306AB"/>
    <w:rsid w:val="0043159D"/>
    <w:rsid w:val="0043171D"/>
    <w:rsid w:val="00432F78"/>
    <w:rsid w:val="004334A2"/>
    <w:rsid w:val="004335BC"/>
    <w:rsid w:val="004339E6"/>
    <w:rsid w:val="00434723"/>
    <w:rsid w:val="00434729"/>
    <w:rsid w:val="0043617B"/>
    <w:rsid w:val="00437D17"/>
    <w:rsid w:val="00437D2F"/>
    <w:rsid w:val="0044046D"/>
    <w:rsid w:val="004410D3"/>
    <w:rsid w:val="00441A5B"/>
    <w:rsid w:val="00441DAF"/>
    <w:rsid w:val="0044270D"/>
    <w:rsid w:val="00442E8C"/>
    <w:rsid w:val="0044312A"/>
    <w:rsid w:val="00443310"/>
    <w:rsid w:val="004435D5"/>
    <w:rsid w:val="00443A34"/>
    <w:rsid w:val="00443D38"/>
    <w:rsid w:val="00444140"/>
    <w:rsid w:val="00444BF5"/>
    <w:rsid w:val="00444F43"/>
    <w:rsid w:val="00447C23"/>
    <w:rsid w:val="00450744"/>
    <w:rsid w:val="00450BE7"/>
    <w:rsid w:val="00450FE8"/>
    <w:rsid w:val="004518D0"/>
    <w:rsid w:val="0045213A"/>
    <w:rsid w:val="0045227C"/>
    <w:rsid w:val="0045230E"/>
    <w:rsid w:val="004528FA"/>
    <w:rsid w:val="00452D67"/>
    <w:rsid w:val="00452E53"/>
    <w:rsid w:val="0045418C"/>
    <w:rsid w:val="004542C6"/>
    <w:rsid w:val="00454EDC"/>
    <w:rsid w:val="00455B00"/>
    <w:rsid w:val="00455B97"/>
    <w:rsid w:val="00456635"/>
    <w:rsid w:val="00456BFD"/>
    <w:rsid w:val="004575D5"/>
    <w:rsid w:val="00457657"/>
    <w:rsid w:val="004600BF"/>
    <w:rsid w:val="004607D0"/>
    <w:rsid w:val="00460CE3"/>
    <w:rsid w:val="00460F25"/>
    <w:rsid w:val="0046116D"/>
    <w:rsid w:val="004612A4"/>
    <w:rsid w:val="0046153C"/>
    <w:rsid w:val="004624D2"/>
    <w:rsid w:val="004625C8"/>
    <w:rsid w:val="00462DCE"/>
    <w:rsid w:val="0046442A"/>
    <w:rsid w:val="00464BF1"/>
    <w:rsid w:val="00465D73"/>
    <w:rsid w:val="00466078"/>
    <w:rsid w:val="0046626B"/>
    <w:rsid w:val="004676E4"/>
    <w:rsid w:val="00467AFF"/>
    <w:rsid w:val="00470183"/>
    <w:rsid w:val="004708C9"/>
    <w:rsid w:val="00470C48"/>
    <w:rsid w:val="0047139F"/>
    <w:rsid w:val="00471429"/>
    <w:rsid w:val="004722B1"/>
    <w:rsid w:val="00473A47"/>
    <w:rsid w:val="00473A4F"/>
    <w:rsid w:val="00473C0A"/>
    <w:rsid w:val="00473EEF"/>
    <w:rsid w:val="00474415"/>
    <w:rsid w:val="00474BC1"/>
    <w:rsid w:val="004763EC"/>
    <w:rsid w:val="0047722F"/>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B03"/>
    <w:rsid w:val="0048444C"/>
    <w:rsid w:val="00485058"/>
    <w:rsid w:val="00485702"/>
    <w:rsid w:val="00485C2D"/>
    <w:rsid w:val="004867EC"/>
    <w:rsid w:val="00486A37"/>
    <w:rsid w:val="00487662"/>
    <w:rsid w:val="004876C6"/>
    <w:rsid w:val="00487D7B"/>
    <w:rsid w:val="00490F7A"/>
    <w:rsid w:val="00490FD5"/>
    <w:rsid w:val="00491241"/>
    <w:rsid w:val="00491813"/>
    <w:rsid w:val="00493278"/>
    <w:rsid w:val="00493855"/>
    <w:rsid w:val="004951D8"/>
    <w:rsid w:val="004952C1"/>
    <w:rsid w:val="00497575"/>
    <w:rsid w:val="004A078B"/>
    <w:rsid w:val="004A12C0"/>
    <w:rsid w:val="004A169A"/>
    <w:rsid w:val="004A18C9"/>
    <w:rsid w:val="004A191A"/>
    <w:rsid w:val="004A1A70"/>
    <w:rsid w:val="004A2D5A"/>
    <w:rsid w:val="004A3988"/>
    <w:rsid w:val="004A4027"/>
    <w:rsid w:val="004A419E"/>
    <w:rsid w:val="004A4688"/>
    <w:rsid w:val="004A6463"/>
    <w:rsid w:val="004A6B58"/>
    <w:rsid w:val="004A6BA2"/>
    <w:rsid w:val="004B06C3"/>
    <w:rsid w:val="004B0917"/>
    <w:rsid w:val="004B0B09"/>
    <w:rsid w:val="004B140F"/>
    <w:rsid w:val="004B14EB"/>
    <w:rsid w:val="004B21CF"/>
    <w:rsid w:val="004B2DE3"/>
    <w:rsid w:val="004B3FEA"/>
    <w:rsid w:val="004B4E68"/>
    <w:rsid w:val="004B53F1"/>
    <w:rsid w:val="004B5D6E"/>
    <w:rsid w:val="004B60BA"/>
    <w:rsid w:val="004B6946"/>
    <w:rsid w:val="004B6D89"/>
    <w:rsid w:val="004B6E81"/>
    <w:rsid w:val="004C0FFE"/>
    <w:rsid w:val="004C136D"/>
    <w:rsid w:val="004C1619"/>
    <w:rsid w:val="004C177F"/>
    <w:rsid w:val="004C19E4"/>
    <w:rsid w:val="004C1B59"/>
    <w:rsid w:val="004C3C25"/>
    <w:rsid w:val="004C3EEA"/>
    <w:rsid w:val="004C4EA2"/>
    <w:rsid w:val="004C596B"/>
    <w:rsid w:val="004C5E41"/>
    <w:rsid w:val="004C60E7"/>
    <w:rsid w:val="004C664D"/>
    <w:rsid w:val="004C7BDE"/>
    <w:rsid w:val="004D0090"/>
    <w:rsid w:val="004D020F"/>
    <w:rsid w:val="004D03D1"/>
    <w:rsid w:val="004D10B0"/>
    <w:rsid w:val="004D11AF"/>
    <w:rsid w:val="004D2E58"/>
    <w:rsid w:val="004D37D9"/>
    <w:rsid w:val="004D41A2"/>
    <w:rsid w:val="004D502C"/>
    <w:rsid w:val="004D5FB2"/>
    <w:rsid w:val="004D60A3"/>
    <w:rsid w:val="004D6DC3"/>
    <w:rsid w:val="004D71CA"/>
    <w:rsid w:val="004E016A"/>
    <w:rsid w:val="004E0461"/>
    <w:rsid w:val="004E1CC8"/>
    <w:rsid w:val="004E29B1"/>
    <w:rsid w:val="004E3F87"/>
    <w:rsid w:val="004E461B"/>
    <w:rsid w:val="004E477D"/>
    <w:rsid w:val="004E5890"/>
    <w:rsid w:val="004E79EF"/>
    <w:rsid w:val="004E7B33"/>
    <w:rsid w:val="004F0368"/>
    <w:rsid w:val="004F0D19"/>
    <w:rsid w:val="004F121B"/>
    <w:rsid w:val="004F140F"/>
    <w:rsid w:val="004F185F"/>
    <w:rsid w:val="004F2811"/>
    <w:rsid w:val="004F3326"/>
    <w:rsid w:val="004F590E"/>
    <w:rsid w:val="004F5966"/>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20BBA"/>
    <w:rsid w:val="005225AC"/>
    <w:rsid w:val="005226FA"/>
    <w:rsid w:val="005233F3"/>
    <w:rsid w:val="0052365C"/>
    <w:rsid w:val="005245D2"/>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42F1"/>
    <w:rsid w:val="00544A24"/>
    <w:rsid w:val="0054583C"/>
    <w:rsid w:val="00546227"/>
    <w:rsid w:val="005468E2"/>
    <w:rsid w:val="00546D83"/>
    <w:rsid w:val="00550113"/>
    <w:rsid w:val="0055019B"/>
    <w:rsid w:val="005504BE"/>
    <w:rsid w:val="0055082B"/>
    <w:rsid w:val="0055093A"/>
    <w:rsid w:val="00550F00"/>
    <w:rsid w:val="00551964"/>
    <w:rsid w:val="00551BDF"/>
    <w:rsid w:val="00551ED7"/>
    <w:rsid w:val="0055211C"/>
    <w:rsid w:val="0055263A"/>
    <w:rsid w:val="005526EE"/>
    <w:rsid w:val="00552B57"/>
    <w:rsid w:val="00552E53"/>
    <w:rsid w:val="00553E34"/>
    <w:rsid w:val="005547B7"/>
    <w:rsid w:val="005551E9"/>
    <w:rsid w:val="0055680D"/>
    <w:rsid w:val="00557670"/>
    <w:rsid w:val="00557C2D"/>
    <w:rsid w:val="00560094"/>
    <w:rsid w:val="00560C62"/>
    <w:rsid w:val="00562A61"/>
    <w:rsid w:val="00562E78"/>
    <w:rsid w:val="005638A2"/>
    <w:rsid w:val="00564E45"/>
    <w:rsid w:val="005652D5"/>
    <w:rsid w:val="00565E52"/>
    <w:rsid w:val="00567227"/>
    <w:rsid w:val="00567CD0"/>
    <w:rsid w:val="00570C7B"/>
    <w:rsid w:val="00571C77"/>
    <w:rsid w:val="00572D5B"/>
    <w:rsid w:val="00574614"/>
    <w:rsid w:val="00574A70"/>
    <w:rsid w:val="00574D35"/>
    <w:rsid w:val="00575C75"/>
    <w:rsid w:val="005762CA"/>
    <w:rsid w:val="005770CF"/>
    <w:rsid w:val="00577904"/>
    <w:rsid w:val="00577922"/>
    <w:rsid w:val="00577AC3"/>
    <w:rsid w:val="00580577"/>
    <w:rsid w:val="005815A8"/>
    <w:rsid w:val="00581915"/>
    <w:rsid w:val="00583431"/>
    <w:rsid w:val="005846C0"/>
    <w:rsid w:val="00584D04"/>
    <w:rsid w:val="005853F5"/>
    <w:rsid w:val="0058567E"/>
    <w:rsid w:val="00585DE1"/>
    <w:rsid w:val="0058659E"/>
    <w:rsid w:val="005869EE"/>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539"/>
    <w:rsid w:val="00597108"/>
    <w:rsid w:val="005976DB"/>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002"/>
    <w:rsid w:val="005B45AB"/>
    <w:rsid w:val="005B4D8F"/>
    <w:rsid w:val="005B6551"/>
    <w:rsid w:val="005B71A8"/>
    <w:rsid w:val="005B744B"/>
    <w:rsid w:val="005C0A6F"/>
    <w:rsid w:val="005C0FA7"/>
    <w:rsid w:val="005C155F"/>
    <w:rsid w:val="005C1C0E"/>
    <w:rsid w:val="005C36E2"/>
    <w:rsid w:val="005C3E9E"/>
    <w:rsid w:val="005C400C"/>
    <w:rsid w:val="005C410C"/>
    <w:rsid w:val="005C4BF1"/>
    <w:rsid w:val="005C4BF2"/>
    <w:rsid w:val="005C52D4"/>
    <w:rsid w:val="005C5BED"/>
    <w:rsid w:val="005C5D86"/>
    <w:rsid w:val="005C6167"/>
    <w:rsid w:val="005C6ADB"/>
    <w:rsid w:val="005C6EE2"/>
    <w:rsid w:val="005C7A07"/>
    <w:rsid w:val="005C7DDC"/>
    <w:rsid w:val="005C7F7C"/>
    <w:rsid w:val="005D0BAD"/>
    <w:rsid w:val="005D0C0A"/>
    <w:rsid w:val="005D107D"/>
    <w:rsid w:val="005D123A"/>
    <w:rsid w:val="005D2506"/>
    <w:rsid w:val="005D2BB5"/>
    <w:rsid w:val="005D3677"/>
    <w:rsid w:val="005D4E4C"/>
    <w:rsid w:val="005D5B5E"/>
    <w:rsid w:val="005D5C85"/>
    <w:rsid w:val="005D5CA0"/>
    <w:rsid w:val="005D69AB"/>
    <w:rsid w:val="005D72FC"/>
    <w:rsid w:val="005D7DFC"/>
    <w:rsid w:val="005E035A"/>
    <w:rsid w:val="005E0464"/>
    <w:rsid w:val="005E0681"/>
    <w:rsid w:val="005E1218"/>
    <w:rsid w:val="005E18EC"/>
    <w:rsid w:val="005E1A55"/>
    <w:rsid w:val="005E1B6B"/>
    <w:rsid w:val="005E1F61"/>
    <w:rsid w:val="005E2281"/>
    <w:rsid w:val="005E236C"/>
    <w:rsid w:val="005E2FAE"/>
    <w:rsid w:val="005E32C9"/>
    <w:rsid w:val="005E351B"/>
    <w:rsid w:val="005E38A8"/>
    <w:rsid w:val="005E39F9"/>
    <w:rsid w:val="005E3D9B"/>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B88"/>
    <w:rsid w:val="005F1735"/>
    <w:rsid w:val="005F187E"/>
    <w:rsid w:val="005F252A"/>
    <w:rsid w:val="005F3CE8"/>
    <w:rsid w:val="005F4F41"/>
    <w:rsid w:val="005F566D"/>
    <w:rsid w:val="005F648F"/>
    <w:rsid w:val="005F68C3"/>
    <w:rsid w:val="005F7D87"/>
    <w:rsid w:val="00601794"/>
    <w:rsid w:val="00601E94"/>
    <w:rsid w:val="006021B1"/>
    <w:rsid w:val="006037C5"/>
    <w:rsid w:val="006040CE"/>
    <w:rsid w:val="0060467D"/>
    <w:rsid w:val="00604DF3"/>
    <w:rsid w:val="0060585E"/>
    <w:rsid w:val="00605B9D"/>
    <w:rsid w:val="00606213"/>
    <w:rsid w:val="00606B57"/>
    <w:rsid w:val="00606B85"/>
    <w:rsid w:val="00607390"/>
    <w:rsid w:val="006076D8"/>
    <w:rsid w:val="00607E6D"/>
    <w:rsid w:val="0061061D"/>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4921"/>
    <w:rsid w:val="00615564"/>
    <w:rsid w:val="006155E2"/>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BC7"/>
    <w:rsid w:val="00623E70"/>
    <w:rsid w:val="006241D0"/>
    <w:rsid w:val="00624425"/>
    <w:rsid w:val="00624665"/>
    <w:rsid w:val="00625434"/>
    <w:rsid w:val="0062576B"/>
    <w:rsid w:val="00625C5F"/>
    <w:rsid w:val="00626032"/>
    <w:rsid w:val="00627643"/>
    <w:rsid w:val="00627788"/>
    <w:rsid w:val="006300CD"/>
    <w:rsid w:val="0063017E"/>
    <w:rsid w:val="00630723"/>
    <w:rsid w:val="00630EAE"/>
    <w:rsid w:val="006312D0"/>
    <w:rsid w:val="00631866"/>
    <w:rsid w:val="006318A4"/>
    <w:rsid w:val="00631A11"/>
    <w:rsid w:val="00631D4F"/>
    <w:rsid w:val="006321B6"/>
    <w:rsid w:val="006327C6"/>
    <w:rsid w:val="00633496"/>
    <w:rsid w:val="006338D2"/>
    <w:rsid w:val="00633F92"/>
    <w:rsid w:val="0063435E"/>
    <w:rsid w:val="00634CB2"/>
    <w:rsid w:val="006357E2"/>
    <w:rsid w:val="00635FD8"/>
    <w:rsid w:val="00636651"/>
    <w:rsid w:val="006368E4"/>
    <w:rsid w:val="00636F7B"/>
    <w:rsid w:val="00640140"/>
    <w:rsid w:val="0064019C"/>
    <w:rsid w:val="00640288"/>
    <w:rsid w:val="006405AC"/>
    <w:rsid w:val="0064099D"/>
    <w:rsid w:val="00640E9A"/>
    <w:rsid w:val="006412CD"/>
    <w:rsid w:val="006413D8"/>
    <w:rsid w:val="00641610"/>
    <w:rsid w:val="00641B7B"/>
    <w:rsid w:val="00641C55"/>
    <w:rsid w:val="00642405"/>
    <w:rsid w:val="00642645"/>
    <w:rsid w:val="006437E8"/>
    <w:rsid w:val="006438E0"/>
    <w:rsid w:val="00644BED"/>
    <w:rsid w:val="006455CB"/>
    <w:rsid w:val="00646FD5"/>
    <w:rsid w:val="006472F8"/>
    <w:rsid w:val="00647680"/>
    <w:rsid w:val="00647743"/>
    <w:rsid w:val="006510C0"/>
    <w:rsid w:val="00651DC7"/>
    <w:rsid w:val="00652092"/>
    <w:rsid w:val="00652472"/>
    <w:rsid w:val="00652F31"/>
    <w:rsid w:val="006535E5"/>
    <w:rsid w:val="0065394E"/>
    <w:rsid w:val="00653B2B"/>
    <w:rsid w:val="00653B38"/>
    <w:rsid w:val="00654D37"/>
    <w:rsid w:val="00654F06"/>
    <w:rsid w:val="00656385"/>
    <w:rsid w:val="00656F19"/>
    <w:rsid w:val="00657BB7"/>
    <w:rsid w:val="00660299"/>
    <w:rsid w:val="00660552"/>
    <w:rsid w:val="00660DBE"/>
    <w:rsid w:val="00661113"/>
    <w:rsid w:val="0066127D"/>
    <w:rsid w:val="00661AB0"/>
    <w:rsid w:val="006623A4"/>
    <w:rsid w:val="006627B5"/>
    <w:rsid w:val="0066351C"/>
    <w:rsid w:val="006635BF"/>
    <w:rsid w:val="00663CBA"/>
    <w:rsid w:val="00664498"/>
    <w:rsid w:val="00664693"/>
    <w:rsid w:val="00664DC0"/>
    <w:rsid w:val="006651CC"/>
    <w:rsid w:val="0066582B"/>
    <w:rsid w:val="006658DA"/>
    <w:rsid w:val="00665CA1"/>
    <w:rsid w:val="00667421"/>
    <w:rsid w:val="0066780E"/>
    <w:rsid w:val="00667A31"/>
    <w:rsid w:val="00670702"/>
    <w:rsid w:val="006708EB"/>
    <w:rsid w:val="0067147C"/>
    <w:rsid w:val="00672895"/>
    <w:rsid w:val="00672A8A"/>
    <w:rsid w:val="00673524"/>
    <w:rsid w:val="00673F50"/>
    <w:rsid w:val="00674EEA"/>
    <w:rsid w:val="0067549D"/>
    <w:rsid w:val="006759B0"/>
    <w:rsid w:val="00677012"/>
    <w:rsid w:val="006771EA"/>
    <w:rsid w:val="00680D0E"/>
    <w:rsid w:val="00680F00"/>
    <w:rsid w:val="006825A6"/>
    <w:rsid w:val="006825B4"/>
    <w:rsid w:val="006829BA"/>
    <w:rsid w:val="00682AF2"/>
    <w:rsid w:val="00682E8A"/>
    <w:rsid w:val="00682FB7"/>
    <w:rsid w:val="006837DE"/>
    <w:rsid w:val="00683CE0"/>
    <w:rsid w:val="0068537F"/>
    <w:rsid w:val="00686104"/>
    <w:rsid w:val="00686334"/>
    <w:rsid w:val="00686C3A"/>
    <w:rsid w:val="00686EEB"/>
    <w:rsid w:val="00687628"/>
    <w:rsid w:val="00687CFE"/>
    <w:rsid w:val="0069035A"/>
    <w:rsid w:val="00690EB8"/>
    <w:rsid w:val="0069109D"/>
    <w:rsid w:val="006915E5"/>
    <w:rsid w:val="00692401"/>
    <w:rsid w:val="00693B7A"/>
    <w:rsid w:val="006941CC"/>
    <w:rsid w:val="006942BA"/>
    <w:rsid w:val="006945D4"/>
    <w:rsid w:val="00694EC0"/>
    <w:rsid w:val="00695852"/>
    <w:rsid w:val="00695F56"/>
    <w:rsid w:val="0069758B"/>
    <w:rsid w:val="00697F88"/>
    <w:rsid w:val="006A050B"/>
    <w:rsid w:val="006A07FF"/>
    <w:rsid w:val="006A0A70"/>
    <w:rsid w:val="006A0B6C"/>
    <w:rsid w:val="006A1692"/>
    <w:rsid w:val="006A16E1"/>
    <w:rsid w:val="006A179F"/>
    <w:rsid w:val="006A188D"/>
    <w:rsid w:val="006A3293"/>
    <w:rsid w:val="006A36DF"/>
    <w:rsid w:val="006A3C8A"/>
    <w:rsid w:val="006A3E61"/>
    <w:rsid w:val="006A5213"/>
    <w:rsid w:val="006A6003"/>
    <w:rsid w:val="006A6737"/>
    <w:rsid w:val="006B0AE6"/>
    <w:rsid w:val="006B1E08"/>
    <w:rsid w:val="006B2099"/>
    <w:rsid w:val="006B26B1"/>
    <w:rsid w:val="006B2E45"/>
    <w:rsid w:val="006B341B"/>
    <w:rsid w:val="006B3875"/>
    <w:rsid w:val="006B425B"/>
    <w:rsid w:val="006B545C"/>
    <w:rsid w:val="006B5AC8"/>
    <w:rsid w:val="006B5D32"/>
    <w:rsid w:val="006B758B"/>
    <w:rsid w:val="006B7BF8"/>
    <w:rsid w:val="006C0E54"/>
    <w:rsid w:val="006C0F11"/>
    <w:rsid w:val="006C23E1"/>
    <w:rsid w:val="006C25D5"/>
    <w:rsid w:val="006C25F9"/>
    <w:rsid w:val="006C262B"/>
    <w:rsid w:val="006C2866"/>
    <w:rsid w:val="006C31C6"/>
    <w:rsid w:val="006C3A2D"/>
    <w:rsid w:val="006C4666"/>
    <w:rsid w:val="006C49BF"/>
    <w:rsid w:val="006C63D7"/>
    <w:rsid w:val="006C6894"/>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5303"/>
    <w:rsid w:val="006D5E84"/>
    <w:rsid w:val="006D7A4C"/>
    <w:rsid w:val="006D7C99"/>
    <w:rsid w:val="006E0443"/>
    <w:rsid w:val="006E0C50"/>
    <w:rsid w:val="006E0DCF"/>
    <w:rsid w:val="006E14D6"/>
    <w:rsid w:val="006E1647"/>
    <w:rsid w:val="006E1BA2"/>
    <w:rsid w:val="006E2298"/>
    <w:rsid w:val="006E2F3A"/>
    <w:rsid w:val="006E310A"/>
    <w:rsid w:val="006E3C3E"/>
    <w:rsid w:val="006E3FBD"/>
    <w:rsid w:val="006E40C7"/>
    <w:rsid w:val="006E429F"/>
    <w:rsid w:val="006E47E0"/>
    <w:rsid w:val="006E50E4"/>
    <w:rsid w:val="006E6F30"/>
    <w:rsid w:val="006E6FE9"/>
    <w:rsid w:val="006E7082"/>
    <w:rsid w:val="006E709F"/>
    <w:rsid w:val="006E7F73"/>
    <w:rsid w:val="006F030F"/>
    <w:rsid w:val="006F193C"/>
    <w:rsid w:val="006F1B58"/>
    <w:rsid w:val="006F27DC"/>
    <w:rsid w:val="006F2B89"/>
    <w:rsid w:val="006F36F1"/>
    <w:rsid w:val="006F3B81"/>
    <w:rsid w:val="006F4860"/>
    <w:rsid w:val="006F4D59"/>
    <w:rsid w:val="006F4F79"/>
    <w:rsid w:val="006F4F80"/>
    <w:rsid w:val="006F5532"/>
    <w:rsid w:val="006F5ADA"/>
    <w:rsid w:val="006F62CC"/>
    <w:rsid w:val="006F644B"/>
    <w:rsid w:val="006F66C1"/>
    <w:rsid w:val="006F681D"/>
    <w:rsid w:val="006F731E"/>
    <w:rsid w:val="006F78E9"/>
    <w:rsid w:val="0070235F"/>
    <w:rsid w:val="00702BC3"/>
    <w:rsid w:val="00702FF3"/>
    <w:rsid w:val="007032AC"/>
    <w:rsid w:val="00703496"/>
    <w:rsid w:val="007036FE"/>
    <w:rsid w:val="00703AB1"/>
    <w:rsid w:val="00704614"/>
    <w:rsid w:val="00704C5F"/>
    <w:rsid w:val="00704DEB"/>
    <w:rsid w:val="00705623"/>
    <w:rsid w:val="00705B37"/>
    <w:rsid w:val="0070658A"/>
    <w:rsid w:val="00706B65"/>
    <w:rsid w:val="007071AF"/>
    <w:rsid w:val="00707C1A"/>
    <w:rsid w:val="00710023"/>
    <w:rsid w:val="00710207"/>
    <w:rsid w:val="0071023D"/>
    <w:rsid w:val="007103CD"/>
    <w:rsid w:val="007104CB"/>
    <w:rsid w:val="00710530"/>
    <w:rsid w:val="007107BD"/>
    <w:rsid w:val="00711E77"/>
    <w:rsid w:val="00712912"/>
    <w:rsid w:val="00713AAC"/>
    <w:rsid w:val="007141DC"/>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630D"/>
    <w:rsid w:val="00726A2A"/>
    <w:rsid w:val="007271E9"/>
    <w:rsid w:val="007273BC"/>
    <w:rsid w:val="007275FD"/>
    <w:rsid w:val="007276E5"/>
    <w:rsid w:val="00730943"/>
    <w:rsid w:val="00731D5E"/>
    <w:rsid w:val="00732492"/>
    <w:rsid w:val="00733E5A"/>
    <w:rsid w:val="00733F25"/>
    <w:rsid w:val="00736395"/>
    <w:rsid w:val="00736459"/>
    <w:rsid w:val="0073685F"/>
    <w:rsid w:val="00737821"/>
    <w:rsid w:val="0074058F"/>
    <w:rsid w:val="00740E86"/>
    <w:rsid w:val="00741175"/>
    <w:rsid w:val="007419FB"/>
    <w:rsid w:val="00742606"/>
    <w:rsid w:val="007441FF"/>
    <w:rsid w:val="007448A7"/>
    <w:rsid w:val="00744EE8"/>
    <w:rsid w:val="00744F42"/>
    <w:rsid w:val="007459F5"/>
    <w:rsid w:val="00746713"/>
    <w:rsid w:val="007467E4"/>
    <w:rsid w:val="00746B08"/>
    <w:rsid w:val="00747569"/>
    <w:rsid w:val="00750238"/>
    <w:rsid w:val="0075023C"/>
    <w:rsid w:val="007518E3"/>
    <w:rsid w:val="007518E9"/>
    <w:rsid w:val="00752247"/>
    <w:rsid w:val="007523E7"/>
    <w:rsid w:val="007524C4"/>
    <w:rsid w:val="00752AE5"/>
    <w:rsid w:val="007531CA"/>
    <w:rsid w:val="00754252"/>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325B"/>
    <w:rsid w:val="00764AF9"/>
    <w:rsid w:val="007650AD"/>
    <w:rsid w:val="00765D18"/>
    <w:rsid w:val="0076640B"/>
    <w:rsid w:val="007673DE"/>
    <w:rsid w:val="00770C54"/>
    <w:rsid w:val="00771344"/>
    <w:rsid w:val="0077213A"/>
    <w:rsid w:val="00772613"/>
    <w:rsid w:val="00772B41"/>
    <w:rsid w:val="00772CED"/>
    <w:rsid w:val="00773EA1"/>
    <w:rsid w:val="00775215"/>
    <w:rsid w:val="00775748"/>
    <w:rsid w:val="00776ACC"/>
    <w:rsid w:val="00777AE2"/>
    <w:rsid w:val="00777C71"/>
    <w:rsid w:val="00777D6B"/>
    <w:rsid w:val="00777F20"/>
    <w:rsid w:val="0078080B"/>
    <w:rsid w:val="00781148"/>
    <w:rsid w:val="0078120F"/>
    <w:rsid w:val="00781F98"/>
    <w:rsid w:val="0078265B"/>
    <w:rsid w:val="00782AFE"/>
    <w:rsid w:val="00782E10"/>
    <w:rsid w:val="00784926"/>
    <w:rsid w:val="00784DB8"/>
    <w:rsid w:val="00784FDD"/>
    <w:rsid w:val="0078508F"/>
    <w:rsid w:val="00786448"/>
    <w:rsid w:val="007875D7"/>
    <w:rsid w:val="007906B2"/>
    <w:rsid w:val="0079134E"/>
    <w:rsid w:val="007925F0"/>
    <w:rsid w:val="0079278E"/>
    <w:rsid w:val="00792DCA"/>
    <w:rsid w:val="00792E3C"/>
    <w:rsid w:val="00793040"/>
    <w:rsid w:val="007930C1"/>
    <w:rsid w:val="0079315D"/>
    <w:rsid w:val="00793B45"/>
    <w:rsid w:val="0079477A"/>
    <w:rsid w:val="00795706"/>
    <w:rsid w:val="007960E3"/>
    <w:rsid w:val="00796F7C"/>
    <w:rsid w:val="00797131"/>
    <w:rsid w:val="00797254"/>
    <w:rsid w:val="00797430"/>
    <w:rsid w:val="00797AF4"/>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FD7"/>
    <w:rsid w:val="007B18C6"/>
    <w:rsid w:val="007B20C2"/>
    <w:rsid w:val="007B25D5"/>
    <w:rsid w:val="007B27E4"/>
    <w:rsid w:val="007B2910"/>
    <w:rsid w:val="007B301D"/>
    <w:rsid w:val="007B3264"/>
    <w:rsid w:val="007B35F6"/>
    <w:rsid w:val="007B3F87"/>
    <w:rsid w:val="007B404F"/>
    <w:rsid w:val="007B44A6"/>
    <w:rsid w:val="007B494E"/>
    <w:rsid w:val="007B4C5E"/>
    <w:rsid w:val="007B7462"/>
    <w:rsid w:val="007B7B52"/>
    <w:rsid w:val="007C02A3"/>
    <w:rsid w:val="007C0C55"/>
    <w:rsid w:val="007C1507"/>
    <w:rsid w:val="007C2F60"/>
    <w:rsid w:val="007C3757"/>
    <w:rsid w:val="007C4D8D"/>
    <w:rsid w:val="007C5144"/>
    <w:rsid w:val="007C5613"/>
    <w:rsid w:val="007C6138"/>
    <w:rsid w:val="007C6153"/>
    <w:rsid w:val="007C6849"/>
    <w:rsid w:val="007C6BC6"/>
    <w:rsid w:val="007C6C12"/>
    <w:rsid w:val="007C73B2"/>
    <w:rsid w:val="007D0435"/>
    <w:rsid w:val="007D0D3E"/>
    <w:rsid w:val="007D116E"/>
    <w:rsid w:val="007D1B24"/>
    <w:rsid w:val="007D267F"/>
    <w:rsid w:val="007D3341"/>
    <w:rsid w:val="007D3A3E"/>
    <w:rsid w:val="007D400A"/>
    <w:rsid w:val="007D4B0E"/>
    <w:rsid w:val="007D4DD2"/>
    <w:rsid w:val="007D5D0F"/>
    <w:rsid w:val="007D6EA8"/>
    <w:rsid w:val="007D7B3C"/>
    <w:rsid w:val="007E042B"/>
    <w:rsid w:val="007E05DB"/>
    <w:rsid w:val="007E1247"/>
    <w:rsid w:val="007E1A44"/>
    <w:rsid w:val="007E2419"/>
    <w:rsid w:val="007E3FF5"/>
    <w:rsid w:val="007E4219"/>
    <w:rsid w:val="007E577E"/>
    <w:rsid w:val="007E635E"/>
    <w:rsid w:val="007E6A9C"/>
    <w:rsid w:val="007E6C0C"/>
    <w:rsid w:val="007E7300"/>
    <w:rsid w:val="007E767B"/>
    <w:rsid w:val="007E7B54"/>
    <w:rsid w:val="007F038C"/>
    <w:rsid w:val="007F0428"/>
    <w:rsid w:val="007F0F24"/>
    <w:rsid w:val="007F1755"/>
    <w:rsid w:val="007F222B"/>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662C"/>
    <w:rsid w:val="008070B2"/>
    <w:rsid w:val="00807D79"/>
    <w:rsid w:val="00810102"/>
    <w:rsid w:val="008102BC"/>
    <w:rsid w:val="008116F3"/>
    <w:rsid w:val="008117C4"/>
    <w:rsid w:val="0081222E"/>
    <w:rsid w:val="00812461"/>
    <w:rsid w:val="008127E0"/>
    <w:rsid w:val="00812810"/>
    <w:rsid w:val="0081398E"/>
    <w:rsid w:val="00813F02"/>
    <w:rsid w:val="008149D8"/>
    <w:rsid w:val="00815714"/>
    <w:rsid w:val="00815A2A"/>
    <w:rsid w:val="0081724D"/>
    <w:rsid w:val="0081788A"/>
    <w:rsid w:val="00817927"/>
    <w:rsid w:val="00817CFC"/>
    <w:rsid w:val="00817E82"/>
    <w:rsid w:val="00820A3F"/>
    <w:rsid w:val="00821D81"/>
    <w:rsid w:val="00822A52"/>
    <w:rsid w:val="00823654"/>
    <w:rsid w:val="008237F3"/>
    <w:rsid w:val="00823A90"/>
    <w:rsid w:val="00825C68"/>
    <w:rsid w:val="0082757E"/>
    <w:rsid w:val="0082769C"/>
    <w:rsid w:val="00827B6C"/>
    <w:rsid w:val="00827D77"/>
    <w:rsid w:val="00830259"/>
    <w:rsid w:val="00830561"/>
    <w:rsid w:val="00831115"/>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9CF"/>
    <w:rsid w:val="0084324C"/>
    <w:rsid w:val="00843910"/>
    <w:rsid w:val="00843B9B"/>
    <w:rsid w:val="008451F8"/>
    <w:rsid w:val="008457D2"/>
    <w:rsid w:val="00846212"/>
    <w:rsid w:val="008468E0"/>
    <w:rsid w:val="0084767E"/>
    <w:rsid w:val="0084790F"/>
    <w:rsid w:val="00847BE7"/>
    <w:rsid w:val="00850EAB"/>
    <w:rsid w:val="00851C80"/>
    <w:rsid w:val="00851D70"/>
    <w:rsid w:val="008529B3"/>
    <w:rsid w:val="00852ADD"/>
    <w:rsid w:val="00853883"/>
    <w:rsid w:val="00853EB9"/>
    <w:rsid w:val="00854CF7"/>
    <w:rsid w:val="00854DA7"/>
    <w:rsid w:val="008557A0"/>
    <w:rsid w:val="00856607"/>
    <w:rsid w:val="008604A8"/>
    <w:rsid w:val="00860ADD"/>
    <w:rsid w:val="008616A2"/>
    <w:rsid w:val="00861C6C"/>
    <w:rsid w:val="008636AC"/>
    <w:rsid w:val="00863862"/>
    <w:rsid w:val="00863AAD"/>
    <w:rsid w:val="00864644"/>
    <w:rsid w:val="008658DE"/>
    <w:rsid w:val="00866296"/>
    <w:rsid w:val="008665C7"/>
    <w:rsid w:val="00866DC1"/>
    <w:rsid w:val="008707A3"/>
    <w:rsid w:val="00870A36"/>
    <w:rsid w:val="008711AE"/>
    <w:rsid w:val="00871A36"/>
    <w:rsid w:val="00872F21"/>
    <w:rsid w:val="00873736"/>
    <w:rsid w:val="0087378E"/>
    <w:rsid w:val="008737DF"/>
    <w:rsid w:val="008755E7"/>
    <w:rsid w:val="00875A46"/>
    <w:rsid w:val="00875E16"/>
    <w:rsid w:val="00877D03"/>
    <w:rsid w:val="00877E96"/>
    <w:rsid w:val="0088023D"/>
    <w:rsid w:val="008803CE"/>
    <w:rsid w:val="00882077"/>
    <w:rsid w:val="008820D9"/>
    <w:rsid w:val="00883613"/>
    <w:rsid w:val="0088557F"/>
    <w:rsid w:val="00886393"/>
    <w:rsid w:val="00886579"/>
    <w:rsid w:val="00886F19"/>
    <w:rsid w:val="00887865"/>
    <w:rsid w:val="00887B37"/>
    <w:rsid w:val="00890598"/>
    <w:rsid w:val="0089065A"/>
    <w:rsid w:val="00890DEB"/>
    <w:rsid w:val="0089177A"/>
    <w:rsid w:val="00891D7A"/>
    <w:rsid w:val="00891DFC"/>
    <w:rsid w:val="00892B98"/>
    <w:rsid w:val="008945D2"/>
    <w:rsid w:val="008949A3"/>
    <w:rsid w:val="008959FC"/>
    <w:rsid w:val="0089605E"/>
    <w:rsid w:val="00896668"/>
    <w:rsid w:val="00896E9A"/>
    <w:rsid w:val="008A0CCC"/>
    <w:rsid w:val="008A1D0E"/>
    <w:rsid w:val="008A25EA"/>
    <w:rsid w:val="008A276E"/>
    <w:rsid w:val="008A31C7"/>
    <w:rsid w:val="008A3215"/>
    <w:rsid w:val="008A3630"/>
    <w:rsid w:val="008A3E8B"/>
    <w:rsid w:val="008A47BE"/>
    <w:rsid w:val="008A4AEC"/>
    <w:rsid w:val="008A5609"/>
    <w:rsid w:val="008A5697"/>
    <w:rsid w:val="008A6DD5"/>
    <w:rsid w:val="008A6DF0"/>
    <w:rsid w:val="008A6FA0"/>
    <w:rsid w:val="008B05E6"/>
    <w:rsid w:val="008B105C"/>
    <w:rsid w:val="008B15CE"/>
    <w:rsid w:val="008B1C8F"/>
    <w:rsid w:val="008B21F8"/>
    <w:rsid w:val="008B2570"/>
    <w:rsid w:val="008B2B19"/>
    <w:rsid w:val="008B2F40"/>
    <w:rsid w:val="008B2FCD"/>
    <w:rsid w:val="008B3627"/>
    <w:rsid w:val="008B3EAD"/>
    <w:rsid w:val="008B49B6"/>
    <w:rsid w:val="008B56A0"/>
    <w:rsid w:val="008B5AA1"/>
    <w:rsid w:val="008B5E61"/>
    <w:rsid w:val="008B64CE"/>
    <w:rsid w:val="008B68B4"/>
    <w:rsid w:val="008B756F"/>
    <w:rsid w:val="008B7914"/>
    <w:rsid w:val="008C0D0C"/>
    <w:rsid w:val="008C127A"/>
    <w:rsid w:val="008C18BD"/>
    <w:rsid w:val="008C1932"/>
    <w:rsid w:val="008C1CC8"/>
    <w:rsid w:val="008C2C7F"/>
    <w:rsid w:val="008C2F0D"/>
    <w:rsid w:val="008C364D"/>
    <w:rsid w:val="008C500C"/>
    <w:rsid w:val="008C5D2A"/>
    <w:rsid w:val="008C6754"/>
    <w:rsid w:val="008C6C16"/>
    <w:rsid w:val="008C74FB"/>
    <w:rsid w:val="008C7AF4"/>
    <w:rsid w:val="008C7DA4"/>
    <w:rsid w:val="008C7F6E"/>
    <w:rsid w:val="008D0210"/>
    <w:rsid w:val="008D033E"/>
    <w:rsid w:val="008D0851"/>
    <w:rsid w:val="008D0DEF"/>
    <w:rsid w:val="008D0FCD"/>
    <w:rsid w:val="008D1074"/>
    <w:rsid w:val="008D1079"/>
    <w:rsid w:val="008D2643"/>
    <w:rsid w:val="008D280F"/>
    <w:rsid w:val="008D2F60"/>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22F8"/>
    <w:rsid w:val="008E25EC"/>
    <w:rsid w:val="008E39D8"/>
    <w:rsid w:val="008E5D73"/>
    <w:rsid w:val="008E606F"/>
    <w:rsid w:val="008E6AD9"/>
    <w:rsid w:val="008F022A"/>
    <w:rsid w:val="008F06FD"/>
    <w:rsid w:val="008F1172"/>
    <w:rsid w:val="008F27E3"/>
    <w:rsid w:val="008F3485"/>
    <w:rsid w:val="008F3AC3"/>
    <w:rsid w:val="008F42C1"/>
    <w:rsid w:val="008F51FF"/>
    <w:rsid w:val="008F52FC"/>
    <w:rsid w:val="008F5DEF"/>
    <w:rsid w:val="008F61F2"/>
    <w:rsid w:val="008F636D"/>
    <w:rsid w:val="008F7C0A"/>
    <w:rsid w:val="00901DBB"/>
    <w:rsid w:val="009026CB"/>
    <w:rsid w:val="00902876"/>
    <w:rsid w:val="009036E9"/>
    <w:rsid w:val="009038F6"/>
    <w:rsid w:val="00903FB2"/>
    <w:rsid w:val="00904038"/>
    <w:rsid w:val="009041AF"/>
    <w:rsid w:val="009042AA"/>
    <w:rsid w:val="009049AB"/>
    <w:rsid w:val="00904C8C"/>
    <w:rsid w:val="009050B7"/>
    <w:rsid w:val="0090510D"/>
    <w:rsid w:val="00905130"/>
    <w:rsid w:val="009053BD"/>
    <w:rsid w:val="00905728"/>
    <w:rsid w:val="009061B8"/>
    <w:rsid w:val="009064BF"/>
    <w:rsid w:val="009069B8"/>
    <w:rsid w:val="009130CC"/>
    <w:rsid w:val="009133EC"/>
    <w:rsid w:val="00913AF7"/>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3DCE"/>
    <w:rsid w:val="00924119"/>
    <w:rsid w:val="00925120"/>
    <w:rsid w:val="009255FA"/>
    <w:rsid w:val="009262E4"/>
    <w:rsid w:val="009266D2"/>
    <w:rsid w:val="00927D4E"/>
    <w:rsid w:val="00927F89"/>
    <w:rsid w:val="00930AC2"/>
    <w:rsid w:val="00930D2A"/>
    <w:rsid w:val="009312BF"/>
    <w:rsid w:val="00931680"/>
    <w:rsid w:val="00931B84"/>
    <w:rsid w:val="009322B2"/>
    <w:rsid w:val="009328DA"/>
    <w:rsid w:val="00932E7E"/>
    <w:rsid w:val="0093442D"/>
    <w:rsid w:val="00934CD2"/>
    <w:rsid w:val="00935A35"/>
    <w:rsid w:val="009375E5"/>
    <w:rsid w:val="0093785F"/>
    <w:rsid w:val="00937BC5"/>
    <w:rsid w:val="00937D30"/>
    <w:rsid w:val="00941848"/>
    <w:rsid w:val="0094337A"/>
    <w:rsid w:val="009437F2"/>
    <w:rsid w:val="009442E8"/>
    <w:rsid w:val="00944BA7"/>
    <w:rsid w:val="0094636D"/>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A13"/>
    <w:rsid w:val="00966BAF"/>
    <w:rsid w:val="00967473"/>
    <w:rsid w:val="00967730"/>
    <w:rsid w:val="00970D56"/>
    <w:rsid w:val="00970E50"/>
    <w:rsid w:val="00971074"/>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1E09"/>
    <w:rsid w:val="00983094"/>
    <w:rsid w:val="00983599"/>
    <w:rsid w:val="009843DE"/>
    <w:rsid w:val="0098544F"/>
    <w:rsid w:val="00985B04"/>
    <w:rsid w:val="0098661B"/>
    <w:rsid w:val="00986A6D"/>
    <w:rsid w:val="00986BEF"/>
    <w:rsid w:val="00987298"/>
    <w:rsid w:val="00987B34"/>
    <w:rsid w:val="00990282"/>
    <w:rsid w:val="00990769"/>
    <w:rsid w:val="00991DF8"/>
    <w:rsid w:val="00992499"/>
    <w:rsid w:val="00992986"/>
    <w:rsid w:val="009936E2"/>
    <w:rsid w:val="00994B55"/>
    <w:rsid w:val="00995D86"/>
    <w:rsid w:val="00995FB2"/>
    <w:rsid w:val="0099781E"/>
    <w:rsid w:val="00997A68"/>
    <w:rsid w:val="009A0071"/>
    <w:rsid w:val="009A00EA"/>
    <w:rsid w:val="009A0587"/>
    <w:rsid w:val="009A0DA2"/>
    <w:rsid w:val="009A1F6B"/>
    <w:rsid w:val="009A2616"/>
    <w:rsid w:val="009A2C4C"/>
    <w:rsid w:val="009A2DD8"/>
    <w:rsid w:val="009A30DE"/>
    <w:rsid w:val="009A3D29"/>
    <w:rsid w:val="009A509F"/>
    <w:rsid w:val="009A5453"/>
    <w:rsid w:val="009A6A7B"/>
    <w:rsid w:val="009A7532"/>
    <w:rsid w:val="009A7883"/>
    <w:rsid w:val="009B0596"/>
    <w:rsid w:val="009B1D50"/>
    <w:rsid w:val="009B237F"/>
    <w:rsid w:val="009B2760"/>
    <w:rsid w:val="009B308D"/>
    <w:rsid w:val="009B31D6"/>
    <w:rsid w:val="009B38D5"/>
    <w:rsid w:val="009B3B62"/>
    <w:rsid w:val="009B3C8D"/>
    <w:rsid w:val="009B4FFB"/>
    <w:rsid w:val="009B53C7"/>
    <w:rsid w:val="009B7489"/>
    <w:rsid w:val="009B7987"/>
    <w:rsid w:val="009B7B0A"/>
    <w:rsid w:val="009C07C9"/>
    <w:rsid w:val="009C08D7"/>
    <w:rsid w:val="009C0DC5"/>
    <w:rsid w:val="009C1866"/>
    <w:rsid w:val="009C1FDE"/>
    <w:rsid w:val="009C23FE"/>
    <w:rsid w:val="009C24C8"/>
    <w:rsid w:val="009C375C"/>
    <w:rsid w:val="009C4E0D"/>
    <w:rsid w:val="009C4F1B"/>
    <w:rsid w:val="009C503B"/>
    <w:rsid w:val="009C5793"/>
    <w:rsid w:val="009C5816"/>
    <w:rsid w:val="009C61EA"/>
    <w:rsid w:val="009C63EC"/>
    <w:rsid w:val="009C7DAC"/>
    <w:rsid w:val="009D077D"/>
    <w:rsid w:val="009D08A6"/>
    <w:rsid w:val="009D1915"/>
    <w:rsid w:val="009D1B69"/>
    <w:rsid w:val="009D1EB3"/>
    <w:rsid w:val="009D25DE"/>
    <w:rsid w:val="009D2ABF"/>
    <w:rsid w:val="009D3AD2"/>
    <w:rsid w:val="009D3E06"/>
    <w:rsid w:val="009D5843"/>
    <w:rsid w:val="009D638D"/>
    <w:rsid w:val="009D6393"/>
    <w:rsid w:val="009D6B6C"/>
    <w:rsid w:val="009E0885"/>
    <w:rsid w:val="009E1CC8"/>
    <w:rsid w:val="009E2827"/>
    <w:rsid w:val="009E2863"/>
    <w:rsid w:val="009E30D2"/>
    <w:rsid w:val="009E4885"/>
    <w:rsid w:val="009E508B"/>
    <w:rsid w:val="009E5FBE"/>
    <w:rsid w:val="009E6A00"/>
    <w:rsid w:val="009F0086"/>
    <w:rsid w:val="009F03AB"/>
    <w:rsid w:val="009F0619"/>
    <w:rsid w:val="009F068A"/>
    <w:rsid w:val="009F08C5"/>
    <w:rsid w:val="009F0A85"/>
    <w:rsid w:val="009F1260"/>
    <w:rsid w:val="009F15CA"/>
    <w:rsid w:val="009F1B71"/>
    <w:rsid w:val="009F220A"/>
    <w:rsid w:val="009F36D6"/>
    <w:rsid w:val="009F6575"/>
    <w:rsid w:val="009F7ADC"/>
    <w:rsid w:val="00A0002A"/>
    <w:rsid w:val="00A0236D"/>
    <w:rsid w:val="00A02985"/>
    <w:rsid w:val="00A02B2B"/>
    <w:rsid w:val="00A02FA8"/>
    <w:rsid w:val="00A03F1A"/>
    <w:rsid w:val="00A03F74"/>
    <w:rsid w:val="00A03F88"/>
    <w:rsid w:val="00A046BF"/>
    <w:rsid w:val="00A05B25"/>
    <w:rsid w:val="00A05C04"/>
    <w:rsid w:val="00A05EC0"/>
    <w:rsid w:val="00A06254"/>
    <w:rsid w:val="00A06842"/>
    <w:rsid w:val="00A07459"/>
    <w:rsid w:val="00A07D78"/>
    <w:rsid w:val="00A07DB6"/>
    <w:rsid w:val="00A10972"/>
    <w:rsid w:val="00A11406"/>
    <w:rsid w:val="00A13205"/>
    <w:rsid w:val="00A132A1"/>
    <w:rsid w:val="00A13422"/>
    <w:rsid w:val="00A15132"/>
    <w:rsid w:val="00A1554D"/>
    <w:rsid w:val="00A15792"/>
    <w:rsid w:val="00A158E3"/>
    <w:rsid w:val="00A1591A"/>
    <w:rsid w:val="00A172E0"/>
    <w:rsid w:val="00A17527"/>
    <w:rsid w:val="00A211C5"/>
    <w:rsid w:val="00A221A3"/>
    <w:rsid w:val="00A223D5"/>
    <w:rsid w:val="00A235E4"/>
    <w:rsid w:val="00A23F41"/>
    <w:rsid w:val="00A25547"/>
    <w:rsid w:val="00A25F76"/>
    <w:rsid w:val="00A3003E"/>
    <w:rsid w:val="00A31E14"/>
    <w:rsid w:val="00A3325E"/>
    <w:rsid w:val="00A34276"/>
    <w:rsid w:val="00A34524"/>
    <w:rsid w:val="00A345B6"/>
    <w:rsid w:val="00A3502D"/>
    <w:rsid w:val="00A357A4"/>
    <w:rsid w:val="00A35AF5"/>
    <w:rsid w:val="00A35CDF"/>
    <w:rsid w:val="00A36453"/>
    <w:rsid w:val="00A37970"/>
    <w:rsid w:val="00A37A68"/>
    <w:rsid w:val="00A37B0C"/>
    <w:rsid w:val="00A37CE6"/>
    <w:rsid w:val="00A37D1C"/>
    <w:rsid w:val="00A37FFE"/>
    <w:rsid w:val="00A404BE"/>
    <w:rsid w:val="00A40ECF"/>
    <w:rsid w:val="00A411C9"/>
    <w:rsid w:val="00A41FEF"/>
    <w:rsid w:val="00A42476"/>
    <w:rsid w:val="00A433CA"/>
    <w:rsid w:val="00A43A1A"/>
    <w:rsid w:val="00A43D48"/>
    <w:rsid w:val="00A43F3C"/>
    <w:rsid w:val="00A447A5"/>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E3E"/>
    <w:rsid w:val="00A540B2"/>
    <w:rsid w:val="00A5414D"/>
    <w:rsid w:val="00A54A3E"/>
    <w:rsid w:val="00A556B7"/>
    <w:rsid w:val="00A564A6"/>
    <w:rsid w:val="00A56819"/>
    <w:rsid w:val="00A568AC"/>
    <w:rsid w:val="00A57B07"/>
    <w:rsid w:val="00A6025F"/>
    <w:rsid w:val="00A60E9C"/>
    <w:rsid w:val="00A61196"/>
    <w:rsid w:val="00A6131E"/>
    <w:rsid w:val="00A616AF"/>
    <w:rsid w:val="00A61879"/>
    <w:rsid w:val="00A628B4"/>
    <w:rsid w:val="00A62E6A"/>
    <w:rsid w:val="00A63E4E"/>
    <w:rsid w:val="00A6444F"/>
    <w:rsid w:val="00A652FF"/>
    <w:rsid w:val="00A65A0D"/>
    <w:rsid w:val="00A65C27"/>
    <w:rsid w:val="00A65F3C"/>
    <w:rsid w:val="00A661FD"/>
    <w:rsid w:val="00A66FB3"/>
    <w:rsid w:val="00A67DF5"/>
    <w:rsid w:val="00A709A3"/>
    <w:rsid w:val="00A71216"/>
    <w:rsid w:val="00A714A3"/>
    <w:rsid w:val="00A71B8B"/>
    <w:rsid w:val="00A74456"/>
    <w:rsid w:val="00A75089"/>
    <w:rsid w:val="00A75EDC"/>
    <w:rsid w:val="00A80404"/>
    <w:rsid w:val="00A80548"/>
    <w:rsid w:val="00A8085F"/>
    <w:rsid w:val="00A80A3D"/>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902AD"/>
    <w:rsid w:val="00A90302"/>
    <w:rsid w:val="00A9099E"/>
    <w:rsid w:val="00A91FB7"/>
    <w:rsid w:val="00A921CE"/>
    <w:rsid w:val="00A92967"/>
    <w:rsid w:val="00A9298F"/>
    <w:rsid w:val="00A9301E"/>
    <w:rsid w:val="00A93E3A"/>
    <w:rsid w:val="00A95186"/>
    <w:rsid w:val="00A951AD"/>
    <w:rsid w:val="00A9561B"/>
    <w:rsid w:val="00A961BD"/>
    <w:rsid w:val="00A9652F"/>
    <w:rsid w:val="00A973B1"/>
    <w:rsid w:val="00AA027E"/>
    <w:rsid w:val="00AA1224"/>
    <w:rsid w:val="00AA14F2"/>
    <w:rsid w:val="00AA180B"/>
    <w:rsid w:val="00AA1D43"/>
    <w:rsid w:val="00AA2358"/>
    <w:rsid w:val="00AA2469"/>
    <w:rsid w:val="00AA2CD7"/>
    <w:rsid w:val="00AA2FA4"/>
    <w:rsid w:val="00AA3301"/>
    <w:rsid w:val="00AA3360"/>
    <w:rsid w:val="00AA386B"/>
    <w:rsid w:val="00AA4C2E"/>
    <w:rsid w:val="00AA6384"/>
    <w:rsid w:val="00AA6B93"/>
    <w:rsid w:val="00AA7A06"/>
    <w:rsid w:val="00AA7A7F"/>
    <w:rsid w:val="00AA7F56"/>
    <w:rsid w:val="00AB1984"/>
    <w:rsid w:val="00AB1CBB"/>
    <w:rsid w:val="00AB215B"/>
    <w:rsid w:val="00AB266D"/>
    <w:rsid w:val="00AB2E7D"/>
    <w:rsid w:val="00AB3146"/>
    <w:rsid w:val="00AB333E"/>
    <w:rsid w:val="00AB37DB"/>
    <w:rsid w:val="00AB3ECC"/>
    <w:rsid w:val="00AB54B5"/>
    <w:rsid w:val="00AB5A73"/>
    <w:rsid w:val="00AB5F48"/>
    <w:rsid w:val="00AB7156"/>
    <w:rsid w:val="00AB716D"/>
    <w:rsid w:val="00AB72BB"/>
    <w:rsid w:val="00AB7472"/>
    <w:rsid w:val="00AB7BF3"/>
    <w:rsid w:val="00AC09D5"/>
    <w:rsid w:val="00AC0D8E"/>
    <w:rsid w:val="00AC175B"/>
    <w:rsid w:val="00AC1AA3"/>
    <w:rsid w:val="00AC1F8E"/>
    <w:rsid w:val="00AC22C1"/>
    <w:rsid w:val="00AC374B"/>
    <w:rsid w:val="00AC3798"/>
    <w:rsid w:val="00AC3ED5"/>
    <w:rsid w:val="00AC4CB3"/>
    <w:rsid w:val="00AC4D7C"/>
    <w:rsid w:val="00AC53B0"/>
    <w:rsid w:val="00AC6EF2"/>
    <w:rsid w:val="00AC71A6"/>
    <w:rsid w:val="00AC742F"/>
    <w:rsid w:val="00AC7664"/>
    <w:rsid w:val="00AC774F"/>
    <w:rsid w:val="00AC780D"/>
    <w:rsid w:val="00AC787B"/>
    <w:rsid w:val="00AC78A0"/>
    <w:rsid w:val="00AC7956"/>
    <w:rsid w:val="00AC7E18"/>
    <w:rsid w:val="00AD1B79"/>
    <w:rsid w:val="00AD3208"/>
    <w:rsid w:val="00AD3C00"/>
    <w:rsid w:val="00AD50F8"/>
    <w:rsid w:val="00AD719F"/>
    <w:rsid w:val="00AD7447"/>
    <w:rsid w:val="00AD752A"/>
    <w:rsid w:val="00AD7D36"/>
    <w:rsid w:val="00AE0A0E"/>
    <w:rsid w:val="00AE0DED"/>
    <w:rsid w:val="00AE1D05"/>
    <w:rsid w:val="00AE2780"/>
    <w:rsid w:val="00AE284A"/>
    <w:rsid w:val="00AE307E"/>
    <w:rsid w:val="00AE3450"/>
    <w:rsid w:val="00AE392E"/>
    <w:rsid w:val="00AE3E11"/>
    <w:rsid w:val="00AE40B3"/>
    <w:rsid w:val="00AE4BAB"/>
    <w:rsid w:val="00AE4BDC"/>
    <w:rsid w:val="00AE4CFD"/>
    <w:rsid w:val="00AE4EA6"/>
    <w:rsid w:val="00AE51FF"/>
    <w:rsid w:val="00AE55AD"/>
    <w:rsid w:val="00AE5D8F"/>
    <w:rsid w:val="00AE67D5"/>
    <w:rsid w:val="00AE78ED"/>
    <w:rsid w:val="00AE7AC2"/>
    <w:rsid w:val="00AE7EC9"/>
    <w:rsid w:val="00AF1117"/>
    <w:rsid w:val="00AF1555"/>
    <w:rsid w:val="00AF174E"/>
    <w:rsid w:val="00AF18BA"/>
    <w:rsid w:val="00AF1CA5"/>
    <w:rsid w:val="00AF228C"/>
    <w:rsid w:val="00AF2DB9"/>
    <w:rsid w:val="00AF3928"/>
    <w:rsid w:val="00AF3B55"/>
    <w:rsid w:val="00AF3D62"/>
    <w:rsid w:val="00AF4146"/>
    <w:rsid w:val="00AF56FE"/>
    <w:rsid w:val="00AF5C45"/>
    <w:rsid w:val="00AF62A7"/>
    <w:rsid w:val="00AF6AC5"/>
    <w:rsid w:val="00AF7809"/>
    <w:rsid w:val="00AF7CA7"/>
    <w:rsid w:val="00AF7F7B"/>
    <w:rsid w:val="00B00BDE"/>
    <w:rsid w:val="00B0104B"/>
    <w:rsid w:val="00B021E0"/>
    <w:rsid w:val="00B03A30"/>
    <w:rsid w:val="00B03A35"/>
    <w:rsid w:val="00B0430C"/>
    <w:rsid w:val="00B04F99"/>
    <w:rsid w:val="00B057B6"/>
    <w:rsid w:val="00B05A7C"/>
    <w:rsid w:val="00B06361"/>
    <w:rsid w:val="00B0651D"/>
    <w:rsid w:val="00B06955"/>
    <w:rsid w:val="00B07BEA"/>
    <w:rsid w:val="00B07F41"/>
    <w:rsid w:val="00B102F9"/>
    <w:rsid w:val="00B11C80"/>
    <w:rsid w:val="00B11F33"/>
    <w:rsid w:val="00B12152"/>
    <w:rsid w:val="00B12DCA"/>
    <w:rsid w:val="00B13ECB"/>
    <w:rsid w:val="00B1524F"/>
    <w:rsid w:val="00B15A54"/>
    <w:rsid w:val="00B15ECF"/>
    <w:rsid w:val="00B169CD"/>
    <w:rsid w:val="00B16C0A"/>
    <w:rsid w:val="00B1785C"/>
    <w:rsid w:val="00B17F60"/>
    <w:rsid w:val="00B2039A"/>
    <w:rsid w:val="00B20AC8"/>
    <w:rsid w:val="00B215D5"/>
    <w:rsid w:val="00B21D55"/>
    <w:rsid w:val="00B225CB"/>
    <w:rsid w:val="00B22870"/>
    <w:rsid w:val="00B22A22"/>
    <w:rsid w:val="00B22AA6"/>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54D"/>
    <w:rsid w:val="00B40903"/>
    <w:rsid w:val="00B40FDB"/>
    <w:rsid w:val="00B41C6D"/>
    <w:rsid w:val="00B420B2"/>
    <w:rsid w:val="00B42800"/>
    <w:rsid w:val="00B42832"/>
    <w:rsid w:val="00B42863"/>
    <w:rsid w:val="00B430F6"/>
    <w:rsid w:val="00B43511"/>
    <w:rsid w:val="00B43CE6"/>
    <w:rsid w:val="00B45528"/>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5852"/>
    <w:rsid w:val="00B560A9"/>
    <w:rsid w:val="00B56866"/>
    <w:rsid w:val="00B56CC4"/>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2CB"/>
    <w:rsid w:val="00B67346"/>
    <w:rsid w:val="00B6793A"/>
    <w:rsid w:val="00B67AC3"/>
    <w:rsid w:val="00B70880"/>
    <w:rsid w:val="00B71422"/>
    <w:rsid w:val="00B71486"/>
    <w:rsid w:val="00B71607"/>
    <w:rsid w:val="00B71EF7"/>
    <w:rsid w:val="00B72361"/>
    <w:rsid w:val="00B74AB0"/>
    <w:rsid w:val="00B75345"/>
    <w:rsid w:val="00B76327"/>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90351"/>
    <w:rsid w:val="00B906F2"/>
    <w:rsid w:val="00B90D9B"/>
    <w:rsid w:val="00B91259"/>
    <w:rsid w:val="00B91B81"/>
    <w:rsid w:val="00B91FF0"/>
    <w:rsid w:val="00B926A8"/>
    <w:rsid w:val="00B92FFF"/>
    <w:rsid w:val="00B93538"/>
    <w:rsid w:val="00B936F8"/>
    <w:rsid w:val="00B9492E"/>
    <w:rsid w:val="00B960DB"/>
    <w:rsid w:val="00B96799"/>
    <w:rsid w:val="00B96DE5"/>
    <w:rsid w:val="00B97A76"/>
    <w:rsid w:val="00BA0166"/>
    <w:rsid w:val="00BA0584"/>
    <w:rsid w:val="00BA0755"/>
    <w:rsid w:val="00BA1E9D"/>
    <w:rsid w:val="00BA249D"/>
    <w:rsid w:val="00BA3C66"/>
    <w:rsid w:val="00BA4D00"/>
    <w:rsid w:val="00BA4F9B"/>
    <w:rsid w:val="00BA5665"/>
    <w:rsid w:val="00BA6825"/>
    <w:rsid w:val="00BA72D9"/>
    <w:rsid w:val="00BB0AB5"/>
    <w:rsid w:val="00BB195B"/>
    <w:rsid w:val="00BB1BBA"/>
    <w:rsid w:val="00BB204A"/>
    <w:rsid w:val="00BB2BD1"/>
    <w:rsid w:val="00BB31DF"/>
    <w:rsid w:val="00BB33E9"/>
    <w:rsid w:val="00BB34B7"/>
    <w:rsid w:val="00BB37AF"/>
    <w:rsid w:val="00BB3BE4"/>
    <w:rsid w:val="00BB44DB"/>
    <w:rsid w:val="00BB57D3"/>
    <w:rsid w:val="00BB58EE"/>
    <w:rsid w:val="00BB64EC"/>
    <w:rsid w:val="00BB7589"/>
    <w:rsid w:val="00BB7668"/>
    <w:rsid w:val="00BB7E42"/>
    <w:rsid w:val="00BC077E"/>
    <w:rsid w:val="00BC0DE5"/>
    <w:rsid w:val="00BC0E57"/>
    <w:rsid w:val="00BC1F5F"/>
    <w:rsid w:val="00BC21BE"/>
    <w:rsid w:val="00BC2465"/>
    <w:rsid w:val="00BC3E36"/>
    <w:rsid w:val="00BC4B2D"/>
    <w:rsid w:val="00BC4CE8"/>
    <w:rsid w:val="00BC4D54"/>
    <w:rsid w:val="00BC6E2F"/>
    <w:rsid w:val="00BC728A"/>
    <w:rsid w:val="00BC7632"/>
    <w:rsid w:val="00BC77A4"/>
    <w:rsid w:val="00BC7C9E"/>
    <w:rsid w:val="00BD1E79"/>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42FC"/>
    <w:rsid w:val="00BE6085"/>
    <w:rsid w:val="00BE66FC"/>
    <w:rsid w:val="00BE73FA"/>
    <w:rsid w:val="00BF00D1"/>
    <w:rsid w:val="00BF0353"/>
    <w:rsid w:val="00BF090A"/>
    <w:rsid w:val="00BF0918"/>
    <w:rsid w:val="00BF2001"/>
    <w:rsid w:val="00BF2575"/>
    <w:rsid w:val="00BF31A0"/>
    <w:rsid w:val="00BF323A"/>
    <w:rsid w:val="00BF36C0"/>
    <w:rsid w:val="00BF3F0A"/>
    <w:rsid w:val="00BF4E35"/>
    <w:rsid w:val="00BF5FB3"/>
    <w:rsid w:val="00BF6F82"/>
    <w:rsid w:val="00BF7B9B"/>
    <w:rsid w:val="00C0083F"/>
    <w:rsid w:val="00C00976"/>
    <w:rsid w:val="00C020CD"/>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908"/>
    <w:rsid w:val="00C250E8"/>
    <w:rsid w:val="00C25150"/>
    <w:rsid w:val="00C2515F"/>
    <w:rsid w:val="00C25B30"/>
    <w:rsid w:val="00C25DCF"/>
    <w:rsid w:val="00C26AEA"/>
    <w:rsid w:val="00C276EC"/>
    <w:rsid w:val="00C27C0A"/>
    <w:rsid w:val="00C305D9"/>
    <w:rsid w:val="00C31AD4"/>
    <w:rsid w:val="00C31C63"/>
    <w:rsid w:val="00C31C8C"/>
    <w:rsid w:val="00C31CD9"/>
    <w:rsid w:val="00C32481"/>
    <w:rsid w:val="00C3394C"/>
    <w:rsid w:val="00C34581"/>
    <w:rsid w:val="00C34AD7"/>
    <w:rsid w:val="00C3516D"/>
    <w:rsid w:val="00C351E4"/>
    <w:rsid w:val="00C353D8"/>
    <w:rsid w:val="00C361A6"/>
    <w:rsid w:val="00C365C5"/>
    <w:rsid w:val="00C3670F"/>
    <w:rsid w:val="00C36E1A"/>
    <w:rsid w:val="00C36E26"/>
    <w:rsid w:val="00C371DF"/>
    <w:rsid w:val="00C37818"/>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50112"/>
    <w:rsid w:val="00C5105D"/>
    <w:rsid w:val="00C511F0"/>
    <w:rsid w:val="00C513C7"/>
    <w:rsid w:val="00C51639"/>
    <w:rsid w:val="00C51871"/>
    <w:rsid w:val="00C53220"/>
    <w:rsid w:val="00C533A0"/>
    <w:rsid w:val="00C537E7"/>
    <w:rsid w:val="00C53AFE"/>
    <w:rsid w:val="00C53E9D"/>
    <w:rsid w:val="00C5426B"/>
    <w:rsid w:val="00C54C18"/>
    <w:rsid w:val="00C573DA"/>
    <w:rsid w:val="00C5772E"/>
    <w:rsid w:val="00C5781B"/>
    <w:rsid w:val="00C61117"/>
    <w:rsid w:val="00C616B4"/>
    <w:rsid w:val="00C621A7"/>
    <w:rsid w:val="00C62AA0"/>
    <w:rsid w:val="00C62BF2"/>
    <w:rsid w:val="00C62D1B"/>
    <w:rsid w:val="00C638A6"/>
    <w:rsid w:val="00C63FB9"/>
    <w:rsid w:val="00C64266"/>
    <w:rsid w:val="00C647DF"/>
    <w:rsid w:val="00C64F8E"/>
    <w:rsid w:val="00C66306"/>
    <w:rsid w:val="00C66CE8"/>
    <w:rsid w:val="00C70074"/>
    <w:rsid w:val="00C70D51"/>
    <w:rsid w:val="00C70DF4"/>
    <w:rsid w:val="00C71252"/>
    <w:rsid w:val="00C7277F"/>
    <w:rsid w:val="00C73C07"/>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BF"/>
    <w:rsid w:val="00C84BE9"/>
    <w:rsid w:val="00C85DEF"/>
    <w:rsid w:val="00C85E40"/>
    <w:rsid w:val="00C86D76"/>
    <w:rsid w:val="00C87A64"/>
    <w:rsid w:val="00C910F8"/>
    <w:rsid w:val="00C91106"/>
    <w:rsid w:val="00C9117B"/>
    <w:rsid w:val="00C91D19"/>
    <w:rsid w:val="00C93B58"/>
    <w:rsid w:val="00C93C2F"/>
    <w:rsid w:val="00C9437C"/>
    <w:rsid w:val="00C946E4"/>
    <w:rsid w:val="00C946FF"/>
    <w:rsid w:val="00C94A14"/>
    <w:rsid w:val="00C94CDA"/>
    <w:rsid w:val="00C95BED"/>
    <w:rsid w:val="00C96725"/>
    <w:rsid w:val="00C97A66"/>
    <w:rsid w:val="00CA007B"/>
    <w:rsid w:val="00CA01BB"/>
    <w:rsid w:val="00CA0AA4"/>
    <w:rsid w:val="00CA0C1E"/>
    <w:rsid w:val="00CA15B0"/>
    <w:rsid w:val="00CA1C71"/>
    <w:rsid w:val="00CA1D4C"/>
    <w:rsid w:val="00CA1D50"/>
    <w:rsid w:val="00CA1DAB"/>
    <w:rsid w:val="00CA20E0"/>
    <w:rsid w:val="00CA2598"/>
    <w:rsid w:val="00CA3347"/>
    <w:rsid w:val="00CA523D"/>
    <w:rsid w:val="00CA6FDA"/>
    <w:rsid w:val="00CA77CF"/>
    <w:rsid w:val="00CA7B58"/>
    <w:rsid w:val="00CB0836"/>
    <w:rsid w:val="00CB0CB9"/>
    <w:rsid w:val="00CB1413"/>
    <w:rsid w:val="00CB18D4"/>
    <w:rsid w:val="00CB2518"/>
    <w:rsid w:val="00CB3920"/>
    <w:rsid w:val="00CB4C4C"/>
    <w:rsid w:val="00CB6413"/>
    <w:rsid w:val="00CB696F"/>
    <w:rsid w:val="00CB6A00"/>
    <w:rsid w:val="00CB7097"/>
    <w:rsid w:val="00CB77F4"/>
    <w:rsid w:val="00CB780D"/>
    <w:rsid w:val="00CC0F1C"/>
    <w:rsid w:val="00CC1983"/>
    <w:rsid w:val="00CC1BBB"/>
    <w:rsid w:val="00CC259D"/>
    <w:rsid w:val="00CC299A"/>
    <w:rsid w:val="00CC3039"/>
    <w:rsid w:val="00CC32B7"/>
    <w:rsid w:val="00CC36DE"/>
    <w:rsid w:val="00CC4498"/>
    <w:rsid w:val="00CC4F99"/>
    <w:rsid w:val="00CC5CDC"/>
    <w:rsid w:val="00CC5FC3"/>
    <w:rsid w:val="00CC6369"/>
    <w:rsid w:val="00CC6576"/>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397"/>
    <w:rsid w:val="00CD5E93"/>
    <w:rsid w:val="00CE15AE"/>
    <w:rsid w:val="00CE1CFC"/>
    <w:rsid w:val="00CE235A"/>
    <w:rsid w:val="00CE37A3"/>
    <w:rsid w:val="00CE3814"/>
    <w:rsid w:val="00CE4AC7"/>
    <w:rsid w:val="00CE56B7"/>
    <w:rsid w:val="00CE6660"/>
    <w:rsid w:val="00CE6855"/>
    <w:rsid w:val="00CE6B6F"/>
    <w:rsid w:val="00CE7033"/>
    <w:rsid w:val="00CE7075"/>
    <w:rsid w:val="00CE770A"/>
    <w:rsid w:val="00CF02A6"/>
    <w:rsid w:val="00CF05A6"/>
    <w:rsid w:val="00CF06CF"/>
    <w:rsid w:val="00CF101C"/>
    <w:rsid w:val="00CF15C5"/>
    <w:rsid w:val="00CF1EFE"/>
    <w:rsid w:val="00CF2DC1"/>
    <w:rsid w:val="00CF2EE2"/>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D00175"/>
    <w:rsid w:val="00D00223"/>
    <w:rsid w:val="00D0045E"/>
    <w:rsid w:val="00D008D8"/>
    <w:rsid w:val="00D00DBF"/>
    <w:rsid w:val="00D0149B"/>
    <w:rsid w:val="00D01F5D"/>
    <w:rsid w:val="00D01FA9"/>
    <w:rsid w:val="00D02D17"/>
    <w:rsid w:val="00D03DBE"/>
    <w:rsid w:val="00D03EED"/>
    <w:rsid w:val="00D0597D"/>
    <w:rsid w:val="00D06274"/>
    <w:rsid w:val="00D066D8"/>
    <w:rsid w:val="00D07FB9"/>
    <w:rsid w:val="00D11949"/>
    <w:rsid w:val="00D11A69"/>
    <w:rsid w:val="00D12C98"/>
    <w:rsid w:val="00D12FFC"/>
    <w:rsid w:val="00D13CA3"/>
    <w:rsid w:val="00D1484F"/>
    <w:rsid w:val="00D14BA0"/>
    <w:rsid w:val="00D14D7B"/>
    <w:rsid w:val="00D1516D"/>
    <w:rsid w:val="00D158B0"/>
    <w:rsid w:val="00D1707A"/>
    <w:rsid w:val="00D17CC2"/>
    <w:rsid w:val="00D20EED"/>
    <w:rsid w:val="00D21435"/>
    <w:rsid w:val="00D2242C"/>
    <w:rsid w:val="00D224FA"/>
    <w:rsid w:val="00D23033"/>
    <w:rsid w:val="00D2402F"/>
    <w:rsid w:val="00D245C2"/>
    <w:rsid w:val="00D25660"/>
    <w:rsid w:val="00D2569B"/>
    <w:rsid w:val="00D258EB"/>
    <w:rsid w:val="00D25AEB"/>
    <w:rsid w:val="00D271CD"/>
    <w:rsid w:val="00D3064E"/>
    <w:rsid w:val="00D315CC"/>
    <w:rsid w:val="00D31DDA"/>
    <w:rsid w:val="00D31F05"/>
    <w:rsid w:val="00D32067"/>
    <w:rsid w:val="00D327A3"/>
    <w:rsid w:val="00D34C82"/>
    <w:rsid w:val="00D36550"/>
    <w:rsid w:val="00D379EC"/>
    <w:rsid w:val="00D37C94"/>
    <w:rsid w:val="00D40D88"/>
    <w:rsid w:val="00D41E42"/>
    <w:rsid w:val="00D41F6B"/>
    <w:rsid w:val="00D42380"/>
    <w:rsid w:val="00D42C9B"/>
    <w:rsid w:val="00D4348D"/>
    <w:rsid w:val="00D436D7"/>
    <w:rsid w:val="00D44E42"/>
    <w:rsid w:val="00D44FC3"/>
    <w:rsid w:val="00D450E2"/>
    <w:rsid w:val="00D453D7"/>
    <w:rsid w:val="00D4552D"/>
    <w:rsid w:val="00D462D6"/>
    <w:rsid w:val="00D474AB"/>
    <w:rsid w:val="00D4754E"/>
    <w:rsid w:val="00D50460"/>
    <w:rsid w:val="00D50961"/>
    <w:rsid w:val="00D50A02"/>
    <w:rsid w:val="00D512A1"/>
    <w:rsid w:val="00D518D6"/>
    <w:rsid w:val="00D52AB4"/>
    <w:rsid w:val="00D52F26"/>
    <w:rsid w:val="00D531F5"/>
    <w:rsid w:val="00D538C1"/>
    <w:rsid w:val="00D538D5"/>
    <w:rsid w:val="00D53B5C"/>
    <w:rsid w:val="00D54640"/>
    <w:rsid w:val="00D55455"/>
    <w:rsid w:val="00D559B5"/>
    <w:rsid w:val="00D56420"/>
    <w:rsid w:val="00D5658A"/>
    <w:rsid w:val="00D56A94"/>
    <w:rsid w:val="00D56C0C"/>
    <w:rsid w:val="00D56F9E"/>
    <w:rsid w:val="00D570B4"/>
    <w:rsid w:val="00D5798B"/>
    <w:rsid w:val="00D60736"/>
    <w:rsid w:val="00D6170E"/>
    <w:rsid w:val="00D61972"/>
    <w:rsid w:val="00D61B58"/>
    <w:rsid w:val="00D6307D"/>
    <w:rsid w:val="00D63632"/>
    <w:rsid w:val="00D63732"/>
    <w:rsid w:val="00D63925"/>
    <w:rsid w:val="00D6405D"/>
    <w:rsid w:val="00D6568E"/>
    <w:rsid w:val="00D65893"/>
    <w:rsid w:val="00D658EC"/>
    <w:rsid w:val="00D66816"/>
    <w:rsid w:val="00D6684E"/>
    <w:rsid w:val="00D6742A"/>
    <w:rsid w:val="00D67B9B"/>
    <w:rsid w:val="00D71733"/>
    <w:rsid w:val="00D718AC"/>
    <w:rsid w:val="00D719A3"/>
    <w:rsid w:val="00D71E7A"/>
    <w:rsid w:val="00D72DE7"/>
    <w:rsid w:val="00D7302F"/>
    <w:rsid w:val="00D73870"/>
    <w:rsid w:val="00D73BB2"/>
    <w:rsid w:val="00D74575"/>
    <w:rsid w:val="00D74D14"/>
    <w:rsid w:val="00D74F3B"/>
    <w:rsid w:val="00D752E7"/>
    <w:rsid w:val="00D7574B"/>
    <w:rsid w:val="00D75E82"/>
    <w:rsid w:val="00D76270"/>
    <w:rsid w:val="00D767C6"/>
    <w:rsid w:val="00D769C5"/>
    <w:rsid w:val="00D76E76"/>
    <w:rsid w:val="00D80631"/>
    <w:rsid w:val="00D818EC"/>
    <w:rsid w:val="00D81A20"/>
    <w:rsid w:val="00D81F55"/>
    <w:rsid w:val="00D8321A"/>
    <w:rsid w:val="00D83F57"/>
    <w:rsid w:val="00D84A86"/>
    <w:rsid w:val="00D85152"/>
    <w:rsid w:val="00D85F2C"/>
    <w:rsid w:val="00D86030"/>
    <w:rsid w:val="00D861BD"/>
    <w:rsid w:val="00D86D55"/>
    <w:rsid w:val="00D8789C"/>
    <w:rsid w:val="00D8789D"/>
    <w:rsid w:val="00D87B3F"/>
    <w:rsid w:val="00D9003D"/>
    <w:rsid w:val="00D90558"/>
    <w:rsid w:val="00D9082F"/>
    <w:rsid w:val="00D90C79"/>
    <w:rsid w:val="00D914EB"/>
    <w:rsid w:val="00D91B36"/>
    <w:rsid w:val="00D9305B"/>
    <w:rsid w:val="00D94085"/>
    <w:rsid w:val="00D944D2"/>
    <w:rsid w:val="00D96D4F"/>
    <w:rsid w:val="00DA1806"/>
    <w:rsid w:val="00DA1BD1"/>
    <w:rsid w:val="00DA212B"/>
    <w:rsid w:val="00DA3A76"/>
    <w:rsid w:val="00DA5713"/>
    <w:rsid w:val="00DA6856"/>
    <w:rsid w:val="00DA6D6D"/>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681B"/>
    <w:rsid w:val="00DB7E24"/>
    <w:rsid w:val="00DC0445"/>
    <w:rsid w:val="00DC115F"/>
    <w:rsid w:val="00DC2082"/>
    <w:rsid w:val="00DC225F"/>
    <w:rsid w:val="00DC2883"/>
    <w:rsid w:val="00DC2C48"/>
    <w:rsid w:val="00DC46B5"/>
    <w:rsid w:val="00DC4B28"/>
    <w:rsid w:val="00DC4B5D"/>
    <w:rsid w:val="00DC525E"/>
    <w:rsid w:val="00DC535C"/>
    <w:rsid w:val="00DC5DCB"/>
    <w:rsid w:val="00DC6C0D"/>
    <w:rsid w:val="00DC75E7"/>
    <w:rsid w:val="00DD074A"/>
    <w:rsid w:val="00DD0D70"/>
    <w:rsid w:val="00DD1941"/>
    <w:rsid w:val="00DD26A5"/>
    <w:rsid w:val="00DD2812"/>
    <w:rsid w:val="00DD2CE3"/>
    <w:rsid w:val="00DD34F2"/>
    <w:rsid w:val="00DD3C6B"/>
    <w:rsid w:val="00DD4A56"/>
    <w:rsid w:val="00DD54ED"/>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F00F9"/>
    <w:rsid w:val="00DF0576"/>
    <w:rsid w:val="00DF1981"/>
    <w:rsid w:val="00DF1D07"/>
    <w:rsid w:val="00DF1E89"/>
    <w:rsid w:val="00DF2144"/>
    <w:rsid w:val="00DF24D9"/>
    <w:rsid w:val="00DF2EA5"/>
    <w:rsid w:val="00DF310B"/>
    <w:rsid w:val="00DF3E47"/>
    <w:rsid w:val="00DF5362"/>
    <w:rsid w:val="00DF56E8"/>
    <w:rsid w:val="00DF5C01"/>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1198B"/>
    <w:rsid w:val="00E11C0C"/>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E84"/>
    <w:rsid w:val="00E23F9B"/>
    <w:rsid w:val="00E24D23"/>
    <w:rsid w:val="00E2546F"/>
    <w:rsid w:val="00E26285"/>
    <w:rsid w:val="00E26649"/>
    <w:rsid w:val="00E2703D"/>
    <w:rsid w:val="00E271F9"/>
    <w:rsid w:val="00E27F0A"/>
    <w:rsid w:val="00E30712"/>
    <w:rsid w:val="00E309B0"/>
    <w:rsid w:val="00E30E67"/>
    <w:rsid w:val="00E32143"/>
    <w:rsid w:val="00E325F3"/>
    <w:rsid w:val="00E326E9"/>
    <w:rsid w:val="00E32B61"/>
    <w:rsid w:val="00E33106"/>
    <w:rsid w:val="00E345C2"/>
    <w:rsid w:val="00E34AAD"/>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5B2D"/>
    <w:rsid w:val="00E468F2"/>
    <w:rsid w:val="00E47A20"/>
    <w:rsid w:val="00E5084C"/>
    <w:rsid w:val="00E50871"/>
    <w:rsid w:val="00E50AD9"/>
    <w:rsid w:val="00E50B4C"/>
    <w:rsid w:val="00E512FE"/>
    <w:rsid w:val="00E5198D"/>
    <w:rsid w:val="00E52063"/>
    <w:rsid w:val="00E53533"/>
    <w:rsid w:val="00E537ED"/>
    <w:rsid w:val="00E5384D"/>
    <w:rsid w:val="00E53F2E"/>
    <w:rsid w:val="00E54004"/>
    <w:rsid w:val="00E546C9"/>
    <w:rsid w:val="00E54BB9"/>
    <w:rsid w:val="00E54D3F"/>
    <w:rsid w:val="00E55F1F"/>
    <w:rsid w:val="00E56735"/>
    <w:rsid w:val="00E56866"/>
    <w:rsid w:val="00E56904"/>
    <w:rsid w:val="00E57DFD"/>
    <w:rsid w:val="00E60423"/>
    <w:rsid w:val="00E60545"/>
    <w:rsid w:val="00E606F4"/>
    <w:rsid w:val="00E607E5"/>
    <w:rsid w:val="00E60A16"/>
    <w:rsid w:val="00E610CB"/>
    <w:rsid w:val="00E6125B"/>
    <w:rsid w:val="00E6170A"/>
    <w:rsid w:val="00E62816"/>
    <w:rsid w:val="00E62ADF"/>
    <w:rsid w:val="00E62FA7"/>
    <w:rsid w:val="00E637A3"/>
    <w:rsid w:val="00E659FD"/>
    <w:rsid w:val="00E65B0C"/>
    <w:rsid w:val="00E66B16"/>
    <w:rsid w:val="00E66BA2"/>
    <w:rsid w:val="00E677DB"/>
    <w:rsid w:val="00E700F8"/>
    <w:rsid w:val="00E71C2D"/>
    <w:rsid w:val="00E72187"/>
    <w:rsid w:val="00E7266C"/>
    <w:rsid w:val="00E72BB6"/>
    <w:rsid w:val="00E72CD0"/>
    <w:rsid w:val="00E730AC"/>
    <w:rsid w:val="00E7310C"/>
    <w:rsid w:val="00E733ED"/>
    <w:rsid w:val="00E734CE"/>
    <w:rsid w:val="00E73D33"/>
    <w:rsid w:val="00E750CB"/>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48F0"/>
    <w:rsid w:val="00E84D1C"/>
    <w:rsid w:val="00E84D9C"/>
    <w:rsid w:val="00E85069"/>
    <w:rsid w:val="00E8628F"/>
    <w:rsid w:val="00E86888"/>
    <w:rsid w:val="00E8695C"/>
    <w:rsid w:val="00E92C96"/>
    <w:rsid w:val="00E942B8"/>
    <w:rsid w:val="00E944ED"/>
    <w:rsid w:val="00E945AF"/>
    <w:rsid w:val="00E94A0B"/>
    <w:rsid w:val="00E94A2C"/>
    <w:rsid w:val="00E9544C"/>
    <w:rsid w:val="00E95799"/>
    <w:rsid w:val="00E95D93"/>
    <w:rsid w:val="00E9683D"/>
    <w:rsid w:val="00E970B7"/>
    <w:rsid w:val="00E97D95"/>
    <w:rsid w:val="00EA0035"/>
    <w:rsid w:val="00EA010D"/>
    <w:rsid w:val="00EA04C5"/>
    <w:rsid w:val="00EA0507"/>
    <w:rsid w:val="00EA0BB5"/>
    <w:rsid w:val="00EA1A8A"/>
    <w:rsid w:val="00EA21FA"/>
    <w:rsid w:val="00EA25EB"/>
    <w:rsid w:val="00EA26D5"/>
    <w:rsid w:val="00EA2775"/>
    <w:rsid w:val="00EA305D"/>
    <w:rsid w:val="00EA3106"/>
    <w:rsid w:val="00EA3874"/>
    <w:rsid w:val="00EA5697"/>
    <w:rsid w:val="00EA5AB6"/>
    <w:rsid w:val="00EA5FB0"/>
    <w:rsid w:val="00EA612E"/>
    <w:rsid w:val="00EA761C"/>
    <w:rsid w:val="00EA7D7F"/>
    <w:rsid w:val="00EB0810"/>
    <w:rsid w:val="00EB0B5F"/>
    <w:rsid w:val="00EB1CF7"/>
    <w:rsid w:val="00EB25C2"/>
    <w:rsid w:val="00EB2B6F"/>
    <w:rsid w:val="00EB2CAD"/>
    <w:rsid w:val="00EB2FA2"/>
    <w:rsid w:val="00EB3272"/>
    <w:rsid w:val="00EB37B2"/>
    <w:rsid w:val="00EB3FF9"/>
    <w:rsid w:val="00EB5F0B"/>
    <w:rsid w:val="00EB7352"/>
    <w:rsid w:val="00EB769A"/>
    <w:rsid w:val="00EC11E4"/>
    <w:rsid w:val="00EC14E1"/>
    <w:rsid w:val="00EC183C"/>
    <w:rsid w:val="00EC2A3F"/>
    <w:rsid w:val="00EC2E64"/>
    <w:rsid w:val="00EC3A35"/>
    <w:rsid w:val="00EC3C52"/>
    <w:rsid w:val="00EC3E5B"/>
    <w:rsid w:val="00EC3E69"/>
    <w:rsid w:val="00EC41A7"/>
    <w:rsid w:val="00EC4257"/>
    <w:rsid w:val="00EC46CE"/>
    <w:rsid w:val="00EC4F94"/>
    <w:rsid w:val="00EC5554"/>
    <w:rsid w:val="00EC572B"/>
    <w:rsid w:val="00EC5B8E"/>
    <w:rsid w:val="00EC7356"/>
    <w:rsid w:val="00EC75F6"/>
    <w:rsid w:val="00ED0065"/>
    <w:rsid w:val="00ED17B5"/>
    <w:rsid w:val="00ED1BA0"/>
    <w:rsid w:val="00ED1D2D"/>
    <w:rsid w:val="00ED353D"/>
    <w:rsid w:val="00ED588C"/>
    <w:rsid w:val="00ED6E7A"/>
    <w:rsid w:val="00ED6EA1"/>
    <w:rsid w:val="00ED7A7F"/>
    <w:rsid w:val="00EE060B"/>
    <w:rsid w:val="00EE07AC"/>
    <w:rsid w:val="00EE0891"/>
    <w:rsid w:val="00EE0C94"/>
    <w:rsid w:val="00EE1062"/>
    <w:rsid w:val="00EE17F2"/>
    <w:rsid w:val="00EE188A"/>
    <w:rsid w:val="00EE1B01"/>
    <w:rsid w:val="00EE1C62"/>
    <w:rsid w:val="00EE1DB8"/>
    <w:rsid w:val="00EE2746"/>
    <w:rsid w:val="00EE3256"/>
    <w:rsid w:val="00EE4759"/>
    <w:rsid w:val="00EE4C20"/>
    <w:rsid w:val="00EE4F2D"/>
    <w:rsid w:val="00EE524C"/>
    <w:rsid w:val="00EE589E"/>
    <w:rsid w:val="00EE6755"/>
    <w:rsid w:val="00EE78D6"/>
    <w:rsid w:val="00EF03DC"/>
    <w:rsid w:val="00EF0437"/>
    <w:rsid w:val="00EF0BFE"/>
    <w:rsid w:val="00EF1878"/>
    <w:rsid w:val="00EF1DE8"/>
    <w:rsid w:val="00EF2AC7"/>
    <w:rsid w:val="00EF3397"/>
    <w:rsid w:val="00EF40BF"/>
    <w:rsid w:val="00EF4557"/>
    <w:rsid w:val="00EF493F"/>
    <w:rsid w:val="00EF5947"/>
    <w:rsid w:val="00EF5E22"/>
    <w:rsid w:val="00EF60CA"/>
    <w:rsid w:val="00EF63C1"/>
    <w:rsid w:val="00EF6557"/>
    <w:rsid w:val="00EF69B7"/>
    <w:rsid w:val="00EF6C2B"/>
    <w:rsid w:val="00F00059"/>
    <w:rsid w:val="00F008BD"/>
    <w:rsid w:val="00F021A9"/>
    <w:rsid w:val="00F02C54"/>
    <w:rsid w:val="00F02CD0"/>
    <w:rsid w:val="00F02D03"/>
    <w:rsid w:val="00F035DB"/>
    <w:rsid w:val="00F0448C"/>
    <w:rsid w:val="00F0553C"/>
    <w:rsid w:val="00F06BA7"/>
    <w:rsid w:val="00F06C50"/>
    <w:rsid w:val="00F071BA"/>
    <w:rsid w:val="00F11D2E"/>
    <w:rsid w:val="00F1284F"/>
    <w:rsid w:val="00F136A4"/>
    <w:rsid w:val="00F1377B"/>
    <w:rsid w:val="00F13C5E"/>
    <w:rsid w:val="00F14108"/>
    <w:rsid w:val="00F148D5"/>
    <w:rsid w:val="00F1601A"/>
    <w:rsid w:val="00F160BF"/>
    <w:rsid w:val="00F16173"/>
    <w:rsid w:val="00F1675C"/>
    <w:rsid w:val="00F16A3C"/>
    <w:rsid w:val="00F17428"/>
    <w:rsid w:val="00F20046"/>
    <w:rsid w:val="00F20CC1"/>
    <w:rsid w:val="00F20D22"/>
    <w:rsid w:val="00F21A58"/>
    <w:rsid w:val="00F2302A"/>
    <w:rsid w:val="00F23048"/>
    <w:rsid w:val="00F239CD"/>
    <w:rsid w:val="00F23DCC"/>
    <w:rsid w:val="00F24294"/>
    <w:rsid w:val="00F2477C"/>
    <w:rsid w:val="00F24E5D"/>
    <w:rsid w:val="00F24EBB"/>
    <w:rsid w:val="00F27696"/>
    <w:rsid w:val="00F2777F"/>
    <w:rsid w:val="00F27F06"/>
    <w:rsid w:val="00F314E8"/>
    <w:rsid w:val="00F316A2"/>
    <w:rsid w:val="00F323A2"/>
    <w:rsid w:val="00F332D4"/>
    <w:rsid w:val="00F33B57"/>
    <w:rsid w:val="00F33CA8"/>
    <w:rsid w:val="00F33D5C"/>
    <w:rsid w:val="00F356D6"/>
    <w:rsid w:val="00F372DB"/>
    <w:rsid w:val="00F3785D"/>
    <w:rsid w:val="00F378BE"/>
    <w:rsid w:val="00F37D37"/>
    <w:rsid w:val="00F400E3"/>
    <w:rsid w:val="00F4021A"/>
    <w:rsid w:val="00F40876"/>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CCE"/>
    <w:rsid w:val="00F53151"/>
    <w:rsid w:val="00F535A9"/>
    <w:rsid w:val="00F53F92"/>
    <w:rsid w:val="00F5480F"/>
    <w:rsid w:val="00F54AA5"/>
    <w:rsid w:val="00F552F7"/>
    <w:rsid w:val="00F553A7"/>
    <w:rsid w:val="00F554EB"/>
    <w:rsid w:val="00F5562D"/>
    <w:rsid w:val="00F55BC7"/>
    <w:rsid w:val="00F566EA"/>
    <w:rsid w:val="00F567A4"/>
    <w:rsid w:val="00F578EB"/>
    <w:rsid w:val="00F605BE"/>
    <w:rsid w:val="00F60AF6"/>
    <w:rsid w:val="00F60DDC"/>
    <w:rsid w:val="00F610A9"/>
    <w:rsid w:val="00F617BE"/>
    <w:rsid w:val="00F61C7A"/>
    <w:rsid w:val="00F625F7"/>
    <w:rsid w:val="00F64702"/>
    <w:rsid w:val="00F64D5A"/>
    <w:rsid w:val="00F65399"/>
    <w:rsid w:val="00F65B68"/>
    <w:rsid w:val="00F65C22"/>
    <w:rsid w:val="00F65EC9"/>
    <w:rsid w:val="00F66CB1"/>
    <w:rsid w:val="00F672BD"/>
    <w:rsid w:val="00F677CB"/>
    <w:rsid w:val="00F67E15"/>
    <w:rsid w:val="00F67FCA"/>
    <w:rsid w:val="00F70815"/>
    <w:rsid w:val="00F709F4"/>
    <w:rsid w:val="00F71019"/>
    <w:rsid w:val="00F710A9"/>
    <w:rsid w:val="00F7284D"/>
    <w:rsid w:val="00F72CFE"/>
    <w:rsid w:val="00F72FB0"/>
    <w:rsid w:val="00F73423"/>
    <w:rsid w:val="00F7365E"/>
    <w:rsid w:val="00F737A4"/>
    <w:rsid w:val="00F73950"/>
    <w:rsid w:val="00F75481"/>
    <w:rsid w:val="00F76664"/>
    <w:rsid w:val="00F76A4C"/>
    <w:rsid w:val="00F76AB3"/>
    <w:rsid w:val="00F816A4"/>
    <w:rsid w:val="00F81AE9"/>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3F"/>
    <w:rsid w:val="00F87C5B"/>
    <w:rsid w:val="00F87FEA"/>
    <w:rsid w:val="00F90613"/>
    <w:rsid w:val="00F906F4"/>
    <w:rsid w:val="00F915F3"/>
    <w:rsid w:val="00F91800"/>
    <w:rsid w:val="00F91853"/>
    <w:rsid w:val="00F91987"/>
    <w:rsid w:val="00F9208E"/>
    <w:rsid w:val="00F92571"/>
    <w:rsid w:val="00F93B2F"/>
    <w:rsid w:val="00F93CAE"/>
    <w:rsid w:val="00F9453D"/>
    <w:rsid w:val="00F954E4"/>
    <w:rsid w:val="00F95CCE"/>
    <w:rsid w:val="00F9692D"/>
    <w:rsid w:val="00F978BE"/>
    <w:rsid w:val="00F97D7B"/>
    <w:rsid w:val="00FA0013"/>
    <w:rsid w:val="00FA0154"/>
    <w:rsid w:val="00FA0288"/>
    <w:rsid w:val="00FA0C62"/>
    <w:rsid w:val="00FA0F71"/>
    <w:rsid w:val="00FA23E2"/>
    <w:rsid w:val="00FA26BC"/>
    <w:rsid w:val="00FA3872"/>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46E"/>
    <w:rsid w:val="00FB4629"/>
    <w:rsid w:val="00FB577F"/>
    <w:rsid w:val="00FB5E5D"/>
    <w:rsid w:val="00FB5FC4"/>
    <w:rsid w:val="00FB6A07"/>
    <w:rsid w:val="00FB6FB1"/>
    <w:rsid w:val="00FB7460"/>
    <w:rsid w:val="00FB7747"/>
    <w:rsid w:val="00FB7A10"/>
    <w:rsid w:val="00FC0F81"/>
    <w:rsid w:val="00FC3798"/>
    <w:rsid w:val="00FC577C"/>
    <w:rsid w:val="00FC59AF"/>
    <w:rsid w:val="00FC5C43"/>
    <w:rsid w:val="00FC5F72"/>
    <w:rsid w:val="00FC62B5"/>
    <w:rsid w:val="00FC6D4E"/>
    <w:rsid w:val="00FC7073"/>
    <w:rsid w:val="00FC736F"/>
    <w:rsid w:val="00FD0CDB"/>
    <w:rsid w:val="00FD1FA7"/>
    <w:rsid w:val="00FD2D42"/>
    <w:rsid w:val="00FD30B5"/>
    <w:rsid w:val="00FD3453"/>
    <w:rsid w:val="00FD39CF"/>
    <w:rsid w:val="00FD4B7B"/>
    <w:rsid w:val="00FD4D84"/>
    <w:rsid w:val="00FD5468"/>
    <w:rsid w:val="00FD58F5"/>
    <w:rsid w:val="00FD6287"/>
    <w:rsid w:val="00FD754C"/>
    <w:rsid w:val="00FE01B8"/>
    <w:rsid w:val="00FE0DAE"/>
    <w:rsid w:val="00FE0E6B"/>
    <w:rsid w:val="00FE1370"/>
    <w:rsid w:val="00FE1510"/>
    <w:rsid w:val="00FE2121"/>
    <w:rsid w:val="00FE254A"/>
    <w:rsid w:val="00FE321B"/>
    <w:rsid w:val="00FE3D07"/>
    <w:rsid w:val="00FE4411"/>
    <w:rsid w:val="00FE4B6F"/>
    <w:rsid w:val="00FE6818"/>
    <w:rsid w:val="00FE6A9E"/>
    <w:rsid w:val="00FE6BFB"/>
    <w:rsid w:val="00FF0CF5"/>
    <w:rsid w:val="00FF0D6F"/>
    <w:rsid w:val="00FF0E9E"/>
    <w:rsid w:val="00FF1103"/>
    <w:rsid w:val="00FF1712"/>
    <w:rsid w:val="00FF213D"/>
    <w:rsid w:val="00FF251D"/>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cce-eicp-gi-23_guia_contratacion_prestacion_de_servicios_v1_11-07-2023_def_1_1.pdf"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magnusiurisalejandroadvocare@gmail.com" TargetMode="External"/><Relationship Id="rId17" Type="http://schemas.openxmlformats.org/officeDocument/2006/relationships/hyperlink" Target="https://nam02.safelinks.protection.outlook.com/?url=https%3A%2F%2Fwww.colombiacompra.gov.co%2Fwp-content%2Fuploads%2F2025%2F05%2FGUIA-DE-LINEAMIENTOS-DE-TRANSPARENCIA-Y-SELECCION-OBJETIVA-1.0.pdf&amp;data=05%7C02%7Ctatiana.baquero%40colombiacompra.gov.co%7C7cfff6dece924643582c08dd97bfed90%7C7b09041e245149d08cb179d5e3d8c1be%7C0%7C0%7C638833572792347448%7CUnknown%7CTWFpbGZsb3d8eyJFbXB0eU1hcGkiOnRydWUsIlYiOiIwLjAuMDAwMCIsIlAiOiJXaW4zMiIsIkFOIjoiTWFpbCIsIldUIjoyfQ%3D%3D%7C0%7C%7C%7C&amp;sdata=K03nwa35iwf9ehvktYrXqXUKICQPG9uZh4Vu1Re28IU%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normativa-y-relatoria%2Fdocumentos-tipo&amp;data=05%7C02%7Ctatiana.baquero%40colombiacompra.gov.co%7C7cfff6dece924643582c08dd97bfed90%7C7b09041e245149d08cb179d5e3d8c1be%7C0%7C0%7C638833572792333797%7CUnknown%7CTWFpbGZsb3d8eyJFbXB0eU1hcGkiOnRydWUsIlYiOiIwLjAuMDAwMCIsIlAiOiJXaW4zMiIsIkFOIjoiTWFpbCIsIldUIjoyfQ%3D%3D%7C0%7C%7C%7C&amp;sdata=OZJtDPYSzcOUlUou8b2eINTZABDsU0qBeCAQfYDE8%2FQ%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archivos%2Fconvocatoria%2Fparticipacion-ciudadana-proyecto-de-la-guia-para-la-elaboracion-de-estudios-del-sector&amp;data=05%7C02%7Ctatiana.baquero%40colombiacompra.gov.co%7C7cfff6dece924643582c08dd97bfed90%7C7b09041e245149d08cb179d5e3d8c1be%7C0%7C0%7C638833572792308233%7CUnknown%7CTWFpbGZsb3d8eyJFbXB0eU1hcGkiOnRydWUsIlYiOiIwLjAuMDAwMCIsIlAiOiJXaW4zMiIsIkFOIjoiTWFpbCIsIldUIjoyfQ%3D%3D%7C0%7C%7C%7C&amp;sdata=NegUwjoRL3iVFRBwJVR36%2FrYV22lJLMZuK6tbS42dWQ%3D&amp;reserved=0"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1081</TotalTime>
  <Pages>20</Pages>
  <Words>5748</Words>
  <Characters>31614</Characters>
  <Application>Microsoft Office Word</Application>
  <DocSecurity>0</DocSecurity>
  <Lines>263</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37288</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TATIANA BAQUERO</cp:lastModifiedBy>
  <cp:revision>7</cp:revision>
  <dcterms:created xsi:type="dcterms:W3CDTF">2025-05-27T21:49:00Z</dcterms:created>
  <dcterms:modified xsi:type="dcterms:W3CDTF">2025-05-28T15:50:00Z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