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BB415" w14:textId="77777777" w:rsidR="00EA28C0" w:rsidRDefault="00EA28C0" w:rsidP="00EA28C0">
      <w:pPr>
        <w:jc w:val="both"/>
        <w:rPr>
          <w:rFonts w:ascii="Verdana" w:eastAsia="Calibri" w:hAnsi="Verdana" w:cs="Arial"/>
          <w:b/>
          <w:bCs/>
        </w:rPr>
      </w:pPr>
      <w:bookmarkStart w:id="0" w:name="_Hlk143780582"/>
      <w:r w:rsidRPr="003D462A">
        <w:rPr>
          <w:rFonts w:ascii="Verdana" w:eastAsia="Calibri" w:hAnsi="Verdana" w:cs="Arial"/>
          <w:b/>
          <w:bCs/>
        </w:rPr>
        <w:t xml:space="preserve">ENTIDADES SIN ÁNIMO DE LUCRO – Naturaleza jurídica – Capacidad para contratar </w:t>
      </w:r>
    </w:p>
    <w:p w14:paraId="32087035" w14:textId="77777777" w:rsidR="00EA28C0" w:rsidRDefault="00EA28C0" w:rsidP="00EA28C0">
      <w:pPr>
        <w:jc w:val="both"/>
        <w:rPr>
          <w:rFonts w:ascii="Verdana" w:eastAsia="Calibri" w:hAnsi="Verdana" w:cs="Arial"/>
          <w:bCs/>
          <w:sz w:val="20"/>
          <w:szCs w:val="20"/>
        </w:rPr>
      </w:pPr>
      <w:r w:rsidRPr="00911EC0">
        <w:rPr>
          <w:rFonts w:ascii="Verdana" w:eastAsia="Calibri" w:hAnsi="Verdana" w:cs="Arial"/>
          <w:bCs/>
          <w:sz w:val="20"/>
          <w:szCs w:val="20"/>
        </w:rPr>
        <w:t>Por tanto, es claro que las ESAL tienen capacidad para contratar bajo las reglas del EGCAP al ser personas jurídicas consideradas legalmente capaces, en los términos del artículo 6 de la Ley 80 de 1993. En armonía con ello, el Decreto 092 de 2017 reguló un régimen especial de contratación; sin embargo,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p w14:paraId="08C56E49" w14:textId="77777777" w:rsidR="00EA28C0" w:rsidRPr="00EA28C0" w:rsidRDefault="00EA28C0" w:rsidP="00EA28C0">
      <w:pPr>
        <w:spacing w:after="0" w:line="240" w:lineRule="auto"/>
        <w:jc w:val="both"/>
        <w:rPr>
          <w:rFonts w:ascii="Verdana" w:eastAsia="Times New Roman" w:hAnsi="Verdana" w:cs="Arial"/>
          <w:b/>
          <w:bCs/>
          <w:sz w:val="20"/>
          <w:szCs w:val="20"/>
          <w:bdr w:val="none" w:sz="0" w:space="0" w:color="auto" w:frame="1"/>
          <w:lang w:val="es-ES" w:eastAsia="es-ES_tradnl"/>
        </w:rPr>
      </w:pPr>
      <w:r w:rsidRPr="00EA28C0">
        <w:rPr>
          <w:rFonts w:ascii="Verdana" w:eastAsia="Times New Roman" w:hAnsi="Verdana" w:cs="Arial"/>
          <w:b/>
          <w:bCs/>
          <w:sz w:val="20"/>
          <w:szCs w:val="20"/>
          <w:bdr w:val="none" w:sz="0" w:space="0" w:color="auto" w:frame="1"/>
          <w:lang w:val="es-ES" w:eastAsia="es-ES_tradnl"/>
        </w:rPr>
        <w:t xml:space="preserve">CONTRATO DE PRESTACIÓN DE SERVICIOS ― Concepto ― Requisitos y límites para su celebración </w:t>
      </w:r>
    </w:p>
    <w:p w14:paraId="19248F82" w14:textId="77777777" w:rsidR="00EA28C0" w:rsidRPr="00EA28C0" w:rsidRDefault="00EA28C0" w:rsidP="00EA28C0">
      <w:pPr>
        <w:spacing w:after="0" w:line="240" w:lineRule="auto"/>
        <w:jc w:val="both"/>
        <w:rPr>
          <w:rFonts w:ascii="Verdana" w:eastAsia="Times New Roman" w:hAnsi="Verdana" w:cs="Arial"/>
          <w:sz w:val="20"/>
          <w:szCs w:val="20"/>
          <w:bdr w:val="none" w:sz="0" w:space="0" w:color="auto" w:frame="1"/>
          <w:lang w:val="es-ES" w:eastAsia="es-ES_tradnl"/>
        </w:rPr>
      </w:pPr>
    </w:p>
    <w:p w14:paraId="2AA22F6A" w14:textId="77777777" w:rsidR="00EA28C0" w:rsidRPr="00EA28C0" w:rsidRDefault="00EA28C0" w:rsidP="00EA28C0">
      <w:pPr>
        <w:spacing w:after="0" w:line="240" w:lineRule="auto"/>
        <w:jc w:val="both"/>
        <w:rPr>
          <w:rFonts w:ascii="Verdana" w:eastAsia="Calibri" w:hAnsi="Verdana" w:cs="Arial"/>
          <w:sz w:val="20"/>
          <w:szCs w:val="20"/>
          <w:lang w:val="es-ES_tradnl" w:eastAsia="es-ES_tradnl"/>
        </w:rPr>
      </w:pPr>
      <w:r w:rsidRPr="00EA28C0">
        <w:rPr>
          <w:rFonts w:ascii="Verdana" w:eastAsia="Calibri" w:hAnsi="Verdana" w:cs="Arial"/>
          <w:sz w:val="20"/>
          <w:szCs w:val="20"/>
          <w:lang w:val="es-ES_tradnl" w:eastAsia="es-ES_tradnl"/>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w:t>
      </w:r>
    </w:p>
    <w:p w14:paraId="2B01D066" w14:textId="77777777" w:rsidR="00EA28C0" w:rsidRPr="00EA28C0" w:rsidRDefault="00EA28C0" w:rsidP="00EA28C0">
      <w:pPr>
        <w:spacing w:after="0" w:line="240" w:lineRule="auto"/>
        <w:jc w:val="both"/>
        <w:rPr>
          <w:rFonts w:ascii="Verdana" w:eastAsia="Calibri" w:hAnsi="Verdana" w:cs="Arial"/>
          <w:sz w:val="20"/>
          <w:szCs w:val="20"/>
          <w:lang w:val="es-ES_tradnl" w:eastAsia="es-ES_tradnl"/>
        </w:rPr>
      </w:pPr>
    </w:p>
    <w:p w14:paraId="7FA49931" w14:textId="2C32EE0C" w:rsidR="00EA28C0" w:rsidRPr="00EA28C0" w:rsidRDefault="00EA28C0" w:rsidP="004E4591">
      <w:pPr>
        <w:tabs>
          <w:tab w:val="left" w:pos="5205"/>
        </w:tabs>
        <w:spacing w:after="0" w:line="240" w:lineRule="auto"/>
        <w:jc w:val="both"/>
        <w:rPr>
          <w:rFonts w:ascii="Verdana" w:eastAsia="Calibri" w:hAnsi="Verdana" w:cs="Arial"/>
          <w:sz w:val="20"/>
          <w:szCs w:val="20"/>
          <w:lang w:val="es-ES_tradnl" w:eastAsia="es-ES_tradnl"/>
        </w:rPr>
      </w:pPr>
      <w:r w:rsidRPr="00EA28C0">
        <w:rPr>
          <w:rFonts w:ascii="Verdana" w:eastAsia="Calibri" w:hAnsi="Verdana" w:cs="Arial"/>
          <w:sz w:val="20"/>
          <w:szCs w:val="20"/>
          <w:lang w:val="es-ES_tradnl" w:eastAsia="es-ES_tradnl"/>
        </w:rPr>
        <w:t>[…]</w:t>
      </w:r>
      <w:r w:rsidR="004E4591">
        <w:rPr>
          <w:rFonts w:ascii="Verdana" w:eastAsia="Calibri" w:hAnsi="Verdana" w:cs="Arial"/>
          <w:sz w:val="20"/>
          <w:szCs w:val="20"/>
          <w:lang w:val="es-ES_tradnl" w:eastAsia="es-ES_tradnl"/>
        </w:rPr>
        <w:tab/>
      </w:r>
    </w:p>
    <w:p w14:paraId="6895D938" w14:textId="77777777" w:rsidR="00EA28C0" w:rsidRPr="00EA28C0" w:rsidRDefault="00EA28C0" w:rsidP="00EA28C0">
      <w:pPr>
        <w:spacing w:after="0" w:line="240" w:lineRule="auto"/>
        <w:jc w:val="both"/>
        <w:rPr>
          <w:rFonts w:ascii="Verdana" w:eastAsia="Calibri" w:hAnsi="Verdana" w:cs="Arial"/>
          <w:sz w:val="20"/>
          <w:szCs w:val="20"/>
          <w:lang w:val="es-ES_tradnl" w:eastAsia="es-ES_tradnl"/>
        </w:rPr>
      </w:pPr>
    </w:p>
    <w:p w14:paraId="57BB3340" w14:textId="77777777" w:rsidR="00EA28C0" w:rsidRPr="00EA28C0" w:rsidRDefault="00EA28C0" w:rsidP="00EA28C0">
      <w:pPr>
        <w:spacing w:after="0" w:line="240" w:lineRule="auto"/>
        <w:jc w:val="both"/>
        <w:rPr>
          <w:rFonts w:ascii="Verdana" w:eastAsia="Times New Roman" w:hAnsi="Verdana" w:cs="Arial"/>
          <w:b/>
          <w:bCs/>
          <w:sz w:val="20"/>
          <w:szCs w:val="20"/>
          <w:bdr w:val="none" w:sz="0" w:space="0" w:color="auto" w:frame="1"/>
          <w:lang w:val="es-ES" w:eastAsia="es-ES_tradnl"/>
        </w:rPr>
      </w:pPr>
      <w:r w:rsidRPr="00EA28C0">
        <w:rPr>
          <w:rStyle w:val="normaltextrun"/>
          <w:rFonts w:ascii="Verdana" w:hAnsi="Verdana" w:cs="Arial"/>
          <w:color w:val="000000"/>
          <w:sz w:val="20"/>
          <w:szCs w:val="20"/>
          <w:shd w:val="clear" w:color="auto" w:fill="FFFFFF"/>
          <w:lang w:val="es-ES"/>
        </w:rPr>
        <w:t xml:space="preserve">Sus principales características son: i) </w:t>
      </w:r>
      <w:r w:rsidRPr="00EA28C0">
        <w:rPr>
          <w:rFonts w:ascii="Verdana" w:eastAsia="Calibri" w:hAnsi="Verdana" w:cs="Arial"/>
          <w:sz w:val="20"/>
          <w:szCs w:val="20"/>
          <w:lang w:val="es-ES_tradnl" w:eastAsia="es-ES_tradnl"/>
        </w:rPr>
        <w:t>Solo puede celebrarse para realizar “actividades relacionadas con la administración o funcionamiento de la entidad”, es decir, que hagan parte de su giro ordinario o quehacer cotidiano</w:t>
      </w:r>
      <w:r w:rsidRPr="00EA28C0">
        <w:rPr>
          <w:rStyle w:val="normaltextrun"/>
          <w:rFonts w:ascii="Verdana" w:hAnsi="Verdana" w:cs="Arial"/>
          <w:color w:val="000000"/>
          <w:sz w:val="20"/>
          <w:szCs w:val="20"/>
          <w:shd w:val="clear" w:color="auto" w:fill="FFFFFF"/>
          <w:lang w:val="es-ES"/>
        </w:rPr>
        <w:t xml:space="preserve">; </w:t>
      </w:r>
      <w:proofErr w:type="spellStart"/>
      <w:r w:rsidRPr="00EA28C0">
        <w:rPr>
          <w:rStyle w:val="normaltextrun"/>
          <w:rFonts w:ascii="Verdana" w:hAnsi="Verdana" w:cs="Arial"/>
          <w:color w:val="000000"/>
          <w:sz w:val="20"/>
          <w:szCs w:val="20"/>
          <w:shd w:val="clear" w:color="auto" w:fill="FFFFFF"/>
          <w:lang w:val="es-ES"/>
        </w:rPr>
        <w:t>ii</w:t>
      </w:r>
      <w:proofErr w:type="spellEnd"/>
      <w:r w:rsidRPr="00EA28C0">
        <w:rPr>
          <w:rStyle w:val="normaltextrun"/>
          <w:rFonts w:ascii="Verdana" w:hAnsi="Verdana" w:cs="Arial"/>
          <w:color w:val="000000"/>
          <w:sz w:val="20"/>
          <w:szCs w:val="20"/>
          <w:shd w:val="clear" w:color="auto" w:fill="FFFFFF"/>
          <w:lang w:val="es-ES"/>
        </w:rPr>
        <w:t xml:space="preserve">) </w:t>
      </w:r>
      <w:r w:rsidRPr="00EA28C0">
        <w:rPr>
          <w:rFonts w:ascii="Verdana" w:eastAsia="Calibri" w:hAnsi="Verdana" w:cs="Arial"/>
          <w:sz w:val="20"/>
          <w:szCs w:val="20"/>
          <w:lang w:val="es-ES_tradnl" w:eastAsia="es-ES_tradnl"/>
        </w:rPr>
        <w:t>admite que se suscriba tanto con personas naturales como con personas jurídicas […]</w:t>
      </w:r>
      <w:r w:rsidRPr="00EA28C0">
        <w:rPr>
          <w:rStyle w:val="normaltextrun"/>
          <w:rFonts w:ascii="Verdana" w:hAnsi="Verdana" w:cs="Arial"/>
          <w:color w:val="000000"/>
          <w:sz w:val="20"/>
          <w:szCs w:val="20"/>
          <w:shd w:val="clear" w:color="auto" w:fill="FFFFFF"/>
          <w:lang w:val="es-ES"/>
        </w:rPr>
        <w:t xml:space="preserve">; </w:t>
      </w:r>
      <w:proofErr w:type="spellStart"/>
      <w:r w:rsidRPr="00EA28C0">
        <w:rPr>
          <w:rStyle w:val="normaltextrun"/>
          <w:rFonts w:ascii="Verdana" w:hAnsi="Verdana" w:cs="Arial"/>
          <w:color w:val="000000"/>
          <w:sz w:val="20"/>
          <w:szCs w:val="20"/>
          <w:shd w:val="clear" w:color="auto" w:fill="FFFFFF"/>
          <w:lang w:val="es-ES"/>
        </w:rPr>
        <w:t>iii</w:t>
      </w:r>
      <w:proofErr w:type="spellEnd"/>
      <w:r w:rsidRPr="00EA28C0">
        <w:rPr>
          <w:rStyle w:val="normaltextrun"/>
          <w:rFonts w:ascii="Verdana" w:hAnsi="Verdana" w:cs="Arial"/>
          <w:color w:val="000000"/>
          <w:sz w:val="20"/>
          <w:szCs w:val="20"/>
          <w:shd w:val="clear" w:color="auto" w:fill="FFFFFF"/>
          <w:lang w:val="es-ES"/>
        </w:rPr>
        <w:t xml:space="preserve">) </w:t>
      </w:r>
      <w:r w:rsidRPr="00EA28C0">
        <w:rPr>
          <w:rFonts w:ascii="Verdana" w:eastAsia="Calibri" w:hAnsi="Verdana" w:cs="Arial"/>
          <w:sz w:val="20"/>
          <w:szCs w:val="20"/>
          <w:lang w:val="es-ES_tradnl" w:eastAsia="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w:t>
      </w:r>
      <w:r w:rsidRPr="00EA28C0">
        <w:rPr>
          <w:rFonts w:ascii="Verdana" w:eastAsia="Calibri" w:hAnsi="Verdana" w:cs="Arial"/>
          <w:i/>
          <w:sz w:val="20"/>
          <w:szCs w:val="20"/>
          <w:lang w:val="es-ES_tradnl" w:eastAsia="es-ES_tradnl"/>
        </w:rPr>
        <w:t>subordinación y dependencia</w:t>
      </w:r>
      <w:r w:rsidRPr="00EA28C0">
        <w:rPr>
          <w:rFonts w:ascii="Verdana" w:eastAsia="Calibri" w:hAnsi="Verdana" w:cs="Arial"/>
          <w:iCs/>
          <w:sz w:val="20"/>
          <w:szCs w:val="20"/>
          <w:lang w:val="es-ES_tradnl" w:eastAsia="es-ES_tradnl"/>
        </w:rPr>
        <w:t>,</w:t>
      </w:r>
      <w:r w:rsidRPr="00EA28C0">
        <w:rPr>
          <w:rFonts w:ascii="Verdana" w:eastAsia="Calibri" w:hAnsi="Verdana" w:cs="Arial"/>
          <w:sz w:val="20"/>
          <w:szCs w:val="20"/>
          <w:lang w:val="es-ES_tradnl" w:eastAsia="es-ES_tradnl"/>
        </w:rPr>
        <w:t xml:space="preserve"> que es uno de los elementos constitutivos del vínculo laboral […]</w:t>
      </w:r>
      <w:r w:rsidRPr="00EA28C0">
        <w:rPr>
          <w:rStyle w:val="normaltextrun"/>
          <w:rFonts w:ascii="Verdana" w:hAnsi="Verdana" w:cs="Arial"/>
          <w:color w:val="000000"/>
          <w:sz w:val="20"/>
          <w:szCs w:val="20"/>
          <w:shd w:val="clear" w:color="auto" w:fill="FFFFFF"/>
          <w:lang w:val="es-ES"/>
        </w:rPr>
        <w:t xml:space="preserve">; </w:t>
      </w:r>
      <w:proofErr w:type="spellStart"/>
      <w:r w:rsidRPr="00EA28C0">
        <w:rPr>
          <w:rStyle w:val="normaltextrun"/>
          <w:rFonts w:ascii="Verdana" w:hAnsi="Verdana" w:cs="Arial"/>
          <w:color w:val="000000"/>
          <w:sz w:val="20"/>
          <w:szCs w:val="20"/>
          <w:shd w:val="clear" w:color="auto" w:fill="FFFFFF"/>
          <w:lang w:val="es-ES"/>
        </w:rPr>
        <w:t>iv</w:t>
      </w:r>
      <w:proofErr w:type="spellEnd"/>
      <w:r w:rsidRPr="00EA28C0">
        <w:rPr>
          <w:rStyle w:val="normaltextrun"/>
          <w:rFonts w:ascii="Verdana" w:hAnsi="Verdana" w:cs="Arial"/>
          <w:color w:val="000000"/>
          <w:sz w:val="20"/>
          <w:szCs w:val="20"/>
          <w:shd w:val="clear" w:color="auto" w:fill="FFFFFF"/>
          <w:lang w:val="es-ES"/>
        </w:rPr>
        <w:t xml:space="preserve">) debe ser temporal […]; v) </w:t>
      </w:r>
      <w:r w:rsidRPr="00EA28C0">
        <w:rPr>
          <w:rFonts w:ascii="Verdana" w:eastAsia="Calibri" w:hAnsi="Verdana" w:cs="Arial"/>
          <w:sz w:val="20"/>
          <w:szCs w:val="20"/>
          <w:lang w:val="es-ES_tradnl" w:eastAsia="es-ES_tradnl"/>
        </w:rPr>
        <w:t xml:space="preserve">los contratos de prestación de servicios constituyen un </w:t>
      </w:r>
      <w:r w:rsidRPr="00EA28C0">
        <w:rPr>
          <w:rFonts w:ascii="Verdana" w:eastAsia="Calibri" w:hAnsi="Verdana" w:cs="Arial"/>
          <w:i/>
          <w:iCs/>
          <w:sz w:val="20"/>
          <w:szCs w:val="20"/>
          <w:lang w:val="es-ES_tradnl" w:eastAsia="es-ES_tradnl"/>
        </w:rPr>
        <w:t>género</w:t>
      </w:r>
      <w:r w:rsidRPr="00EA28C0">
        <w:rPr>
          <w:rFonts w:ascii="Verdana" w:eastAsia="Calibri" w:hAnsi="Verdana" w:cs="Arial"/>
          <w:sz w:val="20"/>
          <w:szCs w:val="20"/>
          <w:lang w:val="es-ES_tradnl" w:eastAsia="es-ES_tradnl"/>
        </w:rPr>
        <w:t xml:space="preserve"> que incluye, como </w:t>
      </w:r>
      <w:r w:rsidRPr="00EA28C0">
        <w:rPr>
          <w:rFonts w:ascii="Verdana" w:eastAsia="Calibri" w:hAnsi="Verdana" w:cs="Arial"/>
          <w:i/>
          <w:iCs/>
          <w:sz w:val="20"/>
          <w:szCs w:val="20"/>
          <w:lang w:val="es-ES_tradnl" w:eastAsia="es-ES_tradnl"/>
        </w:rPr>
        <w:t>especies</w:t>
      </w:r>
      <w:r w:rsidRPr="00EA28C0">
        <w:rPr>
          <w:rFonts w:ascii="Verdana" w:eastAsia="Calibri" w:hAnsi="Verdana" w:cs="Arial"/>
          <w:sz w:val="20"/>
          <w:szCs w:val="20"/>
          <w:lang w:val="es-ES_tradnl" w:eastAsia="es-ES_tradnl"/>
        </w:rPr>
        <w:t>, los contratos de prestación de servicios profesionales, los contratos de prestación de servicios de apoyo a la gestión y los contratos de prestación de servicios artísticos que solo pueden encomendarse a determinadas personas naturales […]</w:t>
      </w:r>
      <w:r w:rsidRPr="00EA28C0">
        <w:rPr>
          <w:rStyle w:val="normaltextrun"/>
          <w:rFonts w:ascii="Verdana" w:hAnsi="Verdana" w:cs="Arial"/>
          <w:color w:val="000000"/>
          <w:sz w:val="20"/>
          <w:szCs w:val="20"/>
          <w:shd w:val="clear" w:color="auto" w:fill="FFFFFF"/>
          <w:lang w:val="es-ES"/>
        </w:rPr>
        <w:t xml:space="preserve">; vi) </w:t>
      </w:r>
      <w:r w:rsidRPr="00EA28C0">
        <w:rPr>
          <w:rFonts w:ascii="Verdana" w:eastAsia="Calibri" w:hAnsi="Verdana" w:cs="Arial"/>
          <w:sz w:val="20"/>
          <w:szCs w:val="20"/>
          <w:lang w:val="es-ES_tradnl" w:eastAsia="es-ES_tradnl"/>
        </w:rPr>
        <w:t>Su celebración debe realizarse a través de la modalidad de contratación directa, independientemente de la cuantía y del tipo de servicio, siempre que este no ingrese dentro del objeto del contrato de consultoría […]</w:t>
      </w:r>
      <w:r w:rsidRPr="00EA28C0">
        <w:rPr>
          <w:rStyle w:val="normaltextrun"/>
          <w:rFonts w:ascii="Verdana" w:hAnsi="Verdana" w:cs="Arial"/>
          <w:color w:val="000000"/>
          <w:sz w:val="20"/>
          <w:szCs w:val="20"/>
          <w:shd w:val="clear" w:color="auto" w:fill="FFFFFF"/>
          <w:lang w:val="es-ES"/>
        </w:rPr>
        <w:t xml:space="preserve">; </w:t>
      </w:r>
      <w:proofErr w:type="spellStart"/>
      <w:r w:rsidRPr="00EA28C0">
        <w:rPr>
          <w:rStyle w:val="normaltextrun"/>
          <w:rFonts w:ascii="Verdana" w:hAnsi="Verdana" w:cs="Arial"/>
          <w:color w:val="000000"/>
          <w:sz w:val="20"/>
          <w:szCs w:val="20"/>
          <w:shd w:val="clear" w:color="auto" w:fill="FFFFFF"/>
          <w:lang w:val="es-ES"/>
        </w:rPr>
        <w:t>vii</w:t>
      </w:r>
      <w:proofErr w:type="spellEnd"/>
      <w:r w:rsidRPr="00EA28C0">
        <w:rPr>
          <w:rStyle w:val="normaltextrun"/>
          <w:rFonts w:ascii="Verdana" w:hAnsi="Verdana" w:cs="Arial"/>
          <w:color w:val="000000"/>
          <w:sz w:val="20"/>
          <w:szCs w:val="20"/>
          <w:shd w:val="clear" w:color="auto" w:fill="FFFFFF"/>
          <w:lang w:val="es-ES"/>
        </w:rPr>
        <w:t xml:space="preserve">) </w:t>
      </w:r>
      <w:r w:rsidRPr="00EA28C0">
        <w:rPr>
          <w:rFonts w:ascii="Verdana" w:eastAsia="Calibri" w:hAnsi="Verdana" w:cs="Arial"/>
          <w:sz w:val="20"/>
          <w:szCs w:val="20"/>
          <w:lang w:val="es-ES_tradnl" w:eastAsia="es-ES_tradnl"/>
        </w:rPr>
        <w:t>Para su celebración no se requiere en algunos casos la expedición del acto administrativo de justificación de la contratación directa […]</w:t>
      </w:r>
      <w:r w:rsidRPr="00EA28C0">
        <w:rPr>
          <w:rStyle w:val="normaltextrun"/>
          <w:rFonts w:ascii="Verdana" w:hAnsi="Verdana" w:cs="Arial"/>
          <w:color w:val="000000"/>
          <w:sz w:val="20"/>
          <w:szCs w:val="20"/>
          <w:shd w:val="clear" w:color="auto" w:fill="FFFFFF"/>
          <w:lang w:val="es-ES"/>
        </w:rPr>
        <w:t xml:space="preserve">; </w:t>
      </w:r>
      <w:proofErr w:type="spellStart"/>
      <w:r w:rsidRPr="00EA28C0">
        <w:rPr>
          <w:rStyle w:val="normaltextrun"/>
          <w:rFonts w:ascii="Verdana" w:hAnsi="Verdana" w:cs="Arial"/>
          <w:color w:val="000000"/>
          <w:sz w:val="20"/>
          <w:szCs w:val="20"/>
          <w:shd w:val="clear" w:color="auto" w:fill="FFFFFF"/>
          <w:lang w:val="es-ES"/>
        </w:rPr>
        <w:t>viii</w:t>
      </w:r>
      <w:proofErr w:type="spellEnd"/>
      <w:r w:rsidRPr="00EA28C0">
        <w:rPr>
          <w:rStyle w:val="normaltextrun"/>
          <w:rFonts w:ascii="Verdana" w:hAnsi="Verdana" w:cs="Arial"/>
          <w:color w:val="000000"/>
          <w:sz w:val="20"/>
          <w:szCs w:val="20"/>
          <w:shd w:val="clear" w:color="auto" w:fill="FFFFFF"/>
          <w:lang w:val="es-ES"/>
        </w:rPr>
        <w:t xml:space="preserve">) </w:t>
      </w:r>
      <w:r w:rsidRPr="00EA28C0">
        <w:rPr>
          <w:rFonts w:ascii="Verdana" w:eastAsia="Calibri" w:hAnsi="Verdana" w:cs="Arial"/>
          <w:sz w:val="20"/>
          <w:szCs w:val="20"/>
          <w:lang w:val="es-ES_tradnl" w:eastAsia="es-ES_tradnl"/>
        </w:rPr>
        <w:t>admiten el pacto de cláusulas excepcionales […]</w:t>
      </w:r>
      <w:r w:rsidRPr="00EA28C0">
        <w:rPr>
          <w:rStyle w:val="normaltextrun"/>
          <w:rFonts w:ascii="Verdana" w:hAnsi="Verdana" w:cs="Arial"/>
          <w:color w:val="000000"/>
          <w:sz w:val="20"/>
          <w:szCs w:val="20"/>
          <w:shd w:val="clear" w:color="auto" w:fill="FFFFFF"/>
          <w:lang w:val="es-ES"/>
        </w:rPr>
        <w:t xml:space="preserve">; </w:t>
      </w:r>
      <w:proofErr w:type="spellStart"/>
      <w:r w:rsidRPr="00EA28C0">
        <w:rPr>
          <w:rStyle w:val="normaltextrun"/>
          <w:rFonts w:ascii="Verdana" w:hAnsi="Verdana" w:cs="Arial"/>
          <w:color w:val="000000"/>
          <w:sz w:val="20"/>
          <w:szCs w:val="20"/>
          <w:shd w:val="clear" w:color="auto" w:fill="FFFFFF"/>
          <w:lang w:val="es-ES"/>
        </w:rPr>
        <w:t>ix</w:t>
      </w:r>
      <w:proofErr w:type="spellEnd"/>
      <w:r w:rsidRPr="00EA28C0">
        <w:rPr>
          <w:rStyle w:val="normaltextrun"/>
          <w:rFonts w:ascii="Verdana" w:hAnsi="Verdana" w:cs="Arial"/>
          <w:color w:val="000000"/>
          <w:sz w:val="20"/>
          <w:szCs w:val="20"/>
          <w:shd w:val="clear" w:color="auto" w:fill="FFFFFF"/>
          <w:lang w:val="es-ES"/>
        </w:rPr>
        <w:t xml:space="preserve">) </w:t>
      </w:r>
      <w:r w:rsidRPr="00EA28C0">
        <w:rPr>
          <w:rFonts w:ascii="Verdana" w:eastAsia="Calibri" w:hAnsi="Verdana" w:cs="Arial"/>
          <w:sz w:val="20"/>
          <w:szCs w:val="20"/>
          <w:lang w:val="es-ES_tradnl" w:eastAsia="es-ES_tradnl"/>
        </w:rPr>
        <w:t>) en algunos casos no es obligatoria la liquidación […]</w:t>
      </w:r>
      <w:r w:rsidRPr="00EA28C0">
        <w:rPr>
          <w:rStyle w:val="normaltextrun"/>
          <w:rFonts w:ascii="Verdana" w:hAnsi="Verdana" w:cs="Arial"/>
          <w:color w:val="000000"/>
          <w:sz w:val="20"/>
          <w:szCs w:val="20"/>
          <w:shd w:val="clear" w:color="auto" w:fill="FFFFFF"/>
          <w:lang w:val="es-ES"/>
        </w:rPr>
        <w:t>; x) para su celebración no se requiere inscripción en el Registro Único de Proponentes […]; xi) en ellos no son necesarias las garantías.</w:t>
      </w:r>
      <w:r w:rsidRPr="00EA28C0">
        <w:rPr>
          <w:rStyle w:val="eop"/>
          <w:rFonts w:ascii="Verdana" w:hAnsi="Verdana" w:cs="Arial"/>
          <w:color w:val="000000"/>
          <w:sz w:val="20"/>
          <w:szCs w:val="20"/>
          <w:shd w:val="clear" w:color="auto" w:fill="FFFFFF"/>
        </w:rPr>
        <w:t> </w:t>
      </w:r>
    </w:p>
    <w:p w14:paraId="43AA0C65" w14:textId="77777777" w:rsidR="00EA28C0" w:rsidRDefault="00EA28C0" w:rsidP="00EA28C0">
      <w:pPr>
        <w:jc w:val="both"/>
        <w:rPr>
          <w:rFonts w:ascii="Verdana" w:eastAsia="Calibri" w:hAnsi="Verdana" w:cs="Arial"/>
          <w:b/>
          <w:bCs/>
        </w:rPr>
      </w:pPr>
    </w:p>
    <w:p w14:paraId="6DAA58FA" w14:textId="77777777" w:rsidR="00EA28C0" w:rsidRPr="003D462A" w:rsidRDefault="00EA28C0" w:rsidP="00EA28C0">
      <w:pPr>
        <w:jc w:val="both"/>
        <w:rPr>
          <w:rFonts w:ascii="Verdana" w:eastAsia="Calibri" w:hAnsi="Verdana" w:cs="Arial"/>
          <w:bCs/>
          <w:sz w:val="20"/>
          <w:szCs w:val="20"/>
        </w:rPr>
      </w:pPr>
    </w:p>
    <w:p w14:paraId="3B246A4E" w14:textId="77777777" w:rsidR="00EA28C0" w:rsidRPr="00B97CC5" w:rsidRDefault="00EA28C0" w:rsidP="00EA28C0">
      <w:pPr>
        <w:jc w:val="both"/>
        <w:rPr>
          <w:rFonts w:ascii="Verdana" w:eastAsia="Calibri" w:hAnsi="Verdana" w:cs="Arial"/>
          <w:b/>
          <w:bCs/>
        </w:rPr>
      </w:pPr>
      <w:r w:rsidRPr="00B97CC5">
        <w:rPr>
          <w:rFonts w:ascii="Verdana" w:eastAsia="Calibri" w:hAnsi="Verdana" w:cs="Arial"/>
          <w:b/>
          <w:bCs/>
        </w:rPr>
        <w:lastRenderedPageBreak/>
        <w:t xml:space="preserve">SEGURIDAD SOCIAL – Aportes al Sistema de Seguridad Social-Personas jurídicas </w:t>
      </w:r>
    </w:p>
    <w:p w14:paraId="7F0EF2FF" w14:textId="77777777" w:rsidR="00EA28C0" w:rsidRPr="001D2D8F" w:rsidRDefault="00EA28C0" w:rsidP="00EA28C0">
      <w:pPr>
        <w:spacing w:after="0"/>
        <w:jc w:val="both"/>
        <w:rPr>
          <w:rFonts w:ascii="Verdana" w:eastAsia="Calibri" w:hAnsi="Verdana" w:cs="Arial"/>
          <w:bCs/>
          <w:sz w:val="20"/>
          <w:szCs w:val="20"/>
        </w:rPr>
      </w:pPr>
      <w:r w:rsidRPr="001D2D8F">
        <w:rPr>
          <w:rFonts w:ascii="Verdana" w:eastAsia="Calibri" w:hAnsi="Verdana" w:cs="Arial"/>
          <w:bCs/>
          <w:sz w:val="20"/>
          <w:szCs w:val="20"/>
        </w:rPr>
        <w:t>Asimismo,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w:t>
      </w:r>
    </w:p>
    <w:p w14:paraId="7B8D1778" w14:textId="77777777" w:rsidR="00EA28C0" w:rsidRPr="00190500" w:rsidRDefault="00EA28C0" w:rsidP="00EA28C0">
      <w:pPr>
        <w:spacing w:after="0"/>
        <w:rPr>
          <w:rFonts w:ascii="Verdana" w:hAnsi="Verdana"/>
        </w:rPr>
      </w:pPr>
    </w:p>
    <w:p w14:paraId="6ECA5A17" w14:textId="77777777" w:rsidR="00EA28C0" w:rsidRDefault="00EA28C0" w:rsidP="00EA28C0">
      <w:pPr>
        <w:rPr>
          <w:rFonts w:ascii="Verdana" w:hAnsi="Verdana"/>
        </w:rPr>
      </w:pPr>
      <w:r>
        <w:rPr>
          <w:rFonts w:ascii="Verdana" w:hAnsi="Verdana"/>
        </w:rPr>
        <w:br w:type="page"/>
      </w:r>
    </w:p>
    <w:p w14:paraId="63EF1C2A" w14:textId="21284908" w:rsidR="00EA28C0" w:rsidRPr="00190500" w:rsidRDefault="00EA28C0" w:rsidP="00EA28C0">
      <w:pPr>
        <w:spacing w:after="0"/>
        <w:rPr>
          <w:rFonts w:ascii="Verdana" w:hAnsi="Verdana"/>
        </w:rPr>
      </w:pPr>
      <w:r w:rsidRPr="00190500">
        <w:rPr>
          <w:rFonts w:ascii="Verdana" w:hAnsi="Verdana"/>
        </w:rPr>
        <w:lastRenderedPageBreak/>
        <w:t>Bogotá D.C.</w:t>
      </w:r>
      <w:r w:rsidR="00DF6C1C">
        <w:rPr>
          <w:rFonts w:ascii="Verdana" w:hAnsi="Verdana"/>
        </w:rPr>
        <w:t>, 11 de junio de 2025</w:t>
      </w:r>
    </w:p>
    <w:p w14:paraId="6718622E" w14:textId="67FDCD98" w:rsidR="00EA28C0" w:rsidRPr="00190500" w:rsidRDefault="00EA28C0" w:rsidP="008F59C9">
      <w:pPr>
        <w:spacing w:after="0"/>
        <w:jc w:val="right"/>
        <w:rPr>
          <w:rFonts w:ascii="Verdana" w:hAnsi="Verdana"/>
        </w:rPr>
      </w:pPr>
    </w:p>
    <w:p w14:paraId="2D7B6045" w14:textId="3C425ABC" w:rsidR="00EA28C0" w:rsidRPr="00190500" w:rsidRDefault="00EA28C0" w:rsidP="00EA28C0">
      <w:pPr>
        <w:spacing w:after="0" w:line="240" w:lineRule="auto"/>
        <w:jc w:val="both"/>
        <w:rPr>
          <w:rFonts w:ascii="Verdana" w:eastAsia="Calibri" w:hAnsi="Verdana" w:cs="Arial"/>
          <w:lang w:val="es-ES" w:eastAsia="es-ES"/>
        </w:rPr>
      </w:pPr>
      <w:r w:rsidRPr="00190500">
        <w:rPr>
          <w:rFonts w:ascii="Verdana" w:eastAsia="Calibri" w:hAnsi="Verdana" w:cs="Arial"/>
          <w:lang w:val="es-ES" w:eastAsia="es-ES"/>
        </w:rPr>
        <w:t>Señor</w:t>
      </w:r>
      <w:r w:rsidR="004E4591">
        <w:rPr>
          <w:rFonts w:ascii="Verdana" w:eastAsia="Calibri" w:hAnsi="Verdana" w:cs="Arial"/>
          <w:lang w:val="es-ES" w:eastAsia="es-ES"/>
        </w:rPr>
        <w:t>a</w:t>
      </w:r>
    </w:p>
    <w:p w14:paraId="0E0ACC01" w14:textId="77777777" w:rsidR="004E4591" w:rsidRDefault="004E4591" w:rsidP="00EA28C0">
      <w:pPr>
        <w:spacing w:after="0" w:line="240" w:lineRule="auto"/>
        <w:jc w:val="both"/>
        <w:rPr>
          <w:rFonts w:ascii="Verdana" w:eastAsia="Calibri" w:hAnsi="Verdana" w:cs="Arial"/>
          <w:b/>
          <w:bCs/>
          <w:szCs w:val="24"/>
          <w:lang w:eastAsia="es-ES_tradnl"/>
        </w:rPr>
      </w:pPr>
      <w:r w:rsidRPr="004E4591">
        <w:rPr>
          <w:rFonts w:ascii="Verdana" w:eastAsia="Calibri" w:hAnsi="Verdana" w:cs="Arial"/>
          <w:b/>
          <w:bCs/>
          <w:szCs w:val="24"/>
          <w:lang w:eastAsia="es-ES_tradnl"/>
        </w:rPr>
        <w:t>SANDRA LILIANA NARANJO MORENO</w:t>
      </w:r>
    </w:p>
    <w:p w14:paraId="0AA28517" w14:textId="047C9867" w:rsidR="004E4591" w:rsidRPr="00903CF7" w:rsidRDefault="008E0605" w:rsidP="00EA28C0">
      <w:pPr>
        <w:spacing w:after="0" w:line="240" w:lineRule="auto"/>
        <w:jc w:val="both"/>
        <w:rPr>
          <w:rFonts w:ascii="Verdana" w:eastAsia="Calibri" w:hAnsi="Verdana" w:cs="Arial"/>
          <w:u w:val="single"/>
          <w:lang w:val="es-ES" w:eastAsia="es-ES"/>
        </w:rPr>
      </w:pPr>
      <w:r>
        <w:rPr>
          <w:rFonts w:ascii="Verdana" w:eastAsia="Calibri" w:hAnsi="Verdana" w:cs="Arial"/>
          <w:u w:val="single"/>
          <w:lang w:val="es-ES" w:eastAsia="es-ES"/>
        </w:rPr>
        <w:t>a</w:t>
      </w:r>
      <w:r w:rsidR="004E4591" w:rsidRPr="00903CF7">
        <w:rPr>
          <w:rFonts w:ascii="Verdana" w:eastAsia="Calibri" w:hAnsi="Verdana" w:cs="Arial"/>
          <w:u w:val="single"/>
          <w:lang w:val="es-ES" w:eastAsia="es-ES"/>
        </w:rPr>
        <w:t>bog.sandranaranjo@gmail.com</w:t>
      </w:r>
    </w:p>
    <w:p w14:paraId="02AF633E" w14:textId="4F40F923" w:rsidR="00EA28C0" w:rsidRPr="00190500" w:rsidRDefault="00EA28C0" w:rsidP="00EA28C0">
      <w:pPr>
        <w:spacing w:after="0" w:line="240" w:lineRule="auto"/>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Bogotá D.C</w:t>
      </w:r>
    </w:p>
    <w:p w14:paraId="1D7EFBD2" w14:textId="065B7140" w:rsidR="00EA28C0" w:rsidRPr="00190500" w:rsidRDefault="0050498C" w:rsidP="0050498C">
      <w:pPr>
        <w:spacing w:after="0" w:line="240" w:lineRule="auto"/>
        <w:jc w:val="right"/>
        <w:rPr>
          <w:rFonts w:ascii="Verdana" w:eastAsia="Calibri" w:hAnsi="Verdana" w:cs="Arial"/>
          <w:szCs w:val="24"/>
          <w:lang w:val="es-ES_tradnl" w:eastAsia="es-ES_tradnl"/>
        </w:rPr>
      </w:pPr>
      <w:r w:rsidRPr="0050498C">
        <w:rPr>
          <w:rFonts w:ascii="Verdana" w:eastAsia="Calibri" w:hAnsi="Verdana" w:cs="Arial"/>
          <w:szCs w:val="24"/>
          <w:lang w:val="es-ES_tradnl" w:eastAsia="es-ES_tradnl"/>
        </w:rPr>
        <w:drawing>
          <wp:inline distT="0" distB="0" distL="0" distR="0" wp14:anchorId="7D146283" wp14:editId="1214399F">
            <wp:extent cx="2644369" cy="807790"/>
            <wp:effectExtent l="0" t="0" r="3810" b="0"/>
            <wp:docPr id="15822552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255286" name=""/>
                    <pic:cNvPicPr/>
                  </pic:nvPicPr>
                  <pic:blipFill>
                    <a:blip r:embed="rId11"/>
                    <a:stretch>
                      <a:fillRect/>
                    </a:stretch>
                  </pic:blipFill>
                  <pic:spPr>
                    <a:xfrm>
                      <a:off x="0" y="0"/>
                      <a:ext cx="2644369" cy="807790"/>
                    </a:xfrm>
                    <a:prstGeom prst="rect">
                      <a:avLst/>
                    </a:prstGeom>
                  </pic:spPr>
                </pic:pic>
              </a:graphicData>
            </a:graphic>
          </wp:inline>
        </w:drawing>
      </w:r>
    </w:p>
    <w:p w14:paraId="2B8F66E8" w14:textId="20504B23" w:rsidR="00EA28C0" w:rsidRPr="00190500" w:rsidRDefault="00EA28C0" w:rsidP="00EA28C0">
      <w:pPr>
        <w:spacing w:after="0" w:line="240" w:lineRule="auto"/>
        <w:ind w:left="2694"/>
        <w:jc w:val="both"/>
        <w:rPr>
          <w:rFonts w:ascii="Verdana" w:eastAsia="Calibri" w:hAnsi="Verdana" w:cs="Arial"/>
          <w:b/>
          <w:bCs/>
          <w:szCs w:val="24"/>
          <w:lang w:val="es-ES_tradnl" w:eastAsia="es-ES_tradnl"/>
        </w:rPr>
      </w:pPr>
      <w:r w:rsidRPr="00190500">
        <w:rPr>
          <w:rFonts w:ascii="Verdana" w:eastAsia="Calibri" w:hAnsi="Verdana" w:cs="Arial"/>
          <w:b/>
          <w:bCs/>
          <w:szCs w:val="24"/>
          <w:lang w:val="es-ES_tradnl" w:eastAsia="es-ES_tradnl"/>
        </w:rPr>
        <w:t>Concepto C–</w:t>
      </w:r>
      <w:r w:rsidR="00903CF7">
        <w:rPr>
          <w:rFonts w:ascii="Verdana" w:eastAsia="Calibri" w:hAnsi="Verdana" w:cs="Arial"/>
          <w:b/>
          <w:bCs/>
          <w:szCs w:val="24"/>
          <w:lang w:val="es-ES_tradnl" w:eastAsia="es-ES_tradnl"/>
        </w:rPr>
        <w:t>534</w:t>
      </w:r>
      <w:r w:rsidR="004E4591">
        <w:rPr>
          <w:rFonts w:ascii="Verdana" w:eastAsia="Calibri" w:hAnsi="Verdana" w:cs="Arial"/>
          <w:b/>
          <w:bCs/>
          <w:szCs w:val="24"/>
          <w:lang w:val="es-ES_tradnl" w:eastAsia="es-ES_tradnl"/>
        </w:rPr>
        <w:t xml:space="preserve"> </w:t>
      </w:r>
      <w:r w:rsidRPr="00190500">
        <w:rPr>
          <w:rFonts w:ascii="Verdana" w:eastAsia="Calibri" w:hAnsi="Verdana" w:cs="Arial"/>
          <w:b/>
          <w:bCs/>
          <w:szCs w:val="24"/>
          <w:lang w:val="es-ES_tradnl" w:eastAsia="es-ES_tradnl"/>
        </w:rPr>
        <w:t>de 202</w:t>
      </w:r>
      <w:r w:rsidR="004E4591">
        <w:rPr>
          <w:rFonts w:ascii="Verdana" w:eastAsia="Calibri" w:hAnsi="Verdana" w:cs="Arial"/>
          <w:b/>
          <w:bCs/>
          <w:szCs w:val="24"/>
          <w:lang w:val="es-ES_tradnl" w:eastAsia="es-ES_tradnl"/>
        </w:rPr>
        <w:t>5</w:t>
      </w:r>
    </w:p>
    <w:p w14:paraId="376BA4EE" w14:textId="77777777" w:rsidR="00EA28C0" w:rsidRPr="00190500" w:rsidRDefault="00EA28C0" w:rsidP="00EA28C0">
      <w:pPr>
        <w:spacing w:after="0" w:line="240" w:lineRule="auto"/>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EA28C0" w:rsidRPr="00190500" w14:paraId="308B8996" w14:textId="77777777" w:rsidTr="00D929D0">
        <w:trPr>
          <w:trHeight w:val="884"/>
        </w:trPr>
        <w:tc>
          <w:tcPr>
            <w:tcW w:w="2689" w:type="dxa"/>
            <w:hideMark/>
          </w:tcPr>
          <w:p w14:paraId="37A2FF5A" w14:textId="77777777" w:rsidR="00EA28C0" w:rsidRPr="00190500" w:rsidRDefault="00EA28C0" w:rsidP="00D929D0">
            <w:pPr>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 xml:space="preserve">Temas:                   </w:t>
            </w:r>
          </w:p>
        </w:tc>
        <w:tc>
          <w:tcPr>
            <w:tcW w:w="6237" w:type="dxa"/>
            <w:hideMark/>
          </w:tcPr>
          <w:p w14:paraId="032ADEB7" w14:textId="77777777" w:rsidR="00EA28C0" w:rsidRPr="00190500" w:rsidRDefault="00EA28C0" w:rsidP="00D929D0">
            <w:pPr>
              <w:jc w:val="both"/>
              <w:rPr>
                <w:rFonts w:ascii="Verdana" w:hAnsi="Verdana"/>
              </w:rPr>
            </w:pPr>
            <w:r w:rsidRPr="00B97CC5">
              <w:rPr>
                <w:rFonts w:ascii="Verdana" w:hAnsi="Verdana"/>
              </w:rPr>
              <w:t>ENTIDADES SIN ÁNIMO DE LUCRO – Naturaleza jurídica – Capacidad para contratar</w:t>
            </w:r>
            <w:r>
              <w:rPr>
                <w:rFonts w:ascii="Verdana" w:hAnsi="Verdana"/>
              </w:rPr>
              <w:t>/</w:t>
            </w:r>
            <w:r w:rsidRPr="003504B3">
              <w:rPr>
                <w:rFonts w:ascii="Verdana" w:hAnsi="Verdana"/>
              </w:rPr>
              <w:t>SEGURIDAD SOCIAL – Aportes al Sistema de Seguridad Social</w:t>
            </w:r>
            <w:r>
              <w:rPr>
                <w:rFonts w:ascii="Verdana" w:hAnsi="Verdana"/>
              </w:rPr>
              <w:t>-Personas jurídicas. CONTRATO DE PRESTACIÓN DE SERVICIOS- Naturaleza jurídica- Apoyo a la Gestión</w:t>
            </w:r>
          </w:p>
        </w:tc>
        <w:tc>
          <w:tcPr>
            <w:tcW w:w="6237" w:type="dxa"/>
          </w:tcPr>
          <w:p w14:paraId="1EAEBCBE" w14:textId="77777777" w:rsidR="00EA28C0" w:rsidRPr="00190500" w:rsidRDefault="00EA28C0" w:rsidP="00D929D0">
            <w:pPr>
              <w:jc w:val="both"/>
              <w:rPr>
                <w:rFonts w:ascii="Verdana" w:hAnsi="Verdana" w:cs="Arial"/>
                <w:highlight w:val="yellow"/>
                <w:lang w:val="es-ES"/>
              </w:rPr>
            </w:pPr>
          </w:p>
        </w:tc>
      </w:tr>
      <w:tr w:rsidR="00EA28C0" w:rsidRPr="00190500" w14:paraId="0B712D95" w14:textId="77777777" w:rsidTr="00D929D0">
        <w:tc>
          <w:tcPr>
            <w:tcW w:w="2689" w:type="dxa"/>
            <w:hideMark/>
          </w:tcPr>
          <w:p w14:paraId="742A11B0" w14:textId="77777777" w:rsidR="00EA28C0" w:rsidRPr="00190500" w:rsidRDefault="00EA28C0" w:rsidP="00D929D0">
            <w:pPr>
              <w:spacing w:before="120"/>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 xml:space="preserve">Radicación:               </w:t>
            </w:r>
          </w:p>
        </w:tc>
        <w:tc>
          <w:tcPr>
            <w:tcW w:w="6237" w:type="dxa"/>
            <w:hideMark/>
          </w:tcPr>
          <w:p w14:paraId="0CF570BF" w14:textId="7DF0772E" w:rsidR="00EA28C0" w:rsidRPr="00190500" w:rsidRDefault="00EA28C0" w:rsidP="00D929D0">
            <w:pPr>
              <w:spacing w:before="120" w:line="276" w:lineRule="auto"/>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 xml:space="preserve">Respuesta a consulta con radicado No. </w:t>
            </w:r>
            <w:r w:rsidR="004E4591" w:rsidRPr="004E4591">
              <w:rPr>
                <w:rFonts w:ascii="Verdana" w:eastAsia="Calibri" w:hAnsi="Verdana" w:cs="Arial"/>
                <w:szCs w:val="24"/>
                <w:lang w:eastAsia="es-ES_tradnl"/>
              </w:rPr>
              <w:t>P20250430004139</w:t>
            </w:r>
          </w:p>
        </w:tc>
        <w:tc>
          <w:tcPr>
            <w:tcW w:w="6237" w:type="dxa"/>
          </w:tcPr>
          <w:p w14:paraId="3EF300C4" w14:textId="77777777" w:rsidR="00EA28C0" w:rsidRPr="00190500" w:rsidRDefault="00EA28C0" w:rsidP="00D929D0">
            <w:pPr>
              <w:spacing w:before="120"/>
              <w:jc w:val="both"/>
              <w:rPr>
                <w:rFonts w:ascii="Verdana" w:eastAsia="Calibri" w:hAnsi="Verdana" w:cs="Arial"/>
                <w:szCs w:val="24"/>
                <w:lang w:val="es-ES_tradnl" w:eastAsia="es-ES_tradnl"/>
              </w:rPr>
            </w:pPr>
          </w:p>
        </w:tc>
      </w:tr>
    </w:tbl>
    <w:p w14:paraId="0FEE6075" w14:textId="77777777" w:rsidR="00EA28C0" w:rsidRPr="00190500" w:rsidRDefault="00EA28C0" w:rsidP="00EA28C0">
      <w:pPr>
        <w:spacing w:after="0" w:line="240" w:lineRule="auto"/>
        <w:jc w:val="both"/>
        <w:rPr>
          <w:rFonts w:ascii="Verdana" w:eastAsia="Calibri" w:hAnsi="Verdana" w:cs="Arial"/>
          <w:szCs w:val="24"/>
          <w:lang w:val="es-ES_tradnl" w:eastAsia="es-ES_tradnl"/>
        </w:rPr>
      </w:pPr>
    </w:p>
    <w:p w14:paraId="46F72C3D" w14:textId="5955664C" w:rsidR="00EA28C0" w:rsidRPr="00190500" w:rsidRDefault="00EA28C0" w:rsidP="00EA28C0">
      <w:pPr>
        <w:spacing w:after="0" w:line="240" w:lineRule="auto"/>
        <w:jc w:val="both"/>
        <w:rPr>
          <w:rFonts w:ascii="Verdana" w:eastAsia="Calibri" w:hAnsi="Verdana" w:cs="Arial"/>
          <w:lang w:val="es-ES" w:eastAsia="es-ES"/>
        </w:rPr>
      </w:pPr>
      <w:r w:rsidRPr="00190500">
        <w:rPr>
          <w:rFonts w:ascii="Verdana" w:eastAsia="Calibri" w:hAnsi="Verdana" w:cs="Arial"/>
          <w:lang w:val="es-ES" w:eastAsia="es-ES"/>
        </w:rPr>
        <w:t>Estimad</w:t>
      </w:r>
      <w:r w:rsidR="004E4591">
        <w:rPr>
          <w:rFonts w:ascii="Verdana" w:eastAsia="Calibri" w:hAnsi="Verdana" w:cs="Arial"/>
          <w:lang w:val="es-ES" w:eastAsia="es-ES"/>
        </w:rPr>
        <w:t>a señora Naranjo</w:t>
      </w:r>
      <w:r w:rsidRPr="00190500">
        <w:rPr>
          <w:rFonts w:ascii="Verdana" w:eastAsia="Calibri" w:hAnsi="Verdana" w:cs="Arial"/>
          <w:lang w:val="es-ES" w:eastAsia="es-ES"/>
        </w:rPr>
        <w:t xml:space="preserve">: </w:t>
      </w:r>
    </w:p>
    <w:p w14:paraId="136901CB" w14:textId="77777777" w:rsidR="00EA28C0" w:rsidRPr="00190500" w:rsidRDefault="00EA28C0" w:rsidP="00EA28C0">
      <w:pPr>
        <w:spacing w:after="0" w:line="240" w:lineRule="auto"/>
        <w:jc w:val="both"/>
        <w:rPr>
          <w:rFonts w:ascii="Verdana" w:eastAsia="Calibri" w:hAnsi="Verdana" w:cs="Arial"/>
          <w:lang w:val="es-ES" w:eastAsia="es-ES"/>
        </w:rPr>
      </w:pPr>
    </w:p>
    <w:p w14:paraId="3C234EC8" w14:textId="77777777" w:rsidR="00903CF7" w:rsidRDefault="00EA28C0" w:rsidP="00903CF7">
      <w:pPr>
        <w:spacing w:after="120" w:line="276" w:lineRule="auto"/>
        <w:jc w:val="both"/>
        <w:rPr>
          <w:rFonts w:ascii="Verdana" w:eastAsia="Calibri" w:hAnsi="Verdana" w:cs="Arial"/>
          <w:lang w:val="es-ES" w:eastAsia="es-ES"/>
        </w:rPr>
      </w:pPr>
      <w:r w:rsidRPr="00190500">
        <w:rPr>
          <w:rFonts w:ascii="Verdana" w:eastAsia="Calibri" w:hAnsi="Verdana" w:cs="Arial"/>
          <w:lang w:val="es-ES" w:eastAsia="es-ES"/>
        </w:rPr>
        <w:t>En ejercicio de la competencia otorgada por los artículos 3, numeral 5º, y 11, numeral 8º, del Decreto Ley 4170 de 2011,</w:t>
      </w:r>
      <w:r w:rsidRPr="00190500">
        <w:rPr>
          <w:rFonts w:ascii="Verdana" w:eastAsia="Arial MT" w:hAnsi="Verdana" w:cs="Arial MT"/>
          <w:lang w:val="es-ES" w:eastAsia="es-ES"/>
        </w:rPr>
        <w:t xml:space="preserve"> </w:t>
      </w:r>
      <w:r w:rsidRPr="00190500">
        <w:rPr>
          <w:rFonts w:ascii="Verdana" w:eastAsia="Calibri" w:hAnsi="Verdana" w:cs="Arial"/>
          <w:lang w:val="es-ES" w:eastAsia="es-ES"/>
        </w:rPr>
        <w:t xml:space="preserve">la Agencia Nacional de Contratación Pública – Colombia Compra Eficiente– responde su solicitud de consulta del </w:t>
      </w:r>
      <w:r w:rsidR="004E4591">
        <w:rPr>
          <w:rFonts w:ascii="Verdana" w:eastAsia="Calibri" w:hAnsi="Verdana" w:cs="Arial"/>
          <w:lang w:val="es-ES" w:eastAsia="es-ES"/>
        </w:rPr>
        <w:t>30</w:t>
      </w:r>
      <w:r w:rsidRPr="00190500">
        <w:rPr>
          <w:rFonts w:ascii="Verdana" w:eastAsia="Calibri" w:hAnsi="Verdana" w:cs="Arial"/>
          <w:lang w:val="es-ES" w:eastAsia="es-ES"/>
        </w:rPr>
        <w:t xml:space="preserve"> de </w:t>
      </w:r>
      <w:r w:rsidR="004E4591">
        <w:rPr>
          <w:rFonts w:ascii="Verdana" w:eastAsia="Calibri" w:hAnsi="Verdana" w:cs="Arial"/>
          <w:lang w:val="es-ES" w:eastAsia="es-ES"/>
        </w:rPr>
        <w:t>abril</w:t>
      </w:r>
      <w:r w:rsidRPr="00190500">
        <w:rPr>
          <w:rFonts w:ascii="Verdana" w:eastAsia="Calibri" w:hAnsi="Verdana" w:cs="Arial"/>
          <w:lang w:val="es-ES" w:eastAsia="es-ES"/>
        </w:rPr>
        <w:t xml:space="preserve"> de 202</w:t>
      </w:r>
      <w:r w:rsidR="004E4591">
        <w:rPr>
          <w:rFonts w:ascii="Verdana" w:eastAsia="Calibri" w:hAnsi="Verdana" w:cs="Arial"/>
          <w:lang w:val="es-ES" w:eastAsia="es-ES"/>
        </w:rPr>
        <w:t>5</w:t>
      </w:r>
      <w:r w:rsidRPr="00190500">
        <w:rPr>
          <w:rFonts w:ascii="Verdana" w:eastAsia="Calibri" w:hAnsi="Verdana" w:cs="Arial"/>
          <w:lang w:val="es-ES" w:eastAsia="es-ES"/>
        </w:rPr>
        <w:t>, en la cual manifiesta lo siguiente:</w:t>
      </w:r>
    </w:p>
    <w:p w14:paraId="507E726B" w14:textId="77777777" w:rsidR="00903CF7" w:rsidRDefault="00903CF7" w:rsidP="00903CF7">
      <w:pPr>
        <w:spacing w:after="120" w:line="276" w:lineRule="auto"/>
        <w:jc w:val="both"/>
        <w:rPr>
          <w:rFonts w:ascii="Verdana" w:eastAsia="Calibri" w:hAnsi="Verdana" w:cs="Arial"/>
          <w:lang w:val="es-ES" w:eastAsia="es-ES"/>
        </w:rPr>
      </w:pPr>
    </w:p>
    <w:p w14:paraId="6DA6964D" w14:textId="3192316A" w:rsidR="004E4591" w:rsidRDefault="004E4591" w:rsidP="00903CF7">
      <w:pPr>
        <w:tabs>
          <w:tab w:val="left" w:pos="8505"/>
        </w:tabs>
        <w:spacing w:after="120" w:line="276" w:lineRule="auto"/>
        <w:ind w:left="709" w:right="426"/>
        <w:jc w:val="both"/>
        <w:rPr>
          <w:rFonts w:ascii="Verdana" w:eastAsia="Calibri" w:hAnsi="Verdana" w:cs="Arial"/>
          <w:sz w:val="20"/>
          <w:szCs w:val="20"/>
          <w:lang w:eastAsia="es-ES"/>
        </w:rPr>
      </w:pPr>
      <w:r>
        <w:rPr>
          <w:rFonts w:ascii="Verdana" w:eastAsia="Calibri" w:hAnsi="Verdana" w:cs="Arial"/>
          <w:sz w:val="20"/>
          <w:szCs w:val="20"/>
          <w:lang w:val="es-ES" w:eastAsia="es-ES"/>
        </w:rPr>
        <w:t>“</w:t>
      </w:r>
      <w:r w:rsidRPr="004E4591">
        <w:rPr>
          <w:rFonts w:ascii="Verdana" w:eastAsia="Calibri" w:hAnsi="Verdana" w:cs="Arial"/>
          <w:sz w:val="20"/>
          <w:szCs w:val="20"/>
          <w:lang w:eastAsia="es-ES"/>
        </w:rPr>
        <w:t xml:space="preserve">Como autoridad encargada de optimizar los procesos de compra y contratación estatal, buscando mayor eficiencia, transparencia y uso óptimo de los recursos públicos, comedidamente me permito consultar: ¿Puedo celebrar un contrato de prestación de servicios con persona Jurídica bajo la modalidad de contratación </w:t>
      </w:r>
      <w:proofErr w:type="gramStart"/>
      <w:r w:rsidRPr="004E4591">
        <w:rPr>
          <w:rFonts w:ascii="Verdana" w:eastAsia="Calibri" w:hAnsi="Verdana" w:cs="Arial"/>
          <w:sz w:val="20"/>
          <w:szCs w:val="20"/>
          <w:lang w:eastAsia="es-ES"/>
        </w:rPr>
        <w:t>directa?.</w:t>
      </w:r>
      <w:proofErr w:type="gramEnd"/>
      <w:r w:rsidRPr="004E4591">
        <w:rPr>
          <w:rFonts w:ascii="Verdana" w:eastAsia="Calibri" w:hAnsi="Verdana" w:cs="Arial"/>
          <w:sz w:val="20"/>
          <w:szCs w:val="20"/>
          <w:lang w:eastAsia="es-ES"/>
        </w:rPr>
        <w:t xml:space="preserve"> Cuál es la normatividad al respecto. Bajo el entendido que es una entidad de derecho privado con ánimo de lucro</w:t>
      </w:r>
      <w:r>
        <w:rPr>
          <w:rFonts w:ascii="Verdana" w:eastAsia="Calibri" w:hAnsi="Verdana" w:cs="Arial"/>
          <w:sz w:val="20"/>
          <w:szCs w:val="20"/>
          <w:lang w:eastAsia="es-ES"/>
        </w:rPr>
        <w:t>”</w:t>
      </w:r>
      <w:r w:rsidRPr="004E4591">
        <w:rPr>
          <w:rFonts w:ascii="Verdana" w:eastAsia="Calibri" w:hAnsi="Verdana" w:cs="Arial"/>
          <w:sz w:val="20"/>
          <w:szCs w:val="20"/>
          <w:lang w:eastAsia="es-ES"/>
        </w:rPr>
        <w:t>.</w:t>
      </w:r>
    </w:p>
    <w:p w14:paraId="5F8CC8F3" w14:textId="77777777" w:rsidR="004E4591" w:rsidRDefault="004E4591" w:rsidP="004E4591">
      <w:pPr>
        <w:spacing w:after="0" w:line="240" w:lineRule="auto"/>
        <w:ind w:right="709"/>
        <w:jc w:val="both"/>
        <w:rPr>
          <w:rFonts w:ascii="Verdana" w:eastAsia="Calibri" w:hAnsi="Verdana" w:cs="Arial"/>
          <w:sz w:val="20"/>
          <w:szCs w:val="20"/>
          <w:lang w:eastAsia="es-ES"/>
        </w:rPr>
      </w:pPr>
    </w:p>
    <w:p w14:paraId="26F5E713" w14:textId="20866992" w:rsidR="00EA28C0" w:rsidRDefault="00EA28C0" w:rsidP="00903CF7">
      <w:pPr>
        <w:spacing w:after="0" w:line="240" w:lineRule="auto"/>
        <w:ind w:right="49"/>
        <w:jc w:val="both"/>
        <w:rPr>
          <w:rFonts w:ascii="Verdana" w:eastAsia="Calibri" w:hAnsi="Verdana" w:cs="Arial"/>
          <w:lang w:val="es-ES" w:eastAsia="es-ES"/>
        </w:rPr>
      </w:pPr>
      <w:r w:rsidRPr="00190500">
        <w:rPr>
          <w:rFonts w:ascii="Verdana" w:eastAsia="Calibri" w:hAnsi="Verdana" w:cs="Arial"/>
          <w:lang w:val="es-ES_tradnl" w:eastAsia="es-ES_tradnl"/>
        </w:rPr>
        <w:tab/>
      </w:r>
      <w:r w:rsidRPr="0019050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190500">
        <w:rPr>
          <w:rFonts w:ascii="Verdana" w:eastAsia="Calibri" w:hAnsi="Verdana" w:cs="Arial"/>
          <w:lang w:val="es-ES" w:eastAsia="es-ES"/>
        </w:rPr>
        <w:lastRenderedPageBreak/>
        <w:t>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tampoco la de definir o precisar las posibles consecuencias por el actuar de las entidades en su actividad contractual.</w:t>
      </w:r>
    </w:p>
    <w:p w14:paraId="455CF448" w14:textId="77777777" w:rsidR="00903CF7" w:rsidRPr="00190500" w:rsidRDefault="00903CF7" w:rsidP="00903CF7">
      <w:pPr>
        <w:spacing w:after="0" w:line="240" w:lineRule="auto"/>
        <w:ind w:right="49"/>
        <w:jc w:val="both"/>
        <w:rPr>
          <w:rFonts w:ascii="Verdana" w:eastAsia="Calibri" w:hAnsi="Verdana" w:cs="Arial"/>
          <w:lang w:val="es-ES" w:eastAsia="es-ES"/>
        </w:rPr>
      </w:pPr>
    </w:p>
    <w:p w14:paraId="42AE9546" w14:textId="77777777" w:rsidR="00EA28C0" w:rsidRPr="00190500" w:rsidRDefault="00EA28C0" w:rsidP="00EA28C0">
      <w:pPr>
        <w:spacing w:after="0" w:line="276" w:lineRule="auto"/>
        <w:ind w:firstLine="708"/>
        <w:jc w:val="both"/>
        <w:rPr>
          <w:rFonts w:ascii="Verdana" w:eastAsia="Calibri" w:hAnsi="Verdana" w:cs="Arial"/>
          <w:lang w:val="es-ES" w:eastAsia="es-ES"/>
        </w:rPr>
      </w:pPr>
      <w:r w:rsidRPr="00190500">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3EA1824F" w14:textId="77777777" w:rsidR="00EA28C0" w:rsidRPr="00190500" w:rsidRDefault="00EA28C0" w:rsidP="00EA28C0">
      <w:pPr>
        <w:spacing w:after="0" w:line="276" w:lineRule="auto"/>
        <w:jc w:val="both"/>
        <w:rPr>
          <w:rFonts w:ascii="Verdana" w:eastAsia="Calibri" w:hAnsi="Verdana" w:cs="Arial"/>
          <w:lang w:val="es-ES" w:eastAsia="es-ES"/>
        </w:rPr>
      </w:pPr>
    </w:p>
    <w:p w14:paraId="5510EF68"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Problema planteado:</w:t>
      </w:r>
    </w:p>
    <w:p w14:paraId="05BD5967" w14:textId="77777777" w:rsidR="00EA28C0" w:rsidRPr="00190500" w:rsidRDefault="00EA28C0" w:rsidP="00EA28C0">
      <w:pPr>
        <w:spacing w:after="0" w:line="240" w:lineRule="auto"/>
        <w:jc w:val="both"/>
        <w:rPr>
          <w:rFonts w:ascii="Verdana" w:eastAsia="Century Gothic" w:hAnsi="Verdana" w:cs="Century Gothic"/>
        </w:rPr>
      </w:pPr>
    </w:p>
    <w:p w14:paraId="4C1B781E" w14:textId="74C6A358" w:rsidR="00EA28C0" w:rsidRPr="00A1609F" w:rsidRDefault="00EA28C0" w:rsidP="00EA28C0">
      <w:pPr>
        <w:spacing w:after="0" w:line="276" w:lineRule="auto"/>
        <w:jc w:val="both"/>
        <w:rPr>
          <w:rFonts w:ascii="Verdana" w:eastAsia="Calibri" w:hAnsi="Verdana" w:cs="Arial"/>
          <w:lang w:eastAsia="es-ES"/>
        </w:rPr>
      </w:pPr>
      <w:r w:rsidRPr="00A1609F">
        <w:rPr>
          <w:rFonts w:ascii="Verdana" w:eastAsia="Century Gothic" w:hAnsi="Verdana" w:cs="Century Gothic"/>
        </w:rPr>
        <w:t xml:space="preserve">De acuerdo con el contenido de su solicitud, esta Agencia resolverá </w:t>
      </w:r>
      <w:r w:rsidR="008E0605">
        <w:rPr>
          <w:rFonts w:ascii="Verdana" w:eastAsia="Century Gothic" w:hAnsi="Verdana" w:cs="Century Gothic"/>
        </w:rPr>
        <w:t>el</w:t>
      </w:r>
      <w:r w:rsidRPr="00A1609F">
        <w:rPr>
          <w:rFonts w:ascii="Verdana" w:eastAsia="Century Gothic" w:hAnsi="Verdana" w:cs="Century Gothic"/>
        </w:rPr>
        <w:t xml:space="preserve"> siguiente problema jurídico: i) </w:t>
      </w:r>
      <w:r>
        <w:rPr>
          <w:rFonts w:ascii="Verdana" w:eastAsia="Century Gothic" w:hAnsi="Verdana" w:cs="Century Gothic"/>
        </w:rPr>
        <w:t>¿</w:t>
      </w:r>
      <w:r w:rsidR="00903CF7">
        <w:rPr>
          <w:rFonts w:ascii="Verdana" w:eastAsia="Century Gothic" w:hAnsi="Verdana" w:cs="Century Gothic"/>
        </w:rPr>
        <w:t>Es viable celebrar un</w:t>
      </w:r>
      <w:r>
        <w:rPr>
          <w:rFonts w:ascii="Verdana" w:eastAsia="Century Gothic" w:hAnsi="Verdana" w:cs="Century Gothic"/>
        </w:rPr>
        <w:t xml:space="preserve"> contrato de prestación de servicio de apoyo a la gestión con una ESAL? </w:t>
      </w:r>
    </w:p>
    <w:p w14:paraId="54DBFD79" w14:textId="77777777" w:rsidR="00EA28C0" w:rsidRDefault="00EA28C0" w:rsidP="00EA28C0">
      <w:pPr>
        <w:spacing w:after="0" w:line="276" w:lineRule="auto"/>
        <w:jc w:val="both"/>
        <w:rPr>
          <w:rFonts w:ascii="Verdana" w:eastAsia="Calibri" w:hAnsi="Verdana" w:cs="Arial"/>
          <w:sz w:val="20"/>
          <w:szCs w:val="20"/>
          <w:lang w:eastAsia="es-ES"/>
        </w:rPr>
      </w:pPr>
    </w:p>
    <w:p w14:paraId="1697FE59"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Respuesta:</w:t>
      </w:r>
    </w:p>
    <w:p w14:paraId="60056BAE" w14:textId="77777777" w:rsidR="00EA28C0" w:rsidRDefault="00EA28C0" w:rsidP="00EA28C0">
      <w:pPr>
        <w:pStyle w:val="Prrafodelista"/>
        <w:tabs>
          <w:tab w:val="left" w:pos="142"/>
          <w:tab w:val="left" w:pos="284"/>
        </w:tabs>
        <w:spacing w:after="0" w:line="276" w:lineRule="auto"/>
        <w:ind w:left="0"/>
        <w:jc w:val="both"/>
        <w:rPr>
          <w:rFonts w:ascii="Verdana" w:eastAsia="Century Gothic" w:hAnsi="Verdana" w:cs="Century Gothic"/>
          <w:b/>
          <w:bCs/>
        </w:rPr>
      </w:pPr>
    </w:p>
    <w:p w14:paraId="4B00D9C3" w14:textId="0EC8E3AB" w:rsidR="00EA28C0" w:rsidRDefault="00EA28C0" w:rsidP="008E0605">
      <w:pPr>
        <w:pBdr>
          <w:top w:val="single" w:sz="4" w:space="1" w:color="auto"/>
          <w:left w:val="single" w:sz="4" w:space="4" w:color="auto"/>
          <w:bottom w:val="single" w:sz="4" w:space="1" w:color="auto"/>
          <w:right w:val="single" w:sz="4" w:space="4" w:color="auto"/>
        </w:pBdr>
        <w:spacing w:line="276" w:lineRule="auto"/>
        <w:jc w:val="both"/>
        <w:rPr>
          <w:rFonts w:ascii="Verdana" w:hAnsi="Verdana"/>
        </w:rPr>
      </w:pPr>
      <w:r>
        <w:rPr>
          <w:rFonts w:ascii="Verdana" w:hAnsi="Verdana"/>
        </w:rPr>
        <w:t xml:space="preserve">Frente al interrogante planteado, los contratos de prestación de apoyo a la gestión suscritos por una entidad pública se llevarán a cabo mediante la contratación directa, de conformidad con lo estipulado en el literal h) numeral 4 del artículo 2 de la Ley 1150 de 2007. </w:t>
      </w:r>
    </w:p>
    <w:p w14:paraId="7AAEE8B9" w14:textId="2F3A6BDB" w:rsidR="00EA28C0" w:rsidRDefault="00EA28C0" w:rsidP="008E0605">
      <w:pPr>
        <w:pBdr>
          <w:top w:val="single" w:sz="4" w:space="1" w:color="auto"/>
          <w:left w:val="single" w:sz="4" w:space="4" w:color="auto"/>
          <w:bottom w:val="single" w:sz="4" w:space="1" w:color="auto"/>
          <w:right w:val="single" w:sz="4" w:space="4" w:color="auto"/>
        </w:pBdr>
        <w:spacing w:line="276" w:lineRule="auto"/>
        <w:jc w:val="both"/>
        <w:rPr>
          <w:rFonts w:ascii="Verdana" w:hAnsi="Verdana" w:cs="Arial"/>
          <w:color w:val="000000" w:themeColor="text1"/>
        </w:rPr>
      </w:pPr>
      <w:r>
        <w:rPr>
          <w:rFonts w:ascii="Verdana" w:hAnsi="Verdana"/>
        </w:rPr>
        <w:t>En ese sentido</w:t>
      </w:r>
      <w:r w:rsidRPr="00D62509">
        <w:rPr>
          <w:rFonts w:ascii="Verdana" w:hAnsi="Verdana"/>
        </w:rPr>
        <w:t xml:space="preserve">, </w:t>
      </w:r>
      <w:r>
        <w:rPr>
          <w:rFonts w:ascii="Verdana" w:hAnsi="Verdana"/>
        </w:rPr>
        <w:t xml:space="preserve">es preciso indicar que es posible la celebración de contratos de </w:t>
      </w:r>
      <w:r>
        <w:rPr>
          <w:rFonts w:ascii="Verdana" w:hAnsi="Verdana" w:cs="Arial"/>
          <w:color w:val="000000" w:themeColor="text1"/>
        </w:rPr>
        <w:t xml:space="preserve">prestación de servicios de apoyo a la gestión con personas jurídicas, entre las cuales se encuentran las ESAL, siempre y cuando se cumplan con cada uno de los requisitos de orden jurídico, como capacidad jurídica, inexistencia de inhabilidades e incompatibilidades, y cumplan con la idoneidad o experiencia en las actividades requeridas por parte de la entidad estatal, conforme al estudio previo que esta adelante. </w:t>
      </w:r>
    </w:p>
    <w:p w14:paraId="68C2DF1B" w14:textId="4F00C41F" w:rsidR="002B413A" w:rsidRDefault="00EA28C0" w:rsidP="008E0605">
      <w:pPr>
        <w:pBdr>
          <w:top w:val="single" w:sz="4" w:space="1" w:color="auto"/>
          <w:left w:val="single" w:sz="4" w:space="4" w:color="auto"/>
          <w:bottom w:val="single" w:sz="4" w:space="1" w:color="auto"/>
          <w:right w:val="single" w:sz="4" w:space="4" w:color="auto"/>
        </w:pBdr>
        <w:spacing w:line="276" w:lineRule="auto"/>
        <w:jc w:val="both"/>
        <w:rPr>
          <w:rFonts w:ascii="Verdana" w:hAnsi="Verdana" w:cs="Arial"/>
          <w:color w:val="000000" w:themeColor="text1"/>
        </w:rPr>
      </w:pPr>
      <w:r>
        <w:rPr>
          <w:rFonts w:ascii="Verdana" w:hAnsi="Verdana" w:cs="Arial"/>
          <w:color w:val="000000" w:themeColor="text1"/>
        </w:rPr>
        <w:t xml:space="preserve">En </w:t>
      </w:r>
      <w:r w:rsidR="00903CF7">
        <w:rPr>
          <w:rFonts w:ascii="Verdana" w:hAnsi="Verdana" w:cs="Arial"/>
          <w:color w:val="000000" w:themeColor="text1"/>
        </w:rPr>
        <w:t>conclusión,</w:t>
      </w:r>
      <w:r>
        <w:rPr>
          <w:rFonts w:ascii="Verdana" w:hAnsi="Verdana" w:cs="Arial"/>
          <w:color w:val="000000" w:themeColor="text1"/>
        </w:rPr>
        <w:t xml:space="preserve"> es discrecional de la entidad contratante definir con quien suscribir contratos de prestación de servicio de apoyo a la gestión con persona natural o con persona jurídica</w:t>
      </w:r>
      <w:r w:rsidR="00903CF7">
        <w:rPr>
          <w:rFonts w:ascii="Verdana" w:hAnsi="Verdana" w:cs="Arial"/>
          <w:color w:val="000000" w:themeColor="text1"/>
        </w:rPr>
        <w:t>.</w:t>
      </w:r>
    </w:p>
    <w:p w14:paraId="2B2E14D7"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Razones de la respuesta:</w:t>
      </w:r>
    </w:p>
    <w:p w14:paraId="21E23CEC" w14:textId="77777777" w:rsidR="00EA28C0" w:rsidRDefault="00EA28C0" w:rsidP="00EA28C0">
      <w:pPr>
        <w:jc w:val="both"/>
        <w:rPr>
          <w:rFonts w:ascii="Verdana" w:hAnsi="Verdana" w:cs="Arial"/>
          <w:color w:val="000000" w:themeColor="text1"/>
        </w:rPr>
      </w:pPr>
    </w:p>
    <w:p w14:paraId="7F47E1C7" w14:textId="77777777" w:rsidR="00EA28C0" w:rsidRPr="00190500" w:rsidRDefault="00EA28C0" w:rsidP="00EA28C0">
      <w:pPr>
        <w:jc w:val="both"/>
        <w:rPr>
          <w:rFonts w:ascii="Verdana" w:hAnsi="Verdana" w:cs="Arial"/>
          <w:color w:val="000000" w:themeColor="text1"/>
        </w:rPr>
      </w:pPr>
      <w:r w:rsidRPr="00190500">
        <w:rPr>
          <w:rFonts w:ascii="Verdana" w:hAnsi="Verdana" w:cs="Arial"/>
          <w:color w:val="000000" w:themeColor="text1"/>
        </w:rPr>
        <w:t>Lo anterior se sustenta en las siguientes consideraciones:</w:t>
      </w:r>
    </w:p>
    <w:p w14:paraId="03AD8A67" w14:textId="77777777" w:rsidR="00EA28C0" w:rsidRPr="0019050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eastAsia="Calibri" w:hAnsi="Verdana" w:cs="Arial"/>
          <w:bCs/>
          <w:lang w:val="es-MX"/>
        </w:rPr>
        <w:t>Una de las formas tradicionales de desarrollar empresas</w:t>
      </w:r>
      <w:r w:rsidRPr="00190500">
        <w:rPr>
          <w:rFonts w:ascii="Verdana" w:eastAsia="Calibri" w:hAnsi="Verdana" w:cs="Arial"/>
          <w:bCs/>
          <w:i/>
          <w:iCs/>
          <w:lang w:val="es-MX"/>
        </w:rPr>
        <w:t xml:space="preserve"> </w:t>
      </w:r>
      <w:r w:rsidRPr="00190500">
        <w:rPr>
          <w:rFonts w:ascii="Verdana" w:eastAsia="Calibri" w:hAnsi="Verdana" w:cs="Arial"/>
          <w:bCs/>
          <w:lang w:val="es-MX"/>
        </w:rPr>
        <w:t xml:space="preserve">y ejercer el comercio en Colombia, es a través del contrato de sociedad por medio del cual dos o más personas se obligan a hacer un aporte en dinero, en trabajo o en otros bienes apreciables en dinero con el fin de repartirse entre sí las utilidades obtenidas en la empresa, según el artículo 98 </w:t>
      </w:r>
      <w:r w:rsidRPr="00190500">
        <w:rPr>
          <w:rFonts w:ascii="Verdana" w:eastAsia="Calibri" w:hAnsi="Verdana" w:cs="Arial"/>
          <w:bCs/>
          <w:i/>
          <w:iCs/>
          <w:lang w:val="es-MX"/>
        </w:rPr>
        <w:t xml:space="preserve">ibidem. </w:t>
      </w:r>
    </w:p>
    <w:p w14:paraId="33A355AE" w14:textId="77777777" w:rsidR="00EA28C0" w:rsidRPr="00190500" w:rsidRDefault="00EA28C0" w:rsidP="00EA28C0">
      <w:pPr>
        <w:pStyle w:val="Prrafodelista"/>
        <w:spacing w:after="120" w:line="276" w:lineRule="auto"/>
        <w:ind w:left="851"/>
        <w:jc w:val="both"/>
        <w:rPr>
          <w:rFonts w:ascii="Verdana" w:hAnsi="Verdana" w:cs="Arial"/>
          <w:color w:val="000000" w:themeColor="text1"/>
        </w:rPr>
      </w:pPr>
    </w:p>
    <w:p w14:paraId="1C1AB9E6"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FF5067">
        <w:rPr>
          <w:rFonts w:ascii="Verdana" w:eastAsia="Calibri" w:hAnsi="Verdana" w:cs="Arial"/>
          <w:bCs/>
          <w:lang w:val="es-MX"/>
        </w:rPr>
        <w:t>En ese sentido, puede decirse que serán sociedades comerciales aquellas que ejecuten actos o empresas mercantiles, en los términos señalados en el artículo 100 del Código de Comercio</w:t>
      </w:r>
      <w:r w:rsidRPr="00FF5067">
        <w:rPr>
          <w:rFonts w:ascii="Verdana" w:hAnsi="Verdana" w:cs="Arial"/>
          <w:color w:val="000000" w:themeColor="text1"/>
          <w:vertAlign w:val="superscript"/>
        </w:rPr>
        <w:footnoteReference w:id="2"/>
      </w:r>
      <w:r w:rsidRPr="00FF5067">
        <w:rPr>
          <w:rFonts w:ascii="Verdana" w:hAnsi="Verdana" w:cs="Arial"/>
          <w:color w:val="000000" w:themeColor="text1"/>
        </w:rPr>
        <w:t xml:space="preserve">. Sin perjuicio de esto, el artículo 2 de la Ley 590 del 2000, modificado por el </w:t>
      </w:r>
      <w:r w:rsidRPr="00FF5067">
        <w:rPr>
          <w:rFonts w:ascii="Verdana" w:eastAsia="Calibri" w:hAnsi="Verdana" w:cs="Arial"/>
          <w:bCs/>
          <w:lang w:val="es-MX"/>
        </w:rPr>
        <w:t>artículo 43 de la Ley 1450 de 2011, define la empresa</w:t>
      </w:r>
      <w:r w:rsidRPr="00FF5067">
        <w:rPr>
          <w:rFonts w:ascii="Verdana" w:eastAsia="Calibri" w:hAnsi="Verdana" w:cs="Arial"/>
          <w:bCs/>
          <w:i/>
          <w:iCs/>
          <w:lang w:val="es-MX"/>
        </w:rPr>
        <w:t xml:space="preserve"> </w:t>
      </w:r>
      <w:r w:rsidRPr="00FF5067">
        <w:rPr>
          <w:rFonts w:ascii="Verdana" w:eastAsia="Calibri" w:hAnsi="Verdana" w:cs="Arial"/>
          <w:bCs/>
          <w:lang w:val="es-MX"/>
        </w:rPr>
        <w:t>como toda unidad de explotación económica que realiza una persona natural o jurídica en actividades agropecuarias, industriales, comerciales o de servicios</w:t>
      </w:r>
      <w:r w:rsidRPr="00FF5067">
        <w:rPr>
          <w:rFonts w:ascii="Verdana" w:hAnsi="Verdana" w:cs="Arial"/>
          <w:color w:val="000000" w:themeColor="text1"/>
          <w:vertAlign w:val="superscript"/>
        </w:rPr>
        <w:footnoteReference w:id="3"/>
      </w:r>
      <w:r w:rsidRPr="00FF5067">
        <w:rPr>
          <w:rFonts w:ascii="Verdana" w:hAnsi="Verdana" w:cs="Arial"/>
          <w:color w:val="000000" w:themeColor="text1"/>
        </w:rPr>
        <w:t xml:space="preserve">. Además, establece que estas se clasifican en micro, pequeña, mediana y gran empresa, de acuerdo con </w:t>
      </w:r>
      <w:r w:rsidRPr="00FF5067">
        <w:rPr>
          <w:rFonts w:ascii="Verdana" w:hAnsi="Verdana" w:cs="Arial"/>
          <w:color w:val="000000" w:themeColor="text1"/>
        </w:rPr>
        <w:lastRenderedPageBreak/>
        <w:t>los criterios del número de trabajadores totales, el valor de ventas brutales anuales y el valor de activos totales.</w:t>
      </w:r>
    </w:p>
    <w:p w14:paraId="485A5D2F" w14:textId="77777777" w:rsidR="00EA28C0" w:rsidRPr="00FF5067" w:rsidRDefault="00EA28C0" w:rsidP="00EA28C0">
      <w:pPr>
        <w:pStyle w:val="Prrafodelista"/>
        <w:rPr>
          <w:rFonts w:ascii="Verdana" w:hAnsi="Verdana" w:cs="Arial"/>
          <w:color w:val="000000" w:themeColor="text1"/>
        </w:rPr>
      </w:pPr>
    </w:p>
    <w:p w14:paraId="4DB5A97E"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eastAsia="Calibri" w:hAnsi="Verdana" w:cs="Arial"/>
          <w:bCs/>
          <w:lang w:val="es-MX"/>
        </w:rPr>
        <w:t>En todo caso, para efectos de la presente, es preciso mencionar que el Libro Segundo del Código de Comercio no incluye a las corporaciones o asociaciones ni a las fundaciones, esto es, a las ESAL, en la enumeración de las sociedades comerciales. La razón de la exclusión</w:t>
      </w:r>
      <w:r>
        <w:rPr>
          <w:rFonts w:ascii="Verdana" w:eastAsia="Calibri" w:hAnsi="Verdana" w:cs="Arial"/>
          <w:bCs/>
          <w:lang w:val="es-MX"/>
        </w:rPr>
        <w:t xml:space="preserve"> se sustenta en que </w:t>
      </w:r>
      <w:r w:rsidRPr="00190500">
        <w:rPr>
          <w:rFonts w:ascii="Verdana" w:eastAsia="Calibri" w:hAnsi="Verdana" w:cs="Arial"/>
          <w:bCs/>
          <w:lang w:val="es-MX"/>
        </w:rPr>
        <w:t>estas organizaciones no tienen fines comerciales, es decir carecen de ánimo de lucro, por eso no forman un tipo o clase de sociedad comercial</w:t>
      </w:r>
      <w:r w:rsidRPr="00190500">
        <w:rPr>
          <w:rFonts w:ascii="Verdana" w:hAnsi="Verdana" w:cs="Arial"/>
          <w:color w:val="000000" w:themeColor="text1"/>
          <w:vertAlign w:val="superscript"/>
        </w:rPr>
        <w:footnoteReference w:id="4"/>
      </w:r>
      <w:r w:rsidRPr="00190500">
        <w:rPr>
          <w:rFonts w:ascii="Verdana" w:hAnsi="Verdana" w:cs="Arial"/>
          <w:color w:val="000000" w:themeColor="text1"/>
        </w:rPr>
        <w:t xml:space="preserve">. </w:t>
      </w:r>
    </w:p>
    <w:p w14:paraId="4D34234F" w14:textId="77777777" w:rsidR="00EA28C0" w:rsidRPr="000C23C4" w:rsidRDefault="00EA28C0" w:rsidP="00EA28C0">
      <w:pPr>
        <w:pStyle w:val="Prrafodelista"/>
        <w:rPr>
          <w:rFonts w:ascii="Verdana" w:hAnsi="Verdana" w:cs="Arial"/>
          <w:color w:val="000000" w:themeColor="text1"/>
        </w:rPr>
      </w:pPr>
    </w:p>
    <w:p w14:paraId="643B740D"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hAnsi="Verdana" w:cs="Arial"/>
          <w:color w:val="000000" w:themeColor="text1"/>
        </w:rPr>
        <w:t>La norma que regula este tipo de corporaciones o asociaciones es el Código Civil –entre otras normas que se armonizan con él–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190500">
        <w:rPr>
          <w:rFonts w:ascii="Verdana" w:hAnsi="Verdana" w:cs="Arial"/>
          <w:color w:val="000000" w:themeColor="text1"/>
          <w:vertAlign w:val="superscript"/>
        </w:rPr>
        <w:footnoteReference w:id="5"/>
      </w:r>
      <w:r w:rsidRPr="00190500">
        <w:rPr>
          <w:rFonts w:ascii="Verdana" w:hAnsi="Verdana" w:cs="Arial"/>
          <w:color w:val="000000" w:themeColor="text1"/>
        </w:rPr>
        <w:t>. La ausencia de ánimo de lucro es, entonces, la característica determinante de estas corporaciones u organizaciones con las sociedades comerciales.</w:t>
      </w:r>
      <w:r>
        <w:rPr>
          <w:rStyle w:val="Refdenotaalpie"/>
          <w:rFonts w:ascii="Verdana" w:hAnsi="Verdana" w:cs="Arial"/>
          <w:color w:val="000000" w:themeColor="text1"/>
        </w:rPr>
        <w:footnoteReference w:id="6"/>
      </w:r>
    </w:p>
    <w:p w14:paraId="57DFF535" w14:textId="77777777" w:rsidR="00EA28C0" w:rsidRPr="00847747" w:rsidRDefault="00EA28C0" w:rsidP="00EA28C0">
      <w:pPr>
        <w:pStyle w:val="Prrafodelista"/>
        <w:rPr>
          <w:rFonts w:ascii="Verdana" w:hAnsi="Verdana" w:cs="Arial"/>
          <w:color w:val="000000" w:themeColor="text1"/>
        </w:rPr>
      </w:pPr>
    </w:p>
    <w:p w14:paraId="6CE5CD23" w14:textId="33BBD14A" w:rsidR="00EA28C0" w:rsidRPr="00B82A13" w:rsidRDefault="00EA28C0" w:rsidP="007318AB">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hAnsi="Verdana" w:cs="Arial"/>
          <w:color w:val="000000" w:themeColor="text1"/>
        </w:rPr>
        <w:t xml:space="preserve">Es del caso precisar que en el caso de las ESAL no se admite el reparto de utilidades, ni durante la existencia de la organización ni cuando se extinga, y en este aspecto, se insiste, radica la diferencia más apreciable entre unas y otras organizaciones, pese a que ambas se crean con la </w:t>
      </w:r>
      <w:r w:rsidRPr="00190500">
        <w:rPr>
          <w:rFonts w:ascii="Verdana" w:hAnsi="Verdana" w:cs="Arial"/>
          <w:color w:val="000000" w:themeColor="text1"/>
        </w:rPr>
        <w:lastRenderedPageBreak/>
        <w:t>libertad y al amparo del derecho fundamental de asociación, previsto en el artículo 38 de la Constitución Política y otras normas contenidas en tratados internacionales suscritos por Colombia.</w:t>
      </w:r>
    </w:p>
    <w:p w14:paraId="3DFD0FE3" w14:textId="77777777" w:rsidR="00EA28C0" w:rsidRPr="00AD3AA9" w:rsidRDefault="00EA28C0" w:rsidP="00EA28C0">
      <w:pPr>
        <w:pStyle w:val="Prrafodelista"/>
        <w:rPr>
          <w:rFonts w:ascii="Verdana" w:hAnsi="Verdana" w:cs="Arial"/>
          <w:color w:val="000000" w:themeColor="text1"/>
        </w:rPr>
      </w:pPr>
    </w:p>
    <w:p w14:paraId="30573A74" w14:textId="77777777" w:rsidR="00EA28C0" w:rsidRPr="00190500"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szCs w:val="24"/>
          <w:lang w:eastAsia="es-MX"/>
        </w:rPr>
      </w:pPr>
      <w:r w:rsidRPr="00190500">
        <w:rPr>
          <w:rFonts w:ascii="Verdana" w:eastAsia="Times New Roman" w:hAnsi="Verdana" w:cs="Arial"/>
          <w:color w:val="000000" w:themeColor="text1"/>
          <w:szCs w:val="24"/>
          <w:lang w:eastAsia="es-MX"/>
        </w:rPr>
        <w:t xml:space="preserve">Por su parte, la Corte Constitucional, en la </w:t>
      </w:r>
      <w:r w:rsidRPr="005D6C09">
        <w:rPr>
          <w:rFonts w:ascii="Verdana" w:eastAsia="Times New Roman" w:hAnsi="Verdana" w:cs="Arial"/>
          <w:color w:val="000000" w:themeColor="text1"/>
          <w:szCs w:val="24"/>
          <w:lang w:eastAsia="es-MX"/>
        </w:rPr>
        <w:t>Sentencia C-287 de 2012,</w:t>
      </w:r>
      <w:r w:rsidRPr="00190500">
        <w:rPr>
          <w:rFonts w:ascii="Verdana" w:eastAsia="Times New Roman" w:hAnsi="Verdana" w:cs="Arial"/>
          <w:color w:val="000000" w:themeColor="text1"/>
          <w:szCs w:val="24"/>
          <w:lang w:eastAsia="es-MX"/>
        </w:rPr>
        <w:t xml:space="preserve"> reiteró que la diferencia existente entre las sociedades comerciales y las ESAL es que estas últimas no reparten sus utilidades entre los socios</w:t>
      </w:r>
      <w:r w:rsidRPr="00190500">
        <w:rPr>
          <w:rFonts w:ascii="Verdana" w:eastAsia="Times New Roman" w:hAnsi="Verdana" w:cs="Arial"/>
          <w:color w:val="000000" w:themeColor="text1"/>
          <w:szCs w:val="24"/>
          <w:vertAlign w:val="superscript"/>
          <w:lang w:eastAsia="es-MX"/>
        </w:rPr>
        <w:footnoteReference w:id="7"/>
      </w:r>
      <w:r w:rsidRPr="00190500">
        <w:rPr>
          <w:rFonts w:ascii="Verdana" w:eastAsia="Times New Roman" w:hAnsi="Verdana" w:cs="Arial"/>
          <w:color w:val="000000" w:themeColor="text1"/>
          <w:szCs w:val="24"/>
          <w:lang w:eastAsia="es-MX"/>
        </w:rPr>
        <w:t xml:space="preserve">. Así lo explicó en los siguientes términos: </w:t>
      </w:r>
    </w:p>
    <w:p w14:paraId="1D6A3674" w14:textId="77777777" w:rsidR="00EA28C0" w:rsidRPr="00190500" w:rsidRDefault="00EA28C0" w:rsidP="00EA28C0">
      <w:pPr>
        <w:spacing w:after="0" w:line="276" w:lineRule="auto"/>
        <w:ind w:left="709" w:right="760"/>
        <w:jc w:val="both"/>
        <w:rPr>
          <w:rFonts w:ascii="Verdana" w:eastAsia="Times New Roman" w:hAnsi="Verdana" w:cs="Arial"/>
          <w:color w:val="000000" w:themeColor="text1"/>
          <w:sz w:val="21"/>
          <w:szCs w:val="21"/>
          <w:lang w:eastAsia="es-MX"/>
        </w:rPr>
      </w:pPr>
    </w:p>
    <w:p w14:paraId="0EB7D078" w14:textId="77777777" w:rsidR="00EA28C0" w:rsidRPr="00190500" w:rsidRDefault="00EA28C0" w:rsidP="00EA28C0">
      <w:pPr>
        <w:spacing w:after="0" w:line="240" w:lineRule="auto"/>
        <w:ind w:left="851" w:right="760"/>
        <w:jc w:val="both"/>
        <w:rPr>
          <w:rFonts w:ascii="Verdana" w:eastAsia="Times New Roman" w:hAnsi="Verdana" w:cs="Arial"/>
          <w:color w:val="000000" w:themeColor="text1"/>
          <w:sz w:val="21"/>
          <w:szCs w:val="21"/>
          <w:lang w:eastAsia="es-MX"/>
        </w:rPr>
      </w:pPr>
      <w:r w:rsidRPr="00190500">
        <w:rPr>
          <w:rFonts w:ascii="Verdana" w:eastAsia="Times New Roman" w:hAnsi="Verdana" w:cs="Arial"/>
          <w:color w:val="000000" w:themeColor="text1"/>
          <w:sz w:val="21"/>
          <w:szCs w:val="21"/>
          <w:lang w:eastAsia="es-MX"/>
        </w:rPr>
        <w:t>“</w:t>
      </w:r>
      <w:r w:rsidRPr="00AD3AA9">
        <w:rPr>
          <w:rFonts w:ascii="Verdana" w:eastAsia="Times New Roman" w:hAnsi="Verdana" w:cs="Arial"/>
          <w:color w:val="000000" w:themeColor="text1"/>
          <w:sz w:val="20"/>
          <w:szCs w:val="20"/>
          <w:lang w:eastAsia="es-MX"/>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D3AA9">
        <w:rPr>
          <w:rFonts w:ascii="Verdana" w:eastAsia="Times New Roman" w:hAnsi="Verdana" w:cs="Arial"/>
          <w:color w:val="000000" w:themeColor="text1"/>
          <w:sz w:val="20"/>
          <w:szCs w:val="20"/>
          <w:lang w:eastAsia="es-MX"/>
        </w:rPr>
        <w:t>miembros</w:t>
      </w:r>
      <w:proofErr w:type="gramEnd"/>
      <w:r w:rsidRPr="00AD3AA9">
        <w:rPr>
          <w:rFonts w:ascii="Verdana" w:eastAsia="Times New Roman" w:hAnsi="Verdana" w:cs="Arial"/>
          <w:color w:val="000000" w:themeColor="text1"/>
          <w:sz w:val="20"/>
          <w:szCs w:val="20"/>
          <w:lang w:eastAsia="es-MX"/>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AD3AA9">
        <w:rPr>
          <w:rFonts w:ascii="Verdana" w:eastAsia="Times New Roman" w:hAnsi="Verdana" w:cs="Arial"/>
          <w:color w:val="000000" w:themeColor="text1"/>
          <w:sz w:val="20"/>
          <w:szCs w:val="20"/>
          <w:lang w:eastAsia="es-MX"/>
        </w:rPr>
        <w:t>del mismo</w:t>
      </w:r>
      <w:proofErr w:type="gramEnd"/>
      <w:r w:rsidRPr="00AD3AA9">
        <w:rPr>
          <w:rFonts w:ascii="Verdana" w:eastAsia="Times New Roman" w:hAnsi="Verdana" w:cs="Arial"/>
          <w:color w:val="000000" w:themeColor="text1"/>
          <w:sz w:val="20"/>
          <w:szCs w:val="20"/>
          <w:lang w:eastAsia="es-MX"/>
        </w:rPr>
        <w:t xml:space="preserve"> en el momento de su disolución o liquidación</w:t>
      </w:r>
      <w:r w:rsidRPr="00190500">
        <w:rPr>
          <w:rFonts w:ascii="Verdana" w:eastAsia="Times New Roman" w:hAnsi="Verdana" w:cs="Arial"/>
          <w:color w:val="000000" w:themeColor="text1"/>
          <w:sz w:val="21"/>
          <w:szCs w:val="21"/>
          <w:lang w:eastAsia="es-MX"/>
        </w:rPr>
        <w:t>”.</w:t>
      </w:r>
    </w:p>
    <w:p w14:paraId="3CC53448" w14:textId="77777777" w:rsidR="00EA28C0" w:rsidRPr="00190500" w:rsidRDefault="00EA28C0" w:rsidP="00EA28C0">
      <w:pPr>
        <w:spacing w:after="0" w:line="276" w:lineRule="auto"/>
        <w:ind w:right="51" w:firstLine="709"/>
        <w:jc w:val="both"/>
        <w:rPr>
          <w:rFonts w:ascii="Verdana" w:eastAsia="Times New Roman" w:hAnsi="Verdana" w:cs="Arial"/>
          <w:color w:val="000000" w:themeColor="text1"/>
          <w:sz w:val="21"/>
          <w:szCs w:val="21"/>
          <w:lang w:eastAsia="es-MX"/>
        </w:rPr>
      </w:pPr>
    </w:p>
    <w:p w14:paraId="747379D5" w14:textId="77777777" w:rsidR="00EA28C0"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szCs w:val="24"/>
          <w:lang w:eastAsia="es-MX"/>
        </w:rPr>
      </w:pPr>
      <w:r w:rsidRPr="00190500">
        <w:rPr>
          <w:rFonts w:ascii="Verdana" w:eastAsia="Times New Roman" w:hAnsi="Verdana" w:cs="Arial"/>
          <w:color w:val="000000" w:themeColor="text1"/>
          <w:szCs w:val="24"/>
          <w:lang w:eastAsia="es-MX"/>
        </w:rPr>
        <w:t>Igualmente, el Consejo de Estado expresó que la naturaleza jurídica de las ESAL es diferente a las sociedades mercantiles, toda vez que su objeto no está destinado a perseguir un lucro que pueda ser repartido entre sus asociados, sino que las ganancias se reinvierten en la ESAL para el desarrollo de su objeto social</w:t>
      </w:r>
      <w:r w:rsidRPr="00190500">
        <w:rPr>
          <w:rFonts w:ascii="Verdana" w:eastAsia="Times New Roman" w:hAnsi="Verdana" w:cs="Arial"/>
          <w:color w:val="000000" w:themeColor="text1"/>
          <w:szCs w:val="24"/>
          <w:vertAlign w:val="superscript"/>
          <w:lang w:eastAsia="es-MX"/>
        </w:rPr>
        <w:footnoteReference w:id="8"/>
      </w:r>
      <w:r w:rsidRPr="00190500">
        <w:rPr>
          <w:rFonts w:ascii="Verdana" w:eastAsia="Times New Roman" w:hAnsi="Verdana" w:cs="Arial"/>
          <w:color w:val="000000" w:themeColor="text1"/>
          <w:szCs w:val="24"/>
          <w:lang w:eastAsia="es-MX"/>
        </w:rPr>
        <w:t xml:space="preserve">. </w:t>
      </w:r>
    </w:p>
    <w:p w14:paraId="0D15CBC1" w14:textId="77777777" w:rsidR="00EA28C0" w:rsidRDefault="00EA28C0" w:rsidP="00EA28C0">
      <w:pPr>
        <w:pStyle w:val="Prrafodelista"/>
        <w:spacing w:after="120" w:line="276" w:lineRule="auto"/>
        <w:ind w:left="851"/>
        <w:jc w:val="both"/>
        <w:rPr>
          <w:rFonts w:ascii="Verdana" w:eastAsia="Times New Roman" w:hAnsi="Verdana" w:cs="Arial"/>
          <w:color w:val="000000" w:themeColor="text1"/>
          <w:szCs w:val="24"/>
          <w:lang w:eastAsia="es-MX"/>
        </w:rPr>
      </w:pPr>
    </w:p>
    <w:p w14:paraId="7A86C520" w14:textId="1EA32A3C" w:rsidR="00EA28C0" w:rsidRDefault="00EA28C0" w:rsidP="00EA28C0">
      <w:pPr>
        <w:pStyle w:val="Prrafodelista"/>
        <w:spacing w:after="120" w:line="276" w:lineRule="auto"/>
        <w:ind w:left="851"/>
        <w:jc w:val="both"/>
        <w:rPr>
          <w:rFonts w:ascii="Verdana" w:eastAsia="Times New Roman" w:hAnsi="Verdana" w:cs="Arial"/>
          <w:color w:val="000000" w:themeColor="text1"/>
          <w:lang w:eastAsia="es-MX"/>
        </w:rPr>
      </w:pPr>
      <w:r w:rsidRPr="002170D6">
        <w:rPr>
          <w:rFonts w:ascii="Verdana" w:eastAsia="Times New Roman" w:hAnsi="Verdana" w:cs="Arial"/>
          <w:color w:val="000000" w:themeColor="text1"/>
          <w:lang w:eastAsia="es-MX"/>
        </w:rPr>
        <w:t xml:space="preserve">Las ESAL, pues, no tienen la naturaleza jurídica de empresa sino de asociaciones que buscan la realización de un fin común y objetivos carentes de un contenido esencialmente patrimonial −fin de lucro y reparto de las utilidades−. Debido a que las ESAL no persiguen el reparto de utilidades entre sus miembros, sino que su objeto está destinado a realizar una actividad de interés general sin esperar a cambio un reparto de ganancia en proporción a sus utilidades. </w:t>
      </w:r>
    </w:p>
    <w:p w14:paraId="22FBB3A4" w14:textId="77777777" w:rsidR="002377F1" w:rsidRPr="00190500" w:rsidRDefault="002377F1" w:rsidP="00EA28C0">
      <w:pPr>
        <w:pStyle w:val="Prrafodelista"/>
        <w:spacing w:after="120" w:line="276" w:lineRule="auto"/>
        <w:ind w:left="851"/>
        <w:jc w:val="both"/>
        <w:rPr>
          <w:rFonts w:ascii="Verdana" w:eastAsia="Times New Roman" w:hAnsi="Verdana" w:cs="Arial"/>
          <w:color w:val="000000" w:themeColor="text1"/>
          <w:szCs w:val="24"/>
          <w:lang w:eastAsia="es-MX"/>
        </w:rPr>
      </w:pPr>
    </w:p>
    <w:p w14:paraId="1F455809" w14:textId="09DCD36F" w:rsidR="00EA28C0" w:rsidRPr="00A75FA7"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lang w:eastAsia="es-MX"/>
        </w:rPr>
      </w:pPr>
      <w:r>
        <w:rPr>
          <w:rFonts w:ascii="Verdana" w:eastAsia="Times New Roman" w:hAnsi="Verdana" w:cs="Arial"/>
          <w:color w:val="000000" w:themeColor="text1"/>
          <w:lang w:eastAsia="es-MX"/>
        </w:rPr>
        <w:t>Ahora bien</w:t>
      </w:r>
      <w:r w:rsidRPr="00A75FA7">
        <w:rPr>
          <w:rFonts w:ascii="Verdana" w:eastAsia="Times New Roman" w:hAnsi="Verdana" w:cs="Arial"/>
          <w:color w:val="000000" w:themeColor="text1"/>
          <w:lang w:eastAsia="es-MX"/>
        </w:rPr>
        <w:t>,</w:t>
      </w:r>
      <w:r>
        <w:rPr>
          <w:rFonts w:ascii="Verdana" w:eastAsia="Times New Roman" w:hAnsi="Verdana" w:cs="Arial"/>
          <w:color w:val="000000" w:themeColor="text1"/>
          <w:lang w:eastAsia="es-MX"/>
        </w:rPr>
        <w:t xml:space="preserve"> respecto a la capacidad</w:t>
      </w:r>
      <w:r w:rsidRPr="00A75FA7">
        <w:rPr>
          <w:rFonts w:ascii="Verdana" w:eastAsia="Times New Roman" w:hAnsi="Verdana" w:cs="Arial"/>
          <w:color w:val="000000" w:themeColor="text1"/>
          <w:lang w:eastAsia="es-MX"/>
        </w:rPr>
        <w:t xml:space="preserve"> </w:t>
      </w:r>
      <w:r>
        <w:rPr>
          <w:rFonts w:ascii="Verdana" w:eastAsia="Times New Roman" w:hAnsi="Verdana" w:cs="Arial"/>
          <w:color w:val="000000" w:themeColor="text1"/>
          <w:lang w:eastAsia="es-MX"/>
        </w:rPr>
        <w:t xml:space="preserve">de participar en los procesos de contratación pública del EGCAP, </w:t>
      </w:r>
      <w:r w:rsidRPr="00A75FA7">
        <w:rPr>
          <w:rFonts w:ascii="Verdana" w:eastAsia="Times New Roman" w:hAnsi="Verdana" w:cs="Arial"/>
          <w:color w:val="000000" w:themeColor="text1"/>
          <w:lang w:eastAsia="es-MX"/>
        </w:rPr>
        <w:t xml:space="preserve">se debe aclarar que la capacidad jurídica </w:t>
      </w:r>
      <w:r w:rsidRPr="00A75FA7">
        <w:rPr>
          <w:rFonts w:ascii="Verdana" w:eastAsia="Times New Roman" w:hAnsi="Verdana" w:cs="Arial"/>
          <w:color w:val="000000" w:themeColor="text1"/>
          <w:lang w:eastAsia="es-MX"/>
        </w:rPr>
        <w:lastRenderedPageBreak/>
        <w:t>es la aptitud que recae en los sujetos activos o pasivos de las relaciones jurídicas</w:t>
      </w:r>
      <w:r w:rsidRPr="00A75FA7">
        <w:rPr>
          <w:rFonts w:ascii="Verdana" w:eastAsia="Times New Roman" w:hAnsi="Verdana" w:cs="Arial"/>
          <w:color w:val="000000" w:themeColor="text1"/>
          <w:vertAlign w:val="superscript"/>
          <w:lang w:eastAsia="es-MX"/>
        </w:rPr>
        <w:footnoteReference w:id="9"/>
      </w:r>
      <w:r w:rsidRPr="00A75FA7">
        <w:rPr>
          <w:rFonts w:ascii="Verdana" w:eastAsia="Times New Roman" w:hAnsi="Verdana" w:cs="Arial"/>
          <w:color w:val="000000" w:themeColor="text1"/>
          <w:lang w:eastAsia="es-MX"/>
        </w:rPr>
        <w:t xml:space="preserve">. Para efectos de las relaciones contractuales en las que uno de los extremos de la relación sea una Entidad Estatal, la capacidad contractual es la facultad que se ostenta para celebrar contratos con una Entidad Estatal. En otras palabras, es: i) la capacidad de obligarse a cumplir el objeto del contrato y </w:t>
      </w:r>
      <w:proofErr w:type="spellStart"/>
      <w:r w:rsidRPr="00A75FA7">
        <w:rPr>
          <w:rFonts w:ascii="Verdana" w:eastAsia="Times New Roman" w:hAnsi="Verdana" w:cs="Arial"/>
          <w:color w:val="000000" w:themeColor="text1"/>
          <w:lang w:eastAsia="es-MX"/>
        </w:rPr>
        <w:t>ii</w:t>
      </w:r>
      <w:proofErr w:type="spellEnd"/>
      <w:r w:rsidRPr="00A75FA7">
        <w:rPr>
          <w:rFonts w:ascii="Verdana" w:eastAsia="Times New Roman" w:hAnsi="Verdana" w:cs="Arial"/>
          <w:color w:val="000000" w:themeColor="text1"/>
          <w:lang w:eastAsia="es-MX"/>
        </w:rPr>
        <w:t>) de no estar incursa en inhabilidades o incompatibilidades que impiden la celebración del negocio.</w:t>
      </w:r>
    </w:p>
    <w:p w14:paraId="424F0B0A" w14:textId="77777777" w:rsidR="00EA28C0" w:rsidRPr="000A6A5A" w:rsidRDefault="00EA28C0" w:rsidP="00EA28C0">
      <w:pPr>
        <w:pStyle w:val="Prrafodelista"/>
        <w:rPr>
          <w:rFonts w:ascii="Verdana" w:eastAsia="Times New Roman" w:hAnsi="Verdana" w:cs="Arial"/>
          <w:color w:val="000000" w:themeColor="text1"/>
          <w:sz w:val="21"/>
          <w:szCs w:val="21"/>
          <w:lang w:eastAsia="es-MX"/>
        </w:rPr>
      </w:pPr>
    </w:p>
    <w:p w14:paraId="6D675A31" w14:textId="16DDC013" w:rsidR="00EA28C0" w:rsidRPr="00A75FA7"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lang w:eastAsia="es-MX"/>
        </w:rPr>
      </w:pPr>
      <w:r w:rsidRPr="00A75FA7">
        <w:rPr>
          <w:rFonts w:ascii="Verdana" w:eastAsia="Times New Roman" w:hAnsi="Verdana" w:cs="Arial"/>
          <w:color w:val="000000" w:themeColor="text1"/>
          <w:lang w:eastAsia="es-MX"/>
        </w:rPr>
        <w:t>Para efectos de la aplicación del EGCAP, la capacidad para contratar la tienen las personas consideradas legalmente capaces en las disposiciones vigentes</w:t>
      </w:r>
      <w:r w:rsidRPr="00A75FA7">
        <w:rPr>
          <w:rFonts w:ascii="Verdana" w:eastAsia="Times New Roman" w:hAnsi="Verdana" w:cs="Arial"/>
          <w:color w:val="000000" w:themeColor="text1"/>
          <w:vertAlign w:val="superscript"/>
          <w:lang w:eastAsia="es-MX"/>
        </w:rPr>
        <w:footnoteReference w:id="10"/>
      </w:r>
      <w:r w:rsidRPr="00A75FA7">
        <w:rPr>
          <w:rFonts w:ascii="Verdana" w:eastAsia="Times New Roman" w:hAnsi="Verdana" w:cs="Arial"/>
          <w:color w:val="000000" w:themeColor="text1"/>
          <w:lang w:eastAsia="es-MX"/>
        </w:rPr>
        <w:t>, así como otras formas asociativas.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ausencia de inhabilidades, incompatibilidades o prohibiciones para contratar, derivadas de la ley.</w:t>
      </w:r>
    </w:p>
    <w:p w14:paraId="30FC08A8" w14:textId="77777777" w:rsidR="00EA28C0" w:rsidRPr="00182210" w:rsidRDefault="00EA28C0" w:rsidP="00EA28C0">
      <w:pPr>
        <w:pStyle w:val="Prrafodelista"/>
        <w:rPr>
          <w:rFonts w:ascii="Verdana" w:eastAsia="Times New Roman" w:hAnsi="Verdana" w:cs="Arial"/>
          <w:color w:val="000000" w:themeColor="text1"/>
          <w:sz w:val="21"/>
          <w:szCs w:val="21"/>
          <w:lang w:eastAsia="es-MX"/>
        </w:rPr>
      </w:pPr>
    </w:p>
    <w:p w14:paraId="4FE4DC70" w14:textId="77777777" w:rsidR="00EA28C0" w:rsidRPr="00A75FA7" w:rsidRDefault="00EA28C0" w:rsidP="00EA28C0">
      <w:pPr>
        <w:pStyle w:val="Prrafodelista"/>
        <w:numPr>
          <w:ilvl w:val="0"/>
          <w:numId w:val="18"/>
        </w:numPr>
        <w:spacing w:after="120" w:line="276" w:lineRule="auto"/>
        <w:ind w:left="851"/>
        <w:jc w:val="both"/>
        <w:rPr>
          <w:rFonts w:ascii="Verdana" w:hAnsi="Verdana" w:cs="Arial"/>
          <w:color w:val="000000" w:themeColor="text1"/>
          <w:sz w:val="24"/>
          <w:szCs w:val="24"/>
        </w:rPr>
      </w:pPr>
      <w:bookmarkStart w:id="2" w:name="_Hlk173275435"/>
      <w:r w:rsidRPr="00A75FA7">
        <w:rPr>
          <w:rFonts w:ascii="Verdana" w:eastAsia="Times New Roman" w:hAnsi="Verdana" w:cs="Arial"/>
          <w:color w:val="000000" w:themeColor="text1"/>
          <w:lang w:eastAsia="es-MX"/>
        </w:rPr>
        <w:t>Por tanto, es claro que las ESAL tienen capacidad para contratar bajo las reglas del EGCAP al ser personas jurídicas consideradas legalmente capaces, en los términos del artículo 6 de la Ley 80 de 1993. En armonía con ello, el Decreto 092 de 2017 reguló un régimen especial de contratación; sin embargo,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bookmarkEnd w:id="2"/>
    <w:p w14:paraId="19E99280" w14:textId="77777777" w:rsidR="00EA28C0" w:rsidRPr="00E14A35" w:rsidRDefault="00EA28C0" w:rsidP="00EA28C0">
      <w:pPr>
        <w:pStyle w:val="Prrafodelista"/>
        <w:rPr>
          <w:rFonts w:ascii="Verdana" w:hAnsi="Verdana" w:cs="Arial"/>
          <w:color w:val="000000" w:themeColor="text1"/>
        </w:rPr>
      </w:pPr>
    </w:p>
    <w:p w14:paraId="30A5FBDD" w14:textId="77777777" w:rsidR="00EA28C0" w:rsidRPr="000574AF" w:rsidRDefault="00EA28C0" w:rsidP="00EA28C0">
      <w:pPr>
        <w:pStyle w:val="Prrafodelista"/>
        <w:numPr>
          <w:ilvl w:val="0"/>
          <w:numId w:val="18"/>
        </w:numPr>
        <w:spacing w:after="120" w:line="276" w:lineRule="auto"/>
        <w:ind w:left="851"/>
        <w:jc w:val="both"/>
        <w:rPr>
          <w:rFonts w:ascii="Verdana" w:hAnsi="Verdana" w:cs="Arial"/>
          <w:color w:val="000000" w:themeColor="text1"/>
        </w:rPr>
      </w:pPr>
      <w:r>
        <w:rPr>
          <w:rFonts w:ascii="Verdana" w:hAnsi="Verdana" w:cs="Arial"/>
          <w:color w:val="000000" w:themeColor="text1"/>
        </w:rPr>
        <w:t>Ahora bien, es pertinente señalar frente al</w:t>
      </w:r>
      <w:r w:rsidRPr="000574AF">
        <w:rPr>
          <w:rFonts w:ascii="Verdana" w:hAnsi="Verdana" w:cs="Arial"/>
          <w:color w:val="000000" w:themeColor="text1"/>
        </w:rPr>
        <w:t xml:space="preserve"> contrato de prestación de servicios</w:t>
      </w:r>
      <w:r>
        <w:rPr>
          <w:rFonts w:ascii="Verdana" w:hAnsi="Verdana" w:cs="Arial"/>
          <w:color w:val="000000" w:themeColor="text1"/>
        </w:rPr>
        <w:t xml:space="preserve">, que este </w:t>
      </w:r>
      <w:r w:rsidRPr="000574AF">
        <w:rPr>
          <w:rFonts w:ascii="Verdana" w:hAnsi="Verdana" w:cs="Arial"/>
          <w:color w:val="000000" w:themeColor="text1"/>
        </w:rPr>
        <w:t xml:space="preserve">es un contrato estatal nominado y típico que se </w:t>
      </w:r>
      <w:r w:rsidRPr="000574AF">
        <w:rPr>
          <w:rFonts w:ascii="Verdana" w:hAnsi="Verdana" w:cs="Arial"/>
          <w:color w:val="000000" w:themeColor="text1"/>
        </w:rPr>
        <w:lastRenderedPageBreak/>
        <w:t>encuentra definido en el numeral 3 del artículo 3</w:t>
      </w:r>
      <w:r>
        <w:rPr>
          <w:rFonts w:ascii="Verdana" w:hAnsi="Verdana" w:cs="Arial"/>
          <w:color w:val="000000" w:themeColor="text1"/>
        </w:rPr>
        <w:t>2</w:t>
      </w:r>
      <w:r w:rsidRPr="000574AF">
        <w:rPr>
          <w:rFonts w:ascii="Verdana" w:hAnsi="Verdana" w:cs="Arial"/>
          <w:color w:val="000000" w:themeColor="text1"/>
        </w:rPr>
        <w:t xml:space="preserve"> de la Ley 80 de 1993, como aquel que: </w:t>
      </w:r>
    </w:p>
    <w:p w14:paraId="6ABC0C13" w14:textId="77777777" w:rsidR="00EA28C0" w:rsidRDefault="00EA28C0" w:rsidP="00EA28C0">
      <w:pPr>
        <w:tabs>
          <w:tab w:val="left" w:pos="709"/>
        </w:tabs>
        <w:spacing w:line="276" w:lineRule="auto"/>
        <w:ind w:left="851" w:right="616"/>
        <w:jc w:val="both"/>
        <w:rPr>
          <w:rFonts w:ascii="Verdana" w:hAnsi="Verdana" w:cs="Arial"/>
          <w:color w:val="000000" w:themeColor="text1"/>
        </w:rPr>
      </w:pPr>
      <w:r w:rsidRPr="00235068">
        <w:rPr>
          <w:rFonts w:ascii="Verdana" w:hAnsi="Verdana" w:cs="Arial"/>
          <w:color w:val="000000" w:themeColor="text1"/>
          <w:sz w:val="20"/>
          <w:szCs w:val="20"/>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rPr>
        <w:t>”</w:t>
      </w:r>
      <w:r w:rsidRPr="0037493E">
        <w:rPr>
          <w:rFonts w:ascii="Verdana" w:hAnsi="Verdana" w:cs="Arial"/>
          <w:color w:val="000000" w:themeColor="text1"/>
        </w:rPr>
        <w:t>.</w:t>
      </w:r>
    </w:p>
    <w:p w14:paraId="7C1F0265" w14:textId="77777777" w:rsidR="00EA28C0" w:rsidRPr="00263E44" w:rsidRDefault="00EA28C0" w:rsidP="00EA28C0">
      <w:pPr>
        <w:pStyle w:val="Prrafodelista"/>
        <w:numPr>
          <w:ilvl w:val="0"/>
          <w:numId w:val="18"/>
        </w:numPr>
        <w:spacing w:after="120" w:line="276" w:lineRule="auto"/>
        <w:ind w:left="851"/>
        <w:jc w:val="both"/>
        <w:rPr>
          <w:rFonts w:ascii="Verdana" w:eastAsia="Calibri" w:hAnsi="Verdana" w:cs="Arial"/>
          <w:color w:val="000000" w:themeColor="text1"/>
        </w:rPr>
      </w:pPr>
      <w:r>
        <w:rPr>
          <w:rFonts w:ascii="Verdana" w:eastAsia="Calibri" w:hAnsi="Verdana" w:cs="Arial"/>
          <w:color w:val="000000" w:themeColor="text1"/>
        </w:rPr>
        <w:t>En ese sentido</w:t>
      </w:r>
      <w:r w:rsidRPr="00263E44">
        <w:rPr>
          <w:rFonts w:ascii="Verdana" w:eastAsia="Calibri" w:hAnsi="Verdana" w:cs="Arial"/>
          <w:color w:val="000000" w:themeColor="text1"/>
        </w:rPr>
        <w:t>, el legislador dispuso que para la celebración de este contrato se debe efectuar a través de la modalidad de contratación directa. Así lo dispone el artículo 2, numeral 4º, literal h, de la Ley 1150 de 2007:</w:t>
      </w:r>
    </w:p>
    <w:p w14:paraId="7B39261E" w14:textId="77777777" w:rsidR="00EA28C0" w:rsidRPr="00A433F1" w:rsidRDefault="00EA28C0" w:rsidP="00B00EC4">
      <w:pPr>
        <w:pStyle w:val="Prrafodelista"/>
        <w:spacing w:after="120" w:line="276" w:lineRule="auto"/>
        <w:ind w:left="851"/>
        <w:jc w:val="both"/>
        <w:rPr>
          <w:rFonts w:ascii="Verdana" w:eastAsia="Calibri" w:hAnsi="Verdana" w:cs="Arial"/>
          <w:color w:val="000000" w:themeColor="text1"/>
          <w:sz w:val="20"/>
          <w:szCs w:val="21"/>
        </w:rPr>
      </w:pPr>
      <w:r>
        <w:rPr>
          <w:rFonts w:ascii="Verdana" w:eastAsia="Calibri" w:hAnsi="Verdana" w:cs="Arial"/>
          <w:color w:val="000000" w:themeColor="text1"/>
          <w:sz w:val="21"/>
          <w:szCs w:val="21"/>
        </w:rPr>
        <w:t>“</w:t>
      </w:r>
      <w:r w:rsidRPr="00A433F1">
        <w:rPr>
          <w:rFonts w:ascii="Verdana" w:eastAsia="Calibri" w:hAnsi="Verdana" w:cs="Arial"/>
          <w:color w:val="000000" w:themeColor="text1"/>
          <w:sz w:val="20"/>
          <w:szCs w:val="21"/>
        </w:rPr>
        <w:t>La escogencia del contratista se efectuará con arreglo a las modalidades de selección de licitación pública, selección abreviada, concurso de méritos y contratación directa, con base en las siguientes reglas:</w:t>
      </w:r>
    </w:p>
    <w:p w14:paraId="7304B9A1" w14:textId="77777777" w:rsidR="00EA28C0" w:rsidRPr="00A433F1" w:rsidRDefault="00EA28C0" w:rsidP="00614A35">
      <w:pPr>
        <w:pStyle w:val="Prrafodelista"/>
        <w:spacing w:after="120" w:line="276" w:lineRule="auto"/>
        <w:ind w:left="851"/>
        <w:jc w:val="both"/>
        <w:rPr>
          <w:rFonts w:ascii="Verdana" w:eastAsia="Calibri" w:hAnsi="Verdana" w:cs="Arial"/>
          <w:color w:val="000000" w:themeColor="text1"/>
          <w:sz w:val="20"/>
          <w:szCs w:val="21"/>
        </w:rPr>
      </w:pPr>
      <w:r>
        <w:rPr>
          <w:rFonts w:ascii="Verdana" w:eastAsia="Calibri" w:hAnsi="Verdana" w:cs="Arial"/>
          <w:color w:val="000000" w:themeColor="text1"/>
          <w:sz w:val="20"/>
          <w:szCs w:val="21"/>
        </w:rPr>
        <w:t>(</w:t>
      </w:r>
      <w:r w:rsidRPr="00A433F1">
        <w:rPr>
          <w:rFonts w:ascii="Verdana" w:eastAsia="Calibri" w:hAnsi="Verdana" w:cs="Arial"/>
          <w:color w:val="000000" w:themeColor="text1"/>
          <w:sz w:val="20"/>
          <w:szCs w:val="21"/>
        </w:rPr>
        <w:t>…</w:t>
      </w:r>
      <w:r>
        <w:rPr>
          <w:rFonts w:ascii="Verdana" w:eastAsia="Calibri" w:hAnsi="Verdana" w:cs="Arial"/>
          <w:color w:val="000000" w:themeColor="text1"/>
          <w:sz w:val="20"/>
          <w:szCs w:val="21"/>
        </w:rPr>
        <w:t>)</w:t>
      </w:r>
    </w:p>
    <w:p w14:paraId="6401E017" w14:textId="77777777" w:rsidR="00EA28C0" w:rsidRPr="00A433F1" w:rsidRDefault="00EA28C0" w:rsidP="00614A35">
      <w:pPr>
        <w:pStyle w:val="Prrafodelista"/>
        <w:spacing w:after="120" w:line="276" w:lineRule="auto"/>
        <w:ind w:left="851"/>
        <w:jc w:val="both"/>
        <w:rPr>
          <w:rFonts w:ascii="Verdana" w:eastAsia="Calibri" w:hAnsi="Verdana" w:cs="Arial"/>
          <w:color w:val="000000" w:themeColor="text1"/>
          <w:sz w:val="20"/>
          <w:szCs w:val="21"/>
        </w:rPr>
      </w:pPr>
      <w:r w:rsidRPr="00A433F1">
        <w:rPr>
          <w:rFonts w:ascii="Verdana" w:eastAsia="Calibri" w:hAnsi="Verdana" w:cs="Arial"/>
          <w:color w:val="000000" w:themeColor="text1"/>
          <w:sz w:val="20"/>
          <w:szCs w:val="21"/>
        </w:rPr>
        <w:t>4. Contratación directa. La modalidad de selección de contratación directa solamente procederá en los siguientes casos:</w:t>
      </w:r>
    </w:p>
    <w:p w14:paraId="6F04AB2A" w14:textId="77777777" w:rsidR="00EA28C0" w:rsidRPr="00A433F1" w:rsidRDefault="00EA28C0" w:rsidP="00614A35">
      <w:pPr>
        <w:pStyle w:val="Prrafodelista"/>
        <w:spacing w:after="120" w:line="276" w:lineRule="auto"/>
        <w:ind w:left="851"/>
        <w:jc w:val="both"/>
        <w:rPr>
          <w:rFonts w:ascii="Verdana" w:eastAsia="Calibri" w:hAnsi="Verdana" w:cs="Arial"/>
          <w:color w:val="000000" w:themeColor="text1"/>
          <w:sz w:val="20"/>
          <w:szCs w:val="21"/>
        </w:rPr>
      </w:pPr>
      <w:r>
        <w:rPr>
          <w:rFonts w:ascii="Verdana" w:eastAsia="Calibri" w:hAnsi="Verdana" w:cs="Arial"/>
          <w:color w:val="000000" w:themeColor="text1"/>
          <w:sz w:val="20"/>
          <w:szCs w:val="21"/>
        </w:rPr>
        <w:t>(</w:t>
      </w:r>
      <w:r w:rsidRPr="00A433F1">
        <w:rPr>
          <w:rFonts w:ascii="Verdana" w:eastAsia="Calibri" w:hAnsi="Verdana" w:cs="Arial"/>
          <w:color w:val="000000" w:themeColor="text1"/>
          <w:sz w:val="20"/>
          <w:szCs w:val="21"/>
        </w:rPr>
        <w:t>…</w:t>
      </w:r>
      <w:r>
        <w:rPr>
          <w:rFonts w:ascii="Verdana" w:eastAsia="Calibri" w:hAnsi="Verdana" w:cs="Arial"/>
          <w:color w:val="000000" w:themeColor="text1"/>
          <w:sz w:val="20"/>
          <w:szCs w:val="21"/>
        </w:rPr>
        <w:t>)</w:t>
      </w:r>
    </w:p>
    <w:p w14:paraId="7BDC3446" w14:textId="77777777" w:rsidR="00614A35" w:rsidRDefault="00614A35" w:rsidP="00614A35">
      <w:pPr>
        <w:pStyle w:val="Prrafodelista"/>
        <w:spacing w:after="120" w:line="276" w:lineRule="auto"/>
        <w:ind w:left="851"/>
        <w:jc w:val="both"/>
        <w:rPr>
          <w:rFonts w:ascii="Verdana" w:eastAsia="Calibri" w:hAnsi="Verdana" w:cs="Arial"/>
          <w:color w:val="000000" w:themeColor="text1"/>
          <w:sz w:val="20"/>
          <w:szCs w:val="21"/>
        </w:rPr>
      </w:pPr>
    </w:p>
    <w:p w14:paraId="3B59F99D" w14:textId="21274DB1" w:rsidR="00EA28C0" w:rsidRPr="0037493E" w:rsidRDefault="00EA28C0" w:rsidP="00614A35">
      <w:pPr>
        <w:pStyle w:val="Prrafodelista"/>
        <w:spacing w:after="120" w:line="276" w:lineRule="auto"/>
        <w:ind w:left="851"/>
        <w:jc w:val="both"/>
        <w:rPr>
          <w:rFonts w:ascii="Verdana" w:eastAsia="Calibri" w:hAnsi="Verdana" w:cs="Arial"/>
          <w:color w:val="000000" w:themeColor="text1"/>
          <w:sz w:val="21"/>
          <w:szCs w:val="21"/>
        </w:rPr>
      </w:pPr>
      <w:r w:rsidRPr="00A433F1">
        <w:rPr>
          <w:rFonts w:ascii="Verdana" w:eastAsia="Calibri" w:hAnsi="Verdana" w:cs="Arial"/>
          <w:color w:val="000000" w:themeColor="text1"/>
          <w:sz w:val="20"/>
          <w:szCs w:val="21"/>
        </w:rPr>
        <w:t>h) Para la prestación de servicios profesionales y de apoyo a la gestión, o para la ejecución de trabajos artísticos que sólo puedan encomendarse a determinadas personas naturales</w:t>
      </w:r>
      <w:r>
        <w:rPr>
          <w:rFonts w:ascii="Verdana" w:eastAsia="Calibri" w:hAnsi="Verdana" w:cs="Arial"/>
          <w:color w:val="000000" w:themeColor="text1"/>
          <w:sz w:val="21"/>
          <w:szCs w:val="21"/>
        </w:rPr>
        <w:t>”</w:t>
      </w:r>
      <w:r w:rsidRPr="0037493E">
        <w:rPr>
          <w:rFonts w:ascii="Verdana" w:eastAsia="Calibri" w:hAnsi="Verdana" w:cs="Arial"/>
          <w:color w:val="000000" w:themeColor="text1"/>
          <w:sz w:val="21"/>
          <w:szCs w:val="21"/>
        </w:rPr>
        <w:t>.</w:t>
      </w:r>
    </w:p>
    <w:p w14:paraId="0A2E9C16" w14:textId="77777777" w:rsidR="00614A35" w:rsidRPr="00614A35" w:rsidRDefault="00614A35" w:rsidP="00614A35">
      <w:pPr>
        <w:pStyle w:val="Prrafodelista"/>
        <w:spacing w:after="120" w:line="276" w:lineRule="auto"/>
        <w:ind w:left="851"/>
        <w:jc w:val="both"/>
        <w:rPr>
          <w:rFonts w:ascii="Verdana" w:eastAsia="Calibri" w:hAnsi="Verdana" w:cs="Arial"/>
          <w:color w:val="000000" w:themeColor="text1"/>
          <w:sz w:val="20"/>
          <w:szCs w:val="21"/>
        </w:rPr>
      </w:pPr>
    </w:p>
    <w:p w14:paraId="05C9E22B" w14:textId="77777777" w:rsidR="00EA28C0" w:rsidRDefault="00EA28C0" w:rsidP="00EA28C0">
      <w:pPr>
        <w:pStyle w:val="Prrafodelista"/>
        <w:numPr>
          <w:ilvl w:val="0"/>
          <w:numId w:val="18"/>
        </w:numPr>
        <w:spacing w:after="120" w:line="276" w:lineRule="auto"/>
        <w:ind w:left="851"/>
        <w:jc w:val="both"/>
        <w:rPr>
          <w:rFonts w:ascii="Verdana" w:eastAsia="Calibri" w:hAnsi="Verdana" w:cs="Arial"/>
          <w:color w:val="000000" w:themeColor="text1"/>
        </w:rPr>
      </w:pPr>
      <w:r>
        <w:rPr>
          <w:rFonts w:ascii="Verdana" w:eastAsia="Calibri" w:hAnsi="Verdana" w:cs="Arial"/>
          <w:color w:val="000000" w:themeColor="text1"/>
        </w:rPr>
        <w:t xml:space="preserve">Como se puede apreciar, el legislador amplió la tipología consagrada en el citado numeral 3 del artículo 32, señalando la presencia de los contratos de apoyo a la gestión y la ejecución de trabajos artísticos. </w:t>
      </w:r>
    </w:p>
    <w:p w14:paraId="2CF62ED7" w14:textId="77777777" w:rsidR="00EA28C0" w:rsidRDefault="00EA28C0" w:rsidP="00EA28C0">
      <w:pPr>
        <w:pStyle w:val="Prrafodelista"/>
        <w:spacing w:after="120" w:line="276" w:lineRule="auto"/>
        <w:ind w:left="851"/>
        <w:jc w:val="both"/>
        <w:rPr>
          <w:rFonts w:ascii="Verdana" w:eastAsia="Calibri" w:hAnsi="Verdana" w:cs="Arial"/>
          <w:color w:val="000000" w:themeColor="text1"/>
        </w:rPr>
      </w:pPr>
    </w:p>
    <w:p w14:paraId="5BDEBE1E" w14:textId="77777777" w:rsidR="00EA28C0" w:rsidRDefault="00EA28C0" w:rsidP="00EA28C0">
      <w:pPr>
        <w:pStyle w:val="Prrafodelista"/>
        <w:numPr>
          <w:ilvl w:val="0"/>
          <w:numId w:val="18"/>
        </w:numPr>
        <w:spacing w:after="120" w:line="276" w:lineRule="auto"/>
        <w:ind w:left="851"/>
        <w:jc w:val="both"/>
        <w:rPr>
          <w:rFonts w:ascii="Verdana" w:eastAsia="Calibri" w:hAnsi="Verdana" w:cs="Arial"/>
          <w:color w:val="000000" w:themeColor="text1"/>
        </w:rPr>
      </w:pPr>
      <w:r>
        <w:rPr>
          <w:rFonts w:ascii="Verdana" w:eastAsia="Calibri" w:hAnsi="Verdana" w:cs="Arial"/>
          <w:color w:val="000000" w:themeColor="text1"/>
        </w:rPr>
        <w:t xml:space="preserve">A su vez el artículo </w:t>
      </w:r>
      <w:r w:rsidRPr="003E48C2">
        <w:rPr>
          <w:rFonts w:ascii="Verdana" w:eastAsia="Calibri" w:hAnsi="Verdana" w:cs="Arial"/>
          <w:color w:val="000000" w:themeColor="text1"/>
        </w:rPr>
        <w:t>2.2.1.2.1.4.9</w:t>
      </w:r>
      <w:r>
        <w:rPr>
          <w:rFonts w:ascii="Verdana" w:eastAsia="Calibri" w:hAnsi="Verdana" w:cs="Arial"/>
          <w:color w:val="000000" w:themeColor="text1"/>
        </w:rPr>
        <w:t xml:space="preserve"> del Decreto 1082 de 2015, al momento de reglamentar lo concerniente a los contratos de prestación de servicios indicó: </w:t>
      </w:r>
    </w:p>
    <w:p w14:paraId="0B30693B" w14:textId="77777777" w:rsidR="00B00EC4" w:rsidRPr="00B00EC4" w:rsidRDefault="00B00EC4" w:rsidP="00B00EC4">
      <w:pPr>
        <w:pStyle w:val="Prrafodelista"/>
        <w:rPr>
          <w:rFonts w:ascii="Verdana" w:hAnsi="Verdana" w:cs="Arial"/>
          <w:color w:val="000000" w:themeColor="text1"/>
          <w:sz w:val="20"/>
          <w:szCs w:val="20"/>
          <w:lang w:val="es-CO"/>
        </w:rPr>
      </w:pPr>
    </w:p>
    <w:p w14:paraId="06B8CA3C" w14:textId="72F92A75" w:rsidR="00EA28C0" w:rsidRPr="007E332F" w:rsidRDefault="00EA28C0" w:rsidP="00B00EC4">
      <w:pPr>
        <w:pStyle w:val="Prrafodelista"/>
        <w:spacing w:after="120" w:line="276" w:lineRule="auto"/>
        <w:ind w:left="851"/>
        <w:jc w:val="both"/>
        <w:rPr>
          <w:rFonts w:ascii="Verdana" w:hAnsi="Verdana" w:cs="Arial"/>
          <w:color w:val="000000" w:themeColor="text1"/>
          <w:sz w:val="20"/>
          <w:szCs w:val="20"/>
          <w:lang w:val="es-CO"/>
        </w:rPr>
      </w:pPr>
      <w:r>
        <w:rPr>
          <w:rFonts w:ascii="Verdana" w:hAnsi="Verdana" w:cs="Arial"/>
          <w:color w:val="000000" w:themeColor="text1"/>
          <w:sz w:val="20"/>
          <w:szCs w:val="20"/>
          <w:lang w:val="es-CO"/>
        </w:rPr>
        <w:t>“</w:t>
      </w:r>
      <w:r w:rsidRPr="007E332F">
        <w:rPr>
          <w:rFonts w:ascii="Verdana" w:hAnsi="Verdana" w:cs="Arial"/>
          <w:color w:val="000000" w:themeColor="text1"/>
          <w:sz w:val="20"/>
          <w:szCs w:val="20"/>
          <w:lang w:val="es-CO"/>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r>
        <w:rPr>
          <w:rFonts w:ascii="Verdana" w:hAnsi="Verdana" w:cs="Arial"/>
          <w:color w:val="000000" w:themeColor="text1"/>
          <w:sz w:val="20"/>
          <w:szCs w:val="20"/>
          <w:lang w:val="es-CO"/>
        </w:rPr>
        <w:t xml:space="preserve"> (…)</w:t>
      </w:r>
    </w:p>
    <w:p w14:paraId="616CAB3B" w14:textId="77777777" w:rsidR="00B00EC4" w:rsidRPr="00B00EC4" w:rsidRDefault="00B00EC4" w:rsidP="00B00EC4">
      <w:pPr>
        <w:pStyle w:val="Prrafodelista"/>
        <w:spacing w:after="120" w:line="276" w:lineRule="auto"/>
        <w:ind w:left="851"/>
        <w:jc w:val="both"/>
        <w:rPr>
          <w:rFonts w:ascii="Verdana" w:eastAsia="Calibri" w:hAnsi="Verdana" w:cs="Arial"/>
          <w:color w:val="000000" w:themeColor="text1"/>
        </w:rPr>
      </w:pPr>
    </w:p>
    <w:p w14:paraId="7A330316"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Pr>
          <w:rFonts w:ascii="Verdana" w:hAnsi="Verdana" w:cs="Arial"/>
          <w:color w:val="000000" w:themeColor="text1"/>
        </w:rPr>
        <w:t>De lo anterior se desprende la posibilidad de celebrar contratos de prestación de servicios de apoyo a la gestión con personas jurídicas, entre las cuales se encuentran las ESAL, siempre y cuando cumplan con la idoneidad o experiencia en las actividades requeridas por parte de la entidad estatal.</w:t>
      </w:r>
    </w:p>
    <w:p w14:paraId="120A520A" w14:textId="77777777" w:rsidR="00EA28C0" w:rsidRPr="00190500" w:rsidRDefault="00EA28C0" w:rsidP="00EA28C0">
      <w:pPr>
        <w:pStyle w:val="Prrafodelista"/>
        <w:spacing w:after="120" w:line="276" w:lineRule="auto"/>
        <w:ind w:left="851"/>
        <w:jc w:val="both"/>
        <w:rPr>
          <w:rFonts w:ascii="Verdana" w:hAnsi="Verdana" w:cs="Arial"/>
          <w:color w:val="000000" w:themeColor="text1"/>
        </w:rPr>
      </w:pPr>
    </w:p>
    <w:p w14:paraId="30FA049A"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sidRPr="003729D6">
        <w:rPr>
          <w:rFonts w:ascii="Verdana" w:eastAsia="Times New Roman" w:hAnsi="Verdana" w:cs="Arial MT"/>
        </w:rPr>
        <w:t xml:space="preserve">En los contratos de apoyo a la gestión el contratista desempeña un esfuerzo o actividad de apoyo, acompañamiento, o soporte, donde “lo predominante es el actuar como ejecutor, con el propósito y finalidad de satisfacer necesidades de las entidades estatales en lo relacionado con la gestión administrativa o funcionamiento de </w:t>
      </w:r>
      <w:proofErr w:type="gramStart"/>
      <w:r w:rsidRPr="003729D6">
        <w:rPr>
          <w:rFonts w:ascii="Verdana" w:eastAsia="Times New Roman" w:hAnsi="Verdana" w:cs="Arial MT"/>
        </w:rPr>
        <w:t>la misma</w:t>
      </w:r>
      <w:proofErr w:type="gramEnd"/>
      <w:r w:rsidRPr="003729D6">
        <w:rPr>
          <w:rFonts w:ascii="Verdana" w:eastAsia="Times New Roman" w:hAnsi="Verdana" w:cs="Arial MT"/>
        </w:rPr>
        <w:t>, por personas no profesionales y que no implican el ejercicio de funciones públicas administrativas</w:t>
      </w:r>
      <w:r>
        <w:rPr>
          <w:rFonts w:ascii="Verdana" w:eastAsia="Times New Roman" w:hAnsi="Verdana" w:cs="Arial MT"/>
        </w:rPr>
        <w:t>”.</w:t>
      </w:r>
      <w:r>
        <w:rPr>
          <w:rStyle w:val="Refdenotaalpie"/>
          <w:rFonts w:ascii="Verdana" w:eastAsia="Times New Roman" w:hAnsi="Verdana" w:cs="Arial MT"/>
        </w:rPr>
        <w:footnoteReference w:id="11"/>
      </w:r>
    </w:p>
    <w:p w14:paraId="028F5FEA" w14:textId="77777777" w:rsidR="00EA28C0" w:rsidRPr="00EA28C0" w:rsidRDefault="00EA28C0" w:rsidP="00EA28C0">
      <w:pPr>
        <w:pStyle w:val="Prrafodelista"/>
        <w:rPr>
          <w:rFonts w:ascii="Verdana" w:eastAsia="Times New Roman" w:hAnsi="Verdana" w:cs="Arial MT"/>
        </w:rPr>
      </w:pPr>
    </w:p>
    <w:p w14:paraId="515F50EC"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Pr>
          <w:rFonts w:ascii="Verdana" w:eastAsia="Times New Roman" w:hAnsi="Verdana" w:cs="Arial MT"/>
        </w:rPr>
        <w:t xml:space="preserve">Ahora bien, independiente de la modalidad de contratación, la entidad pública debe surtir una etapa de planeación del proceso contractual, en el cual definirá </w:t>
      </w:r>
      <w:r w:rsidRPr="00C16B71">
        <w:rPr>
          <w:rFonts w:ascii="Verdana" w:eastAsia="Times New Roman" w:hAnsi="Verdana" w:cs="Arial MT"/>
        </w:rPr>
        <w:t>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w:t>
      </w:r>
      <w:r>
        <w:rPr>
          <w:rFonts w:ascii="Verdana" w:eastAsia="Times New Roman" w:hAnsi="Verdana" w:cs="Arial MT"/>
        </w:rPr>
        <w:t xml:space="preserve"> entre otros.</w:t>
      </w:r>
    </w:p>
    <w:p w14:paraId="50B0616D" w14:textId="77777777" w:rsidR="00EA28C0" w:rsidRPr="00EA28C0" w:rsidRDefault="00EA28C0" w:rsidP="00EA28C0">
      <w:pPr>
        <w:pStyle w:val="Prrafodelista"/>
        <w:rPr>
          <w:rFonts w:ascii="Verdana" w:eastAsia="Times New Roman" w:hAnsi="Verdana" w:cs="Arial MT"/>
        </w:rPr>
      </w:pPr>
    </w:p>
    <w:p w14:paraId="19966E76"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sidRPr="00C16B71">
        <w:rPr>
          <w:rFonts w:ascii="Verdana" w:eastAsia="Times New Roman" w:hAnsi="Verdana" w:cs="Arial MT"/>
        </w:rPr>
        <w:t>Por su parte, al ser el análisis de idoneidad y experiencia del contratista un aspecto que debe evaluarse en la fase de planeación contractual, este hace parte de la etapa precontractual de los procesos de contratación directa</w:t>
      </w:r>
      <w:r>
        <w:rPr>
          <w:rFonts w:ascii="Verdana" w:eastAsia="Times New Roman" w:hAnsi="Verdana" w:cs="Arial MT"/>
        </w:rPr>
        <w:t>.</w:t>
      </w:r>
    </w:p>
    <w:p w14:paraId="3B1872DE" w14:textId="77777777" w:rsidR="00EA28C0" w:rsidRPr="00EA28C0" w:rsidRDefault="00EA28C0" w:rsidP="00EA28C0">
      <w:pPr>
        <w:pStyle w:val="Prrafodelista"/>
        <w:rPr>
          <w:rFonts w:ascii="Verdana" w:eastAsia="Times New Roman" w:hAnsi="Verdana" w:cs="Arial MT"/>
        </w:rPr>
      </w:pPr>
    </w:p>
    <w:p w14:paraId="33FB8BDC"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Pr>
          <w:rFonts w:ascii="Verdana" w:eastAsia="Times New Roman" w:hAnsi="Verdana" w:cs="Arial MT"/>
        </w:rPr>
        <w:t xml:space="preserve">En ese sentido, </w:t>
      </w:r>
      <w:r w:rsidRPr="00C16B71">
        <w:rPr>
          <w:rFonts w:ascii="Verdana" w:eastAsia="Times New Roman" w:hAnsi="Verdana" w:cs="Arial MT"/>
        </w:rPr>
        <w:t xml:space="preserve">las entidades estatales son autónomas para estructurar los estudios previos, pudiendo establecer, entre otras cosas, formatos para la verificación de condiciones de idoneidad y experiencia de los contratistas, sin que sea competencia de Colombia Compra Eficiente la validación de estos. En todo caso, lo relevante es que se observen los aspectos que deben contener esos estudios, de conformidad con los artículos 2.2.1.1.1.6.1, 2.2.1.1.2.1.1 y 2.2.1.2.1.4.9 del Decreto 1082 de 2015. </w:t>
      </w:r>
    </w:p>
    <w:p w14:paraId="54314F43" w14:textId="77777777" w:rsidR="00EA28C0" w:rsidRPr="00EA28C0" w:rsidRDefault="00EA28C0" w:rsidP="00EA28C0">
      <w:pPr>
        <w:pStyle w:val="Prrafodelista"/>
        <w:rPr>
          <w:rFonts w:ascii="Verdana" w:eastAsia="Times New Roman" w:hAnsi="Verdana" w:cs="Arial MT"/>
        </w:rPr>
      </w:pPr>
    </w:p>
    <w:p w14:paraId="02BA9D1A" w14:textId="7089BBFC" w:rsidR="00EA28C0" w:rsidRPr="00EA28C0" w:rsidRDefault="00EA28C0" w:rsidP="00EA28C0">
      <w:pPr>
        <w:pStyle w:val="Prrafodelista"/>
        <w:numPr>
          <w:ilvl w:val="0"/>
          <w:numId w:val="18"/>
        </w:numPr>
        <w:tabs>
          <w:tab w:val="left" w:pos="426"/>
        </w:tabs>
        <w:jc w:val="both"/>
        <w:rPr>
          <w:rFonts w:ascii="Verdana" w:eastAsia="Times New Roman" w:hAnsi="Verdana" w:cs="Arial MT"/>
        </w:rPr>
      </w:pPr>
      <w:r>
        <w:rPr>
          <w:rFonts w:ascii="Verdana" w:eastAsia="Times New Roman" w:hAnsi="Verdana" w:cs="Arial MT"/>
        </w:rPr>
        <w:t xml:space="preserve">Ahor bien, tal y como se ha dicho previamente la Entidad Estatal en la etapa de planeación deberá </w:t>
      </w:r>
      <w:r>
        <w:rPr>
          <w:rFonts w:ascii="Verdana" w:hAnsi="Verdana" w:cs="Arial"/>
          <w:color w:val="000000" w:themeColor="text1"/>
        </w:rPr>
        <w:t xml:space="preserve">validar que las obligaciones estipuladas en este </w:t>
      </w:r>
      <w:r>
        <w:rPr>
          <w:rFonts w:ascii="Verdana" w:hAnsi="Verdana" w:cs="Arial"/>
          <w:color w:val="000000" w:themeColor="text1"/>
        </w:rPr>
        <w:lastRenderedPageBreak/>
        <w:t xml:space="preserve">tipo de contrato sean </w:t>
      </w:r>
      <w:r w:rsidR="007B5089">
        <w:rPr>
          <w:rFonts w:ascii="Verdana" w:hAnsi="Verdana" w:cs="Arial"/>
          <w:color w:val="000000" w:themeColor="text1"/>
        </w:rPr>
        <w:t>conducentes</w:t>
      </w:r>
      <w:r>
        <w:rPr>
          <w:rFonts w:ascii="Verdana" w:hAnsi="Verdana" w:cs="Arial"/>
          <w:color w:val="000000" w:themeColor="text1"/>
        </w:rPr>
        <w:t xml:space="preserve"> con la naturaleza </w:t>
      </w:r>
      <w:proofErr w:type="gramStart"/>
      <w:r>
        <w:rPr>
          <w:rFonts w:ascii="Verdana" w:hAnsi="Verdana" w:cs="Arial"/>
          <w:color w:val="000000" w:themeColor="text1"/>
        </w:rPr>
        <w:t>del mismo</w:t>
      </w:r>
      <w:proofErr w:type="gramEnd"/>
      <w:r>
        <w:rPr>
          <w:rFonts w:ascii="Verdana" w:hAnsi="Verdana" w:cs="Arial"/>
          <w:color w:val="000000" w:themeColor="text1"/>
        </w:rPr>
        <w:t>, puesto que sería inapropiado establecer obligaciones que no puedan ser cumplidas por una persona jurídica.</w:t>
      </w:r>
    </w:p>
    <w:p w14:paraId="4C29A72A" w14:textId="77777777" w:rsidR="00EA28C0" w:rsidRPr="00EA28C0" w:rsidRDefault="00EA28C0" w:rsidP="00EA28C0">
      <w:pPr>
        <w:pStyle w:val="Prrafodelista"/>
        <w:rPr>
          <w:rFonts w:ascii="Verdana" w:eastAsia="Times New Roman" w:hAnsi="Verdana" w:cs="Arial MT"/>
        </w:rPr>
      </w:pPr>
    </w:p>
    <w:p w14:paraId="74FEE35A" w14:textId="77777777" w:rsidR="00EA28C0" w:rsidRPr="00EA28C0" w:rsidRDefault="00EA28C0" w:rsidP="00EA28C0">
      <w:pPr>
        <w:pStyle w:val="Prrafodelista"/>
        <w:tabs>
          <w:tab w:val="left" w:pos="426"/>
        </w:tabs>
        <w:jc w:val="both"/>
        <w:rPr>
          <w:rFonts w:ascii="Verdana" w:eastAsia="Times New Roman" w:hAnsi="Verdana" w:cs="Arial MT"/>
        </w:rPr>
      </w:pPr>
    </w:p>
    <w:p w14:paraId="5A29518E" w14:textId="77777777" w:rsidR="00EA28C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Referencias normativas, jurisprudenciales y otras fuentes:</w:t>
      </w:r>
    </w:p>
    <w:p w14:paraId="3955E578" w14:textId="77777777" w:rsidR="007B5089" w:rsidRPr="007B5089" w:rsidRDefault="007B5089" w:rsidP="007B5089">
      <w:pPr>
        <w:tabs>
          <w:tab w:val="left" w:pos="142"/>
          <w:tab w:val="left" w:pos="284"/>
        </w:tabs>
        <w:spacing w:after="0" w:line="276" w:lineRule="auto"/>
        <w:jc w:val="both"/>
        <w:rPr>
          <w:rFonts w:ascii="Verdana" w:eastAsia="Century Gothic" w:hAnsi="Verdana" w:cs="Century Gothic"/>
          <w:b/>
          <w:bCs/>
        </w:rPr>
      </w:pPr>
    </w:p>
    <w:p w14:paraId="7E2A9923" w14:textId="77777777" w:rsidR="00EA28C0" w:rsidRPr="00190500" w:rsidRDefault="00EA28C0" w:rsidP="007B5089">
      <w:pPr>
        <w:spacing w:after="0" w:line="276" w:lineRule="auto"/>
        <w:ind w:right="49"/>
        <w:jc w:val="both"/>
        <w:textAlignment w:val="baseline"/>
        <w:rPr>
          <w:rFonts w:ascii="Verdana" w:eastAsia="Times New Roman" w:hAnsi="Verdana" w:cs="Arial"/>
          <w:bCs/>
          <w:lang w:val="es-ES_tradnl" w:eastAsia="es-CO"/>
        </w:rPr>
      </w:pPr>
    </w:p>
    <w:p w14:paraId="4341CAC7" w14:textId="77777777" w:rsidR="00EA28C0" w:rsidRDefault="00EA28C0" w:rsidP="007B5089">
      <w:pPr>
        <w:pStyle w:val="Prrafodelista"/>
        <w:numPr>
          <w:ilvl w:val="0"/>
          <w:numId w:val="17"/>
        </w:numPr>
        <w:spacing w:after="0" w:line="276" w:lineRule="auto"/>
        <w:ind w:right="49"/>
        <w:jc w:val="both"/>
        <w:rPr>
          <w:rFonts w:ascii="Verdana" w:hAnsi="Verdana" w:cs="Arial"/>
          <w:color w:val="000000" w:themeColor="text1"/>
          <w:lang w:val="es-ES_tradnl"/>
        </w:rPr>
      </w:pPr>
      <w:r>
        <w:rPr>
          <w:rFonts w:ascii="Verdana" w:hAnsi="Verdana" w:cs="Arial"/>
          <w:color w:val="000000" w:themeColor="text1"/>
          <w:lang w:val="es-ES_tradnl"/>
        </w:rPr>
        <w:t>Constitución Política de Colombia, Artículo 38. Disponible en:</w:t>
      </w:r>
    </w:p>
    <w:p w14:paraId="4E0CFFE5" w14:textId="77777777" w:rsidR="00EA28C0" w:rsidRDefault="00EA28C0" w:rsidP="007B5089">
      <w:pPr>
        <w:pStyle w:val="Prrafodelista"/>
        <w:spacing w:after="0" w:line="276" w:lineRule="auto"/>
        <w:ind w:right="49"/>
        <w:jc w:val="both"/>
        <w:rPr>
          <w:rFonts w:ascii="Verdana" w:hAnsi="Verdana" w:cs="Arial"/>
          <w:color w:val="000000" w:themeColor="text1"/>
          <w:lang w:val="es-ES_tradnl"/>
        </w:rPr>
      </w:pPr>
      <w:hyperlink r:id="rId12" w:history="1">
        <w:r w:rsidRPr="001119C1">
          <w:rPr>
            <w:rStyle w:val="Hipervnculo"/>
            <w:rFonts w:ascii="Verdana" w:hAnsi="Verdana" w:cs="Arial"/>
            <w:lang w:val="es-ES_tradnl"/>
          </w:rPr>
          <w:t>https://relatoria.colombiacompra.gov.co/normativa/constitucion-politica-de-colombia/</w:t>
        </w:r>
      </w:hyperlink>
    </w:p>
    <w:p w14:paraId="63C1D898" w14:textId="77777777" w:rsidR="00EA28C0" w:rsidRDefault="00EA28C0" w:rsidP="007B5089">
      <w:pPr>
        <w:pStyle w:val="Prrafodelista"/>
        <w:spacing w:after="0" w:line="276" w:lineRule="auto"/>
        <w:ind w:right="49"/>
        <w:jc w:val="both"/>
        <w:rPr>
          <w:rFonts w:ascii="Verdana" w:hAnsi="Verdana" w:cs="Arial"/>
          <w:color w:val="000000" w:themeColor="text1"/>
          <w:lang w:val="es-ES_tradnl"/>
        </w:rPr>
      </w:pPr>
    </w:p>
    <w:p w14:paraId="1E9F2858" w14:textId="77777777" w:rsidR="00EA28C0" w:rsidRDefault="00EA28C0" w:rsidP="007B5089">
      <w:pPr>
        <w:pStyle w:val="Prrafodelista"/>
        <w:numPr>
          <w:ilvl w:val="0"/>
          <w:numId w:val="17"/>
        </w:numPr>
        <w:spacing w:after="0" w:line="276" w:lineRule="auto"/>
        <w:ind w:right="49"/>
        <w:jc w:val="both"/>
        <w:rPr>
          <w:rFonts w:ascii="Verdana" w:hAnsi="Verdana" w:cs="Arial"/>
          <w:color w:val="000000" w:themeColor="text1"/>
          <w:lang w:val="es-ES_tradnl"/>
        </w:rPr>
      </w:pPr>
      <w:r>
        <w:rPr>
          <w:rFonts w:ascii="Verdana" w:hAnsi="Verdana" w:cs="Arial"/>
          <w:color w:val="000000" w:themeColor="text1"/>
          <w:lang w:val="es-ES_tradnl"/>
        </w:rPr>
        <w:t xml:space="preserve">Código de Comercio, Artículo 98, Artículo 100. Disponible en: </w:t>
      </w:r>
      <w:hyperlink r:id="rId13" w:history="1">
        <w:r w:rsidRPr="001119C1">
          <w:rPr>
            <w:rStyle w:val="Hipervnculo"/>
            <w:rFonts w:ascii="Verdana" w:hAnsi="Verdana" w:cs="Arial"/>
            <w:lang w:val="es-ES_tradnl"/>
          </w:rPr>
          <w:t>https://relatoria.colombiacompra.gov.co/normativa/codigo-de-comercio-decreto-410-de-1971/</w:t>
        </w:r>
      </w:hyperlink>
    </w:p>
    <w:p w14:paraId="5ADB8BBD" w14:textId="77777777" w:rsidR="00EA28C0" w:rsidRDefault="00EA28C0" w:rsidP="007B5089">
      <w:pPr>
        <w:pStyle w:val="Prrafodelista"/>
        <w:spacing w:after="0" w:line="276" w:lineRule="auto"/>
        <w:ind w:right="49"/>
        <w:jc w:val="both"/>
        <w:rPr>
          <w:rFonts w:ascii="Verdana" w:hAnsi="Verdana" w:cs="Arial"/>
          <w:color w:val="000000" w:themeColor="text1"/>
          <w:lang w:val="es-ES_tradnl"/>
        </w:rPr>
      </w:pPr>
    </w:p>
    <w:p w14:paraId="338CAE59" w14:textId="77777777" w:rsidR="00EA28C0" w:rsidRPr="00F24379" w:rsidRDefault="00EA28C0" w:rsidP="007B5089">
      <w:pPr>
        <w:pStyle w:val="Prrafodelista"/>
        <w:numPr>
          <w:ilvl w:val="0"/>
          <w:numId w:val="17"/>
        </w:numPr>
        <w:spacing w:after="0" w:line="276" w:lineRule="auto"/>
        <w:ind w:right="49"/>
        <w:jc w:val="both"/>
        <w:rPr>
          <w:rFonts w:ascii="Verdana" w:hAnsi="Verdana" w:cs="Arial"/>
          <w:color w:val="000000" w:themeColor="text1"/>
          <w:lang w:val="es-ES_tradnl"/>
        </w:rPr>
      </w:pPr>
      <w:r w:rsidRPr="00F24379">
        <w:rPr>
          <w:rFonts w:ascii="Verdana" w:eastAsia="Calibri" w:hAnsi="Verdana" w:cs="Arial"/>
          <w:bCs/>
          <w:lang w:val="es-MX"/>
        </w:rPr>
        <w:t xml:space="preserve">Ley 1450 de 2011, Artículo 43. Disponible en: </w:t>
      </w:r>
      <w:hyperlink r:id="rId14" w:history="1">
        <w:r w:rsidRPr="00F24379">
          <w:rPr>
            <w:rStyle w:val="Hipervnculo"/>
            <w:rFonts w:ascii="Verdana" w:eastAsia="Calibri" w:hAnsi="Verdana" w:cs="Arial"/>
            <w:bCs/>
            <w:lang w:val="es-MX"/>
          </w:rPr>
          <w:t>https://relatoria.colombiacompra.gov.co/normativa/ley-1450-de-2011/</w:t>
        </w:r>
      </w:hyperlink>
    </w:p>
    <w:p w14:paraId="37095A42" w14:textId="77777777" w:rsidR="00EA28C0" w:rsidRPr="00260F35" w:rsidRDefault="00EA28C0" w:rsidP="007B5089">
      <w:pPr>
        <w:pStyle w:val="Prrafodelista"/>
        <w:ind w:right="49"/>
        <w:jc w:val="both"/>
        <w:rPr>
          <w:rFonts w:ascii="Verdana" w:hAnsi="Verdana" w:cs="Arial"/>
          <w:color w:val="000000" w:themeColor="text1"/>
          <w:lang w:val="es-ES_tradnl"/>
        </w:rPr>
      </w:pPr>
    </w:p>
    <w:p w14:paraId="7CD86C37" w14:textId="77777777" w:rsidR="00EA28C0" w:rsidRDefault="00EA28C0" w:rsidP="007B5089">
      <w:pPr>
        <w:pStyle w:val="Prrafodelista"/>
        <w:numPr>
          <w:ilvl w:val="0"/>
          <w:numId w:val="17"/>
        </w:numPr>
        <w:spacing w:after="0" w:line="276" w:lineRule="auto"/>
        <w:ind w:right="49"/>
        <w:jc w:val="both"/>
        <w:rPr>
          <w:rFonts w:ascii="Verdana" w:hAnsi="Verdana" w:cs="Arial"/>
          <w:color w:val="000000" w:themeColor="text1"/>
          <w:lang w:val="es-ES_tradnl"/>
        </w:rPr>
      </w:pPr>
      <w:r>
        <w:rPr>
          <w:rFonts w:ascii="Verdana" w:hAnsi="Verdana" w:cs="Arial"/>
          <w:color w:val="000000" w:themeColor="text1"/>
          <w:lang w:val="es-ES_tradnl"/>
        </w:rPr>
        <w:t xml:space="preserve">Ley 80 de 1993, Artículo 6. Artículo 32 numeral 3. Artículo 41. Disponible en: </w:t>
      </w:r>
      <w:hyperlink r:id="rId15" w:history="1">
        <w:r w:rsidRPr="0026747D">
          <w:rPr>
            <w:rStyle w:val="Hipervnculo"/>
            <w:rFonts w:ascii="Verdana" w:hAnsi="Verdana" w:cs="Arial"/>
            <w:lang w:val="es-ES_tradnl"/>
          </w:rPr>
          <w:t>https://relatoria.colombiacompra.gov.co/normativa/ley-80-de-1993/</w:t>
        </w:r>
      </w:hyperlink>
    </w:p>
    <w:p w14:paraId="15BC7CCF" w14:textId="77777777" w:rsidR="00EA28C0" w:rsidRPr="00A335D1" w:rsidRDefault="00EA28C0" w:rsidP="007B5089">
      <w:pPr>
        <w:spacing w:after="0" w:line="276" w:lineRule="auto"/>
        <w:ind w:left="360" w:right="49"/>
        <w:jc w:val="both"/>
        <w:rPr>
          <w:rFonts w:ascii="Verdana" w:hAnsi="Verdana" w:cs="Arial"/>
          <w:color w:val="000000" w:themeColor="text1"/>
          <w:lang w:val="es-ES_tradnl"/>
        </w:rPr>
      </w:pPr>
    </w:p>
    <w:p w14:paraId="7B0CCA5E" w14:textId="77777777" w:rsidR="00EA28C0" w:rsidRPr="00AB4808" w:rsidRDefault="00EA28C0" w:rsidP="007B5089">
      <w:pPr>
        <w:pStyle w:val="Prrafodelista"/>
        <w:numPr>
          <w:ilvl w:val="0"/>
          <w:numId w:val="17"/>
        </w:numPr>
        <w:spacing w:after="0" w:line="276" w:lineRule="auto"/>
        <w:ind w:right="49"/>
        <w:jc w:val="both"/>
        <w:rPr>
          <w:rStyle w:val="Hipervnculo"/>
          <w:rFonts w:ascii="Verdana" w:hAnsi="Verdana" w:cs="Arial"/>
          <w:color w:val="000000" w:themeColor="text1"/>
          <w:u w:val="none"/>
          <w:lang w:val="es-ES_tradnl"/>
        </w:rPr>
      </w:pPr>
      <w:r w:rsidRPr="003504B3">
        <w:rPr>
          <w:rFonts w:ascii="Verdana" w:hAnsi="Verdana" w:cs="Arial"/>
          <w:color w:val="000000" w:themeColor="text1"/>
          <w:lang w:val="es-ES_tradnl"/>
        </w:rPr>
        <w:t xml:space="preserve">Ley 1150 de 2007, </w:t>
      </w:r>
      <w:r>
        <w:rPr>
          <w:rFonts w:ascii="Verdana" w:hAnsi="Verdana" w:cs="Arial"/>
          <w:color w:val="000000" w:themeColor="text1"/>
          <w:lang w:val="es-ES_tradnl"/>
        </w:rPr>
        <w:t>A</w:t>
      </w:r>
      <w:r w:rsidRPr="003504B3">
        <w:rPr>
          <w:rFonts w:ascii="Verdana" w:hAnsi="Verdana" w:cs="Arial"/>
          <w:color w:val="000000" w:themeColor="text1"/>
          <w:lang w:val="es-ES_tradnl"/>
        </w:rPr>
        <w:t xml:space="preserve">rtículo </w:t>
      </w:r>
      <w:r w:rsidRPr="00263E44">
        <w:rPr>
          <w:rFonts w:ascii="Verdana" w:eastAsia="Calibri" w:hAnsi="Verdana" w:cs="Arial"/>
          <w:color w:val="000000" w:themeColor="text1"/>
        </w:rPr>
        <w:t>2</w:t>
      </w:r>
      <w:r>
        <w:rPr>
          <w:rFonts w:ascii="Verdana" w:eastAsia="Calibri" w:hAnsi="Verdana" w:cs="Arial"/>
          <w:color w:val="000000" w:themeColor="text1"/>
        </w:rPr>
        <w:t xml:space="preserve"> </w:t>
      </w:r>
      <w:r w:rsidRPr="00263E44">
        <w:rPr>
          <w:rFonts w:ascii="Verdana" w:eastAsia="Calibri" w:hAnsi="Verdana" w:cs="Arial"/>
          <w:color w:val="000000" w:themeColor="text1"/>
        </w:rPr>
        <w:t>numeral 4º</w:t>
      </w:r>
      <w:r>
        <w:rPr>
          <w:rFonts w:ascii="Verdana" w:eastAsia="Calibri" w:hAnsi="Verdana" w:cs="Arial"/>
          <w:color w:val="000000" w:themeColor="text1"/>
        </w:rPr>
        <w:t xml:space="preserve"> </w:t>
      </w:r>
      <w:r w:rsidRPr="00263E44">
        <w:rPr>
          <w:rFonts w:ascii="Verdana" w:eastAsia="Calibri" w:hAnsi="Verdana" w:cs="Arial"/>
          <w:color w:val="000000" w:themeColor="text1"/>
        </w:rPr>
        <w:t>literal h</w:t>
      </w:r>
      <w:r w:rsidRPr="003504B3">
        <w:rPr>
          <w:rFonts w:ascii="Verdana" w:hAnsi="Verdana" w:cs="Arial"/>
          <w:color w:val="000000" w:themeColor="text1"/>
          <w:lang w:val="es-ES_tradnl"/>
        </w:rPr>
        <w:t>.</w:t>
      </w:r>
      <w:r>
        <w:rPr>
          <w:rFonts w:ascii="Verdana" w:hAnsi="Verdana" w:cs="Arial"/>
          <w:color w:val="000000" w:themeColor="text1"/>
          <w:lang w:val="es-ES_tradnl"/>
        </w:rPr>
        <w:t xml:space="preserve"> Artículo 23</w:t>
      </w:r>
      <w:r w:rsidRPr="003504B3">
        <w:rPr>
          <w:rFonts w:ascii="Verdana" w:hAnsi="Verdana" w:cs="Arial"/>
          <w:color w:val="000000" w:themeColor="text1"/>
          <w:lang w:val="es-ES_tradnl"/>
        </w:rPr>
        <w:t xml:space="preserve"> Disponible en: </w:t>
      </w:r>
      <w:hyperlink r:id="rId16" w:history="1">
        <w:r w:rsidRPr="003504B3">
          <w:rPr>
            <w:rStyle w:val="Hipervnculo"/>
            <w:rFonts w:ascii="Verdana" w:hAnsi="Verdana" w:cs="Arial"/>
            <w:lang w:val="es-ES_tradnl"/>
          </w:rPr>
          <w:t>https://relatoria.colombiacompra.gov.co/normativa/ley-1150-de-2007/</w:t>
        </w:r>
      </w:hyperlink>
    </w:p>
    <w:p w14:paraId="34BC68B1" w14:textId="77777777" w:rsidR="00EA28C0" w:rsidRPr="00AB4808" w:rsidRDefault="00EA28C0" w:rsidP="007B5089">
      <w:pPr>
        <w:pStyle w:val="Prrafodelista"/>
        <w:ind w:right="49"/>
        <w:jc w:val="both"/>
        <w:rPr>
          <w:rStyle w:val="Hipervnculo"/>
          <w:rFonts w:ascii="Verdana" w:hAnsi="Verdana" w:cs="Arial"/>
          <w:color w:val="000000" w:themeColor="text1"/>
          <w:u w:val="none"/>
          <w:lang w:val="es-ES_tradnl"/>
        </w:rPr>
      </w:pPr>
    </w:p>
    <w:p w14:paraId="3B09218C" w14:textId="77777777" w:rsidR="00EA28C0" w:rsidRPr="00BC61BB" w:rsidRDefault="00EA28C0" w:rsidP="007B5089">
      <w:pPr>
        <w:pStyle w:val="Prrafodelista"/>
        <w:numPr>
          <w:ilvl w:val="0"/>
          <w:numId w:val="17"/>
        </w:numPr>
        <w:spacing w:after="0" w:line="276" w:lineRule="auto"/>
        <w:ind w:right="49"/>
        <w:jc w:val="both"/>
        <w:rPr>
          <w:rFonts w:ascii="Verdana" w:hAnsi="Verdana" w:cs="Arial"/>
          <w:color w:val="000000" w:themeColor="text1"/>
          <w:lang w:val="es-ES_tradnl"/>
        </w:rPr>
      </w:pPr>
      <w:r>
        <w:rPr>
          <w:rFonts w:ascii="Verdana" w:eastAsia="Calibri" w:hAnsi="Verdana" w:cs="Arial"/>
          <w:color w:val="000000" w:themeColor="text1"/>
        </w:rPr>
        <w:t xml:space="preserve">Decreto 1082 de 2015, Artículo </w:t>
      </w:r>
      <w:r w:rsidRPr="003E48C2">
        <w:rPr>
          <w:rFonts w:ascii="Verdana" w:eastAsia="Calibri" w:hAnsi="Verdana" w:cs="Arial"/>
          <w:color w:val="000000" w:themeColor="text1"/>
        </w:rPr>
        <w:t>2.2.1.2.1.4.9</w:t>
      </w:r>
      <w:r>
        <w:rPr>
          <w:rFonts w:ascii="Verdana" w:eastAsia="Calibri" w:hAnsi="Verdana" w:cs="Arial"/>
          <w:color w:val="000000" w:themeColor="text1"/>
        </w:rPr>
        <w:t xml:space="preserve">. Disponible en: </w:t>
      </w:r>
      <w:hyperlink r:id="rId17" w:history="1">
        <w:r w:rsidRPr="001119C1">
          <w:rPr>
            <w:rStyle w:val="Hipervnculo"/>
            <w:rFonts w:ascii="Verdana" w:eastAsia="Calibri" w:hAnsi="Verdana" w:cs="Arial"/>
          </w:rPr>
          <w:t>https://relatoria.colombiacompra.gov.co/normativa/decreto-1082-de-2015/</w:t>
        </w:r>
      </w:hyperlink>
    </w:p>
    <w:p w14:paraId="6858CA21" w14:textId="77777777" w:rsidR="00EA28C0" w:rsidRPr="00BC61BB" w:rsidRDefault="00EA28C0" w:rsidP="007B5089">
      <w:pPr>
        <w:pStyle w:val="Prrafodelista"/>
        <w:ind w:right="49"/>
        <w:jc w:val="both"/>
        <w:rPr>
          <w:rStyle w:val="Hipervnculo"/>
          <w:rFonts w:ascii="Verdana" w:hAnsi="Verdana" w:cs="Arial"/>
          <w:color w:val="000000" w:themeColor="text1"/>
          <w:u w:val="none"/>
          <w:lang w:val="es-ES_tradnl"/>
        </w:rPr>
      </w:pPr>
    </w:p>
    <w:p w14:paraId="314F3EC3" w14:textId="77777777" w:rsidR="00EA28C0" w:rsidRPr="008A22A1" w:rsidRDefault="00EA28C0" w:rsidP="007B5089">
      <w:pPr>
        <w:pStyle w:val="Prrafodelista"/>
        <w:numPr>
          <w:ilvl w:val="0"/>
          <w:numId w:val="17"/>
        </w:numPr>
        <w:spacing w:after="0" w:line="276" w:lineRule="auto"/>
        <w:ind w:right="49"/>
        <w:jc w:val="both"/>
        <w:rPr>
          <w:rStyle w:val="Hipervnculo"/>
          <w:rFonts w:ascii="Verdana" w:hAnsi="Verdana" w:cs="Arial"/>
          <w:color w:val="000000" w:themeColor="text1"/>
          <w:u w:val="none"/>
          <w:lang w:val="es-ES_tradnl"/>
        </w:rPr>
      </w:pPr>
      <w:r>
        <w:rPr>
          <w:rFonts w:ascii="Verdana" w:hAnsi="Verdana" w:cs="Arial"/>
          <w:color w:val="000000" w:themeColor="text1"/>
          <w:lang w:val="es-ES_tradnl"/>
        </w:rPr>
        <w:t xml:space="preserve">Ley 789 de 2002, Artículo 50. Disponible en: </w:t>
      </w:r>
      <w:hyperlink r:id="rId18" w:history="1">
        <w:r w:rsidRPr="0026747D">
          <w:rPr>
            <w:rStyle w:val="Hipervnculo"/>
            <w:rFonts w:ascii="Verdana" w:hAnsi="Verdana" w:cs="Arial"/>
            <w:lang w:val="es-ES_tradnl"/>
          </w:rPr>
          <w:t>https://relatoria.colombiacompra.gov.co/normativa/ley-789-de-2002/</w:t>
        </w:r>
      </w:hyperlink>
    </w:p>
    <w:p w14:paraId="48279276" w14:textId="77777777" w:rsidR="00EA28C0" w:rsidRPr="008A22A1" w:rsidRDefault="00EA28C0" w:rsidP="007B5089">
      <w:pPr>
        <w:pStyle w:val="Prrafodelista"/>
        <w:ind w:right="49"/>
        <w:jc w:val="both"/>
        <w:rPr>
          <w:rFonts w:ascii="Verdana" w:hAnsi="Verdana" w:cs="Arial"/>
          <w:color w:val="000000" w:themeColor="text1"/>
          <w:lang w:val="es-ES_tradnl"/>
        </w:rPr>
      </w:pPr>
    </w:p>
    <w:p w14:paraId="312A879E" w14:textId="77777777" w:rsidR="00EA28C0" w:rsidRDefault="00EA28C0" w:rsidP="007B5089">
      <w:pPr>
        <w:pStyle w:val="Prrafodelista"/>
        <w:numPr>
          <w:ilvl w:val="0"/>
          <w:numId w:val="17"/>
        </w:numPr>
        <w:spacing w:after="0" w:line="276" w:lineRule="auto"/>
        <w:ind w:right="49"/>
        <w:jc w:val="both"/>
        <w:rPr>
          <w:rFonts w:ascii="Verdana" w:hAnsi="Verdana" w:cs="Arial"/>
          <w:color w:val="000000" w:themeColor="text1"/>
          <w:lang w:val="es-ES_tradnl"/>
        </w:rPr>
      </w:pPr>
      <w:r>
        <w:rPr>
          <w:rFonts w:ascii="Verdana" w:hAnsi="Verdana" w:cs="Arial"/>
          <w:color w:val="000000" w:themeColor="text1"/>
          <w:lang w:val="es-ES_tradnl"/>
        </w:rPr>
        <w:t xml:space="preserve">Corte Constitucional de Colombia, Sentencia C-287 de 2012, </w:t>
      </w:r>
      <w:r w:rsidRPr="00B469EA">
        <w:rPr>
          <w:rFonts w:ascii="Verdana" w:hAnsi="Verdana" w:cs="Arial"/>
          <w:color w:val="000000" w:themeColor="text1"/>
          <w:lang w:val="es-ES_tradnl"/>
        </w:rPr>
        <w:t>M.P. María Victoria Calle</w:t>
      </w:r>
      <w:r>
        <w:rPr>
          <w:rFonts w:ascii="Verdana" w:hAnsi="Verdana" w:cs="Arial"/>
          <w:color w:val="000000" w:themeColor="text1"/>
          <w:lang w:val="es-ES_tradnl"/>
        </w:rPr>
        <w:t xml:space="preserve">, Disponible en: </w:t>
      </w:r>
      <w:hyperlink r:id="rId19" w:history="1">
        <w:r w:rsidRPr="001119C1">
          <w:rPr>
            <w:rStyle w:val="Hipervnculo"/>
            <w:rFonts w:ascii="Verdana" w:hAnsi="Verdana" w:cs="Arial"/>
            <w:lang w:val="es-ES_tradnl"/>
          </w:rPr>
          <w:t>https://www.corteconstitucional.gov.co/RELATORIA/2012/C-287-12.htm</w:t>
        </w:r>
      </w:hyperlink>
    </w:p>
    <w:p w14:paraId="47A18E91" w14:textId="77777777" w:rsidR="00EA28C0" w:rsidRPr="008A22A1" w:rsidRDefault="00EA28C0" w:rsidP="007B5089">
      <w:pPr>
        <w:pStyle w:val="Prrafodelista"/>
        <w:ind w:right="49"/>
        <w:jc w:val="both"/>
        <w:rPr>
          <w:rFonts w:ascii="Verdana" w:hAnsi="Verdana" w:cs="Arial"/>
          <w:color w:val="000000" w:themeColor="text1"/>
          <w:lang w:val="es-ES_tradnl"/>
        </w:rPr>
      </w:pPr>
    </w:p>
    <w:p w14:paraId="1BE7262C" w14:textId="77777777" w:rsidR="00EA28C0" w:rsidRDefault="00EA28C0" w:rsidP="007B5089">
      <w:pPr>
        <w:pStyle w:val="Prrafodelista"/>
        <w:numPr>
          <w:ilvl w:val="0"/>
          <w:numId w:val="17"/>
        </w:numPr>
        <w:spacing w:after="0" w:line="276" w:lineRule="auto"/>
        <w:ind w:right="49"/>
        <w:jc w:val="both"/>
        <w:rPr>
          <w:rFonts w:ascii="Verdana" w:hAnsi="Verdana" w:cs="Arial"/>
          <w:color w:val="000000" w:themeColor="text1"/>
        </w:rPr>
      </w:pPr>
      <w:r w:rsidRPr="6BE06B3F">
        <w:rPr>
          <w:rFonts w:ascii="Verdana" w:hAnsi="Verdana" w:cs="Arial"/>
          <w:color w:val="000000" w:themeColor="text1"/>
        </w:rPr>
        <w:t xml:space="preserve">Consejo de Estado, Sección Cuarta. Providencia del 26 de octubre de 2009. </w:t>
      </w:r>
      <w:proofErr w:type="spellStart"/>
      <w:r w:rsidRPr="6BE06B3F">
        <w:rPr>
          <w:rFonts w:ascii="Verdana" w:hAnsi="Verdana" w:cs="Arial"/>
          <w:color w:val="000000" w:themeColor="text1"/>
        </w:rPr>
        <w:t>Exp</w:t>
      </w:r>
      <w:proofErr w:type="spellEnd"/>
      <w:r w:rsidRPr="6BE06B3F">
        <w:rPr>
          <w:rFonts w:ascii="Verdana" w:hAnsi="Verdana" w:cs="Arial"/>
          <w:color w:val="000000" w:themeColor="text1"/>
        </w:rPr>
        <w:t xml:space="preserve">. No. 25000-23-27-000-2007-00160-01(17200). M.P. Martha Teresa </w:t>
      </w:r>
      <w:r w:rsidRPr="6BE06B3F">
        <w:rPr>
          <w:rFonts w:ascii="Verdana" w:hAnsi="Verdana" w:cs="Arial"/>
          <w:color w:val="000000" w:themeColor="text1"/>
        </w:rPr>
        <w:lastRenderedPageBreak/>
        <w:t xml:space="preserve">Briceño de Valencia. </w:t>
      </w:r>
      <w:hyperlink r:id="rId20">
        <w:r w:rsidRPr="6BE06B3F">
          <w:rPr>
            <w:rStyle w:val="Hipervnculo"/>
            <w:rFonts w:ascii="Verdana" w:hAnsi="Verdana" w:cs="Arial"/>
          </w:rPr>
          <w:t>http://servicios.consejodeestado.gov.co/WebRelatoria/FileReferenceServlet?corp=ce&amp;ext=html&amp;file=2001314</w:t>
        </w:r>
      </w:hyperlink>
    </w:p>
    <w:p w14:paraId="0DB02321" w14:textId="77777777" w:rsidR="00EA28C0" w:rsidRPr="00190500" w:rsidRDefault="00EA28C0" w:rsidP="00EA28C0">
      <w:pPr>
        <w:pStyle w:val="Prrafodelista"/>
        <w:rPr>
          <w:rFonts w:ascii="Verdana" w:hAnsi="Verdana" w:cs="Arial"/>
          <w:color w:val="000000" w:themeColor="text1"/>
          <w:lang w:val="es-ES_tradnl"/>
        </w:rPr>
      </w:pPr>
    </w:p>
    <w:p w14:paraId="394064DB"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Doctrina de la Agencia Nacional de Contratación Pública:</w:t>
      </w:r>
    </w:p>
    <w:p w14:paraId="766A046A" w14:textId="77777777" w:rsidR="00EA28C0" w:rsidRPr="00190500" w:rsidRDefault="00EA28C0" w:rsidP="00EA28C0">
      <w:pPr>
        <w:widowControl w:val="0"/>
        <w:autoSpaceDE w:val="0"/>
        <w:autoSpaceDN w:val="0"/>
        <w:spacing w:after="0" w:line="276" w:lineRule="auto"/>
        <w:jc w:val="both"/>
        <w:rPr>
          <w:rFonts w:ascii="Verdana" w:eastAsia="Calibri" w:hAnsi="Verdana" w:cs="Arial"/>
          <w:lang w:val="es-ES" w:eastAsia="es-ES"/>
        </w:rPr>
      </w:pPr>
    </w:p>
    <w:p w14:paraId="782418B5" w14:textId="3CAC6E3D" w:rsidR="00EA28C0" w:rsidRPr="007B5089" w:rsidRDefault="00EA28C0" w:rsidP="00EA28C0">
      <w:pPr>
        <w:spacing w:after="120" w:line="276" w:lineRule="auto"/>
        <w:jc w:val="both"/>
        <w:rPr>
          <w:rStyle w:val="normaltextrun"/>
          <w:rFonts w:ascii="Verdana" w:hAnsi="Verdana"/>
        </w:rPr>
      </w:pPr>
      <w:r w:rsidRPr="00190500">
        <w:rPr>
          <w:rFonts w:ascii="Verdana" w:hAnsi="Verdana"/>
        </w:rPr>
        <w:t xml:space="preserve">La Agencia Nacional de Contratación Pública – Colombia Compra Eficiente </w:t>
      </w:r>
      <w:r>
        <w:rPr>
          <w:rFonts w:ascii="Verdana" w:hAnsi="Verdana"/>
        </w:rPr>
        <w:t xml:space="preserve">se </w:t>
      </w:r>
      <w:r w:rsidRPr="00190500">
        <w:rPr>
          <w:rFonts w:ascii="Verdana" w:hAnsi="Verdana"/>
        </w:rPr>
        <w:t>ha</w:t>
      </w:r>
      <w:r>
        <w:rPr>
          <w:rFonts w:ascii="Verdana" w:hAnsi="Verdana"/>
        </w:rPr>
        <w:t xml:space="preserve"> pronunciado en relación con la contratación con las ESAL, en diferentes conceptos entre los cuales se encuentran, el concepto </w:t>
      </w:r>
      <w:r w:rsidRPr="007A5909">
        <w:rPr>
          <w:rFonts w:ascii="Verdana" w:hAnsi="Verdana"/>
        </w:rPr>
        <w:t>C-280 del 15 de junio de 2021, C-391 de 11 de agosto de 2021, C-560 del 1 de septiembre de 2021, -021 del 22 de febrero de 2022</w:t>
      </w:r>
      <w:r>
        <w:rPr>
          <w:rFonts w:ascii="Verdana" w:hAnsi="Verdana"/>
        </w:rPr>
        <w:t>,</w:t>
      </w:r>
      <w:r w:rsidRPr="007A5909">
        <w:rPr>
          <w:rFonts w:ascii="Verdana" w:hAnsi="Verdana"/>
        </w:rPr>
        <w:t xml:space="preserve"> C-041 del 12 de abril de 2023</w:t>
      </w:r>
      <w:r>
        <w:rPr>
          <w:rFonts w:ascii="Verdana" w:hAnsi="Verdana"/>
        </w:rPr>
        <w:t xml:space="preserve"> C-183 del 08 de junio de 2023 y C-141 del 29 de julio de 2024. </w:t>
      </w:r>
      <w:r w:rsidRPr="00190500">
        <w:rPr>
          <w:rStyle w:val="normaltextrun"/>
          <w:rFonts w:ascii="Verdana" w:hAnsi="Verdana" w:cs="Arial"/>
          <w:shd w:val="clear" w:color="auto" w:fill="FFFFFF"/>
        </w:rPr>
        <w:t>Es</w:t>
      </w:r>
      <w:r w:rsidRPr="00190500">
        <w:rPr>
          <w:rFonts w:ascii="Verdana" w:hAnsi="Verdana"/>
        </w:rPr>
        <w:t>tos y otros conceptos se encuentran disponibles para consulta en el Sistema de relatoría de la Agencia, al cual se puede acceder a través del siguiente enlace:</w:t>
      </w:r>
      <w:hyperlink r:id="rId21" w:history="1">
        <w:r w:rsidRPr="00190500">
          <w:rPr>
            <w:rStyle w:val="Hipervnculo"/>
            <w:rFonts w:ascii="Verdana" w:hAnsi="Verdana" w:cs="Arial"/>
            <w:shd w:val="clear" w:color="auto" w:fill="FFFFFF"/>
            <w:lang w:val="es-ES"/>
          </w:rPr>
          <w:t>https://relatoria.colombiacompra.gov.co/busqueda/conceptos</w:t>
        </w:r>
      </w:hyperlink>
      <w:r w:rsidRPr="00190500">
        <w:rPr>
          <w:rStyle w:val="normaltextrun"/>
          <w:rFonts w:ascii="Verdana" w:hAnsi="Verdana" w:cs="Arial"/>
          <w:color w:val="FF0000"/>
          <w:shd w:val="clear" w:color="auto" w:fill="FFFFFF"/>
        </w:rPr>
        <w:t xml:space="preserve">. </w:t>
      </w:r>
    </w:p>
    <w:p w14:paraId="1BD4C60D" w14:textId="77777777" w:rsidR="00EA28C0" w:rsidRPr="00190500" w:rsidRDefault="00EA28C0" w:rsidP="00EA28C0">
      <w:pPr>
        <w:widowControl w:val="0"/>
        <w:autoSpaceDE w:val="0"/>
        <w:autoSpaceDN w:val="0"/>
        <w:spacing w:after="0" w:line="276" w:lineRule="auto"/>
        <w:jc w:val="both"/>
        <w:rPr>
          <w:rStyle w:val="normaltextrun"/>
          <w:rFonts w:ascii="Verdana" w:hAnsi="Verdana" w:cs="Arial"/>
          <w:color w:val="FF0000"/>
          <w:shd w:val="clear" w:color="auto" w:fill="FFFFFF"/>
        </w:rPr>
      </w:pPr>
    </w:p>
    <w:p w14:paraId="560D582E"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Por último, lo invitamos a seguirnos en las redes sociales en las cuales se difunde información institucional: </w:t>
      </w:r>
    </w:p>
    <w:p w14:paraId="58FCCA41" w14:textId="77777777" w:rsidR="00EA28C0" w:rsidRPr="00190500" w:rsidRDefault="00EA28C0" w:rsidP="00EA28C0">
      <w:pPr>
        <w:spacing w:after="0" w:line="240" w:lineRule="auto"/>
        <w:jc w:val="both"/>
        <w:rPr>
          <w:rFonts w:ascii="Verdana" w:hAnsi="Verdana"/>
        </w:rPr>
      </w:pPr>
    </w:p>
    <w:p w14:paraId="74E80EE1"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Twitter: </w:t>
      </w:r>
      <w:r w:rsidRPr="00190500">
        <w:rPr>
          <w:rFonts w:ascii="Verdana" w:hAnsi="Verdana"/>
          <w:color w:val="4472C4" w:themeColor="accent1"/>
          <w:u w:val="single"/>
        </w:rPr>
        <w:t>@colombiacompra</w:t>
      </w:r>
      <w:r w:rsidRPr="00190500">
        <w:rPr>
          <w:rFonts w:ascii="Verdana" w:hAnsi="Verdana"/>
          <w:color w:val="4472C4" w:themeColor="accent1"/>
        </w:rPr>
        <w:t xml:space="preserve"> </w:t>
      </w:r>
    </w:p>
    <w:p w14:paraId="058FC3D4"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Facebook: </w:t>
      </w:r>
      <w:proofErr w:type="spellStart"/>
      <w:r w:rsidRPr="00190500">
        <w:rPr>
          <w:rFonts w:ascii="Verdana" w:hAnsi="Verdana"/>
          <w:color w:val="4472C4" w:themeColor="accent1"/>
          <w:u w:val="single"/>
        </w:rPr>
        <w:t>ColombiaCompraEficiente</w:t>
      </w:r>
      <w:proofErr w:type="spellEnd"/>
    </w:p>
    <w:p w14:paraId="775859AE"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LinkedIn: </w:t>
      </w:r>
      <w:r w:rsidRPr="00190500">
        <w:rPr>
          <w:rFonts w:ascii="Verdana" w:hAnsi="Verdana"/>
          <w:color w:val="4472C4" w:themeColor="accent1"/>
          <w:u w:val="single"/>
        </w:rPr>
        <w:t>Agencia Nacional de Contratación Pública - Colombia Compra Eficiente</w:t>
      </w:r>
      <w:r w:rsidRPr="00190500">
        <w:rPr>
          <w:rFonts w:ascii="Verdana" w:hAnsi="Verdana"/>
          <w:color w:val="4472C4" w:themeColor="accent1"/>
        </w:rPr>
        <w:t xml:space="preserve"> </w:t>
      </w:r>
      <w:r w:rsidRPr="00190500">
        <w:rPr>
          <w:rFonts w:ascii="Verdana" w:hAnsi="Verdana"/>
        </w:rPr>
        <w:t xml:space="preserve">Instagram: </w:t>
      </w:r>
      <w:r w:rsidRPr="00190500">
        <w:rPr>
          <w:rFonts w:ascii="Verdana" w:hAnsi="Verdana"/>
          <w:color w:val="4472C4" w:themeColor="accent1"/>
          <w:u w:val="single"/>
        </w:rPr>
        <w:t>@colombiacompraeficiente_cce</w:t>
      </w:r>
    </w:p>
    <w:p w14:paraId="137554DC" w14:textId="77777777" w:rsidR="00EA28C0" w:rsidRPr="00190500" w:rsidRDefault="00EA28C0" w:rsidP="00EA28C0">
      <w:pPr>
        <w:widowControl w:val="0"/>
        <w:autoSpaceDE w:val="0"/>
        <w:autoSpaceDN w:val="0"/>
        <w:spacing w:after="0" w:line="276" w:lineRule="auto"/>
        <w:jc w:val="both"/>
        <w:rPr>
          <w:rFonts w:ascii="Verdana" w:hAnsi="Verdana" w:cs="Arial"/>
        </w:rPr>
      </w:pPr>
    </w:p>
    <w:p w14:paraId="17453E16" w14:textId="77777777" w:rsidR="00EA28C0" w:rsidRPr="00190500" w:rsidRDefault="00EA28C0" w:rsidP="00EA28C0">
      <w:pPr>
        <w:spacing w:before="120" w:after="0" w:line="276" w:lineRule="auto"/>
        <w:jc w:val="both"/>
        <w:textAlignment w:val="baseline"/>
        <w:rPr>
          <w:rFonts w:ascii="Verdana" w:eastAsia="Times New Roman" w:hAnsi="Verdana"/>
          <w:bCs/>
          <w:lang w:val="es-ES_tradnl" w:eastAsia="es-CO"/>
        </w:rPr>
      </w:pPr>
      <w:r w:rsidRPr="00190500">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66B9461" w14:textId="77777777" w:rsidR="00EA28C0" w:rsidRPr="00190500" w:rsidRDefault="00EA28C0" w:rsidP="00EA28C0">
      <w:pPr>
        <w:spacing w:after="0" w:line="240" w:lineRule="auto"/>
        <w:rPr>
          <w:rFonts w:ascii="Verdana" w:eastAsia="Calibri" w:hAnsi="Verdana"/>
        </w:rPr>
      </w:pPr>
    </w:p>
    <w:p w14:paraId="78282487" w14:textId="77777777" w:rsidR="00EA28C0" w:rsidRPr="00190500" w:rsidRDefault="00EA28C0" w:rsidP="00EA28C0">
      <w:pPr>
        <w:spacing w:after="0" w:line="240" w:lineRule="auto"/>
        <w:rPr>
          <w:rFonts w:ascii="Verdana" w:eastAsia="Times New Roman" w:hAnsi="Verdana" w:cs="Arial"/>
          <w:lang w:eastAsia="es-CO"/>
        </w:rPr>
      </w:pPr>
      <w:r w:rsidRPr="00190500">
        <w:rPr>
          <w:rFonts w:ascii="Verdana" w:eastAsia="Times New Roman" w:hAnsi="Verdana" w:cs="Arial"/>
          <w:lang w:eastAsia="es-CO"/>
        </w:rPr>
        <w:t>Atentamente,</w:t>
      </w:r>
    </w:p>
    <w:p w14:paraId="42D6F819" w14:textId="024C728E" w:rsidR="00EA28C0" w:rsidRPr="00190500" w:rsidRDefault="00EA28C0" w:rsidP="00EA28C0">
      <w:pPr>
        <w:spacing w:after="0" w:line="276" w:lineRule="auto"/>
        <w:jc w:val="center"/>
        <w:rPr>
          <w:rFonts w:ascii="Verdana" w:eastAsia="Times New Roman" w:hAnsi="Verdana" w:cs="Arial"/>
          <w:color w:val="000000"/>
          <w:lang w:val="es-ES_tradnl" w:eastAsia="es-CO"/>
        </w:rPr>
      </w:pPr>
    </w:p>
    <w:bookmarkEnd w:id="0"/>
    <w:p w14:paraId="68C9E44C" w14:textId="71CFE572" w:rsidR="007B5089" w:rsidRPr="007F1C94" w:rsidRDefault="0050498C" w:rsidP="007B5089">
      <w:pPr>
        <w:spacing w:after="0" w:line="240" w:lineRule="auto"/>
        <w:jc w:val="center"/>
        <w:rPr>
          <w:rFonts w:ascii="Verdana" w:hAnsi="Verdana" w:cs="Arial"/>
          <w:lang w:eastAsia="es-CO"/>
        </w:rPr>
      </w:pPr>
      <w:r w:rsidRPr="002C3AD6">
        <w:rPr>
          <w:rFonts w:ascii="Century Gothic" w:hAnsi="Century Gothic"/>
          <w:noProof/>
        </w:rPr>
        <w:drawing>
          <wp:inline distT="0" distB="0" distL="0" distR="0" wp14:anchorId="4FA23D79" wp14:editId="1E1D3CE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p w14:paraId="244819D8" w14:textId="77777777" w:rsidR="007B5089" w:rsidRPr="007F1C94" w:rsidRDefault="007B5089" w:rsidP="007B5089">
      <w:pPr>
        <w:spacing w:line="276" w:lineRule="auto"/>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B5089" w:rsidRPr="007F1C94" w14:paraId="5470EBC8" w14:textId="77777777" w:rsidTr="00C165A1">
        <w:trPr>
          <w:trHeight w:val="315"/>
        </w:trPr>
        <w:tc>
          <w:tcPr>
            <w:tcW w:w="893" w:type="dxa"/>
            <w:vAlign w:val="center"/>
            <w:hideMark/>
          </w:tcPr>
          <w:p w14:paraId="7D142BF6" w14:textId="77777777" w:rsidR="007B5089" w:rsidRPr="007F1C94" w:rsidRDefault="007B5089" w:rsidP="00C165A1">
            <w:pPr>
              <w:contextualSpacing/>
              <w:rPr>
                <w:rFonts w:ascii="Verdana" w:hAnsi="Verdana" w:cs="Arial"/>
                <w:sz w:val="16"/>
                <w:szCs w:val="16"/>
                <w:lang w:val="es-ES" w:eastAsia="es-ES"/>
              </w:rPr>
            </w:pPr>
            <w:r w:rsidRPr="007F1C9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E77AED" w14:textId="65BF904E" w:rsidR="007B5089" w:rsidRPr="007F1C94" w:rsidRDefault="008E0605" w:rsidP="00C165A1">
            <w:pPr>
              <w:contextualSpacing/>
              <w:rPr>
                <w:rStyle w:val="normaltextrun"/>
                <w:rFonts w:ascii="Verdana" w:eastAsia="Times New Roman" w:hAnsi="Verdana" w:cs="Times New Roman"/>
                <w:sz w:val="16"/>
                <w:szCs w:val="16"/>
                <w:lang w:val="es-ES" w:eastAsia="es-CO"/>
              </w:rPr>
            </w:pPr>
            <w:r w:rsidRPr="008E0605">
              <w:rPr>
                <w:rStyle w:val="normaltextrun"/>
                <w:rFonts w:ascii="Verdana" w:eastAsia="Times New Roman" w:hAnsi="Verdana" w:cs="Times New Roman"/>
                <w:sz w:val="16"/>
                <w:szCs w:val="16"/>
                <w:lang w:val="es-ES" w:eastAsia="es-CO"/>
              </w:rPr>
              <w:t xml:space="preserve">Diana </w:t>
            </w:r>
            <w:r w:rsidR="007B5089" w:rsidRPr="008E0605">
              <w:rPr>
                <w:rStyle w:val="normaltextrun"/>
                <w:rFonts w:ascii="Verdana" w:eastAsia="Times New Roman" w:hAnsi="Verdana" w:cs="Times New Roman"/>
                <w:sz w:val="16"/>
                <w:szCs w:val="16"/>
                <w:lang w:val="es-ES" w:eastAsia="es-CO"/>
              </w:rPr>
              <w:t>Carolina</w:t>
            </w:r>
            <w:r w:rsidR="007B5089" w:rsidRPr="007F1C94">
              <w:rPr>
                <w:rStyle w:val="normaltextrun"/>
                <w:rFonts w:ascii="Verdana" w:eastAsia="Times New Roman" w:hAnsi="Verdana" w:cs="Times New Roman"/>
                <w:sz w:val="16"/>
                <w:szCs w:val="16"/>
                <w:lang w:val="es-ES" w:eastAsia="es-CO"/>
              </w:rPr>
              <w:t xml:space="preserve"> Blanco Rodriguez </w:t>
            </w:r>
          </w:p>
          <w:p w14:paraId="106381A2" w14:textId="77777777" w:rsidR="007B5089" w:rsidRPr="007F1C94" w:rsidRDefault="007B5089" w:rsidP="00C165A1">
            <w:pPr>
              <w:contextualSpacing/>
              <w:rPr>
                <w:rFonts w:ascii="Verdana" w:eastAsia="Arial" w:hAnsi="Verdana" w:cs="Arial"/>
                <w:sz w:val="16"/>
                <w:szCs w:val="16"/>
              </w:rPr>
            </w:pPr>
            <w:r w:rsidRPr="007F1C94">
              <w:rPr>
                <w:rStyle w:val="normaltextrun"/>
                <w:rFonts w:ascii="Verdana" w:eastAsia="Times New Roman" w:hAnsi="Verdana" w:cs="Times New Roman"/>
                <w:sz w:val="16"/>
                <w:szCs w:val="16"/>
                <w:lang w:val="es-ES" w:eastAsia="es-CO"/>
              </w:rPr>
              <w:t>Contratista de la Subdirección de Gestión Contractual</w:t>
            </w:r>
            <w:r w:rsidRPr="007F1C94">
              <w:rPr>
                <w:rStyle w:val="eop"/>
                <w:rFonts w:ascii="Verdana" w:hAnsi="Verdana" w:cs="Arial"/>
                <w:sz w:val="16"/>
                <w:szCs w:val="16"/>
              </w:rPr>
              <w:t> </w:t>
            </w:r>
          </w:p>
        </w:tc>
      </w:tr>
      <w:tr w:rsidR="007B5089" w:rsidRPr="007F1C94" w14:paraId="7D1C9202" w14:textId="77777777" w:rsidTr="00C165A1">
        <w:trPr>
          <w:trHeight w:val="330"/>
        </w:trPr>
        <w:tc>
          <w:tcPr>
            <w:tcW w:w="893" w:type="dxa"/>
            <w:vAlign w:val="center"/>
            <w:hideMark/>
          </w:tcPr>
          <w:p w14:paraId="0B123FE3" w14:textId="77777777" w:rsidR="007B5089" w:rsidRPr="007F1C94" w:rsidRDefault="007B5089" w:rsidP="00C165A1">
            <w:pPr>
              <w:contextualSpacing/>
              <w:rPr>
                <w:rFonts w:ascii="Verdana" w:hAnsi="Verdana" w:cs="Arial"/>
                <w:sz w:val="16"/>
                <w:szCs w:val="16"/>
                <w:lang w:val="es-ES" w:eastAsia="es-ES"/>
              </w:rPr>
            </w:pPr>
            <w:r w:rsidRPr="007F1C9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6298DFA" w14:textId="010FF873" w:rsidR="007B5089" w:rsidRPr="007B5089" w:rsidRDefault="007B5089" w:rsidP="00C165A1">
            <w:pPr>
              <w:pStyle w:val="paragraph"/>
              <w:spacing w:before="0" w:beforeAutospacing="0" w:after="0" w:afterAutospacing="0"/>
              <w:contextualSpacing/>
              <w:textAlignment w:val="baseline"/>
              <w:rPr>
                <w:rStyle w:val="normaltextrun"/>
                <w:rFonts w:ascii="Verdana" w:hAnsi="Verdana"/>
                <w:sz w:val="16"/>
                <w:szCs w:val="16"/>
                <w:lang w:val="es-ES"/>
              </w:rPr>
            </w:pPr>
            <w:r w:rsidRPr="007B5089">
              <w:rPr>
                <w:rStyle w:val="normaltextrun"/>
                <w:rFonts w:ascii="Verdana" w:hAnsi="Verdana"/>
                <w:sz w:val="16"/>
                <w:szCs w:val="16"/>
                <w:lang w:val="es-ES"/>
              </w:rPr>
              <w:t xml:space="preserve">Diana Saavedra </w:t>
            </w:r>
          </w:p>
          <w:p w14:paraId="13389799" w14:textId="77777777" w:rsidR="007B5089" w:rsidRPr="007F1C94" w:rsidRDefault="007B5089" w:rsidP="00C165A1">
            <w:pPr>
              <w:pStyle w:val="paragraph"/>
              <w:spacing w:before="0" w:beforeAutospacing="0" w:after="0" w:afterAutospacing="0"/>
              <w:contextualSpacing/>
              <w:textAlignment w:val="baseline"/>
              <w:rPr>
                <w:rFonts w:ascii="Verdana" w:hAnsi="Verdana" w:cs="Segoe UI"/>
                <w:sz w:val="16"/>
                <w:szCs w:val="16"/>
              </w:rPr>
            </w:pPr>
            <w:r w:rsidRPr="007B5089">
              <w:rPr>
                <w:rStyle w:val="eop"/>
                <w:rFonts w:ascii="Verdana" w:hAnsi="Verdana" w:cs="Arial"/>
                <w:sz w:val="16"/>
                <w:szCs w:val="16"/>
              </w:rPr>
              <w:t>Contratista de la</w:t>
            </w:r>
            <w:r w:rsidRPr="007F1C94">
              <w:rPr>
                <w:rStyle w:val="eop"/>
                <w:rFonts w:ascii="Verdana" w:hAnsi="Verdana" w:cs="Arial"/>
                <w:sz w:val="16"/>
                <w:szCs w:val="16"/>
              </w:rPr>
              <w:t xml:space="preserve"> Subdirección de Negocios </w:t>
            </w:r>
          </w:p>
        </w:tc>
      </w:tr>
      <w:tr w:rsidR="007B5089" w:rsidRPr="007F1C94" w14:paraId="303C88F4" w14:textId="77777777" w:rsidTr="00C165A1">
        <w:trPr>
          <w:trHeight w:val="300"/>
        </w:trPr>
        <w:tc>
          <w:tcPr>
            <w:tcW w:w="893" w:type="dxa"/>
            <w:vAlign w:val="center"/>
          </w:tcPr>
          <w:p w14:paraId="4C1A573A" w14:textId="77777777" w:rsidR="007B5089" w:rsidRPr="007F1C94" w:rsidRDefault="007B5089" w:rsidP="00C165A1">
            <w:pPr>
              <w:contextualSpacing/>
              <w:rPr>
                <w:rFonts w:ascii="Verdana" w:hAnsi="Verdana" w:cs="Arial"/>
                <w:sz w:val="16"/>
                <w:szCs w:val="16"/>
                <w:lang w:val="es-ES" w:eastAsia="es-ES"/>
              </w:rPr>
            </w:pPr>
            <w:r w:rsidRPr="007F1C9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99139B1" w14:textId="77777777" w:rsidR="007B5089" w:rsidRPr="007F1C94" w:rsidRDefault="007B5089" w:rsidP="00C165A1">
            <w:pPr>
              <w:contextualSpacing/>
              <w:rPr>
                <w:rFonts w:ascii="Verdana" w:eastAsia="Calibri" w:hAnsi="Verdana" w:cs="Arial"/>
                <w:sz w:val="16"/>
                <w:szCs w:val="16"/>
                <w:lang w:val="pt-BR" w:eastAsia="es-ES"/>
              </w:rPr>
            </w:pPr>
            <w:r w:rsidRPr="007F1C94">
              <w:rPr>
                <w:rFonts w:ascii="Verdana" w:eastAsia="Calibri" w:hAnsi="Verdana" w:cs="Arial"/>
                <w:sz w:val="16"/>
                <w:szCs w:val="16"/>
                <w:lang w:val="pt-BR" w:eastAsia="es-ES"/>
              </w:rPr>
              <w:t xml:space="preserve">Carolina Quintero </w:t>
            </w:r>
            <w:proofErr w:type="spellStart"/>
            <w:r w:rsidRPr="007F1C94">
              <w:rPr>
                <w:rFonts w:ascii="Verdana" w:eastAsia="Calibri" w:hAnsi="Verdana" w:cs="Arial"/>
                <w:sz w:val="16"/>
                <w:szCs w:val="16"/>
                <w:lang w:val="pt-BR" w:eastAsia="es-ES"/>
              </w:rPr>
              <w:t>Gacharná</w:t>
            </w:r>
            <w:proofErr w:type="spellEnd"/>
          </w:p>
          <w:p w14:paraId="435F0B2D" w14:textId="77777777" w:rsidR="007B5089" w:rsidRPr="007F1C94" w:rsidRDefault="007B5089" w:rsidP="00C165A1">
            <w:pPr>
              <w:contextualSpacing/>
              <w:rPr>
                <w:rFonts w:ascii="Verdana" w:eastAsia="Calibri" w:hAnsi="Verdana" w:cs="Arial"/>
                <w:sz w:val="16"/>
                <w:szCs w:val="16"/>
                <w:lang w:val="pt-BR" w:eastAsia="es-ES"/>
              </w:rPr>
            </w:pPr>
            <w:r w:rsidRPr="007F1C94">
              <w:rPr>
                <w:rFonts w:ascii="Verdana" w:eastAsia="Calibri" w:hAnsi="Verdana" w:cs="Arial"/>
                <w:sz w:val="16"/>
                <w:szCs w:val="16"/>
                <w:lang w:eastAsia="es-ES"/>
              </w:rPr>
              <w:t>Subdirectora</w:t>
            </w:r>
            <w:r w:rsidRPr="007F1C94">
              <w:rPr>
                <w:rFonts w:ascii="Verdana" w:eastAsia="Calibri" w:hAnsi="Verdana" w:cs="Arial"/>
                <w:sz w:val="16"/>
                <w:szCs w:val="16"/>
                <w:lang w:val="pt-BR" w:eastAsia="es-ES"/>
              </w:rPr>
              <w:t xml:space="preserve"> de Gestión </w:t>
            </w:r>
            <w:proofErr w:type="spellStart"/>
            <w:r w:rsidRPr="007F1C94">
              <w:rPr>
                <w:rFonts w:ascii="Verdana" w:eastAsia="Calibri" w:hAnsi="Verdana" w:cs="Arial"/>
                <w:sz w:val="16"/>
                <w:szCs w:val="16"/>
                <w:lang w:val="pt-BR" w:eastAsia="es-ES"/>
              </w:rPr>
              <w:t>Contractual</w:t>
            </w:r>
            <w:proofErr w:type="spellEnd"/>
            <w:r w:rsidRPr="007F1C94">
              <w:rPr>
                <w:rFonts w:ascii="Verdana" w:eastAsia="Calibri" w:hAnsi="Verdana" w:cs="Arial"/>
                <w:sz w:val="16"/>
                <w:szCs w:val="16"/>
                <w:lang w:val="pt-BR" w:eastAsia="es-ES"/>
              </w:rPr>
              <w:t xml:space="preserve"> ANCP – CCE</w:t>
            </w:r>
          </w:p>
        </w:tc>
      </w:tr>
    </w:tbl>
    <w:p w14:paraId="19F06F4D" w14:textId="77777777" w:rsidR="00EA28C0" w:rsidRPr="00190500" w:rsidRDefault="00EA28C0" w:rsidP="00EA28C0">
      <w:pPr>
        <w:rPr>
          <w:rFonts w:ascii="Verdana" w:hAnsi="Verdana"/>
        </w:rPr>
      </w:pPr>
    </w:p>
    <w:p w14:paraId="37EA994A" w14:textId="77777777" w:rsidR="00EA28C0" w:rsidRPr="00190500" w:rsidRDefault="00EA28C0" w:rsidP="00EA28C0">
      <w:pPr>
        <w:rPr>
          <w:rFonts w:ascii="Verdana" w:hAnsi="Verdana"/>
        </w:rPr>
      </w:pPr>
    </w:p>
    <w:p w14:paraId="3E078E30" w14:textId="77777777" w:rsidR="00EA28C0" w:rsidRPr="00190500" w:rsidRDefault="00EA28C0" w:rsidP="00EA28C0">
      <w:pPr>
        <w:rPr>
          <w:rFonts w:ascii="Verdana" w:hAnsi="Verdana"/>
        </w:rPr>
      </w:pPr>
    </w:p>
    <w:p w14:paraId="42E6AD44" w14:textId="77777777" w:rsidR="00EA28C0" w:rsidRPr="00190500" w:rsidRDefault="00EA28C0" w:rsidP="00EA28C0">
      <w:pPr>
        <w:rPr>
          <w:rFonts w:ascii="Verdana" w:hAnsi="Verdana"/>
        </w:rPr>
      </w:pPr>
    </w:p>
    <w:p w14:paraId="0F293BF4" w14:textId="7BBFAB11" w:rsidR="00127233" w:rsidRPr="00EA28C0" w:rsidRDefault="00127233" w:rsidP="00EA28C0"/>
    <w:sectPr w:rsidR="00127233" w:rsidRPr="00EA28C0" w:rsidSect="00903CF7">
      <w:headerReference w:type="default" r:id="rId23"/>
      <w:footerReference w:type="default" r:id="rId24"/>
      <w:pgSz w:w="12240" w:h="15840" w:code="1"/>
      <w:pgMar w:top="1417" w:right="1608"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8326D" w14:textId="77777777" w:rsidR="00B616E3" w:rsidRDefault="00B616E3" w:rsidP="004A1847">
      <w:pPr>
        <w:spacing w:after="0" w:line="240" w:lineRule="auto"/>
      </w:pPr>
      <w:r>
        <w:separator/>
      </w:r>
    </w:p>
  </w:endnote>
  <w:endnote w:type="continuationSeparator" w:id="0">
    <w:p w14:paraId="08CBBE83" w14:textId="77777777" w:rsidR="00B616E3" w:rsidRDefault="00B616E3" w:rsidP="004A1847">
      <w:pPr>
        <w:spacing w:after="0" w:line="240" w:lineRule="auto"/>
      </w:pPr>
      <w:r>
        <w:continuationSeparator/>
      </w:r>
    </w:p>
  </w:endnote>
  <w:endnote w:type="continuationNotice" w:id="1">
    <w:p w14:paraId="561DBEB2" w14:textId="77777777" w:rsidR="00B616E3" w:rsidRDefault="00B616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12B45" w14:textId="77777777" w:rsidR="00B616E3" w:rsidRDefault="00B616E3" w:rsidP="004A1847">
      <w:pPr>
        <w:spacing w:after="0" w:line="240" w:lineRule="auto"/>
      </w:pPr>
      <w:r>
        <w:separator/>
      </w:r>
    </w:p>
  </w:footnote>
  <w:footnote w:type="continuationSeparator" w:id="0">
    <w:p w14:paraId="44F22C63" w14:textId="77777777" w:rsidR="00B616E3" w:rsidRDefault="00B616E3" w:rsidP="004A1847">
      <w:pPr>
        <w:spacing w:after="0" w:line="240" w:lineRule="auto"/>
      </w:pPr>
      <w:r>
        <w:continuationSeparator/>
      </w:r>
    </w:p>
  </w:footnote>
  <w:footnote w:type="continuationNotice" w:id="1">
    <w:p w14:paraId="5341B393" w14:textId="77777777" w:rsidR="00B616E3" w:rsidRDefault="00B616E3">
      <w:pPr>
        <w:spacing w:after="0" w:line="240" w:lineRule="auto"/>
      </w:pPr>
    </w:p>
  </w:footnote>
  <w:footnote w:id="2">
    <w:p w14:paraId="623D90E4" w14:textId="77777777" w:rsidR="00EA28C0" w:rsidRPr="00E706E2" w:rsidRDefault="00EA28C0" w:rsidP="00EA28C0">
      <w:pPr>
        <w:pStyle w:val="Default"/>
        <w:ind w:firstLine="708"/>
        <w:jc w:val="both"/>
        <w:rPr>
          <w:rFonts w:ascii="Verdana" w:hAnsi="Verdana"/>
          <w:color w:val="000000" w:themeColor="text1"/>
          <w:sz w:val="16"/>
          <w:szCs w:val="16"/>
        </w:rPr>
      </w:pPr>
      <w:r w:rsidRPr="00E706E2">
        <w:rPr>
          <w:rStyle w:val="Refdenotaalpie"/>
          <w:rFonts w:ascii="Verdana" w:hAnsi="Verdana"/>
          <w:color w:val="000000" w:themeColor="text1"/>
          <w:sz w:val="16"/>
          <w:szCs w:val="16"/>
        </w:rPr>
        <w:footnoteRef/>
      </w:r>
      <w:r w:rsidRPr="00E706E2">
        <w:rPr>
          <w:rFonts w:ascii="Verdana" w:hAnsi="Verdana"/>
          <w:color w:val="000000" w:themeColor="text1"/>
          <w:sz w:val="16"/>
          <w:szCs w:val="16"/>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6EEC64ED" w14:textId="77777777" w:rsidR="00EA28C0" w:rsidRPr="00E706E2" w:rsidRDefault="00EA28C0" w:rsidP="00EA28C0">
      <w:pPr>
        <w:pStyle w:val="Textonotapie"/>
        <w:spacing w:before="120"/>
        <w:ind w:firstLine="709"/>
        <w:jc w:val="both"/>
        <w:rPr>
          <w:rFonts w:ascii="Verdana" w:hAnsi="Verdana" w:cs="Arial"/>
          <w:color w:val="000000" w:themeColor="text1"/>
          <w:sz w:val="16"/>
          <w:szCs w:val="16"/>
        </w:rPr>
      </w:pPr>
      <w:r w:rsidRPr="00E706E2">
        <w:rPr>
          <w:rFonts w:ascii="Verdana" w:hAnsi="Verdana" w:cs="Arial"/>
          <w:color w:val="000000" w:themeColor="text1"/>
          <w:sz w:val="16"/>
          <w:szCs w:val="16"/>
        </w:rPr>
        <w:t>Sin embargo, cualquiera que sea su objeto, las sociedades comerciales y civiles estarán sujetas, para todos los efectos, a la legislación mercantil”.</w:t>
      </w:r>
    </w:p>
    <w:p w14:paraId="7DE8B9BA"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3">
    <w:p w14:paraId="642A087C" w14:textId="77777777" w:rsidR="00EA28C0" w:rsidRPr="00E706E2" w:rsidRDefault="00EA28C0" w:rsidP="00EA28C0">
      <w:pPr>
        <w:pStyle w:val="Textonotapie"/>
        <w:ind w:firstLine="709"/>
        <w:jc w:val="both"/>
        <w:rPr>
          <w:rFonts w:ascii="Verdana" w:hAnsi="Verdana" w:cs="Arial"/>
          <w:sz w:val="16"/>
          <w:szCs w:val="16"/>
        </w:rPr>
      </w:pPr>
      <w:r w:rsidRPr="00E706E2">
        <w:rPr>
          <w:rStyle w:val="Refdenotaalpie"/>
          <w:rFonts w:ascii="Verdana" w:hAnsi="Verdana" w:cs="Arial"/>
          <w:sz w:val="16"/>
          <w:szCs w:val="16"/>
        </w:rPr>
        <w:footnoteRef/>
      </w:r>
      <w:r w:rsidRPr="00E706E2">
        <w:rPr>
          <w:rFonts w:ascii="Verdana" w:hAnsi="Verdana" w:cs="Arial"/>
          <w:sz w:val="16"/>
          <w:szCs w:val="16"/>
        </w:rPr>
        <w:t xml:space="preserve"> Ley 1450 de 2011. “Artículo 43. Definiciones de tamaño empresarial. El artículo 2° de la Ley 590 de 2000, quedará así: </w:t>
      </w:r>
    </w:p>
    <w:p w14:paraId="3B9456E3"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44D61423"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1. Número de trabajadores totales. </w:t>
      </w:r>
    </w:p>
    <w:p w14:paraId="63CF5C1A" w14:textId="77777777" w:rsidR="00EA28C0" w:rsidRPr="00E706E2" w:rsidRDefault="00EA28C0" w:rsidP="00EA28C0">
      <w:pPr>
        <w:pStyle w:val="Textonotapie"/>
        <w:spacing w:before="120"/>
        <w:jc w:val="both"/>
        <w:rPr>
          <w:rFonts w:ascii="Verdana" w:hAnsi="Verdana" w:cs="Arial"/>
          <w:sz w:val="16"/>
          <w:szCs w:val="16"/>
        </w:rPr>
      </w:pPr>
      <w:r w:rsidRPr="00E706E2">
        <w:rPr>
          <w:rFonts w:ascii="Verdana" w:hAnsi="Verdana" w:cs="Arial"/>
          <w:sz w:val="16"/>
          <w:szCs w:val="16"/>
        </w:rPr>
        <w:t xml:space="preserve"> </w:t>
      </w:r>
      <w:r w:rsidRPr="00E706E2">
        <w:rPr>
          <w:rFonts w:ascii="Verdana" w:hAnsi="Verdana" w:cs="Arial"/>
          <w:sz w:val="16"/>
          <w:szCs w:val="16"/>
        </w:rPr>
        <w:tab/>
        <w:t xml:space="preserve">2. Valor de ventas brutas anuales. </w:t>
      </w:r>
    </w:p>
    <w:p w14:paraId="250D4609"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 3. Valor activos totales. </w:t>
      </w:r>
    </w:p>
    <w:p w14:paraId="09449307"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26C91929"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0BD6F46B" w14:textId="77777777" w:rsidR="00EA28C0"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506B5B07" w14:textId="77777777" w:rsidR="00EA28C0" w:rsidRPr="00E706E2" w:rsidRDefault="00EA28C0" w:rsidP="00EA28C0">
      <w:pPr>
        <w:pStyle w:val="Textonotapie"/>
        <w:spacing w:before="120"/>
        <w:ind w:firstLine="708"/>
        <w:jc w:val="both"/>
        <w:rPr>
          <w:rFonts w:ascii="Verdana" w:hAnsi="Verdana" w:cs="Arial"/>
          <w:sz w:val="16"/>
          <w:szCs w:val="16"/>
          <w:lang w:val="es-CO"/>
        </w:rPr>
      </w:pPr>
    </w:p>
  </w:footnote>
  <w:footnote w:id="4">
    <w:p w14:paraId="418FF130"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BARRERO BUITRAGO, Álvaro. Manual para el establecimiento de sociedades (4ta. ed.). Editorial Librería del Profesional. Bogotá. 2006. p. 21. Allí se lee, en relación con el requisito que deben cumplir las sociedades comerciales sobre el ánimo de lucro, lo siguiente: “esta característica viene a diferenciar a la sociedad mercantil de cualquier otra forma asociativa, pues para el comerciante la utilidad es primordial en sus actividades, no ocurriendo lo mismo para otras personas, donde el fin primordial no es obtener ganancias, como en el caso de las sociedades cooperativas”.</w:t>
      </w:r>
    </w:p>
    <w:p w14:paraId="4A248984"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5">
    <w:p w14:paraId="76BC66F0"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w:t>
      </w:r>
    </w:p>
    <w:p w14:paraId="34C60B29" w14:textId="77777777" w:rsidR="00EA28C0" w:rsidRPr="00E706E2" w:rsidRDefault="00EA28C0" w:rsidP="00EA28C0">
      <w:pPr>
        <w:pStyle w:val="Textonotapie"/>
        <w:spacing w:before="120"/>
        <w:ind w:firstLine="709"/>
        <w:jc w:val="both"/>
        <w:rPr>
          <w:rFonts w:ascii="Verdana" w:hAnsi="Verdana" w:cs="Arial"/>
          <w:color w:val="000000" w:themeColor="text1"/>
          <w:sz w:val="16"/>
          <w:szCs w:val="16"/>
        </w:rPr>
      </w:pPr>
      <w:r w:rsidRPr="00E706E2">
        <w:rPr>
          <w:rFonts w:ascii="Verdana" w:hAnsi="Verdana" w:cs="Arial"/>
          <w:color w:val="000000" w:themeColor="text1"/>
          <w:sz w:val="16"/>
          <w:szCs w:val="16"/>
        </w:rPr>
        <w:t xml:space="preserve">La ausencia de lucro es una de sus características fundamentales, lo cual significa que no existe el reparto de utilidades o remanentes generados en el desarrollo de sus objetivos, ni es viable el reembolso de los bienes o dineros aportados a la entidad </w:t>
      </w:r>
      <w:r>
        <w:rPr>
          <w:rFonts w:ascii="Verdana" w:hAnsi="Verdana" w:cs="Arial"/>
          <w:color w:val="000000" w:themeColor="text1"/>
          <w:sz w:val="16"/>
          <w:szCs w:val="16"/>
        </w:rPr>
        <w:t>(</w:t>
      </w:r>
      <w:r w:rsidRPr="00E706E2">
        <w:rPr>
          <w:rFonts w:ascii="Verdana" w:hAnsi="Verdana" w:cs="Arial"/>
          <w:color w:val="000000" w:themeColor="text1"/>
          <w:sz w:val="16"/>
          <w:szCs w:val="16"/>
        </w:rPr>
        <w:t>…</w:t>
      </w:r>
      <w:r>
        <w:rPr>
          <w:rFonts w:ascii="Verdana" w:hAnsi="Verdana" w:cs="Arial"/>
          <w:color w:val="000000" w:themeColor="text1"/>
          <w:sz w:val="16"/>
          <w:szCs w:val="16"/>
        </w:rPr>
        <w:t>)</w:t>
      </w:r>
      <w:r w:rsidRPr="00E706E2">
        <w:rPr>
          <w:rFonts w:ascii="Verdana" w:hAnsi="Verdana" w:cs="Arial"/>
          <w:color w:val="000000" w:themeColor="text1"/>
          <w:sz w:val="16"/>
          <w:szCs w:val="16"/>
        </w:rPr>
        <w:t>”.</w:t>
      </w:r>
    </w:p>
    <w:p w14:paraId="2CA6F50B"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6">
    <w:p w14:paraId="1C1375F9" w14:textId="77777777" w:rsidR="00EA28C0" w:rsidRPr="00EA28C0" w:rsidRDefault="00EA28C0" w:rsidP="00EA28C0">
      <w:pPr>
        <w:pStyle w:val="Textonotapie"/>
        <w:rPr>
          <w:lang w:val="es-ES"/>
        </w:rPr>
      </w:pPr>
      <w:r>
        <w:rPr>
          <w:rStyle w:val="Refdenotaalpie"/>
        </w:rPr>
        <w:footnoteRef/>
      </w:r>
      <w:r>
        <w:t xml:space="preserve"> Artículo 98 </w:t>
      </w:r>
      <w:proofErr w:type="spellStart"/>
      <w:proofErr w:type="gramStart"/>
      <w:r>
        <w:t>C.Co</w:t>
      </w:r>
      <w:proofErr w:type="spellEnd"/>
      <w:proofErr w:type="gramEnd"/>
      <w:r>
        <w:t xml:space="preserve"> “</w:t>
      </w:r>
      <w:r w:rsidRPr="00041D4B">
        <w:rPr>
          <w:lang w:val="es-CO"/>
        </w:rPr>
        <w:t>Por el contrato de sociedad dos o más personas se obligan a hacer un aporte en dinero, en trabajo o en otros bienes apreciables en dinero, con el fin de repartirse entre sí las utilidades obtenidas en la empresa o actividad social</w:t>
      </w:r>
      <w:r>
        <w:rPr>
          <w:lang w:val="es-CO"/>
        </w:rPr>
        <w:t>”.</w:t>
      </w:r>
    </w:p>
  </w:footnote>
  <w:footnote w:id="7">
    <w:p w14:paraId="31A1962B"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Corte Constitucional. Sentencia C-287 de 2012. </w:t>
      </w:r>
      <w:bookmarkStart w:id="1" w:name="_Hlk173274364"/>
      <w:r w:rsidRPr="00E706E2">
        <w:rPr>
          <w:rFonts w:ascii="Verdana" w:hAnsi="Verdana" w:cs="Arial"/>
          <w:color w:val="000000" w:themeColor="text1"/>
          <w:sz w:val="16"/>
          <w:szCs w:val="16"/>
        </w:rPr>
        <w:t>M.P. María Victoria Calle.</w:t>
      </w:r>
      <w:bookmarkEnd w:id="1"/>
    </w:p>
    <w:p w14:paraId="1F0AB8C1"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8">
    <w:p w14:paraId="795E8260"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Consejo de Estado, Sección Cuarta. Providencia del 26 de octubre de 2009. </w:t>
      </w:r>
      <w:proofErr w:type="spellStart"/>
      <w:r w:rsidRPr="00E706E2">
        <w:rPr>
          <w:rFonts w:ascii="Verdana" w:hAnsi="Verdana" w:cs="Arial"/>
          <w:color w:val="000000" w:themeColor="text1"/>
          <w:sz w:val="16"/>
          <w:szCs w:val="16"/>
        </w:rPr>
        <w:t>Exp</w:t>
      </w:r>
      <w:proofErr w:type="spellEnd"/>
      <w:r w:rsidRPr="00E706E2">
        <w:rPr>
          <w:rFonts w:ascii="Verdana" w:hAnsi="Verdana" w:cs="Arial"/>
          <w:color w:val="000000" w:themeColor="text1"/>
          <w:sz w:val="16"/>
          <w:szCs w:val="16"/>
        </w:rPr>
        <w:t>. No. 25000-23-27-000-2007-00160-01(17200). M.P. Martha Teresa Briceño de Valencia.</w:t>
      </w:r>
    </w:p>
    <w:p w14:paraId="39BC9AE8"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9">
    <w:p w14:paraId="138F7DD7" w14:textId="77777777" w:rsidR="00EA28C0" w:rsidRPr="00E706E2" w:rsidRDefault="00EA28C0" w:rsidP="00EA28C0">
      <w:pPr>
        <w:pStyle w:val="Textonotapie"/>
        <w:ind w:firstLine="709"/>
        <w:jc w:val="both"/>
        <w:rPr>
          <w:rFonts w:ascii="Verdana" w:hAnsi="Verdana" w:cs="Arial"/>
          <w:color w:val="000000" w:themeColor="text1"/>
          <w:sz w:val="16"/>
          <w:szCs w:val="16"/>
          <w:lang w:val="es-CO"/>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Corte Constitucional. Sala Plena. Sentencia C 178 de 29 de abril de 1996. Magistrado Ponente: Antonio Barrera Carbonell. Expediente No. D-974. </w:t>
      </w:r>
    </w:p>
  </w:footnote>
  <w:footnote w:id="10">
    <w:p w14:paraId="02DB667E" w14:textId="77777777" w:rsidR="00EA28C0" w:rsidRPr="00E706E2" w:rsidRDefault="00EA28C0" w:rsidP="00EA28C0">
      <w:pPr>
        <w:spacing w:after="0" w:line="240" w:lineRule="auto"/>
        <w:ind w:firstLine="709"/>
        <w:jc w:val="both"/>
        <w:rPr>
          <w:rFonts w:ascii="Verdana" w:hAnsi="Verdana" w:cs="Arial"/>
          <w:color w:val="000000" w:themeColor="text1"/>
          <w:sz w:val="16"/>
          <w:szCs w:val="16"/>
        </w:rPr>
      </w:pPr>
    </w:p>
    <w:p w14:paraId="35F7AAE5" w14:textId="77777777" w:rsidR="00EA28C0" w:rsidRPr="00E706E2" w:rsidRDefault="00EA28C0" w:rsidP="00EA28C0">
      <w:pPr>
        <w:spacing w:after="0" w:line="240" w:lineRule="auto"/>
        <w:ind w:firstLine="709"/>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“Artículo 6o. De la capacidad para contratar. Pueden celebrar contratos con las entidades estatales las personas consideradas legalmente capaces en las disposiciones vigentes”.</w:t>
      </w:r>
    </w:p>
    <w:p w14:paraId="7963D2BB" w14:textId="77777777" w:rsidR="00EA28C0" w:rsidRPr="00E706E2" w:rsidRDefault="00EA28C0" w:rsidP="00EA28C0">
      <w:pPr>
        <w:pStyle w:val="Textonotapie"/>
        <w:ind w:firstLine="709"/>
        <w:jc w:val="both"/>
        <w:rPr>
          <w:rFonts w:ascii="Verdana" w:hAnsi="Verdana" w:cs="Arial"/>
          <w:color w:val="000000" w:themeColor="text1"/>
          <w:sz w:val="16"/>
          <w:szCs w:val="16"/>
        </w:rPr>
      </w:pPr>
    </w:p>
  </w:footnote>
  <w:footnote w:id="11">
    <w:p w14:paraId="059841FA" w14:textId="77777777" w:rsidR="00EA28C0" w:rsidRPr="00EA28C0" w:rsidRDefault="00EA28C0" w:rsidP="00EA28C0">
      <w:pPr>
        <w:pStyle w:val="Textonotapie"/>
        <w:rPr>
          <w:lang w:val="es-ES"/>
        </w:rPr>
      </w:pPr>
      <w:r>
        <w:rPr>
          <w:rStyle w:val="Refdenotaalpie"/>
        </w:rPr>
        <w:footnoteRef/>
      </w:r>
      <w:r>
        <w:t xml:space="preserve"> </w:t>
      </w:r>
      <w:r>
        <w:rPr>
          <w:lang w:val="es-ES"/>
        </w:rPr>
        <w:t>C 135 de 2023 Expedido por la ANCP-CCE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76326942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671193696" name="Imagen 671193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9C0B71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028561759" o:spid="_x0000_i1025" type="#_x0000_t75" style="width:11.25pt;height:11.25pt;visibility:visible;mso-wrap-style:square">
            <v:imagedata r:id="rId1" o:title=""/>
          </v:shape>
        </w:pict>
      </mc:Choice>
      <mc:Fallback>
        <w:drawing>
          <wp:inline distT="0" distB="0" distL="0" distR="0" wp14:anchorId="65E270C4" wp14:editId="3B0CF8ED">
            <wp:extent cx="142875" cy="142875"/>
            <wp:effectExtent l="0" t="0" r="0" b="0"/>
            <wp:docPr id="2028561759" name="Imagen 2028561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94460F"/>
    <w:multiLevelType w:val="hybridMultilevel"/>
    <w:tmpl w:val="A50EA0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05666100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1132821">
    <w:abstractNumId w:val="3"/>
  </w:num>
  <w:num w:numId="18" w16cid:durableId="12400156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6E0"/>
    <w:rsid w:val="00061B2A"/>
    <w:rsid w:val="00082362"/>
    <w:rsid w:val="000A683E"/>
    <w:rsid w:val="000A6A5A"/>
    <w:rsid w:val="000B19B9"/>
    <w:rsid w:val="000B3CCB"/>
    <w:rsid w:val="000B4FA8"/>
    <w:rsid w:val="000C23C4"/>
    <w:rsid w:val="000D0334"/>
    <w:rsid w:val="000F3965"/>
    <w:rsid w:val="000F6486"/>
    <w:rsid w:val="00125105"/>
    <w:rsid w:val="00127233"/>
    <w:rsid w:val="00151D15"/>
    <w:rsid w:val="00180F0D"/>
    <w:rsid w:val="00182210"/>
    <w:rsid w:val="00190500"/>
    <w:rsid w:val="001B00AF"/>
    <w:rsid w:val="001D2D8F"/>
    <w:rsid w:val="001E4177"/>
    <w:rsid w:val="001F7DC6"/>
    <w:rsid w:val="00235068"/>
    <w:rsid w:val="002377F1"/>
    <w:rsid w:val="002421BB"/>
    <w:rsid w:val="0025796E"/>
    <w:rsid w:val="00260F35"/>
    <w:rsid w:val="002707A2"/>
    <w:rsid w:val="002951A0"/>
    <w:rsid w:val="002962BC"/>
    <w:rsid w:val="002A093D"/>
    <w:rsid w:val="002A0DD0"/>
    <w:rsid w:val="002A49AC"/>
    <w:rsid w:val="002A64FD"/>
    <w:rsid w:val="002B413A"/>
    <w:rsid w:val="002C7A84"/>
    <w:rsid w:val="002E144C"/>
    <w:rsid w:val="002E4FD9"/>
    <w:rsid w:val="002E531C"/>
    <w:rsid w:val="0030537C"/>
    <w:rsid w:val="00322A85"/>
    <w:rsid w:val="00324168"/>
    <w:rsid w:val="003278B1"/>
    <w:rsid w:val="003448F4"/>
    <w:rsid w:val="003452EC"/>
    <w:rsid w:val="00374F5E"/>
    <w:rsid w:val="00377E3E"/>
    <w:rsid w:val="003A26D1"/>
    <w:rsid w:val="003A779E"/>
    <w:rsid w:val="003D0F4D"/>
    <w:rsid w:val="003D462A"/>
    <w:rsid w:val="003D5B0D"/>
    <w:rsid w:val="003E0499"/>
    <w:rsid w:val="003F3941"/>
    <w:rsid w:val="00406575"/>
    <w:rsid w:val="004146A0"/>
    <w:rsid w:val="0042722E"/>
    <w:rsid w:val="0044528D"/>
    <w:rsid w:val="0049428D"/>
    <w:rsid w:val="004A1847"/>
    <w:rsid w:val="004A2761"/>
    <w:rsid w:val="004A305D"/>
    <w:rsid w:val="004E4591"/>
    <w:rsid w:val="004F21C4"/>
    <w:rsid w:val="004F685F"/>
    <w:rsid w:val="004F6B27"/>
    <w:rsid w:val="0050498C"/>
    <w:rsid w:val="0052172D"/>
    <w:rsid w:val="00550432"/>
    <w:rsid w:val="005566E8"/>
    <w:rsid w:val="00566512"/>
    <w:rsid w:val="00574867"/>
    <w:rsid w:val="00591460"/>
    <w:rsid w:val="00592628"/>
    <w:rsid w:val="005C3777"/>
    <w:rsid w:val="005C5CDC"/>
    <w:rsid w:val="005D476C"/>
    <w:rsid w:val="005D6C09"/>
    <w:rsid w:val="005D7029"/>
    <w:rsid w:val="005F009D"/>
    <w:rsid w:val="00610812"/>
    <w:rsid w:val="00614A35"/>
    <w:rsid w:val="006219F8"/>
    <w:rsid w:val="00650FF7"/>
    <w:rsid w:val="006554F3"/>
    <w:rsid w:val="00665D70"/>
    <w:rsid w:val="006707C8"/>
    <w:rsid w:val="00671DAC"/>
    <w:rsid w:val="00675D4D"/>
    <w:rsid w:val="00677311"/>
    <w:rsid w:val="0068364B"/>
    <w:rsid w:val="006900D9"/>
    <w:rsid w:val="006B2855"/>
    <w:rsid w:val="006D12F8"/>
    <w:rsid w:val="006D6F36"/>
    <w:rsid w:val="00706C16"/>
    <w:rsid w:val="00730C66"/>
    <w:rsid w:val="007318AB"/>
    <w:rsid w:val="00732EED"/>
    <w:rsid w:val="007407D3"/>
    <w:rsid w:val="00740B6D"/>
    <w:rsid w:val="00754A1A"/>
    <w:rsid w:val="00756841"/>
    <w:rsid w:val="007649AB"/>
    <w:rsid w:val="00771D0C"/>
    <w:rsid w:val="007833AC"/>
    <w:rsid w:val="00795898"/>
    <w:rsid w:val="007A5909"/>
    <w:rsid w:val="007B268C"/>
    <w:rsid w:val="007B5089"/>
    <w:rsid w:val="007B7171"/>
    <w:rsid w:val="007C0C0F"/>
    <w:rsid w:val="007C3DC2"/>
    <w:rsid w:val="007D4886"/>
    <w:rsid w:val="007E1EE6"/>
    <w:rsid w:val="007E5497"/>
    <w:rsid w:val="008029BB"/>
    <w:rsid w:val="00806F5F"/>
    <w:rsid w:val="00810178"/>
    <w:rsid w:val="00820278"/>
    <w:rsid w:val="008219B8"/>
    <w:rsid w:val="00843D3F"/>
    <w:rsid w:val="00847747"/>
    <w:rsid w:val="00850CED"/>
    <w:rsid w:val="008843B6"/>
    <w:rsid w:val="00891928"/>
    <w:rsid w:val="00897C61"/>
    <w:rsid w:val="008A22A1"/>
    <w:rsid w:val="008A446D"/>
    <w:rsid w:val="008A7543"/>
    <w:rsid w:val="008D180B"/>
    <w:rsid w:val="008E0605"/>
    <w:rsid w:val="008E51CD"/>
    <w:rsid w:val="008F0EA7"/>
    <w:rsid w:val="008F59C9"/>
    <w:rsid w:val="00903CF7"/>
    <w:rsid w:val="00911EC0"/>
    <w:rsid w:val="0091519A"/>
    <w:rsid w:val="009221F7"/>
    <w:rsid w:val="00922807"/>
    <w:rsid w:val="00923EEF"/>
    <w:rsid w:val="0092661C"/>
    <w:rsid w:val="009419F9"/>
    <w:rsid w:val="0094375E"/>
    <w:rsid w:val="0095685E"/>
    <w:rsid w:val="00961B09"/>
    <w:rsid w:val="00965334"/>
    <w:rsid w:val="00967AFE"/>
    <w:rsid w:val="0097093E"/>
    <w:rsid w:val="00994D67"/>
    <w:rsid w:val="009A0DFA"/>
    <w:rsid w:val="009B2D26"/>
    <w:rsid w:val="009C1E9F"/>
    <w:rsid w:val="009C56AA"/>
    <w:rsid w:val="009C71FA"/>
    <w:rsid w:val="009C72E7"/>
    <w:rsid w:val="009D3058"/>
    <w:rsid w:val="009E0128"/>
    <w:rsid w:val="009F3A13"/>
    <w:rsid w:val="00A077FA"/>
    <w:rsid w:val="00A122D3"/>
    <w:rsid w:val="00A1609F"/>
    <w:rsid w:val="00A1686A"/>
    <w:rsid w:val="00A17F13"/>
    <w:rsid w:val="00A20739"/>
    <w:rsid w:val="00A218FC"/>
    <w:rsid w:val="00A272C9"/>
    <w:rsid w:val="00A32843"/>
    <w:rsid w:val="00A33C78"/>
    <w:rsid w:val="00A75FA7"/>
    <w:rsid w:val="00AB0ADB"/>
    <w:rsid w:val="00AB4808"/>
    <w:rsid w:val="00AC4ED3"/>
    <w:rsid w:val="00AD3AA9"/>
    <w:rsid w:val="00AF3A09"/>
    <w:rsid w:val="00B00EC4"/>
    <w:rsid w:val="00B01B1A"/>
    <w:rsid w:val="00B037D9"/>
    <w:rsid w:val="00B03B03"/>
    <w:rsid w:val="00B07C28"/>
    <w:rsid w:val="00B20183"/>
    <w:rsid w:val="00B219FA"/>
    <w:rsid w:val="00B469EA"/>
    <w:rsid w:val="00B47E89"/>
    <w:rsid w:val="00B616E3"/>
    <w:rsid w:val="00B72CD3"/>
    <w:rsid w:val="00B72FFF"/>
    <w:rsid w:val="00B771F4"/>
    <w:rsid w:val="00B82A13"/>
    <w:rsid w:val="00B97CC5"/>
    <w:rsid w:val="00BA7E37"/>
    <w:rsid w:val="00BC3D36"/>
    <w:rsid w:val="00BC54A2"/>
    <w:rsid w:val="00BC61BB"/>
    <w:rsid w:val="00BD7F72"/>
    <w:rsid w:val="00C04FB3"/>
    <w:rsid w:val="00C1026D"/>
    <w:rsid w:val="00C330EB"/>
    <w:rsid w:val="00C55376"/>
    <w:rsid w:val="00C55402"/>
    <w:rsid w:val="00C754BE"/>
    <w:rsid w:val="00C76B1C"/>
    <w:rsid w:val="00C9402A"/>
    <w:rsid w:val="00CA0389"/>
    <w:rsid w:val="00CB6357"/>
    <w:rsid w:val="00CC1B26"/>
    <w:rsid w:val="00CC3BDB"/>
    <w:rsid w:val="00D063B7"/>
    <w:rsid w:val="00D218E3"/>
    <w:rsid w:val="00D423A2"/>
    <w:rsid w:val="00D47E37"/>
    <w:rsid w:val="00D520D8"/>
    <w:rsid w:val="00D554FE"/>
    <w:rsid w:val="00D62509"/>
    <w:rsid w:val="00D63AC2"/>
    <w:rsid w:val="00D63F03"/>
    <w:rsid w:val="00D7383B"/>
    <w:rsid w:val="00DA202B"/>
    <w:rsid w:val="00DA20B0"/>
    <w:rsid w:val="00DA231B"/>
    <w:rsid w:val="00DA23A0"/>
    <w:rsid w:val="00DB01C6"/>
    <w:rsid w:val="00DC39FC"/>
    <w:rsid w:val="00DE7DC2"/>
    <w:rsid w:val="00DF5254"/>
    <w:rsid w:val="00DF6C1C"/>
    <w:rsid w:val="00E04659"/>
    <w:rsid w:val="00E05894"/>
    <w:rsid w:val="00E14A35"/>
    <w:rsid w:val="00E16408"/>
    <w:rsid w:val="00E20894"/>
    <w:rsid w:val="00E245AB"/>
    <w:rsid w:val="00E2764C"/>
    <w:rsid w:val="00E27F2E"/>
    <w:rsid w:val="00E413EA"/>
    <w:rsid w:val="00E41718"/>
    <w:rsid w:val="00E50AFE"/>
    <w:rsid w:val="00E706E2"/>
    <w:rsid w:val="00E75C92"/>
    <w:rsid w:val="00E771DC"/>
    <w:rsid w:val="00E8772A"/>
    <w:rsid w:val="00E90F6B"/>
    <w:rsid w:val="00E92C27"/>
    <w:rsid w:val="00EA0E3D"/>
    <w:rsid w:val="00EA28C0"/>
    <w:rsid w:val="00EC2443"/>
    <w:rsid w:val="00EC38A7"/>
    <w:rsid w:val="00EC5B6D"/>
    <w:rsid w:val="00ED6845"/>
    <w:rsid w:val="00EE1AA8"/>
    <w:rsid w:val="00F24379"/>
    <w:rsid w:val="00F31EDC"/>
    <w:rsid w:val="00F324E4"/>
    <w:rsid w:val="00F462B3"/>
    <w:rsid w:val="00F5664F"/>
    <w:rsid w:val="00F61BEE"/>
    <w:rsid w:val="00F666C4"/>
    <w:rsid w:val="00F76AFC"/>
    <w:rsid w:val="00FA47C0"/>
    <w:rsid w:val="00FA5E85"/>
    <w:rsid w:val="00FB28C6"/>
    <w:rsid w:val="00FB5DD1"/>
    <w:rsid w:val="00FC2B5D"/>
    <w:rsid w:val="00FE4BE9"/>
    <w:rsid w:val="00FF1449"/>
    <w:rsid w:val="00FF5067"/>
    <w:rsid w:val="00FF6290"/>
    <w:rsid w:val="5CEADB7B"/>
    <w:rsid w:val="6BE06B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30C66"/>
    <w:rPr>
      <w:rFonts w:ascii="Geomanist Light" w:hAnsi="Geomanist Light"/>
      <w:lang w:val="es-ES"/>
    </w:rPr>
  </w:style>
  <w:style w:type="paragraph" w:customStyle="1" w:styleId="Appelnotedebasde">
    <w:name w:val="Appel note de bas de..."/>
    <w:basedOn w:val="Normal"/>
    <w:link w:val="Refdenotaalpie"/>
    <w:uiPriority w:val="99"/>
    <w:rsid w:val="00730C66"/>
    <w:pPr>
      <w:spacing w:line="240" w:lineRule="exact"/>
    </w:pPr>
    <w:rPr>
      <w:vertAlign w:val="superscript"/>
    </w:rPr>
  </w:style>
  <w:style w:type="paragraph" w:styleId="Textoindependiente">
    <w:name w:val="Body Text"/>
    <w:basedOn w:val="Normal"/>
    <w:link w:val="TextoindependienteCar"/>
    <w:uiPriority w:val="99"/>
    <w:unhideWhenUsed/>
    <w:rsid w:val="00730C66"/>
    <w:pPr>
      <w:spacing w:after="120" w:line="240" w:lineRule="auto"/>
    </w:pPr>
    <w:rPr>
      <w:sz w:val="24"/>
      <w:lang w:val="es-MX"/>
    </w:rPr>
  </w:style>
  <w:style w:type="character" w:customStyle="1" w:styleId="TextoindependienteCar">
    <w:name w:val="Texto independiente Car"/>
    <w:basedOn w:val="Fuentedeprrafopredeter"/>
    <w:link w:val="Textoindependiente"/>
    <w:uiPriority w:val="99"/>
    <w:rsid w:val="00730C66"/>
    <w:rPr>
      <w:sz w:val="24"/>
      <w:lang w:val="es-MX"/>
    </w:rPr>
  </w:style>
  <w:style w:type="character" w:styleId="Refdecomentario">
    <w:name w:val="annotation reference"/>
    <w:basedOn w:val="Fuentedeprrafopredeter"/>
    <w:uiPriority w:val="99"/>
    <w:semiHidden/>
    <w:unhideWhenUsed/>
    <w:rsid w:val="00F324E4"/>
    <w:rPr>
      <w:sz w:val="16"/>
      <w:szCs w:val="16"/>
    </w:rPr>
  </w:style>
  <w:style w:type="paragraph" w:styleId="Textocomentario">
    <w:name w:val="annotation text"/>
    <w:basedOn w:val="Normal"/>
    <w:link w:val="TextocomentarioCar"/>
    <w:uiPriority w:val="99"/>
    <w:unhideWhenUsed/>
    <w:rsid w:val="00F324E4"/>
    <w:pPr>
      <w:spacing w:line="240" w:lineRule="auto"/>
    </w:pPr>
    <w:rPr>
      <w:sz w:val="20"/>
      <w:szCs w:val="20"/>
    </w:rPr>
  </w:style>
  <w:style w:type="character" w:customStyle="1" w:styleId="TextocomentarioCar">
    <w:name w:val="Texto comentario Car"/>
    <w:basedOn w:val="Fuentedeprrafopredeter"/>
    <w:link w:val="Textocomentario"/>
    <w:uiPriority w:val="99"/>
    <w:rsid w:val="00F324E4"/>
    <w:rPr>
      <w:sz w:val="20"/>
      <w:szCs w:val="20"/>
    </w:rPr>
  </w:style>
  <w:style w:type="paragraph" w:styleId="Asuntodelcomentario">
    <w:name w:val="annotation subject"/>
    <w:basedOn w:val="Textocomentario"/>
    <w:next w:val="Textocomentario"/>
    <w:link w:val="AsuntodelcomentarioCar"/>
    <w:uiPriority w:val="99"/>
    <w:semiHidden/>
    <w:unhideWhenUsed/>
    <w:rsid w:val="00F324E4"/>
    <w:rPr>
      <w:b/>
      <w:bCs/>
    </w:rPr>
  </w:style>
  <w:style w:type="character" w:customStyle="1" w:styleId="AsuntodelcomentarioCar">
    <w:name w:val="Asunto del comentario Car"/>
    <w:basedOn w:val="TextocomentarioCar"/>
    <w:link w:val="Asuntodelcomentario"/>
    <w:uiPriority w:val="99"/>
    <w:semiHidden/>
    <w:rsid w:val="00F324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codigo-de-comercio-decreto-410-de-1971/" TargetMode="External"/><Relationship Id="rId18" Type="http://schemas.openxmlformats.org/officeDocument/2006/relationships/hyperlink" Target="https://relatoria.colombiacompra.gov.co/normativa/ley-789-de-2002/"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relatoria.colombiacompra.gov.co/busqueda/conceptos" TargetMode="External"/><Relationship Id="rId7" Type="http://schemas.openxmlformats.org/officeDocument/2006/relationships/settings" Target="settings.xml"/><Relationship Id="rId12" Type="http://schemas.openxmlformats.org/officeDocument/2006/relationships/hyperlink" Target="https://relatoria.colombiacompra.gov.co/normativa/constitucion-politica-de-colombia/" TargetMode="External"/><Relationship Id="rId17" Type="http://schemas.openxmlformats.org/officeDocument/2006/relationships/hyperlink" Target="https://relatoria.colombiacompra.gov.co/normativa/decreto-1082-de-2015/"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normativa/ley-1150-de-2007/" TargetMode="External"/><Relationship Id="rId20" Type="http://schemas.openxmlformats.org/officeDocument/2006/relationships/hyperlink" Target="http://servicios.consejodeestado.gov.co/WebRelatoria/FileReferenceServlet?corp=ce&amp;ext=html&amp;file=200131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normativa/ley-80-de-1993/"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corteconstitucional.gov.co/RELATORIA/2012/C-287-12.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1450-de-2011/" TargetMode="External"/><Relationship Id="rId22"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8DE85F1C-9A11-41F3-B26F-A26FFF43F65D}">
  <ds:schemaRefs>
    <ds:schemaRef ds:uri="http://schemas.openxmlformats.org/officeDocument/2006/bibliography"/>
  </ds:schemaRefs>
</ds:datastoreItem>
</file>

<file path=customXml/itemProps2.xml><?xml version="1.0" encoding="utf-8"?>
<ds:datastoreItem xmlns:ds="http://schemas.openxmlformats.org/officeDocument/2006/customXml" ds:itemID="{D5612ADB-9C4A-435A-A36B-35B9A94BC7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3448</Words>
  <Characters>18967</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4</cp:revision>
  <cp:lastPrinted>2023-01-10T21:18:00Z</cp:lastPrinted>
  <dcterms:created xsi:type="dcterms:W3CDTF">2025-06-10T20:44:00Z</dcterms:created>
  <dcterms:modified xsi:type="dcterms:W3CDTF">2025-06-13T16:47:00Z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