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14120" w14:textId="77777777" w:rsidR="003001CE" w:rsidRDefault="003001CE" w:rsidP="00E245AB">
      <w:pPr>
        <w:spacing w:after="0"/>
        <w:rPr>
          <w:rFonts w:ascii="Verdana" w:hAnsi="Verdana"/>
        </w:rPr>
      </w:pPr>
      <w:bookmarkStart w:id="0" w:name="_Hlk143780582"/>
    </w:p>
    <w:p w14:paraId="5E92C2CD" w14:textId="77777777" w:rsidR="005A08FA" w:rsidRDefault="005A08FA" w:rsidP="00796052">
      <w:pPr>
        <w:spacing w:after="0" w:line="240" w:lineRule="auto"/>
        <w:rPr>
          <w:rFonts w:ascii="Verdana" w:hAnsi="Verdana"/>
        </w:rPr>
      </w:pPr>
    </w:p>
    <w:p w14:paraId="0D0EBBE1" w14:textId="3B4CA0AA" w:rsidR="005A08FA" w:rsidRPr="005A08FA" w:rsidRDefault="005A08FA" w:rsidP="00091537">
      <w:pPr>
        <w:jc w:val="both"/>
        <w:rPr>
          <w:rFonts w:ascii="Verdana" w:hAnsi="Verdana"/>
        </w:rPr>
      </w:pPr>
      <w:r w:rsidRPr="005A08FA">
        <w:rPr>
          <w:rFonts w:ascii="Verdana" w:hAnsi="Verdana"/>
          <w:b/>
        </w:rPr>
        <w:t xml:space="preserve">CONVOCATORIAS LIMITADAS A MIPYMES NACIONALES – Requisitos </w:t>
      </w:r>
    </w:p>
    <w:p w14:paraId="094A6814" w14:textId="77777777" w:rsidR="005A08FA" w:rsidRPr="005A08FA" w:rsidRDefault="005A08FA" w:rsidP="00091537">
      <w:pPr>
        <w:spacing w:after="0" w:line="240" w:lineRule="auto"/>
        <w:jc w:val="both"/>
        <w:rPr>
          <w:rFonts w:ascii="Verdana" w:hAnsi="Verdana"/>
          <w:b/>
        </w:rPr>
      </w:pPr>
    </w:p>
    <w:p w14:paraId="068789BB" w14:textId="77777777" w:rsidR="005A08FA" w:rsidRPr="005A08FA" w:rsidRDefault="005A08FA" w:rsidP="00091537">
      <w:pPr>
        <w:spacing w:after="0" w:line="240" w:lineRule="auto"/>
        <w:jc w:val="both"/>
        <w:rPr>
          <w:rFonts w:ascii="Verdana" w:hAnsi="Verdana"/>
        </w:rPr>
      </w:pPr>
      <w:r w:rsidRPr="005A08FA">
        <w:rPr>
          <w:rFonts w:ascii="Verdana" w:hAnsi="Verdana"/>
        </w:rPr>
        <w:t>El artículo 2.2.1.2.4.2.2. del Decreto 1082 de 2015 establece los requisitos que se deben acreditar en las “convocatorias limitadas a MiPymes”. El primer elemento delimitador del ámbito de 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 Esta redacción obedece a un cambio introducido por el Decreto 1860 de 2021, el cual solo permitía la limitación a MiPymes nacionales en los procedimientos de licitación pública, selección abreviada y concurso de méritos.  </w:t>
      </w:r>
    </w:p>
    <w:p w14:paraId="18BB82D5" w14:textId="77777777" w:rsidR="005A08FA" w:rsidRPr="005A08FA" w:rsidRDefault="005A08FA" w:rsidP="00091537">
      <w:pPr>
        <w:spacing w:after="0" w:line="240" w:lineRule="auto"/>
        <w:jc w:val="both"/>
        <w:rPr>
          <w:rFonts w:ascii="Verdana" w:hAnsi="Verdana"/>
          <w:b/>
        </w:rPr>
      </w:pPr>
    </w:p>
    <w:p w14:paraId="6C96EC2F" w14:textId="77777777" w:rsidR="005A08FA" w:rsidRPr="005A08FA" w:rsidRDefault="005A08FA" w:rsidP="00091537">
      <w:pPr>
        <w:spacing w:after="0" w:line="240" w:lineRule="auto"/>
        <w:jc w:val="both"/>
        <w:rPr>
          <w:rFonts w:ascii="Verdana" w:hAnsi="Verdana"/>
        </w:rPr>
      </w:pPr>
      <w:r w:rsidRPr="005A08FA">
        <w:rPr>
          <w:rFonts w:ascii="Verdana" w:hAnsi="Verdana"/>
          <w:b/>
        </w:rPr>
        <w:t xml:space="preserve"> CONVOCATORIAS LIMITADAS A MIPYMES EN EL ÁMBITO TERRITORIAL – Limitación territorial – Facultad discrecional </w:t>
      </w:r>
    </w:p>
    <w:p w14:paraId="74EFB9DD" w14:textId="77777777" w:rsidR="005A08FA" w:rsidRPr="005A08FA" w:rsidRDefault="005A08FA" w:rsidP="00091537">
      <w:pPr>
        <w:spacing w:after="0" w:line="240" w:lineRule="auto"/>
        <w:jc w:val="both"/>
        <w:rPr>
          <w:rFonts w:ascii="Verdana" w:hAnsi="Verdana"/>
        </w:rPr>
      </w:pPr>
    </w:p>
    <w:p w14:paraId="2BBA379E" w14:textId="77777777" w:rsidR="005A08FA" w:rsidRPr="005A08FA" w:rsidRDefault="005A08FA" w:rsidP="00091537">
      <w:pPr>
        <w:spacing w:after="0" w:line="240" w:lineRule="auto"/>
        <w:jc w:val="both"/>
        <w:rPr>
          <w:rFonts w:ascii="Verdana" w:hAnsi="Verdana"/>
        </w:rPr>
      </w:pPr>
      <w:r w:rsidRPr="005A08FA">
        <w:rPr>
          <w:rFonts w:ascii="Verdana" w:hAnsi="Verdana"/>
        </w:rPr>
        <w:t xml:space="preserve">Cumplidos los dos requisitos del artículo 2.2.1.2.4.2.2. </w:t>
      </w:r>
      <w:r w:rsidRPr="005A08FA">
        <w:rPr>
          <w:rFonts w:ascii="Verdana" w:hAnsi="Verdana"/>
          <w:i/>
          <w:iCs/>
        </w:rPr>
        <w:t>ibidem</w:t>
      </w:r>
      <w:r w:rsidRPr="005A08FA">
        <w:rPr>
          <w:rFonts w:ascii="Verdana" w:hAnsi="Verdana"/>
        </w:rPr>
        <w:t>, la entidad puede ─no tiene que─ decidir si limita la convocatoria a las MiPymes nacionales domiciliadas en el municipio o departamento en el que se ejecutará el contrato</w:t>
      </w:r>
      <w:r w:rsidRPr="005A08FA">
        <w:rPr>
          <w:rFonts w:ascii="Verdana" w:hAnsi="Verdana"/>
          <w:vertAlign w:val="superscript"/>
        </w:rPr>
        <w:t>1</w:t>
      </w:r>
      <w:r w:rsidRPr="005A08FA">
        <w:rPr>
          <w:rFonts w:ascii="Verdana" w:hAnsi="Verdana"/>
        </w:rPr>
        <w:t>.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en el rango indicado y solicitudes de al menos dos MiPymes presentadas 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 </w:t>
      </w:r>
    </w:p>
    <w:p w14:paraId="21F46445" w14:textId="77777777" w:rsidR="005A08FA" w:rsidRPr="005A08FA" w:rsidRDefault="005A08FA" w:rsidP="005A08FA">
      <w:pPr>
        <w:spacing w:after="0" w:line="240" w:lineRule="auto"/>
        <w:rPr>
          <w:rFonts w:ascii="Verdana" w:hAnsi="Verdana"/>
        </w:rPr>
      </w:pPr>
    </w:p>
    <w:p w14:paraId="37B76390" w14:textId="77777777" w:rsidR="005A08FA" w:rsidRPr="005A08FA" w:rsidRDefault="005A08FA" w:rsidP="005A08FA">
      <w:pPr>
        <w:spacing w:after="0" w:line="240" w:lineRule="auto"/>
        <w:rPr>
          <w:rFonts w:ascii="Verdana" w:hAnsi="Verdana"/>
        </w:rPr>
      </w:pPr>
    </w:p>
    <w:p w14:paraId="12BD1DB0" w14:textId="34A75193" w:rsidR="005A08FA" w:rsidRPr="005A08FA" w:rsidRDefault="005A08FA" w:rsidP="005A08FA">
      <w:pPr>
        <w:spacing w:after="0" w:line="240" w:lineRule="auto"/>
        <w:rPr>
          <w:rFonts w:ascii="Verdana" w:hAnsi="Verdana"/>
        </w:rPr>
      </w:pPr>
      <w:r w:rsidRPr="005A08FA">
        <w:rPr>
          <w:rFonts w:ascii="Verdana" w:hAnsi="Verdana"/>
          <w:b/>
          <w:bCs/>
        </w:rPr>
        <w:t>CONVOCATORIAS LIMITADAS A MIPYMES EN EL ÁMBITO TERRITORIAL – Presupuestos mínimos</w:t>
      </w:r>
    </w:p>
    <w:p w14:paraId="7C28A9E6" w14:textId="77777777" w:rsidR="005A08FA" w:rsidRPr="005A08FA" w:rsidRDefault="005A08FA" w:rsidP="005A08FA">
      <w:pPr>
        <w:spacing w:after="0" w:line="240" w:lineRule="auto"/>
        <w:jc w:val="both"/>
        <w:rPr>
          <w:rFonts w:ascii="Verdana" w:hAnsi="Verdana"/>
        </w:rPr>
      </w:pPr>
      <w:r w:rsidRPr="005A08FA">
        <w:rPr>
          <w:rFonts w:ascii="Verdana" w:hAnsi="Verdana"/>
        </w:rPr>
        <w:lastRenderedPageBreak/>
        <w:t>[…]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4404A0E3" w14:textId="77777777" w:rsidR="005A08FA" w:rsidRDefault="005A08FA" w:rsidP="00796052">
      <w:pPr>
        <w:spacing w:after="0" w:line="240" w:lineRule="auto"/>
        <w:rPr>
          <w:rFonts w:ascii="Verdana" w:hAnsi="Verdana"/>
        </w:rPr>
      </w:pPr>
    </w:p>
    <w:p w14:paraId="2136AF1F" w14:textId="77777777" w:rsidR="005A08FA" w:rsidRDefault="005A08FA">
      <w:pPr>
        <w:rPr>
          <w:rFonts w:ascii="Verdana" w:hAnsi="Verdana"/>
        </w:rPr>
      </w:pPr>
      <w:r>
        <w:rPr>
          <w:rFonts w:ascii="Verdana" w:hAnsi="Verdana"/>
        </w:rPr>
        <w:br w:type="page"/>
      </w:r>
    </w:p>
    <w:p w14:paraId="3FE2184B" w14:textId="78DAD2C1" w:rsidR="00E245AB" w:rsidRPr="0044528D" w:rsidRDefault="00E245AB" w:rsidP="00796052">
      <w:pPr>
        <w:spacing w:after="0" w:line="240" w:lineRule="auto"/>
        <w:rPr>
          <w:rFonts w:ascii="Verdana" w:hAnsi="Verdana"/>
        </w:rPr>
      </w:pPr>
      <w:r w:rsidRPr="0044528D">
        <w:rPr>
          <w:rFonts w:ascii="Verdana" w:hAnsi="Verdana"/>
        </w:rPr>
        <w:lastRenderedPageBreak/>
        <w:t xml:space="preserve">Bogotá D.C., </w:t>
      </w:r>
      <w:r w:rsidR="00AA1206">
        <w:rPr>
          <w:rFonts w:ascii="Verdana" w:hAnsi="Verdana"/>
        </w:rPr>
        <w:t>16 de junio de 2025</w:t>
      </w:r>
      <w:r w:rsidR="00891928" w:rsidRPr="0044528D">
        <w:rPr>
          <w:rFonts w:ascii="Verdana" w:hAnsi="Verdana"/>
        </w:rPr>
        <w:tab/>
      </w:r>
    </w:p>
    <w:p w14:paraId="5FCADBF9" w14:textId="77777777" w:rsidR="00E245AB" w:rsidRPr="0044528D" w:rsidRDefault="00E245AB" w:rsidP="00796052">
      <w:pPr>
        <w:spacing w:after="0" w:line="240" w:lineRule="auto"/>
        <w:rPr>
          <w:rFonts w:ascii="Verdana" w:hAnsi="Verdana"/>
        </w:rPr>
      </w:pPr>
    </w:p>
    <w:p w14:paraId="22F4B5ED" w14:textId="0675BE6E" w:rsidR="006E2F3D" w:rsidRDefault="00AA1206" w:rsidP="00796052">
      <w:pPr>
        <w:spacing w:after="0" w:line="240" w:lineRule="auto"/>
        <w:rPr>
          <w:rFonts w:ascii="Verdana" w:hAnsi="Verdana"/>
        </w:rPr>
      </w:pPr>
      <w:r w:rsidRPr="00AA1206">
        <w:rPr>
          <w:rFonts w:ascii="Verdana" w:hAnsi="Verdana"/>
          <w:noProof/>
        </w:rPr>
        <w:drawing>
          <wp:anchor distT="0" distB="0" distL="114300" distR="114300" simplePos="0" relativeHeight="251660800" behindDoc="1" locked="0" layoutInCell="1" allowOverlap="1" wp14:anchorId="32D5F128" wp14:editId="676F1B63">
            <wp:simplePos x="0" y="0"/>
            <wp:positionH relativeFrom="margin">
              <wp:align>right</wp:align>
            </wp:positionH>
            <wp:positionV relativeFrom="paragraph">
              <wp:posOffset>8598</wp:posOffset>
            </wp:positionV>
            <wp:extent cx="2728595" cy="906145"/>
            <wp:effectExtent l="0" t="0" r="0" b="8255"/>
            <wp:wrapTight wrapText="bothSides">
              <wp:wrapPolygon edited="0">
                <wp:start x="0" y="0"/>
                <wp:lineTo x="0" y="21343"/>
                <wp:lineTo x="21414" y="21343"/>
                <wp:lineTo x="21414" y="0"/>
                <wp:lineTo x="0" y="0"/>
              </wp:wrapPolygon>
            </wp:wrapTight>
            <wp:docPr id="87216783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28595" cy="906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2F3D">
        <w:rPr>
          <w:rFonts w:ascii="Verdana" w:hAnsi="Verdana"/>
        </w:rPr>
        <w:t>Señora</w:t>
      </w:r>
      <w:r>
        <w:rPr>
          <w:rFonts w:ascii="Verdana" w:hAnsi="Verdana"/>
        </w:rPr>
        <w:t xml:space="preserve">                                               </w:t>
      </w:r>
    </w:p>
    <w:p w14:paraId="710FC9F4" w14:textId="1298845A" w:rsidR="006E2F3D" w:rsidRPr="009451DA" w:rsidRDefault="006E2F3D" w:rsidP="00796052">
      <w:pPr>
        <w:spacing w:after="0" w:line="240" w:lineRule="auto"/>
        <w:rPr>
          <w:rFonts w:ascii="Verdana" w:hAnsi="Verdana"/>
          <w:b/>
          <w:bCs/>
        </w:rPr>
      </w:pPr>
      <w:r w:rsidRPr="009451DA">
        <w:rPr>
          <w:rFonts w:ascii="Verdana" w:hAnsi="Verdana"/>
          <w:b/>
          <w:bCs/>
        </w:rPr>
        <w:t xml:space="preserve">Angela Patricia </w:t>
      </w:r>
      <w:r w:rsidR="004D232D" w:rsidRPr="009451DA">
        <w:rPr>
          <w:rFonts w:ascii="Verdana" w:hAnsi="Verdana"/>
          <w:b/>
          <w:bCs/>
        </w:rPr>
        <w:t>García Cortés</w:t>
      </w:r>
    </w:p>
    <w:p w14:paraId="09825447" w14:textId="1C77295D" w:rsidR="004D232D" w:rsidRDefault="004D232D" w:rsidP="00796052">
      <w:pPr>
        <w:spacing w:after="0" w:line="240" w:lineRule="auto"/>
        <w:rPr>
          <w:rFonts w:ascii="Verdana" w:hAnsi="Verdana"/>
        </w:rPr>
      </w:pPr>
      <w:hyperlink r:id="rId11" w:history="1">
        <w:r w:rsidRPr="002006AB">
          <w:rPr>
            <w:rStyle w:val="Hipervnculo"/>
            <w:rFonts w:ascii="Verdana" w:hAnsi="Verdana"/>
          </w:rPr>
          <w:t>angelagarciajuridica@gmail.com</w:t>
        </w:r>
      </w:hyperlink>
      <w:r>
        <w:rPr>
          <w:rFonts w:ascii="Verdana" w:hAnsi="Verdana"/>
        </w:rPr>
        <w:t xml:space="preserve"> </w:t>
      </w:r>
    </w:p>
    <w:p w14:paraId="55A49022" w14:textId="2F48FB8E" w:rsidR="009451DA" w:rsidRDefault="009451DA" w:rsidP="00796052">
      <w:pPr>
        <w:spacing w:after="0" w:line="240" w:lineRule="auto"/>
        <w:rPr>
          <w:rFonts w:ascii="Verdana" w:hAnsi="Verdana"/>
        </w:rPr>
      </w:pPr>
      <w:r>
        <w:rPr>
          <w:rFonts w:ascii="Verdana" w:hAnsi="Verdana"/>
        </w:rPr>
        <w:t xml:space="preserve">Tibasosa, </w:t>
      </w:r>
      <w:r w:rsidR="0091454D">
        <w:rPr>
          <w:rFonts w:ascii="Verdana" w:hAnsi="Verdana"/>
        </w:rPr>
        <w:t>Boyacá</w:t>
      </w:r>
    </w:p>
    <w:p w14:paraId="4C16CD83" w14:textId="77777777" w:rsidR="0091454D" w:rsidRDefault="0091454D" w:rsidP="00796052">
      <w:pPr>
        <w:spacing w:after="0" w:line="240" w:lineRule="auto"/>
        <w:rPr>
          <w:rFonts w:ascii="Verdana" w:hAnsi="Verdana"/>
        </w:rPr>
      </w:pPr>
    </w:p>
    <w:p w14:paraId="53DE390F" w14:textId="77777777" w:rsidR="00635208" w:rsidRPr="00635208" w:rsidRDefault="00635208" w:rsidP="00796052">
      <w:pPr>
        <w:spacing w:after="0" w:line="240" w:lineRule="auto"/>
        <w:rPr>
          <w:rFonts w:ascii="Verdana" w:hAnsi="Verdana"/>
        </w:rPr>
      </w:pPr>
    </w:p>
    <w:p w14:paraId="0F3FD5C9" w14:textId="77777777" w:rsidR="00635208" w:rsidRPr="00635208" w:rsidRDefault="00635208" w:rsidP="00796052">
      <w:pPr>
        <w:spacing w:after="0" w:line="240" w:lineRule="auto"/>
        <w:rPr>
          <w:rFonts w:ascii="Verdana" w:hAnsi="Verdana"/>
          <w:b/>
          <w:bC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5208" w:rsidRPr="00635208" w14:paraId="44636752" w14:textId="77777777" w:rsidTr="00796052">
        <w:trPr>
          <w:trHeight w:val="103"/>
        </w:trPr>
        <w:tc>
          <w:tcPr>
            <w:tcW w:w="2689" w:type="dxa"/>
          </w:tcPr>
          <w:p w14:paraId="1EF931A0" w14:textId="77777777" w:rsidR="00635208" w:rsidRPr="00635208" w:rsidRDefault="00635208" w:rsidP="00796052">
            <w:pPr>
              <w:rPr>
                <w:rFonts w:ascii="Verdana" w:hAnsi="Verdana"/>
                <w:b/>
                <w:bCs/>
              </w:rPr>
            </w:pPr>
          </w:p>
        </w:tc>
        <w:tc>
          <w:tcPr>
            <w:tcW w:w="6100" w:type="dxa"/>
          </w:tcPr>
          <w:p w14:paraId="69772322" w14:textId="33F6FA0E" w:rsidR="00635208" w:rsidRPr="007333E4" w:rsidRDefault="00635208" w:rsidP="00796052">
            <w:pPr>
              <w:rPr>
                <w:rFonts w:ascii="Verdana" w:hAnsi="Verdana"/>
                <w:b/>
                <w:bCs/>
              </w:rPr>
            </w:pPr>
            <w:r w:rsidRPr="00635208">
              <w:rPr>
                <w:rFonts w:ascii="Verdana" w:hAnsi="Verdana"/>
                <w:b/>
                <w:bCs/>
              </w:rPr>
              <w:t xml:space="preserve">Concepto C – </w:t>
            </w:r>
            <w:r w:rsidR="00271369">
              <w:rPr>
                <w:rFonts w:ascii="Verdana" w:hAnsi="Verdana"/>
                <w:b/>
                <w:bCs/>
              </w:rPr>
              <w:t xml:space="preserve">542 </w:t>
            </w:r>
            <w:r w:rsidRPr="00635208">
              <w:rPr>
                <w:rFonts w:ascii="Verdana" w:hAnsi="Verdana"/>
                <w:b/>
                <w:bCs/>
              </w:rPr>
              <w:t>de 2025</w:t>
            </w:r>
            <w:r w:rsidR="00681242">
              <w:rPr>
                <w:rFonts w:ascii="Verdana" w:hAnsi="Verdana"/>
                <w:b/>
                <w:bCs/>
              </w:rPr>
              <w:t xml:space="preserve"> </w:t>
            </w:r>
          </w:p>
          <w:p w14:paraId="58F1840A" w14:textId="12CA0AD4" w:rsidR="00635208" w:rsidRPr="00635208" w:rsidRDefault="00635208" w:rsidP="00796052">
            <w:pPr>
              <w:rPr>
                <w:rFonts w:ascii="Verdana" w:hAnsi="Verdana"/>
                <w:b/>
                <w:bCs/>
              </w:rPr>
            </w:pPr>
          </w:p>
        </w:tc>
      </w:tr>
      <w:tr w:rsidR="00635208" w:rsidRPr="00635208" w14:paraId="39375CEB" w14:textId="77777777" w:rsidTr="00AE432B">
        <w:trPr>
          <w:trHeight w:val="1853"/>
        </w:trPr>
        <w:tc>
          <w:tcPr>
            <w:tcW w:w="2689" w:type="dxa"/>
          </w:tcPr>
          <w:p w14:paraId="347FA003" w14:textId="77777777" w:rsidR="00635208" w:rsidRPr="00635208" w:rsidRDefault="00635208" w:rsidP="00796052">
            <w:pPr>
              <w:rPr>
                <w:rFonts w:ascii="Verdana" w:hAnsi="Verdana"/>
              </w:rPr>
            </w:pPr>
            <w:r w:rsidRPr="00635208">
              <w:rPr>
                <w:rFonts w:ascii="Verdana" w:hAnsi="Verdana"/>
                <w:b/>
              </w:rPr>
              <w:t>Temas:</w:t>
            </w:r>
            <w:r w:rsidRPr="00635208">
              <w:rPr>
                <w:rFonts w:ascii="Verdana" w:hAnsi="Verdana"/>
              </w:rPr>
              <w:t xml:space="preserve">                   </w:t>
            </w:r>
          </w:p>
        </w:tc>
        <w:tc>
          <w:tcPr>
            <w:tcW w:w="6100" w:type="dxa"/>
          </w:tcPr>
          <w:p w14:paraId="5E789CBE" w14:textId="43B6AF91" w:rsidR="00635208" w:rsidRDefault="00635208" w:rsidP="00796052">
            <w:pPr>
              <w:jc w:val="both"/>
              <w:rPr>
                <w:rFonts w:ascii="Verdana" w:hAnsi="Verdana"/>
              </w:rPr>
            </w:pPr>
            <w:r w:rsidRPr="00635208">
              <w:rPr>
                <w:rFonts w:ascii="Verdana" w:hAnsi="Verdana"/>
              </w:rPr>
              <w:t xml:space="preserve">CONVOCATORIAS LIMITADAS A MIPYMES NACIONALES – Requisitos / CONVOCATORIAS LIMITADAS A MIPYMES EN EL ÁMBITO TERRITORIAL – Limitación territorial – Facultad discrecional </w:t>
            </w:r>
            <w:r w:rsidR="00681242">
              <w:rPr>
                <w:rFonts w:ascii="Verdana" w:hAnsi="Verdana"/>
              </w:rPr>
              <w:t xml:space="preserve">/ </w:t>
            </w:r>
            <w:r w:rsidRPr="00635208">
              <w:rPr>
                <w:rFonts w:ascii="Verdana" w:hAnsi="Verdana"/>
              </w:rPr>
              <w:t>CONVOCATORIAS LIMITADAS A MIPYMES EN EL ÁMBITO TERRITORIAL – Presupuestos mínimos</w:t>
            </w:r>
            <w:r w:rsidR="00681242">
              <w:rPr>
                <w:rFonts w:ascii="Verdana" w:hAnsi="Verdana"/>
              </w:rPr>
              <w:t>.</w:t>
            </w:r>
          </w:p>
          <w:p w14:paraId="1F2A6A29" w14:textId="77777777" w:rsidR="00635208" w:rsidRPr="00635208" w:rsidRDefault="00635208" w:rsidP="00796052">
            <w:pPr>
              <w:jc w:val="both"/>
              <w:rPr>
                <w:rFonts w:ascii="Verdana" w:hAnsi="Verdana"/>
              </w:rPr>
            </w:pPr>
          </w:p>
        </w:tc>
      </w:tr>
      <w:tr w:rsidR="00635208" w:rsidRPr="00635208" w14:paraId="134BDE5A" w14:textId="77777777" w:rsidTr="00AE432B">
        <w:tc>
          <w:tcPr>
            <w:tcW w:w="2689" w:type="dxa"/>
          </w:tcPr>
          <w:p w14:paraId="1BF47BCA" w14:textId="77777777" w:rsidR="00635208" w:rsidRPr="00635208" w:rsidRDefault="00635208" w:rsidP="00796052">
            <w:pPr>
              <w:rPr>
                <w:rFonts w:ascii="Verdana" w:hAnsi="Verdana"/>
                <w:b/>
              </w:rPr>
            </w:pPr>
            <w:r w:rsidRPr="00635208">
              <w:rPr>
                <w:rFonts w:ascii="Verdana" w:hAnsi="Verdana"/>
                <w:b/>
              </w:rPr>
              <w:t>Radicación:</w:t>
            </w:r>
            <w:r w:rsidRPr="00635208">
              <w:rPr>
                <w:rFonts w:ascii="Verdana" w:hAnsi="Verdana"/>
              </w:rPr>
              <w:t xml:space="preserve">               </w:t>
            </w:r>
          </w:p>
        </w:tc>
        <w:tc>
          <w:tcPr>
            <w:tcW w:w="6100" w:type="dxa"/>
          </w:tcPr>
          <w:p w14:paraId="0D3DB4C0" w14:textId="5C6C0AFC" w:rsidR="00635208" w:rsidRPr="00635208" w:rsidRDefault="00635208" w:rsidP="00796052">
            <w:pPr>
              <w:jc w:val="both"/>
              <w:rPr>
                <w:rFonts w:ascii="Verdana" w:hAnsi="Verdana"/>
              </w:rPr>
            </w:pPr>
            <w:r w:rsidRPr="00635208">
              <w:rPr>
                <w:rFonts w:ascii="Verdana" w:hAnsi="Verdana"/>
              </w:rPr>
              <w:t xml:space="preserve">Respuesta a la consulta con radicado No. </w:t>
            </w:r>
            <w:r w:rsidR="00E20BC5" w:rsidRPr="00E20BC5">
              <w:rPr>
                <w:rFonts w:ascii="Verdana" w:hAnsi="Verdana"/>
              </w:rPr>
              <w:t>P20250505004209</w:t>
            </w:r>
          </w:p>
        </w:tc>
      </w:tr>
    </w:tbl>
    <w:p w14:paraId="609DE9CD" w14:textId="77777777" w:rsidR="00635208" w:rsidRPr="00635208" w:rsidRDefault="00635208" w:rsidP="00635208">
      <w:pPr>
        <w:spacing w:after="0"/>
        <w:rPr>
          <w:rFonts w:ascii="Verdana" w:hAnsi="Verdana"/>
        </w:rPr>
      </w:pPr>
    </w:p>
    <w:p w14:paraId="251F45C6" w14:textId="77777777" w:rsidR="00635208" w:rsidRPr="00635208" w:rsidRDefault="00635208" w:rsidP="00635208">
      <w:pPr>
        <w:spacing w:after="0"/>
        <w:rPr>
          <w:rFonts w:ascii="Verdana" w:hAnsi="Verdana"/>
        </w:rPr>
      </w:pPr>
    </w:p>
    <w:p w14:paraId="3BC490C6" w14:textId="544E49C3" w:rsidR="00635208" w:rsidRPr="00635208" w:rsidRDefault="00635208" w:rsidP="00796052">
      <w:pPr>
        <w:spacing w:after="0" w:line="276" w:lineRule="auto"/>
        <w:rPr>
          <w:rFonts w:ascii="Verdana" w:hAnsi="Verdana"/>
        </w:rPr>
      </w:pPr>
      <w:r w:rsidRPr="00635208">
        <w:rPr>
          <w:rFonts w:ascii="Verdana" w:hAnsi="Verdana"/>
        </w:rPr>
        <w:t>Estimad</w:t>
      </w:r>
      <w:r w:rsidR="00FD732A">
        <w:rPr>
          <w:rFonts w:ascii="Verdana" w:hAnsi="Verdana"/>
        </w:rPr>
        <w:t>a</w:t>
      </w:r>
      <w:r w:rsidRPr="00635208">
        <w:rPr>
          <w:rFonts w:ascii="Verdana" w:hAnsi="Verdana"/>
        </w:rPr>
        <w:t xml:space="preserve"> señor</w:t>
      </w:r>
      <w:r w:rsidR="00FD732A">
        <w:rPr>
          <w:rFonts w:ascii="Verdana" w:hAnsi="Verdana"/>
        </w:rPr>
        <w:t>a García, cordial saludo,</w:t>
      </w:r>
    </w:p>
    <w:p w14:paraId="7EF2DF95" w14:textId="77777777" w:rsidR="00635208" w:rsidRPr="00635208" w:rsidRDefault="00635208" w:rsidP="00796052">
      <w:pPr>
        <w:spacing w:after="0" w:line="276" w:lineRule="auto"/>
        <w:rPr>
          <w:rFonts w:ascii="Verdana" w:hAnsi="Verdana"/>
        </w:rPr>
      </w:pPr>
      <w:r w:rsidRPr="00635208">
        <w:rPr>
          <w:rFonts w:ascii="Verdana" w:hAnsi="Verdana"/>
        </w:rPr>
        <w:tab/>
      </w:r>
    </w:p>
    <w:p w14:paraId="4678474C" w14:textId="5198065F" w:rsidR="00635208" w:rsidRPr="00635208" w:rsidRDefault="00635208" w:rsidP="00796052">
      <w:pPr>
        <w:spacing w:after="0" w:line="276" w:lineRule="auto"/>
        <w:jc w:val="both"/>
        <w:rPr>
          <w:rFonts w:ascii="Verdana" w:hAnsi="Verdana"/>
          <w:i/>
          <w:iCs/>
        </w:rPr>
      </w:pPr>
      <w:r w:rsidRPr="00635208">
        <w:rPr>
          <w:rFonts w:ascii="Verdana" w:hAnsi="Verdana"/>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del </w:t>
      </w:r>
      <w:r w:rsidR="00FD732A">
        <w:rPr>
          <w:rFonts w:ascii="Verdana" w:hAnsi="Verdana"/>
        </w:rPr>
        <w:t>05 de mayo</w:t>
      </w:r>
      <w:r w:rsidRPr="00635208">
        <w:rPr>
          <w:rFonts w:ascii="Verdana" w:hAnsi="Verdana"/>
        </w:rPr>
        <w:t xml:space="preserve"> de 2025, en la cual consulta sobre lo siguiente:</w:t>
      </w:r>
      <w:r w:rsidRPr="00635208">
        <w:rPr>
          <w:rFonts w:ascii="Verdana" w:hAnsi="Verdana"/>
          <w:i/>
          <w:iCs/>
        </w:rPr>
        <w:t xml:space="preserve"> </w:t>
      </w:r>
      <w:bookmarkStart w:id="1" w:name="_Hlk95313578"/>
    </w:p>
    <w:p w14:paraId="0F54054E" w14:textId="77777777" w:rsidR="00635208" w:rsidRPr="00635208" w:rsidRDefault="00635208" w:rsidP="00796052">
      <w:pPr>
        <w:spacing w:after="0" w:line="276" w:lineRule="auto"/>
        <w:rPr>
          <w:rFonts w:ascii="Verdana" w:hAnsi="Verdana"/>
          <w:i/>
          <w:iCs/>
        </w:rPr>
      </w:pPr>
    </w:p>
    <w:bookmarkEnd w:id="1"/>
    <w:p w14:paraId="77CAA0D8" w14:textId="103BF716" w:rsidR="00D62A50" w:rsidRPr="00796052" w:rsidRDefault="00635208" w:rsidP="00796052">
      <w:pPr>
        <w:spacing w:after="0" w:line="240" w:lineRule="auto"/>
        <w:ind w:left="709" w:right="709"/>
        <w:jc w:val="both"/>
        <w:rPr>
          <w:rFonts w:ascii="Verdana" w:hAnsi="Verdana"/>
          <w:sz w:val="20"/>
          <w:szCs w:val="20"/>
        </w:rPr>
      </w:pPr>
      <w:r w:rsidRPr="00796052">
        <w:rPr>
          <w:rFonts w:ascii="Verdana" w:hAnsi="Verdana"/>
          <w:sz w:val="20"/>
          <w:szCs w:val="20"/>
        </w:rPr>
        <w:t>“</w:t>
      </w:r>
      <w:r w:rsidR="005F6771" w:rsidRPr="00796052">
        <w:rPr>
          <w:rFonts w:ascii="Verdana" w:hAnsi="Verdana"/>
          <w:sz w:val="20"/>
          <w:szCs w:val="20"/>
        </w:rPr>
        <w:t>Solicito aclaración respecto del alcance del numeral 3 del Artículo 2.2.1.</w:t>
      </w:r>
      <w:r w:rsidR="005C35A4" w:rsidRPr="00796052">
        <w:rPr>
          <w:rFonts w:ascii="Verdana" w:hAnsi="Verdana"/>
          <w:sz w:val="20"/>
          <w:szCs w:val="20"/>
        </w:rPr>
        <w:t xml:space="preserve">2.4.2.2 del Decreto 1082 de 2015, específicamente a la facultad de solicitud de </w:t>
      </w:r>
      <w:r w:rsidR="00C11044" w:rsidRPr="00796052">
        <w:rPr>
          <w:rFonts w:ascii="Verdana" w:hAnsi="Verdana"/>
          <w:sz w:val="20"/>
          <w:szCs w:val="20"/>
        </w:rPr>
        <w:t>limitación</w:t>
      </w:r>
      <w:r w:rsidR="005C35A4" w:rsidRPr="00796052">
        <w:rPr>
          <w:rFonts w:ascii="Verdana" w:hAnsi="Verdana"/>
          <w:sz w:val="20"/>
          <w:szCs w:val="20"/>
        </w:rPr>
        <w:t xml:space="preserve"> a Mipymes </w:t>
      </w:r>
      <w:r w:rsidR="003366E9" w:rsidRPr="00796052">
        <w:rPr>
          <w:rFonts w:ascii="Verdana" w:hAnsi="Verdana"/>
          <w:sz w:val="20"/>
          <w:szCs w:val="20"/>
        </w:rPr>
        <w:t>territoriales por parte de personas jurídicas constituidas como Sociedades por Acciones Simplificadas</w:t>
      </w:r>
      <w:r w:rsidR="00E25682" w:rsidRPr="00796052">
        <w:rPr>
          <w:rFonts w:ascii="Verdana" w:hAnsi="Verdana"/>
          <w:sz w:val="20"/>
          <w:szCs w:val="20"/>
        </w:rPr>
        <w:t xml:space="preserve"> </w:t>
      </w:r>
      <w:r w:rsidR="00771F8A" w:rsidRPr="00796052">
        <w:rPr>
          <w:rFonts w:ascii="Verdana" w:hAnsi="Verdana"/>
          <w:sz w:val="20"/>
          <w:szCs w:val="20"/>
        </w:rPr>
        <w:t>(SAS). El citado numeral establece que “</w:t>
      </w:r>
      <w:r w:rsidR="00DD5464" w:rsidRPr="00796052">
        <w:rPr>
          <w:rFonts w:ascii="Verdana" w:hAnsi="Verdana"/>
          <w:sz w:val="20"/>
          <w:szCs w:val="20"/>
        </w:rPr>
        <w:t>Tratándose</w:t>
      </w:r>
      <w:r w:rsidR="00771F8A" w:rsidRPr="00796052">
        <w:rPr>
          <w:rFonts w:ascii="Verdana" w:hAnsi="Verdana"/>
          <w:sz w:val="20"/>
          <w:szCs w:val="20"/>
        </w:rPr>
        <w:t xml:space="preserve"> de personas </w:t>
      </w:r>
      <w:r w:rsidR="00DD5464" w:rsidRPr="00796052">
        <w:rPr>
          <w:rFonts w:ascii="Verdana" w:hAnsi="Verdana"/>
          <w:sz w:val="20"/>
          <w:szCs w:val="20"/>
        </w:rPr>
        <w:t xml:space="preserve">jurídicas, las solicitudes </w:t>
      </w:r>
      <w:r w:rsidR="00826D95" w:rsidRPr="00796052">
        <w:rPr>
          <w:rFonts w:ascii="Verdana" w:hAnsi="Verdana"/>
          <w:sz w:val="20"/>
          <w:szCs w:val="20"/>
        </w:rPr>
        <w:t xml:space="preserve">solo las podrán realizar Mipyme, cuyo objeto social les permita ejecutar el contrato </w:t>
      </w:r>
      <w:r w:rsidR="00A65184" w:rsidRPr="00796052">
        <w:rPr>
          <w:rFonts w:ascii="Verdana" w:hAnsi="Verdana"/>
          <w:sz w:val="20"/>
          <w:szCs w:val="20"/>
        </w:rPr>
        <w:t>relacionado con el proceso contractual”. surge la inquietud sobre si las SAS, que por su naturaleza jurídica</w:t>
      </w:r>
      <w:r w:rsidR="00F145D0" w:rsidRPr="00796052">
        <w:rPr>
          <w:rFonts w:ascii="Verdana" w:hAnsi="Verdana"/>
          <w:sz w:val="20"/>
          <w:szCs w:val="20"/>
        </w:rPr>
        <w:t xml:space="preserve"> pueden ejercer </w:t>
      </w:r>
      <w:r w:rsidR="0005360B" w:rsidRPr="00796052">
        <w:rPr>
          <w:rFonts w:ascii="Verdana" w:hAnsi="Verdana"/>
          <w:sz w:val="20"/>
          <w:szCs w:val="20"/>
        </w:rPr>
        <w:t>cualquier actividad licita de comercio en Colombia a menos que su objeto social contenga una limitación expresa</w:t>
      </w:r>
      <w:r w:rsidR="00137472" w:rsidRPr="00796052">
        <w:rPr>
          <w:rFonts w:ascii="Verdana" w:hAnsi="Verdana"/>
          <w:sz w:val="20"/>
          <w:szCs w:val="20"/>
        </w:rPr>
        <w:t>, pueden solicitar la limitación a Mipymes Municipales en todo tipo de procesos</w:t>
      </w:r>
      <w:r w:rsidR="00D62A50" w:rsidRPr="00796052">
        <w:rPr>
          <w:rFonts w:ascii="Verdana" w:hAnsi="Verdana"/>
          <w:sz w:val="20"/>
          <w:szCs w:val="20"/>
        </w:rPr>
        <w:t xml:space="preserve"> de selección?, sin importar el objeto contractual y de los bienes y/o servicios a contratar por la entidad estatal, es decir las SAS  están exentas de demostrar que sus a</w:t>
      </w:r>
      <w:r w:rsidR="0006180B" w:rsidRPr="00796052">
        <w:rPr>
          <w:rFonts w:ascii="Verdana" w:hAnsi="Verdana"/>
          <w:sz w:val="20"/>
          <w:szCs w:val="20"/>
        </w:rPr>
        <w:t xml:space="preserve">ctividades económicas principales o </w:t>
      </w:r>
      <w:r w:rsidR="00D62A50" w:rsidRPr="00796052">
        <w:rPr>
          <w:rFonts w:ascii="Verdana" w:hAnsi="Verdana"/>
          <w:sz w:val="20"/>
          <w:szCs w:val="20"/>
        </w:rPr>
        <w:t>secundarias guardan relación?” (SIC).</w:t>
      </w:r>
    </w:p>
    <w:p w14:paraId="3A12DD95" w14:textId="77777777" w:rsidR="00D62A50" w:rsidRDefault="00D62A50" w:rsidP="008E34B5">
      <w:pPr>
        <w:spacing w:after="0"/>
        <w:ind w:left="709" w:right="709"/>
        <w:jc w:val="both"/>
        <w:rPr>
          <w:rFonts w:ascii="Verdana" w:hAnsi="Verdana"/>
          <w:i/>
          <w:iCs/>
          <w:sz w:val="21"/>
          <w:szCs w:val="21"/>
        </w:rPr>
      </w:pPr>
    </w:p>
    <w:p w14:paraId="6FF9F83F" w14:textId="77777777" w:rsidR="000E7616" w:rsidRPr="000E7616" w:rsidRDefault="000E7616" w:rsidP="00796052">
      <w:pPr>
        <w:spacing w:after="120"/>
        <w:ind w:firstLine="709"/>
        <w:jc w:val="both"/>
        <w:rPr>
          <w:rFonts w:ascii="Verdana" w:hAnsi="Verdana"/>
        </w:rPr>
      </w:pPr>
      <w:r w:rsidRPr="000E7616">
        <w:rPr>
          <w:rFonts w:ascii="Verdana" w:hAnsi="Verdana"/>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E7616">
        <w:rPr>
          <w:rFonts w:ascii="Verdana" w:hAnsi="Verdana"/>
        </w:rPr>
        <w:tab/>
      </w:r>
    </w:p>
    <w:p w14:paraId="63B58318" w14:textId="2B6D0C0D" w:rsidR="000E7616" w:rsidRPr="000E7616" w:rsidRDefault="009C2266" w:rsidP="00796052">
      <w:pPr>
        <w:spacing w:after="0"/>
        <w:ind w:firstLine="360"/>
        <w:jc w:val="both"/>
        <w:rPr>
          <w:rFonts w:ascii="Verdana" w:hAnsi="Verdana"/>
        </w:rPr>
      </w:pPr>
      <w:r>
        <w:rPr>
          <w:rFonts w:ascii="Verdana" w:hAnsi="Verdana"/>
        </w:rPr>
        <w:tab/>
      </w:r>
      <w:r w:rsidR="000E7616" w:rsidRPr="000E7616">
        <w:rPr>
          <w:rFonts w:ascii="Verdana" w:hAnsi="Verdana"/>
        </w:rPr>
        <w:t xml:space="preserve">Conforme lo expuesto, en aras de satisfacer el derecho fundamental de petición se resolverá su consulta dentro de los límites de la referida competencia consultiva, haciendo unas consideraciones sobre las normas generales relacionadas con los problemas jurídicos de su consulta. </w:t>
      </w:r>
    </w:p>
    <w:p w14:paraId="45731373" w14:textId="77777777" w:rsidR="000E7616" w:rsidRPr="000E7616" w:rsidRDefault="000E7616" w:rsidP="00796052">
      <w:pPr>
        <w:spacing w:after="0" w:line="276" w:lineRule="auto"/>
        <w:ind w:left="709" w:right="709"/>
        <w:jc w:val="both"/>
        <w:rPr>
          <w:rFonts w:ascii="Verdana" w:hAnsi="Verdana"/>
        </w:rPr>
      </w:pPr>
    </w:p>
    <w:p w14:paraId="6ABDF38C" w14:textId="273CDA18" w:rsidR="000E7616" w:rsidRPr="00C934D4" w:rsidRDefault="000E7616" w:rsidP="00796052">
      <w:pPr>
        <w:pStyle w:val="Prrafodelista"/>
        <w:numPr>
          <w:ilvl w:val="0"/>
          <w:numId w:val="17"/>
        </w:numPr>
        <w:spacing w:after="0" w:line="276" w:lineRule="auto"/>
        <w:ind w:right="709"/>
        <w:jc w:val="both"/>
        <w:rPr>
          <w:rFonts w:ascii="Verdana" w:hAnsi="Verdana"/>
          <w:b/>
          <w:bCs/>
        </w:rPr>
      </w:pPr>
      <w:r w:rsidRPr="00C934D4">
        <w:rPr>
          <w:rFonts w:ascii="Verdana" w:hAnsi="Verdana"/>
          <w:b/>
          <w:bCs/>
        </w:rPr>
        <w:t>Problemas planteados:</w:t>
      </w:r>
    </w:p>
    <w:p w14:paraId="14353AB9" w14:textId="77777777" w:rsidR="000E7616" w:rsidRPr="000E7616" w:rsidRDefault="000E7616" w:rsidP="00796052">
      <w:pPr>
        <w:spacing w:after="0" w:line="276" w:lineRule="auto"/>
        <w:ind w:left="709"/>
        <w:jc w:val="both"/>
        <w:rPr>
          <w:rFonts w:ascii="Verdana" w:hAnsi="Verdana"/>
        </w:rPr>
      </w:pPr>
    </w:p>
    <w:p w14:paraId="591A7E28" w14:textId="7677E9C1" w:rsidR="000E7616" w:rsidRDefault="000E7616" w:rsidP="00796052">
      <w:pPr>
        <w:spacing w:after="0" w:line="276" w:lineRule="auto"/>
        <w:jc w:val="both"/>
        <w:rPr>
          <w:rFonts w:ascii="Verdana" w:hAnsi="Verdana"/>
        </w:rPr>
      </w:pPr>
      <w:r w:rsidRPr="000E7616">
        <w:rPr>
          <w:rFonts w:ascii="Verdana" w:hAnsi="Verdana"/>
        </w:rPr>
        <w:t xml:space="preserve">De acuerdo con el contenido de su solicitud, </w:t>
      </w:r>
      <w:r w:rsidR="007333E4">
        <w:rPr>
          <w:rFonts w:ascii="Verdana" w:hAnsi="Verdana"/>
        </w:rPr>
        <w:t xml:space="preserve">teniendo en cuenta el marco normativo, </w:t>
      </w:r>
      <w:r w:rsidRPr="000E7616">
        <w:rPr>
          <w:rFonts w:ascii="Verdana" w:hAnsi="Verdana"/>
        </w:rPr>
        <w:t xml:space="preserve">esta Agencia resolverá </w:t>
      </w:r>
      <w:r w:rsidR="007333E4">
        <w:rPr>
          <w:rFonts w:ascii="Verdana" w:hAnsi="Verdana"/>
        </w:rPr>
        <w:t>e</w:t>
      </w:r>
      <w:r w:rsidRPr="000E7616">
        <w:rPr>
          <w:rFonts w:ascii="Verdana" w:hAnsi="Verdana"/>
        </w:rPr>
        <w:t xml:space="preserve">l siguiente </w:t>
      </w:r>
      <w:r w:rsidR="00E455C9" w:rsidRPr="000E7616">
        <w:rPr>
          <w:rFonts w:ascii="Verdana" w:hAnsi="Verdana"/>
        </w:rPr>
        <w:t>interrogante:</w:t>
      </w:r>
      <w:r w:rsidR="00E455C9">
        <w:rPr>
          <w:rFonts w:ascii="Verdana" w:hAnsi="Verdana"/>
        </w:rPr>
        <w:t xml:space="preserve"> ¿</w:t>
      </w:r>
      <w:r w:rsidR="00C92746">
        <w:rPr>
          <w:rFonts w:ascii="Verdana" w:hAnsi="Verdana"/>
        </w:rPr>
        <w:t xml:space="preserve">Cuáles son los requisitos que deben cumplir las </w:t>
      </w:r>
      <w:r w:rsidR="006D1465">
        <w:rPr>
          <w:rFonts w:ascii="Verdana" w:hAnsi="Verdana"/>
        </w:rPr>
        <w:t>personas jurídicas</w:t>
      </w:r>
      <w:r w:rsidR="00AD2EF9">
        <w:rPr>
          <w:rFonts w:ascii="Verdana" w:hAnsi="Verdana"/>
        </w:rPr>
        <w:t xml:space="preserve">, específicamente tratándose de sociedad por acciones simplificadas con objeto social </w:t>
      </w:r>
      <w:r w:rsidR="005E3E36">
        <w:rPr>
          <w:rFonts w:ascii="Verdana" w:hAnsi="Verdana"/>
        </w:rPr>
        <w:t>indeterminado</w:t>
      </w:r>
      <w:r w:rsidR="00C81AE8">
        <w:rPr>
          <w:rFonts w:ascii="Verdana" w:hAnsi="Verdana"/>
        </w:rPr>
        <w:t>,</w:t>
      </w:r>
      <w:r w:rsidR="00C92746">
        <w:rPr>
          <w:rFonts w:ascii="Verdana" w:hAnsi="Verdana"/>
        </w:rPr>
        <w:t xml:space="preserve"> </w:t>
      </w:r>
      <w:r w:rsidR="00F012DA">
        <w:rPr>
          <w:rFonts w:ascii="Verdana" w:hAnsi="Verdana"/>
        </w:rPr>
        <w:t xml:space="preserve">para </w:t>
      </w:r>
      <w:r w:rsidR="00AD2EF9">
        <w:rPr>
          <w:rFonts w:ascii="Verdana" w:hAnsi="Verdana"/>
        </w:rPr>
        <w:t xml:space="preserve">solicitar que </w:t>
      </w:r>
      <w:r w:rsidR="006D1465">
        <w:rPr>
          <w:rFonts w:ascii="Verdana" w:hAnsi="Verdana"/>
        </w:rPr>
        <w:t xml:space="preserve">un proceso de selección </w:t>
      </w:r>
      <w:r w:rsidR="00AD2EF9">
        <w:rPr>
          <w:rFonts w:ascii="Verdana" w:hAnsi="Verdana"/>
        </w:rPr>
        <w:t>sea</w:t>
      </w:r>
      <w:r w:rsidR="006D1465">
        <w:rPr>
          <w:rFonts w:ascii="Verdana" w:hAnsi="Verdana"/>
        </w:rPr>
        <w:t xml:space="preserve"> </w:t>
      </w:r>
      <w:r w:rsidR="00AE4311">
        <w:rPr>
          <w:rFonts w:ascii="Verdana" w:hAnsi="Verdana"/>
        </w:rPr>
        <w:t>limitado a Mipyme?</w:t>
      </w:r>
    </w:p>
    <w:p w14:paraId="1A4A0A4F" w14:textId="77777777" w:rsidR="00C934D4" w:rsidRDefault="00C934D4" w:rsidP="00796052">
      <w:pPr>
        <w:spacing w:after="0" w:line="276" w:lineRule="auto"/>
        <w:jc w:val="both"/>
        <w:rPr>
          <w:rFonts w:ascii="Verdana" w:hAnsi="Verdana"/>
        </w:rPr>
      </w:pPr>
    </w:p>
    <w:p w14:paraId="5B2B89F3" w14:textId="30FEB45F" w:rsidR="00C934D4" w:rsidRDefault="00C934D4" w:rsidP="00796052">
      <w:pPr>
        <w:pStyle w:val="Prrafodelista"/>
        <w:numPr>
          <w:ilvl w:val="0"/>
          <w:numId w:val="17"/>
        </w:numPr>
        <w:spacing w:after="0" w:line="276" w:lineRule="auto"/>
        <w:ind w:right="709"/>
        <w:jc w:val="both"/>
        <w:rPr>
          <w:rFonts w:ascii="Verdana" w:hAnsi="Verdana"/>
          <w:b/>
          <w:bCs/>
        </w:rPr>
      </w:pPr>
      <w:r w:rsidRPr="00C934D4">
        <w:rPr>
          <w:rFonts w:ascii="Verdana" w:hAnsi="Verdana"/>
          <w:b/>
          <w:bCs/>
        </w:rPr>
        <w:t xml:space="preserve">Respuesta: </w:t>
      </w:r>
    </w:p>
    <w:p w14:paraId="4FB6F511" w14:textId="506460C0" w:rsidR="00C934D4" w:rsidRDefault="00C934D4" w:rsidP="00796052">
      <w:pPr>
        <w:spacing w:after="0" w:line="276" w:lineRule="auto"/>
        <w:jc w:val="both"/>
        <w:rPr>
          <w:rFonts w:ascii="Verdana" w:hAnsi="Verdana"/>
          <w:b/>
          <w:bCs/>
        </w:rPr>
      </w:pPr>
    </w:p>
    <w:tbl>
      <w:tblPr>
        <w:tblStyle w:val="Tablaconcuadrcula"/>
        <w:tblW w:w="0" w:type="auto"/>
        <w:tblLook w:val="04A0" w:firstRow="1" w:lastRow="0" w:firstColumn="1" w:lastColumn="0" w:noHBand="0" w:noVBand="1"/>
      </w:tblPr>
      <w:tblGrid>
        <w:gridCol w:w="8828"/>
      </w:tblGrid>
      <w:tr w:rsidR="00F202BB" w14:paraId="03A3BF57" w14:textId="77777777">
        <w:tc>
          <w:tcPr>
            <w:tcW w:w="8828" w:type="dxa"/>
          </w:tcPr>
          <w:p w14:paraId="25263080" w14:textId="77777777" w:rsidR="00F202BB" w:rsidRDefault="00F202BB" w:rsidP="00F202BB">
            <w:pPr>
              <w:spacing w:after="120" w:line="276" w:lineRule="auto"/>
              <w:jc w:val="both"/>
              <w:rPr>
                <w:rFonts w:ascii="Verdana" w:hAnsi="Verdana"/>
              </w:rPr>
            </w:pPr>
            <w:r>
              <w:rPr>
                <w:rFonts w:ascii="Verdana" w:hAnsi="Verdana"/>
              </w:rPr>
              <w:t>El artículo 2.2.1.2.4.2.2 del Decreto 1082 de 2015, reglamenta los requisitos para que las Entidades Estatales procedan a limitar la convocatoria para la participación exclusiva de las Mipymes. El inciso cuarto de tal disposición adiciona un requisito más cuando las solicitudes de limitación se efectúen por parte de personas jurídicas, indicando que aquellas Mipymes solicitantes deberán estar constituidas con objetos</w:t>
            </w:r>
            <w:r w:rsidRPr="00483F9E">
              <w:rPr>
                <w:rFonts w:ascii="Verdana" w:hAnsi="Verdana"/>
              </w:rPr>
              <w:t xml:space="preserve"> </w:t>
            </w:r>
            <w:r>
              <w:rPr>
                <w:rFonts w:ascii="Verdana" w:hAnsi="Verdana"/>
              </w:rPr>
              <w:t xml:space="preserve">sociales que les permitan ejecutar el contrato relacionado con el proceso contractual. </w:t>
            </w:r>
          </w:p>
          <w:p w14:paraId="451F7604" w14:textId="77777777" w:rsidR="00F202BB" w:rsidRDefault="00F202BB" w:rsidP="00F202BB">
            <w:pPr>
              <w:spacing w:after="120" w:line="276" w:lineRule="auto"/>
              <w:ind w:firstLine="709"/>
              <w:jc w:val="both"/>
              <w:rPr>
                <w:rFonts w:ascii="Verdana" w:hAnsi="Verdana"/>
              </w:rPr>
            </w:pPr>
            <w:r>
              <w:rPr>
                <w:rFonts w:ascii="Verdana" w:hAnsi="Verdana"/>
              </w:rPr>
              <w:t xml:space="preserve">Al respecto, resulta importante señalar que, de conformidad con la legislación colombiana – artículos 99 y 110 del Código de Comercio – y la jurisprudencia reciente, el objeto social define la capacidad jurídica de las sociedades o empresas comerciales y demanda de estas que lo establezcan de </w:t>
            </w:r>
            <w:r>
              <w:rPr>
                <w:rFonts w:ascii="Verdana" w:hAnsi="Verdana"/>
              </w:rPr>
              <w:lastRenderedPageBreak/>
              <w:t xml:space="preserve">manera específica, señalando de manera clara y precisa las actividades que dicha sociedad puede desplegar. </w:t>
            </w:r>
          </w:p>
          <w:p w14:paraId="62FF5749" w14:textId="77777777" w:rsidR="00F202BB" w:rsidRDefault="00F202BB" w:rsidP="00F202BB">
            <w:pPr>
              <w:spacing w:after="120" w:line="276" w:lineRule="auto"/>
              <w:ind w:firstLine="709"/>
              <w:jc w:val="both"/>
              <w:rPr>
                <w:rFonts w:ascii="Verdana" w:hAnsi="Verdana"/>
              </w:rPr>
            </w:pPr>
            <w:r>
              <w:rPr>
                <w:rFonts w:ascii="Verdana" w:hAnsi="Verdana"/>
              </w:rPr>
              <w:t xml:space="preserve">Asimismo, el artículo 110 del Código de Comercio, dispone lo concerniente a los requisitos para la constitución de una sociedad y hace alusión al objeto social en el numeral 4, señalando que aquel es la empresa o negocio de la sociedad, en donde será necesaria </w:t>
            </w:r>
            <w:r w:rsidRPr="000C64C1">
              <w:rPr>
                <w:rFonts w:ascii="Verdana" w:hAnsi="Verdana"/>
              </w:rPr>
              <w:t>la enunciación clara y completa de las actividades principales, incorporando una sanción de ineficacia frente a la enunciación de actividades indeterminadas. No obstante, la ley y la jurisprudencia han abrigado la posibilidad de interpretar como parte de ese objeto las actividades directamente relacionadas con él y los actos que tengan como finalidad ejercer los derechos o cumplir las obligaciones, legal o convencionalmente derivados de la existencia y actividad de la sociedad</w:t>
            </w:r>
            <w:r>
              <w:rPr>
                <w:rFonts w:ascii="Verdana" w:hAnsi="Verdana"/>
              </w:rPr>
              <w:t xml:space="preserve">. </w:t>
            </w:r>
          </w:p>
          <w:p w14:paraId="78C47192" w14:textId="77777777" w:rsidR="00F202BB" w:rsidRDefault="00F202BB" w:rsidP="00F202BB">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acciones simplificadas, especialmente</w:t>
            </w:r>
            <w:r w:rsidRPr="009E670D">
              <w:rPr>
                <w:rFonts w:ascii="Verdana" w:eastAsia="Calibri" w:hAnsi="Verdana" w:cs="Arial"/>
                <w:color w:val="000000" w:themeColor="text1"/>
              </w:rPr>
              <w:t>,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Pr>
                <w:rFonts w:ascii="Verdana" w:eastAsia="Calibri" w:hAnsi="Verdana" w:cs="Arial"/>
                <w:color w:val="000000" w:themeColor="text1"/>
              </w:rPr>
              <w:t>”</w:t>
            </w:r>
            <w:r w:rsidRPr="009E670D">
              <w:rPr>
                <w:rFonts w:ascii="Verdana" w:eastAsia="Calibri" w:hAnsi="Verdana" w:cs="Arial"/>
                <w:color w:val="000000" w:themeColor="text1"/>
              </w:rPr>
              <w:t xml:space="preserve">. </w:t>
            </w:r>
          </w:p>
          <w:p w14:paraId="2345D704" w14:textId="77777777" w:rsidR="00F202BB" w:rsidRDefault="00F202BB" w:rsidP="00F202BB">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En ese sentido, atendiendo al objeto de su consulta debe señalarse que, las sociedades con objeto indeterminado –como las sociedades por acciones simplificadas– pueden solicitar la limitación de la convocatoria a Mipymes,</w:t>
            </w:r>
            <w:r>
              <w:rPr>
                <w:rFonts w:ascii="Verdana" w:eastAsia="Times New Roman" w:hAnsi="Verdana" w:cs="Arial"/>
                <w:color w:val="000000" w:themeColor="text1"/>
                <w:lang w:val="es-ES_tradnl" w:eastAsia="es-ES_tradnl"/>
              </w:rPr>
              <w:t xml:space="preserve"> ya que –en las condiciones del</w:t>
            </w:r>
            <w:r w:rsidRPr="007F1E47">
              <w:rPr>
                <w:rFonts w:ascii="Verdana" w:eastAsia="Calibri" w:hAnsi="Verdana" w:cs="Arial"/>
                <w:color w:val="000000" w:themeColor="text1"/>
              </w:rPr>
              <w:t xml:space="preserve"> </w:t>
            </w:r>
            <w:r w:rsidRPr="009E670D">
              <w:rPr>
                <w:rFonts w:ascii="Verdana" w:eastAsia="Calibri" w:hAnsi="Verdana" w:cs="Arial"/>
                <w:color w:val="000000" w:themeColor="text1"/>
              </w:rPr>
              <w:t>artículo 5.4 de la Ley 1258 de 2008</w:t>
            </w:r>
            <w:r>
              <w:rPr>
                <w:rFonts w:ascii="Verdana" w:eastAsia="Calibri" w:hAnsi="Verdana" w:cs="Arial"/>
                <w:color w:val="000000" w:themeColor="text1"/>
              </w:rPr>
              <w:t xml:space="preserve">– </w:t>
            </w:r>
            <w:r>
              <w:rPr>
                <w:rFonts w:ascii="Verdana" w:eastAsia="Times New Roman" w:hAnsi="Verdana" w:cs="Arial"/>
                <w:color w:val="000000" w:themeColor="text1"/>
                <w:lang w:val="es-ES_tradnl" w:eastAsia="es-ES_tradnl"/>
              </w:rPr>
              <w:t>pueden ejecutar cualquier actividad lícita.</w:t>
            </w:r>
            <w:r>
              <w:rPr>
                <w:rFonts w:ascii="Verdana" w:eastAsia="Calibri" w:hAnsi="Verdana" w:cs="Arial"/>
                <w:color w:val="000000" w:themeColor="text1"/>
              </w:rPr>
              <w:t xml:space="preserve"> </w:t>
            </w:r>
          </w:p>
          <w:p w14:paraId="49567A5C" w14:textId="07C1A958" w:rsidR="00F202BB" w:rsidRDefault="00F202BB" w:rsidP="00F202BB">
            <w:pPr>
              <w:spacing w:after="120" w:line="276" w:lineRule="auto"/>
              <w:ind w:firstLine="709"/>
              <w:jc w:val="both"/>
              <w:rPr>
                <w:rFonts w:ascii="Verdana" w:hAnsi="Verdana"/>
              </w:rPr>
            </w:pPr>
            <w:r>
              <w:rPr>
                <w:rFonts w:ascii="Verdana" w:hAnsi="Verdana"/>
              </w:rPr>
              <w:t xml:space="preserve">A partir de ese contexto, las entidades estatales están llamadas a realizar la verificación de que las </w:t>
            </w:r>
            <w:r w:rsidRPr="00660FC7">
              <w:rPr>
                <w:rFonts w:ascii="Verdana" w:hAnsi="Verdana"/>
              </w:rPr>
              <w:t>solicitudes de limitación de la convocatoria se efectúen por parte de Mi</w:t>
            </w:r>
            <w:r w:rsidR="00516DBA">
              <w:rPr>
                <w:rFonts w:ascii="Verdana" w:hAnsi="Verdana"/>
              </w:rPr>
              <w:t>p</w:t>
            </w:r>
            <w:r w:rsidRPr="00660FC7">
              <w:rPr>
                <w:rFonts w:ascii="Verdana" w:hAnsi="Verdana"/>
              </w:rPr>
              <w:t>ymes en calidad de personas jurídicas, que estén constituidas con objetos sociales que permitan la ejecución del objeto contractual, es decir, que tengan como empresa o negocio actividades principales o relacionadas con aquellas que deberán desarrollarse en el contrato por adjudicar</w:t>
            </w:r>
            <w:r w:rsidR="00516DBA">
              <w:rPr>
                <w:rFonts w:ascii="Verdana" w:hAnsi="Verdana"/>
              </w:rPr>
              <w:t xml:space="preserve">, sin perjuicio de </w:t>
            </w:r>
            <w:r w:rsidR="00C56BD9">
              <w:rPr>
                <w:rFonts w:ascii="Verdana" w:hAnsi="Verdana"/>
              </w:rPr>
              <w:t>lo explicado para el caso de las sociedad con objetos sociales indeterminados, como es el caso de las sociedades de acciones simplificadas.</w:t>
            </w:r>
            <w:r w:rsidRPr="00660FC7">
              <w:rPr>
                <w:rFonts w:ascii="Verdana" w:hAnsi="Verdana"/>
              </w:rPr>
              <w:t xml:space="preserve"> Lo anterior tiene sentido por cuanto no resultaría coherente con la voluntad del legislador el hecho de que las </w:t>
            </w:r>
            <w:r w:rsidR="00C56BD9" w:rsidRPr="00660FC7">
              <w:rPr>
                <w:rFonts w:ascii="Verdana" w:hAnsi="Verdana"/>
              </w:rPr>
              <w:t xml:space="preserve">Entidades Estatales </w:t>
            </w:r>
            <w:r w:rsidRPr="00660FC7">
              <w:rPr>
                <w:rFonts w:ascii="Verdana" w:hAnsi="Verdana"/>
              </w:rPr>
              <w:t>limiten un proceso de selección por solicitud de Mi</w:t>
            </w:r>
            <w:r w:rsidR="00C56BD9">
              <w:rPr>
                <w:rFonts w:ascii="Verdana" w:hAnsi="Verdana"/>
              </w:rPr>
              <w:t>p</w:t>
            </w:r>
            <w:r w:rsidRPr="00660FC7">
              <w:rPr>
                <w:rFonts w:ascii="Verdana" w:hAnsi="Verdana"/>
              </w:rPr>
              <w:t xml:space="preserve">ymes </w:t>
            </w:r>
            <w:r w:rsidRPr="00660FC7">
              <w:rPr>
                <w:rFonts w:ascii="Verdana" w:hAnsi="Verdana"/>
              </w:rPr>
              <w:lastRenderedPageBreak/>
              <w:t>que no tienen capacidad jurídica de cumplir el objeto contractual establecido,</w:t>
            </w:r>
            <w:r>
              <w:rPr>
                <w:rFonts w:ascii="Verdana" w:hAnsi="Verdana"/>
              </w:rPr>
              <w:t xml:space="preserve"> porque sus actividades principales son distintas o son indeterminadas, o no tiene relación con aquel, dado que eso supondría su inexistencia en el mercado eventual </w:t>
            </w:r>
            <w:r w:rsidRPr="00596F37">
              <w:rPr>
                <w:rFonts w:ascii="Verdana" w:hAnsi="Verdana"/>
              </w:rPr>
              <w:t>imposibilidad de obtener ofertas competitivas que generen mayor valor por dinero para los intereses del Estado</w:t>
            </w:r>
          </w:p>
          <w:p w14:paraId="51DC1879" w14:textId="368FC5AB" w:rsidR="00F202BB" w:rsidRPr="00796052" w:rsidRDefault="00F202BB" w:rsidP="00796052">
            <w:pPr>
              <w:spacing w:line="276" w:lineRule="auto"/>
              <w:ind w:firstLine="709"/>
              <w:jc w:val="both"/>
              <w:rPr>
                <w:rFonts w:ascii="Verdana" w:hAnsi="Verdana"/>
                <w:b/>
                <w:bCs/>
              </w:rPr>
            </w:pPr>
            <w:r w:rsidRPr="009A3C9E">
              <w:rPr>
                <w:rFonts w:ascii="Verdana" w:hAnsi="Verdana"/>
              </w:rPr>
              <w:t>Justamente,</w:t>
            </w:r>
            <w:r>
              <w:rPr>
                <w:rFonts w:ascii="Verdana" w:hAnsi="Verdana"/>
                <w:b/>
                <w:bCs/>
              </w:rPr>
              <w:t xml:space="preserve"> </w:t>
            </w:r>
            <w:r w:rsidRPr="00C949C4">
              <w:rPr>
                <w:rFonts w:ascii="Verdana" w:hAnsi="Verdana"/>
              </w:rPr>
              <w:t>tanto las disposiciones del ordenamiento jurídico comercial como la jurisprudencia de las altas corporaciones judiciales están de acuerdo con que se tengan por ineficaces las estipulaciones que hagan extensivas las actividades sin relación directa con el objeto social. En ese caso, las entidades estatales no podrán limitar el proceso de selección hasta tanto constate que quienes eleven las solicitudes cumplan a cabalidad con lo señalado por el artículo 2.2.1.2.4.2.2. del Decreto 1082 de 2015</w:t>
            </w:r>
            <w:r>
              <w:rPr>
                <w:rFonts w:ascii="Verdana" w:hAnsi="Verdana"/>
              </w:rPr>
              <w:t xml:space="preserve">. </w:t>
            </w:r>
          </w:p>
        </w:tc>
      </w:tr>
    </w:tbl>
    <w:p w14:paraId="124721B0" w14:textId="1DB36223" w:rsidR="00E338DD" w:rsidRDefault="00E338DD" w:rsidP="00796052">
      <w:pPr>
        <w:spacing w:after="0" w:line="276" w:lineRule="auto"/>
        <w:jc w:val="both"/>
        <w:rPr>
          <w:rFonts w:ascii="Verdana" w:hAnsi="Verdana"/>
          <w:b/>
          <w:bCs/>
        </w:rPr>
      </w:pPr>
    </w:p>
    <w:p w14:paraId="7B725852" w14:textId="0DCEB063" w:rsidR="0091454D" w:rsidRDefault="0078122B" w:rsidP="00796052">
      <w:pPr>
        <w:pStyle w:val="Prrafodelista"/>
        <w:numPr>
          <w:ilvl w:val="0"/>
          <w:numId w:val="17"/>
        </w:numPr>
        <w:spacing w:after="0" w:line="276" w:lineRule="auto"/>
        <w:contextualSpacing w:val="0"/>
        <w:rPr>
          <w:rFonts w:ascii="Verdana" w:hAnsi="Verdana"/>
          <w:b/>
          <w:bCs/>
        </w:rPr>
      </w:pPr>
      <w:r w:rsidRPr="0078122B">
        <w:rPr>
          <w:rFonts w:ascii="Verdana" w:hAnsi="Verdana"/>
          <w:b/>
          <w:bCs/>
        </w:rPr>
        <w:t xml:space="preserve">Razones de la respuesta: </w:t>
      </w:r>
    </w:p>
    <w:p w14:paraId="4F6EBE34" w14:textId="77777777" w:rsidR="0078122B" w:rsidRPr="0078122B" w:rsidRDefault="0078122B" w:rsidP="00796052">
      <w:pPr>
        <w:pStyle w:val="Prrafodelista"/>
        <w:spacing w:after="0" w:line="276" w:lineRule="auto"/>
        <w:contextualSpacing w:val="0"/>
        <w:rPr>
          <w:rFonts w:ascii="Verdana" w:hAnsi="Verdana"/>
          <w:b/>
          <w:bCs/>
        </w:rPr>
      </w:pPr>
    </w:p>
    <w:p w14:paraId="66674084" w14:textId="226F5DA6" w:rsidR="0078122B" w:rsidRDefault="0078122B" w:rsidP="00796052">
      <w:pPr>
        <w:spacing w:after="0" w:line="276" w:lineRule="auto"/>
        <w:rPr>
          <w:rFonts w:ascii="Verdana" w:hAnsi="Verdana"/>
        </w:rPr>
      </w:pPr>
      <w:r>
        <w:rPr>
          <w:rFonts w:ascii="Verdana" w:hAnsi="Verdana"/>
        </w:rPr>
        <w:t>Lo anterior se sustenta en las siguientes consideraciones:</w:t>
      </w:r>
    </w:p>
    <w:p w14:paraId="3C4EA7E2" w14:textId="77777777" w:rsidR="006000EB" w:rsidRDefault="006000EB" w:rsidP="00796052">
      <w:pPr>
        <w:spacing w:after="0" w:line="276" w:lineRule="auto"/>
        <w:rPr>
          <w:rFonts w:ascii="Verdana" w:hAnsi="Verdana"/>
        </w:rPr>
      </w:pPr>
    </w:p>
    <w:p w14:paraId="38A2F080" w14:textId="77777777" w:rsidR="00F24ABB" w:rsidRDefault="00836B55" w:rsidP="006000EB">
      <w:pPr>
        <w:spacing w:after="120" w:line="276" w:lineRule="auto"/>
        <w:jc w:val="both"/>
        <w:rPr>
          <w:rFonts w:ascii="Verdana" w:hAnsi="Verdana"/>
          <w:lang w:val="es-ES_tradnl"/>
        </w:rPr>
      </w:pPr>
      <w:r w:rsidRPr="00836B55">
        <w:rPr>
          <w:rFonts w:ascii="Verdana" w:hAnsi="Verdana"/>
          <w:lang w:val="es-ES_tradnl"/>
        </w:rPr>
        <w:t xml:space="preserve">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56E68E45" w14:textId="747B48C0"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46E26C1A" w14:textId="1A0D6D9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Mi</w:t>
      </w:r>
      <w:r w:rsidR="00E56CA9">
        <w:rPr>
          <w:rFonts w:ascii="Verdana" w:hAnsi="Verdana"/>
          <w:lang w:val="es-ES"/>
        </w:rPr>
        <w:t>p</w:t>
      </w:r>
      <w:r w:rsidRPr="00836B55">
        <w:rPr>
          <w:rFonts w:ascii="Verdana" w:hAnsi="Verdana"/>
          <w:lang w:val="es-ES"/>
        </w:rPr>
        <w:t>ymes, a continuación de se estudiará el contenido y alcance del artículo 34.</w:t>
      </w:r>
    </w:p>
    <w:p w14:paraId="50A2A15B" w14:textId="459B5C3B"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lastRenderedPageBreak/>
        <w:t>El artículo 34 de la Ley 2069 de 2020 modificó el artículo 12 de la Ley 1150 de 2007, el cual regula la promoción del desarrollo en la contratación pública, cambiando los requisitos esenciales para que procedan las convocatorias limitadas a Mi</w:t>
      </w:r>
      <w:r w:rsidR="00673A35">
        <w:rPr>
          <w:rFonts w:ascii="Verdana" w:hAnsi="Verdana"/>
          <w:lang w:val="es-ES"/>
        </w:rPr>
        <w:t>p</w:t>
      </w:r>
      <w:r w:rsidRPr="00836B55">
        <w:rPr>
          <w:rFonts w:ascii="Verdana" w:hAnsi="Verdana"/>
          <w:lang w:val="es-ES"/>
        </w:rPr>
        <w:t xml:space="preserve">ymes,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que para que pueda haber convocatorias limitadas a MiPymes, dos (2) de ellas deben manifestar su interés. </w:t>
      </w:r>
    </w:p>
    <w:p w14:paraId="2541BE33" w14:textId="77777777" w:rsidR="00673A35" w:rsidRDefault="00836B55" w:rsidP="001B5B53">
      <w:pPr>
        <w:spacing w:after="120" w:line="276" w:lineRule="auto"/>
        <w:ind w:firstLine="708"/>
        <w:jc w:val="both"/>
        <w:rPr>
          <w:rFonts w:ascii="Verdana" w:hAnsi="Verdana"/>
          <w:lang w:val="es-ES"/>
        </w:rPr>
      </w:pPr>
      <w:r w:rsidRPr="00836B55">
        <w:rPr>
          <w:rFonts w:ascii="Verdana" w:hAnsi="Verdana"/>
          <w:lang w:val="es-ES"/>
        </w:rPr>
        <w:t xml:space="preserve">Según se evidencia, el numeral primero del </w:t>
      </w:r>
      <w:r w:rsidRPr="00836B55">
        <w:rPr>
          <w:rFonts w:ascii="Verdana" w:hAnsi="Verdana"/>
          <w:lang w:val="es-ES_tradnl"/>
        </w:rPr>
        <w:t xml:space="preserve">artículo 2.2.1.2.4.2.2 del Decreto 1082 de 2015 </w:t>
      </w:r>
      <w:r w:rsidRPr="00836B55">
        <w:rPr>
          <w:rFonts w:ascii="Verdana" w:hAnsi="Verdana"/>
          <w:lang w:val="es-ES"/>
        </w:rPr>
        <w:t xml:space="preserve">limita cuantitativamente los procesos contractuales para las convocatorias limitadas a Mipyme, puesto que el valor del proceso de contratación debe ser “menor a ciento veinticinco mil dólares de los Estados Unidos de América”. Esto de acuerdo con la tasa que determine cada dos años el Ministerio de Comercio, Industria y Turismo. Por su parte, el numeral segundo establece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509A6E38" w14:textId="3C31D9DF" w:rsidR="004F177A" w:rsidRDefault="00836B55" w:rsidP="00835BF6">
      <w:pPr>
        <w:spacing w:after="120" w:line="276" w:lineRule="auto"/>
        <w:ind w:firstLine="708"/>
        <w:jc w:val="both"/>
        <w:rPr>
          <w:rFonts w:ascii="Verdana" w:eastAsia="Calibri" w:hAnsi="Verdana" w:cs="Arial"/>
          <w:color w:val="000000" w:themeColor="text1"/>
        </w:rPr>
      </w:pPr>
      <w:r w:rsidRPr="00836B55">
        <w:rPr>
          <w:rFonts w:ascii="Verdana" w:hAnsi="Verdana"/>
          <w:lang w:val="es-ES"/>
        </w:rPr>
        <w:t xml:space="preserve">Asimismo, la norma señala que, tratándose de personas jurídicas, las solicitudes solo las podrán realizar la Mipyme, cuyo objeto social les permita ejecutar el contrato relacionado con el proceso contractual. </w:t>
      </w:r>
      <w:r w:rsidR="00D232C9" w:rsidRPr="00775482">
        <w:rPr>
          <w:rFonts w:ascii="Verdana" w:eastAsia="Calibri" w:hAnsi="Verdana" w:cs="Arial"/>
          <w:color w:val="000000" w:themeColor="text1"/>
        </w:rPr>
        <w:t xml:space="preserve">En relación con la posibilidad que una </w:t>
      </w:r>
      <w:r w:rsidR="0025397F" w:rsidRPr="00775482">
        <w:rPr>
          <w:rFonts w:ascii="Verdana" w:eastAsia="Calibri" w:hAnsi="Verdana" w:cs="Arial"/>
          <w:color w:val="000000" w:themeColor="text1"/>
        </w:rPr>
        <w:t xml:space="preserve">sociedad por acciones simplificada </w:t>
      </w:r>
      <w:r w:rsidR="00D232C9" w:rsidRPr="00775482">
        <w:rPr>
          <w:rFonts w:ascii="Verdana" w:eastAsia="Calibri" w:hAnsi="Verdana" w:cs="Arial"/>
          <w:color w:val="000000" w:themeColor="text1"/>
        </w:rPr>
        <w:t xml:space="preserve">pueda solicitar la </w:t>
      </w:r>
      <w:r w:rsidR="007B5795" w:rsidRPr="00775482">
        <w:rPr>
          <w:rFonts w:ascii="Verdana" w:eastAsia="Calibri" w:hAnsi="Verdana" w:cs="Arial"/>
          <w:color w:val="000000" w:themeColor="text1"/>
        </w:rPr>
        <w:t xml:space="preserve">limitación de la convocatoria a Mipyme debido a la necesidad de que el objeto social </w:t>
      </w:r>
      <w:r w:rsidR="007B5795" w:rsidRPr="00796052">
        <w:rPr>
          <w:rFonts w:ascii="Verdana" w:hAnsi="Verdana"/>
          <w:lang w:val="es-ES"/>
        </w:rPr>
        <w:t>les permita ejecutar el contrato relacionado con el proceso contractual</w:t>
      </w:r>
      <w:r w:rsidR="007B5795" w:rsidRPr="00775482">
        <w:rPr>
          <w:rFonts w:ascii="Verdana" w:hAnsi="Verdana"/>
          <w:lang w:val="es-ES"/>
        </w:rPr>
        <w:t xml:space="preserve"> debe señalarse que, </w:t>
      </w:r>
      <w:r w:rsidR="00E752D2" w:rsidRPr="00775482">
        <w:rPr>
          <w:rFonts w:ascii="Verdana" w:eastAsia="Calibri" w:hAnsi="Verdana" w:cs="Arial"/>
          <w:color w:val="000000" w:themeColor="text1"/>
        </w:rPr>
        <w:t xml:space="preserve">la capacidad </w:t>
      </w:r>
      <w:r w:rsidR="007B5795" w:rsidRPr="00775482">
        <w:rPr>
          <w:rFonts w:ascii="Verdana" w:eastAsia="Calibri" w:hAnsi="Verdana" w:cs="Arial"/>
          <w:color w:val="000000" w:themeColor="text1"/>
        </w:rPr>
        <w:t xml:space="preserve">juridica </w:t>
      </w:r>
      <w:r w:rsidR="00E752D2" w:rsidRPr="00775482">
        <w:rPr>
          <w:rFonts w:ascii="Verdana" w:eastAsia="Calibri" w:hAnsi="Verdana" w:cs="Arial"/>
          <w:color w:val="000000" w:themeColor="text1"/>
        </w:rPr>
        <w:t xml:space="preserve">de las </w:t>
      </w:r>
      <w:r w:rsidR="00E752D2" w:rsidRPr="00775482">
        <w:rPr>
          <w:rFonts w:ascii="Verdana" w:eastAsia="Calibri" w:hAnsi="Verdana" w:cs="Arial"/>
          <w:i/>
          <w:iCs/>
          <w:color w:val="000000" w:themeColor="text1"/>
        </w:rPr>
        <w:t>personas jurídicas</w:t>
      </w:r>
      <w:r w:rsidR="00E752D2" w:rsidRPr="00775482">
        <w:rPr>
          <w:rFonts w:ascii="Verdana" w:eastAsia="Calibri" w:hAnsi="Verdana" w:cs="Arial"/>
          <w:color w:val="000000" w:themeColor="text1"/>
        </w:rPr>
        <w:t xml:space="preserve"> se circunscribe a las actividades principales y conexas del objeto social.</w:t>
      </w:r>
      <w:r w:rsidR="00E752D2">
        <w:rPr>
          <w:rFonts w:ascii="Verdana" w:eastAsia="Calibri" w:hAnsi="Verdana" w:cs="Arial"/>
          <w:color w:val="000000" w:themeColor="text1"/>
        </w:rPr>
        <w:t xml:space="preserve"> </w:t>
      </w:r>
    </w:p>
    <w:p w14:paraId="1223EA5C" w14:textId="48BB32D8" w:rsidR="00E752D2" w:rsidRPr="00796052" w:rsidRDefault="00E752D2" w:rsidP="00796052">
      <w:pPr>
        <w:spacing w:after="120" w:line="276" w:lineRule="auto"/>
        <w:ind w:firstLine="708"/>
        <w:jc w:val="both"/>
        <w:rPr>
          <w:rFonts w:ascii="Verdana" w:hAnsi="Verdana"/>
          <w:lang w:val="es-ES"/>
        </w:rPr>
      </w:pPr>
      <w:r w:rsidRPr="00ED3D81">
        <w:rPr>
          <w:rFonts w:ascii="Verdana" w:eastAsia="Calibri" w:hAnsi="Verdana" w:cs="Arial"/>
          <w:color w:val="000000" w:themeColor="text1"/>
        </w:rPr>
        <w:t xml:space="preserve">Las primeras constituyen la verdadera </w:t>
      </w:r>
      <w:r>
        <w:rPr>
          <w:rFonts w:ascii="Verdana" w:eastAsia="Calibri" w:hAnsi="Verdana" w:cs="Arial"/>
          <w:color w:val="000000" w:themeColor="text1"/>
        </w:rPr>
        <w:t xml:space="preserve">labor empresarial del ente </w:t>
      </w:r>
      <w:r w:rsidRPr="00E0374E">
        <w:rPr>
          <w:rFonts w:ascii="Verdana" w:eastAsia="Calibri" w:hAnsi="Verdana" w:cs="Arial"/>
          <w:color w:val="000000" w:themeColor="text1"/>
        </w:rPr>
        <w:t xml:space="preserve">societario, es decir, </w:t>
      </w:r>
      <w:r>
        <w:rPr>
          <w:rFonts w:ascii="Verdana" w:eastAsia="Calibri" w:hAnsi="Verdana" w:cs="Arial"/>
          <w:color w:val="000000" w:themeColor="text1"/>
        </w:rPr>
        <w:t xml:space="preserve">la </w:t>
      </w:r>
      <w:r w:rsidRPr="00E0374E">
        <w:rPr>
          <w:rFonts w:ascii="Verdana" w:eastAsia="Calibri" w:hAnsi="Verdana" w:cs="Arial"/>
          <w:color w:val="000000" w:themeColor="text1"/>
        </w:rPr>
        <w:t>“[…] actividad económica organizada para la producción, transformación, circulación, administración o custodia de bienes, o para la prestación de servicios</w:t>
      </w:r>
      <w:r>
        <w:rPr>
          <w:rFonts w:ascii="Verdana" w:eastAsia="Calibri" w:hAnsi="Verdana" w:cs="Arial"/>
          <w:color w:val="000000" w:themeColor="text1"/>
        </w:rPr>
        <w:t xml:space="preserve"> […]” en los términos del artículo 25 del Código de Comercio: su explotación rentable contribuye al ánimo de lucro de quienes tengan la calidad de socios, accionistas o constituyentes. Por su parte, las segundas </w:t>
      </w:r>
      <w:r w:rsidRPr="00B07AE7">
        <w:rPr>
          <w:rFonts w:ascii="Verdana" w:eastAsia="Calibri" w:hAnsi="Verdana" w:cs="Arial"/>
          <w:color w:val="000000" w:themeColor="text1"/>
        </w:rPr>
        <w:t xml:space="preserve">son aquellas que complementan, facilitan o guardan relación directa con </w:t>
      </w:r>
      <w:r>
        <w:rPr>
          <w:rFonts w:ascii="Verdana" w:eastAsia="Calibri" w:hAnsi="Verdana" w:cs="Arial"/>
          <w:color w:val="000000" w:themeColor="text1"/>
        </w:rPr>
        <w:t xml:space="preserve">las actividades principales, por lo que </w:t>
      </w:r>
      <w:r w:rsidRPr="00B07AE7">
        <w:rPr>
          <w:rFonts w:ascii="Verdana" w:eastAsia="Calibri" w:hAnsi="Verdana" w:cs="Arial"/>
          <w:color w:val="000000" w:themeColor="text1"/>
        </w:rPr>
        <w:t>contribuy</w:t>
      </w:r>
      <w:r>
        <w:rPr>
          <w:rFonts w:ascii="Verdana" w:eastAsia="Calibri" w:hAnsi="Verdana" w:cs="Arial"/>
          <w:color w:val="000000" w:themeColor="text1"/>
        </w:rPr>
        <w:t>e</w:t>
      </w:r>
      <w:r w:rsidRPr="00B07AE7">
        <w:rPr>
          <w:rFonts w:ascii="Verdana" w:eastAsia="Calibri" w:hAnsi="Verdana" w:cs="Arial"/>
          <w:color w:val="000000" w:themeColor="text1"/>
        </w:rPr>
        <w:t>n al cumplimiento de</w:t>
      </w:r>
      <w:r>
        <w:rPr>
          <w:rFonts w:ascii="Verdana" w:eastAsia="Calibri" w:hAnsi="Verdana" w:cs="Arial"/>
          <w:color w:val="000000" w:themeColor="text1"/>
        </w:rPr>
        <w:t xml:space="preserve"> los </w:t>
      </w:r>
      <w:r>
        <w:rPr>
          <w:rFonts w:ascii="Verdana" w:eastAsia="Calibri" w:hAnsi="Verdana" w:cs="Arial"/>
          <w:color w:val="000000" w:themeColor="text1"/>
        </w:rPr>
        <w:lastRenderedPageBreak/>
        <w:t>fines</w:t>
      </w:r>
      <w:r w:rsidRPr="00B07AE7">
        <w:rPr>
          <w:rFonts w:ascii="Verdana" w:eastAsia="Calibri" w:hAnsi="Verdana" w:cs="Arial"/>
          <w:color w:val="000000" w:themeColor="text1"/>
        </w:rPr>
        <w:t xml:space="preserve"> principal</w:t>
      </w:r>
      <w:r>
        <w:rPr>
          <w:rFonts w:ascii="Verdana" w:eastAsia="Calibri" w:hAnsi="Verdana" w:cs="Arial"/>
          <w:color w:val="000000" w:themeColor="text1"/>
        </w:rPr>
        <w:t>es</w:t>
      </w:r>
      <w:r w:rsidRPr="00B07AE7">
        <w:rPr>
          <w:rFonts w:ascii="Verdana" w:eastAsia="Calibri" w:hAnsi="Verdana" w:cs="Arial"/>
          <w:color w:val="000000" w:themeColor="text1"/>
        </w:rPr>
        <w:t xml:space="preserve"> de la empresa</w:t>
      </w:r>
      <w:r>
        <w:rPr>
          <w:rFonts w:ascii="Verdana" w:eastAsia="Calibri" w:hAnsi="Verdana" w:cs="Arial"/>
          <w:color w:val="000000" w:themeColor="text1"/>
        </w:rPr>
        <w:t>, así como los necesarios para el ejercicio de los derechos de la sociedad o para cumplir obligaciones derivadas de su existencia o actividad</w:t>
      </w:r>
      <w:r>
        <w:rPr>
          <w:rStyle w:val="Refdenotaalpie"/>
          <w:rFonts w:ascii="Verdana" w:eastAsia="Calibri" w:hAnsi="Verdana" w:cs="Arial"/>
          <w:color w:val="000000" w:themeColor="text1"/>
        </w:rPr>
        <w:footnoteReference w:id="1"/>
      </w:r>
      <w:r w:rsidRPr="00B07AE7">
        <w:rPr>
          <w:rFonts w:ascii="Verdana" w:eastAsia="Calibri" w:hAnsi="Verdana" w:cs="Arial"/>
          <w:color w:val="000000" w:themeColor="text1"/>
        </w:rPr>
        <w:t>.</w:t>
      </w:r>
      <w:r>
        <w:rPr>
          <w:rFonts w:ascii="Verdana" w:eastAsia="Calibri" w:hAnsi="Verdana" w:cs="Arial"/>
          <w:color w:val="000000" w:themeColor="text1"/>
        </w:rPr>
        <w:t xml:space="preserve"> Estas limitaciones a la capacidad se justifican en la medida que </w:t>
      </w:r>
      <w:r w:rsidRPr="00E15E03">
        <w:rPr>
          <w:rFonts w:ascii="Verdana" w:eastAsia="Calibri" w:hAnsi="Verdana" w:cs="Arial"/>
          <w:color w:val="000000" w:themeColor="text1"/>
        </w:rPr>
        <w:t>"</w:t>
      </w:r>
      <w:r>
        <w:rPr>
          <w:rFonts w:ascii="Verdana" w:eastAsia="Calibri" w:hAnsi="Verdana" w:cs="Arial"/>
          <w:color w:val="000000" w:themeColor="text1"/>
        </w:rPr>
        <w:t xml:space="preserve">[…] </w:t>
      </w:r>
      <w:r w:rsidRPr="00E15E03">
        <w:rPr>
          <w:rFonts w:ascii="Verdana" w:eastAsia="Calibri" w:hAnsi="Verdana" w:cs="Arial"/>
          <w:color w:val="000000" w:themeColor="text1"/>
        </w:rPr>
        <w:t>los aportes al</w:t>
      </w:r>
      <w:r>
        <w:rPr>
          <w:rFonts w:ascii="Verdana" w:eastAsia="Calibri" w:hAnsi="Verdana" w:cs="Arial"/>
          <w:color w:val="000000" w:themeColor="text1"/>
        </w:rPr>
        <w:t xml:space="preserve"> </w:t>
      </w:r>
      <w:r w:rsidRPr="00E15E03">
        <w:rPr>
          <w:rFonts w:ascii="Verdana" w:eastAsia="Calibri" w:hAnsi="Verdana" w:cs="Arial"/>
          <w:color w:val="000000" w:themeColor="text1"/>
        </w:rPr>
        <w:t>fondo social se hacen precisamente para los negocios sociales y, por eso, no pueden ser distraídos en actividades distintas, para no desvirtuar y dejar de cumplir el contrato social</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2"/>
      </w:r>
      <w:r>
        <w:rPr>
          <w:rFonts w:ascii="Verdana" w:eastAsia="Calibri" w:hAnsi="Verdana" w:cs="Arial"/>
          <w:color w:val="000000" w:themeColor="text1"/>
        </w:rPr>
        <w:t>.</w:t>
      </w:r>
    </w:p>
    <w:p w14:paraId="3E4D7059" w14:textId="20459C47" w:rsidR="005C5128" w:rsidRDefault="00E752D2" w:rsidP="005C5128">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Aunque lo descrito en los párrafos precedentes constituye </w:t>
      </w:r>
      <w:r w:rsidR="0025397F">
        <w:rPr>
          <w:rFonts w:ascii="Verdana" w:eastAsia="Calibri" w:hAnsi="Verdana" w:cs="Arial"/>
          <w:color w:val="000000" w:themeColor="text1"/>
        </w:rPr>
        <w:t xml:space="preserve">la </w:t>
      </w:r>
      <w:r>
        <w:rPr>
          <w:rFonts w:ascii="Verdana" w:eastAsia="Calibri" w:hAnsi="Verdana" w:cs="Arial"/>
          <w:color w:val="000000" w:themeColor="text1"/>
        </w:rPr>
        <w:t>regla general, excepcionalmente el ordenamiento jurídico permite la constitución de personas jurídicas con objeto indeterminado. Este es el caso de las sociedades por acciones simplificadas, especialmente</w:t>
      </w:r>
      <w:r w:rsidRPr="009E670D">
        <w:rPr>
          <w:rFonts w:ascii="Verdana" w:eastAsia="Calibri" w:hAnsi="Verdana" w:cs="Arial"/>
          <w:color w:val="000000" w:themeColor="text1"/>
        </w:rPr>
        <w:t>,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3"/>
      </w:r>
      <w:r w:rsidRPr="009E670D">
        <w:rPr>
          <w:rFonts w:ascii="Verdana" w:eastAsia="Calibri" w:hAnsi="Verdana" w:cs="Arial"/>
          <w:color w:val="000000" w:themeColor="text1"/>
        </w:rPr>
        <w:t xml:space="preserve">. </w:t>
      </w:r>
      <w:r w:rsidR="005B1797">
        <w:rPr>
          <w:rFonts w:ascii="Verdana" w:eastAsia="Calibri" w:hAnsi="Verdana" w:cs="Arial"/>
          <w:color w:val="000000" w:themeColor="text1"/>
        </w:rPr>
        <w:t xml:space="preserve">En ese sentido, </w:t>
      </w:r>
      <w:r w:rsidR="00775482">
        <w:rPr>
          <w:rFonts w:ascii="Verdana" w:eastAsia="Calibri" w:hAnsi="Verdana" w:cs="Arial"/>
          <w:color w:val="000000" w:themeColor="text1"/>
        </w:rPr>
        <w:t xml:space="preserve">atendiendo al objeto de su consulta debe </w:t>
      </w:r>
      <w:r w:rsidR="00775482">
        <w:rPr>
          <w:rFonts w:ascii="Verdana" w:eastAsia="Calibri" w:hAnsi="Verdana" w:cs="Arial"/>
          <w:color w:val="000000" w:themeColor="text1"/>
        </w:rPr>
        <w:lastRenderedPageBreak/>
        <w:t xml:space="preserve">señalarse que, las </w:t>
      </w:r>
      <w:r w:rsidR="005C5128">
        <w:rPr>
          <w:rFonts w:ascii="Verdana" w:eastAsia="Calibri" w:hAnsi="Verdana" w:cs="Arial"/>
          <w:color w:val="000000" w:themeColor="text1"/>
        </w:rPr>
        <w:t>sociedades con objeto indeterminado –como las sociedades por acciones simplificadas– pueden solicitar la limitación de la convocatoria a Mipymes,</w:t>
      </w:r>
      <w:r w:rsidR="005C5128">
        <w:rPr>
          <w:rFonts w:ascii="Verdana" w:eastAsia="Times New Roman" w:hAnsi="Verdana" w:cs="Arial"/>
          <w:color w:val="000000" w:themeColor="text1"/>
          <w:lang w:val="es-ES_tradnl" w:eastAsia="es-ES_tradnl"/>
        </w:rPr>
        <w:t xml:space="preserve"> ya que –en las condiciones del</w:t>
      </w:r>
      <w:r w:rsidR="005C5128" w:rsidRPr="007F1E47">
        <w:rPr>
          <w:rFonts w:ascii="Verdana" w:eastAsia="Calibri" w:hAnsi="Verdana" w:cs="Arial"/>
          <w:color w:val="000000" w:themeColor="text1"/>
        </w:rPr>
        <w:t xml:space="preserve"> </w:t>
      </w:r>
      <w:r w:rsidR="005C5128" w:rsidRPr="009E670D">
        <w:rPr>
          <w:rFonts w:ascii="Verdana" w:eastAsia="Calibri" w:hAnsi="Verdana" w:cs="Arial"/>
          <w:color w:val="000000" w:themeColor="text1"/>
        </w:rPr>
        <w:t>artículo 5.4 de la Ley 1258 de 2008</w:t>
      </w:r>
      <w:r w:rsidR="005C5128">
        <w:rPr>
          <w:rFonts w:ascii="Verdana" w:eastAsia="Calibri" w:hAnsi="Verdana" w:cs="Arial"/>
          <w:color w:val="000000" w:themeColor="text1"/>
        </w:rPr>
        <w:t xml:space="preserve">– </w:t>
      </w:r>
      <w:r w:rsidR="005C5128">
        <w:rPr>
          <w:rFonts w:ascii="Verdana" w:eastAsia="Times New Roman" w:hAnsi="Verdana" w:cs="Arial"/>
          <w:color w:val="000000" w:themeColor="text1"/>
          <w:lang w:val="es-ES_tradnl" w:eastAsia="es-ES_tradnl"/>
        </w:rPr>
        <w:t>pueden ejecutar cualquier actividad lícita.</w:t>
      </w:r>
      <w:r w:rsidR="005C5128">
        <w:rPr>
          <w:rFonts w:ascii="Verdana" w:eastAsia="Calibri" w:hAnsi="Verdana" w:cs="Arial"/>
          <w:color w:val="000000" w:themeColor="text1"/>
        </w:rPr>
        <w:t xml:space="preserve"> </w:t>
      </w:r>
    </w:p>
    <w:p w14:paraId="37689558" w14:textId="5F801DAC" w:rsidR="00835BF6" w:rsidRDefault="00835BF6" w:rsidP="00835BF6">
      <w:pPr>
        <w:spacing w:after="120" w:line="276" w:lineRule="auto"/>
        <w:ind w:firstLine="708"/>
        <w:jc w:val="both"/>
        <w:rPr>
          <w:rFonts w:ascii="Verdana" w:hAnsi="Verdana"/>
          <w:lang w:val="es-ES"/>
        </w:rPr>
      </w:pPr>
      <w:r w:rsidRPr="0030552B">
        <w:rPr>
          <w:rFonts w:ascii="Verdana" w:hAnsi="Verdana"/>
          <w:lang w:val="es-ES"/>
        </w:rPr>
        <w:t>Por lo demás, e</w:t>
      </w:r>
      <w:r w:rsidR="00E2595A">
        <w:rPr>
          <w:rFonts w:ascii="Verdana" w:hAnsi="Verdana"/>
          <w:lang w:val="es-ES"/>
        </w:rPr>
        <w:t>l</w:t>
      </w:r>
      <w:r w:rsidRPr="0030552B">
        <w:rPr>
          <w:rFonts w:ascii="Verdana" w:hAnsi="Verdana"/>
          <w:lang w:val="es-ES"/>
        </w:rPr>
        <w:t xml:space="preserve"> artículo </w:t>
      </w:r>
      <w:r w:rsidR="00E2595A" w:rsidRPr="00836B55">
        <w:rPr>
          <w:rFonts w:ascii="Verdana" w:hAnsi="Verdana"/>
          <w:lang w:val="es-ES_tradnl"/>
        </w:rPr>
        <w:t>.2.1.2.4.2.2 del Decreto 1082 de 2015</w:t>
      </w:r>
      <w:r w:rsidR="00E2595A">
        <w:rPr>
          <w:rFonts w:ascii="Verdana" w:hAnsi="Verdana"/>
          <w:lang w:val="es-ES_tradnl"/>
        </w:rPr>
        <w:t xml:space="preserve"> </w:t>
      </w:r>
      <w:r w:rsidRPr="0030552B">
        <w:rPr>
          <w:rFonts w:ascii="Verdana" w:hAnsi="Verdana"/>
          <w:lang w:val="es-ES"/>
        </w:rPr>
        <w:t>incluye a las cooperativas y demás entidades de economía solidaria dentro de los sujetos que pueden solicitar y participar en las convocatorias limitadas a Mipyme, siempre que estas cumplan con las condiciones señaladas en el artículo.</w:t>
      </w:r>
    </w:p>
    <w:p w14:paraId="6E2ED87B" w14:textId="51576E61" w:rsidR="00836B55" w:rsidRPr="00836B55" w:rsidRDefault="0007011B" w:rsidP="00796052">
      <w:pPr>
        <w:spacing w:after="120" w:line="276" w:lineRule="auto"/>
        <w:ind w:firstLine="708"/>
        <w:jc w:val="both"/>
        <w:rPr>
          <w:rFonts w:ascii="Verdana" w:hAnsi="Verdana"/>
          <w:lang w:val="es-ES"/>
        </w:rPr>
      </w:pPr>
      <w:r>
        <w:rPr>
          <w:rFonts w:ascii="Verdana" w:hAnsi="Verdana"/>
          <w:lang w:val="es-ES"/>
        </w:rPr>
        <w:t xml:space="preserve">Ahora bien, </w:t>
      </w:r>
      <w:r>
        <w:rPr>
          <w:rFonts w:ascii="Verdana" w:hAnsi="Verdana"/>
          <w:lang w:val="es-ES_tradnl"/>
        </w:rPr>
        <w:t>d</w:t>
      </w:r>
      <w:r w:rsidR="00836B55" w:rsidRPr="00836B55">
        <w:rPr>
          <w:rFonts w:ascii="Verdana" w:hAnsi="Verdana"/>
          <w:lang w:val="es-ES_tradnl"/>
        </w:rPr>
        <w:t xml:space="preserve">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00836B55" w:rsidRPr="00796052">
        <w:rPr>
          <w:rFonts w:ascii="Verdana" w:hAnsi="Verdana"/>
          <w:i/>
          <w:lang w:val="es-ES_tradnl"/>
        </w:rPr>
        <w:t>municipal o departamental</w:t>
      </w:r>
      <w:r w:rsidR="00836B55" w:rsidRPr="00836B55">
        <w:rPr>
          <w:rFonts w:ascii="Verdana" w:hAnsi="Verdana"/>
          <w:lang w:val="es-ES_tradnl"/>
        </w:rPr>
        <w:t xml:space="preserve"> correspondiente al de la ejecución del contrato”</w:t>
      </w:r>
      <w:r w:rsidR="008F7130">
        <w:rPr>
          <w:rFonts w:ascii="Verdana" w:hAnsi="Verdana"/>
          <w:lang w:val="es-ES_tradnl"/>
        </w:rPr>
        <w:t xml:space="preserve"> [Énfasis fuera del texto]</w:t>
      </w:r>
      <w:r w:rsidR="00836B55" w:rsidRPr="00836B55">
        <w:rPr>
          <w:rFonts w:ascii="Verdana" w:hAnsi="Verdana"/>
          <w:lang w:val="es-ES_tradnl"/>
        </w:rPr>
        <w:t>, se desprende que en tales términos, la norma citada solo contempla la posibilidad de limitar convocatorias a Mi</w:t>
      </w:r>
      <w:r w:rsidR="008A536D">
        <w:rPr>
          <w:rFonts w:ascii="Verdana" w:hAnsi="Verdana"/>
          <w:lang w:val="es-ES_tradnl"/>
        </w:rPr>
        <w:t>p</w:t>
      </w:r>
      <w:r w:rsidR="00836B55" w:rsidRPr="00836B55">
        <w:rPr>
          <w:rFonts w:ascii="Verdana" w:hAnsi="Verdana"/>
          <w:lang w:val="es-ES_tradnl"/>
        </w:rPr>
        <w:t xml:space="preserve">ymes con domicilio en esos dos tipos de entidades territoriales. </w:t>
      </w:r>
    </w:p>
    <w:p w14:paraId="601C24FC"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p>
    <w:p w14:paraId="1D279EB6"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Por otro lado,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Mipyme, no puede </w:t>
      </w:r>
      <w:r w:rsidRPr="00836B55">
        <w:rPr>
          <w:rFonts w:ascii="Verdana" w:hAnsi="Verdana"/>
          <w:i/>
          <w:iCs/>
          <w:lang w:val="es-ES"/>
        </w:rPr>
        <w:t xml:space="preserve">motu proprio </w:t>
      </w:r>
      <w:r w:rsidRPr="00836B55">
        <w:rPr>
          <w:rFonts w:ascii="Verdana" w:hAnsi="Verdana"/>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6E7CAF16"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Cumplidos los dos requisitos del artículo 2.2.1.2.4.2.2 </w:t>
      </w:r>
      <w:r w:rsidRPr="00836B55">
        <w:rPr>
          <w:rFonts w:ascii="Verdana" w:hAnsi="Verdana"/>
          <w:i/>
          <w:iCs/>
          <w:lang w:val="es-ES"/>
        </w:rPr>
        <w:t>ibídem</w:t>
      </w:r>
      <w:r w:rsidRPr="00836B55">
        <w:rPr>
          <w:rFonts w:ascii="Verdana" w:hAnsi="Verdana"/>
          <w:lang w:val="es-ES"/>
        </w:rPr>
        <w:t xml:space="preserve">, la Entidad Estatal, independientemente de su régimen de contratación, los patrimonios autónomos constituidos por Entidades Estatales y los particulares que ejecuten recursos públicos, </w:t>
      </w:r>
      <w:r w:rsidRPr="00796052">
        <w:rPr>
          <w:rFonts w:ascii="Verdana" w:hAnsi="Verdana"/>
          <w:lang w:val="es-ES"/>
        </w:rPr>
        <w:t xml:space="preserve">pueden ─sin estar obligadas─ decidir si limitan la convocatoria </w:t>
      </w:r>
      <w:r w:rsidRPr="00796052">
        <w:rPr>
          <w:rFonts w:ascii="Verdana" w:hAnsi="Verdana"/>
          <w:lang w:val="es-ES"/>
        </w:rPr>
        <w:lastRenderedPageBreak/>
        <w:t>a las Mipyme colombianas domiciliadas en el municipio o departamento en el que se ejecutará el contrato</w:t>
      </w:r>
      <w:r w:rsidRPr="00836B55">
        <w:rPr>
          <w:rFonts w:ascii="Verdana" w:hAnsi="Verdana"/>
          <w:lang w:val="es-ES"/>
        </w:rPr>
        <w:t xml:space="preserve">. Esto de acuerdo con el artículo 2.2.1.2.4.2.3 del Decreto 1082 de 2015 </w:t>
      </w:r>
      <w:r w:rsidRPr="00836B55">
        <w:rPr>
          <w:rFonts w:ascii="Verdana" w:hAnsi="Verdana"/>
          <w:lang w:val="es-ES_tradnl"/>
        </w:rPr>
        <w:t>modificado por el Decreto 1860 de 2021</w:t>
      </w:r>
      <w:r w:rsidRPr="00836B55">
        <w:rPr>
          <w:rFonts w:ascii="Verdana" w:hAnsi="Verdana"/>
          <w:lang w:val="es-ES"/>
        </w:rPr>
        <w:t xml:space="preserve">, norma que se refiere a la facultad de la administración con el verbo infinitivo “poder”, no “deber”. </w:t>
      </w:r>
    </w:p>
    <w:p w14:paraId="35A8DDA5" w14:textId="77777777" w:rsidR="00836B55" w:rsidRPr="00836B55" w:rsidRDefault="00836B55" w:rsidP="00796052">
      <w:pPr>
        <w:spacing w:after="120" w:line="276" w:lineRule="auto"/>
        <w:ind w:firstLine="708"/>
        <w:jc w:val="both"/>
        <w:rPr>
          <w:rFonts w:ascii="Verdana" w:hAnsi="Verdana"/>
          <w:lang w:val="es-ES"/>
        </w:rPr>
      </w:pPr>
      <w:r w:rsidRPr="00836B55">
        <w:rPr>
          <w:rFonts w:ascii="Verdana" w:hAnsi="Verdana"/>
          <w:lang w:val="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r w:rsidRPr="00836B55">
        <w:rPr>
          <w:rFonts w:ascii="Verdana" w:hAnsi="Verdana"/>
          <w:i/>
          <w:iCs/>
          <w:lang w:val="es-ES"/>
        </w:rPr>
        <w:t>ibídem</w:t>
      </w:r>
      <w:r w:rsidRPr="00836B55">
        <w:rPr>
          <w:rFonts w:ascii="Verdana" w:hAnsi="Verdana"/>
          <w:lang w:val="es-ES"/>
        </w:rPr>
        <w:t>, pues esta es facultativa para la Entidad. Las únicas exigencias son que la convocatoria esté limitada a las Mipyme colombianas “domiciliadas en los departamentos o municipios en donde se va a ejecutar el contrato” y que la entidad justifique su decisión con base en los “estudios del sector”</w:t>
      </w:r>
      <w:r w:rsidRPr="00836B55">
        <w:rPr>
          <w:rFonts w:ascii="Verdana" w:hAnsi="Verdana"/>
          <w:vertAlign w:val="superscript"/>
          <w:lang w:val="es-ES"/>
        </w:rPr>
        <w:footnoteReference w:id="4"/>
      </w:r>
      <w:r w:rsidRPr="00836B55">
        <w:rPr>
          <w:rFonts w:ascii="Verdana" w:hAnsi="Verdana"/>
          <w:lang w:val="es-ES"/>
        </w:rPr>
        <w:t xml:space="preserve"> No es procedente, entonces, que sean las MiPymes las que soliciten la “limitación territorial” a la que se refiere el artículo 2.2.1.2.4.2.3 del Decreto 1082 de 2015. </w:t>
      </w:r>
    </w:p>
    <w:p w14:paraId="38C3F476"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 xml:space="preserve">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para tener en cuenta, una vez se ha decidido justificadamente limitar territorialmente </w:t>
      </w:r>
      <w:r w:rsidRPr="00836B55">
        <w:rPr>
          <w:rFonts w:ascii="Verdana" w:hAnsi="Verdana"/>
        </w:rPr>
        <w:lastRenderedPageBreak/>
        <w:t>la convocatoria previamente limitada a Mipyme, es el lugar donde se va a ejecutar el contrato.</w:t>
      </w:r>
    </w:p>
    <w:p w14:paraId="4687CC43"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Del mismo modo, de conformidad con el artículo 2.2.1.2.4.2.4. del Decreto 1082 de 2015, resulta posible que una persona natural acredite su condición de Mipyme y participe en el proceso de selección limitado para estas empresas. Sin embargo, será la entidad contratante la llamada a verificar de manera objetiva si la limitación territorial resultaría contraria al propósito de la norma, según la cual se pretende la promoción de las economías y la industria local, y más bien determine que la limitación territorial derive a prácticas restrictivas de la competencia, en observancia de los principios de igualdad y selección objetiva, tendrá que abstenerse de hacer la limitación territorial.</w:t>
      </w:r>
    </w:p>
    <w:p w14:paraId="2E9754F6"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En resumen, la decisión de limitar o no territorialmente una convocatoria limitada a MiPymes nacionales es una facultad discrecional, de manera que la Entidad contratante valorará si es oportuno y conveniente adoptarla</w:t>
      </w:r>
      <w:r w:rsidRPr="00836B55">
        <w:rPr>
          <w:rFonts w:ascii="Verdana" w:hAnsi="Verdana"/>
          <w:vertAlign w:val="superscript"/>
        </w:rPr>
        <w:footnoteReference w:id="5"/>
      </w:r>
      <w:r w:rsidRPr="00836B55">
        <w:rPr>
          <w:rFonts w:ascii="Verdana" w:hAnsi="Verdana"/>
        </w:rPr>
        <w:t xml:space="preserve">. Sin embargo, aunque la discrecionalidad implica una elección administrativa, no puede ser una decisión irracional o arbitraria. </w:t>
      </w:r>
    </w:p>
    <w:p w14:paraId="56069EBA" w14:textId="77777777" w:rsidR="00836B55" w:rsidRPr="00836B55" w:rsidRDefault="00836B55" w:rsidP="00796052">
      <w:pPr>
        <w:spacing w:after="120" w:line="276" w:lineRule="auto"/>
        <w:ind w:firstLine="708"/>
        <w:jc w:val="both"/>
        <w:rPr>
          <w:rFonts w:ascii="Verdana" w:hAnsi="Verdana"/>
        </w:rPr>
      </w:pPr>
      <w:r w:rsidRPr="00836B55">
        <w:rPr>
          <w:rFonts w:ascii="Verdana" w:hAnsi="Verdana"/>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57CDA76E" w14:textId="77777777" w:rsidR="00836B55" w:rsidRDefault="00836B55" w:rsidP="00796052">
      <w:pPr>
        <w:spacing w:after="0" w:line="276" w:lineRule="auto"/>
        <w:ind w:firstLine="708"/>
        <w:jc w:val="both"/>
        <w:rPr>
          <w:rFonts w:ascii="Verdana" w:hAnsi="Verdana"/>
        </w:rPr>
      </w:pPr>
      <w:r w:rsidRPr="00836B55">
        <w:rPr>
          <w:rFonts w:ascii="Verdana" w:hAnsi="Verdana"/>
        </w:rPr>
        <w:t xml:space="preserve">En todo caso,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w:t>
      </w:r>
      <w:r w:rsidRPr="00836B55">
        <w:rPr>
          <w:rFonts w:ascii="Verdana" w:hAnsi="Verdana"/>
        </w:rPr>
        <w:lastRenderedPageBreak/>
        <w:t>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4992D6E3" w14:textId="2222E77D" w:rsidR="0078122B" w:rsidRDefault="0078122B" w:rsidP="00796052">
      <w:pPr>
        <w:spacing w:after="0" w:line="276" w:lineRule="auto"/>
        <w:jc w:val="both"/>
        <w:rPr>
          <w:rFonts w:ascii="Verdana" w:hAnsi="Verdana"/>
        </w:rPr>
      </w:pPr>
      <w:r>
        <w:rPr>
          <w:rFonts w:ascii="Verdana" w:hAnsi="Verdana"/>
        </w:rPr>
        <w:t xml:space="preserve"> </w:t>
      </w:r>
    </w:p>
    <w:p w14:paraId="7E51AE82" w14:textId="77777777" w:rsidR="00165B58" w:rsidRPr="00165B58" w:rsidRDefault="00165B58" w:rsidP="00165B58">
      <w:pPr>
        <w:numPr>
          <w:ilvl w:val="0"/>
          <w:numId w:val="19"/>
        </w:numPr>
        <w:spacing w:after="0"/>
        <w:jc w:val="both"/>
        <w:rPr>
          <w:rFonts w:ascii="Verdana" w:hAnsi="Verdana"/>
          <w:b/>
          <w:bCs/>
          <w:lang w:val="es-ES"/>
        </w:rPr>
      </w:pPr>
      <w:r w:rsidRPr="00165B58">
        <w:rPr>
          <w:rFonts w:ascii="Verdana" w:hAnsi="Verdana"/>
          <w:b/>
          <w:bCs/>
          <w:lang w:val="es-ES"/>
        </w:rPr>
        <w:t>Referencias normativas, jurisprudenciales y otras fuentes:</w:t>
      </w:r>
    </w:p>
    <w:p w14:paraId="1EA0AA77" w14:textId="77777777" w:rsidR="00165B58" w:rsidRPr="00165B58" w:rsidRDefault="00165B58" w:rsidP="00165B58">
      <w:pPr>
        <w:spacing w:after="0"/>
        <w:jc w:val="both"/>
        <w:rPr>
          <w:rFonts w:ascii="Verdana" w:hAnsi="Verdana"/>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5B58" w:rsidRPr="00165B58" w14:paraId="1BD2CEAB" w14:textId="77777777" w:rsidTr="00853467">
        <w:trPr>
          <w:trHeight w:val="870"/>
        </w:trPr>
        <w:tc>
          <w:tcPr>
            <w:tcW w:w="8647" w:type="dxa"/>
          </w:tcPr>
          <w:p w14:paraId="14B846D0" w14:textId="77777777" w:rsidR="00165B58" w:rsidRPr="00165B58"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Decreto 1860 de 2021, numerales 1 y 2 del artículo 2.2.1.2.4.2.2. artículos, 2.2.1.2.4.2.3 2.2.1.2.4.2.4. Ley 1150 de 2007 artículo 12.</w:t>
            </w:r>
          </w:p>
          <w:p w14:paraId="7C815A26" w14:textId="77777777" w:rsidR="00165B58" w:rsidRPr="00165B58"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Ley 80 de 1993, literal g), numeral 1, Artículo 8.</w:t>
            </w:r>
          </w:p>
          <w:p w14:paraId="096C53AD" w14:textId="77777777" w:rsidR="00165B58" w:rsidRPr="00165B58" w:rsidRDefault="00165B58" w:rsidP="00165B58">
            <w:pPr>
              <w:numPr>
                <w:ilvl w:val="0"/>
                <w:numId w:val="18"/>
              </w:numPr>
              <w:spacing w:line="259" w:lineRule="auto"/>
              <w:jc w:val="both"/>
              <w:rPr>
                <w:rFonts w:ascii="Verdana" w:hAnsi="Verdana"/>
                <w:lang w:val="es-ES"/>
              </w:rPr>
            </w:pPr>
            <w:r w:rsidRPr="00165B58">
              <w:rPr>
                <w:rFonts w:ascii="Verdana" w:hAnsi="Verdana"/>
                <w:lang w:val="es-ES_tradnl"/>
              </w:rPr>
              <w:t>Ley 1150 de 2007, parágrafo 1, Artículo 5.</w:t>
            </w:r>
          </w:p>
        </w:tc>
      </w:tr>
    </w:tbl>
    <w:p w14:paraId="0C816334" w14:textId="77777777" w:rsidR="00165B58" w:rsidRPr="00C02F37" w:rsidRDefault="00165B58" w:rsidP="00165B58">
      <w:pPr>
        <w:spacing w:before="120" w:after="0" w:line="276" w:lineRule="auto"/>
        <w:jc w:val="both"/>
        <w:rPr>
          <w:rFonts w:ascii="Verdana" w:hAnsi="Verdana" w:cs="Arial"/>
          <w:color w:val="000000"/>
          <w:lang w:eastAsia="es-ES"/>
        </w:rPr>
      </w:pPr>
    </w:p>
    <w:p w14:paraId="5AC78BD8" w14:textId="77777777" w:rsidR="00165B58" w:rsidRPr="00C02F37" w:rsidRDefault="00165B58" w:rsidP="00165B58">
      <w:pPr>
        <w:pStyle w:val="Prrafodelista"/>
        <w:numPr>
          <w:ilvl w:val="0"/>
          <w:numId w:val="19"/>
        </w:numPr>
        <w:tabs>
          <w:tab w:val="left" w:pos="142"/>
          <w:tab w:val="left" w:pos="284"/>
        </w:tabs>
        <w:spacing w:after="0" w:line="276" w:lineRule="auto"/>
        <w:ind w:left="0" w:firstLine="0"/>
        <w:contextualSpacing w:val="0"/>
        <w:jc w:val="both"/>
        <w:rPr>
          <w:rFonts w:ascii="Verdana" w:hAnsi="Verdana" w:cs="Century Gothic"/>
          <w:b/>
          <w:bCs/>
        </w:rPr>
      </w:pPr>
      <w:r w:rsidRPr="00C02F37">
        <w:rPr>
          <w:rFonts w:ascii="Verdana" w:hAnsi="Verdana" w:cs="Century Gothic"/>
          <w:b/>
          <w:bCs/>
        </w:rPr>
        <w:t>Doctrina de la Agencia Nacional de Contratación Pública:</w:t>
      </w:r>
    </w:p>
    <w:p w14:paraId="344CC206" w14:textId="77777777" w:rsidR="00165B58" w:rsidRPr="00C02F37" w:rsidRDefault="00165B58" w:rsidP="00165B58">
      <w:pPr>
        <w:widowControl w:val="0"/>
        <w:autoSpaceDE w:val="0"/>
        <w:autoSpaceDN w:val="0"/>
        <w:spacing w:after="0" w:line="276" w:lineRule="auto"/>
        <w:jc w:val="both"/>
        <w:rPr>
          <w:rFonts w:ascii="Verdana" w:hAnsi="Verdana" w:cs="Arial"/>
        </w:rPr>
      </w:pPr>
    </w:p>
    <w:p w14:paraId="7FBC30E0" w14:textId="767DF7CE" w:rsidR="00165B58" w:rsidRDefault="00165B58" w:rsidP="00165B58">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02F37">
        <w:rPr>
          <w:rFonts w:ascii="Verdana" w:hAnsi="Verdana"/>
        </w:rPr>
        <w:t xml:space="preserve">En lo relacionado con el ámbito de la consulta, esta Subdirección se ha pronunciado </w:t>
      </w:r>
      <w:r w:rsidRPr="000F7C08">
        <w:rPr>
          <w:rFonts w:ascii="Verdana" w:hAnsi="Verdana" w:cs="Arial"/>
        </w:rPr>
        <w:t>sobre las convocatorias limitadas a MiPymes, sus requisitos y características, en los Conceptos Nro.</w:t>
      </w:r>
      <w:r>
        <w:rPr>
          <w:rFonts w:ascii="Verdana" w:hAnsi="Verdana" w:cs="Arial"/>
        </w:rPr>
        <w:t xml:space="preserve"> </w:t>
      </w:r>
      <w:r w:rsidRPr="000F7C08">
        <w:rPr>
          <w:rFonts w:ascii="Verdana" w:hAnsi="Verdana" w:cs="Arial"/>
        </w:rPr>
        <w:t>C − 366 del 8 de</w:t>
      </w:r>
      <w:r>
        <w:rPr>
          <w:rFonts w:ascii="Verdana" w:hAnsi="Verdana"/>
        </w:rPr>
        <w:t xml:space="preserve"> septiembre de 2023 </w:t>
      </w:r>
      <w:r w:rsidRPr="00C02F37">
        <w:rPr>
          <w:rFonts w:ascii="Verdana" w:hAnsi="Verdana"/>
        </w:rPr>
        <w:t>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w:t>
      </w:r>
      <w:r>
        <w:rPr>
          <w:rFonts w:ascii="Verdana" w:hAnsi="Verdana"/>
        </w:rPr>
        <w:t>,</w:t>
      </w:r>
      <w:r w:rsidRPr="00C02F37">
        <w:rPr>
          <w:rFonts w:ascii="Verdana" w:hAnsi="Verdana"/>
        </w:rPr>
        <w:t xml:space="preserve"> C-829 del 03 de diciembre del 2024</w:t>
      </w:r>
      <w:r>
        <w:rPr>
          <w:rFonts w:ascii="Verdana" w:hAnsi="Verdana"/>
        </w:rPr>
        <w:t xml:space="preserve"> y C-100 del 25 de febrero de 2025</w:t>
      </w:r>
      <w:r w:rsidRPr="00C02F37">
        <w:rPr>
          <w:rFonts w:ascii="Verdana" w:hAnsi="Verdana"/>
        </w:rPr>
        <w:t xml:space="preserve">. </w:t>
      </w:r>
      <w:r w:rsidRPr="00C02F37">
        <w:rPr>
          <w:rStyle w:val="normaltextrun"/>
          <w:rFonts w:ascii="Verdana" w:hAnsi="Verdana" w:cs="Arial"/>
          <w:shd w:val="clear" w:color="auto" w:fill="FFFFFF"/>
          <w:lang w:val="es-ES"/>
        </w:rPr>
        <w:t>Es</w:t>
      </w:r>
      <w:r w:rsidRPr="00C02F37">
        <w:rPr>
          <w:rFonts w:ascii="Verdana" w:hAnsi="Verdana"/>
        </w:rPr>
        <w:t>tos y otros conceptos se encuentran disponibles para consulta en el Sistema de relatoría de la Agencia, al cual se puede acceder a través del siguiente enlace:</w:t>
      </w:r>
      <w:r w:rsidRPr="00C02F37">
        <w:rPr>
          <w:rStyle w:val="normaltextrun"/>
          <w:rFonts w:ascii="Verdana" w:hAnsi="Verdana" w:cs="Arial"/>
          <w:shd w:val="clear" w:color="auto" w:fill="FFFFFF"/>
          <w:lang w:val="es-ES"/>
        </w:rPr>
        <w:t xml:space="preserve"> </w:t>
      </w:r>
      <w:hyperlink r:id="rId12" w:history="1">
        <w:r w:rsidRPr="00C02F37">
          <w:rPr>
            <w:rStyle w:val="Hipervnculo"/>
            <w:rFonts w:ascii="Verdana" w:hAnsi="Verdana" w:cs="Arial"/>
            <w:shd w:val="clear" w:color="auto" w:fill="FFFFFF"/>
            <w:lang w:val="es-ES"/>
          </w:rPr>
          <w:t>https://relatoria.colombiacompra.gov.co/busqueda/conceptos</w:t>
        </w:r>
      </w:hyperlink>
    </w:p>
    <w:p w14:paraId="73E9CD79" w14:textId="77777777" w:rsidR="00165B58" w:rsidRDefault="00165B58" w:rsidP="00165B5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3808F8"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3BD045C" w14:textId="77777777" w:rsidR="00A83F27" w:rsidRPr="00B45B4E" w:rsidRDefault="00A83F27" w:rsidP="00A83F27">
      <w:pPr>
        <w:spacing w:after="0" w:line="276" w:lineRule="auto"/>
        <w:jc w:val="both"/>
        <w:rPr>
          <w:rFonts w:ascii="Verdana" w:hAnsi="Verdana" w:cs="Arial"/>
        </w:rPr>
      </w:pPr>
    </w:p>
    <w:p w14:paraId="155D176A" w14:textId="77777777" w:rsidR="00A83F27" w:rsidRPr="00B45B4E" w:rsidRDefault="00A83F27" w:rsidP="00A83F27">
      <w:pPr>
        <w:pStyle w:val="Prrafodelista"/>
        <w:numPr>
          <w:ilvl w:val="0"/>
          <w:numId w:val="15"/>
        </w:numPr>
        <w:spacing w:after="0" w:line="276" w:lineRule="auto"/>
        <w:jc w:val="both"/>
        <w:rPr>
          <w:rFonts w:ascii="Verdana" w:hAnsi="Verdana" w:cs="Arial"/>
        </w:rPr>
      </w:pPr>
      <w:r w:rsidRPr="00B45B4E">
        <w:rPr>
          <w:rFonts w:ascii="Verdana" w:hAnsi="Verdana" w:cs="Arial"/>
        </w:rPr>
        <w:t>Línea nacional gratuita o servicio a la ciudadanía: 01800 0520808</w:t>
      </w:r>
    </w:p>
    <w:p w14:paraId="2F57F6C1" w14:textId="77777777" w:rsidR="00A83F27" w:rsidRPr="00B45B4E" w:rsidRDefault="00A83F27" w:rsidP="00A83F27">
      <w:pPr>
        <w:pStyle w:val="Prrafodelista"/>
        <w:numPr>
          <w:ilvl w:val="0"/>
          <w:numId w:val="15"/>
        </w:numPr>
        <w:spacing w:after="0" w:line="276" w:lineRule="auto"/>
        <w:jc w:val="both"/>
        <w:rPr>
          <w:rFonts w:ascii="Verdana" w:hAnsi="Verdana" w:cs="Arial"/>
        </w:rPr>
      </w:pPr>
      <w:r w:rsidRPr="00B45B4E">
        <w:rPr>
          <w:rFonts w:ascii="Verdana" w:hAnsi="Verdana" w:cs="Arial"/>
        </w:rPr>
        <w:t>Línea en Bogotá D.C. (Mesa de servicio): +57 601 7456788</w:t>
      </w:r>
    </w:p>
    <w:p w14:paraId="5CA21B42" w14:textId="77777777" w:rsidR="00A83F27" w:rsidRPr="00B45B4E" w:rsidRDefault="00A83F27" w:rsidP="00A83F27">
      <w:pPr>
        <w:pStyle w:val="Prrafodelista"/>
        <w:numPr>
          <w:ilvl w:val="0"/>
          <w:numId w:val="15"/>
        </w:numPr>
        <w:spacing w:after="0" w:line="276" w:lineRule="auto"/>
        <w:jc w:val="both"/>
        <w:rPr>
          <w:rFonts w:ascii="Verdana" w:hAnsi="Verdana" w:cs="Arial"/>
        </w:rPr>
      </w:pPr>
      <w:r w:rsidRPr="00B45B4E">
        <w:rPr>
          <w:rFonts w:ascii="Verdana" w:hAnsi="Verdana" w:cs="Arial"/>
        </w:rPr>
        <w:t>Línea de servicio y atención al ciudadano: +57 601 7956600</w:t>
      </w:r>
    </w:p>
    <w:p w14:paraId="51FCA850" w14:textId="77777777" w:rsidR="00A83F27" w:rsidRPr="00B45B4E" w:rsidRDefault="00A83F27" w:rsidP="00796052">
      <w:pPr>
        <w:numPr>
          <w:ilvl w:val="0"/>
          <w:numId w:val="15"/>
        </w:numPr>
        <w:spacing w:after="0" w:line="276" w:lineRule="auto"/>
        <w:rPr>
          <w:rFonts w:ascii="Verdana" w:hAnsi="Verdana" w:cs="Arial"/>
          <w:color w:val="2F5496" w:themeColor="accent1" w:themeShade="BF"/>
        </w:rPr>
      </w:pPr>
      <w:r w:rsidRPr="00B45B4E">
        <w:rPr>
          <w:rFonts w:ascii="Verdana" w:hAnsi="Verdana" w:cs="Arial"/>
        </w:rPr>
        <w:t>Correo de PQRSD:</w:t>
      </w:r>
      <w:r w:rsidRPr="00B45B4E">
        <w:rPr>
          <w:rFonts w:ascii="Verdana" w:hAnsi="Verdana" w:cs="Arial"/>
          <w:color w:val="2F5496" w:themeColor="accent1" w:themeShade="BF"/>
        </w:rPr>
        <w:t xml:space="preserve"> </w:t>
      </w:r>
      <w:hyperlink r:id="rId13" w:history="1">
        <w:r w:rsidRPr="00B45B4E">
          <w:rPr>
            <w:rStyle w:val="Hipervnculo"/>
            <w:rFonts w:ascii="Verdana" w:hAnsi="Verdana" w:cs="Arial"/>
            <w:color w:val="2F5496" w:themeColor="accent1" w:themeShade="BF"/>
          </w:rPr>
          <w:t>ventanillaunicaderadicacion@colombicompra.gov.co</w:t>
        </w:r>
      </w:hyperlink>
    </w:p>
    <w:p w14:paraId="64D1F022" w14:textId="77777777" w:rsidR="00A83F27" w:rsidRPr="00B45B4E" w:rsidRDefault="00A83F27" w:rsidP="00A83F27">
      <w:pPr>
        <w:pStyle w:val="Prrafodelista"/>
        <w:numPr>
          <w:ilvl w:val="0"/>
          <w:numId w:val="15"/>
        </w:numPr>
        <w:spacing w:after="0" w:line="276" w:lineRule="auto"/>
        <w:jc w:val="both"/>
        <w:rPr>
          <w:rFonts w:ascii="Verdana" w:hAnsi="Verdana" w:cs="Arial"/>
          <w:color w:val="2F5496" w:themeColor="accent1" w:themeShade="BF"/>
        </w:rPr>
      </w:pPr>
      <w:r w:rsidRPr="00B45B4E">
        <w:rPr>
          <w:rFonts w:ascii="Verdana" w:hAnsi="Verdana" w:cs="Arial"/>
        </w:rPr>
        <w:lastRenderedPageBreak/>
        <w:t xml:space="preserve">Página web: </w:t>
      </w:r>
      <w:hyperlink r:id="rId14" w:history="1">
        <w:r w:rsidRPr="00B45B4E">
          <w:rPr>
            <w:rStyle w:val="Hipervnculo"/>
            <w:rFonts w:ascii="Verdana" w:hAnsi="Verdana" w:cs="Arial"/>
            <w:color w:val="2F5496" w:themeColor="accent1" w:themeShade="BF"/>
          </w:rPr>
          <w:t>www.colombiacompra.gov.co</w:t>
        </w:r>
      </w:hyperlink>
    </w:p>
    <w:p w14:paraId="64F637D8" w14:textId="77777777" w:rsidR="00A83F27" w:rsidRPr="00B45B4E" w:rsidRDefault="00A83F27" w:rsidP="00A83F27">
      <w:pPr>
        <w:pStyle w:val="Prrafodelista"/>
        <w:spacing w:after="0" w:line="276" w:lineRule="auto"/>
        <w:ind w:left="785"/>
        <w:jc w:val="both"/>
        <w:rPr>
          <w:rFonts w:ascii="Verdana" w:hAnsi="Verdana" w:cs="Arial"/>
        </w:rPr>
      </w:pPr>
    </w:p>
    <w:p w14:paraId="54C93E19"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Por último, lo invitamos a seguirnos en las redes sociales en las cuales se difunde información institucional: </w:t>
      </w:r>
    </w:p>
    <w:p w14:paraId="47601CBF"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Twitter: </w:t>
      </w:r>
      <w:r w:rsidRPr="00B45B4E">
        <w:rPr>
          <w:rStyle w:val="Hipervnculo"/>
          <w:rFonts w:ascii="Verdana" w:hAnsi="Verdana" w:cs="Arial"/>
          <w:color w:val="2F5496" w:themeColor="accent1" w:themeShade="BF"/>
        </w:rPr>
        <w:t>@colombiacompra</w:t>
      </w:r>
      <w:r w:rsidRPr="00B45B4E">
        <w:rPr>
          <w:rFonts w:ascii="Verdana" w:hAnsi="Verdana" w:cs="Arial"/>
          <w:color w:val="2F5496" w:themeColor="accent1" w:themeShade="BF"/>
        </w:rPr>
        <w:t xml:space="preserve"> </w:t>
      </w:r>
    </w:p>
    <w:p w14:paraId="4D3BB928"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Facebook: </w:t>
      </w:r>
      <w:r w:rsidRPr="00B45B4E">
        <w:rPr>
          <w:rStyle w:val="Hipervnculo"/>
          <w:rFonts w:ascii="Verdana" w:hAnsi="Verdana" w:cs="Arial"/>
          <w:color w:val="2F5496" w:themeColor="accent1" w:themeShade="BF"/>
        </w:rPr>
        <w:t>ColombiaCompraEficiente</w:t>
      </w:r>
    </w:p>
    <w:p w14:paraId="073B1158" w14:textId="77777777" w:rsidR="00A83F27" w:rsidRPr="00B45B4E" w:rsidRDefault="00A83F27" w:rsidP="00A83F27">
      <w:pPr>
        <w:spacing w:after="0" w:line="276" w:lineRule="auto"/>
        <w:jc w:val="both"/>
        <w:rPr>
          <w:rFonts w:ascii="Verdana" w:hAnsi="Verdana" w:cs="Arial"/>
        </w:rPr>
      </w:pPr>
      <w:r w:rsidRPr="00B45B4E">
        <w:rPr>
          <w:rFonts w:ascii="Verdana" w:hAnsi="Verdana" w:cs="Arial"/>
        </w:rPr>
        <w:t xml:space="preserve">LinkedIn: </w:t>
      </w:r>
      <w:r w:rsidRPr="00B45B4E">
        <w:rPr>
          <w:rStyle w:val="Hipervnculo"/>
          <w:rFonts w:ascii="Verdana" w:hAnsi="Verdana" w:cs="Arial"/>
          <w:color w:val="2F5496" w:themeColor="accent1" w:themeShade="BF"/>
        </w:rPr>
        <w:t>Agencia Nacional de Contratación Pública - Colombia Compra Eficiente</w:t>
      </w:r>
      <w:r w:rsidRPr="00B45B4E">
        <w:rPr>
          <w:rFonts w:ascii="Verdana" w:hAnsi="Verdana" w:cs="Arial"/>
          <w:color w:val="2F5496" w:themeColor="accent1" w:themeShade="BF"/>
        </w:rPr>
        <w:t xml:space="preserve"> </w:t>
      </w:r>
      <w:r w:rsidRPr="00B45B4E">
        <w:rPr>
          <w:rFonts w:ascii="Verdana" w:hAnsi="Verdana" w:cs="Arial"/>
        </w:rPr>
        <w:t xml:space="preserve">Instagram: </w:t>
      </w:r>
      <w:r w:rsidRPr="00B45B4E">
        <w:rPr>
          <w:rStyle w:val="Hipervnculo"/>
          <w:rFonts w:ascii="Verdana" w:hAnsi="Verdana" w:cs="Arial"/>
          <w:color w:val="2F5496" w:themeColor="accent1" w:themeShade="BF"/>
        </w:rPr>
        <w:t>@colombiacompraeficiente_cce</w:t>
      </w:r>
    </w:p>
    <w:p w14:paraId="00152055" w14:textId="77777777" w:rsidR="00A83F27" w:rsidRPr="00B45B4E" w:rsidRDefault="00A83F27" w:rsidP="00A83F27">
      <w:pPr>
        <w:autoSpaceDE w:val="0"/>
        <w:autoSpaceDN w:val="0"/>
        <w:adjustRightInd w:val="0"/>
        <w:spacing w:after="0" w:line="276" w:lineRule="auto"/>
        <w:jc w:val="both"/>
        <w:rPr>
          <w:rFonts w:ascii="Verdana" w:eastAsia="Calibri" w:hAnsi="Verdana" w:cs="Arial"/>
        </w:rPr>
      </w:pPr>
    </w:p>
    <w:p w14:paraId="45861BAB" w14:textId="7C839F03" w:rsidR="00A83F27" w:rsidRPr="00B45B4E" w:rsidRDefault="00A83F27" w:rsidP="00A83F27">
      <w:pPr>
        <w:autoSpaceDE w:val="0"/>
        <w:autoSpaceDN w:val="0"/>
        <w:adjustRightInd w:val="0"/>
        <w:spacing w:after="0" w:line="276" w:lineRule="auto"/>
        <w:jc w:val="both"/>
        <w:rPr>
          <w:rFonts w:ascii="Verdana" w:eastAsia="Calibri" w:hAnsi="Verdana" w:cs="Arial"/>
        </w:rPr>
      </w:pPr>
    </w:p>
    <w:p w14:paraId="44E05134" w14:textId="2BC22F86" w:rsidR="00A83F27" w:rsidRDefault="00A83F27" w:rsidP="00A83F27">
      <w:pPr>
        <w:autoSpaceDE w:val="0"/>
        <w:autoSpaceDN w:val="0"/>
        <w:adjustRightInd w:val="0"/>
        <w:spacing w:after="0" w:line="276" w:lineRule="auto"/>
        <w:jc w:val="both"/>
        <w:rPr>
          <w:rFonts w:ascii="Verdana" w:eastAsia="Calibri" w:hAnsi="Verdana" w:cs="Arial"/>
        </w:rPr>
      </w:pPr>
      <w:r w:rsidRPr="00B45B4E">
        <w:rPr>
          <w:rFonts w:ascii="Verdana" w:eastAsia="Calibri" w:hAnsi="Verdana" w:cs="Arial"/>
        </w:rPr>
        <w:t>Atentamente,</w:t>
      </w:r>
    </w:p>
    <w:p w14:paraId="6C981673" w14:textId="6F49FFBC" w:rsidR="00A83F27" w:rsidRDefault="00AA1206" w:rsidP="00A83F27">
      <w:pPr>
        <w:autoSpaceDE w:val="0"/>
        <w:autoSpaceDN w:val="0"/>
        <w:adjustRightInd w:val="0"/>
        <w:spacing w:after="0" w:line="276" w:lineRule="auto"/>
        <w:jc w:val="both"/>
        <w:rPr>
          <w:rFonts w:ascii="Verdana" w:eastAsia="Calibri" w:hAnsi="Verdana" w:cs="Arial"/>
        </w:rPr>
      </w:pPr>
      <w:r>
        <w:rPr>
          <w:noProof/>
        </w:rPr>
        <w:drawing>
          <wp:anchor distT="0" distB="0" distL="114300" distR="114300" simplePos="0" relativeHeight="251659776" behindDoc="1" locked="0" layoutInCell="1" allowOverlap="1" wp14:anchorId="016E40DA" wp14:editId="0C2237EF">
            <wp:simplePos x="0" y="0"/>
            <wp:positionH relativeFrom="margin">
              <wp:posOffset>967225</wp:posOffset>
            </wp:positionH>
            <wp:positionV relativeFrom="paragraph">
              <wp:posOffset>3810</wp:posOffset>
            </wp:positionV>
            <wp:extent cx="3555365" cy="1523365"/>
            <wp:effectExtent l="0" t="0" r="6985" b="635"/>
            <wp:wrapTight wrapText="bothSides">
              <wp:wrapPolygon edited="0">
                <wp:start x="0" y="0"/>
                <wp:lineTo x="0" y="21339"/>
                <wp:lineTo x="21527" y="21339"/>
                <wp:lineTo x="21527" y="0"/>
                <wp:lineTo x="0" y="0"/>
              </wp:wrapPolygon>
            </wp:wrapTight>
            <wp:docPr id="367234919"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34919" name="Imagen 2" descr="Texto&#10;&#10;Descripción generada automáticamente"/>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55365" cy="15233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A21C76" w14:textId="1C75D3C5" w:rsidR="00A83F27" w:rsidRDefault="00A83F27" w:rsidP="00A83F27">
      <w:pPr>
        <w:autoSpaceDE w:val="0"/>
        <w:autoSpaceDN w:val="0"/>
        <w:adjustRightInd w:val="0"/>
        <w:spacing w:after="0" w:line="276" w:lineRule="auto"/>
        <w:jc w:val="both"/>
        <w:rPr>
          <w:rFonts w:ascii="Verdana" w:eastAsia="Calibri" w:hAnsi="Verdana" w:cs="Arial"/>
        </w:rPr>
      </w:pPr>
    </w:p>
    <w:p w14:paraId="632A96E2" w14:textId="53B6A075" w:rsidR="00A83F27" w:rsidRPr="00B45B4E" w:rsidRDefault="00A83F27" w:rsidP="00A83F27">
      <w:pPr>
        <w:autoSpaceDE w:val="0"/>
        <w:autoSpaceDN w:val="0"/>
        <w:adjustRightInd w:val="0"/>
        <w:spacing w:after="0" w:line="276" w:lineRule="auto"/>
        <w:jc w:val="both"/>
        <w:rPr>
          <w:rFonts w:ascii="Verdana" w:eastAsia="Times New Roman" w:hAnsi="Verdana" w:cs="Arial"/>
          <w:noProof/>
          <w:lang w:eastAsia="es-MX"/>
        </w:rPr>
      </w:pPr>
    </w:p>
    <w:p w14:paraId="73EB48E5" w14:textId="77777777" w:rsidR="00A83F27" w:rsidRDefault="00A83F27" w:rsidP="00A83F27">
      <w:pPr>
        <w:autoSpaceDE w:val="0"/>
        <w:autoSpaceDN w:val="0"/>
        <w:adjustRightInd w:val="0"/>
        <w:spacing w:after="0" w:line="276" w:lineRule="auto"/>
        <w:rPr>
          <w:rFonts w:ascii="Verdana" w:eastAsia="Calibri" w:hAnsi="Verdana" w:cs="Arial"/>
          <w:sz w:val="16"/>
          <w:szCs w:val="16"/>
        </w:rPr>
      </w:pPr>
    </w:p>
    <w:p w14:paraId="24586F81" w14:textId="77777777" w:rsidR="00A83F27" w:rsidRDefault="00A83F27" w:rsidP="00A83F27">
      <w:pPr>
        <w:autoSpaceDE w:val="0"/>
        <w:autoSpaceDN w:val="0"/>
        <w:adjustRightInd w:val="0"/>
        <w:spacing w:after="0" w:line="276" w:lineRule="auto"/>
        <w:jc w:val="center"/>
        <w:rPr>
          <w:rFonts w:ascii="Verdana" w:eastAsia="Calibri" w:hAnsi="Verdana" w:cs="Arial"/>
          <w:sz w:val="16"/>
          <w:szCs w:val="16"/>
        </w:rPr>
      </w:pPr>
    </w:p>
    <w:p w14:paraId="531EA276" w14:textId="77777777" w:rsidR="00441444" w:rsidRDefault="00441444" w:rsidP="00A83F27">
      <w:pPr>
        <w:autoSpaceDE w:val="0"/>
        <w:autoSpaceDN w:val="0"/>
        <w:adjustRightInd w:val="0"/>
        <w:spacing w:after="0" w:line="276" w:lineRule="auto"/>
        <w:jc w:val="center"/>
        <w:rPr>
          <w:rFonts w:ascii="Verdana" w:eastAsia="Calibri" w:hAnsi="Verdana" w:cs="Arial"/>
          <w:sz w:val="16"/>
          <w:szCs w:val="16"/>
        </w:rPr>
      </w:pPr>
    </w:p>
    <w:p w14:paraId="6FBA7A82" w14:textId="77777777" w:rsidR="00A83F27" w:rsidRDefault="00A83F27" w:rsidP="00A83F27">
      <w:pPr>
        <w:autoSpaceDE w:val="0"/>
        <w:autoSpaceDN w:val="0"/>
        <w:adjustRightInd w:val="0"/>
        <w:spacing w:after="0" w:line="276" w:lineRule="auto"/>
        <w:jc w:val="center"/>
        <w:rPr>
          <w:rFonts w:ascii="Verdana" w:eastAsia="Calibri" w:hAnsi="Verdana" w:cs="Arial"/>
          <w:sz w:val="16"/>
          <w:szCs w:val="16"/>
        </w:rPr>
      </w:pPr>
    </w:p>
    <w:p w14:paraId="39836BCB"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p w14:paraId="36EE89FA"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p w14:paraId="68C15A4C"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p w14:paraId="32781239" w14:textId="77777777" w:rsidR="00E33647" w:rsidRDefault="00E33647" w:rsidP="00A83F27">
      <w:pPr>
        <w:autoSpaceDE w:val="0"/>
        <w:autoSpaceDN w:val="0"/>
        <w:adjustRightInd w:val="0"/>
        <w:spacing w:after="0" w:line="276" w:lineRule="auto"/>
        <w:jc w:val="center"/>
        <w:rPr>
          <w:rFonts w:ascii="Verdana" w:eastAsia="Calibri" w:hAnsi="Verdana" w:cs="Arial"/>
          <w:sz w:val="16"/>
          <w:szCs w:val="16"/>
        </w:rPr>
      </w:pPr>
    </w:p>
    <w:tbl>
      <w:tblPr>
        <w:tblW w:w="58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955"/>
      </w:tblGrid>
      <w:tr w:rsidR="00A83F27" w:rsidRPr="00B45B4E" w14:paraId="566992BC" w14:textId="77777777" w:rsidTr="00796052">
        <w:trPr>
          <w:trHeight w:val="315"/>
        </w:trPr>
        <w:tc>
          <w:tcPr>
            <w:tcW w:w="857" w:type="dxa"/>
            <w:tcBorders>
              <w:top w:val="nil"/>
              <w:left w:val="nil"/>
              <w:bottom w:val="nil"/>
              <w:right w:val="nil"/>
            </w:tcBorders>
            <w:shd w:val="clear" w:color="auto" w:fill="auto"/>
            <w:vAlign w:val="center"/>
            <w:hideMark/>
          </w:tcPr>
          <w:p w14:paraId="54EA1064"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955" w:type="dxa"/>
            <w:tcBorders>
              <w:top w:val="nil"/>
              <w:left w:val="nil"/>
              <w:bottom w:val="dotted" w:sz="6" w:space="0" w:color="7F7F7F" w:themeColor="text1" w:themeTint="80"/>
              <w:right w:val="nil"/>
            </w:tcBorders>
            <w:shd w:val="clear" w:color="auto" w:fill="auto"/>
            <w:vAlign w:val="center"/>
            <w:hideMark/>
          </w:tcPr>
          <w:p w14:paraId="3283AF03" w14:textId="77777777" w:rsidR="00A83F27" w:rsidRPr="00B45B4E" w:rsidRDefault="00A83F27" w:rsidP="00586A42">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00DDC209"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A83F27" w:rsidRPr="00B45B4E" w14:paraId="4DAE0DF1" w14:textId="77777777" w:rsidTr="00796052">
        <w:trPr>
          <w:trHeight w:val="315"/>
        </w:trPr>
        <w:tc>
          <w:tcPr>
            <w:tcW w:w="857" w:type="dxa"/>
            <w:tcBorders>
              <w:top w:val="nil"/>
              <w:left w:val="nil"/>
              <w:bottom w:val="nil"/>
              <w:right w:val="nil"/>
            </w:tcBorders>
            <w:shd w:val="clear" w:color="auto" w:fill="auto"/>
            <w:vAlign w:val="center"/>
            <w:hideMark/>
          </w:tcPr>
          <w:p w14:paraId="2B2F0A5F"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955"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46AD95CF" w14:textId="6106D4B3" w:rsidR="00A83F27" w:rsidRPr="00B45B4E" w:rsidRDefault="00A83F27" w:rsidP="00586A42">
            <w:pPr>
              <w:spacing w:after="0" w:line="240" w:lineRule="auto"/>
              <w:jc w:val="both"/>
              <w:rPr>
                <w:rFonts w:ascii="Verdana" w:hAnsi="Verdana" w:cs="Arial"/>
                <w:sz w:val="16"/>
                <w:szCs w:val="16"/>
              </w:rPr>
            </w:pPr>
            <w:r>
              <w:rPr>
                <w:rFonts w:ascii="Verdana" w:hAnsi="Verdana" w:cs="Arial"/>
                <w:sz w:val="16"/>
                <w:szCs w:val="16"/>
              </w:rPr>
              <w:t>Diana Lucía Saavedra</w:t>
            </w:r>
            <w:r w:rsidR="006000EB">
              <w:rPr>
                <w:rFonts w:ascii="Verdana" w:hAnsi="Verdana" w:cs="Arial"/>
                <w:sz w:val="16"/>
                <w:szCs w:val="16"/>
              </w:rPr>
              <w:t xml:space="preserve"> C</w:t>
            </w:r>
            <w:r>
              <w:rPr>
                <w:rFonts w:ascii="Verdana" w:hAnsi="Verdana" w:cs="Arial"/>
                <w:sz w:val="16"/>
                <w:szCs w:val="16"/>
              </w:rPr>
              <w:t>a</w:t>
            </w:r>
            <w:r w:rsidR="006000EB">
              <w:rPr>
                <w:rFonts w:ascii="Verdana" w:hAnsi="Verdana" w:cs="Arial"/>
                <w:sz w:val="16"/>
                <w:szCs w:val="16"/>
              </w:rPr>
              <w:t>stañeda</w:t>
            </w:r>
          </w:p>
          <w:p w14:paraId="0C5901FD" w14:textId="77777777" w:rsidR="00A83F27" w:rsidRPr="00B45B4E" w:rsidRDefault="00A83F27" w:rsidP="00586A42">
            <w:pPr>
              <w:spacing w:after="0" w:line="240" w:lineRule="auto"/>
              <w:jc w:val="both"/>
              <w:rPr>
                <w:rFonts w:ascii="Verdana" w:hAnsi="Verdana" w:cs="Arial"/>
                <w:sz w:val="16"/>
                <w:szCs w:val="16"/>
              </w:rPr>
            </w:pPr>
            <w:r>
              <w:rPr>
                <w:rFonts w:ascii="Verdana" w:eastAsia="Calibri" w:hAnsi="Verdana" w:cs="Arial"/>
                <w:sz w:val="16"/>
                <w:szCs w:val="16"/>
              </w:rPr>
              <w:t>Contratista</w:t>
            </w:r>
            <w:r w:rsidRPr="00B45B4E">
              <w:rPr>
                <w:rFonts w:ascii="Verdana" w:eastAsia="Calibri" w:hAnsi="Verdana" w:cs="Arial"/>
                <w:sz w:val="16"/>
                <w:szCs w:val="16"/>
              </w:rPr>
              <w:t xml:space="preserve"> de la Subdirección de Gestión Contractual</w:t>
            </w:r>
          </w:p>
        </w:tc>
      </w:tr>
      <w:tr w:rsidR="00A83F27" w:rsidRPr="00B45B4E" w14:paraId="12F721E8" w14:textId="77777777" w:rsidTr="00796052">
        <w:trPr>
          <w:trHeight w:val="300"/>
        </w:trPr>
        <w:tc>
          <w:tcPr>
            <w:tcW w:w="857" w:type="dxa"/>
            <w:tcBorders>
              <w:top w:val="nil"/>
              <w:left w:val="nil"/>
              <w:bottom w:val="nil"/>
              <w:right w:val="nil"/>
            </w:tcBorders>
            <w:shd w:val="clear" w:color="auto" w:fill="auto"/>
            <w:vAlign w:val="center"/>
            <w:hideMark/>
          </w:tcPr>
          <w:p w14:paraId="2959B7E2"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955"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71F03111"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26973C75" w14:textId="77777777" w:rsidR="00A83F27" w:rsidRPr="00B45B4E" w:rsidRDefault="00A83F27" w:rsidP="00586A42">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2DDC8D1C" w14:textId="77777777" w:rsidR="00A83F27" w:rsidRPr="00D353CA" w:rsidRDefault="00A83F27" w:rsidP="00A83F27"/>
    <w:p w14:paraId="011E3E1F" w14:textId="77777777" w:rsidR="00A83F27" w:rsidRPr="0044528D" w:rsidRDefault="00A83F27" w:rsidP="00A83F27">
      <w:pPr>
        <w:spacing w:after="0"/>
        <w:rPr>
          <w:rFonts w:ascii="Verdana" w:hAnsi="Verdana"/>
        </w:rPr>
      </w:pPr>
    </w:p>
    <w:p w14:paraId="21FB1807" w14:textId="77777777" w:rsidR="00165B58" w:rsidRPr="00C02F37" w:rsidRDefault="00165B58" w:rsidP="00165B58">
      <w:pPr>
        <w:widowControl w:val="0"/>
        <w:autoSpaceDE w:val="0"/>
        <w:autoSpaceDN w:val="0"/>
        <w:spacing w:after="0" w:line="276" w:lineRule="auto"/>
        <w:jc w:val="both"/>
        <w:rPr>
          <w:rStyle w:val="normaltextrun"/>
          <w:rFonts w:ascii="Verdana" w:hAnsi="Verdana"/>
        </w:rPr>
      </w:pPr>
    </w:p>
    <w:bookmarkEnd w:id="0"/>
    <w:p w14:paraId="0BE53581" w14:textId="77777777" w:rsidR="00165B58" w:rsidRPr="0078122B" w:rsidRDefault="00165B58" w:rsidP="00836B55">
      <w:pPr>
        <w:spacing w:after="0"/>
        <w:jc w:val="both"/>
        <w:rPr>
          <w:rFonts w:ascii="Verdana" w:hAnsi="Verdana"/>
        </w:rPr>
      </w:pPr>
    </w:p>
    <w:sectPr w:rsidR="00165B58" w:rsidRPr="0078122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D3274" w14:textId="77777777" w:rsidR="00B327D5" w:rsidRDefault="00B327D5" w:rsidP="004A1847">
      <w:pPr>
        <w:spacing w:after="0" w:line="240" w:lineRule="auto"/>
      </w:pPr>
      <w:r>
        <w:separator/>
      </w:r>
    </w:p>
  </w:endnote>
  <w:endnote w:type="continuationSeparator" w:id="0">
    <w:p w14:paraId="7611C4B2" w14:textId="77777777" w:rsidR="00B327D5" w:rsidRDefault="00B327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EB814" w14:textId="77777777" w:rsidR="00B327D5" w:rsidRDefault="00B327D5" w:rsidP="004A1847">
      <w:pPr>
        <w:spacing w:after="0" w:line="240" w:lineRule="auto"/>
      </w:pPr>
      <w:r>
        <w:separator/>
      </w:r>
    </w:p>
  </w:footnote>
  <w:footnote w:type="continuationSeparator" w:id="0">
    <w:p w14:paraId="63E36488" w14:textId="77777777" w:rsidR="00B327D5" w:rsidRDefault="00B327D5" w:rsidP="004A1847">
      <w:pPr>
        <w:spacing w:after="0" w:line="240" w:lineRule="auto"/>
      </w:pPr>
      <w:r>
        <w:continuationSeparator/>
      </w:r>
    </w:p>
  </w:footnote>
  <w:footnote w:id="1">
    <w:p w14:paraId="3D66E9FB" w14:textId="77777777" w:rsidR="00E752D2" w:rsidRPr="00F22A64" w:rsidRDefault="00E752D2" w:rsidP="00796052">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302B1DF9"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que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2">
    <w:p w14:paraId="0129A07E" w14:textId="77777777" w:rsidR="00E752D2" w:rsidRPr="00F22A64" w:rsidRDefault="00E752D2" w:rsidP="00796052">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3">
    <w:p w14:paraId="34FEBCBE" w14:textId="77777777" w:rsidR="00E752D2" w:rsidRPr="00F22A64" w:rsidRDefault="00E752D2" w:rsidP="00796052">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d 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14:paraId="2B9B9CFE"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0BE284B2"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0C095647" w14:textId="77777777" w:rsidR="00E752D2" w:rsidRPr="00F22A64" w:rsidRDefault="00E752D2" w:rsidP="00796052">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 w:id="4">
    <w:p w14:paraId="079D1855" w14:textId="77777777" w:rsidR="00836B55" w:rsidRPr="000C6E44" w:rsidRDefault="00836B55" w:rsidP="00796052">
      <w:pPr>
        <w:pStyle w:val="Textonotapie"/>
        <w:ind w:firstLine="709"/>
        <w:jc w:val="both"/>
        <w:rPr>
          <w:rFonts w:ascii="Verdana" w:hAnsi="Verdana" w:cs="Arial"/>
          <w:sz w:val="16"/>
          <w:szCs w:val="16"/>
        </w:rPr>
      </w:pPr>
      <w:r w:rsidRPr="000C6E44">
        <w:rPr>
          <w:rFonts w:ascii="Verdana" w:hAnsi="Verdana" w:cs="Arial"/>
          <w:sz w:val="16"/>
          <w:szCs w:val="16"/>
          <w:vertAlign w:val="superscript"/>
        </w:rPr>
        <w:footnoteRef/>
      </w:r>
      <w:r w:rsidRPr="000C6E44">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30BB218A" w14:textId="77777777" w:rsidR="00836B55" w:rsidRPr="000C6E44" w:rsidRDefault="00836B55" w:rsidP="00796052">
      <w:pPr>
        <w:pStyle w:val="Textonotapie"/>
        <w:ind w:firstLine="709"/>
        <w:jc w:val="both"/>
        <w:rPr>
          <w:rFonts w:ascii="Verdana" w:hAnsi="Verdana" w:cs="Arial"/>
          <w:sz w:val="16"/>
          <w:szCs w:val="16"/>
        </w:rPr>
      </w:pPr>
    </w:p>
    <w:p w14:paraId="16026881" w14:textId="6ADD5E96" w:rsidR="00836B55" w:rsidRPr="000C6E44" w:rsidRDefault="00836B55" w:rsidP="00796052">
      <w:pPr>
        <w:pStyle w:val="Textonotapie"/>
        <w:ind w:firstLine="709"/>
        <w:jc w:val="both"/>
        <w:rPr>
          <w:rFonts w:ascii="Verdana" w:hAnsi="Verdana" w:cs="Arial"/>
          <w:sz w:val="16"/>
          <w:szCs w:val="16"/>
        </w:rPr>
      </w:pPr>
      <w:r w:rsidRPr="000C6E44">
        <w:rPr>
          <w:rFonts w:ascii="Verdana" w:hAnsi="Verdana" w:cs="Arial"/>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w:t>
      </w:r>
      <w:r w:rsidR="000C6E44" w:rsidRPr="000C6E44">
        <w:rPr>
          <w:rFonts w:ascii="Verdana" w:hAnsi="Verdana" w:cs="Arial"/>
          <w:sz w:val="16"/>
          <w:szCs w:val="16"/>
        </w:rPr>
        <w:t xml:space="preserve">(por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r w:rsidRPr="000C6E44">
        <w:rPr>
          <w:rFonts w:ascii="Verdana" w:hAnsi="Verdana" w:cs="Arial"/>
          <w:sz w:val="16"/>
          <w:szCs w:val="16"/>
        </w:rPr>
        <w:t>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756FC745" w14:textId="77777777" w:rsidR="00836B55" w:rsidRPr="000C6E44" w:rsidRDefault="00836B55" w:rsidP="00796052">
      <w:pPr>
        <w:pStyle w:val="Textonotapie"/>
        <w:ind w:firstLine="709"/>
        <w:jc w:val="both"/>
        <w:rPr>
          <w:sz w:val="16"/>
          <w:szCs w:val="16"/>
        </w:rPr>
      </w:pPr>
    </w:p>
  </w:footnote>
  <w:footnote w:id="5">
    <w:p w14:paraId="5C3C9AED" w14:textId="305FEB94" w:rsidR="00836B55" w:rsidRDefault="00836B55" w:rsidP="00796052">
      <w:pPr>
        <w:pStyle w:val="Textonotapie"/>
        <w:ind w:firstLine="709"/>
        <w:jc w:val="both"/>
      </w:pPr>
      <w:r w:rsidRPr="000C6E44">
        <w:rPr>
          <w:rFonts w:ascii="Verdana" w:hAnsi="Verdana" w:cs="Arial"/>
          <w:sz w:val="16"/>
          <w:szCs w:val="16"/>
          <w:vertAlign w:val="superscript"/>
        </w:rPr>
        <w:footnoteRef/>
      </w:r>
      <w:r w:rsidRPr="000C6E44">
        <w:rPr>
          <w:rFonts w:ascii="Verdana" w:hAnsi="Verdana" w:cs="Arial"/>
          <w:sz w:val="16"/>
          <w:szCs w:val="16"/>
        </w:rPr>
        <w:t xml:space="preserve">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w:t>
      </w:r>
      <w:r w:rsidRPr="00D37D18">
        <w:rPr>
          <w:rFonts w:ascii="Verdana" w:hAnsi="Verdana"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8350A" w14:textId="68993061" w:rsidR="004A305D" w:rsidRPr="006666BC" w:rsidRDefault="009D3058" w:rsidP="006666BC">
    <w:pPr>
      <w:pStyle w:val="Encabezado"/>
    </w:pPr>
    <w:r>
      <w:rPr>
        <w:rFonts w:ascii="Geomanist Bold" w:hAnsi="Geomanist Bold"/>
        <w:b/>
        <w:bCs/>
        <w:noProof/>
        <w:color w:val="002060"/>
        <w:sz w:val="24"/>
        <w:szCs w:val="24"/>
      </w:rPr>
      <w:drawing>
        <wp:anchor distT="0" distB="0" distL="114300" distR="114300" simplePos="0" relativeHeight="251658752"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728"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FD1C243" w14:textId="6D74A3CF" w:rsidR="008A446D" w:rsidRDefault="008A446D" w:rsidP="00061B2A">
    <w:pPr>
      <w:pStyle w:val="Encabezado"/>
      <w:spacing w:line="120" w:lineRule="auto"/>
    </w:pPr>
  </w:p>
  <w:p w14:paraId="42732C58" w14:textId="77777777" w:rsidR="006000EB" w:rsidRDefault="006000EB" w:rsidP="00061B2A">
    <w:pPr>
      <w:pStyle w:val="Encabezado"/>
      <w:spacing w:line="120" w:lineRule="auto"/>
    </w:pPr>
  </w:p>
  <w:p w14:paraId="6B96BB4F" w14:textId="77777777" w:rsidR="006000EB" w:rsidRDefault="006000EB" w:rsidP="00061B2A">
    <w:pPr>
      <w:pStyle w:val="Encabezado"/>
      <w:spacing w:line="120" w:lineRule="auto"/>
    </w:pPr>
  </w:p>
  <w:p w14:paraId="4F57E85B" w14:textId="77777777"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54CA2D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61017779" o:spid="_x0000_i1025" type="#_x0000_t75" style="width:11.2pt;height:11.2pt;visibility:visible;mso-wrap-style:square">
            <v:imagedata r:id="rId1" o:title=""/>
          </v:shape>
        </w:pict>
      </mc:Choice>
      <mc:Fallback>
        <w:drawing>
          <wp:inline distT="0" distB="0" distL="0" distR="0" wp14:anchorId="2FBC571F" wp14:editId="67671BD2">
            <wp:extent cx="142240" cy="142240"/>
            <wp:effectExtent l="0" t="0" r="0" b="0"/>
            <wp:docPr id="1661017779" name="Imagen 166101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FFFFFFFF"/>
    <w:lvl w:ilvl="0">
      <w:start w:val="1"/>
      <w:numFmt w:val="upperRoman"/>
      <w:lvlText w:val="%1."/>
      <w:lvlJc w:val="right"/>
      <w:pPr>
        <w:ind w:left="1068" w:hanging="360"/>
      </w:pPr>
      <w:rPr>
        <w:rFonts w:cs="Times New Roman"/>
        <w:b/>
        <w:color w:val="000000" w:themeColor="text1"/>
      </w:rPr>
    </w:lvl>
    <w:lvl w:ilvl="1">
      <w:start w:val="2"/>
      <w:numFmt w:val="decimal"/>
      <w:isLgl/>
      <w:lvlText w:val="%1.%2"/>
      <w:lvlJc w:val="left"/>
      <w:pPr>
        <w:ind w:left="708" w:hanging="360"/>
      </w:pPr>
      <w:rPr>
        <w:rFonts w:cs="Times New Roman"/>
      </w:rPr>
    </w:lvl>
    <w:lvl w:ilvl="2">
      <w:start w:val="1"/>
      <w:numFmt w:val="decimal"/>
      <w:isLgl/>
      <w:lvlText w:val="%1.%2.%3"/>
      <w:lvlJc w:val="left"/>
      <w:pPr>
        <w:ind w:left="1428" w:hanging="720"/>
      </w:pPr>
      <w:rPr>
        <w:rFonts w:cs="Times New Roman"/>
      </w:rPr>
    </w:lvl>
    <w:lvl w:ilvl="3">
      <w:start w:val="1"/>
      <w:numFmt w:val="decimal"/>
      <w:isLgl/>
      <w:lvlText w:val="%1.%2.%3.%4"/>
      <w:lvlJc w:val="left"/>
      <w:pPr>
        <w:ind w:left="1428" w:hanging="720"/>
      </w:pPr>
      <w:rPr>
        <w:rFonts w:cs="Times New Roman"/>
      </w:rPr>
    </w:lvl>
    <w:lvl w:ilvl="4">
      <w:start w:val="1"/>
      <w:numFmt w:val="decimal"/>
      <w:isLgl/>
      <w:lvlText w:val="%1.%2.%3.%4.%5"/>
      <w:lvlJc w:val="left"/>
      <w:pPr>
        <w:ind w:left="1788" w:hanging="1080"/>
      </w:pPr>
      <w:rPr>
        <w:rFonts w:cs="Times New Roman"/>
      </w:rPr>
    </w:lvl>
    <w:lvl w:ilvl="5">
      <w:start w:val="1"/>
      <w:numFmt w:val="decimal"/>
      <w:isLgl/>
      <w:lvlText w:val="%1.%2.%3.%4.%5.%6"/>
      <w:lvlJc w:val="left"/>
      <w:pPr>
        <w:ind w:left="1788" w:hanging="1080"/>
      </w:pPr>
      <w:rPr>
        <w:rFonts w:cs="Times New Roman"/>
      </w:rPr>
    </w:lvl>
    <w:lvl w:ilvl="6">
      <w:start w:val="1"/>
      <w:numFmt w:val="decimal"/>
      <w:isLgl/>
      <w:lvlText w:val="%1.%2.%3.%4.%5.%6.%7"/>
      <w:lvlJc w:val="left"/>
      <w:pPr>
        <w:ind w:left="2148" w:hanging="1440"/>
      </w:pPr>
      <w:rPr>
        <w:rFonts w:cs="Times New Roman"/>
      </w:rPr>
    </w:lvl>
    <w:lvl w:ilvl="7">
      <w:start w:val="1"/>
      <w:numFmt w:val="decimal"/>
      <w:isLgl/>
      <w:lvlText w:val="%1.%2.%3.%4.%5.%6.%7.%8"/>
      <w:lvlJc w:val="left"/>
      <w:pPr>
        <w:ind w:left="2148" w:hanging="1440"/>
      </w:pPr>
      <w:rPr>
        <w:rFonts w:cs="Times New Roman"/>
      </w:rPr>
    </w:lvl>
    <w:lvl w:ilvl="8">
      <w:start w:val="1"/>
      <w:numFmt w:val="decimal"/>
      <w:isLgl/>
      <w:lvlText w:val="%1.%2.%3.%4.%5.%6.%7.%8.%9"/>
      <w:lvlJc w:val="left"/>
      <w:pPr>
        <w:ind w:left="2508"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4B0D11"/>
    <w:multiLevelType w:val="hybridMultilevel"/>
    <w:tmpl w:val="FFFFFFFF"/>
    <w:lvl w:ilvl="0" w:tplc="952A0668">
      <w:start w:val="4"/>
      <w:numFmt w:val="decimal"/>
      <w:lvlText w:val="%1."/>
      <w:lvlJc w:val="left"/>
      <w:pPr>
        <w:ind w:left="360" w:hanging="360"/>
      </w:pPr>
      <w:rPr>
        <w:rFonts w:cs="Times New Roman" w:hint="default"/>
      </w:rPr>
    </w:lvl>
    <w:lvl w:ilvl="1" w:tplc="240A0019" w:tentative="1">
      <w:start w:val="1"/>
      <w:numFmt w:val="lowerLetter"/>
      <w:lvlText w:val="%2."/>
      <w:lvlJc w:val="left"/>
      <w:pPr>
        <w:ind w:left="1080" w:hanging="360"/>
      </w:pPr>
      <w:rPr>
        <w:rFonts w:cs="Times New Roman"/>
      </w:rPr>
    </w:lvl>
    <w:lvl w:ilvl="2" w:tplc="240A001B" w:tentative="1">
      <w:start w:val="1"/>
      <w:numFmt w:val="lowerRoman"/>
      <w:lvlText w:val="%3."/>
      <w:lvlJc w:val="right"/>
      <w:pPr>
        <w:ind w:left="1800" w:hanging="180"/>
      </w:pPr>
      <w:rPr>
        <w:rFonts w:cs="Times New Roman"/>
      </w:rPr>
    </w:lvl>
    <w:lvl w:ilvl="3" w:tplc="240A000F" w:tentative="1">
      <w:start w:val="1"/>
      <w:numFmt w:val="decimal"/>
      <w:lvlText w:val="%4."/>
      <w:lvlJc w:val="left"/>
      <w:pPr>
        <w:ind w:left="2520" w:hanging="360"/>
      </w:pPr>
      <w:rPr>
        <w:rFonts w:cs="Times New Roman"/>
      </w:rPr>
    </w:lvl>
    <w:lvl w:ilvl="4" w:tplc="240A0019" w:tentative="1">
      <w:start w:val="1"/>
      <w:numFmt w:val="lowerLetter"/>
      <w:lvlText w:val="%5."/>
      <w:lvlJc w:val="left"/>
      <w:pPr>
        <w:ind w:left="3240" w:hanging="360"/>
      </w:pPr>
      <w:rPr>
        <w:rFonts w:cs="Times New Roman"/>
      </w:rPr>
    </w:lvl>
    <w:lvl w:ilvl="5" w:tplc="240A001B" w:tentative="1">
      <w:start w:val="1"/>
      <w:numFmt w:val="lowerRoman"/>
      <w:lvlText w:val="%6."/>
      <w:lvlJc w:val="right"/>
      <w:pPr>
        <w:ind w:left="3960" w:hanging="180"/>
      </w:pPr>
      <w:rPr>
        <w:rFonts w:cs="Times New Roman"/>
      </w:rPr>
    </w:lvl>
    <w:lvl w:ilvl="6" w:tplc="240A000F" w:tentative="1">
      <w:start w:val="1"/>
      <w:numFmt w:val="decimal"/>
      <w:lvlText w:val="%7."/>
      <w:lvlJc w:val="left"/>
      <w:pPr>
        <w:ind w:left="4680" w:hanging="360"/>
      </w:pPr>
      <w:rPr>
        <w:rFonts w:cs="Times New Roman"/>
      </w:rPr>
    </w:lvl>
    <w:lvl w:ilvl="7" w:tplc="240A0019" w:tentative="1">
      <w:start w:val="1"/>
      <w:numFmt w:val="lowerLetter"/>
      <w:lvlText w:val="%8."/>
      <w:lvlJc w:val="left"/>
      <w:pPr>
        <w:ind w:left="5400" w:hanging="360"/>
      </w:pPr>
      <w:rPr>
        <w:rFonts w:cs="Times New Roman"/>
      </w:rPr>
    </w:lvl>
    <w:lvl w:ilvl="8" w:tplc="240A001B" w:tentative="1">
      <w:start w:val="1"/>
      <w:numFmt w:val="lowerRoman"/>
      <w:lvlText w:val="%9."/>
      <w:lvlJc w:val="right"/>
      <w:pPr>
        <w:ind w:left="6120" w:hanging="180"/>
      </w:pPr>
      <w:rPr>
        <w:rFonts w:cs="Times New Roman"/>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7280FEE"/>
    <w:multiLevelType w:val="hybridMultilevel"/>
    <w:tmpl w:val="9DDC8D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374312118">
    <w:abstractNumId w:val="0"/>
  </w:num>
  <w:num w:numId="17" w16cid:durableId="2029328530">
    <w:abstractNumId w:val="11"/>
  </w:num>
  <w:num w:numId="18" w16cid:durableId="684672965">
    <w:abstractNumId w:val="10"/>
  </w:num>
  <w:num w:numId="19" w16cid:durableId="537034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5D7"/>
    <w:rsid w:val="00007CFC"/>
    <w:rsid w:val="00016F78"/>
    <w:rsid w:val="0002584F"/>
    <w:rsid w:val="0003353D"/>
    <w:rsid w:val="00043A66"/>
    <w:rsid w:val="00046047"/>
    <w:rsid w:val="00046945"/>
    <w:rsid w:val="0005360B"/>
    <w:rsid w:val="0006180B"/>
    <w:rsid w:val="00061B2A"/>
    <w:rsid w:val="0007011B"/>
    <w:rsid w:val="00074F53"/>
    <w:rsid w:val="00082362"/>
    <w:rsid w:val="00091537"/>
    <w:rsid w:val="000A683E"/>
    <w:rsid w:val="000B19B9"/>
    <w:rsid w:val="000B79B1"/>
    <w:rsid w:val="000C5BF5"/>
    <w:rsid w:val="000C64C1"/>
    <w:rsid w:val="000C6E44"/>
    <w:rsid w:val="000D0334"/>
    <w:rsid w:val="000D103B"/>
    <w:rsid w:val="000E7616"/>
    <w:rsid w:val="000F6486"/>
    <w:rsid w:val="00125105"/>
    <w:rsid w:val="00127233"/>
    <w:rsid w:val="00133D96"/>
    <w:rsid w:val="00137472"/>
    <w:rsid w:val="00137FF8"/>
    <w:rsid w:val="0014167E"/>
    <w:rsid w:val="0014712B"/>
    <w:rsid w:val="001511A0"/>
    <w:rsid w:val="00165987"/>
    <w:rsid w:val="00165B58"/>
    <w:rsid w:val="00172120"/>
    <w:rsid w:val="001B5B53"/>
    <w:rsid w:val="001E4177"/>
    <w:rsid w:val="001F7DC6"/>
    <w:rsid w:val="002421BB"/>
    <w:rsid w:val="0025397F"/>
    <w:rsid w:val="0025705B"/>
    <w:rsid w:val="0025796E"/>
    <w:rsid w:val="00263CEB"/>
    <w:rsid w:val="002707A2"/>
    <w:rsid w:val="00271369"/>
    <w:rsid w:val="002951A0"/>
    <w:rsid w:val="002962BC"/>
    <w:rsid w:val="002A093D"/>
    <w:rsid w:val="002A0DD0"/>
    <w:rsid w:val="002A49AC"/>
    <w:rsid w:val="002A64FD"/>
    <w:rsid w:val="002A72A7"/>
    <w:rsid w:val="002C7A84"/>
    <w:rsid w:val="002E4FD9"/>
    <w:rsid w:val="003001CE"/>
    <w:rsid w:val="0030552B"/>
    <w:rsid w:val="00317551"/>
    <w:rsid w:val="00322A85"/>
    <w:rsid w:val="00324168"/>
    <w:rsid w:val="00326E92"/>
    <w:rsid w:val="00330EE8"/>
    <w:rsid w:val="003366E9"/>
    <w:rsid w:val="003448F4"/>
    <w:rsid w:val="00374F5E"/>
    <w:rsid w:val="003770F5"/>
    <w:rsid w:val="00377E3E"/>
    <w:rsid w:val="00397313"/>
    <w:rsid w:val="003A779E"/>
    <w:rsid w:val="003C6773"/>
    <w:rsid w:val="003D0F4D"/>
    <w:rsid w:val="003D5B0D"/>
    <w:rsid w:val="003E0499"/>
    <w:rsid w:val="003F3941"/>
    <w:rsid w:val="00406575"/>
    <w:rsid w:val="00414C74"/>
    <w:rsid w:val="0042722E"/>
    <w:rsid w:val="00432E5D"/>
    <w:rsid w:val="00441444"/>
    <w:rsid w:val="0044528D"/>
    <w:rsid w:val="00462D45"/>
    <w:rsid w:val="00483F9E"/>
    <w:rsid w:val="004A1847"/>
    <w:rsid w:val="004A2635"/>
    <w:rsid w:val="004A305D"/>
    <w:rsid w:val="004D232D"/>
    <w:rsid w:val="004F177A"/>
    <w:rsid w:val="004F1814"/>
    <w:rsid w:val="004F21C4"/>
    <w:rsid w:val="004F685F"/>
    <w:rsid w:val="004F7EBC"/>
    <w:rsid w:val="00516DBA"/>
    <w:rsid w:val="005566E8"/>
    <w:rsid w:val="005715CD"/>
    <w:rsid w:val="00574867"/>
    <w:rsid w:val="00575B0A"/>
    <w:rsid w:val="00591460"/>
    <w:rsid w:val="00596F37"/>
    <w:rsid w:val="005A08FA"/>
    <w:rsid w:val="005B1797"/>
    <w:rsid w:val="005B3816"/>
    <w:rsid w:val="005C35A4"/>
    <w:rsid w:val="005C3777"/>
    <w:rsid w:val="005C5128"/>
    <w:rsid w:val="005C5CDC"/>
    <w:rsid w:val="005D476C"/>
    <w:rsid w:val="005E3E36"/>
    <w:rsid w:val="005E4EED"/>
    <w:rsid w:val="005F6771"/>
    <w:rsid w:val="006000EB"/>
    <w:rsid w:val="006219F8"/>
    <w:rsid w:val="0063127B"/>
    <w:rsid w:val="00635208"/>
    <w:rsid w:val="00660FC7"/>
    <w:rsid w:val="00665D70"/>
    <w:rsid w:val="006666BC"/>
    <w:rsid w:val="00671FAA"/>
    <w:rsid w:val="00673A35"/>
    <w:rsid w:val="00674AEE"/>
    <w:rsid w:val="00681242"/>
    <w:rsid w:val="006900D9"/>
    <w:rsid w:val="006A73AD"/>
    <w:rsid w:val="006D1465"/>
    <w:rsid w:val="006D5ED5"/>
    <w:rsid w:val="006E2F3D"/>
    <w:rsid w:val="00706C16"/>
    <w:rsid w:val="007239DB"/>
    <w:rsid w:val="007333E4"/>
    <w:rsid w:val="00756841"/>
    <w:rsid w:val="007649AB"/>
    <w:rsid w:val="00771D0C"/>
    <w:rsid w:val="00771F8A"/>
    <w:rsid w:val="00775482"/>
    <w:rsid w:val="0078122B"/>
    <w:rsid w:val="007833AC"/>
    <w:rsid w:val="00796052"/>
    <w:rsid w:val="007A1E07"/>
    <w:rsid w:val="007B268C"/>
    <w:rsid w:val="007B5795"/>
    <w:rsid w:val="007B7171"/>
    <w:rsid w:val="007C0C0F"/>
    <w:rsid w:val="007C3DC2"/>
    <w:rsid w:val="007E5497"/>
    <w:rsid w:val="00806F5F"/>
    <w:rsid w:val="00820278"/>
    <w:rsid w:val="00826D95"/>
    <w:rsid w:val="00835BF6"/>
    <w:rsid w:val="00836B55"/>
    <w:rsid w:val="00850A8E"/>
    <w:rsid w:val="008672A6"/>
    <w:rsid w:val="00867F95"/>
    <w:rsid w:val="008843B6"/>
    <w:rsid w:val="00891928"/>
    <w:rsid w:val="008A446D"/>
    <w:rsid w:val="008A536D"/>
    <w:rsid w:val="008D180B"/>
    <w:rsid w:val="008E0D2D"/>
    <w:rsid w:val="008E34B5"/>
    <w:rsid w:val="008E53CC"/>
    <w:rsid w:val="008F0EA7"/>
    <w:rsid w:val="008F7130"/>
    <w:rsid w:val="0091454D"/>
    <w:rsid w:val="00923EEF"/>
    <w:rsid w:val="009419F9"/>
    <w:rsid w:val="009451DA"/>
    <w:rsid w:val="0095685E"/>
    <w:rsid w:val="00961B09"/>
    <w:rsid w:val="00965334"/>
    <w:rsid w:val="0097093E"/>
    <w:rsid w:val="00971450"/>
    <w:rsid w:val="00986AC5"/>
    <w:rsid w:val="009A0DFA"/>
    <w:rsid w:val="009B2D26"/>
    <w:rsid w:val="009C2266"/>
    <w:rsid w:val="009C44B0"/>
    <w:rsid w:val="009C71FA"/>
    <w:rsid w:val="009C72E7"/>
    <w:rsid w:val="009D1056"/>
    <w:rsid w:val="009D3058"/>
    <w:rsid w:val="009E32BA"/>
    <w:rsid w:val="009F3A13"/>
    <w:rsid w:val="00A10509"/>
    <w:rsid w:val="00A122D3"/>
    <w:rsid w:val="00A15E9C"/>
    <w:rsid w:val="00A17F13"/>
    <w:rsid w:val="00A20739"/>
    <w:rsid w:val="00A33C78"/>
    <w:rsid w:val="00A65184"/>
    <w:rsid w:val="00A83F27"/>
    <w:rsid w:val="00AA1206"/>
    <w:rsid w:val="00AB0ADB"/>
    <w:rsid w:val="00AD2EF9"/>
    <w:rsid w:val="00AE4311"/>
    <w:rsid w:val="00B01B1A"/>
    <w:rsid w:val="00B327D5"/>
    <w:rsid w:val="00B45EC7"/>
    <w:rsid w:val="00B5228D"/>
    <w:rsid w:val="00B66319"/>
    <w:rsid w:val="00B72CD3"/>
    <w:rsid w:val="00B72FFF"/>
    <w:rsid w:val="00B870EC"/>
    <w:rsid w:val="00B94599"/>
    <w:rsid w:val="00BC3D36"/>
    <w:rsid w:val="00BD23D6"/>
    <w:rsid w:val="00BD7F72"/>
    <w:rsid w:val="00BE39DE"/>
    <w:rsid w:val="00BE466F"/>
    <w:rsid w:val="00C04FB3"/>
    <w:rsid w:val="00C11044"/>
    <w:rsid w:val="00C330EB"/>
    <w:rsid w:val="00C41061"/>
    <w:rsid w:val="00C45D79"/>
    <w:rsid w:val="00C56BD9"/>
    <w:rsid w:val="00C754BE"/>
    <w:rsid w:val="00C76B1C"/>
    <w:rsid w:val="00C81AE8"/>
    <w:rsid w:val="00C92746"/>
    <w:rsid w:val="00C934D4"/>
    <w:rsid w:val="00C949C4"/>
    <w:rsid w:val="00CB6357"/>
    <w:rsid w:val="00CC1B26"/>
    <w:rsid w:val="00D232C9"/>
    <w:rsid w:val="00D33B61"/>
    <w:rsid w:val="00D423A2"/>
    <w:rsid w:val="00D520D8"/>
    <w:rsid w:val="00D605B2"/>
    <w:rsid w:val="00D616E9"/>
    <w:rsid w:val="00D62A50"/>
    <w:rsid w:val="00D63AC2"/>
    <w:rsid w:val="00D7383B"/>
    <w:rsid w:val="00DA231B"/>
    <w:rsid w:val="00DB3CC0"/>
    <w:rsid w:val="00DB6DB7"/>
    <w:rsid w:val="00DC39FC"/>
    <w:rsid w:val="00DD4F4B"/>
    <w:rsid w:val="00DD5464"/>
    <w:rsid w:val="00DF5254"/>
    <w:rsid w:val="00E16408"/>
    <w:rsid w:val="00E20894"/>
    <w:rsid w:val="00E20BC5"/>
    <w:rsid w:val="00E245AB"/>
    <w:rsid w:val="00E25682"/>
    <w:rsid w:val="00E2595A"/>
    <w:rsid w:val="00E2764C"/>
    <w:rsid w:val="00E27F2E"/>
    <w:rsid w:val="00E33647"/>
    <w:rsid w:val="00E338DD"/>
    <w:rsid w:val="00E375A2"/>
    <w:rsid w:val="00E455C9"/>
    <w:rsid w:val="00E50AFE"/>
    <w:rsid w:val="00E56CA9"/>
    <w:rsid w:val="00E70E6E"/>
    <w:rsid w:val="00E752D2"/>
    <w:rsid w:val="00E75C92"/>
    <w:rsid w:val="00E771DC"/>
    <w:rsid w:val="00E8772A"/>
    <w:rsid w:val="00E90F6B"/>
    <w:rsid w:val="00E92C27"/>
    <w:rsid w:val="00EA09BB"/>
    <w:rsid w:val="00EA0E3D"/>
    <w:rsid w:val="00EC38A7"/>
    <w:rsid w:val="00ED7384"/>
    <w:rsid w:val="00EE1AA8"/>
    <w:rsid w:val="00F012DA"/>
    <w:rsid w:val="00F145D0"/>
    <w:rsid w:val="00F202BB"/>
    <w:rsid w:val="00F24ABB"/>
    <w:rsid w:val="00F26C48"/>
    <w:rsid w:val="00F31EDC"/>
    <w:rsid w:val="00F462B3"/>
    <w:rsid w:val="00F5664F"/>
    <w:rsid w:val="00F666C4"/>
    <w:rsid w:val="00F73607"/>
    <w:rsid w:val="00F76AFC"/>
    <w:rsid w:val="00F856C1"/>
    <w:rsid w:val="00FA47C0"/>
    <w:rsid w:val="00FB5DD1"/>
    <w:rsid w:val="00FC2B5D"/>
    <w:rsid w:val="00FD0D88"/>
    <w:rsid w:val="00FD732A"/>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E20B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Lista vistosa - Énfasis 1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E20BC5"/>
    <w:rPr>
      <w:rFonts w:asciiTheme="majorHAnsi" w:eastAsiaTheme="majorEastAsia" w:hAnsiTheme="majorHAnsi" w:cstheme="majorBidi"/>
      <w:color w:val="2F5496" w:themeColor="accent1" w:themeShade="BF"/>
      <w:sz w:val="32"/>
      <w:szCs w:val="3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65B58"/>
    <w:rPr>
      <w:rFonts w:ascii="Geomanist Light" w:hAnsi="Geomanist Light"/>
      <w:lang w:val="es-ES"/>
    </w:rPr>
  </w:style>
  <w:style w:type="paragraph" w:customStyle="1" w:styleId="Appelnotedebasde">
    <w:name w:val="Appel note de bas de..."/>
    <w:basedOn w:val="Normal"/>
    <w:link w:val="Refdenotaalpie"/>
    <w:uiPriority w:val="99"/>
    <w:rsid w:val="00462D45"/>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01178808">
      <w:bodyDiv w:val="1"/>
      <w:marLeft w:val="0"/>
      <w:marRight w:val="0"/>
      <w:marTop w:val="0"/>
      <w:marBottom w:val="0"/>
      <w:divBdr>
        <w:top w:val="none" w:sz="0" w:space="0" w:color="auto"/>
        <w:left w:val="none" w:sz="0" w:space="0" w:color="auto"/>
        <w:bottom w:val="none" w:sz="0" w:space="0" w:color="auto"/>
        <w:right w:val="none" w:sz="0" w:space="0" w:color="auto"/>
      </w:divBdr>
    </w:div>
    <w:div w:id="203496001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unicaderadicacion@colombi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agarciajuridica@gmail.com"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881A3E0-D700-42B1-A00A-1C03F1156F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Pages>
  <Words>4081</Words>
  <Characters>22447</Characters>
  <Application>Microsoft Office Word</Application>
  <DocSecurity>0</DocSecurity>
  <Lines>187</Lines>
  <Paragraphs>52</Paragraphs>
  <ScaleCrop>false</ScaleCrop>
  <Company/>
  <LinksUpToDate>false</LinksUpToDate>
  <CharactersWithSpaces>26476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3</cp:revision>
  <cp:lastPrinted>2023-01-10T21:18:00Z</cp:lastPrinted>
  <dcterms:created xsi:type="dcterms:W3CDTF">2025-06-20T15:02:00Z</dcterms:created>
  <dcterms:modified xsi:type="dcterms:W3CDTF">2025-06-20T16:15:00Z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