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68397" w14:textId="77777777" w:rsidR="0040127E" w:rsidRPr="0040127E" w:rsidRDefault="0040127E" w:rsidP="00A06B14">
      <w:pPr>
        <w:spacing w:after="0" w:line="240" w:lineRule="auto"/>
        <w:rPr>
          <w:rFonts w:ascii="Verdana" w:eastAsia="Calibri" w:hAnsi="Verdana" w:cs="Arial"/>
          <w:b/>
          <w:bCs/>
          <w:lang w:val="es-ES" w:eastAsia="es-ES"/>
        </w:rPr>
      </w:pPr>
      <w:bookmarkStart w:id="0" w:name="_Hlk143780582"/>
      <w:r w:rsidRPr="0040127E">
        <w:rPr>
          <w:rFonts w:ascii="Verdana" w:hAnsi="Verdana" w:cs="Arial"/>
          <w:b/>
          <w:bCs/>
          <w:lang w:val="es-ES_tradnl"/>
        </w:rPr>
        <w:t>ANTICIPO Y/O PAGO ANTICIPADO– Regulación normativa</w:t>
      </w:r>
      <w:r w:rsidRPr="0040127E">
        <w:rPr>
          <w:rFonts w:ascii="Verdana" w:eastAsia="Calibri" w:hAnsi="Verdana" w:cs="Arial"/>
          <w:b/>
          <w:bCs/>
          <w:lang w:val="es-ES" w:eastAsia="es-ES"/>
        </w:rPr>
        <w:t xml:space="preserve"> </w:t>
      </w:r>
    </w:p>
    <w:p w14:paraId="0E3B4731" w14:textId="3F05F639" w:rsidR="0040127E" w:rsidRDefault="0040127E" w:rsidP="00A06B14">
      <w:pPr>
        <w:spacing w:after="0" w:line="240" w:lineRule="auto"/>
        <w:rPr>
          <w:rFonts w:ascii="Verdana" w:eastAsia="Calibri" w:hAnsi="Verdana" w:cs="Arial"/>
          <w:bCs/>
          <w:lang w:val="es-ES" w:eastAsia="es-ES"/>
        </w:rPr>
      </w:pPr>
    </w:p>
    <w:p w14:paraId="715F07FA" w14:textId="77777777" w:rsidR="00940B15" w:rsidRPr="00940B15" w:rsidRDefault="00940B15" w:rsidP="00A06B14">
      <w:pPr>
        <w:snapToGrid w:val="0"/>
        <w:spacing w:after="0" w:line="240" w:lineRule="auto"/>
        <w:jc w:val="both"/>
        <w:rPr>
          <w:rFonts w:ascii="Verdana" w:eastAsia="Calibri" w:hAnsi="Verdana" w:cs="Arial"/>
          <w:sz w:val="20"/>
          <w:lang w:val="es-ES"/>
        </w:rPr>
      </w:pPr>
      <w:r w:rsidRPr="00940B15">
        <w:rPr>
          <w:rFonts w:ascii="Verdana" w:eastAsia="Calibri" w:hAnsi="Verdana" w:cs="Arial"/>
          <w:sz w:val="20"/>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62C3BC07" w14:textId="77777777" w:rsidR="00940B15" w:rsidRDefault="00940B15" w:rsidP="00A06B14">
      <w:pPr>
        <w:spacing w:after="0" w:line="240" w:lineRule="auto"/>
        <w:rPr>
          <w:rFonts w:ascii="Verdana" w:eastAsia="Calibri" w:hAnsi="Verdana" w:cs="Arial"/>
          <w:bCs/>
          <w:lang w:val="es-ES" w:eastAsia="es-ES"/>
        </w:rPr>
      </w:pPr>
    </w:p>
    <w:p w14:paraId="349F5DD2" w14:textId="77777777" w:rsidR="00940B15" w:rsidRDefault="00940B15" w:rsidP="00A06B14">
      <w:pPr>
        <w:spacing w:after="0" w:line="240" w:lineRule="auto"/>
        <w:jc w:val="both"/>
        <w:rPr>
          <w:rFonts w:ascii="Verdana" w:eastAsia="Calibri" w:hAnsi="Verdana" w:cs="Arial"/>
          <w:b/>
          <w:bCs/>
          <w:lang w:eastAsia="es-ES"/>
        </w:rPr>
      </w:pPr>
      <w:r w:rsidRPr="00940B15">
        <w:rPr>
          <w:rFonts w:ascii="Verdana" w:eastAsia="Calibri" w:hAnsi="Verdana" w:cs="Arial"/>
          <w:b/>
          <w:bCs/>
          <w:lang w:eastAsia="es-ES"/>
        </w:rPr>
        <w:t>ANTICIP</w:t>
      </w:r>
      <w:r>
        <w:rPr>
          <w:rFonts w:ascii="Verdana" w:eastAsia="Calibri" w:hAnsi="Verdana" w:cs="Arial"/>
          <w:b/>
          <w:bCs/>
          <w:lang w:eastAsia="es-ES"/>
        </w:rPr>
        <w:t>O – Definición jurisprudencial</w:t>
      </w:r>
    </w:p>
    <w:p w14:paraId="591297B3" w14:textId="69988C63" w:rsidR="00940B15" w:rsidRDefault="00940B15" w:rsidP="00A06B14">
      <w:pPr>
        <w:spacing w:after="0" w:line="240" w:lineRule="auto"/>
        <w:jc w:val="both"/>
        <w:rPr>
          <w:rFonts w:ascii="Verdana" w:eastAsia="Calibri" w:hAnsi="Verdana" w:cs="Arial"/>
          <w:b/>
          <w:bCs/>
          <w:lang w:eastAsia="es-ES"/>
        </w:rPr>
      </w:pPr>
    </w:p>
    <w:p w14:paraId="1C4E903A" w14:textId="7804FB65" w:rsidR="00940B15" w:rsidRPr="00940B15" w:rsidRDefault="00940B15" w:rsidP="00A06B14">
      <w:pPr>
        <w:spacing w:after="0" w:line="240" w:lineRule="auto"/>
        <w:jc w:val="both"/>
        <w:rPr>
          <w:rFonts w:ascii="Verdana" w:eastAsia="Calibri" w:hAnsi="Verdana" w:cs="Arial"/>
          <w:bCs/>
          <w:sz w:val="20"/>
          <w:szCs w:val="20"/>
          <w:lang w:eastAsia="es-ES"/>
        </w:rPr>
      </w:pPr>
      <w:r w:rsidRPr="00940B15">
        <w:rPr>
          <w:rFonts w:ascii="Verdana" w:eastAsia="Calibri" w:hAnsi="Verdana" w:cs="Arial"/>
          <w:bCs/>
          <w:sz w:val="20"/>
          <w:szCs w:val="20"/>
          <w:lang w:eastAsia="es-ES"/>
        </w:rPr>
        <w:t xml:space="preserve">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 Igualmente, explica que el anticipo, al facilitar al contratista la financiación de los bienes y servicios que se le han encargado, es un factor determinante para impulsar la ejecución del contrato. </w:t>
      </w:r>
    </w:p>
    <w:p w14:paraId="4861A30F" w14:textId="77777777" w:rsidR="00940B15" w:rsidRDefault="00940B15" w:rsidP="00A06B14">
      <w:pPr>
        <w:spacing w:after="0" w:line="240" w:lineRule="auto"/>
        <w:jc w:val="both"/>
        <w:rPr>
          <w:rFonts w:ascii="Verdana" w:eastAsia="Calibri" w:hAnsi="Verdana" w:cs="Arial"/>
          <w:b/>
          <w:bCs/>
          <w:lang w:eastAsia="es-ES"/>
        </w:rPr>
      </w:pPr>
    </w:p>
    <w:p w14:paraId="44C562E0" w14:textId="6EF5412B" w:rsidR="0040127E" w:rsidRPr="00940B15" w:rsidRDefault="00940B15" w:rsidP="00A06B14">
      <w:pPr>
        <w:spacing w:after="0" w:line="240" w:lineRule="auto"/>
        <w:jc w:val="both"/>
        <w:rPr>
          <w:rFonts w:ascii="Verdana" w:eastAsia="Calibri" w:hAnsi="Verdana" w:cs="Arial"/>
          <w:b/>
          <w:bCs/>
          <w:lang w:val="es-ES" w:eastAsia="es-ES"/>
        </w:rPr>
      </w:pPr>
      <w:r w:rsidRPr="00940B15">
        <w:rPr>
          <w:rFonts w:ascii="Verdana" w:eastAsia="Calibri" w:hAnsi="Verdana" w:cs="Arial"/>
          <w:b/>
          <w:bCs/>
          <w:lang w:eastAsia="es-ES"/>
        </w:rPr>
        <w:t>PAGO ANTICIPADO – Definición</w:t>
      </w:r>
    </w:p>
    <w:p w14:paraId="2A5E7BC6" w14:textId="5EA22424" w:rsidR="0040127E" w:rsidRDefault="0040127E" w:rsidP="00A06B14">
      <w:pPr>
        <w:spacing w:after="0" w:line="240" w:lineRule="auto"/>
        <w:rPr>
          <w:rFonts w:ascii="Verdana" w:eastAsia="Calibri" w:hAnsi="Verdana" w:cs="Arial"/>
          <w:bCs/>
          <w:lang w:val="es-ES" w:eastAsia="es-ES"/>
        </w:rPr>
      </w:pPr>
    </w:p>
    <w:p w14:paraId="781DF15F" w14:textId="0F00C880" w:rsidR="00A06B14" w:rsidRPr="00A06B14" w:rsidRDefault="00A06B14" w:rsidP="00A06B14">
      <w:pPr>
        <w:spacing w:after="0" w:line="240" w:lineRule="auto"/>
        <w:jc w:val="both"/>
        <w:rPr>
          <w:rFonts w:ascii="Verdana" w:eastAsia="Calibri" w:hAnsi="Verdana" w:cs="Arial"/>
          <w:bCs/>
          <w:sz w:val="20"/>
          <w:szCs w:val="20"/>
          <w:lang w:eastAsia="es-ES"/>
        </w:rPr>
      </w:pPr>
      <w:r w:rsidRPr="00A06B14">
        <w:rPr>
          <w:rFonts w:ascii="Verdana" w:eastAsia="Calibri" w:hAnsi="Verdana" w:cs="Arial"/>
          <w:bCs/>
          <w:sz w:val="20"/>
          <w:szCs w:val="20"/>
          <w:lang w:eastAsia="es-ES"/>
        </w:rPr>
        <w:t xml:space="preserve">Por otro lado, la institución jurídica del pago anticipado se concibe como la retribución parcial que el contratista recibe en los contratos estatales. Al respecto, la doctrina expresa: “El pago anticipado sí hace parte del precio y su entrega comporta la extinción parcial de la obligación de remuneración a cargo de la entidad solo que de manera adelantada a la realización del contrato o como primer contado”.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0D5163DB" w14:textId="77777777" w:rsidR="00A06B14" w:rsidRPr="00A06B14" w:rsidRDefault="00A06B14" w:rsidP="00A06B14">
      <w:pPr>
        <w:spacing w:after="0" w:line="240" w:lineRule="auto"/>
        <w:rPr>
          <w:rFonts w:ascii="Verdana" w:eastAsia="Calibri" w:hAnsi="Verdana" w:cs="Arial"/>
          <w:bCs/>
          <w:lang w:eastAsia="es-ES"/>
        </w:rPr>
      </w:pPr>
    </w:p>
    <w:p w14:paraId="706A032E" w14:textId="69366AC1" w:rsidR="0040127E" w:rsidRDefault="00940B15" w:rsidP="00A06B14">
      <w:pPr>
        <w:spacing w:after="0" w:line="240" w:lineRule="auto"/>
        <w:rPr>
          <w:rFonts w:ascii="Verdana" w:eastAsia="Calibri" w:hAnsi="Verdana" w:cs="Arial"/>
          <w:b/>
          <w:bCs/>
        </w:rPr>
      </w:pPr>
      <w:r w:rsidRPr="00940B15">
        <w:rPr>
          <w:rFonts w:ascii="Verdana" w:eastAsia="Calibri" w:hAnsi="Verdana" w:cs="Arial"/>
          <w:b/>
          <w:bCs/>
        </w:rPr>
        <w:t>PAGO ANTICIPADO Y/O ANTICIPO – Límites – Aplicación</w:t>
      </w:r>
    </w:p>
    <w:p w14:paraId="67AA6BB1" w14:textId="12DA5D13" w:rsidR="00940B15" w:rsidRDefault="00940B15" w:rsidP="00A06B14">
      <w:pPr>
        <w:spacing w:after="0" w:line="240" w:lineRule="auto"/>
        <w:rPr>
          <w:rFonts w:ascii="Verdana" w:eastAsia="Calibri" w:hAnsi="Verdana" w:cs="Arial"/>
          <w:b/>
          <w:bCs/>
        </w:rPr>
      </w:pPr>
    </w:p>
    <w:p w14:paraId="5E31541A" w14:textId="2C8D0765" w:rsidR="00A06B14" w:rsidRPr="00A06B14" w:rsidRDefault="00A06B14" w:rsidP="00A06B14">
      <w:pPr>
        <w:spacing w:after="0" w:line="240" w:lineRule="auto"/>
        <w:jc w:val="both"/>
        <w:rPr>
          <w:rFonts w:ascii="Verdana" w:eastAsia="Calibri" w:hAnsi="Verdana" w:cs="Arial"/>
          <w:bCs/>
          <w:sz w:val="20"/>
        </w:rPr>
      </w:pPr>
      <w:r w:rsidRPr="00A06B14">
        <w:rPr>
          <w:rFonts w:ascii="Verdana" w:eastAsia="Calibri" w:hAnsi="Verdana" w:cs="Arial"/>
          <w:bCs/>
          <w:sz w:val="20"/>
        </w:rPr>
        <w:t>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w:t>
      </w:r>
    </w:p>
    <w:p w14:paraId="0C5FCF9A" w14:textId="77777777" w:rsidR="00A06B14" w:rsidRDefault="00A06B14" w:rsidP="00A06B14">
      <w:pPr>
        <w:spacing w:after="0" w:line="240" w:lineRule="auto"/>
        <w:jc w:val="both"/>
        <w:rPr>
          <w:rFonts w:ascii="Verdana" w:hAnsi="Verdana" w:cs="Arial"/>
          <w:b/>
          <w:color w:val="000000"/>
          <w:kern w:val="2"/>
          <w14:ligatures w14:val="standardContextual"/>
        </w:rPr>
      </w:pPr>
      <w:r w:rsidRPr="00121D60">
        <w:rPr>
          <w:rFonts w:ascii="Verdana" w:hAnsi="Verdana" w:cs="Arial"/>
          <w:b/>
          <w:color w:val="000000"/>
          <w:kern w:val="2"/>
          <w14:ligatures w14:val="standardContextual"/>
        </w:rPr>
        <w:lastRenderedPageBreak/>
        <w:t>ARTÍCULO 355 DE LA CONSTITUCIÓN POLÍTICA – Formas de colaboración o cooperación – Estado y particulares</w:t>
      </w:r>
    </w:p>
    <w:p w14:paraId="52ABFE51" w14:textId="77777777" w:rsidR="00A06B14" w:rsidRDefault="00A06B14" w:rsidP="00A06B14">
      <w:pPr>
        <w:spacing w:after="0" w:line="240" w:lineRule="auto"/>
        <w:jc w:val="both"/>
        <w:rPr>
          <w:rFonts w:ascii="Verdana" w:hAnsi="Verdana" w:cs="Arial"/>
          <w:b/>
          <w:color w:val="000000"/>
          <w:kern w:val="2"/>
          <w14:ligatures w14:val="standardContextual"/>
        </w:rPr>
      </w:pPr>
    </w:p>
    <w:p w14:paraId="2B484C2F" w14:textId="77777777" w:rsidR="00A06B14" w:rsidRPr="00075C16" w:rsidRDefault="00A06B14" w:rsidP="00A06B14">
      <w:pPr>
        <w:spacing w:after="0" w:line="240" w:lineRule="auto"/>
        <w:jc w:val="both"/>
        <w:rPr>
          <w:rFonts w:ascii="Verdana" w:hAnsi="Verdana" w:cs="Arial"/>
          <w:color w:val="000000"/>
          <w:kern w:val="2"/>
          <w:sz w:val="20"/>
          <w:szCs w:val="20"/>
          <w:lang w:val="es-MX"/>
          <w14:ligatures w14:val="standardContextual"/>
        </w:rPr>
      </w:pPr>
      <w:r w:rsidRPr="00075C16">
        <w:rPr>
          <w:rFonts w:ascii="Verdana" w:hAnsi="Verdana" w:cs="Arial"/>
          <w:color w:val="000000"/>
          <w:kern w:val="2"/>
          <w:sz w:val="20"/>
          <w:szCs w:val="20"/>
          <w:lang w:val="es-MX"/>
          <w14:ligatures w14:val="standardContextua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0F9F69FD" w14:textId="77777777" w:rsidR="00A06B14" w:rsidRPr="00121D60" w:rsidRDefault="00A06B14" w:rsidP="00A06B14">
      <w:pPr>
        <w:spacing w:after="0" w:line="240" w:lineRule="auto"/>
        <w:jc w:val="both"/>
        <w:rPr>
          <w:rFonts w:ascii="Verdana" w:hAnsi="Verdana"/>
          <w:b/>
          <w:lang w:val="es-MX"/>
        </w:rPr>
      </w:pPr>
    </w:p>
    <w:p w14:paraId="71B1CA40" w14:textId="77777777" w:rsidR="00A06B14" w:rsidRDefault="00A06B14" w:rsidP="00A06B14">
      <w:pPr>
        <w:spacing w:after="0" w:line="240" w:lineRule="auto"/>
        <w:jc w:val="both"/>
        <w:rPr>
          <w:rFonts w:ascii="Verdana" w:hAnsi="Verdana" w:cs="Arial"/>
          <w:b/>
          <w:color w:val="000000"/>
          <w:kern w:val="2"/>
          <w14:ligatures w14:val="standardContextual"/>
        </w:rPr>
      </w:pPr>
      <w:r w:rsidRPr="00121D60">
        <w:rPr>
          <w:rFonts w:ascii="Verdana" w:hAnsi="Verdana" w:cs="Arial"/>
          <w:b/>
          <w:color w:val="000000"/>
          <w:kern w:val="2"/>
          <w14:ligatures w14:val="standardContextual"/>
        </w:rPr>
        <w:t>DECRETO 092 DE 2017 – Convenios de interés públ</w:t>
      </w:r>
      <w:r>
        <w:rPr>
          <w:rFonts w:ascii="Verdana" w:hAnsi="Verdana" w:cs="Arial"/>
          <w:b/>
          <w:color w:val="000000"/>
          <w:kern w:val="2"/>
          <w14:ligatures w14:val="standardContextual"/>
        </w:rPr>
        <w:t xml:space="preserve">ico – Convenios de asociación </w:t>
      </w:r>
    </w:p>
    <w:p w14:paraId="4CA8F40F" w14:textId="77777777" w:rsidR="00A06B14" w:rsidRDefault="00A06B14" w:rsidP="00A06B14">
      <w:pPr>
        <w:spacing w:after="0" w:line="240" w:lineRule="auto"/>
        <w:jc w:val="both"/>
        <w:rPr>
          <w:rFonts w:ascii="Verdana" w:hAnsi="Verdana" w:cs="Arial"/>
          <w:b/>
          <w:color w:val="000000"/>
          <w:kern w:val="2"/>
          <w14:ligatures w14:val="standardContextual"/>
        </w:rPr>
      </w:pPr>
    </w:p>
    <w:p w14:paraId="08A7B234" w14:textId="77777777" w:rsidR="00A06B14" w:rsidRPr="00075C16" w:rsidRDefault="00A06B14" w:rsidP="00A06B14">
      <w:pPr>
        <w:spacing w:after="0" w:line="240" w:lineRule="auto"/>
        <w:jc w:val="both"/>
        <w:rPr>
          <w:rFonts w:ascii="Verdana" w:hAnsi="Verdana" w:cs="Arial"/>
          <w:color w:val="000000"/>
          <w:kern w:val="2"/>
          <w:sz w:val="20"/>
          <w:lang w:val="es-MX"/>
          <w14:ligatures w14:val="standardContextual"/>
        </w:rPr>
      </w:pPr>
      <w:r w:rsidRPr="00075C16">
        <w:rPr>
          <w:rFonts w:ascii="Verdana" w:hAnsi="Verdana" w:cs="Arial"/>
          <w:color w:val="000000"/>
          <w:kern w:val="2"/>
          <w:sz w:val="20"/>
          <w:lang w:val="es-MX"/>
          <w14:ligatures w14:val="standardContextual"/>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075C16">
        <w:rPr>
          <w:rFonts w:ascii="Verdana" w:hAnsi="Verdana" w:cs="Arial"/>
          <w:i/>
          <w:iCs/>
          <w:color w:val="000000"/>
          <w:kern w:val="2"/>
          <w:sz w:val="20"/>
          <w:lang w:val="es-MX"/>
          <w14:ligatures w14:val="standardContextual"/>
        </w:rPr>
        <w:t>contratos de colaboración</w:t>
      </w:r>
      <w:r w:rsidRPr="00075C16">
        <w:rPr>
          <w:rFonts w:ascii="Verdana" w:hAnsi="Verdana" w:cs="Arial"/>
          <w:color w:val="000000"/>
          <w:kern w:val="2"/>
          <w:sz w:val="20"/>
          <w:lang w:val="es-MX"/>
          <w14:ligatures w14:val="standardContextual"/>
        </w:rPr>
        <w:t xml:space="preserve"> o de interés público, con el fin impulsar programas y actividades de interés público de acuerdo con el Plan Nacional o los planes seccionales de desarrollo, en los términos del artículo 355 de la Constitución Política; y ii) los </w:t>
      </w:r>
      <w:r w:rsidRPr="00075C16">
        <w:rPr>
          <w:rFonts w:ascii="Verdana" w:hAnsi="Verdana" w:cs="Arial"/>
          <w:i/>
          <w:iCs/>
          <w:color w:val="000000"/>
          <w:kern w:val="2"/>
          <w:sz w:val="20"/>
          <w:lang w:val="es-MX"/>
          <w14:ligatures w14:val="standardContextual"/>
        </w:rPr>
        <w:t>convenios de asociación</w:t>
      </w:r>
      <w:r w:rsidRPr="00075C16">
        <w:rPr>
          <w:rFonts w:ascii="Verdana" w:hAnsi="Verdana" w:cs="Arial"/>
          <w:color w:val="000000"/>
          <w:kern w:val="2"/>
          <w:sz w:val="20"/>
          <w:lang w:val="es-MX"/>
          <w14:ligatures w14:val="standardContextual"/>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075C16">
        <w:rPr>
          <w:rFonts w:ascii="Verdana" w:hAnsi="Verdana" w:cs="Arial"/>
          <w:i/>
          <w:iCs/>
          <w:color w:val="000000"/>
          <w:kern w:val="2"/>
          <w:sz w:val="20"/>
          <w:lang w:val="es-MX"/>
          <w14:ligatures w14:val="standardContextual"/>
        </w:rPr>
        <w:t>ibidem</w:t>
      </w:r>
      <w:r w:rsidRPr="00075C16">
        <w:rPr>
          <w:rFonts w:ascii="Verdana" w:hAnsi="Verdana" w:cs="Arial"/>
          <w:color w:val="000000"/>
          <w:kern w:val="2"/>
          <w:sz w:val="20"/>
          <w:lang w:val="es-MX"/>
          <w14:ligatures w14:val="standardContextual"/>
        </w:rPr>
        <w:t xml:space="preserve">. Es posible diferenciar, pues, los </w:t>
      </w:r>
      <w:r w:rsidRPr="00075C16">
        <w:rPr>
          <w:rFonts w:ascii="Verdana" w:hAnsi="Verdana" w:cs="Arial"/>
          <w:i/>
          <w:iCs/>
          <w:color w:val="000000"/>
          <w:kern w:val="2"/>
          <w:sz w:val="20"/>
          <w:lang w:val="es-MX"/>
          <w14:ligatures w14:val="standardContextual"/>
        </w:rPr>
        <w:t>convenios de asociación</w:t>
      </w:r>
      <w:r w:rsidRPr="00075C16">
        <w:rPr>
          <w:rFonts w:ascii="Verdana" w:hAnsi="Verdana" w:cs="Arial"/>
          <w:color w:val="000000"/>
          <w:kern w:val="2"/>
          <w:sz w:val="20"/>
          <w:lang w:val="es-MX"/>
          <w14:ligatures w14:val="standardContextual"/>
        </w:rPr>
        <w:t xml:space="preserve">, regulados en el artículo 5, de los </w:t>
      </w:r>
      <w:r w:rsidRPr="00075C16">
        <w:rPr>
          <w:rFonts w:ascii="Verdana" w:hAnsi="Verdana" w:cs="Arial"/>
          <w:i/>
          <w:iCs/>
          <w:color w:val="000000"/>
          <w:kern w:val="2"/>
          <w:sz w:val="20"/>
          <w:lang w:val="es-MX"/>
          <w14:ligatures w14:val="standardContextual"/>
        </w:rPr>
        <w:t>contratos de colaboración</w:t>
      </w:r>
      <w:r w:rsidRPr="00075C16">
        <w:rPr>
          <w:rFonts w:ascii="Verdana" w:hAnsi="Verdana" w:cs="Arial"/>
          <w:color w:val="000000"/>
          <w:kern w:val="2"/>
          <w:sz w:val="20"/>
          <w:lang w:val="es-MX"/>
          <w14:ligatures w14:val="standardContextual"/>
        </w:rPr>
        <w:t xml:space="preserve">, establecidos en el artículo 2 del Decreto 092 de 2017. </w:t>
      </w:r>
    </w:p>
    <w:p w14:paraId="65B76277" w14:textId="31C99C41" w:rsidR="00940B15" w:rsidRDefault="00940B15" w:rsidP="00940B15">
      <w:pPr>
        <w:spacing w:after="0"/>
        <w:jc w:val="both"/>
        <w:rPr>
          <w:rFonts w:ascii="Verdana" w:eastAsia="Calibri" w:hAnsi="Verdana" w:cs="Arial"/>
          <w:b/>
          <w:bCs/>
          <w:lang w:eastAsia="es-ES"/>
        </w:rPr>
      </w:pPr>
    </w:p>
    <w:p w14:paraId="1E7C2E66" w14:textId="000E9904" w:rsidR="00940B15" w:rsidRPr="00940B15" w:rsidRDefault="00940B15" w:rsidP="00940B15">
      <w:pPr>
        <w:spacing w:after="0"/>
        <w:jc w:val="both"/>
        <w:rPr>
          <w:rFonts w:ascii="Verdana" w:eastAsia="Calibri" w:hAnsi="Verdana" w:cs="Arial"/>
          <w:b/>
          <w:bCs/>
          <w:lang w:val="es-ES" w:eastAsia="es-ES"/>
        </w:rPr>
      </w:pPr>
      <w:r w:rsidRPr="00940B15">
        <w:rPr>
          <w:rFonts w:ascii="Verdana" w:hAnsi="Verdana" w:cs="Arial"/>
          <w:b/>
          <w:kern w:val="2"/>
          <w14:ligatures w14:val="standardContextual"/>
        </w:rPr>
        <w:t>DECRETO 092 DE 2017 – CONVENIOS DE ASOCIACIÓN – Artículo 5 del Decreto 092 de 2017 – Artículo 96 de la Ley 489 de 1998 – Requisitos</w:t>
      </w:r>
    </w:p>
    <w:p w14:paraId="61CB7037" w14:textId="4771C11A" w:rsidR="00940B15" w:rsidRPr="00A06B14" w:rsidRDefault="00940B15" w:rsidP="00A06B14">
      <w:pPr>
        <w:spacing w:after="0" w:line="240" w:lineRule="auto"/>
        <w:rPr>
          <w:rFonts w:ascii="Verdana" w:hAnsi="Verdana"/>
          <w:sz w:val="20"/>
          <w:lang w:val="es-ES"/>
        </w:rPr>
      </w:pPr>
    </w:p>
    <w:p w14:paraId="5E24BC52" w14:textId="5C804AE4" w:rsidR="00A06B14" w:rsidRDefault="00A06B14" w:rsidP="00A06B14">
      <w:pPr>
        <w:spacing w:after="0" w:line="240" w:lineRule="auto"/>
        <w:jc w:val="both"/>
        <w:rPr>
          <w:rFonts w:ascii="Verdana" w:eastAsia="Calibri" w:hAnsi="Verdana" w:cs="Arial"/>
          <w:sz w:val="20"/>
          <w:lang w:val="es-MX"/>
        </w:rPr>
      </w:pPr>
      <w:r w:rsidRPr="00A06B14">
        <w:rPr>
          <w:rFonts w:ascii="Verdana" w:eastAsia="Calibri" w:hAnsi="Verdana" w:cs="Arial"/>
          <w:sz w:val="20"/>
          <w:lang w:val="es-MX"/>
        </w:rPr>
        <w:t xml:space="preserve">Los </w:t>
      </w:r>
      <w:r w:rsidRPr="00A06B14">
        <w:rPr>
          <w:rFonts w:ascii="Verdana" w:eastAsia="Calibri" w:hAnsi="Verdana" w:cs="Arial"/>
          <w:i/>
          <w:iCs/>
          <w:sz w:val="20"/>
          <w:lang w:val="es-MX"/>
        </w:rPr>
        <w:t>convenios de asociación</w:t>
      </w:r>
      <w:r w:rsidRPr="00A06B14">
        <w:rPr>
          <w:rFonts w:ascii="Verdana" w:eastAsia="Calibri" w:hAnsi="Verdana" w:cs="Arial"/>
          <w:sz w:val="20"/>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w:t>
      </w:r>
    </w:p>
    <w:p w14:paraId="40C5EEFC" w14:textId="77777777" w:rsidR="00A06B14" w:rsidRPr="00A06B14" w:rsidRDefault="00A06B14" w:rsidP="00A06B14">
      <w:pPr>
        <w:spacing w:after="0" w:line="240" w:lineRule="auto"/>
        <w:jc w:val="both"/>
        <w:rPr>
          <w:rFonts w:ascii="Verdana" w:eastAsia="Calibri" w:hAnsi="Verdana" w:cs="Arial"/>
          <w:sz w:val="20"/>
          <w:lang w:val="es-MX"/>
        </w:rPr>
      </w:pPr>
    </w:p>
    <w:p w14:paraId="42597596" w14:textId="2238C6F7" w:rsidR="00A06B14" w:rsidRDefault="00A06B14" w:rsidP="00A06B14">
      <w:pPr>
        <w:spacing w:after="0" w:line="240" w:lineRule="auto"/>
        <w:jc w:val="both"/>
        <w:rPr>
          <w:rFonts w:ascii="Verdana" w:eastAsia="Calibri" w:hAnsi="Verdana" w:cs="Arial"/>
          <w:sz w:val="20"/>
          <w:lang w:val="es-MX"/>
        </w:rPr>
      </w:pPr>
      <w:r w:rsidRPr="00A06B14">
        <w:rPr>
          <w:rFonts w:ascii="Verdana" w:eastAsia="Calibri" w:hAnsi="Verdana" w:cs="Arial"/>
          <w:sz w:val="20"/>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w:t>
      </w:r>
      <w:r w:rsidRPr="00A06B14">
        <w:rPr>
          <w:rFonts w:ascii="Verdana" w:eastAsia="Calibri" w:hAnsi="Verdana" w:cs="Arial"/>
          <w:sz w:val="20"/>
          <w:lang w:val="es-MX"/>
        </w:rPr>
        <w:lastRenderedPageBreak/>
        <w:t xml:space="preserve">proceso competitivo, salvo cuando la ESAL comprometa recursos en dinero para la ejecución de estas actividades, en una proporción no inferior al 30% del valor total del convenio. </w:t>
      </w:r>
    </w:p>
    <w:p w14:paraId="7735C919" w14:textId="77777777" w:rsidR="00A06B14" w:rsidRPr="00A06B14" w:rsidRDefault="00A06B14" w:rsidP="00A06B14">
      <w:pPr>
        <w:spacing w:after="0" w:line="240" w:lineRule="auto"/>
        <w:jc w:val="both"/>
        <w:rPr>
          <w:rFonts w:ascii="Verdana" w:eastAsia="Calibri" w:hAnsi="Verdana" w:cs="Arial"/>
          <w:sz w:val="20"/>
          <w:lang w:val="es-MX"/>
        </w:rPr>
      </w:pPr>
    </w:p>
    <w:p w14:paraId="7D00CAEA" w14:textId="709F60EE" w:rsidR="00A06B14" w:rsidRPr="00A06B14" w:rsidRDefault="00A06B14" w:rsidP="00A06B14">
      <w:pPr>
        <w:spacing w:after="0" w:line="240" w:lineRule="auto"/>
        <w:jc w:val="both"/>
        <w:rPr>
          <w:rFonts w:ascii="Verdana" w:eastAsia="Calibri" w:hAnsi="Verdana" w:cs="Arial"/>
          <w:sz w:val="20"/>
          <w:lang w:val="es-MX"/>
        </w:rPr>
      </w:pPr>
      <w:r w:rsidRPr="00A06B14">
        <w:rPr>
          <w:rFonts w:ascii="Verdana" w:eastAsia="Calibri" w:hAnsi="Verdana" w:cs="Arial"/>
          <w:sz w:val="20"/>
          <w:lang w:val="es-MX"/>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7209DE9B" w14:textId="77777777" w:rsidR="00A06B14" w:rsidRPr="00A06B14" w:rsidRDefault="00A06B14" w:rsidP="00105628">
      <w:pPr>
        <w:spacing w:after="0"/>
        <w:rPr>
          <w:rFonts w:ascii="Verdana" w:hAnsi="Verdana"/>
          <w:lang w:val="es-MX"/>
        </w:rPr>
      </w:pPr>
    </w:p>
    <w:p w14:paraId="2B6A4335" w14:textId="53376DA3" w:rsidR="00940B15" w:rsidRDefault="00940B15" w:rsidP="00940B15">
      <w:pPr>
        <w:spacing w:after="0"/>
        <w:jc w:val="both"/>
        <w:rPr>
          <w:rFonts w:ascii="Verdana" w:hAnsi="Verdana" w:cs="Arial"/>
          <w:b/>
          <w:kern w:val="2"/>
          <w:lang w:val="es-ES"/>
          <w14:ligatures w14:val="standardContextual"/>
        </w:rPr>
      </w:pPr>
      <w:r w:rsidRPr="00940B15">
        <w:rPr>
          <w:rFonts w:ascii="Verdana" w:hAnsi="Verdana" w:cs="Arial"/>
          <w:b/>
          <w:kern w:val="2"/>
          <w:lang w:val="es-ES"/>
          <w14:ligatures w14:val="standardContextual"/>
        </w:rPr>
        <w:t>INTEGRACIÓN NORMATIVA – Convenios de asociación - Reglas – inaplicabilidad del anticipo y pago anticipado</w:t>
      </w:r>
    </w:p>
    <w:p w14:paraId="5B4356F7" w14:textId="77777777" w:rsidR="00070587" w:rsidRPr="00070587" w:rsidRDefault="00070587" w:rsidP="00070587">
      <w:pPr>
        <w:spacing w:after="0" w:line="240" w:lineRule="auto"/>
        <w:jc w:val="both"/>
        <w:rPr>
          <w:rFonts w:ascii="Verdana" w:eastAsia="Calibri" w:hAnsi="Verdana" w:cs="Arial"/>
          <w:sz w:val="20"/>
          <w:lang w:val="es-ES"/>
        </w:rPr>
      </w:pPr>
    </w:p>
    <w:p w14:paraId="6CF02C43" w14:textId="00266027" w:rsidR="00070587" w:rsidRPr="00070587" w:rsidRDefault="00070587" w:rsidP="00070587">
      <w:pPr>
        <w:spacing w:after="0" w:line="240" w:lineRule="auto"/>
        <w:jc w:val="both"/>
        <w:rPr>
          <w:rFonts w:ascii="Verdana" w:eastAsia="Calibri" w:hAnsi="Verdana" w:cs="Arial"/>
          <w:sz w:val="20"/>
          <w:lang w:val="es-ES"/>
        </w:rPr>
      </w:pPr>
      <w:r w:rsidRPr="00070587">
        <w:rPr>
          <w:rFonts w:ascii="Verdana" w:eastAsia="Calibri" w:hAnsi="Verdana" w:cs="Arial"/>
          <w:sz w:val="20"/>
          <w:lang w:val="es-ES"/>
        </w:rPr>
        <w:t xml:space="preserve">En esta medida, los </w:t>
      </w:r>
      <w:r w:rsidRPr="00070587">
        <w:rPr>
          <w:rFonts w:ascii="Verdana" w:eastAsia="Calibri" w:hAnsi="Verdana" w:cs="Arial"/>
          <w:i/>
          <w:iCs/>
          <w:sz w:val="20"/>
          <w:lang w:val="es-ES"/>
        </w:rPr>
        <w:t xml:space="preserve">contratos del artículo 355 de la Constitución </w:t>
      </w:r>
      <w:r w:rsidRPr="00070587">
        <w:rPr>
          <w:rFonts w:ascii="Verdana" w:eastAsia="Calibri" w:hAnsi="Verdana" w:cs="Arial"/>
          <w:sz w:val="20"/>
          <w:lang w:val="es-ES"/>
        </w:rPr>
        <w:t xml:space="preserve">y los </w:t>
      </w:r>
      <w:r w:rsidRPr="00070587">
        <w:rPr>
          <w:rFonts w:ascii="Verdana" w:eastAsia="Calibri" w:hAnsi="Verdana" w:cs="Arial"/>
          <w:i/>
          <w:iCs/>
          <w:sz w:val="20"/>
          <w:lang w:val="es-ES"/>
        </w:rPr>
        <w:t>convenios de asociación</w:t>
      </w:r>
      <w:r w:rsidRPr="00070587">
        <w:rPr>
          <w:rFonts w:ascii="Verdana" w:eastAsia="Calibri" w:hAnsi="Verdana" w:cs="Arial"/>
          <w:sz w:val="20"/>
          <w:lang w:val="es-ES"/>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la prohibición de adicionarlo en más del cincuenta por ciento –art. 40–, el régimen de perfeccionamiento –art. 41–, las causales de nulidad –art. 44 y ss.–, el régimen de responsabilidad contractual –art. 50 y ss.– y de liquidación de los contratos –art. 60–. </w:t>
      </w:r>
    </w:p>
    <w:p w14:paraId="17E40297" w14:textId="77777777" w:rsidR="00070587" w:rsidRDefault="00070587" w:rsidP="00070587">
      <w:pPr>
        <w:spacing w:after="0" w:line="240" w:lineRule="auto"/>
        <w:jc w:val="both"/>
        <w:rPr>
          <w:rFonts w:ascii="Verdana" w:eastAsia="Calibri" w:hAnsi="Verdana" w:cs="Arial"/>
          <w:sz w:val="20"/>
          <w:lang w:val="es-ES"/>
        </w:rPr>
      </w:pPr>
    </w:p>
    <w:p w14:paraId="089DF02E" w14:textId="5F9FFE1A" w:rsidR="00070587" w:rsidRPr="00070587" w:rsidRDefault="00070587" w:rsidP="00070587">
      <w:pPr>
        <w:spacing w:after="0" w:line="240" w:lineRule="auto"/>
        <w:jc w:val="both"/>
        <w:rPr>
          <w:rFonts w:ascii="Verdana" w:eastAsia="Calibri" w:hAnsi="Verdana" w:cs="Arial"/>
          <w:sz w:val="20"/>
          <w:lang w:val="es-ES"/>
        </w:rPr>
      </w:pPr>
      <w:r w:rsidRPr="00070587">
        <w:rPr>
          <w:rFonts w:ascii="Verdana" w:eastAsia="Calibri" w:hAnsi="Verdana" w:cs="Arial"/>
          <w:sz w:val="20"/>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r w:rsidRPr="00070587">
        <w:rPr>
          <w:rFonts w:ascii="Bookman Old Style" w:eastAsia="Calibri" w:hAnsi="Bookman Old Style" w:cs="Times New Roman"/>
          <w:sz w:val="18"/>
          <w:szCs w:val="20"/>
          <w:lang w:val="es-ES"/>
        </w:rPr>
        <w:t xml:space="preserve"> </w:t>
      </w:r>
    </w:p>
    <w:p w14:paraId="6F1FF764" w14:textId="77777777" w:rsidR="00070587" w:rsidRDefault="00070587" w:rsidP="00070587">
      <w:pPr>
        <w:tabs>
          <w:tab w:val="left" w:pos="284"/>
        </w:tabs>
        <w:spacing w:after="0" w:line="240" w:lineRule="auto"/>
        <w:jc w:val="both"/>
        <w:rPr>
          <w:rFonts w:ascii="Verdana" w:eastAsia="Arial" w:hAnsi="Verdana" w:cs="Arial"/>
          <w:sz w:val="20"/>
          <w:lang w:val="es-ES" w:eastAsia="es-ES" w:bidi="es-ES"/>
        </w:rPr>
      </w:pPr>
    </w:p>
    <w:p w14:paraId="2E13D680" w14:textId="3448FD08" w:rsidR="00070587" w:rsidRPr="00070587" w:rsidRDefault="00070587" w:rsidP="00070587">
      <w:pPr>
        <w:tabs>
          <w:tab w:val="left" w:pos="284"/>
        </w:tabs>
        <w:spacing w:after="0" w:line="240" w:lineRule="auto"/>
        <w:jc w:val="both"/>
        <w:rPr>
          <w:rFonts w:ascii="Verdana" w:eastAsia="Calibri" w:hAnsi="Verdana" w:cs="Arial"/>
          <w:bCs/>
          <w:sz w:val="20"/>
        </w:rPr>
      </w:pPr>
      <w:r w:rsidRPr="00070587">
        <w:rPr>
          <w:rFonts w:ascii="Verdana" w:eastAsia="Arial" w:hAnsi="Verdana" w:cs="Arial"/>
          <w:sz w:val="20"/>
          <w:lang w:eastAsia="es-ES" w:bidi="es-ES"/>
        </w:rPr>
        <w:t xml:space="preserve">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Pr="00070587">
        <w:rPr>
          <w:rFonts w:ascii="Verdana" w:eastAsia="Calibri" w:hAnsi="Verdana" w:cs="Arial"/>
          <w:bCs/>
          <w:sz w:val="20"/>
        </w:rPr>
        <w:t xml:space="preserve">una contraprestación económica, no es aplicable la remisión integral al anticipo o pago anticipado. </w:t>
      </w:r>
    </w:p>
    <w:p w14:paraId="66AA08C2" w14:textId="77777777" w:rsidR="00070587" w:rsidRDefault="00070587" w:rsidP="00070587">
      <w:pPr>
        <w:shd w:val="clear" w:color="auto" w:fill="FFFFFF"/>
        <w:spacing w:after="0" w:line="240" w:lineRule="auto"/>
        <w:jc w:val="both"/>
        <w:textAlignment w:val="baseline"/>
        <w:rPr>
          <w:rFonts w:ascii="Verdana" w:eastAsia="Calibri" w:hAnsi="Verdana" w:cs="Arial"/>
          <w:bCs/>
          <w:sz w:val="20"/>
        </w:rPr>
      </w:pPr>
    </w:p>
    <w:p w14:paraId="4A18B268" w14:textId="2034D16B" w:rsidR="00070587" w:rsidRDefault="00070587" w:rsidP="00070587">
      <w:pPr>
        <w:shd w:val="clear" w:color="auto" w:fill="FFFFFF"/>
        <w:spacing w:after="0" w:line="240" w:lineRule="auto"/>
        <w:jc w:val="both"/>
        <w:textAlignment w:val="baseline"/>
        <w:rPr>
          <w:rFonts w:ascii="Verdana" w:eastAsia="Calibri" w:hAnsi="Verdana" w:cs="Arial"/>
          <w:bCs/>
          <w:sz w:val="20"/>
          <w:lang w:val="es-ES_tradnl"/>
        </w:rPr>
      </w:pPr>
      <w:r w:rsidRPr="00070587">
        <w:rPr>
          <w:rFonts w:ascii="Verdana" w:eastAsia="Calibri" w:hAnsi="Verdana" w:cs="Arial"/>
          <w:bCs/>
          <w:sz w:val="20"/>
        </w:rPr>
        <w:t xml:space="preserve">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070587">
        <w:rPr>
          <w:rFonts w:ascii="Verdana" w:eastAsia="Calibri" w:hAnsi="Verdana" w:cs="Arial"/>
          <w:bCs/>
          <w:sz w:val="20"/>
          <w:lang w:val="es-ES_tradnl"/>
        </w:rPr>
        <w:t xml:space="preserve">En línea con lo expuesto, resalta la exigencia de determinar con precisión las obligaciones de las partes y los aportes, por lo cual puede estipularse </w:t>
      </w:r>
      <w:r w:rsidRPr="00070587">
        <w:rPr>
          <w:rFonts w:ascii="Verdana" w:eastAsia="Calibri" w:hAnsi="Verdana" w:cs="Arial"/>
          <w:bCs/>
          <w:sz w:val="20"/>
          <w:lang w:val="es-ES_tradnl"/>
        </w:rPr>
        <w:lastRenderedPageBreak/>
        <w:t xml:space="preserve">que una de las obligaciones a cargo de una de partes sea lo referente a las labores administrativas necesarias para el desarrollo del objeto del convenio. </w:t>
      </w:r>
    </w:p>
    <w:p w14:paraId="2552A920" w14:textId="77777777" w:rsidR="00070587" w:rsidRPr="00070587" w:rsidRDefault="00070587" w:rsidP="00070587">
      <w:pPr>
        <w:shd w:val="clear" w:color="auto" w:fill="FFFFFF"/>
        <w:spacing w:after="0" w:line="240" w:lineRule="auto"/>
        <w:jc w:val="both"/>
        <w:textAlignment w:val="baseline"/>
        <w:rPr>
          <w:rFonts w:ascii="Verdana" w:eastAsia="Calibri" w:hAnsi="Verdana" w:cs="Arial"/>
          <w:bCs/>
          <w:sz w:val="20"/>
          <w:lang w:val="es-ES_tradnl"/>
        </w:rPr>
      </w:pPr>
    </w:p>
    <w:p w14:paraId="4E446405" w14:textId="5B6C7596" w:rsidR="00940B15" w:rsidRPr="00940B15" w:rsidRDefault="00940B15" w:rsidP="00940B15">
      <w:pPr>
        <w:spacing w:after="0"/>
        <w:jc w:val="both"/>
        <w:rPr>
          <w:rFonts w:ascii="Verdana" w:hAnsi="Verdana" w:cs="Arial"/>
          <w:b/>
          <w:kern w:val="2"/>
          <w:lang w:val="es-ES"/>
          <w14:ligatures w14:val="standardContextual"/>
        </w:rPr>
      </w:pPr>
      <w:r w:rsidRPr="00940B15">
        <w:rPr>
          <w:rFonts w:ascii="Verdana" w:hAnsi="Verdana" w:cs="Arial"/>
          <w:b/>
          <w:kern w:val="2"/>
          <w:lang w:val="es-ES"/>
          <w14:ligatures w14:val="standardContextual"/>
        </w:rPr>
        <w:t>CONVENIOS DE ASOCIACIÓN – carácter no conmutativo - no obligatoriedad - amparo de buen manejo y correcta inversión del anticipo – amparo de devolución del pago anticipado.</w:t>
      </w:r>
    </w:p>
    <w:p w14:paraId="1EDDD3CC" w14:textId="29E75A01" w:rsidR="00940B15" w:rsidRDefault="00940B15" w:rsidP="00940B15">
      <w:pPr>
        <w:spacing w:after="0"/>
        <w:jc w:val="both"/>
        <w:rPr>
          <w:rFonts w:ascii="Verdana" w:hAnsi="Verdana"/>
          <w:b/>
          <w:lang w:val="es-ES"/>
        </w:rPr>
      </w:pPr>
    </w:p>
    <w:p w14:paraId="30625F8C" w14:textId="5F78F718" w:rsidR="00070587" w:rsidRPr="00070587" w:rsidRDefault="00070587" w:rsidP="00070587">
      <w:pPr>
        <w:spacing w:after="120" w:line="240" w:lineRule="auto"/>
        <w:jc w:val="both"/>
        <w:rPr>
          <w:rFonts w:ascii="Verdana" w:eastAsia="Arial" w:hAnsi="Verdana" w:cs="Arial"/>
          <w:sz w:val="20"/>
          <w:lang w:val="es-ES" w:eastAsia="es-ES" w:bidi="es-ES"/>
        </w:rPr>
      </w:pPr>
      <w:r w:rsidRPr="00070587">
        <w:rPr>
          <w:rFonts w:ascii="Verdana" w:eastAsia="Calibri" w:hAnsi="Verdana" w:cs="Arial"/>
          <w:bCs/>
          <w:sz w:val="20"/>
          <w:lang w:val="es-ES_tradnl"/>
        </w:rPr>
        <w:t xml:space="preserve">Conforme lo expuesto, dichas estipulaciones no deben entenderse como una contraprestación para algunas de las partes o no pueden destinarse a remunerar a la ESAL o a la entidad pública que participe del convenio. </w:t>
      </w:r>
      <w:r w:rsidRPr="00070587">
        <w:rPr>
          <w:rFonts w:ascii="Verdana" w:eastAsia="Calibri" w:hAnsi="Verdana" w:cs="Arial"/>
          <w:bCs/>
          <w:sz w:val="20"/>
        </w:rPr>
        <w:t xml:space="preserve">De las precisiones se infiere, que en los convenios de asociación, no debe constituirse el amparo de </w:t>
      </w:r>
      <w:r w:rsidRPr="00070587">
        <w:rPr>
          <w:rFonts w:ascii="Verdana" w:eastAsia="Arial" w:hAnsi="Verdana" w:cs="Arial"/>
          <w:i/>
          <w:sz w:val="20"/>
          <w:lang w:val="es-ES" w:eastAsia="es-ES" w:bidi="es-ES"/>
        </w:rPr>
        <w:t>buen manejo y correcta inversión del mismo</w:t>
      </w:r>
      <w:r w:rsidRPr="00070587">
        <w:rPr>
          <w:rFonts w:ascii="Verdana" w:eastAsia="Arial" w:hAnsi="Verdana" w:cs="Arial"/>
          <w:sz w:val="20"/>
          <w:lang w:val="es-ES" w:eastAsia="es-ES" w:bidi="es-ES"/>
        </w:rPr>
        <w:t xml:space="preserve">, en la que debe ampararse los perjuicios que puede afectar a la entidad por: i) la no inversión, esto es, cuando el contratista pese a recibir los recursos no los invierte de acuerdo al plan de inversión del anticipo, pudiendo generar retrasos en la ejecución del contrato; ii) el uso indebido del anticipo, por ejemplo, cuando el contratista emplea dichos recursos con una finalidad diferente a la estipulada, v. gr. para saldar deudas propias;; y iii) por la apropiación indebida de dichos recursos -art.  2.2.1.2.3.1.7., numeral 1 del Decreto 1082 de 2015-. De igual forma, no es posible exigir el amparo de devolución del pago anticipado, que cubre los perjuicios sufridos por la entidad por la no devolución total o parcial del dinero que se entregó al contratista por pago anticipado -art. 2.2.1.2.3.1.7., numeral 2- del Decreto 1082 de 2015-. Sin embargo, esta precisión no implica que la entidad no exija en el respectivo convenio la exigencia de amparos que cubran los diferentes riesgos que se presenten por incumplimiento de las obligaciones, el pago de salarios y prestaciones sociales, entre otros. </w:t>
      </w:r>
    </w:p>
    <w:p w14:paraId="2B74B38D" w14:textId="0642186D" w:rsidR="00070587" w:rsidRDefault="00070587" w:rsidP="00940B15">
      <w:pPr>
        <w:spacing w:after="0"/>
        <w:jc w:val="both"/>
        <w:rPr>
          <w:rFonts w:ascii="Verdana" w:hAnsi="Verdana"/>
          <w:b/>
          <w:lang w:val="es-ES"/>
        </w:rPr>
      </w:pPr>
    </w:p>
    <w:p w14:paraId="30AFB815" w14:textId="627DAB50" w:rsidR="00070587" w:rsidRDefault="00070587" w:rsidP="00940B15">
      <w:pPr>
        <w:spacing w:after="0"/>
        <w:jc w:val="both"/>
        <w:rPr>
          <w:rFonts w:ascii="Verdana" w:hAnsi="Verdana"/>
          <w:b/>
          <w:lang w:val="es-ES"/>
        </w:rPr>
      </w:pPr>
    </w:p>
    <w:p w14:paraId="0A22179F" w14:textId="08127CCE" w:rsidR="00070587" w:rsidRDefault="00070587" w:rsidP="00940B15">
      <w:pPr>
        <w:spacing w:after="0"/>
        <w:jc w:val="both"/>
        <w:rPr>
          <w:rFonts w:ascii="Verdana" w:hAnsi="Verdana"/>
          <w:b/>
          <w:lang w:val="es-ES"/>
        </w:rPr>
      </w:pPr>
    </w:p>
    <w:p w14:paraId="484AA282" w14:textId="152252D8" w:rsidR="00070587" w:rsidRDefault="00070587" w:rsidP="00940B15">
      <w:pPr>
        <w:spacing w:after="0"/>
        <w:jc w:val="both"/>
        <w:rPr>
          <w:rFonts w:ascii="Verdana" w:hAnsi="Verdana"/>
          <w:b/>
          <w:lang w:val="es-ES"/>
        </w:rPr>
      </w:pPr>
    </w:p>
    <w:p w14:paraId="60D0DBDE" w14:textId="35A101D6" w:rsidR="00070587" w:rsidRDefault="00070587" w:rsidP="00940B15">
      <w:pPr>
        <w:spacing w:after="0"/>
        <w:jc w:val="both"/>
        <w:rPr>
          <w:rFonts w:ascii="Verdana" w:hAnsi="Verdana"/>
          <w:b/>
          <w:lang w:val="es-ES"/>
        </w:rPr>
      </w:pPr>
    </w:p>
    <w:p w14:paraId="7CD0359F" w14:textId="1ED47A11" w:rsidR="00070587" w:rsidRDefault="00070587" w:rsidP="00940B15">
      <w:pPr>
        <w:spacing w:after="0"/>
        <w:jc w:val="both"/>
        <w:rPr>
          <w:rFonts w:ascii="Verdana" w:hAnsi="Verdana"/>
          <w:b/>
          <w:lang w:val="es-ES"/>
        </w:rPr>
      </w:pPr>
    </w:p>
    <w:p w14:paraId="585BA761" w14:textId="396AFAF1" w:rsidR="00070587" w:rsidRDefault="00070587" w:rsidP="00940B15">
      <w:pPr>
        <w:spacing w:after="0"/>
        <w:jc w:val="both"/>
        <w:rPr>
          <w:rFonts w:ascii="Verdana" w:hAnsi="Verdana"/>
          <w:b/>
          <w:lang w:val="es-ES"/>
        </w:rPr>
      </w:pPr>
    </w:p>
    <w:p w14:paraId="5829B6BB" w14:textId="2E445CC2" w:rsidR="00070587" w:rsidRDefault="00070587" w:rsidP="00940B15">
      <w:pPr>
        <w:spacing w:after="0"/>
        <w:jc w:val="both"/>
        <w:rPr>
          <w:rFonts w:ascii="Verdana" w:hAnsi="Verdana"/>
          <w:b/>
          <w:lang w:val="es-ES"/>
        </w:rPr>
      </w:pPr>
    </w:p>
    <w:p w14:paraId="0FA748A9" w14:textId="67FEBB22" w:rsidR="00070587" w:rsidRDefault="00070587" w:rsidP="00940B15">
      <w:pPr>
        <w:spacing w:after="0"/>
        <w:jc w:val="both"/>
        <w:rPr>
          <w:rFonts w:ascii="Verdana" w:hAnsi="Verdana"/>
          <w:b/>
          <w:lang w:val="es-ES"/>
        </w:rPr>
      </w:pPr>
    </w:p>
    <w:p w14:paraId="325DF9B1" w14:textId="5D3C6573" w:rsidR="00070587" w:rsidRDefault="00070587" w:rsidP="00940B15">
      <w:pPr>
        <w:spacing w:after="0"/>
        <w:jc w:val="both"/>
        <w:rPr>
          <w:rFonts w:ascii="Verdana" w:hAnsi="Verdana"/>
          <w:b/>
          <w:lang w:val="es-ES"/>
        </w:rPr>
      </w:pPr>
    </w:p>
    <w:p w14:paraId="710CE08A" w14:textId="2176F1C3" w:rsidR="00070587" w:rsidRDefault="00070587" w:rsidP="00940B15">
      <w:pPr>
        <w:spacing w:after="0"/>
        <w:jc w:val="both"/>
        <w:rPr>
          <w:rFonts w:ascii="Verdana" w:hAnsi="Verdana"/>
          <w:b/>
          <w:lang w:val="es-ES"/>
        </w:rPr>
      </w:pPr>
    </w:p>
    <w:p w14:paraId="6B2593D6" w14:textId="21A03ED5" w:rsidR="00070587" w:rsidRDefault="00070587" w:rsidP="00940B15">
      <w:pPr>
        <w:spacing w:after="0"/>
        <w:jc w:val="both"/>
        <w:rPr>
          <w:rFonts w:ascii="Verdana" w:hAnsi="Verdana"/>
          <w:b/>
          <w:lang w:val="es-ES"/>
        </w:rPr>
      </w:pPr>
    </w:p>
    <w:p w14:paraId="1B972CCD" w14:textId="44F9CC1C" w:rsidR="00070587" w:rsidRDefault="00070587" w:rsidP="00940B15">
      <w:pPr>
        <w:spacing w:after="0"/>
        <w:jc w:val="both"/>
        <w:rPr>
          <w:rFonts w:ascii="Verdana" w:hAnsi="Verdana"/>
          <w:b/>
          <w:lang w:val="es-ES"/>
        </w:rPr>
      </w:pPr>
    </w:p>
    <w:p w14:paraId="3E1830EE" w14:textId="58BDF49F" w:rsidR="00070587" w:rsidRDefault="00070587" w:rsidP="00940B15">
      <w:pPr>
        <w:spacing w:after="0"/>
        <w:jc w:val="both"/>
        <w:rPr>
          <w:rFonts w:ascii="Verdana" w:hAnsi="Verdana"/>
          <w:b/>
          <w:lang w:val="es-ES"/>
        </w:rPr>
      </w:pPr>
    </w:p>
    <w:p w14:paraId="0A5E5234" w14:textId="6E42E50A" w:rsidR="00070587" w:rsidRDefault="00070587" w:rsidP="00940B15">
      <w:pPr>
        <w:spacing w:after="0"/>
        <w:jc w:val="both"/>
        <w:rPr>
          <w:rFonts w:ascii="Verdana" w:hAnsi="Verdana"/>
          <w:b/>
          <w:lang w:val="es-ES"/>
        </w:rPr>
      </w:pPr>
    </w:p>
    <w:p w14:paraId="1759B08A" w14:textId="011DE070" w:rsidR="00070587" w:rsidRDefault="00070587" w:rsidP="00940B15">
      <w:pPr>
        <w:spacing w:after="0"/>
        <w:jc w:val="both"/>
        <w:rPr>
          <w:rFonts w:ascii="Verdana" w:hAnsi="Verdana"/>
          <w:b/>
          <w:lang w:val="es-ES"/>
        </w:rPr>
      </w:pPr>
    </w:p>
    <w:p w14:paraId="7237D1BF" w14:textId="77777777" w:rsidR="00070587" w:rsidRPr="00070587" w:rsidRDefault="00070587" w:rsidP="00940B15">
      <w:pPr>
        <w:spacing w:after="0"/>
        <w:jc w:val="both"/>
        <w:rPr>
          <w:rFonts w:ascii="Verdana" w:hAnsi="Verdana"/>
          <w:b/>
          <w:lang w:val="es-ES"/>
        </w:rPr>
      </w:pPr>
    </w:p>
    <w:p w14:paraId="5126D008" w14:textId="23CA8558" w:rsidR="00105628" w:rsidRPr="00E9090B" w:rsidRDefault="0040127E" w:rsidP="00105628">
      <w:pPr>
        <w:spacing w:after="0"/>
        <w:rPr>
          <w:rFonts w:ascii="Verdana" w:hAnsi="Verdana"/>
        </w:rPr>
      </w:pPr>
      <w:r w:rsidRPr="0040127E">
        <w:rPr>
          <w:rFonts w:ascii="Verdana" w:hAnsi="Verdana"/>
          <w:noProof/>
          <w:lang w:val="en-US"/>
        </w:rPr>
        <w:lastRenderedPageBreak/>
        <w:drawing>
          <wp:anchor distT="0" distB="0" distL="114300" distR="114300" simplePos="0" relativeHeight="251658240" behindDoc="0" locked="0" layoutInCell="1" allowOverlap="1" wp14:anchorId="3379B79E" wp14:editId="67533E88">
            <wp:simplePos x="0" y="0"/>
            <wp:positionH relativeFrom="margin">
              <wp:posOffset>2939415</wp:posOffset>
            </wp:positionH>
            <wp:positionV relativeFrom="paragraph">
              <wp:posOffset>49530</wp:posOffset>
            </wp:positionV>
            <wp:extent cx="2857500" cy="8001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75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rPr>
        <w:t>Bogotá D.C., 17 de junio de 2025</w:t>
      </w:r>
      <w:r w:rsidR="00105628" w:rsidRPr="00E9090B">
        <w:rPr>
          <w:rFonts w:ascii="Verdana" w:hAnsi="Verdana"/>
        </w:rPr>
        <w:tab/>
      </w:r>
    </w:p>
    <w:p w14:paraId="59079926" w14:textId="44BFFD46" w:rsidR="00105628" w:rsidRPr="00E9090B" w:rsidRDefault="00105628" w:rsidP="00105628">
      <w:pPr>
        <w:spacing w:after="0"/>
        <w:rPr>
          <w:rFonts w:ascii="Verdana" w:hAnsi="Verdana"/>
        </w:rPr>
      </w:pPr>
    </w:p>
    <w:p w14:paraId="138B2345" w14:textId="1A008E11" w:rsidR="00105628" w:rsidRPr="00E9090B" w:rsidRDefault="00105628" w:rsidP="00105628">
      <w:pPr>
        <w:spacing w:after="0" w:line="240" w:lineRule="auto"/>
        <w:jc w:val="both"/>
        <w:rPr>
          <w:rFonts w:ascii="Verdana" w:hAnsi="Verdana" w:cs="Arial"/>
          <w:bCs/>
          <w:lang w:eastAsia="es-ES" w:bidi="es-ES"/>
        </w:rPr>
      </w:pPr>
    </w:p>
    <w:p w14:paraId="5BD4C716" w14:textId="135E978F" w:rsidR="00105628" w:rsidRDefault="00105628" w:rsidP="00105628">
      <w:pPr>
        <w:spacing w:after="0" w:line="240" w:lineRule="auto"/>
        <w:jc w:val="both"/>
        <w:rPr>
          <w:rFonts w:ascii="Verdana" w:hAnsi="Verdana" w:cs="Arial"/>
          <w:bCs/>
          <w:lang w:eastAsia="es-ES" w:bidi="es-ES"/>
        </w:rPr>
      </w:pPr>
    </w:p>
    <w:p w14:paraId="2EE906DF" w14:textId="77777777" w:rsidR="0040127E" w:rsidRPr="00E9090B" w:rsidRDefault="0040127E" w:rsidP="00105628">
      <w:pPr>
        <w:spacing w:after="0" w:line="240" w:lineRule="auto"/>
        <w:jc w:val="both"/>
        <w:rPr>
          <w:rFonts w:ascii="Verdana" w:hAnsi="Verdana" w:cs="Arial"/>
          <w:bCs/>
          <w:lang w:eastAsia="es-ES" w:bidi="es-ES"/>
        </w:rPr>
      </w:pPr>
    </w:p>
    <w:p w14:paraId="0CE6799A" w14:textId="71EDC753" w:rsidR="00105628" w:rsidRPr="00E9090B" w:rsidRDefault="0040127E" w:rsidP="00105628">
      <w:pPr>
        <w:spacing w:after="0" w:line="240" w:lineRule="auto"/>
        <w:jc w:val="both"/>
        <w:rPr>
          <w:rFonts w:ascii="Verdana" w:hAnsi="Verdana" w:cs="Arial"/>
          <w:bCs/>
          <w:lang w:eastAsia="es-ES" w:bidi="es-ES"/>
        </w:rPr>
      </w:pPr>
      <w:r w:rsidRPr="0040127E">
        <w:rPr>
          <w:rFonts w:ascii="Verdana" w:hAnsi="Verdana" w:cs="Arial"/>
          <w:bCs/>
          <w:noProof/>
          <w:lang w:val="en-US"/>
        </w:rPr>
        <w:drawing>
          <wp:anchor distT="0" distB="0" distL="114300" distR="114300" simplePos="0" relativeHeight="251659264" behindDoc="0" locked="0" layoutInCell="1" allowOverlap="1" wp14:anchorId="41AD4014" wp14:editId="5DED00CD">
            <wp:simplePos x="0" y="0"/>
            <wp:positionH relativeFrom="column">
              <wp:posOffset>2948940</wp:posOffset>
            </wp:positionH>
            <wp:positionV relativeFrom="paragraph">
              <wp:posOffset>12065</wp:posOffset>
            </wp:positionV>
            <wp:extent cx="2857500" cy="772795"/>
            <wp:effectExtent l="0" t="0" r="0" b="825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7500" cy="772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5628" w:rsidRPr="00E9090B">
        <w:rPr>
          <w:rFonts w:ascii="Verdana" w:hAnsi="Verdana" w:cs="Arial"/>
          <w:bCs/>
          <w:lang w:eastAsia="es-ES" w:bidi="es-ES"/>
        </w:rPr>
        <w:t>Señor</w:t>
      </w:r>
    </w:p>
    <w:p w14:paraId="00D3BDEC" w14:textId="481F402D" w:rsidR="00105628" w:rsidRPr="00E9090B" w:rsidRDefault="00105628" w:rsidP="00105628">
      <w:pPr>
        <w:spacing w:after="0" w:line="240" w:lineRule="auto"/>
        <w:jc w:val="both"/>
        <w:rPr>
          <w:rFonts w:ascii="Verdana" w:hAnsi="Verdana" w:cs="Arial"/>
          <w:b/>
          <w:bCs/>
          <w:lang w:eastAsia="es-ES" w:bidi="es-ES"/>
        </w:rPr>
      </w:pPr>
      <w:r w:rsidRPr="00E9090B">
        <w:rPr>
          <w:rFonts w:ascii="Verdana" w:hAnsi="Verdana" w:cs="Arial"/>
          <w:b/>
          <w:bCs/>
          <w:lang w:eastAsia="es-ES" w:bidi="es-ES"/>
        </w:rPr>
        <w:t>Roby Erihk Escamilla Gaitan</w:t>
      </w:r>
    </w:p>
    <w:p w14:paraId="5629CA52" w14:textId="50154157" w:rsidR="00105628" w:rsidRPr="00E9090B" w:rsidRDefault="00117133" w:rsidP="00105628">
      <w:pPr>
        <w:spacing w:after="0" w:line="240" w:lineRule="auto"/>
        <w:jc w:val="both"/>
        <w:rPr>
          <w:rFonts w:ascii="Verdana" w:hAnsi="Verdana" w:cs="Arial"/>
          <w:bCs/>
          <w:lang w:eastAsia="es-ES" w:bidi="es-ES"/>
        </w:rPr>
      </w:pPr>
      <w:hyperlink r:id="rId13" w:history="1">
        <w:r w:rsidR="0040127E" w:rsidRPr="006D6BC2">
          <w:rPr>
            <w:rStyle w:val="Hipervnculo"/>
            <w:rFonts w:ascii="Verdana" w:hAnsi="Verdana" w:cs="Arial"/>
            <w:bCs/>
            <w:lang w:eastAsia="es-ES" w:bidi="es-ES"/>
          </w:rPr>
          <w:t>roby.abogadopenalista@gmail.com</w:t>
        </w:r>
      </w:hyperlink>
      <w:r w:rsidR="0040127E" w:rsidRPr="006D6BC2">
        <w:rPr>
          <w:rFonts w:ascii="Verdana" w:hAnsi="Verdana" w:cs="Arial"/>
          <w:bCs/>
          <w:lang w:eastAsia="es-ES" w:bidi="es-ES"/>
        </w:rPr>
        <w:t xml:space="preserve"> </w:t>
      </w:r>
    </w:p>
    <w:p w14:paraId="1C437F7D" w14:textId="77777777" w:rsidR="00105628" w:rsidRPr="00E9090B" w:rsidRDefault="00105628" w:rsidP="00105628">
      <w:pPr>
        <w:spacing w:after="0" w:line="240" w:lineRule="auto"/>
        <w:jc w:val="both"/>
        <w:rPr>
          <w:rFonts w:ascii="Verdana" w:hAnsi="Verdana" w:cs="Arial"/>
          <w:bCs/>
          <w:lang w:val="es-ES_tradnl" w:eastAsia="es-ES" w:bidi="es-ES"/>
        </w:rPr>
      </w:pPr>
      <w:r w:rsidRPr="00E9090B">
        <w:rPr>
          <w:rFonts w:ascii="Verdana" w:hAnsi="Verdana" w:cs="Arial"/>
          <w:bCs/>
          <w:lang w:val="es-ES_tradnl" w:eastAsia="es-ES" w:bidi="es-ES"/>
        </w:rPr>
        <w:t>Neiva-Huila</w:t>
      </w:r>
    </w:p>
    <w:p w14:paraId="647E993A" w14:textId="77777777" w:rsidR="00105628" w:rsidRPr="00E9090B" w:rsidRDefault="00105628" w:rsidP="00105628">
      <w:pPr>
        <w:spacing w:after="0" w:line="240" w:lineRule="auto"/>
        <w:jc w:val="both"/>
        <w:rPr>
          <w:rFonts w:ascii="Verdana" w:hAnsi="Verdana" w:cs="Arial"/>
          <w:b/>
          <w:bCs/>
          <w:lang w:val="es-ES_tradnl" w:eastAsia="es-ES" w:bidi="es-ES"/>
        </w:rPr>
      </w:pPr>
    </w:p>
    <w:p w14:paraId="67C93676" w14:textId="77777777" w:rsidR="00105628" w:rsidRPr="00E9090B" w:rsidRDefault="00105628" w:rsidP="00105628">
      <w:pPr>
        <w:tabs>
          <w:tab w:val="left" w:pos="7184"/>
        </w:tabs>
        <w:spacing w:after="0" w:line="240" w:lineRule="auto"/>
        <w:jc w:val="both"/>
        <w:rPr>
          <w:rFonts w:ascii="Verdana" w:hAnsi="Verdana" w:cs="Arial"/>
          <w:b/>
          <w:bCs/>
          <w:lang w:val="es-ES_tradnl" w:eastAsia="es-ES" w:bidi="es-ES"/>
        </w:rPr>
      </w:pPr>
      <w:r w:rsidRPr="00E9090B">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105628" w:rsidRPr="00E9090B" w14:paraId="5C1B54FD" w14:textId="77777777" w:rsidTr="0049433A">
        <w:trPr>
          <w:trHeight w:val="312"/>
        </w:trPr>
        <w:tc>
          <w:tcPr>
            <w:tcW w:w="2689" w:type="dxa"/>
          </w:tcPr>
          <w:p w14:paraId="2D3B3864" w14:textId="77777777" w:rsidR="00105628" w:rsidRPr="00E9090B" w:rsidRDefault="00105628" w:rsidP="0049433A">
            <w:pPr>
              <w:jc w:val="both"/>
              <w:rPr>
                <w:rFonts w:ascii="Verdana" w:hAnsi="Verdana" w:cs="Arial"/>
                <w:b/>
                <w:bCs/>
                <w:lang w:val="es-ES_tradnl" w:eastAsia="es-ES" w:bidi="es-ES"/>
              </w:rPr>
            </w:pPr>
          </w:p>
        </w:tc>
        <w:tc>
          <w:tcPr>
            <w:tcW w:w="6242" w:type="dxa"/>
          </w:tcPr>
          <w:p w14:paraId="53EF20E7" w14:textId="77777777" w:rsidR="00105628" w:rsidRPr="00E9090B" w:rsidRDefault="00105628" w:rsidP="0049433A">
            <w:pPr>
              <w:tabs>
                <w:tab w:val="right" w:pos="6242"/>
              </w:tabs>
              <w:jc w:val="both"/>
              <w:rPr>
                <w:rFonts w:ascii="Verdana" w:hAnsi="Verdana" w:cs="Arial"/>
                <w:b/>
                <w:bCs/>
                <w:lang w:val="es-MX" w:eastAsia="es-ES" w:bidi="es-ES"/>
              </w:rPr>
            </w:pPr>
            <w:r w:rsidRPr="00E9090B">
              <w:rPr>
                <w:rFonts w:ascii="Verdana" w:hAnsi="Verdana" w:cs="Arial"/>
                <w:b/>
                <w:bCs/>
                <w:lang w:val="es-MX" w:eastAsia="es-ES" w:bidi="es-ES"/>
              </w:rPr>
              <w:t>Concepto C- 557 de 2025</w:t>
            </w:r>
            <w:r w:rsidRPr="00E9090B">
              <w:rPr>
                <w:rFonts w:ascii="Verdana" w:hAnsi="Verdana" w:cs="Arial"/>
                <w:b/>
                <w:bCs/>
                <w:lang w:val="es-MX" w:eastAsia="es-ES" w:bidi="es-ES"/>
              </w:rPr>
              <w:tab/>
            </w:r>
          </w:p>
          <w:p w14:paraId="17CE3030" w14:textId="77777777" w:rsidR="00105628" w:rsidRPr="00E9090B" w:rsidRDefault="00105628" w:rsidP="0049433A">
            <w:pPr>
              <w:jc w:val="both"/>
              <w:rPr>
                <w:rFonts w:ascii="Verdana" w:hAnsi="Verdana" w:cs="Arial"/>
                <w:b/>
                <w:bCs/>
                <w:lang w:val="es-MX" w:eastAsia="es-ES" w:bidi="es-ES"/>
              </w:rPr>
            </w:pPr>
          </w:p>
        </w:tc>
      </w:tr>
      <w:tr w:rsidR="00105628" w:rsidRPr="00E9090B" w14:paraId="1E77AC8C" w14:textId="77777777" w:rsidTr="0049433A">
        <w:trPr>
          <w:trHeight w:val="884"/>
        </w:trPr>
        <w:tc>
          <w:tcPr>
            <w:tcW w:w="2689" w:type="dxa"/>
          </w:tcPr>
          <w:p w14:paraId="1F98468D" w14:textId="77777777" w:rsidR="00105628" w:rsidRPr="00E9090B" w:rsidRDefault="00105628" w:rsidP="0049433A">
            <w:pPr>
              <w:jc w:val="both"/>
              <w:rPr>
                <w:rFonts w:ascii="Verdana" w:hAnsi="Verdana" w:cs="Arial"/>
                <w:b/>
                <w:bCs/>
                <w:lang w:val="es-MX" w:eastAsia="es-ES" w:bidi="es-ES"/>
              </w:rPr>
            </w:pPr>
            <w:r w:rsidRPr="00E9090B">
              <w:rPr>
                <w:rFonts w:ascii="Verdana" w:hAnsi="Verdana" w:cs="Arial"/>
                <w:b/>
                <w:bCs/>
                <w:lang w:val="es-MX" w:eastAsia="es-ES" w:bidi="es-ES"/>
              </w:rPr>
              <w:t xml:space="preserve">Temas:                   </w:t>
            </w:r>
          </w:p>
        </w:tc>
        <w:tc>
          <w:tcPr>
            <w:tcW w:w="6242" w:type="dxa"/>
          </w:tcPr>
          <w:p w14:paraId="2FD7647E" w14:textId="77777777" w:rsidR="00105628" w:rsidRPr="00E9090B" w:rsidRDefault="00105628" w:rsidP="0049433A">
            <w:pPr>
              <w:spacing w:line="276" w:lineRule="auto"/>
              <w:jc w:val="both"/>
              <w:rPr>
                <w:rFonts w:ascii="Verdana" w:hAnsi="Verdana" w:cs="Arial"/>
                <w:bCs/>
                <w:lang w:eastAsia="es-ES" w:bidi="es-ES"/>
              </w:rPr>
            </w:pPr>
            <w:r w:rsidRPr="00E9090B">
              <w:rPr>
                <w:rFonts w:ascii="Verdana" w:hAnsi="Verdana" w:cs="Arial"/>
                <w:bCs/>
                <w:lang w:val="es-ES_tradnl"/>
              </w:rPr>
              <w:t>ANTICIPO Y/O PAGO ANTICIPADO– Regulación normativa</w:t>
            </w:r>
            <w:r w:rsidRPr="00E9090B">
              <w:rPr>
                <w:rFonts w:ascii="Verdana" w:eastAsia="Calibri" w:hAnsi="Verdana" w:cs="Arial"/>
                <w:bCs/>
                <w:lang w:val="es-ES" w:eastAsia="es-ES"/>
              </w:rPr>
              <w:t xml:space="preserve"> / </w:t>
            </w:r>
            <w:r w:rsidRPr="00E9090B">
              <w:rPr>
                <w:rFonts w:ascii="Verdana" w:hAnsi="Verdana" w:cs="Arial"/>
                <w:bCs/>
              </w:rPr>
              <w:t xml:space="preserve">ANTICIPO – Definición jurisprudencial / PAGO ANTICIPADO – Definición / </w:t>
            </w:r>
            <w:r w:rsidRPr="00E9090B">
              <w:rPr>
                <w:rFonts w:ascii="Verdana" w:eastAsia="Calibri" w:hAnsi="Verdana" w:cs="Arial"/>
                <w:bCs/>
              </w:rPr>
              <w:t xml:space="preserve">PAGO ANTICIPADO Y/O ANTICIPO – Límites – Aplicación / </w:t>
            </w:r>
            <w:r w:rsidRPr="00E9090B">
              <w:rPr>
                <w:rFonts w:ascii="Verdana" w:hAnsi="Verdana" w:cs="Arial"/>
                <w:kern w:val="2"/>
                <w14:ligatures w14:val="standardContextual"/>
              </w:rPr>
              <w:t xml:space="preserve">ARTÍCULO 355 DE LA CONSTITUCIÓN POLÍTICA – Formas de colaboración o cooperación – Estado y particulares / DECRETO 092 DE 2017 – Convenios de interés público – Convenios de asociación / DECRETO 092 DE 2017 – CONVENIOS DE ASOCIACIÓN – Artículo 5 del Decreto 092 de 2017 – Artículo 96 de la Ley 489 de 1998 – Requisitos </w:t>
            </w:r>
            <w:r w:rsidRPr="00E9090B">
              <w:rPr>
                <w:rFonts w:ascii="Verdana" w:hAnsi="Verdana" w:cs="Arial"/>
                <w:kern w:val="2"/>
                <w:lang w:val="es-ES"/>
                <w14:ligatures w14:val="standardContextual"/>
              </w:rPr>
              <w:t xml:space="preserve">/ INTEGRACIÓN NORMATIVA – Convenios de asociación - Reglas – inaplicabilidad del anticipo y pago anticipado / CONVENIOS DE ASOCIACIÓN – carácter no conmutativo - no obligatoriedad - amparo de buen manejo y correcta inversión del anticipo – amparo de devolución del pago anticipado. </w:t>
            </w:r>
          </w:p>
          <w:p w14:paraId="7537045F" w14:textId="77777777" w:rsidR="00105628" w:rsidRPr="00E9090B" w:rsidRDefault="00105628" w:rsidP="0049433A">
            <w:pPr>
              <w:jc w:val="both"/>
              <w:rPr>
                <w:rFonts w:ascii="Verdana" w:hAnsi="Verdana" w:cs="Arial"/>
                <w:bCs/>
                <w:highlight w:val="yellow"/>
                <w:lang w:val="es-MX" w:eastAsia="es-ES" w:bidi="es-ES"/>
              </w:rPr>
            </w:pPr>
          </w:p>
          <w:p w14:paraId="5AAF9F1B" w14:textId="77777777" w:rsidR="00105628" w:rsidRPr="00E9090B" w:rsidRDefault="00105628" w:rsidP="0049433A">
            <w:pPr>
              <w:jc w:val="both"/>
              <w:rPr>
                <w:rFonts w:ascii="Verdana" w:hAnsi="Verdana" w:cs="Arial"/>
                <w:bCs/>
                <w:highlight w:val="yellow"/>
                <w:lang w:val="es-MX" w:eastAsia="es-ES" w:bidi="es-ES"/>
              </w:rPr>
            </w:pPr>
          </w:p>
        </w:tc>
      </w:tr>
      <w:tr w:rsidR="00105628" w:rsidRPr="00E9090B" w14:paraId="754E6747" w14:textId="77777777" w:rsidTr="0049433A">
        <w:tc>
          <w:tcPr>
            <w:tcW w:w="2689" w:type="dxa"/>
          </w:tcPr>
          <w:p w14:paraId="70233340" w14:textId="77777777" w:rsidR="00105628" w:rsidRPr="00E9090B" w:rsidRDefault="00105628" w:rsidP="0049433A">
            <w:pPr>
              <w:jc w:val="both"/>
              <w:rPr>
                <w:rFonts w:ascii="Verdana" w:hAnsi="Verdana" w:cs="Arial"/>
                <w:b/>
                <w:bCs/>
                <w:lang w:val="es-MX" w:eastAsia="es-ES" w:bidi="es-ES"/>
              </w:rPr>
            </w:pPr>
            <w:r w:rsidRPr="00E9090B">
              <w:rPr>
                <w:rFonts w:ascii="Verdana" w:hAnsi="Verdana" w:cs="Arial"/>
                <w:b/>
                <w:bCs/>
                <w:lang w:val="es-MX" w:eastAsia="es-ES" w:bidi="es-ES"/>
              </w:rPr>
              <w:t xml:space="preserve"> Radicación:               </w:t>
            </w:r>
          </w:p>
        </w:tc>
        <w:tc>
          <w:tcPr>
            <w:tcW w:w="6242" w:type="dxa"/>
          </w:tcPr>
          <w:p w14:paraId="11720787" w14:textId="77777777" w:rsidR="00105628" w:rsidRPr="00E9090B" w:rsidRDefault="00105628" w:rsidP="0049433A">
            <w:pPr>
              <w:jc w:val="both"/>
              <w:rPr>
                <w:rFonts w:ascii="Verdana" w:hAnsi="Verdana" w:cs="Segoe UI"/>
                <w:shd w:val="clear" w:color="auto" w:fill="FFFFFF"/>
              </w:rPr>
            </w:pPr>
            <w:r w:rsidRPr="00E9090B">
              <w:rPr>
                <w:rFonts w:ascii="Verdana" w:hAnsi="Verdana" w:cs="Arial"/>
                <w:bCs/>
                <w:lang w:val="es-MX" w:eastAsia="es-ES" w:bidi="es-ES"/>
              </w:rPr>
              <w:t xml:space="preserve">Respuesta a consulta con radicados </w:t>
            </w:r>
            <w:r w:rsidRPr="00E9090B">
              <w:rPr>
                <w:rFonts w:ascii="Verdana" w:hAnsi="Verdana" w:cs="Segoe UI"/>
                <w:shd w:val="clear" w:color="auto" w:fill="FFFFFF"/>
              </w:rPr>
              <w:t>No. P20250507004355 y P20250509004438 (acumulados)</w:t>
            </w:r>
          </w:p>
          <w:p w14:paraId="5E978176" w14:textId="77777777" w:rsidR="00105628" w:rsidRPr="00E9090B" w:rsidRDefault="00105628" w:rsidP="0049433A">
            <w:pPr>
              <w:jc w:val="both"/>
              <w:rPr>
                <w:rFonts w:ascii="Verdana" w:hAnsi="Verdana" w:cs="Arial"/>
                <w:bCs/>
                <w:lang w:val="es-MX" w:eastAsia="es-ES" w:bidi="es-ES"/>
              </w:rPr>
            </w:pPr>
          </w:p>
        </w:tc>
      </w:tr>
    </w:tbl>
    <w:p w14:paraId="5BDCFFB5" w14:textId="77777777" w:rsidR="00105628" w:rsidRPr="00E9090B" w:rsidRDefault="00105628" w:rsidP="00105628">
      <w:pPr>
        <w:spacing w:after="0" w:line="240" w:lineRule="auto"/>
        <w:jc w:val="both"/>
        <w:rPr>
          <w:rFonts w:ascii="Verdana" w:hAnsi="Verdana" w:cs="Arial"/>
          <w:bCs/>
          <w:lang w:val="es-ES_tradnl" w:eastAsia="es-ES" w:bidi="es-ES"/>
        </w:rPr>
      </w:pPr>
    </w:p>
    <w:p w14:paraId="484AB8C4" w14:textId="77777777" w:rsidR="00105628" w:rsidRPr="00E9090B" w:rsidRDefault="00105628" w:rsidP="00105628">
      <w:pPr>
        <w:spacing w:after="0" w:line="276" w:lineRule="auto"/>
        <w:jc w:val="both"/>
        <w:rPr>
          <w:rFonts w:ascii="Verdana" w:hAnsi="Verdana" w:cs="Arial"/>
          <w:bCs/>
          <w:lang w:val="es-MX" w:eastAsia="es-ES" w:bidi="es-ES"/>
        </w:rPr>
      </w:pPr>
      <w:r w:rsidRPr="00E9090B">
        <w:rPr>
          <w:rFonts w:ascii="Verdana" w:hAnsi="Verdana" w:cs="Arial"/>
          <w:bCs/>
          <w:lang w:val="es-MX" w:eastAsia="es-ES" w:bidi="es-ES"/>
        </w:rPr>
        <w:t>Estimado Señor Escamilla:</w:t>
      </w:r>
    </w:p>
    <w:p w14:paraId="759F1443" w14:textId="77777777" w:rsidR="00105628" w:rsidRPr="00E9090B" w:rsidRDefault="00105628" w:rsidP="00105628">
      <w:pPr>
        <w:spacing w:after="0" w:line="276" w:lineRule="auto"/>
        <w:jc w:val="both"/>
        <w:rPr>
          <w:rFonts w:ascii="Verdana" w:hAnsi="Verdana" w:cs="Arial"/>
          <w:bCs/>
          <w:lang w:val="es-ES" w:eastAsia="es-ES" w:bidi="es-ES"/>
        </w:rPr>
      </w:pPr>
      <w:r w:rsidRPr="00E9090B">
        <w:rPr>
          <w:rFonts w:ascii="Verdana" w:hAnsi="Verdana" w:cs="Arial"/>
          <w:bCs/>
          <w:lang w:val="es-ES" w:eastAsia="es-ES" w:bidi="es-ES"/>
        </w:rPr>
        <w:tab/>
      </w:r>
    </w:p>
    <w:p w14:paraId="72D93F1B" w14:textId="77777777" w:rsidR="00105628" w:rsidRPr="00E9090B" w:rsidRDefault="00105628" w:rsidP="00105628">
      <w:pPr>
        <w:spacing w:after="0" w:line="276" w:lineRule="auto"/>
        <w:jc w:val="both"/>
        <w:rPr>
          <w:rFonts w:ascii="Verdana" w:hAnsi="Verdana" w:cs="Arial"/>
          <w:bCs/>
          <w:lang w:val="es-ES" w:eastAsia="es-ES" w:bidi="es-ES"/>
        </w:rPr>
      </w:pPr>
      <w:r w:rsidRPr="00E9090B">
        <w:rPr>
          <w:rFonts w:ascii="Verdana" w:hAnsi="Verdana" w:cs="Arial"/>
          <w:bCs/>
          <w:lang w:val="es-ES" w:eastAsia="es-ES" w:bidi="es-ES"/>
        </w:rPr>
        <w:t xml:space="preserve">En ejercicio de la competencia otorgada por los artículos 3, numeral 5º, y 11, numeral 8º, del Decreto Ley 4170 de 2011, </w:t>
      </w:r>
      <w:r w:rsidRPr="00E9090B">
        <w:rPr>
          <w:rFonts w:ascii="Verdana" w:hAnsi="Verdana" w:cs="Arial"/>
          <w:bCs/>
          <w:lang w:eastAsia="es-ES" w:bidi="es-ES"/>
        </w:rPr>
        <w:t xml:space="preserve">así como lo establecido en el artículo </w:t>
      </w:r>
      <w:r w:rsidRPr="00E9090B">
        <w:rPr>
          <w:rFonts w:ascii="Verdana" w:hAnsi="Verdana" w:cs="Arial"/>
          <w:bCs/>
          <w:lang w:eastAsia="es-ES" w:bidi="es-ES"/>
        </w:rPr>
        <w:lastRenderedPageBreak/>
        <w:t xml:space="preserve">4 de la Resolución 1707 de 2018 expedida por esta Entidad, </w:t>
      </w:r>
      <w:r w:rsidRPr="00E9090B">
        <w:rPr>
          <w:rFonts w:ascii="Verdana" w:hAnsi="Verdana" w:cs="Arial"/>
          <w:bCs/>
          <w:lang w:val="es-ES" w:eastAsia="es-ES" w:bidi="es-ES"/>
        </w:rPr>
        <w:t xml:space="preserve">la Agencia Nacional de Contratación Pública – Colombia Compra Eficiente– responde su solicitud de consulta presentada el 7 de mayo de 2025, en la cual manifiesta: </w:t>
      </w:r>
    </w:p>
    <w:p w14:paraId="1356D6E3" w14:textId="77777777" w:rsidR="00105628" w:rsidRPr="00E9090B" w:rsidRDefault="00105628" w:rsidP="00105628">
      <w:pPr>
        <w:spacing w:after="0" w:line="276" w:lineRule="auto"/>
        <w:ind w:right="709"/>
        <w:jc w:val="both"/>
        <w:rPr>
          <w:rFonts w:ascii="Verdana" w:hAnsi="Verdana" w:cs="Arial"/>
          <w:bCs/>
          <w:sz w:val="21"/>
          <w:szCs w:val="21"/>
          <w:lang w:val="es-ES" w:eastAsia="es-ES" w:bidi="es-ES"/>
        </w:rPr>
      </w:pPr>
    </w:p>
    <w:p w14:paraId="057E817C" w14:textId="77777777" w:rsidR="00105628" w:rsidRPr="00E9090B" w:rsidRDefault="00105628" w:rsidP="00105628">
      <w:pPr>
        <w:spacing w:after="0" w:line="240" w:lineRule="auto"/>
        <w:ind w:left="709" w:right="709"/>
        <w:jc w:val="both"/>
        <w:rPr>
          <w:rFonts w:ascii="Verdana" w:hAnsi="Verdana" w:cs="Arial"/>
          <w:bCs/>
          <w:sz w:val="20"/>
          <w:szCs w:val="20"/>
          <w:lang w:eastAsia="es-ES" w:bidi="es-ES"/>
        </w:rPr>
      </w:pPr>
      <w:r w:rsidRPr="00E9090B">
        <w:rPr>
          <w:rFonts w:ascii="Verdana" w:hAnsi="Verdana" w:cs="Arial"/>
          <w:bCs/>
          <w:sz w:val="20"/>
          <w:szCs w:val="20"/>
          <w:lang w:eastAsia="es-ES" w:bidi="es-ES"/>
        </w:rPr>
        <w:t xml:space="preserve">“¿En los convenios de asociación regidos por el Decreto 092 de 2017, es obligación para la entidad estatal exigir las Pólizas de anticipo y/o pago anticipado según los desembolsos de aportes acordados y su giro correspondiente? En razón a que, en este tipo de contratación está desprovista de toda conmutatividad o retribución económica, persiguiendo un interés general. Por lo que, atendiendo su definición, alcance y finalidad de cada una de las formas de pago (Anticipo y Pago Anticipado), resultaría contrario a la naturaleza de dicho Convenio de Asociación.” </w:t>
      </w:r>
    </w:p>
    <w:p w14:paraId="613A1C4E" w14:textId="77777777" w:rsidR="00105628" w:rsidRPr="00E9090B" w:rsidRDefault="00105628" w:rsidP="00105628">
      <w:pPr>
        <w:spacing w:after="0" w:line="276" w:lineRule="auto"/>
        <w:ind w:firstLine="709"/>
        <w:jc w:val="both"/>
        <w:rPr>
          <w:rFonts w:ascii="Verdana" w:hAnsi="Verdana" w:cs="Arial"/>
          <w:bCs/>
          <w:lang w:eastAsia="es-ES" w:bidi="es-ES"/>
        </w:rPr>
      </w:pPr>
    </w:p>
    <w:p w14:paraId="0D5CC743" w14:textId="77777777" w:rsidR="00105628" w:rsidRPr="00E9090B" w:rsidRDefault="00105628" w:rsidP="00105628">
      <w:pPr>
        <w:spacing w:after="120" w:line="276" w:lineRule="auto"/>
        <w:ind w:firstLine="709"/>
        <w:jc w:val="both"/>
        <w:rPr>
          <w:rFonts w:ascii="Verdana" w:eastAsia="Calibri" w:hAnsi="Verdana" w:cs="Times New Roman"/>
          <w:lang w:val="es-ES"/>
        </w:rPr>
      </w:pPr>
      <w:r w:rsidRPr="00E9090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B551089" w14:textId="77777777" w:rsidR="00105628" w:rsidRPr="00E9090B" w:rsidRDefault="00105628" w:rsidP="00105628">
      <w:pPr>
        <w:spacing w:after="0" w:line="276" w:lineRule="auto"/>
        <w:ind w:firstLine="708"/>
        <w:jc w:val="both"/>
        <w:rPr>
          <w:rFonts w:ascii="Verdana" w:eastAsia="Calibri" w:hAnsi="Verdana" w:cs="Times New Roman"/>
          <w:lang w:val="es-ES"/>
        </w:rPr>
      </w:pPr>
      <w:r w:rsidRPr="00E9090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49681E47" w14:textId="77777777" w:rsidR="00105628" w:rsidRPr="00E9090B" w:rsidRDefault="00105628" w:rsidP="00105628">
      <w:pPr>
        <w:spacing w:after="0" w:line="256" w:lineRule="auto"/>
        <w:rPr>
          <w:rFonts w:ascii="Verdana" w:eastAsia="Calibri" w:hAnsi="Verdana" w:cs="Times New Roman"/>
          <w:lang w:val="es-ES"/>
        </w:rPr>
      </w:pPr>
    </w:p>
    <w:p w14:paraId="3A5E60B6" w14:textId="77777777" w:rsidR="00105628" w:rsidRPr="00E9090B" w:rsidRDefault="00105628" w:rsidP="00105628">
      <w:pPr>
        <w:numPr>
          <w:ilvl w:val="0"/>
          <w:numId w:val="19"/>
        </w:numPr>
        <w:spacing w:after="0" w:line="256" w:lineRule="auto"/>
        <w:contextualSpacing/>
        <w:rPr>
          <w:rFonts w:ascii="Verdana" w:eastAsia="Calibri" w:hAnsi="Verdana" w:cs="Times New Roman"/>
          <w:b/>
          <w:bCs/>
          <w:lang w:val="es-ES"/>
        </w:rPr>
      </w:pPr>
      <w:r w:rsidRPr="00E9090B">
        <w:rPr>
          <w:rFonts w:ascii="Verdana" w:eastAsia="Calibri" w:hAnsi="Verdana" w:cs="Times New Roman"/>
          <w:b/>
          <w:bCs/>
          <w:lang w:val="es-ES"/>
        </w:rPr>
        <w:t>Problema planteado:</w:t>
      </w:r>
    </w:p>
    <w:p w14:paraId="51B0F491" w14:textId="77777777" w:rsidR="00105628" w:rsidRPr="00E9090B" w:rsidRDefault="00105628" w:rsidP="00105628">
      <w:pPr>
        <w:spacing w:after="0" w:line="256" w:lineRule="auto"/>
        <w:rPr>
          <w:rFonts w:ascii="Verdana" w:eastAsia="Calibri" w:hAnsi="Verdana" w:cs="Times New Roman"/>
        </w:rPr>
      </w:pPr>
    </w:p>
    <w:p w14:paraId="0CA33F56" w14:textId="77777777" w:rsidR="00105628" w:rsidRPr="00E9090B" w:rsidRDefault="00105628" w:rsidP="00105628">
      <w:pPr>
        <w:spacing w:after="0" w:line="276" w:lineRule="auto"/>
        <w:jc w:val="both"/>
        <w:rPr>
          <w:rFonts w:ascii="Verdana" w:eastAsia="Calibri" w:hAnsi="Verdana" w:cs="Times New Roman"/>
        </w:rPr>
      </w:pPr>
      <w:r w:rsidRPr="00E9090B">
        <w:rPr>
          <w:rFonts w:ascii="Verdana" w:eastAsia="Calibri" w:hAnsi="Verdana" w:cs="Times New Roman"/>
        </w:rPr>
        <w:t>De acuerdo al contenido de su solicitud, se presenta el siguiente problema jurídico: ¿Es procedente en los convenios de asociación sujetos al Decreto 092 de 2017, la obligación para la entidad estatal de exigir los amparos de buen manejo y correcta inversión del anticipo y la devolución de pago anticipado?</w:t>
      </w:r>
    </w:p>
    <w:p w14:paraId="34390491" w14:textId="5F2F0EC2" w:rsidR="00105628" w:rsidRPr="00E9090B" w:rsidRDefault="00105628" w:rsidP="00105628">
      <w:pPr>
        <w:spacing w:after="0" w:line="276" w:lineRule="auto"/>
        <w:jc w:val="both"/>
        <w:rPr>
          <w:rFonts w:ascii="Verdana" w:eastAsia="Calibri" w:hAnsi="Verdana" w:cs="Times New Roman"/>
        </w:rPr>
      </w:pPr>
    </w:p>
    <w:p w14:paraId="0A70F8A2" w14:textId="77777777" w:rsidR="00105628" w:rsidRPr="00E9090B" w:rsidRDefault="00105628" w:rsidP="00105628">
      <w:pPr>
        <w:numPr>
          <w:ilvl w:val="0"/>
          <w:numId w:val="19"/>
        </w:numPr>
        <w:spacing w:after="0" w:line="256" w:lineRule="auto"/>
        <w:contextualSpacing/>
        <w:rPr>
          <w:rFonts w:ascii="Verdana" w:eastAsia="Calibri" w:hAnsi="Verdana" w:cs="Times New Roman"/>
          <w:b/>
          <w:bCs/>
          <w:lang w:val="es-ES"/>
        </w:rPr>
      </w:pPr>
      <w:r w:rsidRPr="00E9090B">
        <w:rPr>
          <w:rFonts w:ascii="Verdana" w:eastAsia="Calibri" w:hAnsi="Verdana" w:cs="Times New Roman"/>
          <w:b/>
          <w:bCs/>
          <w:lang w:val="es-ES"/>
        </w:rPr>
        <w:t>Respuesta:</w:t>
      </w:r>
    </w:p>
    <w:p w14:paraId="2AFF1D0B" w14:textId="77777777" w:rsidR="00105628" w:rsidRPr="00E9090B" w:rsidRDefault="00105628" w:rsidP="00105628">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5628" w:rsidRPr="00E9090B" w14:paraId="372CFC64" w14:textId="77777777" w:rsidTr="0049433A">
        <w:trPr>
          <w:trHeight w:val="870"/>
          <w:jc w:val="center"/>
        </w:trPr>
        <w:tc>
          <w:tcPr>
            <w:tcW w:w="8647" w:type="dxa"/>
          </w:tcPr>
          <w:p w14:paraId="1809FFB2" w14:textId="77777777" w:rsidR="00105628" w:rsidRPr="00E9090B" w:rsidRDefault="00105628" w:rsidP="0049433A">
            <w:pPr>
              <w:tabs>
                <w:tab w:val="left" w:pos="284"/>
              </w:tabs>
              <w:spacing w:after="120" w:line="276" w:lineRule="auto"/>
              <w:jc w:val="both"/>
              <w:rPr>
                <w:rFonts w:ascii="Verdana" w:eastAsia="Calibri" w:hAnsi="Verdana" w:cs="Arial"/>
                <w:bCs/>
              </w:rPr>
            </w:pPr>
            <w:r w:rsidRPr="00E9090B">
              <w:rPr>
                <w:rFonts w:ascii="Verdana" w:eastAsia="Arial" w:hAnsi="Verdana" w:cs="Arial"/>
                <w:lang w:eastAsia="es-ES" w:bidi="es-ES"/>
              </w:rPr>
              <w:t xml:space="preserve">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Pr="00E9090B">
              <w:rPr>
                <w:rFonts w:ascii="Verdana" w:eastAsia="Calibri" w:hAnsi="Verdana" w:cs="Arial"/>
                <w:bCs/>
              </w:rPr>
              <w:t xml:space="preserve">una contraprestación económica no aplica la remisión integral al anticipo o pago anticipado. </w:t>
            </w:r>
          </w:p>
          <w:p w14:paraId="52A31B31" w14:textId="77777777" w:rsidR="00105628" w:rsidRPr="00E9090B" w:rsidRDefault="00105628" w:rsidP="0049433A">
            <w:pPr>
              <w:tabs>
                <w:tab w:val="left" w:pos="284"/>
              </w:tabs>
              <w:spacing w:after="120" w:line="276" w:lineRule="auto"/>
              <w:ind w:firstLine="709"/>
              <w:jc w:val="both"/>
              <w:rPr>
                <w:rFonts w:ascii="Verdana" w:eastAsia="Calibri" w:hAnsi="Verdana" w:cs="Arial"/>
                <w:bCs/>
              </w:rPr>
            </w:pPr>
            <w:r w:rsidRPr="00E9090B">
              <w:rPr>
                <w:rFonts w:ascii="Verdana" w:eastAsia="Calibri" w:hAnsi="Verdana" w:cs="Arial"/>
                <w:bCs/>
              </w:rPr>
              <w:t xml:space="preserve">De este modo, 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E9090B">
              <w:rPr>
                <w:rFonts w:ascii="Verdana" w:eastAsia="Calibri" w:hAnsi="Verdana" w:cs="Arial"/>
                <w:bCs/>
                <w:lang w:val="es-ES_tradnl" w:bidi="es-ES"/>
              </w:rPr>
              <w:t xml:space="preserve">Sin embargo, no implica que, en el marco de convenios de asociación, en los contratos de colaboración o de interés público, así como en los convenios solidarios las partes no puedan establecer cláusulas que garanticen el desembolso temprano de recursos, de manera que las entidades sin ánimo de lucro que actúan como ejecutoras, puedan contar con los recursos necesarios para comenzar el inicio de la ejecución de los proyectos a su cargo. </w:t>
            </w:r>
          </w:p>
          <w:p w14:paraId="5657043C" w14:textId="77777777" w:rsidR="00105628" w:rsidRPr="00E9090B" w:rsidRDefault="00105628" w:rsidP="0049433A">
            <w:pPr>
              <w:spacing w:before="120" w:after="120" w:line="276" w:lineRule="auto"/>
              <w:ind w:firstLine="709"/>
              <w:jc w:val="both"/>
              <w:rPr>
                <w:rFonts w:ascii="Verdana" w:eastAsia="Arial" w:hAnsi="Verdana" w:cs="Arial"/>
                <w:lang w:val="es-ES" w:eastAsia="es-ES" w:bidi="es-ES"/>
              </w:rPr>
            </w:pPr>
            <w:r w:rsidRPr="00E9090B">
              <w:rPr>
                <w:rFonts w:ascii="Verdana" w:eastAsia="Calibri" w:hAnsi="Verdana" w:cs="Arial"/>
                <w:bCs/>
              </w:rPr>
              <w:t xml:space="preserve">Lo anterior significa que, en los convenios de asociación, no debe constituirse el amparo de </w:t>
            </w:r>
            <w:r w:rsidRPr="00E9090B">
              <w:rPr>
                <w:rFonts w:ascii="Verdana" w:eastAsia="Arial" w:hAnsi="Verdana" w:cs="Arial"/>
                <w:i/>
                <w:lang w:val="es-ES" w:eastAsia="es-ES" w:bidi="es-ES"/>
              </w:rPr>
              <w:t>buen manejo y correcta inversión del mismo</w:t>
            </w:r>
            <w:r w:rsidRPr="00E9090B">
              <w:rPr>
                <w:rFonts w:ascii="Verdana" w:eastAsia="Arial" w:hAnsi="Verdana" w:cs="Arial"/>
                <w:lang w:val="es-ES" w:eastAsia="es-ES" w:bidi="es-ES"/>
              </w:rPr>
              <w:t xml:space="preserve">, en la que debe ampararse los perjuicios que puede afectar a la entidad por: i) la no inversión, esto es, cuando el contratista pese a recibir los recursos no los invierte de acuerdo al plan de inversión del anticipo, pudiendo generar retrasos en la ejecución del contrato; ii) el uso indebido del anticipo, por ejemplo, cuando el contratista emplea dichos recursos con una finalidad diferente a la estipulada, v. gr. para saldar deudas propias;; y iii) por la apropiación indebida de dichos recursos -art.  2.2.1.2.3.1.7., numeral 1 del Decreto 1082 de 2015-. De igual forma, no es posible exigir el amparo de devolución del pago anticipado, que cubre los perjuicios sufridos por la entidad por la no devolución total o parcial del dinero que se entregó al contratista por pago anticipado -art. 2.2.1.2.3.1.7., numeral 2- del Decreto 1082 de 2015-. Sin embargo, esta precisión no implica que la entidad no </w:t>
            </w:r>
            <w:r w:rsidRPr="00E9090B">
              <w:rPr>
                <w:rFonts w:ascii="Verdana" w:eastAsia="Arial" w:hAnsi="Verdana" w:cs="Arial"/>
                <w:lang w:val="es-ES" w:eastAsia="es-ES" w:bidi="es-ES"/>
              </w:rPr>
              <w:lastRenderedPageBreak/>
              <w:t xml:space="preserve">exija en el respectivo convenio la exigencia de amparos que cubran los diferentes riesgos que se presenten por incumplimiento de las obligaciones, el pago de salarios y prestaciones sociales, entre otros. </w:t>
            </w:r>
          </w:p>
          <w:p w14:paraId="634A5F0A" w14:textId="77777777" w:rsidR="00105628" w:rsidRPr="00E9090B" w:rsidRDefault="00105628" w:rsidP="0049433A">
            <w:pPr>
              <w:spacing w:before="120" w:after="120" w:line="276" w:lineRule="auto"/>
              <w:ind w:firstLine="709"/>
              <w:jc w:val="both"/>
              <w:rPr>
                <w:rFonts w:ascii="Verdana" w:eastAsia="Arial" w:hAnsi="Verdana" w:cs="Arial"/>
                <w:lang w:eastAsia="es-ES" w:bidi="es-ES"/>
              </w:rPr>
            </w:pPr>
            <w:r w:rsidRPr="00E9090B">
              <w:rPr>
                <w:rFonts w:ascii="Verdana" w:eastAsia="Arial" w:hAnsi="Verdana" w:cs="Arial"/>
                <w:bCs/>
                <w:lang w:val="es-ES_tradnl" w:eastAsia="es-ES" w:bidi="es-ES"/>
              </w:rPr>
              <w:t>En todo caso</w:t>
            </w:r>
            <w:r w:rsidRPr="00E9090B">
              <w:rPr>
                <w:rFonts w:ascii="Verdana" w:eastAsia="Arial" w:hAnsi="Verdana" w:cs="Arial"/>
                <w:lang w:eastAsia="es-ES" w:bidi="es-ES"/>
              </w:rPr>
              <w:t>, las entidades públicas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tc>
      </w:tr>
    </w:tbl>
    <w:p w14:paraId="53DB6889" w14:textId="77777777" w:rsidR="00105628" w:rsidRPr="00E9090B" w:rsidRDefault="00105628" w:rsidP="00105628">
      <w:pPr>
        <w:spacing w:after="0" w:line="276" w:lineRule="auto"/>
        <w:jc w:val="both"/>
        <w:rPr>
          <w:rFonts w:ascii="Verdana" w:eastAsia="Calibri" w:hAnsi="Verdana" w:cs="Arial"/>
          <w:bCs/>
        </w:rPr>
      </w:pPr>
    </w:p>
    <w:p w14:paraId="2346324D" w14:textId="77777777" w:rsidR="00105628" w:rsidRPr="00E9090B" w:rsidRDefault="00105628" w:rsidP="00105628">
      <w:pPr>
        <w:numPr>
          <w:ilvl w:val="0"/>
          <w:numId w:val="19"/>
        </w:numPr>
        <w:spacing w:after="0" w:line="276" w:lineRule="auto"/>
        <w:rPr>
          <w:rFonts w:ascii="Verdana" w:eastAsia="Calibri" w:hAnsi="Verdana" w:cs="Times New Roman"/>
          <w:b/>
          <w:bCs/>
          <w:lang w:val="es-ES"/>
        </w:rPr>
      </w:pPr>
      <w:r w:rsidRPr="00E9090B">
        <w:rPr>
          <w:rFonts w:ascii="Verdana" w:eastAsia="Calibri" w:hAnsi="Verdana" w:cs="Times New Roman"/>
          <w:b/>
          <w:bCs/>
          <w:lang w:val="es-ES"/>
        </w:rPr>
        <w:t>Razones de la respuesta:</w:t>
      </w:r>
    </w:p>
    <w:p w14:paraId="57048857" w14:textId="77777777" w:rsidR="00105628" w:rsidRPr="00E9090B" w:rsidRDefault="00105628" w:rsidP="00105628">
      <w:pPr>
        <w:spacing w:after="0" w:line="276" w:lineRule="auto"/>
        <w:rPr>
          <w:rFonts w:ascii="Verdana" w:eastAsia="Calibri" w:hAnsi="Verdana" w:cs="Times New Roman"/>
          <w:b/>
          <w:bCs/>
          <w:lang w:val="es-ES"/>
        </w:rPr>
      </w:pPr>
    </w:p>
    <w:p w14:paraId="63EF5FAC" w14:textId="77777777" w:rsidR="00105628" w:rsidRPr="00E9090B" w:rsidRDefault="00105628" w:rsidP="00105628">
      <w:pPr>
        <w:spacing w:after="0" w:line="276" w:lineRule="auto"/>
        <w:jc w:val="both"/>
        <w:rPr>
          <w:rFonts w:ascii="Verdana" w:eastAsia="Calibri" w:hAnsi="Verdana" w:cs="Arial"/>
          <w:lang w:val="es-ES"/>
        </w:rPr>
      </w:pPr>
      <w:r w:rsidRPr="00E9090B">
        <w:rPr>
          <w:rFonts w:ascii="Verdana" w:eastAsia="Calibri" w:hAnsi="Verdana" w:cs="Arial"/>
          <w:lang w:val="es-ES"/>
        </w:rPr>
        <w:t xml:space="preserve">Lo anterior se sustenta en las siguientes consideraciones: </w:t>
      </w:r>
    </w:p>
    <w:p w14:paraId="7136432A" w14:textId="77777777" w:rsidR="00105628" w:rsidRPr="00E9090B" w:rsidRDefault="00105628" w:rsidP="00105628">
      <w:pPr>
        <w:spacing w:after="0" w:line="276" w:lineRule="auto"/>
        <w:jc w:val="both"/>
        <w:rPr>
          <w:rFonts w:ascii="Verdana" w:hAnsi="Verdana" w:cs="Arial"/>
          <w:bCs/>
          <w:lang w:val="es-ES" w:eastAsia="es-ES" w:bidi="es-ES"/>
        </w:rPr>
      </w:pPr>
    </w:p>
    <w:p w14:paraId="49BBA1DC" w14:textId="77777777" w:rsidR="00105628" w:rsidRPr="00E9090B" w:rsidRDefault="00105628" w:rsidP="00105628">
      <w:pPr>
        <w:snapToGrid w:val="0"/>
        <w:spacing w:after="120" w:line="276" w:lineRule="auto"/>
        <w:jc w:val="both"/>
        <w:rPr>
          <w:rFonts w:ascii="Verdana" w:eastAsia="Calibri" w:hAnsi="Verdana" w:cs="Arial"/>
          <w:lang w:val="es-ES"/>
        </w:rPr>
      </w:pPr>
      <w:r w:rsidRPr="00E9090B">
        <w:rPr>
          <w:rFonts w:ascii="Verdana" w:eastAsia="Calibri" w:hAnsi="Verdana" w:cs="Arial"/>
          <w:lang w:val="es-ES"/>
        </w:rPr>
        <w:t xml:space="preserve">i. 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3E3D5BA6" w14:textId="77777777" w:rsidR="00105628" w:rsidRPr="00E9090B" w:rsidRDefault="00105628" w:rsidP="00105628">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52F1CA44" w14:textId="77777777" w:rsidR="00105628" w:rsidRPr="00E9090B" w:rsidRDefault="00105628" w:rsidP="00105628">
      <w:pPr>
        <w:spacing w:after="0" w:line="240" w:lineRule="auto"/>
        <w:ind w:firstLine="709"/>
        <w:jc w:val="both"/>
        <w:rPr>
          <w:rFonts w:ascii="Arial" w:eastAsia="Calibri" w:hAnsi="Arial" w:cs="Arial"/>
          <w:lang w:val="es-ES"/>
        </w:rPr>
      </w:pPr>
    </w:p>
    <w:p w14:paraId="20E9802D" w14:textId="77777777" w:rsidR="00105628" w:rsidRPr="00E9090B" w:rsidRDefault="00105628" w:rsidP="00105628">
      <w:pPr>
        <w:spacing w:after="0" w:line="240" w:lineRule="auto"/>
        <w:ind w:left="709" w:right="709"/>
        <w:jc w:val="both"/>
        <w:rPr>
          <w:rFonts w:ascii="Verdana" w:eastAsia="Calibri" w:hAnsi="Verdana" w:cs="Arial"/>
          <w:sz w:val="21"/>
          <w:szCs w:val="21"/>
          <w:lang w:val="es-ES"/>
        </w:rPr>
      </w:pPr>
      <w:r w:rsidRPr="00E9090B">
        <w:rPr>
          <w:rFonts w:ascii="Verdana" w:eastAsia="Calibri" w:hAnsi="Verdana" w:cs="Arial"/>
          <w:sz w:val="21"/>
          <w:szCs w:val="21"/>
          <w:lang w:val="es-ES"/>
        </w:rPr>
        <w:lastRenderedPageBreak/>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9090B">
        <w:rPr>
          <w:rFonts w:ascii="Verdana" w:eastAsia="Calibri" w:hAnsi="Verdana" w:cs="Arial"/>
          <w:sz w:val="21"/>
          <w:szCs w:val="21"/>
          <w:vertAlign w:val="superscript"/>
          <w:lang w:val="es-ES"/>
        </w:rPr>
        <w:footnoteReference w:id="2"/>
      </w:r>
      <w:r w:rsidRPr="00E9090B">
        <w:rPr>
          <w:rFonts w:ascii="Verdana" w:eastAsia="Calibri" w:hAnsi="Verdana" w:cs="Arial"/>
          <w:sz w:val="21"/>
          <w:szCs w:val="21"/>
          <w:lang w:val="es-ES"/>
        </w:rPr>
        <w:t>.</w:t>
      </w:r>
    </w:p>
    <w:p w14:paraId="38E70049" w14:textId="77777777" w:rsidR="00105628" w:rsidRPr="00E9090B" w:rsidRDefault="00105628" w:rsidP="00105628">
      <w:pPr>
        <w:spacing w:after="0" w:line="276" w:lineRule="auto"/>
        <w:ind w:firstLine="709"/>
        <w:jc w:val="both"/>
        <w:rPr>
          <w:rFonts w:ascii="Arial" w:eastAsia="Calibri" w:hAnsi="Arial" w:cs="Arial"/>
          <w:lang w:val="es-ES"/>
        </w:rPr>
      </w:pPr>
    </w:p>
    <w:p w14:paraId="1102C45E" w14:textId="77777777" w:rsidR="00105628" w:rsidRPr="00E9090B" w:rsidRDefault="00105628" w:rsidP="00105628">
      <w:pPr>
        <w:tabs>
          <w:tab w:val="left" w:pos="0"/>
        </w:tabs>
        <w:spacing w:after="120" w:line="276" w:lineRule="auto"/>
        <w:jc w:val="both"/>
        <w:rPr>
          <w:rFonts w:ascii="Verdana" w:hAnsi="Verdana" w:cs="Arial"/>
        </w:rPr>
      </w:pPr>
      <w:r w:rsidRPr="00E9090B">
        <w:rPr>
          <w:rFonts w:ascii="Verdana" w:eastAsia="Calibri" w:hAnsi="Verdana" w:cs="Arial"/>
          <w:lang w:val="es-ES"/>
        </w:rPr>
        <w:tab/>
        <w:t>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ii)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3"/>
      </w:r>
      <w:r w:rsidRPr="00E9090B">
        <w:rPr>
          <w:rFonts w:ascii="Verdana" w:hAnsi="Verdana" w:cs="Arial"/>
          <w:lang w:bidi="es-ES"/>
        </w:rPr>
        <w:t>.</w:t>
      </w:r>
    </w:p>
    <w:p w14:paraId="32340771" w14:textId="77777777" w:rsidR="00105628" w:rsidRPr="00E9090B" w:rsidRDefault="00105628" w:rsidP="00105628">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w:t>
      </w:r>
      <w:r w:rsidRPr="00E9090B">
        <w:rPr>
          <w:rFonts w:ascii="Verdana" w:hAnsi="Verdana" w:cs="Arial"/>
        </w:rPr>
        <w:lastRenderedPageBreak/>
        <w:t>destinen exclusivamente a la ejecución del contrato.</w:t>
      </w:r>
      <w:r w:rsidRPr="00E9090B">
        <w:rPr>
          <w:rFonts w:ascii="Verdana" w:hAnsi="Verdana"/>
        </w:rPr>
        <w:t xml:space="preserve"> </w:t>
      </w:r>
      <w:r w:rsidRPr="00E9090B">
        <w:rPr>
          <w:rFonts w:ascii="Verdana" w:hAnsi="Verdana" w:cs="Arial"/>
        </w:rPr>
        <w:t>Aunque las normas citadas no definen el anticipo, el Consejo de Estado ha precisado su naturaleza jurídica fijando parámetros para su aplicación</w:t>
      </w:r>
      <w:r w:rsidRPr="00E9090B">
        <w:rPr>
          <w:vertAlign w:val="superscript"/>
        </w:rPr>
        <w:footnoteReference w:id="4"/>
      </w:r>
      <w:r w:rsidRPr="00E9090B">
        <w:rPr>
          <w:rFonts w:ascii="Verdana" w:hAnsi="Verdana" w:cs="Arial"/>
        </w:rPr>
        <w:t>. En uno de sus pronunciamientos, el Consejo de Estado se refirió al anticipo como:</w:t>
      </w:r>
    </w:p>
    <w:p w14:paraId="110E43DC" w14:textId="77777777" w:rsidR="00105628" w:rsidRPr="00E9090B" w:rsidRDefault="00105628" w:rsidP="00105628">
      <w:pPr>
        <w:spacing w:after="0" w:line="276" w:lineRule="auto"/>
        <w:jc w:val="both"/>
        <w:rPr>
          <w:rFonts w:ascii="Verdana" w:hAnsi="Verdana" w:cs="Arial"/>
        </w:rPr>
      </w:pPr>
    </w:p>
    <w:p w14:paraId="6B4DFF2C" w14:textId="77777777" w:rsidR="00105628" w:rsidRPr="00E9090B" w:rsidRDefault="00105628" w:rsidP="00105628">
      <w:pPr>
        <w:spacing w:after="0" w:line="240" w:lineRule="auto"/>
        <w:ind w:left="709" w:right="709"/>
        <w:jc w:val="both"/>
        <w:rPr>
          <w:rFonts w:ascii="Verdana" w:hAnsi="Verdana" w:cs="Arial"/>
          <w:sz w:val="21"/>
          <w:szCs w:val="21"/>
        </w:rPr>
      </w:pPr>
      <w:r w:rsidRPr="00E9090B">
        <w:rPr>
          <w:rFonts w:ascii="Verdana" w:hAnsi="Verdana" w:cs="Arial"/>
          <w:sz w:val="21"/>
          <w:szCs w:val="21"/>
        </w:rPr>
        <w:t>“[…]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9090B">
        <w:rPr>
          <w:sz w:val="21"/>
          <w:szCs w:val="21"/>
          <w:vertAlign w:val="superscript"/>
        </w:rPr>
        <w:footnoteReference w:id="5"/>
      </w:r>
      <w:r w:rsidRPr="00E9090B">
        <w:rPr>
          <w:rFonts w:ascii="Verdana" w:hAnsi="Verdana" w:cs="Arial"/>
          <w:sz w:val="21"/>
          <w:szCs w:val="21"/>
        </w:rPr>
        <w:t>.</w:t>
      </w:r>
    </w:p>
    <w:p w14:paraId="2A433A4A" w14:textId="77777777" w:rsidR="00105628" w:rsidRPr="00E9090B" w:rsidRDefault="00105628" w:rsidP="00105628">
      <w:pPr>
        <w:spacing w:after="0" w:line="240" w:lineRule="auto"/>
        <w:ind w:left="709" w:right="709"/>
        <w:jc w:val="both"/>
        <w:rPr>
          <w:rFonts w:ascii="Verdana" w:hAnsi="Verdana"/>
          <w:sz w:val="21"/>
          <w:szCs w:val="21"/>
        </w:rPr>
      </w:pPr>
    </w:p>
    <w:p w14:paraId="701FF3BC" w14:textId="77777777" w:rsidR="00105628" w:rsidRPr="00E9090B" w:rsidRDefault="00105628" w:rsidP="00105628">
      <w:pPr>
        <w:tabs>
          <w:tab w:val="left" w:pos="0"/>
        </w:tabs>
        <w:spacing w:after="120" w:line="276" w:lineRule="auto"/>
        <w:jc w:val="both"/>
        <w:rPr>
          <w:rFonts w:ascii="Verdana" w:hAnsi="Verdana" w:cs="Arial"/>
        </w:rPr>
      </w:pPr>
      <w:r w:rsidRPr="00E9090B">
        <w:rPr>
          <w:rFonts w:ascii="Verdana" w:hAnsi="Verdana" w:cs="Arial"/>
        </w:rPr>
        <w:tab/>
        <w:t>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E9090B">
        <w:rPr>
          <w:vertAlign w:val="superscript"/>
        </w:rPr>
        <w:footnoteReference w:id="6"/>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7"/>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8"/>
      </w:r>
      <w:r w:rsidRPr="00E9090B">
        <w:rPr>
          <w:rFonts w:ascii="Verdana" w:hAnsi="Verdana" w:cs="Arial"/>
        </w:rPr>
        <w:t xml:space="preserve">. </w:t>
      </w:r>
    </w:p>
    <w:p w14:paraId="14D65EBF" w14:textId="77777777" w:rsidR="00105628" w:rsidRPr="00E9090B" w:rsidRDefault="00105628" w:rsidP="00105628">
      <w:pPr>
        <w:tabs>
          <w:tab w:val="left" w:pos="0"/>
        </w:tabs>
        <w:spacing w:after="120" w:line="276" w:lineRule="auto"/>
        <w:jc w:val="both"/>
        <w:rPr>
          <w:rFonts w:ascii="Verdana" w:hAnsi="Verdana" w:cs="Arial"/>
        </w:rPr>
      </w:pPr>
      <w:r w:rsidRPr="00E9090B">
        <w:rPr>
          <w:rFonts w:ascii="Verdana" w:hAnsi="Verdana" w:cs="Arial"/>
        </w:rPr>
        <w:lastRenderedPageBreak/>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EFD8B24" w14:textId="77777777" w:rsidR="00105628" w:rsidRPr="00E9090B" w:rsidRDefault="00105628" w:rsidP="00105628">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9"/>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5FCFE866" w14:textId="77777777" w:rsidR="00105628" w:rsidRPr="00E9090B" w:rsidRDefault="00105628" w:rsidP="00105628">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461388DD" w14:textId="77777777" w:rsidR="00105628" w:rsidRPr="00E9090B" w:rsidRDefault="00105628" w:rsidP="00105628">
      <w:pPr>
        <w:spacing w:after="120" w:line="276" w:lineRule="auto"/>
        <w:ind w:firstLine="708"/>
        <w:jc w:val="both"/>
        <w:rPr>
          <w:rFonts w:ascii="Verdana" w:hAnsi="Verdana" w:cs="Arial"/>
        </w:rPr>
      </w:pPr>
      <w:r w:rsidRPr="00E9090B">
        <w:rPr>
          <w:rFonts w:ascii="Verdana" w:hAnsi="Verdana" w:cs="Arial"/>
        </w:rPr>
        <w:lastRenderedPageBreak/>
        <w:t>Del análisis realizado se infiere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ii) el uso indebido del anticipo; y iii) la apropiación indebida de los recursos recibidos en calidad de anticipo</w:t>
      </w:r>
      <w:r w:rsidRPr="00E9090B">
        <w:rPr>
          <w:vertAlign w:val="superscript"/>
        </w:rPr>
        <w:footnoteReference w:id="10"/>
      </w:r>
      <w:r w:rsidRPr="00E9090B">
        <w:rPr>
          <w:rFonts w:ascii="Verdana" w:hAnsi="Verdana" w:cs="Arial"/>
        </w:rPr>
        <w:t xml:space="preserve">. Por otro lado, frente al pago anticipado se 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76767121" w14:textId="77777777" w:rsidR="00105628" w:rsidRPr="00E9090B" w:rsidRDefault="00105628" w:rsidP="00105628">
      <w:pPr>
        <w:spacing w:after="0" w:line="276" w:lineRule="auto"/>
        <w:jc w:val="both"/>
        <w:rPr>
          <w:rFonts w:ascii="Verdana" w:hAnsi="Verdana" w:cs="Arial"/>
          <w:bCs/>
          <w:lang w:eastAsia="es-ES" w:bidi="es-ES"/>
        </w:rPr>
      </w:pPr>
    </w:p>
    <w:p w14:paraId="38DEFFF1" w14:textId="77777777" w:rsidR="00105628" w:rsidRPr="00E9090B" w:rsidRDefault="00105628" w:rsidP="00105628">
      <w:pPr>
        <w:spacing w:after="120" w:line="276" w:lineRule="auto"/>
        <w:jc w:val="both"/>
        <w:rPr>
          <w:rFonts w:ascii="Verdana" w:eastAsia="Calibri" w:hAnsi="Verdana" w:cs="Arial"/>
          <w:lang w:val="es-ES_tradnl" w:eastAsia="es-ES_tradnl"/>
        </w:rPr>
      </w:pPr>
      <w:r w:rsidRPr="00E9090B">
        <w:rPr>
          <w:rFonts w:ascii="Verdana" w:hAnsi="Verdana" w:cs="Arial"/>
          <w:bCs/>
          <w:lang w:val="es-ES" w:eastAsia="es-ES" w:bidi="es-ES"/>
        </w:rPr>
        <w:t xml:space="preserve">ii. </w:t>
      </w:r>
      <w:r w:rsidRPr="00E9090B">
        <w:rPr>
          <w:rFonts w:ascii="Verdana" w:eastAsia="Calibri" w:hAnsi="Verdana" w:cs="Arial"/>
          <w:lang w:val="es-MX"/>
        </w:rPr>
        <w:t xml:space="preserve">El artículo 355 de la Constitución Política prohíbe a las ramas y órganos del poder público decretar auxilios o donaciones en favor de personas naturales o </w:t>
      </w:r>
      <w:r w:rsidRPr="00E9090B">
        <w:rPr>
          <w:rFonts w:ascii="Verdana" w:eastAsia="Calibri" w:hAnsi="Verdana" w:cs="Arial"/>
          <w:lang w:val="es-MX"/>
        </w:rPr>
        <w:lastRenderedPageBreak/>
        <w:t>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E9090B">
        <w:rPr>
          <w:rFonts w:ascii="Verdana" w:eastAsia="Calibri" w:hAnsi="Verdana" w:cs="Arial"/>
          <w:vertAlign w:val="superscript"/>
          <w:lang w:val="es-MX"/>
        </w:rPr>
        <w:footnoteReference w:id="11"/>
      </w:r>
      <w:r w:rsidRPr="00E9090B">
        <w:rPr>
          <w:rFonts w:ascii="Verdana" w:eastAsia="Calibri" w:hAnsi="Verdana" w:cs="Arial"/>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E9090B">
        <w:rPr>
          <w:rFonts w:ascii="Verdana" w:eastAsia="Calibri" w:hAnsi="Verdana" w:cs="Arial"/>
          <w:vertAlign w:val="superscript"/>
          <w:lang w:val="es-MX"/>
        </w:rPr>
        <w:footnoteReference w:id="12"/>
      </w:r>
      <w:r w:rsidRPr="00E9090B">
        <w:rPr>
          <w:rFonts w:ascii="Verdana" w:eastAsia="Calibri" w:hAnsi="Verdana" w:cs="Arial"/>
          <w:lang w:val="es-MX"/>
        </w:rPr>
        <w:t>. Ambas figuras tienen como fin desarrollar conjuntamente actividades relacionadas con los cometidos y funciones legales asignadas a la entidad.</w:t>
      </w:r>
    </w:p>
    <w:p w14:paraId="5E0D8B41" w14:textId="77777777" w:rsidR="00105628" w:rsidRPr="00E9090B" w:rsidRDefault="00105628" w:rsidP="00105628">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E9090B">
        <w:rPr>
          <w:rFonts w:ascii="Verdana" w:eastAsia="Calibri" w:hAnsi="Verdana" w:cs="Arial"/>
          <w:i/>
          <w:iCs/>
          <w:lang w:val="es-MX"/>
        </w:rPr>
        <w:t>contratos de colaboración</w:t>
      </w:r>
      <w:r w:rsidRPr="00E9090B">
        <w:rPr>
          <w:rFonts w:ascii="Verdana" w:eastAsia="Calibri" w:hAnsi="Verdana" w:cs="Arial"/>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E9090B">
        <w:rPr>
          <w:rFonts w:ascii="Verdana" w:eastAsia="Calibri" w:hAnsi="Verdana" w:cs="Arial"/>
          <w:i/>
          <w:iCs/>
          <w:lang w:val="es-MX"/>
        </w:rPr>
        <w:t>ibidem</w:t>
      </w:r>
      <w:r w:rsidRPr="00E9090B">
        <w:rPr>
          <w:rFonts w:ascii="Verdana" w:eastAsia="Calibri" w:hAnsi="Verdana" w:cs="Arial"/>
          <w:lang w:val="es-MX"/>
        </w:rPr>
        <w:t xml:space="preserve">. Es posible diferenciar, pues, 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regulados en el artículo 5, de los </w:t>
      </w:r>
      <w:r w:rsidRPr="00E9090B">
        <w:rPr>
          <w:rFonts w:ascii="Verdana" w:eastAsia="Calibri" w:hAnsi="Verdana" w:cs="Arial"/>
          <w:i/>
          <w:iCs/>
          <w:lang w:val="es-MX"/>
        </w:rPr>
        <w:t>contratos de colaboración</w:t>
      </w:r>
      <w:r w:rsidRPr="00E9090B">
        <w:rPr>
          <w:rFonts w:ascii="Verdana" w:eastAsia="Calibri" w:hAnsi="Verdana" w:cs="Arial"/>
          <w:lang w:val="es-MX"/>
        </w:rPr>
        <w:t>, establecidos en el artículo 2 del Decreto 092 de 2017</w:t>
      </w:r>
      <w:r w:rsidRPr="00E9090B">
        <w:rPr>
          <w:rFonts w:ascii="Verdana" w:eastAsia="Calibri" w:hAnsi="Verdana" w:cs="Arial"/>
          <w:vertAlign w:val="superscript"/>
          <w:lang w:val="es-MX"/>
        </w:rPr>
        <w:footnoteReference w:id="13"/>
      </w:r>
      <w:r w:rsidRPr="00E9090B">
        <w:rPr>
          <w:rFonts w:ascii="Verdana" w:eastAsia="Calibri" w:hAnsi="Verdana" w:cs="Arial"/>
          <w:lang w:val="es-MX"/>
        </w:rPr>
        <w:t xml:space="preserve">. </w:t>
      </w:r>
      <w:r w:rsidRPr="00E9090B">
        <w:rPr>
          <w:rFonts w:ascii="Verdana" w:eastAsia="Calibri" w:hAnsi="Verdana" w:cs="Arial"/>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48A41A20" w14:textId="77777777" w:rsidR="00105628" w:rsidRPr="00E9090B" w:rsidRDefault="00105628" w:rsidP="00105628">
      <w:pPr>
        <w:spacing w:after="0" w:line="276" w:lineRule="auto"/>
        <w:ind w:firstLine="708"/>
        <w:jc w:val="both"/>
        <w:rPr>
          <w:rFonts w:ascii="Verdana" w:eastAsia="Calibri" w:hAnsi="Verdana"/>
          <w:bCs/>
          <w:iCs/>
        </w:rPr>
      </w:pPr>
    </w:p>
    <w:p w14:paraId="5A8B0B79" w14:textId="77777777" w:rsidR="00105628" w:rsidRPr="00E9090B" w:rsidRDefault="00105628" w:rsidP="00105628">
      <w:pPr>
        <w:spacing w:after="0" w:line="240" w:lineRule="auto"/>
        <w:ind w:left="709" w:right="709"/>
        <w:jc w:val="both"/>
        <w:rPr>
          <w:rFonts w:ascii="Verdana" w:eastAsia="Calibri" w:hAnsi="Verdana"/>
          <w:bCs/>
          <w:iCs/>
          <w:sz w:val="20"/>
          <w:szCs w:val="20"/>
        </w:rPr>
      </w:pPr>
      <w:r w:rsidRPr="00E9090B">
        <w:rPr>
          <w:rFonts w:ascii="Verdana" w:eastAsia="Calibri" w:hAnsi="Verdana"/>
          <w:sz w:val="20"/>
          <w:szCs w:val="20"/>
          <w:lang w:val="es-ES"/>
        </w:rPr>
        <w:lastRenderedPageBreak/>
        <w:t>“</w:t>
      </w:r>
      <w:r w:rsidRPr="00E9090B">
        <w:rPr>
          <w:rFonts w:ascii="Verdana" w:eastAsia="Calibri" w:hAnsi="Verdana"/>
          <w:bCs/>
          <w:iCs/>
          <w:sz w:val="20"/>
          <w:szCs w:val="20"/>
        </w:rPr>
        <w:t>1ª) Los contratos de apoyo se celebran con personas jurídicas privadas sin ánimo de lucro. Los contratos de asociación se celebran con personas jurídicas privadas con o sin ánimo de lucro.</w:t>
      </w:r>
    </w:p>
    <w:p w14:paraId="23441699" w14:textId="77777777" w:rsidR="00105628" w:rsidRPr="00E9090B" w:rsidRDefault="00105628" w:rsidP="00105628">
      <w:pPr>
        <w:spacing w:after="0" w:line="240" w:lineRule="auto"/>
        <w:ind w:left="709" w:right="709"/>
        <w:jc w:val="both"/>
        <w:rPr>
          <w:rFonts w:ascii="Verdana" w:eastAsia="Calibri" w:hAnsi="Verdana"/>
          <w:bCs/>
          <w:iCs/>
          <w:sz w:val="20"/>
          <w:szCs w:val="20"/>
        </w:rPr>
      </w:pPr>
    </w:p>
    <w:p w14:paraId="0623A5CE" w14:textId="77777777" w:rsidR="00105628" w:rsidRPr="00E9090B" w:rsidRDefault="00105628" w:rsidP="00105628">
      <w:pPr>
        <w:spacing w:after="0" w:line="240" w:lineRule="auto"/>
        <w:ind w:left="709" w:right="709"/>
        <w:jc w:val="both"/>
        <w:rPr>
          <w:rFonts w:ascii="Verdana" w:eastAsia="Calibri" w:hAnsi="Verdana"/>
          <w:bCs/>
          <w:iCs/>
          <w:sz w:val="20"/>
          <w:szCs w:val="20"/>
        </w:rPr>
      </w:pPr>
      <w:r w:rsidRPr="00E9090B">
        <w:rPr>
          <w:rFonts w:ascii="Verdana" w:eastAsia="Calibri" w:hAnsi="Verdana"/>
          <w:bCs/>
          <w:iCs/>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209C887C" w14:textId="77777777" w:rsidR="00105628" w:rsidRPr="00E9090B" w:rsidRDefault="00105628" w:rsidP="00105628">
      <w:pPr>
        <w:spacing w:after="0" w:line="240" w:lineRule="auto"/>
        <w:ind w:left="709" w:right="709"/>
        <w:jc w:val="both"/>
        <w:rPr>
          <w:rFonts w:ascii="Verdana" w:eastAsia="Calibri" w:hAnsi="Verdana"/>
          <w:bCs/>
          <w:iCs/>
          <w:sz w:val="20"/>
          <w:szCs w:val="20"/>
        </w:rPr>
      </w:pPr>
    </w:p>
    <w:p w14:paraId="302CBCD0" w14:textId="77777777" w:rsidR="00105628" w:rsidRPr="00E9090B" w:rsidRDefault="00105628" w:rsidP="00105628">
      <w:pPr>
        <w:spacing w:after="0" w:line="240" w:lineRule="auto"/>
        <w:ind w:left="709" w:right="709"/>
        <w:jc w:val="both"/>
        <w:rPr>
          <w:rFonts w:ascii="Verdana" w:eastAsia="Calibri" w:hAnsi="Verdana"/>
          <w:bCs/>
          <w:iCs/>
          <w:sz w:val="20"/>
          <w:szCs w:val="20"/>
        </w:rPr>
      </w:pPr>
      <w:r w:rsidRPr="00E9090B">
        <w:rPr>
          <w:rFonts w:ascii="Verdana" w:eastAsia="Calibri" w:hAnsi="Verdana" w:cs="Arial"/>
          <w:bCs/>
          <w:iCs/>
          <w:sz w:val="20"/>
          <w:szCs w:val="20"/>
        </w:rPr>
        <w:t xml:space="preserve">3ª) Los contratos de apoyo se celebran con cargo al respectivo presupuesto de la entidad pública. En los contratos de asociación se deben determinar, como señala el inciso segundo del citado artículo 96, los </w:t>
      </w:r>
      <w:r w:rsidRPr="00E9090B">
        <w:rPr>
          <w:rFonts w:ascii="Verdana" w:eastAsia="Calibri" w:hAnsi="Verdana" w:cs="Arial"/>
          <w:bCs/>
          <w:i/>
          <w:iCs/>
          <w:sz w:val="20"/>
          <w:szCs w:val="20"/>
        </w:rPr>
        <w:t>“aportes”</w:t>
      </w:r>
      <w:r w:rsidRPr="00E9090B">
        <w:rPr>
          <w:rFonts w:ascii="Verdana" w:eastAsia="Calibri" w:hAnsi="Verdana" w:cs="Arial"/>
          <w:bCs/>
          <w:iCs/>
          <w:sz w:val="20"/>
          <w:szCs w:val="20"/>
        </w:rPr>
        <w:t xml:space="preserve"> tanto de la entidad pública como de la persona jurídica particular</w:t>
      </w:r>
      <w:r w:rsidRPr="00E9090B">
        <w:rPr>
          <w:rFonts w:ascii="Verdana" w:eastAsia="Calibri" w:hAnsi="Verdana" w:cs="Arial"/>
          <w:sz w:val="20"/>
          <w:szCs w:val="20"/>
        </w:rPr>
        <w:t>”</w:t>
      </w:r>
      <w:r w:rsidRPr="00E9090B">
        <w:rPr>
          <w:rFonts w:ascii="Verdana" w:eastAsia="Calibri" w:hAnsi="Verdana" w:cs="Arial"/>
          <w:bCs/>
          <w:iCs/>
          <w:sz w:val="20"/>
          <w:szCs w:val="20"/>
          <w:vertAlign w:val="superscript"/>
        </w:rPr>
        <w:footnoteReference w:id="14"/>
      </w:r>
      <w:r w:rsidRPr="00E9090B">
        <w:rPr>
          <w:rFonts w:ascii="Verdana" w:eastAsia="Calibri" w:hAnsi="Verdana" w:cs="Arial"/>
          <w:bCs/>
          <w:iCs/>
          <w:sz w:val="20"/>
          <w:szCs w:val="20"/>
        </w:rPr>
        <w:t>.</w:t>
      </w:r>
    </w:p>
    <w:p w14:paraId="3F544124" w14:textId="77777777" w:rsidR="00105628" w:rsidRPr="00E9090B" w:rsidRDefault="00105628" w:rsidP="00105628">
      <w:pPr>
        <w:spacing w:after="0" w:line="276" w:lineRule="auto"/>
        <w:ind w:firstLine="708"/>
        <w:jc w:val="both"/>
        <w:rPr>
          <w:rFonts w:ascii="Verdana" w:eastAsia="Calibri" w:hAnsi="Verdana" w:cs="Arial"/>
          <w:lang w:val="es-MX"/>
        </w:rPr>
      </w:pPr>
    </w:p>
    <w:p w14:paraId="1E53EA28"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Los </w:t>
      </w:r>
      <w:r w:rsidRPr="00E9090B">
        <w:rPr>
          <w:rFonts w:ascii="Verdana" w:eastAsia="Calibri" w:hAnsi="Verdana" w:cs="Arial"/>
          <w:i/>
          <w:iCs/>
          <w:lang w:val="es-MX"/>
        </w:rPr>
        <w:t xml:space="preserve">contratos o convenios de colaboración </w:t>
      </w:r>
      <w:r w:rsidRPr="00E9090B">
        <w:rPr>
          <w:rFonts w:ascii="Verdana" w:eastAsia="Calibri" w:hAnsi="Verdana" w:cs="Arial"/>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144ABF79"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Para celebrar estos contratos, según lo establece el Decreto 92 de 2017, por regla general, la entidad debe adelantar un proceso competitivo para seleccionar la ESAL contratista, garantizando la libre concurrencia.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de colaboración sin una limitación al valor del contrato.</w:t>
      </w:r>
    </w:p>
    <w:p w14:paraId="12A04E9D"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lastRenderedPageBreak/>
        <w:t>Un elemento de los contratos de colaboración de interés público es el hecho de que la regulación de estos convenios es una potestad del Gobierno Nacional, en virtud de que el inciso segundo del artículo 355 establece que aquel regulará la materia. Sin embargo, la Corte Constitucional también ha precisado que dicha potestad en cabeza del ejecutivo no imposibilita un desarrollo legislativo sobre su aplicación</w:t>
      </w:r>
      <w:r w:rsidRPr="00E9090B">
        <w:rPr>
          <w:rFonts w:ascii="Verdana" w:eastAsia="Calibri" w:hAnsi="Verdana" w:cs="Arial"/>
          <w:bCs/>
          <w:vertAlign w:val="superscript"/>
        </w:rPr>
        <w:footnoteReference w:id="15"/>
      </w:r>
      <w:r w:rsidRPr="00E9090B">
        <w:rPr>
          <w:rFonts w:ascii="Verdana" w:eastAsia="Calibri" w:hAnsi="Verdana" w:cs="Arial"/>
          <w:bCs/>
        </w:rPr>
        <w:t>. Ahora bien, frente al</w:t>
      </w:r>
      <w:r w:rsidRPr="00E9090B">
        <w:rPr>
          <w:rFonts w:ascii="Verdana" w:eastAsia="Calibri" w:hAnsi="Verdana" w:cs="Arial"/>
          <w:b/>
          <w:bCs/>
        </w:rPr>
        <w:t xml:space="preserve"> </w:t>
      </w:r>
      <w:r w:rsidRPr="00E9090B">
        <w:rPr>
          <w:rFonts w:ascii="Verdana" w:eastAsia="Calibri" w:hAnsi="Verdana" w:cs="Arial"/>
          <w:bCs/>
          <w:i/>
        </w:rPr>
        <w:t>convenio de colaboración de interés público</w:t>
      </w:r>
      <w:r w:rsidRPr="00E9090B">
        <w:rPr>
          <w:rFonts w:ascii="Verdana" w:eastAsia="Calibri" w:hAnsi="Verdana" w:cs="Arial"/>
          <w:bCs/>
        </w:rPr>
        <w:t>, una característica esencial es que su objeto tenga como fin el de materializar programas y actividades de interés público acordes con los planes de desarrollo nacional y seccional</w:t>
      </w:r>
      <w:r w:rsidRPr="00E9090B">
        <w:rPr>
          <w:rFonts w:ascii="Verdana" w:eastAsia="Calibri" w:hAnsi="Verdana" w:cs="Arial"/>
          <w:bCs/>
          <w:vertAlign w:val="superscript"/>
        </w:rPr>
        <w:footnoteReference w:id="16"/>
      </w:r>
      <w:r w:rsidRPr="00E9090B">
        <w:rPr>
          <w:rFonts w:ascii="Verdana" w:eastAsia="Calibri" w:hAnsi="Verdana" w:cs="Arial"/>
          <w:bCs/>
        </w:rPr>
        <w:t>. En palabras de la Corte Constitucional, los convenios tienen como objeto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r w:rsidRPr="00E9090B">
        <w:rPr>
          <w:rFonts w:ascii="Verdana" w:eastAsia="Calibri" w:hAnsi="Verdana" w:cs="Arial"/>
          <w:bCs/>
          <w:vertAlign w:val="superscript"/>
        </w:rPr>
        <w:footnoteReference w:id="17"/>
      </w:r>
      <w:r w:rsidRPr="00E9090B">
        <w:rPr>
          <w:rFonts w:ascii="Verdana" w:eastAsia="Calibri" w:hAnsi="Verdana" w:cs="Arial"/>
          <w:bCs/>
        </w:rPr>
        <w:t>.</w:t>
      </w:r>
    </w:p>
    <w:p w14:paraId="2AF4A5B8"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Dicho esto, los programas o actividades de interés público deben perseguir justamente el interés público, y no el interés de un particular</w:t>
      </w:r>
      <w:r w:rsidRPr="00E9090B">
        <w:rPr>
          <w:rFonts w:ascii="Verdana" w:eastAsia="Calibri" w:hAnsi="Verdana" w:cs="Arial"/>
          <w:bCs/>
          <w:vertAlign w:val="superscript"/>
        </w:rPr>
        <w:footnoteReference w:id="18"/>
      </w:r>
      <w:r w:rsidRPr="00E9090B">
        <w:rPr>
          <w:rFonts w:ascii="Verdana" w:eastAsia="Calibri" w:hAnsi="Verdana" w:cs="Arial"/>
          <w:bCs/>
        </w:rPr>
        <w:t>. No obstante, la satisfacción del interés público necesariamente debe ser la finalidad de toda la actuación estatal. De manera que no se trata de un aspecto propio de los convenios de interés público, sino de todos los contratos y convenios que celebra la administración. En ese sentido, lo que diferencia a los convenios de interés público de los demás contratos y convenios, que también buscan la satisfacción de los intereses generales, es que los convenios de interés público tienen por objeto el de atender la ejecución de los programas o actividades de interés general, en el marco del plan nacional de desarrollo y de los planes seccionales de desarrollo.</w:t>
      </w:r>
    </w:p>
    <w:p w14:paraId="06863EAB"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 xml:space="preserve">En línea con lo anterior, las entidades contratantes no establecen como obligación el pago en favor de un contratista en particular, que haga las veces de contraprestación económica pactada por la realización de dichas actividades. Esto, por cuanto el contratista actúa en una suerte de cooperador para la finalidad que comparten las partes, que es la garantía del interés general en el marco de los planes de desarrollo – nacional o territorial –. Circunstancia diferente a aquellos contratos como los de obra pública o el propio contrato de </w:t>
      </w:r>
      <w:r w:rsidRPr="00E9090B">
        <w:rPr>
          <w:rFonts w:ascii="Verdana" w:eastAsia="Calibri" w:hAnsi="Verdana" w:cs="Arial"/>
          <w:bCs/>
        </w:rPr>
        <w:lastRenderedPageBreak/>
        <w:t xml:space="preserve">suministro, donde la entidad contratante reconoce un pago como contraprestación económica por los bienes y servicios entregados u obligaciones periódicas cumplidas. </w:t>
      </w:r>
    </w:p>
    <w:p w14:paraId="671EC9C9"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En esa misma línea aborda el tema la “</w:t>
      </w:r>
      <w:r w:rsidRPr="00E9090B">
        <w:rPr>
          <w:rFonts w:ascii="Verdana" w:eastAsia="Calibri" w:hAnsi="Verdana" w:cs="Arial"/>
          <w:bCs/>
          <w:i/>
          <w:iCs/>
        </w:rPr>
        <w:t xml:space="preserve">Guía para la contratación con entidades privadas sin ánimo de lucro y de reconocida idoneidad” </w:t>
      </w:r>
      <w:r w:rsidRPr="00E9090B">
        <w:rPr>
          <w:rFonts w:ascii="Verdana" w:eastAsia="Calibri" w:hAnsi="Verdana" w:cs="Arial"/>
          <w:bCs/>
        </w:rPr>
        <w:t>expedida por esta Agencia cuando establece que “la contratación autorizada por el artículo 355 de la Constitución Política no está encaminada a la adquisición de bienes, servicios o la ejecución de obras, en consecuencia, no puede ser utilizada con ese propósito”</w:t>
      </w:r>
      <w:r w:rsidRPr="00E9090B">
        <w:rPr>
          <w:rFonts w:ascii="Verdana" w:eastAsia="Calibri" w:hAnsi="Verdana" w:cs="Arial"/>
          <w:bCs/>
          <w:i/>
          <w:iCs/>
          <w:vertAlign w:val="superscript"/>
        </w:rPr>
        <w:footnoteReference w:id="19"/>
      </w:r>
      <w:r w:rsidRPr="00E9090B">
        <w:rPr>
          <w:rFonts w:ascii="Verdana" w:eastAsia="Calibri" w:hAnsi="Verdana" w:cs="Arial"/>
          <w:bCs/>
        </w:rPr>
        <w:t xml:space="preserve">. Por otro lado, a la par que el contratista no recibe una contraprestación económica, el convenio de interés público no puede comportar una relación de </w:t>
      </w:r>
      <w:r w:rsidRPr="00E9090B">
        <w:rPr>
          <w:rFonts w:ascii="Verdana" w:eastAsia="Calibri" w:hAnsi="Verdana" w:cs="Arial"/>
          <w:bCs/>
          <w:i/>
        </w:rPr>
        <w:t>carácter conmutativo</w:t>
      </w:r>
      <w:r w:rsidRPr="00E9090B">
        <w:rPr>
          <w:rFonts w:ascii="Verdana" w:eastAsia="Calibri" w:hAnsi="Verdana" w:cs="Arial"/>
          <w:bCs/>
        </w:rPr>
        <w:t xml:space="preserve"> que se materialice en el pacto de una contraprestación directa a favor de la entidad contratante. Así como tampoco debe existir la consagración de </w:t>
      </w:r>
      <w:r w:rsidRPr="00E9090B">
        <w:rPr>
          <w:rFonts w:ascii="Verdana" w:eastAsia="Calibri" w:hAnsi="Verdana" w:cs="Arial"/>
          <w:bCs/>
          <w:i/>
        </w:rPr>
        <w:t>instrucciones precisas</w:t>
      </w:r>
      <w:r w:rsidRPr="00E9090B">
        <w:rPr>
          <w:rFonts w:ascii="Verdana" w:eastAsia="Calibri" w:hAnsi="Verdana" w:cs="Arial"/>
          <w:bCs/>
        </w:rPr>
        <w:t xml:space="preserve"> que pretendan impartirse al contratista para efectos del cumplimiento del objeto contractual, como lo dispone el literal b) del artículo 2° del Decreto 092 de 2017.</w:t>
      </w:r>
    </w:p>
    <w:p w14:paraId="23300F8B" w14:textId="77777777" w:rsidR="00105628" w:rsidRPr="00E9090B" w:rsidRDefault="00105628" w:rsidP="00105628">
      <w:pPr>
        <w:shd w:val="clear" w:color="auto" w:fill="FFFFFF"/>
        <w:spacing w:after="120" w:line="276" w:lineRule="auto"/>
        <w:ind w:firstLine="709"/>
        <w:jc w:val="both"/>
        <w:textAlignment w:val="baseline"/>
        <w:rPr>
          <w:rFonts w:ascii="Verdana" w:eastAsia="Calibri" w:hAnsi="Verdana" w:cs="Arial"/>
          <w:bCs/>
          <w:lang w:val="es-ES_tradnl"/>
        </w:rPr>
      </w:pPr>
      <w:r w:rsidRPr="00E9090B">
        <w:rPr>
          <w:rFonts w:ascii="Verdana" w:eastAsia="Calibri" w:hAnsi="Verdana" w:cs="Arial"/>
          <w:bCs/>
        </w:rPr>
        <w:t xml:space="preserve">Por lo tanto, según el marco jurídico aplicable, se prohíbe que de dichos convenios emanen intereses onerosos, o produzca obligaciones entre los extremos con equivalencia entre sí, como sucede con los contratos de obra o de suministro. </w:t>
      </w:r>
      <w:r w:rsidRPr="00E9090B">
        <w:rPr>
          <w:rFonts w:ascii="Verdana" w:eastAsia="Calibri" w:hAnsi="Verdana" w:cs="Arial"/>
          <w:bCs/>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 Puede estipularse que un determinado porcentaje o monto del aporte se destine a los gastos administrativos en los que se incurra para ejecutar la actividad a realizar. </w:t>
      </w:r>
    </w:p>
    <w:p w14:paraId="05D11414" w14:textId="77777777" w:rsidR="00105628" w:rsidRPr="00E9090B" w:rsidRDefault="00105628" w:rsidP="00105628">
      <w:pPr>
        <w:spacing w:after="120" w:line="276" w:lineRule="auto"/>
        <w:ind w:firstLine="709"/>
        <w:jc w:val="both"/>
        <w:rPr>
          <w:rFonts w:ascii="Verdana" w:eastAsia="Calibri" w:hAnsi="Verdana" w:cs="Arial"/>
          <w:bCs/>
          <w:lang w:val="es-ES"/>
        </w:rPr>
      </w:pPr>
      <w:r w:rsidRPr="00E9090B">
        <w:rPr>
          <w:rFonts w:ascii="Verdana" w:eastAsia="Calibri" w:hAnsi="Verdana" w:cs="Arial"/>
          <w:bCs/>
          <w:lang w:val="es-ES_tradnl"/>
        </w:rPr>
        <w:t xml:space="preserve">Conforme lo expuesto, dichas estipulaciones no deben entenderse como una contraprestación para algunas de las partes o no pueden estar destinadas a remunerar a la ESAL o a la entidad pública que participe del convenio. </w:t>
      </w:r>
      <w:r w:rsidRPr="00E9090B">
        <w:rPr>
          <w:rFonts w:ascii="Verdana" w:eastAsia="Calibri" w:hAnsi="Verdana" w:cs="Arial"/>
          <w:bCs/>
        </w:rPr>
        <w:t xml:space="preserve">De las precisiones se infiere, que el </w:t>
      </w:r>
      <w:r w:rsidRPr="00E9090B">
        <w:rPr>
          <w:rFonts w:ascii="Verdana" w:eastAsia="Calibri" w:hAnsi="Verdana" w:cs="Arial"/>
          <w:bCs/>
          <w:lang w:val="es-ES"/>
        </w:rPr>
        <w:t xml:space="preserve">literal b del artículo 2 del Decreto 092 del 2017, dispone que la contratación con entidades privadas sin ánimo de lucro y de reconocida idoneidad en los términos del artículo 355 de la Constitución Política y del Decreto 092 de 2017, no genera cargas equivalentes o recíprocas, y por tanto, la entidad estatal contratante no establece instrucciones precisas a la </w:t>
      </w:r>
      <w:r w:rsidRPr="00E9090B">
        <w:rPr>
          <w:rFonts w:ascii="Verdana" w:eastAsia="Calibri" w:hAnsi="Verdana" w:cs="Arial"/>
          <w:bCs/>
          <w:lang w:val="es-ES"/>
        </w:rPr>
        <w:lastRenderedPageBreak/>
        <w:t xml:space="preserve">entidad privada sin ánimo de lucro para desarrollar los programas o actividades previstas en el marco de los planes de desarrollo. </w:t>
      </w:r>
    </w:p>
    <w:p w14:paraId="40FBE8CE" w14:textId="77777777" w:rsidR="00105628" w:rsidRPr="00E9090B" w:rsidRDefault="00105628" w:rsidP="00105628">
      <w:pPr>
        <w:spacing w:after="0" w:line="276" w:lineRule="auto"/>
        <w:ind w:firstLine="709"/>
        <w:jc w:val="both"/>
        <w:rPr>
          <w:rFonts w:ascii="Verdana" w:eastAsia="Calibri" w:hAnsi="Verdana" w:cs="Arial"/>
          <w:bCs/>
        </w:rPr>
      </w:pPr>
      <w:r w:rsidRPr="00E9090B">
        <w:rPr>
          <w:rFonts w:ascii="Verdana" w:eastAsia="Calibri" w:hAnsi="Verdana" w:cs="Arial"/>
          <w:bCs/>
        </w:rPr>
        <w:t>Un elemento más es que las entidades privadas con las cuales resulta posible suscribir estos convenios de interés público deben tener la condición de ESAL de reconocida idoneidad, en observancia de los procedimientos y reglas contenidos en el Decreto 092 de 2017</w:t>
      </w:r>
      <w:r w:rsidRPr="00E9090B">
        <w:rPr>
          <w:rFonts w:ascii="Verdana" w:eastAsia="Calibri" w:hAnsi="Verdana" w:cs="Arial"/>
          <w:bCs/>
          <w:vertAlign w:val="superscript"/>
        </w:rPr>
        <w:footnoteReference w:id="20"/>
      </w:r>
      <w:r w:rsidRPr="00E9090B">
        <w:rPr>
          <w:rFonts w:ascii="Verdana" w:eastAsia="Calibri" w:hAnsi="Verdana" w:cs="Arial"/>
          <w:bCs/>
        </w:rPr>
        <w:t>. Sobre la determinación de la condición de ESAL de reconocida idoneidad, sugerimos que se consulte de nuevo la “</w:t>
      </w:r>
      <w:r w:rsidRPr="00E9090B">
        <w:rPr>
          <w:rFonts w:ascii="Verdana" w:eastAsia="Calibri" w:hAnsi="Verdana" w:cs="Arial"/>
          <w:bCs/>
          <w:i/>
          <w:iCs/>
        </w:rPr>
        <w:t>Guía para la contratación con entidades privadas sin ánimo de lucro y de reconocida idoneidad”</w:t>
      </w:r>
      <w:r w:rsidRPr="00E9090B">
        <w:rPr>
          <w:rFonts w:ascii="Verdana" w:eastAsia="Calibri" w:hAnsi="Verdana" w:cs="Arial"/>
          <w:bCs/>
        </w:rPr>
        <w:t xml:space="preserve">, particularmente lo consignado desde la página 12 a 16. Sin embargo, el literal c) del artículo 2 del Decreto 092 de 2017 supedita la celebración de los convenios de interés público con ESAL a que: </w:t>
      </w:r>
    </w:p>
    <w:p w14:paraId="1B1F00C1" w14:textId="77777777" w:rsidR="00105628" w:rsidRPr="00E9090B" w:rsidRDefault="00105628" w:rsidP="00105628">
      <w:pPr>
        <w:shd w:val="clear" w:color="auto" w:fill="FFFFFF"/>
        <w:spacing w:after="0" w:line="276" w:lineRule="auto"/>
        <w:ind w:firstLine="708"/>
        <w:jc w:val="both"/>
        <w:textAlignment w:val="baseline"/>
        <w:rPr>
          <w:rFonts w:ascii="Verdana" w:eastAsia="Calibri" w:hAnsi="Verdana" w:cs="Arial"/>
          <w:bCs/>
        </w:rPr>
      </w:pPr>
    </w:p>
    <w:p w14:paraId="0F6C9E65" w14:textId="77777777" w:rsidR="00105628" w:rsidRPr="00E9090B" w:rsidRDefault="00105628" w:rsidP="00105628">
      <w:pPr>
        <w:shd w:val="clear" w:color="auto" w:fill="FFFFFF"/>
        <w:spacing w:after="0" w:line="240" w:lineRule="auto"/>
        <w:ind w:left="709" w:right="709"/>
        <w:jc w:val="both"/>
        <w:textAlignment w:val="baseline"/>
        <w:rPr>
          <w:rFonts w:ascii="Verdana" w:eastAsia="Calibri" w:hAnsi="Verdana" w:cs="Times New Roman"/>
          <w:sz w:val="20"/>
          <w:szCs w:val="20"/>
        </w:rPr>
      </w:pPr>
      <w:r w:rsidRPr="00E9090B">
        <w:rPr>
          <w:rFonts w:ascii="Verdana" w:eastAsia="Calibri" w:hAnsi="Verdana" w:cs="Times New Roman"/>
          <w:sz w:val="20"/>
          <w:szCs w:val="20"/>
        </w:rPr>
        <w:t>“Que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p w14:paraId="55053798" w14:textId="77777777" w:rsidR="00105628" w:rsidRPr="00E9090B" w:rsidRDefault="00105628" w:rsidP="00105628">
      <w:pPr>
        <w:shd w:val="clear" w:color="auto" w:fill="FFFFFF"/>
        <w:spacing w:after="0" w:line="276" w:lineRule="auto"/>
        <w:ind w:left="709" w:right="709"/>
        <w:jc w:val="both"/>
        <w:textAlignment w:val="baseline"/>
        <w:rPr>
          <w:rFonts w:ascii="Verdana" w:eastAsia="Calibri" w:hAnsi="Verdana" w:cs="Times New Roman"/>
        </w:rPr>
      </w:pPr>
    </w:p>
    <w:p w14:paraId="4432B72F"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Sumado a lo anterior, la contratación a través de tales convenios tiene que surtirse mediante proceso de selección plural y competitiva, cuando en los estudios del sector se identifique que existen más ESAL que pueden ejecutar el objeto, de conformidad con lo contemplado en el artículo 4 ibidem. Aquí es importante la precisión, dado que, si las actividades o programas de interés público que se pretenden contratar para cumplir con programas y actividades incorporados en el plan de desarrollo, sea este nacional o territorial, se ofertan en el mercado de compra pública, en principio, dicha contratación deberá efectuarse a la luz del EGCAP y sus procedimientos de selección los aplicables, así existan ESAL que también los ofrezcan, salvo que si la entidad contratante determina mediante el análisis previo en la fase de planeación que contratará con ESAL por razones de optimización de recursos públicos. Para ello, se sugiere consultar la “</w:t>
      </w:r>
      <w:r w:rsidRPr="00E9090B">
        <w:rPr>
          <w:rFonts w:ascii="Verdana" w:eastAsia="Calibri" w:hAnsi="Verdana" w:cs="Arial"/>
          <w:bCs/>
          <w:i/>
          <w:iCs/>
        </w:rPr>
        <w:t xml:space="preserve">Guía para la contratación con entidades privadas sin ánimo de lucro y de reconocida idoneidad” </w:t>
      </w:r>
      <w:r w:rsidRPr="00E9090B">
        <w:rPr>
          <w:rFonts w:ascii="Verdana" w:eastAsia="Calibri" w:hAnsi="Verdana" w:cs="Arial"/>
          <w:bCs/>
        </w:rPr>
        <w:t>en la página 11</w:t>
      </w:r>
      <w:r w:rsidRPr="00E9090B">
        <w:rPr>
          <w:rFonts w:ascii="Verdana" w:eastAsia="Calibri" w:hAnsi="Verdana" w:cs="Arial"/>
          <w:bCs/>
          <w:i/>
          <w:iCs/>
        </w:rPr>
        <w:t xml:space="preserve"> </w:t>
      </w:r>
      <w:r w:rsidRPr="00E9090B">
        <w:rPr>
          <w:rFonts w:ascii="Verdana" w:eastAsia="Calibri" w:hAnsi="Verdana" w:cs="Arial"/>
          <w:bCs/>
        </w:rPr>
        <w:t>donde se proponen</w:t>
      </w:r>
      <w:r w:rsidRPr="00E9090B">
        <w:rPr>
          <w:rFonts w:ascii="Verdana" w:eastAsia="Calibri" w:hAnsi="Verdana" w:cs="Arial"/>
          <w:bCs/>
          <w:i/>
          <w:iCs/>
        </w:rPr>
        <w:t xml:space="preserve"> </w:t>
      </w:r>
      <w:r w:rsidRPr="00E9090B">
        <w:rPr>
          <w:rFonts w:ascii="Verdana" w:eastAsia="Calibri" w:hAnsi="Verdana" w:cs="Arial"/>
          <w:bCs/>
        </w:rPr>
        <w:t xml:space="preserve">algunas </w:t>
      </w:r>
      <w:r w:rsidRPr="00E9090B">
        <w:rPr>
          <w:rFonts w:ascii="Verdana" w:eastAsia="Calibri" w:hAnsi="Verdana" w:cs="Arial"/>
          <w:bCs/>
        </w:rPr>
        <w:lastRenderedPageBreak/>
        <w:t>situaciones hipotéticas que, aunque no son taxativas, permite orientar a las entidades contratantes.</w:t>
      </w:r>
    </w:p>
    <w:p w14:paraId="68AA4E4E"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Ahora bien, si existe plena justificación para la contratación con ESAL, esta podrá contratarse de manera directa, siempre que no existan otras ESAL con las mismas características de aquella a la que se le pretende adjudicar el convenio. De lo contrario, si existe pluralidad de ESAL, la entidad contratante deberá llevar a cabo un procedimiento competitivo, que garantice la libre concurrencia y la selección objetiva de la mejor oferta. Lo anterior aplica también para los convenios que tengan por objeto actividades artísticas, culturales, deportivas y de promoción de la diversidad étnica colombiana, en virtud de la suspensión parcial del Consejo de Estado a algunos apartes del Decreto 092 de 2017 y que se abordará al final de las presentes consideraciones. Además de lo anterior, el Decreto 092 también exige que las ESAL que pretendan ser contratadas deberán registrarse en el SECOP por cuanto esta herramienta electrónica opera como “el medio para acreditar los indicadores de idoneidad, experiencia, eficiencia, economía y de manejo del riesgo definidos por las Entidades Estatales”</w:t>
      </w:r>
      <w:r w:rsidRPr="00E9090B">
        <w:rPr>
          <w:rFonts w:ascii="Verdana" w:eastAsia="Calibri" w:hAnsi="Verdana" w:cs="Arial"/>
          <w:bCs/>
          <w:vertAlign w:val="superscript"/>
        </w:rPr>
        <w:footnoteReference w:id="21"/>
      </w:r>
      <w:r w:rsidRPr="00E9090B">
        <w:rPr>
          <w:rFonts w:ascii="Verdana" w:eastAsia="Calibri" w:hAnsi="Verdana" w:cs="Arial"/>
          <w:bCs/>
        </w:rPr>
        <w:t>.</w:t>
      </w:r>
    </w:p>
    <w:p w14:paraId="688AE412" w14:textId="77777777" w:rsidR="00105628" w:rsidRPr="00E9090B" w:rsidRDefault="00105628" w:rsidP="00105628">
      <w:pPr>
        <w:shd w:val="clear" w:color="auto" w:fill="FFFFFF"/>
        <w:spacing w:after="0" w:line="276" w:lineRule="auto"/>
        <w:ind w:firstLine="708"/>
        <w:jc w:val="both"/>
        <w:textAlignment w:val="baseline"/>
        <w:rPr>
          <w:rFonts w:ascii="Verdana" w:eastAsia="Calibri" w:hAnsi="Verdana" w:cs="Arial"/>
          <w:bCs/>
        </w:rPr>
      </w:pPr>
      <w:r w:rsidRPr="00E9090B">
        <w:rPr>
          <w:rFonts w:ascii="Verdana" w:eastAsia="Calibri" w:hAnsi="Verdana" w:cs="Arial"/>
          <w:bCs/>
        </w:rPr>
        <w:t xml:space="preserve">Otro aspecto relevante es que la celebración de los convenios de interés público requiere de autorización previa por parte del representante legal de la entidad estatal contratante, según lo establecen los incisos tercero y cuarto del artículo 2 del Decreto 092, autorización que deberá acreditarse en los documentos del proceso y que, como ocurre con los convenios de asociación, son aplicables tanto el régimen de prohibiciones, inhabilidades e incompatibilidades, como los principios de la contratación estatal, según se desprende de los artículos 6 y 7 ibidem. Al respecto, dichos artículos disponen: </w:t>
      </w:r>
    </w:p>
    <w:p w14:paraId="335C694C" w14:textId="77777777" w:rsidR="00105628" w:rsidRPr="00E9090B" w:rsidRDefault="00105628" w:rsidP="00105628">
      <w:pPr>
        <w:shd w:val="clear" w:color="auto" w:fill="FFFFFF"/>
        <w:spacing w:line="276" w:lineRule="auto"/>
        <w:ind w:left="709" w:right="709"/>
        <w:jc w:val="both"/>
        <w:textAlignment w:val="baseline"/>
        <w:rPr>
          <w:rFonts w:ascii="Verdana" w:eastAsia="Calibri" w:hAnsi="Verdana" w:cs="Arial"/>
          <w:bCs/>
          <w:lang w:val="es-ES_tradnl"/>
        </w:rPr>
      </w:pPr>
    </w:p>
    <w:p w14:paraId="7B404B84" w14:textId="77777777" w:rsidR="00105628" w:rsidRPr="00E9090B" w:rsidRDefault="00105628" w:rsidP="00105628">
      <w:pPr>
        <w:shd w:val="clear" w:color="auto" w:fill="FFFFFF"/>
        <w:spacing w:after="0" w:line="240" w:lineRule="auto"/>
        <w:ind w:left="709" w:right="709"/>
        <w:jc w:val="both"/>
        <w:textAlignment w:val="baseline"/>
        <w:rPr>
          <w:rFonts w:ascii="Verdana" w:eastAsia="Calibri" w:hAnsi="Verdana" w:cs="Arial"/>
          <w:bCs/>
          <w:sz w:val="20"/>
          <w:szCs w:val="20"/>
          <w:lang w:val="es-ES_tradnl"/>
        </w:rPr>
      </w:pPr>
      <w:r w:rsidRPr="00E9090B">
        <w:rPr>
          <w:rFonts w:ascii="Verdana" w:eastAsia="Calibri" w:hAnsi="Verdana" w:cs="Arial"/>
          <w:bCs/>
          <w:sz w:val="20"/>
          <w:szCs w:val="20"/>
          <w:lang w:val="es-ES_tradnl"/>
        </w:rPr>
        <w:t xml:space="preserve"> “Artículo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6C9E0F05" w14:textId="77777777" w:rsidR="00105628" w:rsidRPr="00E9090B" w:rsidRDefault="00105628" w:rsidP="00105628">
      <w:pPr>
        <w:shd w:val="clear" w:color="auto" w:fill="FFFFFF"/>
        <w:spacing w:after="0" w:line="240" w:lineRule="auto"/>
        <w:ind w:left="709" w:right="709"/>
        <w:jc w:val="both"/>
        <w:textAlignment w:val="baseline"/>
        <w:rPr>
          <w:rFonts w:ascii="Verdana" w:eastAsia="Calibri" w:hAnsi="Verdana" w:cs="Arial"/>
          <w:bCs/>
          <w:sz w:val="20"/>
          <w:szCs w:val="20"/>
          <w:lang w:val="es-ES_tradnl"/>
        </w:rPr>
      </w:pPr>
    </w:p>
    <w:p w14:paraId="06B32DA1" w14:textId="77777777" w:rsidR="00105628" w:rsidRPr="00E9090B" w:rsidRDefault="00105628" w:rsidP="00105628">
      <w:pPr>
        <w:shd w:val="clear" w:color="auto" w:fill="FFFFFF"/>
        <w:spacing w:after="0" w:line="240" w:lineRule="auto"/>
        <w:ind w:left="709" w:right="709"/>
        <w:jc w:val="both"/>
        <w:textAlignment w:val="baseline"/>
        <w:rPr>
          <w:rFonts w:ascii="Verdana" w:eastAsia="Calibri" w:hAnsi="Verdana" w:cs="Arial"/>
          <w:bCs/>
          <w:sz w:val="20"/>
          <w:szCs w:val="20"/>
          <w:lang w:val="es-ES_tradnl"/>
        </w:rPr>
      </w:pPr>
      <w:r w:rsidRPr="00E9090B">
        <w:rPr>
          <w:rFonts w:ascii="Verdana" w:eastAsia="Calibri" w:hAnsi="Verdana" w:cs="Arial"/>
          <w:bCs/>
          <w:sz w:val="20"/>
          <w:szCs w:val="20"/>
          <w:lang w:val="es-ES_tradnl"/>
        </w:rPr>
        <w:t xml:space="preserve">Artículo 7°. Aplicación de los principios de la contratación estatal. La contratación a la que hace referencia el presente decreto está sujeta a los principios de la contratación estatal y a las normas presupuestales aplicables […]”. </w:t>
      </w:r>
    </w:p>
    <w:p w14:paraId="22EA21E0" w14:textId="77777777" w:rsidR="00105628" w:rsidRPr="00E9090B" w:rsidRDefault="00105628" w:rsidP="00105628">
      <w:pPr>
        <w:shd w:val="clear" w:color="auto" w:fill="FFFFFF"/>
        <w:spacing w:after="0" w:line="276" w:lineRule="auto"/>
        <w:ind w:left="709" w:right="709"/>
        <w:jc w:val="both"/>
        <w:textAlignment w:val="baseline"/>
        <w:rPr>
          <w:rFonts w:ascii="Verdana" w:eastAsia="Calibri" w:hAnsi="Verdana" w:cs="Arial"/>
          <w:bCs/>
          <w:lang w:val="es-ES_tradnl"/>
        </w:rPr>
      </w:pPr>
    </w:p>
    <w:p w14:paraId="0B22648C"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De otra parte, el artículo 8 dispone que “[l]a contratación a la que hace referencia el presente decreto está sujeta a las normas generales aplicables a la contratación pública excepto en lo reglamentado en el presente decreto”. En ese sentido, las normas del EGCAP y la Ley 1474 de 2011 son las que rigen para la celebración de los convenios de interés público, salvo lo regulado de manera expresa por el Decreto 092 de 2017. Ahora bien, el derecho privado aplicará solo a la luz de la remisión que hacen los artículos 13, 32 y 40 de la Ley 80 de 1993.</w:t>
      </w:r>
    </w:p>
    <w:p w14:paraId="4177FDFD" w14:textId="77777777" w:rsidR="00105628" w:rsidRPr="00E9090B" w:rsidRDefault="00105628" w:rsidP="00105628">
      <w:pPr>
        <w:shd w:val="clear" w:color="auto" w:fill="FFFFFF"/>
        <w:spacing w:after="120" w:line="276" w:lineRule="auto"/>
        <w:ind w:firstLine="708"/>
        <w:jc w:val="both"/>
        <w:textAlignment w:val="baseline"/>
        <w:rPr>
          <w:rFonts w:ascii="Verdana" w:eastAsia="Calibri" w:hAnsi="Verdana" w:cs="Arial"/>
          <w:bCs/>
          <w:lang w:val="es-ES"/>
        </w:rPr>
      </w:pPr>
      <w:r w:rsidRPr="00E9090B">
        <w:rPr>
          <w:rFonts w:ascii="Verdana" w:eastAsia="Calibri" w:hAnsi="Verdana" w:cs="Arial"/>
          <w:bCs/>
          <w:lang w:val="es-ES"/>
        </w:rPr>
        <w:t xml:space="preserve">Estas normas integran las lagunas o vacíos normativos del reglamento autónomo, y se aplican a todo lo que no esté expresamente regulado en él. Por ello no es posible aplicar alguna de las disposiciones anteriormente citadas en temas como la competencia para celebrar los </w:t>
      </w:r>
      <w:r w:rsidRPr="00E9090B">
        <w:rPr>
          <w:rFonts w:ascii="Verdana" w:eastAsia="Calibri" w:hAnsi="Verdana" w:cs="Arial"/>
          <w:bCs/>
          <w:i/>
          <w:lang w:val="es-ES"/>
        </w:rPr>
        <w:t xml:space="preserve">contratos del artículo 355 de la Constitución </w:t>
      </w:r>
      <w:r w:rsidRPr="00E9090B">
        <w:rPr>
          <w:rFonts w:ascii="Verdana" w:eastAsia="Calibri" w:hAnsi="Verdana" w:cs="Arial"/>
          <w:bCs/>
          <w:lang w:val="es-ES"/>
        </w:rPr>
        <w:t xml:space="preserve">y la indelegabilidad de la autorización –art. 2–, la idoneidad de las ESAL –art. 3–, su registro en el SECOP –art. 9– y la inaplicación del registro único de proponentes –art. 10–. </w:t>
      </w:r>
      <w:r w:rsidRPr="00E9090B">
        <w:rPr>
          <w:rFonts w:ascii="Verdana" w:eastAsia="Calibri" w:hAnsi="Verdana" w:cs="Arial"/>
          <w:lang w:val="es-ES"/>
        </w:rPr>
        <w:t xml:space="preserve"> </w:t>
      </w:r>
    </w:p>
    <w:p w14:paraId="3357B66B" w14:textId="77777777" w:rsidR="00105628" w:rsidRPr="00E9090B" w:rsidRDefault="00105628" w:rsidP="00105628">
      <w:pPr>
        <w:spacing w:after="120" w:line="276" w:lineRule="auto"/>
        <w:ind w:firstLine="709"/>
        <w:jc w:val="both"/>
        <w:rPr>
          <w:rFonts w:ascii="Verdana" w:eastAsia="Calibri" w:hAnsi="Verdana" w:cs="Arial"/>
          <w:lang w:val="es-ES_tradnl"/>
        </w:rPr>
      </w:pPr>
    </w:p>
    <w:p w14:paraId="46FDE2BD" w14:textId="77777777" w:rsidR="00105628" w:rsidRPr="00E9090B" w:rsidRDefault="00105628" w:rsidP="00105628">
      <w:pPr>
        <w:spacing w:after="120" w:line="276" w:lineRule="auto"/>
        <w:jc w:val="both"/>
        <w:rPr>
          <w:rFonts w:ascii="Verdana" w:eastAsia="Calibri" w:hAnsi="Verdana" w:cs="Arial"/>
          <w:lang w:val="es-MX"/>
        </w:rPr>
      </w:pPr>
      <w:r w:rsidRPr="00E9090B">
        <w:rPr>
          <w:rFonts w:ascii="Verdana" w:eastAsia="Calibri" w:hAnsi="Verdana" w:cs="Arial"/>
          <w:lang w:val="es-MX"/>
        </w:rPr>
        <w:t xml:space="preserve">ii. 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w:t>
      </w:r>
    </w:p>
    <w:p w14:paraId="14F04B86"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618E0581" w14:textId="6BB9DFC9"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sidR="00070587">
        <w:rPr>
          <w:rFonts w:ascii="Verdana" w:eastAsia="Calibri" w:hAnsi="Verdana" w:cs="Arial"/>
          <w:lang w:val="es-MX"/>
        </w:rPr>
        <w:t>os convenios debe determinarse “</w:t>
      </w:r>
      <w:r w:rsidRPr="00E9090B">
        <w:rPr>
          <w:rFonts w:ascii="Verdana" w:eastAsia="Calibri" w:hAnsi="Verdana" w:cs="Arial"/>
          <w:lang w:val="es-MX"/>
        </w:rPr>
        <w:t>con precisión su objeto, término, obligaciones de las partes, aportes, coordinación y todos aquellos aspecto</w:t>
      </w:r>
      <w:r w:rsidR="00070587">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w:t>
      </w:r>
      <w:r w:rsidRPr="00E9090B">
        <w:rPr>
          <w:rFonts w:ascii="Verdana" w:eastAsia="Calibri" w:hAnsi="Verdana" w:cs="Arial"/>
          <w:lang w:val="es-MX"/>
        </w:rPr>
        <w:lastRenderedPageBreak/>
        <w:t xml:space="preserve">porcentajes inferiores o superiores al 30%, o en especie, los cuales deben servir al desarrollo de los objetivos comunes de la asociación. </w:t>
      </w:r>
    </w:p>
    <w:p w14:paraId="20761E0D"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La normativa vigente no impide que varias entidades suscriban conjuntamente el convenio de asociación ni tampoco que dos o más ESAL pueden hacerlo a través de las figuras asociativas autorizadas por la ley, por ejemplo, la unión temporal o el consorcio</w:t>
      </w:r>
      <w:r w:rsidRPr="00E9090B">
        <w:rPr>
          <w:rFonts w:ascii="Verdana" w:eastAsia="Calibri" w:hAnsi="Verdana" w:cs="Arial"/>
          <w:vertAlign w:val="superscript"/>
          <w:lang w:val="es-MX"/>
        </w:rPr>
        <w:footnoteReference w:id="22"/>
      </w:r>
      <w:r w:rsidRPr="00E9090B">
        <w:rPr>
          <w:rFonts w:ascii="Verdana" w:eastAsia="Calibri" w:hAnsi="Verdana" w:cs="Arial"/>
          <w:lang w:val="es-MX"/>
        </w:rPr>
        <w:t xml:space="preserve">.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6E6B99AF"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23"/>
      </w:r>
      <w:r w:rsidRPr="00E9090B">
        <w:rPr>
          <w:rFonts w:ascii="Verdana" w:eastAsia="Calibri" w:hAnsi="Verdana" w:cs="Arial"/>
          <w:lang w:val="es-MX"/>
        </w:rPr>
        <w:t>.</w:t>
      </w:r>
    </w:p>
    <w:p w14:paraId="30F3BAEC" w14:textId="77777777" w:rsidR="00105628" w:rsidRPr="00E9090B" w:rsidRDefault="00105628" w:rsidP="00105628">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 xml:space="preserve">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w:t>
      </w:r>
      <w:r w:rsidRPr="00E9090B">
        <w:rPr>
          <w:rFonts w:ascii="Verdana" w:eastAsia="Calibri" w:hAnsi="Verdana" w:cs="Arial"/>
          <w:lang w:val="es-MX"/>
        </w:rPr>
        <w:lastRenderedPageBreak/>
        <w:t>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1156BC64" w14:textId="77777777" w:rsidR="00105628" w:rsidRPr="00E9090B" w:rsidRDefault="00105628" w:rsidP="00105628">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sidRPr="00E9090B">
        <w:rPr>
          <w:rFonts w:ascii="Verdana" w:eastAsia="Calibri" w:hAnsi="Verdana" w:cs="Arial"/>
          <w:lang w:val="es-MX"/>
        </w:rPr>
        <w:t>. </w:t>
      </w:r>
    </w:p>
    <w:p w14:paraId="4785F4D6" w14:textId="77777777" w:rsidR="00105628" w:rsidRPr="00E9090B" w:rsidRDefault="00105628" w:rsidP="00105628">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–Exp. 62.003–, estudió la solicitud de suspensión provisional</w:t>
      </w:r>
      <w:r w:rsidRPr="00E9090B">
        <w:rPr>
          <w:rFonts w:ascii="Verdana" w:eastAsia="Calibri" w:hAnsi="Verdana" w:cs="Arial"/>
          <w:vertAlign w:val="superscript"/>
          <w:lang w:val="es-MX"/>
        </w:rPr>
        <w:footnoteReference w:id="24"/>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25"/>
      </w:r>
      <w:r w:rsidRPr="00E9090B">
        <w:rPr>
          <w:rFonts w:ascii="Verdana" w:eastAsia="Calibri" w:hAnsi="Verdana" w:cs="Arial"/>
          <w:lang w:val="es-ES_tradnl"/>
        </w:rPr>
        <w:t xml:space="preserve">, el Consejo de Estado levantó la medida cautelar de </w:t>
      </w:r>
      <w:r w:rsidRPr="00E9090B">
        <w:rPr>
          <w:rFonts w:ascii="Verdana" w:eastAsia="Calibri" w:hAnsi="Verdana" w:cs="Arial"/>
          <w:lang w:val="es-ES_tradnl"/>
        </w:rPr>
        <w:lastRenderedPageBreak/>
        <w:t>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26"/>
      </w:r>
      <w:r w:rsidRPr="00E9090B">
        <w:rPr>
          <w:rFonts w:ascii="Verdana" w:eastAsia="Calibri" w:hAnsi="Verdana" w:cs="Arial"/>
          <w:lang w:val="es-ES_tradnl"/>
        </w:rPr>
        <w:t>.</w:t>
      </w:r>
    </w:p>
    <w:p w14:paraId="790E8B88" w14:textId="77777777" w:rsidR="00105628" w:rsidRPr="00E9090B" w:rsidRDefault="00105628" w:rsidP="00105628">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27"/>
      </w:r>
      <w:r w:rsidRPr="00E9090B">
        <w:rPr>
          <w:rFonts w:ascii="Verdana" w:eastAsia="Calibri" w:hAnsi="Verdana" w:cs="Arial"/>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3E0BDFC9" w14:textId="77777777" w:rsidR="00105628" w:rsidRPr="00E9090B" w:rsidRDefault="00105628" w:rsidP="00105628">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w:t>
      </w:r>
      <w:r w:rsidRPr="00E9090B">
        <w:rPr>
          <w:rFonts w:ascii="Verdana" w:eastAsia="Calibri" w:hAnsi="Verdana" w:cs="Arial"/>
          <w:lang w:val="es-ES_tradnl"/>
        </w:rPr>
        <w:lastRenderedPageBreak/>
        <w:t xml:space="preserve">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6894F3C4" w14:textId="77777777" w:rsidR="00105628" w:rsidRPr="00E9090B" w:rsidRDefault="00105628" w:rsidP="00105628">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35588690" w14:textId="77777777" w:rsidR="00105628" w:rsidRPr="00E9090B" w:rsidRDefault="00105628" w:rsidP="00105628">
      <w:pPr>
        <w:spacing w:after="0" w:line="276" w:lineRule="auto"/>
        <w:ind w:firstLine="709"/>
        <w:jc w:val="both"/>
        <w:textAlignment w:val="baseline"/>
        <w:rPr>
          <w:rFonts w:ascii="Verdana" w:eastAsia="Calibri" w:hAnsi="Verdana" w:cs="Arial"/>
          <w:lang w:val="es-ES"/>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aplicar la selección directa de la ESAL, siempre que no haya otra entidad privada sin ánimo de lucro que realice el mismo ofrecimiento.</w:t>
      </w:r>
    </w:p>
    <w:p w14:paraId="202F0C6B" w14:textId="77777777" w:rsidR="00105628" w:rsidRPr="00E9090B" w:rsidRDefault="00105628" w:rsidP="00105628">
      <w:pPr>
        <w:spacing w:before="120" w:after="0" w:line="276" w:lineRule="auto"/>
        <w:ind w:firstLine="709"/>
        <w:jc w:val="both"/>
        <w:rPr>
          <w:rFonts w:ascii="Verdana" w:eastAsia="Calibri" w:hAnsi="Verdana" w:cs="Arial"/>
          <w:bCs/>
          <w:lang w:val="es-ES_tradnl"/>
        </w:rPr>
      </w:pPr>
      <w:r w:rsidRPr="00E9090B">
        <w:rPr>
          <w:rFonts w:ascii="Verdana" w:eastAsia="Calibri" w:hAnsi="Verdana" w:cs="Arial"/>
          <w:bCs/>
          <w:lang w:val="es-MX"/>
        </w:rPr>
        <w:t xml:space="preserve">Ahora bien, </w:t>
      </w:r>
      <w:r w:rsidRPr="00E9090B">
        <w:rPr>
          <w:rFonts w:ascii="Verdana" w:eastAsia="Calibri" w:hAnsi="Verdana" w:cs="Arial"/>
          <w:bCs/>
          <w:lang w:val="es-ES_tradnl"/>
        </w:rPr>
        <w:t>frente a la regulación sumaria de los contratos del artículo 355 de la Constitución y los convenios de asociación, los artículos 6, 7 y 8 del Decreto 092 de 2017 disponen:</w:t>
      </w:r>
    </w:p>
    <w:p w14:paraId="47FC3100" w14:textId="77777777" w:rsidR="00105628" w:rsidRPr="00E9090B" w:rsidRDefault="00105628" w:rsidP="00105628">
      <w:pPr>
        <w:spacing w:after="0" w:line="276" w:lineRule="auto"/>
        <w:ind w:firstLine="709"/>
        <w:jc w:val="both"/>
        <w:rPr>
          <w:rFonts w:ascii="Verdana" w:eastAsia="Calibri" w:hAnsi="Verdana" w:cs="Arial"/>
          <w:bCs/>
          <w:lang w:val="es-ES_tradnl"/>
        </w:rPr>
      </w:pPr>
    </w:p>
    <w:p w14:paraId="30F09575" w14:textId="77777777" w:rsidR="00105628" w:rsidRPr="00E9090B" w:rsidRDefault="00105628" w:rsidP="00105628">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18A275C9" w14:textId="77777777" w:rsidR="00105628" w:rsidRPr="00E9090B" w:rsidRDefault="00105628" w:rsidP="00105628">
      <w:pPr>
        <w:spacing w:after="0" w:line="240" w:lineRule="auto"/>
        <w:ind w:left="709" w:right="709"/>
        <w:jc w:val="both"/>
        <w:rPr>
          <w:rFonts w:ascii="Verdana" w:eastAsia="Calibri" w:hAnsi="Verdana" w:cs="Arial"/>
          <w:sz w:val="21"/>
          <w:szCs w:val="21"/>
          <w:lang w:val="es-ES_tradnl"/>
        </w:rPr>
      </w:pPr>
    </w:p>
    <w:p w14:paraId="2B8D500D" w14:textId="77777777" w:rsidR="00105628" w:rsidRPr="00E9090B" w:rsidRDefault="00105628" w:rsidP="00105628">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 xml:space="preserve">Artículo 7°. Aplicación de los principios de la contratación estatal. La contratación a la que hace referencia el presente decreto está sujeta a </w:t>
      </w:r>
      <w:r w:rsidRPr="00E9090B">
        <w:rPr>
          <w:rFonts w:ascii="Verdana" w:eastAsia="Calibri" w:hAnsi="Verdana" w:cs="Arial"/>
          <w:sz w:val="21"/>
          <w:szCs w:val="21"/>
          <w:lang w:val="es-ES_tradnl"/>
        </w:rPr>
        <w:lastRenderedPageBreak/>
        <w:t>los principios de la contratación estatal y a las normas presupuestales aplicables […]</w:t>
      </w:r>
    </w:p>
    <w:p w14:paraId="6744C6C1" w14:textId="77777777" w:rsidR="00105628" w:rsidRPr="00E9090B" w:rsidRDefault="00105628" w:rsidP="00105628">
      <w:pPr>
        <w:spacing w:after="0" w:line="240" w:lineRule="auto"/>
        <w:ind w:left="709" w:right="709"/>
        <w:jc w:val="both"/>
        <w:rPr>
          <w:rFonts w:ascii="Verdana" w:eastAsia="Calibri" w:hAnsi="Verdana" w:cs="Arial"/>
          <w:sz w:val="21"/>
          <w:szCs w:val="21"/>
          <w:lang w:val="es-ES_tradnl"/>
        </w:rPr>
      </w:pPr>
    </w:p>
    <w:p w14:paraId="5489D79E" w14:textId="77777777" w:rsidR="00105628" w:rsidRPr="00E9090B" w:rsidRDefault="00105628" w:rsidP="00105628">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 xml:space="preserve">Artículo 8°. Aplicación de normas generales del sistema de contratación pública. La contratación a la que hace referencia el presente decreto está sujeta a las normas generales aplicables a la contratación pública excepto en lo reglamentado en el presente decreto”. </w:t>
      </w:r>
    </w:p>
    <w:p w14:paraId="4721ABC1" w14:textId="77777777" w:rsidR="00105628" w:rsidRPr="00E9090B" w:rsidRDefault="00105628" w:rsidP="00105628">
      <w:pPr>
        <w:spacing w:after="0" w:line="276" w:lineRule="auto"/>
        <w:ind w:firstLine="709"/>
        <w:jc w:val="both"/>
        <w:rPr>
          <w:rFonts w:ascii="Arial" w:eastAsia="Calibri" w:hAnsi="Arial" w:cs="Arial"/>
          <w:bCs/>
          <w:lang w:val="es-MX"/>
        </w:rPr>
      </w:pPr>
    </w:p>
    <w:p w14:paraId="71C6DF68" w14:textId="77777777" w:rsidR="00105628" w:rsidRPr="00E9090B" w:rsidRDefault="00105628" w:rsidP="00105628">
      <w:pPr>
        <w:spacing w:after="120" w:line="276" w:lineRule="auto"/>
        <w:ind w:firstLine="709"/>
        <w:jc w:val="both"/>
        <w:rPr>
          <w:rFonts w:ascii="Verdana" w:eastAsia="Calibri" w:hAnsi="Verdana" w:cs="Arial"/>
          <w:bCs/>
        </w:rPr>
      </w:pPr>
      <w:r w:rsidRPr="00E9090B">
        <w:rPr>
          <w:rFonts w:ascii="Verdana" w:eastAsia="Calibri" w:hAnsi="Verdana" w:cs="Arial"/>
          <w:bC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indelegabilidad de la autorización –art. 2–, la idoneidad de las ESAL –art. 3–, su registro en el SECOP –art. 9– y la inaplicación del registro único de proponentes –art. 10–. </w:t>
      </w:r>
    </w:p>
    <w:p w14:paraId="75757FE1" w14:textId="77777777" w:rsidR="00105628" w:rsidRPr="00E9090B" w:rsidRDefault="00105628" w:rsidP="00105628">
      <w:pPr>
        <w:spacing w:before="120" w:after="120" w:line="276" w:lineRule="auto"/>
        <w:ind w:firstLine="708"/>
        <w:jc w:val="both"/>
        <w:rPr>
          <w:rFonts w:ascii="Verdana" w:eastAsia="Calibri" w:hAnsi="Verdana" w:cs="Arial"/>
        </w:rPr>
      </w:pPr>
      <w:r w:rsidRPr="00E9090B">
        <w:rPr>
          <w:rFonts w:ascii="Verdana" w:eastAsia="Rockwell" w:hAnsi="Verdana" w:cs="Arial"/>
          <w:lang w:eastAsia="es-CO"/>
        </w:rPr>
        <w:t xml:space="preserve">Sobre la interpretación de estos artículos del </w:t>
      </w:r>
      <w:r w:rsidRPr="00E9090B">
        <w:rPr>
          <w:rFonts w:ascii="Verdana" w:eastAsia="Calibri" w:hAnsi="Verdana" w:cs="Arial"/>
        </w:rPr>
        <w:t xml:space="preserve">Decreto 092 de 2017, </w:t>
      </w:r>
      <w:r w:rsidRPr="00E9090B">
        <w:rPr>
          <w:rFonts w:ascii="Verdana" w:eastAsia="Rockwell" w:hAnsi="Verdana" w:cs="Arial"/>
          <w:lang w:eastAsia="es-CO"/>
        </w:rPr>
        <w:t>esta Agencia en el</w:t>
      </w:r>
      <w:r w:rsidRPr="00E9090B">
        <w:rPr>
          <w:rFonts w:ascii="Verdana" w:eastAsia="Calibri" w:hAnsi="Verdana" w:cs="Arial"/>
        </w:rPr>
        <w:t xml:space="preserve"> Concepto C-223 del 29 de abril de 2020 señaló que cuando el artículo 8 menciona a las “[…] normas generales aplicables a la contratación pública […]”, bien podrían referirse a las disposiciones comunes del Estatuto General –</w:t>
      </w:r>
      <w:r w:rsidRPr="00E9090B">
        <w:rPr>
          <w:rFonts w:ascii="Verdana" w:eastAsia="Calibri" w:hAnsi="Verdana" w:cs="Arial"/>
          <w:i/>
          <w:iCs/>
        </w:rPr>
        <w:t>remisión parcial latu sensu</w:t>
      </w:r>
      <w:r w:rsidRPr="00E9090B">
        <w:rPr>
          <w:rFonts w:ascii="Verdana" w:eastAsia="Calibri" w:hAnsi="Verdana" w:cs="Arial"/>
        </w:rPr>
        <w:t>– o a la totalidad de la Ley 80 de 1993 –</w:t>
      </w:r>
      <w:r w:rsidRPr="00E9090B">
        <w:rPr>
          <w:rFonts w:ascii="Verdana" w:eastAsia="Calibri" w:hAnsi="Verdana" w:cs="Arial"/>
          <w:i/>
          <w:iCs/>
        </w:rPr>
        <w:t>remisión integral</w:t>
      </w:r>
      <w:r w:rsidRPr="00E9090B">
        <w:rPr>
          <w:rFonts w:ascii="Verdana" w:eastAsia="Calibri" w:hAnsi="Verdana" w:cs="Arial"/>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37B7D88B" w14:textId="77777777" w:rsidR="00105628" w:rsidRPr="00E9090B" w:rsidRDefault="00105628" w:rsidP="00105628">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22FB2570" w14:textId="77777777" w:rsidR="00105628" w:rsidRPr="00E9090B" w:rsidRDefault="00105628" w:rsidP="00105628">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En esta medida, los </w:t>
      </w:r>
      <w:r w:rsidRPr="00E9090B">
        <w:rPr>
          <w:rFonts w:ascii="Verdana" w:eastAsia="Calibri" w:hAnsi="Verdana" w:cs="Arial"/>
          <w:i/>
          <w:iCs/>
          <w:lang w:val="es-ES"/>
        </w:rPr>
        <w:t xml:space="preserve">contratos del artículo 355 de la Constitución </w:t>
      </w:r>
      <w:r w:rsidRPr="00E9090B">
        <w:rPr>
          <w:rFonts w:ascii="Verdana" w:eastAsia="Calibri" w:hAnsi="Verdana" w:cs="Arial"/>
          <w:lang w:val="es-ES"/>
        </w:rPr>
        <w:t xml:space="preserve">y los </w:t>
      </w:r>
      <w:r w:rsidRPr="00E9090B">
        <w:rPr>
          <w:rFonts w:ascii="Verdana" w:eastAsia="Calibri" w:hAnsi="Verdana" w:cs="Arial"/>
          <w:i/>
          <w:iCs/>
          <w:lang w:val="es-ES"/>
        </w:rPr>
        <w:t>convenios de asociación</w:t>
      </w:r>
      <w:r w:rsidRPr="00E9090B">
        <w:rPr>
          <w:rFonts w:ascii="Verdana" w:eastAsia="Calibri" w:hAnsi="Verdana" w:cs="Arial"/>
          <w:lang w:val="es-ES"/>
        </w:rPr>
        <w:t xml:space="preserve"> se rigen por el decreto y las normas del Estatuto General que sean compatibles con él, como, por ejemplo, los fines de la contratación –</w:t>
      </w:r>
      <w:r w:rsidRPr="00E9090B">
        <w:rPr>
          <w:rFonts w:ascii="Verdana" w:eastAsia="Calibri" w:hAnsi="Verdana" w:cs="Arial"/>
          <w:lang w:val="es-ES"/>
        </w:rPr>
        <w:lastRenderedPageBreak/>
        <w:t xml:space="preserve">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la prohibición de adicionarlo en más del cincuenta por ciento –art. 40–, el régimen de perfeccionamiento –art. 41–, las causales de nulidad –art. 44 y ss.–, el régimen de responsabilidad contractual –art. 50 y ss.– y de liquidación de los contratos –art. 60–. </w:t>
      </w:r>
    </w:p>
    <w:p w14:paraId="17D80478" w14:textId="77777777" w:rsidR="00105628" w:rsidRPr="00E9090B" w:rsidRDefault="00105628" w:rsidP="00105628">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p>
    <w:p w14:paraId="55302DB5" w14:textId="77777777" w:rsidR="00105628" w:rsidRPr="00E9090B" w:rsidRDefault="00105628" w:rsidP="00105628">
      <w:pPr>
        <w:tabs>
          <w:tab w:val="left" w:pos="284"/>
        </w:tabs>
        <w:spacing w:line="276" w:lineRule="auto"/>
        <w:jc w:val="both"/>
        <w:rPr>
          <w:rFonts w:ascii="Verdana" w:eastAsia="Arial" w:hAnsi="Verdana" w:cs="Arial"/>
          <w:lang w:eastAsia="es-ES" w:bidi="es-ES"/>
        </w:rPr>
      </w:pPr>
      <w:r w:rsidRPr="00E9090B">
        <w:rPr>
          <w:rFonts w:ascii="Verdana" w:eastAsia="Calibri" w:hAnsi="Verdana" w:cs="Arial"/>
          <w:lang w:val="es-ES_tradnl"/>
        </w:rPr>
        <w:tab/>
      </w:r>
      <w:r w:rsidRPr="00E9090B">
        <w:rPr>
          <w:rFonts w:ascii="Verdana" w:eastAsia="Calibri" w:hAnsi="Verdana" w:cs="Arial"/>
          <w:lang w:val="es-ES_tradnl"/>
        </w:rPr>
        <w:tab/>
        <w:t xml:space="preserve">En efecto, es necesario revisar si los anticipos o los pagos anticipados son procedentes en los convenios de asociación regulados en el artículo 5° del Decreto 092 de 2017, así como en los demás tipos de convenios. </w:t>
      </w:r>
      <w:r w:rsidRPr="00E9090B">
        <w:rPr>
          <w:rFonts w:ascii="Verdana" w:eastAsia="Arial" w:hAnsi="Verdana" w:cs="Arial"/>
          <w:lang w:eastAsia="es-ES" w:bidi="es-ES"/>
        </w:rPr>
        <w:t>En materia de contratación pública, el anticipo ha sido definido como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9090B">
        <w:rPr>
          <w:rFonts w:ascii="Verdana" w:eastAsia="Arial" w:hAnsi="Verdana" w:cs="Arial"/>
          <w:vertAlign w:val="superscript"/>
          <w:lang w:eastAsia="es-ES" w:bidi="es-ES"/>
        </w:rPr>
        <w:footnoteReference w:id="28"/>
      </w:r>
      <w:r w:rsidRPr="00E9090B">
        <w:rPr>
          <w:rFonts w:ascii="Verdana" w:eastAsia="Arial" w:hAnsi="Verdana" w:cs="Arial"/>
          <w:lang w:eastAsia="es-ES" w:bidi="es-ES"/>
        </w:rPr>
        <w:t xml:space="preserve">. Esta institución es un mecanismo de apalancamiento financiero que implica un endeudamiento, que posibilita que la entidad contratante le entregue </w:t>
      </w:r>
      <w:r w:rsidRPr="00E9090B">
        <w:rPr>
          <w:rFonts w:ascii="Verdana" w:eastAsia="Arial" w:hAnsi="Verdana" w:cs="Arial"/>
          <w:i/>
          <w:lang w:eastAsia="es-ES" w:bidi="es-ES"/>
        </w:rPr>
        <w:t xml:space="preserve">ex ante </w:t>
      </w:r>
      <w:r w:rsidRPr="00E9090B">
        <w:rPr>
          <w:rFonts w:ascii="Verdana" w:eastAsia="Arial" w:hAnsi="Verdana" w:cs="Arial"/>
          <w:lang w:eastAsia="es-ES" w:bidi="es-ES"/>
        </w:rPr>
        <w:t xml:space="preserve">una suma de dinero al contratista, con el propósito de iniciar la ejecución del proyecto, la cual es amortizada y debitada de la contraprestación pactada. Mientras el pago anticipado </w:t>
      </w:r>
      <w:r w:rsidRPr="00E9090B">
        <w:rPr>
          <w:rFonts w:ascii="Verdana" w:eastAsia="Arial" w:hAnsi="Verdana" w:cs="Arial"/>
          <w:lang w:val="es-ES" w:eastAsia="es-ES" w:bidi="es-ES"/>
        </w:rPr>
        <w:t>es un pago efectivo del precio que se efectúa y se causa en forma anticipada. Por tanto, los recursos se integran al patrimonio del contratista desde su desembolso.</w:t>
      </w:r>
      <w:r w:rsidRPr="00E9090B">
        <w:rPr>
          <w:rFonts w:ascii="Bookman Old Style" w:eastAsia="Calibri" w:hAnsi="Bookman Old Style" w:cs="Times New Roman"/>
          <w:sz w:val="20"/>
          <w:szCs w:val="20"/>
          <w:lang w:val="es-ES"/>
        </w:rPr>
        <w:t xml:space="preserve"> </w:t>
      </w:r>
    </w:p>
    <w:p w14:paraId="345668D9" w14:textId="77777777" w:rsidR="00105628" w:rsidRPr="00E9090B" w:rsidRDefault="00105628" w:rsidP="00105628">
      <w:pPr>
        <w:tabs>
          <w:tab w:val="left" w:pos="284"/>
        </w:tabs>
        <w:spacing w:line="276" w:lineRule="auto"/>
        <w:jc w:val="both"/>
        <w:rPr>
          <w:rFonts w:ascii="Verdana" w:eastAsia="Calibri" w:hAnsi="Verdana" w:cs="Arial"/>
          <w:bCs/>
        </w:rPr>
      </w:pPr>
      <w:r w:rsidRPr="00E9090B">
        <w:rPr>
          <w:rFonts w:ascii="Verdana" w:eastAsia="Arial" w:hAnsi="Verdana" w:cs="Arial"/>
          <w:lang w:eastAsia="es-ES" w:bidi="es-ES"/>
        </w:rPr>
        <w:tab/>
      </w:r>
      <w:r w:rsidRPr="00E9090B">
        <w:rPr>
          <w:rFonts w:ascii="Verdana" w:eastAsia="Arial" w:hAnsi="Verdana" w:cs="Arial"/>
          <w:lang w:eastAsia="es-ES" w:bidi="es-ES"/>
        </w:rPr>
        <w:tab/>
        <w:t xml:space="preserve">Conforme a lo expresado, el anticipo, al igual que el pago anticipado, son conceptos vinculados a la contraprestación que suelen recibir los contratistas en </w:t>
      </w:r>
      <w:r w:rsidRPr="00E9090B">
        <w:rPr>
          <w:rFonts w:ascii="Verdana" w:eastAsia="Arial" w:hAnsi="Verdana" w:cs="Arial"/>
          <w:lang w:eastAsia="es-ES" w:bidi="es-ES"/>
        </w:rPr>
        <w:lastRenderedPageBreak/>
        <w:t xml:space="preserve">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w:t>
      </w:r>
      <w:r w:rsidRPr="00E9090B">
        <w:rPr>
          <w:rFonts w:ascii="Verdana" w:eastAsia="Calibri" w:hAnsi="Verdana" w:cs="Arial"/>
          <w:bCs/>
        </w:rPr>
        <w:t xml:space="preserve">una contraprestación económica, no es aplicable la remisión integral al anticipo o pago anticipado. </w:t>
      </w:r>
    </w:p>
    <w:p w14:paraId="72011C7A" w14:textId="77777777" w:rsidR="00105628" w:rsidRPr="00E9090B" w:rsidRDefault="00105628" w:rsidP="00105628">
      <w:pPr>
        <w:shd w:val="clear" w:color="auto" w:fill="FFFFFF"/>
        <w:spacing w:after="120" w:line="276" w:lineRule="auto"/>
        <w:ind w:firstLine="709"/>
        <w:jc w:val="both"/>
        <w:textAlignment w:val="baseline"/>
        <w:rPr>
          <w:rFonts w:ascii="Verdana" w:eastAsia="Calibri" w:hAnsi="Verdana" w:cs="Arial"/>
          <w:bCs/>
          <w:lang w:val="es-ES_tradnl"/>
        </w:rPr>
      </w:pPr>
      <w:r w:rsidRPr="00E9090B">
        <w:rPr>
          <w:rFonts w:ascii="Verdana" w:eastAsia="Calibri" w:hAnsi="Verdana" w:cs="Arial"/>
          <w:bCs/>
        </w:rPr>
        <w:t xml:space="preserve">Según el marco jurídico aplicable del Decreto 092 de 2017, se prohíbe que de dichos convenios emanen intereses onerosos, o produzca obligaciones entre los extremos con equivalencia entre sí, como sucede con los contratos de obra o de suministro, y por tanto, no puede estipularse anticipos y pagos anticipados que por su naturaleza tienen un carácter prestacional. </w:t>
      </w:r>
      <w:r w:rsidRPr="00E9090B">
        <w:rPr>
          <w:rFonts w:ascii="Verdana" w:eastAsia="Calibri" w:hAnsi="Verdana" w:cs="Arial"/>
          <w:bCs/>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del convenio. </w:t>
      </w:r>
    </w:p>
    <w:p w14:paraId="2FAE77BF" w14:textId="77777777" w:rsidR="00105628" w:rsidRPr="00E9090B" w:rsidRDefault="00105628" w:rsidP="00105628">
      <w:pPr>
        <w:spacing w:after="120" w:line="276" w:lineRule="auto"/>
        <w:ind w:firstLine="709"/>
        <w:jc w:val="both"/>
        <w:rPr>
          <w:rFonts w:ascii="Verdana" w:eastAsia="Calibri" w:hAnsi="Verdana" w:cs="Arial"/>
          <w:bCs/>
          <w:lang w:val="es-ES_tradnl" w:bidi="es-ES"/>
        </w:rPr>
      </w:pPr>
      <w:r w:rsidRPr="00E9090B">
        <w:rPr>
          <w:rFonts w:ascii="Verdana" w:eastAsia="Calibri" w:hAnsi="Verdana" w:cs="Arial"/>
          <w:bCs/>
          <w:lang w:val="es-ES_tradnl" w:bidi="es-ES"/>
        </w:rPr>
        <w:t xml:space="preserve">Sin embargo, no implica que, en el marco de convenios de asociación, en los contratos de colaboración o de interés público, así como en los convenios solidarios las partes no puedan establecer cláusulas que garanticen el desembolso temprano de recursos, de manera que las entidades sin ánimo de lucro que actúan como ejecutoras, puedan contar con los recursos necesarios para comenzar el inicio de la ejecución de los proyectos a su cargo. Por tanto, se recomienda establecer giros vinculados a las fases del proyecto y el cronograma de ejecución, al igual que condiciones administrativas claras y concisas para los desembolsos, que faciliten el entendimiento entre partes del convenio. </w:t>
      </w:r>
      <w:r w:rsidRPr="00E9090B">
        <w:rPr>
          <w:rFonts w:ascii="Verdana" w:eastAsia="Calibri" w:hAnsi="Verdana" w:cs="Arial"/>
          <w:bCs/>
          <w:lang w:val="es-ES_tradnl"/>
        </w:rPr>
        <w:t>A modo de ejemplo, en el caso del documento tipo para convenios solidarios, se incluyó la “Cláusula 7 Giro de los recursos” que establece tres (3) opciones para que la Entidad Estatal decida el mecanismo que más se adecúe a la necesidad y características propias de cada convenio solidario que pretenda adelantar.</w:t>
      </w:r>
    </w:p>
    <w:p w14:paraId="5334A4F1" w14:textId="77777777" w:rsidR="00105628" w:rsidRPr="00E9090B" w:rsidRDefault="00105628" w:rsidP="00105628">
      <w:pPr>
        <w:spacing w:after="120" w:line="276" w:lineRule="auto"/>
        <w:ind w:firstLine="709"/>
        <w:jc w:val="both"/>
        <w:rPr>
          <w:rFonts w:ascii="Verdana" w:eastAsia="Arial" w:hAnsi="Verdana" w:cs="Arial"/>
          <w:lang w:val="es-ES" w:eastAsia="es-ES" w:bidi="es-ES"/>
        </w:rPr>
      </w:pPr>
      <w:r w:rsidRPr="00E9090B">
        <w:rPr>
          <w:rFonts w:ascii="Verdana" w:eastAsia="Calibri" w:hAnsi="Verdana" w:cs="Arial"/>
          <w:bCs/>
          <w:lang w:val="es-ES_tradnl"/>
        </w:rPr>
        <w:t xml:space="preserve">Conforme lo expuesto, dichas estipulaciones no deben entenderse como una contraprestación para algunas de las partes o no pueden destinarse a remunerar a la ESAL o a la entidad pública que participe del convenio. </w:t>
      </w:r>
      <w:r w:rsidRPr="00E9090B">
        <w:rPr>
          <w:rFonts w:ascii="Verdana" w:eastAsia="Calibri" w:hAnsi="Verdana" w:cs="Arial"/>
          <w:bCs/>
        </w:rPr>
        <w:t xml:space="preserve">De las precisiones se infiere, que en los convenios de asociación, no debe constituirse el amparo de </w:t>
      </w:r>
      <w:r w:rsidRPr="00E9090B">
        <w:rPr>
          <w:rFonts w:ascii="Verdana" w:eastAsia="Arial" w:hAnsi="Verdana" w:cs="Arial"/>
          <w:i/>
          <w:lang w:val="es-ES" w:eastAsia="es-ES" w:bidi="es-ES"/>
        </w:rPr>
        <w:t>buen manejo y correcta inversión del mismo</w:t>
      </w:r>
      <w:r w:rsidRPr="00E9090B">
        <w:rPr>
          <w:rFonts w:ascii="Verdana" w:eastAsia="Arial" w:hAnsi="Verdana" w:cs="Arial"/>
          <w:lang w:val="es-ES" w:eastAsia="es-ES" w:bidi="es-ES"/>
        </w:rPr>
        <w:t xml:space="preserve">, en la que debe ampararse los perjuicios que puede afectar a la entidad por: i) la no inversión, esto es, cuando el contratista pese a recibir los recursos no los invierte de </w:t>
      </w:r>
      <w:r w:rsidRPr="00E9090B">
        <w:rPr>
          <w:rFonts w:ascii="Verdana" w:eastAsia="Arial" w:hAnsi="Verdana" w:cs="Arial"/>
          <w:lang w:val="es-ES" w:eastAsia="es-ES" w:bidi="es-ES"/>
        </w:rPr>
        <w:lastRenderedPageBreak/>
        <w:t xml:space="preserve">acuerdo al plan de inversión del anticipo, pudiendo generar retrasos en la ejecución del contrato; ii) el uso indebido del anticipo, por ejemplo, cuando el contratista emplea dichos recursos con una finalidad diferente a la estipulada, v. gr. para saldar deudas propias;; y iii) por la apropiación indebida de dichos recursos -art.  2.2.1.2.3.1.7., numeral 1 del Decreto 1082 de 2015-. De igual forma, no es posible exigir el amparo de devolución del pago anticipado, que cubre los perjuicios sufridos por la entidad por la no devolución total o parcial del dinero que se entregó al contratista por pago anticipado -art. 2.2.1.2.3.1.7., numeral 2- del Decreto 1082 de 2015-. Sin embargo, esta precisión no implica que la entidad no exija en el respectivo convenio la exigencia de amparos que cubran los diferentes riesgos que se presenten por incumplimiento de las obligaciones, el pago de salarios y prestaciones sociales, entre otros. </w:t>
      </w:r>
    </w:p>
    <w:p w14:paraId="25A88120" w14:textId="77777777" w:rsidR="00105628" w:rsidRPr="00E9090B" w:rsidRDefault="00105628" w:rsidP="00105628">
      <w:pPr>
        <w:spacing w:after="120" w:line="276" w:lineRule="auto"/>
        <w:ind w:firstLine="709"/>
        <w:jc w:val="both"/>
        <w:rPr>
          <w:rFonts w:ascii="Verdana" w:eastAsia="Arial" w:hAnsi="Verdana" w:cs="Arial"/>
          <w:lang w:eastAsia="es-ES" w:bidi="es-ES"/>
        </w:rPr>
      </w:pPr>
      <w:r w:rsidRPr="00E9090B">
        <w:rPr>
          <w:rFonts w:ascii="Verdana" w:eastAsia="Arial" w:hAnsi="Verdana" w:cs="Arial"/>
          <w:bCs/>
          <w:lang w:val="es-ES_tradnl" w:eastAsia="es-ES" w:bidi="es-ES"/>
        </w:rPr>
        <w:t>En todo caso</w:t>
      </w:r>
      <w:r w:rsidRPr="00E9090B">
        <w:rPr>
          <w:rFonts w:ascii="Verdana" w:eastAsia="Arial" w:hAnsi="Verdana" w:cs="Arial"/>
          <w:lang w:eastAsia="es-ES" w:bidi="es-ES"/>
        </w:rPr>
        <w:t>, las entidades públicas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p w14:paraId="4C6E7EB8" w14:textId="77777777" w:rsidR="00105628" w:rsidRPr="00E9090B" w:rsidRDefault="00105628" w:rsidP="00105628">
      <w:pPr>
        <w:spacing w:after="120" w:line="276" w:lineRule="auto"/>
        <w:jc w:val="both"/>
        <w:rPr>
          <w:rFonts w:ascii="Verdana" w:eastAsia="Arial" w:hAnsi="Verdana" w:cs="Arial"/>
          <w:lang w:val="es-ES" w:eastAsia="es-ES" w:bidi="es-ES"/>
        </w:rPr>
      </w:pPr>
    </w:p>
    <w:p w14:paraId="4600275E" w14:textId="77777777" w:rsidR="00105628" w:rsidRPr="00E9090B" w:rsidRDefault="00105628" w:rsidP="00105628">
      <w:pPr>
        <w:numPr>
          <w:ilvl w:val="0"/>
          <w:numId w:val="19"/>
        </w:numPr>
        <w:spacing w:after="0" w:line="256" w:lineRule="auto"/>
        <w:rPr>
          <w:rFonts w:ascii="Verdana" w:eastAsia="Calibri" w:hAnsi="Verdana" w:cs="Times New Roman"/>
          <w:b/>
          <w:bCs/>
          <w:lang w:val="es-ES"/>
        </w:rPr>
      </w:pPr>
      <w:r w:rsidRPr="00E9090B">
        <w:rPr>
          <w:rFonts w:ascii="Verdana" w:eastAsia="Calibri" w:hAnsi="Verdana" w:cs="Times New Roman"/>
          <w:b/>
          <w:bCs/>
          <w:lang w:val="es-ES"/>
        </w:rPr>
        <w:t>Referencias normativas, jurisprudenciales y doctrinales:</w:t>
      </w:r>
    </w:p>
    <w:p w14:paraId="0EF328C7" w14:textId="77777777" w:rsidR="00105628" w:rsidRPr="00E9090B" w:rsidRDefault="00105628" w:rsidP="00105628">
      <w:pPr>
        <w:widowControl w:val="0"/>
        <w:autoSpaceDE w:val="0"/>
        <w:autoSpaceDN w:val="0"/>
        <w:spacing w:after="0" w:line="276" w:lineRule="auto"/>
        <w:jc w:val="both"/>
        <w:rPr>
          <w:rFonts w:ascii="Verdana" w:hAnsi="Verdana" w:cs="Arial"/>
          <w:lang w:val="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5628" w:rsidRPr="00E9090B" w14:paraId="302ED637" w14:textId="77777777" w:rsidTr="0049433A">
        <w:trPr>
          <w:trHeight w:val="870"/>
          <w:jc w:val="center"/>
        </w:trPr>
        <w:tc>
          <w:tcPr>
            <w:tcW w:w="8647" w:type="dxa"/>
          </w:tcPr>
          <w:p w14:paraId="217015CA" w14:textId="77777777" w:rsidR="00105628" w:rsidRPr="00E9090B" w:rsidRDefault="00105628" w:rsidP="00105628">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 xml:space="preserve">Constitución Política, artículo 355. </w:t>
            </w:r>
          </w:p>
          <w:p w14:paraId="6400A266" w14:textId="77777777" w:rsidR="00105628" w:rsidRPr="00E9090B" w:rsidRDefault="00105628" w:rsidP="00105628">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Ley 80 de 1993, artículo 40.</w:t>
            </w:r>
          </w:p>
          <w:p w14:paraId="07630FDB" w14:textId="77777777" w:rsidR="00105628" w:rsidRPr="00E9090B" w:rsidRDefault="00105628" w:rsidP="00105628">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 xml:space="preserve">Ley 489 de 1998, artículo 96. </w:t>
            </w:r>
          </w:p>
          <w:p w14:paraId="7E63EE24" w14:textId="77777777" w:rsidR="00105628" w:rsidRPr="00E9090B" w:rsidRDefault="00105628" w:rsidP="00105628">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 xml:space="preserve">Ley 1474 de 2011, artículo 91. </w:t>
            </w:r>
          </w:p>
          <w:p w14:paraId="5AB3D403"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Decreto 1082 de 2015, artículo 2.2.1.2.3.1.7.</w:t>
            </w:r>
          </w:p>
          <w:p w14:paraId="3FD95786"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ind w:left="714" w:hanging="357"/>
              <w:jc w:val="both"/>
              <w:rPr>
                <w:rFonts w:ascii="Verdana" w:hAnsi="Verdana" w:cs="Arial"/>
                <w:lang w:val="es-ES"/>
              </w:rPr>
            </w:pPr>
            <w:r w:rsidRPr="00E9090B">
              <w:rPr>
                <w:rFonts w:ascii="Verdana" w:hAnsi="Verdana" w:cs="Arial"/>
                <w:lang w:val="es-ES"/>
              </w:rPr>
              <w:t xml:space="preserve">Decreto 092 de 2017. </w:t>
            </w:r>
          </w:p>
          <w:p w14:paraId="0FFF80C1" w14:textId="64B6FA1D" w:rsidR="00105628" w:rsidRPr="00E9090B" w:rsidRDefault="00A946D6"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Pr>
                <w:rFonts w:ascii="Verdana" w:hAnsi="Verdana" w:cs="Arial"/>
                <w:lang w:val="es-ES"/>
              </w:rPr>
              <w:t xml:space="preserve">Consejo de Estado. </w:t>
            </w:r>
            <w:bookmarkStart w:id="1" w:name="_GoBack"/>
            <w:bookmarkEnd w:id="1"/>
            <w:r w:rsidR="00105628" w:rsidRPr="00E9090B">
              <w:rPr>
                <w:rFonts w:ascii="Verdana" w:hAnsi="Verdana" w:cs="Arial"/>
                <w:lang w:val="es-ES"/>
              </w:rPr>
              <w:t>Sección Tercera. Sentencia del 22 de junio de 2001. Exp. 13.436. C.P. Ricardo Hoyos Duque</w:t>
            </w:r>
          </w:p>
          <w:p w14:paraId="57FB341E"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Consejo de Estado. Sección Cuarta. Sentencia del 23 de septiembre de 2013. Exp. 18.752. Consejero Ponente: Jorge Octavio Ramírez Ramírez).</w:t>
            </w:r>
          </w:p>
          <w:p w14:paraId="5B0B5217"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lastRenderedPageBreak/>
              <w:t>Consejo de Estado. Sección Tercera. Subsección C. Sentencia del 29 de abril de 2015. Exp. 31.620. Consejera Ponente: Olga Mélida Valle De De La Hoz (E).</w:t>
            </w:r>
          </w:p>
          <w:p w14:paraId="5C592B79"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 xml:space="preserve">Consejo de Estado. Sala de Consulta y Servicio Civil. Concepto del 30 de mayo de 2017. C.P. Edgar González López. Rad. 2.319. </w:t>
            </w:r>
          </w:p>
          <w:p w14:paraId="63E5A91B"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Consejo de Estado. Sala de lo Contencioso Administrativo. Sección Tercera – Subsección A. Sentencia del 16 de mayo de 2019. Exp. 40102. C.P: María Adriana Marín</w:t>
            </w:r>
          </w:p>
          <w:p w14:paraId="7C955D14"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 xml:space="preserve">Consejo de Estado. Sección Tercera – Subsección C. Sentencia del 2 de octubre del 2020. Exp. 63644. C.P. Jaime Enrique Rodríguez Nava. </w:t>
            </w:r>
          </w:p>
          <w:p w14:paraId="0920B42B"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 xml:space="preserve">Consejo de Estado. Sala Plena. Auto del 15 de marzo de 2022. Consejera Ponente: Rocío Araujo Oñate. Expediente: 62.003. </w:t>
            </w:r>
          </w:p>
          <w:p w14:paraId="46AC7850"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pt-BR"/>
              </w:rPr>
              <w:t xml:space="preserve">Corte Constitucional, Sala Plena. Sentencia C-543 de 2001. </w:t>
            </w:r>
            <w:r w:rsidRPr="00E9090B">
              <w:rPr>
                <w:rFonts w:ascii="Verdana" w:hAnsi="Verdana" w:cs="Arial"/>
                <w:lang w:val="es-ES"/>
              </w:rPr>
              <w:t>M.P.: lvaro Tafur Galvis.</w:t>
            </w:r>
          </w:p>
          <w:p w14:paraId="619072B9"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pt-BR"/>
              </w:rPr>
            </w:pPr>
            <w:r w:rsidRPr="00E9090B">
              <w:rPr>
                <w:rFonts w:ascii="Verdana" w:hAnsi="Verdana" w:cs="Arial"/>
                <w:lang w:val="pt-BR"/>
              </w:rPr>
              <w:t>Corte Constitucional, Sala Plena. Sentencia C-1250 de 2001. M.P.: Manuel José Cepeda Espinosa.</w:t>
            </w:r>
          </w:p>
          <w:p w14:paraId="7D8DFEFE"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pt-BR"/>
              </w:rPr>
              <w:t xml:space="preserve">Corte Constitucional, Sala Plena. Sentencia C-324 de 2009. </w:t>
            </w:r>
            <w:r w:rsidRPr="00E9090B">
              <w:rPr>
                <w:rFonts w:ascii="Verdana" w:hAnsi="Verdana" w:cs="Arial"/>
                <w:lang w:val="es-ES"/>
              </w:rPr>
              <w:t>M.P.: Juan Carlos Henao Pérez.</w:t>
            </w:r>
          </w:p>
          <w:p w14:paraId="4B7C43AB" w14:textId="0C3EC0DC" w:rsidR="00105628" w:rsidRPr="00E9090B" w:rsidRDefault="00A946D6"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Agencia Nacional De Contratación Pública – Colombia Compra Eficiente</w:t>
            </w:r>
            <w:r w:rsidR="00105628" w:rsidRPr="00E9090B">
              <w:rPr>
                <w:rFonts w:ascii="Verdana" w:hAnsi="Verdana" w:cs="Arial"/>
                <w:lang w:val="es-ES"/>
              </w:rPr>
              <w:t xml:space="preserve">. Guía para la contratación con entidades privadas sin ánimo de lucro y de reconocida idoneidad. Disponible en:  </w:t>
            </w:r>
            <w:hyperlink r:id="rId14" w:history="1">
              <w:r w:rsidR="00105628" w:rsidRPr="00E9090B">
                <w:rPr>
                  <w:rFonts w:ascii="Verdana" w:hAnsi="Verdana" w:cs="Arial"/>
                  <w:u w:val="single"/>
                  <w:lang w:val="es-ES"/>
                </w:rPr>
                <w:t>https://www.colombiacompra.gov.co/manuales-guias-y-pliegos-tipo/manuales-y-guias</w:t>
              </w:r>
            </w:hyperlink>
            <w:r w:rsidR="00105628" w:rsidRPr="00E9090B">
              <w:rPr>
                <w:rFonts w:ascii="Verdana" w:hAnsi="Verdana" w:cs="Arial"/>
                <w:lang w:val="es-ES"/>
              </w:rPr>
              <w:t xml:space="preserve"> . </w:t>
            </w:r>
          </w:p>
          <w:p w14:paraId="793CD873"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DÁVILA VINUEZA, Luis Guillermo. Régimen jurídico de la contratación estatal. Bogotá: Legis, 2016.</w:t>
            </w:r>
          </w:p>
          <w:p w14:paraId="2E48B21C"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ESCOLA, Héctor Jorge. El interés público como fundamento del derecho administrativo. Buenos Aires: Depalma, 1989.</w:t>
            </w:r>
          </w:p>
          <w:p w14:paraId="35E5993D"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EXPÓSITO VÉLEZ, Juan Carlos. Forma y contenido del contrato estatal. Bogotá: Universidad Externado de Colombia, 2013, p. 165-166)</w:t>
            </w:r>
          </w:p>
          <w:p w14:paraId="4434946C" w14:textId="77777777" w:rsidR="00105628" w:rsidRPr="00E9090B" w:rsidRDefault="00105628" w:rsidP="00105628">
            <w:pPr>
              <w:widowControl w:val="0"/>
              <w:numPr>
                <w:ilvl w:val="0"/>
                <w:numId w:val="20"/>
              </w:numPr>
              <w:tabs>
                <w:tab w:val="left" w:pos="8419"/>
              </w:tabs>
              <w:autoSpaceDE w:val="0"/>
              <w:autoSpaceDN w:val="0"/>
              <w:spacing w:before="120" w:after="120" w:line="276" w:lineRule="auto"/>
              <w:jc w:val="both"/>
              <w:rPr>
                <w:rFonts w:ascii="Verdana" w:hAnsi="Verdana" w:cs="Arial"/>
                <w:lang w:val="es-ES"/>
              </w:rPr>
            </w:pPr>
            <w:r w:rsidRPr="00E9090B">
              <w:rPr>
                <w:rFonts w:ascii="Verdana" w:hAnsi="Verdana" w:cs="Arial"/>
                <w:lang w:val="es-ES"/>
              </w:rPr>
              <w:t>MATALLANA CAMACHO, Ernesto. Manual de Contratación de la Administración Pública. Reforma de la Ley 80 de 1993. Bogotá: Universidad Externado de Colombia, 4 ed., 2015.</w:t>
            </w:r>
          </w:p>
        </w:tc>
      </w:tr>
    </w:tbl>
    <w:p w14:paraId="0FDCD3CD" w14:textId="77777777" w:rsidR="00105628" w:rsidRPr="00E9090B" w:rsidRDefault="00105628" w:rsidP="00105628">
      <w:pPr>
        <w:spacing w:after="0" w:line="276" w:lineRule="auto"/>
        <w:ind w:right="709"/>
        <w:jc w:val="both"/>
        <w:rPr>
          <w:rFonts w:ascii="Verdana" w:hAnsi="Verdana" w:cs="Arial"/>
          <w:lang w:val="es-ES_tradnl"/>
        </w:rPr>
      </w:pPr>
    </w:p>
    <w:p w14:paraId="25B60E74" w14:textId="77777777" w:rsidR="00105628" w:rsidRPr="00E9090B" w:rsidRDefault="00105628" w:rsidP="00105628">
      <w:pPr>
        <w:numPr>
          <w:ilvl w:val="0"/>
          <w:numId w:val="19"/>
        </w:numPr>
        <w:spacing w:after="0" w:line="276" w:lineRule="auto"/>
        <w:rPr>
          <w:rFonts w:ascii="Verdana" w:eastAsia="Calibri" w:hAnsi="Verdana" w:cs="Times New Roman"/>
          <w:b/>
          <w:bCs/>
          <w:lang w:val="es-ES"/>
        </w:rPr>
      </w:pPr>
      <w:r w:rsidRPr="00E9090B">
        <w:rPr>
          <w:rFonts w:ascii="Verdana" w:eastAsia="Calibri" w:hAnsi="Verdana" w:cs="Times New Roman"/>
          <w:b/>
          <w:bCs/>
          <w:lang w:val="es-ES"/>
        </w:rPr>
        <w:t>Doctrina de la Agencia Nacional de Contratación Pública:</w:t>
      </w:r>
    </w:p>
    <w:p w14:paraId="54554DB5" w14:textId="77777777" w:rsidR="00105628" w:rsidRPr="00E9090B" w:rsidRDefault="00105628" w:rsidP="00105628">
      <w:pPr>
        <w:widowControl w:val="0"/>
        <w:autoSpaceDE w:val="0"/>
        <w:autoSpaceDN w:val="0"/>
        <w:spacing w:after="0" w:line="276" w:lineRule="auto"/>
        <w:jc w:val="both"/>
        <w:rPr>
          <w:rFonts w:ascii="Verdana" w:hAnsi="Verdana" w:cs="Arial"/>
          <w:bCs/>
          <w:shd w:val="clear" w:color="auto" w:fill="FFFFFF"/>
        </w:rPr>
      </w:pPr>
    </w:p>
    <w:p w14:paraId="6793033A" w14:textId="77777777" w:rsidR="00105628" w:rsidRPr="00E9090B" w:rsidRDefault="00105628" w:rsidP="00105628">
      <w:pPr>
        <w:widowControl w:val="0"/>
        <w:autoSpaceDE w:val="0"/>
        <w:autoSpaceDN w:val="0"/>
        <w:spacing w:after="0" w:line="276" w:lineRule="auto"/>
        <w:jc w:val="both"/>
        <w:rPr>
          <w:rFonts w:ascii="Verdana" w:hAnsi="Verdana" w:cs="Arial"/>
          <w:bCs/>
          <w:shd w:val="clear" w:color="auto" w:fill="FFFFFF"/>
        </w:rPr>
      </w:pPr>
      <w:r w:rsidRPr="00E9090B">
        <w:rPr>
          <w:rFonts w:ascii="Verdana" w:hAnsi="Verdana" w:cs="Arial"/>
          <w:bCs/>
          <w:shd w:val="clear" w:color="auto" w:fill="FFFFFF"/>
        </w:rPr>
        <w:t xml:space="preserve">La Agencia Nacional de Contratación Pública – Colombia Compra Eficiente, se ha pronunciado en diferentes conceptos en torno a los anticipos y los pagos anticipados en los convenios que se enmarcan en el artículo 355 de la Constitución Política: C-037 del 5 de abril de 2023, C-197 del 28 de marzo de 2025, C-341 del 27 de agosto de 2024, entre otros. Con el fin de unificar la línea, se expide este Concepto, en la que precisa que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de asociación, así como los contratos de interés público o de colaboración y en los convenios solidarios, en las que se caractericen por no recibir una contraprestación económica, no es aplicable la remisión integral al anticipo o pago anticipado. Por tanto, no es procedente los amparos de buen manejo y correcta inversión del anticipo o devolución del pago anticipado.  </w:t>
      </w:r>
    </w:p>
    <w:p w14:paraId="0DEFA62F" w14:textId="77777777" w:rsidR="00105628" w:rsidRPr="00E9090B" w:rsidRDefault="00105628" w:rsidP="00105628">
      <w:pPr>
        <w:widowControl w:val="0"/>
        <w:autoSpaceDE w:val="0"/>
        <w:autoSpaceDN w:val="0"/>
        <w:spacing w:after="0" w:line="276" w:lineRule="auto"/>
        <w:jc w:val="both"/>
        <w:rPr>
          <w:rFonts w:ascii="Verdana" w:hAnsi="Verdana" w:cs="Arial"/>
          <w:bCs/>
          <w:shd w:val="clear" w:color="auto" w:fill="FFFFFF"/>
        </w:rPr>
      </w:pPr>
    </w:p>
    <w:p w14:paraId="5BD6C536" w14:textId="77777777" w:rsidR="0040127E" w:rsidRPr="00801B1E" w:rsidRDefault="0040127E" w:rsidP="0040127E">
      <w:pPr>
        <w:widowControl w:val="0"/>
        <w:autoSpaceDE w:val="0"/>
        <w:autoSpaceDN w:val="0"/>
        <w:spacing w:after="0" w:line="276" w:lineRule="auto"/>
        <w:jc w:val="both"/>
        <w:rPr>
          <w:rFonts w:ascii="Verdana" w:hAnsi="Verdana" w:cs="Arial"/>
          <w:bCs/>
          <w:shd w:val="clear" w:color="auto" w:fill="FFFFFF"/>
        </w:rPr>
      </w:pPr>
      <w:r w:rsidRPr="00801B1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95887C6" w14:textId="77777777" w:rsidR="0040127E" w:rsidRPr="00801B1E" w:rsidRDefault="00117133" w:rsidP="0040127E">
      <w:pPr>
        <w:spacing w:after="0" w:line="276" w:lineRule="auto"/>
        <w:jc w:val="both"/>
        <w:rPr>
          <w:rFonts w:ascii="Verdana" w:eastAsia="Calibri" w:hAnsi="Verdana" w:cs="Times New Roman"/>
        </w:rPr>
      </w:pPr>
      <w:hyperlink r:id="rId15" w:history="1">
        <w:r w:rsidR="0040127E" w:rsidRPr="00801B1E">
          <w:rPr>
            <w:rFonts w:ascii="Verdana" w:eastAsia="Calibri" w:hAnsi="Verdana" w:cs="Times New Roman"/>
            <w:color w:val="0000FF"/>
            <w:u w:val="single"/>
            <w:lang w:val="es-ES"/>
          </w:rPr>
          <w:t>https://relatoria.colombiacompra.gov.co/busqueda/conceptos</w:t>
        </w:r>
      </w:hyperlink>
      <w:r w:rsidR="0040127E" w:rsidRPr="00801B1E">
        <w:rPr>
          <w:rFonts w:ascii="Verdana" w:eastAsia="Calibri" w:hAnsi="Verdana" w:cs="Times New Roman"/>
        </w:rPr>
        <w:t xml:space="preserve">. </w:t>
      </w:r>
    </w:p>
    <w:p w14:paraId="345DAAFF" w14:textId="77777777" w:rsidR="0040127E" w:rsidRPr="00801B1E" w:rsidRDefault="0040127E" w:rsidP="0040127E">
      <w:pPr>
        <w:spacing w:after="0" w:line="276" w:lineRule="auto"/>
        <w:jc w:val="both"/>
        <w:rPr>
          <w:rFonts w:ascii="Verdana" w:eastAsia="Calibri" w:hAnsi="Verdana" w:cs="Times New Roman"/>
          <w:lang w:val="es-ES"/>
        </w:rPr>
      </w:pPr>
    </w:p>
    <w:p w14:paraId="0875B9FA" w14:textId="77777777" w:rsidR="0040127E" w:rsidRPr="00C40177" w:rsidRDefault="0040127E" w:rsidP="0040127E">
      <w:pPr>
        <w:spacing w:after="0" w:line="276" w:lineRule="auto"/>
        <w:jc w:val="both"/>
        <w:rPr>
          <w:rFonts w:ascii="Verdana" w:eastAsia="Calibri" w:hAnsi="Verdana" w:cs="Arial"/>
          <w:color w:val="000000"/>
          <w:shd w:val="clear" w:color="auto" w:fill="FFFFFF"/>
        </w:rPr>
      </w:pPr>
      <w:r w:rsidRPr="00C40177">
        <w:rPr>
          <w:rFonts w:ascii="Verdana" w:eastAsia="Calibri" w:hAnsi="Verdana" w:cs="Arial"/>
          <w:color w:val="000000"/>
          <w:shd w:val="clear" w:color="auto" w:fill="FFFFFF"/>
        </w:rPr>
        <w:t>Te informamos que ya se encuentra disponible la </w:t>
      </w:r>
      <w:r w:rsidRPr="00C40177">
        <w:rPr>
          <w:rFonts w:ascii="Verdana" w:eastAsia="Calibri" w:hAnsi="Verdana" w:cs="Arial"/>
          <w:b/>
          <w:bCs/>
          <w:color w:val="000000"/>
          <w:shd w:val="clear" w:color="auto" w:fill="FFFFFF"/>
        </w:rPr>
        <w:t>Cartilla para incentivar y fortalecer el acceso a las compras y contratación pública de los pueblos y comunidades étnicas en Colombia.</w:t>
      </w:r>
      <w:r w:rsidRPr="00C40177">
        <w:rPr>
          <w:rFonts w:ascii="Verdana" w:eastAsia="Calibri" w:hAnsi="Verdana" w:cs="Arial"/>
          <w:color w:val="000000"/>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6" w:tgtFrame="_blank" w:tooltip="Dirección URL original: https://www.colombiacompra.gov.co/manuales-guias-y-pliegos-tipo/manuales-y-guias/cartilla-para-incentivar-y-fortalecer-el-acceso-las. Haga clic o pulse si confía en este vínculo." w:history="1">
        <w:r w:rsidRPr="00C40177">
          <w:rPr>
            <w:rFonts w:ascii="Verdana" w:eastAsia="Calibri" w:hAnsi="Verdana" w:cs="Arial"/>
            <w:color w:val="0000FF"/>
            <w:u w:val="single"/>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276C6E49" w14:textId="77777777" w:rsidR="0040127E" w:rsidRPr="00C40177" w:rsidRDefault="0040127E" w:rsidP="0040127E">
      <w:pPr>
        <w:spacing w:after="0" w:line="276" w:lineRule="auto"/>
        <w:jc w:val="both"/>
        <w:rPr>
          <w:rFonts w:ascii="Verdana" w:eastAsia="Calibri" w:hAnsi="Verdana" w:cs="Arial"/>
          <w:color w:val="000000"/>
          <w:shd w:val="clear" w:color="auto" w:fill="FFFFFF"/>
        </w:rPr>
      </w:pPr>
    </w:p>
    <w:p w14:paraId="05CF9E6B" w14:textId="77777777" w:rsidR="0040127E" w:rsidRPr="00C40177" w:rsidRDefault="0040127E" w:rsidP="0040127E">
      <w:pPr>
        <w:spacing w:after="0" w:line="276" w:lineRule="auto"/>
        <w:jc w:val="both"/>
        <w:rPr>
          <w:rFonts w:ascii="Verdana" w:eastAsia="Calibri" w:hAnsi="Verdana" w:cs="Arial"/>
          <w:color w:val="000000"/>
          <w:shd w:val="clear" w:color="auto" w:fill="FFFFFF"/>
        </w:rPr>
      </w:pPr>
      <w:r w:rsidRPr="00C40177">
        <w:rPr>
          <w:rFonts w:ascii="Verdana" w:eastAsia="Calibri" w:hAnsi="Verdana" w:cs="Arial"/>
          <w:color w:val="000000"/>
          <w:shd w:val="clear" w:color="auto" w:fill="FFFFFF"/>
        </w:rPr>
        <w:lastRenderedPageBreak/>
        <w:t>De otra parte, te informamos que, con el objetivo de garantizar un conocimiento adecuado de las </w:t>
      </w:r>
      <w:r w:rsidRPr="00C40177">
        <w:rPr>
          <w:rFonts w:ascii="Verdana" w:eastAsia="Calibri" w:hAnsi="Verdana" w:cs="Arial"/>
          <w:b/>
          <w:bCs/>
          <w:color w:val="000000"/>
          <w:shd w:val="clear" w:color="auto" w:fill="FFFFFF"/>
        </w:rPr>
        <w:t>modificaciones y/o actualizaciones realizadas a los Documentos Tipo</w:t>
      </w:r>
      <w:r w:rsidRPr="00C40177">
        <w:rPr>
          <w:rFonts w:ascii="Verdana" w:eastAsia="Calibri" w:hAnsi="Verdana" w:cs="Arial"/>
          <w:color w:val="000000"/>
          <w:shd w:val="clear" w:color="auto" w:fill="FFFFFF"/>
        </w:rPr>
        <w:t>, hemos programado una serie de </w:t>
      </w:r>
      <w:r w:rsidRPr="00C40177">
        <w:rPr>
          <w:rFonts w:ascii="Verdana" w:eastAsia="Calibri" w:hAnsi="Verdana" w:cs="Arial"/>
          <w:b/>
          <w:bCs/>
          <w:color w:val="000000"/>
          <w:shd w:val="clear" w:color="auto" w:fill="FFFFFF"/>
        </w:rPr>
        <w:t>capacitaciones </w:t>
      </w:r>
      <w:r w:rsidRPr="00C40177">
        <w:rPr>
          <w:rFonts w:ascii="Verdana" w:eastAsia="Calibri" w:hAnsi="Verdana" w:cs="Arial"/>
          <w:color w:val="000000"/>
          <w:shd w:val="clear" w:color="auto" w:fill="FFFFFF"/>
        </w:rPr>
        <w:t>dirigidas a todos los actores involucrados en los procesos de selección. Podrás conocer la programación y realizar tu inscripción a estas capacitaciones a través del siguiente enlace: </w:t>
      </w:r>
      <w:hyperlink r:id="rId17" w:tgtFrame="_blank" w:tooltip="Dirección URL original: https://www.colombiacompra.gov.co/ciudadanos/calendario. Haga clic o pulse si confía en este vínculo." w:history="1">
        <w:r w:rsidRPr="00C40177">
          <w:rPr>
            <w:rFonts w:ascii="Verdana" w:eastAsia="Calibri" w:hAnsi="Verdana" w:cs="Arial"/>
            <w:color w:val="0000FF"/>
            <w:u w:val="single"/>
            <w:shd w:val="clear" w:color="auto" w:fill="FFFFFF"/>
          </w:rPr>
          <w:t>Calendario | Colombia Compra Eficiente | Agencia Nacional de Contratación Pública</w:t>
        </w:r>
      </w:hyperlink>
    </w:p>
    <w:p w14:paraId="08FD35AF" w14:textId="77777777" w:rsidR="0040127E" w:rsidRPr="00C40177" w:rsidRDefault="0040127E" w:rsidP="0040127E">
      <w:pPr>
        <w:spacing w:after="0" w:line="276" w:lineRule="auto"/>
        <w:jc w:val="both"/>
        <w:rPr>
          <w:rFonts w:ascii="Verdana" w:eastAsia="Calibri" w:hAnsi="Verdana" w:cs="Arial"/>
          <w:color w:val="000000"/>
          <w:shd w:val="clear" w:color="auto" w:fill="FFFFFF"/>
        </w:rPr>
      </w:pPr>
    </w:p>
    <w:p w14:paraId="750120A3" w14:textId="77777777" w:rsidR="0040127E" w:rsidRPr="00C40177" w:rsidRDefault="0040127E" w:rsidP="0040127E">
      <w:pPr>
        <w:spacing w:after="0" w:line="276" w:lineRule="auto"/>
        <w:jc w:val="both"/>
        <w:rPr>
          <w:rFonts w:ascii="Verdana" w:eastAsia="Calibri" w:hAnsi="Verdana" w:cs="Arial"/>
          <w:color w:val="000000"/>
          <w:shd w:val="clear" w:color="auto" w:fill="FFFFFF"/>
        </w:rPr>
      </w:pPr>
      <w:r w:rsidRPr="00C40177">
        <w:rPr>
          <w:rFonts w:ascii="Verdana" w:eastAsia="Calibri" w:hAnsi="Verdana" w:cs="Arial"/>
          <w:color w:val="000000"/>
          <w:shd w:val="clear" w:color="auto" w:fill="FFFFFF"/>
        </w:rPr>
        <w:t>También, te contamos que ya publicamos </w:t>
      </w:r>
      <w:r w:rsidRPr="00C40177">
        <w:rPr>
          <w:rFonts w:ascii="Verdana" w:eastAsia="Calibri" w:hAnsi="Verdana" w:cs="Arial"/>
          <w:b/>
          <w:bCs/>
          <w:color w:val="000000"/>
          <w:shd w:val="clear" w:color="auto" w:fill="FFFFFF"/>
        </w:rPr>
        <w:t>la nueva Guía de Contratación Pública Sostenible y Socialmente Responsable</w:t>
      </w:r>
      <w:r w:rsidRPr="00C40177">
        <w:rPr>
          <w:rFonts w:ascii="Verdana" w:eastAsia="Calibri" w:hAnsi="Verdana" w:cs="Arial"/>
          <w:color w:val="000000"/>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8" w:tgtFrame="_blank" w:tooltip="Dirección URL original: https://www.colombiacompra.gov.co/manuales-guias-y-pliegos-tipo/manuales-y-guias/guia-de-contratacion-publica-sostenible-y-socialmente. Haga clic o pulse si confía en este vínculo." w:history="1">
        <w:r w:rsidRPr="00C40177">
          <w:rPr>
            <w:rFonts w:ascii="Verdana" w:eastAsia="Calibri" w:hAnsi="Verdana" w:cs="Arial"/>
            <w:color w:val="0000FF"/>
            <w:u w:val="single"/>
            <w:shd w:val="clear" w:color="auto" w:fill="FFFFFF"/>
          </w:rPr>
          <w:t>Guía de Contratación Pública Sostenible y Socialmente Responsable | Colombia Compra Eficiente | Agencia Nacional de Contratación Pública</w:t>
        </w:r>
      </w:hyperlink>
      <w:r w:rsidRPr="00C40177">
        <w:rPr>
          <w:rFonts w:ascii="Verdana" w:eastAsia="Calibri" w:hAnsi="Verdana" w:cs="Arial"/>
          <w:color w:val="000000"/>
          <w:shd w:val="clear" w:color="auto" w:fill="FFFFFF"/>
        </w:rPr>
        <w:t>."</w:t>
      </w:r>
    </w:p>
    <w:p w14:paraId="474DF18B" w14:textId="77777777" w:rsidR="0040127E" w:rsidRDefault="0040127E" w:rsidP="0040127E">
      <w:pPr>
        <w:spacing w:after="0" w:line="276" w:lineRule="auto"/>
        <w:jc w:val="both"/>
        <w:rPr>
          <w:rFonts w:ascii="Verdana" w:hAnsi="Verdana"/>
        </w:rPr>
      </w:pPr>
    </w:p>
    <w:p w14:paraId="143843BB" w14:textId="77777777" w:rsidR="0040127E" w:rsidRPr="00801B1E" w:rsidRDefault="0040127E" w:rsidP="0040127E">
      <w:pPr>
        <w:spacing w:after="0" w:line="276" w:lineRule="auto"/>
        <w:jc w:val="both"/>
        <w:rPr>
          <w:rFonts w:ascii="Verdana" w:hAnsi="Verdana"/>
        </w:rPr>
      </w:pPr>
      <w:r w:rsidRPr="00801B1E">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D8B156E" w14:textId="77777777" w:rsidR="0040127E" w:rsidRPr="00801B1E" w:rsidRDefault="0040127E" w:rsidP="0040127E">
      <w:pPr>
        <w:spacing w:after="0" w:line="276" w:lineRule="auto"/>
        <w:jc w:val="both"/>
        <w:rPr>
          <w:rFonts w:ascii="Verdana" w:hAnsi="Verdana"/>
        </w:rPr>
      </w:pPr>
    </w:p>
    <w:p w14:paraId="6BC1F526" w14:textId="77777777" w:rsidR="0040127E" w:rsidRPr="00801B1E" w:rsidRDefault="0040127E" w:rsidP="0040127E">
      <w:pPr>
        <w:numPr>
          <w:ilvl w:val="0"/>
          <w:numId w:val="15"/>
        </w:numPr>
        <w:spacing w:after="0" w:line="276" w:lineRule="auto"/>
        <w:jc w:val="both"/>
        <w:rPr>
          <w:rFonts w:ascii="Verdana" w:hAnsi="Verdana"/>
          <w:lang w:val="es-ES"/>
        </w:rPr>
      </w:pPr>
      <w:r w:rsidRPr="00801B1E">
        <w:rPr>
          <w:rFonts w:ascii="Verdana" w:hAnsi="Verdana"/>
          <w:lang w:val="es-ES"/>
        </w:rPr>
        <w:t>Línea nacional gratuita o servicio a la ciudadanía: 01800 0520808</w:t>
      </w:r>
    </w:p>
    <w:p w14:paraId="0AE6AAFE" w14:textId="77777777" w:rsidR="0040127E" w:rsidRPr="00801B1E" w:rsidRDefault="0040127E" w:rsidP="0040127E">
      <w:pPr>
        <w:numPr>
          <w:ilvl w:val="0"/>
          <w:numId w:val="15"/>
        </w:numPr>
        <w:spacing w:after="0" w:line="276" w:lineRule="auto"/>
        <w:jc w:val="both"/>
        <w:rPr>
          <w:rFonts w:ascii="Verdana" w:hAnsi="Verdana"/>
          <w:lang w:val="es-ES"/>
        </w:rPr>
      </w:pPr>
      <w:r w:rsidRPr="00801B1E">
        <w:rPr>
          <w:rFonts w:ascii="Verdana" w:hAnsi="Verdana"/>
          <w:lang w:val="es-ES"/>
        </w:rPr>
        <w:t>Línea en Bogotá (Mesa de servicio): +57 601 7456788</w:t>
      </w:r>
    </w:p>
    <w:p w14:paraId="4E3A933C" w14:textId="77777777" w:rsidR="0040127E" w:rsidRPr="00801B1E" w:rsidRDefault="0040127E" w:rsidP="0040127E">
      <w:pPr>
        <w:numPr>
          <w:ilvl w:val="0"/>
          <w:numId w:val="15"/>
        </w:numPr>
        <w:spacing w:after="0" w:line="276" w:lineRule="auto"/>
        <w:jc w:val="both"/>
        <w:rPr>
          <w:rFonts w:ascii="Verdana" w:hAnsi="Verdana"/>
          <w:lang w:val="es-ES"/>
        </w:rPr>
      </w:pPr>
      <w:r w:rsidRPr="00801B1E">
        <w:rPr>
          <w:rFonts w:ascii="Verdana" w:hAnsi="Verdana"/>
          <w:lang w:val="es-ES"/>
        </w:rPr>
        <w:t>Línea de servicio y atención al ciudadano: +57 601 7956600</w:t>
      </w:r>
    </w:p>
    <w:p w14:paraId="382F5125" w14:textId="77777777" w:rsidR="0040127E" w:rsidRPr="00801B1E" w:rsidRDefault="0040127E" w:rsidP="0040127E">
      <w:pPr>
        <w:numPr>
          <w:ilvl w:val="0"/>
          <w:numId w:val="15"/>
        </w:numPr>
        <w:spacing w:after="0" w:line="276" w:lineRule="auto"/>
        <w:jc w:val="both"/>
        <w:rPr>
          <w:rFonts w:ascii="Verdana" w:hAnsi="Verdana"/>
          <w:lang w:val="es-ES"/>
        </w:rPr>
      </w:pPr>
      <w:r w:rsidRPr="00801B1E">
        <w:rPr>
          <w:rFonts w:ascii="Verdana" w:hAnsi="Verdana"/>
          <w:lang w:val="es-ES"/>
        </w:rPr>
        <w:t xml:space="preserve">Página web: </w:t>
      </w:r>
      <w:hyperlink r:id="rId19" w:history="1">
        <w:r w:rsidRPr="00801B1E">
          <w:rPr>
            <w:rFonts w:ascii="Verdana" w:hAnsi="Verdana"/>
            <w:color w:val="0000FF"/>
            <w:u w:val="single"/>
            <w:lang w:val="es-ES"/>
          </w:rPr>
          <w:t>www.colombiacompra.gov.co</w:t>
        </w:r>
      </w:hyperlink>
    </w:p>
    <w:p w14:paraId="0A48C4F2" w14:textId="77777777" w:rsidR="0040127E" w:rsidRPr="00801B1E" w:rsidRDefault="0040127E" w:rsidP="0040127E">
      <w:pPr>
        <w:spacing w:after="0" w:line="276" w:lineRule="auto"/>
        <w:ind w:left="785"/>
        <w:jc w:val="both"/>
        <w:rPr>
          <w:rFonts w:ascii="Verdana" w:hAnsi="Verdana"/>
          <w:lang w:val="es-ES"/>
        </w:rPr>
      </w:pPr>
    </w:p>
    <w:p w14:paraId="24B83CDA" w14:textId="77777777" w:rsidR="0040127E" w:rsidRPr="00801B1E" w:rsidRDefault="0040127E" w:rsidP="0040127E">
      <w:pPr>
        <w:spacing w:after="0" w:line="276" w:lineRule="auto"/>
        <w:jc w:val="both"/>
        <w:rPr>
          <w:rFonts w:ascii="Verdana" w:hAnsi="Verdana"/>
        </w:rPr>
      </w:pPr>
      <w:r w:rsidRPr="00801B1E">
        <w:rPr>
          <w:rFonts w:ascii="Verdana" w:hAnsi="Verdana"/>
        </w:rPr>
        <w:t xml:space="preserve">Por último, lo invitamos a seguirnos en las redes sociales en las cuales se difunde información institucional: </w:t>
      </w:r>
    </w:p>
    <w:p w14:paraId="4B032EDE" w14:textId="77777777" w:rsidR="0040127E" w:rsidRPr="00801B1E" w:rsidRDefault="0040127E" w:rsidP="0040127E">
      <w:pPr>
        <w:spacing w:after="0" w:line="276" w:lineRule="auto"/>
        <w:jc w:val="both"/>
        <w:rPr>
          <w:rFonts w:ascii="Verdana" w:hAnsi="Verdana"/>
        </w:rPr>
      </w:pPr>
    </w:p>
    <w:p w14:paraId="5429D2EA" w14:textId="77777777" w:rsidR="0040127E" w:rsidRPr="00801B1E" w:rsidRDefault="0040127E" w:rsidP="0040127E">
      <w:pPr>
        <w:spacing w:after="0" w:line="276" w:lineRule="auto"/>
        <w:jc w:val="both"/>
        <w:rPr>
          <w:rFonts w:ascii="Verdana" w:hAnsi="Verdana"/>
        </w:rPr>
      </w:pPr>
      <w:r w:rsidRPr="00801B1E">
        <w:rPr>
          <w:rFonts w:ascii="Verdana" w:hAnsi="Verdana"/>
        </w:rPr>
        <w:t xml:space="preserve">Twitter: </w:t>
      </w:r>
      <w:r w:rsidRPr="00801B1E">
        <w:rPr>
          <w:rFonts w:ascii="Verdana" w:hAnsi="Verdana"/>
          <w:color w:val="0000FF"/>
          <w:u w:val="single"/>
        </w:rPr>
        <w:t>@colombiacompra</w:t>
      </w:r>
      <w:r w:rsidRPr="00801B1E">
        <w:rPr>
          <w:rFonts w:ascii="Verdana" w:hAnsi="Verdana"/>
        </w:rPr>
        <w:t xml:space="preserve"> </w:t>
      </w:r>
    </w:p>
    <w:p w14:paraId="638D33CC" w14:textId="77777777" w:rsidR="0040127E" w:rsidRPr="00801B1E" w:rsidRDefault="0040127E" w:rsidP="0040127E">
      <w:pPr>
        <w:spacing w:after="0" w:line="276" w:lineRule="auto"/>
        <w:jc w:val="both"/>
        <w:rPr>
          <w:rFonts w:ascii="Verdana" w:hAnsi="Verdana"/>
        </w:rPr>
      </w:pPr>
      <w:r w:rsidRPr="00801B1E">
        <w:rPr>
          <w:rFonts w:ascii="Verdana" w:hAnsi="Verdana"/>
        </w:rPr>
        <w:t xml:space="preserve">Facebook: </w:t>
      </w:r>
      <w:r w:rsidRPr="00801B1E">
        <w:rPr>
          <w:rFonts w:ascii="Verdana" w:hAnsi="Verdana"/>
          <w:color w:val="0000FF"/>
          <w:u w:val="single"/>
        </w:rPr>
        <w:t>ColombiaCompraEficiente</w:t>
      </w:r>
    </w:p>
    <w:p w14:paraId="3B08FC51" w14:textId="77777777" w:rsidR="0040127E" w:rsidRPr="00801B1E" w:rsidRDefault="0040127E" w:rsidP="0040127E">
      <w:pPr>
        <w:spacing w:after="0" w:line="276" w:lineRule="auto"/>
        <w:jc w:val="both"/>
        <w:rPr>
          <w:rFonts w:ascii="Verdana" w:hAnsi="Verdana"/>
        </w:rPr>
      </w:pPr>
      <w:r w:rsidRPr="00801B1E">
        <w:rPr>
          <w:rFonts w:ascii="Verdana" w:hAnsi="Verdana"/>
        </w:rPr>
        <w:t xml:space="preserve">LinkedIn: </w:t>
      </w:r>
      <w:r w:rsidRPr="00801B1E">
        <w:rPr>
          <w:rFonts w:ascii="Verdana" w:hAnsi="Verdana"/>
          <w:color w:val="0000FF"/>
          <w:u w:val="single"/>
        </w:rPr>
        <w:t>Agencia Nacional de Contratación Pública - Colombia Compra Eficiente</w:t>
      </w:r>
      <w:r w:rsidRPr="00801B1E">
        <w:rPr>
          <w:rFonts w:ascii="Verdana" w:hAnsi="Verdana"/>
        </w:rPr>
        <w:t xml:space="preserve"> Instagram: </w:t>
      </w:r>
      <w:r w:rsidRPr="00801B1E">
        <w:rPr>
          <w:rFonts w:ascii="Verdana" w:hAnsi="Verdana"/>
          <w:color w:val="0000FF"/>
          <w:u w:val="single"/>
        </w:rPr>
        <w:t>@colombiacompraeficiente_cce</w:t>
      </w:r>
    </w:p>
    <w:p w14:paraId="62C475C8" w14:textId="77777777" w:rsidR="0040127E" w:rsidRPr="00801B1E" w:rsidRDefault="0040127E" w:rsidP="0040127E">
      <w:pPr>
        <w:spacing w:after="0" w:line="276" w:lineRule="auto"/>
        <w:jc w:val="both"/>
        <w:rPr>
          <w:rFonts w:ascii="Verdana" w:hAnsi="Verdana"/>
        </w:rPr>
      </w:pPr>
    </w:p>
    <w:p w14:paraId="25E76900" w14:textId="77777777" w:rsidR="0040127E" w:rsidRPr="00801B1E" w:rsidRDefault="0040127E" w:rsidP="0040127E">
      <w:pPr>
        <w:spacing w:after="0" w:line="276" w:lineRule="auto"/>
        <w:jc w:val="both"/>
        <w:rPr>
          <w:rFonts w:ascii="Verdana" w:eastAsia="Calibri" w:hAnsi="Verdana" w:cs="Times New Roman"/>
          <w:bCs/>
          <w:lang w:val="es-ES_tradnl"/>
        </w:rPr>
      </w:pPr>
      <w:r w:rsidRPr="00801B1E">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801B1E">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5B1B514D" w14:textId="77777777" w:rsidR="00105628" w:rsidRPr="0040127E" w:rsidRDefault="00105628" w:rsidP="00105628">
      <w:pPr>
        <w:spacing w:after="0" w:line="276" w:lineRule="auto"/>
        <w:jc w:val="both"/>
        <w:rPr>
          <w:rFonts w:ascii="Verdana" w:eastAsia="Calibri" w:hAnsi="Verdana" w:cs="Times New Roman"/>
          <w:lang w:val="es-ES_tradnl"/>
        </w:rPr>
      </w:pPr>
    </w:p>
    <w:p w14:paraId="420AD90E" w14:textId="77777777" w:rsidR="00105628" w:rsidRPr="00E9090B" w:rsidRDefault="00105628" w:rsidP="00105628">
      <w:pPr>
        <w:spacing w:after="0" w:line="276" w:lineRule="auto"/>
        <w:jc w:val="both"/>
        <w:rPr>
          <w:rFonts w:ascii="Verdana" w:eastAsia="Calibri" w:hAnsi="Verdana" w:cs="Times New Roman"/>
        </w:rPr>
      </w:pPr>
      <w:r w:rsidRPr="00E9090B">
        <w:rPr>
          <w:rFonts w:ascii="Verdana" w:eastAsia="Calibri" w:hAnsi="Verdana" w:cs="Times New Roman"/>
        </w:rPr>
        <w:t>Atentamente,</w:t>
      </w:r>
    </w:p>
    <w:p w14:paraId="3535BF02" w14:textId="77777777" w:rsidR="00105628" w:rsidRPr="00E9090B" w:rsidRDefault="00105628" w:rsidP="00105628">
      <w:pPr>
        <w:spacing w:after="0" w:line="276" w:lineRule="auto"/>
        <w:jc w:val="both"/>
        <w:rPr>
          <w:rFonts w:ascii="Verdana" w:eastAsia="Calibri" w:hAnsi="Verdana" w:cs="Times New Roman"/>
        </w:rPr>
      </w:pPr>
    </w:p>
    <w:p w14:paraId="69ED9028" w14:textId="550F8C2A" w:rsidR="00105628" w:rsidRPr="00E9090B" w:rsidRDefault="00070587" w:rsidP="00105628">
      <w:pPr>
        <w:spacing w:after="0" w:line="256" w:lineRule="auto"/>
        <w:jc w:val="center"/>
        <w:rPr>
          <w:rFonts w:ascii="Verdana" w:eastAsia="Times New Roman" w:hAnsi="Verdana" w:cs="Arial"/>
          <w:noProof/>
          <w:sz w:val="24"/>
          <w:szCs w:val="24"/>
          <w:lang w:val="en-US"/>
        </w:rPr>
      </w:pPr>
      <w:r w:rsidRPr="00A12CB6">
        <w:rPr>
          <w:rFonts w:ascii="Century Gothic" w:hAnsi="Century Gothic"/>
          <w:noProof/>
          <w:lang w:val="en-US"/>
        </w:rPr>
        <w:drawing>
          <wp:inline distT="0" distB="0" distL="0" distR="0" wp14:anchorId="50811A59" wp14:editId="03DCA22D">
            <wp:extent cx="3090135" cy="1228549"/>
            <wp:effectExtent l="0" t="0" r="0" b="0"/>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160755" cy="1256625"/>
                    </a:xfrm>
                    <a:prstGeom prst="rect">
                      <a:avLst/>
                    </a:prstGeom>
                  </pic:spPr>
                </pic:pic>
              </a:graphicData>
            </a:graphic>
          </wp:inline>
        </w:drawing>
      </w:r>
    </w:p>
    <w:p w14:paraId="59C045F7" w14:textId="77777777" w:rsidR="00105628" w:rsidRPr="00E9090B" w:rsidRDefault="00105628" w:rsidP="00105628">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05628" w:rsidRPr="00E9090B" w14:paraId="13FFCC03" w14:textId="77777777" w:rsidTr="0049433A">
        <w:trPr>
          <w:trHeight w:val="409"/>
        </w:trPr>
        <w:tc>
          <w:tcPr>
            <w:tcW w:w="817" w:type="dxa"/>
            <w:tcBorders>
              <w:top w:val="nil"/>
              <w:left w:val="nil"/>
              <w:bottom w:val="nil"/>
              <w:right w:val="nil"/>
            </w:tcBorders>
            <w:vAlign w:val="center"/>
            <w:hideMark/>
          </w:tcPr>
          <w:p w14:paraId="4049031A"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C08C546"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José Luis Sánchez Cardona</w:t>
            </w:r>
          </w:p>
          <w:p w14:paraId="0784FD8D"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Contratista de la Subdirección de Gestión Contractual</w:t>
            </w:r>
          </w:p>
        </w:tc>
      </w:tr>
      <w:tr w:rsidR="00105628" w:rsidRPr="00E9090B" w14:paraId="2351E251" w14:textId="77777777" w:rsidTr="0049433A">
        <w:trPr>
          <w:trHeight w:val="409"/>
        </w:trPr>
        <w:tc>
          <w:tcPr>
            <w:tcW w:w="817" w:type="dxa"/>
            <w:tcBorders>
              <w:top w:val="nil"/>
              <w:left w:val="nil"/>
              <w:bottom w:val="nil"/>
              <w:right w:val="nil"/>
            </w:tcBorders>
            <w:vAlign w:val="center"/>
            <w:hideMark/>
          </w:tcPr>
          <w:p w14:paraId="574254FF"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6C3A689"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Alejandro Sarmiento Cantillo</w:t>
            </w:r>
          </w:p>
          <w:p w14:paraId="3AD89ED3"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Gestor T1-15 de la Subdirección de Gestión Contractual </w:t>
            </w:r>
          </w:p>
        </w:tc>
      </w:tr>
      <w:tr w:rsidR="00105628" w:rsidRPr="00E9090B" w14:paraId="177A8D76" w14:textId="77777777" w:rsidTr="0049433A">
        <w:trPr>
          <w:trHeight w:val="389"/>
        </w:trPr>
        <w:tc>
          <w:tcPr>
            <w:tcW w:w="817" w:type="dxa"/>
            <w:tcBorders>
              <w:top w:val="nil"/>
              <w:left w:val="nil"/>
              <w:bottom w:val="nil"/>
              <w:right w:val="nil"/>
            </w:tcBorders>
            <w:vAlign w:val="center"/>
            <w:hideMark/>
          </w:tcPr>
          <w:p w14:paraId="1763F2DA"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0685C3A"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Carolina Quintero Gacharná</w:t>
            </w:r>
          </w:p>
          <w:p w14:paraId="6EA6FE66" w14:textId="77777777" w:rsidR="00105628" w:rsidRPr="00E9090B" w:rsidRDefault="00105628" w:rsidP="0049433A">
            <w:pPr>
              <w:spacing w:after="0" w:line="256" w:lineRule="auto"/>
              <w:rPr>
                <w:rFonts w:ascii="Verdana" w:eastAsia="Calibri" w:hAnsi="Verdana" w:cs="Times New Roman"/>
                <w:sz w:val="16"/>
                <w:szCs w:val="16"/>
              </w:rPr>
            </w:pPr>
            <w:r w:rsidRPr="00E9090B">
              <w:rPr>
                <w:rFonts w:ascii="Verdana" w:eastAsia="Calibri" w:hAnsi="Verdana" w:cs="Times New Roman"/>
                <w:sz w:val="16"/>
                <w:szCs w:val="16"/>
              </w:rPr>
              <w:t>Subdirectora de Gestión Contractual ANCP – CCE</w:t>
            </w:r>
          </w:p>
        </w:tc>
      </w:tr>
    </w:tbl>
    <w:p w14:paraId="5391ABD4" w14:textId="77777777" w:rsidR="00105628" w:rsidRPr="00E9090B" w:rsidRDefault="00105628" w:rsidP="00105628"/>
    <w:p w14:paraId="1679B431" w14:textId="77777777" w:rsidR="00105628" w:rsidRPr="00E9090B" w:rsidRDefault="00105628" w:rsidP="00105628">
      <w:pPr>
        <w:spacing w:after="0"/>
        <w:jc w:val="both"/>
        <w:rPr>
          <w:rStyle w:val="Hipervnculo"/>
          <w:rFonts w:ascii="Verdana" w:hAnsi="Verdana"/>
          <w:color w:val="auto"/>
        </w:rPr>
      </w:pPr>
    </w:p>
    <w:p w14:paraId="56027CEA" w14:textId="77777777" w:rsidR="00105628" w:rsidRPr="00E9090B" w:rsidRDefault="00105628" w:rsidP="00105628">
      <w:pPr>
        <w:spacing w:after="0"/>
        <w:jc w:val="both"/>
        <w:rPr>
          <w:rStyle w:val="Hipervnculo"/>
          <w:rFonts w:ascii="Verdana" w:hAnsi="Verdana"/>
          <w:color w:val="auto"/>
        </w:rPr>
      </w:pPr>
    </w:p>
    <w:p w14:paraId="387EF0EE" w14:textId="77777777" w:rsidR="00105628" w:rsidRPr="00E9090B" w:rsidRDefault="00105628" w:rsidP="00105628">
      <w:pPr>
        <w:spacing w:after="0"/>
        <w:jc w:val="both"/>
        <w:rPr>
          <w:rStyle w:val="Hipervnculo"/>
          <w:rFonts w:ascii="Verdana" w:hAnsi="Verdana"/>
          <w:color w:val="auto"/>
        </w:rPr>
      </w:pPr>
    </w:p>
    <w:p w14:paraId="78ED9EB8" w14:textId="77777777" w:rsidR="00105628" w:rsidRPr="00E9090B" w:rsidRDefault="00105628" w:rsidP="00105628">
      <w:pPr>
        <w:spacing w:after="0"/>
        <w:jc w:val="both"/>
        <w:rPr>
          <w:rStyle w:val="Hipervnculo"/>
          <w:rFonts w:ascii="Verdana" w:hAnsi="Verdana"/>
          <w:color w:val="auto"/>
        </w:rPr>
      </w:pPr>
    </w:p>
    <w:p w14:paraId="4EEEE4E4" w14:textId="77777777" w:rsidR="00105628" w:rsidRPr="00E9090B" w:rsidRDefault="00105628" w:rsidP="00105628">
      <w:pPr>
        <w:spacing w:after="0"/>
        <w:jc w:val="both"/>
        <w:rPr>
          <w:rStyle w:val="Hipervnculo"/>
          <w:rFonts w:ascii="Verdana" w:hAnsi="Verdana"/>
          <w:color w:val="auto"/>
        </w:rPr>
      </w:pPr>
    </w:p>
    <w:p w14:paraId="3DCFD5F8" w14:textId="77777777" w:rsidR="00105628" w:rsidRPr="00E9090B" w:rsidRDefault="00105628" w:rsidP="00105628">
      <w:pPr>
        <w:spacing w:after="0"/>
        <w:jc w:val="both"/>
        <w:rPr>
          <w:rStyle w:val="Hipervnculo"/>
          <w:rFonts w:ascii="Verdana" w:hAnsi="Verdana"/>
          <w:color w:val="auto"/>
        </w:rPr>
      </w:pPr>
    </w:p>
    <w:p w14:paraId="69506E72" w14:textId="77777777" w:rsidR="00105628" w:rsidRPr="00E9090B" w:rsidRDefault="00105628" w:rsidP="00105628">
      <w:pPr>
        <w:spacing w:after="0"/>
        <w:jc w:val="both"/>
        <w:rPr>
          <w:rStyle w:val="Hipervnculo"/>
          <w:rFonts w:ascii="Verdana" w:hAnsi="Verdana"/>
          <w:color w:val="auto"/>
        </w:rPr>
      </w:pPr>
    </w:p>
    <w:p w14:paraId="4DAA0612" w14:textId="77777777" w:rsidR="00105628" w:rsidRPr="00E9090B" w:rsidRDefault="00105628" w:rsidP="00105628">
      <w:pPr>
        <w:spacing w:after="0"/>
        <w:jc w:val="both"/>
        <w:rPr>
          <w:rStyle w:val="Hipervnculo"/>
          <w:rFonts w:ascii="Verdana" w:hAnsi="Verdana"/>
          <w:color w:val="auto"/>
        </w:rPr>
      </w:pPr>
    </w:p>
    <w:bookmarkEnd w:id="0"/>
    <w:p w14:paraId="0EB7C7A5" w14:textId="77777777" w:rsidR="00105628" w:rsidRPr="00E9090B" w:rsidRDefault="00105628" w:rsidP="00105628">
      <w:pPr>
        <w:spacing w:after="0" w:line="240" w:lineRule="auto"/>
        <w:textAlignment w:val="baseline"/>
        <w:rPr>
          <w:rFonts w:ascii="Verdana" w:eastAsia="Times New Roman" w:hAnsi="Verdana" w:cs="Segoe UI"/>
          <w:b/>
          <w:bCs/>
          <w:lang w:val="es-ES" w:eastAsia="es-CO"/>
        </w:rPr>
      </w:pPr>
    </w:p>
    <w:p w14:paraId="63E826D0" w14:textId="7C8DFFDA" w:rsidR="0057702A" w:rsidRPr="00105628" w:rsidRDefault="0057702A" w:rsidP="00105628">
      <w:pPr>
        <w:rPr>
          <w:lang w:val="es-ES"/>
        </w:rPr>
      </w:pPr>
    </w:p>
    <w:sectPr w:rsidR="0057702A" w:rsidRPr="00105628"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98F804" w14:textId="77777777" w:rsidR="00117133" w:rsidRDefault="00117133" w:rsidP="004A1847">
      <w:pPr>
        <w:spacing w:after="0" w:line="240" w:lineRule="auto"/>
      </w:pPr>
      <w:r>
        <w:separator/>
      </w:r>
    </w:p>
  </w:endnote>
  <w:endnote w:type="continuationSeparator" w:id="0">
    <w:p w14:paraId="2F4AB662" w14:textId="77777777" w:rsidR="00117133" w:rsidRDefault="00117133" w:rsidP="004A1847">
      <w:pPr>
        <w:spacing w:after="0" w:line="240" w:lineRule="auto"/>
      </w:pPr>
      <w:r>
        <w:continuationSeparator/>
      </w:r>
    </w:p>
  </w:endnote>
  <w:endnote w:type="continuationNotice" w:id="1">
    <w:p w14:paraId="1B3F90F9" w14:textId="77777777" w:rsidR="00117133" w:rsidRDefault="001171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altName w:val="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ArialMT">
    <w:altName w:val="Klee One"/>
    <w:panose1 w:val="00000000000000000000"/>
    <w:charset w:val="00"/>
    <w:family w:val="auto"/>
    <w:notTrueType/>
    <w:pitch w:val="default"/>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00023" w:rsidRDefault="00300023">
    <w:pPr>
      <w:pStyle w:val="Piedepgina"/>
    </w:pPr>
  </w:p>
  <w:p w14:paraId="594D6D9F" w14:textId="462626B8" w:rsidR="00300023" w:rsidRPr="00174B77" w:rsidRDefault="0030002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71932">
      <w:rPr>
        <w:rFonts w:ascii="Verdana" w:eastAsia="Times New Roman" w:hAnsi="Verdana" w:cs="Times New Roman"/>
        <w:b/>
        <w:bCs/>
        <w:sz w:val="16"/>
        <w:szCs w:val="16"/>
        <w:lang w:val="es-ES"/>
      </w:rPr>
      <w:t xml:space="preserve">pág. </w:t>
    </w:r>
    <w:r w:rsidRPr="0057193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71932">
      <w:rPr>
        <w:rFonts w:ascii="Verdana" w:eastAsia="Times New Roman" w:hAnsi="Verdana"/>
        <w:b/>
        <w:bCs/>
        <w:sz w:val="16"/>
        <w:szCs w:val="16"/>
      </w:rPr>
      <w:fldChar w:fldCharType="separate"/>
    </w:r>
    <w:r w:rsidR="00A946D6" w:rsidRPr="00A946D6">
      <w:rPr>
        <w:rFonts w:ascii="Verdana" w:eastAsia="Times New Roman" w:hAnsi="Verdana"/>
        <w:b/>
        <w:bCs/>
        <w:noProof/>
        <w:sz w:val="16"/>
        <w:szCs w:val="16"/>
      </w:rPr>
      <w:t>31</w:t>
    </w:r>
    <w:r w:rsidRPr="0057193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00023" w:rsidRDefault="0030002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00023" w:rsidRPr="00E41027" w:rsidRDefault="0030002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9A6402" w:rsidRDefault="009A6402">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EEF15E" w14:textId="77777777" w:rsidR="00117133" w:rsidRDefault="00117133" w:rsidP="004A1847">
      <w:pPr>
        <w:spacing w:after="0" w:line="240" w:lineRule="auto"/>
      </w:pPr>
      <w:r>
        <w:separator/>
      </w:r>
    </w:p>
  </w:footnote>
  <w:footnote w:type="continuationSeparator" w:id="0">
    <w:p w14:paraId="2497FB9E" w14:textId="77777777" w:rsidR="00117133" w:rsidRDefault="00117133" w:rsidP="004A1847">
      <w:pPr>
        <w:spacing w:after="0" w:line="240" w:lineRule="auto"/>
      </w:pPr>
      <w:r>
        <w:continuationSeparator/>
      </w:r>
    </w:p>
  </w:footnote>
  <w:footnote w:type="continuationNotice" w:id="1">
    <w:p w14:paraId="12510CAA" w14:textId="77777777" w:rsidR="00117133" w:rsidRDefault="00117133">
      <w:pPr>
        <w:spacing w:after="0" w:line="240" w:lineRule="auto"/>
      </w:pPr>
    </w:p>
  </w:footnote>
  <w:footnote w:id="2">
    <w:p w14:paraId="1B161B63" w14:textId="77777777" w:rsidR="00105628" w:rsidRPr="004F3389" w:rsidRDefault="00105628" w:rsidP="00105628">
      <w:pPr>
        <w:pStyle w:val="Textonotapie"/>
        <w:ind w:firstLine="709"/>
        <w:jc w:val="both"/>
        <w:rPr>
          <w:rFonts w:ascii="Verdana" w:hAnsi="Verdana" w:cs="Vrinda"/>
          <w:sz w:val="16"/>
          <w:szCs w:val="16"/>
        </w:rPr>
      </w:pPr>
      <w:r w:rsidRPr="004F3389">
        <w:rPr>
          <w:rStyle w:val="Refdenotaalpie"/>
          <w:rFonts w:ascii="Verdana" w:hAnsi="Verdana" w:cs="Vrinda"/>
          <w:sz w:val="16"/>
          <w:szCs w:val="16"/>
        </w:rPr>
        <w:footnoteRef/>
      </w:r>
      <w:r w:rsidRPr="004F3389">
        <w:rPr>
          <w:rFonts w:ascii="Verdana" w:hAnsi="Verdana" w:cs="Vrinda"/>
          <w:sz w:val="16"/>
          <w:szCs w:val="16"/>
        </w:rPr>
        <w:t xml:space="preserve"> Consejo de Estado. Sección Tercera. Subsección C. Sentencia del 29 de abril de 2015. Exp. 31.620. Consejera Ponente: Olga Mélida Valle De De La Hoz (E).</w:t>
      </w:r>
    </w:p>
    <w:p w14:paraId="3A256734" w14:textId="77777777" w:rsidR="00105628" w:rsidRPr="004F3389" w:rsidRDefault="00105628" w:rsidP="00105628">
      <w:pPr>
        <w:pStyle w:val="Textonotapie"/>
        <w:ind w:firstLine="709"/>
        <w:jc w:val="both"/>
        <w:rPr>
          <w:rFonts w:ascii="Verdana" w:hAnsi="Verdana" w:cs="Vrinda"/>
          <w:sz w:val="16"/>
          <w:szCs w:val="16"/>
          <w:lang w:val="es-CO"/>
        </w:rPr>
      </w:pPr>
    </w:p>
  </w:footnote>
  <w:footnote w:id="3">
    <w:p w14:paraId="47F4FF3F" w14:textId="77777777" w:rsidR="00105628" w:rsidRPr="004F3389" w:rsidRDefault="00105628" w:rsidP="00105628">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w:t>
      </w:r>
      <w:r w:rsidRPr="004F3389">
        <w:rPr>
          <w:rFonts w:ascii="Verdana" w:hAnsi="Verdana"/>
          <w:sz w:val="16"/>
          <w:szCs w:val="16"/>
          <w:lang w:val="es-ES" w:bidi="es-ES"/>
        </w:rPr>
        <w:t xml:space="preserve">(Cfr. Sección Tercera. Sentencia del 22 de junio de 2001. Radicado 13.436. </w:t>
      </w:r>
      <w:r w:rsidRPr="004F3389">
        <w:rPr>
          <w:rFonts w:ascii="Verdana" w:hAnsi="Verdana"/>
          <w:i/>
          <w:sz w:val="16"/>
          <w:szCs w:val="16"/>
          <w:lang w:val="es-ES" w:bidi="es-ES"/>
        </w:rPr>
        <w:t>Citada en</w:t>
      </w:r>
      <w:r w:rsidRPr="004F3389">
        <w:rPr>
          <w:rFonts w:ascii="Verdana" w:hAnsi="Verdana"/>
          <w:sz w:val="16"/>
          <w:szCs w:val="16"/>
          <w:lang w:val="es-ES" w:bidi="es-ES"/>
        </w:rPr>
        <w:t>: Sección Cuarta. Sentencia del 23 de septiembre de 2013. Radicado 18.752. Consejero Ponente: Jorge Octavio Ramírez Ramírez).</w:t>
      </w:r>
    </w:p>
  </w:footnote>
  <w:footnote w:id="4">
    <w:p w14:paraId="1CF0E70F" w14:textId="77777777" w:rsidR="00105628" w:rsidRPr="004F3389" w:rsidRDefault="00105628" w:rsidP="00105628">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Sala de lo Contencioso Administrativo. Sección Tercera – Subsección A. Sentencia del 16 de mayo de 2019. Rad. (40102). C.P: María Adriana Marín [cita No. 35]. </w:t>
      </w:r>
    </w:p>
  </w:footnote>
  <w:footnote w:id="5">
    <w:p w14:paraId="60DCF5C0" w14:textId="77777777" w:rsidR="00105628" w:rsidRPr="004F3389" w:rsidRDefault="00105628" w:rsidP="00105628">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Sala de lo Contencioso Administrativo. Sección Tercera – Subsección A. Sentencia del 16 de mayo de 2019. Rad. (40102). C.P: María Adriana Marín</w:t>
      </w:r>
    </w:p>
  </w:footnote>
  <w:footnote w:id="6">
    <w:p w14:paraId="17CCB5A6" w14:textId="77777777" w:rsidR="00105628" w:rsidRPr="004F3389" w:rsidRDefault="00105628" w:rsidP="00105628">
      <w:pPr>
        <w:pStyle w:val="Textonotapie"/>
        <w:ind w:firstLine="709"/>
        <w:jc w:val="both"/>
        <w:rPr>
          <w:rFonts w:ascii="Verdana" w:hAnsi="Verdana"/>
          <w:color w:val="000000" w:themeColor="text1"/>
          <w:sz w:val="16"/>
          <w:szCs w:val="16"/>
          <w:lang w:val="es-CO"/>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Sala de lo Contencioso Administrativo. Sección Tercera – Subsección C. Sentencia del 2 de octubre del 2020. Rad. 63644. CP. Jaime Enrique Rodríguez Nava. </w:t>
      </w:r>
    </w:p>
  </w:footnote>
  <w:footnote w:id="7">
    <w:p w14:paraId="23614E30" w14:textId="77777777" w:rsidR="00105628" w:rsidRPr="004F3389" w:rsidRDefault="00105628" w:rsidP="00105628">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Sección Tercera. Sentencia de 22 de junio de 2001. Exp. 13436, C.P. Ricardo Hoyos Duque</w:t>
      </w:r>
    </w:p>
  </w:footnote>
  <w:footnote w:id="8">
    <w:p w14:paraId="670159B5" w14:textId="77777777" w:rsidR="00105628" w:rsidRPr="004F3389" w:rsidRDefault="00105628" w:rsidP="00105628">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4F3389">
        <w:rPr>
          <w:rFonts w:ascii="Verdana" w:eastAsia="Calibri" w:hAnsi="Verdana"/>
          <w:color w:val="000000" w:themeColor="text1"/>
          <w:sz w:val="16"/>
          <w:szCs w:val="16"/>
        </w:rPr>
        <w:t>” (</w:t>
      </w:r>
      <w:r w:rsidRPr="004F3389">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4F3389">
        <w:rPr>
          <w:rFonts w:ascii="Verdana" w:eastAsia="Calibri" w:hAnsi="Verdana"/>
          <w:color w:val="000000" w:themeColor="text1"/>
          <w:sz w:val="16"/>
          <w:szCs w:val="16"/>
        </w:rPr>
        <w:t>”</w:t>
      </w:r>
      <w:r w:rsidRPr="004F3389">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9">
    <w:p w14:paraId="39DB5F87" w14:textId="77777777" w:rsidR="00105628" w:rsidRPr="004F3389" w:rsidRDefault="00105628" w:rsidP="00105628">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DÁVILA VINUEZA, Luis Guillermo. Régimen jurídico de la contratación estatal. Bogotá: Legis, 2016. p. 600.</w:t>
      </w:r>
    </w:p>
  </w:footnote>
  <w:footnote w:id="10">
    <w:p w14:paraId="2FEC91AA"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Style w:val="Refdenotaalpie"/>
          <w:rFonts w:ascii="Verdana" w:hAnsi="Verdana" w:cs="Arial"/>
          <w:color w:val="000000" w:themeColor="text1"/>
          <w:sz w:val="16"/>
          <w:szCs w:val="16"/>
        </w:rPr>
        <w:footnoteRef/>
      </w:r>
      <w:r w:rsidRPr="004F3389">
        <w:rPr>
          <w:rFonts w:ascii="Verdana" w:hAnsi="Verdana"/>
          <w:color w:val="000000" w:themeColor="text1"/>
          <w:sz w:val="16"/>
          <w:szCs w:val="16"/>
        </w:rPr>
        <w:t xml:space="preserve"> </w:t>
      </w:r>
      <w:r w:rsidRPr="004F3389">
        <w:rPr>
          <w:rFonts w:ascii="Verdana" w:hAnsi="Verdana" w:cs="Arial"/>
          <w:color w:val="000000" w:themeColor="text1"/>
          <w:sz w:val="16"/>
          <w:szCs w:val="16"/>
        </w:rPr>
        <w:t>ARTÍCULO 2.2.1.2.3.1.7. Garantía de cumplimiento. La garantía de cumplimiento del contrato debe cubrir:</w:t>
      </w:r>
    </w:p>
    <w:p w14:paraId="219CF582"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1D835266"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51FCC22F"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 Cumplimiento del contrato. Este amparo cubre a la Entidad Estatal de los perjuicios derivados de:</w:t>
      </w:r>
    </w:p>
    <w:p w14:paraId="68B26894"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3.1. El incumplimiento total o parcial del contrato, cuando el incumplimiento es imputable al contratista;</w:t>
      </w:r>
    </w:p>
    <w:p w14:paraId="1F62D800"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3.2. El cumplimiento tardío o defectuoso del contrato, cuando el incumplimiento es imputable al contratista;</w:t>
      </w:r>
    </w:p>
    <w:p w14:paraId="2E05307F"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3.3. Los daños imputables al contratista por entregas parciales de la obra, cuando el contrato no prevé entregas parciales; y</w:t>
      </w:r>
    </w:p>
    <w:p w14:paraId="18225054"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3.4. El pago del valor de las multas y de la cláusula penal pecuniaria.</w:t>
      </w:r>
    </w:p>
    <w:p w14:paraId="77707856"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30C56292"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1F634119" w14:textId="77777777" w:rsidR="00105628" w:rsidRPr="004F3389" w:rsidRDefault="00105628" w:rsidP="00105628">
      <w:pPr>
        <w:pStyle w:val="Sinespaciado"/>
        <w:ind w:firstLine="708"/>
        <w:jc w:val="both"/>
        <w:rPr>
          <w:rFonts w:ascii="Verdana" w:eastAsia="Calibri" w:hAnsi="Verdana" w:cs="Arial"/>
          <w:color w:val="000000" w:themeColor="text1"/>
          <w:sz w:val="16"/>
          <w:szCs w:val="16"/>
          <w:lang w:val="es-ES"/>
        </w:rPr>
      </w:pPr>
      <w:r w:rsidRPr="004F3389">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3DC52F8D"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6. Calidad del servicio. Este amparo cubre a la Entidad Estatal por los perjuicios derivados de la deficiente calidad del servicio prestado.</w:t>
      </w:r>
    </w:p>
    <w:p w14:paraId="50BE1B66"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282DF677" w14:textId="77777777" w:rsidR="00105628" w:rsidRPr="004F3389" w:rsidRDefault="00105628" w:rsidP="00105628">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 w:id="11">
    <w:p w14:paraId="065507FA"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12">
    <w:p w14:paraId="071FC602"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8FBF970" w14:textId="77777777" w:rsidR="00105628" w:rsidRPr="004F3389" w:rsidRDefault="00105628" w:rsidP="00105628">
      <w:pPr>
        <w:pStyle w:val="Textonotapie"/>
        <w:ind w:firstLine="708"/>
        <w:jc w:val="both"/>
        <w:rPr>
          <w:rFonts w:ascii="Verdana" w:hAnsi="Verdana" w:cs="Arial"/>
          <w:color w:val="000000"/>
          <w:sz w:val="16"/>
          <w:szCs w:val="16"/>
        </w:rPr>
      </w:pPr>
      <w:r w:rsidRPr="004F3389">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13">
    <w:p w14:paraId="259D3F2A"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14">
    <w:p w14:paraId="1C8D034E" w14:textId="77777777" w:rsidR="00105628" w:rsidRPr="004F3389" w:rsidRDefault="00105628" w:rsidP="00105628">
      <w:pPr>
        <w:pStyle w:val="Textonotapie"/>
        <w:ind w:firstLine="708"/>
        <w:jc w:val="both"/>
        <w:rPr>
          <w:rFonts w:ascii="Verdana" w:hAnsi="Verdana"/>
          <w:sz w:val="16"/>
          <w:szCs w:val="16"/>
        </w:rPr>
      </w:pPr>
      <w:r w:rsidRPr="004F3389">
        <w:rPr>
          <w:rStyle w:val="Refdenotaalpie"/>
          <w:rFonts w:ascii="Verdana" w:hAnsi="Verdana"/>
          <w:sz w:val="16"/>
          <w:szCs w:val="16"/>
        </w:rPr>
        <w:footnoteRef/>
      </w:r>
      <w:r w:rsidRPr="004F3389">
        <w:rPr>
          <w:rFonts w:ascii="Verdana" w:hAnsi="Verdana"/>
          <w:sz w:val="16"/>
          <w:szCs w:val="16"/>
        </w:rPr>
        <w:t xml:space="preserve"> Consejo de Estado. Sala de Consulta y Servicio Civil. Concepto del 30 de mayo de 2017. C.P. Edgar González López. Rad. 2.319. </w:t>
      </w:r>
    </w:p>
  </w:footnote>
  <w:footnote w:id="15">
    <w:p w14:paraId="68C48107" w14:textId="77777777" w:rsidR="00105628" w:rsidRPr="004F3389" w:rsidRDefault="00105628" w:rsidP="00105628">
      <w:pPr>
        <w:pStyle w:val="Textonotapie"/>
        <w:ind w:firstLine="708"/>
        <w:jc w:val="both"/>
        <w:rPr>
          <w:rFonts w:ascii="Verdana" w:hAnsi="Verdana"/>
          <w:sz w:val="16"/>
          <w:szCs w:val="16"/>
        </w:rPr>
      </w:pPr>
      <w:r w:rsidRPr="004F3389">
        <w:rPr>
          <w:rStyle w:val="Refdenotaalpie"/>
          <w:rFonts w:ascii="Verdana" w:hAnsi="Verdana"/>
          <w:sz w:val="16"/>
          <w:szCs w:val="16"/>
        </w:rPr>
        <w:footnoteRef/>
      </w:r>
      <w:r w:rsidRPr="004F3389">
        <w:rPr>
          <w:rFonts w:ascii="Verdana" w:hAnsi="Verdana"/>
          <w:sz w:val="16"/>
          <w:szCs w:val="16"/>
        </w:rPr>
        <w:t xml:space="preserve"> Corte Constitucional, Sala Plena. Sentencia C-1250 de 2001. M.P.: Manuel José Cepeda Espinosa.</w:t>
      </w:r>
    </w:p>
  </w:footnote>
  <w:footnote w:id="16">
    <w:p w14:paraId="5596E480" w14:textId="77777777" w:rsidR="00105628" w:rsidRPr="004F3389" w:rsidRDefault="00105628" w:rsidP="00105628">
      <w:pPr>
        <w:pStyle w:val="Textonotapie"/>
        <w:ind w:firstLine="708"/>
        <w:rPr>
          <w:rFonts w:ascii="Verdana" w:hAnsi="Verdana"/>
          <w:sz w:val="16"/>
          <w:szCs w:val="16"/>
        </w:rPr>
      </w:pPr>
      <w:r w:rsidRPr="004F3389">
        <w:rPr>
          <w:rStyle w:val="Refdenotaalpie"/>
          <w:rFonts w:ascii="Verdana" w:hAnsi="Verdana"/>
          <w:sz w:val="16"/>
          <w:szCs w:val="16"/>
        </w:rPr>
        <w:footnoteRef/>
      </w:r>
      <w:r w:rsidRPr="004F3389">
        <w:rPr>
          <w:rFonts w:ascii="Verdana" w:hAnsi="Verdana"/>
          <w:sz w:val="16"/>
          <w:szCs w:val="16"/>
        </w:rPr>
        <w:t xml:space="preserve"> Corte Constitucional, Sala Plena. </w:t>
      </w:r>
      <w:r w:rsidRPr="004F3389">
        <w:rPr>
          <w:rFonts w:ascii="Verdana" w:hAnsi="Verdana"/>
          <w:sz w:val="16"/>
          <w:szCs w:val="16"/>
          <w:lang w:val="es-CO"/>
        </w:rPr>
        <w:t xml:space="preserve">Sentencia C-324 de 2009. </w:t>
      </w:r>
      <w:r w:rsidRPr="004F3389">
        <w:rPr>
          <w:rFonts w:ascii="Verdana" w:hAnsi="Verdana"/>
          <w:sz w:val="16"/>
          <w:szCs w:val="16"/>
        </w:rPr>
        <w:t>M.P.: Juan Carlos Henao Pérez.</w:t>
      </w:r>
    </w:p>
  </w:footnote>
  <w:footnote w:id="17">
    <w:p w14:paraId="18C8DF1D" w14:textId="77777777" w:rsidR="00105628" w:rsidRPr="00E9090B" w:rsidRDefault="00105628" w:rsidP="00105628">
      <w:pPr>
        <w:pStyle w:val="Textonotapie"/>
        <w:ind w:firstLine="708"/>
        <w:jc w:val="both"/>
        <w:rPr>
          <w:rFonts w:ascii="Verdana" w:hAnsi="Verdana"/>
          <w:sz w:val="16"/>
          <w:szCs w:val="16"/>
          <w:lang w:val="pt-BR"/>
        </w:rPr>
      </w:pPr>
      <w:r w:rsidRPr="004F3389">
        <w:rPr>
          <w:rStyle w:val="Refdenotaalpie"/>
          <w:rFonts w:ascii="Verdana" w:hAnsi="Verdana"/>
          <w:sz w:val="16"/>
          <w:szCs w:val="16"/>
        </w:rPr>
        <w:footnoteRef/>
      </w:r>
      <w:r w:rsidRPr="004F3389">
        <w:rPr>
          <w:rFonts w:ascii="Verdana" w:hAnsi="Verdana"/>
          <w:sz w:val="16"/>
          <w:szCs w:val="16"/>
          <w:lang w:val="pt-BR"/>
        </w:rPr>
        <w:t xml:space="preserve"> Corte Constitucional, Sala Plena. Sentencia C-324 de 2009. </w:t>
      </w:r>
      <w:r w:rsidRPr="004F3389">
        <w:rPr>
          <w:rFonts w:ascii="Verdana" w:hAnsi="Verdana"/>
          <w:sz w:val="16"/>
          <w:szCs w:val="16"/>
        </w:rPr>
        <w:t xml:space="preserve">M.P.: Juan Carlos Henao Pérez. </w:t>
      </w:r>
      <w:r w:rsidRPr="00E9090B">
        <w:rPr>
          <w:rFonts w:ascii="Verdana" w:hAnsi="Verdana"/>
          <w:sz w:val="16"/>
          <w:szCs w:val="16"/>
          <w:lang w:val="pt-BR"/>
        </w:rPr>
        <w:t>En igual sentido, véase Corte Constitucional, Sala Plena. Sentencia C-027 de 2016.</w:t>
      </w:r>
    </w:p>
  </w:footnote>
  <w:footnote w:id="18">
    <w:p w14:paraId="6D24227D" w14:textId="77777777" w:rsidR="00105628" w:rsidRPr="004F3389" w:rsidRDefault="00105628" w:rsidP="00105628">
      <w:pPr>
        <w:pStyle w:val="Textonotapie"/>
        <w:ind w:firstLine="708"/>
        <w:jc w:val="both"/>
        <w:rPr>
          <w:rFonts w:ascii="Verdana" w:hAnsi="Verdana"/>
          <w:sz w:val="16"/>
          <w:szCs w:val="16"/>
        </w:rPr>
      </w:pPr>
      <w:r w:rsidRPr="004F3389">
        <w:rPr>
          <w:rStyle w:val="Refdenotaalpie"/>
          <w:rFonts w:ascii="Verdana" w:hAnsi="Verdana"/>
          <w:sz w:val="16"/>
          <w:szCs w:val="16"/>
        </w:rPr>
        <w:footnoteRef/>
      </w:r>
      <w:r w:rsidRPr="00E9090B">
        <w:rPr>
          <w:rFonts w:ascii="Verdana" w:hAnsi="Verdana"/>
          <w:sz w:val="16"/>
          <w:szCs w:val="16"/>
          <w:lang w:val="pt-BR"/>
        </w:rPr>
        <w:t xml:space="preserve"> ESCOLA, Héctor Jorge. </w:t>
      </w:r>
      <w:r w:rsidRPr="004F3389">
        <w:rPr>
          <w:rFonts w:ascii="Verdana" w:hAnsi="Verdana"/>
          <w:sz w:val="16"/>
          <w:szCs w:val="16"/>
        </w:rPr>
        <w:t>El interés público como fundamento del derecho administrativo. Buenos Aires: Depalma, 1989, 249-250.</w:t>
      </w:r>
    </w:p>
  </w:footnote>
  <w:footnote w:id="19">
    <w:p w14:paraId="1E4C1624" w14:textId="77777777" w:rsidR="00105628" w:rsidRPr="004F3389" w:rsidRDefault="00105628" w:rsidP="00105628">
      <w:pPr>
        <w:pStyle w:val="Textonotapie"/>
        <w:ind w:firstLine="708"/>
        <w:jc w:val="both"/>
        <w:rPr>
          <w:rFonts w:ascii="Verdana" w:eastAsia="Calibri" w:hAnsi="Verdana" w:cs="Arial"/>
          <w:bCs/>
          <w:i/>
          <w:iCs/>
          <w:color w:val="000000" w:themeColor="text1"/>
          <w:sz w:val="16"/>
          <w:szCs w:val="16"/>
          <w:lang w:val="pt-PT"/>
        </w:rPr>
      </w:pPr>
      <w:r w:rsidRPr="004F3389">
        <w:rPr>
          <w:rStyle w:val="Refdenotaalpie"/>
          <w:rFonts w:ascii="Verdana" w:hAnsi="Verdana"/>
          <w:sz w:val="16"/>
          <w:szCs w:val="16"/>
        </w:rPr>
        <w:footnoteRef/>
      </w:r>
      <w:r w:rsidRPr="004F3389">
        <w:rPr>
          <w:rFonts w:ascii="Verdana" w:hAnsi="Verdana"/>
          <w:sz w:val="16"/>
          <w:szCs w:val="16"/>
        </w:rPr>
        <w:t xml:space="preserve"> Agencia Nacional de Contratación Pública Colombia Compra Eficiente. </w:t>
      </w:r>
      <w:r w:rsidRPr="004F3389">
        <w:rPr>
          <w:rFonts w:ascii="Verdana" w:eastAsia="Calibri" w:hAnsi="Verdana" w:cs="Arial"/>
          <w:bCs/>
          <w:i/>
          <w:iCs/>
          <w:color w:val="000000" w:themeColor="text1"/>
          <w:sz w:val="16"/>
          <w:szCs w:val="16"/>
        </w:rPr>
        <w:t xml:space="preserve">Guía para la contratación con entidades privadas sin ánimo de lucro y de reconocida idoneidad. </w:t>
      </w:r>
      <w:r w:rsidRPr="004F3389">
        <w:rPr>
          <w:rFonts w:ascii="Verdana" w:eastAsia="Calibri" w:hAnsi="Verdana" w:cs="Arial"/>
          <w:bCs/>
          <w:color w:val="000000" w:themeColor="text1"/>
          <w:sz w:val="16"/>
          <w:szCs w:val="16"/>
          <w:lang w:val="pt-PT"/>
        </w:rPr>
        <w:t>Pág. 9.</w:t>
      </w:r>
      <w:r w:rsidRPr="004F3389">
        <w:rPr>
          <w:rFonts w:ascii="Verdana" w:eastAsia="Calibri" w:hAnsi="Verdana" w:cs="Arial"/>
          <w:bCs/>
          <w:i/>
          <w:iCs/>
          <w:color w:val="000000" w:themeColor="text1"/>
          <w:sz w:val="16"/>
          <w:szCs w:val="16"/>
          <w:lang w:val="pt-PT"/>
        </w:rPr>
        <w:t xml:space="preserve"> </w:t>
      </w:r>
      <w:r w:rsidRPr="004F3389">
        <w:rPr>
          <w:rFonts w:ascii="Verdana" w:eastAsia="Calibri" w:hAnsi="Verdana" w:cs="Arial"/>
          <w:bCs/>
          <w:color w:val="000000" w:themeColor="text1"/>
          <w:sz w:val="16"/>
          <w:szCs w:val="16"/>
          <w:lang w:val="pt-PT"/>
        </w:rPr>
        <w:t>Consultar en:</w:t>
      </w:r>
    </w:p>
    <w:p w14:paraId="67FA18F3" w14:textId="77777777" w:rsidR="00105628" w:rsidRPr="004F3389" w:rsidRDefault="00117133" w:rsidP="00105628">
      <w:pPr>
        <w:pStyle w:val="Textonotapie"/>
        <w:jc w:val="both"/>
        <w:rPr>
          <w:rFonts w:ascii="Verdana" w:hAnsi="Verdana"/>
          <w:sz w:val="16"/>
          <w:szCs w:val="16"/>
          <w:lang w:val="pt-PT"/>
        </w:rPr>
      </w:pPr>
      <w:hyperlink r:id="rId1" w:history="1">
        <w:r w:rsidR="00105628" w:rsidRPr="004F3389">
          <w:rPr>
            <w:rStyle w:val="Hipervnculo"/>
            <w:rFonts w:ascii="Verdana" w:hAnsi="Verdana"/>
            <w:sz w:val="16"/>
            <w:szCs w:val="16"/>
            <w:lang w:val="pt-PT"/>
          </w:rPr>
          <w:t>https://www.colombiacompra.gov.co/sites/cce_public/files/cce_documents/cce_guia_esal.pdf</w:t>
        </w:r>
      </w:hyperlink>
      <w:r w:rsidR="00105628" w:rsidRPr="004F3389">
        <w:rPr>
          <w:rFonts w:ascii="Verdana" w:hAnsi="Verdana"/>
          <w:sz w:val="16"/>
          <w:szCs w:val="16"/>
          <w:lang w:val="pt-PT"/>
        </w:rPr>
        <w:t xml:space="preserve"> </w:t>
      </w:r>
    </w:p>
    <w:p w14:paraId="009C1320" w14:textId="77777777" w:rsidR="00105628" w:rsidRPr="004F3389" w:rsidRDefault="00105628" w:rsidP="00105628">
      <w:pPr>
        <w:pStyle w:val="Textonotapie"/>
        <w:jc w:val="both"/>
        <w:rPr>
          <w:rFonts w:ascii="Verdana" w:hAnsi="Verdana"/>
          <w:sz w:val="16"/>
          <w:szCs w:val="16"/>
          <w:lang w:val="pt-PT"/>
        </w:rPr>
      </w:pPr>
    </w:p>
  </w:footnote>
  <w:footnote w:id="20">
    <w:p w14:paraId="7E9654DD" w14:textId="77777777" w:rsidR="00105628" w:rsidRPr="004F3389" w:rsidRDefault="00105628" w:rsidP="00105628">
      <w:pPr>
        <w:pStyle w:val="Textonotapie"/>
        <w:ind w:firstLine="708"/>
        <w:rPr>
          <w:rFonts w:ascii="Verdana" w:hAnsi="Verdana"/>
          <w:sz w:val="16"/>
          <w:szCs w:val="16"/>
          <w:lang w:val="es-CO"/>
        </w:rPr>
      </w:pPr>
      <w:r w:rsidRPr="004F3389">
        <w:rPr>
          <w:rStyle w:val="Refdenotaalpie"/>
          <w:rFonts w:ascii="Verdana" w:hAnsi="Verdana"/>
          <w:sz w:val="16"/>
          <w:szCs w:val="16"/>
        </w:rPr>
        <w:footnoteRef/>
      </w:r>
      <w:r w:rsidRPr="004F3389">
        <w:rPr>
          <w:rFonts w:ascii="Verdana" w:hAnsi="Verdana"/>
          <w:sz w:val="16"/>
          <w:szCs w:val="16"/>
          <w:lang w:val="pt-BR"/>
        </w:rPr>
        <w:t xml:space="preserve"> Corte Constitucional, Sala Plena. </w:t>
      </w:r>
      <w:r w:rsidRPr="004F3389">
        <w:rPr>
          <w:rFonts w:ascii="Verdana" w:hAnsi="Verdana"/>
          <w:sz w:val="16"/>
          <w:szCs w:val="16"/>
          <w:lang w:val="es-CO"/>
        </w:rPr>
        <w:t>Sentencia C-543 de 2001. M.P.: lvaro Tafur Galvis.</w:t>
      </w:r>
    </w:p>
    <w:p w14:paraId="6842A2DC" w14:textId="77777777" w:rsidR="00105628" w:rsidRPr="004F3389" w:rsidRDefault="00105628" w:rsidP="00105628">
      <w:pPr>
        <w:pStyle w:val="Textonotapie"/>
        <w:ind w:firstLine="708"/>
        <w:rPr>
          <w:rFonts w:ascii="Verdana" w:hAnsi="Verdana"/>
          <w:sz w:val="16"/>
          <w:szCs w:val="16"/>
          <w:lang w:val="es-CO"/>
        </w:rPr>
      </w:pPr>
    </w:p>
  </w:footnote>
  <w:footnote w:id="21">
    <w:p w14:paraId="5F6ED1F9" w14:textId="77777777" w:rsidR="00105628" w:rsidRPr="004F3389" w:rsidRDefault="00105628" w:rsidP="00105628">
      <w:pPr>
        <w:pStyle w:val="Textonotapie"/>
        <w:ind w:firstLine="708"/>
        <w:rPr>
          <w:rFonts w:ascii="Verdana" w:hAnsi="Verdana"/>
          <w:sz w:val="16"/>
          <w:szCs w:val="16"/>
          <w:lang w:val="es-CO"/>
        </w:rPr>
      </w:pPr>
      <w:r w:rsidRPr="004F3389">
        <w:rPr>
          <w:rStyle w:val="Refdenotaalpie"/>
          <w:rFonts w:ascii="Verdana" w:hAnsi="Verdana"/>
          <w:sz w:val="16"/>
          <w:szCs w:val="16"/>
        </w:rPr>
        <w:footnoteRef/>
      </w:r>
      <w:r w:rsidRPr="004F3389">
        <w:rPr>
          <w:rFonts w:ascii="Verdana" w:hAnsi="Verdana"/>
          <w:sz w:val="16"/>
          <w:szCs w:val="16"/>
        </w:rPr>
        <w:t xml:space="preserve"> </w:t>
      </w:r>
      <w:r w:rsidRPr="004F3389">
        <w:rPr>
          <w:rFonts w:ascii="Verdana" w:hAnsi="Verdana"/>
          <w:sz w:val="16"/>
          <w:szCs w:val="16"/>
          <w:lang w:val="es-CO"/>
        </w:rPr>
        <w:t>Decreto 092 de 2017. Artículo 9</w:t>
      </w:r>
    </w:p>
  </w:footnote>
  <w:footnote w:id="22">
    <w:p w14:paraId="397A278E"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 dado que el Decreto 092 de 2017 no restringe ninguna forma de asociación, las ESAL pueden constituirse como unión temporal o consorcio para efectos de la celebración de contratos de colaboración o convenios de asociación”. (AGENCIA NACIONAL DE CONTRATACIÓN PÚBLICA – COLOMBIA COMPRA EFICIENTE. Guía para la contratación con entidades privadas sin ánimo de lucro y de reconocida idoneidad. Disponible en:  </w:t>
      </w:r>
      <w:hyperlink r:id="rId2" w:history="1">
        <w:r w:rsidRPr="004F3389">
          <w:rPr>
            <w:rStyle w:val="Hipervnculo"/>
            <w:rFonts w:ascii="Verdana" w:hAnsi="Verdana" w:cs="Arial"/>
            <w:sz w:val="16"/>
            <w:szCs w:val="16"/>
          </w:rPr>
          <w:t>https://www.colombiacompra.gov.co/manuales-guias-y-pliegos-tipo/manuales-y-guias</w:t>
        </w:r>
      </w:hyperlink>
      <w:r w:rsidRPr="004F3389">
        <w:rPr>
          <w:rFonts w:ascii="Verdana" w:hAnsi="Verdana" w:cs="Arial"/>
          <w:color w:val="000000"/>
          <w:sz w:val="16"/>
          <w:szCs w:val="16"/>
        </w:rPr>
        <w:t xml:space="preserve">). </w:t>
      </w:r>
    </w:p>
    <w:p w14:paraId="1E4C5438" w14:textId="77777777" w:rsidR="00105628" w:rsidRPr="004F3389" w:rsidRDefault="00105628" w:rsidP="00105628">
      <w:pPr>
        <w:pStyle w:val="Textonotapie"/>
        <w:ind w:firstLine="708"/>
        <w:jc w:val="both"/>
        <w:rPr>
          <w:rFonts w:ascii="Verdana" w:hAnsi="Verdana" w:cs="Arial"/>
          <w:color w:val="000000"/>
          <w:sz w:val="16"/>
          <w:szCs w:val="16"/>
        </w:rPr>
      </w:pPr>
    </w:p>
  </w:footnote>
  <w:footnote w:id="23">
    <w:p w14:paraId="7147B5D1" w14:textId="77777777" w:rsidR="00105628" w:rsidRPr="004F3389" w:rsidRDefault="00105628" w:rsidP="00105628">
      <w:pPr>
        <w:pStyle w:val="Textonotapie"/>
        <w:ind w:firstLine="708"/>
        <w:jc w:val="both"/>
        <w:rPr>
          <w:rFonts w:ascii="Verdana" w:hAnsi="Verdana" w:cs="Arial"/>
          <w:color w:val="000000"/>
          <w:sz w:val="16"/>
          <w:szCs w:val="16"/>
          <w:lang w:val="es-ES"/>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Concepto del 19 de noviembre de 2019, emitido en el radicado No. 2201913000008611.</w:t>
      </w:r>
    </w:p>
  </w:footnote>
  <w:footnote w:id="24">
    <w:p w14:paraId="67170C15"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sidRPr="004F3389">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7A3776E3" w14:textId="77777777" w:rsidR="00105628" w:rsidRPr="004F3389" w:rsidRDefault="00105628" w:rsidP="00105628">
      <w:pPr>
        <w:pStyle w:val="Textonotapie"/>
        <w:ind w:firstLine="708"/>
        <w:jc w:val="both"/>
        <w:rPr>
          <w:rFonts w:ascii="Verdana" w:hAnsi="Verdana" w:cs="Arial"/>
          <w:color w:val="000000"/>
          <w:sz w:val="16"/>
          <w:szCs w:val="16"/>
        </w:rPr>
      </w:pPr>
    </w:p>
  </w:footnote>
  <w:footnote w:id="25">
    <w:p w14:paraId="3CD8ECEF" w14:textId="77777777" w:rsidR="00105628" w:rsidRPr="004F3389" w:rsidRDefault="00105628" w:rsidP="00105628">
      <w:pPr>
        <w:pStyle w:val="Textonotapie"/>
        <w:ind w:firstLine="708"/>
        <w:jc w:val="both"/>
        <w:rPr>
          <w:rFonts w:ascii="Verdana" w:hAnsi="Verdana" w:cs="Arial"/>
          <w:sz w:val="16"/>
          <w:szCs w:val="16"/>
          <w:lang w:val="es-ES"/>
        </w:rPr>
      </w:pPr>
      <w:r w:rsidRPr="004F3389">
        <w:rPr>
          <w:rStyle w:val="Refdenotaalpie"/>
          <w:rFonts w:ascii="Verdana" w:hAnsi="Verdana" w:cs="Arial"/>
          <w:sz w:val="16"/>
          <w:szCs w:val="16"/>
        </w:rPr>
        <w:footnoteRef/>
      </w:r>
      <w:r w:rsidRPr="004F3389">
        <w:rPr>
          <w:rFonts w:ascii="Verdana" w:hAnsi="Verdana" w:cs="Arial"/>
          <w:sz w:val="16"/>
          <w:szCs w:val="16"/>
        </w:rPr>
        <w:t xml:space="preserve"> </w:t>
      </w:r>
      <w:r w:rsidRPr="004F3389">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69065A13" w14:textId="77777777" w:rsidR="00105628" w:rsidRPr="004F3389" w:rsidRDefault="00105628" w:rsidP="00105628">
      <w:pPr>
        <w:pStyle w:val="Textonotapie"/>
        <w:ind w:firstLine="708"/>
        <w:jc w:val="both"/>
        <w:rPr>
          <w:rFonts w:ascii="Verdana" w:hAnsi="Verdana" w:cs="Arial"/>
          <w:sz w:val="16"/>
          <w:szCs w:val="16"/>
          <w:lang w:val="es-ES"/>
        </w:rPr>
      </w:pPr>
    </w:p>
  </w:footnote>
  <w:footnote w:id="26">
    <w:p w14:paraId="33BA6F28" w14:textId="77777777" w:rsidR="00105628" w:rsidRPr="004F3389" w:rsidRDefault="00105628" w:rsidP="00105628">
      <w:pPr>
        <w:spacing w:after="0" w:line="240" w:lineRule="auto"/>
        <w:ind w:firstLine="708"/>
        <w:jc w:val="both"/>
        <w:textAlignment w:val="baseline"/>
        <w:rPr>
          <w:rFonts w:ascii="Verdana" w:hAnsi="Verdana" w:cs="Arial"/>
          <w:sz w:val="16"/>
          <w:szCs w:val="16"/>
        </w:rPr>
      </w:pPr>
      <w:r w:rsidRPr="004F3389">
        <w:rPr>
          <w:rStyle w:val="Refdenotaalpie"/>
          <w:rFonts w:ascii="Verdana" w:hAnsi="Verdana" w:cs="Arial"/>
          <w:sz w:val="16"/>
          <w:szCs w:val="16"/>
        </w:rPr>
        <w:footnoteRef/>
      </w:r>
      <w:r w:rsidRPr="004F3389">
        <w:rPr>
          <w:rFonts w:ascii="Verdana" w:hAnsi="Verdana" w:cs="Arial"/>
          <w:sz w:val="16"/>
          <w:szCs w:val="16"/>
        </w:rPr>
        <w:t xml:space="preserve"> </w:t>
      </w:r>
      <w:r w:rsidRPr="004F3389">
        <w:rPr>
          <w:rFonts w:ascii="Verdana" w:eastAsia="Calibri" w:hAnsi="Verdana" w:cs="Arial"/>
          <w:color w:val="000000"/>
          <w:sz w:val="16"/>
          <w:szCs w:val="16"/>
          <w:lang w:val="es-MX"/>
        </w:rPr>
        <w:t>E</w:t>
      </w:r>
      <w:r w:rsidRPr="004F3389">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4F3389">
        <w:rPr>
          <w:rFonts w:ascii="Verdana" w:eastAsia="Calibri" w:hAnsi="Verdana" w:cs="Arial"/>
          <w:i/>
          <w:iCs/>
          <w:sz w:val="16"/>
          <w:szCs w:val="16"/>
          <w:lang w:val="es-ES_tradnl" w:eastAsia="es-ES_tradnl"/>
        </w:rPr>
        <w:t>contratos de colaboración</w:t>
      </w:r>
      <w:r w:rsidRPr="004F3389">
        <w:rPr>
          <w:rFonts w:ascii="Verdana" w:eastAsia="Calibri" w:hAnsi="Verdana" w:cs="Arial"/>
          <w:sz w:val="16"/>
          <w:szCs w:val="16"/>
          <w:lang w:val="es-ES_tradnl" w:eastAsia="es-ES_tradnl"/>
        </w:rPr>
        <w:t>, tal como se expresa, por ejemplo, en el concepto C-529 del 11 de agosto de 2020: “</w:t>
      </w:r>
      <w:r w:rsidRPr="004F3389">
        <w:rPr>
          <w:rFonts w:ascii="Verdana" w:eastAsia="Calibri" w:hAnsi="Verdana"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27">
    <w:p w14:paraId="12472CB9" w14:textId="77777777" w:rsidR="00105628" w:rsidRPr="004F3389" w:rsidRDefault="00105628" w:rsidP="00105628">
      <w:pPr>
        <w:pStyle w:val="Textonotapie"/>
        <w:ind w:firstLine="708"/>
        <w:jc w:val="both"/>
        <w:rPr>
          <w:rFonts w:ascii="Verdana" w:hAnsi="Verdana" w:cs="Arial"/>
          <w:color w:val="000000"/>
          <w:sz w:val="16"/>
          <w:szCs w:val="16"/>
        </w:rPr>
      </w:pPr>
      <w:r w:rsidRPr="004F3389">
        <w:rPr>
          <w:rStyle w:val="Refdenotaalpie"/>
          <w:rFonts w:ascii="Verdana" w:hAnsi="Verdana" w:cs="Arial"/>
          <w:color w:val="000000"/>
          <w:sz w:val="16"/>
          <w:szCs w:val="16"/>
        </w:rPr>
        <w:footnoteRef/>
      </w:r>
      <w:r>
        <w:rPr>
          <w:rFonts w:ascii="Verdana" w:hAnsi="Verdana" w:cs="Arial"/>
          <w:color w:val="000000"/>
          <w:sz w:val="16"/>
          <w:szCs w:val="16"/>
        </w:rPr>
        <w:t xml:space="preserve"> Decreto 09</w:t>
      </w:r>
      <w:r w:rsidRPr="004F3389">
        <w:rPr>
          <w:rFonts w:ascii="Verdana" w:hAnsi="Verdana" w:cs="Arial"/>
          <w:color w:val="000000"/>
          <w:sz w:val="16"/>
          <w:szCs w:val="16"/>
        </w:rPr>
        <w:t>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28">
    <w:p w14:paraId="4F8B6ADB" w14:textId="77777777" w:rsidR="00105628" w:rsidRPr="004F3389" w:rsidRDefault="00105628" w:rsidP="00105628">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Sección Tercera – Subsección A. Sentencia del 16</w:t>
      </w:r>
      <w:r>
        <w:rPr>
          <w:rFonts w:ascii="Verdana" w:hAnsi="Verdana"/>
          <w:color w:val="000000" w:themeColor="text1"/>
          <w:sz w:val="16"/>
          <w:szCs w:val="16"/>
        </w:rPr>
        <w:t xml:space="preserve"> de mayo de 2019. Exp. 40102</w:t>
      </w:r>
      <w:r w:rsidRPr="004F3389">
        <w:rPr>
          <w:rFonts w:ascii="Verdana" w:hAnsi="Verdana"/>
          <w:color w:val="000000" w:themeColor="text1"/>
          <w:sz w:val="16"/>
          <w:szCs w:val="16"/>
        </w:rPr>
        <w:t>. C.P: María Adriana Marín.</w:t>
      </w:r>
    </w:p>
    <w:p w14:paraId="328F2F7F" w14:textId="77777777" w:rsidR="00105628" w:rsidRPr="004F3389" w:rsidRDefault="00105628" w:rsidP="00105628">
      <w:pPr>
        <w:pStyle w:val="Textonotapie"/>
        <w:ind w:firstLine="709"/>
        <w:jc w:val="both"/>
        <w:rPr>
          <w:rFonts w:ascii="Verdana" w:hAnsi="Verdana"/>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00023" w:rsidRDefault="00300023">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00023" w:rsidRDefault="00300023">
    <w:pPr>
      <w:pStyle w:val="Encabezado"/>
    </w:pPr>
  </w:p>
  <w:p w14:paraId="3079FC11" w14:textId="77777777" w:rsidR="00300023" w:rsidRDefault="00300023" w:rsidP="004A305D">
    <w:pPr>
      <w:spacing w:after="0"/>
      <w:rPr>
        <w:rFonts w:ascii="Verdana" w:hAnsi="Verdana"/>
        <w:b/>
        <w:bCs/>
      </w:rPr>
    </w:pPr>
  </w:p>
  <w:p w14:paraId="5E18350A" w14:textId="705F7B76" w:rsidR="00300023" w:rsidRPr="004A305D" w:rsidRDefault="00300023" w:rsidP="00B01B1A">
    <w:pPr>
      <w:spacing w:after="0" w:line="120" w:lineRule="auto"/>
      <w:rPr>
        <w:rFonts w:ascii="Century Gothic" w:eastAsia="Geo" w:hAnsi="Century Gothic" w:cs="Geo"/>
        <w:sz w:val="16"/>
        <w:szCs w:val="16"/>
        <w:lang w:eastAsia="es-CO"/>
      </w:rPr>
    </w:pPr>
  </w:p>
  <w:p w14:paraId="1FD1C243" w14:textId="6D74A3CF" w:rsidR="00300023" w:rsidRDefault="0030002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1" type="#_x0000_t75" style="width:11.35pt;height:11.3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517A65"/>
    <w:multiLevelType w:val="hybridMultilevel"/>
    <w:tmpl w:val="9B5A32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A15124"/>
    <w:multiLevelType w:val="hybridMultilevel"/>
    <w:tmpl w:val="44E805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710AC9"/>
    <w:multiLevelType w:val="multilevel"/>
    <w:tmpl w:val="58ECF052"/>
    <w:lvl w:ilvl="0">
      <w:start w:val="6"/>
      <w:numFmt w:val="decimal"/>
      <w:lvlText w:val="%1"/>
      <w:lvlJc w:val="left"/>
      <w:pPr>
        <w:ind w:left="1008" w:hanging="408"/>
      </w:pPr>
      <w:rPr>
        <w:rFonts w:hint="default"/>
        <w:lang w:val="es-ES" w:eastAsia="en-US" w:bidi="ar-SA"/>
      </w:rPr>
    </w:lvl>
    <w:lvl w:ilvl="1">
      <w:start w:val="4"/>
      <w:numFmt w:val="decimal"/>
      <w:lvlText w:val="%1.%2."/>
      <w:lvlJc w:val="left"/>
      <w:pPr>
        <w:ind w:left="1008" w:hanging="408"/>
      </w:pPr>
      <w:rPr>
        <w:rFonts w:ascii="Arial" w:eastAsia="Arial" w:hAnsi="Arial" w:cs="Arial" w:hint="default"/>
        <w:spacing w:val="-1"/>
        <w:w w:val="100"/>
        <w:sz w:val="21"/>
        <w:szCs w:val="21"/>
        <w:lang w:val="es-ES" w:eastAsia="en-US" w:bidi="ar-SA"/>
      </w:rPr>
    </w:lvl>
    <w:lvl w:ilvl="2">
      <w:numFmt w:val="bullet"/>
      <w:lvlText w:val="•"/>
      <w:lvlJc w:val="left"/>
      <w:pPr>
        <w:ind w:left="2708" w:hanging="408"/>
      </w:pPr>
      <w:rPr>
        <w:rFonts w:hint="default"/>
        <w:lang w:val="es-ES" w:eastAsia="en-US" w:bidi="ar-SA"/>
      </w:rPr>
    </w:lvl>
    <w:lvl w:ilvl="3">
      <w:numFmt w:val="bullet"/>
      <w:lvlText w:val="•"/>
      <w:lvlJc w:val="left"/>
      <w:pPr>
        <w:ind w:left="3562" w:hanging="408"/>
      </w:pPr>
      <w:rPr>
        <w:rFonts w:hint="default"/>
        <w:lang w:val="es-ES" w:eastAsia="en-US" w:bidi="ar-SA"/>
      </w:rPr>
    </w:lvl>
    <w:lvl w:ilvl="4">
      <w:numFmt w:val="bullet"/>
      <w:lvlText w:val="•"/>
      <w:lvlJc w:val="left"/>
      <w:pPr>
        <w:ind w:left="4416" w:hanging="408"/>
      </w:pPr>
      <w:rPr>
        <w:rFonts w:hint="default"/>
        <w:lang w:val="es-ES" w:eastAsia="en-US" w:bidi="ar-SA"/>
      </w:rPr>
    </w:lvl>
    <w:lvl w:ilvl="5">
      <w:numFmt w:val="bullet"/>
      <w:lvlText w:val="•"/>
      <w:lvlJc w:val="left"/>
      <w:pPr>
        <w:ind w:left="5270" w:hanging="408"/>
      </w:pPr>
      <w:rPr>
        <w:rFonts w:hint="default"/>
        <w:lang w:val="es-ES" w:eastAsia="en-US" w:bidi="ar-SA"/>
      </w:rPr>
    </w:lvl>
    <w:lvl w:ilvl="6">
      <w:numFmt w:val="bullet"/>
      <w:lvlText w:val="•"/>
      <w:lvlJc w:val="left"/>
      <w:pPr>
        <w:ind w:left="6124" w:hanging="408"/>
      </w:pPr>
      <w:rPr>
        <w:rFonts w:hint="default"/>
        <w:lang w:val="es-ES" w:eastAsia="en-US" w:bidi="ar-SA"/>
      </w:rPr>
    </w:lvl>
    <w:lvl w:ilvl="7">
      <w:numFmt w:val="bullet"/>
      <w:lvlText w:val="•"/>
      <w:lvlJc w:val="left"/>
      <w:pPr>
        <w:ind w:left="6978" w:hanging="408"/>
      </w:pPr>
      <w:rPr>
        <w:rFonts w:hint="default"/>
        <w:lang w:val="es-ES" w:eastAsia="en-US" w:bidi="ar-SA"/>
      </w:rPr>
    </w:lvl>
    <w:lvl w:ilvl="8">
      <w:numFmt w:val="bullet"/>
      <w:lvlText w:val="•"/>
      <w:lvlJc w:val="left"/>
      <w:pPr>
        <w:ind w:left="7832" w:hanging="408"/>
      </w:pPr>
      <w:rPr>
        <w:rFonts w:hint="default"/>
        <w:lang w:val="es-ES" w:eastAsia="en-US" w:bidi="ar-SA"/>
      </w:r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5F42816"/>
    <w:multiLevelType w:val="multilevel"/>
    <w:tmpl w:val="384C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ED3924"/>
    <w:multiLevelType w:val="multilevel"/>
    <w:tmpl w:val="CAE2FDF6"/>
    <w:lvl w:ilvl="0">
      <w:start w:val="2"/>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5"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C07AAF"/>
    <w:multiLevelType w:val="hybridMultilevel"/>
    <w:tmpl w:val="DCFC369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5"/>
  </w:num>
  <w:num w:numId="2">
    <w:abstractNumId w:val="2"/>
  </w:num>
  <w:num w:numId="3">
    <w:abstractNumId w:val="12"/>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2"/>
  </w:num>
  <w:num w:numId="7">
    <w:abstractNumId w:val="14"/>
  </w:num>
  <w:num w:numId="8">
    <w:abstractNumId w:val="31"/>
  </w:num>
  <w:num w:numId="9">
    <w:abstractNumId w:val="16"/>
  </w:num>
  <w:num w:numId="10">
    <w:abstractNumId w:val="29"/>
  </w:num>
  <w:num w:numId="11">
    <w:abstractNumId w:val="17"/>
  </w:num>
  <w:num w:numId="12">
    <w:abstractNumId w:val="1"/>
  </w:num>
  <w:num w:numId="13">
    <w:abstractNumId w:val="8"/>
  </w:num>
  <w:num w:numId="14">
    <w:abstractNumId w:val="33"/>
  </w:num>
  <w:num w:numId="15">
    <w:abstractNumId w:val="28"/>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26"/>
  </w:num>
  <w:num w:numId="19">
    <w:abstractNumId w:val="11"/>
  </w:num>
  <w:num w:numId="20">
    <w:abstractNumId w:val="19"/>
  </w:num>
  <w:num w:numId="21">
    <w:abstractNumId w:val="37"/>
  </w:num>
  <w:num w:numId="22">
    <w:abstractNumId w:val="20"/>
  </w:num>
  <w:num w:numId="23">
    <w:abstractNumId w:val="0"/>
  </w:num>
  <w:num w:numId="24">
    <w:abstractNumId w:val="27"/>
  </w:num>
  <w:num w:numId="25">
    <w:abstractNumId w:val="22"/>
  </w:num>
  <w:num w:numId="26">
    <w:abstractNumId w:val="21"/>
  </w:num>
  <w:num w:numId="27">
    <w:abstractNumId w:val="6"/>
  </w:num>
  <w:num w:numId="28">
    <w:abstractNumId w:val="10"/>
  </w:num>
  <w:num w:numId="29">
    <w:abstractNumId w:val="3"/>
  </w:num>
  <w:num w:numId="30">
    <w:abstractNumId w:val="4"/>
  </w:num>
  <w:num w:numId="31">
    <w:abstractNumId w:val="25"/>
  </w:num>
  <w:num w:numId="32">
    <w:abstractNumId w:val="30"/>
  </w:num>
  <w:num w:numId="33">
    <w:abstractNumId w:val="35"/>
  </w:num>
  <w:num w:numId="34">
    <w:abstractNumId w:val="7"/>
  </w:num>
  <w:num w:numId="35">
    <w:abstractNumId w:val="13"/>
  </w:num>
  <w:num w:numId="36">
    <w:abstractNumId w:val="9"/>
  </w:num>
  <w:num w:numId="37">
    <w:abstractNumId w:val="24"/>
  </w:num>
  <w:num w:numId="38">
    <w:abstractNumId w:val="34"/>
  </w:num>
  <w:num w:numId="39">
    <w:abstractNumId w:val="18"/>
  </w:num>
  <w:num w:numId="40">
    <w:abstractNumId w:val="36"/>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9A2"/>
    <w:rsid w:val="000062F3"/>
    <w:rsid w:val="000071FB"/>
    <w:rsid w:val="0000797D"/>
    <w:rsid w:val="00010C4F"/>
    <w:rsid w:val="0001328B"/>
    <w:rsid w:val="000224F2"/>
    <w:rsid w:val="00023C3E"/>
    <w:rsid w:val="0002653B"/>
    <w:rsid w:val="00026C37"/>
    <w:rsid w:val="000355E9"/>
    <w:rsid w:val="00035D9F"/>
    <w:rsid w:val="00036498"/>
    <w:rsid w:val="00040F37"/>
    <w:rsid w:val="00041860"/>
    <w:rsid w:val="000434BC"/>
    <w:rsid w:val="0004434A"/>
    <w:rsid w:val="0005281E"/>
    <w:rsid w:val="000532D0"/>
    <w:rsid w:val="0005682C"/>
    <w:rsid w:val="00056D71"/>
    <w:rsid w:val="00061B2A"/>
    <w:rsid w:val="00062BAF"/>
    <w:rsid w:val="000630B9"/>
    <w:rsid w:val="000635D0"/>
    <w:rsid w:val="000643B2"/>
    <w:rsid w:val="000651AB"/>
    <w:rsid w:val="00065E80"/>
    <w:rsid w:val="0007022C"/>
    <w:rsid w:val="00070587"/>
    <w:rsid w:val="00071DE6"/>
    <w:rsid w:val="000754E3"/>
    <w:rsid w:val="00077439"/>
    <w:rsid w:val="000774B8"/>
    <w:rsid w:val="00082362"/>
    <w:rsid w:val="0008328D"/>
    <w:rsid w:val="00086D23"/>
    <w:rsid w:val="00090C58"/>
    <w:rsid w:val="000920CF"/>
    <w:rsid w:val="0009387A"/>
    <w:rsid w:val="0009387B"/>
    <w:rsid w:val="00095E97"/>
    <w:rsid w:val="000963C6"/>
    <w:rsid w:val="0009762F"/>
    <w:rsid w:val="000A31B9"/>
    <w:rsid w:val="000A3330"/>
    <w:rsid w:val="000A33DF"/>
    <w:rsid w:val="000A3D63"/>
    <w:rsid w:val="000A51CA"/>
    <w:rsid w:val="000A683A"/>
    <w:rsid w:val="000A683E"/>
    <w:rsid w:val="000B158F"/>
    <w:rsid w:val="000B19B9"/>
    <w:rsid w:val="000B1E37"/>
    <w:rsid w:val="000B241D"/>
    <w:rsid w:val="000B2DCD"/>
    <w:rsid w:val="000C2889"/>
    <w:rsid w:val="000C39D7"/>
    <w:rsid w:val="000D0152"/>
    <w:rsid w:val="000D0334"/>
    <w:rsid w:val="000D145C"/>
    <w:rsid w:val="000D25D7"/>
    <w:rsid w:val="000D2CFF"/>
    <w:rsid w:val="000D3B29"/>
    <w:rsid w:val="000E06F4"/>
    <w:rsid w:val="000E0F63"/>
    <w:rsid w:val="000E1070"/>
    <w:rsid w:val="000E1C0D"/>
    <w:rsid w:val="000E4CE4"/>
    <w:rsid w:val="000E694F"/>
    <w:rsid w:val="000E6DD5"/>
    <w:rsid w:val="000F56F9"/>
    <w:rsid w:val="000F6486"/>
    <w:rsid w:val="000F669F"/>
    <w:rsid w:val="001018FF"/>
    <w:rsid w:val="00105628"/>
    <w:rsid w:val="001063B3"/>
    <w:rsid w:val="00107ACA"/>
    <w:rsid w:val="001114A9"/>
    <w:rsid w:val="00111979"/>
    <w:rsid w:val="00112D1B"/>
    <w:rsid w:val="00115788"/>
    <w:rsid w:val="00116537"/>
    <w:rsid w:val="00117133"/>
    <w:rsid w:val="00120766"/>
    <w:rsid w:val="00121EA1"/>
    <w:rsid w:val="001240BD"/>
    <w:rsid w:val="00125105"/>
    <w:rsid w:val="00125BC7"/>
    <w:rsid w:val="00127233"/>
    <w:rsid w:val="00130E99"/>
    <w:rsid w:val="00131D34"/>
    <w:rsid w:val="00136D0B"/>
    <w:rsid w:val="00143E81"/>
    <w:rsid w:val="00143FD9"/>
    <w:rsid w:val="00145047"/>
    <w:rsid w:val="00146C57"/>
    <w:rsid w:val="00150565"/>
    <w:rsid w:val="001578A4"/>
    <w:rsid w:val="00160D5C"/>
    <w:rsid w:val="001631FE"/>
    <w:rsid w:val="0016332F"/>
    <w:rsid w:val="0016458A"/>
    <w:rsid w:val="001661EB"/>
    <w:rsid w:val="001717E9"/>
    <w:rsid w:val="0017238A"/>
    <w:rsid w:val="00177DC9"/>
    <w:rsid w:val="00180A30"/>
    <w:rsid w:val="0018159B"/>
    <w:rsid w:val="00185EE9"/>
    <w:rsid w:val="00187F79"/>
    <w:rsid w:val="00195992"/>
    <w:rsid w:val="00196153"/>
    <w:rsid w:val="00197274"/>
    <w:rsid w:val="001A237A"/>
    <w:rsid w:val="001A26CF"/>
    <w:rsid w:val="001A2919"/>
    <w:rsid w:val="001B0E6B"/>
    <w:rsid w:val="001B2CFE"/>
    <w:rsid w:val="001C222E"/>
    <w:rsid w:val="001C22F9"/>
    <w:rsid w:val="001D1C29"/>
    <w:rsid w:val="001E11C5"/>
    <w:rsid w:val="001E1E21"/>
    <w:rsid w:val="001E3C06"/>
    <w:rsid w:val="001E4177"/>
    <w:rsid w:val="001E741E"/>
    <w:rsid w:val="001F4EFD"/>
    <w:rsid w:val="001F5E13"/>
    <w:rsid w:val="001F6D11"/>
    <w:rsid w:val="001F7DC6"/>
    <w:rsid w:val="00202886"/>
    <w:rsid w:val="0020603D"/>
    <w:rsid w:val="00206A83"/>
    <w:rsid w:val="00213BC6"/>
    <w:rsid w:val="00215B75"/>
    <w:rsid w:val="00215CEF"/>
    <w:rsid w:val="00217A08"/>
    <w:rsid w:val="00220B77"/>
    <w:rsid w:val="00220C9C"/>
    <w:rsid w:val="00221D27"/>
    <w:rsid w:val="00227C89"/>
    <w:rsid w:val="00227E62"/>
    <w:rsid w:val="00233D5B"/>
    <w:rsid w:val="00234E14"/>
    <w:rsid w:val="00235AA4"/>
    <w:rsid w:val="00237233"/>
    <w:rsid w:val="002421BB"/>
    <w:rsid w:val="00243EB4"/>
    <w:rsid w:val="002442AC"/>
    <w:rsid w:val="00246A81"/>
    <w:rsid w:val="00251A5F"/>
    <w:rsid w:val="002571B0"/>
    <w:rsid w:val="0025796E"/>
    <w:rsid w:val="002603E5"/>
    <w:rsid w:val="00260FD9"/>
    <w:rsid w:val="002638B2"/>
    <w:rsid w:val="002660F2"/>
    <w:rsid w:val="002664BB"/>
    <w:rsid w:val="002707A2"/>
    <w:rsid w:val="00270FB6"/>
    <w:rsid w:val="002715B9"/>
    <w:rsid w:val="00274354"/>
    <w:rsid w:val="00276223"/>
    <w:rsid w:val="00276573"/>
    <w:rsid w:val="00281E93"/>
    <w:rsid w:val="00282584"/>
    <w:rsid w:val="002835A6"/>
    <w:rsid w:val="00284161"/>
    <w:rsid w:val="002844ED"/>
    <w:rsid w:val="00286605"/>
    <w:rsid w:val="002951A0"/>
    <w:rsid w:val="002962BC"/>
    <w:rsid w:val="002A093D"/>
    <w:rsid w:val="002A0DC4"/>
    <w:rsid w:val="002A0DD0"/>
    <w:rsid w:val="002A3450"/>
    <w:rsid w:val="002A49AC"/>
    <w:rsid w:val="002A64FD"/>
    <w:rsid w:val="002A6BBF"/>
    <w:rsid w:val="002B03E4"/>
    <w:rsid w:val="002B1E57"/>
    <w:rsid w:val="002B1F7F"/>
    <w:rsid w:val="002B290B"/>
    <w:rsid w:val="002B631F"/>
    <w:rsid w:val="002C110E"/>
    <w:rsid w:val="002C379A"/>
    <w:rsid w:val="002C66A0"/>
    <w:rsid w:val="002C765E"/>
    <w:rsid w:val="002C7A84"/>
    <w:rsid w:val="002D13A1"/>
    <w:rsid w:val="002D19BE"/>
    <w:rsid w:val="002D1E42"/>
    <w:rsid w:val="002D22AD"/>
    <w:rsid w:val="002D3F0D"/>
    <w:rsid w:val="002E1D98"/>
    <w:rsid w:val="002E2C3F"/>
    <w:rsid w:val="002E2F4F"/>
    <w:rsid w:val="002E4FD9"/>
    <w:rsid w:val="002E5690"/>
    <w:rsid w:val="002E6F15"/>
    <w:rsid w:val="002E7EA1"/>
    <w:rsid w:val="002F13FD"/>
    <w:rsid w:val="002F6C42"/>
    <w:rsid w:val="00300023"/>
    <w:rsid w:val="00303544"/>
    <w:rsid w:val="003039C1"/>
    <w:rsid w:val="00310DBE"/>
    <w:rsid w:val="0031182E"/>
    <w:rsid w:val="0031430F"/>
    <w:rsid w:val="0031479C"/>
    <w:rsid w:val="00320BBD"/>
    <w:rsid w:val="00322A85"/>
    <w:rsid w:val="00324168"/>
    <w:rsid w:val="0033032A"/>
    <w:rsid w:val="003330D3"/>
    <w:rsid w:val="0033498F"/>
    <w:rsid w:val="00334C6A"/>
    <w:rsid w:val="00336C05"/>
    <w:rsid w:val="00342675"/>
    <w:rsid w:val="00343512"/>
    <w:rsid w:val="003448F4"/>
    <w:rsid w:val="00345330"/>
    <w:rsid w:val="00347102"/>
    <w:rsid w:val="003528DF"/>
    <w:rsid w:val="00352C12"/>
    <w:rsid w:val="00354BCA"/>
    <w:rsid w:val="00354F33"/>
    <w:rsid w:val="00360631"/>
    <w:rsid w:val="00361261"/>
    <w:rsid w:val="0036594E"/>
    <w:rsid w:val="003665EE"/>
    <w:rsid w:val="00366A24"/>
    <w:rsid w:val="00367AB0"/>
    <w:rsid w:val="0037010E"/>
    <w:rsid w:val="003734F4"/>
    <w:rsid w:val="00374F5E"/>
    <w:rsid w:val="0037755E"/>
    <w:rsid w:val="00377E2D"/>
    <w:rsid w:val="00377E3E"/>
    <w:rsid w:val="003815E8"/>
    <w:rsid w:val="003826F4"/>
    <w:rsid w:val="00386837"/>
    <w:rsid w:val="00387C3F"/>
    <w:rsid w:val="003906F8"/>
    <w:rsid w:val="00392A49"/>
    <w:rsid w:val="003A26D1"/>
    <w:rsid w:val="003A3B30"/>
    <w:rsid w:val="003A779E"/>
    <w:rsid w:val="003A7E17"/>
    <w:rsid w:val="003B005A"/>
    <w:rsid w:val="003B6898"/>
    <w:rsid w:val="003C1BFE"/>
    <w:rsid w:val="003C1C0E"/>
    <w:rsid w:val="003C3FA5"/>
    <w:rsid w:val="003C5109"/>
    <w:rsid w:val="003D0B0E"/>
    <w:rsid w:val="003D0F4D"/>
    <w:rsid w:val="003D5B0D"/>
    <w:rsid w:val="003E0499"/>
    <w:rsid w:val="003E35A0"/>
    <w:rsid w:val="003E40F2"/>
    <w:rsid w:val="003F3941"/>
    <w:rsid w:val="003F4BAF"/>
    <w:rsid w:val="00400676"/>
    <w:rsid w:val="004008A9"/>
    <w:rsid w:val="0040127E"/>
    <w:rsid w:val="00405A3E"/>
    <w:rsid w:val="00406575"/>
    <w:rsid w:val="00407C75"/>
    <w:rsid w:val="00410906"/>
    <w:rsid w:val="00410BEF"/>
    <w:rsid w:val="004136D9"/>
    <w:rsid w:val="0041655A"/>
    <w:rsid w:val="0041694B"/>
    <w:rsid w:val="00420B46"/>
    <w:rsid w:val="00426FD7"/>
    <w:rsid w:val="0042722E"/>
    <w:rsid w:val="00427DA0"/>
    <w:rsid w:val="00431B17"/>
    <w:rsid w:val="00432CA2"/>
    <w:rsid w:val="00440391"/>
    <w:rsid w:val="00441FCF"/>
    <w:rsid w:val="00442C7F"/>
    <w:rsid w:val="0044528D"/>
    <w:rsid w:val="00446BE5"/>
    <w:rsid w:val="00450920"/>
    <w:rsid w:val="00454D48"/>
    <w:rsid w:val="004554F9"/>
    <w:rsid w:val="0046004D"/>
    <w:rsid w:val="004633DE"/>
    <w:rsid w:val="00465E71"/>
    <w:rsid w:val="004712E0"/>
    <w:rsid w:val="004734BD"/>
    <w:rsid w:val="00474931"/>
    <w:rsid w:val="00475A18"/>
    <w:rsid w:val="00482608"/>
    <w:rsid w:val="00483749"/>
    <w:rsid w:val="0048376B"/>
    <w:rsid w:val="00484809"/>
    <w:rsid w:val="00484BB1"/>
    <w:rsid w:val="00493392"/>
    <w:rsid w:val="004978DA"/>
    <w:rsid w:val="004A0980"/>
    <w:rsid w:val="004A0B8B"/>
    <w:rsid w:val="004A1847"/>
    <w:rsid w:val="004A305D"/>
    <w:rsid w:val="004A3312"/>
    <w:rsid w:val="004A54AC"/>
    <w:rsid w:val="004A6D9B"/>
    <w:rsid w:val="004B53F1"/>
    <w:rsid w:val="004B703F"/>
    <w:rsid w:val="004B740F"/>
    <w:rsid w:val="004C4B37"/>
    <w:rsid w:val="004D026D"/>
    <w:rsid w:val="004D3A9E"/>
    <w:rsid w:val="004D46AB"/>
    <w:rsid w:val="004E181C"/>
    <w:rsid w:val="004E221E"/>
    <w:rsid w:val="004E2892"/>
    <w:rsid w:val="004E409A"/>
    <w:rsid w:val="004E4C0B"/>
    <w:rsid w:val="004E505B"/>
    <w:rsid w:val="004F21C4"/>
    <w:rsid w:val="004F2B72"/>
    <w:rsid w:val="004F3012"/>
    <w:rsid w:val="004F3389"/>
    <w:rsid w:val="004F5559"/>
    <w:rsid w:val="004F5A86"/>
    <w:rsid w:val="004F685F"/>
    <w:rsid w:val="004F7EC9"/>
    <w:rsid w:val="0050343D"/>
    <w:rsid w:val="00504336"/>
    <w:rsid w:val="00504CBE"/>
    <w:rsid w:val="0050771E"/>
    <w:rsid w:val="00514598"/>
    <w:rsid w:val="00515557"/>
    <w:rsid w:val="00515E1E"/>
    <w:rsid w:val="005163B5"/>
    <w:rsid w:val="00520604"/>
    <w:rsid w:val="00520C55"/>
    <w:rsid w:val="00523453"/>
    <w:rsid w:val="0052543A"/>
    <w:rsid w:val="0052785C"/>
    <w:rsid w:val="00533E1B"/>
    <w:rsid w:val="00540C2D"/>
    <w:rsid w:val="00541793"/>
    <w:rsid w:val="00552502"/>
    <w:rsid w:val="005566E8"/>
    <w:rsid w:val="00560CB5"/>
    <w:rsid w:val="00562470"/>
    <w:rsid w:val="00564F8B"/>
    <w:rsid w:val="00571932"/>
    <w:rsid w:val="00574122"/>
    <w:rsid w:val="00574867"/>
    <w:rsid w:val="00576927"/>
    <w:rsid w:val="0057702A"/>
    <w:rsid w:val="00577D09"/>
    <w:rsid w:val="0058087F"/>
    <w:rsid w:val="00581AA1"/>
    <w:rsid w:val="00585E4C"/>
    <w:rsid w:val="005905AA"/>
    <w:rsid w:val="00591460"/>
    <w:rsid w:val="00592628"/>
    <w:rsid w:val="00597C75"/>
    <w:rsid w:val="005A0868"/>
    <w:rsid w:val="005A0CFB"/>
    <w:rsid w:val="005A282F"/>
    <w:rsid w:val="005A2AC9"/>
    <w:rsid w:val="005A2D71"/>
    <w:rsid w:val="005A55D5"/>
    <w:rsid w:val="005B2C3C"/>
    <w:rsid w:val="005B2CCE"/>
    <w:rsid w:val="005B496D"/>
    <w:rsid w:val="005B58C1"/>
    <w:rsid w:val="005B6033"/>
    <w:rsid w:val="005C053C"/>
    <w:rsid w:val="005C3777"/>
    <w:rsid w:val="005C5CDC"/>
    <w:rsid w:val="005C6939"/>
    <w:rsid w:val="005C7629"/>
    <w:rsid w:val="005D16B3"/>
    <w:rsid w:val="005D17C8"/>
    <w:rsid w:val="005D2649"/>
    <w:rsid w:val="005D2B2B"/>
    <w:rsid w:val="005D476C"/>
    <w:rsid w:val="005D4E83"/>
    <w:rsid w:val="005D5F91"/>
    <w:rsid w:val="005D75E8"/>
    <w:rsid w:val="005D7B25"/>
    <w:rsid w:val="005F0EE5"/>
    <w:rsid w:val="005F183C"/>
    <w:rsid w:val="005F7C43"/>
    <w:rsid w:val="005F7CC8"/>
    <w:rsid w:val="00601A06"/>
    <w:rsid w:val="00601D76"/>
    <w:rsid w:val="00604396"/>
    <w:rsid w:val="00605A00"/>
    <w:rsid w:val="00610812"/>
    <w:rsid w:val="00612CE7"/>
    <w:rsid w:val="006149EF"/>
    <w:rsid w:val="006219F8"/>
    <w:rsid w:val="0062252A"/>
    <w:rsid w:val="0063165E"/>
    <w:rsid w:val="0063166A"/>
    <w:rsid w:val="006322EC"/>
    <w:rsid w:val="00632C08"/>
    <w:rsid w:val="00634E5A"/>
    <w:rsid w:val="00636BF8"/>
    <w:rsid w:val="00650FF7"/>
    <w:rsid w:val="0065102E"/>
    <w:rsid w:val="00652AB3"/>
    <w:rsid w:val="006569FB"/>
    <w:rsid w:val="006603E6"/>
    <w:rsid w:val="00661CAF"/>
    <w:rsid w:val="00664B4D"/>
    <w:rsid w:val="00665D70"/>
    <w:rsid w:val="00667199"/>
    <w:rsid w:val="00670C2F"/>
    <w:rsid w:val="006713ED"/>
    <w:rsid w:val="00671DAC"/>
    <w:rsid w:val="00672436"/>
    <w:rsid w:val="0067390E"/>
    <w:rsid w:val="006747C7"/>
    <w:rsid w:val="006755B5"/>
    <w:rsid w:val="00675E5F"/>
    <w:rsid w:val="006827AC"/>
    <w:rsid w:val="006859A3"/>
    <w:rsid w:val="006871DF"/>
    <w:rsid w:val="006900D9"/>
    <w:rsid w:val="00696710"/>
    <w:rsid w:val="006A0008"/>
    <w:rsid w:val="006A0F0E"/>
    <w:rsid w:val="006A10DF"/>
    <w:rsid w:val="006A2A1F"/>
    <w:rsid w:val="006A3147"/>
    <w:rsid w:val="006A7312"/>
    <w:rsid w:val="006B6F7B"/>
    <w:rsid w:val="006C0240"/>
    <w:rsid w:val="006C07EE"/>
    <w:rsid w:val="006C1E81"/>
    <w:rsid w:val="006C2D82"/>
    <w:rsid w:val="006C5595"/>
    <w:rsid w:val="006D12F8"/>
    <w:rsid w:val="006D1F00"/>
    <w:rsid w:val="006D465A"/>
    <w:rsid w:val="006D6BC2"/>
    <w:rsid w:val="006E1ADC"/>
    <w:rsid w:val="006E480D"/>
    <w:rsid w:val="006E5452"/>
    <w:rsid w:val="006F0D40"/>
    <w:rsid w:val="006F2501"/>
    <w:rsid w:val="006F3A51"/>
    <w:rsid w:val="006F41F5"/>
    <w:rsid w:val="006F7C51"/>
    <w:rsid w:val="00701EA0"/>
    <w:rsid w:val="00703916"/>
    <w:rsid w:val="00704D9B"/>
    <w:rsid w:val="00705E5F"/>
    <w:rsid w:val="00706C16"/>
    <w:rsid w:val="00707DC1"/>
    <w:rsid w:val="00711C85"/>
    <w:rsid w:val="0071287D"/>
    <w:rsid w:val="0071458F"/>
    <w:rsid w:val="0071627C"/>
    <w:rsid w:val="00717903"/>
    <w:rsid w:val="00723A7F"/>
    <w:rsid w:val="00725BB1"/>
    <w:rsid w:val="007312C3"/>
    <w:rsid w:val="00737C53"/>
    <w:rsid w:val="00737DFA"/>
    <w:rsid w:val="00737E63"/>
    <w:rsid w:val="0074034F"/>
    <w:rsid w:val="0074688A"/>
    <w:rsid w:val="00751A8E"/>
    <w:rsid w:val="00752A44"/>
    <w:rsid w:val="0075663D"/>
    <w:rsid w:val="00756680"/>
    <w:rsid w:val="00756841"/>
    <w:rsid w:val="00762AA9"/>
    <w:rsid w:val="007649AB"/>
    <w:rsid w:val="00765EF8"/>
    <w:rsid w:val="00770AC9"/>
    <w:rsid w:val="00771D0C"/>
    <w:rsid w:val="007833AC"/>
    <w:rsid w:val="0078358E"/>
    <w:rsid w:val="00784D58"/>
    <w:rsid w:val="0078648E"/>
    <w:rsid w:val="00786FBF"/>
    <w:rsid w:val="00790AB7"/>
    <w:rsid w:val="00791769"/>
    <w:rsid w:val="007922D3"/>
    <w:rsid w:val="00796340"/>
    <w:rsid w:val="007A23EA"/>
    <w:rsid w:val="007A5189"/>
    <w:rsid w:val="007B0D88"/>
    <w:rsid w:val="007B268C"/>
    <w:rsid w:val="007B7171"/>
    <w:rsid w:val="007B72A7"/>
    <w:rsid w:val="007B7D02"/>
    <w:rsid w:val="007C0C0F"/>
    <w:rsid w:val="007C1E3A"/>
    <w:rsid w:val="007C3DC2"/>
    <w:rsid w:val="007D0457"/>
    <w:rsid w:val="007D387B"/>
    <w:rsid w:val="007D43C9"/>
    <w:rsid w:val="007D483A"/>
    <w:rsid w:val="007D7461"/>
    <w:rsid w:val="007E5497"/>
    <w:rsid w:val="007F1B26"/>
    <w:rsid w:val="007F28CA"/>
    <w:rsid w:val="007F52A4"/>
    <w:rsid w:val="007F60FB"/>
    <w:rsid w:val="007F7B94"/>
    <w:rsid w:val="008032C1"/>
    <w:rsid w:val="0080495B"/>
    <w:rsid w:val="00804981"/>
    <w:rsid w:val="0080567E"/>
    <w:rsid w:val="00806F5F"/>
    <w:rsid w:val="008163D7"/>
    <w:rsid w:val="00820278"/>
    <w:rsid w:val="008202D9"/>
    <w:rsid w:val="008203FF"/>
    <w:rsid w:val="008232D6"/>
    <w:rsid w:val="00826620"/>
    <w:rsid w:val="00827F85"/>
    <w:rsid w:val="008305F9"/>
    <w:rsid w:val="00834554"/>
    <w:rsid w:val="0083498D"/>
    <w:rsid w:val="00834B31"/>
    <w:rsid w:val="00835438"/>
    <w:rsid w:val="008408E0"/>
    <w:rsid w:val="00840ADC"/>
    <w:rsid w:val="00843BF7"/>
    <w:rsid w:val="008449B3"/>
    <w:rsid w:val="00846276"/>
    <w:rsid w:val="00850E23"/>
    <w:rsid w:val="00851137"/>
    <w:rsid w:val="00853978"/>
    <w:rsid w:val="0085432F"/>
    <w:rsid w:val="008551B8"/>
    <w:rsid w:val="00856B1B"/>
    <w:rsid w:val="00862224"/>
    <w:rsid w:val="00864209"/>
    <w:rsid w:val="00866586"/>
    <w:rsid w:val="0087325B"/>
    <w:rsid w:val="0087504A"/>
    <w:rsid w:val="0087570A"/>
    <w:rsid w:val="00875ACC"/>
    <w:rsid w:val="00881939"/>
    <w:rsid w:val="00881ABA"/>
    <w:rsid w:val="008823A8"/>
    <w:rsid w:val="008843B6"/>
    <w:rsid w:val="00886C89"/>
    <w:rsid w:val="0088779F"/>
    <w:rsid w:val="00891928"/>
    <w:rsid w:val="00894B8B"/>
    <w:rsid w:val="0089556C"/>
    <w:rsid w:val="00895808"/>
    <w:rsid w:val="008A00A4"/>
    <w:rsid w:val="008A446D"/>
    <w:rsid w:val="008A522A"/>
    <w:rsid w:val="008A7A64"/>
    <w:rsid w:val="008A7F08"/>
    <w:rsid w:val="008B2F0E"/>
    <w:rsid w:val="008B37D7"/>
    <w:rsid w:val="008B3958"/>
    <w:rsid w:val="008B5A2E"/>
    <w:rsid w:val="008C0232"/>
    <w:rsid w:val="008C4221"/>
    <w:rsid w:val="008C7645"/>
    <w:rsid w:val="008D180B"/>
    <w:rsid w:val="008D7227"/>
    <w:rsid w:val="008E1F92"/>
    <w:rsid w:val="008E7333"/>
    <w:rsid w:val="008E7B09"/>
    <w:rsid w:val="008E7D98"/>
    <w:rsid w:val="008F0E69"/>
    <w:rsid w:val="008F0EA7"/>
    <w:rsid w:val="008F7BB9"/>
    <w:rsid w:val="009029F9"/>
    <w:rsid w:val="00904692"/>
    <w:rsid w:val="00910097"/>
    <w:rsid w:val="00911C7C"/>
    <w:rsid w:val="00912898"/>
    <w:rsid w:val="00913DBA"/>
    <w:rsid w:val="0091561E"/>
    <w:rsid w:val="0091613A"/>
    <w:rsid w:val="009174A9"/>
    <w:rsid w:val="00923EEF"/>
    <w:rsid w:val="00924FEE"/>
    <w:rsid w:val="00931BB5"/>
    <w:rsid w:val="00935BFB"/>
    <w:rsid w:val="0093793E"/>
    <w:rsid w:val="00940B15"/>
    <w:rsid w:val="009411F5"/>
    <w:rsid w:val="009419F9"/>
    <w:rsid w:val="00944E84"/>
    <w:rsid w:val="0095217C"/>
    <w:rsid w:val="00953AA4"/>
    <w:rsid w:val="00955305"/>
    <w:rsid w:val="00956664"/>
    <w:rsid w:val="0095685E"/>
    <w:rsid w:val="00956E12"/>
    <w:rsid w:val="009572D9"/>
    <w:rsid w:val="00957645"/>
    <w:rsid w:val="009600D2"/>
    <w:rsid w:val="00961409"/>
    <w:rsid w:val="00961B09"/>
    <w:rsid w:val="00962300"/>
    <w:rsid w:val="00962A07"/>
    <w:rsid w:val="00963186"/>
    <w:rsid w:val="00965334"/>
    <w:rsid w:val="00967DCC"/>
    <w:rsid w:val="0097093E"/>
    <w:rsid w:val="0097260D"/>
    <w:rsid w:val="00972768"/>
    <w:rsid w:val="00976025"/>
    <w:rsid w:val="009800BE"/>
    <w:rsid w:val="00982BD4"/>
    <w:rsid w:val="00982E41"/>
    <w:rsid w:val="00984649"/>
    <w:rsid w:val="009858BE"/>
    <w:rsid w:val="00986BA8"/>
    <w:rsid w:val="00994041"/>
    <w:rsid w:val="009A0DFA"/>
    <w:rsid w:val="009A20B1"/>
    <w:rsid w:val="009A3C2C"/>
    <w:rsid w:val="009A4A40"/>
    <w:rsid w:val="009A6402"/>
    <w:rsid w:val="009B0A7A"/>
    <w:rsid w:val="009B2D26"/>
    <w:rsid w:val="009B780F"/>
    <w:rsid w:val="009C00CC"/>
    <w:rsid w:val="009C0C09"/>
    <w:rsid w:val="009C2DD0"/>
    <w:rsid w:val="009C3AC7"/>
    <w:rsid w:val="009C699C"/>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064E"/>
    <w:rsid w:val="00A01C7F"/>
    <w:rsid w:val="00A02465"/>
    <w:rsid w:val="00A03415"/>
    <w:rsid w:val="00A04A81"/>
    <w:rsid w:val="00A06B14"/>
    <w:rsid w:val="00A06BA6"/>
    <w:rsid w:val="00A07AAD"/>
    <w:rsid w:val="00A122D3"/>
    <w:rsid w:val="00A14D3D"/>
    <w:rsid w:val="00A17F13"/>
    <w:rsid w:val="00A20739"/>
    <w:rsid w:val="00A211D0"/>
    <w:rsid w:val="00A2142A"/>
    <w:rsid w:val="00A23361"/>
    <w:rsid w:val="00A24433"/>
    <w:rsid w:val="00A2443A"/>
    <w:rsid w:val="00A246FA"/>
    <w:rsid w:val="00A332DD"/>
    <w:rsid w:val="00A339A9"/>
    <w:rsid w:val="00A33C78"/>
    <w:rsid w:val="00A34630"/>
    <w:rsid w:val="00A34B38"/>
    <w:rsid w:val="00A34D87"/>
    <w:rsid w:val="00A35538"/>
    <w:rsid w:val="00A3764D"/>
    <w:rsid w:val="00A37BC4"/>
    <w:rsid w:val="00A42050"/>
    <w:rsid w:val="00A43292"/>
    <w:rsid w:val="00A445C0"/>
    <w:rsid w:val="00A46619"/>
    <w:rsid w:val="00A466EE"/>
    <w:rsid w:val="00A50E16"/>
    <w:rsid w:val="00A56FCA"/>
    <w:rsid w:val="00A6004A"/>
    <w:rsid w:val="00A613C2"/>
    <w:rsid w:val="00A617AC"/>
    <w:rsid w:val="00A63222"/>
    <w:rsid w:val="00A74DE6"/>
    <w:rsid w:val="00A8086A"/>
    <w:rsid w:val="00A80F32"/>
    <w:rsid w:val="00A8160E"/>
    <w:rsid w:val="00A81CDB"/>
    <w:rsid w:val="00A84898"/>
    <w:rsid w:val="00A85D57"/>
    <w:rsid w:val="00A87F7D"/>
    <w:rsid w:val="00A911ED"/>
    <w:rsid w:val="00A9244C"/>
    <w:rsid w:val="00A946D6"/>
    <w:rsid w:val="00A94D14"/>
    <w:rsid w:val="00AA5784"/>
    <w:rsid w:val="00AB0ADB"/>
    <w:rsid w:val="00AB3FD1"/>
    <w:rsid w:val="00AB6C82"/>
    <w:rsid w:val="00AC0EAB"/>
    <w:rsid w:val="00AC1435"/>
    <w:rsid w:val="00AC1F8F"/>
    <w:rsid w:val="00AC4701"/>
    <w:rsid w:val="00AC49A2"/>
    <w:rsid w:val="00AC6FA5"/>
    <w:rsid w:val="00AD0483"/>
    <w:rsid w:val="00AD55E8"/>
    <w:rsid w:val="00AD6288"/>
    <w:rsid w:val="00AD73E2"/>
    <w:rsid w:val="00AE2631"/>
    <w:rsid w:val="00AE3418"/>
    <w:rsid w:val="00AF1BEC"/>
    <w:rsid w:val="00AF58CB"/>
    <w:rsid w:val="00B009B8"/>
    <w:rsid w:val="00B01B1A"/>
    <w:rsid w:val="00B052CF"/>
    <w:rsid w:val="00B10F38"/>
    <w:rsid w:val="00B1354A"/>
    <w:rsid w:val="00B13D12"/>
    <w:rsid w:val="00B14E03"/>
    <w:rsid w:val="00B1600A"/>
    <w:rsid w:val="00B24457"/>
    <w:rsid w:val="00B26611"/>
    <w:rsid w:val="00B2672B"/>
    <w:rsid w:val="00B26B98"/>
    <w:rsid w:val="00B31A3F"/>
    <w:rsid w:val="00B31C7B"/>
    <w:rsid w:val="00B35A83"/>
    <w:rsid w:val="00B35ADC"/>
    <w:rsid w:val="00B37C24"/>
    <w:rsid w:val="00B405F1"/>
    <w:rsid w:val="00B40FBC"/>
    <w:rsid w:val="00B41B81"/>
    <w:rsid w:val="00B41DF7"/>
    <w:rsid w:val="00B421F5"/>
    <w:rsid w:val="00B46F27"/>
    <w:rsid w:val="00B47FD7"/>
    <w:rsid w:val="00B51F75"/>
    <w:rsid w:val="00B52CDB"/>
    <w:rsid w:val="00B53E27"/>
    <w:rsid w:val="00B54675"/>
    <w:rsid w:val="00B55136"/>
    <w:rsid w:val="00B558AF"/>
    <w:rsid w:val="00B6105C"/>
    <w:rsid w:val="00B614D7"/>
    <w:rsid w:val="00B615BA"/>
    <w:rsid w:val="00B622E7"/>
    <w:rsid w:val="00B62D8B"/>
    <w:rsid w:val="00B65805"/>
    <w:rsid w:val="00B72CD3"/>
    <w:rsid w:val="00B72FFF"/>
    <w:rsid w:val="00B73EB6"/>
    <w:rsid w:val="00B76CEB"/>
    <w:rsid w:val="00B8257D"/>
    <w:rsid w:val="00B828EF"/>
    <w:rsid w:val="00B82B8B"/>
    <w:rsid w:val="00B86982"/>
    <w:rsid w:val="00B86FE2"/>
    <w:rsid w:val="00B878ED"/>
    <w:rsid w:val="00B87F69"/>
    <w:rsid w:val="00B91186"/>
    <w:rsid w:val="00B93423"/>
    <w:rsid w:val="00B96213"/>
    <w:rsid w:val="00BA0539"/>
    <w:rsid w:val="00BA2EF4"/>
    <w:rsid w:val="00BA7850"/>
    <w:rsid w:val="00BC0036"/>
    <w:rsid w:val="00BC05A6"/>
    <w:rsid w:val="00BC3D36"/>
    <w:rsid w:val="00BC4B34"/>
    <w:rsid w:val="00BD279A"/>
    <w:rsid w:val="00BD39BA"/>
    <w:rsid w:val="00BD4827"/>
    <w:rsid w:val="00BD7F72"/>
    <w:rsid w:val="00BE03BC"/>
    <w:rsid w:val="00BE0A18"/>
    <w:rsid w:val="00BE12F9"/>
    <w:rsid w:val="00BE2120"/>
    <w:rsid w:val="00BE2377"/>
    <w:rsid w:val="00BE7308"/>
    <w:rsid w:val="00BE7DBA"/>
    <w:rsid w:val="00BF0437"/>
    <w:rsid w:val="00BF1201"/>
    <w:rsid w:val="00BF1D4A"/>
    <w:rsid w:val="00BF230F"/>
    <w:rsid w:val="00BF714A"/>
    <w:rsid w:val="00C002E3"/>
    <w:rsid w:val="00C012CC"/>
    <w:rsid w:val="00C04FB3"/>
    <w:rsid w:val="00C05FE1"/>
    <w:rsid w:val="00C10179"/>
    <w:rsid w:val="00C147D0"/>
    <w:rsid w:val="00C159C1"/>
    <w:rsid w:val="00C16346"/>
    <w:rsid w:val="00C203C2"/>
    <w:rsid w:val="00C21B15"/>
    <w:rsid w:val="00C23C5E"/>
    <w:rsid w:val="00C26980"/>
    <w:rsid w:val="00C27B8B"/>
    <w:rsid w:val="00C32523"/>
    <w:rsid w:val="00C330EB"/>
    <w:rsid w:val="00C371C9"/>
    <w:rsid w:val="00C40E9F"/>
    <w:rsid w:val="00C41481"/>
    <w:rsid w:val="00C42469"/>
    <w:rsid w:val="00C46D91"/>
    <w:rsid w:val="00C47A07"/>
    <w:rsid w:val="00C57281"/>
    <w:rsid w:val="00C65D65"/>
    <w:rsid w:val="00C66566"/>
    <w:rsid w:val="00C67703"/>
    <w:rsid w:val="00C7173F"/>
    <w:rsid w:val="00C730B6"/>
    <w:rsid w:val="00C754BE"/>
    <w:rsid w:val="00C76466"/>
    <w:rsid w:val="00C76B1C"/>
    <w:rsid w:val="00C84561"/>
    <w:rsid w:val="00C915DD"/>
    <w:rsid w:val="00C91B94"/>
    <w:rsid w:val="00C95476"/>
    <w:rsid w:val="00CA0456"/>
    <w:rsid w:val="00CA6A9D"/>
    <w:rsid w:val="00CA7F6B"/>
    <w:rsid w:val="00CA7FB6"/>
    <w:rsid w:val="00CB3853"/>
    <w:rsid w:val="00CB6357"/>
    <w:rsid w:val="00CB7326"/>
    <w:rsid w:val="00CC0FA3"/>
    <w:rsid w:val="00CC1B26"/>
    <w:rsid w:val="00CC4010"/>
    <w:rsid w:val="00CC49F7"/>
    <w:rsid w:val="00CC54DB"/>
    <w:rsid w:val="00CD087D"/>
    <w:rsid w:val="00CD1DD6"/>
    <w:rsid w:val="00CD4073"/>
    <w:rsid w:val="00CD41CB"/>
    <w:rsid w:val="00CD5EE0"/>
    <w:rsid w:val="00CD720B"/>
    <w:rsid w:val="00CD7A71"/>
    <w:rsid w:val="00CE509A"/>
    <w:rsid w:val="00CE5414"/>
    <w:rsid w:val="00CF1287"/>
    <w:rsid w:val="00CF7826"/>
    <w:rsid w:val="00D0157A"/>
    <w:rsid w:val="00D036D8"/>
    <w:rsid w:val="00D038ED"/>
    <w:rsid w:val="00D04446"/>
    <w:rsid w:val="00D06D26"/>
    <w:rsid w:val="00D10199"/>
    <w:rsid w:val="00D10B75"/>
    <w:rsid w:val="00D13351"/>
    <w:rsid w:val="00D13EA0"/>
    <w:rsid w:val="00D15E25"/>
    <w:rsid w:val="00D16D7E"/>
    <w:rsid w:val="00D17114"/>
    <w:rsid w:val="00D20368"/>
    <w:rsid w:val="00D21038"/>
    <w:rsid w:val="00D22361"/>
    <w:rsid w:val="00D22598"/>
    <w:rsid w:val="00D26924"/>
    <w:rsid w:val="00D3128C"/>
    <w:rsid w:val="00D413F6"/>
    <w:rsid w:val="00D4231B"/>
    <w:rsid w:val="00D423A2"/>
    <w:rsid w:val="00D520D8"/>
    <w:rsid w:val="00D52961"/>
    <w:rsid w:val="00D55048"/>
    <w:rsid w:val="00D55978"/>
    <w:rsid w:val="00D57FA4"/>
    <w:rsid w:val="00D62DE7"/>
    <w:rsid w:val="00D63AC2"/>
    <w:rsid w:val="00D665B4"/>
    <w:rsid w:val="00D67A5D"/>
    <w:rsid w:val="00D7383B"/>
    <w:rsid w:val="00D75566"/>
    <w:rsid w:val="00D7609E"/>
    <w:rsid w:val="00D81A63"/>
    <w:rsid w:val="00D81D25"/>
    <w:rsid w:val="00D85C60"/>
    <w:rsid w:val="00D908FC"/>
    <w:rsid w:val="00D94C40"/>
    <w:rsid w:val="00D94D3D"/>
    <w:rsid w:val="00DA16BA"/>
    <w:rsid w:val="00DA231B"/>
    <w:rsid w:val="00DA23A0"/>
    <w:rsid w:val="00DA7F66"/>
    <w:rsid w:val="00DB186F"/>
    <w:rsid w:val="00DB1CA2"/>
    <w:rsid w:val="00DB322A"/>
    <w:rsid w:val="00DB5175"/>
    <w:rsid w:val="00DC39FC"/>
    <w:rsid w:val="00DC4385"/>
    <w:rsid w:val="00DC484F"/>
    <w:rsid w:val="00DC4C27"/>
    <w:rsid w:val="00DC51BC"/>
    <w:rsid w:val="00DC793F"/>
    <w:rsid w:val="00DC7D35"/>
    <w:rsid w:val="00DD3BEB"/>
    <w:rsid w:val="00DD7439"/>
    <w:rsid w:val="00DE0D10"/>
    <w:rsid w:val="00DE4629"/>
    <w:rsid w:val="00DF11FD"/>
    <w:rsid w:val="00DF16E3"/>
    <w:rsid w:val="00DF5254"/>
    <w:rsid w:val="00DF6AE7"/>
    <w:rsid w:val="00DF7BE3"/>
    <w:rsid w:val="00E0065E"/>
    <w:rsid w:val="00E12426"/>
    <w:rsid w:val="00E16408"/>
    <w:rsid w:val="00E1678E"/>
    <w:rsid w:val="00E20894"/>
    <w:rsid w:val="00E245AB"/>
    <w:rsid w:val="00E26239"/>
    <w:rsid w:val="00E2764C"/>
    <w:rsid w:val="00E27F2E"/>
    <w:rsid w:val="00E377A2"/>
    <w:rsid w:val="00E413EA"/>
    <w:rsid w:val="00E45B7D"/>
    <w:rsid w:val="00E47F28"/>
    <w:rsid w:val="00E50AFE"/>
    <w:rsid w:val="00E52E49"/>
    <w:rsid w:val="00E53447"/>
    <w:rsid w:val="00E577AC"/>
    <w:rsid w:val="00E578B6"/>
    <w:rsid w:val="00E61547"/>
    <w:rsid w:val="00E61702"/>
    <w:rsid w:val="00E658D4"/>
    <w:rsid w:val="00E744BA"/>
    <w:rsid w:val="00E7451E"/>
    <w:rsid w:val="00E75B66"/>
    <w:rsid w:val="00E75C92"/>
    <w:rsid w:val="00E761BC"/>
    <w:rsid w:val="00E76808"/>
    <w:rsid w:val="00E770CD"/>
    <w:rsid w:val="00E771DC"/>
    <w:rsid w:val="00E77478"/>
    <w:rsid w:val="00E77E1B"/>
    <w:rsid w:val="00E8013F"/>
    <w:rsid w:val="00E8071A"/>
    <w:rsid w:val="00E80C9F"/>
    <w:rsid w:val="00E847D2"/>
    <w:rsid w:val="00E85AA8"/>
    <w:rsid w:val="00E870E5"/>
    <w:rsid w:val="00E8772A"/>
    <w:rsid w:val="00E90F6B"/>
    <w:rsid w:val="00E91079"/>
    <w:rsid w:val="00E92C27"/>
    <w:rsid w:val="00E92E10"/>
    <w:rsid w:val="00EA0E3D"/>
    <w:rsid w:val="00EA1CD8"/>
    <w:rsid w:val="00EA393B"/>
    <w:rsid w:val="00EA39A5"/>
    <w:rsid w:val="00EA4D15"/>
    <w:rsid w:val="00EB185D"/>
    <w:rsid w:val="00EB2C4B"/>
    <w:rsid w:val="00EB7E00"/>
    <w:rsid w:val="00EC1A2C"/>
    <w:rsid w:val="00EC1FE1"/>
    <w:rsid w:val="00EC38A7"/>
    <w:rsid w:val="00ED042A"/>
    <w:rsid w:val="00ED0D4A"/>
    <w:rsid w:val="00ED2F67"/>
    <w:rsid w:val="00ED7AD8"/>
    <w:rsid w:val="00EE1AA8"/>
    <w:rsid w:val="00EF26C3"/>
    <w:rsid w:val="00EF419E"/>
    <w:rsid w:val="00EF489F"/>
    <w:rsid w:val="00F0110B"/>
    <w:rsid w:val="00F07875"/>
    <w:rsid w:val="00F11213"/>
    <w:rsid w:val="00F11BAA"/>
    <w:rsid w:val="00F12913"/>
    <w:rsid w:val="00F1445A"/>
    <w:rsid w:val="00F14B48"/>
    <w:rsid w:val="00F177C1"/>
    <w:rsid w:val="00F23592"/>
    <w:rsid w:val="00F238F2"/>
    <w:rsid w:val="00F260AA"/>
    <w:rsid w:val="00F27B26"/>
    <w:rsid w:val="00F31EDC"/>
    <w:rsid w:val="00F34D02"/>
    <w:rsid w:val="00F34E84"/>
    <w:rsid w:val="00F40BAD"/>
    <w:rsid w:val="00F41EEE"/>
    <w:rsid w:val="00F462B3"/>
    <w:rsid w:val="00F47069"/>
    <w:rsid w:val="00F51119"/>
    <w:rsid w:val="00F5184B"/>
    <w:rsid w:val="00F522AE"/>
    <w:rsid w:val="00F5391F"/>
    <w:rsid w:val="00F55081"/>
    <w:rsid w:val="00F55168"/>
    <w:rsid w:val="00F5664F"/>
    <w:rsid w:val="00F626C4"/>
    <w:rsid w:val="00F64257"/>
    <w:rsid w:val="00F643DF"/>
    <w:rsid w:val="00F64D9E"/>
    <w:rsid w:val="00F665D0"/>
    <w:rsid w:val="00F666C4"/>
    <w:rsid w:val="00F71204"/>
    <w:rsid w:val="00F73DB7"/>
    <w:rsid w:val="00F75EA6"/>
    <w:rsid w:val="00F7684C"/>
    <w:rsid w:val="00F76AFC"/>
    <w:rsid w:val="00F80CBE"/>
    <w:rsid w:val="00F82FD5"/>
    <w:rsid w:val="00F85198"/>
    <w:rsid w:val="00F85A91"/>
    <w:rsid w:val="00F91268"/>
    <w:rsid w:val="00F939CB"/>
    <w:rsid w:val="00F9479C"/>
    <w:rsid w:val="00F965EE"/>
    <w:rsid w:val="00F97949"/>
    <w:rsid w:val="00FA0A8F"/>
    <w:rsid w:val="00FA1110"/>
    <w:rsid w:val="00FA358D"/>
    <w:rsid w:val="00FA47C0"/>
    <w:rsid w:val="00FB4425"/>
    <w:rsid w:val="00FB4EE0"/>
    <w:rsid w:val="00FB5615"/>
    <w:rsid w:val="00FB5DD1"/>
    <w:rsid w:val="00FB5F87"/>
    <w:rsid w:val="00FC073D"/>
    <w:rsid w:val="00FC07B5"/>
    <w:rsid w:val="00FC2B5D"/>
    <w:rsid w:val="00FD00E9"/>
    <w:rsid w:val="00FD03E3"/>
    <w:rsid w:val="00FD07E4"/>
    <w:rsid w:val="00FD0E1B"/>
    <w:rsid w:val="00FD59FD"/>
    <w:rsid w:val="00FE122A"/>
    <w:rsid w:val="00FE20E6"/>
    <w:rsid w:val="00FE227D"/>
    <w:rsid w:val="00FE42B3"/>
    <w:rsid w:val="00FE5975"/>
    <w:rsid w:val="00FE7B77"/>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6922BF7B-D604-4697-B359-3BC94268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562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table" w:customStyle="1" w:styleId="Tablaconcuadrcula11">
    <w:name w:val="Tabla con cuadrícula11"/>
    <w:basedOn w:val="Tablanormal"/>
    <w:next w:val="Tablaconcuadrcula"/>
    <w:uiPriority w:val="39"/>
    <w:qFormat/>
    <w:rsid w:val="00B31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712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409299">
      <w:bodyDiv w:val="1"/>
      <w:marLeft w:val="0"/>
      <w:marRight w:val="0"/>
      <w:marTop w:val="0"/>
      <w:marBottom w:val="0"/>
      <w:divBdr>
        <w:top w:val="none" w:sz="0" w:space="0" w:color="auto"/>
        <w:left w:val="none" w:sz="0" w:space="0" w:color="auto"/>
        <w:bottom w:val="none" w:sz="0" w:space="0" w:color="auto"/>
        <w:right w:val="none" w:sz="0" w:space="0" w:color="auto"/>
      </w:divBdr>
    </w:div>
    <w:div w:id="367878781">
      <w:bodyDiv w:val="1"/>
      <w:marLeft w:val="0"/>
      <w:marRight w:val="0"/>
      <w:marTop w:val="0"/>
      <w:marBottom w:val="0"/>
      <w:divBdr>
        <w:top w:val="none" w:sz="0" w:space="0" w:color="auto"/>
        <w:left w:val="none" w:sz="0" w:space="0" w:color="auto"/>
        <w:bottom w:val="none" w:sz="0" w:space="0" w:color="auto"/>
        <w:right w:val="none" w:sz="0" w:space="0" w:color="auto"/>
      </w:divBdr>
    </w:div>
    <w:div w:id="404839358">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493180265">
      <w:bodyDiv w:val="1"/>
      <w:marLeft w:val="0"/>
      <w:marRight w:val="0"/>
      <w:marTop w:val="0"/>
      <w:marBottom w:val="0"/>
      <w:divBdr>
        <w:top w:val="none" w:sz="0" w:space="0" w:color="auto"/>
        <w:left w:val="none" w:sz="0" w:space="0" w:color="auto"/>
        <w:bottom w:val="none" w:sz="0" w:space="0" w:color="auto"/>
        <w:right w:val="none" w:sz="0" w:space="0" w:color="auto"/>
      </w:divBdr>
      <w:divsChild>
        <w:div w:id="1080754714">
          <w:marLeft w:val="0"/>
          <w:marRight w:val="0"/>
          <w:marTop w:val="0"/>
          <w:marBottom w:val="0"/>
          <w:divBdr>
            <w:top w:val="none" w:sz="0" w:space="0" w:color="auto"/>
            <w:left w:val="none" w:sz="0" w:space="0" w:color="auto"/>
            <w:bottom w:val="none" w:sz="0" w:space="0" w:color="auto"/>
            <w:right w:val="none" w:sz="0" w:space="0" w:color="auto"/>
          </w:divBdr>
        </w:div>
        <w:div w:id="1112440676">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174883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33375842">
          <w:marLeft w:val="0"/>
          <w:marRight w:val="0"/>
          <w:marTop w:val="0"/>
          <w:marBottom w:val="160"/>
          <w:divBdr>
            <w:top w:val="none" w:sz="0" w:space="0" w:color="auto"/>
            <w:left w:val="none" w:sz="0" w:space="0" w:color="auto"/>
            <w:bottom w:val="none" w:sz="0" w:space="0" w:color="auto"/>
            <w:right w:val="none" w:sz="0" w:space="0" w:color="auto"/>
          </w:divBdr>
        </w:div>
        <w:div w:id="1665283950">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90015204">
      <w:bodyDiv w:val="1"/>
      <w:marLeft w:val="0"/>
      <w:marRight w:val="0"/>
      <w:marTop w:val="0"/>
      <w:marBottom w:val="0"/>
      <w:divBdr>
        <w:top w:val="none" w:sz="0" w:space="0" w:color="auto"/>
        <w:left w:val="none" w:sz="0" w:space="0" w:color="auto"/>
        <w:bottom w:val="none" w:sz="0" w:space="0" w:color="auto"/>
        <w:right w:val="none" w:sz="0" w:space="0" w:color="auto"/>
      </w:divBdr>
      <w:divsChild>
        <w:div w:id="155534597">
          <w:marLeft w:val="0"/>
          <w:marRight w:val="0"/>
          <w:marTop w:val="0"/>
          <w:marBottom w:val="0"/>
          <w:divBdr>
            <w:top w:val="none" w:sz="0" w:space="0" w:color="auto"/>
            <w:left w:val="none" w:sz="0" w:space="0" w:color="auto"/>
            <w:bottom w:val="none" w:sz="0" w:space="0" w:color="auto"/>
            <w:right w:val="none" w:sz="0" w:space="0" w:color="auto"/>
          </w:divBdr>
          <w:divsChild>
            <w:div w:id="1419593446">
              <w:marLeft w:val="0"/>
              <w:marRight w:val="0"/>
              <w:marTop w:val="0"/>
              <w:marBottom w:val="0"/>
              <w:divBdr>
                <w:top w:val="none" w:sz="0" w:space="0" w:color="auto"/>
                <w:left w:val="none" w:sz="0" w:space="0" w:color="auto"/>
                <w:bottom w:val="none" w:sz="0" w:space="0" w:color="auto"/>
                <w:right w:val="none" w:sz="0" w:space="0" w:color="auto"/>
              </w:divBdr>
              <w:divsChild>
                <w:div w:id="1343362081">
                  <w:marLeft w:val="0"/>
                  <w:marRight w:val="0"/>
                  <w:marTop w:val="0"/>
                  <w:marBottom w:val="0"/>
                  <w:divBdr>
                    <w:top w:val="none" w:sz="0" w:space="0" w:color="auto"/>
                    <w:left w:val="none" w:sz="0" w:space="0" w:color="auto"/>
                    <w:bottom w:val="none" w:sz="0" w:space="0" w:color="auto"/>
                    <w:right w:val="none" w:sz="0" w:space="0" w:color="auto"/>
                  </w:divBdr>
                  <w:divsChild>
                    <w:div w:id="716901337">
                      <w:marLeft w:val="0"/>
                      <w:marRight w:val="0"/>
                      <w:marTop w:val="0"/>
                      <w:marBottom w:val="0"/>
                      <w:divBdr>
                        <w:top w:val="none" w:sz="0" w:space="0" w:color="auto"/>
                        <w:left w:val="none" w:sz="0" w:space="0" w:color="auto"/>
                        <w:bottom w:val="none" w:sz="0" w:space="0" w:color="auto"/>
                        <w:right w:val="none" w:sz="0" w:space="0" w:color="auto"/>
                      </w:divBdr>
                      <w:divsChild>
                        <w:div w:id="1330594945">
                          <w:marLeft w:val="0"/>
                          <w:marRight w:val="0"/>
                          <w:marTop w:val="0"/>
                          <w:marBottom w:val="0"/>
                          <w:divBdr>
                            <w:top w:val="none" w:sz="0" w:space="0" w:color="auto"/>
                            <w:left w:val="none" w:sz="0" w:space="0" w:color="auto"/>
                            <w:bottom w:val="none" w:sz="0" w:space="0" w:color="auto"/>
                            <w:right w:val="none" w:sz="0" w:space="0" w:color="auto"/>
                          </w:divBdr>
                          <w:divsChild>
                            <w:div w:id="109624273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8842407">
                      <w:marLeft w:val="0"/>
                      <w:marRight w:val="0"/>
                      <w:marTop w:val="0"/>
                      <w:marBottom w:val="0"/>
                      <w:divBdr>
                        <w:top w:val="none" w:sz="0" w:space="0" w:color="auto"/>
                        <w:left w:val="none" w:sz="0" w:space="0" w:color="auto"/>
                        <w:bottom w:val="none" w:sz="0" w:space="0" w:color="auto"/>
                        <w:right w:val="none" w:sz="0" w:space="0" w:color="auto"/>
                      </w:divBdr>
                      <w:divsChild>
                        <w:div w:id="2080902959">
                          <w:marLeft w:val="0"/>
                          <w:marRight w:val="0"/>
                          <w:marTop w:val="0"/>
                          <w:marBottom w:val="0"/>
                          <w:divBdr>
                            <w:top w:val="none" w:sz="0" w:space="0" w:color="auto"/>
                            <w:left w:val="none" w:sz="0" w:space="0" w:color="auto"/>
                            <w:bottom w:val="none" w:sz="0" w:space="0" w:color="auto"/>
                            <w:right w:val="none" w:sz="0" w:space="0" w:color="auto"/>
                          </w:divBdr>
                          <w:divsChild>
                            <w:div w:id="1401170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76014274">
                      <w:marLeft w:val="0"/>
                      <w:marRight w:val="0"/>
                      <w:marTop w:val="0"/>
                      <w:marBottom w:val="0"/>
                      <w:divBdr>
                        <w:top w:val="none" w:sz="0" w:space="0" w:color="auto"/>
                        <w:left w:val="none" w:sz="0" w:space="0" w:color="auto"/>
                        <w:bottom w:val="none" w:sz="0" w:space="0" w:color="auto"/>
                        <w:right w:val="none" w:sz="0" w:space="0" w:color="auto"/>
                      </w:divBdr>
                      <w:divsChild>
                        <w:div w:id="920606548">
                          <w:marLeft w:val="0"/>
                          <w:marRight w:val="0"/>
                          <w:marTop w:val="0"/>
                          <w:marBottom w:val="0"/>
                          <w:divBdr>
                            <w:top w:val="none" w:sz="0" w:space="0" w:color="auto"/>
                            <w:left w:val="none" w:sz="0" w:space="0" w:color="auto"/>
                            <w:bottom w:val="none" w:sz="0" w:space="0" w:color="auto"/>
                            <w:right w:val="none" w:sz="0" w:space="0" w:color="auto"/>
                          </w:divBdr>
                          <w:divsChild>
                            <w:div w:id="561059275">
                              <w:marLeft w:val="-420"/>
                              <w:marRight w:val="0"/>
                              <w:marTop w:val="0"/>
                              <w:marBottom w:val="0"/>
                              <w:divBdr>
                                <w:top w:val="none" w:sz="0" w:space="0" w:color="auto"/>
                                <w:left w:val="none" w:sz="0" w:space="0" w:color="auto"/>
                                <w:bottom w:val="none" w:sz="0" w:space="0" w:color="auto"/>
                                <w:right w:val="none" w:sz="0" w:space="0" w:color="auto"/>
                              </w:divBdr>
                              <w:divsChild>
                                <w:div w:id="2042825720">
                                  <w:marLeft w:val="0"/>
                                  <w:marRight w:val="0"/>
                                  <w:marTop w:val="0"/>
                                  <w:marBottom w:val="0"/>
                                  <w:divBdr>
                                    <w:top w:val="none" w:sz="0" w:space="0" w:color="auto"/>
                                    <w:left w:val="none" w:sz="0" w:space="0" w:color="auto"/>
                                    <w:bottom w:val="none" w:sz="0" w:space="0" w:color="auto"/>
                                    <w:right w:val="none" w:sz="0" w:space="0" w:color="auto"/>
                                  </w:divBdr>
                                  <w:divsChild>
                                    <w:div w:id="390035471">
                                      <w:marLeft w:val="0"/>
                                      <w:marRight w:val="0"/>
                                      <w:marTop w:val="0"/>
                                      <w:marBottom w:val="0"/>
                                      <w:divBdr>
                                        <w:top w:val="none" w:sz="0" w:space="0" w:color="auto"/>
                                        <w:left w:val="none" w:sz="0" w:space="0" w:color="auto"/>
                                        <w:bottom w:val="none" w:sz="0" w:space="0" w:color="auto"/>
                                        <w:right w:val="none" w:sz="0" w:space="0" w:color="auto"/>
                                      </w:divBdr>
                                      <w:divsChild>
                                        <w:div w:id="401298508">
                                          <w:marLeft w:val="0"/>
                                          <w:marRight w:val="0"/>
                                          <w:marTop w:val="0"/>
                                          <w:marBottom w:val="0"/>
                                          <w:divBdr>
                                            <w:top w:val="none" w:sz="0" w:space="0" w:color="auto"/>
                                            <w:left w:val="none" w:sz="0" w:space="0" w:color="auto"/>
                                            <w:bottom w:val="none" w:sz="0" w:space="0" w:color="auto"/>
                                            <w:right w:val="none" w:sz="0" w:space="0" w:color="auto"/>
                                          </w:divBdr>
                                        </w:div>
                                        <w:div w:id="4931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20477">
                              <w:marLeft w:val="-420"/>
                              <w:marRight w:val="0"/>
                              <w:marTop w:val="0"/>
                              <w:marBottom w:val="0"/>
                              <w:divBdr>
                                <w:top w:val="none" w:sz="0" w:space="0" w:color="auto"/>
                                <w:left w:val="none" w:sz="0" w:space="0" w:color="auto"/>
                                <w:bottom w:val="none" w:sz="0" w:space="0" w:color="auto"/>
                                <w:right w:val="none" w:sz="0" w:space="0" w:color="auto"/>
                              </w:divBdr>
                              <w:divsChild>
                                <w:div w:id="1894656545">
                                  <w:marLeft w:val="0"/>
                                  <w:marRight w:val="0"/>
                                  <w:marTop w:val="0"/>
                                  <w:marBottom w:val="0"/>
                                  <w:divBdr>
                                    <w:top w:val="none" w:sz="0" w:space="0" w:color="auto"/>
                                    <w:left w:val="none" w:sz="0" w:space="0" w:color="auto"/>
                                    <w:bottom w:val="none" w:sz="0" w:space="0" w:color="auto"/>
                                    <w:right w:val="none" w:sz="0" w:space="0" w:color="auto"/>
                                  </w:divBdr>
                                  <w:divsChild>
                                    <w:div w:id="967854028">
                                      <w:marLeft w:val="0"/>
                                      <w:marRight w:val="0"/>
                                      <w:marTop w:val="0"/>
                                      <w:marBottom w:val="0"/>
                                      <w:divBdr>
                                        <w:top w:val="none" w:sz="0" w:space="0" w:color="auto"/>
                                        <w:left w:val="none" w:sz="0" w:space="0" w:color="auto"/>
                                        <w:bottom w:val="none" w:sz="0" w:space="0" w:color="auto"/>
                                        <w:right w:val="none" w:sz="0" w:space="0" w:color="auto"/>
                                      </w:divBdr>
                                      <w:divsChild>
                                        <w:div w:id="149178162">
                                          <w:marLeft w:val="0"/>
                                          <w:marRight w:val="0"/>
                                          <w:marTop w:val="0"/>
                                          <w:marBottom w:val="0"/>
                                          <w:divBdr>
                                            <w:top w:val="none" w:sz="0" w:space="0" w:color="auto"/>
                                            <w:left w:val="none" w:sz="0" w:space="0" w:color="auto"/>
                                            <w:bottom w:val="none" w:sz="0" w:space="0" w:color="auto"/>
                                            <w:right w:val="none" w:sz="0" w:space="0" w:color="auto"/>
                                          </w:divBdr>
                                        </w:div>
                                        <w:div w:id="155177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812738">
                              <w:marLeft w:val="-420"/>
                              <w:marRight w:val="0"/>
                              <w:marTop w:val="0"/>
                              <w:marBottom w:val="0"/>
                              <w:divBdr>
                                <w:top w:val="none" w:sz="0" w:space="0" w:color="auto"/>
                                <w:left w:val="none" w:sz="0" w:space="0" w:color="auto"/>
                                <w:bottom w:val="none" w:sz="0" w:space="0" w:color="auto"/>
                                <w:right w:val="none" w:sz="0" w:space="0" w:color="auto"/>
                              </w:divBdr>
                              <w:divsChild>
                                <w:div w:id="1911041600">
                                  <w:marLeft w:val="0"/>
                                  <w:marRight w:val="0"/>
                                  <w:marTop w:val="0"/>
                                  <w:marBottom w:val="0"/>
                                  <w:divBdr>
                                    <w:top w:val="none" w:sz="0" w:space="0" w:color="auto"/>
                                    <w:left w:val="none" w:sz="0" w:space="0" w:color="auto"/>
                                    <w:bottom w:val="none" w:sz="0" w:space="0" w:color="auto"/>
                                    <w:right w:val="none" w:sz="0" w:space="0" w:color="auto"/>
                                  </w:divBdr>
                                  <w:divsChild>
                                    <w:div w:id="861044171">
                                      <w:marLeft w:val="0"/>
                                      <w:marRight w:val="0"/>
                                      <w:marTop w:val="0"/>
                                      <w:marBottom w:val="0"/>
                                      <w:divBdr>
                                        <w:top w:val="none" w:sz="0" w:space="0" w:color="auto"/>
                                        <w:left w:val="none" w:sz="0" w:space="0" w:color="auto"/>
                                        <w:bottom w:val="none" w:sz="0" w:space="0" w:color="auto"/>
                                        <w:right w:val="none" w:sz="0" w:space="0" w:color="auto"/>
                                      </w:divBdr>
                                      <w:divsChild>
                                        <w:div w:id="705180249">
                                          <w:marLeft w:val="0"/>
                                          <w:marRight w:val="0"/>
                                          <w:marTop w:val="0"/>
                                          <w:marBottom w:val="0"/>
                                          <w:divBdr>
                                            <w:top w:val="none" w:sz="0" w:space="0" w:color="auto"/>
                                            <w:left w:val="none" w:sz="0" w:space="0" w:color="auto"/>
                                            <w:bottom w:val="none" w:sz="0" w:space="0" w:color="auto"/>
                                            <w:right w:val="none" w:sz="0" w:space="0" w:color="auto"/>
                                          </w:divBdr>
                                        </w:div>
                                        <w:div w:id="14786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053937">
                              <w:marLeft w:val="-420"/>
                              <w:marRight w:val="0"/>
                              <w:marTop w:val="0"/>
                              <w:marBottom w:val="0"/>
                              <w:divBdr>
                                <w:top w:val="none" w:sz="0" w:space="0" w:color="auto"/>
                                <w:left w:val="none" w:sz="0" w:space="0" w:color="auto"/>
                                <w:bottom w:val="none" w:sz="0" w:space="0" w:color="auto"/>
                                <w:right w:val="none" w:sz="0" w:space="0" w:color="auto"/>
                              </w:divBdr>
                              <w:divsChild>
                                <w:div w:id="884103095">
                                  <w:marLeft w:val="0"/>
                                  <w:marRight w:val="0"/>
                                  <w:marTop w:val="0"/>
                                  <w:marBottom w:val="0"/>
                                  <w:divBdr>
                                    <w:top w:val="none" w:sz="0" w:space="0" w:color="auto"/>
                                    <w:left w:val="none" w:sz="0" w:space="0" w:color="auto"/>
                                    <w:bottom w:val="none" w:sz="0" w:space="0" w:color="auto"/>
                                    <w:right w:val="none" w:sz="0" w:space="0" w:color="auto"/>
                                  </w:divBdr>
                                  <w:divsChild>
                                    <w:div w:id="307127584">
                                      <w:marLeft w:val="0"/>
                                      <w:marRight w:val="0"/>
                                      <w:marTop w:val="0"/>
                                      <w:marBottom w:val="0"/>
                                      <w:divBdr>
                                        <w:top w:val="none" w:sz="0" w:space="0" w:color="auto"/>
                                        <w:left w:val="none" w:sz="0" w:space="0" w:color="auto"/>
                                        <w:bottom w:val="none" w:sz="0" w:space="0" w:color="auto"/>
                                        <w:right w:val="none" w:sz="0" w:space="0" w:color="auto"/>
                                      </w:divBdr>
                                      <w:divsChild>
                                        <w:div w:id="811405581">
                                          <w:marLeft w:val="0"/>
                                          <w:marRight w:val="0"/>
                                          <w:marTop w:val="0"/>
                                          <w:marBottom w:val="0"/>
                                          <w:divBdr>
                                            <w:top w:val="none" w:sz="0" w:space="0" w:color="auto"/>
                                            <w:left w:val="none" w:sz="0" w:space="0" w:color="auto"/>
                                            <w:bottom w:val="none" w:sz="0" w:space="0" w:color="auto"/>
                                            <w:right w:val="none" w:sz="0" w:space="0" w:color="auto"/>
                                          </w:divBdr>
                                        </w:div>
                                        <w:div w:id="66979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7930448">
                      <w:marLeft w:val="0"/>
                      <w:marRight w:val="0"/>
                      <w:marTop w:val="0"/>
                      <w:marBottom w:val="0"/>
                      <w:divBdr>
                        <w:top w:val="none" w:sz="0" w:space="0" w:color="auto"/>
                        <w:left w:val="none" w:sz="0" w:space="0" w:color="auto"/>
                        <w:bottom w:val="none" w:sz="0" w:space="0" w:color="auto"/>
                        <w:right w:val="none" w:sz="0" w:space="0" w:color="auto"/>
                      </w:divBdr>
                      <w:divsChild>
                        <w:div w:id="153570891">
                          <w:marLeft w:val="0"/>
                          <w:marRight w:val="0"/>
                          <w:marTop w:val="0"/>
                          <w:marBottom w:val="0"/>
                          <w:divBdr>
                            <w:top w:val="none" w:sz="0" w:space="0" w:color="auto"/>
                            <w:left w:val="none" w:sz="0" w:space="0" w:color="auto"/>
                            <w:bottom w:val="none" w:sz="0" w:space="0" w:color="auto"/>
                            <w:right w:val="none" w:sz="0" w:space="0" w:color="auto"/>
                          </w:divBdr>
                          <w:divsChild>
                            <w:div w:id="97603603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59743338">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195776917">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522205550">
          <w:marLeft w:val="0"/>
          <w:marRight w:val="0"/>
          <w:marTop w:val="0"/>
          <w:marBottom w:val="160"/>
          <w:divBdr>
            <w:top w:val="none" w:sz="0" w:space="0" w:color="auto"/>
            <w:left w:val="none" w:sz="0" w:space="0" w:color="auto"/>
            <w:bottom w:val="none" w:sz="0" w:space="0" w:color="auto"/>
            <w:right w:val="none" w:sz="0" w:space="0" w:color="auto"/>
          </w:divBdr>
        </w:div>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78457599">
      <w:bodyDiv w:val="1"/>
      <w:marLeft w:val="0"/>
      <w:marRight w:val="0"/>
      <w:marTop w:val="0"/>
      <w:marBottom w:val="0"/>
      <w:divBdr>
        <w:top w:val="none" w:sz="0" w:space="0" w:color="auto"/>
        <w:left w:val="none" w:sz="0" w:space="0" w:color="auto"/>
        <w:bottom w:val="none" w:sz="0" w:space="0" w:color="auto"/>
        <w:right w:val="none" w:sz="0" w:space="0" w:color="auto"/>
      </w:divBdr>
    </w:div>
    <w:div w:id="1520461795">
      <w:bodyDiv w:val="1"/>
      <w:marLeft w:val="0"/>
      <w:marRight w:val="0"/>
      <w:marTop w:val="0"/>
      <w:marBottom w:val="0"/>
      <w:divBdr>
        <w:top w:val="none" w:sz="0" w:space="0" w:color="auto"/>
        <w:left w:val="none" w:sz="0" w:space="0" w:color="auto"/>
        <w:bottom w:val="none" w:sz="0" w:space="0" w:color="auto"/>
        <w:right w:val="none" w:sz="0" w:space="0" w:color="auto"/>
      </w:divBdr>
    </w:div>
    <w:div w:id="1549956869">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179394306">
          <w:marLeft w:val="0"/>
          <w:marRight w:val="0"/>
          <w:marTop w:val="0"/>
          <w:marBottom w:val="160"/>
          <w:divBdr>
            <w:top w:val="none" w:sz="0" w:space="0" w:color="auto"/>
            <w:left w:val="none" w:sz="0" w:space="0" w:color="auto"/>
            <w:bottom w:val="none" w:sz="0" w:space="0" w:color="auto"/>
            <w:right w:val="none" w:sz="0" w:space="0" w:color="auto"/>
          </w:divBdr>
        </w:div>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sChild>
    </w:div>
    <w:div w:id="1677802067">
      <w:bodyDiv w:val="1"/>
      <w:marLeft w:val="0"/>
      <w:marRight w:val="0"/>
      <w:marTop w:val="0"/>
      <w:marBottom w:val="0"/>
      <w:divBdr>
        <w:top w:val="none" w:sz="0" w:space="0" w:color="auto"/>
        <w:left w:val="none" w:sz="0" w:space="0" w:color="auto"/>
        <w:bottom w:val="none" w:sz="0" w:space="0" w:color="auto"/>
        <w:right w:val="none" w:sz="0" w:space="0" w:color="auto"/>
      </w:divBdr>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oby.abogadopenalista@gmail.com" TargetMode="External"/><Relationship Id="rId18" Type="http://schemas.openxmlformats.org/officeDocument/2006/relationships/hyperlink" Target="https://nam02.safelinks.protection.outlook.com/?url=https%3A%2F%2Fwww.colombiacompra.gov.co%2Fmanuales-guias-y-pliegos-tipo%2Fmanuales-y-guias%2Fguia-de-contratacion-publica-sostenible-y-socialmente&amp;data=05%7C02%7Calejandro.gamboa%40colombiacompra.gov.co%7Ceb0fd05604104aa4d3bc08dd4c4ad35e%7C7b09041e245149d08cb179d5e3d8c1be%7C0%7C0%7C638750606450289171%7CUnknown%7CTWFpbGZsb3d8eyJFbXB0eU1hcGkiOnRydWUsIlYiOiIwLjAuMDAwMCIsIlAiOiJXaW4zMiIsIkFOIjoiTWFpbCIsIldUIjoyfQ%3D%3D%7C0%7C%7C%7C&amp;sdata=2HC4Z7Kh3a1i3CjDiQ1EZpoGsR938A8OplCKLBXdhJg%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https://nam02.safelinks.protection.outlook.com/?url=https%3A%2F%2Fwww.colombiacompra.gov.co%2Fciudadanos%2Fcalendario&amp;data=05%7C02%7Calejandro.gamboa%40colombiacompra.gov.co%7Ceb0fd05604104aa4d3bc08dd4c4ad35e%7C7b09041e245149d08cb179d5e3d8c1be%7C0%7C0%7C638750606450272829%7CUnknown%7CTWFpbGZsb3d8eyJFbXB0eU1hcGkiOnRydWUsIlYiOiIwLjAuMDAwMCIsIlAiOiJXaW4zMiIsIkFOIjoiTWFpbCIsIldUIjoyfQ%3D%3D%7C0%7C%7C%7C&amp;sdata=u1Dq3BYPlFzCuSMREHt62SAJywkL2Ktbw2iade%2FYh6g%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cartilla-para-incentivar-y-fortalecer-el-acceso-las&amp;data=05%7C02%7Calejandro.gamboa%40colombiacompra.gov.co%7Ceb0fd05604104aa4d3bc08dd4c4ad35e%7C7b09041e245149d08cb179d5e3d8c1be%7C0%7C0%7C638750606450251798%7CUnknown%7CTWFpbGZsb3d8eyJFbXB0eU1hcGkiOnRydWUsIlYiOiIwLjAuMDAwMCIsIlAiOiJXaW4zMiIsIkFOIjoiTWFpbCIsIldUIjoyfQ%3D%3D%7C0%7C%7C%7C&amp;sdata=4LCpijy84KrVojo36lC220v16Uay2RMQmzuuL1ZjHAs%3D&amp;reserved=0"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www.colombiacompra.gov.co/sites/cce_public/files/cce_documents/cce_guia_esa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2EAE3CB6-53B8-4325-8720-3FB6CC594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31</Pages>
  <Words>10518</Words>
  <Characters>59956</Characters>
  <Application>Microsoft Office Word</Application>
  <DocSecurity>0</DocSecurity>
  <Lines>499</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2025-06-17T01:12:00Z</dcterms:created>
  <dcterms:modified xsi:type="dcterms:W3CDTF">2025-06-17T15:59:00Z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