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88981B" w14:textId="5638DF15" w:rsidR="00D80902" w:rsidRDefault="00D80902" w:rsidP="00E245AB">
      <w:pPr>
        <w:spacing w:after="0"/>
        <w:rPr>
          <w:rFonts w:ascii="Verdana" w:hAnsi="Verdana"/>
        </w:rPr>
      </w:pPr>
      <w:bookmarkStart w:id="0" w:name="_Hlk143780582"/>
    </w:p>
    <w:p w14:paraId="0C685AA6" w14:textId="77777777" w:rsidR="00D80902" w:rsidRPr="00D80902" w:rsidRDefault="00D80902" w:rsidP="00D80902">
      <w:pPr>
        <w:rPr>
          <w:rFonts w:ascii="Verdana" w:hAnsi="Verdana"/>
          <w:b/>
          <w:bCs/>
          <w:lang w:val="es-MX"/>
        </w:rPr>
      </w:pPr>
      <w:r w:rsidRPr="00D80902">
        <w:rPr>
          <w:rFonts w:ascii="Verdana" w:hAnsi="Verdana"/>
          <w:b/>
          <w:bCs/>
          <w:lang w:val="es-MX"/>
        </w:rPr>
        <w:t xml:space="preserve">REGISTRO MERCANTIL </w:t>
      </w:r>
      <w:r w:rsidRPr="00D80902">
        <w:rPr>
          <w:rFonts w:ascii="Verdana" w:hAnsi="Verdana"/>
          <w:b/>
          <w:lang w:val="es-MX"/>
        </w:rPr>
        <w:t xml:space="preserve">– </w:t>
      </w:r>
      <w:r w:rsidRPr="00D80902">
        <w:rPr>
          <w:rFonts w:ascii="Verdana" w:hAnsi="Verdana"/>
          <w:b/>
          <w:bCs/>
          <w:lang w:val="es-MX"/>
        </w:rPr>
        <w:t xml:space="preserve">Finalidad </w:t>
      </w:r>
      <w:r w:rsidRPr="00D80902">
        <w:rPr>
          <w:rFonts w:ascii="Verdana" w:hAnsi="Verdana"/>
          <w:b/>
          <w:lang w:val="es-MX"/>
        </w:rPr>
        <w:t xml:space="preserve">– </w:t>
      </w:r>
      <w:r w:rsidRPr="00D80902">
        <w:rPr>
          <w:rFonts w:ascii="Verdana" w:hAnsi="Verdana"/>
          <w:b/>
          <w:bCs/>
          <w:lang w:val="es-MX"/>
        </w:rPr>
        <w:t xml:space="preserve">Naturaleza jurídica </w:t>
      </w:r>
    </w:p>
    <w:p w14:paraId="1A6A54FE" w14:textId="77777777" w:rsidR="00D80902" w:rsidRPr="00D80902" w:rsidRDefault="00D80902" w:rsidP="00D80902">
      <w:pPr>
        <w:rPr>
          <w:rFonts w:ascii="Verdana" w:hAnsi="Verdana"/>
          <w:lang w:val="es-MX"/>
        </w:rPr>
      </w:pPr>
    </w:p>
    <w:p w14:paraId="7C4B6112" w14:textId="77777777" w:rsidR="00D80902" w:rsidRPr="00D80902" w:rsidRDefault="00D80902" w:rsidP="00D80902">
      <w:pPr>
        <w:jc w:val="both"/>
        <w:rPr>
          <w:rFonts w:ascii="Verdana" w:hAnsi="Verdana"/>
          <w:sz w:val="20"/>
          <w:szCs w:val="20"/>
          <w:lang w:val="es-MX"/>
        </w:rPr>
      </w:pPr>
      <w:r w:rsidRPr="00D80902">
        <w:rPr>
          <w:rFonts w:ascii="Verdana" w:hAnsi="Verdana"/>
          <w:sz w:val="20"/>
          <w:szCs w:val="20"/>
          <w:lang w:val="es-MX"/>
        </w:rPr>
        <w:t xml:space="preserve">El registro mercantil tiene «por objeto llevar la matrícula de los comerciantes y de los establecimientos de comercio, así como la inscripción de todos los actos, libros y documentos respecto de los cuales la ley exigiere esa formalidad». Así, la matrícula mercantil es un medio de identificación que da publicidad a la condición de comerciante, la cual, de acuerdo con el artículo 10 del Código de Comercio, se establece para aquellas personas que se ocupan profesionalmente de una o varias de las actividades que el mismo código considera como comerciales o mercantiles, según el artículo 20 y 21. </w:t>
      </w:r>
    </w:p>
    <w:p w14:paraId="72D7F6B5" w14:textId="77777777" w:rsidR="00D80902" w:rsidRPr="00D80902" w:rsidRDefault="00D80902" w:rsidP="00D80902">
      <w:pPr>
        <w:jc w:val="both"/>
        <w:rPr>
          <w:rFonts w:ascii="Verdana" w:hAnsi="Verdana"/>
          <w:sz w:val="20"/>
          <w:szCs w:val="20"/>
          <w:lang w:val="es-MX"/>
        </w:rPr>
      </w:pPr>
      <w:r w:rsidRPr="00D80902">
        <w:rPr>
          <w:rFonts w:ascii="Verdana" w:hAnsi="Verdana"/>
          <w:sz w:val="20"/>
          <w:szCs w:val="20"/>
          <w:lang w:val="es-MX"/>
        </w:rPr>
        <w:t>El artículo 20 del Código de Comercio, en el numeral 15, define como mercantil «Las empresas de obras o construcciones, reparaciones, montajes, instalaciones u ornamentaciones». Por su parte, el artículo 11 del mismo estatuto dispone: «las personas que ejecuten ocasionalmente operaciones mercantiles no se considerarán comerciantes, pero estarán sujetas a las normas comerciales en cuanto a dichas operaciones». Así mismo, el artículo 23 señala las actividades que no pueden considerarse mercantiles, y por lo tanto, no requiere que la persona se inscriba en el registro mercantil.  En relación con el registro mercantil, el Consejo de Estado se ha pronunciado estableciendo que la finalidad del registro es ser un instrumento que cuente con la información de las personas consideradas comerciantes […]</w:t>
      </w:r>
    </w:p>
    <w:p w14:paraId="622071AB" w14:textId="77777777" w:rsidR="00D80902" w:rsidRPr="00D80902" w:rsidRDefault="00D80902" w:rsidP="00D80902">
      <w:pPr>
        <w:rPr>
          <w:rFonts w:ascii="Verdana" w:hAnsi="Verdana"/>
          <w:b/>
          <w:bCs/>
          <w:lang w:val="es-MX"/>
        </w:rPr>
      </w:pPr>
    </w:p>
    <w:p w14:paraId="11B586F7" w14:textId="77777777" w:rsidR="00D80902" w:rsidRPr="00D80902" w:rsidRDefault="00D80902" w:rsidP="00D80902">
      <w:pPr>
        <w:rPr>
          <w:rFonts w:ascii="Verdana" w:hAnsi="Verdana"/>
          <w:lang w:val="es-MX"/>
        </w:rPr>
      </w:pPr>
      <w:r w:rsidRPr="00D80902">
        <w:rPr>
          <w:rFonts w:ascii="Verdana" w:hAnsi="Verdana"/>
          <w:b/>
          <w:bCs/>
          <w:lang w:val="es-MX"/>
        </w:rPr>
        <w:t xml:space="preserve">REGISTRO MERCANTIL </w:t>
      </w:r>
      <w:r w:rsidRPr="00D80902">
        <w:rPr>
          <w:rFonts w:ascii="Verdana" w:hAnsi="Verdana"/>
          <w:b/>
          <w:lang w:val="es-MX"/>
        </w:rPr>
        <w:t xml:space="preserve">– Deber de inscripción – </w:t>
      </w:r>
      <w:r w:rsidRPr="00D80902">
        <w:rPr>
          <w:rFonts w:ascii="Verdana" w:hAnsi="Verdana"/>
          <w:b/>
          <w:bCs/>
          <w:lang w:val="es-MX"/>
        </w:rPr>
        <w:t xml:space="preserve">Sujetos obligados </w:t>
      </w:r>
      <w:r w:rsidRPr="00D80902">
        <w:rPr>
          <w:rFonts w:ascii="Verdana" w:hAnsi="Verdana"/>
          <w:b/>
          <w:lang w:val="es-MX"/>
        </w:rPr>
        <w:t xml:space="preserve">– </w:t>
      </w:r>
      <w:r w:rsidRPr="00D80902">
        <w:rPr>
          <w:rFonts w:ascii="Verdana" w:hAnsi="Verdana"/>
          <w:b/>
          <w:bCs/>
          <w:lang w:val="es-MX"/>
        </w:rPr>
        <w:t>Sanciones</w:t>
      </w:r>
    </w:p>
    <w:p w14:paraId="7C075D09" w14:textId="77777777" w:rsidR="00D80902" w:rsidRPr="00D80902" w:rsidRDefault="00D80902" w:rsidP="00D80902">
      <w:pPr>
        <w:rPr>
          <w:rFonts w:ascii="Verdana" w:hAnsi="Verdana"/>
          <w:lang w:val="es-MX"/>
        </w:rPr>
      </w:pPr>
    </w:p>
    <w:p w14:paraId="41892206" w14:textId="77777777" w:rsidR="00D80902" w:rsidRPr="00D80902" w:rsidRDefault="00D80902" w:rsidP="00D80902">
      <w:pPr>
        <w:jc w:val="both"/>
        <w:rPr>
          <w:rFonts w:ascii="Verdana" w:hAnsi="Verdana"/>
          <w:sz w:val="20"/>
          <w:szCs w:val="20"/>
          <w:lang w:val="es-MX"/>
        </w:rPr>
      </w:pPr>
      <w:r w:rsidRPr="00D80902">
        <w:rPr>
          <w:rFonts w:ascii="Verdana" w:hAnsi="Verdana"/>
          <w:sz w:val="20"/>
          <w:szCs w:val="20"/>
          <w:lang w:val="es-MX"/>
        </w:rPr>
        <w:t>Así las cosas, el artículo 28 del Código de Comercio señala que las personas que ejerzan profesionalmente el comercio y sus auxiliares, tales como los comisionistas, corredores, agentes, representantes de firmas nacionales o extranjeras, deben inscribirse en el registro mercantil, al mes siguiente de que inicien sus actividades. De tal forma, deberán inscribirse en el registro mercantil quienes realizan de manera habitual alguna actividad comercial de las definidas por el Código de Comercio, es decir, deben matricularse ante la Cámara de Comercio todas las personas naturales que realicen en forma permanente o habitual alguno de los actos u operaciones mercantiles, en caso contrario, a pesar de que sea un acto mercantil, la persona natural no debe estar inscrita en el registro. De otro lado, el artículo 37 del Código de Comercio dispone, como sanción aplicable al comerciante que ejerce el comercio sin registro mercantil, la imposición de una multa:</w:t>
      </w:r>
    </w:p>
    <w:p w14:paraId="44EB0E7B" w14:textId="77777777" w:rsidR="00D80902" w:rsidRPr="00D80902" w:rsidRDefault="00D80902" w:rsidP="00D80902">
      <w:pPr>
        <w:jc w:val="both"/>
        <w:rPr>
          <w:rFonts w:ascii="Verdana" w:hAnsi="Verdana"/>
          <w:sz w:val="20"/>
          <w:szCs w:val="20"/>
          <w:lang w:val="es-MX"/>
        </w:rPr>
      </w:pPr>
      <w:r w:rsidRPr="00D80902">
        <w:rPr>
          <w:rFonts w:ascii="Verdana" w:hAnsi="Verdana"/>
          <w:sz w:val="20"/>
          <w:szCs w:val="20"/>
          <w:lang w:val="es-MX"/>
        </w:rPr>
        <w:t>[…]</w:t>
      </w:r>
    </w:p>
    <w:p w14:paraId="08975768" w14:textId="77777777" w:rsidR="00D80902" w:rsidRPr="00D80902" w:rsidRDefault="00D80902" w:rsidP="00D80902">
      <w:pPr>
        <w:jc w:val="both"/>
        <w:rPr>
          <w:rFonts w:ascii="Verdana" w:hAnsi="Verdana"/>
          <w:lang w:val="es-MX"/>
        </w:rPr>
      </w:pPr>
      <w:r w:rsidRPr="00D80902">
        <w:rPr>
          <w:rFonts w:ascii="Verdana" w:hAnsi="Verdana"/>
          <w:sz w:val="20"/>
          <w:szCs w:val="20"/>
          <w:lang w:val="es-MX"/>
        </w:rPr>
        <w:t xml:space="preserve">De la misma forma, el artículo 11 del Decreto 2153 de 1992, en el numeral 5, faculta al Superintendente Delegado para la Promoción de la Competencia para imponer multas de hasta diecisiete (17) salarios mínimos mensuales legales vigentes por ejercer </w:t>
      </w:r>
      <w:r w:rsidRPr="00D80902">
        <w:rPr>
          <w:rFonts w:ascii="Verdana" w:hAnsi="Verdana"/>
          <w:sz w:val="20"/>
          <w:szCs w:val="20"/>
          <w:lang w:val="es-MX"/>
        </w:rPr>
        <w:lastRenderedPageBreak/>
        <w:t>profesionalmente el comercio sin estar matriculados en el registro; disposición que también sería aplicable ante la falta de renovación de</w:t>
      </w:r>
      <w:r w:rsidRPr="00D80902">
        <w:rPr>
          <w:rFonts w:ascii="Verdana" w:hAnsi="Verdana"/>
          <w:lang w:val="es-MX"/>
        </w:rPr>
        <w:t xml:space="preserve"> </w:t>
      </w:r>
      <w:r w:rsidRPr="00D80902">
        <w:rPr>
          <w:rFonts w:ascii="Verdana" w:hAnsi="Verdana"/>
          <w:sz w:val="20"/>
          <w:szCs w:val="20"/>
          <w:lang w:val="es-MX"/>
        </w:rPr>
        <w:t>este instrumento.</w:t>
      </w:r>
    </w:p>
    <w:p w14:paraId="620A0AF2" w14:textId="77777777" w:rsidR="00D80902" w:rsidRPr="00D80902" w:rsidRDefault="00D80902" w:rsidP="00D80902">
      <w:pPr>
        <w:rPr>
          <w:rFonts w:ascii="Verdana" w:hAnsi="Verdana"/>
          <w:b/>
          <w:bCs/>
        </w:rPr>
      </w:pPr>
    </w:p>
    <w:p w14:paraId="5ED2FECB" w14:textId="77777777" w:rsidR="00D80902" w:rsidRDefault="00D80902">
      <w:pPr>
        <w:rPr>
          <w:rFonts w:ascii="Verdana" w:hAnsi="Verdana"/>
        </w:rPr>
      </w:pPr>
      <w:r>
        <w:rPr>
          <w:rFonts w:ascii="Verdana" w:hAnsi="Verdana"/>
        </w:rPr>
        <w:br w:type="page"/>
      </w:r>
    </w:p>
    <w:p w14:paraId="14FA0259" w14:textId="77777777" w:rsidR="00050807" w:rsidRDefault="00050807" w:rsidP="00E245AB">
      <w:pPr>
        <w:spacing w:after="0"/>
        <w:rPr>
          <w:rFonts w:ascii="Verdana" w:hAnsi="Verdana"/>
        </w:rPr>
      </w:pPr>
    </w:p>
    <w:p w14:paraId="3FE2184B" w14:textId="2D7A4B1C" w:rsidR="00E245AB" w:rsidRPr="0044528D" w:rsidRDefault="00E245AB" w:rsidP="00E245AB">
      <w:pPr>
        <w:spacing w:after="0"/>
        <w:rPr>
          <w:rFonts w:ascii="Verdana" w:hAnsi="Verdana"/>
        </w:rPr>
      </w:pPr>
      <w:r w:rsidRPr="0044528D">
        <w:rPr>
          <w:rFonts w:ascii="Verdana" w:hAnsi="Verdana"/>
        </w:rPr>
        <w:t xml:space="preserve">Bogotá D.C., </w:t>
      </w:r>
      <w:r w:rsidR="00BF4FDF">
        <w:rPr>
          <w:rFonts w:ascii="Verdana" w:hAnsi="Verdana"/>
        </w:rPr>
        <w:t>19 de junio de 2025</w:t>
      </w:r>
      <w:r w:rsidR="00891928" w:rsidRPr="0044528D">
        <w:rPr>
          <w:rFonts w:ascii="Verdana" w:hAnsi="Verdana"/>
        </w:rPr>
        <w:tab/>
      </w:r>
    </w:p>
    <w:p w14:paraId="5FCADBF9" w14:textId="77777777" w:rsidR="00E245AB" w:rsidRPr="0044528D" w:rsidRDefault="00E245AB" w:rsidP="00E245AB">
      <w:pPr>
        <w:spacing w:after="0"/>
        <w:rPr>
          <w:rFonts w:ascii="Verdana" w:hAnsi="Verdana"/>
        </w:rPr>
      </w:pPr>
    </w:p>
    <w:p w14:paraId="0465BA6D" w14:textId="0C9367C3" w:rsidR="00E245AB" w:rsidRDefault="00902D15" w:rsidP="00E245AB">
      <w:pPr>
        <w:spacing w:after="0"/>
        <w:rPr>
          <w:rFonts w:ascii="Verdana" w:hAnsi="Verdana"/>
        </w:rPr>
      </w:pPr>
      <w:r w:rsidRPr="00902D15">
        <w:rPr>
          <w:rFonts w:ascii="Verdana" w:hAnsi="Verdana"/>
          <w:noProof/>
        </w:rPr>
        <w:drawing>
          <wp:anchor distT="0" distB="0" distL="114300" distR="114300" simplePos="0" relativeHeight="251661312" behindDoc="1" locked="0" layoutInCell="1" allowOverlap="1" wp14:anchorId="786814B8" wp14:editId="7A807619">
            <wp:simplePos x="0" y="0"/>
            <wp:positionH relativeFrom="column">
              <wp:posOffset>3194685</wp:posOffset>
            </wp:positionH>
            <wp:positionV relativeFrom="paragraph">
              <wp:posOffset>180975</wp:posOffset>
            </wp:positionV>
            <wp:extent cx="2415540" cy="897890"/>
            <wp:effectExtent l="0" t="0" r="3810" b="4445"/>
            <wp:wrapTight wrapText="bothSides">
              <wp:wrapPolygon edited="0">
                <wp:start x="0" y="0"/>
                <wp:lineTo x="0" y="21081"/>
                <wp:lineTo x="21464" y="21081"/>
                <wp:lineTo x="21464" y="0"/>
                <wp:lineTo x="0" y="0"/>
              </wp:wrapPolygon>
            </wp:wrapTight>
            <wp:docPr id="187755603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415540" cy="89789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FA5E25">
        <w:rPr>
          <w:rFonts w:ascii="Verdana" w:hAnsi="Verdana"/>
        </w:rPr>
        <w:t xml:space="preserve">Señora </w:t>
      </w:r>
      <w:r>
        <w:rPr>
          <w:rFonts w:ascii="Verdana" w:hAnsi="Verdana"/>
        </w:rPr>
        <w:t xml:space="preserve">                                                      </w:t>
      </w:r>
    </w:p>
    <w:p w14:paraId="6F5154B8" w14:textId="03C37A07" w:rsidR="00FA5E25" w:rsidRDefault="00FA5E25" w:rsidP="00E245AB">
      <w:pPr>
        <w:spacing w:after="0"/>
        <w:rPr>
          <w:rFonts w:ascii="Verdana" w:hAnsi="Verdana"/>
          <w:b/>
          <w:bCs/>
        </w:rPr>
      </w:pPr>
      <w:r w:rsidRPr="00980540">
        <w:rPr>
          <w:rFonts w:ascii="Verdana" w:hAnsi="Verdana"/>
          <w:b/>
          <w:bCs/>
        </w:rPr>
        <w:t>Beatri</w:t>
      </w:r>
      <w:r w:rsidR="00980540" w:rsidRPr="00980540">
        <w:rPr>
          <w:rFonts w:ascii="Verdana" w:hAnsi="Verdana"/>
          <w:b/>
          <w:bCs/>
        </w:rPr>
        <w:t>z Eugenia Ramírez Restrepo</w:t>
      </w:r>
    </w:p>
    <w:p w14:paraId="46AE6941" w14:textId="3580112F" w:rsidR="00980540" w:rsidRPr="00E640E6" w:rsidRDefault="0016387B" w:rsidP="00E245AB">
      <w:pPr>
        <w:spacing w:after="0"/>
        <w:rPr>
          <w:rFonts w:ascii="Verdana" w:hAnsi="Verdana"/>
        </w:rPr>
      </w:pPr>
      <w:hyperlink r:id="rId11" w:history="1">
        <w:r w:rsidRPr="00E640E6">
          <w:rPr>
            <w:rStyle w:val="Hipervnculo"/>
            <w:rFonts w:ascii="Verdana" w:hAnsi="Verdana"/>
          </w:rPr>
          <w:t>beatrizrramirezr@gmail.com</w:t>
        </w:r>
      </w:hyperlink>
      <w:r w:rsidRPr="00E640E6">
        <w:rPr>
          <w:rFonts w:ascii="Verdana" w:hAnsi="Verdana"/>
        </w:rPr>
        <w:t xml:space="preserve"> </w:t>
      </w:r>
    </w:p>
    <w:p w14:paraId="62C3F5CC" w14:textId="6DE0E8D8" w:rsidR="00E640E6" w:rsidRDefault="00E640E6" w:rsidP="00E245AB">
      <w:pPr>
        <w:spacing w:after="0"/>
        <w:rPr>
          <w:rFonts w:ascii="Verdana" w:hAnsi="Verdana"/>
        </w:rPr>
      </w:pPr>
      <w:r w:rsidRPr="00E640E6">
        <w:rPr>
          <w:rFonts w:ascii="Verdana" w:hAnsi="Verdana"/>
        </w:rPr>
        <w:t>Pereira, Colombia</w:t>
      </w:r>
    </w:p>
    <w:p w14:paraId="1FFCCA3D" w14:textId="77777777" w:rsidR="00E640E6" w:rsidRDefault="00E640E6" w:rsidP="00E245AB">
      <w:pPr>
        <w:spacing w:after="0"/>
        <w:rPr>
          <w:rFonts w:ascii="Verdana" w:hAnsi="Verdana"/>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5A0D42" w:rsidRPr="00593A5F" w14:paraId="03AB070E" w14:textId="77777777" w:rsidTr="006749BE">
        <w:trPr>
          <w:trHeight w:val="884"/>
        </w:trPr>
        <w:tc>
          <w:tcPr>
            <w:tcW w:w="2689" w:type="dxa"/>
          </w:tcPr>
          <w:p w14:paraId="561E258C" w14:textId="77777777" w:rsidR="005A0D42" w:rsidRDefault="005A0D42" w:rsidP="006749BE">
            <w:pPr>
              <w:jc w:val="both"/>
              <w:rPr>
                <w:rFonts w:ascii="Verdana" w:eastAsia="Calibri" w:hAnsi="Verdana" w:cs="Arial"/>
                <w:b/>
                <w:bCs/>
                <w:color w:val="7030A0"/>
                <w:lang w:val="es-ES_tradnl" w:eastAsia="es-ES_tradnl"/>
              </w:rPr>
            </w:pPr>
          </w:p>
          <w:p w14:paraId="5D935834" w14:textId="77777777" w:rsidR="005A0D42" w:rsidRDefault="005A0D42" w:rsidP="006749BE">
            <w:pPr>
              <w:jc w:val="both"/>
              <w:rPr>
                <w:rFonts w:ascii="Verdana" w:eastAsia="Calibri" w:hAnsi="Verdana" w:cs="Arial"/>
                <w:b/>
                <w:bCs/>
                <w:color w:val="7030A0"/>
                <w:lang w:val="es-ES_tradnl" w:eastAsia="es-ES_tradnl"/>
              </w:rPr>
            </w:pPr>
          </w:p>
          <w:p w14:paraId="78ABB5C1" w14:textId="77777777" w:rsidR="005A0D42" w:rsidRPr="00D46ED3" w:rsidRDefault="005A0D42" w:rsidP="006749BE">
            <w:pPr>
              <w:jc w:val="both"/>
              <w:rPr>
                <w:rFonts w:ascii="Verdana" w:eastAsia="Calibri" w:hAnsi="Verdana" w:cs="Arial"/>
                <w:b/>
                <w:bCs/>
                <w:color w:val="7030A0"/>
                <w:lang w:val="es-ES_tradnl" w:eastAsia="es-ES_tradnl"/>
              </w:rPr>
            </w:pPr>
          </w:p>
        </w:tc>
        <w:tc>
          <w:tcPr>
            <w:tcW w:w="6100" w:type="dxa"/>
          </w:tcPr>
          <w:p w14:paraId="6E689868" w14:textId="77777777" w:rsidR="005A0D42" w:rsidRDefault="005A0D42" w:rsidP="006749BE">
            <w:pPr>
              <w:jc w:val="both"/>
              <w:rPr>
                <w:rFonts w:ascii="Verdana" w:eastAsia="Calibri" w:hAnsi="Verdana" w:cs="Arial"/>
                <w:b/>
                <w:bCs/>
                <w:lang w:val="es-ES" w:eastAsia="es-ES"/>
              </w:rPr>
            </w:pPr>
          </w:p>
          <w:p w14:paraId="3DABD22E" w14:textId="118B6500" w:rsidR="005A0D42" w:rsidRPr="009C19F9" w:rsidRDefault="005A0D42" w:rsidP="006749BE">
            <w:pPr>
              <w:jc w:val="both"/>
              <w:rPr>
                <w:rFonts w:ascii="Verdana" w:eastAsia="Calibri" w:hAnsi="Verdana" w:cs="Arial"/>
                <w:b/>
                <w:bCs/>
                <w:color w:val="7030A0"/>
                <w:lang w:val="es-ES" w:eastAsia="es-ES"/>
              </w:rPr>
            </w:pPr>
            <w:r w:rsidRPr="009C19F9">
              <w:rPr>
                <w:rFonts w:ascii="Verdana" w:eastAsia="Calibri" w:hAnsi="Verdana" w:cs="Arial"/>
                <w:b/>
                <w:bCs/>
                <w:lang w:val="es-ES" w:eastAsia="es-ES"/>
              </w:rPr>
              <w:t>Concepto C-5</w:t>
            </w:r>
            <w:r w:rsidR="00772CBF">
              <w:rPr>
                <w:rFonts w:ascii="Verdana" w:eastAsia="Calibri" w:hAnsi="Verdana" w:cs="Arial"/>
                <w:b/>
                <w:bCs/>
                <w:lang w:val="es-ES" w:eastAsia="es-ES"/>
              </w:rPr>
              <w:t>6</w:t>
            </w:r>
            <w:r w:rsidRPr="009C19F9">
              <w:rPr>
                <w:rFonts w:ascii="Verdana" w:eastAsia="Calibri" w:hAnsi="Verdana" w:cs="Arial"/>
                <w:b/>
                <w:bCs/>
                <w:lang w:val="es-ES" w:eastAsia="es-ES"/>
              </w:rPr>
              <w:t>3 de 2025</w:t>
            </w:r>
          </w:p>
        </w:tc>
      </w:tr>
      <w:tr w:rsidR="005A0D42" w:rsidRPr="001C58F6" w14:paraId="7AF6316E" w14:textId="77777777" w:rsidTr="006749BE">
        <w:trPr>
          <w:trHeight w:val="884"/>
        </w:trPr>
        <w:tc>
          <w:tcPr>
            <w:tcW w:w="2689" w:type="dxa"/>
          </w:tcPr>
          <w:p w14:paraId="533A5D7B" w14:textId="77777777" w:rsidR="005A0D42" w:rsidRPr="007B10DC" w:rsidRDefault="005A0D42" w:rsidP="006749BE">
            <w:pPr>
              <w:jc w:val="both"/>
              <w:rPr>
                <w:rFonts w:ascii="Verdana" w:eastAsia="Calibri" w:hAnsi="Verdana" w:cs="Arial"/>
                <w:color w:val="000000"/>
                <w:highlight w:val="yellow"/>
                <w:lang w:val="es-ES_tradnl" w:eastAsia="es-ES_tradnl"/>
              </w:rPr>
            </w:pPr>
            <w:r w:rsidRPr="007B10DC">
              <w:rPr>
                <w:rFonts w:ascii="Verdana" w:eastAsia="Calibri" w:hAnsi="Verdana" w:cs="Arial"/>
                <w:b/>
                <w:color w:val="000000"/>
                <w:lang w:val="es-ES_tradnl" w:eastAsia="es-ES_tradnl"/>
              </w:rPr>
              <w:t>Temas:</w:t>
            </w:r>
            <w:r w:rsidRPr="007B10DC">
              <w:rPr>
                <w:rFonts w:ascii="Verdana" w:eastAsia="Calibri" w:hAnsi="Verdana" w:cs="Arial"/>
                <w:color w:val="000000"/>
                <w:lang w:val="es-ES_tradnl" w:eastAsia="es-ES_tradnl"/>
              </w:rPr>
              <w:t xml:space="preserve">                   </w:t>
            </w:r>
          </w:p>
        </w:tc>
        <w:tc>
          <w:tcPr>
            <w:tcW w:w="6100" w:type="dxa"/>
          </w:tcPr>
          <w:p w14:paraId="6D734A4C" w14:textId="13E6253B" w:rsidR="00FC51C4" w:rsidRPr="009C19F9" w:rsidRDefault="000F4A5F" w:rsidP="00B771CE">
            <w:pPr>
              <w:spacing w:after="120"/>
              <w:contextualSpacing/>
              <w:jc w:val="both"/>
              <w:rPr>
                <w:rFonts w:ascii="Verdana" w:eastAsia="Calibri" w:hAnsi="Verdana" w:cs="Arial"/>
                <w:lang w:eastAsia="es-ES"/>
              </w:rPr>
            </w:pPr>
            <w:r>
              <w:rPr>
                <w:rFonts w:ascii="Verdana" w:eastAsia="Calibri" w:hAnsi="Verdana" w:cs="Arial"/>
                <w:bCs/>
                <w:lang w:eastAsia="es-ES"/>
              </w:rPr>
              <w:t>REGISTRO MERCANTIL –</w:t>
            </w:r>
            <w:r w:rsidR="00B771CE">
              <w:rPr>
                <w:rFonts w:ascii="Verdana" w:eastAsia="Calibri" w:hAnsi="Verdana" w:cs="Arial"/>
                <w:bCs/>
                <w:lang w:eastAsia="es-ES"/>
              </w:rPr>
              <w:t xml:space="preserve"> Finalidad – Naturaleza jurídica / REGISTRO MERCANTIL – Deber de inscripción – Sujetos obligados</w:t>
            </w:r>
          </w:p>
        </w:tc>
      </w:tr>
      <w:tr w:rsidR="005A0D42" w:rsidRPr="00593A5F" w14:paraId="1E102277" w14:textId="77777777" w:rsidTr="006749BE">
        <w:trPr>
          <w:trHeight w:val="331"/>
        </w:trPr>
        <w:tc>
          <w:tcPr>
            <w:tcW w:w="2689" w:type="dxa"/>
          </w:tcPr>
          <w:p w14:paraId="51D33D06" w14:textId="77777777" w:rsidR="005A0D42" w:rsidRPr="00FB2E89" w:rsidRDefault="005A0D42" w:rsidP="006749BE">
            <w:pPr>
              <w:jc w:val="both"/>
              <w:rPr>
                <w:rFonts w:ascii="Verdana" w:eastAsia="Calibri" w:hAnsi="Verdana" w:cs="Arial"/>
                <w:b/>
                <w:lang w:val="es-ES_tradnl" w:eastAsia="es-ES_tradnl"/>
              </w:rPr>
            </w:pPr>
            <w:r w:rsidRPr="00FB2E89">
              <w:rPr>
                <w:rFonts w:ascii="Verdana" w:eastAsia="Calibri" w:hAnsi="Verdana" w:cs="Arial"/>
                <w:b/>
                <w:lang w:val="es-ES_tradnl" w:eastAsia="es-ES_tradnl"/>
              </w:rPr>
              <w:t xml:space="preserve"> Radicación:</w:t>
            </w:r>
            <w:r w:rsidRPr="00FB2E89">
              <w:rPr>
                <w:rFonts w:ascii="Verdana" w:eastAsia="Calibri" w:hAnsi="Verdana" w:cs="Arial"/>
                <w:lang w:val="es-ES_tradnl" w:eastAsia="es-ES_tradnl"/>
              </w:rPr>
              <w:t xml:space="preserve">               </w:t>
            </w:r>
          </w:p>
        </w:tc>
        <w:tc>
          <w:tcPr>
            <w:tcW w:w="6100" w:type="dxa"/>
          </w:tcPr>
          <w:p w14:paraId="2FD8F6F5" w14:textId="05E4B119" w:rsidR="005A0D42" w:rsidRDefault="005A0D42" w:rsidP="006749BE">
            <w:pPr>
              <w:jc w:val="both"/>
              <w:rPr>
                <w:rFonts w:ascii="Verdana" w:eastAsia="Calibri" w:hAnsi="Verdana" w:cs="Arial"/>
                <w:lang w:val="es-ES_tradnl" w:eastAsia="es-ES_tradnl"/>
              </w:rPr>
            </w:pPr>
            <w:r w:rsidRPr="00825AF7">
              <w:rPr>
                <w:rFonts w:ascii="Verdana" w:eastAsia="Calibri" w:hAnsi="Verdana" w:cs="Arial"/>
                <w:lang w:val="es-ES_tradnl" w:eastAsia="es-ES_tradnl"/>
              </w:rPr>
              <w:t xml:space="preserve">Respuesta a consulta con radicado No. </w:t>
            </w:r>
            <w:r w:rsidR="005E1ED8" w:rsidRPr="005E1ED8">
              <w:rPr>
                <w:rFonts w:ascii="Verdana" w:eastAsia="Calibri" w:hAnsi="Verdana" w:cs="Arial"/>
                <w:lang w:val="es-ES_tradnl" w:eastAsia="es-ES_tradnl"/>
              </w:rPr>
              <w:t>P20250509004421</w:t>
            </w:r>
          </w:p>
          <w:p w14:paraId="3186DE6F" w14:textId="77777777" w:rsidR="005A0D42" w:rsidRPr="00825AF7" w:rsidRDefault="005A0D42" w:rsidP="006749BE">
            <w:pPr>
              <w:jc w:val="both"/>
              <w:rPr>
                <w:rFonts w:ascii="Verdana" w:eastAsia="Calibri" w:hAnsi="Verdana" w:cs="Arial"/>
                <w:lang w:val="es-ES_tradnl" w:eastAsia="es-ES_tradnl"/>
              </w:rPr>
            </w:pPr>
          </w:p>
        </w:tc>
      </w:tr>
    </w:tbl>
    <w:p w14:paraId="6C06F669" w14:textId="77777777" w:rsidR="005A0D42" w:rsidRPr="00593A5F" w:rsidRDefault="005A0D42" w:rsidP="005A0D42">
      <w:pPr>
        <w:spacing w:after="0" w:line="240" w:lineRule="auto"/>
        <w:jc w:val="both"/>
        <w:rPr>
          <w:rFonts w:ascii="Verdana" w:eastAsia="Calibri" w:hAnsi="Verdana" w:cs="Arial"/>
          <w:color w:val="000000"/>
          <w:lang w:val="es-ES_tradnl" w:eastAsia="es-ES_tradnl"/>
        </w:rPr>
      </w:pPr>
    </w:p>
    <w:p w14:paraId="62280969" w14:textId="79F792AE" w:rsidR="005A0D42" w:rsidRDefault="005A0D42" w:rsidP="005A0D42">
      <w:pPr>
        <w:spacing w:after="0" w:line="276" w:lineRule="auto"/>
        <w:jc w:val="both"/>
        <w:rPr>
          <w:rFonts w:ascii="Verdana" w:eastAsia="Calibri" w:hAnsi="Verdana" w:cs="Arial"/>
          <w:color w:val="000000" w:themeColor="text1"/>
          <w:lang w:val="es-ES" w:eastAsia="es-ES"/>
        </w:rPr>
      </w:pPr>
      <w:r w:rsidRPr="00593A5F">
        <w:rPr>
          <w:rFonts w:ascii="Verdana" w:eastAsia="Calibri" w:hAnsi="Verdana" w:cs="Arial"/>
          <w:color w:val="000000" w:themeColor="text1"/>
          <w:lang w:val="es-ES" w:eastAsia="es-ES"/>
        </w:rPr>
        <w:t>Estimad</w:t>
      </w:r>
      <w:r w:rsidR="00772CBF">
        <w:rPr>
          <w:rFonts w:ascii="Verdana" w:eastAsia="Calibri" w:hAnsi="Verdana" w:cs="Arial"/>
          <w:color w:val="000000" w:themeColor="text1"/>
          <w:lang w:val="es-ES" w:eastAsia="es-ES"/>
        </w:rPr>
        <w:t>a</w:t>
      </w:r>
      <w:r>
        <w:rPr>
          <w:rFonts w:ascii="Verdana" w:eastAsia="Calibri" w:hAnsi="Verdana" w:cs="Arial"/>
          <w:color w:val="000000" w:themeColor="text1"/>
          <w:lang w:val="es-ES" w:eastAsia="es-ES"/>
        </w:rPr>
        <w:t xml:space="preserve"> señor</w:t>
      </w:r>
      <w:r w:rsidR="00772CBF">
        <w:rPr>
          <w:rFonts w:ascii="Verdana" w:eastAsia="Calibri" w:hAnsi="Verdana" w:cs="Arial"/>
          <w:color w:val="000000" w:themeColor="text1"/>
          <w:lang w:val="es-ES" w:eastAsia="es-ES"/>
        </w:rPr>
        <w:t>a</w:t>
      </w:r>
      <w:r>
        <w:rPr>
          <w:rFonts w:ascii="Verdana" w:eastAsia="Calibri" w:hAnsi="Verdana" w:cs="Arial"/>
          <w:lang w:val="es-ES" w:eastAsia="es-ES"/>
        </w:rPr>
        <w:t xml:space="preserve"> </w:t>
      </w:r>
      <w:r w:rsidR="00772CBF">
        <w:rPr>
          <w:rFonts w:ascii="Verdana" w:eastAsia="Calibri" w:hAnsi="Verdana" w:cs="Arial"/>
          <w:lang w:val="es-ES" w:eastAsia="es-ES"/>
        </w:rPr>
        <w:t>Ramírez</w:t>
      </w:r>
      <w:r>
        <w:rPr>
          <w:rFonts w:ascii="Verdana" w:eastAsia="Calibri" w:hAnsi="Verdana" w:cs="Arial"/>
          <w:lang w:val="es-ES" w:eastAsia="es-ES"/>
        </w:rPr>
        <w:t>, cordial saludo,</w:t>
      </w:r>
    </w:p>
    <w:p w14:paraId="34FDF74F" w14:textId="77777777" w:rsidR="005A0D42" w:rsidRDefault="005A0D42" w:rsidP="005A0D42">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0E055656" w14:textId="6A33638D" w:rsidR="005A0D42" w:rsidRDefault="005A0D42" w:rsidP="005A0D42">
      <w:pPr>
        <w:spacing w:after="0" w:line="276" w:lineRule="auto"/>
        <w:jc w:val="both"/>
        <w:rPr>
          <w:rFonts w:ascii="Verdana" w:eastAsia="Calibri" w:hAnsi="Verdana" w:cs="Arial"/>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593A5F">
        <w:rPr>
          <w:rFonts w:ascii="Verdana" w:hAnsi="Verdana" w:cs="Arial"/>
        </w:rPr>
        <w:t xml:space="preserve">así como lo establecido en </w:t>
      </w:r>
      <w:r>
        <w:rPr>
          <w:rFonts w:ascii="Verdana" w:hAnsi="Verdana" w:cs="Arial"/>
        </w:rPr>
        <w:t xml:space="preserve">el artículo 4 de </w:t>
      </w:r>
      <w:r w:rsidRPr="00593A5F">
        <w:rPr>
          <w:rFonts w:ascii="Verdana" w:hAnsi="Verdana" w:cs="Arial"/>
        </w:rPr>
        <w:t xml:space="preserve">la Resolución 1707 de 2018 expedida por esta Entidad, </w:t>
      </w:r>
      <w:r w:rsidRPr="00593A5F">
        <w:rPr>
          <w:rFonts w:ascii="Verdana" w:eastAsia="Calibri" w:hAnsi="Verdana" w:cs="Arial"/>
          <w:color w:val="000000" w:themeColor="text1"/>
          <w:lang w:val="es-ES" w:eastAsia="es-ES"/>
        </w:rPr>
        <w:t xml:space="preserve">la Agencia Nacional de Contratación Pública – Colombia Compra Eficiente– responde su solicitud </w:t>
      </w:r>
      <w:r w:rsidR="00772CBF">
        <w:rPr>
          <w:rFonts w:ascii="Verdana" w:eastAsia="Calibri" w:hAnsi="Verdana" w:cs="Arial"/>
          <w:color w:val="000000" w:themeColor="text1"/>
          <w:lang w:val="es-ES" w:eastAsia="es-ES"/>
        </w:rPr>
        <w:t xml:space="preserve">presentada el 09 de mayo </w:t>
      </w:r>
      <w:r>
        <w:rPr>
          <w:rFonts w:ascii="Verdana" w:eastAsia="Calibri" w:hAnsi="Verdana" w:cs="Arial"/>
          <w:color w:val="000000" w:themeColor="text1"/>
          <w:lang w:val="es-ES" w:eastAsia="es-ES"/>
        </w:rPr>
        <w:t>de 2025</w:t>
      </w:r>
      <w:r w:rsidRPr="00D46ED3">
        <w:rPr>
          <w:rFonts w:ascii="Verdana" w:eastAsia="Calibri" w:hAnsi="Verdana" w:cs="Arial"/>
          <w:lang w:val="es-ES" w:eastAsia="es-ES"/>
        </w:rPr>
        <w:t>, en</w:t>
      </w:r>
      <w:r w:rsidRPr="00AA1286">
        <w:rPr>
          <w:rFonts w:ascii="Verdana" w:eastAsia="Calibri" w:hAnsi="Verdana" w:cs="Arial"/>
          <w:lang w:val="es-ES" w:eastAsia="es-ES"/>
        </w:rPr>
        <w:t xml:space="preserve"> la cual manifiesta lo siguiente:</w:t>
      </w:r>
    </w:p>
    <w:p w14:paraId="7DCDE367" w14:textId="77777777" w:rsidR="005A0D42" w:rsidRDefault="005A0D42" w:rsidP="005A0D42">
      <w:pPr>
        <w:spacing w:after="0" w:line="276" w:lineRule="auto"/>
        <w:jc w:val="both"/>
        <w:rPr>
          <w:rFonts w:ascii="Verdana" w:eastAsia="Calibri" w:hAnsi="Verdana" w:cs="Arial"/>
          <w:lang w:val="es-ES" w:eastAsia="es-ES"/>
        </w:rPr>
      </w:pPr>
    </w:p>
    <w:p w14:paraId="5E99CF2B" w14:textId="7D679436" w:rsidR="005A0D42" w:rsidRDefault="005A0D42" w:rsidP="005A0D42">
      <w:pPr>
        <w:spacing w:after="0" w:line="276" w:lineRule="auto"/>
        <w:ind w:left="709" w:right="1041"/>
        <w:jc w:val="both"/>
        <w:rPr>
          <w:rFonts w:ascii="Verdana" w:hAnsi="Verdana" w:cs="ArialMT"/>
          <w:i/>
          <w:iCs/>
          <w:sz w:val="21"/>
          <w:szCs w:val="21"/>
        </w:rPr>
      </w:pPr>
      <w:r w:rsidRPr="00AA1286">
        <w:rPr>
          <w:rFonts w:ascii="Verdana" w:eastAsia="Calibri" w:hAnsi="Verdana" w:cs="Arial"/>
          <w:lang w:val="es-ES" w:eastAsia="es-ES"/>
        </w:rPr>
        <w:t xml:space="preserve"> </w:t>
      </w:r>
      <w:r w:rsidRPr="004A0DB3">
        <w:rPr>
          <w:rFonts w:ascii="Verdana" w:hAnsi="Verdana" w:cs="ArialMT"/>
          <w:i/>
          <w:iCs/>
          <w:sz w:val="21"/>
          <w:szCs w:val="21"/>
        </w:rPr>
        <w:t>“</w:t>
      </w:r>
      <w:r w:rsidR="00772CBF">
        <w:rPr>
          <w:rFonts w:ascii="Verdana" w:hAnsi="Verdana" w:cs="ArialMT"/>
          <w:i/>
          <w:iCs/>
          <w:sz w:val="21"/>
          <w:szCs w:val="21"/>
        </w:rPr>
        <w:t xml:space="preserve">Solicito por favor se me brinde claridad sobre la </w:t>
      </w:r>
      <w:r w:rsidR="00F11CEE">
        <w:rPr>
          <w:rFonts w:ascii="Verdana" w:hAnsi="Verdana" w:cs="ArialMT"/>
          <w:i/>
          <w:iCs/>
          <w:sz w:val="21"/>
          <w:szCs w:val="21"/>
        </w:rPr>
        <w:t xml:space="preserve">obligatoriedad de que una </w:t>
      </w:r>
      <w:r w:rsidR="007E11D1">
        <w:rPr>
          <w:rFonts w:ascii="Verdana" w:hAnsi="Verdana" w:cs="ArialMT"/>
          <w:i/>
          <w:iCs/>
          <w:sz w:val="21"/>
          <w:szCs w:val="21"/>
        </w:rPr>
        <w:t>persona que ejerce una profesión liberal esté obligada a sacar matrícula mercantil para concursar en procesos públicos</w:t>
      </w:r>
      <w:r w:rsidR="00635CA3">
        <w:rPr>
          <w:rFonts w:ascii="Verdana" w:hAnsi="Verdana" w:cs="ArialMT"/>
          <w:i/>
          <w:iCs/>
          <w:sz w:val="21"/>
          <w:szCs w:val="21"/>
        </w:rPr>
        <w:t xml:space="preserve">”. </w:t>
      </w:r>
    </w:p>
    <w:p w14:paraId="6EA8AF85" w14:textId="77777777" w:rsidR="00635CA3" w:rsidRDefault="00635CA3" w:rsidP="005A0D42">
      <w:pPr>
        <w:spacing w:after="0" w:line="276" w:lineRule="auto"/>
        <w:ind w:left="709" w:right="1041"/>
        <w:jc w:val="both"/>
        <w:rPr>
          <w:rFonts w:ascii="Verdana" w:hAnsi="Verdana" w:cs="ArialMT"/>
          <w:i/>
          <w:iCs/>
          <w:sz w:val="21"/>
          <w:szCs w:val="21"/>
        </w:rPr>
      </w:pPr>
    </w:p>
    <w:p w14:paraId="4CF197E4" w14:textId="77777777" w:rsidR="004C4E19" w:rsidRDefault="004C4E19" w:rsidP="008E3A62">
      <w:pPr>
        <w:spacing w:after="0"/>
        <w:ind w:firstLine="708"/>
        <w:jc w:val="both"/>
        <w:rPr>
          <w:rFonts w:ascii="Verdana" w:hAnsi="Verdana" w:cs="ArialMT"/>
          <w:i/>
          <w:iCs/>
          <w:sz w:val="21"/>
          <w:szCs w:val="21"/>
        </w:rPr>
      </w:pPr>
    </w:p>
    <w:p w14:paraId="69F1BB93" w14:textId="2822750F" w:rsidR="001947DF" w:rsidRDefault="001947DF" w:rsidP="008E3A62">
      <w:pPr>
        <w:spacing w:after="0"/>
        <w:ind w:firstLine="708"/>
        <w:jc w:val="both"/>
        <w:rPr>
          <w:rFonts w:ascii="Verdana" w:hAnsi="Verdana"/>
          <w:lang w:val="es-ES"/>
        </w:rPr>
      </w:pPr>
      <w:r w:rsidRPr="001947DF">
        <w:rPr>
          <w:rFonts w:ascii="Verdana" w:hAnsi="Verdana"/>
          <w:lang w:val="es-ES"/>
        </w:rPr>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w:t>
      </w:r>
    </w:p>
    <w:p w14:paraId="1392A502" w14:textId="77777777" w:rsidR="008E3A62" w:rsidRPr="001947DF" w:rsidRDefault="008E3A62" w:rsidP="001947DF">
      <w:pPr>
        <w:spacing w:after="0"/>
        <w:jc w:val="both"/>
        <w:rPr>
          <w:rFonts w:ascii="Verdana" w:hAnsi="Verdana"/>
          <w:lang w:val="es-ES"/>
        </w:rPr>
      </w:pPr>
    </w:p>
    <w:p w14:paraId="79B5F87A" w14:textId="77777777" w:rsidR="001947DF" w:rsidRPr="001947DF" w:rsidRDefault="001947DF" w:rsidP="001947DF">
      <w:pPr>
        <w:spacing w:after="0"/>
        <w:jc w:val="both"/>
        <w:rPr>
          <w:rFonts w:ascii="Verdana" w:hAnsi="Verdana"/>
          <w:lang w:val="es-ES"/>
        </w:rPr>
      </w:pPr>
      <w:r w:rsidRPr="001947DF">
        <w:rPr>
          <w:rFonts w:ascii="Verdana" w:hAnsi="Verdana"/>
          <w:lang w:val="es-ES"/>
        </w:rPr>
        <w:tab/>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w:t>
      </w:r>
    </w:p>
    <w:p w14:paraId="550A46BF" w14:textId="77777777" w:rsidR="001947DF" w:rsidRPr="001947DF" w:rsidRDefault="001947DF" w:rsidP="001947DF">
      <w:pPr>
        <w:spacing w:after="0"/>
        <w:jc w:val="both"/>
        <w:rPr>
          <w:rFonts w:ascii="Verdana" w:hAnsi="Verdana"/>
          <w:lang w:val="es-ES"/>
        </w:rPr>
      </w:pPr>
    </w:p>
    <w:p w14:paraId="0648F2EB" w14:textId="3A58F163" w:rsidR="001947DF" w:rsidRPr="001947DF" w:rsidRDefault="001947DF" w:rsidP="001947DF">
      <w:pPr>
        <w:pStyle w:val="Prrafodelista"/>
        <w:numPr>
          <w:ilvl w:val="0"/>
          <w:numId w:val="17"/>
        </w:numPr>
        <w:spacing w:after="0"/>
        <w:rPr>
          <w:rFonts w:ascii="Verdana" w:hAnsi="Verdana"/>
          <w:b/>
          <w:bCs/>
        </w:rPr>
      </w:pPr>
      <w:r w:rsidRPr="001947DF">
        <w:rPr>
          <w:rFonts w:ascii="Verdana" w:hAnsi="Verdana"/>
          <w:b/>
          <w:bCs/>
        </w:rPr>
        <w:t>Problema planteado:</w:t>
      </w:r>
    </w:p>
    <w:p w14:paraId="379BD991" w14:textId="77777777" w:rsidR="001947DF" w:rsidRPr="001947DF" w:rsidRDefault="001947DF" w:rsidP="001947DF">
      <w:pPr>
        <w:spacing w:after="0"/>
        <w:rPr>
          <w:rFonts w:ascii="Verdana" w:hAnsi="Verdana"/>
        </w:rPr>
      </w:pPr>
    </w:p>
    <w:p w14:paraId="70F6725B" w14:textId="096E57DA" w:rsidR="001947DF" w:rsidRPr="001947DF" w:rsidRDefault="001947DF" w:rsidP="00CD37F8">
      <w:pPr>
        <w:spacing w:after="0"/>
        <w:jc w:val="both"/>
        <w:rPr>
          <w:rFonts w:ascii="Verdana" w:hAnsi="Verdana"/>
        </w:rPr>
      </w:pPr>
      <w:r w:rsidRPr="001947DF">
        <w:rPr>
          <w:rFonts w:ascii="Verdana" w:hAnsi="Verdana"/>
        </w:rPr>
        <w:t>De acuerdo con el contenido de su solicitud, esta Agencia resolverá el siguiente problema jurídico ¿</w:t>
      </w:r>
      <w:r w:rsidR="00DD1556">
        <w:rPr>
          <w:rFonts w:ascii="Verdana" w:hAnsi="Verdana"/>
        </w:rPr>
        <w:t xml:space="preserve">Las personas naturales que ejercen profesión liberal están obligadas a </w:t>
      </w:r>
      <w:r w:rsidR="00637D19">
        <w:rPr>
          <w:rFonts w:ascii="Verdana" w:hAnsi="Verdana"/>
        </w:rPr>
        <w:t>estar inscritas</w:t>
      </w:r>
      <w:r w:rsidR="006062B3">
        <w:rPr>
          <w:rFonts w:ascii="Verdana" w:hAnsi="Verdana"/>
        </w:rPr>
        <w:t xml:space="preserve"> en el Registro Mercantil?</w:t>
      </w:r>
    </w:p>
    <w:p w14:paraId="398DEF5D" w14:textId="77777777" w:rsidR="001947DF" w:rsidRPr="001947DF" w:rsidRDefault="001947DF" w:rsidP="001947DF">
      <w:pPr>
        <w:spacing w:after="0"/>
        <w:rPr>
          <w:rFonts w:ascii="Verdana" w:hAnsi="Verdana"/>
        </w:rPr>
      </w:pPr>
    </w:p>
    <w:p w14:paraId="1524A89E" w14:textId="00EAA27A" w:rsidR="001947DF" w:rsidRDefault="001947DF" w:rsidP="001947DF">
      <w:pPr>
        <w:pStyle w:val="Prrafodelista"/>
        <w:numPr>
          <w:ilvl w:val="0"/>
          <w:numId w:val="17"/>
        </w:numPr>
        <w:spacing w:after="0"/>
        <w:rPr>
          <w:rFonts w:ascii="Verdana" w:hAnsi="Verdana"/>
          <w:b/>
          <w:bCs/>
        </w:rPr>
      </w:pPr>
      <w:r w:rsidRPr="001947DF">
        <w:rPr>
          <w:rFonts w:ascii="Verdana" w:hAnsi="Verdana"/>
          <w:b/>
          <w:bCs/>
        </w:rPr>
        <w:t>Respuesta:</w:t>
      </w:r>
    </w:p>
    <w:p w14:paraId="292BFDD8" w14:textId="77777777" w:rsidR="006C7FB7" w:rsidRDefault="006C7FB7" w:rsidP="006C7FB7">
      <w:pPr>
        <w:pStyle w:val="Prrafodelista"/>
        <w:spacing w:after="0"/>
        <w:rPr>
          <w:rFonts w:ascii="Verdana" w:hAnsi="Verdana"/>
          <w:b/>
          <w:bCs/>
        </w:rPr>
      </w:pPr>
    </w:p>
    <w:bookmarkEnd w:id="0"/>
    <w:p w14:paraId="0F31CE8E" w14:textId="51FED135" w:rsidR="00E640E6" w:rsidRDefault="00570FCB" w:rsidP="00C34545">
      <w:pPr>
        <w:pBdr>
          <w:top w:val="single" w:sz="4" w:space="1" w:color="auto"/>
          <w:left w:val="single" w:sz="4" w:space="4" w:color="auto"/>
          <w:bottom w:val="single" w:sz="4" w:space="1" w:color="auto"/>
          <w:right w:val="single" w:sz="4" w:space="4" w:color="auto"/>
        </w:pBdr>
        <w:spacing w:after="0"/>
        <w:jc w:val="both"/>
        <w:rPr>
          <w:rFonts w:ascii="Verdana" w:hAnsi="Verdana"/>
        </w:rPr>
      </w:pPr>
      <w:r>
        <w:rPr>
          <w:rFonts w:ascii="Verdana" w:hAnsi="Verdana"/>
        </w:rPr>
        <w:t xml:space="preserve">Respeto al problema planteado, </w:t>
      </w:r>
      <w:r w:rsidR="0088022B">
        <w:rPr>
          <w:rFonts w:ascii="Verdana" w:hAnsi="Verdana"/>
        </w:rPr>
        <w:t>es menester decirle, que el registro mercantil</w:t>
      </w:r>
      <w:r w:rsidR="00C5730A">
        <w:rPr>
          <w:rFonts w:ascii="Verdana" w:hAnsi="Verdana"/>
        </w:rPr>
        <w:t xml:space="preserve"> “tiene por objeto llevar la matrícula de los comerciantes y de los establecimientos de comercio, así como la inscripción de todos los actos, libros y documentos respecto de los cuales la ley exigiere esa formalidad</w:t>
      </w:r>
      <w:r w:rsidR="00534B1A">
        <w:rPr>
          <w:rFonts w:ascii="Verdana" w:hAnsi="Verdana"/>
        </w:rPr>
        <w:t>”</w:t>
      </w:r>
      <w:r w:rsidR="003076D9">
        <w:rPr>
          <w:rFonts w:ascii="Verdana" w:hAnsi="Verdana"/>
        </w:rPr>
        <w:t>. Así la matricula mercantil es un medio de identificación y da publicidad</w:t>
      </w:r>
      <w:r w:rsidR="00012DB9">
        <w:rPr>
          <w:rFonts w:ascii="Verdana" w:hAnsi="Verdana"/>
        </w:rPr>
        <w:t xml:space="preserve"> a la condición de comerciante, la cual, de acuerdo </w:t>
      </w:r>
      <w:r w:rsidR="008B3AC6">
        <w:rPr>
          <w:rFonts w:ascii="Verdana" w:hAnsi="Verdana"/>
        </w:rPr>
        <w:t>con el artículo 10 del Código de Comercio</w:t>
      </w:r>
      <w:r w:rsidR="001B385E">
        <w:rPr>
          <w:rFonts w:ascii="Verdana" w:hAnsi="Verdana"/>
        </w:rPr>
        <w:t xml:space="preserve">, se reputa de aquellas personas que se ocupan profesionalmente de una o varias de las actividades que el mismo código considera como comerciales en el artículo 20 y </w:t>
      </w:r>
      <w:r w:rsidR="00B462F3">
        <w:rPr>
          <w:rFonts w:ascii="Verdana" w:hAnsi="Verdana"/>
        </w:rPr>
        <w:t>2</w:t>
      </w:r>
      <w:r w:rsidR="001B385E">
        <w:rPr>
          <w:rFonts w:ascii="Verdana" w:hAnsi="Verdana"/>
        </w:rPr>
        <w:t>1</w:t>
      </w:r>
      <w:r w:rsidR="00CF25B6">
        <w:rPr>
          <w:rFonts w:ascii="Verdana" w:hAnsi="Verdana"/>
        </w:rPr>
        <w:t xml:space="preserve">. </w:t>
      </w:r>
    </w:p>
    <w:p w14:paraId="781982A5" w14:textId="77777777" w:rsidR="00CF25B6" w:rsidRDefault="00CF25B6" w:rsidP="00C34545">
      <w:pPr>
        <w:pBdr>
          <w:top w:val="single" w:sz="4" w:space="1" w:color="auto"/>
          <w:left w:val="single" w:sz="4" w:space="4" w:color="auto"/>
          <w:bottom w:val="single" w:sz="4" w:space="1" w:color="auto"/>
          <w:right w:val="single" w:sz="4" w:space="4" w:color="auto"/>
        </w:pBdr>
        <w:spacing w:after="0"/>
        <w:jc w:val="both"/>
        <w:rPr>
          <w:rFonts w:ascii="Verdana" w:hAnsi="Verdana"/>
        </w:rPr>
      </w:pPr>
    </w:p>
    <w:p w14:paraId="03B05A41" w14:textId="574B82C4" w:rsidR="00423469" w:rsidRDefault="00CF25B6" w:rsidP="00C34545">
      <w:pPr>
        <w:pBdr>
          <w:top w:val="single" w:sz="4" w:space="1" w:color="auto"/>
          <w:left w:val="single" w:sz="4" w:space="4" w:color="auto"/>
          <w:bottom w:val="single" w:sz="4" w:space="1" w:color="auto"/>
          <w:right w:val="single" w:sz="4" w:space="4" w:color="auto"/>
        </w:pBdr>
        <w:spacing w:after="0"/>
        <w:jc w:val="both"/>
        <w:rPr>
          <w:rFonts w:ascii="Verdana" w:hAnsi="Verdana"/>
        </w:rPr>
      </w:pPr>
      <w:r>
        <w:rPr>
          <w:rFonts w:ascii="Verdana" w:hAnsi="Verdana"/>
        </w:rPr>
        <w:t xml:space="preserve">De acuerdo con lo anterior, una persona natural solo </w:t>
      </w:r>
      <w:r w:rsidR="00061C8C">
        <w:rPr>
          <w:rFonts w:ascii="Verdana" w:hAnsi="Verdana"/>
        </w:rPr>
        <w:t xml:space="preserve">deberá estar inscrita en el registro mercantil, en cumplimiento de un deber comercial, cuando realice alguna actividad comercial profesional </w:t>
      </w:r>
      <w:r w:rsidR="009F7C3E">
        <w:rPr>
          <w:rFonts w:ascii="Verdana" w:hAnsi="Verdana"/>
        </w:rPr>
        <w:t>de manera habitual, y no por el hecho de participar en procesos de contratación</w:t>
      </w:r>
      <w:r w:rsidR="00423469">
        <w:rPr>
          <w:rFonts w:ascii="Verdana" w:hAnsi="Verdana"/>
        </w:rPr>
        <w:t xml:space="preserve">. </w:t>
      </w:r>
    </w:p>
    <w:p w14:paraId="1B164D96" w14:textId="77777777" w:rsidR="006F5F7E" w:rsidRDefault="006F5F7E" w:rsidP="00C34545">
      <w:pPr>
        <w:pBdr>
          <w:top w:val="single" w:sz="4" w:space="1" w:color="auto"/>
          <w:left w:val="single" w:sz="4" w:space="4" w:color="auto"/>
          <w:bottom w:val="single" w:sz="4" w:space="1" w:color="auto"/>
          <w:right w:val="single" w:sz="4" w:space="4" w:color="auto"/>
        </w:pBdr>
        <w:spacing w:after="0"/>
        <w:jc w:val="both"/>
        <w:rPr>
          <w:rFonts w:ascii="Verdana" w:hAnsi="Verdana"/>
        </w:rPr>
      </w:pPr>
    </w:p>
    <w:p w14:paraId="6121E5D0" w14:textId="64213E14" w:rsidR="006F5F7E" w:rsidRDefault="006F5F7E" w:rsidP="00C34545">
      <w:pPr>
        <w:pBdr>
          <w:top w:val="single" w:sz="4" w:space="1" w:color="auto"/>
          <w:left w:val="single" w:sz="4" w:space="4" w:color="auto"/>
          <w:bottom w:val="single" w:sz="4" w:space="1" w:color="auto"/>
          <w:right w:val="single" w:sz="4" w:space="4" w:color="auto"/>
        </w:pBdr>
        <w:spacing w:after="0"/>
        <w:jc w:val="both"/>
        <w:rPr>
          <w:rFonts w:ascii="Verdana" w:hAnsi="Verdana"/>
        </w:rPr>
      </w:pPr>
      <w:r>
        <w:rPr>
          <w:rFonts w:ascii="Verdana" w:hAnsi="Verdana"/>
        </w:rPr>
        <w:t xml:space="preserve">Por consiguiente, </w:t>
      </w:r>
      <w:r w:rsidR="00414A28">
        <w:rPr>
          <w:rFonts w:ascii="Verdana" w:hAnsi="Verdana"/>
        </w:rPr>
        <w:t xml:space="preserve">en los procesos de contratación pública, no se requiere que una persona natural </w:t>
      </w:r>
      <w:r w:rsidR="00EC338F">
        <w:rPr>
          <w:rFonts w:ascii="Verdana" w:hAnsi="Verdana"/>
        </w:rPr>
        <w:t xml:space="preserve">de profesión </w:t>
      </w:r>
      <w:r w:rsidR="00C34545">
        <w:rPr>
          <w:rFonts w:ascii="Verdana" w:hAnsi="Verdana"/>
        </w:rPr>
        <w:t>liberal</w:t>
      </w:r>
      <w:r w:rsidR="00EC338F">
        <w:rPr>
          <w:rFonts w:ascii="Verdana" w:hAnsi="Verdana"/>
        </w:rPr>
        <w:t xml:space="preserve"> </w:t>
      </w:r>
      <w:r w:rsidR="00414A28">
        <w:rPr>
          <w:rFonts w:ascii="Verdana" w:hAnsi="Verdana"/>
        </w:rPr>
        <w:t>esté inscrita en el registro mercantil, puesto que este no otorga</w:t>
      </w:r>
      <w:r w:rsidR="00CB0452">
        <w:rPr>
          <w:rFonts w:ascii="Verdana" w:hAnsi="Verdana"/>
        </w:rPr>
        <w:t xml:space="preserve"> ni acredita la capacidad jurídica para adquirir obligacione</w:t>
      </w:r>
      <w:r w:rsidR="004560B9">
        <w:rPr>
          <w:rFonts w:ascii="Verdana" w:hAnsi="Verdana"/>
        </w:rPr>
        <w:t xml:space="preserve">s. </w:t>
      </w:r>
    </w:p>
    <w:p w14:paraId="192711F3" w14:textId="77777777" w:rsidR="00C34545" w:rsidRDefault="00C34545" w:rsidP="00C34545">
      <w:pPr>
        <w:spacing w:after="0"/>
        <w:ind w:left="360"/>
        <w:jc w:val="both"/>
        <w:rPr>
          <w:rFonts w:ascii="Verdana" w:hAnsi="Verdana"/>
          <w:b/>
          <w:bCs/>
        </w:rPr>
      </w:pPr>
    </w:p>
    <w:p w14:paraId="653447C8" w14:textId="77777777" w:rsidR="00C34545" w:rsidRDefault="00C34545" w:rsidP="00C34545">
      <w:pPr>
        <w:spacing w:after="0"/>
        <w:ind w:left="360"/>
        <w:jc w:val="both"/>
        <w:rPr>
          <w:rFonts w:ascii="Verdana" w:hAnsi="Verdana"/>
          <w:b/>
          <w:bCs/>
        </w:rPr>
      </w:pPr>
    </w:p>
    <w:p w14:paraId="257A2A4B" w14:textId="22F1EB09" w:rsidR="00EC338F" w:rsidRPr="00C34545" w:rsidRDefault="00C34545" w:rsidP="00C34545">
      <w:pPr>
        <w:spacing w:after="0"/>
        <w:ind w:left="360"/>
        <w:jc w:val="both"/>
        <w:rPr>
          <w:rFonts w:ascii="Verdana" w:hAnsi="Verdana"/>
          <w:b/>
          <w:bCs/>
        </w:rPr>
      </w:pPr>
      <w:r>
        <w:rPr>
          <w:rFonts w:ascii="Verdana" w:hAnsi="Verdana"/>
          <w:b/>
          <w:bCs/>
        </w:rPr>
        <w:t xml:space="preserve">3. </w:t>
      </w:r>
      <w:r w:rsidR="007C3300" w:rsidRPr="00C34545">
        <w:rPr>
          <w:rFonts w:ascii="Verdana" w:hAnsi="Verdana"/>
          <w:b/>
          <w:bCs/>
        </w:rPr>
        <w:t xml:space="preserve">Razones de la respuesta: </w:t>
      </w:r>
    </w:p>
    <w:p w14:paraId="5350A461" w14:textId="77777777" w:rsidR="00A37B36" w:rsidRPr="00A37B36" w:rsidRDefault="00A37B36" w:rsidP="00A37B36">
      <w:pPr>
        <w:pStyle w:val="Prrafodelista"/>
        <w:spacing w:after="0"/>
        <w:jc w:val="both"/>
        <w:rPr>
          <w:rFonts w:ascii="Verdana" w:hAnsi="Verdana"/>
          <w:b/>
          <w:bCs/>
        </w:rPr>
      </w:pPr>
    </w:p>
    <w:p w14:paraId="7FC1CE23" w14:textId="04E18D82" w:rsidR="007C3300" w:rsidRPr="0024208F" w:rsidRDefault="007C3300" w:rsidP="007C3300">
      <w:pPr>
        <w:spacing w:after="0"/>
        <w:jc w:val="both"/>
        <w:rPr>
          <w:rFonts w:ascii="Verdana" w:hAnsi="Verdana"/>
        </w:rPr>
      </w:pPr>
      <w:r w:rsidRPr="0024208F">
        <w:rPr>
          <w:rFonts w:ascii="Verdana" w:hAnsi="Verdana"/>
        </w:rPr>
        <w:t xml:space="preserve">Lo anterior se </w:t>
      </w:r>
      <w:r w:rsidR="00A37B36" w:rsidRPr="0024208F">
        <w:rPr>
          <w:rFonts w:ascii="Verdana" w:hAnsi="Verdana"/>
        </w:rPr>
        <w:t xml:space="preserve">basa en las siguientes consideraciones: </w:t>
      </w:r>
    </w:p>
    <w:p w14:paraId="55F0F6BA" w14:textId="77777777" w:rsidR="00A37B36" w:rsidRPr="0024208F" w:rsidRDefault="00A37B36" w:rsidP="007C3300">
      <w:pPr>
        <w:spacing w:after="0"/>
        <w:jc w:val="both"/>
        <w:rPr>
          <w:rFonts w:ascii="Verdana" w:hAnsi="Verdana"/>
        </w:rPr>
      </w:pPr>
    </w:p>
    <w:p w14:paraId="0C09E479" w14:textId="77777777" w:rsidR="0024208F" w:rsidRPr="0024208F" w:rsidRDefault="0024208F" w:rsidP="0024208F">
      <w:pPr>
        <w:spacing w:after="0"/>
        <w:jc w:val="both"/>
        <w:rPr>
          <w:rFonts w:ascii="Verdana" w:hAnsi="Verdana"/>
          <w:lang w:val="es-ES"/>
        </w:rPr>
      </w:pPr>
      <w:r w:rsidRPr="0024208F">
        <w:rPr>
          <w:rFonts w:ascii="Verdana" w:hAnsi="Verdana"/>
          <w:lang w:val="es-ES"/>
        </w:rPr>
        <w:t>El registro mercantil tiene “por objeto llevar la matrícula de los comerciantes y de los establecimientos de comercio, así como la inscripción de todos los actos, libros y documentos respecto de los cuales la ley exigiere esa formalidad”</w:t>
      </w:r>
      <w:r w:rsidRPr="0024208F">
        <w:rPr>
          <w:rFonts w:ascii="Verdana" w:hAnsi="Verdana"/>
          <w:vertAlign w:val="superscript"/>
          <w:lang w:val="es-ES"/>
        </w:rPr>
        <w:footnoteReference w:id="1"/>
      </w:r>
      <w:r w:rsidRPr="0024208F">
        <w:rPr>
          <w:rFonts w:ascii="Verdana" w:hAnsi="Verdana"/>
          <w:lang w:val="es-ES"/>
        </w:rPr>
        <w:t>. Así, la matrícula mercantil es un medio de identificación y da publicidad a la condición de comerciante, la cual, de acuerdo con el artículo 10 del Código de Comercio, se reputa de aquellas personas que se ocupan profesionalmente de una o varias de las actividades que el mismo código considera como comerciales en el artículo 20 y 21</w:t>
      </w:r>
      <w:r w:rsidRPr="0024208F">
        <w:rPr>
          <w:rFonts w:ascii="Verdana" w:hAnsi="Verdana"/>
          <w:vertAlign w:val="superscript"/>
          <w:lang w:val="es-ES"/>
        </w:rPr>
        <w:footnoteReference w:id="2"/>
      </w:r>
      <w:r w:rsidRPr="0024208F">
        <w:rPr>
          <w:rFonts w:ascii="Verdana" w:hAnsi="Verdana"/>
          <w:lang w:val="es-ES"/>
        </w:rPr>
        <w:t>.</w:t>
      </w:r>
    </w:p>
    <w:p w14:paraId="704F103E" w14:textId="77777777" w:rsidR="00A37B36" w:rsidRDefault="00A37B36" w:rsidP="007C3300">
      <w:pPr>
        <w:spacing w:after="0"/>
        <w:jc w:val="both"/>
        <w:rPr>
          <w:rFonts w:ascii="Verdana" w:hAnsi="Verdana"/>
          <w:lang w:val="es-ES"/>
        </w:rPr>
      </w:pPr>
    </w:p>
    <w:p w14:paraId="000D6442" w14:textId="77777777" w:rsidR="00300539" w:rsidRPr="00300539" w:rsidRDefault="00300539" w:rsidP="00300539">
      <w:pPr>
        <w:spacing w:after="0"/>
        <w:jc w:val="both"/>
        <w:rPr>
          <w:rFonts w:ascii="Verdana" w:hAnsi="Verdana"/>
          <w:lang w:val="es-ES"/>
        </w:rPr>
      </w:pPr>
      <w:r w:rsidRPr="00300539">
        <w:rPr>
          <w:rFonts w:ascii="Verdana" w:hAnsi="Verdana"/>
          <w:lang w:val="es-ES"/>
        </w:rPr>
        <w:t>El artículo 20 del Código de Comercio, en el numeral 15, define como mercantil “Las empresas de obras o construcciones, reparaciones, montajes, instalaciones u ornamentaciones”. Por su parte, el artículo 11 del mismo estatuto dispone que “las personas que ejecuten ocasionalmente operaciones mercantiles no se considerarán comerciantes, pero estarán sujetas a las normas comerciales en cuanto a dichas operaciones”. Así mismo, el artículo 23 señala las actividades que no pueden considerarse mercantiles, y por lo tanto no requiere que la persona se inscriba en el registro mercantil</w:t>
      </w:r>
      <w:r w:rsidRPr="00300539">
        <w:rPr>
          <w:rFonts w:ascii="Verdana" w:hAnsi="Verdana"/>
          <w:vertAlign w:val="superscript"/>
          <w:lang w:val="es-ES"/>
        </w:rPr>
        <w:footnoteReference w:id="3"/>
      </w:r>
      <w:r w:rsidRPr="00300539">
        <w:rPr>
          <w:rFonts w:ascii="Verdana" w:hAnsi="Verdana"/>
          <w:lang w:val="es-ES"/>
        </w:rPr>
        <w:t>.</w:t>
      </w:r>
    </w:p>
    <w:p w14:paraId="1CCBDFD7" w14:textId="77777777" w:rsidR="00300539" w:rsidRPr="00300539" w:rsidRDefault="00300539" w:rsidP="00300539">
      <w:pPr>
        <w:spacing w:after="0"/>
        <w:jc w:val="both"/>
        <w:rPr>
          <w:rFonts w:ascii="Verdana" w:hAnsi="Verdana"/>
          <w:lang w:val="es-ES"/>
        </w:rPr>
      </w:pPr>
      <w:r w:rsidRPr="00300539">
        <w:rPr>
          <w:rFonts w:ascii="Verdana" w:hAnsi="Verdana"/>
          <w:lang w:val="es-ES"/>
        </w:rPr>
        <w:t>Con relación al registro mercantil, el Consejo de Estado se ha pronunciado estableciendo que la finalidad del registro es ser un instrumento que cuente con la información de las personas consideradas comerciantes:</w:t>
      </w:r>
    </w:p>
    <w:p w14:paraId="545706DC" w14:textId="77777777" w:rsidR="00300539" w:rsidRPr="00300539" w:rsidRDefault="00300539" w:rsidP="00300539">
      <w:pPr>
        <w:spacing w:after="0"/>
        <w:jc w:val="both"/>
        <w:rPr>
          <w:rFonts w:ascii="Verdana" w:hAnsi="Verdana"/>
          <w:lang w:val="es-ES"/>
        </w:rPr>
      </w:pPr>
    </w:p>
    <w:p w14:paraId="29AEFF8A" w14:textId="77777777" w:rsidR="00300539" w:rsidRPr="00300539" w:rsidRDefault="00300539" w:rsidP="00061955">
      <w:pPr>
        <w:spacing w:after="0"/>
        <w:ind w:left="709" w:right="709"/>
        <w:jc w:val="both"/>
        <w:rPr>
          <w:rFonts w:ascii="Verdana" w:hAnsi="Verdana"/>
          <w:sz w:val="21"/>
          <w:szCs w:val="21"/>
          <w:lang w:val="es-ES"/>
        </w:rPr>
      </w:pPr>
      <w:r w:rsidRPr="00300539">
        <w:rPr>
          <w:rFonts w:ascii="Verdana" w:hAnsi="Verdana"/>
          <w:sz w:val="21"/>
          <w:szCs w:val="21"/>
          <w:lang w:val="es-ES"/>
        </w:rPr>
        <w:t>Regulado por el artículo 26 del Código de Comercio, se encuentra que tiene por objeto hacer la matrícula de los comerciantes y de los establecimientos de comercio, así como la inscripción de los actos, libros y documentos, de acuerdo con las disposiciones legales. De lo anterior se deduce que la matrícula es el registro a que están obligadas todas las personas que ejercen regularmente el comercio, lo mismo que en relación con sus establecimientos de comercio</w:t>
      </w:r>
      <w:r w:rsidRPr="00300539">
        <w:rPr>
          <w:rFonts w:ascii="Verdana" w:hAnsi="Verdana"/>
          <w:sz w:val="21"/>
          <w:szCs w:val="21"/>
          <w:vertAlign w:val="superscript"/>
          <w:lang w:val="es-ES"/>
        </w:rPr>
        <w:footnoteReference w:id="4"/>
      </w:r>
      <w:r w:rsidRPr="00300539">
        <w:rPr>
          <w:rFonts w:ascii="Verdana" w:hAnsi="Verdana"/>
          <w:sz w:val="21"/>
          <w:szCs w:val="21"/>
          <w:lang w:val="es-ES"/>
        </w:rPr>
        <w:t>.</w:t>
      </w:r>
    </w:p>
    <w:p w14:paraId="398E0DE6" w14:textId="77777777" w:rsidR="00300539" w:rsidRPr="00300539" w:rsidRDefault="00300539" w:rsidP="00300539">
      <w:pPr>
        <w:spacing w:after="0"/>
        <w:jc w:val="both"/>
        <w:rPr>
          <w:rFonts w:ascii="Verdana" w:hAnsi="Verdana"/>
          <w:lang w:val="es-ES"/>
        </w:rPr>
      </w:pPr>
    </w:p>
    <w:p w14:paraId="19B8164F" w14:textId="77777777" w:rsidR="00300539" w:rsidRPr="00300539" w:rsidRDefault="00300539" w:rsidP="00300539">
      <w:pPr>
        <w:spacing w:after="0"/>
        <w:jc w:val="both"/>
        <w:rPr>
          <w:rFonts w:ascii="Verdana" w:hAnsi="Verdana"/>
          <w:lang w:val="es-ES"/>
        </w:rPr>
      </w:pPr>
      <w:r w:rsidRPr="00300539">
        <w:rPr>
          <w:rFonts w:ascii="Verdana" w:hAnsi="Verdana"/>
          <w:lang w:val="es-ES"/>
        </w:rPr>
        <w:t>Por su parte, la Corte Constitucional se pronunció sobre la naturaleza jurídica del registro mercantil, señalando que este es un instrumento que le permite al público el conocimiento de datos relevantes del tráfico mercantil, la calidad de comerciante de una persona y las actividades propias de este. Así mismo, para la Corte el registro mercantil no es un requisito para la validez y existencia de los actos jurídicos, sino una herramienta de publicidad de estos y, por lo tanto, oponibles a terceros:</w:t>
      </w:r>
    </w:p>
    <w:p w14:paraId="463CA1CD" w14:textId="77777777" w:rsidR="00300539" w:rsidRPr="00300539" w:rsidRDefault="00300539" w:rsidP="00300539">
      <w:pPr>
        <w:spacing w:after="0"/>
        <w:jc w:val="both"/>
        <w:rPr>
          <w:rFonts w:ascii="Verdana" w:hAnsi="Verdana"/>
          <w:lang w:val="es-ES"/>
        </w:rPr>
      </w:pPr>
    </w:p>
    <w:p w14:paraId="1F180BCB" w14:textId="77777777" w:rsidR="00300539" w:rsidRPr="00300539" w:rsidRDefault="00300539" w:rsidP="00E61DF4">
      <w:pPr>
        <w:spacing w:after="0"/>
        <w:ind w:left="709" w:right="709"/>
        <w:jc w:val="both"/>
        <w:rPr>
          <w:rFonts w:ascii="Verdana" w:hAnsi="Verdana"/>
          <w:sz w:val="21"/>
          <w:szCs w:val="21"/>
          <w:lang w:val="es-ES"/>
        </w:rPr>
      </w:pPr>
      <w:r w:rsidRPr="00300539">
        <w:rPr>
          <w:rFonts w:ascii="Verdana" w:hAnsi="Verdana"/>
          <w:sz w:val="21"/>
          <w:szCs w:val="21"/>
          <w:lang w:val="es-ES"/>
        </w:rPr>
        <w:t>A diferencia de otros registros que son de naturaleza real, como el registro inmobiliario, el registro mercantil es de naturaleza personal porque lo inscrito es la persona misma en su condición de comerciante y los hechos y actos que a él lo afectan frente a terceros. Usualmente se le reconoce un carácter meramente declarativo, en cuanto es simplemente un mecanismo de publicidad de ciertos hechos o actos relevantes en el tráfico mercantil. Es decir, la inscripción en el registro no es un requisito de aquellos que son necesarios para la existencia o para la validez de los actos jurídicos inscritos, sino que únicamente los hace conocidos y por lo tanto “oponibles” a los terceros. Así, una vez hecho el correspondiente registro, el acto tendrá efectos no sólo entre quienes participaron en él, sino erga omnes, por lo cual en adelante nadie podrá alegar su desconocimiento. Este es el principio que se conoce como de “publicidad material del registro”, en virtud del cual, una vez inscrito, el acto se supone conocido de todos. Por lo anterior, la doctrina señala que la finalidad inmediata del registro es dar seguridad a las relaciones que implican la responsabilidad jurídica del comerciante</w:t>
      </w:r>
      <w:r w:rsidRPr="00300539">
        <w:rPr>
          <w:rFonts w:ascii="Verdana" w:hAnsi="Verdana"/>
          <w:sz w:val="21"/>
          <w:szCs w:val="21"/>
          <w:vertAlign w:val="superscript"/>
          <w:lang w:val="es-ES"/>
        </w:rPr>
        <w:footnoteReference w:id="5"/>
      </w:r>
      <w:r w:rsidRPr="00300539">
        <w:rPr>
          <w:rFonts w:ascii="Verdana" w:hAnsi="Verdana"/>
          <w:sz w:val="21"/>
          <w:szCs w:val="21"/>
          <w:lang w:val="es-ES"/>
        </w:rPr>
        <w:t>.</w:t>
      </w:r>
    </w:p>
    <w:p w14:paraId="788927CF" w14:textId="77777777" w:rsidR="00300539" w:rsidRPr="00300539" w:rsidRDefault="00300539" w:rsidP="00300539">
      <w:pPr>
        <w:spacing w:after="0"/>
        <w:jc w:val="both"/>
        <w:rPr>
          <w:rFonts w:ascii="Verdana" w:hAnsi="Verdana"/>
          <w:lang w:val="es-ES"/>
        </w:rPr>
      </w:pPr>
    </w:p>
    <w:p w14:paraId="40C931D3" w14:textId="77777777" w:rsidR="00300539" w:rsidRPr="00300539" w:rsidRDefault="00300539" w:rsidP="00300539">
      <w:pPr>
        <w:spacing w:after="0"/>
        <w:jc w:val="both"/>
        <w:rPr>
          <w:rFonts w:ascii="Verdana" w:hAnsi="Verdana"/>
          <w:lang w:val="es-ES"/>
        </w:rPr>
      </w:pPr>
      <w:r w:rsidRPr="00300539">
        <w:rPr>
          <w:rFonts w:ascii="Verdana" w:hAnsi="Verdana"/>
          <w:lang w:val="es-ES"/>
        </w:rPr>
        <w:t>En este orden de ideas, el artículo 28 del Código de comercio señala que las personas que ejerzan profesionalmente el comercio y sus auxiliares, tales como los comisionistas, corredores, agentes, representantes de firmas nacionales o extranjeras, deben inscribirse en el registro mercantil, al mes siguiente de que inicien sus actividades.</w:t>
      </w:r>
    </w:p>
    <w:p w14:paraId="01894EC9" w14:textId="77777777" w:rsidR="00300539" w:rsidRPr="00300539" w:rsidRDefault="00300539" w:rsidP="00300539">
      <w:pPr>
        <w:spacing w:after="0"/>
        <w:jc w:val="both"/>
        <w:rPr>
          <w:rFonts w:ascii="Verdana" w:hAnsi="Verdana"/>
          <w:lang w:val="es-ES"/>
        </w:rPr>
      </w:pPr>
    </w:p>
    <w:p w14:paraId="63F6EBB4" w14:textId="7BE23C80" w:rsidR="00300539" w:rsidRPr="00300539" w:rsidRDefault="00300539" w:rsidP="00300539">
      <w:pPr>
        <w:spacing w:after="0"/>
        <w:jc w:val="both"/>
        <w:rPr>
          <w:rFonts w:ascii="Verdana" w:hAnsi="Verdana"/>
          <w:lang w:val="es-ES"/>
        </w:rPr>
      </w:pPr>
      <w:r w:rsidRPr="00300539">
        <w:rPr>
          <w:rFonts w:ascii="Verdana" w:hAnsi="Verdana"/>
          <w:lang w:val="es-ES"/>
        </w:rPr>
        <w:t>De tal forma, se deberán inscribir en el registro mercantil quienes realizan de manera habitual alguna actividad comercial de las definidas por el Código de Comercio, es decir, deben matricularse ante la Cámara de Comercio todas las personas naturales que realicen en forma permanente o habitual alguno de los actos u operaciones mercantiles, en caso contrario, a pesar de que sea un acto mercantil, la persona natural no debe estar inscrita en el registro.</w:t>
      </w:r>
      <w:r w:rsidR="00726D66">
        <w:rPr>
          <w:rFonts w:ascii="Verdana" w:hAnsi="Verdana"/>
          <w:lang w:val="es-ES"/>
        </w:rPr>
        <w:t xml:space="preserve"> </w:t>
      </w:r>
      <w:r w:rsidRPr="00300539">
        <w:rPr>
          <w:rFonts w:ascii="Verdana" w:hAnsi="Verdana"/>
          <w:lang w:val="es-ES"/>
        </w:rPr>
        <w:t>El artículo 37 del Código de Comercio dispone como sanción aplicable al comerciante que ejerce el comercio sin registro mercantil la imposición de una multa:</w:t>
      </w:r>
    </w:p>
    <w:p w14:paraId="12BD4A79" w14:textId="77777777" w:rsidR="00300539" w:rsidRPr="00300539" w:rsidRDefault="00300539" w:rsidP="00300539">
      <w:pPr>
        <w:spacing w:after="0"/>
        <w:jc w:val="both"/>
        <w:rPr>
          <w:rFonts w:ascii="Verdana" w:hAnsi="Verdana"/>
          <w:lang w:val="es-ES"/>
        </w:rPr>
      </w:pPr>
    </w:p>
    <w:p w14:paraId="02DEB94F" w14:textId="77777777" w:rsidR="00300539" w:rsidRPr="00300539" w:rsidRDefault="00300539" w:rsidP="00726D66">
      <w:pPr>
        <w:spacing w:after="0"/>
        <w:ind w:left="709" w:right="709"/>
        <w:jc w:val="both"/>
        <w:rPr>
          <w:rFonts w:ascii="Verdana" w:hAnsi="Verdana"/>
          <w:sz w:val="21"/>
          <w:szCs w:val="21"/>
          <w:lang w:val="es-ES"/>
        </w:rPr>
      </w:pPr>
      <w:r w:rsidRPr="00300539">
        <w:rPr>
          <w:rFonts w:ascii="Verdana" w:hAnsi="Verdana"/>
          <w:sz w:val="21"/>
          <w:szCs w:val="21"/>
          <w:lang w:val="es-ES"/>
        </w:rPr>
        <w:t>Artículo 37. La persona que ejerza profesionalmente el comercio sin estar inscrita en el registro mercantil incurrirá en multa hasta de diez mil pesos, que impondrá la Superintendencia de Industria y Comercio, sin perjuicio de las demás sanciones legales. La misma sanción se aplicará cuando se omita la inscripción o matrícula de un establecimiento de comercio.</w:t>
      </w:r>
    </w:p>
    <w:p w14:paraId="3577CBC4" w14:textId="77777777" w:rsidR="00300539" w:rsidRPr="00300539" w:rsidRDefault="00300539" w:rsidP="00726D66">
      <w:pPr>
        <w:spacing w:after="0"/>
        <w:ind w:left="709" w:right="709"/>
        <w:jc w:val="both"/>
        <w:rPr>
          <w:rFonts w:ascii="Verdana" w:hAnsi="Verdana"/>
          <w:sz w:val="21"/>
          <w:szCs w:val="21"/>
          <w:lang w:val="es-ES"/>
        </w:rPr>
      </w:pPr>
    </w:p>
    <w:p w14:paraId="4120CFDC" w14:textId="49F44E4D" w:rsidR="00300539" w:rsidRPr="00300539" w:rsidRDefault="00300539" w:rsidP="00300539">
      <w:pPr>
        <w:spacing w:after="0"/>
        <w:jc w:val="both"/>
        <w:rPr>
          <w:rFonts w:ascii="Verdana" w:hAnsi="Verdana"/>
          <w:lang w:val="es-ES"/>
        </w:rPr>
      </w:pPr>
      <w:r w:rsidRPr="00300539">
        <w:rPr>
          <w:rFonts w:ascii="Verdana" w:hAnsi="Verdana"/>
          <w:lang w:val="es-ES"/>
        </w:rPr>
        <w:t>De la misma forma, el artículo 11 del Decreto 2153 de 1992, en el numeral 5, faculta al Superintendente Delegado para la Promoción de la Competencia para imponer multas de hasta 17 salarios mínimos mensuales legales vigentes por ejercer profesionalmente el comercio sin estar matriculados en el registro</w:t>
      </w:r>
      <w:r w:rsidRPr="00300539">
        <w:rPr>
          <w:rFonts w:ascii="Verdana" w:hAnsi="Verdana"/>
          <w:vertAlign w:val="superscript"/>
          <w:lang w:val="es-ES"/>
        </w:rPr>
        <w:footnoteReference w:id="6"/>
      </w:r>
      <w:r w:rsidRPr="00300539">
        <w:rPr>
          <w:rFonts w:ascii="Verdana" w:hAnsi="Verdana"/>
          <w:lang w:val="es-ES"/>
        </w:rPr>
        <w:t>; disposición que también sería aplicable ante la falta de renovación de este instrumento.</w:t>
      </w:r>
    </w:p>
    <w:p w14:paraId="112D7676" w14:textId="77777777" w:rsidR="00300539" w:rsidRPr="00300539" w:rsidRDefault="00300539" w:rsidP="00300539">
      <w:pPr>
        <w:spacing w:after="0"/>
        <w:jc w:val="both"/>
        <w:rPr>
          <w:rFonts w:ascii="Verdana" w:hAnsi="Verdana"/>
          <w:lang w:val="es-ES"/>
        </w:rPr>
      </w:pPr>
    </w:p>
    <w:p w14:paraId="1826352E" w14:textId="77777777" w:rsidR="00300539" w:rsidRPr="00300539" w:rsidRDefault="00300539" w:rsidP="00300539">
      <w:pPr>
        <w:spacing w:after="0"/>
        <w:jc w:val="both"/>
        <w:rPr>
          <w:rFonts w:ascii="Verdana" w:hAnsi="Verdana"/>
          <w:lang w:val="es-ES"/>
        </w:rPr>
      </w:pPr>
      <w:r w:rsidRPr="00300539">
        <w:rPr>
          <w:rFonts w:ascii="Verdana" w:hAnsi="Verdana"/>
          <w:lang w:val="es-ES"/>
        </w:rPr>
        <w:t>Por otro lado, se debe tener en cuenta que la capacidad jurídica es la facultad legal que tiene una persona (natural o jurídica) para celebrar contratos con una entidad pública</w:t>
      </w:r>
      <w:r w:rsidRPr="00300539">
        <w:rPr>
          <w:rFonts w:ascii="Verdana" w:hAnsi="Verdana"/>
          <w:vertAlign w:val="superscript"/>
          <w:lang w:val="es-ES"/>
        </w:rPr>
        <w:footnoteReference w:id="7"/>
      </w:r>
      <w:r w:rsidRPr="00300539">
        <w:rPr>
          <w:rFonts w:ascii="Verdana" w:hAnsi="Verdana"/>
          <w:lang w:val="es-ES"/>
        </w:rPr>
        <w:t>, es decir, que pueda obligarse a cumplir con el objeto de contrato y que no se encuentre incurso en inhabilidades o incompatibilidades que le impida celebrar el contrato.</w:t>
      </w:r>
    </w:p>
    <w:p w14:paraId="0CD2F4EA" w14:textId="77777777" w:rsidR="00300539" w:rsidRPr="00300539" w:rsidRDefault="00300539" w:rsidP="00300539">
      <w:pPr>
        <w:spacing w:after="0"/>
        <w:jc w:val="both"/>
        <w:rPr>
          <w:rFonts w:ascii="Verdana" w:hAnsi="Verdana"/>
          <w:lang w:val="es-ES"/>
        </w:rPr>
      </w:pPr>
    </w:p>
    <w:p w14:paraId="140A6843" w14:textId="77F9B249" w:rsidR="00300539" w:rsidRDefault="00300539" w:rsidP="00300539">
      <w:pPr>
        <w:spacing w:after="0"/>
        <w:jc w:val="both"/>
        <w:rPr>
          <w:rFonts w:ascii="Verdana" w:hAnsi="Verdana"/>
          <w:lang w:val="es-ES"/>
        </w:rPr>
      </w:pPr>
      <w:r w:rsidRPr="00300539">
        <w:rPr>
          <w:rFonts w:ascii="Verdana" w:hAnsi="Verdana"/>
          <w:lang w:val="es-ES"/>
        </w:rPr>
        <w:t>En el caso de las personas naturales, mayores de dieciocho (18) años, son capaces jurídicamente a menos que estén expresamente inhabilitadas por decisión judicial o administrativa, como la interdicción judicial, y que no estén incursas en inhabilidades, incompatibilidades o prohibiciones para contratar derivadas de la ley.</w:t>
      </w:r>
      <w:r w:rsidR="008B6AE2">
        <w:rPr>
          <w:rFonts w:ascii="Verdana" w:hAnsi="Verdana"/>
          <w:lang w:val="es-ES"/>
        </w:rPr>
        <w:t xml:space="preserve"> en relación con la capacidad jurídica, la doctrina ha señalado: </w:t>
      </w:r>
    </w:p>
    <w:p w14:paraId="1C84AC12" w14:textId="77777777" w:rsidR="005B4F69" w:rsidRDefault="005B4F69" w:rsidP="00300539">
      <w:pPr>
        <w:spacing w:after="0"/>
        <w:jc w:val="both"/>
        <w:rPr>
          <w:rFonts w:ascii="Verdana" w:hAnsi="Verdana"/>
          <w:lang w:val="es-ES"/>
        </w:rPr>
      </w:pPr>
    </w:p>
    <w:p w14:paraId="295425F6" w14:textId="727D28AA" w:rsidR="00A967B7" w:rsidRPr="00A967B7" w:rsidRDefault="00A967B7" w:rsidP="00A967B7">
      <w:pPr>
        <w:spacing w:after="0"/>
        <w:ind w:left="709" w:right="709"/>
        <w:jc w:val="both"/>
        <w:rPr>
          <w:rFonts w:ascii="Verdana" w:hAnsi="Verdana"/>
          <w:sz w:val="21"/>
          <w:szCs w:val="21"/>
          <w:lang w:val="es-MX"/>
        </w:rPr>
      </w:pPr>
      <w:r w:rsidRPr="00A967B7">
        <w:rPr>
          <w:rFonts w:ascii="Verdana" w:hAnsi="Verdana"/>
          <w:sz w:val="21"/>
          <w:szCs w:val="21"/>
          <w:lang w:val="es-MX"/>
        </w:rPr>
        <w:t xml:space="preserve">La capacidad, de acuerdo con lo establecido por el Código Civil, se refiere a la facultad que legalmente se le confiere a la persona para poder ejercer sus derechos y contraer obligaciones, partiendo del supuesto de que todas las personas naturales son capaces, con excepción de aquellas que la ley expresamente excluye de tal presunción (arts. 1503 y 1504), y de que la capacidad de las personas jurídicas se circunscribe a lo expresado en su objeto social y su forma de creación. Así mismo, en cuanto a </w:t>
      </w:r>
      <w:r w:rsidR="00180234" w:rsidRPr="00A967B7">
        <w:rPr>
          <w:rFonts w:ascii="Verdana" w:hAnsi="Verdana"/>
          <w:sz w:val="21"/>
          <w:szCs w:val="21"/>
          <w:lang w:val="es-MX"/>
        </w:rPr>
        <w:t>las formas especiales</w:t>
      </w:r>
      <w:r w:rsidRPr="00A967B7">
        <w:rPr>
          <w:rFonts w:ascii="Verdana" w:hAnsi="Verdana"/>
          <w:sz w:val="21"/>
          <w:szCs w:val="21"/>
          <w:lang w:val="es-MX"/>
        </w:rPr>
        <w:t xml:space="preserve"> de asociación autorizadas por la Ley 80 de 1993, esto es, los consorcios y las uniones temporales, su capacidad igualmente dependerá del alcance dado a las mismas en el acuerdo consorcial o de conformación de la unión temporal</w:t>
      </w:r>
      <w:r w:rsidRPr="00A967B7">
        <w:rPr>
          <w:rFonts w:ascii="Verdana" w:hAnsi="Verdana"/>
          <w:sz w:val="21"/>
          <w:szCs w:val="21"/>
          <w:vertAlign w:val="superscript"/>
          <w:lang w:val="es-MX"/>
        </w:rPr>
        <w:footnoteReference w:id="8"/>
      </w:r>
      <w:r w:rsidRPr="00A967B7">
        <w:rPr>
          <w:rFonts w:ascii="Verdana" w:hAnsi="Verdana"/>
          <w:sz w:val="21"/>
          <w:szCs w:val="21"/>
          <w:lang w:val="es-MX"/>
        </w:rPr>
        <w:t xml:space="preserve">.  </w:t>
      </w:r>
    </w:p>
    <w:p w14:paraId="686B7186" w14:textId="77777777" w:rsidR="005B4F69" w:rsidRPr="00A967B7" w:rsidRDefault="005B4F69" w:rsidP="00300539">
      <w:pPr>
        <w:spacing w:after="0"/>
        <w:jc w:val="both"/>
        <w:rPr>
          <w:rFonts w:ascii="Verdana" w:hAnsi="Verdana"/>
          <w:lang w:val="es-MX"/>
        </w:rPr>
      </w:pPr>
    </w:p>
    <w:p w14:paraId="62F3F719" w14:textId="77777777" w:rsidR="008B6AE2" w:rsidRDefault="008B6AE2" w:rsidP="00300539">
      <w:pPr>
        <w:spacing w:after="0"/>
        <w:jc w:val="both"/>
        <w:rPr>
          <w:rFonts w:ascii="Verdana" w:hAnsi="Verdana"/>
          <w:lang w:val="es-ES"/>
        </w:rPr>
      </w:pPr>
    </w:p>
    <w:p w14:paraId="02444D28" w14:textId="77777777" w:rsidR="008B6AE2" w:rsidRPr="00300539" w:rsidRDefault="008B6AE2" w:rsidP="00300539">
      <w:pPr>
        <w:spacing w:after="0"/>
        <w:jc w:val="both"/>
        <w:rPr>
          <w:rFonts w:ascii="Verdana" w:hAnsi="Verdana"/>
          <w:lang w:val="es-ES"/>
        </w:rPr>
      </w:pPr>
    </w:p>
    <w:p w14:paraId="6E4E8F1B" w14:textId="77777777" w:rsidR="00300539" w:rsidRPr="00300539" w:rsidRDefault="00300539" w:rsidP="00300539">
      <w:pPr>
        <w:spacing w:after="0"/>
        <w:jc w:val="both"/>
        <w:rPr>
          <w:rFonts w:ascii="Verdana" w:hAnsi="Verdana"/>
          <w:lang w:val="es-ES"/>
        </w:rPr>
      </w:pPr>
    </w:p>
    <w:p w14:paraId="214024C1" w14:textId="77777777" w:rsidR="00180234" w:rsidRPr="00180234" w:rsidRDefault="00180234" w:rsidP="00180234">
      <w:pPr>
        <w:spacing w:after="0"/>
        <w:jc w:val="both"/>
        <w:rPr>
          <w:rFonts w:ascii="Verdana" w:hAnsi="Verdana"/>
          <w:lang w:val="es-MX"/>
        </w:rPr>
      </w:pPr>
    </w:p>
    <w:p w14:paraId="34CEC74C" w14:textId="77777777" w:rsidR="00180234" w:rsidRPr="00180234" w:rsidRDefault="00180234" w:rsidP="00180234">
      <w:pPr>
        <w:spacing w:after="0"/>
        <w:jc w:val="both"/>
        <w:rPr>
          <w:rFonts w:ascii="Verdana" w:hAnsi="Verdana"/>
          <w:lang w:val="es-MX"/>
        </w:rPr>
      </w:pPr>
      <w:r w:rsidRPr="00180234">
        <w:rPr>
          <w:rFonts w:ascii="Verdana" w:hAnsi="Verdana"/>
          <w:lang w:val="es-MX"/>
        </w:rPr>
        <w:t>De acuerdo con lo anterior</w:t>
      </w:r>
      <w:r w:rsidRPr="00180234">
        <w:rPr>
          <w:rFonts w:ascii="Verdana" w:hAnsi="Verdana"/>
          <w:bCs/>
        </w:rPr>
        <w:t xml:space="preserve">, </w:t>
      </w:r>
      <w:r w:rsidRPr="00180234">
        <w:rPr>
          <w:rFonts w:ascii="Verdana" w:hAnsi="Verdana"/>
          <w:lang w:val="es-MX"/>
        </w:rPr>
        <w:t xml:space="preserve">se evidencia que el registro mercantil es un deber legal de los comerciantes, pero no otorga o afecta la capacidad jurídica o contractual, aunque su ausencia, cuando se desarrollan actividades mercantiles de manera habitual y permanente, ocasiona la imposición de multas por el incumplimiento de un deber legal. Así, una persona natural solo deberá estar inscrita en el registro mercantil, en cumplimiento de un deber comercial, cuando realice alguna actividad comercial profesional de manera habitual, y no por el hecho de participar en un proceso de contratación. </w:t>
      </w:r>
    </w:p>
    <w:p w14:paraId="7BC07783" w14:textId="77777777" w:rsidR="00180234" w:rsidRPr="00180234" w:rsidRDefault="00180234" w:rsidP="00180234">
      <w:pPr>
        <w:spacing w:after="0"/>
        <w:jc w:val="both"/>
        <w:rPr>
          <w:rFonts w:ascii="Verdana" w:hAnsi="Verdana"/>
          <w:lang w:val="es-MX"/>
        </w:rPr>
      </w:pPr>
      <w:r w:rsidRPr="00180234">
        <w:rPr>
          <w:rFonts w:ascii="Verdana" w:hAnsi="Verdana"/>
          <w:lang w:val="es-MX"/>
        </w:rPr>
        <w:t xml:space="preserve">Así las cosas, en los términos expuestos en este numeral, la Agencia Nacional de Contratación Pública – Colombia Compra Eficiente, ha desarrollado su postura sobre la </w:t>
      </w:r>
      <w:r w:rsidRPr="00180234">
        <w:rPr>
          <w:rFonts w:ascii="Verdana" w:hAnsi="Verdana"/>
          <w:bCs/>
        </w:rPr>
        <w:t xml:space="preserve">exigencia de registro mercantil frente a las personas naturales en procesos de contratación y la capacidad jurídica de las personas naturales. Esta posición, como se señaló al inicio de este concepto, ha sido reiterada en distintos pronunciamientos, en donde se ha mantenido dicho criterio. </w:t>
      </w:r>
    </w:p>
    <w:p w14:paraId="330E57C6" w14:textId="77777777" w:rsidR="00300539" w:rsidRPr="0024208F" w:rsidRDefault="00300539" w:rsidP="007C3300">
      <w:pPr>
        <w:spacing w:after="0"/>
        <w:jc w:val="both"/>
        <w:rPr>
          <w:rFonts w:ascii="Verdana" w:hAnsi="Verdana"/>
          <w:lang w:val="es-ES"/>
        </w:rPr>
      </w:pPr>
    </w:p>
    <w:p w14:paraId="4722B57D" w14:textId="77777777" w:rsidR="00A37B36" w:rsidRPr="004637EC" w:rsidRDefault="00A37B36" w:rsidP="007C3300">
      <w:pPr>
        <w:spacing w:after="0"/>
        <w:jc w:val="both"/>
        <w:rPr>
          <w:rFonts w:ascii="Verdana" w:hAnsi="Verdana"/>
          <w:b/>
          <w:bCs/>
        </w:rPr>
      </w:pPr>
    </w:p>
    <w:p w14:paraId="75B9CCED" w14:textId="4A12229F" w:rsidR="004637EC" w:rsidRPr="00D02A98" w:rsidRDefault="004637EC" w:rsidP="00D02A98">
      <w:pPr>
        <w:spacing w:after="0"/>
        <w:jc w:val="both"/>
        <w:rPr>
          <w:rFonts w:ascii="Verdana" w:hAnsi="Verdana"/>
          <w:b/>
          <w:bCs/>
        </w:rPr>
      </w:pPr>
      <w:r w:rsidRPr="004637EC">
        <w:rPr>
          <w:rFonts w:ascii="Verdana" w:hAnsi="Verdana"/>
          <w:b/>
          <w:bCs/>
        </w:rPr>
        <w:t xml:space="preserve">4. </w:t>
      </w:r>
      <w:r>
        <w:rPr>
          <w:rFonts w:ascii="Verdana" w:hAnsi="Verdana"/>
          <w:b/>
          <w:bCs/>
        </w:rPr>
        <w:t xml:space="preserve">Referencias normativas, jurisprudenciales y otras fuentes: </w:t>
      </w:r>
    </w:p>
    <w:p w14:paraId="7CE4A644" w14:textId="6B36FA13" w:rsidR="004637EC" w:rsidRDefault="004F01C2" w:rsidP="00D02A98">
      <w:pPr>
        <w:pStyle w:val="Prrafodelista"/>
        <w:numPr>
          <w:ilvl w:val="0"/>
          <w:numId w:val="18"/>
        </w:numPr>
        <w:pBdr>
          <w:top w:val="single" w:sz="4" w:space="1" w:color="auto"/>
          <w:left w:val="single" w:sz="4" w:space="4" w:color="auto"/>
          <w:bottom w:val="single" w:sz="4" w:space="1" w:color="auto"/>
          <w:right w:val="single" w:sz="4" w:space="4" w:color="auto"/>
        </w:pBdr>
        <w:spacing w:after="0"/>
        <w:jc w:val="both"/>
        <w:rPr>
          <w:rFonts w:ascii="Verdana" w:hAnsi="Verdana"/>
        </w:rPr>
      </w:pPr>
      <w:r w:rsidRPr="00644FEB">
        <w:rPr>
          <w:rFonts w:ascii="Verdana" w:hAnsi="Verdana"/>
        </w:rPr>
        <w:t xml:space="preserve">Código de Comercio: artículos 10, 20, 21, 23, 26, 28. Disponible en </w:t>
      </w:r>
    </w:p>
    <w:p w14:paraId="76A604DB" w14:textId="77777777" w:rsidR="00644FEB" w:rsidRPr="00D02A98" w:rsidRDefault="00644FEB" w:rsidP="00D02A98">
      <w:pPr>
        <w:pBdr>
          <w:top w:val="single" w:sz="4" w:space="1" w:color="auto"/>
          <w:left w:val="single" w:sz="4" w:space="4" w:color="auto"/>
          <w:bottom w:val="single" w:sz="4" w:space="1" w:color="auto"/>
          <w:right w:val="single" w:sz="4" w:space="4" w:color="auto"/>
        </w:pBdr>
        <w:spacing w:after="0"/>
        <w:ind w:left="360"/>
        <w:jc w:val="both"/>
        <w:rPr>
          <w:rFonts w:ascii="Verdana" w:hAnsi="Verdana"/>
        </w:rPr>
      </w:pPr>
    </w:p>
    <w:p w14:paraId="29EE10AD" w14:textId="22978DD8" w:rsidR="00D02A98" w:rsidRPr="00D02A98" w:rsidRDefault="00644FEB" w:rsidP="00D02A98">
      <w:pPr>
        <w:pStyle w:val="Prrafodelista"/>
        <w:numPr>
          <w:ilvl w:val="0"/>
          <w:numId w:val="18"/>
        </w:numPr>
        <w:pBdr>
          <w:top w:val="single" w:sz="4" w:space="1" w:color="auto"/>
          <w:left w:val="single" w:sz="4" w:space="4" w:color="auto"/>
          <w:bottom w:val="single" w:sz="4" w:space="1" w:color="auto"/>
          <w:right w:val="single" w:sz="4" w:space="4" w:color="auto"/>
        </w:pBdr>
        <w:spacing w:after="0"/>
        <w:jc w:val="both"/>
        <w:rPr>
          <w:rFonts w:ascii="Verdana" w:hAnsi="Verdana"/>
        </w:rPr>
      </w:pPr>
      <w:r w:rsidRPr="00644FEB">
        <w:rPr>
          <w:rFonts w:ascii="Verdana" w:hAnsi="Verdana"/>
        </w:rPr>
        <w:t xml:space="preserve">Decreto 2153 de 1992: artículo 11. Disponible en: </w:t>
      </w:r>
    </w:p>
    <w:p w14:paraId="1CDDD451" w14:textId="455FFC92" w:rsidR="00644FEB" w:rsidRPr="00644FEB" w:rsidRDefault="00644FEB" w:rsidP="00D02A98">
      <w:pPr>
        <w:pStyle w:val="Prrafodelista"/>
        <w:numPr>
          <w:ilvl w:val="0"/>
          <w:numId w:val="18"/>
        </w:numPr>
        <w:pBdr>
          <w:top w:val="single" w:sz="4" w:space="1" w:color="auto"/>
          <w:left w:val="single" w:sz="4" w:space="4" w:color="auto"/>
          <w:bottom w:val="single" w:sz="4" w:space="1" w:color="auto"/>
          <w:right w:val="single" w:sz="4" w:space="4" w:color="auto"/>
        </w:pBdr>
        <w:spacing w:after="0"/>
        <w:jc w:val="both"/>
        <w:rPr>
          <w:rFonts w:ascii="Verdana" w:hAnsi="Verdana"/>
        </w:rPr>
      </w:pPr>
      <w:r w:rsidRPr="00644FEB">
        <w:rPr>
          <w:rFonts w:ascii="Verdana" w:hAnsi="Verdana"/>
        </w:rPr>
        <w:t xml:space="preserve">Código Civil: artículos 1503 y 1504. Disponible en: </w:t>
      </w:r>
    </w:p>
    <w:p w14:paraId="443CBA41" w14:textId="77777777" w:rsidR="00644FEB" w:rsidRDefault="00644FEB" w:rsidP="00644FEB">
      <w:pPr>
        <w:spacing w:after="0"/>
        <w:jc w:val="both"/>
        <w:rPr>
          <w:rFonts w:ascii="Verdana" w:hAnsi="Verdana"/>
          <w:b/>
          <w:bCs/>
        </w:rPr>
      </w:pPr>
    </w:p>
    <w:p w14:paraId="773316BF" w14:textId="77777777" w:rsidR="00644FEB" w:rsidRPr="00644FEB" w:rsidRDefault="00644FEB" w:rsidP="00644FEB">
      <w:pPr>
        <w:spacing w:after="0"/>
        <w:jc w:val="both"/>
        <w:rPr>
          <w:rFonts w:ascii="Verdana" w:hAnsi="Verdana"/>
          <w:b/>
          <w:bCs/>
        </w:rPr>
      </w:pPr>
    </w:p>
    <w:p w14:paraId="10B76381" w14:textId="77777777" w:rsidR="004F01C2" w:rsidRDefault="004F01C2" w:rsidP="004F01C2">
      <w:pPr>
        <w:spacing w:after="0"/>
        <w:jc w:val="both"/>
        <w:rPr>
          <w:rFonts w:ascii="Verdana" w:hAnsi="Verdana"/>
          <w:b/>
          <w:bCs/>
        </w:rPr>
      </w:pPr>
    </w:p>
    <w:p w14:paraId="4F783E53" w14:textId="1A165B08" w:rsidR="004F01C2" w:rsidRDefault="00B771CE" w:rsidP="004F01C2">
      <w:pPr>
        <w:spacing w:after="0"/>
        <w:jc w:val="both"/>
        <w:rPr>
          <w:rFonts w:ascii="Verdana" w:hAnsi="Verdana"/>
          <w:b/>
          <w:bCs/>
        </w:rPr>
      </w:pPr>
      <w:r>
        <w:rPr>
          <w:rFonts w:ascii="Verdana" w:hAnsi="Verdana"/>
          <w:b/>
          <w:bCs/>
        </w:rPr>
        <w:t xml:space="preserve">5. Doctrina de la Agencia Nacional de Contratación Pública: </w:t>
      </w:r>
    </w:p>
    <w:p w14:paraId="620576E4" w14:textId="77777777" w:rsidR="00B771CE" w:rsidRDefault="00B771CE" w:rsidP="004F01C2">
      <w:pPr>
        <w:spacing w:after="0"/>
        <w:jc w:val="both"/>
        <w:rPr>
          <w:rFonts w:ascii="Verdana" w:hAnsi="Verdana"/>
          <w:b/>
          <w:bCs/>
        </w:rPr>
      </w:pPr>
    </w:p>
    <w:p w14:paraId="224568A6" w14:textId="77777777" w:rsidR="00BD529E" w:rsidRPr="00BD529E" w:rsidRDefault="00BD529E" w:rsidP="00BD529E">
      <w:pPr>
        <w:widowControl w:val="0"/>
        <w:autoSpaceDE w:val="0"/>
        <w:autoSpaceDN w:val="0"/>
        <w:spacing w:after="0" w:line="276" w:lineRule="auto"/>
        <w:jc w:val="both"/>
        <w:rPr>
          <w:rFonts w:ascii="Verdana" w:eastAsia="Calibri" w:hAnsi="Verdana" w:cs="Arial"/>
          <w:color w:val="000000" w:themeColor="text1"/>
          <w:lang w:val="es-ES"/>
        </w:rPr>
      </w:pPr>
    </w:p>
    <w:p w14:paraId="5BCC6166" w14:textId="1118EA70" w:rsidR="00BD529E" w:rsidRPr="00BD529E" w:rsidRDefault="00BD529E" w:rsidP="00BD529E">
      <w:pPr>
        <w:widowControl w:val="0"/>
        <w:autoSpaceDE w:val="0"/>
        <w:autoSpaceDN w:val="0"/>
        <w:spacing w:after="0" w:line="276" w:lineRule="auto"/>
        <w:jc w:val="both"/>
        <w:rPr>
          <w:rFonts w:ascii="Verdana" w:eastAsia="Calibri" w:hAnsi="Verdana" w:cs="Arial"/>
          <w:color w:val="000000" w:themeColor="text1"/>
        </w:rPr>
      </w:pPr>
      <w:r w:rsidRPr="00BD529E">
        <w:rPr>
          <w:rFonts w:ascii="Verdana" w:eastAsia="Calibri" w:hAnsi="Verdana" w:cs="Arial"/>
          <w:color w:val="000000" w:themeColor="text1"/>
          <w:lang w:val="es-ES"/>
        </w:rPr>
        <w:t>La Agencia Nacional de Contratación Pública – Colombia Compra Eficiente,</w:t>
      </w:r>
      <w:r w:rsidRPr="00BD529E">
        <w:rPr>
          <w:rFonts w:ascii="Verdana" w:eastAsia="Calibri" w:hAnsi="Verdana" w:cs="Arial"/>
          <w:color w:val="000000" w:themeColor="text1"/>
          <w:lang w:val="es-MX"/>
        </w:rPr>
        <w:t xml:space="preserve"> en el concepto con radicado No. 4201912000004782 del 30 de octubre de 2019, reiterado en los conceptos 4201912000005754 del 4 de octubre de 2019, 4201913000007896 del 25 de noviembre de 2019, 4201913000007962 del 28 de noviembre de 2019, C-054 de 2020 y C-184 de 2020, se pronunció sobre la exigencia del registro mercantil en los procesos de contratación</w:t>
      </w:r>
      <w:r w:rsidRPr="00BD529E">
        <w:rPr>
          <w:rFonts w:ascii="Verdana" w:eastAsia="Calibri" w:hAnsi="Verdana" w:cs="Arial"/>
          <w:color w:val="000000" w:themeColor="text1"/>
          <w:lang w:val="es-ES"/>
        </w:rPr>
        <w:t xml:space="preserve">. </w:t>
      </w:r>
      <w:r w:rsidRPr="00BD529E">
        <w:rPr>
          <w:rFonts w:ascii="Verdana" w:eastAsia="Calibri" w:hAnsi="Verdana" w:cs="Arial"/>
          <w:color w:val="000000" w:themeColor="text1"/>
        </w:rPr>
        <w:t xml:space="preserve">Estos y otros se encuentran disponibles para consulta en el Sistema de relatoría de la Agencia, al cual puede accederse a través del siguiente enlace: </w:t>
      </w:r>
      <w:hyperlink r:id="rId12" w:history="1">
        <w:r w:rsidRPr="00BD529E">
          <w:rPr>
            <w:rStyle w:val="Hipervnculo"/>
            <w:rFonts w:ascii="Verdana" w:eastAsia="Calibri" w:hAnsi="Verdana" w:cs="Arial"/>
          </w:rPr>
          <w:t>https://relatoria.colombiacompra.gov.co/busqueda/conceptos</w:t>
        </w:r>
      </w:hyperlink>
      <w:r w:rsidRPr="00BD529E">
        <w:rPr>
          <w:rFonts w:ascii="Verdana" w:eastAsia="Calibri" w:hAnsi="Verdana" w:cs="Arial"/>
          <w:color w:val="000000" w:themeColor="text1"/>
        </w:rPr>
        <w:t xml:space="preserve">. </w:t>
      </w:r>
      <w:r w:rsidRPr="00BD529E">
        <w:rPr>
          <w:rFonts w:ascii="Verdana" w:eastAsia="Calibri" w:hAnsi="Verdana" w:cs="Arial"/>
          <w:color w:val="000000" w:themeColor="text1"/>
          <w:lang w:val="es-ES"/>
        </w:rPr>
        <w:t xml:space="preserve"> </w:t>
      </w:r>
    </w:p>
    <w:p w14:paraId="014E285D" w14:textId="4435DE6E" w:rsidR="00B771CE" w:rsidRDefault="00B771CE" w:rsidP="00B771CE">
      <w:pPr>
        <w:spacing w:after="0"/>
        <w:jc w:val="both"/>
        <w:rPr>
          <w:rFonts w:ascii="Verdana" w:hAnsi="Verdana"/>
          <w:b/>
          <w:bCs/>
        </w:rPr>
      </w:pPr>
      <w:r w:rsidRPr="00530AEE">
        <w:rPr>
          <w:rFonts w:ascii="Verdana" w:eastAsia="Calibri" w:hAnsi="Verdana"/>
        </w:rPr>
        <w:br/>
      </w:r>
    </w:p>
    <w:p w14:paraId="5993D8E1" w14:textId="77777777" w:rsidR="00B771CE" w:rsidRPr="005B3F16" w:rsidRDefault="00B771CE" w:rsidP="00B771CE">
      <w:pPr>
        <w:spacing w:after="0" w:line="276" w:lineRule="auto"/>
        <w:jc w:val="both"/>
        <w:rPr>
          <w:rFonts w:ascii="Verdana" w:eastAsia="Calibri" w:hAnsi="Verdana" w:cs="Arial"/>
          <w:lang w:val="es-ES_tradnl"/>
        </w:rPr>
      </w:pPr>
      <w:r w:rsidRPr="005B3F16">
        <w:rPr>
          <w:rFonts w:ascii="Verdana" w:eastAsia="Calibri" w:hAnsi="Verdana" w:cs="Arial"/>
          <w:lang w:val="es-ES_tradnl"/>
        </w:rPr>
        <w:t xml:space="preserve">Por último, lo invitamos a seguirnos en las redes sociales en las cuales se difunde información institucional: </w:t>
      </w:r>
    </w:p>
    <w:p w14:paraId="17F41F62" w14:textId="77777777" w:rsidR="00B771CE" w:rsidRPr="005B3F16" w:rsidRDefault="00B771CE" w:rsidP="00B771CE">
      <w:pPr>
        <w:spacing w:after="0" w:line="276" w:lineRule="auto"/>
        <w:jc w:val="both"/>
        <w:rPr>
          <w:rFonts w:ascii="Verdana" w:eastAsia="Calibri" w:hAnsi="Verdana" w:cs="Arial"/>
          <w:lang w:val="es-ES_tradnl"/>
        </w:rPr>
      </w:pPr>
    </w:p>
    <w:p w14:paraId="0B64BECF" w14:textId="77777777" w:rsidR="00B771CE" w:rsidRPr="005B3F16" w:rsidRDefault="00B771CE" w:rsidP="00B771CE">
      <w:pPr>
        <w:spacing w:after="0" w:line="276" w:lineRule="auto"/>
        <w:jc w:val="both"/>
        <w:rPr>
          <w:rFonts w:ascii="Verdana" w:eastAsia="Calibri" w:hAnsi="Verdana" w:cs="Arial"/>
          <w:lang w:val="es-ES_tradnl"/>
        </w:rPr>
      </w:pPr>
      <w:r w:rsidRPr="005B3F16">
        <w:rPr>
          <w:rFonts w:ascii="Verdana" w:eastAsia="Calibri" w:hAnsi="Verdana" w:cs="Arial"/>
          <w:lang w:val="es-ES_tradnl"/>
        </w:rPr>
        <w:t xml:space="preserve">Twitter: @colombiacompra </w:t>
      </w:r>
    </w:p>
    <w:p w14:paraId="32F8B443" w14:textId="77777777" w:rsidR="00B771CE" w:rsidRPr="005B3F16" w:rsidRDefault="00B771CE" w:rsidP="00B771CE">
      <w:pPr>
        <w:spacing w:after="0" w:line="276" w:lineRule="auto"/>
        <w:jc w:val="both"/>
        <w:rPr>
          <w:rFonts w:ascii="Verdana" w:eastAsia="Calibri" w:hAnsi="Verdana" w:cs="Arial"/>
          <w:lang w:val="es-ES"/>
        </w:rPr>
      </w:pPr>
      <w:r w:rsidRPr="2F5E6258">
        <w:rPr>
          <w:rFonts w:ascii="Verdana" w:eastAsia="Calibri" w:hAnsi="Verdana" w:cs="Arial"/>
          <w:lang w:val="es-ES"/>
        </w:rPr>
        <w:t xml:space="preserve">Facebook: </w:t>
      </w:r>
      <w:proofErr w:type="spellStart"/>
      <w:r w:rsidRPr="2F5E6258">
        <w:rPr>
          <w:rFonts w:ascii="Verdana" w:eastAsia="Calibri" w:hAnsi="Verdana" w:cs="Arial"/>
          <w:lang w:val="es-ES"/>
        </w:rPr>
        <w:t>ColombiaCompraEficiente</w:t>
      </w:r>
      <w:proofErr w:type="spellEnd"/>
    </w:p>
    <w:p w14:paraId="0A283680" w14:textId="77777777" w:rsidR="00B771CE" w:rsidRPr="005B3F16" w:rsidRDefault="00B771CE" w:rsidP="00B771CE">
      <w:pPr>
        <w:spacing w:after="0" w:line="276" w:lineRule="auto"/>
        <w:jc w:val="both"/>
        <w:rPr>
          <w:rFonts w:ascii="Verdana" w:eastAsia="Calibri" w:hAnsi="Verdana" w:cs="Arial"/>
          <w:lang w:val="es-ES_tradnl"/>
        </w:rPr>
      </w:pPr>
      <w:r w:rsidRPr="005B3F16">
        <w:rPr>
          <w:rFonts w:ascii="Verdana" w:eastAsia="Calibri" w:hAnsi="Verdana" w:cs="Arial"/>
          <w:lang w:val="es-ES_tradnl"/>
        </w:rPr>
        <w:t>LinkedIn: Agencia Nacional de Contratación Pública - Colombia Compra Eficiente Instagram: @colombiacompraeficiente_cce</w:t>
      </w:r>
    </w:p>
    <w:p w14:paraId="43BF7CE7" w14:textId="77777777" w:rsidR="00B771CE" w:rsidRDefault="00B771CE" w:rsidP="00B771CE">
      <w:pPr>
        <w:widowControl w:val="0"/>
        <w:autoSpaceDE w:val="0"/>
        <w:autoSpaceDN w:val="0"/>
        <w:spacing w:after="0" w:line="276" w:lineRule="auto"/>
        <w:jc w:val="both"/>
        <w:rPr>
          <w:rFonts w:ascii="Verdana" w:eastAsia="Calibri" w:hAnsi="Verdana" w:cs="Arial"/>
          <w:lang w:val="es-ES_tradnl"/>
        </w:rPr>
      </w:pPr>
    </w:p>
    <w:p w14:paraId="242790CC" w14:textId="090D79A1" w:rsidR="00B771CE" w:rsidRPr="005B3F16" w:rsidRDefault="00B771CE" w:rsidP="00B771CE">
      <w:pPr>
        <w:widowControl w:val="0"/>
        <w:autoSpaceDE w:val="0"/>
        <w:autoSpaceDN w:val="0"/>
        <w:spacing w:after="0" w:line="276" w:lineRule="auto"/>
        <w:jc w:val="both"/>
        <w:rPr>
          <w:rFonts w:ascii="Verdana" w:hAnsi="Verdana" w:cs="Arial"/>
          <w:lang w:val="es-ES_tradnl"/>
        </w:rPr>
      </w:pPr>
      <w:r w:rsidRPr="005B3F16">
        <w:rPr>
          <w:rFonts w:ascii="Verdana" w:eastAsia="Calibri" w:hAnsi="Verdana" w:cs="Arial"/>
          <w:lang w:val="es-ES_tradnl"/>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w:t>
      </w:r>
      <w:r w:rsidRPr="005B3F16">
        <w:rPr>
          <w:rFonts w:ascii="Verdana" w:hAnsi="Verdana" w:cs="Arial"/>
          <w:lang w:val="es-ES_tradnl"/>
        </w:rPr>
        <w:t>2 de 2015.</w:t>
      </w:r>
    </w:p>
    <w:p w14:paraId="1CEAA4A6" w14:textId="21523694" w:rsidR="00B771CE" w:rsidRPr="005B3F16" w:rsidRDefault="00B771CE" w:rsidP="00B771CE">
      <w:pPr>
        <w:widowControl w:val="0"/>
        <w:autoSpaceDE w:val="0"/>
        <w:autoSpaceDN w:val="0"/>
        <w:spacing w:after="0" w:line="276" w:lineRule="auto"/>
        <w:jc w:val="both"/>
        <w:rPr>
          <w:rFonts w:ascii="Verdana" w:hAnsi="Verdana" w:cs="Arial"/>
        </w:rPr>
      </w:pPr>
    </w:p>
    <w:p w14:paraId="70BB332B" w14:textId="358BF8AB" w:rsidR="00B771CE" w:rsidRPr="005B3F16" w:rsidRDefault="00F576D1" w:rsidP="00B771CE">
      <w:pPr>
        <w:spacing w:after="0" w:line="276" w:lineRule="auto"/>
        <w:rPr>
          <w:rFonts w:ascii="Verdana" w:hAnsi="Verdana" w:cs="Arial"/>
          <w:lang w:eastAsia="es-CO"/>
        </w:rPr>
      </w:pPr>
      <w:r>
        <w:rPr>
          <w:noProof/>
        </w:rPr>
        <w:drawing>
          <wp:anchor distT="0" distB="0" distL="114300" distR="114300" simplePos="0" relativeHeight="251660288" behindDoc="1" locked="0" layoutInCell="1" allowOverlap="1" wp14:anchorId="5462D3AE" wp14:editId="15895910">
            <wp:simplePos x="0" y="0"/>
            <wp:positionH relativeFrom="margin">
              <wp:posOffset>1234697</wp:posOffset>
            </wp:positionH>
            <wp:positionV relativeFrom="paragraph">
              <wp:posOffset>-11276</wp:posOffset>
            </wp:positionV>
            <wp:extent cx="3138170" cy="1194487"/>
            <wp:effectExtent l="0" t="0" r="5080" b="5715"/>
            <wp:wrapTight wrapText="bothSides">
              <wp:wrapPolygon edited="0">
                <wp:start x="0" y="0"/>
                <wp:lineTo x="0" y="21359"/>
                <wp:lineTo x="21504" y="21359"/>
                <wp:lineTo x="21504" y="0"/>
                <wp:lineTo x="0" y="0"/>
              </wp:wrapPolygon>
            </wp:wrapTight>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3">
                      <a:extLst>
                        <a:ext uri="{28A0092B-C50C-407E-A947-70E740481C1C}">
                          <a14:useLocalDpi xmlns:a14="http://schemas.microsoft.com/office/drawing/2010/main" val="0"/>
                        </a:ext>
                      </a:extLst>
                    </a:blip>
                    <a:stretch>
                      <a:fillRect/>
                    </a:stretch>
                  </pic:blipFill>
                  <pic:spPr>
                    <a:xfrm>
                      <a:off x="0" y="0"/>
                      <a:ext cx="3138170" cy="1194487"/>
                    </a:xfrm>
                    <a:prstGeom prst="rect">
                      <a:avLst/>
                    </a:prstGeom>
                  </pic:spPr>
                </pic:pic>
              </a:graphicData>
            </a:graphic>
            <wp14:sizeRelH relativeFrom="margin">
              <wp14:pctWidth>0</wp14:pctWidth>
            </wp14:sizeRelH>
            <wp14:sizeRelV relativeFrom="margin">
              <wp14:pctHeight>0</wp14:pctHeight>
            </wp14:sizeRelV>
          </wp:anchor>
        </w:drawing>
      </w:r>
      <w:r w:rsidR="00B771CE" w:rsidRPr="005B3F16">
        <w:rPr>
          <w:rFonts w:ascii="Verdana" w:eastAsia="Times New Roman" w:hAnsi="Verdana" w:cs="Arial"/>
          <w:lang w:eastAsia="es-CO"/>
        </w:rPr>
        <w:t>Atentamente,</w:t>
      </w:r>
      <w:r w:rsidR="00B771CE" w:rsidRPr="005B3F16">
        <w:rPr>
          <w:rFonts w:ascii="Verdana" w:hAnsi="Verdana" w:cs="Arial"/>
          <w:lang w:eastAsia="es-CO"/>
        </w:rPr>
        <w:t xml:space="preserve"> </w:t>
      </w:r>
    </w:p>
    <w:p w14:paraId="58A6E1AB" w14:textId="3F3A2AE2" w:rsidR="00B771CE" w:rsidRPr="00B45B4E" w:rsidRDefault="00B771CE" w:rsidP="00B771CE">
      <w:pPr>
        <w:autoSpaceDE w:val="0"/>
        <w:autoSpaceDN w:val="0"/>
        <w:adjustRightInd w:val="0"/>
        <w:spacing w:after="0" w:line="276" w:lineRule="auto"/>
        <w:jc w:val="both"/>
        <w:rPr>
          <w:rFonts w:ascii="Verdana" w:eastAsia="Times New Roman" w:hAnsi="Verdana" w:cs="Arial"/>
          <w:noProof/>
          <w:lang w:eastAsia="es-MX"/>
        </w:rPr>
      </w:pPr>
    </w:p>
    <w:p w14:paraId="152C5070" w14:textId="7903A066" w:rsidR="00B771CE" w:rsidRPr="00B45B4E" w:rsidRDefault="00B771CE" w:rsidP="00B771CE">
      <w:pPr>
        <w:autoSpaceDE w:val="0"/>
        <w:autoSpaceDN w:val="0"/>
        <w:adjustRightInd w:val="0"/>
        <w:spacing w:after="0" w:line="276" w:lineRule="auto"/>
        <w:jc w:val="center"/>
        <w:rPr>
          <w:rFonts w:ascii="Verdana" w:eastAsia="Times New Roman" w:hAnsi="Verdana" w:cs="Arial"/>
          <w:noProof/>
          <w:lang w:eastAsia="es-MX"/>
        </w:rPr>
      </w:pPr>
    </w:p>
    <w:p w14:paraId="6016A111" w14:textId="77777777" w:rsidR="00B771CE" w:rsidRDefault="00B771CE" w:rsidP="00B771CE">
      <w:pPr>
        <w:autoSpaceDE w:val="0"/>
        <w:autoSpaceDN w:val="0"/>
        <w:adjustRightInd w:val="0"/>
        <w:spacing w:after="0" w:line="276" w:lineRule="auto"/>
        <w:rPr>
          <w:rFonts w:ascii="Verdana" w:eastAsia="Calibri" w:hAnsi="Verdana" w:cs="Arial"/>
          <w:sz w:val="16"/>
          <w:szCs w:val="16"/>
        </w:rPr>
      </w:pPr>
    </w:p>
    <w:p w14:paraId="08FB49FA" w14:textId="77777777" w:rsidR="00B771CE" w:rsidRPr="00B45B4E" w:rsidRDefault="00B771CE" w:rsidP="00B771CE">
      <w:pPr>
        <w:autoSpaceDE w:val="0"/>
        <w:autoSpaceDN w:val="0"/>
        <w:adjustRightInd w:val="0"/>
        <w:spacing w:after="0" w:line="276" w:lineRule="auto"/>
        <w:rPr>
          <w:rFonts w:ascii="Verdana" w:eastAsia="Calibri" w:hAnsi="Verdana" w:cs="Arial"/>
          <w:sz w:val="16"/>
          <w:szCs w:val="16"/>
        </w:rPr>
      </w:pPr>
    </w:p>
    <w:tbl>
      <w:tblPr>
        <w:tblW w:w="522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57"/>
        <w:gridCol w:w="4363"/>
      </w:tblGrid>
      <w:tr w:rsidR="00B771CE" w:rsidRPr="00B45B4E" w14:paraId="68AC5AF0" w14:textId="77777777" w:rsidTr="00F779B6">
        <w:trPr>
          <w:trHeight w:val="315"/>
        </w:trPr>
        <w:tc>
          <w:tcPr>
            <w:tcW w:w="857" w:type="dxa"/>
            <w:tcBorders>
              <w:top w:val="nil"/>
              <w:left w:val="nil"/>
              <w:bottom w:val="nil"/>
              <w:right w:val="nil"/>
            </w:tcBorders>
            <w:shd w:val="clear" w:color="auto" w:fill="auto"/>
            <w:vAlign w:val="center"/>
            <w:hideMark/>
          </w:tcPr>
          <w:p w14:paraId="5F2DF4D9" w14:textId="77777777" w:rsidR="00B771CE" w:rsidRPr="00B45B4E" w:rsidRDefault="00B771CE" w:rsidP="00F779B6">
            <w:pPr>
              <w:autoSpaceDE w:val="0"/>
              <w:autoSpaceDN w:val="0"/>
              <w:adjustRightInd w:val="0"/>
              <w:spacing w:after="0" w:line="240" w:lineRule="auto"/>
              <w:jc w:val="both"/>
              <w:rPr>
                <w:rFonts w:ascii="Verdana" w:eastAsia="Calibri" w:hAnsi="Verdana" w:cs="Arial"/>
                <w:sz w:val="16"/>
                <w:szCs w:val="16"/>
              </w:rPr>
            </w:pPr>
            <w:r w:rsidRPr="00B45B4E">
              <w:rPr>
                <w:rFonts w:ascii="Verdana" w:eastAsia="Calibri" w:hAnsi="Verdana" w:cs="Arial"/>
                <w:sz w:val="16"/>
                <w:szCs w:val="16"/>
              </w:rPr>
              <w:t>Elaboró: </w:t>
            </w:r>
          </w:p>
        </w:tc>
        <w:tc>
          <w:tcPr>
            <w:tcW w:w="4363" w:type="dxa"/>
            <w:tcBorders>
              <w:top w:val="nil"/>
              <w:left w:val="nil"/>
              <w:bottom w:val="dotted" w:sz="6" w:space="0" w:color="7F7F7F" w:themeColor="text1" w:themeTint="80"/>
              <w:right w:val="nil"/>
            </w:tcBorders>
            <w:shd w:val="clear" w:color="auto" w:fill="auto"/>
            <w:vAlign w:val="center"/>
            <w:hideMark/>
          </w:tcPr>
          <w:p w14:paraId="01170359" w14:textId="77777777" w:rsidR="00B771CE" w:rsidRPr="00B45B4E" w:rsidRDefault="00B771CE" w:rsidP="00F779B6">
            <w:pPr>
              <w:spacing w:after="0" w:line="240" w:lineRule="auto"/>
              <w:jc w:val="both"/>
              <w:rPr>
                <w:rFonts w:ascii="Verdana" w:hAnsi="Verdana" w:cs="Arial"/>
                <w:sz w:val="16"/>
                <w:szCs w:val="16"/>
              </w:rPr>
            </w:pPr>
            <w:r w:rsidRPr="00B45B4E">
              <w:rPr>
                <w:rFonts w:ascii="Verdana" w:hAnsi="Verdana" w:cs="Arial"/>
                <w:sz w:val="16"/>
                <w:szCs w:val="16"/>
              </w:rPr>
              <w:t xml:space="preserve">Kelmis Yirama Brugés Alvarado </w:t>
            </w:r>
          </w:p>
          <w:p w14:paraId="6AE830FD" w14:textId="77777777" w:rsidR="00B771CE" w:rsidRPr="00B45B4E" w:rsidRDefault="00B771CE" w:rsidP="00F779B6">
            <w:pPr>
              <w:autoSpaceDE w:val="0"/>
              <w:autoSpaceDN w:val="0"/>
              <w:adjustRightInd w:val="0"/>
              <w:spacing w:after="0" w:line="240" w:lineRule="auto"/>
              <w:jc w:val="both"/>
              <w:rPr>
                <w:rFonts w:ascii="Verdana" w:eastAsia="Calibri" w:hAnsi="Verdana" w:cs="Arial"/>
                <w:sz w:val="16"/>
                <w:szCs w:val="16"/>
              </w:rPr>
            </w:pPr>
            <w:r w:rsidRPr="00B45B4E">
              <w:rPr>
                <w:rFonts w:ascii="Verdana" w:eastAsia="Calibri" w:hAnsi="Verdana" w:cs="Arial"/>
                <w:sz w:val="16"/>
                <w:szCs w:val="16"/>
              </w:rPr>
              <w:t>Analista T2-04 de la Subdirección de Gestión Contractual</w:t>
            </w:r>
          </w:p>
        </w:tc>
      </w:tr>
      <w:tr w:rsidR="00B771CE" w:rsidRPr="00B45B4E" w14:paraId="3C3D0BA9" w14:textId="77777777" w:rsidTr="00F779B6">
        <w:trPr>
          <w:trHeight w:val="315"/>
        </w:trPr>
        <w:tc>
          <w:tcPr>
            <w:tcW w:w="857" w:type="dxa"/>
            <w:tcBorders>
              <w:top w:val="nil"/>
              <w:left w:val="nil"/>
              <w:bottom w:val="nil"/>
              <w:right w:val="nil"/>
            </w:tcBorders>
            <w:shd w:val="clear" w:color="auto" w:fill="auto"/>
            <w:vAlign w:val="center"/>
            <w:hideMark/>
          </w:tcPr>
          <w:p w14:paraId="37298653" w14:textId="77777777" w:rsidR="00B771CE" w:rsidRPr="00B45B4E" w:rsidRDefault="00B771CE" w:rsidP="00F779B6">
            <w:pPr>
              <w:autoSpaceDE w:val="0"/>
              <w:autoSpaceDN w:val="0"/>
              <w:adjustRightInd w:val="0"/>
              <w:spacing w:after="0" w:line="240" w:lineRule="auto"/>
              <w:jc w:val="both"/>
              <w:rPr>
                <w:rFonts w:ascii="Verdana" w:eastAsia="Calibri" w:hAnsi="Verdana" w:cs="Arial"/>
                <w:sz w:val="16"/>
                <w:szCs w:val="16"/>
              </w:rPr>
            </w:pPr>
            <w:r w:rsidRPr="00B45B4E">
              <w:rPr>
                <w:rFonts w:ascii="Verdana" w:eastAsia="Calibri" w:hAnsi="Verdana" w:cs="Arial"/>
                <w:sz w:val="16"/>
                <w:szCs w:val="16"/>
              </w:rPr>
              <w:t>Revisó: </w:t>
            </w:r>
          </w:p>
        </w:tc>
        <w:tc>
          <w:tcPr>
            <w:tcW w:w="4363" w:type="dxa"/>
            <w:tcBorders>
              <w:top w:val="dotted" w:sz="6" w:space="0" w:color="7F7F7F" w:themeColor="text1" w:themeTint="80"/>
              <w:left w:val="nil"/>
              <w:bottom w:val="dotted" w:sz="6" w:space="0" w:color="7F7F7F" w:themeColor="text1" w:themeTint="80"/>
              <w:right w:val="nil"/>
            </w:tcBorders>
            <w:shd w:val="clear" w:color="auto" w:fill="auto"/>
            <w:vAlign w:val="center"/>
            <w:hideMark/>
          </w:tcPr>
          <w:p w14:paraId="4F12EF86" w14:textId="790177D6" w:rsidR="00B771CE" w:rsidRPr="00B45B4E" w:rsidRDefault="00B771CE" w:rsidP="00F779B6">
            <w:pPr>
              <w:spacing w:after="0" w:line="240" w:lineRule="auto"/>
              <w:jc w:val="both"/>
              <w:rPr>
                <w:rFonts w:ascii="Verdana" w:hAnsi="Verdana" w:cs="Arial"/>
                <w:sz w:val="16"/>
                <w:szCs w:val="16"/>
              </w:rPr>
            </w:pPr>
            <w:r>
              <w:rPr>
                <w:rFonts w:ascii="Verdana" w:hAnsi="Verdana" w:cs="Arial"/>
                <w:sz w:val="16"/>
                <w:szCs w:val="16"/>
              </w:rPr>
              <w:t xml:space="preserve">Diana Lucía Saavedra </w:t>
            </w:r>
          </w:p>
          <w:p w14:paraId="247BCB90" w14:textId="77777777" w:rsidR="00B771CE" w:rsidRPr="00B45B4E" w:rsidRDefault="00B771CE" w:rsidP="00F779B6">
            <w:pPr>
              <w:spacing w:after="0" w:line="240" w:lineRule="auto"/>
              <w:jc w:val="both"/>
              <w:rPr>
                <w:rFonts w:ascii="Verdana" w:hAnsi="Verdana" w:cs="Arial"/>
                <w:sz w:val="16"/>
                <w:szCs w:val="16"/>
              </w:rPr>
            </w:pPr>
            <w:r>
              <w:rPr>
                <w:rFonts w:ascii="Verdana" w:eastAsia="Calibri" w:hAnsi="Verdana" w:cs="Arial"/>
                <w:sz w:val="16"/>
                <w:szCs w:val="16"/>
              </w:rPr>
              <w:t>Contratista</w:t>
            </w:r>
            <w:r w:rsidRPr="00B45B4E">
              <w:rPr>
                <w:rFonts w:ascii="Verdana" w:eastAsia="Calibri" w:hAnsi="Verdana" w:cs="Arial"/>
                <w:sz w:val="16"/>
                <w:szCs w:val="16"/>
              </w:rPr>
              <w:t xml:space="preserve"> de la Subdirección de Gestión Contractual</w:t>
            </w:r>
          </w:p>
        </w:tc>
      </w:tr>
      <w:tr w:rsidR="00B771CE" w:rsidRPr="00B45B4E" w14:paraId="38F8CE99" w14:textId="77777777" w:rsidTr="00F779B6">
        <w:trPr>
          <w:trHeight w:val="300"/>
        </w:trPr>
        <w:tc>
          <w:tcPr>
            <w:tcW w:w="857" w:type="dxa"/>
            <w:tcBorders>
              <w:top w:val="nil"/>
              <w:left w:val="nil"/>
              <w:bottom w:val="nil"/>
              <w:right w:val="nil"/>
            </w:tcBorders>
            <w:shd w:val="clear" w:color="auto" w:fill="auto"/>
            <w:vAlign w:val="center"/>
            <w:hideMark/>
          </w:tcPr>
          <w:p w14:paraId="0CF51CA7" w14:textId="77777777" w:rsidR="00B771CE" w:rsidRPr="00B45B4E" w:rsidRDefault="00B771CE" w:rsidP="00F779B6">
            <w:pPr>
              <w:autoSpaceDE w:val="0"/>
              <w:autoSpaceDN w:val="0"/>
              <w:adjustRightInd w:val="0"/>
              <w:spacing w:after="0" w:line="240" w:lineRule="auto"/>
              <w:jc w:val="both"/>
              <w:rPr>
                <w:rFonts w:ascii="Verdana" w:eastAsia="Calibri" w:hAnsi="Verdana" w:cs="Arial"/>
                <w:sz w:val="16"/>
                <w:szCs w:val="16"/>
              </w:rPr>
            </w:pPr>
            <w:r w:rsidRPr="00B45B4E">
              <w:rPr>
                <w:rFonts w:ascii="Verdana" w:eastAsia="Calibri" w:hAnsi="Verdana" w:cs="Arial"/>
                <w:sz w:val="16"/>
                <w:szCs w:val="16"/>
              </w:rPr>
              <w:t>Aprobó: </w:t>
            </w:r>
          </w:p>
        </w:tc>
        <w:tc>
          <w:tcPr>
            <w:tcW w:w="4363" w:type="dxa"/>
            <w:tcBorders>
              <w:top w:val="dotted" w:sz="6" w:space="0" w:color="7F7F7F" w:themeColor="text1" w:themeTint="80"/>
              <w:left w:val="nil"/>
              <w:bottom w:val="dotted" w:sz="6" w:space="0" w:color="7F7F7F" w:themeColor="text1" w:themeTint="80"/>
              <w:right w:val="nil"/>
            </w:tcBorders>
            <w:shd w:val="clear" w:color="auto" w:fill="auto"/>
            <w:vAlign w:val="center"/>
            <w:hideMark/>
          </w:tcPr>
          <w:p w14:paraId="3258E65F" w14:textId="77777777" w:rsidR="00B771CE" w:rsidRPr="00B45B4E" w:rsidRDefault="00B771CE" w:rsidP="00F779B6">
            <w:pPr>
              <w:autoSpaceDE w:val="0"/>
              <w:autoSpaceDN w:val="0"/>
              <w:adjustRightInd w:val="0"/>
              <w:spacing w:after="0" w:line="240" w:lineRule="auto"/>
              <w:jc w:val="both"/>
              <w:rPr>
                <w:rFonts w:ascii="Verdana" w:eastAsia="Calibri" w:hAnsi="Verdana" w:cs="Arial"/>
                <w:sz w:val="16"/>
                <w:szCs w:val="16"/>
              </w:rPr>
            </w:pPr>
            <w:r w:rsidRPr="00B45B4E">
              <w:rPr>
                <w:rFonts w:ascii="Verdana" w:eastAsia="Calibri" w:hAnsi="Verdana" w:cs="Arial"/>
                <w:sz w:val="16"/>
                <w:szCs w:val="16"/>
              </w:rPr>
              <w:t>Carolina Quintero Gacharná</w:t>
            </w:r>
          </w:p>
          <w:p w14:paraId="178A8ABA" w14:textId="77777777" w:rsidR="00B771CE" w:rsidRPr="00B45B4E" w:rsidRDefault="00B771CE" w:rsidP="00F779B6">
            <w:pPr>
              <w:autoSpaceDE w:val="0"/>
              <w:autoSpaceDN w:val="0"/>
              <w:adjustRightInd w:val="0"/>
              <w:spacing w:after="0" w:line="240" w:lineRule="auto"/>
              <w:jc w:val="both"/>
              <w:rPr>
                <w:rFonts w:ascii="Verdana" w:eastAsia="Calibri" w:hAnsi="Verdana" w:cs="Arial"/>
                <w:sz w:val="16"/>
                <w:szCs w:val="16"/>
              </w:rPr>
            </w:pPr>
            <w:r w:rsidRPr="00B45B4E">
              <w:rPr>
                <w:rFonts w:ascii="Verdana" w:eastAsia="Calibri" w:hAnsi="Verdana" w:cs="Arial"/>
                <w:sz w:val="16"/>
                <w:szCs w:val="16"/>
              </w:rPr>
              <w:t xml:space="preserve">Subdirectora de Gestión Contractual </w:t>
            </w:r>
          </w:p>
        </w:tc>
      </w:tr>
    </w:tbl>
    <w:p w14:paraId="3C1A92EF" w14:textId="77777777" w:rsidR="00B771CE" w:rsidRPr="00575692" w:rsidRDefault="00B771CE" w:rsidP="00B771CE">
      <w:pPr>
        <w:spacing w:after="0"/>
        <w:jc w:val="both"/>
        <w:rPr>
          <w:rFonts w:ascii="Verdana" w:hAnsi="Verdana"/>
        </w:rPr>
      </w:pPr>
    </w:p>
    <w:p w14:paraId="38B02BFA" w14:textId="77777777" w:rsidR="00B771CE" w:rsidRPr="004F01C2" w:rsidRDefault="00B771CE" w:rsidP="00B771CE">
      <w:pPr>
        <w:spacing w:after="0"/>
        <w:jc w:val="both"/>
        <w:rPr>
          <w:rFonts w:ascii="Verdana" w:hAnsi="Verdana"/>
          <w:b/>
          <w:bCs/>
        </w:rPr>
      </w:pPr>
    </w:p>
    <w:sectPr w:rsidR="00B771CE" w:rsidRPr="004F01C2" w:rsidSect="007C0C0F">
      <w:headerReference w:type="default" r:id="rId14"/>
      <w:footerReference w:type="default" r:id="rId15"/>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9504BC" w14:textId="77777777" w:rsidR="00802891" w:rsidRDefault="00802891" w:rsidP="004A1847">
      <w:pPr>
        <w:spacing w:after="0" w:line="240" w:lineRule="auto"/>
      </w:pPr>
      <w:r>
        <w:separator/>
      </w:r>
    </w:p>
  </w:endnote>
  <w:endnote w:type="continuationSeparator" w:id="0">
    <w:p w14:paraId="7B309523" w14:textId="77777777" w:rsidR="00802891" w:rsidRDefault="00802891"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ArialMT">
    <w:altName w:val="Klee One"/>
    <w:panose1 w:val="00000000000000000000"/>
    <w:charset w:val="80"/>
    <w:family w:val="auto"/>
    <w:notTrueType/>
    <w:pitch w:val="default"/>
    <w:sig w:usb0="00000003" w:usb1="08070000" w:usb2="00000010" w:usb3="00000000" w:csb0="00020001" w:csb1="00000000"/>
  </w:font>
  <w:font w:name="Geomanist Bold">
    <w:altName w:val="Calibri"/>
    <w:panose1 w:val="00000000000000000000"/>
    <w:charset w:val="00"/>
    <w:family w:val="modern"/>
    <w:notTrueType/>
    <w:pitch w:val="variable"/>
    <w:sig w:usb0="A000002F" w:usb1="1000004A" w:usb2="00000000" w:usb3="00000000" w:csb0="00000193" w:csb1="00000000"/>
  </w:font>
  <w:font w:name="Century Gothic">
    <w:altName w:val="Century Gothic"/>
    <w:panose1 w:val="020B0502020202020204"/>
    <w:charset w:val="00"/>
    <w:family w:val="swiss"/>
    <w:pitch w:val="variable"/>
    <w:sig w:usb0="00000287" w:usb1="00000000" w:usb2="00000000" w:usb3="00000000" w:csb0="0000009F"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EC0C82" w14:textId="77777777" w:rsidR="00802891" w:rsidRDefault="00802891" w:rsidP="004A1847">
      <w:pPr>
        <w:spacing w:after="0" w:line="240" w:lineRule="auto"/>
      </w:pPr>
      <w:r>
        <w:separator/>
      </w:r>
    </w:p>
  </w:footnote>
  <w:footnote w:type="continuationSeparator" w:id="0">
    <w:p w14:paraId="795F1BBB" w14:textId="77777777" w:rsidR="00802891" w:rsidRDefault="00802891" w:rsidP="004A1847">
      <w:pPr>
        <w:spacing w:after="0" w:line="240" w:lineRule="auto"/>
      </w:pPr>
      <w:r>
        <w:continuationSeparator/>
      </w:r>
    </w:p>
  </w:footnote>
  <w:footnote w:id="1">
    <w:p w14:paraId="6951131A" w14:textId="1C50ED55" w:rsidR="0024208F" w:rsidRPr="0024208F" w:rsidRDefault="0024208F" w:rsidP="0024208F">
      <w:pPr>
        <w:spacing w:before="87" w:line="247" w:lineRule="auto"/>
        <w:ind w:right="309"/>
        <w:jc w:val="both"/>
        <w:rPr>
          <w:rFonts w:ascii="Verdana" w:hAnsi="Verdana"/>
          <w:sz w:val="16"/>
          <w:szCs w:val="16"/>
        </w:rPr>
      </w:pPr>
      <w:r w:rsidRPr="0024208F">
        <w:rPr>
          <w:rStyle w:val="Refdenotaalpie"/>
          <w:rFonts w:ascii="Verdana" w:hAnsi="Verdana" w:cs="Arial"/>
          <w:sz w:val="16"/>
          <w:szCs w:val="16"/>
        </w:rPr>
        <w:footnoteRef/>
      </w:r>
      <w:r w:rsidRPr="0024208F">
        <w:rPr>
          <w:rFonts w:ascii="Verdana" w:hAnsi="Verdana"/>
          <w:sz w:val="16"/>
          <w:szCs w:val="16"/>
        </w:rPr>
        <w:t xml:space="preserve"> Código de Comercio, artículo 26: “El registro mercantil tendrá por objeto llevar la matrícula de los comerciantes y de los establecimientos de comercio, así como la inscripción de todos los actos, libros y documentos respecto de los cuales la ley exigiere esa formalidad”</w:t>
      </w:r>
    </w:p>
  </w:footnote>
  <w:footnote w:id="2">
    <w:p w14:paraId="6656BA10" w14:textId="77777777" w:rsidR="0024208F" w:rsidRPr="0024208F" w:rsidRDefault="0024208F" w:rsidP="0024208F">
      <w:pPr>
        <w:spacing w:before="3" w:line="254" w:lineRule="auto"/>
        <w:ind w:right="312"/>
        <w:jc w:val="both"/>
        <w:rPr>
          <w:rFonts w:ascii="Verdana" w:hAnsi="Verdana"/>
          <w:sz w:val="16"/>
          <w:szCs w:val="16"/>
        </w:rPr>
      </w:pPr>
      <w:r w:rsidRPr="0024208F">
        <w:rPr>
          <w:rStyle w:val="Refdenotaalpie"/>
          <w:rFonts w:ascii="Verdana" w:hAnsi="Verdana" w:cs="Arial"/>
          <w:sz w:val="16"/>
          <w:szCs w:val="16"/>
        </w:rPr>
        <w:footnoteRef/>
      </w:r>
      <w:r w:rsidRPr="0024208F">
        <w:rPr>
          <w:rFonts w:ascii="Verdana" w:hAnsi="Verdana"/>
          <w:sz w:val="16"/>
          <w:szCs w:val="16"/>
        </w:rPr>
        <w:t xml:space="preserve"> Código de Comercio: “Artículo 10. Son comerciantes las personas que profesionalmente se ocupan en alguna de las actividades que la ley considera mercantiles.</w:t>
      </w:r>
    </w:p>
    <w:p w14:paraId="5EB53453" w14:textId="77777777" w:rsidR="0024208F" w:rsidRPr="0024208F" w:rsidRDefault="0024208F" w:rsidP="0024208F">
      <w:pPr>
        <w:rPr>
          <w:rFonts w:ascii="Verdana" w:hAnsi="Verdana"/>
          <w:sz w:val="16"/>
          <w:szCs w:val="16"/>
        </w:rPr>
      </w:pPr>
      <w:r w:rsidRPr="0024208F">
        <w:rPr>
          <w:rFonts w:ascii="Verdana" w:hAnsi="Verdana"/>
          <w:sz w:val="16"/>
          <w:szCs w:val="16"/>
        </w:rPr>
        <w:t>“La calidad de comerciante se adquiere aunque la actividad mercantil se ejerza por medio de apoderado, intermediario o interpuesta persona”.</w:t>
      </w:r>
    </w:p>
    <w:p w14:paraId="68A5388E" w14:textId="77777777" w:rsidR="0024208F" w:rsidRPr="00300539" w:rsidRDefault="0024208F" w:rsidP="00300539">
      <w:pPr>
        <w:ind w:left="300"/>
        <w:jc w:val="both"/>
        <w:rPr>
          <w:rFonts w:ascii="Verdana" w:hAnsi="Verdana"/>
          <w:sz w:val="16"/>
          <w:szCs w:val="16"/>
        </w:rPr>
      </w:pPr>
    </w:p>
  </w:footnote>
  <w:footnote w:id="3">
    <w:p w14:paraId="7B1BAB8B" w14:textId="77777777" w:rsidR="00300539" w:rsidRPr="00300539" w:rsidRDefault="00300539" w:rsidP="00300539">
      <w:pPr>
        <w:pStyle w:val="Textonotapie"/>
        <w:jc w:val="both"/>
        <w:rPr>
          <w:rFonts w:ascii="Verdana" w:hAnsi="Verdana"/>
          <w:sz w:val="16"/>
          <w:szCs w:val="16"/>
        </w:rPr>
      </w:pPr>
      <w:r w:rsidRPr="00300539">
        <w:rPr>
          <w:rStyle w:val="Refdenotaalpie"/>
          <w:rFonts w:ascii="Verdana" w:hAnsi="Verdana" w:cs="Arial"/>
          <w:sz w:val="16"/>
          <w:szCs w:val="16"/>
        </w:rPr>
        <w:footnoteRef/>
      </w:r>
      <w:r w:rsidRPr="00300539">
        <w:rPr>
          <w:rFonts w:ascii="Verdana" w:hAnsi="Verdana"/>
          <w:sz w:val="16"/>
          <w:szCs w:val="16"/>
        </w:rPr>
        <w:t xml:space="preserve"> Código de Comercio: “artículo 23: No son mercantiles:</w:t>
      </w:r>
    </w:p>
    <w:p w14:paraId="6F90EED3" w14:textId="77777777" w:rsidR="00300539" w:rsidRPr="00300539" w:rsidRDefault="00300539" w:rsidP="00300539">
      <w:pPr>
        <w:pStyle w:val="Textonotapie"/>
        <w:jc w:val="both"/>
        <w:rPr>
          <w:rFonts w:ascii="Verdana" w:hAnsi="Verdana"/>
          <w:sz w:val="16"/>
          <w:szCs w:val="16"/>
        </w:rPr>
      </w:pPr>
    </w:p>
    <w:p w14:paraId="26271442" w14:textId="77777777" w:rsidR="00300539" w:rsidRPr="00300539" w:rsidRDefault="00300539" w:rsidP="00300539">
      <w:pPr>
        <w:pStyle w:val="Textonotapie"/>
        <w:jc w:val="both"/>
        <w:rPr>
          <w:rFonts w:ascii="Verdana" w:hAnsi="Verdana"/>
          <w:sz w:val="16"/>
          <w:szCs w:val="16"/>
        </w:rPr>
      </w:pPr>
      <w:r w:rsidRPr="00300539">
        <w:rPr>
          <w:rFonts w:ascii="Verdana" w:hAnsi="Verdana"/>
          <w:sz w:val="16"/>
          <w:szCs w:val="16"/>
        </w:rPr>
        <w:t>“1) La adquisición de bienes con destino al consumo doméstico o al uso del adquirente, y la enajenación de los mismos o de los sobrantes;</w:t>
      </w:r>
    </w:p>
    <w:p w14:paraId="4440E857" w14:textId="77777777" w:rsidR="00300539" w:rsidRPr="00300539" w:rsidRDefault="00300539" w:rsidP="00300539">
      <w:pPr>
        <w:pStyle w:val="Textonotapie"/>
        <w:jc w:val="both"/>
        <w:rPr>
          <w:rFonts w:ascii="Verdana" w:hAnsi="Verdana"/>
          <w:sz w:val="16"/>
          <w:szCs w:val="16"/>
        </w:rPr>
      </w:pPr>
      <w:r w:rsidRPr="00300539">
        <w:rPr>
          <w:rFonts w:ascii="Verdana" w:hAnsi="Verdana"/>
          <w:sz w:val="16"/>
          <w:szCs w:val="16"/>
        </w:rPr>
        <w:t>“2) La adquisición de bienes para producir obras artísticas y la enajenación de éstas por su autor; “3) Las adquisiciones hechas por funcionarios o empleados para fines de servicio público;</w:t>
      </w:r>
    </w:p>
    <w:p w14:paraId="091E2C92" w14:textId="77777777" w:rsidR="00300539" w:rsidRPr="00300539" w:rsidRDefault="00300539" w:rsidP="00300539">
      <w:pPr>
        <w:spacing w:before="94"/>
        <w:ind w:right="312"/>
        <w:jc w:val="both"/>
        <w:rPr>
          <w:rFonts w:ascii="Verdana" w:hAnsi="Verdana"/>
          <w:sz w:val="16"/>
          <w:szCs w:val="16"/>
        </w:rPr>
      </w:pPr>
      <w:r w:rsidRPr="00300539">
        <w:rPr>
          <w:rFonts w:ascii="Verdana" w:hAnsi="Verdana"/>
          <w:sz w:val="16"/>
          <w:szCs w:val="16"/>
        </w:rPr>
        <w:t>“4) Las enajenaciones que hagan directamente los agricultores o ganaderos de los frutos de sus cosechas o ganados, en su estado natural. Tampoco serán mercantiles las actividades de transformación de tales frutos que efectúen los agricultores o ganaderos, siempre y cuando que dicha transformación no constituya por sí misma una empresa, y</w:t>
      </w:r>
    </w:p>
    <w:p w14:paraId="65A0A425" w14:textId="77777777" w:rsidR="00300539" w:rsidRPr="00AE706F" w:rsidRDefault="00300539" w:rsidP="00300539">
      <w:pPr>
        <w:pStyle w:val="Textoindependiente"/>
        <w:rPr>
          <w:sz w:val="18"/>
        </w:rPr>
      </w:pPr>
    </w:p>
    <w:p w14:paraId="701D434D" w14:textId="02E9BA63" w:rsidR="00300539" w:rsidRPr="00300539" w:rsidRDefault="00300539" w:rsidP="00300539">
      <w:pPr>
        <w:jc w:val="both"/>
        <w:rPr>
          <w:rFonts w:ascii="Verdana" w:hAnsi="Verdana"/>
          <w:sz w:val="16"/>
          <w:szCs w:val="16"/>
        </w:rPr>
      </w:pPr>
      <w:r w:rsidRPr="00300539">
        <w:rPr>
          <w:rFonts w:ascii="Verdana" w:hAnsi="Verdana"/>
          <w:sz w:val="16"/>
          <w:szCs w:val="16"/>
        </w:rPr>
        <w:t>“5) La prestación de servicios inherentes a las profesiones</w:t>
      </w:r>
      <w:r w:rsidRPr="00300539">
        <w:rPr>
          <w:rFonts w:ascii="Verdana" w:hAnsi="Verdana"/>
          <w:spacing w:val="-9"/>
          <w:sz w:val="16"/>
          <w:szCs w:val="16"/>
        </w:rPr>
        <w:t xml:space="preserve"> </w:t>
      </w:r>
      <w:r w:rsidRPr="00300539">
        <w:rPr>
          <w:rFonts w:ascii="Verdana" w:hAnsi="Verdana"/>
          <w:sz w:val="16"/>
          <w:szCs w:val="16"/>
        </w:rPr>
        <w:t>liberales”.</w:t>
      </w:r>
    </w:p>
  </w:footnote>
  <w:footnote w:id="4">
    <w:p w14:paraId="2DABD14B" w14:textId="77777777" w:rsidR="00300539" w:rsidRPr="00300539" w:rsidRDefault="00300539" w:rsidP="00300539">
      <w:pPr>
        <w:spacing w:line="254" w:lineRule="auto"/>
        <w:ind w:right="122"/>
        <w:rPr>
          <w:rFonts w:ascii="Verdana" w:hAnsi="Verdana"/>
          <w:sz w:val="16"/>
          <w:szCs w:val="16"/>
        </w:rPr>
      </w:pPr>
      <w:r w:rsidRPr="00300539">
        <w:rPr>
          <w:rStyle w:val="Refdenotaalpie"/>
          <w:rFonts w:ascii="Verdana" w:hAnsi="Verdana" w:cs="Arial"/>
          <w:sz w:val="16"/>
          <w:szCs w:val="16"/>
        </w:rPr>
        <w:footnoteRef/>
      </w:r>
      <w:r w:rsidRPr="00300539">
        <w:rPr>
          <w:rFonts w:ascii="Verdana" w:hAnsi="Verdana"/>
          <w:sz w:val="16"/>
          <w:szCs w:val="16"/>
        </w:rPr>
        <w:t xml:space="preserve"> Consejo de Estado, Sección cuarta, sentencia con radicado 11001-03-27-000-2010-00051-00(18578) del 2 de agosto de 2012, Consejero Ponente William Giraldo</w:t>
      </w:r>
      <w:r w:rsidRPr="00300539">
        <w:rPr>
          <w:rFonts w:ascii="Verdana" w:hAnsi="Verdana"/>
          <w:spacing w:val="-18"/>
          <w:sz w:val="16"/>
          <w:szCs w:val="16"/>
        </w:rPr>
        <w:t xml:space="preserve"> </w:t>
      </w:r>
      <w:proofErr w:type="spellStart"/>
      <w:r w:rsidRPr="00300539">
        <w:rPr>
          <w:rFonts w:ascii="Verdana" w:hAnsi="Verdana"/>
          <w:sz w:val="16"/>
          <w:szCs w:val="16"/>
        </w:rPr>
        <w:t>Giraldo</w:t>
      </w:r>
      <w:proofErr w:type="spellEnd"/>
      <w:r w:rsidRPr="00300539">
        <w:rPr>
          <w:rFonts w:ascii="Verdana" w:hAnsi="Verdana"/>
          <w:sz w:val="16"/>
          <w:szCs w:val="16"/>
        </w:rPr>
        <w:t>.</w:t>
      </w:r>
    </w:p>
    <w:p w14:paraId="3388E883" w14:textId="77777777" w:rsidR="00300539" w:rsidRDefault="00300539" w:rsidP="00300539">
      <w:pPr>
        <w:spacing w:line="254" w:lineRule="auto"/>
        <w:ind w:left="300" w:right="122" w:firstLine="707"/>
      </w:pPr>
    </w:p>
  </w:footnote>
  <w:footnote w:id="5">
    <w:p w14:paraId="264CC142" w14:textId="77777777" w:rsidR="00300539" w:rsidRPr="00300539" w:rsidRDefault="00300539" w:rsidP="00300539">
      <w:pPr>
        <w:spacing w:before="89"/>
        <w:rPr>
          <w:rFonts w:ascii="Verdana" w:hAnsi="Verdana"/>
          <w:sz w:val="16"/>
          <w:szCs w:val="16"/>
        </w:rPr>
      </w:pPr>
      <w:r w:rsidRPr="00300539">
        <w:rPr>
          <w:rStyle w:val="Refdenotaalpie"/>
          <w:rFonts w:ascii="Verdana" w:hAnsi="Verdana" w:cs="Arial"/>
          <w:sz w:val="16"/>
          <w:szCs w:val="16"/>
        </w:rPr>
        <w:footnoteRef/>
      </w:r>
      <w:r w:rsidRPr="00300539">
        <w:rPr>
          <w:rFonts w:ascii="Verdana" w:hAnsi="Verdana"/>
          <w:sz w:val="16"/>
          <w:szCs w:val="16"/>
        </w:rPr>
        <w:t xml:space="preserve"> Corte Constitucional. Sentencia C-621 de 2003. M.P. Marco Gerardo Monroy Cabra.</w:t>
      </w:r>
    </w:p>
    <w:p w14:paraId="699EC862" w14:textId="77777777" w:rsidR="00300539" w:rsidRDefault="00300539" w:rsidP="00300539">
      <w:pPr>
        <w:spacing w:before="89"/>
        <w:ind w:left="1008"/>
      </w:pPr>
    </w:p>
  </w:footnote>
  <w:footnote w:id="6">
    <w:p w14:paraId="0B7A356A" w14:textId="77777777" w:rsidR="00300539" w:rsidRPr="00180234" w:rsidRDefault="00300539" w:rsidP="00300539">
      <w:pPr>
        <w:pStyle w:val="Textonotapie"/>
        <w:rPr>
          <w:rFonts w:ascii="Verdana" w:hAnsi="Verdana"/>
          <w:sz w:val="16"/>
          <w:szCs w:val="16"/>
        </w:rPr>
      </w:pPr>
      <w:r w:rsidRPr="00180234">
        <w:rPr>
          <w:rStyle w:val="Refdenotaalpie"/>
          <w:rFonts w:ascii="Verdana" w:hAnsi="Verdana" w:cs="Arial"/>
          <w:sz w:val="16"/>
          <w:szCs w:val="16"/>
        </w:rPr>
        <w:footnoteRef/>
      </w:r>
      <w:r w:rsidRPr="00180234">
        <w:rPr>
          <w:rFonts w:ascii="Verdana" w:hAnsi="Verdana"/>
          <w:sz w:val="16"/>
          <w:szCs w:val="16"/>
        </w:rPr>
        <w:t xml:space="preserve"> Decreto 2153 de 1992, “artículo 11(…) 5. Imponer a las personas que ejerzan profesionalmente el comercio, sin estar matriculadas en el registro mercantil, multas hasta el equivalente de diecisiete (17) salarios mínimos mensuales legales vigentes al momento de la imposición de la sanción”.</w:t>
      </w:r>
    </w:p>
  </w:footnote>
  <w:footnote w:id="7">
    <w:p w14:paraId="6A5FE6DE" w14:textId="77777777" w:rsidR="00300539" w:rsidRPr="00180234" w:rsidRDefault="00300539" w:rsidP="00300539">
      <w:pPr>
        <w:spacing w:before="82" w:line="237" w:lineRule="auto"/>
        <w:ind w:right="313"/>
        <w:jc w:val="both"/>
        <w:rPr>
          <w:rFonts w:ascii="Verdana" w:hAnsi="Verdana"/>
          <w:sz w:val="16"/>
          <w:szCs w:val="16"/>
        </w:rPr>
      </w:pPr>
      <w:r w:rsidRPr="00180234">
        <w:rPr>
          <w:rStyle w:val="Refdenotaalpie"/>
          <w:rFonts w:ascii="Verdana" w:hAnsi="Verdana" w:cs="Arial"/>
          <w:sz w:val="16"/>
          <w:szCs w:val="16"/>
        </w:rPr>
        <w:footnoteRef/>
      </w:r>
      <w:r w:rsidRPr="00180234">
        <w:rPr>
          <w:rFonts w:ascii="Verdana" w:hAnsi="Verdana"/>
          <w:sz w:val="16"/>
          <w:szCs w:val="16"/>
        </w:rPr>
        <w:t xml:space="preserve"> Ley 80 de 1993. “Artículo 6. De la capacidad para contratar. Pueden celebrar contratos con las entidades estatales las personas consideradas legalmente capaces en las disposiciones vigentes. También podrán celebrar contratos con las entidades estatales, los consorcios y uniones temporales”.</w:t>
      </w:r>
    </w:p>
    <w:p w14:paraId="7C28B7CC" w14:textId="77777777" w:rsidR="00300539" w:rsidRDefault="00300539" w:rsidP="00300539">
      <w:pPr>
        <w:spacing w:before="82" w:line="237" w:lineRule="auto"/>
        <w:ind w:left="300" w:right="313" w:firstLine="707"/>
        <w:jc w:val="both"/>
      </w:pPr>
    </w:p>
  </w:footnote>
  <w:footnote w:id="8">
    <w:p w14:paraId="1C4104B1" w14:textId="77777777" w:rsidR="00A967B7" w:rsidRDefault="00A967B7" w:rsidP="00A967B7">
      <w:pPr>
        <w:pStyle w:val="Textonotapie"/>
        <w:ind w:firstLine="708"/>
        <w:jc w:val="both"/>
      </w:pPr>
      <w:r w:rsidRPr="00C62A26">
        <w:rPr>
          <w:rFonts w:ascii="Arial" w:hAnsi="Arial" w:cs="Arial"/>
          <w:sz w:val="19"/>
          <w:szCs w:val="19"/>
          <w:vertAlign w:val="superscript"/>
        </w:rPr>
        <w:footnoteRef/>
      </w:r>
      <w:r w:rsidRPr="00C62A26">
        <w:rPr>
          <w:rFonts w:ascii="Arial" w:hAnsi="Arial" w:cs="Arial"/>
          <w:sz w:val="19"/>
          <w:szCs w:val="19"/>
        </w:rPr>
        <w:t xml:space="preserve"> </w:t>
      </w:r>
      <w:r w:rsidRPr="00C62A26">
        <w:rPr>
          <w:rFonts w:ascii="Arial" w:hAnsi="Arial" w:cs="Arial"/>
          <w:sz w:val="19"/>
          <w:szCs w:val="19"/>
          <w:lang w:val="es-CO"/>
        </w:rPr>
        <w:t xml:space="preserve">EXPÓSITO VÉLEZ, Juan Carlos. Forma y contenido del contrato estatal. Bogotá: Universidad Externado de Colombia, 2013. p. 112.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62336"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4144"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1FD1C243" w14:textId="6D74A3CF" w:rsidR="008A446D" w:rsidRPr="00106774" w:rsidRDefault="008A446D" w:rsidP="00061B2A">
    <w:pPr>
      <w:pStyle w:val="Encabezado"/>
      <w:spacing w:line="120" w:lineRule="auto"/>
      <w:rPr>
        <w:b/>
        <w:bC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mc:AlternateContent>
      <mc:Choice Requires="v">
        <w:pict>
          <v:shapetype w14:anchorId="41B79DD8"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390618567" o:spid="_x0000_i1025" type="#_x0000_t75" style="width:11.2pt;height:11.2pt;visibility:visible;mso-wrap-style:square">
            <v:imagedata r:id="rId1" o:title=""/>
          </v:shape>
        </w:pict>
      </mc:Choice>
      <mc:Fallback>
        <w:drawing>
          <wp:inline distT="0" distB="0" distL="0" distR="0" wp14:anchorId="56BEB651" wp14:editId="6D651618">
            <wp:extent cx="142240" cy="142240"/>
            <wp:effectExtent l="0" t="0" r="0" b="0"/>
            <wp:docPr id="390618567" name="Imagen 3906185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42240" cy="142240"/>
                    </a:xfrm>
                    <a:prstGeom prst="rect">
                      <a:avLst/>
                    </a:prstGeom>
                    <a:noFill/>
                    <a:ln>
                      <a:noFill/>
                    </a:ln>
                  </pic:spPr>
                </pic:pic>
              </a:graphicData>
            </a:graphic>
          </wp:inline>
        </w:drawing>
      </mc:Fallback>
    </mc:AlternateContent>
  </w:numPicBullet>
  <w:abstractNum w:abstractNumId="0" w15:restartNumberingAfterBreak="0">
    <w:nsid w:val="01C06310"/>
    <w:multiLevelType w:val="multilevel"/>
    <w:tmpl w:val="FFFFFFFF"/>
    <w:lvl w:ilvl="0">
      <w:start w:val="1"/>
      <w:numFmt w:val="decimal"/>
      <w:lvlText w:val="%1."/>
      <w:lvlJc w:val="left"/>
      <w:pPr>
        <w:ind w:left="6601" w:hanging="360"/>
      </w:pPr>
      <w:rPr>
        <w:rFonts w:cs="Times New Roman"/>
        <w:b/>
        <w:color w:val="000000" w:themeColor="text1"/>
      </w:rPr>
    </w:lvl>
    <w:lvl w:ilvl="1">
      <w:start w:val="2"/>
      <w:numFmt w:val="decimal"/>
      <w:isLgl/>
      <w:lvlText w:val="%1.%2"/>
      <w:lvlJc w:val="left"/>
      <w:pPr>
        <w:ind w:left="6241" w:hanging="360"/>
      </w:pPr>
      <w:rPr>
        <w:rFonts w:cs="Times New Roman"/>
      </w:rPr>
    </w:lvl>
    <w:lvl w:ilvl="2">
      <w:start w:val="1"/>
      <w:numFmt w:val="decimal"/>
      <w:isLgl/>
      <w:lvlText w:val="%1.%2.%3"/>
      <w:lvlJc w:val="left"/>
      <w:pPr>
        <w:ind w:left="6961" w:hanging="720"/>
      </w:pPr>
      <w:rPr>
        <w:rFonts w:cs="Times New Roman"/>
      </w:rPr>
    </w:lvl>
    <w:lvl w:ilvl="3">
      <w:start w:val="1"/>
      <w:numFmt w:val="decimal"/>
      <w:isLgl/>
      <w:lvlText w:val="%1.%2.%3.%4"/>
      <w:lvlJc w:val="left"/>
      <w:pPr>
        <w:ind w:left="6961" w:hanging="720"/>
      </w:pPr>
      <w:rPr>
        <w:rFonts w:cs="Times New Roman"/>
      </w:rPr>
    </w:lvl>
    <w:lvl w:ilvl="4">
      <w:start w:val="1"/>
      <w:numFmt w:val="decimal"/>
      <w:isLgl/>
      <w:lvlText w:val="%1.%2.%3.%4.%5"/>
      <w:lvlJc w:val="left"/>
      <w:pPr>
        <w:ind w:left="7321" w:hanging="1080"/>
      </w:pPr>
      <w:rPr>
        <w:rFonts w:cs="Times New Roman"/>
      </w:rPr>
    </w:lvl>
    <w:lvl w:ilvl="5">
      <w:start w:val="1"/>
      <w:numFmt w:val="decimal"/>
      <w:isLgl/>
      <w:lvlText w:val="%1.%2.%3.%4.%5.%6"/>
      <w:lvlJc w:val="left"/>
      <w:pPr>
        <w:ind w:left="7321" w:hanging="1080"/>
      </w:pPr>
      <w:rPr>
        <w:rFonts w:cs="Times New Roman"/>
      </w:rPr>
    </w:lvl>
    <w:lvl w:ilvl="6">
      <w:start w:val="1"/>
      <w:numFmt w:val="decimal"/>
      <w:isLgl/>
      <w:lvlText w:val="%1.%2.%3.%4.%5.%6.%7"/>
      <w:lvlJc w:val="left"/>
      <w:pPr>
        <w:ind w:left="7681" w:hanging="1440"/>
      </w:pPr>
      <w:rPr>
        <w:rFonts w:cs="Times New Roman"/>
      </w:rPr>
    </w:lvl>
    <w:lvl w:ilvl="7">
      <w:start w:val="1"/>
      <w:numFmt w:val="decimal"/>
      <w:isLgl/>
      <w:lvlText w:val="%1.%2.%3.%4.%5.%6.%7.%8"/>
      <w:lvlJc w:val="left"/>
      <w:pPr>
        <w:ind w:left="7681" w:hanging="1440"/>
      </w:pPr>
      <w:rPr>
        <w:rFonts w:cs="Times New Roman"/>
      </w:rPr>
    </w:lvl>
    <w:lvl w:ilvl="8">
      <w:start w:val="1"/>
      <w:numFmt w:val="decimal"/>
      <w:isLgl/>
      <w:lvlText w:val="%1.%2.%3.%4.%5.%6.%7.%8.%9"/>
      <w:lvlJc w:val="left"/>
      <w:pPr>
        <w:ind w:left="8041" w:hanging="1800"/>
      </w:pPr>
      <w:rPr>
        <w:rFonts w:cs="Times New Roman"/>
      </w:r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09A666EF"/>
    <w:multiLevelType w:val="hybridMultilevel"/>
    <w:tmpl w:val="670C9B42"/>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7805ACB"/>
    <w:multiLevelType w:val="hybridMultilevel"/>
    <w:tmpl w:val="AE1C11E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6"/>
  </w:num>
  <w:num w:numId="8" w16cid:durableId="152644682">
    <w:abstractNumId w:val="13"/>
  </w:num>
  <w:num w:numId="9" w16cid:durableId="1317221377">
    <w:abstractNumId w:val="8"/>
  </w:num>
  <w:num w:numId="10" w16cid:durableId="1471245386">
    <w:abstractNumId w:val="12"/>
  </w:num>
  <w:num w:numId="11" w16cid:durableId="289172385">
    <w:abstractNumId w:val="9"/>
  </w:num>
  <w:num w:numId="12" w16cid:durableId="1470781324">
    <w:abstractNumId w:val="1"/>
  </w:num>
  <w:num w:numId="13" w16cid:durableId="1512908409">
    <w:abstractNumId w:val="4"/>
  </w:num>
  <w:num w:numId="14" w16cid:durableId="895897244">
    <w:abstractNumId w:val="15"/>
  </w:num>
  <w:num w:numId="15" w16cid:durableId="390349800">
    <w:abstractNumId w:val="10"/>
  </w:num>
  <w:num w:numId="16" w16cid:durableId="1098253979">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411806633">
    <w:abstractNumId w:val="3"/>
  </w:num>
  <w:num w:numId="18" w16cid:durableId="34525203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6"/>
  <w:proofState w:spelling="clean" w:grammar="clean"/>
  <w:defaultTabStop w:val="708"/>
  <w:hyphenationZone w:val="425"/>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2DB9"/>
    <w:rsid w:val="00012DEA"/>
    <w:rsid w:val="00016F78"/>
    <w:rsid w:val="00033D34"/>
    <w:rsid w:val="00043155"/>
    <w:rsid w:val="00046945"/>
    <w:rsid w:val="00050807"/>
    <w:rsid w:val="00061955"/>
    <w:rsid w:val="00061B2A"/>
    <w:rsid w:val="00061C8C"/>
    <w:rsid w:val="00082362"/>
    <w:rsid w:val="00090DE3"/>
    <w:rsid w:val="000A683E"/>
    <w:rsid w:val="000B19B9"/>
    <w:rsid w:val="000D0334"/>
    <w:rsid w:val="000F4A5F"/>
    <w:rsid w:val="000F6486"/>
    <w:rsid w:val="00106774"/>
    <w:rsid w:val="00125105"/>
    <w:rsid w:val="00127233"/>
    <w:rsid w:val="0014109D"/>
    <w:rsid w:val="001511A0"/>
    <w:rsid w:val="00162B32"/>
    <w:rsid w:val="0016387B"/>
    <w:rsid w:val="00180234"/>
    <w:rsid w:val="001869AA"/>
    <w:rsid w:val="001947DF"/>
    <w:rsid w:val="001B385E"/>
    <w:rsid w:val="001D3DB3"/>
    <w:rsid w:val="001E4177"/>
    <w:rsid w:val="001F7DC6"/>
    <w:rsid w:val="00216083"/>
    <w:rsid w:val="0024208F"/>
    <w:rsid w:val="002421BB"/>
    <w:rsid w:val="0025796E"/>
    <w:rsid w:val="002707A2"/>
    <w:rsid w:val="0027156F"/>
    <w:rsid w:val="002951A0"/>
    <w:rsid w:val="002962BC"/>
    <w:rsid w:val="002A093D"/>
    <w:rsid w:val="002A0DD0"/>
    <w:rsid w:val="002A49AC"/>
    <w:rsid w:val="002A64FD"/>
    <w:rsid w:val="002C7A84"/>
    <w:rsid w:val="002E4FD9"/>
    <w:rsid w:val="00300539"/>
    <w:rsid w:val="00306C91"/>
    <w:rsid w:val="003076D9"/>
    <w:rsid w:val="00322369"/>
    <w:rsid w:val="00322A85"/>
    <w:rsid w:val="00324168"/>
    <w:rsid w:val="00330E42"/>
    <w:rsid w:val="003448F4"/>
    <w:rsid w:val="00374F5E"/>
    <w:rsid w:val="00377E3E"/>
    <w:rsid w:val="003846F6"/>
    <w:rsid w:val="003A779E"/>
    <w:rsid w:val="003D0F4D"/>
    <w:rsid w:val="003D5B0D"/>
    <w:rsid w:val="003E0499"/>
    <w:rsid w:val="003F3941"/>
    <w:rsid w:val="00406575"/>
    <w:rsid w:val="0041412B"/>
    <w:rsid w:val="00414A28"/>
    <w:rsid w:val="00414C74"/>
    <w:rsid w:val="00423469"/>
    <w:rsid w:val="0042722E"/>
    <w:rsid w:val="0044528D"/>
    <w:rsid w:val="00447751"/>
    <w:rsid w:val="004560B9"/>
    <w:rsid w:val="004637EC"/>
    <w:rsid w:val="004A1847"/>
    <w:rsid w:val="004A305D"/>
    <w:rsid w:val="004A79CD"/>
    <w:rsid w:val="004C4E19"/>
    <w:rsid w:val="004F01C2"/>
    <w:rsid w:val="004F21C4"/>
    <w:rsid w:val="004F685F"/>
    <w:rsid w:val="00513AED"/>
    <w:rsid w:val="00534B1A"/>
    <w:rsid w:val="005566E8"/>
    <w:rsid w:val="00570FCB"/>
    <w:rsid w:val="00574867"/>
    <w:rsid w:val="00591460"/>
    <w:rsid w:val="005A0D42"/>
    <w:rsid w:val="005B3816"/>
    <w:rsid w:val="005B4F69"/>
    <w:rsid w:val="005C3777"/>
    <w:rsid w:val="005C5CDC"/>
    <w:rsid w:val="005D476C"/>
    <w:rsid w:val="005E1ED8"/>
    <w:rsid w:val="006062B3"/>
    <w:rsid w:val="006219F8"/>
    <w:rsid w:val="00635CA3"/>
    <w:rsid w:val="00637D19"/>
    <w:rsid w:val="00644FEB"/>
    <w:rsid w:val="00646DCD"/>
    <w:rsid w:val="006549AC"/>
    <w:rsid w:val="00665D70"/>
    <w:rsid w:val="006900D9"/>
    <w:rsid w:val="006C7FB7"/>
    <w:rsid w:val="006D0E6B"/>
    <w:rsid w:val="006F5F7E"/>
    <w:rsid w:val="00706C16"/>
    <w:rsid w:val="00726D66"/>
    <w:rsid w:val="00756841"/>
    <w:rsid w:val="007649AB"/>
    <w:rsid w:val="00771D0C"/>
    <w:rsid w:val="00772CBF"/>
    <w:rsid w:val="007833AC"/>
    <w:rsid w:val="007A1E07"/>
    <w:rsid w:val="007B268C"/>
    <w:rsid w:val="007B7171"/>
    <w:rsid w:val="007C0C0F"/>
    <w:rsid w:val="007C3300"/>
    <w:rsid w:val="007C3DC2"/>
    <w:rsid w:val="007E11D1"/>
    <w:rsid w:val="007E5497"/>
    <w:rsid w:val="00802891"/>
    <w:rsid w:val="00806F5F"/>
    <w:rsid w:val="00820278"/>
    <w:rsid w:val="00861F11"/>
    <w:rsid w:val="00867F95"/>
    <w:rsid w:val="0088022B"/>
    <w:rsid w:val="00881DDF"/>
    <w:rsid w:val="008843B6"/>
    <w:rsid w:val="00891928"/>
    <w:rsid w:val="008A446D"/>
    <w:rsid w:val="008B3AC6"/>
    <w:rsid w:val="008B6AE2"/>
    <w:rsid w:val="008D180B"/>
    <w:rsid w:val="008E3A62"/>
    <w:rsid w:val="008F0EA7"/>
    <w:rsid w:val="008F4BFF"/>
    <w:rsid w:val="00902D15"/>
    <w:rsid w:val="00923EEF"/>
    <w:rsid w:val="009321C6"/>
    <w:rsid w:val="009419F9"/>
    <w:rsid w:val="0095685E"/>
    <w:rsid w:val="00961B09"/>
    <w:rsid w:val="00965334"/>
    <w:rsid w:val="00967E71"/>
    <w:rsid w:val="0097093E"/>
    <w:rsid w:val="00980540"/>
    <w:rsid w:val="00986AC5"/>
    <w:rsid w:val="009A0DFA"/>
    <w:rsid w:val="009A0F25"/>
    <w:rsid w:val="009B2D26"/>
    <w:rsid w:val="009C71FA"/>
    <w:rsid w:val="009C72E7"/>
    <w:rsid w:val="009D3058"/>
    <w:rsid w:val="009F3A13"/>
    <w:rsid w:val="009F6966"/>
    <w:rsid w:val="009F7C3E"/>
    <w:rsid w:val="00A122D3"/>
    <w:rsid w:val="00A17F13"/>
    <w:rsid w:val="00A20739"/>
    <w:rsid w:val="00A33C78"/>
    <w:rsid w:val="00A35CB4"/>
    <w:rsid w:val="00A37B36"/>
    <w:rsid w:val="00A967B7"/>
    <w:rsid w:val="00AA3E51"/>
    <w:rsid w:val="00AB0ADB"/>
    <w:rsid w:val="00B01B1A"/>
    <w:rsid w:val="00B1465A"/>
    <w:rsid w:val="00B14FE8"/>
    <w:rsid w:val="00B462F3"/>
    <w:rsid w:val="00B66319"/>
    <w:rsid w:val="00B72CD3"/>
    <w:rsid w:val="00B72FFF"/>
    <w:rsid w:val="00B771CE"/>
    <w:rsid w:val="00B870EC"/>
    <w:rsid w:val="00BC3D36"/>
    <w:rsid w:val="00BD529E"/>
    <w:rsid w:val="00BD7F72"/>
    <w:rsid w:val="00BF4FDF"/>
    <w:rsid w:val="00C04FB3"/>
    <w:rsid w:val="00C330EB"/>
    <w:rsid w:val="00C34545"/>
    <w:rsid w:val="00C41061"/>
    <w:rsid w:val="00C5730A"/>
    <w:rsid w:val="00C754BE"/>
    <w:rsid w:val="00C76B1C"/>
    <w:rsid w:val="00C92648"/>
    <w:rsid w:val="00CB0452"/>
    <w:rsid w:val="00CB6357"/>
    <w:rsid w:val="00CC1B26"/>
    <w:rsid w:val="00CD37F8"/>
    <w:rsid w:val="00CF25B6"/>
    <w:rsid w:val="00D02A98"/>
    <w:rsid w:val="00D423A2"/>
    <w:rsid w:val="00D520D8"/>
    <w:rsid w:val="00D63AC2"/>
    <w:rsid w:val="00D7383B"/>
    <w:rsid w:val="00D80902"/>
    <w:rsid w:val="00DA231B"/>
    <w:rsid w:val="00DC39FC"/>
    <w:rsid w:val="00DD0AA6"/>
    <w:rsid w:val="00DD1487"/>
    <w:rsid w:val="00DD1556"/>
    <w:rsid w:val="00DF5254"/>
    <w:rsid w:val="00E16408"/>
    <w:rsid w:val="00E20894"/>
    <w:rsid w:val="00E220E6"/>
    <w:rsid w:val="00E245AB"/>
    <w:rsid w:val="00E2764C"/>
    <w:rsid w:val="00E27F2E"/>
    <w:rsid w:val="00E50AFE"/>
    <w:rsid w:val="00E61DF4"/>
    <w:rsid w:val="00E640E6"/>
    <w:rsid w:val="00E67B5B"/>
    <w:rsid w:val="00E75C92"/>
    <w:rsid w:val="00E771DC"/>
    <w:rsid w:val="00E8772A"/>
    <w:rsid w:val="00E90F6B"/>
    <w:rsid w:val="00E92C27"/>
    <w:rsid w:val="00E94442"/>
    <w:rsid w:val="00EA0E3D"/>
    <w:rsid w:val="00EC338F"/>
    <w:rsid w:val="00EC38A7"/>
    <w:rsid w:val="00ED7384"/>
    <w:rsid w:val="00EE1AA8"/>
    <w:rsid w:val="00EE3F4A"/>
    <w:rsid w:val="00F11CEE"/>
    <w:rsid w:val="00F31EDC"/>
    <w:rsid w:val="00F462B3"/>
    <w:rsid w:val="00F5664F"/>
    <w:rsid w:val="00F576D1"/>
    <w:rsid w:val="00F666C4"/>
    <w:rsid w:val="00F76AFC"/>
    <w:rsid w:val="00FA47C0"/>
    <w:rsid w:val="00FA5E25"/>
    <w:rsid w:val="00FB5DD1"/>
    <w:rsid w:val="00FC2B5D"/>
    <w:rsid w:val="00FC51C4"/>
    <w:rsid w:val="00FD3ABA"/>
    <w:rsid w:val="00FD7C66"/>
    <w:rsid w:val="00FF1449"/>
    <w:rsid w:val="165E9519"/>
    <w:rsid w:val="382536D9"/>
    <w:rsid w:val="6EFDAB80"/>
    <w:rsid w:val="7B6AA7A6"/>
    <w:rsid w:val="7C183931"/>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F,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
    <w:basedOn w:val="Fuentedeprrafopredeter"/>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styleId="Textoindependiente">
    <w:name w:val="Body Text"/>
    <w:basedOn w:val="Normal"/>
    <w:link w:val="TextoindependienteCar"/>
    <w:uiPriority w:val="99"/>
    <w:semiHidden/>
    <w:unhideWhenUsed/>
    <w:rsid w:val="0024208F"/>
    <w:pPr>
      <w:spacing w:after="120"/>
    </w:pPr>
  </w:style>
  <w:style w:type="character" w:customStyle="1" w:styleId="TextoindependienteCar">
    <w:name w:val="Texto independiente Car"/>
    <w:basedOn w:val="Fuentedeprrafopredeter"/>
    <w:link w:val="Textoindependiente"/>
    <w:uiPriority w:val="99"/>
    <w:semiHidden/>
    <w:rsid w:val="0024208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beatrizrramirezr@gmail.com"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3.emf"/><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_rels/numbering.xml.rels><?xml version="1.0" encoding="UTF-8" standalone="yes"?>
<Relationships xmlns="http://schemas.openxmlformats.org/package/2006/relationships"><Relationship Id="rId2" Type="http://schemas.openxmlformats.org/officeDocument/2006/relationships/image" Target="media/image2.gif"/><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4455208B-5B6B-4F94-A26D-2B9BB749D0CF}"/>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c086ebc9-8fd5-442b-abc4-722db14db030"/>
    <ds:schemaRef ds:uri="8ae15d26-076e-464e-81a7-6f76a0fb3917"/>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Pages>
  <Words>2547</Words>
  <Characters>14010</Characters>
  <Application>Microsoft Office Word</Application>
  <DocSecurity>0</DocSecurity>
  <Lines>116</Lines>
  <Paragraphs>33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16524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Kelmis Yimara Bruges Alvarado</cp:lastModifiedBy>
  <cp:revision>2</cp:revision>
  <cp:lastPrinted>2023-01-10T21:18:00Z</cp:lastPrinted>
  <dcterms:created xsi:type="dcterms:W3CDTF">2025-06-20T15:20:00Z</dcterms:created>
  <dcterms:modified xsi:type="dcterms:W3CDTF">2025-06-20T15:20:00Z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