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E437F4" w14:textId="77777777" w:rsidR="008C5C67" w:rsidRDefault="008C5C67" w:rsidP="008C5C67">
      <w:pPr>
        <w:spacing w:after="0" w:line="240" w:lineRule="auto"/>
        <w:jc w:val="both"/>
        <w:rPr>
          <w:rFonts w:ascii="Verdana" w:eastAsia="Arial" w:hAnsi="Verdana" w:cs="Arial"/>
          <w:bCs/>
          <w:color w:val="000000"/>
          <w:sz w:val="20"/>
          <w:szCs w:val="20"/>
        </w:rPr>
      </w:pPr>
    </w:p>
    <w:p w14:paraId="3F43651B" w14:textId="77777777" w:rsidR="008C5C67" w:rsidRPr="00C72F17" w:rsidRDefault="008C5C67" w:rsidP="008C5C67">
      <w:pPr>
        <w:spacing w:after="0" w:line="240" w:lineRule="auto"/>
        <w:jc w:val="both"/>
        <w:rPr>
          <w:rFonts w:ascii="Verdana" w:eastAsia="Arial" w:hAnsi="Verdana" w:cs="Arial"/>
          <w:b/>
          <w:color w:val="000000"/>
        </w:rPr>
      </w:pPr>
      <w:r w:rsidRPr="00C72F17">
        <w:rPr>
          <w:rFonts w:ascii="Verdana" w:eastAsia="Arial" w:hAnsi="Verdana" w:cs="Arial"/>
          <w:b/>
          <w:color w:val="000000"/>
        </w:rPr>
        <w:t xml:space="preserve">EMPRESAS INDUSTRIALES Y COMERCIALES – Régimen contractual – Ley 80 de 1993 – Derecho privado  </w:t>
      </w:r>
    </w:p>
    <w:p w14:paraId="178A9201" w14:textId="77777777" w:rsidR="008C5C67" w:rsidRPr="00C72F17" w:rsidRDefault="008C5C67" w:rsidP="008C5C67">
      <w:pPr>
        <w:spacing w:after="0" w:line="240" w:lineRule="auto"/>
        <w:jc w:val="both"/>
        <w:rPr>
          <w:rFonts w:ascii="Verdana" w:eastAsia="Arial" w:hAnsi="Verdana" w:cs="Arial"/>
          <w:bCs/>
          <w:color w:val="000000"/>
          <w:sz w:val="20"/>
          <w:szCs w:val="20"/>
        </w:rPr>
      </w:pPr>
    </w:p>
    <w:p w14:paraId="3A0FF7FF" w14:textId="77777777" w:rsidR="008C5C67" w:rsidRPr="002C4D58" w:rsidRDefault="008C5C67" w:rsidP="008C5C67">
      <w:pPr>
        <w:spacing w:after="0" w:line="240" w:lineRule="auto"/>
        <w:jc w:val="both"/>
        <w:rPr>
          <w:rFonts w:ascii="Verdana" w:eastAsia="Arial" w:hAnsi="Verdana" w:cs="Arial"/>
          <w:bCs/>
          <w:color w:val="000000"/>
          <w:sz w:val="20"/>
          <w:szCs w:val="20"/>
        </w:rPr>
      </w:pPr>
      <w:r w:rsidRPr="00C72F17">
        <w:rPr>
          <w:rFonts w:ascii="Verdana" w:eastAsia="Arial" w:hAnsi="Verdana" w:cs="Arial"/>
          <w:bCs/>
          <w:color w:val="000000"/>
          <w:sz w:val="20"/>
          <w:szCs w:val="20"/>
        </w:rPr>
        <w:t xml:space="preserve">El régimen contractual de las empresas industriales y comerciales del Estado que estén en competencia o desarrollen su actividad en mercados regulados es el propio de tal actividad, esto es, por regla general, el derecho privado, salvo las excepciones legales o las contenidas en el acto de creación o en los estatutos de la respectiva empresa industrial o comercial del Estado. Aunque estos contratos están excluidos de la Ley 80 de 1993, no se rigen exclusivamente por el derecho civil y comercial, pues –conforme al artículo 13 de la Ley 1150 de 2007– aplican tanto los principios de la función administrativa y de la gestión fiscal como el régimen de inhabilidades e incompatibilidades. Por el contrario, aquellas empresas industriales y comerciales del Estado que no estén en competencia ni desarrollen su actividad en mercados regulados están sometidas al Estatuto General de Contratación de la Administración Pública y las normas que lo complementan, como lo dispone el artículo 14 de la Ley 1150 de 2007.  </w:t>
      </w:r>
    </w:p>
    <w:p w14:paraId="11A9BDFE" w14:textId="77777777" w:rsidR="008C5C67" w:rsidRDefault="008C5C67" w:rsidP="008C5C67">
      <w:pPr>
        <w:spacing w:after="0" w:line="240" w:lineRule="auto"/>
        <w:jc w:val="both"/>
        <w:rPr>
          <w:rFonts w:ascii="Verdana" w:eastAsia="Arial" w:hAnsi="Verdana" w:cs="Arial"/>
          <w:bCs/>
          <w:color w:val="000000"/>
          <w:sz w:val="20"/>
          <w:szCs w:val="20"/>
        </w:rPr>
      </w:pPr>
    </w:p>
    <w:p w14:paraId="37EA7046" w14:textId="77777777" w:rsidR="008C5C67" w:rsidRPr="00FD5E0F" w:rsidRDefault="008C5C67" w:rsidP="008C5C67">
      <w:pPr>
        <w:spacing w:after="0" w:line="240" w:lineRule="auto"/>
        <w:jc w:val="both"/>
        <w:rPr>
          <w:rFonts w:ascii="Verdana" w:eastAsia="Arial" w:hAnsi="Verdana" w:cs="Arial"/>
          <w:b/>
          <w:color w:val="000000"/>
        </w:rPr>
      </w:pPr>
      <w:r w:rsidRPr="00FD5E0F">
        <w:rPr>
          <w:rFonts w:ascii="Verdana" w:eastAsia="Arial" w:hAnsi="Verdana" w:cs="Arial"/>
          <w:b/>
          <w:color w:val="000000"/>
        </w:rPr>
        <w:t xml:space="preserve">EVALUACIÓN DEL PRECIO ‒ Costo real – Incluye IVA </w:t>
      </w:r>
    </w:p>
    <w:p w14:paraId="37E1ED58" w14:textId="77777777" w:rsidR="008C5C67" w:rsidRPr="00FD5E0F" w:rsidRDefault="008C5C67" w:rsidP="008C5C67">
      <w:pPr>
        <w:spacing w:after="0" w:line="240" w:lineRule="auto"/>
        <w:jc w:val="both"/>
        <w:rPr>
          <w:rFonts w:ascii="Verdana" w:eastAsia="Arial" w:hAnsi="Verdana" w:cs="Arial"/>
          <w:bCs/>
          <w:color w:val="000000"/>
          <w:sz w:val="20"/>
          <w:szCs w:val="20"/>
        </w:rPr>
      </w:pPr>
    </w:p>
    <w:p w14:paraId="715B207B" w14:textId="77777777" w:rsidR="008C5C67" w:rsidRPr="00FD5E0F" w:rsidRDefault="008C5C67" w:rsidP="008C5C67">
      <w:pPr>
        <w:spacing w:after="0" w:line="240" w:lineRule="auto"/>
        <w:jc w:val="both"/>
        <w:rPr>
          <w:rFonts w:ascii="Verdana" w:eastAsia="Arial" w:hAnsi="Verdana" w:cs="Arial"/>
          <w:bCs/>
          <w:color w:val="000000"/>
          <w:sz w:val="20"/>
          <w:szCs w:val="20"/>
        </w:rPr>
      </w:pPr>
      <w:r>
        <w:rPr>
          <w:rFonts w:ascii="Verdana" w:eastAsia="Arial" w:hAnsi="Verdana" w:cs="Arial"/>
          <w:bCs/>
          <w:color w:val="000000"/>
          <w:sz w:val="20"/>
          <w:szCs w:val="20"/>
        </w:rPr>
        <w:t>L</w:t>
      </w:r>
      <w:r w:rsidRPr="00FD5E0F">
        <w:rPr>
          <w:rFonts w:ascii="Verdana" w:eastAsia="Arial" w:hAnsi="Verdana" w:cs="Arial"/>
          <w:bCs/>
          <w:color w:val="000000"/>
          <w:sz w:val="20"/>
          <w:szCs w:val="20"/>
        </w:rPr>
        <w:t xml:space="preserve">os impuestos son parte integral del precio, pues es lo que finalmente terminará pagando la entidad cuando adjudique el contrato, por lo cual en aplicación de los principios de selección objetiva y de igualdad, la entidad contratante debe evaluar las ofertas con base en el precio final o real que ofrezca cada proponente, toda vez que de esa comparación es que surgirá la oferta más favorable o ventajosa para el Estado. </w:t>
      </w:r>
    </w:p>
    <w:p w14:paraId="4FFA14E1" w14:textId="77777777" w:rsidR="008C5C67" w:rsidRPr="00FD5E0F" w:rsidRDefault="008C5C67" w:rsidP="008C5C67">
      <w:pPr>
        <w:spacing w:after="0" w:line="240" w:lineRule="auto"/>
        <w:jc w:val="both"/>
        <w:rPr>
          <w:rFonts w:ascii="Verdana" w:eastAsia="Arial" w:hAnsi="Verdana" w:cs="Arial"/>
          <w:bCs/>
          <w:color w:val="000000"/>
          <w:sz w:val="20"/>
          <w:szCs w:val="20"/>
        </w:rPr>
      </w:pPr>
      <w:r w:rsidRPr="00FD5E0F">
        <w:rPr>
          <w:rFonts w:ascii="Verdana" w:eastAsia="Arial" w:hAnsi="Verdana" w:cs="Arial"/>
          <w:bCs/>
          <w:color w:val="000000"/>
          <w:sz w:val="20"/>
          <w:szCs w:val="20"/>
        </w:rPr>
        <w:t>[…]</w:t>
      </w:r>
    </w:p>
    <w:p w14:paraId="47FFE1DE" w14:textId="77777777" w:rsidR="008C5C67" w:rsidRPr="00FD5E0F" w:rsidRDefault="008C5C67" w:rsidP="008C5C67">
      <w:pPr>
        <w:spacing w:after="0" w:line="240" w:lineRule="auto"/>
        <w:jc w:val="both"/>
        <w:rPr>
          <w:rFonts w:ascii="Verdana" w:eastAsia="Arial" w:hAnsi="Verdana" w:cs="Arial"/>
          <w:bCs/>
          <w:color w:val="000000"/>
          <w:sz w:val="20"/>
          <w:szCs w:val="20"/>
        </w:rPr>
      </w:pPr>
    </w:p>
    <w:p w14:paraId="3E88CB3A" w14:textId="77777777" w:rsidR="008C5C67" w:rsidRPr="00FD5E0F" w:rsidRDefault="008C5C67" w:rsidP="008C5C67">
      <w:pPr>
        <w:spacing w:after="0" w:line="240" w:lineRule="auto"/>
        <w:jc w:val="both"/>
        <w:rPr>
          <w:rFonts w:ascii="Verdana" w:eastAsia="Arial" w:hAnsi="Verdana" w:cs="Arial"/>
          <w:bCs/>
          <w:color w:val="000000"/>
          <w:sz w:val="20"/>
          <w:szCs w:val="20"/>
        </w:rPr>
      </w:pPr>
      <w:r w:rsidRPr="00FD5E0F">
        <w:rPr>
          <w:rFonts w:ascii="Verdana" w:eastAsia="Arial" w:hAnsi="Verdana" w:cs="Arial"/>
          <w:bCs/>
          <w:color w:val="000000"/>
          <w:sz w:val="20"/>
          <w:szCs w:val="20"/>
        </w:rPr>
        <w:t xml:space="preserve">Ahora bien, de acuerdo a las consideraciones desarrolladas en este concepto, indistintamente de que el oferente que se presenta al proceso de selección sea un contribuyente que está inscrito como responsables del IVA −equivale al régimen común que antes existía− o que no sea responsables de IVA −contribuyentes que antes pertenecían al régimen simplificado−, la evaluación de las propuestas económicas se realiza sobre el precio real ofrecido por cada proponente, esto es, con la inclusión de los impuestos, que se entienden parte del precio. Así las cosas, si un oferente es responsable de IVA y ello influye en el precio ofertado, la ponderación se hace sobre el valor final, sin importar que en el procedimiento existan otros oferentes que no son responsables de este impuesto. </w:t>
      </w:r>
    </w:p>
    <w:p w14:paraId="20E95826" w14:textId="77777777" w:rsidR="008C5C67" w:rsidRPr="00FD5E0F" w:rsidRDefault="008C5C67" w:rsidP="008C5C67">
      <w:pPr>
        <w:spacing w:after="0" w:line="240" w:lineRule="auto"/>
        <w:jc w:val="both"/>
        <w:rPr>
          <w:rFonts w:ascii="Verdana" w:eastAsia="Arial" w:hAnsi="Verdana" w:cs="Arial"/>
          <w:bCs/>
          <w:color w:val="000000"/>
          <w:sz w:val="20"/>
          <w:szCs w:val="20"/>
        </w:rPr>
      </w:pPr>
    </w:p>
    <w:p w14:paraId="32E768BF" w14:textId="77777777" w:rsidR="008C5C67" w:rsidRPr="00FD5E0F" w:rsidRDefault="008C5C67" w:rsidP="008C5C67">
      <w:pPr>
        <w:spacing w:after="0" w:line="240" w:lineRule="auto"/>
        <w:jc w:val="both"/>
        <w:rPr>
          <w:rFonts w:ascii="Verdana" w:eastAsia="Arial" w:hAnsi="Verdana" w:cs="Arial"/>
          <w:b/>
          <w:color w:val="000000"/>
        </w:rPr>
      </w:pPr>
      <w:r w:rsidRPr="00FD5E0F">
        <w:rPr>
          <w:rFonts w:ascii="Verdana" w:eastAsia="Arial" w:hAnsi="Verdana" w:cs="Arial"/>
          <w:b/>
          <w:color w:val="000000"/>
        </w:rPr>
        <w:t>SELECCIÓN ABREVIADA POR SUBASTA INVERSA Y MÍNIMA CUANTÍA – Factor de escogencia – Menor precio</w:t>
      </w:r>
    </w:p>
    <w:p w14:paraId="72AA310A" w14:textId="77777777" w:rsidR="008C5C67" w:rsidRPr="00FD5E0F" w:rsidRDefault="008C5C67" w:rsidP="008C5C67">
      <w:pPr>
        <w:spacing w:after="0" w:line="240" w:lineRule="auto"/>
        <w:jc w:val="both"/>
        <w:rPr>
          <w:rFonts w:ascii="Verdana" w:eastAsia="Arial" w:hAnsi="Verdana" w:cs="Arial"/>
          <w:bCs/>
          <w:color w:val="000000"/>
          <w:sz w:val="20"/>
          <w:szCs w:val="20"/>
        </w:rPr>
      </w:pPr>
    </w:p>
    <w:p w14:paraId="06283BAE" w14:textId="77777777" w:rsidR="008C5C67" w:rsidRPr="002C4D58" w:rsidRDefault="008C5C67" w:rsidP="008C5C67">
      <w:pPr>
        <w:spacing w:after="0" w:line="240" w:lineRule="auto"/>
        <w:jc w:val="both"/>
        <w:rPr>
          <w:rFonts w:ascii="Verdana" w:eastAsia="Calibri" w:hAnsi="Verdana" w:cs="Arial"/>
          <w:bCs/>
          <w:sz w:val="20"/>
          <w:szCs w:val="20"/>
          <w:lang w:val="es-MX" w:eastAsia="es-ES_tradnl"/>
        </w:rPr>
      </w:pPr>
      <w:r w:rsidRPr="00FD5E0F">
        <w:rPr>
          <w:rFonts w:ascii="Verdana" w:eastAsia="Arial" w:hAnsi="Verdana" w:cs="Arial"/>
          <w:bCs/>
          <w:color w:val="000000"/>
          <w:sz w:val="20"/>
          <w:szCs w:val="20"/>
        </w:rPr>
        <w:t xml:space="preserve">La selección abreviada por subasta inversa o la mínima cuantía, en el que los únicos factores de escogencia son el menor valor ofertado, no son la excepción a la aplicación de la postura explicada. En ese sentido, la Agencia Nacional de Contratación Pública – Colombia Compra Eficiente estima que estos procesos la evaluación de la propuesta debe realizarse respecto del precio real ofertado, el cual incluye los valores que debe pagar la entidad para adquirir el bien, obra o servicio, como los impuestos. Esto puesto que la </w:t>
      </w:r>
      <w:r w:rsidRPr="00FD5E0F">
        <w:rPr>
          <w:rFonts w:ascii="Verdana" w:eastAsia="Arial" w:hAnsi="Verdana" w:cs="Arial"/>
          <w:bCs/>
          <w:color w:val="000000"/>
          <w:sz w:val="20"/>
          <w:szCs w:val="20"/>
        </w:rPr>
        <w:lastRenderedPageBreak/>
        <w:t>entidad deberá pagar dichos tributos para adquirir el bien o servicio ofertado. Por tanto, al momento de ponderar las ofertas económicas, no debe descontarse el IVA para comparar el valor neto de los bienes o servicios ofrecidos.</w:t>
      </w:r>
    </w:p>
    <w:p w14:paraId="32A3C514" w14:textId="77777777" w:rsidR="008C5C67" w:rsidRDefault="008C5C67" w:rsidP="00881044">
      <w:pPr>
        <w:spacing w:after="0"/>
        <w:rPr>
          <w:rFonts w:ascii="Verdana" w:eastAsia="Geomanist Light" w:hAnsi="Verdana" w:cs="Arial"/>
          <w:color w:val="000000" w:themeColor="text1"/>
          <w:lang w:val="es-MX"/>
        </w:rPr>
      </w:pPr>
    </w:p>
    <w:p w14:paraId="6D0D0223" w14:textId="77777777" w:rsidR="008C5C67" w:rsidRDefault="008C5C67" w:rsidP="00881044">
      <w:pPr>
        <w:spacing w:after="0"/>
        <w:rPr>
          <w:rFonts w:ascii="Verdana" w:eastAsia="Geomanist Light" w:hAnsi="Verdana" w:cs="Arial"/>
          <w:color w:val="000000" w:themeColor="text1"/>
          <w:lang w:val="es-MX"/>
        </w:rPr>
      </w:pPr>
    </w:p>
    <w:p w14:paraId="75ED72BE" w14:textId="77777777" w:rsidR="008C5C67" w:rsidRDefault="008C5C67" w:rsidP="00881044">
      <w:pPr>
        <w:spacing w:after="0"/>
        <w:rPr>
          <w:rFonts w:ascii="Verdana" w:eastAsia="Geomanist Light" w:hAnsi="Verdana" w:cs="Arial"/>
          <w:color w:val="000000" w:themeColor="text1"/>
          <w:lang w:val="es-MX"/>
        </w:rPr>
      </w:pPr>
    </w:p>
    <w:p w14:paraId="141F54F6" w14:textId="77777777" w:rsidR="008C5C67" w:rsidRDefault="008C5C67" w:rsidP="00881044">
      <w:pPr>
        <w:spacing w:after="0"/>
        <w:rPr>
          <w:rFonts w:ascii="Verdana" w:eastAsia="Geomanist Light" w:hAnsi="Verdana" w:cs="Arial"/>
          <w:color w:val="000000" w:themeColor="text1"/>
          <w:lang w:val="es-MX"/>
        </w:rPr>
      </w:pPr>
    </w:p>
    <w:p w14:paraId="713F933C" w14:textId="77777777" w:rsidR="008C5C67" w:rsidRDefault="008C5C67" w:rsidP="00881044">
      <w:pPr>
        <w:spacing w:after="0"/>
        <w:rPr>
          <w:rFonts w:ascii="Verdana" w:eastAsia="Geomanist Light" w:hAnsi="Verdana" w:cs="Arial"/>
          <w:color w:val="000000" w:themeColor="text1"/>
          <w:lang w:val="es-MX"/>
        </w:rPr>
      </w:pPr>
    </w:p>
    <w:p w14:paraId="38CB953D" w14:textId="77777777" w:rsidR="008C5C67" w:rsidRDefault="008C5C67" w:rsidP="00881044">
      <w:pPr>
        <w:spacing w:after="0"/>
        <w:rPr>
          <w:rFonts w:ascii="Verdana" w:eastAsia="Geomanist Light" w:hAnsi="Verdana" w:cs="Arial"/>
          <w:color w:val="000000" w:themeColor="text1"/>
          <w:lang w:val="es-MX"/>
        </w:rPr>
      </w:pPr>
    </w:p>
    <w:p w14:paraId="4588B552" w14:textId="77777777" w:rsidR="008C5C67" w:rsidRDefault="008C5C67" w:rsidP="00881044">
      <w:pPr>
        <w:spacing w:after="0"/>
        <w:rPr>
          <w:rFonts w:ascii="Verdana" w:eastAsia="Geomanist Light" w:hAnsi="Verdana" w:cs="Arial"/>
          <w:color w:val="000000" w:themeColor="text1"/>
          <w:lang w:val="es-MX"/>
        </w:rPr>
      </w:pPr>
    </w:p>
    <w:p w14:paraId="3CB82575" w14:textId="77777777" w:rsidR="008C5C67" w:rsidRDefault="008C5C67" w:rsidP="00881044">
      <w:pPr>
        <w:spacing w:after="0"/>
        <w:rPr>
          <w:rFonts w:ascii="Verdana" w:eastAsia="Geomanist Light" w:hAnsi="Verdana" w:cs="Arial"/>
          <w:color w:val="000000" w:themeColor="text1"/>
          <w:lang w:val="es-MX"/>
        </w:rPr>
      </w:pPr>
    </w:p>
    <w:p w14:paraId="327EA9AD" w14:textId="77777777" w:rsidR="008C5C67" w:rsidRDefault="008C5C67" w:rsidP="00881044">
      <w:pPr>
        <w:spacing w:after="0"/>
        <w:rPr>
          <w:rFonts w:ascii="Verdana" w:eastAsia="Geomanist Light" w:hAnsi="Verdana" w:cs="Arial"/>
          <w:color w:val="000000" w:themeColor="text1"/>
          <w:lang w:val="es-MX"/>
        </w:rPr>
      </w:pPr>
    </w:p>
    <w:p w14:paraId="77F89AB2" w14:textId="77777777" w:rsidR="008C5C67" w:rsidRDefault="008C5C67" w:rsidP="00881044">
      <w:pPr>
        <w:spacing w:after="0"/>
        <w:rPr>
          <w:rFonts w:ascii="Verdana" w:eastAsia="Geomanist Light" w:hAnsi="Verdana" w:cs="Arial"/>
          <w:color w:val="000000" w:themeColor="text1"/>
          <w:lang w:val="es-MX"/>
        </w:rPr>
      </w:pPr>
    </w:p>
    <w:p w14:paraId="7A5F264B" w14:textId="77777777" w:rsidR="008C5C67" w:rsidRDefault="008C5C67" w:rsidP="00881044">
      <w:pPr>
        <w:spacing w:after="0"/>
        <w:rPr>
          <w:rFonts w:ascii="Verdana" w:eastAsia="Geomanist Light" w:hAnsi="Verdana" w:cs="Arial"/>
          <w:color w:val="000000" w:themeColor="text1"/>
          <w:lang w:val="es-MX"/>
        </w:rPr>
      </w:pPr>
    </w:p>
    <w:p w14:paraId="3997AE22" w14:textId="77777777" w:rsidR="008C5C67" w:rsidRDefault="008C5C67" w:rsidP="00881044">
      <w:pPr>
        <w:spacing w:after="0"/>
        <w:rPr>
          <w:rFonts w:ascii="Verdana" w:eastAsia="Geomanist Light" w:hAnsi="Verdana" w:cs="Arial"/>
          <w:color w:val="000000" w:themeColor="text1"/>
          <w:lang w:val="es-MX"/>
        </w:rPr>
      </w:pPr>
    </w:p>
    <w:p w14:paraId="1C893A36" w14:textId="77777777" w:rsidR="008C5C67" w:rsidRDefault="008C5C67" w:rsidP="00881044">
      <w:pPr>
        <w:spacing w:after="0"/>
        <w:rPr>
          <w:rFonts w:ascii="Verdana" w:eastAsia="Geomanist Light" w:hAnsi="Verdana" w:cs="Arial"/>
          <w:color w:val="000000" w:themeColor="text1"/>
          <w:lang w:val="es-MX"/>
        </w:rPr>
      </w:pPr>
    </w:p>
    <w:p w14:paraId="0A109CB0" w14:textId="77777777" w:rsidR="008C5C67" w:rsidRDefault="008C5C67" w:rsidP="00881044">
      <w:pPr>
        <w:spacing w:after="0"/>
        <w:rPr>
          <w:rFonts w:ascii="Verdana" w:eastAsia="Geomanist Light" w:hAnsi="Verdana" w:cs="Arial"/>
          <w:color w:val="000000" w:themeColor="text1"/>
          <w:lang w:val="es-MX"/>
        </w:rPr>
      </w:pPr>
    </w:p>
    <w:p w14:paraId="567ED2D7" w14:textId="77777777" w:rsidR="008C5C67" w:rsidRDefault="008C5C67" w:rsidP="00881044">
      <w:pPr>
        <w:spacing w:after="0"/>
        <w:rPr>
          <w:rFonts w:ascii="Verdana" w:eastAsia="Geomanist Light" w:hAnsi="Verdana" w:cs="Arial"/>
          <w:color w:val="000000" w:themeColor="text1"/>
          <w:lang w:val="es-MX"/>
        </w:rPr>
      </w:pPr>
    </w:p>
    <w:p w14:paraId="6290D1A5" w14:textId="77777777" w:rsidR="008C5C67" w:rsidRDefault="008C5C67" w:rsidP="00881044">
      <w:pPr>
        <w:spacing w:after="0"/>
        <w:rPr>
          <w:rFonts w:ascii="Verdana" w:eastAsia="Geomanist Light" w:hAnsi="Verdana" w:cs="Arial"/>
          <w:color w:val="000000" w:themeColor="text1"/>
          <w:lang w:val="es-MX"/>
        </w:rPr>
      </w:pPr>
    </w:p>
    <w:p w14:paraId="4D7572D9" w14:textId="77777777" w:rsidR="008C5C67" w:rsidRDefault="008C5C67" w:rsidP="00881044">
      <w:pPr>
        <w:spacing w:after="0"/>
        <w:rPr>
          <w:rFonts w:ascii="Verdana" w:eastAsia="Geomanist Light" w:hAnsi="Verdana" w:cs="Arial"/>
          <w:color w:val="000000" w:themeColor="text1"/>
          <w:lang w:val="es-MX"/>
        </w:rPr>
      </w:pPr>
    </w:p>
    <w:p w14:paraId="4A69667E" w14:textId="77777777" w:rsidR="008C5C67" w:rsidRDefault="008C5C67" w:rsidP="00881044">
      <w:pPr>
        <w:spacing w:after="0"/>
        <w:rPr>
          <w:rFonts w:ascii="Verdana" w:eastAsia="Geomanist Light" w:hAnsi="Verdana" w:cs="Arial"/>
          <w:color w:val="000000" w:themeColor="text1"/>
          <w:lang w:val="es-MX"/>
        </w:rPr>
      </w:pPr>
    </w:p>
    <w:p w14:paraId="03EF2D07" w14:textId="77777777" w:rsidR="008C5C67" w:rsidRDefault="008C5C67" w:rsidP="00881044">
      <w:pPr>
        <w:spacing w:after="0"/>
        <w:rPr>
          <w:rFonts w:ascii="Verdana" w:eastAsia="Geomanist Light" w:hAnsi="Verdana" w:cs="Arial"/>
          <w:color w:val="000000" w:themeColor="text1"/>
          <w:lang w:val="es-MX"/>
        </w:rPr>
      </w:pPr>
    </w:p>
    <w:p w14:paraId="38503DD3" w14:textId="77777777" w:rsidR="008C5C67" w:rsidRDefault="008C5C67" w:rsidP="00881044">
      <w:pPr>
        <w:spacing w:after="0"/>
        <w:rPr>
          <w:rFonts w:ascii="Verdana" w:eastAsia="Geomanist Light" w:hAnsi="Verdana" w:cs="Arial"/>
          <w:color w:val="000000" w:themeColor="text1"/>
          <w:lang w:val="es-MX"/>
        </w:rPr>
      </w:pPr>
    </w:p>
    <w:p w14:paraId="09EC9E49" w14:textId="77777777" w:rsidR="008C5C67" w:rsidRDefault="008C5C67" w:rsidP="00881044">
      <w:pPr>
        <w:spacing w:after="0"/>
        <w:rPr>
          <w:rFonts w:ascii="Verdana" w:eastAsia="Geomanist Light" w:hAnsi="Verdana" w:cs="Arial"/>
          <w:color w:val="000000" w:themeColor="text1"/>
          <w:lang w:val="es-MX"/>
        </w:rPr>
      </w:pPr>
    </w:p>
    <w:p w14:paraId="55322D3C" w14:textId="77777777" w:rsidR="008C5C67" w:rsidRDefault="008C5C67" w:rsidP="00881044">
      <w:pPr>
        <w:spacing w:after="0"/>
        <w:rPr>
          <w:rFonts w:ascii="Verdana" w:eastAsia="Geomanist Light" w:hAnsi="Verdana" w:cs="Arial"/>
          <w:color w:val="000000" w:themeColor="text1"/>
          <w:lang w:val="es-MX"/>
        </w:rPr>
      </w:pPr>
    </w:p>
    <w:p w14:paraId="349C57DE" w14:textId="77777777" w:rsidR="008C5C67" w:rsidRDefault="008C5C67" w:rsidP="00881044">
      <w:pPr>
        <w:spacing w:after="0"/>
        <w:rPr>
          <w:rFonts w:ascii="Verdana" w:eastAsia="Geomanist Light" w:hAnsi="Verdana" w:cs="Arial"/>
          <w:color w:val="000000" w:themeColor="text1"/>
          <w:lang w:val="es-MX"/>
        </w:rPr>
      </w:pPr>
    </w:p>
    <w:p w14:paraId="768C5660" w14:textId="77777777" w:rsidR="008C5C67" w:rsidRDefault="008C5C67" w:rsidP="00881044">
      <w:pPr>
        <w:spacing w:after="0"/>
        <w:rPr>
          <w:rFonts w:ascii="Verdana" w:eastAsia="Geomanist Light" w:hAnsi="Verdana" w:cs="Arial"/>
          <w:color w:val="000000" w:themeColor="text1"/>
          <w:lang w:val="es-MX"/>
        </w:rPr>
      </w:pPr>
    </w:p>
    <w:p w14:paraId="5C85237B" w14:textId="77777777" w:rsidR="008C5C67" w:rsidRDefault="008C5C67" w:rsidP="00881044">
      <w:pPr>
        <w:spacing w:after="0"/>
        <w:rPr>
          <w:rFonts w:ascii="Verdana" w:eastAsia="Geomanist Light" w:hAnsi="Verdana" w:cs="Arial"/>
          <w:color w:val="000000" w:themeColor="text1"/>
          <w:lang w:val="es-MX"/>
        </w:rPr>
      </w:pPr>
    </w:p>
    <w:p w14:paraId="269074B0" w14:textId="77777777" w:rsidR="008C5C67" w:rsidRDefault="008C5C67" w:rsidP="00881044">
      <w:pPr>
        <w:spacing w:after="0"/>
        <w:rPr>
          <w:rFonts w:ascii="Verdana" w:eastAsia="Geomanist Light" w:hAnsi="Verdana" w:cs="Arial"/>
          <w:color w:val="000000" w:themeColor="text1"/>
          <w:lang w:val="es-MX"/>
        </w:rPr>
      </w:pPr>
    </w:p>
    <w:p w14:paraId="420C82B1" w14:textId="77777777" w:rsidR="008C5C67" w:rsidRDefault="008C5C67" w:rsidP="00881044">
      <w:pPr>
        <w:spacing w:after="0"/>
        <w:rPr>
          <w:rFonts w:ascii="Verdana" w:eastAsia="Geomanist Light" w:hAnsi="Verdana" w:cs="Arial"/>
          <w:color w:val="000000" w:themeColor="text1"/>
          <w:lang w:val="es-MX"/>
        </w:rPr>
      </w:pPr>
    </w:p>
    <w:p w14:paraId="669FE66C" w14:textId="77777777" w:rsidR="008C5C67" w:rsidRDefault="008C5C67" w:rsidP="00881044">
      <w:pPr>
        <w:spacing w:after="0"/>
        <w:rPr>
          <w:rFonts w:ascii="Verdana" w:eastAsia="Geomanist Light" w:hAnsi="Verdana" w:cs="Arial"/>
          <w:color w:val="000000" w:themeColor="text1"/>
          <w:lang w:val="es-MX"/>
        </w:rPr>
      </w:pPr>
    </w:p>
    <w:p w14:paraId="7E9C01F3" w14:textId="77777777" w:rsidR="008C5C67" w:rsidRDefault="008C5C67" w:rsidP="00881044">
      <w:pPr>
        <w:spacing w:after="0"/>
        <w:rPr>
          <w:rFonts w:ascii="Verdana" w:eastAsia="Geomanist Light" w:hAnsi="Verdana" w:cs="Arial"/>
          <w:color w:val="000000" w:themeColor="text1"/>
          <w:lang w:val="es-MX"/>
        </w:rPr>
      </w:pPr>
    </w:p>
    <w:p w14:paraId="25EBCCBA" w14:textId="77777777" w:rsidR="008C5C67" w:rsidRDefault="008C5C67" w:rsidP="00881044">
      <w:pPr>
        <w:spacing w:after="0"/>
        <w:rPr>
          <w:rFonts w:ascii="Verdana" w:eastAsia="Geomanist Light" w:hAnsi="Verdana" w:cs="Arial"/>
          <w:color w:val="000000" w:themeColor="text1"/>
          <w:lang w:val="es-MX"/>
        </w:rPr>
      </w:pPr>
    </w:p>
    <w:p w14:paraId="0FC480DE" w14:textId="77777777" w:rsidR="008C5C67" w:rsidRDefault="008C5C67" w:rsidP="00881044">
      <w:pPr>
        <w:spacing w:after="0"/>
        <w:rPr>
          <w:rFonts w:ascii="Verdana" w:eastAsia="Geomanist Light" w:hAnsi="Verdana" w:cs="Arial"/>
          <w:color w:val="000000" w:themeColor="text1"/>
          <w:lang w:val="es-MX"/>
        </w:rPr>
      </w:pPr>
    </w:p>
    <w:p w14:paraId="4496302E" w14:textId="77777777" w:rsidR="008C5C67" w:rsidRDefault="008C5C67" w:rsidP="00881044">
      <w:pPr>
        <w:spacing w:after="0"/>
        <w:rPr>
          <w:rFonts w:ascii="Verdana" w:eastAsia="Geomanist Light" w:hAnsi="Verdana" w:cs="Arial"/>
          <w:color w:val="000000" w:themeColor="text1"/>
          <w:lang w:val="es-MX"/>
        </w:rPr>
      </w:pPr>
    </w:p>
    <w:p w14:paraId="6BC689E1" w14:textId="77777777" w:rsidR="008C5C67" w:rsidRDefault="008C5C67" w:rsidP="00881044">
      <w:pPr>
        <w:spacing w:after="0"/>
        <w:rPr>
          <w:rFonts w:ascii="Verdana" w:eastAsia="Geomanist Light" w:hAnsi="Verdana" w:cs="Arial"/>
          <w:color w:val="000000" w:themeColor="text1"/>
          <w:lang w:val="es-MX"/>
        </w:rPr>
      </w:pPr>
    </w:p>
    <w:p w14:paraId="53CCF620" w14:textId="77777777" w:rsidR="008C5C67" w:rsidRDefault="008C5C67" w:rsidP="00881044">
      <w:pPr>
        <w:spacing w:after="0"/>
        <w:rPr>
          <w:rFonts w:ascii="Verdana" w:eastAsia="Geomanist Light" w:hAnsi="Verdana" w:cs="Arial"/>
          <w:color w:val="000000" w:themeColor="text1"/>
          <w:lang w:val="es-MX"/>
        </w:rPr>
      </w:pPr>
    </w:p>
    <w:p w14:paraId="35D5E64F" w14:textId="77777777" w:rsidR="008C5C67" w:rsidRDefault="008C5C67" w:rsidP="00881044">
      <w:pPr>
        <w:spacing w:after="0"/>
        <w:rPr>
          <w:rFonts w:ascii="Verdana" w:eastAsia="Geomanist Light" w:hAnsi="Verdana" w:cs="Arial"/>
          <w:color w:val="000000" w:themeColor="text1"/>
          <w:lang w:val="es-MX"/>
        </w:rPr>
      </w:pPr>
    </w:p>
    <w:p w14:paraId="66D0C79D" w14:textId="77777777" w:rsidR="008C5C67" w:rsidRDefault="008C5C67" w:rsidP="00881044">
      <w:pPr>
        <w:spacing w:after="0"/>
        <w:rPr>
          <w:rFonts w:ascii="Verdana" w:eastAsia="Geomanist Light" w:hAnsi="Verdana" w:cs="Arial"/>
          <w:color w:val="000000" w:themeColor="text1"/>
          <w:lang w:val="es-MX"/>
        </w:rPr>
      </w:pPr>
    </w:p>
    <w:p w14:paraId="3650E175" w14:textId="77777777" w:rsidR="008C5C67" w:rsidRDefault="008C5C67" w:rsidP="00881044">
      <w:pPr>
        <w:spacing w:after="0"/>
        <w:rPr>
          <w:rFonts w:ascii="Verdana" w:eastAsia="Geomanist Light" w:hAnsi="Verdana" w:cs="Arial"/>
          <w:color w:val="000000" w:themeColor="text1"/>
          <w:lang w:val="es-MX"/>
        </w:rPr>
      </w:pPr>
    </w:p>
    <w:p w14:paraId="5C916D9A" w14:textId="4FCC5606" w:rsidR="00881044" w:rsidRPr="00277E26" w:rsidRDefault="00881044" w:rsidP="00881044">
      <w:pPr>
        <w:spacing w:after="0"/>
        <w:rPr>
          <w:rFonts w:ascii="Verdana" w:eastAsia="Geomanist Light" w:hAnsi="Verdana" w:cs="Arial"/>
          <w:color w:val="201F1E"/>
          <w:lang w:val="es-MX"/>
        </w:rPr>
      </w:pPr>
      <w:r w:rsidRPr="00277E26">
        <w:rPr>
          <w:rFonts w:ascii="Verdana" w:eastAsia="Geomanist Light" w:hAnsi="Verdana" w:cs="Arial"/>
          <w:color w:val="000000" w:themeColor="text1"/>
          <w:lang w:val="es-MX"/>
        </w:rPr>
        <w:lastRenderedPageBreak/>
        <w:t>Bogotá D.C., </w:t>
      </w:r>
      <w:r w:rsidR="004A03BE" w:rsidRPr="004A03BE">
        <w:rPr>
          <w:rFonts w:ascii="Verdana" w:eastAsia="Geomanist Light" w:hAnsi="Verdana" w:cs="Arial"/>
          <w:color w:val="201F1E"/>
          <w:lang w:val="es-MX"/>
        </w:rPr>
        <w:t>10 de Junio de 2025</w:t>
      </w:r>
    </w:p>
    <w:p w14:paraId="52268C07" w14:textId="77777777" w:rsidR="00881044" w:rsidRDefault="00881044" w:rsidP="00881044">
      <w:pPr>
        <w:spacing w:after="0"/>
        <w:jc w:val="both"/>
        <w:rPr>
          <w:rFonts w:ascii="Verdana" w:eastAsia="Calibri" w:hAnsi="Verdana" w:cs="Arial"/>
          <w:color w:val="000000"/>
          <w:lang w:val="es-ES"/>
        </w:rPr>
      </w:pPr>
    </w:p>
    <w:p w14:paraId="3719A956" w14:textId="244E6FBE" w:rsidR="004A03BE" w:rsidRPr="00277E26" w:rsidRDefault="004A03BE" w:rsidP="004A03BE">
      <w:pPr>
        <w:spacing w:after="0"/>
        <w:jc w:val="right"/>
        <w:rPr>
          <w:rFonts w:ascii="Verdana" w:eastAsia="Calibri" w:hAnsi="Verdana" w:cs="Arial"/>
          <w:color w:val="000000"/>
          <w:lang w:val="es-ES"/>
        </w:rPr>
      </w:pPr>
      <w:r w:rsidRPr="004A03BE">
        <w:rPr>
          <w:rFonts w:ascii="Verdana" w:eastAsia="Calibri" w:hAnsi="Verdana" w:cs="Arial"/>
          <w:noProof/>
          <w:color w:val="000000"/>
          <w:lang w:val="es-ES"/>
        </w:rPr>
        <w:drawing>
          <wp:inline distT="0" distB="0" distL="0" distR="0" wp14:anchorId="702193F4" wp14:editId="5335DFDD">
            <wp:extent cx="2400300" cy="622300"/>
            <wp:effectExtent l="0" t="0" r="0" b="0"/>
            <wp:docPr id="142919737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197379" name=""/>
                    <pic:cNvPicPr/>
                  </pic:nvPicPr>
                  <pic:blipFill>
                    <a:blip r:embed="rId10"/>
                    <a:stretch>
                      <a:fillRect/>
                    </a:stretch>
                  </pic:blipFill>
                  <pic:spPr>
                    <a:xfrm>
                      <a:off x="0" y="0"/>
                      <a:ext cx="2400300" cy="622300"/>
                    </a:xfrm>
                    <a:prstGeom prst="rect">
                      <a:avLst/>
                    </a:prstGeom>
                  </pic:spPr>
                </pic:pic>
              </a:graphicData>
            </a:graphic>
          </wp:inline>
        </w:drawing>
      </w:r>
    </w:p>
    <w:p w14:paraId="2BD6D5A4" w14:textId="77777777" w:rsidR="00881044" w:rsidRPr="00277E26" w:rsidRDefault="00881044" w:rsidP="00881044">
      <w:pPr>
        <w:spacing w:after="0"/>
        <w:jc w:val="both"/>
        <w:rPr>
          <w:rFonts w:ascii="Verdana" w:eastAsia="Calibri" w:hAnsi="Verdana" w:cs="Arial"/>
          <w:color w:val="000000"/>
          <w:lang w:val="es-ES"/>
        </w:rPr>
      </w:pPr>
    </w:p>
    <w:p w14:paraId="6BCEBA09" w14:textId="77777777" w:rsidR="00881044" w:rsidRPr="00277E26" w:rsidRDefault="00881044" w:rsidP="00881044">
      <w:pPr>
        <w:spacing w:after="0"/>
        <w:jc w:val="both"/>
        <w:rPr>
          <w:rFonts w:ascii="Verdana" w:eastAsia="Calibri" w:hAnsi="Verdana" w:cs="Arial"/>
          <w:lang w:val="es-ES" w:eastAsia="es-ES"/>
        </w:rPr>
      </w:pPr>
      <w:r w:rsidRPr="00277E26">
        <w:rPr>
          <w:rFonts w:ascii="Verdana" w:eastAsia="Calibri" w:hAnsi="Verdana" w:cs="Arial"/>
          <w:lang w:val="es-ES" w:eastAsia="es-ES"/>
        </w:rPr>
        <w:t>Señor</w:t>
      </w:r>
    </w:p>
    <w:p w14:paraId="74C3D3B7" w14:textId="77777777" w:rsidR="00881044" w:rsidRPr="005C7202" w:rsidRDefault="00881044" w:rsidP="00881044">
      <w:pPr>
        <w:spacing w:after="0"/>
        <w:rPr>
          <w:rFonts w:ascii="Verdana" w:eastAsia="Calibri" w:hAnsi="Verdana" w:cs="Arial"/>
          <w:b/>
          <w:lang w:eastAsia="es-ES_tradnl"/>
        </w:rPr>
      </w:pPr>
      <w:r w:rsidRPr="00B55496">
        <w:rPr>
          <w:rFonts w:ascii="Verdana" w:eastAsia="Calibri" w:hAnsi="Verdana" w:cs="Arial"/>
          <w:b/>
          <w:lang w:eastAsia="es-ES_tradnl"/>
        </w:rPr>
        <w:t>Jaime Iván González Solarte</w:t>
      </w:r>
      <w:r>
        <w:rPr>
          <w:rFonts w:ascii="Verdana" w:eastAsia="Calibri" w:hAnsi="Verdana" w:cs="Arial"/>
          <w:b/>
          <w:lang w:eastAsia="es-ES_tradnl"/>
        </w:rPr>
        <w:t xml:space="preserve"> </w:t>
      </w:r>
      <w:r w:rsidRPr="00170316">
        <w:rPr>
          <w:rFonts w:ascii="Verdana" w:eastAsia="Calibri" w:hAnsi="Verdana" w:cs="Arial"/>
          <w:b/>
          <w:lang w:eastAsia="es-ES_tradnl"/>
        </w:rPr>
        <w:t xml:space="preserve"> </w:t>
      </w:r>
      <w:r w:rsidRPr="00184904">
        <w:rPr>
          <w:rFonts w:ascii="Verdana" w:eastAsia="Calibri" w:hAnsi="Verdana" w:cs="Arial"/>
          <w:b/>
          <w:lang w:eastAsia="es-ES_tradnl"/>
        </w:rPr>
        <w:t xml:space="preserve">  </w:t>
      </w:r>
    </w:p>
    <w:p w14:paraId="179E1BA1" w14:textId="77777777" w:rsidR="00881044" w:rsidRPr="005C7202" w:rsidRDefault="00881044" w:rsidP="00881044">
      <w:pPr>
        <w:spacing w:after="0"/>
        <w:rPr>
          <w:rFonts w:ascii="Verdana" w:hAnsi="Verdana"/>
        </w:rPr>
      </w:pPr>
      <w:hyperlink r:id="rId11" w:history="1">
        <w:r w:rsidRPr="005F79B0">
          <w:rPr>
            <w:rStyle w:val="Hipervnculo"/>
            <w:rFonts w:ascii="Verdana" w:hAnsi="Verdana"/>
          </w:rPr>
          <w:t>ivanoozo@gmail.com</w:t>
        </w:r>
      </w:hyperlink>
      <w:r>
        <w:rPr>
          <w:rFonts w:ascii="Verdana" w:hAnsi="Verdana"/>
        </w:rPr>
        <w:t xml:space="preserve"> </w:t>
      </w:r>
    </w:p>
    <w:p w14:paraId="2796A49D" w14:textId="77777777" w:rsidR="00881044" w:rsidRPr="00334AC1" w:rsidRDefault="00881044" w:rsidP="00881044">
      <w:pPr>
        <w:spacing w:after="0"/>
      </w:pPr>
      <w:r>
        <w:rPr>
          <w:rFonts w:ascii="Verdana" w:eastAsia="Calibri" w:hAnsi="Verdana" w:cs="Arial"/>
          <w:lang w:val="es-ES" w:eastAsia="es-ES"/>
        </w:rPr>
        <w:t>Yopal, Casanare</w:t>
      </w:r>
      <w:r w:rsidRPr="00277E26">
        <w:rPr>
          <w:rFonts w:ascii="Verdana" w:eastAsia="Calibri" w:hAnsi="Verdana" w:cs="Arial"/>
          <w:lang w:val="es-ES" w:eastAsia="es-ES"/>
        </w:rPr>
        <w:t xml:space="preserve"> </w:t>
      </w:r>
    </w:p>
    <w:p w14:paraId="5935EC8E" w14:textId="77777777" w:rsidR="00881044" w:rsidRPr="00277E26" w:rsidRDefault="00881044" w:rsidP="00881044">
      <w:pPr>
        <w:spacing w:after="0"/>
        <w:rPr>
          <w:rFonts w:ascii="Verdana" w:eastAsia="Calibri" w:hAnsi="Verdana" w:cs="Arial"/>
          <w:b/>
          <w:bCs/>
          <w:color w:val="000000"/>
          <w:lang w:val="es-ES_tradnl" w:eastAsia="es-ES_tradnl"/>
        </w:rPr>
      </w:pPr>
    </w:p>
    <w:p w14:paraId="04C0F568" w14:textId="77777777" w:rsidR="00881044" w:rsidRPr="00277E26" w:rsidRDefault="00881044" w:rsidP="00881044">
      <w:pPr>
        <w:spacing w:after="0"/>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81044" w:rsidRPr="00277E26" w14:paraId="5729F7B0" w14:textId="77777777" w:rsidTr="00FF065B">
        <w:trPr>
          <w:trHeight w:val="884"/>
        </w:trPr>
        <w:tc>
          <w:tcPr>
            <w:tcW w:w="2689" w:type="dxa"/>
          </w:tcPr>
          <w:p w14:paraId="799346E2" w14:textId="77777777" w:rsidR="00881044" w:rsidRPr="00277E26" w:rsidRDefault="00881044" w:rsidP="00881044">
            <w:pPr>
              <w:jc w:val="both"/>
              <w:rPr>
                <w:rFonts w:ascii="Verdana" w:eastAsia="Calibri" w:hAnsi="Verdana" w:cs="Arial"/>
                <w:b/>
                <w:bCs/>
                <w:color w:val="7030A0"/>
                <w:lang w:val="es-ES_tradnl" w:eastAsia="es-ES_tradnl"/>
              </w:rPr>
            </w:pPr>
          </w:p>
        </w:tc>
        <w:tc>
          <w:tcPr>
            <w:tcW w:w="6100" w:type="dxa"/>
          </w:tcPr>
          <w:p w14:paraId="22133D78" w14:textId="77777777" w:rsidR="00881044" w:rsidRPr="00277E26" w:rsidRDefault="00881044" w:rsidP="00881044">
            <w:pPr>
              <w:jc w:val="both"/>
              <w:rPr>
                <w:rFonts w:ascii="Verdana" w:eastAsia="Calibri" w:hAnsi="Verdana" w:cs="Arial"/>
                <w:b/>
                <w:bCs/>
                <w:color w:val="7030A0"/>
                <w:lang w:val="es-ES" w:eastAsia="es-ES"/>
              </w:rPr>
            </w:pPr>
            <w:r w:rsidRPr="00277E26">
              <w:rPr>
                <w:rFonts w:ascii="Verdana" w:eastAsia="Calibri" w:hAnsi="Verdana" w:cs="Arial"/>
                <w:b/>
                <w:bCs/>
                <w:lang w:val="es-ES" w:eastAsia="es-ES"/>
              </w:rPr>
              <w:t xml:space="preserve">Concepto C – </w:t>
            </w:r>
            <w:r>
              <w:rPr>
                <w:rFonts w:ascii="Verdana" w:eastAsia="Calibri" w:hAnsi="Verdana" w:cs="Arial"/>
                <w:b/>
                <w:bCs/>
                <w:lang w:val="es-ES" w:eastAsia="es-ES"/>
              </w:rPr>
              <w:t>606</w:t>
            </w:r>
            <w:r w:rsidRPr="00277E26">
              <w:rPr>
                <w:rFonts w:ascii="Verdana" w:eastAsia="Calibri" w:hAnsi="Verdana" w:cs="Arial"/>
                <w:b/>
                <w:bCs/>
                <w:lang w:val="es-ES" w:eastAsia="es-ES"/>
              </w:rPr>
              <w:t xml:space="preserve"> de 202</w:t>
            </w:r>
            <w:r>
              <w:rPr>
                <w:rFonts w:ascii="Verdana" w:eastAsia="Calibri" w:hAnsi="Verdana" w:cs="Arial"/>
                <w:b/>
                <w:bCs/>
                <w:lang w:val="es-ES" w:eastAsia="es-ES"/>
              </w:rPr>
              <w:t>5</w:t>
            </w:r>
          </w:p>
        </w:tc>
      </w:tr>
      <w:tr w:rsidR="00881044" w:rsidRPr="00277E26" w14:paraId="47D006C4" w14:textId="77777777" w:rsidTr="00FF065B">
        <w:trPr>
          <w:trHeight w:val="884"/>
        </w:trPr>
        <w:tc>
          <w:tcPr>
            <w:tcW w:w="2689" w:type="dxa"/>
          </w:tcPr>
          <w:p w14:paraId="001005A4" w14:textId="77777777" w:rsidR="00881044" w:rsidRPr="00277E26" w:rsidRDefault="00881044" w:rsidP="00881044">
            <w:pPr>
              <w:jc w:val="both"/>
              <w:rPr>
                <w:rFonts w:ascii="Verdana" w:eastAsia="Calibri" w:hAnsi="Verdana" w:cs="Arial"/>
                <w:color w:val="000000"/>
                <w:lang w:val="es-ES_tradnl" w:eastAsia="es-ES_tradnl"/>
              </w:rPr>
            </w:pPr>
            <w:r w:rsidRPr="00277E26">
              <w:rPr>
                <w:rFonts w:ascii="Verdana" w:eastAsia="Calibri" w:hAnsi="Verdana" w:cs="Arial"/>
                <w:b/>
                <w:color w:val="000000"/>
                <w:lang w:val="es-ES_tradnl" w:eastAsia="es-ES_tradnl"/>
              </w:rPr>
              <w:t>Temas:</w:t>
            </w:r>
            <w:r w:rsidRPr="00277E26">
              <w:rPr>
                <w:rFonts w:ascii="Verdana" w:eastAsia="Calibri" w:hAnsi="Verdana" w:cs="Arial"/>
                <w:color w:val="000000"/>
                <w:lang w:val="es-ES_tradnl" w:eastAsia="es-ES_tradnl"/>
              </w:rPr>
              <w:t xml:space="preserve">                   </w:t>
            </w:r>
          </w:p>
        </w:tc>
        <w:tc>
          <w:tcPr>
            <w:tcW w:w="6100" w:type="dxa"/>
          </w:tcPr>
          <w:p w14:paraId="01B50ADF" w14:textId="77777777" w:rsidR="00881044" w:rsidRPr="00277E26" w:rsidRDefault="00881044" w:rsidP="00881044">
            <w:pPr>
              <w:spacing w:line="276" w:lineRule="auto"/>
              <w:jc w:val="both"/>
              <w:rPr>
                <w:rFonts w:ascii="Verdana" w:eastAsia="Calibri" w:hAnsi="Verdana" w:cs="Arial"/>
                <w:lang w:val="es-ES" w:eastAsia="es-ES"/>
              </w:rPr>
            </w:pPr>
            <w:r w:rsidRPr="00FD5E0F">
              <w:rPr>
                <w:rFonts w:ascii="Verdana" w:eastAsia="Calibri" w:hAnsi="Verdana" w:cs="Arial"/>
                <w:lang w:val="es-ES" w:eastAsia="es-ES"/>
              </w:rPr>
              <w:t xml:space="preserve">EMPRESAS INDUSTRIALES Y COMERCIALES – Régimen contractual – Ley 80 de 1993 – Derecho privado </w:t>
            </w:r>
            <w:r>
              <w:rPr>
                <w:rFonts w:ascii="Verdana" w:eastAsia="Calibri" w:hAnsi="Verdana" w:cs="Arial"/>
                <w:lang w:val="es-ES" w:eastAsia="es-ES"/>
              </w:rPr>
              <w:t xml:space="preserve">/ </w:t>
            </w:r>
            <w:r w:rsidRPr="00FD5E0F">
              <w:rPr>
                <w:rFonts w:ascii="Verdana" w:eastAsia="Calibri" w:hAnsi="Verdana" w:cs="Arial"/>
                <w:lang w:val="es-ES" w:eastAsia="es-ES"/>
              </w:rPr>
              <w:t>EVALUACIÓN DEL PRECIO ‒ Costo real – Incluye IVA</w:t>
            </w:r>
            <w:r>
              <w:rPr>
                <w:rFonts w:ascii="Verdana" w:eastAsia="Calibri" w:hAnsi="Verdana" w:cs="Arial"/>
                <w:lang w:val="es-ES" w:eastAsia="es-ES"/>
              </w:rPr>
              <w:t xml:space="preserve"> / </w:t>
            </w:r>
            <w:r w:rsidRPr="00FD5E0F">
              <w:rPr>
                <w:rFonts w:ascii="Verdana" w:eastAsia="Calibri" w:hAnsi="Verdana" w:cs="Arial"/>
                <w:lang w:val="es-ES" w:eastAsia="es-ES"/>
              </w:rPr>
              <w:t>SELECCIÓN ABREVIADA POR SUBASTA INVERSA Y</w:t>
            </w:r>
            <w:r>
              <w:rPr>
                <w:rFonts w:ascii="Verdana" w:eastAsia="Calibri" w:hAnsi="Verdana" w:cs="Arial"/>
                <w:lang w:val="es-ES" w:eastAsia="es-ES"/>
              </w:rPr>
              <w:t xml:space="preserve"> / </w:t>
            </w:r>
            <w:r w:rsidRPr="00FD5E0F">
              <w:rPr>
                <w:rFonts w:ascii="Verdana" w:eastAsia="Calibri" w:hAnsi="Verdana" w:cs="Arial"/>
                <w:lang w:val="es-ES" w:eastAsia="es-ES"/>
              </w:rPr>
              <w:t>MÍNIMA CUANTÍA – Factor de escogencia – Menor precio</w:t>
            </w:r>
            <w:r w:rsidRPr="009D2A4A">
              <w:rPr>
                <w:rFonts w:ascii="Verdana" w:eastAsia="Calibri" w:hAnsi="Verdana" w:cs="Arial"/>
                <w:lang w:val="es-ES" w:eastAsia="es-ES"/>
              </w:rPr>
              <w:t xml:space="preserve">  </w:t>
            </w:r>
            <w:r w:rsidRPr="00082941">
              <w:rPr>
                <w:rFonts w:ascii="Verdana" w:eastAsia="Calibri" w:hAnsi="Verdana" w:cs="Arial"/>
                <w:lang w:val="es-ES" w:eastAsia="es-ES"/>
              </w:rPr>
              <w:t xml:space="preserve">  </w:t>
            </w:r>
          </w:p>
          <w:p w14:paraId="196EB986" w14:textId="77777777" w:rsidR="00881044" w:rsidRPr="00277E26" w:rsidRDefault="00881044" w:rsidP="00881044">
            <w:pPr>
              <w:spacing w:line="276" w:lineRule="auto"/>
              <w:jc w:val="both"/>
              <w:rPr>
                <w:rFonts w:ascii="Verdana" w:eastAsia="Calibri" w:hAnsi="Verdana" w:cs="Arial"/>
                <w:lang w:val="es-ES" w:eastAsia="es-ES"/>
              </w:rPr>
            </w:pPr>
            <w:r w:rsidRPr="00277E26">
              <w:rPr>
                <w:rFonts w:ascii="Verdana" w:eastAsia="Calibri" w:hAnsi="Verdana" w:cs="Arial"/>
                <w:lang w:val="es-ES" w:eastAsia="es-ES"/>
              </w:rPr>
              <w:t xml:space="preserve">  </w:t>
            </w:r>
          </w:p>
        </w:tc>
      </w:tr>
      <w:tr w:rsidR="00881044" w:rsidRPr="00277E26" w14:paraId="09F6E36C" w14:textId="77777777" w:rsidTr="00FF065B">
        <w:tc>
          <w:tcPr>
            <w:tcW w:w="2689" w:type="dxa"/>
          </w:tcPr>
          <w:p w14:paraId="12A0609F" w14:textId="77777777" w:rsidR="00881044" w:rsidRPr="00277E26" w:rsidRDefault="00881044" w:rsidP="00881044">
            <w:pPr>
              <w:jc w:val="both"/>
              <w:rPr>
                <w:rFonts w:ascii="Verdana" w:eastAsia="Calibri" w:hAnsi="Verdana" w:cs="Arial"/>
                <w:b/>
                <w:lang w:val="es-ES_tradnl" w:eastAsia="es-ES_tradnl"/>
              </w:rPr>
            </w:pPr>
            <w:r w:rsidRPr="00277E26">
              <w:rPr>
                <w:rFonts w:ascii="Verdana" w:eastAsia="Calibri" w:hAnsi="Verdana" w:cs="Arial"/>
                <w:b/>
                <w:lang w:val="es-ES_tradnl" w:eastAsia="es-ES_tradnl"/>
              </w:rPr>
              <w:t>Radicación:</w:t>
            </w:r>
            <w:r w:rsidRPr="00277E26">
              <w:rPr>
                <w:rFonts w:ascii="Verdana" w:eastAsia="Calibri" w:hAnsi="Verdana" w:cs="Arial"/>
                <w:lang w:val="es-ES_tradnl" w:eastAsia="es-ES_tradnl"/>
              </w:rPr>
              <w:t xml:space="preserve">               </w:t>
            </w:r>
          </w:p>
        </w:tc>
        <w:tc>
          <w:tcPr>
            <w:tcW w:w="6100" w:type="dxa"/>
          </w:tcPr>
          <w:p w14:paraId="2DA765BE" w14:textId="77777777" w:rsidR="00881044" w:rsidRPr="00277E26" w:rsidRDefault="00881044" w:rsidP="00881044">
            <w:pPr>
              <w:jc w:val="both"/>
              <w:rPr>
                <w:rFonts w:ascii="Verdana" w:eastAsia="Calibri" w:hAnsi="Verdana" w:cs="Arial"/>
                <w:lang w:eastAsia="es-ES_tradnl"/>
              </w:rPr>
            </w:pPr>
            <w:r w:rsidRPr="00277E26">
              <w:rPr>
                <w:rFonts w:ascii="Verdana" w:eastAsia="Calibri" w:hAnsi="Verdana" w:cs="Arial"/>
                <w:lang w:val="es-ES_tradnl" w:eastAsia="es-ES_tradnl"/>
              </w:rPr>
              <w:t xml:space="preserve">Respuesta a la consulta con radicado No. </w:t>
            </w:r>
            <w:r w:rsidRPr="00B55496">
              <w:rPr>
                <w:rFonts w:ascii="Verdana" w:eastAsia="Calibri" w:hAnsi="Verdana" w:cs="Arial"/>
                <w:lang w:val="es-ES_tradnl" w:eastAsia="es-ES_tradnl"/>
              </w:rPr>
              <w:t>P20250516004726</w:t>
            </w:r>
            <w:r w:rsidRPr="00534CFC">
              <w:rPr>
                <w:rFonts w:ascii="Verdana" w:eastAsia="Calibri" w:hAnsi="Verdana" w:cs="Arial"/>
                <w:lang w:val="es-ES_tradnl" w:eastAsia="es-ES_tradnl"/>
              </w:rPr>
              <w:t xml:space="preserve"> </w:t>
            </w:r>
            <w:r w:rsidRPr="00277E26">
              <w:rPr>
                <w:rFonts w:ascii="Verdana" w:eastAsia="Calibri" w:hAnsi="Verdana" w:cs="Arial"/>
                <w:lang w:val="es-ES_tradnl" w:eastAsia="es-ES_tradnl"/>
              </w:rPr>
              <w:t xml:space="preserve">                                    </w:t>
            </w:r>
          </w:p>
        </w:tc>
      </w:tr>
    </w:tbl>
    <w:p w14:paraId="5F7F5EF4" w14:textId="77777777" w:rsidR="00881044" w:rsidRPr="00277E26" w:rsidRDefault="00881044" w:rsidP="00881044">
      <w:pPr>
        <w:spacing w:after="0"/>
        <w:jc w:val="both"/>
        <w:rPr>
          <w:rFonts w:ascii="Verdana" w:eastAsia="Calibri" w:hAnsi="Verdana" w:cs="Arial"/>
          <w:color w:val="000000"/>
          <w:lang w:val="es-ES_tradnl" w:eastAsia="es-ES_tradnl"/>
        </w:rPr>
      </w:pPr>
    </w:p>
    <w:p w14:paraId="346AA3BD" w14:textId="77777777" w:rsidR="00881044" w:rsidRPr="00277E26" w:rsidRDefault="00881044" w:rsidP="00881044">
      <w:pPr>
        <w:spacing w:after="0"/>
        <w:jc w:val="both"/>
        <w:rPr>
          <w:rFonts w:ascii="Verdana" w:eastAsia="Calibri" w:hAnsi="Verdana" w:cs="Arial"/>
          <w:color w:val="000000"/>
          <w:lang w:val="es-ES_tradnl" w:eastAsia="es-ES_tradnl"/>
        </w:rPr>
      </w:pPr>
    </w:p>
    <w:p w14:paraId="7A184F1E" w14:textId="77777777" w:rsidR="00881044" w:rsidRPr="00277E26" w:rsidRDefault="00881044" w:rsidP="00881044">
      <w:pPr>
        <w:spacing w:after="0" w:line="276" w:lineRule="auto"/>
        <w:jc w:val="both"/>
        <w:rPr>
          <w:rFonts w:ascii="Verdana" w:eastAsia="Calibri" w:hAnsi="Verdana" w:cs="Arial"/>
          <w:lang w:val="es-ES" w:eastAsia="es-ES"/>
        </w:rPr>
      </w:pPr>
      <w:r w:rsidRPr="00277E26">
        <w:rPr>
          <w:rFonts w:ascii="Verdana" w:eastAsia="Calibri" w:hAnsi="Verdana" w:cs="Arial"/>
          <w:lang w:val="es-ES" w:eastAsia="es-ES"/>
        </w:rPr>
        <w:t>Estimad</w:t>
      </w:r>
      <w:r>
        <w:rPr>
          <w:rFonts w:ascii="Verdana" w:eastAsia="Calibri" w:hAnsi="Verdana" w:cs="Arial"/>
          <w:lang w:val="es-ES" w:eastAsia="es-ES"/>
        </w:rPr>
        <w:t>o</w:t>
      </w:r>
      <w:r w:rsidRPr="00277E26">
        <w:rPr>
          <w:rFonts w:ascii="Verdana" w:eastAsia="Calibri" w:hAnsi="Verdana" w:cs="Arial"/>
          <w:lang w:val="es-ES" w:eastAsia="es-ES"/>
        </w:rPr>
        <w:t xml:space="preserve"> señor </w:t>
      </w:r>
      <w:r w:rsidRPr="00B55496">
        <w:rPr>
          <w:rFonts w:ascii="Verdana" w:eastAsia="Calibri" w:hAnsi="Verdana" w:cs="Arial"/>
          <w:lang w:val="es-ES" w:eastAsia="es-ES"/>
        </w:rPr>
        <w:t>González Solarte</w:t>
      </w:r>
      <w:r w:rsidRPr="00277E26">
        <w:rPr>
          <w:rFonts w:ascii="Verdana" w:eastAsia="Calibri" w:hAnsi="Verdana" w:cs="Arial"/>
          <w:lang w:val="es-ES" w:eastAsia="es-ES"/>
        </w:rPr>
        <w:t xml:space="preserve">: </w:t>
      </w:r>
    </w:p>
    <w:p w14:paraId="11A01A5A" w14:textId="77777777" w:rsidR="00881044" w:rsidRPr="00277E26" w:rsidRDefault="00881044" w:rsidP="00881044">
      <w:pPr>
        <w:tabs>
          <w:tab w:val="left" w:pos="3768"/>
        </w:tabs>
        <w:spacing w:after="0" w:line="276" w:lineRule="auto"/>
        <w:jc w:val="both"/>
        <w:rPr>
          <w:rFonts w:ascii="Verdana" w:eastAsia="Calibri" w:hAnsi="Verdana" w:cs="Arial"/>
          <w:color w:val="000000" w:themeColor="text1"/>
          <w:lang w:val="es-ES" w:eastAsia="es-ES"/>
        </w:rPr>
      </w:pPr>
      <w:r w:rsidRPr="00277E26">
        <w:rPr>
          <w:rFonts w:ascii="Verdana" w:eastAsia="Calibri" w:hAnsi="Verdana" w:cs="Arial"/>
          <w:color w:val="000000" w:themeColor="text1"/>
          <w:lang w:val="es-ES" w:eastAsia="es-ES"/>
        </w:rPr>
        <w:tab/>
      </w:r>
    </w:p>
    <w:p w14:paraId="461FAA1D" w14:textId="77777777" w:rsidR="00881044" w:rsidRPr="00277E26" w:rsidRDefault="00881044" w:rsidP="00881044">
      <w:pPr>
        <w:spacing w:after="0" w:line="276" w:lineRule="auto"/>
        <w:jc w:val="both"/>
        <w:rPr>
          <w:rFonts w:ascii="Verdana" w:eastAsia="Calibri" w:hAnsi="Verdana" w:cs="Arial"/>
          <w:color w:val="7030A0"/>
          <w:lang w:val="es-ES" w:eastAsia="es-ES"/>
        </w:rPr>
      </w:pPr>
      <w:r w:rsidRPr="00277E26">
        <w:rPr>
          <w:rFonts w:ascii="Verdana" w:eastAsia="Calibri" w:hAnsi="Verdana" w:cs="Arial"/>
          <w:color w:val="000000" w:themeColor="text1"/>
          <w:lang w:val="es-ES" w:eastAsia="es-ES"/>
        </w:rPr>
        <w:t>En ejercicio de la competencia otorgada por los artículos 3, numeral 5º, y 11, numeral 8º, del Decreto Ley 4170 de 2011,</w:t>
      </w:r>
      <w:r w:rsidRPr="00277E26">
        <w:rPr>
          <w:rFonts w:ascii="Verdana" w:eastAsia="Arial MT" w:hAnsi="Verdana" w:cs="Arial MT"/>
          <w:lang w:val="es-ES" w:eastAsia="es-ES"/>
        </w:rPr>
        <w:t xml:space="preserve"> </w:t>
      </w:r>
      <w:r w:rsidRPr="00277E26">
        <w:rPr>
          <w:rFonts w:ascii="Verdana" w:hAnsi="Verdana" w:cs="Arial"/>
        </w:rPr>
        <w:t xml:space="preserve">así como lo establecido en el artículo 4 de la Resolución 1707 de 2018 expedida por esta Entidad, </w:t>
      </w:r>
      <w:r w:rsidRPr="00277E26">
        <w:rPr>
          <w:rFonts w:ascii="Verdana" w:eastAsia="Calibri" w:hAnsi="Verdana" w:cs="Arial"/>
          <w:color w:val="000000" w:themeColor="text1"/>
          <w:lang w:val="es-ES" w:eastAsia="es-ES"/>
        </w:rPr>
        <w:t xml:space="preserve">la Agencia Nacional de Contratación Pública – Colombia Compra Eficiente responde su solicitud de consulta de </w:t>
      </w:r>
      <w:r w:rsidRPr="00277E26">
        <w:rPr>
          <w:rFonts w:ascii="Verdana" w:eastAsia="Calibri" w:hAnsi="Verdana" w:cs="Arial"/>
          <w:lang w:val="es-ES" w:eastAsia="es-ES"/>
        </w:rPr>
        <w:t xml:space="preserve">fecha </w:t>
      </w:r>
      <w:r>
        <w:rPr>
          <w:rFonts w:ascii="Verdana" w:eastAsia="Calibri" w:hAnsi="Verdana" w:cs="Arial"/>
          <w:lang w:val="es-ES" w:eastAsia="es-ES"/>
        </w:rPr>
        <w:t>16 de mayo de 2025</w:t>
      </w:r>
      <w:r w:rsidRPr="00277E26">
        <w:rPr>
          <w:rFonts w:ascii="Verdana" w:eastAsia="Calibri" w:hAnsi="Verdana" w:cs="Arial"/>
          <w:lang w:val="es-ES" w:eastAsia="es-ES"/>
        </w:rPr>
        <w:t xml:space="preserve">, en la cual </w:t>
      </w:r>
      <w:r>
        <w:rPr>
          <w:rFonts w:ascii="Verdana" w:eastAsia="Calibri" w:hAnsi="Verdana" w:cs="Arial"/>
          <w:lang w:val="es-ES" w:eastAsia="es-ES"/>
        </w:rPr>
        <w:t>pregunta lo siguiente:</w:t>
      </w:r>
      <w:r w:rsidRPr="00277E26">
        <w:rPr>
          <w:rFonts w:ascii="Verdana" w:eastAsia="Calibri" w:hAnsi="Verdana" w:cs="Arial"/>
          <w:lang w:val="es-ES" w:eastAsia="es-ES"/>
        </w:rPr>
        <w:t xml:space="preserve"> </w:t>
      </w:r>
    </w:p>
    <w:p w14:paraId="47CDF5F3" w14:textId="77777777" w:rsidR="00881044" w:rsidRPr="00277E26" w:rsidRDefault="00881044" w:rsidP="00881044">
      <w:pPr>
        <w:pStyle w:val="Prrafodelista"/>
        <w:tabs>
          <w:tab w:val="left" w:pos="142"/>
          <w:tab w:val="left" w:pos="284"/>
        </w:tabs>
        <w:spacing w:after="0" w:line="276" w:lineRule="auto"/>
        <w:ind w:left="0"/>
        <w:jc w:val="both"/>
        <w:rPr>
          <w:rFonts w:ascii="Verdana" w:eastAsia="Century Gothic" w:hAnsi="Verdana" w:cs="Century Gothic"/>
          <w:b/>
          <w:bCs/>
        </w:rPr>
      </w:pPr>
    </w:p>
    <w:p w14:paraId="436135D5" w14:textId="77777777" w:rsidR="00881044" w:rsidRPr="00FC2379" w:rsidRDefault="00881044" w:rsidP="00881044">
      <w:pPr>
        <w:spacing w:after="120"/>
        <w:ind w:left="709" w:right="709"/>
        <w:jc w:val="both"/>
        <w:rPr>
          <w:rFonts w:ascii="Verdana" w:eastAsia="Century Gothic" w:hAnsi="Verdana" w:cs="Century Gothic"/>
          <w:sz w:val="21"/>
          <w:szCs w:val="21"/>
          <w:lang w:val="es-ES"/>
        </w:rPr>
      </w:pPr>
      <w:bookmarkStart w:id="0" w:name="_Hlk95313578"/>
      <w:r w:rsidRPr="006040CE">
        <w:rPr>
          <w:rFonts w:ascii="Verdana" w:eastAsia="Century Gothic" w:hAnsi="Verdana" w:cs="Century Gothic"/>
          <w:sz w:val="21"/>
          <w:szCs w:val="21"/>
          <w:lang w:val="es-ES"/>
        </w:rPr>
        <w:t>“</w:t>
      </w:r>
      <w:bookmarkEnd w:id="0"/>
      <w:r w:rsidRPr="00FC2379">
        <w:rPr>
          <w:rFonts w:ascii="Verdana" w:eastAsia="Century Gothic" w:hAnsi="Verdana" w:cs="Century Gothic"/>
          <w:sz w:val="21"/>
          <w:szCs w:val="21"/>
          <w:lang w:val="es-ES"/>
        </w:rPr>
        <w:t xml:space="preserve">¿Las Empresas Industriales y Comerciales del Estado (EICE) que se encuentran en competencia con el sector privado tienen competencia para adelantar procesos sancionatorios y proferir declaratorias de </w:t>
      </w:r>
      <w:r w:rsidRPr="00FC2379">
        <w:rPr>
          <w:rFonts w:ascii="Verdana" w:eastAsia="Century Gothic" w:hAnsi="Verdana" w:cs="Century Gothic"/>
          <w:sz w:val="21"/>
          <w:szCs w:val="21"/>
          <w:lang w:val="es-ES"/>
        </w:rPr>
        <w:lastRenderedPageBreak/>
        <w:t>incumplimiento en los términos establecidos en el artículo 86 de la Ley 1474 de 2011?</w:t>
      </w:r>
    </w:p>
    <w:p w14:paraId="035AFBF5" w14:textId="77777777" w:rsidR="00881044" w:rsidRPr="00F961F8" w:rsidRDefault="00881044" w:rsidP="00881044">
      <w:pPr>
        <w:spacing w:after="0"/>
        <w:ind w:left="709" w:right="709"/>
        <w:jc w:val="both"/>
        <w:rPr>
          <w:rFonts w:ascii="Verdana" w:eastAsia="Century Gothic" w:hAnsi="Verdana" w:cs="Century Gothic"/>
          <w:sz w:val="21"/>
          <w:szCs w:val="21"/>
          <w:lang w:val="es-ES"/>
        </w:rPr>
      </w:pPr>
      <w:r w:rsidRPr="00FC2379">
        <w:rPr>
          <w:rFonts w:ascii="Verdana" w:eastAsia="Century Gothic" w:hAnsi="Verdana" w:cs="Century Gothic"/>
          <w:sz w:val="21"/>
          <w:szCs w:val="21"/>
          <w:lang w:val="es-ES"/>
        </w:rPr>
        <w:t xml:space="preserve">¿Es jurídicamente procedente que, en los procesos de selección en los que el precio sea un factor ponderable, la entidad establezca en los pliegos de condiciones o en las invitaciones públicas que los proponentes que no sean responsables del impuesto sobre el valor </w:t>
      </w:r>
      <w:proofErr w:type="gramStart"/>
      <w:r w:rsidRPr="00FC2379">
        <w:rPr>
          <w:rFonts w:ascii="Verdana" w:eastAsia="Century Gothic" w:hAnsi="Verdana" w:cs="Century Gothic"/>
          <w:sz w:val="21"/>
          <w:szCs w:val="21"/>
          <w:lang w:val="es-ES"/>
        </w:rPr>
        <w:t>agregado  –</w:t>
      </w:r>
      <w:proofErr w:type="gramEnd"/>
      <w:r w:rsidRPr="00FC2379">
        <w:rPr>
          <w:rFonts w:ascii="Verdana" w:eastAsia="Century Gothic" w:hAnsi="Verdana" w:cs="Century Gothic"/>
          <w:sz w:val="21"/>
          <w:szCs w:val="21"/>
          <w:lang w:val="es-ES"/>
        </w:rPr>
        <w:t xml:space="preserve"> IVA –  deberán descontar dicho impuesto del valor total de su oferta, considerando que este ya ha sido incluido por la entidad en el presupuesto oficial?</w:t>
      </w:r>
      <w:r w:rsidRPr="006040CE">
        <w:rPr>
          <w:rFonts w:ascii="Verdana" w:eastAsia="Century Gothic" w:hAnsi="Verdana" w:cs="Century Gothic"/>
          <w:sz w:val="21"/>
          <w:szCs w:val="21"/>
          <w:lang w:val="es-ES"/>
        </w:rPr>
        <w:t>”.</w:t>
      </w:r>
      <w:r>
        <w:rPr>
          <w:rFonts w:ascii="Verdana" w:eastAsia="Century Gothic" w:hAnsi="Verdana" w:cs="Century Gothic"/>
          <w:sz w:val="20"/>
          <w:szCs w:val="20"/>
          <w:lang w:val="es-ES"/>
        </w:rPr>
        <w:t xml:space="preserve"> </w:t>
      </w:r>
    </w:p>
    <w:p w14:paraId="548095BB" w14:textId="77777777" w:rsidR="00881044" w:rsidRPr="00277E26" w:rsidRDefault="00881044" w:rsidP="00881044">
      <w:pPr>
        <w:spacing w:after="0" w:line="276" w:lineRule="auto"/>
        <w:jc w:val="both"/>
        <w:rPr>
          <w:rFonts w:ascii="Verdana" w:eastAsia="Calibri" w:hAnsi="Verdana" w:cs="Arial"/>
          <w:color w:val="000000"/>
          <w:lang w:val="es-ES" w:eastAsia="es-ES"/>
        </w:rPr>
      </w:pPr>
    </w:p>
    <w:p w14:paraId="63FD1BD2" w14:textId="77777777" w:rsidR="00881044" w:rsidRPr="00277E26" w:rsidRDefault="00881044" w:rsidP="00881044">
      <w:pPr>
        <w:spacing w:after="120" w:line="276" w:lineRule="auto"/>
        <w:ind w:firstLine="709"/>
        <w:jc w:val="both"/>
        <w:rPr>
          <w:rFonts w:ascii="Verdana" w:eastAsia="Calibri" w:hAnsi="Verdana" w:cs="Arial"/>
          <w:color w:val="000000"/>
          <w:lang w:val="es-ES" w:eastAsia="es-ES"/>
        </w:rPr>
      </w:pPr>
      <w:r w:rsidRPr="00277E26">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77E26">
        <w:rPr>
          <w:rFonts w:ascii="Verdana" w:eastAsia="Calibri" w:hAnsi="Verdana" w:cs="Arial"/>
          <w:color w:val="000000"/>
          <w:lang w:val="es-ES_tradnl" w:eastAsia="es-ES_tradnl"/>
        </w:rPr>
        <w:tab/>
      </w:r>
    </w:p>
    <w:p w14:paraId="00212EEB" w14:textId="77777777" w:rsidR="00881044" w:rsidRPr="00277E26" w:rsidRDefault="00881044" w:rsidP="00881044">
      <w:pPr>
        <w:spacing w:after="0" w:line="276" w:lineRule="auto"/>
        <w:ind w:firstLine="709"/>
        <w:jc w:val="both"/>
        <w:rPr>
          <w:rFonts w:ascii="Verdana" w:eastAsia="Calibri" w:hAnsi="Verdana" w:cs="Arial"/>
          <w:color w:val="000000"/>
          <w:lang w:val="es-ES" w:eastAsia="es-ES"/>
        </w:rPr>
      </w:pPr>
      <w:r w:rsidRPr="00277E26">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w:t>
      </w:r>
      <w:r>
        <w:rPr>
          <w:rFonts w:ascii="Verdana" w:eastAsia="Calibri" w:hAnsi="Verdana" w:cs="Arial"/>
          <w:color w:val="000000"/>
          <w:lang w:val="es-ES" w:eastAsia="es-ES"/>
        </w:rPr>
        <w:t>as</w:t>
      </w:r>
      <w:r w:rsidRPr="00277E26">
        <w:rPr>
          <w:rFonts w:ascii="Verdana" w:eastAsia="Calibri" w:hAnsi="Verdana" w:cs="Arial"/>
          <w:color w:val="000000"/>
          <w:lang w:val="es-ES" w:eastAsia="es-ES"/>
        </w:rPr>
        <w:t xml:space="preserve"> circunstancia</w:t>
      </w:r>
      <w:r>
        <w:rPr>
          <w:rFonts w:ascii="Verdana" w:eastAsia="Calibri" w:hAnsi="Verdana" w:cs="Arial"/>
          <w:color w:val="000000"/>
          <w:lang w:val="es-ES" w:eastAsia="es-ES"/>
        </w:rPr>
        <w:t>s</w:t>
      </w:r>
      <w:r w:rsidRPr="00277E26">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277E26">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277E26">
        <w:rPr>
          <w:rFonts w:ascii="Verdana" w:eastAsia="Calibri" w:hAnsi="Verdana" w:cs="Arial"/>
          <w:color w:val="000000"/>
          <w:lang w:val="es-ES" w:eastAsia="es-ES"/>
        </w:rPr>
        <w:t xml:space="preserve"> </w:t>
      </w:r>
      <w:r>
        <w:rPr>
          <w:rFonts w:ascii="Verdana" w:eastAsia="Calibri" w:hAnsi="Verdana" w:cs="Arial"/>
          <w:color w:val="000000"/>
          <w:lang w:val="es-ES" w:eastAsia="es-ES"/>
        </w:rPr>
        <w:t>que la motiven</w:t>
      </w:r>
      <w:r w:rsidRPr="00277E26">
        <w:rPr>
          <w:rFonts w:ascii="Verdana" w:eastAsia="Calibri" w:hAnsi="Verdana" w:cs="Arial"/>
          <w:color w:val="000000"/>
          <w:lang w:val="es-ES" w:eastAsia="es-ES"/>
        </w:rPr>
        <w:t>, pero haciendo unas consideraciones sobre las normas generales relacionadas con el</w:t>
      </w:r>
      <w:r w:rsidRPr="00277E26">
        <w:rPr>
          <w:rFonts w:ascii="Verdana" w:eastAsia="Calibri" w:hAnsi="Verdana" w:cs="Arial"/>
          <w:color w:val="7030A0"/>
          <w:lang w:val="es-ES" w:eastAsia="es-ES"/>
        </w:rPr>
        <w:t xml:space="preserve"> </w:t>
      </w:r>
      <w:r w:rsidRPr="00277E26">
        <w:rPr>
          <w:rFonts w:ascii="Verdana" w:eastAsia="Calibri" w:hAnsi="Verdana" w:cs="Arial"/>
          <w:color w:val="000000"/>
          <w:lang w:val="es-ES" w:eastAsia="es-ES"/>
        </w:rPr>
        <w:t>problema</w:t>
      </w:r>
      <w:r w:rsidRPr="00277E26">
        <w:rPr>
          <w:rFonts w:ascii="Verdana" w:eastAsia="Calibri" w:hAnsi="Verdana" w:cs="Arial"/>
          <w:color w:val="7030A0"/>
          <w:lang w:val="es-ES" w:eastAsia="es-ES"/>
        </w:rPr>
        <w:t xml:space="preserve"> </w:t>
      </w:r>
      <w:r w:rsidRPr="00277E26">
        <w:rPr>
          <w:rFonts w:ascii="Verdana" w:eastAsia="Calibri" w:hAnsi="Verdana" w:cs="Arial"/>
          <w:color w:val="000000"/>
          <w:lang w:val="es-ES" w:eastAsia="es-ES"/>
        </w:rPr>
        <w:t>jurídico</w:t>
      </w:r>
      <w:r w:rsidRPr="00277E26">
        <w:rPr>
          <w:rFonts w:ascii="Verdana" w:eastAsia="Calibri" w:hAnsi="Verdana" w:cs="Arial"/>
          <w:color w:val="7030A0"/>
          <w:lang w:val="es-ES" w:eastAsia="es-ES"/>
        </w:rPr>
        <w:t xml:space="preserve"> </w:t>
      </w:r>
      <w:r w:rsidRPr="00277E26">
        <w:rPr>
          <w:rFonts w:ascii="Verdana" w:eastAsia="Calibri" w:hAnsi="Verdana" w:cs="Arial"/>
          <w:color w:val="000000"/>
          <w:lang w:val="es-ES" w:eastAsia="es-ES"/>
        </w:rPr>
        <w:t xml:space="preserve">de su consulta. </w:t>
      </w:r>
    </w:p>
    <w:p w14:paraId="1411A8DE" w14:textId="77777777" w:rsidR="00881044" w:rsidRPr="00277E26" w:rsidRDefault="00881044" w:rsidP="00881044">
      <w:pPr>
        <w:spacing w:after="0" w:line="276" w:lineRule="auto"/>
        <w:ind w:firstLine="709"/>
        <w:jc w:val="both"/>
        <w:rPr>
          <w:rFonts w:ascii="Verdana" w:eastAsia="Calibri" w:hAnsi="Verdana" w:cs="Arial"/>
          <w:color w:val="000000"/>
          <w:lang w:val="es-ES" w:eastAsia="es-ES"/>
        </w:rPr>
      </w:pPr>
    </w:p>
    <w:p w14:paraId="048808AC" w14:textId="77777777" w:rsidR="00881044" w:rsidRPr="00277E26" w:rsidRDefault="00881044" w:rsidP="0088104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277E26">
        <w:rPr>
          <w:rFonts w:ascii="Verdana" w:eastAsia="Century Gothic" w:hAnsi="Verdana" w:cs="Century Gothic"/>
          <w:b/>
          <w:bCs/>
        </w:rPr>
        <w:t>Problema</w:t>
      </w:r>
      <w:r>
        <w:rPr>
          <w:rFonts w:ascii="Verdana" w:eastAsia="Century Gothic" w:hAnsi="Verdana" w:cs="Century Gothic"/>
          <w:b/>
          <w:bCs/>
        </w:rPr>
        <w:t>s</w:t>
      </w:r>
      <w:r w:rsidRPr="00277E26">
        <w:rPr>
          <w:rFonts w:ascii="Verdana" w:eastAsia="Century Gothic" w:hAnsi="Verdana" w:cs="Century Gothic"/>
          <w:b/>
          <w:bCs/>
        </w:rPr>
        <w:t xml:space="preserve"> planteado</w:t>
      </w:r>
      <w:r>
        <w:rPr>
          <w:rFonts w:ascii="Verdana" w:eastAsia="Century Gothic" w:hAnsi="Verdana" w:cs="Century Gothic"/>
          <w:b/>
          <w:bCs/>
        </w:rPr>
        <w:t>s</w:t>
      </w:r>
      <w:r w:rsidRPr="00277E26">
        <w:rPr>
          <w:rFonts w:ascii="Verdana" w:eastAsia="Century Gothic" w:hAnsi="Verdana" w:cs="Century Gothic"/>
          <w:b/>
          <w:bCs/>
        </w:rPr>
        <w:t>:</w:t>
      </w:r>
    </w:p>
    <w:p w14:paraId="71C15CEB" w14:textId="77777777" w:rsidR="00881044" w:rsidRPr="00277E26" w:rsidRDefault="00881044" w:rsidP="00881044">
      <w:pPr>
        <w:tabs>
          <w:tab w:val="left" w:pos="426"/>
        </w:tabs>
        <w:spacing w:after="0" w:line="276" w:lineRule="auto"/>
        <w:jc w:val="both"/>
        <w:rPr>
          <w:rFonts w:ascii="Verdana" w:eastAsia="Century Gothic" w:hAnsi="Verdana" w:cs="Century Gothic"/>
          <w:lang w:val="es-ES"/>
        </w:rPr>
      </w:pPr>
    </w:p>
    <w:p w14:paraId="22169CBD" w14:textId="77777777" w:rsidR="00881044" w:rsidRPr="00277E26" w:rsidRDefault="00881044" w:rsidP="00881044">
      <w:pPr>
        <w:spacing w:after="0" w:line="276" w:lineRule="auto"/>
        <w:jc w:val="both"/>
        <w:rPr>
          <w:rFonts w:ascii="Verdana" w:eastAsia="Century Gothic" w:hAnsi="Verdana" w:cs="Century Gothic"/>
        </w:rPr>
      </w:pPr>
      <w:r w:rsidRPr="00277E26">
        <w:rPr>
          <w:rFonts w:ascii="Verdana" w:eastAsia="Century Gothic" w:hAnsi="Verdana" w:cs="Century Gothic"/>
        </w:rPr>
        <w:t>De acuerdo con el contenido de su solicitud</w:t>
      </w:r>
      <w:r>
        <w:rPr>
          <w:rFonts w:ascii="Verdana" w:eastAsia="Century Gothic" w:hAnsi="Verdana" w:cs="Century Gothic"/>
        </w:rPr>
        <w:t>,</w:t>
      </w:r>
      <w:r w:rsidRPr="00277E26">
        <w:rPr>
          <w:rFonts w:ascii="Verdana" w:eastAsia="Century Gothic" w:hAnsi="Verdana" w:cs="Century Gothic"/>
        </w:rPr>
        <w:t xml:space="preserve"> esta Agencia resolverá </w:t>
      </w:r>
      <w:r>
        <w:rPr>
          <w:rFonts w:ascii="Verdana" w:eastAsia="Century Gothic" w:hAnsi="Verdana" w:cs="Century Gothic"/>
        </w:rPr>
        <w:t>los</w:t>
      </w:r>
      <w:r w:rsidRPr="00277E26">
        <w:rPr>
          <w:rFonts w:ascii="Verdana" w:eastAsia="Century Gothic" w:hAnsi="Verdana" w:cs="Century Gothic"/>
        </w:rPr>
        <w:t xml:space="preserve"> siguiente</w:t>
      </w:r>
      <w:r>
        <w:rPr>
          <w:rFonts w:ascii="Verdana" w:eastAsia="Century Gothic" w:hAnsi="Verdana" w:cs="Century Gothic"/>
        </w:rPr>
        <w:t>s</w:t>
      </w:r>
      <w:r w:rsidRPr="00277E26">
        <w:rPr>
          <w:rFonts w:ascii="Verdana" w:eastAsia="Century Gothic" w:hAnsi="Verdana" w:cs="Century Gothic"/>
        </w:rPr>
        <w:t xml:space="preserve"> problema</w:t>
      </w:r>
      <w:r>
        <w:rPr>
          <w:rFonts w:ascii="Verdana" w:eastAsia="Century Gothic" w:hAnsi="Verdana" w:cs="Century Gothic"/>
        </w:rPr>
        <w:t>s</w:t>
      </w:r>
      <w:r w:rsidRPr="00277E26">
        <w:rPr>
          <w:rFonts w:ascii="Verdana" w:eastAsia="Century Gothic" w:hAnsi="Verdana" w:cs="Century Gothic"/>
        </w:rPr>
        <w:t xml:space="preserve"> jurídico</w:t>
      </w:r>
      <w:r>
        <w:rPr>
          <w:rFonts w:ascii="Verdana" w:eastAsia="Century Gothic" w:hAnsi="Verdana" w:cs="Century Gothic"/>
        </w:rPr>
        <w:t>s</w:t>
      </w:r>
      <w:r w:rsidRPr="00277E26">
        <w:rPr>
          <w:rFonts w:ascii="Verdana" w:eastAsia="Century Gothic" w:hAnsi="Verdana" w:cs="Century Gothic"/>
        </w:rPr>
        <w:t xml:space="preserve">: </w:t>
      </w:r>
      <w:r>
        <w:rPr>
          <w:rFonts w:ascii="Verdana" w:eastAsia="Century Gothic" w:hAnsi="Verdana" w:cs="Century Gothic"/>
        </w:rPr>
        <w:t xml:space="preserve">i) ¿las </w:t>
      </w:r>
      <w:r w:rsidRPr="00F17815">
        <w:rPr>
          <w:rFonts w:ascii="Verdana" w:eastAsia="Century Gothic" w:hAnsi="Verdana" w:cs="Century Gothic"/>
        </w:rPr>
        <w:t>empresas industriales y comerciales del Estado</w:t>
      </w:r>
      <w:r>
        <w:rPr>
          <w:rFonts w:ascii="Verdana" w:eastAsia="Century Gothic" w:hAnsi="Verdana" w:cs="Century Gothic"/>
        </w:rPr>
        <w:t xml:space="preserve"> son destinatarias del procedimiento administrativo del artículo 86 de la Ley 1474 de 2011? y </w:t>
      </w:r>
      <w:proofErr w:type="spellStart"/>
      <w:r>
        <w:rPr>
          <w:rFonts w:ascii="Verdana" w:eastAsia="Century Gothic" w:hAnsi="Verdana" w:cs="Century Gothic"/>
        </w:rPr>
        <w:t>ii</w:t>
      </w:r>
      <w:proofErr w:type="spellEnd"/>
      <w:r>
        <w:rPr>
          <w:rFonts w:ascii="Verdana" w:eastAsia="Century Gothic" w:hAnsi="Verdana" w:cs="Century Gothic"/>
        </w:rPr>
        <w:t>) ¿procede el descuento del IVA en la presentación de las ofertas?</w:t>
      </w:r>
      <w:r w:rsidRPr="00277E26">
        <w:rPr>
          <w:rFonts w:ascii="Verdana" w:eastAsia="Century Gothic" w:hAnsi="Verdana" w:cs="Century Gothic"/>
        </w:rPr>
        <w:t xml:space="preserve"> </w:t>
      </w:r>
      <w:r w:rsidRPr="00277E26">
        <w:rPr>
          <w:rFonts w:ascii="Verdana" w:eastAsia="Century Gothic" w:hAnsi="Verdana" w:cs="Century Gothic"/>
          <w:color w:val="7030A0"/>
        </w:rPr>
        <w:t xml:space="preserve"> </w:t>
      </w:r>
    </w:p>
    <w:p w14:paraId="5887C3D1" w14:textId="77777777" w:rsidR="00881044" w:rsidRPr="00277E26" w:rsidRDefault="00881044" w:rsidP="00881044">
      <w:pPr>
        <w:spacing w:after="0" w:line="276" w:lineRule="auto"/>
        <w:jc w:val="both"/>
        <w:rPr>
          <w:rFonts w:ascii="Verdana" w:eastAsia="Calibri" w:hAnsi="Verdana" w:cs="Arial"/>
          <w:color w:val="7030A0"/>
        </w:rPr>
      </w:pPr>
    </w:p>
    <w:p w14:paraId="6B701BDD" w14:textId="77777777" w:rsidR="00881044" w:rsidRPr="00277E26" w:rsidRDefault="00881044" w:rsidP="008810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77E26">
        <w:rPr>
          <w:rFonts w:ascii="Verdana" w:eastAsia="Century Gothic" w:hAnsi="Verdana" w:cs="Century Gothic"/>
          <w:b/>
          <w:bCs/>
        </w:rPr>
        <w:t>Respuesta</w:t>
      </w:r>
      <w:r>
        <w:rPr>
          <w:rFonts w:ascii="Verdana" w:eastAsia="Century Gothic" w:hAnsi="Verdana" w:cs="Century Gothic"/>
          <w:b/>
          <w:bCs/>
        </w:rPr>
        <w:t>s</w:t>
      </w:r>
      <w:r w:rsidRPr="00277E26">
        <w:rPr>
          <w:rFonts w:ascii="Verdana" w:eastAsia="Century Gothic" w:hAnsi="Verdana" w:cs="Century Gothic"/>
          <w:b/>
          <w:bCs/>
        </w:rPr>
        <w:t>:</w:t>
      </w:r>
    </w:p>
    <w:p w14:paraId="46E9DF8D" w14:textId="77777777" w:rsidR="00881044" w:rsidRPr="00277E26" w:rsidRDefault="00881044" w:rsidP="0088104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81044" w:rsidRPr="00593A5F" w14:paraId="02E46FB6" w14:textId="77777777" w:rsidTr="00FF065B">
        <w:trPr>
          <w:jc w:val="center"/>
        </w:trPr>
        <w:tc>
          <w:tcPr>
            <w:tcW w:w="8828" w:type="dxa"/>
            <w:shd w:val="clear" w:color="auto" w:fill="auto"/>
          </w:tcPr>
          <w:p w14:paraId="1531FE37" w14:textId="77777777" w:rsidR="00881044" w:rsidRDefault="00881044" w:rsidP="00FF065B">
            <w:pPr>
              <w:spacing w:after="120" w:line="276" w:lineRule="auto"/>
              <w:jc w:val="both"/>
              <w:rPr>
                <w:rFonts w:ascii="Verdana" w:eastAsia="Calibri" w:hAnsi="Verdana" w:cs="Arial"/>
                <w:color w:val="000000" w:themeColor="text1"/>
              </w:rPr>
            </w:pPr>
            <w:bookmarkStart w:id="1" w:name="_Hlk171694685"/>
            <w:r w:rsidRPr="007A65B8">
              <w:rPr>
                <w:rFonts w:ascii="Verdana" w:hAnsi="Verdana"/>
                <w:bCs/>
                <w:color w:val="000000" w:themeColor="text1"/>
                <w:lang w:eastAsia="es-ES_tradnl"/>
              </w:rPr>
              <w:lastRenderedPageBreak/>
              <w:t xml:space="preserve">Conforme a la interpretación de las normas generales del sistema de compras públicas, </w:t>
            </w:r>
            <w:r>
              <w:rPr>
                <w:rFonts w:ascii="Verdana" w:hAnsi="Verdana"/>
                <w:bCs/>
                <w:color w:val="000000" w:themeColor="text1"/>
                <w:lang w:eastAsia="es-ES_tradnl"/>
              </w:rPr>
              <w:t xml:space="preserve">de acuerdo con el artículo 14 de la Ley 1150 de 2007, </w:t>
            </w:r>
            <w:r w:rsidRPr="009B6C67">
              <w:rPr>
                <w:rFonts w:ascii="Verdana" w:eastAsia="Calibri" w:hAnsi="Verdana" w:cs="Arial"/>
                <w:color w:val="000000" w:themeColor="text1"/>
              </w:rPr>
              <w:t xml:space="preserve">el régimen contractual de las empresas industriales y comerciales del Estado que estén en competencia o desarrollen su actividad en mercados regulados es el propio de tal actividad, esto es, por regla general, el derecho privado, salvo las excepciones legales o las contenidas en el acto de creación o en los estatutos de la respectiva empresa industrial o comercial del Estado. Aunque estos contratos están excluidos de la Ley 80 de 1993, no se rigen exclusivamente por el derecho civil y comercial, pues –conforme al artículo 13 de la Ley 1150 de 2007– aplican tanto los principios de la función administrativa y de la gestión fiscal como el régimen de inhabilidades e incompatibilidades. Por el contrario, aquellas empresas industriales y comerciales del Estado que no estén en competencia ni desarrollen su actividad en mercados regulados están sometidas al Estatuto General de Contratación de la Administración Pública y las normas que lo complementan, como lo dispone el artículo 14 de la Ley 1150 de 2007. </w:t>
            </w:r>
          </w:p>
          <w:p w14:paraId="39F23D3A" w14:textId="29CA2BFE" w:rsidR="00881044" w:rsidRDefault="00881044" w:rsidP="00FF065B">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Esto significa que las </w:t>
            </w:r>
            <w:r w:rsidRPr="009B6C67">
              <w:rPr>
                <w:rFonts w:ascii="Verdana" w:eastAsia="Calibri" w:hAnsi="Verdana" w:cs="Arial"/>
                <w:color w:val="000000" w:themeColor="text1"/>
              </w:rPr>
              <w:t xml:space="preserve">empresas industriales y comerciales del Estado que estén en competencia o desarrollen su actividad en mercados regulados </w:t>
            </w:r>
            <w:r w:rsidR="00764A16" w:rsidRPr="00764A16">
              <w:rPr>
                <w:rFonts w:ascii="Verdana" w:eastAsia="Calibri" w:hAnsi="Verdana" w:cs="Arial"/>
                <w:b/>
                <w:bCs/>
                <w:color w:val="000000" w:themeColor="text1"/>
              </w:rPr>
              <w:t>NO</w:t>
            </w:r>
            <w:r>
              <w:rPr>
                <w:rFonts w:ascii="Verdana" w:eastAsia="Calibri" w:hAnsi="Verdana" w:cs="Arial"/>
                <w:color w:val="000000" w:themeColor="text1"/>
              </w:rPr>
              <w:t xml:space="preserve"> están habilitadas para ejercer los poderes exorbitantes en los términos del artículo 14 de la Ley 80 de 1993 o del artículo 17 de la Ley 1150 de 2007. Al pertenecer al régimen exceptuado, tampoco son destinatarias del artículo 86 de la Ley 1437 de 2011, el cual dispone que “</w:t>
            </w:r>
            <w:r w:rsidRPr="00F17815">
              <w:rPr>
                <w:rFonts w:ascii="Verdana" w:eastAsia="Calibri" w:hAnsi="Verdana" w:cs="Arial"/>
                <w:i/>
                <w:iCs/>
                <w:color w:val="000000" w:themeColor="text1"/>
              </w:rPr>
              <w:t>Las entidades sometidas al Estatuto General de Contratación de la Administración Pública</w:t>
            </w:r>
            <w:r w:rsidRPr="00F17815">
              <w:rPr>
                <w:rFonts w:ascii="Verdana" w:eastAsia="Calibri" w:hAnsi="Verdana" w:cs="Arial"/>
                <w:color w:val="000000" w:themeColor="text1"/>
              </w:rPr>
              <w:t xml:space="preserve"> podrán declarar el incumplimiento, cuantificando los perjuicios del mismo, imponer las multas y sanciones pactadas en el contrato, y hacer efectiva la cláusula penal</w:t>
            </w:r>
            <w:r>
              <w:rPr>
                <w:rFonts w:ascii="Verdana" w:eastAsia="Calibri" w:hAnsi="Verdana" w:cs="Arial"/>
                <w:color w:val="000000" w:themeColor="text1"/>
              </w:rPr>
              <w:t xml:space="preserve"> […]” (Énfasis fuera de texto).   </w:t>
            </w:r>
          </w:p>
          <w:p w14:paraId="1D23AB38" w14:textId="77777777" w:rsidR="00881044" w:rsidRPr="00DC39AE" w:rsidRDefault="00881044" w:rsidP="00FF065B">
            <w:pPr>
              <w:spacing w:before="120" w:after="120" w:line="276" w:lineRule="auto"/>
              <w:ind w:firstLine="709"/>
              <w:jc w:val="both"/>
              <w:rPr>
                <w:rFonts w:ascii="Verdana" w:hAnsi="Verdana" w:cs="Arial"/>
                <w:color w:val="000000" w:themeColor="text1"/>
                <w:lang w:val="es-MX"/>
              </w:rPr>
            </w:pPr>
            <w:r>
              <w:rPr>
                <w:rFonts w:ascii="Verdana" w:eastAsia="Calibri" w:hAnsi="Verdana" w:cs="Arial"/>
                <w:color w:val="000000" w:themeColor="text1"/>
              </w:rPr>
              <w:t xml:space="preserve">Por otra parte, </w:t>
            </w:r>
            <w:r w:rsidRPr="00DC39AE">
              <w:rPr>
                <w:rFonts w:ascii="Verdana" w:hAnsi="Verdana" w:cs="Arial"/>
                <w:color w:val="000000" w:themeColor="text1"/>
                <w:lang w:val="es-MX"/>
              </w:rPr>
              <w:t xml:space="preserve">indistintamente de que el oferente que se presenta al proceso de selección sea un contribuyente que está inscrito como responsables del IVA −equivale al régimen común que antes existía− o que no sea responsables de IVA −contribuyentes que antes pertenecían al régimen simplificado−, la evaluación de las propuestas económicas se realiza sobre el precio real ofrecido por cada proponente, esto es, con la inclusión de los impuestos, que se entienden parte del precio. Así las cosas, si un oferente es responsable de IVA y ello influye en el precio ofertado, la ponderación se hace sobre el valor final, sin importar que en el procedimiento existan otros oferentes que no son responsables de este impuesto. </w:t>
            </w:r>
          </w:p>
          <w:p w14:paraId="7C6C5251" w14:textId="77777777" w:rsidR="00881044" w:rsidRPr="00140CBD" w:rsidRDefault="00881044" w:rsidP="00FF065B">
            <w:pPr>
              <w:spacing w:after="120" w:line="276" w:lineRule="auto"/>
              <w:ind w:firstLine="709"/>
              <w:jc w:val="both"/>
              <w:rPr>
                <w:rFonts w:ascii="Verdana" w:eastAsia="Calibri" w:hAnsi="Verdana" w:cs="Arial"/>
                <w:color w:val="000000" w:themeColor="text1"/>
                <w:lang w:eastAsia="es-MX"/>
              </w:rPr>
            </w:pPr>
            <w:r w:rsidRPr="00DC39AE">
              <w:rPr>
                <w:rFonts w:ascii="Verdana" w:eastAsia="Calibri" w:hAnsi="Verdana" w:cs="Arial"/>
                <w:color w:val="000000" w:themeColor="text1"/>
                <w:lang w:val="es-MX"/>
              </w:rPr>
              <w:lastRenderedPageBreak/>
              <w:t xml:space="preserve"> </w:t>
            </w:r>
            <w:r>
              <w:rPr>
                <w:rFonts w:ascii="Verdana" w:eastAsia="Calibri" w:hAnsi="Verdana" w:cs="Arial"/>
                <w:color w:val="000000" w:themeColor="text1"/>
                <w:lang w:val="es-MX"/>
              </w:rPr>
              <w:t>La selección abreviada por subasta inversa o la</w:t>
            </w:r>
            <w:r w:rsidRPr="00DC39AE">
              <w:rPr>
                <w:rFonts w:ascii="Verdana" w:eastAsia="Calibri" w:hAnsi="Verdana" w:cs="Arial"/>
                <w:color w:val="000000" w:themeColor="text1"/>
                <w:lang w:val="es-MX"/>
              </w:rPr>
              <w:t xml:space="preserve"> mínima cuantía, en el que </w:t>
            </w:r>
            <w:r>
              <w:rPr>
                <w:rFonts w:ascii="Verdana" w:eastAsia="Calibri" w:hAnsi="Verdana" w:cs="Arial"/>
                <w:color w:val="000000" w:themeColor="text1"/>
                <w:lang w:val="es-MX"/>
              </w:rPr>
              <w:t>los</w:t>
            </w:r>
            <w:r w:rsidRPr="00DC39AE">
              <w:rPr>
                <w:rFonts w:ascii="Verdana" w:eastAsia="Calibri" w:hAnsi="Verdana" w:cs="Arial"/>
                <w:color w:val="000000" w:themeColor="text1"/>
                <w:lang w:val="es-MX"/>
              </w:rPr>
              <w:t xml:space="preserve"> único</w:t>
            </w:r>
            <w:r>
              <w:rPr>
                <w:rFonts w:ascii="Verdana" w:eastAsia="Calibri" w:hAnsi="Verdana" w:cs="Arial"/>
                <w:color w:val="000000" w:themeColor="text1"/>
                <w:lang w:val="es-MX"/>
              </w:rPr>
              <w:t>s</w:t>
            </w:r>
            <w:r w:rsidRPr="00DC39AE">
              <w:rPr>
                <w:rFonts w:ascii="Verdana" w:eastAsia="Calibri" w:hAnsi="Verdana" w:cs="Arial"/>
                <w:color w:val="000000" w:themeColor="text1"/>
                <w:lang w:val="es-MX"/>
              </w:rPr>
              <w:t xml:space="preserve"> factor</w:t>
            </w:r>
            <w:r>
              <w:rPr>
                <w:rFonts w:ascii="Verdana" w:eastAsia="Calibri" w:hAnsi="Verdana" w:cs="Arial"/>
                <w:color w:val="000000" w:themeColor="text1"/>
                <w:lang w:val="es-MX"/>
              </w:rPr>
              <w:t>es</w:t>
            </w:r>
            <w:r w:rsidRPr="00DC39AE">
              <w:rPr>
                <w:rFonts w:ascii="Verdana" w:eastAsia="Calibri" w:hAnsi="Verdana" w:cs="Arial"/>
                <w:color w:val="000000" w:themeColor="text1"/>
                <w:lang w:val="es-MX"/>
              </w:rPr>
              <w:t xml:space="preserve"> de escogencia </w:t>
            </w:r>
            <w:r>
              <w:rPr>
                <w:rFonts w:ascii="Verdana" w:eastAsia="Calibri" w:hAnsi="Verdana" w:cs="Arial"/>
                <w:color w:val="000000" w:themeColor="text1"/>
                <w:lang w:val="es-MX"/>
              </w:rPr>
              <w:t>son</w:t>
            </w:r>
            <w:r w:rsidRPr="00DC39AE">
              <w:rPr>
                <w:rFonts w:ascii="Verdana" w:eastAsia="Calibri" w:hAnsi="Verdana" w:cs="Arial"/>
                <w:color w:val="000000" w:themeColor="text1"/>
                <w:lang w:val="es-MX"/>
              </w:rPr>
              <w:t xml:space="preserve"> el menor valor</w:t>
            </w:r>
            <w:r>
              <w:rPr>
                <w:rFonts w:ascii="Verdana" w:eastAsia="Calibri" w:hAnsi="Verdana" w:cs="Arial"/>
                <w:color w:val="000000" w:themeColor="text1"/>
                <w:lang w:val="es-MX"/>
              </w:rPr>
              <w:t xml:space="preserve"> ofertado</w:t>
            </w:r>
            <w:r w:rsidRPr="00DC39AE">
              <w:rPr>
                <w:rFonts w:ascii="Verdana" w:eastAsia="Calibri" w:hAnsi="Verdana" w:cs="Arial"/>
                <w:color w:val="000000" w:themeColor="text1"/>
                <w:lang w:val="es-MX"/>
              </w:rPr>
              <w:t xml:space="preserve">, no </w:t>
            </w:r>
            <w:r>
              <w:rPr>
                <w:rFonts w:ascii="Verdana" w:eastAsia="Calibri" w:hAnsi="Verdana" w:cs="Arial"/>
                <w:color w:val="000000" w:themeColor="text1"/>
                <w:lang w:val="es-MX"/>
              </w:rPr>
              <w:t>son</w:t>
            </w:r>
            <w:r w:rsidRPr="00DC39AE">
              <w:rPr>
                <w:rFonts w:ascii="Verdana" w:eastAsia="Calibri" w:hAnsi="Verdana" w:cs="Arial"/>
                <w:color w:val="000000" w:themeColor="text1"/>
                <w:lang w:val="es-MX"/>
              </w:rPr>
              <w:t xml:space="preserve"> la excepción a la aplicación de la postura explicada. En ese sentido, la Agencia Nacional de Contratación Pública – Colombia Compra Eficiente estima que estos procesos la evaluación de la </w:t>
            </w:r>
            <w:r>
              <w:rPr>
                <w:rFonts w:ascii="Verdana" w:eastAsia="Calibri" w:hAnsi="Verdana" w:cs="Arial"/>
                <w:color w:val="000000" w:themeColor="text1"/>
                <w:lang w:val="es-MX"/>
              </w:rPr>
              <w:t>propuesta</w:t>
            </w:r>
            <w:r w:rsidRPr="00DC39AE">
              <w:rPr>
                <w:rFonts w:ascii="Verdana" w:eastAsia="Calibri" w:hAnsi="Verdana" w:cs="Arial"/>
                <w:color w:val="000000" w:themeColor="text1"/>
                <w:lang w:val="es-MX"/>
              </w:rPr>
              <w:t xml:space="preserve"> debe realizarse respecto del precio real ofertado, el cual incluye los valores que debe pagar la entidad para adquirir el bien, obra o servicio, como los impuestos. Esto puesto que la entidad deberá pagar dichos tributos para adquirir el bien o servicio ofertado.</w:t>
            </w:r>
            <w:r>
              <w:rPr>
                <w:rFonts w:ascii="Verdana" w:eastAsia="Calibri" w:hAnsi="Verdana" w:cs="Arial"/>
                <w:color w:val="000000" w:themeColor="text1"/>
                <w:lang w:val="es-MX"/>
              </w:rPr>
              <w:t xml:space="preserve"> Por tanto, </w:t>
            </w:r>
            <w:r w:rsidRPr="00140CBD">
              <w:rPr>
                <w:rFonts w:ascii="Verdana" w:eastAsia="Calibri" w:hAnsi="Verdana" w:cs="Arial"/>
                <w:color w:val="000000" w:themeColor="text1"/>
                <w:lang w:val="es-MX"/>
              </w:rPr>
              <w:t xml:space="preserve">al momento de ponderar las ofertas económicas, </w:t>
            </w:r>
            <w:r>
              <w:rPr>
                <w:rFonts w:ascii="Verdana" w:eastAsia="Calibri" w:hAnsi="Verdana" w:cs="Arial"/>
                <w:color w:val="000000" w:themeColor="text1"/>
                <w:lang w:val="es-MX"/>
              </w:rPr>
              <w:t xml:space="preserve">no </w:t>
            </w:r>
            <w:r w:rsidRPr="00140CBD">
              <w:rPr>
                <w:rFonts w:ascii="Verdana" w:eastAsia="Calibri" w:hAnsi="Verdana" w:cs="Arial"/>
                <w:color w:val="000000" w:themeColor="text1"/>
                <w:lang w:val="es-MX"/>
              </w:rPr>
              <w:t>debe descontar</w:t>
            </w:r>
            <w:r>
              <w:rPr>
                <w:rFonts w:ascii="Verdana" w:eastAsia="Calibri" w:hAnsi="Verdana" w:cs="Arial"/>
                <w:color w:val="000000" w:themeColor="text1"/>
                <w:lang w:val="es-MX"/>
              </w:rPr>
              <w:t>se</w:t>
            </w:r>
            <w:r w:rsidRPr="00140CBD">
              <w:rPr>
                <w:rFonts w:ascii="Verdana" w:eastAsia="Calibri" w:hAnsi="Verdana" w:cs="Arial"/>
                <w:color w:val="000000" w:themeColor="text1"/>
                <w:lang w:val="es-MX"/>
              </w:rPr>
              <w:t xml:space="preserve"> el IVA </w:t>
            </w:r>
            <w:r>
              <w:rPr>
                <w:rFonts w:ascii="Verdana" w:eastAsia="Calibri" w:hAnsi="Verdana" w:cs="Arial"/>
                <w:color w:val="000000" w:themeColor="text1"/>
                <w:lang w:val="es-MX"/>
              </w:rPr>
              <w:t>para</w:t>
            </w:r>
            <w:r w:rsidRPr="00140CBD">
              <w:rPr>
                <w:rFonts w:ascii="Verdana" w:eastAsia="Calibri" w:hAnsi="Verdana" w:cs="Arial"/>
                <w:color w:val="000000" w:themeColor="text1"/>
                <w:lang w:val="es-MX"/>
              </w:rPr>
              <w:t xml:space="preserve"> comparar el valor neto de los bienes o servicios ofrecidos.</w:t>
            </w:r>
          </w:p>
          <w:p w14:paraId="629ED87F" w14:textId="77777777" w:rsidR="00881044" w:rsidRPr="007A65B8" w:rsidRDefault="00881044" w:rsidP="00FF065B">
            <w:pPr>
              <w:spacing w:line="276" w:lineRule="auto"/>
              <w:ind w:firstLine="737"/>
              <w:jc w:val="both"/>
              <w:rPr>
                <w:rFonts w:ascii="Verdana" w:hAnsi="Verdana"/>
                <w:bCs/>
                <w:color w:val="000000" w:themeColor="text1"/>
                <w:lang w:eastAsia="es-ES_tradnl"/>
              </w:rPr>
            </w:pPr>
            <w:r w:rsidRPr="007A65B8">
              <w:rPr>
                <w:rFonts w:ascii="Verdana" w:hAnsi="Verdana"/>
                <w:bCs/>
                <w:color w:val="000000" w:themeColor="text1"/>
                <w:lang w:eastAsia="es-ES_tradnl"/>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109E37FE" w14:textId="77777777" w:rsidR="00881044" w:rsidRPr="00277E26" w:rsidRDefault="00881044" w:rsidP="00881044">
      <w:pPr>
        <w:tabs>
          <w:tab w:val="left" w:pos="142"/>
          <w:tab w:val="left" w:pos="284"/>
        </w:tabs>
        <w:spacing w:after="0" w:line="276" w:lineRule="auto"/>
        <w:jc w:val="both"/>
        <w:rPr>
          <w:rFonts w:ascii="Verdana" w:eastAsia="Century Gothic" w:hAnsi="Verdana" w:cs="Century Gothic"/>
          <w:b/>
          <w:bCs/>
          <w:lang w:val="es-ES"/>
        </w:rPr>
      </w:pPr>
    </w:p>
    <w:bookmarkEnd w:id="1"/>
    <w:p w14:paraId="20D6B876" w14:textId="77777777" w:rsidR="00881044" w:rsidRPr="00277E26" w:rsidRDefault="00881044" w:rsidP="008810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77E26">
        <w:rPr>
          <w:rFonts w:ascii="Verdana" w:eastAsia="Century Gothic" w:hAnsi="Verdana" w:cs="Century Gothic"/>
          <w:b/>
          <w:bCs/>
        </w:rPr>
        <w:t>Razones de la</w:t>
      </w:r>
      <w:r>
        <w:rPr>
          <w:rFonts w:ascii="Verdana" w:eastAsia="Century Gothic" w:hAnsi="Verdana" w:cs="Century Gothic"/>
          <w:b/>
          <w:bCs/>
        </w:rPr>
        <w:t>s</w:t>
      </w:r>
      <w:r w:rsidRPr="00277E26">
        <w:rPr>
          <w:rFonts w:ascii="Verdana" w:eastAsia="Century Gothic" w:hAnsi="Verdana" w:cs="Century Gothic"/>
          <w:b/>
          <w:bCs/>
        </w:rPr>
        <w:t xml:space="preserve"> respuesta</w:t>
      </w:r>
      <w:r>
        <w:rPr>
          <w:rFonts w:ascii="Verdana" w:eastAsia="Century Gothic" w:hAnsi="Verdana" w:cs="Century Gothic"/>
          <w:b/>
          <w:bCs/>
        </w:rPr>
        <w:t>s</w:t>
      </w:r>
      <w:r w:rsidRPr="00277E26">
        <w:rPr>
          <w:rFonts w:ascii="Verdana" w:eastAsia="Century Gothic" w:hAnsi="Verdana" w:cs="Century Gothic"/>
          <w:b/>
          <w:bCs/>
        </w:rPr>
        <w:t>:</w:t>
      </w:r>
    </w:p>
    <w:p w14:paraId="686F3F49" w14:textId="77777777" w:rsidR="00881044" w:rsidRPr="00277E26" w:rsidRDefault="00881044" w:rsidP="00881044">
      <w:pPr>
        <w:spacing w:after="0" w:line="276" w:lineRule="auto"/>
        <w:jc w:val="both"/>
        <w:rPr>
          <w:rFonts w:ascii="Verdana" w:eastAsia="Calibri" w:hAnsi="Verdana" w:cs="Arial"/>
          <w:color w:val="7030A0"/>
          <w:lang w:val="es-ES"/>
        </w:rPr>
      </w:pPr>
    </w:p>
    <w:p w14:paraId="0EDBCB1C" w14:textId="77777777" w:rsidR="00881044" w:rsidRPr="00277E26" w:rsidRDefault="00881044" w:rsidP="00881044">
      <w:pPr>
        <w:spacing w:after="0" w:line="276" w:lineRule="auto"/>
        <w:jc w:val="both"/>
        <w:rPr>
          <w:rFonts w:ascii="Verdana" w:eastAsia="Calibri" w:hAnsi="Verdana" w:cs="Arial"/>
          <w:lang w:val="es-ES"/>
        </w:rPr>
      </w:pPr>
      <w:r w:rsidRPr="00277E26">
        <w:rPr>
          <w:rFonts w:ascii="Verdana" w:eastAsia="Calibri" w:hAnsi="Verdana" w:cs="Arial"/>
          <w:lang w:val="es-ES"/>
        </w:rPr>
        <w:t>Lo anterior se sustenta en las siguientes consideraciones:</w:t>
      </w:r>
    </w:p>
    <w:p w14:paraId="210BA0C1" w14:textId="77777777" w:rsidR="00881044" w:rsidRDefault="00881044" w:rsidP="00881044">
      <w:pPr>
        <w:spacing w:after="0" w:line="276" w:lineRule="auto"/>
        <w:jc w:val="both"/>
        <w:rPr>
          <w:rFonts w:ascii="Arial" w:hAnsi="Arial" w:cs="Arial"/>
          <w:b/>
        </w:rPr>
      </w:pPr>
    </w:p>
    <w:p w14:paraId="5622CCB3" w14:textId="77777777" w:rsidR="00881044" w:rsidRPr="009B6C67" w:rsidRDefault="00881044" w:rsidP="00881044">
      <w:pPr>
        <w:spacing w:after="120" w:line="276" w:lineRule="auto"/>
        <w:jc w:val="both"/>
        <w:rPr>
          <w:rFonts w:ascii="Verdana" w:eastAsia="Calibri" w:hAnsi="Verdana" w:cs="Arial"/>
          <w:b/>
          <w:bCs/>
          <w:color w:val="000000" w:themeColor="text1"/>
        </w:rPr>
      </w:pPr>
      <w:r w:rsidRPr="009B6C67">
        <w:rPr>
          <w:rFonts w:ascii="Verdana" w:hAnsi="Verdana" w:cs="Arial"/>
          <w:bCs/>
        </w:rPr>
        <w:t xml:space="preserve">i. </w:t>
      </w:r>
      <w:r>
        <w:rPr>
          <w:rFonts w:ascii="Verdana" w:eastAsia="Calibri" w:hAnsi="Verdana" w:cs="Arial"/>
          <w:color w:val="000000" w:themeColor="text1"/>
        </w:rPr>
        <w:t>En l</w:t>
      </w:r>
      <w:r w:rsidRPr="009B6C67">
        <w:rPr>
          <w:rFonts w:ascii="Verdana" w:eastAsia="Calibri" w:hAnsi="Verdana" w:cs="Arial"/>
          <w:color w:val="000000" w:themeColor="text1"/>
        </w:rPr>
        <w:t>a estructura de la Administración pública se encuentran las entidades descentralizadas por servicios, y dentro de dicha categoría se ubican las empresas industriales y comerciales del Estado, las cuales –sin perjuicio del control de tutela– tienen personería jurídica, autonomía administrativa y patrimonio propio.</w:t>
      </w:r>
      <w:r w:rsidRPr="009B6C67">
        <w:rPr>
          <w:rFonts w:ascii="Verdana" w:eastAsia="Calibri" w:hAnsi="Verdana" w:cs="Arial"/>
          <w:b/>
          <w:bCs/>
          <w:color w:val="000000" w:themeColor="text1"/>
        </w:rPr>
        <w:t xml:space="preserve"> </w:t>
      </w:r>
      <w:r>
        <w:rPr>
          <w:rFonts w:ascii="Verdana" w:eastAsia="Calibri" w:hAnsi="Verdana" w:cs="Arial"/>
          <w:color w:val="000000" w:themeColor="text1"/>
        </w:rPr>
        <w:t>É</w:t>
      </w:r>
      <w:r w:rsidRPr="009B6C67">
        <w:rPr>
          <w:rFonts w:ascii="Verdana" w:eastAsia="Calibri" w:hAnsi="Verdana" w:cs="Arial"/>
          <w:color w:val="000000" w:themeColor="text1"/>
        </w:rPr>
        <w:t>stas entidades, como su nombre lo indica, se caracterizan por desarrollar actividades de carácter industrial o comercial. Así, por ejemplo, son empresas industriales y comerciales del Estado la Imprenta Nacional de Colombia, Coljuegos, Indumil, la Caja Promotora de Vivienda Militar y de Policía, Colpensiones, entre otras.</w:t>
      </w:r>
    </w:p>
    <w:p w14:paraId="1013DEE6" w14:textId="77777777" w:rsidR="00881044" w:rsidRPr="009B6C67" w:rsidRDefault="00881044" w:rsidP="00881044">
      <w:pPr>
        <w:spacing w:after="120" w:line="276" w:lineRule="auto"/>
        <w:jc w:val="both"/>
        <w:rPr>
          <w:rFonts w:ascii="Verdana" w:eastAsia="Calibri" w:hAnsi="Verdana" w:cs="Arial"/>
          <w:color w:val="000000" w:themeColor="text1"/>
        </w:rPr>
      </w:pPr>
      <w:r w:rsidRPr="009B6C67">
        <w:rPr>
          <w:rFonts w:ascii="Verdana" w:eastAsia="Calibri" w:hAnsi="Verdana" w:cs="Arial"/>
          <w:color w:val="000000" w:themeColor="text1"/>
        </w:rPr>
        <w:tab/>
        <w:t xml:space="preserve">Considerando la actividad desarrollada, se itera, de carácter industrial o comercial, el régimen jurídico aplicable a estas empresas difiere del que </w:t>
      </w:r>
      <w:r w:rsidRPr="009B6C67">
        <w:rPr>
          <w:rFonts w:ascii="Verdana" w:eastAsia="Calibri" w:hAnsi="Verdana" w:cs="Arial"/>
          <w:color w:val="000000" w:themeColor="text1"/>
        </w:rPr>
        <w:lastRenderedPageBreak/>
        <w:t xml:space="preserve">corresponde a otras entidades descentralizadas funcionalmente o por servicios, como las superintendencias con personería jurídica, los establecimientos públicos o las unidades administrativas especiales, pues la regla general es el derecho privado, salvo excepciones legales y las contenidas en el acto de creación o en los estatutos de la respectiva empresa industrial o comercial del Estado.         </w:t>
      </w:r>
    </w:p>
    <w:p w14:paraId="655AD84C" w14:textId="77777777" w:rsidR="00881044" w:rsidRPr="009B6C67" w:rsidRDefault="00881044" w:rsidP="00881044">
      <w:pPr>
        <w:spacing w:after="120" w:line="276" w:lineRule="auto"/>
        <w:jc w:val="both"/>
        <w:rPr>
          <w:rFonts w:ascii="Verdana" w:eastAsia="Calibri" w:hAnsi="Verdana" w:cs="Arial"/>
          <w:color w:val="000000" w:themeColor="text1"/>
        </w:rPr>
      </w:pPr>
      <w:r w:rsidRPr="009B6C67">
        <w:rPr>
          <w:rFonts w:ascii="Verdana" w:eastAsia="Calibri" w:hAnsi="Verdana" w:cs="Arial"/>
          <w:color w:val="000000" w:themeColor="text1"/>
        </w:rPr>
        <w:tab/>
        <w:t>Sobre el régimen de contratación, el artículo 2 de la Ley 80 de 1993 –en concordancia con el artículo 93 de la Ley 489 de 1998– incorporó a las empresas industriales y comerciales del Estado dentro de la categoría de entidades estatales</w:t>
      </w:r>
      <w:r w:rsidRPr="009B6C67">
        <w:rPr>
          <w:rStyle w:val="Refdenotaalpie"/>
          <w:rFonts w:ascii="Verdana" w:eastAsia="Calibri" w:hAnsi="Verdana" w:cs="Arial"/>
          <w:color w:val="000000" w:themeColor="text1"/>
        </w:rPr>
        <w:footnoteReference w:id="1"/>
      </w:r>
      <w:r w:rsidRPr="009B6C67">
        <w:rPr>
          <w:rFonts w:ascii="Verdana" w:eastAsia="Calibri" w:hAnsi="Verdana" w:cs="Arial"/>
          <w:color w:val="000000" w:themeColor="text1"/>
        </w:rPr>
        <w:t>. Para estos efectos, el numeral 1, literal m), del artículo 24 del Estatuto General –derogado por el artículo 32 de la Ley 1150 de 2007– permitía la contratación directa de los bienes y servicios requeridos para el desarrollo de su objeto social, exceptuado los contratos de obra, consultoría, concesión, encargos fiduciarios y fiducia pública</w:t>
      </w:r>
      <w:r w:rsidRPr="009B6C67">
        <w:rPr>
          <w:rStyle w:val="Refdenotaalpie"/>
          <w:rFonts w:ascii="Verdana" w:eastAsia="Calibri" w:hAnsi="Verdana" w:cs="Arial"/>
          <w:color w:val="000000" w:themeColor="text1"/>
        </w:rPr>
        <w:footnoteReference w:id="2"/>
      </w:r>
      <w:r w:rsidRPr="009B6C67">
        <w:rPr>
          <w:rFonts w:ascii="Verdana" w:eastAsia="Calibri" w:hAnsi="Verdana" w:cs="Arial"/>
          <w:color w:val="000000" w:themeColor="text1"/>
        </w:rPr>
        <w:t xml:space="preserve">. </w:t>
      </w:r>
    </w:p>
    <w:p w14:paraId="6928C508" w14:textId="77777777" w:rsidR="00881044" w:rsidRPr="009B6C67" w:rsidRDefault="00881044" w:rsidP="00881044">
      <w:pPr>
        <w:spacing w:after="0" w:line="276" w:lineRule="auto"/>
        <w:jc w:val="both"/>
        <w:rPr>
          <w:rFonts w:ascii="Verdana" w:eastAsia="Calibri" w:hAnsi="Verdana" w:cs="Arial"/>
          <w:color w:val="000000" w:themeColor="text1"/>
        </w:rPr>
      </w:pPr>
      <w:r w:rsidRPr="009B6C67">
        <w:rPr>
          <w:rFonts w:ascii="Verdana" w:eastAsia="Calibri" w:hAnsi="Verdana" w:cs="Arial"/>
          <w:color w:val="000000" w:themeColor="text1"/>
        </w:rPr>
        <w:tab/>
        <w:t>Actualmente, el artículo 14 de Ley 1150 de 2007 distingue entre las empresas industriales y comerciales del Estado que desarrollan sus actividades en competencia con los particulares y las que no: mientras los contratos de estas últimas regresan a las normas de la Ley 80 de 1993, los de aquellas permanecen dentro del Código Civil y de Comercio, lo que –respecto al contenido del artículo 85 de la Ley 489 de 1998– implica un retorno parcial del derecho administrativo. La norma anteriormente citada dispone lo siguiente:</w:t>
      </w:r>
    </w:p>
    <w:p w14:paraId="5C1BB38C" w14:textId="77777777" w:rsidR="00881044" w:rsidRPr="009B6C67" w:rsidRDefault="00881044" w:rsidP="00881044">
      <w:pPr>
        <w:spacing w:after="0" w:line="276" w:lineRule="auto"/>
        <w:jc w:val="both"/>
        <w:rPr>
          <w:rFonts w:ascii="Verdana" w:eastAsia="Calibri" w:hAnsi="Verdana" w:cs="Arial"/>
          <w:color w:val="000000" w:themeColor="text1"/>
        </w:rPr>
      </w:pPr>
    </w:p>
    <w:p w14:paraId="2DC3F46D" w14:textId="77777777" w:rsidR="00881044" w:rsidRPr="009D7E06" w:rsidRDefault="00881044" w:rsidP="00881044">
      <w:pPr>
        <w:spacing w:after="0" w:line="240" w:lineRule="auto"/>
        <w:ind w:left="709" w:right="709"/>
        <w:jc w:val="both"/>
        <w:rPr>
          <w:rFonts w:ascii="Verdana" w:eastAsia="Calibri" w:hAnsi="Verdana" w:cs="Arial"/>
          <w:color w:val="000000" w:themeColor="text1"/>
          <w:sz w:val="21"/>
          <w:szCs w:val="21"/>
        </w:rPr>
      </w:pPr>
      <w:r>
        <w:rPr>
          <w:rFonts w:ascii="Verdana" w:eastAsia="Calibri" w:hAnsi="Verdana" w:cs="Arial"/>
          <w:color w:val="000000" w:themeColor="text1"/>
          <w:sz w:val="21"/>
          <w:szCs w:val="21"/>
        </w:rPr>
        <w:t>“</w:t>
      </w:r>
      <w:r w:rsidRPr="009D7E06">
        <w:rPr>
          <w:rFonts w:ascii="Verdana" w:eastAsia="Calibri" w:hAnsi="Verdana" w:cs="Arial"/>
          <w:color w:val="000000" w:themeColor="text1"/>
          <w:sz w:val="21"/>
          <w:szCs w:val="21"/>
        </w:rPr>
        <w:t xml:space="preserve">Artículo 14. Modificado por la Ley 1474 de 2011, artículo 93. Las Empresas Industriales y Comerciales del Estado, las Sociedades de Economía Mixta en las que el Estado tenga participación superior al </w:t>
      </w:r>
      <w:r w:rsidRPr="009D7E06">
        <w:rPr>
          <w:rFonts w:ascii="Verdana" w:eastAsia="Calibri" w:hAnsi="Verdana" w:cs="Arial"/>
          <w:color w:val="000000" w:themeColor="text1"/>
          <w:sz w:val="21"/>
          <w:szCs w:val="21"/>
        </w:rPr>
        <w:lastRenderedPageBreak/>
        <w:t>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r>
        <w:rPr>
          <w:rFonts w:ascii="Verdana" w:eastAsia="Calibri" w:hAnsi="Verdana" w:cs="Arial"/>
          <w:color w:val="000000" w:themeColor="text1"/>
          <w:sz w:val="21"/>
          <w:szCs w:val="21"/>
        </w:rPr>
        <w:t>”</w:t>
      </w:r>
      <w:r w:rsidRPr="009D7E06">
        <w:rPr>
          <w:rFonts w:ascii="Verdana" w:eastAsia="Calibri" w:hAnsi="Verdana" w:cs="Arial"/>
          <w:color w:val="000000" w:themeColor="text1"/>
          <w:sz w:val="21"/>
          <w:szCs w:val="21"/>
        </w:rPr>
        <w:t>.</w:t>
      </w:r>
    </w:p>
    <w:p w14:paraId="5184C905" w14:textId="77777777" w:rsidR="00881044" w:rsidRPr="009B6C67" w:rsidRDefault="00881044" w:rsidP="00881044">
      <w:pPr>
        <w:spacing w:after="0" w:line="276" w:lineRule="auto"/>
        <w:ind w:left="709" w:right="709"/>
        <w:jc w:val="both"/>
        <w:rPr>
          <w:rFonts w:ascii="Verdana" w:eastAsia="Calibri" w:hAnsi="Verdana" w:cs="Arial"/>
          <w:color w:val="000000" w:themeColor="text1"/>
        </w:rPr>
      </w:pPr>
    </w:p>
    <w:p w14:paraId="6E20B355" w14:textId="77777777" w:rsidR="00881044" w:rsidRPr="009B6C67" w:rsidRDefault="00881044" w:rsidP="00881044">
      <w:pPr>
        <w:spacing w:after="0" w:line="276" w:lineRule="auto"/>
        <w:jc w:val="both"/>
        <w:rPr>
          <w:rFonts w:ascii="Verdana" w:eastAsia="Calibri" w:hAnsi="Verdana" w:cs="Arial"/>
          <w:color w:val="000000" w:themeColor="text1"/>
        </w:rPr>
      </w:pPr>
      <w:r w:rsidRPr="009B6C67">
        <w:rPr>
          <w:rFonts w:ascii="Verdana" w:eastAsia="Calibri" w:hAnsi="Verdana" w:cs="Arial"/>
          <w:color w:val="000000" w:themeColor="text1"/>
        </w:rPr>
        <w:tab/>
        <w:t>En esta medida, las empresas industriales y comerciales del Estado que no estén en competencia ni desarrollen su actividad en mercados regulados están sometidas al Estatuto General de Contratación de la Administración Pública y las normas que lo complementan. Conforme al literal g) del artículo 2.2 de la Ley 1150 de 2007, estos contratos siguen las reglas del procedimiento de selección abreviada, exceptuados los del artículo 32 de la Ley 80 de 1993</w:t>
      </w:r>
      <w:r w:rsidRPr="009B6C67">
        <w:rPr>
          <w:rStyle w:val="Refdenotaalpie"/>
          <w:rFonts w:ascii="Verdana" w:eastAsia="Calibri" w:hAnsi="Verdana" w:cs="Arial"/>
          <w:color w:val="000000" w:themeColor="text1"/>
        </w:rPr>
        <w:footnoteReference w:id="3"/>
      </w:r>
      <w:r w:rsidRPr="009B6C67">
        <w:rPr>
          <w:rFonts w:ascii="Verdana" w:eastAsia="Calibri" w:hAnsi="Verdana" w:cs="Arial"/>
          <w:color w:val="000000" w:themeColor="text1"/>
        </w:rPr>
        <w:t>. En contraste, el régimen contractual de las empresas industriales y comerciales del Estado que se encuentren en competencia o en mercados regulados es el propio de tales actividades, esto es, por regla general, el derecho privado. De acuerdo con la jurisprudencia, la exclusión de estas últimas se justifica en el principio de igualdad, ya que si Estado desarrolla actividades de los particulares, debe actuar no solo desprovisto de poderes exorbitantes sino también con la misma eficacia y eficiencia que los sujetos de derecho privado. No en vano:</w:t>
      </w:r>
    </w:p>
    <w:p w14:paraId="778CC102" w14:textId="77777777" w:rsidR="00881044" w:rsidRPr="009B6C67" w:rsidRDefault="00881044" w:rsidP="00881044">
      <w:pPr>
        <w:spacing w:after="0" w:line="276" w:lineRule="auto"/>
        <w:jc w:val="both"/>
        <w:rPr>
          <w:rFonts w:ascii="Verdana" w:eastAsia="Calibri" w:hAnsi="Verdana" w:cs="Arial"/>
          <w:color w:val="000000" w:themeColor="text1"/>
        </w:rPr>
      </w:pPr>
    </w:p>
    <w:p w14:paraId="6DD5509A" w14:textId="77777777" w:rsidR="00881044" w:rsidRPr="009D7E06" w:rsidRDefault="00881044" w:rsidP="00881044">
      <w:pPr>
        <w:spacing w:after="120" w:line="240" w:lineRule="auto"/>
        <w:ind w:left="709" w:right="709"/>
        <w:jc w:val="both"/>
        <w:rPr>
          <w:rFonts w:ascii="Verdana" w:eastAsia="Calibri" w:hAnsi="Verdana" w:cs="Arial"/>
          <w:color w:val="000000" w:themeColor="text1"/>
          <w:sz w:val="21"/>
          <w:szCs w:val="21"/>
        </w:rPr>
      </w:pPr>
      <w:r>
        <w:rPr>
          <w:rFonts w:ascii="Verdana" w:eastAsia="Calibri" w:hAnsi="Verdana" w:cs="Arial"/>
          <w:color w:val="000000" w:themeColor="text1"/>
          <w:sz w:val="21"/>
          <w:szCs w:val="21"/>
        </w:rPr>
        <w:t>“</w:t>
      </w:r>
      <w:r w:rsidRPr="009D7E06">
        <w:rPr>
          <w:rFonts w:ascii="Verdana" w:eastAsia="Calibri" w:hAnsi="Verdana" w:cs="Arial"/>
          <w:color w:val="000000" w:themeColor="text1"/>
          <w:sz w:val="21"/>
          <w:szCs w:val="21"/>
        </w:rPr>
        <w:t>La razón de ser de la aplicación del régimen de derecho privado a estas entidades radica en 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w:t>
      </w:r>
    </w:p>
    <w:p w14:paraId="2B820CEC" w14:textId="77777777" w:rsidR="00881044" w:rsidRPr="009D7E06" w:rsidRDefault="00881044" w:rsidP="00881044">
      <w:pPr>
        <w:spacing w:after="120" w:line="240" w:lineRule="auto"/>
        <w:ind w:left="709" w:right="709"/>
        <w:jc w:val="both"/>
        <w:rPr>
          <w:rFonts w:ascii="Verdana" w:eastAsia="Calibri" w:hAnsi="Verdana" w:cs="Arial"/>
          <w:color w:val="000000" w:themeColor="text1"/>
          <w:sz w:val="21"/>
          <w:szCs w:val="21"/>
        </w:rPr>
      </w:pPr>
      <w:r w:rsidRPr="009D7E06">
        <w:rPr>
          <w:rFonts w:ascii="Verdana" w:eastAsia="Calibri" w:hAnsi="Verdana" w:cs="Arial"/>
          <w:color w:val="000000" w:themeColor="text1"/>
          <w:sz w:val="21"/>
          <w:szCs w:val="21"/>
        </w:rPr>
        <w:lastRenderedPageBreak/>
        <w:t>Se trata pues, de que sus actividades de explotación industrial o comercial se desarrollen con las mismas oportunidades y las mismas ventajas o desventajas que las adelantadas por aquellos, sin que influya para nada su investidura de entidad estatal; que puedan actuar como particulares, frente a las exigencias de la economía y del mercado.</w:t>
      </w:r>
    </w:p>
    <w:p w14:paraId="37367FA5" w14:textId="77777777" w:rsidR="00881044" w:rsidRPr="009D7E06" w:rsidRDefault="00881044" w:rsidP="00881044">
      <w:pPr>
        <w:spacing w:after="0" w:line="240" w:lineRule="auto"/>
        <w:ind w:left="709" w:right="709"/>
        <w:jc w:val="both"/>
        <w:rPr>
          <w:rFonts w:ascii="Verdana" w:eastAsia="Calibri" w:hAnsi="Verdana" w:cs="Arial"/>
          <w:color w:val="000000" w:themeColor="text1"/>
          <w:sz w:val="21"/>
          <w:szCs w:val="21"/>
        </w:rPr>
      </w:pPr>
      <w:r w:rsidRPr="009D7E06">
        <w:rPr>
          <w:rFonts w:ascii="Verdana" w:eastAsia="Calibri" w:hAnsi="Verdana" w:cs="Arial"/>
          <w:color w:val="000000" w:themeColor="text1"/>
          <w:sz w:val="21"/>
          <w:szCs w:val="21"/>
        </w:rPr>
        <w:t>Por ello, la regla general es que en sus actos y contratos rijan las normas de derecho privado, salvo en cuanto a sus relaciones con la Administración y en aquellos casos en los que por expresa disposición legal ejerzan alguna función administrativa, puesto que allí sí deberá dar aplicación a las reglas de derecho público pertinentes</w:t>
      </w:r>
      <w:r>
        <w:rPr>
          <w:rFonts w:ascii="Verdana" w:eastAsia="Calibri" w:hAnsi="Verdana" w:cs="Arial"/>
          <w:color w:val="000000" w:themeColor="text1"/>
          <w:sz w:val="21"/>
          <w:szCs w:val="21"/>
        </w:rPr>
        <w:t>”</w:t>
      </w:r>
      <w:r w:rsidRPr="009D7E06">
        <w:rPr>
          <w:rStyle w:val="Refdenotaalpie"/>
          <w:rFonts w:ascii="Verdana" w:eastAsia="Calibri" w:hAnsi="Verdana" w:cs="Arial"/>
          <w:color w:val="000000" w:themeColor="text1"/>
          <w:sz w:val="21"/>
          <w:szCs w:val="21"/>
        </w:rPr>
        <w:footnoteReference w:id="4"/>
      </w:r>
      <w:r w:rsidRPr="009D7E06">
        <w:rPr>
          <w:rFonts w:ascii="Verdana" w:eastAsia="Calibri" w:hAnsi="Verdana" w:cs="Arial"/>
          <w:color w:val="000000" w:themeColor="text1"/>
          <w:sz w:val="21"/>
          <w:szCs w:val="21"/>
        </w:rPr>
        <w:t>.</w:t>
      </w:r>
    </w:p>
    <w:p w14:paraId="40CBA27A" w14:textId="77777777" w:rsidR="00881044" w:rsidRPr="009B6C67" w:rsidRDefault="00881044" w:rsidP="00881044">
      <w:pPr>
        <w:spacing w:after="0" w:line="276" w:lineRule="auto"/>
        <w:jc w:val="both"/>
        <w:rPr>
          <w:rFonts w:ascii="Verdana" w:eastAsia="Calibri" w:hAnsi="Verdana" w:cs="Arial"/>
          <w:color w:val="000000" w:themeColor="text1"/>
        </w:rPr>
      </w:pPr>
    </w:p>
    <w:p w14:paraId="5F24EB60" w14:textId="77777777" w:rsidR="00881044" w:rsidRDefault="00881044" w:rsidP="00881044">
      <w:pPr>
        <w:spacing w:after="120" w:line="276" w:lineRule="auto"/>
        <w:ind w:firstLine="709"/>
        <w:jc w:val="both"/>
        <w:rPr>
          <w:rFonts w:ascii="Verdana" w:eastAsia="Calibri" w:hAnsi="Verdana" w:cs="Arial"/>
          <w:color w:val="000000" w:themeColor="text1"/>
        </w:rPr>
      </w:pPr>
      <w:r w:rsidRPr="009B6C67">
        <w:rPr>
          <w:rFonts w:ascii="Verdana" w:eastAsia="Calibri" w:hAnsi="Verdana" w:cs="Arial"/>
          <w:color w:val="000000" w:themeColor="text1"/>
        </w:rPr>
        <w:t xml:space="preserve">Por lo tanto, el régimen contractual de las empresas industriales y comerciales del Estado que estén en competencia o desarrollen su actividad en mercados regulados es el propio de tal actividad, esto es, por regla general, el derecho privado, salvo las excepciones legales o las contenidas en el acto de creación o en los estatutos de la respectiva empresa industrial o comercial del Estado. Aunque estos contratos están excluidos de la Ley 80 de 1993, no se rigen exclusivamente por el derecho civil y comercial, pues –conforme al artículo 13 de la Ley 1150 de 2007– aplican tanto los principios de la función administrativa y de la gestión fiscal como el régimen de inhabilidades e incompatibilidades. Por el contrario, aquellas empresas industriales y comerciales del Estado que no estén en competencia ni desarrollen su actividad en mercados regulados están sometidas al Estatuto General de Contratación de la Administración Pública y las normas que lo complementan, como lo dispone el artículo 14 de la Ley 1150 de 2007. </w:t>
      </w:r>
    </w:p>
    <w:p w14:paraId="26669F8A" w14:textId="77777777" w:rsidR="00881044" w:rsidRDefault="00881044" w:rsidP="00881044">
      <w:pPr>
        <w:spacing w:after="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Esto significa que las </w:t>
      </w:r>
      <w:r w:rsidRPr="009B6C67">
        <w:rPr>
          <w:rFonts w:ascii="Verdana" w:eastAsia="Calibri" w:hAnsi="Verdana" w:cs="Arial"/>
          <w:color w:val="000000" w:themeColor="text1"/>
        </w:rPr>
        <w:t xml:space="preserve">empresas industriales y comerciales del Estado que estén en competencia o desarrollen su actividad en mercados regulados </w:t>
      </w:r>
      <w:r>
        <w:rPr>
          <w:rFonts w:ascii="Verdana" w:eastAsia="Calibri" w:hAnsi="Verdana" w:cs="Arial"/>
          <w:color w:val="000000" w:themeColor="text1"/>
        </w:rPr>
        <w:t>no están habilitadas para ejercer los poderes exorbitantes en los términos del artículo 14 de la Ley 80 de 1993 o del artículo 17 de la Ley 1150 de 2007. Al pertenecer al régimen exceptuado, tampoco son destinatarias del artículo 86 de la Ley 1437 de 2011, el cual dispone que “</w:t>
      </w:r>
      <w:r w:rsidRPr="00F17815">
        <w:rPr>
          <w:rFonts w:ascii="Verdana" w:eastAsia="Calibri" w:hAnsi="Verdana" w:cs="Arial"/>
          <w:i/>
          <w:iCs/>
          <w:color w:val="000000" w:themeColor="text1"/>
        </w:rPr>
        <w:t>Las entidades sometidas al Estatuto General de Contratación de la Administración Pública</w:t>
      </w:r>
      <w:r w:rsidRPr="00F17815">
        <w:rPr>
          <w:rFonts w:ascii="Verdana" w:eastAsia="Calibri" w:hAnsi="Verdana" w:cs="Arial"/>
          <w:color w:val="000000" w:themeColor="text1"/>
        </w:rPr>
        <w:t xml:space="preserve"> podrán declarar el incumplimiento, cuantificando los perjuicios del mismo, imponer las multas y sanciones pactadas en el contrato, y hacer efectiva la cláusula penal</w:t>
      </w:r>
      <w:r>
        <w:rPr>
          <w:rFonts w:ascii="Verdana" w:eastAsia="Calibri" w:hAnsi="Verdana" w:cs="Arial"/>
          <w:color w:val="000000" w:themeColor="text1"/>
        </w:rPr>
        <w:t xml:space="preserve"> […]” (Énfasis fuera de texto).   </w:t>
      </w:r>
    </w:p>
    <w:p w14:paraId="4A03268E" w14:textId="77777777" w:rsidR="00881044" w:rsidRDefault="00881044" w:rsidP="00881044">
      <w:pPr>
        <w:spacing w:after="0" w:line="276" w:lineRule="auto"/>
        <w:jc w:val="both"/>
        <w:rPr>
          <w:rFonts w:ascii="Verdana" w:eastAsia="Calibri" w:hAnsi="Verdana" w:cs="Arial"/>
          <w:color w:val="000000" w:themeColor="text1"/>
        </w:rPr>
      </w:pPr>
    </w:p>
    <w:p w14:paraId="75EB02FA" w14:textId="77777777" w:rsidR="00881044" w:rsidRPr="00DC39AE" w:rsidRDefault="00881044" w:rsidP="00881044">
      <w:pPr>
        <w:spacing w:after="120" w:line="276" w:lineRule="auto"/>
        <w:jc w:val="both"/>
        <w:rPr>
          <w:rFonts w:ascii="Verdana" w:hAnsi="Verdana" w:cs="Arial"/>
          <w:color w:val="000000" w:themeColor="text1"/>
          <w:spacing w:val="4"/>
        </w:rPr>
      </w:pPr>
      <w:proofErr w:type="spellStart"/>
      <w:r w:rsidRPr="00DC39AE">
        <w:rPr>
          <w:rFonts w:ascii="Verdana" w:eastAsia="Calibri" w:hAnsi="Verdana" w:cs="Arial"/>
          <w:color w:val="000000" w:themeColor="text1"/>
        </w:rPr>
        <w:lastRenderedPageBreak/>
        <w:t>ii</w:t>
      </w:r>
      <w:proofErr w:type="spellEnd"/>
      <w:r w:rsidRPr="00DC39AE">
        <w:rPr>
          <w:rFonts w:ascii="Verdana" w:eastAsia="Calibri" w:hAnsi="Verdana" w:cs="Arial"/>
          <w:color w:val="000000" w:themeColor="text1"/>
        </w:rPr>
        <w:t xml:space="preserve">. </w:t>
      </w:r>
      <w:r w:rsidRPr="00DC39AE">
        <w:rPr>
          <w:rFonts w:ascii="Verdana" w:hAnsi="Verdana" w:cs="Arial"/>
          <w:color w:val="000000" w:themeColor="text1"/>
          <w:spacing w:val="4"/>
        </w:rPr>
        <w:t xml:space="preserve">Las actuaciones de quienes intervengan en la contratación estatal se desarrollarán con arreglo al deber de </w:t>
      </w:r>
      <w:r w:rsidRPr="00DC39AE">
        <w:rPr>
          <w:rFonts w:ascii="Verdana" w:hAnsi="Verdana" w:cs="Arial"/>
          <w:bCs/>
          <w:color w:val="000000" w:themeColor="text1"/>
          <w:lang w:val="es-ES"/>
        </w:rPr>
        <w:t>selección objetiva, el cual debe interpretarse de manera conjunta e integrada con los principios orientadores de la actividad contractual, como lo son el de transparencia, economía y responsabilidad, consagrados en los artículos 24, 25 y 26 de la Ley 80 de 1993.</w:t>
      </w:r>
    </w:p>
    <w:p w14:paraId="53DE3884" w14:textId="77777777" w:rsidR="00881044" w:rsidRPr="00DC39AE" w:rsidRDefault="00881044" w:rsidP="00881044">
      <w:pPr>
        <w:spacing w:after="120" w:line="276" w:lineRule="auto"/>
        <w:ind w:firstLine="709"/>
        <w:jc w:val="both"/>
        <w:rPr>
          <w:rFonts w:ascii="Verdana" w:eastAsia="Times New Roman" w:hAnsi="Verdana" w:cs="Arial"/>
          <w:color w:val="000000" w:themeColor="text1"/>
          <w:spacing w:val="4"/>
          <w:lang w:eastAsia="es-MX"/>
        </w:rPr>
      </w:pPr>
      <w:r w:rsidRPr="00DC39AE">
        <w:rPr>
          <w:rFonts w:ascii="Verdana" w:hAnsi="Verdana" w:cs="Arial"/>
          <w:bCs/>
          <w:color w:val="000000" w:themeColor="text1"/>
          <w:lang w:val="es-ES"/>
        </w:rPr>
        <w:t xml:space="preserve">El artículo 5º de la Ley 1150 de 2007, mediante la cual se introdujeron algunas modificaciones a la Ley 80 de 1993, se refiere a la </w:t>
      </w:r>
      <w:r w:rsidRPr="00DC39AE">
        <w:rPr>
          <w:rFonts w:ascii="Verdana" w:hAnsi="Verdana" w:cs="Arial"/>
          <w:bCs/>
          <w:i/>
          <w:iCs/>
          <w:color w:val="000000" w:themeColor="text1"/>
          <w:lang w:val="es-ES"/>
        </w:rPr>
        <w:t>“</w:t>
      </w:r>
      <w:r w:rsidRPr="00A04392">
        <w:rPr>
          <w:rFonts w:ascii="Verdana" w:hAnsi="Verdana" w:cs="Arial"/>
          <w:bCs/>
          <w:color w:val="000000" w:themeColor="text1"/>
          <w:lang w:val="es-ES"/>
        </w:rPr>
        <w:t>selección objetiva</w:t>
      </w:r>
      <w:r w:rsidRPr="00DC39AE">
        <w:rPr>
          <w:rFonts w:ascii="Verdana" w:hAnsi="Verdana" w:cs="Arial"/>
          <w:bCs/>
          <w:i/>
          <w:iCs/>
          <w:color w:val="000000" w:themeColor="text1"/>
          <w:lang w:val="es-ES"/>
        </w:rPr>
        <w:t>”</w:t>
      </w:r>
      <w:r w:rsidRPr="00DC39AE">
        <w:rPr>
          <w:rFonts w:ascii="Verdana" w:hAnsi="Verdana" w:cs="Arial"/>
          <w:bCs/>
          <w:color w:val="000000" w:themeColor="text1"/>
          <w:lang w:val="es-ES"/>
        </w:rPr>
        <w:t xml:space="preserve"> y la define como oferta más favorable aquella que resulte ser más ventajosa para la entidad, después de haber sido aplicados los criterios de escogencia y su ponderación, determinados de manera precisa y detallada en el pliego de condiciones, sin que tal favorabilidad la constituyan elementos extraños a los factores contemplados en ellos.</w:t>
      </w:r>
      <w:r>
        <w:rPr>
          <w:rFonts w:ascii="Verdana" w:hAnsi="Verdana" w:cs="Arial"/>
          <w:color w:val="000000" w:themeColor="text1"/>
          <w:lang w:val="es-ES"/>
        </w:rPr>
        <w:t xml:space="preserve"> </w:t>
      </w:r>
      <w:r w:rsidRPr="00DC39AE">
        <w:rPr>
          <w:rFonts w:ascii="Verdana" w:eastAsia="Times New Roman" w:hAnsi="Verdana" w:cs="Arial"/>
          <w:color w:val="000000" w:themeColor="text1"/>
          <w:spacing w:val="4"/>
          <w:lang w:eastAsia="es-MX"/>
        </w:rPr>
        <w:t>En ese sentido, no cabe duda de que la selección objetiva se fundamenta en aplicar rigurosamente los requisitos de selección de los oferentes y los criterios o factores de evaluación o calificación de las ofertas de forma precisa, detallada y concreta, que permitan a la entidad seleccionar una óptima propuesta o la más ventajosa para la entidad.</w:t>
      </w:r>
    </w:p>
    <w:p w14:paraId="0F2AF7FF" w14:textId="77777777" w:rsidR="00881044" w:rsidRPr="00DC39AE" w:rsidRDefault="00881044" w:rsidP="00881044">
      <w:pPr>
        <w:spacing w:after="120" w:line="276" w:lineRule="auto"/>
        <w:ind w:firstLine="709"/>
        <w:jc w:val="both"/>
        <w:rPr>
          <w:rFonts w:ascii="Verdana" w:hAnsi="Verdana" w:cs="Arial"/>
          <w:color w:val="000000" w:themeColor="text1"/>
          <w:lang w:val="es-MX"/>
        </w:rPr>
      </w:pPr>
      <w:bookmarkStart w:id="2" w:name="_Hlk108685728"/>
      <w:bookmarkStart w:id="3" w:name="_Hlk108448882"/>
      <w:r w:rsidRPr="00DC39AE">
        <w:rPr>
          <w:rFonts w:ascii="Verdana" w:hAnsi="Verdana" w:cs="Arial"/>
          <w:color w:val="000000" w:themeColor="text1"/>
          <w:lang w:val="es-MX"/>
        </w:rPr>
        <w:t>Así las cosas, para que la entidad pueda determinar cuál es la oferta que más ventaja le reporta, lo lógico es que la comparación de precios se haga sobre los que finalmente tendrá que pagar, es decir, no puede realizarse una ponderación adecuada, en el factor económico, si la entidad compara precios que no son reales, pues ello es lo que ocurre si en dicha comparación se toman precios que no serán los que finalmente pagará, porque no se encuentra incluido el IVA o cualquier otro impuesto</w:t>
      </w:r>
      <w:bookmarkEnd w:id="2"/>
      <w:r w:rsidRPr="00DC39AE">
        <w:rPr>
          <w:rFonts w:ascii="Verdana" w:hAnsi="Verdana" w:cs="Arial"/>
          <w:color w:val="000000" w:themeColor="text1"/>
          <w:lang w:val="es-MX"/>
        </w:rPr>
        <w:t xml:space="preserve">. De esta manera, el principio de selección objetiva, antes que permitir que la entidad compare las ofertas económicas sin tener en cuenta el IVA, busca que la comparación se haga sobre la realidad de lo ofrecido por cada proponente, es decir, el valor total de lo que terminará pagando la entidad cuando adjudique el contrato. </w:t>
      </w:r>
    </w:p>
    <w:bookmarkEnd w:id="3"/>
    <w:p w14:paraId="7E78B585" w14:textId="77777777" w:rsidR="00881044" w:rsidRPr="00DC39AE" w:rsidRDefault="00881044" w:rsidP="00881044">
      <w:pPr>
        <w:spacing w:before="120" w:after="120" w:line="276" w:lineRule="auto"/>
        <w:ind w:firstLine="709"/>
        <w:jc w:val="both"/>
        <w:rPr>
          <w:rFonts w:ascii="Verdana" w:hAnsi="Verdana" w:cs="Arial"/>
          <w:color w:val="000000" w:themeColor="text1"/>
          <w:lang w:val="es-MX"/>
        </w:rPr>
      </w:pPr>
      <w:r w:rsidRPr="00DC39AE">
        <w:rPr>
          <w:rFonts w:ascii="Verdana" w:hAnsi="Verdana" w:cs="Arial"/>
          <w:color w:val="000000" w:themeColor="text1"/>
          <w:lang w:val="es-MX"/>
        </w:rPr>
        <w:t>De otro lado, el principio de igualdad consagrado en el artículo 13 de la Constitución Política es un pilar fundamental, no solo de la contratación estatal sino del ordenamiento jurídico. La igualdad, según la Corte Constitucional, tiene la connotación de principio, valor y derecho, por lo que representa un criterio de obligatoria observancia tanto para la producción, como para la aplicación e interpretación del derecho</w:t>
      </w:r>
      <w:r w:rsidRPr="00DC39AE">
        <w:rPr>
          <w:rFonts w:ascii="Verdana" w:hAnsi="Verdana" w:cs="Arial"/>
          <w:color w:val="000000" w:themeColor="text1"/>
          <w:vertAlign w:val="superscript"/>
          <w:lang w:val="es-MX"/>
        </w:rPr>
        <w:footnoteReference w:id="5"/>
      </w:r>
      <w:r w:rsidRPr="00DC39AE">
        <w:rPr>
          <w:rFonts w:ascii="Verdana" w:hAnsi="Verdana" w:cs="Arial"/>
          <w:color w:val="000000" w:themeColor="text1"/>
          <w:lang w:val="es-MX"/>
        </w:rPr>
        <w:t xml:space="preserve">. A la luz del artículo 209 de la Constitución Política, </w:t>
      </w:r>
      <w:r w:rsidRPr="00DC39AE">
        <w:rPr>
          <w:rFonts w:ascii="Verdana" w:hAnsi="Verdana" w:cs="Arial"/>
          <w:color w:val="000000" w:themeColor="text1"/>
          <w:lang w:val="es-MX"/>
        </w:rPr>
        <w:lastRenderedPageBreak/>
        <w:t xml:space="preserve">la igualdad es uno de los principios orientadores de la función administrativa y, en virtud, del principio de igualdad las autoridades darán el mismo trato y protección a las personas e instituciones que intervengan en las actuaciones bajo su conocimiento, como lo ordena el numeral 2º del artículo 3º de la Ley 1437 de 2011. </w:t>
      </w:r>
    </w:p>
    <w:p w14:paraId="77D89EE2" w14:textId="77777777" w:rsidR="00881044" w:rsidRPr="00DC39AE" w:rsidRDefault="00881044" w:rsidP="00881044">
      <w:pPr>
        <w:spacing w:before="120" w:after="0" w:line="276" w:lineRule="auto"/>
        <w:ind w:firstLine="709"/>
        <w:jc w:val="both"/>
        <w:rPr>
          <w:rFonts w:ascii="Verdana" w:hAnsi="Verdana" w:cs="Arial"/>
          <w:color w:val="000000" w:themeColor="text1"/>
          <w:lang w:val="es-MX"/>
        </w:rPr>
      </w:pPr>
      <w:r w:rsidRPr="00DC39AE">
        <w:rPr>
          <w:rFonts w:ascii="Verdana" w:hAnsi="Verdana" w:cs="Arial"/>
          <w:color w:val="000000" w:themeColor="text1"/>
          <w:lang w:val="es-MX"/>
        </w:rPr>
        <w:t xml:space="preserve">En el ámbito de la contratación pública, la igualdad se materializa a través del equilibrio de todos los oferentes frente al proceso de selección, desde la exigencia de los requisitos estipulados en los pliegos de condiciones, en la calificación de sus ofertas y en su selección. La igualdad en los procesos de contratación supone que las condiciones a las que se enfrentan los proponentes sean las mismas para todos y que la oferta adjudicada sea la más favorable a la entidad. Por ello el Consejo de Estado ha determinado que la aplicación del principio de igualdad en la contratación pública materializa otros principios de similar importancia como la selección objetiva y la transparencia: </w:t>
      </w:r>
    </w:p>
    <w:p w14:paraId="4C542FC6" w14:textId="77777777" w:rsidR="00881044" w:rsidRPr="00DC39AE" w:rsidRDefault="00881044" w:rsidP="00881044">
      <w:pPr>
        <w:spacing w:after="0" w:line="276" w:lineRule="auto"/>
        <w:ind w:left="709"/>
        <w:contextualSpacing/>
        <w:jc w:val="both"/>
        <w:rPr>
          <w:rFonts w:ascii="Verdana" w:hAnsi="Verdana" w:cs="Arial"/>
          <w:color w:val="000000" w:themeColor="text1"/>
          <w:lang w:val="es-MX"/>
        </w:rPr>
      </w:pPr>
    </w:p>
    <w:p w14:paraId="54B99984" w14:textId="77777777" w:rsidR="00881044" w:rsidRPr="00A04392" w:rsidRDefault="00881044" w:rsidP="00881044">
      <w:pPr>
        <w:spacing w:after="0" w:line="240" w:lineRule="auto"/>
        <w:ind w:left="709" w:right="709"/>
        <w:contextualSpacing/>
        <w:jc w:val="both"/>
        <w:rPr>
          <w:rFonts w:ascii="Verdana" w:hAnsi="Verdana" w:cs="Arial"/>
          <w:color w:val="000000" w:themeColor="text1"/>
          <w:sz w:val="21"/>
          <w:szCs w:val="21"/>
          <w:lang w:val="es-MX"/>
        </w:rPr>
      </w:pPr>
      <w:r w:rsidRPr="00A04392">
        <w:rPr>
          <w:rFonts w:ascii="Verdana" w:hAnsi="Verdana" w:cs="Arial"/>
          <w:color w:val="000000" w:themeColor="text1"/>
          <w:sz w:val="21"/>
          <w:szCs w:val="21"/>
          <w:lang w:val="es-MX"/>
        </w:rPr>
        <w:t>“La igualdad de los licitadores, presupuesto fundamental que garantiza la selección objetiva y desarrolla el principio de transparencia que orienta la contratación estatal, se traduce en la identidad de oportunidades dispuesta para los sujetos interesados en contratar con la Administración. Y la sujeción estricta al pliego de condiciones es un principio fundamental del proceso licitatorio, que desarrolla la objetividad connatural a este procedimiento, en consideración a que el pliego es fuente principal de los derechos y obligaciones de la administración y de los proponentes”</w:t>
      </w:r>
      <w:r w:rsidRPr="00A04392">
        <w:rPr>
          <w:rFonts w:ascii="Verdana" w:hAnsi="Verdana" w:cs="Arial"/>
          <w:color w:val="000000" w:themeColor="text1"/>
          <w:sz w:val="21"/>
          <w:szCs w:val="21"/>
          <w:vertAlign w:val="superscript"/>
          <w:lang w:val="es-MX"/>
        </w:rPr>
        <w:footnoteReference w:id="6"/>
      </w:r>
      <w:r w:rsidRPr="00A04392">
        <w:rPr>
          <w:rFonts w:ascii="Verdana" w:hAnsi="Verdana" w:cs="Arial"/>
          <w:color w:val="000000" w:themeColor="text1"/>
          <w:sz w:val="21"/>
          <w:szCs w:val="21"/>
          <w:lang w:val="es-MX"/>
        </w:rPr>
        <w:t>.</w:t>
      </w:r>
    </w:p>
    <w:p w14:paraId="6F434DF1" w14:textId="77777777" w:rsidR="00881044" w:rsidRPr="00DC39AE" w:rsidRDefault="00881044" w:rsidP="00881044">
      <w:pPr>
        <w:spacing w:after="0" w:line="276" w:lineRule="auto"/>
        <w:contextualSpacing/>
        <w:jc w:val="both"/>
        <w:rPr>
          <w:rFonts w:ascii="Verdana" w:hAnsi="Verdana" w:cs="Arial"/>
          <w:color w:val="000000" w:themeColor="text1"/>
          <w:lang w:val="es-MX"/>
        </w:rPr>
      </w:pPr>
    </w:p>
    <w:p w14:paraId="04121376" w14:textId="77777777" w:rsidR="00881044" w:rsidRPr="00DC39AE" w:rsidRDefault="00881044" w:rsidP="00881044">
      <w:pPr>
        <w:spacing w:after="120" w:line="276" w:lineRule="auto"/>
        <w:ind w:firstLine="709"/>
        <w:jc w:val="both"/>
        <w:rPr>
          <w:rFonts w:ascii="Verdana" w:hAnsi="Verdana" w:cs="Arial"/>
          <w:color w:val="000000" w:themeColor="text1"/>
          <w:lang w:val="es-MX"/>
        </w:rPr>
      </w:pPr>
      <w:r w:rsidRPr="00DC39AE">
        <w:rPr>
          <w:rFonts w:ascii="Verdana" w:hAnsi="Verdana" w:cs="Arial"/>
          <w:color w:val="000000" w:themeColor="text1"/>
          <w:lang w:val="es-MX"/>
        </w:rPr>
        <w:t xml:space="preserve">Ahora bien, en el escenario de un procedimiento de selección en el que se presentan varios oferentes, unos que según su régimen tributario son responsables de IVA y otros que no, hay que preguntarse ¿el principio de igualdad obliga a que la entidad evalúe las ofertas económicas sin tener en cuenta el mencionado impuesto en el precio ofertado? La respuesta es negativa. </w:t>
      </w:r>
    </w:p>
    <w:p w14:paraId="4481418D" w14:textId="77777777" w:rsidR="00881044" w:rsidRPr="00DC39AE" w:rsidRDefault="00881044" w:rsidP="00881044">
      <w:pPr>
        <w:spacing w:before="120" w:after="120" w:line="276" w:lineRule="auto"/>
        <w:ind w:firstLine="709"/>
        <w:jc w:val="both"/>
        <w:rPr>
          <w:rFonts w:ascii="Verdana" w:hAnsi="Verdana" w:cs="Arial"/>
          <w:color w:val="000000" w:themeColor="text1"/>
          <w:lang w:val="es-MX"/>
        </w:rPr>
      </w:pPr>
      <w:r w:rsidRPr="00DC39AE">
        <w:rPr>
          <w:rFonts w:ascii="Verdana" w:hAnsi="Verdana" w:cs="Arial"/>
          <w:color w:val="000000" w:themeColor="text1"/>
          <w:lang w:val="es-MX"/>
        </w:rPr>
        <w:lastRenderedPageBreak/>
        <w:t xml:space="preserve">La posición que adopta la Subdirección de Gestión Contractual es que el IVA hace parte del precio que ofrece cada proponente, y así debe ser ponderado al momento de la evaluación de las ofertas. Si un proponente está en capacidad de ofrecer un precio menor porque, según su régimen tributario, no es responsable de IVA, entonces eso hace parte de las condiciones de su oferta y, evidentemente, podría estar en ventaja, en lo que respecta al precio, frente a otro proponente que sea responsable del pago del impuesto, pero ello no representa un trato desigual que imponga la entidad, pues es el precio que puede ofrecer cada proponente. </w:t>
      </w:r>
    </w:p>
    <w:p w14:paraId="2DBC9418" w14:textId="77777777" w:rsidR="00881044" w:rsidRPr="00DC39AE" w:rsidRDefault="00881044" w:rsidP="00881044">
      <w:pPr>
        <w:spacing w:before="120" w:after="120" w:line="276" w:lineRule="auto"/>
        <w:ind w:firstLine="709"/>
        <w:jc w:val="both"/>
        <w:rPr>
          <w:rFonts w:ascii="Verdana" w:hAnsi="Verdana" w:cs="Arial"/>
          <w:color w:val="000000" w:themeColor="text1"/>
          <w:lang w:val="es-MX"/>
        </w:rPr>
      </w:pPr>
      <w:r w:rsidRPr="00DC39AE">
        <w:rPr>
          <w:rFonts w:ascii="Verdana" w:hAnsi="Verdana" w:cs="Arial"/>
          <w:color w:val="000000" w:themeColor="text1"/>
          <w:lang w:val="es-MX"/>
        </w:rPr>
        <w:t xml:space="preserve">La misma reflexión cabría, por ejemplo, si un proponente es capaz de ofertar a unos precios significativamente inferiores que el resto de los competidores porque su estructura de costos se lo permite, o porque tiene acceso a créditos a una tasa de interés más baja que el resto o porque es propietario de la maquinaria y no debe pagar alquiler. Todas estas situaciones, incluida la del IVA, son aspectos que inciden en el precio que puede ofrecer cada proponente y en la calidad de su oferta. </w:t>
      </w:r>
    </w:p>
    <w:p w14:paraId="368A1657" w14:textId="77777777" w:rsidR="00881044" w:rsidRPr="00DC39AE" w:rsidRDefault="00881044" w:rsidP="00881044">
      <w:pPr>
        <w:spacing w:before="120" w:after="120" w:line="276" w:lineRule="auto"/>
        <w:ind w:firstLine="709"/>
        <w:jc w:val="both"/>
        <w:rPr>
          <w:rFonts w:ascii="Verdana" w:hAnsi="Verdana" w:cs="Arial"/>
          <w:color w:val="000000" w:themeColor="text1"/>
          <w:lang w:val="es-MX"/>
        </w:rPr>
      </w:pPr>
      <w:bookmarkStart w:id="5" w:name="_Hlk108689460"/>
      <w:bookmarkStart w:id="6" w:name="_Hlk108448910"/>
      <w:r w:rsidRPr="00DC39AE">
        <w:rPr>
          <w:rFonts w:ascii="Verdana" w:hAnsi="Verdana" w:cs="Arial"/>
          <w:color w:val="000000" w:themeColor="text1"/>
          <w:lang w:val="es-MX"/>
        </w:rPr>
        <w:t xml:space="preserve">No puede alegarse la violación del principio de igualdad cuando una entidad compara el precio real que ofrece cada proponente, pues la jurisprudencia constitucional ha determinado que la igualdad de trato se predica entre iguales. En otras palabras, para que se pueda exigir el respeto de la igualdad hay que demostrar que se está en la misma situación de hecho y de derecho. </w:t>
      </w:r>
    </w:p>
    <w:bookmarkEnd w:id="5"/>
    <w:p w14:paraId="6A87D53B" w14:textId="77777777" w:rsidR="00881044" w:rsidRPr="00DC39AE" w:rsidRDefault="00881044" w:rsidP="00881044">
      <w:pPr>
        <w:spacing w:before="120" w:after="120" w:line="276" w:lineRule="auto"/>
        <w:ind w:firstLine="709"/>
        <w:jc w:val="both"/>
        <w:rPr>
          <w:rFonts w:ascii="Verdana" w:hAnsi="Verdana" w:cs="Arial"/>
          <w:color w:val="000000" w:themeColor="text1"/>
          <w:lang w:val="es-MX"/>
        </w:rPr>
      </w:pPr>
      <w:r w:rsidRPr="00DC39AE">
        <w:rPr>
          <w:rFonts w:ascii="Verdana" w:hAnsi="Verdana" w:cs="Arial"/>
          <w:color w:val="000000" w:themeColor="text1"/>
          <w:lang w:val="es-MX"/>
        </w:rPr>
        <w:t xml:space="preserve">Además, debe tenerse presente que la definición del régimen tributario aplicable a los proponentes que se presentan al procedimiento de selección no es realizada por la entidad estatal, sino que es un tema definido por el legislador, quien optó por establecer ciertas cargas a algunos sujetos y a otros no. Es decir que la distinción o discriminación fue realizada por el legislador. </w:t>
      </w:r>
    </w:p>
    <w:bookmarkEnd w:id="6"/>
    <w:p w14:paraId="780C192A" w14:textId="77777777" w:rsidR="00881044" w:rsidRPr="00DC39AE" w:rsidRDefault="00881044" w:rsidP="00881044">
      <w:pPr>
        <w:spacing w:before="120" w:after="120" w:line="276" w:lineRule="auto"/>
        <w:ind w:firstLine="709"/>
        <w:jc w:val="both"/>
        <w:rPr>
          <w:rFonts w:ascii="Verdana" w:hAnsi="Verdana" w:cs="Arial"/>
          <w:color w:val="000000" w:themeColor="text1"/>
          <w:lang w:val="es-MX"/>
        </w:rPr>
      </w:pPr>
      <w:r w:rsidRPr="00DC39AE">
        <w:rPr>
          <w:rFonts w:ascii="Verdana" w:hAnsi="Verdana" w:cs="Arial"/>
          <w:color w:val="000000" w:themeColor="text1"/>
          <w:lang w:val="es-MX"/>
        </w:rPr>
        <w:t xml:space="preserve">Por ello, la Corte Constitucional ha señalado que un correcto entendimiento del derecho a la igualdad parte de la consideración de tratar igual a quienes estén en situaciones esencialmente similares y desigual a quienes estén en situaciones diferentes: De esta manera, </w:t>
      </w:r>
      <w:r>
        <w:rPr>
          <w:rFonts w:ascii="Verdana" w:hAnsi="Verdana" w:cs="Arial"/>
          <w:color w:val="000000" w:themeColor="text1"/>
          <w:lang w:val="es-MX"/>
        </w:rPr>
        <w:t>“</w:t>
      </w:r>
      <w:r w:rsidRPr="00DC39AE">
        <w:rPr>
          <w:rFonts w:ascii="Verdana" w:hAnsi="Verdana" w:cs="Arial"/>
          <w:color w:val="000000" w:themeColor="text1"/>
          <w:lang w:val="es-MX"/>
        </w:rPr>
        <w:t>La correcta aplicación del derecho a la igualdad no sólo supone la igualdad de trato respecto de los privilegios, oportunidades y cargas entre los iguales, sino también el tratamiento desigual entre supuestos disímiles</w:t>
      </w:r>
      <w:r>
        <w:rPr>
          <w:rFonts w:ascii="Verdana" w:hAnsi="Verdana" w:cs="Arial"/>
          <w:color w:val="000000" w:themeColor="text1"/>
          <w:lang w:val="es-MX"/>
        </w:rPr>
        <w:t>”</w:t>
      </w:r>
      <w:r w:rsidRPr="00DC39AE">
        <w:rPr>
          <w:rFonts w:ascii="Verdana" w:hAnsi="Verdana" w:cs="Arial"/>
          <w:color w:val="000000" w:themeColor="text1"/>
          <w:vertAlign w:val="superscript"/>
          <w:lang w:val="es-MX"/>
        </w:rPr>
        <w:footnoteReference w:id="7"/>
      </w:r>
      <w:r w:rsidRPr="00DC39AE">
        <w:rPr>
          <w:rFonts w:ascii="Verdana" w:hAnsi="Verdana" w:cs="Arial"/>
          <w:color w:val="000000" w:themeColor="text1"/>
          <w:lang w:val="es-MX"/>
        </w:rPr>
        <w:t xml:space="preserve">. </w:t>
      </w:r>
    </w:p>
    <w:p w14:paraId="032E4D35" w14:textId="77777777" w:rsidR="00881044" w:rsidRPr="00DC39AE" w:rsidRDefault="00881044" w:rsidP="00881044">
      <w:pPr>
        <w:spacing w:after="120" w:line="276" w:lineRule="auto"/>
        <w:ind w:firstLine="709"/>
        <w:jc w:val="both"/>
        <w:rPr>
          <w:rFonts w:ascii="Verdana" w:hAnsi="Verdana" w:cs="Arial"/>
          <w:color w:val="000000" w:themeColor="text1"/>
          <w:lang w:val="es-MX"/>
        </w:rPr>
      </w:pPr>
      <w:bookmarkStart w:id="7" w:name="_Hlk108448925"/>
      <w:bookmarkStart w:id="8" w:name="_Hlk108689480"/>
      <w:r w:rsidRPr="00DC39AE">
        <w:rPr>
          <w:rFonts w:ascii="Verdana" w:hAnsi="Verdana" w:cs="Arial"/>
          <w:color w:val="000000" w:themeColor="text1"/>
          <w:lang w:val="es-MX"/>
        </w:rPr>
        <w:lastRenderedPageBreak/>
        <w:t>Así las cosas, no puede predicarse igualdad de trato frente a quienes no se encuentran en la misma situación. Entonces, no podría justificarse que en un proceso de selección donde existen oferentes que proponen un precio con IVA, por ser responsables de este, y otros que no, la ponderación de propuestas se haga descontando el IVA para todos, pues ello, antes que realizar el principio de igualdad, lo violenta.</w:t>
      </w:r>
    </w:p>
    <w:p w14:paraId="2254A1C7" w14:textId="77777777" w:rsidR="00881044" w:rsidRPr="00DC39AE" w:rsidRDefault="00881044" w:rsidP="00881044">
      <w:pPr>
        <w:spacing w:before="120" w:after="120" w:line="276" w:lineRule="auto"/>
        <w:ind w:firstLine="709"/>
        <w:jc w:val="both"/>
        <w:rPr>
          <w:rFonts w:ascii="Verdana" w:hAnsi="Verdana" w:cs="Arial"/>
          <w:color w:val="000000" w:themeColor="text1"/>
          <w:lang w:val="es-MX"/>
        </w:rPr>
      </w:pPr>
      <w:r w:rsidRPr="00DC39AE">
        <w:rPr>
          <w:rFonts w:ascii="Verdana" w:hAnsi="Verdana" w:cs="Arial"/>
          <w:color w:val="000000" w:themeColor="text1"/>
          <w:lang w:val="es-MX"/>
        </w:rPr>
        <w:t xml:space="preserve"> En efecto, no se encuentran en la misma situación quienes ofrecen un precio con IVA y quienes son capaces de ofrecerle a la entidad ese precio sin el impuesto, porque no tienen que pagarlo. Frente al criterio de comparación, en este caso, el precio, los oferentes estarían en situaciones diferentes, y no por un criterio que hubiere adoptado la entidad, sino por un aspecto que le es propio a cada oferente, como es su régimen tributario. </w:t>
      </w:r>
      <w:bookmarkEnd w:id="7"/>
    </w:p>
    <w:p w14:paraId="23CF19A0" w14:textId="77777777" w:rsidR="00881044" w:rsidRPr="00DC39AE" w:rsidRDefault="00881044" w:rsidP="00881044">
      <w:pPr>
        <w:spacing w:before="120" w:after="120" w:line="276" w:lineRule="auto"/>
        <w:ind w:firstLine="709"/>
        <w:jc w:val="both"/>
        <w:rPr>
          <w:rFonts w:ascii="Verdana" w:hAnsi="Verdana" w:cs="Arial"/>
          <w:color w:val="000000" w:themeColor="text1"/>
          <w:lang w:val="es-MX"/>
        </w:rPr>
      </w:pPr>
      <w:bookmarkStart w:id="9" w:name="_Hlk108448954"/>
      <w:bookmarkEnd w:id="8"/>
      <w:r>
        <w:rPr>
          <w:rFonts w:ascii="Verdana" w:hAnsi="Verdana" w:cs="Arial"/>
          <w:color w:val="000000" w:themeColor="text1"/>
          <w:lang w:val="es-MX"/>
        </w:rPr>
        <w:t>L</w:t>
      </w:r>
      <w:r w:rsidRPr="00DC39AE">
        <w:rPr>
          <w:rFonts w:ascii="Verdana" w:hAnsi="Verdana" w:cs="Arial"/>
          <w:color w:val="000000" w:themeColor="text1"/>
          <w:lang w:val="es-MX"/>
        </w:rPr>
        <w:t xml:space="preserve">os impuestos son parte integral del precio, pues es lo que finalmente terminará pagando la entidad cuando adjudique el contrato, por lo cual en aplicación de los principios de selección objetiva y de igualdad, la entidad contratante debe evaluar las ofertas con base en el precio final o real que ofrezca cada proponente, toda vez que de esa comparación es que surgirá la oferta más favorable o ventajosa para el Estado. </w:t>
      </w:r>
    </w:p>
    <w:bookmarkEnd w:id="9"/>
    <w:p w14:paraId="5B16E0CC" w14:textId="77777777" w:rsidR="00881044" w:rsidRPr="00DC39AE" w:rsidRDefault="00881044" w:rsidP="00881044">
      <w:pPr>
        <w:spacing w:before="120" w:after="120" w:line="276" w:lineRule="auto"/>
        <w:ind w:firstLine="709"/>
        <w:jc w:val="both"/>
        <w:rPr>
          <w:rFonts w:ascii="Verdana" w:hAnsi="Verdana" w:cs="Arial"/>
          <w:color w:val="000000" w:themeColor="text1"/>
          <w:lang w:val="es-MX"/>
        </w:rPr>
      </w:pPr>
      <w:r w:rsidRPr="00DC39AE">
        <w:rPr>
          <w:rFonts w:ascii="Verdana" w:hAnsi="Verdana" w:cs="Arial"/>
          <w:color w:val="000000" w:themeColor="text1"/>
          <w:lang w:val="es-MX"/>
        </w:rPr>
        <w:t xml:space="preserve">Ahora bien, es pertinente mencionar lo contenido en la Ley </w:t>
      </w:r>
      <w:r>
        <w:rPr>
          <w:rFonts w:ascii="Verdana" w:hAnsi="Verdana" w:cs="Arial"/>
          <w:color w:val="000000" w:themeColor="text1"/>
          <w:lang w:val="es-MX"/>
        </w:rPr>
        <w:t>2010</w:t>
      </w:r>
      <w:r w:rsidRPr="00DC39AE">
        <w:rPr>
          <w:rFonts w:ascii="Verdana" w:hAnsi="Verdana" w:cs="Arial"/>
          <w:color w:val="000000" w:themeColor="text1"/>
          <w:lang w:val="es-MX"/>
        </w:rPr>
        <w:t xml:space="preserve"> de 201</w:t>
      </w:r>
      <w:r>
        <w:rPr>
          <w:rFonts w:ascii="Verdana" w:hAnsi="Verdana" w:cs="Arial"/>
          <w:color w:val="000000" w:themeColor="text1"/>
          <w:lang w:val="es-MX"/>
        </w:rPr>
        <w:t>9</w:t>
      </w:r>
      <w:r w:rsidRPr="00DC39AE">
        <w:rPr>
          <w:rFonts w:ascii="Verdana" w:hAnsi="Verdana" w:cs="Arial"/>
          <w:color w:val="000000" w:themeColor="text1"/>
          <w:lang w:val="es-MX"/>
        </w:rPr>
        <w:t xml:space="preserve">, </w:t>
      </w:r>
      <w:r>
        <w:rPr>
          <w:rFonts w:ascii="Verdana" w:hAnsi="Verdana" w:cs="Arial"/>
          <w:color w:val="000000" w:themeColor="text1"/>
          <w:lang w:val="es-MX"/>
        </w:rPr>
        <w:t>“</w:t>
      </w:r>
      <w:r w:rsidRPr="00DC39AE">
        <w:rPr>
          <w:rFonts w:ascii="Verdana" w:hAnsi="Verdana" w:cs="Arial"/>
          <w:color w:val="000000" w:themeColor="text1"/>
          <w:lang w:val="es-MX"/>
        </w:rPr>
        <w:t>Por la cual se expiden normas de financiamiento para el restablecimiento del equilibrio del presupuesto general y se dictan otras disposiciones</w:t>
      </w:r>
      <w:r>
        <w:rPr>
          <w:rFonts w:ascii="Verdana" w:hAnsi="Verdana" w:cs="Arial"/>
          <w:color w:val="000000" w:themeColor="text1"/>
          <w:lang w:val="es-MX"/>
        </w:rPr>
        <w:t>”</w:t>
      </w:r>
      <w:r w:rsidRPr="00DC39AE">
        <w:rPr>
          <w:rFonts w:ascii="Verdana" w:hAnsi="Verdana" w:cs="Arial"/>
          <w:color w:val="000000" w:themeColor="text1"/>
          <w:lang w:val="es-MX"/>
        </w:rPr>
        <w:t xml:space="preserve">, en la que se dispuso de una serie de cambios respecto a los responsables del IVA. En ese sentido, la mencionada ley eliminó la referencia al régimen común y simplificado, para hablar de responsables y no responsables del impuesto de IVA. Así las cosas, el artículo </w:t>
      </w:r>
      <w:r>
        <w:rPr>
          <w:rFonts w:ascii="Verdana" w:hAnsi="Verdana" w:cs="Arial"/>
          <w:color w:val="000000" w:themeColor="text1"/>
          <w:lang w:val="es-MX"/>
        </w:rPr>
        <w:t>20</w:t>
      </w:r>
      <w:r w:rsidRPr="00DC39AE">
        <w:rPr>
          <w:rFonts w:ascii="Verdana" w:hAnsi="Verdana" w:cs="Arial"/>
          <w:color w:val="000000" w:themeColor="text1"/>
          <w:lang w:val="es-MX"/>
        </w:rPr>
        <w:t xml:space="preserve"> de la Ley </w:t>
      </w:r>
      <w:r>
        <w:rPr>
          <w:rFonts w:ascii="Verdana" w:hAnsi="Verdana" w:cs="Arial"/>
          <w:color w:val="000000" w:themeColor="text1"/>
          <w:lang w:val="es-MX"/>
        </w:rPr>
        <w:t>2010 de 2019</w:t>
      </w:r>
      <w:r w:rsidRPr="00DC39AE">
        <w:rPr>
          <w:rFonts w:ascii="Verdana" w:hAnsi="Verdana" w:cs="Arial"/>
          <w:color w:val="000000" w:themeColor="text1"/>
          <w:lang w:val="es-MX"/>
        </w:rPr>
        <w:t xml:space="preserve"> dispone que se eliminan todas las referencias al régimen simplificado del impuesto a las ventas y que, conforme a ello, las normas que se refieran al régimen común y al régimen simplificado se entenderán referidas al régimen de responsabilidad del IVA. </w:t>
      </w:r>
    </w:p>
    <w:p w14:paraId="17BACB80" w14:textId="77777777" w:rsidR="00881044" w:rsidRPr="00DC39AE" w:rsidRDefault="00881044" w:rsidP="00881044">
      <w:pPr>
        <w:spacing w:before="120" w:after="120" w:line="276" w:lineRule="auto"/>
        <w:ind w:firstLine="709"/>
        <w:jc w:val="both"/>
        <w:rPr>
          <w:rFonts w:ascii="Verdana" w:hAnsi="Verdana" w:cs="Arial"/>
          <w:color w:val="000000" w:themeColor="text1"/>
          <w:lang w:val="es-MX"/>
        </w:rPr>
      </w:pPr>
      <w:r w:rsidRPr="00DC39AE">
        <w:rPr>
          <w:rFonts w:ascii="Verdana" w:hAnsi="Verdana" w:cs="Arial"/>
          <w:color w:val="000000" w:themeColor="text1"/>
          <w:lang w:val="es-MX"/>
        </w:rPr>
        <w:t xml:space="preserve">De acuerdo con esta norma, por regla general, se considera que una persona natural o jurídica no es responsable de IVA, si vende productos o presta un servicio que no está gravado con este impuesto; caso contrario ocurre cuando el bien o servicio se encuentra gravado con IVA, en ese sentido, la persona natural o jurídica será responsable de IVA. Sin embargo, algunas personas naturales, que se encuentran en la primera hipótesis mencionada, esto es −que venden productos o prestan servicios gravados con IVA− pueden no ser responsables de este impuesto, si no sobrepasan unos topes mínimos de </w:t>
      </w:r>
      <w:r w:rsidRPr="00DC39AE">
        <w:rPr>
          <w:rFonts w:ascii="Verdana" w:hAnsi="Verdana" w:cs="Arial"/>
          <w:color w:val="000000" w:themeColor="text1"/>
          <w:lang w:val="es-MX"/>
        </w:rPr>
        <w:lastRenderedPageBreak/>
        <w:t xml:space="preserve">ingresos y otros conceptos, que se señalan en el parágrafo 3 artículo 437 del Estatuto Tributario. </w:t>
      </w:r>
    </w:p>
    <w:p w14:paraId="741DBBB9" w14:textId="77777777" w:rsidR="00881044" w:rsidRPr="00DC39AE" w:rsidRDefault="00881044" w:rsidP="00881044">
      <w:pPr>
        <w:spacing w:before="120" w:after="120" w:line="276" w:lineRule="auto"/>
        <w:ind w:firstLine="709"/>
        <w:jc w:val="both"/>
        <w:rPr>
          <w:rFonts w:ascii="Verdana" w:hAnsi="Verdana" w:cs="Arial"/>
          <w:color w:val="000000" w:themeColor="text1"/>
          <w:lang w:val="es-MX"/>
        </w:rPr>
      </w:pPr>
      <w:bookmarkStart w:id="10" w:name="_Hlk108689553"/>
      <w:r w:rsidRPr="00DC39AE">
        <w:rPr>
          <w:rFonts w:ascii="Verdana" w:hAnsi="Verdana" w:cs="Arial"/>
          <w:color w:val="000000" w:themeColor="text1"/>
          <w:lang w:val="es-MX"/>
        </w:rPr>
        <w:t xml:space="preserve">Ahora bien, de acuerdo a las consideraciones desarrolladas en este concepto, indistintamente de que el oferente que se presenta al proceso de selección sea un contribuyente que está inscrito como responsables del IVA −equivale al régimen común que antes existía− o que no sea responsables de IVA −contribuyentes que antes pertenecían al régimen simplificado−, la evaluación de las propuestas económicas se realiza sobre el precio real ofrecido por cada proponente, esto es, con la inclusión de los impuestos, que se entienden parte del precio. Así las cosas, si un oferente es responsable de IVA y ello influye en el precio ofertado, la ponderación se hace sobre el valor final, sin importar que en el procedimiento existan otros oferentes que no son responsables de este impuesto. </w:t>
      </w:r>
    </w:p>
    <w:p w14:paraId="33B79A53" w14:textId="77777777" w:rsidR="00881044" w:rsidRPr="00DC39AE" w:rsidRDefault="00881044" w:rsidP="00881044">
      <w:pPr>
        <w:spacing w:after="0" w:line="276" w:lineRule="auto"/>
        <w:ind w:firstLine="709"/>
        <w:jc w:val="both"/>
        <w:rPr>
          <w:rFonts w:ascii="Verdana" w:eastAsia="Calibri" w:hAnsi="Verdana" w:cs="Arial"/>
          <w:color w:val="000000" w:themeColor="text1"/>
          <w:lang w:val="es-MX"/>
        </w:rPr>
      </w:pPr>
      <w:bookmarkStart w:id="11" w:name="_Hlk108448968"/>
      <w:bookmarkEnd w:id="10"/>
      <w:r w:rsidRPr="00DC39AE">
        <w:rPr>
          <w:rFonts w:ascii="Verdana" w:eastAsia="Calibri" w:hAnsi="Verdana" w:cs="Arial"/>
          <w:color w:val="000000" w:themeColor="text1"/>
          <w:lang w:val="es-MX"/>
        </w:rPr>
        <w:t xml:space="preserve"> </w:t>
      </w:r>
      <w:bookmarkStart w:id="12" w:name="_Hlk84953628"/>
      <w:r>
        <w:rPr>
          <w:rFonts w:ascii="Verdana" w:eastAsia="Calibri" w:hAnsi="Verdana" w:cs="Arial"/>
          <w:color w:val="000000" w:themeColor="text1"/>
          <w:lang w:val="es-MX"/>
        </w:rPr>
        <w:t>La selección abreviada por subasta inversa o la</w:t>
      </w:r>
      <w:r w:rsidRPr="00DC39AE">
        <w:rPr>
          <w:rFonts w:ascii="Verdana" w:eastAsia="Calibri" w:hAnsi="Verdana" w:cs="Arial"/>
          <w:color w:val="000000" w:themeColor="text1"/>
          <w:lang w:val="es-MX"/>
        </w:rPr>
        <w:t xml:space="preserve"> mínima cuantía, en el que </w:t>
      </w:r>
      <w:r>
        <w:rPr>
          <w:rFonts w:ascii="Verdana" w:eastAsia="Calibri" w:hAnsi="Verdana" w:cs="Arial"/>
          <w:color w:val="000000" w:themeColor="text1"/>
          <w:lang w:val="es-MX"/>
        </w:rPr>
        <w:t>los</w:t>
      </w:r>
      <w:r w:rsidRPr="00DC39AE">
        <w:rPr>
          <w:rFonts w:ascii="Verdana" w:eastAsia="Calibri" w:hAnsi="Verdana" w:cs="Arial"/>
          <w:color w:val="000000" w:themeColor="text1"/>
          <w:lang w:val="es-MX"/>
        </w:rPr>
        <w:t xml:space="preserve"> único</w:t>
      </w:r>
      <w:r>
        <w:rPr>
          <w:rFonts w:ascii="Verdana" w:eastAsia="Calibri" w:hAnsi="Verdana" w:cs="Arial"/>
          <w:color w:val="000000" w:themeColor="text1"/>
          <w:lang w:val="es-MX"/>
        </w:rPr>
        <w:t>s</w:t>
      </w:r>
      <w:r w:rsidRPr="00DC39AE">
        <w:rPr>
          <w:rFonts w:ascii="Verdana" w:eastAsia="Calibri" w:hAnsi="Verdana" w:cs="Arial"/>
          <w:color w:val="000000" w:themeColor="text1"/>
          <w:lang w:val="es-MX"/>
        </w:rPr>
        <w:t xml:space="preserve"> factor</w:t>
      </w:r>
      <w:r>
        <w:rPr>
          <w:rFonts w:ascii="Verdana" w:eastAsia="Calibri" w:hAnsi="Verdana" w:cs="Arial"/>
          <w:color w:val="000000" w:themeColor="text1"/>
          <w:lang w:val="es-MX"/>
        </w:rPr>
        <w:t>es</w:t>
      </w:r>
      <w:r w:rsidRPr="00DC39AE">
        <w:rPr>
          <w:rFonts w:ascii="Verdana" w:eastAsia="Calibri" w:hAnsi="Verdana" w:cs="Arial"/>
          <w:color w:val="000000" w:themeColor="text1"/>
          <w:lang w:val="es-MX"/>
        </w:rPr>
        <w:t xml:space="preserve"> de escogencia </w:t>
      </w:r>
      <w:r>
        <w:rPr>
          <w:rFonts w:ascii="Verdana" w:eastAsia="Calibri" w:hAnsi="Verdana" w:cs="Arial"/>
          <w:color w:val="000000" w:themeColor="text1"/>
          <w:lang w:val="es-MX"/>
        </w:rPr>
        <w:t>son</w:t>
      </w:r>
      <w:r w:rsidRPr="00DC39AE">
        <w:rPr>
          <w:rFonts w:ascii="Verdana" w:eastAsia="Calibri" w:hAnsi="Verdana" w:cs="Arial"/>
          <w:color w:val="000000" w:themeColor="text1"/>
          <w:lang w:val="es-MX"/>
        </w:rPr>
        <w:t xml:space="preserve"> el menor valor</w:t>
      </w:r>
      <w:r>
        <w:rPr>
          <w:rFonts w:ascii="Verdana" w:eastAsia="Calibri" w:hAnsi="Verdana" w:cs="Arial"/>
          <w:color w:val="000000" w:themeColor="text1"/>
          <w:lang w:val="es-MX"/>
        </w:rPr>
        <w:t xml:space="preserve"> ofertado</w:t>
      </w:r>
      <w:r w:rsidRPr="00DC39AE">
        <w:rPr>
          <w:rFonts w:ascii="Verdana" w:eastAsia="Calibri" w:hAnsi="Verdana" w:cs="Arial"/>
          <w:color w:val="000000" w:themeColor="text1"/>
          <w:lang w:val="es-MX"/>
        </w:rPr>
        <w:t xml:space="preserve">, no </w:t>
      </w:r>
      <w:r>
        <w:rPr>
          <w:rFonts w:ascii="Verdana" w:eastAsia="Calibri" w:hAnsi="Verdana" w:cs="Arial"/>
          <w:color w:val="000000" w:themeColor="text1"/>
          <w:lang w:val="es-MX"/>
        </w:rPr>
        <w:t>son</w:t>
      </w:r>
      <w:r w:rsidRPr="00DC39AE">
        <w:rPr>
          <w:rFonts w:ascii="Verdana" w:eastAsia="Calibri" w:hAnsi="Verdana" w:cs="Arial"/>
          <w:color w:val="000000" w:themeColor="text1"/>
          <w:lang w:val="es-MX"/>
        </w:rPr>
        <w:t xml:space="preserve"> la excepción a la aplicación de la postura explicada. En ese sentido, la Agencia Nacional de Contratación Pública – Colombia Compra Eficiente estima que estos procesos la evaluación de la </w:t>
      </w:r>
      <w:r>
        <w:rPr>
          <w:rFonts w:ascii="Verdana" w:eastAsia="Calibri" w:hAnsi="Verdana" w:cs="Arial"/>
          <w:color w:val="000000" w:themeColor="text1"/>
          <w:lang w:val="es-MX"/>
        </w:rPr>
        <w:t>propuesta</w:t>
      </w:r>
      <w:r w:rsidRPr="00DC39AE">
        <w:rPr>
          <w:rFonts w:ascii="Verdana" w:eastAsia="Calibri" w:hAnsi="Verdana" w:cs="Arial"/>
          <w:color w:val="000000" w:themeColor="text1"/>
          <w:lang w:val="es-MX"/>
        </w:rPr>
        <w:t xml:space="preserve"> debe realizarse respecto del precio real ofertado, el cual incluye los valores que debe pagar la entidad para adquirir el bien, obra o servicio, como los impuestos. Esto puesto que la entidad deberá pagar dichos tributos para adquirir el bien o servicio ofertado.</w:t>
      </w:r>
      <w:r>
        <w:rPr>
          <w:rFonts w:ascii="Verdana" w:eastAsia="Calibri" w:hAnsi="Verdana" w:cs="Arial"/>
          <w:color w:val="000000" w:themeColor="text1"/>
          <w:lang w:val="es-MX"/>
        </w:rPr>
        <w:t xml:space="preserve"> Por tanto, </w:t>
      </w:r>
      <w:r w:rsidRPr="00140CBD">
        <w:rPr>
          <w:rFonts w:ascii="Verdana" w:eastAsia="Calibri" w:hAnsi="Verdana" w:cs="Arial"/>
          <w:color w:val="000000" w:themeColor="text1"/>
          <w:lang w:val="es-MX"/>
        </w:rPr>
        <w:t xml:space="preserve">al momento de ponderar las ofertas económicas, </w:t>
      </w:r>
      <w:r>
        <w:rPr>
          <w:rFonts w:ascii="Verdana" w:eastAsia="Calibri" w:hAnsi="Verdana" w:cs="Arial"/>
          <w:color w:val="000000" w:themeColor="text1"/>
          <w:lang w:val="es-MX"/>
        </w:rPr>
        <w:t xml:space="preserve">no </w:t>
      </w:r>
      <w:r w:rsidRPr="00140CBD">
        <w:rPr>
          <w:rFonts w:ascii="Verdana" w:eastAsia="Calibri" w:hAnsi="Verdana" w:cs="Arial"/>
          <w:color w:val="000000" w:themeColor="text1"/>
          <w:lang w:val="es-MX"/>
        </w:rPr>
        <w:t>debe descontar</w:t>
      </w:r>
      <w:r>
        <w:rPr>
          <w:rFonts w:ascii="Verdana" w:eastAsia="Calibri" w:hAnsi="Verdana" w:cs="Arial"/>
          <w:color w:val="000000" w:themeColor="text1"/>
          <w:lang w:val="es-MX"/>
        </w:rPr>
        <w:t>se</w:t>
      </w:r>
      <w:r w:rsidRPr="00140CBD">
        <w:rPr>
          <w:rFonts w:ascii="Verdana" w:eastAsia="Calibri" w:hAnsi="Verdana" w:cs="Arial"/>
          <w:color w:val="000000" w:themeColor="text1"/>
          <w:lang w:val="es-MX"/>
        </w:rPr>
        <w:t xml:space="preserve"> el IVA </w:t>
      </w:r>
      <w:r>
        <w:rPr>
          <w:rFonts w:ascii="Verdana" w:eastAsia="Calibri" w:hAnsi="Verdana" w:cs="Arial"/>
          <w:color w:val="000000" w:themeColor="text1"/>
          <w:lang w:val="es-MX"/>
        </w:rPr>
        <w:t>para</w:t>
      </w:r>
      <w:r w:rsidRPr="00140CBD">
        <w:rPr>
          <w:rFonts w:ascii="Verdana" w:eastAsia="Calibri" w:hAnsi="Verdana" w:cs="Arial"/>
          <w:color w:val="000000" w:themeColor="text1"/>
          <w:lang w:val="es-MX"/>
        </w:rPr>
        <w:t xml:space="preserve"> comparar el valor neto de los bienes o servicios ofrecidos. </w:t>
      </w:r>
      <w:r w:rsidRPr="00DC39AE">
        <w:rPr>
          <w:rFonts w:ascii="Verdana" w:eastAsia="Calibri" w:hAnsi="Verdana" w:cs="Arial"/>
          <w:color w:val="000000" w:themeColor="text1"/>
          <w:lang w:val="es-MX"/>
        </w:rPr>
        <w:t xml:space="preserve">  </w:t>
      </w:r>
    </w:p>
    <w:bookmarkEnd w:id="11"/>
    <w:bookmarkEnd w:id="12"/>
    <w:p w14:paraId="25A82E35" w14:textId="77777777" w:rsidR="00881044" w:rsidRDefault="00881044" w:rsidP="00881044">
      <w:pPr>
        <w:spacing w:after="0" w:line="276" w:lineRule="auto"/>
        <w:jc w:val="both"/>
        <w:rPr>
          <w:rFonts w:ascii="Arial" w:hAnsi="Arial" w:cs="Arial"/>
          <w:b/>
        </w:rPr>
      </w:pPr>
    </w:p>
    <w:p w14:paraId="400168BE" w14:textId="77777777" w:rsidR="00881044" w:rsidRPr="009B5EEE" w:rsidRDefault="00881044" w:rsidP="00881044">
      <w:pPr>
        <w:tabs>
          <w:tab w:val="left" w:pos="709"/>
        </w:tabs>
        <w:spacing w:after="120" w:line="276" w:lineRule="auto"/>
        <w:jc w:val="both"/>
        <w:rPr>
          <w:rFonts w:ascii="Verdana" w:hAnsi="Verdana" w:cs="Arial"/>
          <w:iCs/>
          <w:color w:val="000000" w:themeColor="text1"/>
        </w:rPr>
      </w:pPr>
      <w:proofErr w:type="spellStart"/>
      <w:r>
        <w:rPr>
          <w:rFonts w:ascii="Verdana" w:hAnsi="Verdana" w:cs="Arial"/>
          <w:iCs/>
          <w:color w:val="000000" w:themeColor="text1"/>
        </w:rPr>
        <w:t>iii</w:t>
      </w:r>
      <w:proofErr w:type="spellEnd"/>
      <w:r>
        <w:rPr>
          <w:rFonts w:ascii="Verdana" w:hAnsi="Verdana" w:cs="Arial"/>
          <w:iCs/>
          <w:color w:val="000000" w:themeColor="text1"/>
        </w:rPr>
        <w:t xml:space="preserve">) </w:t>
      </w:r>
      <w:r w:rsidRPr="009B5EEE">
        <w:rPr>
          <w:rFonts w:ascii="Verdana" w:hAnsi="Verdana" w:cs="Arial"/>
          <w:iCs/>
          <w:color w:val="000000" w:themeColor="text1"/>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11C116D" w14:textId="77777777" w:rsidR="00881044" w:rsidRPr="00D1116E" w:rsidRDefault="00881044" w:rsidP="00881044">
      <w:pPr>
        <w:tabs>
          <w:tab w:val="left" w:pos="709"/>
        </w:tabs>
        <w:spacing w:after="0" w:line="276" w:lineRule="auto"/>
        <w:jc w:val="both"/>
        <w:rPr>
          <w:rFonts w:ascii="Verdana" w:hAnsi="Verdana" w:cs="Arial"/>
          <w:iCs/>
          <w:color w:val="000000" w:themeColor="text1"/>
        </w:rPr>
      </w:pPr>
      <w:r>
        <w:rPr>
          <w:rFonts w:ascii="Verdana" w:hAnsi="Verdana" w:cs="Arial"/>
          <w:iCs/>
          <w:color w:val="000000" w:themeColor="text1"/>
        </w:rPr>
        <w:tab/>
      </w:r>
      <w:r w:rsidRPr="009B5EEE">
        <w:rPr>
          <w:rFonts w:ascii="Verdana" w:hAnsi="Verdana" w:cs="Arial"/>
          <w:iCs/>
          <w:color w:val="000000" w:themeColor="text1"/>
        </w:rPr>
        <w:t xml:space="preserve">Dentro de este marco, la entidad contratante definirá en cada caso concreto lo relacionado con el tema objeto de consulta. Al tratarse de un análisis </w:t>
      </w:r>
      <w:r w:rsidRPr="009B5EEE">
        <w:rPr>
          <w:rFonts w:ascii="Verdana" w:hAnsi="Verdana" w:cs="Arial"/>
          <w:iCs/>
          <w:color w:val="000000" w:themeColor="text1"/>
        </w:rPr>
        <w:lastRenderedPageBreak/>
        <w:t>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contractual, sin que sea atribución de Colombia Compra Eficiente validar sus actuaciones.</w:t>
      </w:r>
    </w:p>
    <w:p w14:paraId="7CD53240" w14:textId="77777777" w:rsidR="00881044" w:rsidRPr="00795A28" w:rsidRDefault="00881044" w:rsidP="00881044">
      <w:pPr>
        <w:spacing w:after="0" w:line="276" w:lineRule="auto"/>
        <w:jc w:val="both"/>
        <w:rPr>
          <w:rFonts w:ascii="Verdana" w:eastAsia="Calibri" w:hAnsi="Verdana" w:cs="Arial"/>
          <w:lang w:val="es-ES" w:eastAsia="es-ES"/>
        </w:rPr>
      </w:pPr>
    </w:p>
    <w:p w14:paraId="19F5AF2C" w14:textId="77777777" w:rsidR="00881044" w:rsidRPr="00593A5F" w:rsidRDefault="00881044" w:rsidP="008810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14DF072" w14:textId="77777777" w:rsidR="00881044" w:rsidRPr="00593A5F" w:rsidRDefault="00881044" w:rsidP="0088104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81044" w:rsidRPr="002407CE" w14:paraId="348F8424" w14:textId="77777777" w:rsidTr="00FF065B">
        <w:trPr>
          <w:trHeight w:val="870"/>
          <w:jc w:val="center"/>
        </w:trPr>
        <w:tc>
          <w:tcPr>
            <w:tcW w:w="8647" w:type="dxa"/>
          </w:tcPr>
          <w:p w14:paraId="260E0781" w14:textId="77777777" w:rsidR="00881044" w:rsidRDefault="00881044" w:rsidP="0088104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13 y 209.</w:t>
            </w:r>
          </w:p>
          <w:p w14:paraId="03429B49" w14:textId="77777777" w:rsidR="00881044" w:rsidRDefault="00881044" w:rsidP="0088104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AE7120">
              <w:rPr>
                <w:rFonts w:ascii="Verdana" w:hAnsi="Verdana" w:cs="Arial"/>
              </w:rPr>
              <w:t>Ley 80 de 1993, artículo</w:t>
            </w:r>
            <w:r>
              <w:rPr>
                <w:rFonts w:ascii="Verdana" w:hAnsi="Verdana" w:cs="Arial"/>
              </w:rPr>
              <w:t>s</w:t>
            </w:r>
            <w:r w:rsidRPr="00AE7120">
              <w:rPr>
                <w:rFonts w:ascii="Verdana" w:hAnsi="Verdana" w:cs="Arial"/>
              </w:rPr>
              <w:t xml:space="preserve"> </w:t>
            </w:r>
            <w:r>
              <w:rPr>
                <w:rFonts w:ascii="Verdana" w:hAnsi="Verdana" w:cs="Arial"/>
              </w:rPr>
              <w:t>2, 14, 24, 25, 26 y 32</w:t>
            </w:r>
            <w:r w:rsidRPr="00AE7120">
              <w:rPr>
                <w:rFonts w:ascii="Verdana" w:hAnsi="Verdana" w:cs="Arial"/>
              </w:rPr>
              <w:t>.</w:t>
            </w:r>
          </w:p>
          <w:p w14:paraId="2D4C0012" w14:textId="77777777" w:rsidR="00881044" w:rsidRDefault="00881044" w:rsidP="0088104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artículos 85 y 93.</w:t>
            </w:r>
          </w:p>
          <w:p w14:paraId="57AB8BBE" w14:textId="77777777" w:rsidR="00881044" w:rsidRDefault="00881044" w:rsidP="0088104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5, 13, 14 y 17.</w:t>
            </w:r>
          </w:p>
          <w:p w14:paraId="6B1CDF03" w14:textId="77777777" w:rsidR="00881044" w:rsidRDefault="00881044" w:rsidP="0088104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 3.</w:t>
            </w:r>
          </w:p>
          <w:p w14:paraId="4DA4564C" w14:textId="77777777" w:rsidR="00881044" w:rsidRPr="00AE7120" w:rsidRDefault="00881044" w:rsidP="00881044">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Ley 2010 de 2019, artículo 20.</w:t>
            </w:r>
          </w:p>
        </w:tc>
      </w:tr>
    </w:tbl>
    <w:p w14:paraId="00CD2D74" w14:textId="77777777" w:rsidR="00881044" w:rsidRPr="00277E26" w:rsidRDefault="00881044" w:rsidP="00881044">
      <w:pPr>
        <w:widowControl w:val="0"/>
        <w:autoSpaceDE w:val="0"/>
        <w:autoSpaceDN w:val="0"/>
        <w:spacing w:after="0" w:line="276" w:lineRule="auto"/>
        <w:jc w:val="both"/>
        <w:rPr>
          <w:rFonts w:ascii="Verdana" w:hAnsi="Verdana" w:cs="Arial"/>
        </w:rPr>
      </w:pPr>
    </w:p>
    <w:p w14:paraId="5A555C7C" w14:textId="77777777" w:rsidR="00881044" w:rsidRPr="00277E26" w:rsidRDefault="00881044" w:rsidP="008810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77E26">
        <w:rPr>
          <w:rFonts w:ascii="Verdana" w:eastAsia="Century Gothic" w:hAnsi="Verdana" w:cs="Century Gothic"/>
          <w:b/>
          <w:bCs/>
        </w:rPr>
        <w:t>Doctrina de la Agencia Nacional de Contratación Pública:</w:t>
      </w:r>
    </w:p>
    <w:p w14:paraId="17C9D45F" w14:textId="77777777" w:rsidR="00881044" w:rsidRPr="00277E26" w:rsidRDefault="00881044" w:rsidP="00881044">
      <w:pPr>
        <w:widowControl w:val="0"/>
        <w:autoSpaceDE w:val="0"/>
        <w:autoSpaceDN w:val="0"/>
        <w:spacing w:after="0" w:line="276" w:lineRule="auto"/>
        <w:jc w:val="both"/>
        <w:rPr>
          <w:rFonts w:ascii="Verdana" w:hAnsi="Verdana" w:cs="Arial"/>
        </w:rPr>
      </w:pPr>
    </w:p>
    <w:p w14:paraId="34E4FEDA" w14:textId="21D6EDD6" w:rsidR="00881044" w:rsidRPr="00277E26" w:rsidRDefault="00881044" w:rsidP="00881044">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1E2096">
        <w:rPr>
          <w:rStyle w:val="normaltextrun"/>
          <w:rFonts w:ascii="Verdana" w:hAnsi="Verdana" w:cs="Arial"/>
          <w:shd w:val="clear" w:color="auto" w:fill="FFFFFF"/>
          <w:lang w:val="es-ES"/>
        </w:rPr>
        <w:t xml:space="preserve">Esta Subdirección se ha pronunciado sobre </w:t>
      </w:r>
      <w:r>
        <w:rPr>
          <w:rStyle w:val="normaltextrun"/>
          <w:rFonts w:ascii="Verdana" w:hAnsi="Verdana" w:cs="Arial"/>
          <w:shd w:val="clear" w:color="auto" w:fill="FFFFFF"/>
          <w:lang w:val="es-ES"/>
        </w:rPr>
        <w:t xml:space="preserve">el régimen contractual de las empresas industriales y comerciales del Estado en el </w:t>
      </w:r>
      <w:r w:rsidR="00E13FF0">
        <w:rPr>
          <w:rStyle w:val="normaltextrun"/>
          <w:rFonts w:ascii="Verdana" w:hAnsi="Verdana" w:cs="Arial"/>
          <w:shd w:val="clear" w:color="auto" w:fill="FFFFFF"/>
          <w:lang w:val="es-ES"/>
        </w:rPr>
        <w:t>c</w:t>
      </w:r>
      <w:r>
        <w:rPr>
          <w:rStyle w:val="normaltextrun"/>
          <w:rFonts w:ascii="Verdana" w:hAnsi="Verdana" w:cs="Arial"/>
          <w:shd w:val="clear" w:color="auto" w:fill="FFFFFF"/>
          <w:lang w:val="es-ES"/>
        </w:rPr>
        <w:t>oncepto C-251 del 27 de mayo de 2020</w:t>
      </w:r>
      <w:r w:rsidRPr="00277E26">
        <w:rPr>
          <w:rStyle w:val="normaltextrun"/>
          <w:rFonts w:ascii="Verdana" w:hAnsi="Verdana" w:cs="Arial"/>
          <w:shd w:val="clear" w:color="auto" w:fill="FFFFFF"/>
          <w:lang w:val="es-ES"/>
        </w:rPr>
        <w:t>.</w:t>
      </w:r>
      <w:r>
        <w:rPr>
          <w:rStyle w:val="normaltextrun"/>
          <w:rFonts w:ascii="Verdana" w:hAnsi="Verdana" w:cs="Arial"/>
          <w:shd w:val="clear" w:color="auto" w:fill="FFFFFF"/>
          <w:lang w:val="es-ES"/>
        </w:rPr>
        <w:t xml:space="preserve"> Asimilismo, </w:t>
      </w:r>
      <w:r w:rsidRPr="00973394">
        <w:rPr>
          <w:rStyle w:val="normaltextrun"/>
          <w:rFonts w:ascii="Verdana" w:hAnsi="Verdana" w:cs="Arial"/>
          <w:shd w:val="clear" w:color="auto" w:fill="FFFFFF"/>
          <w:lang w:val="es-ES"/>
        </w:rPr>
        <w:t>unificó su postura frente a la inclusión del IVA en el precio de los contratos estatales y en la evaluación de las ofertas económicas en el Concepto CU-182 del 31 de marzo de 2020. Esta tesis se ha retomado en los Conceptos C</w:t>
      </w:r>
      <w:r>
        <w:rPr>
          <w:rStyle w:val="normaltextrun"/>
          <w:rFonts w:ascii="Verdana" w:hAnsi="Verdana" w:cs="Arial"/>
          <w:shd w:val="clear" w:color="auto" w:fill="FFFFFF"/>
          <w:lang w:val="es-ES"/>
        </w:rPr>
        <w:t>-</w:t>
      </w:r>
      <w:r w:rsidRPr="00973394">
        <w:rPr>
          <w:rStyle w:val="normaltextrun"/>
          <w:rFonts w:ascii="Verdana" w:hAnsi="Verdana" w:cs="Arial"/>
          <w:shd w:val="clear" w:color="auto" w:fill="FFFFFF"/>
          <w:lang w:val="es-ES"/>
        </w:rPr>
        <w:t>204 del 31 de marzo de 2020, C</w:t>
      </w:r>
      <w:r>
        <w:rPr>
          <w:rStyle w:val="normaltextrun"/>
          <w:rFonts w:ascii="Verdana" w:hAnsi="Verdana" w:cs="Arial"/>
          <w:shd w:val="clear" w:color="auto" w:fill="FFFFFF"/>
          <w:lang w:val="es-ES"/>
        </w:rPr>
        <w:t>-</w:t>
      </w:r>
      <w:r w:rsidRPr="00973394">
        <w:rPr>
          <w:rStyle w:val="normaltextrun"/>
          <w:rFonts w:ascii="Verdana" w:hAnsi="Verdana" w:cs="Arial"/>
          <w:shd w:val="clear" w:color="auto" w:fill="FFFFFF"/>
          <w:lang w:val="es-ES"/>
        </w:rPr>
        <w:t>439 del 27 de septiembre de 2020, C</w:t>
      </w:r>
      <w:r>
        <w:rPr>
          <w:rStyle w:val="normaltextrun"/>
          <w:rFonts w:ascii="Verdana" w:hAnsi="Verdana" w:cs="Arial"/>
          <w:shd w:val="clear" w:color="auto" w:fill="FFFFFF"/>
          <w:lang w:val="es-ES"/>
        </w:rPr>
        <w:t>-</w:t>
      </w:r>
      <w:r w:rsidRPr="00973394">
        <w:rPr>
          <w:rStyle w:val="normaltextrun"/>
          <w:rFonts w:ascii="Verdana" w:hAnsi="Verdana" w:cs="Arial"/>
          <w:shd w:val="clear" w:color="auto" w:fill="FFFFFF"/>
          <w:lang w:val="es-ES"/>
        </w:rPr>
        <w:t>469 del 27 de septiembre de 2020, C</w:t>
      </w:r>
      <w:r>
        <w:rPr>
          <w:rStyle w:val="normaltextrun"/>
          <w:rFonts w:ascii="Verdana" w:hAnsi="Verdana" w:cs="Arial"/>
          <w:shd w:val="clear" w:color="auto" w:fill="FFFFFF"/>
          <w:lang w:val="es-ES"/>
        </w:rPr>
        <w:t>-</w:t>
      </w:r>
      <w:r w:rsidRPr="00973394">
        <w:rPr>
          <w:rStyle w:val="normaltextrun"/>
          <w:rFonts w:ascii="Verdana" w:hAnsi="Verdana" w:cs="Arial"/>
          <w:shd w:val="clear" w:color="auto" w:fill="FFFFFF"/>
          <w:lang w:val="es-ES"/>
        </w:rPr>
        <w:t>480 del 16 de septiembre de 2020, C-772 del 13 de enero de 2021, C-059 del 10 de marzo de 2021, C-432 del 27 de septiembre de 2021, C-469 del 6 de septiembre de 2021, C-572 del 12 de octubre de 2021</w:t>
      </w:r>
      <w:r>
        <w:rPr>
          <w:rStyle w:val="normaltextrun"/>
          <w:rFonts w:ascii="Verdana" w:hAnsi="Verdana" w:cs="Arial"/>
          <w:shd w:val="clear" w:color="auto" w:fill="FFFFFF"/>
          <w:lang w:val="es-ES"/>
        </w:rPr>
        <w:t>,</w:t>
      </w:r>
      <w:r w:rsidRPr="00973394">
        <w:rPr>
          <w:rStyle w:val="normaltextrun"/>
          <w:rFonts w:ascii="Verdana" w:hAnsi="Verdana" w:cs="Arial"/>
          <w:shd w:val="clear" w:color="auto" w:fill="FFFFFF"/>
          <w:lang w:val="es-ES"/>
        </w:rPr>
        <w:t xml:space="preserve"> C-678 del 18 de enero de 2022</w:t>
      </w:r>
      <w:r>
        <w:rPr>
          <w:rStyle w:val="normaltextrun"/>
          <w:rFonts w:ascii="Verdana" w:hAnsi="Verdana" w:cs="Arial"/>
          <w:shd w:val="clear" w:color="auto" w:fill="FFFFFF"/>
          <w:lang w:val="es-ES"/>
        </w:rPr>
        <w:t xml:space="preserve"> y C-440 del 14 de julio de 2022.</w:t>
      </w:r>
      <w:r w:rsidRPr="00277E26">
        <w:rPr>
          <w:rStyle w:val="normaltextrun"/>
          <w:rFonts w:ascii="Verdana" w:hAnsi="Verdana" w:cs="Arial"/>
          <w:shd w:val="clear" w:color="auto" w:fill="FFFFFF"/>
          <w:lang w:val="es-ES"/>
        </w:rPr>
        <w:t xml:space="preserve"> Es</w:t>
      </w:r>
      <w:r w:rsidRPr="00277E26">
        <w:rPr>
          <w:rFonts w:ascii="Verdana" w:hAnsi="Verdana"/>
        </w:rPr>
        <w:t>tos y otros se encuentran disponibles para consulta en el Sistema de relatoría de la Agencia, al cual puede accederse a través del siguiente enlace:</w:t>
      </w:r>
      <w:r w:rsidRPr="00277E26">
        <w:rPr>
          <w:rStyle w:val="normaltextrun"/>
          <w:rFonts w:ascii="Verdana" w:hAnsi="Verdana" w:cs="Arial"/>
          <w:shd w:val="clear" w:color="auto" w:fill="FFFFFF"/>
          <w:lang w:val="es-ES"/>
        </w:rPr>
        <w:t xml:space="preserve"> </w:t>
      </w:r>
      <w:hyperlink r:id="rId12" w:history="1">
        <w:r w:rsidRPr="00277E26">
          <w:rPr>
            <w:rStyle w:val="Hipervnculo"/>
            <w:rFonts w:ascii="Verdana" w:hAnsi="Verdana" w:cs="Arial"/>
            <w:shd w:val="clear" w:color="auto" w:fill="FFFFFF"/>
            <w:lang w:val="es-ES"/>
          </w:rPr>
          <w:t>https://relatoria.colombiacompra.gov.co/busqueda/conceptos</w:t>
        </w:r>
      </w:hyperlink>
      <w:r w:rsidRPr="00277E26">
        <w:rPr>
          <w:rStyle w:val="normaltextrun"/>
          <w:rFonts w:ascii="Verdana" w:hAnsi="Verdana" w:cs="Arial"/>
          <w:shd w:val="clear" w:color="auto" w:fill="FFFFFF"/>
          <w:lang w:val="es-ES"/>
        </w:rPr>
        <w:t>.</w:t>
      </w:r>
      <w:r w:rsidRPr="00277E26">
        <w:rPr>
          <w:rStyle w:val="normaltextrun"/>
          <w:rFonts w:ascii="Verdana" w:hAnsi="Verdana" w:cs="Arial"/>
          <w:color w:val="FF0000"/>
          <w:shd w:val="clear" w:color="auto" w:fill="FFFFFF"/>
          <w:lang w:val="es-ES"/>
        </w:rPr>
        <w:t xml:space="preserve"> </w:t>
      </w:r>
    </w:p>
    <w:p w14:paraId="5011CFD4" w14:textId="77777777" w:rsidR="00881044" w:rsidRPr="00ED440C" w:rsidRDefault="00881044" w:rsidP="00881044">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3A89AF4A" w14:textId="77777777" w:rsidR="005566C4" w:rsidRPr="005566C4" w:rsidRDefault="005566C4" w:rsidP="005566C4">
      <w:pPr>
        <w:spacing w:after="0" w:line="276" w:lineRule="auto"/>
        <w:jc w:val="both"/>
        <w:rPr>
          <w:rFonts w:ascii="Verdana" w:hAnsi="Verdana"/>
          <w:color w:val="000000"/>
        </w:rPr>
      </w:pPr>
      <w:r w:rsidRPr="005566C4">
        <w:rPr>
          <w:rFonts w:ascii="Verdana" w:hAnsi="Verdana"/>
          <w:color w:val="000000"/>
        </w:rPr>
        <w:t xml:space="preserve">La Agencia Nacional de Contratación Pública – Colombia Compra Eficiente invita a las Entidades Estatales, a los actores del Sistema de Compra Pública y a la </w:t>
      </w:r>
      <w:r w:rsidRPr="005566C4">
        <w:rPr>
          <w:rFonts w:ascii="Verdana" w:hAnsi="Verdana"/>
          <w:color w:val="000000"/>
        </w:rPr>
        <w:lastRenderedPageBreak/>
        <w:t>ciudadanía en general a conocer y participar en la actualización de la </w:t>
      </w:r>
      <w:r w:rsidRPr="005566C4">
        <w:rPr>
          <w:rFonts w:ascii="Verdana" w:hAnsi="Verdana"/>
          <w:b/>
          <w:bCs/>
          <w:i/>
          <w:iCs/>
          <w:color w:val="000000"/>
        </w:rPr>
        <w:t>Guía para la Elaboración de Estudios del Sector</w:t>
      </w:r>
      <w:r w:rsidRPr="005566C4">
        <w:rPr>
          <w:rFonts w:ascii="Verdana" w:hAnsi="Verdana"/>
          <w:color w:val="000000"/>
        </w:rPr>
        <w:t>. Esta herramienta orientadora facilita el análisis del mercado del bien, obra o servicio a contratar, y tiene como propósito promover procesos de contratación más eficientes, competitivos, sostenibles e inclusivos. La guía se encuentra disponible para consulta y comentarios hasta el 22 de mayo de 2025, a través del siguiente enlace: </w:t>
      </w:r>
      <w:hyperlink r:id="rId13" w:tgtFrame="_blank" w:tooltip="https://www.colombiacompra.gov.co/archivos/convocatoria/participacion-ciudadana-proyecto-de-la-guia-para-la-elaboracion-de-estudios-del-sector" w:history="1">
        <w:r w:rsidRPr="005566C4">
          <w:rPr>
            <w:rStyle w:val="Hipervnculo"/>
            <w:rFonts w:ascii="Verdana" w:hAnsi="Verdana"/>
          </w:rPr>
          <w:t>https://www.colombiacompra.gov.co/archivos/convocatoria/participacion-ciudadana-proyecto-de-la-guia-para-la-</w:t>
        </w:r>
      </w:hyperlink>
    </w:p>
    <w:p w14:paraId="4F167C3A" w14:textId="77777777" w:rsidR="005566C4" w:rsidRPr="005566C4" w:rsidRDefault="005566C4" w:rsidP="005566C4">
      <w:pPr>
        <w:spacing w:after="0" w:line="276" w:lineRule="auto"/>
        <w:jc w:val="both"/>
        <w:rPr>
          <w:rFonts w:ascii="Verdana" w:hAnsi="Verdana"/>
          <w:color w:val="000000"/>
        </w:rPr>
      </w:pPr>
    </w:p>
    <w:p w14:paraId="2CA8AED0" w14:textId="77777777" w:rsidR="005566C4" w:rsidRDefault="005566C4" w:rsidP="005566C4">
      <w:pPr>
        <w:spacing w:after="0" w:line="276" w:lineRule="auto"/>
        <w:jc w:val="both"/>
        <w:rPr>
          <w:rFonts w:ascii="Verdana" w:hAnsi="Verdana"/>
          <w:color w:val="000000"/>
          <w:u w:val="single"/>
        </w:rPr>
      </w:pPr>
      <w:r w:rsidRPr="005566C4">
        <w:rPr>
          <w:rFonts w:ascii="Verdana" w:hAnsi="Verdana"/>
          <w:color w:val="000000"/>
        </w:rPr>
        <w:t>De otra parte, te informamos que ya se encuentran disponibles los borradores de las nuevas versiones de documentos tipo del sector infraestructura social (Subsectores: institucional, vivienda, salud, educación, cultura y deporte) en las modalidades de licitación pública, selección abreviada de menor cuantía y mínima cuantía para comentarios. Dichos documentos estarán publicados hasta el próximo 23 de mayo de 2025.  Puede consultar la información en el siguiente enlace: </w:t>
      </w:r>
      <w:hyperlink r:id="rId14" w:tgtFrame="_blank" w:tooltip="Dirección URL original: https://www.colombiacompra.gov.co/normativa-y-relatoria/documentos-tipo. Haga clic o pulse si confía en este vínculo." w:history="1">
        <w:r w:rsidRPr="005566C4">
          <w:rPr>
            <w:rStyle w:val="Hipervnculo"/>
            <w:rFonts w:ascii="Verdana" w:hAnsi="Verdana"/>
          </w:rPr>
          <w:t>Documentos Tipo – ANCP Colombia Compra Eficiente</w:t>
        </w:r>
      </w:hyperlink>
      <w:r w:rsidRPr="005566C4">
        <w:rPr>
          <w:rFonts w:ascii="Verdana" w:hAnsi="Verdana"/>
          <w:color w:val="000000"/>
          <w:u w:val="single"/>
        </w:rPr>
        <w:t> </w:t>
      </w:r>
    </w:p>
    <w:p w14:paraId="20BE22B2" w14:textId="77777777" w:rsidR="005566C4" w:rsidRPr="005566C4" w:rsidRDefault="005566C4" w:rsidP="005566C4">
      <w:pPr>
        <w:spacing w:after="0" w:line="276" w:lineRule="auto"/>
        <w:jc w:val="both"/>
        <w:rPr>
          <w:rFonts w:ascii="Verdana" w:hAnsi="Verdana"/>
          <w:color w:val="000000"/>
        </w:rPr>
      </w:pPr>
    </w:p>
    <w:p w14:paraId="5E47310F" w14:textId="77777777" w:rsidR="005566C4" w:rsidRPr="005566C4" w:rsidRDefault="005566C4" w:rsidP="005566C4">
      <w:pPr>
        <w:spacing w:after="0" w:line="276" w:lineRule="auto"/>
        <w:jc w:val="both"/>
        <w:rPr>
          <w:rFonts w:ascii="Verdana" w:hAnsi="Verdana"/>
          <w:color w:val="000000"/>
        </w:rPr>
      </w:pPr>
      <w:r w:rsidRPr="005566C4">
        <w:rPr>
          <w:rFonts w:ascii="Verdana" w:hAnsi="Verdana"/>
          <w:color w:val="000000"/>
        </w:rPr>
        <w:t>También le contamos que ya se encuentra disponible la </w:t>
      </w:r>
      <w:r w:rsidRPr="005566C4">
        <w:rPr>
          <w:rFonts w:ascii="Verdana" w:hAnsi="Verdana"/>
          <w:b/>
          <w:bCs/>
          <w:color w:val="000000"/>
        </w:rPr>
        <w:t>Guía de lineamientos de transparencia y selección objetiva para el departamento de La Guajira – Objetivo sexto constitucional de la Sentencia T-302 del 2017. </w:t>
      </w:r>
      <w:r w:rsidRPr="005566C4">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5566C4">
        <w:rPr>
          <w:rFonts w:ascii="Verdana" w:hAnsi="Verdana"/>
          <w:color w:val="000000"/>
        </w:rPr>
        <w:t>Wayúu</w:t>
      </w:r>
      <w:proofErr w:type="spellEnd"/>
      <w:r w:rsidRPr="005566C4">
        <w:rPr>
          <w:rFonts w:ascii="Verdana" w:hAnsi="Verdana"/>
          <w:color w:val="000000"/>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5566C4">
          <w:rPr>
            <w:rStyle w:val="Hipervnculo"/>
            <w:rFonts w:ascii="Verdana" w:hAnsi="Verdana"/>
          </w:rPr>
          <w:t>Guía de lineamientos de transparencia y selección objetiva para el departamento de La Guajira – Objetivo sexto constitucional de la Sentencia T-302 del 2017</w:t>
        </w:r>
      </w:hyperlink>
      <w:r w:rsidRPr="005566C4">
        <w:rPr>
          <w:rFonts w:ascii="Verdana" w:hAnsi="Verdana"/>
          <w:color w:val="000000"/>
          <w:u w:val="single"/>
        </w:rPr>
        <w:t>"</w:t>
      </w:r>
    </w:p>
    <w:p w14:paraId="0D6187AA" w14:textId="77777777" w:rsidR="00881044" w:rsidRPr="00ED440C" w:rsidRDefault="00881044" w:rsidP="00881044">
      <w:pPr>
        <w:spacing w:after="0" w:line="276" w:lineRule="auto"/>
        <w:jc w:val="both"/>
        <w:rPr>
          <w:rFonts w:ascii="Verdana" w:hAnsi="Verdana"/>
          <w:color w:val="212121"/>
        </w:rPr>
      </w:pPr>
    </w:p>
    <w:p w14:paraId="719E4259" w14:textId="77777777" w:rsidR="00881044" w:rsidRDefault="00881044" w:rsidP="00881044">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ED440C">
        <w:rPr>
          <w:rFonts w:ascii="Verdana" w:hAnsi="Verdana"/>
          <w:color w:val="000000"/>
        </w:rPr>
        <w:t>También, te contamos que ya publicamos </w:t>
      </w:r>
      <w:r w:rsidRPr="00ED440C">
        <w:rPr>
          <w:rFonts w:ascii="Verdana" w:hAnsi="Verdana"/>
          <w:b/>
          <w:bCs/>
          <w:color w:val="000000"/>
        </w:rPr>
        <w:t>la nueva Guía de Contratación Pública Sostenible y Socialmente Responsable</w:t>
      </w:r>
      <w:r w:rsidRPr="00ED440C">
        <w:rPr>
          <w:rFonts w:ascii="Verdana" w:hAnsi="Verdana"/>
          <w:color w:val="000000"/>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6" w:tooltip="Original URL:&#10;https://www.colombiacompra.gov.co/manuales-guias-y-pliegos-tipo/manuales-y-guias/guia-de-contratacion-publica-sostenible-y-socialmente&#10;&#10;Click to follow link." w:history="1">
        <w:r w:rsidRPr="00ED440C">
          <w:rPr>
            <w:rFonts w:ascii="Verdana" w:hAnsi="Verdana"/>
            <w:color w:val="467886"/>
            <w:u w:val="single"/>
          </w:rPr>
          <w:t>Guía de Contratación Pública Sostenible y Socialmente Responsable | Colombia Compra Eficiente | Agencia Nacional de Contratación Pública</w:t>
        </w:r>
      </w:hyperlink>
      <w:r w:rsidRPr="00096788">
        <w:rPr>
          <w:rFonts w:ascii="Verdana" w:hAnsi="Verdana" w:cs="Arial"/>
          <w:color w:val="000000" w:themeColor="text1"/>
          <w:shd w:val="clear" w:color="auto" w:fill="FFFFFF"/>
        </w:rPr>
        <w:t> </w:t>
      </w:r>
      <w:r w:rsidRPr="00277E26">
        <w:rPr>
          <w:rFonts w:ascii="Verdana" w:hAnsi="Verdana" w:cs="Arial"/>
          <w:color w:val="000000" w:themeColor="text1"/>
          <w:shd w:val="clear" w:color="auto" w:fill="FFFFFF"/>
        </w:rPr>
        <w:t xml:space="preserve"> </w:t>
      </w:r>
      <w:r w:rsidRPr="00277E26">
        <w:rPr>
          <w:rStyle w:val="normaltextrun"/>
          <w:rFonts w:ascii="Verdana" w:hAnsi="Verdana" w:cs="Arial"/>
          <w:color w:val="FF0000"/>
          <w:shd w:val="clear" w:color="auto" w:fill="FFFFFF"/>
          <w:lang w:val="es-ES"/>
        </w:rPr>
        <w:t xml:space="preserve">  </w:t>
      </w:r>
    </w:p>
    <w:p w14:paraId="463EA381" w14:textId="77777777" w:rsidR="005566C4" w:rsidRDefault="005566C4" w:rsidP="00881044">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F643602" w14:textId="77777777" w:rsidR="00881044" w:rsidRPr="00277E26" w:rsidRDefault="00881044" w:rsidP="00881044">
      <w:pPr>
        <w:widowControl w:val="0"/>
        <w:autoSpaceDE w:val="0"/>
        <w:autoSpaceDN w:val="0"/>
        <w:spacing w:after="0" w:line="276" w:lineRule="auto"/>
        <w:jc w:val="both"/>
        <w:rPr>
          <w:rFonts w:ascii="Verdana" w:hAnsi="Verdana" w:cs="Arial"/>
          <w:color w:val="FF0000"/>
          <w:shd w:val="clear" w:color="auto" w:fill="FFFFFF"/>
          <w:lang w:val="es-MX"/>
        </w:rPr>
      </w:pPr>
      <w:r w:rsidRPr="00277E26">
        <w:rPr>
          <w:rStyle w:val="normaltextrun"/>
          <w:rFonts w:ascii="Verdana" w:hAnsi="Verdana" w:cs="Arial"/>
          <w:color w:val="FF0000"/>
          <w:shd w:val="clear" w:color="auto" w:fill="FFFFFF"/>
          <w:lang w:val="es-ES"/>
        </w:rPr>
        <w:t xml:space="preserve">      </w:t>
      </w:r>
    </w:p>
    <w:p w14:paraId="2278D74D" w14:textId="77777777" w:rsidR="00881044" w:rsidRPr="00277E26" w:rsidRDefault="00881044" w:rsidP="00881044">
      <w:pPr>
        <w:widowControl w:val="0"/>
        <w:autoSpaceDE w:val="0"/>
        <w:autoSpaceDN w:val="0"/>
        <w:spacing w:after="0" w:line="276" w:lineRule="auto"/>
        <w:jc w:val="both"/>
        <w:rPr>
          <w:rFonts w:ascii="Verdana" w:hAnsi="Verdana" w:cs="Arial"/>
          <w:lang w:val="es-ES_tradnl"/>
        </w:rPr>
      </w:pPr>
      <w:r w:rsidRPr="00277E26">
        <w:rPr>
          <w:rFonts w:ascii="Verdana" w:hAnsi="Verdana" w:cs="Arial"/>
        </w:rPr>
        <w:t xml:space="preserve">Este concepto tiene el alcance previsto en el artículo 28 del Código de Procedimiento Administrativo y de lo Contencioso Administrativo </w:t>
      </w:r>
      <w:r w:rsidRPr="00277E26">
        <w:rPr>
          <w:rFonts w:ascii="Verdana" w:hAnsi="Verdana" w:cs="Arial"/>
          <w:lang w:val="es-ES_tradnl"/>
        </w:rPr>
        <w:t>y las expresiones aquí utilizadas con mayúscula inicial deben ser entendidas con el significado que les otorga el artículo 2.2.1.1.1.3.1. del Decreto 1082 de 2015.</w:t>
      </w:r>
    </w:p>
    <w:p w14:paraId="10E86005" w14:textId="77777777" w:rsidR="00881044" w:rsidRPr="00277E26" w:rsidRDefault="00881044" w:rsidP="00881044">
      <w:pPr>
        <w:widowControl w:val="0"/>
        <w:autoSpaceDE w:val="0"/>
        <w:autoSpaceDN w:val="0"/>
        <w:spacing w:after="0" w:line="276" w:lineRule="auto"/>
        <w:jc w:val="both"/>
        <w:rPr>
          <w:rFonts w:ascii="Verdana" w:hAnsi="Verdana" w:cs="Arial"/>
        </w:rPr>
      </w:pPr>
    </w:p>
    <w:p w14:paraId="3DB85863" w14:textId="77777777" w:rsidR="00881044" w:rsidRPr="00277E26" w:rsidRDefault="00881044" w:rsidP="00881044">
      <w:pPr>
        <w:rPr>
          <w:rFonts w:ascii="Verdana" w:hAnsi="Verdana" w:cs="Arial"/>
          <w:lang w:eastAsia="es-CO"/>
        </w:rPr>
      </w:pPr>
      <w:r w:rsidRPr="00277E26">
        <w:rPr>
          <w:rFonts w:ascii="Verdana" w:hAnsi="Verdana" w:cs="Arial"/>
          <w:lang w:eastAsia="es-CO"/>
        </w:rPr>
        <w:t xml:space="preserve">Atentamente, </w:t>
      </w:r>
    </w:p>
    <w:p w14:paraId="6423AD1F" w14:textId="0648A4E3" w:rsidR="00881044" w:rsidRPr="00593A5F" w:rsidRDefault="00EC5DC7" w:rsidP="00881044">
      <w:pPr>
        <w:spacing w:line="276" w:lineRule="auto"/>
        <w:jc w:val="center"/>
        <w:rPr>
          <w:rFonts w:ascii="Verdana" w:hAnsi="Verdana" w:cs="Arial"/>
          <w:color w:val="000000"/>
          <w:lang w:val="es-ES_tradnl" w:eastAsia="es-CO"/>
        </w:rPr>
      </w:pPr>
      <w:r>
        <w:rPr>
          <w:noProof/>
        </w:rPr>
        <w:drawing>
          <wp:inline distT="0" distB="0" distL="0" distR="0" wp14:anchorId="2BEA5396" wp14:editId="57956108">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81044" w:rsidRPr="00593A5F" w14:paraId="414FEB14" w14:textId="77777777" w:rsidTr="00FF065B">
        <w:trPr>
          <w:trHeight w:val="315"/>
        </w:trPr>
        <w:tc>
          <w:tcPr>
            <w:tcW w:w="893" w:type="dxa"/>
            <w:vAlign w:val="center"/>
            <w:hideMark/>
          </w:tcPr>
          <w:p w14:paraId="47B57253" w14:textId="77777777" w:rsidR="00881044" w:rsidRPr="003751C7" w:rsidRDefault="00881044" w:rsidP="00FF065B">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6EFC1DB" w14:textId="77777777" w:rsidR="00881044" w:rsidRPr="00254A7A" w:rsidRDefault="00881044" w:rsidP="00FF065B">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06ECB106" w14:textId="77777777" w:rsidR="00881044" w:rsidRPr="00254A7A" w:rsidRDefault="00881044" w:rsidP="00FF065B">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881044" w:rsidRPr="00593A5F" w14:paraId="086ED8A1" w14:textId="77777777" w:rsidTr="00FF065B">
        <w:trPr>
          <w:trHeight w:val="330"/>
        </w:trPr>
        <w:tc>
          <w:tcPr>
            <w:tcW w:w="893" w:type="dxa"/>
            <w:vAlign w:val="center"/>
            <w:hideMark/>
          </w:tcPr>
          <w:p w14:paraId="31FA2513" w14:textId="77777777" w:rsidR="00881044" w:rsidRPr="003751C7" w:rsidRDefault="00881044" w:rsidP="00FF065B">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46D1654" w14:textId="77777777" w:rsidR="00881044" w:rsidRPr="00894695" w:rsidRDefault="00881044" w:rsidP="00FF065B">
            <w:pPr>
              <w:pStyle w:val="paragraph"/>
              <w:contextualSpacing/>
              <w:textAlignment w:val="baseline"/>
              <w:rPr>
                <w:rStyle w:val="normaltextrun"/>
                <w:rFonts w:ascii="Verdana" w:hAnsi="Verdana" w:cs="Arial"/>
                <w:sz w:val="16"/>
                <w:szCs w:val="16"/>
                <w:lang w:val="es-ES"/>
              </w:rPr>
            </w:pPr>
            <w:r w:rsidRPr="00894695">
              <w:rPr>
                <w:rStyle w:val="normaltextrun"/>
                <w:rFonts w:ascii="Verdana" w:hAnsi="Verdana" w:cs="Arial"/>
                <w:sz w:val="16"/>
                <w:szCs w:val="16"/>
                <w:lang w:val="es-ES"/>
              </w:rPr>
              <w:t>Alejandro Sarmiento Cantillo</w:t>
            </w:r>
          </w:p>
          <w:p w14:paraId="47FE78D8" w14:textId="77777777" w:rsidR="00881044" w:rsidRPr="00254A7A" w:rsidRDefault="00881044" w:rsidP="00FF065B">
            <w:pPr>
              <w:pStyle w:val="paragraph"/>
              <w:spacing w:before="0" w:beforeAutospacing="0" w:after="0" w:afterAutospacing="0"/>
              <w:contextualSpacing/>
              <w:textAlignment w:val="baseline"/>
              <w:rPr>
                <w:rFonts w:ascii="Verdana" w:hAnsi="Verdana" w:cs="Segoe UI"/>
                <w:sz w:val="16"/>
                <w:szCs w:val="16"/>
              </w:rPr>
            </w:pPr>
            <w:r w:rsidRPr="00894695">
              <w:rPr>
                <w:rStyle w:val="normaltextrun"/>
                <w:rFonts w:ascii="Verdana" w:hAnsi="Verdana" w:cs="Arial"/>
                <w:sz w:val="16"/>
                <w:szCs w:val="16"/>
                <w:lang w:val="es-ES"/>
              </w:rPr>
              <w:t>Gestor T1 ‒ 15 de la Subdirección de Gestión Contractual</w:t>
            </w:r>
          </w:p>
        </w:tc>
      </w:tr>
      <w:tr w:rsidR="00881044" w:rsidRPr="00593A5F" w14:paraId="11B98A28" w14:textId="77777777" w:rsidTr="00FF065B">
        <w:trPr>
          <w:trHeight w:val="300"/>
        </w:trPr>
        <w:tc>
          <w:tcPr>
            <w:tcW w:w="893" w:type="dxa"/>
            <w:vAlign w:val="center"/>
          </w:tcPr>
          <w:p w14:paraId="1F794A05" w14:textId="77777777" w:rsidR="00881044" w:rsidRPr="003751C7" w:rsidRDefault="00881044" w:rsidP="00FF065B">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B1957C5" w14:textId="77777777" w:rsidR="00881044" w:rsidRPr="003751C7" w:rsidRDefault="00881044" w:rsidP="00FF065B">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6648CBA6" w14:textId="77777777" w:rsidR="00881044" w:rsidRPr="003751C7" w:rsidRDefault="00881044" w:rsidP="00FF065B">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tbl>
    <w:p w14:paraId="15F5D4C2" w14:textId="77777777" w:rsidR="00881044" w:rsidRPr="00593A5F" w:rsidRDefault="00881044" w:rsidP="00881044">
      <w:pPr>
        <w:rPr>
          <w:rFonts w:ascii="Verdana" w:hAnsi="Verdana" w:cs="Arial"/>
          <w:lang w:eastAsia="es-ES"/>
        </w:rPr>
      </w:pPr>
    </w:p>
    <w:p w14:paraId="3900974D" w14:textId="77777777" w:rsidR="003D5B0D" w:rsidRPr="00B52FDD" w:rsidRDefault="003D5B0D" w:rsidP="00B52FDD"/>
    <w:sectPr w:rsidR="003D5B0D" w:rsidRPr="00B52FDD"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08117B" w14:textId="77777777" w:rsidR="002C65A5" w:rsidRDefault="002C65A5" w:rsidP="004A1847">
      <w:pPr>
        <w:spacing w:after="0" w:line="240" w:lineRule="auto"/>
      </w:pPr>
      <w:r>
        <w:separator/>
      </w:r>
    </w:p>
  </w:endnote>
  <w:endnote w:type="continuationSeparator" w:id="0">
    <w:p w14:paraId="1423D869" w14:textId="77777777" w:rsidR="002C65A5" w:rsidRDefault="002C65A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771D2F" w14:textId="77777777" w:rsidR="002C65A5" w:rsidRDefault="002C65A5" w:rsidP="004A1847">
      <w:pPr>
        <w:spacing w:after="0" w:line="240" w:lineRule="auto"/>
      </w:pPr>
      <w:r>
        <w:separator/>
      </w:r>
    </w:p>
  </w:footnote>
  <w:footnote w:type="continuationSeparator" w:id="0">
    <w:p w14:paraId="4AC6CE81" w14:textId="77777777" w:rsidR="002C65A5" w:rsidRDefault="002C65A5" w:rsidP="004A1847">
      <w:pPr>
        <w:spacing w:after="0" w:line="240" w:lineRule="auto"/>
      </w:pPr>
      <w:r>
        <w:continuationSeparator/>
      </w:r>
    </w:p>
  </w:footnote>
  <w:footnote w:id="1">
    <w:p w14:paraId="483D11AB" w14:textId="77777777" w:rsidR="00881044" w:rsidRPr="00D87760" w:rsidRDefault="00881044" w:rsidP="00881044">
      <w:pPr>
        <w:pStyle w:val="Textonotapie"/>
        <w:ind w:firstLine="708"/>
        <w:jc w:val="both"/>
        <w:rPr>
          <w:rFonts w:ascii="Verdana" w:hAnsi="Verdana" w:cs="Arial"/>
          <w:color w:val="000000" w:themeColor="text1"/>
          <w:sz w:val="16"/>
          <w:szCs w:val="16"/>
        </w:rPr>
      </w:pPr>
      <w:r w:rsidRPr="00D87760">
        <w:rPr>
          <w:rStyle w:val="Refdenotaalpie"/>
          <w:rFonts w:ascii="Verdana" w:hAnsi="Verdana" w:cs="Arial"/>
          <w:color w:val="000000" w:themeColor="text1"/>
          <w:sz w:val="16"/>
          <w:szCs w:val="16"/>
        </w:rPr>
        <w:footnoteRef/>
      </w:r>
      <w:r w:rsidRPr="00D87760">
        <w:rPr>
          <w:rFonts w:ascii="Verdana" w:hAnsi="Verdana" w:cs="Arial"/>
          <w:color w:val="000000" w:themeColor="text1"/>
          <w:sz w:val="16"/>
          <w:szCs w:val="16"/>
        </w:rPr>
        <w:t xml:space="preserve"> Al respecto, el artículo 2, literal a) del numeral 1, del Estatuto General de Contratación denomina como entidades estatales a “La Nación, las regiones, los departamentos, las provincias, el distrito capital y los distritos especiales, las áreas metropolitanas, las asociaciones de municipios, los territorios indígenas y los municipios; los establecimientos públicos, </w:t>
      </w:r>
      <w:r w:rsidRPr="00D87760">
        <w:rPr>
          <w:rFonts w:ascii="Verdana" w:hAnsi="Verdana" w:cs="Arial"/>
          <w:i/>
          <w:iCs/>
          <w:color w:val="000000" w:themeColor="text1"/>
          <w:sz w:val="16"/>
          <w:szCs w:val="16"/>
        </w:rPr>
        <w:t>las empresas industriales y comerciales del Estado</w:t>
      </w:r>
      <w:r w:rsidRPr="00D87760">
        <w:rPr>
          <w:rFonts w:ascii="Verdana" w:hAnsi="Verdana" w:cs="Arial"/>
          <w:color w:val="000000" w:themeColor="text1"/>
          <w:sz w:val="16"/>
          <w:szCs w:val="16"/>
        </w:rPr>
        <w:t>,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(Énfasis fuera de texto).</w:t>
      </w:r>
    </w:p>
    <w:p w14:paraId="69DB9C05" w14:textId="77777777" w:rsidR="00881044" w:rsidRPr="00D87760" w:rsidRDefault="00881044" w:rsidP="00881044">
      <w:pPr>
        <w:pStyle w:val="Textonotapie"/>
        <w:ind w:firstLine="708"/>
        <w:jc w:val="both"/>
        <w:rPr>
          <w:rFonts w:ascii="Verdana" w:hAnsi="Verdana" w:cs="Arial"/>
          <w:color w:val="000000" w:themeColor="text1"/>
          <w:sz w:val="16"/>
          <w:szCs w:val="16"/>
        </w:rPr>
      </w:pPr>
      <w:r w:rsidRPr="00D87760">
        <w:rPr>
          <w:rFonts w:ascii="Verdana" w:hAnsi="Verdana" w:cs="Arial"/>
          <w:color w:val="000000" w:themeColor="text1"/>
          <w:sz w:val="16"/>
          <w:szCs w:val="16"/>
        </w:rPr>
        <w:t xml:space="preserve">Igualmente, el artículo 93 de la Ley 489 de 1998 dispone lo siguiente: “Los actos que expidan las empresas industriales y comerciales del Estado para el desarrollo de su actividad propia, industrial o comercial o de gestión económica </w:t>
      </w:r>
      <w:r w:rsidRPr="00D87760">
        <w:rPr>
          <w:rFonts w:ascii="Verdana" w:hAnsi="Verdana" w:cs="Arial"/>
          <w:sz w:val="16"/>
          <w:szCs w:val="16"/>
        </w:rPr>
        <w:t xml:space="preserve">se sujetarán a las disposiciones del Derecho Privado. </w:t>
      </w:r>
      <w:r w:rsidRPr="00D87760">
        <w:rPr>
          <w:rFonts w:ascii="Verdana" w:hAnsi="Verdana" w:cs="Arial"/>
          <w:i/>
          <w:iCs/>
          <w:sz w:val="16"/>
          <w:szCs w:val="16"/>
        </w:rPr>
        <w:t>Los contratos que celebren para el cumplimiento de su objeto se sujetarán a las disposiciones del Estatuto General de Contratación de las entidades estatales</w:t>
      </w:r>
      <w:r w:rsidRPr="00D87760">
        <w:rPr>
          <w:rFonts w:ascii="Verdana" w:hAnsi="Verdana" w:cs="Arial"/>
          <w:sz w:val="16"/>
          <w:szCs w:val="16"/>
        </w:rPr>
        <w:t>” (Énfasis fuera de texto</w:t>
      </w:r>
      <w:r w:rsidRPr="00D87760">
        <w:rPr>
          <w:rFonts w:ascii="Verdana" w:hAnsi="Verdana" w:cs="Arial"/>
          <w:color w:val="000000" w:themeColor="text1"/>
          <w:sz w:val="16"/>
          <w:szCs w:val="16"/>
        </w:rPr>
        <w:t>).</w:t>
      </w:r>
    </w:p>
  </w:footnote>
  <w:footnote w:id="2">
    <w:p w14:paraId="28FD4FEC" w14:textId="77777777" w:rsidR="00881044" w:rsidRPr="00D87760" w:rsidRDefault="00881044" w:rsidP="00881044">
      <w:pPr>
        <w:pStyle w:val="Textonotapie"/>
        <w:ind w:firstLine="708"/>
        <w:jc w:val="both"/>
        <w:rPr>
          <w:rFonts w:ascii="Verdana" w:hAnsi="Verdana" w:cs="Arial"/>
          <w:sz w:val="16"/>
          <w:szCs w:val="16"/>
        </w:rPr>
      </w:pPr>
      <w:r w:rsidRPr="00D87760">
        <w:rPr>
          <w:rStyle w:val="Refdenotaalpie"/>
          <w:rFonts w:ascii="Verdana" w:hAnsi="Verdana" w:cs="Arial"/>
          <w:sz w:val="16"/>
          <w:szCs w:val="16"/>
        </w:rPr>
        <w:footnoteRef/>
      </w:r>
      <w:r w:rsidRPr="00D87760">
        <w:rPr>
          <w:rFonts w:ascii="Verdana" w:hAnsi="Verdana" w:cs="Arial"/>
          <w:sz w:val="16"/>
          <w:szCs w:val="16"/>
        </w:rPr>
        <w:t xml:space="preserve"> El numeral derogado disponía que “La escogencia del contratista se efectuará siempre a través de licitación o concurso públicos, salvo en los siguientes casos en los que se podrá contratar directamente: […] m)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esta ley”.</w:t>
      </w:r>
    </w:p>
  </w:footnote>
  <w:footnote w:id="3">
    <w:p w14:paraId="18EFDDFD" w14:textId="77777777" w:rsidR="00881044" w:rsidRPr="00D87760" w:rsidRDefault="00881044" w:rsidP="00881044">
      <w:pPr>
        <w:pStyle w:val="Textonotapie"/>
        <w:ind w:firstLine="708"/>
        <w:jc w:val="both"/>
        <w:rPr>
          <w:rFonts w:ascii="Verdana" w:hAnsi="Verdana" w:cs="Arial"/>
          <w:sz w:val="16"/>
          <w:szCs w:val="16"/>
          <w:lang w:val="es-ES"/>
        </w:rPr>
      </w:pPr>
      <w:r w:rsidRPr="00D87760">
        <w:rPr>
          <w:rStyle w:val="Refdenotaalpie"/>
          <w:rFonts w:ascii="Verdana" w:hAnsi="Verdana" w:cs="Arial"/>
          <w:sz w:val="16"/>
          <w:szCs w:val="16"/>
        </w:rPr>
        <w:footnoteRef/>
      </w:r>
      <w:r w:rsidRPr="00D87760">
        <w:rPr>
          <w:rFonts w:ascii="Verdana" w:hAnsi="Verdana" w:cs="Arial"/>
          <w:sz w:val="16"/>
          <w:szCs w:val="16"/>
        </w:rPr>
        <w:t xml:space="preserve"> En concordancia, el artículo 2.2.1.2.1.2.24 del Decreto 1082 de 2015 prescribe que “Las empresas industriales y comerciales del Estado y las sociedades de economía mixta, sus filiales y las empresas en las cuales el Estado tenga más del cincuenta por ciento (50%) del capital social que no se encuentren en situación de competencia, deben utilizar el procedimiento de selección abreviada de menor cuantía para los contratos que tengan como objeto su actividad comercial e industrial, salvo para los contratos de obra pública, consultoría, prestación de servicios, concesión, encargo fiduciario y fiducia pública para los cuales se aplicará la modalidad que corresponda”.</w:t>
      </w:r>
    </w:p>
  </w:footnote>
  <w:footnote w:id="4">
    <w:p w14:paraId="4523F0CD" w14:textId="77777777" w:rsidR="00881044" w:rsidRPr="00D87760" w:rsidRDefault="00881044" w:rsidP="00881044">
      <w:pPr>
        <w:pStyle w:val="Textonotapie"/>
        <w:ind w:firstLine="708"/>
        <w:jc w:val="both"/>
        <w:rPr>
          <w:rFonts w:ascii="Verdana" w:hAnsi="Verdana" w:cs="Arial"/>
          <w:sz w:val="16"/>
          <w:szCs w:val="16"/>
        </w:rPr>
      </w:pPr>
      <w:r w:rsidRPr="00D87760">
        <w:rPr>
          <w:rStyle w:val="Refdenotaalpie"/>
          <w:rFonts w:ascii="Verdana" w:hAnsi="Verdana" w:cs="Arial"/>
          <w:sz w:val="16"/>
          <w:szCs w:val="16"/>
        </w:rPr>
        <w:footnoteRef/>
      </w:r>
      <w:r w:rsidRPr="00D87760">
        <w:rPr>
          <w:rFonts w:ascii="Verdana" w:hAnsi="Verdana" w:cs="Arial"/>
          <w:sz w:val="16"/>
          <w:szCs w:val="16"/>
        </w:rPr>
        <w:t xml:space="preserve"> CONSEJO DE ESTADO. Sección Tercera. Sentencia del 19 de agosto de 2004. Exp. 12.342. C.P. Ramiro Saavedra Becerra. </w:t>
      </w:r>
    </w:p>
  </w:footnote>
  <w:footnote w:id="5">
    <w:p w14:paraId="0ED9C3AA" w14:textId="77777777" w:rsidR="00881044" w:rsidRPr="00D87760" w:rsidRDefault="00881044" w:rsidP="00881044">
      <w:pPr>
        <w:pStyle w:val="Textonotapie"/>
        <w:ind w:firstLine="708"/>
        <w:contextualSpacing/>
        <w:jc w:val="both"/>
        <w:rPr>
          <w:rFonts w:ascii="Verdana" w:eastAsia="Times New Roman" w:hAnsi="Verdana" w:cs="Arial"/>
          <w:color w:val="000000" w:themeColor="text1"/>
          <w:sz w:val="16"/>
          <w:szCs w:val="16"/>
          <w:lang w:eastAsia="es-ES_tradnl"/>
        </w:rPr>
      </w:pPr>
      <w:r w:rsidRPr="00D87760">
        <w:rPr>
          <w:rStyle w:val="Refdenotaalpie"/>
          <w:rFonts w:ascii="Verdana" w:hAnsi="Verdana" w:cs="Arial"/>
          <w:color w:val="000000" w:themeColor="text1"/>
          <w:sz w:val="16"/>
          <w:szCs w:val="16"/>
        </w:rPr>
        <w:footnoteRef/>
      </w:r>
      <w:r w:rsidRPr="00D87760">
        <w:rPr>
          <w:rFonts w:ascii="Verdana" w:hAnsi="Verdana" w:cs="Arial"/>
          <w:color w:val="000000" w:themeColor="text1"/>
          <w:sz w:val="16"/>
          <w:szCs w:val="16"/>
        </w:rPr>
        <w:t xml:space="preserve"> </w:t>
      </w:r>
      <w:r>
        <w:rPr>
          <w:rFonts w:ascii="Verdana" w:eastAsia="Times New Roman" w:hAnsi="Verdana" w:cs="Arial"/>
          <w:color w:val="000000" w:themeColor="text1"/>
          <w:sz w:val="16"/>
          <w:szCs w:val="16"/>
          <w:lang w:eastAsia="es-ES_tradnl"/>
        </w:rPr>
        <w:t>“</w:t>
      </w:r>
      <w:r w:rsidRPr="00D87760">
        <w:rPr>
          <w:rFonts w:ascii="Verdana" w:eastAsia="Times New Roman" w:hAnsi="Verdana" w:cs="Arial"/>
          <w:color w:val="000000" w:themeColor="text1"/>
          <w:sz w:val="16"/>
          <w:szCs w:val="16"/>
          <w:lang w:eastAsia="es-ES_tradnl"/>
        </w:rPr>
        <w:t>La igualdad tiene un triple rol en el ordenamiento constitucional: el de valor, el de principio y el de derecho</w:t>
      </w:r>
      <w:bookmarkStart w:id="4" w:name="_ftnref57"/>
      <w:bookmarkEnd w:id="4"/>
      <w:r w:rsidRPr="00D87760">
        <w:rPr>
          <w:rFonts w:ascii="Verdana" w:eastAsia="Times New Roman" w:hAnsi="Verdana" w:cs="Arial"/>
          <w:color w:val="000000" w:themeColor="text1"/>
          <w:sz w:val="16"/>
          <w:szCs w:val="16"/>
          <w:lang w:eastAsia="es-ES_tradnl"/>
        </w:rPr>
        <w:t>. En tanto valor, la igualdad es una norma que establece fines, dirigidos a todas las autoridades creadoras del derecho y en especial al legislador; en tanto principio, la igualdad es una norma que establece un deber ser específico y, por tanto, se trata de una norma de mayor eficacia que debe ser aplicada de manera directa e inmediata por el legislador o por el juez; en tanto derecho, la igualdad es un derecho subjetivo que “se concreta en deberes de abstención como la prohibición de la discriminación y en obligaciones de acción como la consagración de tratos favorables para los grupos que se encuentran en debilidad manifiesta. La correcta aplicación del derecho a la igualdad no sólo supone la igualdad de trato respecto de los privilegios, oportunidades y cargas entre los iguales, sino también el tratamiento desigual entre supuestos disímiles</w:t>
      </w:r>
      <w:r>
        <w:rPr>
          <w:rFonts w:ascii="Verdana" w:eastAsia="Times New Roman" w:hAnsi="Verdana" w:cs="Arial"/>
          <w:color w:val="000000" w:themeColor="text1"/>
          <w:sz w:val="16"/>
          <w:szCs w:val="16"/>
          <w:lang w:eastAsia="es-ES_tradnl"/>
        </w:rPr>
        <w:t>”</w:t>
      </w:r>
      <w:r w:rsidRPr="00D87760">
        <w:rPr>
          <w:rFonts w:ascii="Verdana" w:eastAsia="Times New Roman" w:hAnsi="Verdana" w:cs="Arial"/>
          <w:color w:val="000000" w:themeColor="text1"/>
          <w:sz w:val="16"/>
          <w:szCs w:val="16"/>
          <w:lang w:eastAsia="es-ES_tradnl"/>
        </w:rPr>
        <w:t xml:space="preserve">. Corte Constitucional. Sentencia C-811 de 2014. M.P. Mauricio González Cuervo. </w:t>
      </w:r>
    </w:p>
  </w:footnote>
  <w:footnote w:id="6">
    <w:p w14:paraId="53340668" w14:textId="77777777" w:rsidR="00881044" w:rsidRPr="00D87760" w:rsidRDefault="00881044" w:rsidP="00881044">
      <w:pPr>
        <w:pStyle w:val="Textonotapie"/>
        <w:ind w:firstLine="708"/>
        <w:contextualSpacing/>
        <w:jc w:val="both"/>
        <w:rPr>
          <w:rFonts w:ascii="Verdana" w:eastAsia="Times New Roman" w:hAnsi="Verdana" w:cs="Arial"/>
          <w:color w:val="000000" w:themeColor="text1"/>
          <w:sz w:val="16"/>
          <w:szCs w:val="16"/>
          <w:lang w:eastAsia="es-ES_tradnl"/>
        </w:rPr>
      </w:pPr>
      <w:r w:rsidRPr="00D87760">
        <w:rPr>
          <w:rStyle w:val="Refdenotaalpie"/>
          <w:rFonts w:ascii="Verdana" w:hAnsi="Verdana" w:cs="Arial"/>
          <w:color w:val="000000" w:themeColor="text1"/>
          <w:sz w:val="16"/>
          <w:szCs w:val="16"/>
        </w:rPr>
        <w:footnoteRef/>
      </w:r>
      <w:r w:rsidRPr="00D87760">
        <w:rPr>
          <w:rFonts w:ascii="Verdana" w:hAnsi="Verdana" w:cs="Arial"/>
          <w:color w:val="000000" w:themeColor="text1"/>
          <w:sz w:val="16"/>
          <w:szCs w:val="16"/>
        </w:rPr>
        <w:t xml:space="preserve"> </w:t>
      </w:r>
      <w:r w:rsidRPr="00D87760">
        <w:rPr>
          <w:rFonts w:ascii="Verdana" w:eastAsia="Times New Roman" w:hAnsi="Verdana" w:cs="Arial"/>
          <w:color w:val="000000" w:themeColor="text1"/>
          <w:sz w:val="16"/>
          <w:szCs w:val="16"/>
          <w:lang w:eastAsia="es-ES_tradnl"/>
        </w:rPr>
        <w:t xml:space="preserve">Consejo de Estado. Sección Tercera. Sentencia del 19 de julio de 2001. Rad. 1996-3771-01 (12.037). C.P. Alier Eduardo Hernández Enríquez. </w:t>
      </w:r>
    </w:p>
  </w:footnote>
  <w:footnote w:id="7">
    <w:p w14:paraId="0DE69FB9" w14:textId="77777777" w:rsidR="00881044" w:rsidRPr="00D87760" w:rsidRDefault="00881044" w:rsidP="00881044">
      <w:pPr>
        <w:pStyle w:val="Textonotapie"/>
        <w:ind w:firstLine="708"/>
        <w:contextualSpacing/>
        <w:jc w:val="both"/>
        <w:rPr>
          <w:rFonts w:ascii="Verdana" w:hAnsi="Verdana" w:cs="Arial"/>
          <w:color w:val="000000" w:themeColor="text1"/>
          <w:sz w:val="16"/>
          <w:szCs w:val="16"/>
        </w:rPr>
      </w:pPr>
      <w:r w:rsidRPr="00D87760">
        <w:rPr>
          <w:rStyle w:val="Refdenotaalpie"/>
          <w:rFonts w:ascii="Verdana" w:hAnsi="Verdana" w:cs="Arial"/>
          <w:color w:val="000000" w:themeColor="text1"/>
          <w:sz w:val="16"/>
          <w:szCs w:val="16"/>
        </w:rPr>
        <w:footnoteRef/>
      </w:r>
      <w:r w:rsidRPr="00D87760">
        <w:rPr>
          <w:rFonts w:ascii="Verdana" w:hAnsi="Verdana" w:cs="Arial"/>
          <w:color w:val="000000" w:themeColor="text1"/>
          <w:sz w:val="16"/>
          <w:szCs w:val="16"/>
        </w:rPr>
        <w:t xml:space="preserve"> </w:t>
      </w:r>
      <w:r w:rsidRPr="00D87760">
        <w:rPr>
          <w:rFonts w:ascii="Verdana" w:eastAsia="Times New Roman" w:hAnsi="Verdana" w:cs="Arial"/>
          <w:color w:val="000000" w:themeColor="text1"/>
          <w:sz w:val="16"/>
          <w:szCs w:val="16"/>
          <w:lang w:eastAsia="es-ES_tradnl"/>
        </w:rPr>
        <w:t>Corte Constitucional. Sentencia C-862 de 2008. M.P. Marco Gerardo Monroy Cabra.</w:t>
      </w:r>
      <w:r w:rsidRPr="00D87760">
        <w:rPr>
          <w:rFonts w:ascii="Verdana" w:hAnsi="Verdana" w:cs="Arial"/>
          <w:color w:val="000000" w:themeColor="text1"/>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019C67F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83781525" o:spid="_x0000_i1025" type="#_x0000_t75" style="width:11.45pt;height:11.45pt;visibility:visible;mso-wrap-style:square">
            <v:imagedata r:id="rId1" o:title=""/>
          </v:shape>
        </w:pict>
      </mc:Choice>
      <mc:Fallback>
        <w:drawing>
          <wp:inline distT="0" distB="0" distL="0" distR="0" wp14:anchorId="1FB9DD79" wp14:editId="387233CA">
            <wp:extent cx="145415" cy="145415"/>
            <wp:effectExtent l="0" t="0" r="0" b="0"/>
            <wp:docPr id="83781525" name="Imagen 83781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5415" cy="145415"/>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511A0"/>
    <w:rsid w:val="0017276D"/>
    <w:rsid w:val="001A2BE2"/>
    <w:rsid w:val="001E4177"/>
    <w:rsid w:val="001F7DC6"/>
    <w:rsid w:val="002421BB"/>
    <w:rsid w:val="0025796E"/>
    <w:rsid w:val="002662E6"/>
    <w:rsid w:val="00266337"/>
    <w:rsid w:val="002707A2"/>
    <w:rsid w:val="002951A0"/>
    <w:rsid w:val="002962BC"/>
    <w:rsid w:val="002A093D"/>
    <w:rsid w:val="002A0DD0"/>
    <w:rsid w:val="002A49AC"/>
    <w:rsid w:val="002A64FD"/>
    <w:rsid w:val="002C65A5"/>
    <w:rsid w:val="002C7A84"/>
    <w:rsid w:val="002E4FD9"/>
    <w:rsid w:val="00322A85"/>
    <w:rsid w:val="00324168"/>
    <w:rsid w:val="003448F4"/>
    <w:rsid w:val="00371F47"/>
    <w:rsid w:val="00374F5E"/>
    <w:rsid w:val="00377E3E"/>
    <w:rsid w:val="003860AB"/>
    <w:rsid w:val="003A779E"/>
    <w:rsid w:val="003D0F4D"/>
    <w:rsid w:val="003D5B0D"/>
    <w:rsid w:val="003D6F4E"/>
    <w:rsid w:val="003E0499"/>
    <w:rsid w:val="003F3941"/>
    <w:rsid w:val="00406575"/>
    <w:rsid w:val="00414C74"/>
    <w:rsid w:val="0042722E"/>
    <w:rsid w:val="0044528D"/>
    <w:rsid w:val="004668E1"/>
    <w:rsid w:val="0048468B"/>
    <w:rsid w:val="004A03BE"/>
    <w:rsid w:val="004A1847"/>
    <w:rsid w:val="004A305D"/>
    <w:rsid w:val="004F21C4"/>
    <w:rsid w:val="004F685F"/>
    <w:rsid w:val="005566C4"/>
    <w:rsid w:val="005566E8"/>
    <w:rsid w:val="00574867"/>
    <w:rsid w:val="00591460"/>
    <w:rsid w:val="005B3816"/>
    <w:rsid w:val="005C3777"/>
    <w:rsid w:val="005C5CDC"/>
    <w:rsid w:val="005D476C"/>
    <w:rsid w:val="006219F8"/>
    <w:rsid w:val="00665D70"/>
    <w:rsid w:val="006900D9"/>
    <w:rsid w:val="00706C16"/>
    <w:rsid w:val="00724F6D"/>
    <w:rsid w:val="00756841"/>
    <w:rsid w:val="007649AB"/>
    <w:rsid w:val="00764A16"/>
    <w:rsid w:val="00771D0C"/>
    <w:rsid w:val="007833AC"/>
    <w:rsid w:val="007B268C"/>
    <w:rsid w:val="007B7171"/>
    <w:rsid w:val="007C0C0F"/>
    <w:rsid w:val="007C3DC2"/>
    <w:rsid w:val="007E5497"/>
    <w:rsid w:val="00806F5F"/>
    <w:rsid w:val="00820278"/>
    <w:rsid w:val="00843779"/>
    <w:rsid w:val="00867F95"/>
    <w:rsid w:val="00876518"/>
    <w:rsid w:val="00881044"/>
    <w:rsid w:val="008843B6"/>
    <w:rsid w:val="00891928"/>
    <w:rsid w:val="008A446D"/>
    <w:rsid w:val="008C5C67"/>
    <w:rsid w:val="008D180B"/>
    <w:rsid w:val="008F0EA7"/>
    <w:rsid w:val="00923EEF"/>
    <w:rsid w:val="009419F9"/>
    <w:rsid w:val="0095685E"/>
    <w:rsid w:val="00961B09"/>
    <w:rsid w:val="00965334"/>
    <w:rsid w:val="0097093E"/>
    <w:rsid w:val="00986AC5"/>
    <w:rsid w:val="009A0DFA"/>
    <w:rsid w:val="009B2D26"/>
    <w:rsid w:val="009C4AEF"/>
    <w:rsid w:val="009C71FA"/>
    <w:rsid w:val="009C72E7"/>
    <w:rsid w:val="009D3058"/>
    <w:rsid w:val="009F3A13"/>
    <w:rsid w:val="00A122D3"/>
    <w:rsid w:val="00A17F13"/>
    <w:rsid w:val="00A20739"/>
    <w:rsid w:val="00A33C78"/>
    <w:rsid w:val="00AB0ADB"/>
    <w:rsid w:val="00B01B1A"/>
    <w:rsid w:val="00B52FDD"/>
    <w:rsid w:val="00B66319"/>
    <w:rsid w:val="00B72CD3"/>
    <w:rsid w:val="00B72FFF"/>
    <w:rsid w:val="00BC3D36"/>
    <w:rsid w:val="00BD7F72"/>
    <w:rsid w:val="00C04FB3"/>
    <w:rsid w:val="00C330EB"/>
    <w:rsid w:val="00C41061"/>
    <w:rsid w:val="00C754BE"/>
    <w:rsid w:val="00C76B1C"/>
    <w:rsid w:val="00CB6357"/>
    <w:rsid w:val="00CC1B26"/>
    <w:rsid w:val="00D423A2"/>
    <w:rsid w:val="00D520D8"/>
    <w:rsid w:val="00D63AC2"/>
    <w:rsid w:val="00D7383B"/>
    <w:rsid w:val="00D87D6F"/>
    <w:rsid w:val="00D90E4C"/>
    <w:rsid w:val="00D916C8"/>
    <w:rsid w:val="00DA231B"/>
    <w:rsid w:val="00DC39FC"/>
    <w:rsid w:val="00DF5254"/>
    <w:rsid w:val="00E13E1A"/>
    <w:rsid w:val="00E13FF0"/>
    <w:rsid w:val="00E16408"/>
    <w:rsid w:val="00E20894"/>
    <w:rsid w:val="00E245AB"/>
    <w:rsid w:val="00E2764C"/>
    <w:rsid w:val="00E27F2E"/>
    <w:rsid w:val="00E50AFE"/>
    <w:rsid w:val="00E75C92"/>
    <w:rsid w:val="00E771DC"/>
    <w:rsid w:val="00E8772A"/>
    <w:rsid w:val="00E90F6B"/>
    <w:rsid w:val="00E92C27"/>
    <w:rsid w:val="00EA0E3D"/>
    <w:rsid w:val="00EC38A7"/>
    <w:rsid w:val="00EC5DC7"/>
    <w:rsid w:val="00ED7384"/>
    <w:rsid w:val="00EE1AA8"/>
    <w:rsid w:val="00F31EDC"/>
    <w:rsid w:val="00F462B3"/>
    <w:rsid w:val="00F5664F"/>
    <w:rsid w:val="00F666C4"/>
    <w:rsid w:val="00F76AFC"/>
    <w:rsid w:val="00FA47C0"/>
    <w:rsid w:val="00FB5DD1"/>
    <w:rsid w:val="00FC2B5D"/>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8104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81044"/>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818771">
      <w:bodyDiv w:val="1"/>
      <w:marLeft w:val="0"/>
      <w:marRight w:val="0"/>
      <w:marTop w:val="0"/>
      <w:marBottom w:val="0"/>
      <w:divBdr>
        <w:top w:val="none" w:sz="0" w:space="0" w:color="auto"/>
        <w:left w:val="none" w:sz="0" w:space="0" w:color="auto"/>
        <w:bottom w:val="none" w:sz="0" w:space="0" w:color="auto"/>
        <w:right w:val="none" w:sz="0" w:space="0" w:color="auto"/>
      </w:divBdr>
      <w:divsChild>
        <w:div w:id="1505586373">
          <w:marLeft w:val="0"/>
          <w:marRight w:val="0"/>
          <w:marTop w:val="0"/>
          <w:marBottom w:val="0"/>
          <w:divBdr>
            <w:top w:val="none" w:sz="0" w:space="0" w:color="auto"/>
            <w:left w:val="none" w:sz="0" w:space="0" w:color="auto"/>
            <w:bottom w:val="none" w:sz="0" w:space="0" w:color="auto"/>
            <w:right w:val="none" w:sz="0" w:space="0" w:color="auto"/>
          </w:divBdr>
        </w:div>
        <w:div w:id="1661884289">
          <w:marLeft w:val="0"/>
          <w:marRight w:val="0"/>
          <w:marTop w:val="0"/>
          <w:marBottom w:val="0"/>
          <w:divBdr>
            <w:top w:val="none" w:sz="0" w:space="0" w:color="auto"/>
            <w:left w:val="none" w:sz="0" w:space="0" w:color="auto"/>
            <w:bottom w:val="none" w:sz="0" w:space="0" w:color="auto"/>
            <w:right w:val="none" w:sz="0" w:space="0" w:color="auto"/>
          </w:divBdr>
        </w:div>
        <w:div w:id="135992325">
          <w:marLeft w:val="0"/>
          <w:marRight w:val="0"/>
          <w:marTop w:val="0"/>
          <w:marBottom w:val="0"/>
          <w:divBdr>
            <w:top w:val="none" w:sz="0" w:space="0" w:color="auto"/>
            <w:left w:val="none" w:sz="0" w:space="0" w:color="auto"/>
            <w:bottom w:val="none" w:sz="0" w:space="0" w:color="auto"/>
            <w:right w:val="none" w:sz="0" w:space="0" w:color="auto"/>
          </w:divBdr>
        </w:div>
        <w:div w:id="32854162">
          <w:marLeft w:val="0"/>
          <w:marRight w:val="0"/>
          <w:marTop w:val="240"/>
          <w:marBottom w:val="240"/>
          <w:divBdr>
            <w:top w:val="none" w:sz="0" w:space="0" w:color="auto"/>
            <w:left w:val="none" w:sz="0" w:space="0" w:color="auto"/>
            <w:bottom w:val="none" w:sz="0" w:space="0" w:color="auto"/>
            <w:right w:val="none" w:sz="0" w:space="0" w:color="auto"/>
          </w:divBdr>
        </w:div>
      </w:divsChild>
    </w:div>
    <w:div w:id="351224338">
      <w:bodyDiv w:val="1"/>
      <w:marLeft w:val="0"/>
      <w:marRight w:val="0"/>
      <w:marTop w:val="0"/>
      <w:marBottom w:val="0"/>
      <w:divBdr>
        <w:top w:val="none" w:sz="0" w:space="0" w:color="auto"/>
        <w:left w:val="none" w:sz="0" w:space="0" w:color="auto"/>
        <w:bottom w:val="none" w:sz="0" w:space="0" w:color="auto"/>
        <w:right w:val="none" w:sz="0" w:space="0" w:color="auto"/>
      </w:divBdr>
      <w:divsChild>
        <w:div w:id="344982055">
          <w:marLeft w:val="0"/>
          <w:marRight w:val="0"/>
          <w:marTop w:val="0"/>
          <w:marBottom w:val="0"/>
          <w:divBdr>
            <w:top w:val="none" w:sz="0" w:space="0" w:color="auto"/>
            <w:left w:val="none" w:sz="0" w:space="0" w:color="auto"/>
            <w:bottom w:val="none" w:sz="0" w:space="0" w:color="auto"/>
            <w:right w:val="none" w:sz="0" w:space="0" w:color="auto"/>
          </w:divBdr>
        </w:div>
        <w:div w:id="712197058">
          <w:marLeft w:val="0"/>
          <w:marRight w:val="0"/>
          <w:marTop w:val="0"/>
          <w:marBottom w:val="0"/>
          <w:divBdr>
            <w:top w:val="none" w:sz="0" w:space="0" w:color="auto"/>
            <w:left w:val="none" w:sz="0" w:space="0" w:color="auto"/>
            <w:bottom w:val="none" w:sz="0" w:space="0" w:color="auto"/>
            <w:right w:val="none" w:sz="0" w:space="0" w:color="auto"/>
          </w:divBdr>
        </w:div>
        <w:div w:id="99840304">
          <w:marLeft w:val="0"/>
          <w:marRight w:val="0"/>
          <w:marTop w:val="0"/>
          <w:marBottom w:val="0"/>
          <w:divBdr>
            <w:top w:val="none" w:sz="0" w:space="0" w:color="auto"/>
            <w:left w:val="none" w:sz="0" w:space="0" w:color="auto"/>
            <w:bottom w:val="none" w:sz="0" w:space="0" w:color="auto"/>
            <w:right w:val="none" w:sz="0" w:space="0" w:color="auto"/>
          </w:divBdr>
        </w:div>
        <w:div w:id="1592811641">
          <w:marLeft w:val="0"/>
          <w:marRight w:val="0"/>
          <w:marTop w:val="240"/>
          <w:marBottom w:val="24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archivos/convocatoria/participacion-ciudadana-proyecto-de-la-guia-para-la-elaboracion-de-estudios-del-sector"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guia-de-contratacion-publica-sostenible-y-socialmente&amp;data=05%7C02%7Cjuan.montoya%40colombiacompra.gov.co%7Ceb0fd05604104aa4d3bc08dd4c4ad35e%7C7b09041e245149d08cb179d5e3d8c1be%7C0%7C0%7C638750606446845819%7CUnknown%7CTWFpbGZsb3d8eyJFbXB0eU1hcGkiOnRydWUsIlYiOiIwLjAuMDAwMCIsIlAiOiJXaW4zMiIsIkFOIjoiTWFpbCIsIldUIjoyfQ%3D%3D%7C0%7C%7C%7C&amp;sdata=KytnSM1zbLq%2BmYOhRHdk77F%2Bxj6KqJMZh%2FiXoPvcoW4%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vanoozo@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normativa-y-relatoria%2Fdocumentos-tipo&amp;data=05%7C02%7Calejandro.sarmiento%40colombiacompra.gov.co%7Ce3dbb806bbdc42073b9108dd8dbaca89%7C7b09041e245149d08cb179d5e3d8c1be%7C0%7C0%7C638822555585894553%7CUnknown%7CTWFpbGZsb3d8eyJFbXB0eU1hcGkiOnRydWUsIlYiOiIwLjAuMDAwMCIsIlAiOiJXaW4zMiIsIkFOIjoiTWFpbCIsIldUIjoyfQ%3D%3D%7C0%7C%7C%7C&amp;sdata=JlfNkfoj9kBvxQofUlyjwxlI6mnJsxzeEgLVkI498Pw%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77809766-ac6d-4ce8-98c1-d4e144f8be2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9FFA808E-DA52-4791-97D1-97F271834973}"/>
</file>

<file path=docProps/app.xml><?xml version="1.0" encoding="utf-8"?>
<Properties xmlns="http://schemas.openxmlformats.org/officeDocument/2006/extended-properties" xmlns:vt="http://schemas.openxmlformats.org/officeDocument/2006/docPropsVTypes">
  <Template>Normal.dotm</Template>
  <TotalTime>2</TotalTime>
  <Pages>17</Pages>
  <Words>5784</Words>
  <Characters>31813</Characters>
  <Application>Microsoft Office Word</Application>
  <DocSecurity>0</DocSecurity>
  <Lines>265</Lines>
  <Paragraphs>75</Paragraphs>
  <ScaleCrop>false</ScaleCrop>
  <Company/>
  <LinksUpToDate>false</LinksUpToDate>
  <CharactersWithSpaces>37522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5</cp:revision>
  <cp:lastPrinted>2023-01-10T21:18:00Z</cp:lastPrinted>
  <dcterms:created xsi:type="dcterms:W3CDTF">2025-06-04T19:29:00Z</dcterms:created>
  <dcterms:modified xsi:type="dcterms:W3CDTF">2025-06-10T22:47:00Z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