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7C6915" w14:textId="37EABBF3" w:rsidR="00B221BE" w:rsidRPr="00B221BE" w:rsidRDefault="00B221BE" w:rsidP="00B221BE">
      <w:pPr>
        <w:spacing w:after="0"/>
        <w:jc w:val="both"/>
        <w:rPr>
          <w:rFonts w:ascii="Verdana" w:hAnsi="Verdana"/>
        </w:rPr>
      </w:pPr>
      <w:bookmarkStart w:id="0" w:name="_Hlk143780582"/>
      <w:r w:rsidRPr="00B221BE">
        <w:rPr>
          <w:rFonts w:ascii="Verdana" w:eastAsia="Calibri" w:hAnsi="Verdana" w:cs="Arial"/>
          <w:b/>
          <w:kern w:val="2"/>
          <w14:ligatures w14:val="standardContextual"/>
        </w:rPr>
        <w:t xml:space="preserve">DOCUMENTOS TIPO DE INTERVENTORÍA DE INFRAESTRUCTURA DE TRANSPORTE – Versión 3 – Numeral 4.1 del documento base – Métodos de ponderación de la experiencia del proponente </w:t>
      </w:r>
    </w:p>
    <w:p w14:paraId="21D817F5" w14:textId="77777777" w:rsidR="00B221BE" w:rsidRPr="00B221BE" w:rsidRDefault="00B221BE" w:rsidP="00B221BE">
      <w:pPr>
        <w:tabs>
          <w:tab w:val="left" w:pos="-142"/>
        </w:tabs>
        <w:autoSpaceDE w:val="0"/>
        <w:autoSpaceDN w:val="0"/>
        <w:adjustRightInd w:val="0"/>
        <w:spacing w:after="0" w:line="276" w:lineRule="auto"/>
        <w:jc w:val="both"/>
        <w:outlineLvl w:val="2"/>
        <w:rPr>
          <w:rFonts w:ascii="Verdana" w:eastAsia="Calibri" w:hAnsi="Verdana" w:cs="Arial"/>
          <w:color w:val="000000"/>
          <w:lang w:val="es-MX"/>
        </w:rPr>
      </w:pPr>
    </w:p>
    <w:p w14:paraId="7A1BD6DC" w14:textId="4B377D56" w:rsidR="00B221BE" w:rsidRPr="00B221BE" w:rsidRDefault="00A8076C" w:rsidP="00B221BE">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r w:rsidRPr="00A8076C">
        <w:rPr>
          <w:rFonts w:ascii="Verdana" w:eastAsia="Calibri" w:hAnsi="Verdana" w:cs="Arial"/>
          <w:sz w:val="20"/>
          <w:szCs w:val="20"/>
          <w:lang w:val="x-none" w:eastAsia="es-ES"/>
        </w:rPr>
        <w:t>Los “Documentos Tipo – Versión 3” de concurso de méritos para contratar la interventoría de obra pública de infraestructura de transporte, en el numeral 4.1. “forma de verificación y asignación de puntaje por la experiencia del proponente”, establece cuatro (4) alternativas para escoger el método de ponderación de la experiencia, a saber: i) mediana con valor absoluto; ii) media geométrica; iii) media aritmética alta, y iv) media aritmética baja. A partir de estas alternativas, la entidad, para establecer el método de ponderación, tomará la parte decimal –centavos– de la Tasa Representativa del Mercado (TRM), certificada por la Superintendencia Financiera de Colombia .</w:t>
      </w:r>
    </w:p>
    <w:p w14:paraId="190EB35B" w14:textId="77777777" w:rsidR="00B221BE" w:rsidRPr="00B221BE" w:rsidRDefault="00B221BE" w:rsidP="00B221BE">
      <w:pPr>
        <w:spacing w:after="0" w:line="276" w:lineRule="auto"/>
        <w:jc w:val="both"/>
        <w:rPr>
          <w:rFonts w:ascii="Verdana" w:eastAsia="Geomanist Light" w:hAnsi="Verdana" w:cs="Arial"/>
          <w:lang w:val="es-MX"/>
        </w:rPr>
      </w:pPr>
    </w:p>
    <w:p w14:paraId="6403603B" w14:textId="77777777" w:rsidR="00B221BE" w:rsidRPr="00B221BE" w:rsidRDefault="00B221BE" w:rsidP="00B221BE">
      <w:pPr>
        <w:spacing w:after="0" w:line="276" w:lineRule="auto"/>
        <w:jc w:val="both"/>
        <w:rPr>
          <w:rFonts w:ascii="Verdana" w:eastAsia="Calibri" w:hAnsi="Verdana" w:cs="Times New Roman"/>
        </w:rPr>
      </w:pPr>
      <w:r w:rsidRPr="00B221BE">
        <w:rPr>
          <w:rFonts w:ascii="Verdana" w:eastAsia="Calibri" w:hAnsi="Verdana" w:cs="Arial"/>
          <w:b/>
          <w:kern w:val="2"/>
          <w14:ligatures w14:val="standardContextual"/>
        </w:rPr>
        <w:t xml:space="preserve">DOCUMENTOS TIPO DE INTERVENTORÍA DE INFRAESTRUCTURA DE TRANSPORTE – Ponderación de la experiencia – TRM </w:t>
      </w:r>
    </w:p>
    <w:p w14:paraId="708F9DC8" w14:textId="77777777" w:rsidR="00B221BE" w:rsidRPr="00B221BE" w:rsidRDefault="00B221BE" w:rsidP="00B221BE">
      <w:pPr>
        <w:spacing w:after="0" w:line="276" w:lineRule="auto"/>
        <w:jc w:val="both"/>
        <w:rPr>
          <w:rFonts w:ascii="Verdana" w:eastAsia="Aptos" w:hAnsi="Verdana" w:cs="Arial"/>
          <w:b/>
          <w:bCs/>
          <w:kern w:val="2"/>
          <w:lang w:val="es-MX"/>
          <w14:ligatures w14:val="standardContextual"/>
        </w:rPr>
      </w:pPr>
    </w:p>
    <w:p w14:paraId="57DA780A" w14:textId="77777777" w:rsidR="00A8076C" w:rsidRDefault="00A8076C" w:rsidP="00A8076C">
      <w:pPr>
        <w:spacing w:after="0" w:line="240" w:lineRule="auto"/>
        <w:jc w:val="both"/>
        <w:rPr>
          <w:rFonts w:ascii="Verdana" w:eastAsia="Aptos" w:hAnsi="Verdana" w:cs="Times New Roman"/>
          <w:kern w:val="2"/>
          <w:sz w:val="20"/>
          <w:szCs w:val="20"/>
          <w14:ligatures w14:val="standardContextual"/>
        </w:rPr>
      </w:pPr>
      <w:r w:rsidRPr="00A8076C">
        <w:rPr>
          <w:rFonts w:ascii="Verdana" w:eastAsia="Aptos" w:hAnsi="Verdana" w:cs="Times New Roman"/>
          <w:kern w:val="2"/>
          <w:sz w:val="20"/>
          <w:szCs w:val="20"/>
          <w14:ligatures w14:val="standardContextual"/>
        </w:rPr>
        <w:t xml:space="preserve">Como puede apreciarse, una de las principales modificaciones se realizó respecto a la etapa del proceso de contratación que servirá de referencia para conocer la TRM con la cual se determinará el método para ponderar la experiencia de los proponentes. </w:t>
      </w:r>
    </w:p>
    <w:p w14:paraId="78B267F7" w14:textId="77777777" w:rsidR="00A8076C" w:rsidRPr="00A8076C" w:rsidRDefault="00A8076C" w:rsidP="00A8076C">
      <w:pPr>
        <w:spacing w:after="0" w:line="240" w:lineRule="auto"/>
        <w:jc w:val="both"/>
        <w:rPr>
          <w:rFonts w:ascii="Verdana" w:eastAsia="Aptos" w:hAnsi="Verdana" w:cs="Times New Roman"/>
          <w:kern w:val="2"/>
          <w:sz w:val="20"/>
          <w:szCs w:val="20"/>
          <w14:ligatures w14:val="standardContextual"/>
        </w:rPr>
      </w:pPr>
    </w:p>
    <w:p w14:paraId="733BEACD" w14:textId="77777777" w:rsidR="00A8076C" w:rsidRDefault="00A8076C" w:rsidP="00A8076C">
      <w:pPr>
        <w:spacing w:after="0" w:line="240" w:lineRule="auto"/>
        <w:jc w:val="both"/>
        <w:rPr>
          <w:rFonts w:ascii="Verdana" w:eastAsia="Aptos" w:hAnsi="Verdana" w:cs="Times New Roman"/>
          <w:kern w:val="2"/>
          <w:sz w:val="20"/>
          <w:szCs w:val="20"/>
          <w14:ligatures w14:val="standardContextual"/>
        </w:rPr>
      </w:pPr>
      <w:r w:rsidRPr="00A8076C">
        <w:rPr>
          <w:rFonts w:ascii="Verdana" w:eastAsia="Aptos" w:hAnsi="Verdana" w:cs="Times New Roman"/>
          <w:kern w:val="2"/>
          <w:sz w:val="20"/>
          <w:szCs w:val="20"/>
          <w14:ligatures w14:val="standardContextual"/>
        </w:rPr>
        <w:t xml:space="preserve">En la versión anterior, el documento base establecía que “la TRM que la Entidad utilizará para determinar el método de ponderación será la que rija el segundo día hábil de la </w:t>
      </w:r>
      <w:r w:rsidRPr="00A8076C">
        <w:rPr>
          <w:rFonts w:ascii="Verdana" w:eastAsia="Aptos" w:hAnsi="Verdana" w:cs="Times New Roman"/>
          <w:b/>
          <w:bCs/>
          <w:i/>
          <w:iCs/>
          <w:kern w:val="2"/>
          <w:sz w:val="20"/>
          <w:szCs w:val="20"/>
          <w14:ligatures w14:val="standardContextual"/>
        </w:rPr>
        <w:t>fecha de cierre</w:t>
      </w:r>
      <w:r w:rsidRPr="00A8076C">
        <w:rPr>
          <w:rFonts w:ascii="Verdana" w:eastAsia="Aptos" w:hAnsi="Verdana" w:cs="Times New Roman"/>
          <w:kern w:val="2"/>
          <w:sz w:val="20"/>
          <w:szCs w:val="20"/>
          <w14:ligatures w14:val="standardContextual"/>
        </w:rPr>
        <w:t xml:space="preserve">”; por su parte, en la versión actual se determinó que “la TRM que la Entidad utilizará para determinar el método de ponderación será la que rija el segundo día hábil </w:t>
      </w:r>
      <w:r w:rsidRPr="00A8076C">
        <w:rPr>
          <w:rFonts w:ascii="Verdana" w:eastAsia="Aptos" w:hAnsi="Verdana" w:cs="Times New Roman"/>
          <w:b/>
          <w:bCs/>
          <w:kern w:val="2"/>
          <w:sz w:val="20"/>
          <w:szCs w:val="20"/>
          <w14:ligatures w14:val="standardContextual"/>
        </w:rPr>
        <w:t>después de finalizado el periodo de traslado del informe de evaluación</w:t>
      </w:r>
      <w:r w:rsidRPr="00A8076C">
        <w:rPr>
          <w:rFonts w:ascii="Verdana" w:eastAsia="Aptos" w:hAnsi="Verdana" w:cs="Times New Roman"/>
          <w:kern w:val="2"/>
          <w:sz w:val="20"/>
          <w:szCs w:val="20"/>
          <w14:ligatures w14:val="standardContextual"/>
        </w:rPr>
        <w:t>”.</w:t>
      </w:r>
    </w:p>
    <w:p w14:paraId="3ADD64BA" w14:textId="77777777" w:rsidR="00A8076C" w:rsidRPr="00A8076C" w:rsidRDefault="00A8076C" w:rsidP="00A8076C">
      <w:pPr>
        <w:spacing w:after="0" w:line="240" w:lineRule="auto"/>
        <w:jc w:val="both"/>
        <w:rPr>
          <w:rFonts w:ascii="Verdana" w:eastAsia="Aptos" w:hAnsi="Verdana" w:cs="Times New Roman"/>
          <w:kern w:val="2"/>
          <w:sz w:val="20"/>
          <w:szCs w:val="20"/>
          <w14:ligatures w14:val="standardContextual"/>
        </w:rPr>
      </w:pPr>
    </w:p>
    <w:p w14:paraId="5CABAC23" w14:textId="77777777" w:rsidR="00A8076C" w:rsidRPr="00A8076C" w:rsidRDefault="00A8076C" w:rsidP="00A8076C">
      <w:pPr>
        <w:spacing w:after="0" w:line="240" w:lineRule="auto"/>
        <w:jc w:val="both"/>
        <w:rPr>
          <w:rFonts w:ascii="Verdana" w:eastAsia="Aptos" w:hAnsi="Verdana" w:cs="Times New Roman"/>
          <w:kern w:val="2"/>
          <w:sz w:val="20"/>
          <w:szCs w:val="20"/>
          <w14:ligatures w14:val="standardContextual"/>
        </w:rPr>
      </w:pPr>
      <w:r w:rsidRPr="00A8076C">
        <w:rPr>
          <w:rFonts w:ascii="Verdana" w:eastAsia="Aptos" w:hAnsi="Verdana" w:cs="Times New Roman"/>
          <w:kern w:val="2"/>
          <w:sz w:val="20"/>
          <w:szCs w:val="20"/>
          <w14:ligatures w14:val="standardContextual"/>
        </w:rPr>
        <w:t>La incorporación de esta y otras precisiones se realizó con el objetivo de conocer la TRM que definirá el método de ponderación con posterioridad al desarrollo de cualquier proceso previo desarrollado en la etapa de subsanación que pueda incidir en la ponderación de la experiencia, como podía ocurrir en la anterior versión de los documentos tipo.</w:t>
      </w:r>
    </w:p>
    <w:p w14:paraId="428AD063" w14:textId="0574407C" w:rsidR="00B221BE" w:rsidRPr="00B221BE" w:rsidRDefault="00B221BE" w:rsidP="00A8076C">
      <w:pPr>
        <w:spacing w:after="0" w:line="240" w:lineRule="auto"/>
        <w:jc w:val="both"/>
        <w:rPr>
          <w:rFonts w:ascii="Verdana" w:eastAsia="Aptos" w:hAnsi="Verdana" w:cs="Times New Roman"/>
          <w:kern w:val="2"/>
          <w:sz w:val="20"/>
          <w:szCs w:val="20"/>
          <w14:ligatures w14:val="standardContextual"/>
        </w:rPr>
      </w:pPr>
    </w:p>
    <w:p w14:paraId="6269493E" w14:textId="77777777" w:rsidR="00B221BE" w:rsidRPr="00B221BE" w:rsidRDefault="00B221BE" w:rsidP="00B221BE">
      <w:pPr>
        <w:spacing w:after="0" w:line="276" w:lineRule="auto"/>
        <w:jc w:val="both"/>
        <w:rPr>
          <w:rFonts w:ascii="Verdana" w:eastAsia="Aptos" w:hAnsi="Verdana" w:cs="Arial"/>
          <w:b/>
          <w:bCs/>
          <w:kern w:val="2"/>
          <w:lang w:val="es-MX"/>
          <w14:ligatures w14:val="standardContextual"/>
        </w:rPr>
      </w:pPr>
    </w:p>
    <w:p w14:paraId="7C2BC336" w14:textId="77777777" w:rsidR="00B221BE" w:rsidRPr="00B221BE" w:rsidRDefault="00B221BE" w:rsidP="00B221BE">
      <w:pPr>
        <w:snapToGrid w:val="0"/>
        <w:spacing w:after="0" w:line="240" w:lineRule="auto"/>
        <w:jc w:val="both"/>
        <w:rPr>
          <w:rFonts w:ascii="Verdana" w:eastAsia="Times New Roman" w:hAnsi="Verdana" w:cs="Arial"/>
          <w:kern w:val="2"/>
          <w:sz w:val="20"/>
          <w:szCs w:val="20"/>
          <w:shd w:val="clear" w:color="auto" w:fill="FFFFFF"/>
          <w:lang w:val="es-ES" w:eastAsia="es-ES"/>
          <w14:ligatures w14:val="standardContextual"/>
        </w:rPr>
      </w:pPr>
    </w:p>
    <w:p w14:paraId="35ECD9D7" w14:textId="77777777" w:rsidR="00B221BE" w:rsidRPr="00B221BE" w:rsidRDefault="00B221BE" w:rsidP="00B221BE">
      <w:pPr>
        <w:spacing w:after="0" w:line="240" w:lineRule="auto"/>
        <w:rPr>
          <w:rFonts w:ascii="Verdana" w:eastAsia="Geomanist Light" w:hAnsi="Verdana" w:cs="Arial"/>
          <w:lang w:val="es-MX"/>
        </w:rPr>
      </w:pPr>
    </w:p>
    <w:p w14:paraId="5A6DE43F" w14:textId="77777777" w:rsidR="00B221BE" w:rsidRPr="00B221BE" w:rsidRDefault="00B221BE" w:rsidP="00B221BE">
      <w:pPr>
        <w:spacing w:after="0" w:line="240" w:lineRule="auto"/>
        <w:rPr>
          <w:rFonts w:ascii="Verdana" w:eastAsia="Geomanist Light" w:hAnsi="Verdana" w:cs="Arial"/>
          <w:lang w:val="es-MX"/>
        </w:rPr>
      </w:pPr>
    </w:p>
    <w:p w14:paraId="44DA283E" w14:textId="77777777" w:rsidR="00B221BE" w:rsidRPr="00B221BE" w:rsidRDefault="00B221BE" w:rsidP="00B221BE">
      <w:pPr>
        <w:spacing w:after="0" w:line="240" w:lineRule="auto"/>
        <w:rPr>
          <w:rFonts w:ascii="Verdana" w:eastAsia="Geomanist Light" w:hAnsi="Verdana" w:cs="Arial"/>
          <w:lang w:val="es-MX"/>
        </w:rPr>
      </w:pPr>
    </w:p>
    <w:p w14:paraId="0046A6D2" w14:textId="77777777" w:rsidR="00B221BE" w:rsidRPr="00B221BE" w:rsidRDefault="00B221BE" w:rsidP="00B221BE">
      <w:pPr>
        <w:spacing w:after="0" w:line="240" w:lineRule="auto"/>
        <w:rPr>
          <w:rFonts w:ascii="Verdana" w:eastAsia="Geomanist Light" w:hAnsi="Verdana" w:cs="Arial"/>
          <w:lang w:val="es-MX"/>
        </w:rPr>
      </w:pPr>
    </w:p>
    <w:p w14:paraId="317A8707" w14:textId="77777777" w:rsidR="00B221BE" w:rsidRPr="00B221BE" w:rsidRDefault="00B221BE" w:rsidP="00B221BE">
      <w:pPr>
        <w:spacing w:after="0" w:line="240" w:lineRule="auto"/>
        <w:rPr>
          <w:rFonts w:ascii="Verdana" w:eastAsia="Geomanist Light" w:hAnsi="Verdana" w:cs="Arial"/>
          <w:lang w:val="es-MX"/>
        </w:rPr>
      </w:pPr>
    </w:p>
    <w:p w14:paraId="449AEEFC" w14:textId="77777777" w:rsidR="00B221BE" w:rsidRPr="00B221BE" w:rsidRDefault="00B221BE" w:rsidP="00B221BE">
      <w:pPr>
        <w:spacing w:after="0" w:line="240" w:lineRule="auto"/>
        <w:rPr>
          <w:rFonts w:ascii="Verdana" w:eastAsia="Geomanist Light" w:hAnsi="Verdana" w:cs="Arial"/>
          <w:lang w:val="es-MX"/>
        </w:rPr>
      </w:pPr>
    </w:p>
    <w:p w14:paraId="06CF20CD" w14:textId="77777777" w:rsidR="00B221BE" w:rsidRPr="00B221BE" w:rsidRDefault="00B221BE" w:rsidP="00B221BE">
      <w:pPr>
        <w:spacing w:after="0" w:line="240" w:lineRule="auto"/>
        <w:rPr>
          <w:rFonts w:ascii="Verdana" w:eastAsia="Geomanist Light" w:hAnsi="Verdana" w:cs="Arial"/>
          <w:lang w:val="es-MX"/>
        </w:rPr>
      </w:pPr>
    </w:p>
    <w:p w14:paraId="532A177D" w14:textId="77777777" w:rsidR="00B221BE" w:rsidRPr="00B221BE" w:rsidRDefault="00B221BE" w:rsidP="00B221BE">
      <w:pPr>
        <w:spacing w:after="0" w:line="240" w:lineRule="auto"/>
        <w:rPr>
          <w:rFonts w:ascii="Verdana" w:eastAsia="Geomanist Light" w:hAnsi="Verdana" w:cs="Arial"/>
          <w:lang w:val="es-MX"/>
        </w:rPr>
      </w:pPr>
    </w:p>
    <w:p w14:paraId="10D3E709" w14:textId="77777777" w:rsidR="00B221BE" w:rsidRPr="00B221BE" w:rsidRDefault="00B221BE" w:rsidP="00B221BE">
      <w:pPr>
        <w:spacing w:after="0" w:line="240" w:lineRule="auto"/>
        <w:rPr>
          <w:rFonts w:ascii="Verdana" w:eastAsia="Geomanist Light" w:hAnsi="Verdana" w:cs="Arial"/>
          <w:lang w:val="es-MX"/>
        </w:rPr>
      </w:pPr>
    </w:p>
    <w:p w14:paraId="08868E93" w14:textId="77777777" w:rsidR="00B221BE" w:rsidRPr="00B221BE" w:rsidRDefault="00B221BE" w:rsidP="00B221BE">
      <w:pPr>
        <w:spacing w:after="0" w:line="240" w:lineRule="auto"/>
        <w:jc w:val="both"/>
        <w:rPr>
          <w:rFonts w:ascii="Verdana" w:eastAsia="Geomanist Light" w:hAnsi="Verdana" w:cs="Arial"/>
          <w:lang w:val="es-MX"/>
        </w:rPr>
      </w:pPr>
    </w:p>
    <w:p w14:paraId="1BBDB890" w14:textId="5A646823" w:rsidR="00B221BE" w:rsidRDefault="00B221BE" w:rsidP="00B221BE">
      <w:pPr>
        <w:spacing w:after="0" w:line="240" w:lineRule="auto"/>
        <w:jc w:val="both"/>
        <w:rPr>
          <w:rFonts w:ascii="Verdana" w:hAnsi="Verdana"/>
        </w:rPr>
      </w:pPr>
      <w:r w:rsidRPr="0044528D">
        <w:rPr>
          <w:rFonts w:ascii="Verdana" w:hAnsi="Verdana"/>
        </w:rPr>
        <w:lastRenderedPageBreak/>
        <w:t xml:space="preserve">Bogotá D.C., </w:t>
      </w:r>
      <w:r w:rsidR="0096562D">
        <w:rPr>
          <w:rFonts w:ascii="Verdana" w:hAnsi="Verdana"/>
        </w:rPr>
        <w:t>19 Junio 2025</w:t>
      </w:r>
    </w:p>
    <w:p w14:paraId="73CC64FA" w14:textId="77777777" w:rsidR="00B221BE" w:rsidRPr="00B221BE" w:rsidRDefault="00B221BE" w:rsidP="00B221BE">
      <w:pPr>
        <w:spacing w:after="0" w:line="240" w:lineRule="auto"/>
        <w:jc w:val="both"/>
        <w:rPr>
          <w:rFonts w:ascii="Verdana" w:eastAsia="Calibri" w:hAnsi="Verdana" w:cs="Arial"/>
          <w:lang w:val="es-ES"/>
        </w:rPr>
      </w:pPr>
    </w:p>
    <w:p w14:paraId="585E3AC3" w14:textId="7BCCD201" w:rsidR="00B221BE" w:rsidRPr="00B221BE" w:rsidRDefault="0096562D" w:rsidP="0096562D">
      <w:pPr>
        <w:spacing w:after="0" w:line="240" w:lineRule="auto"/>
        <w:jc w:val="right"/>
        <w:rPr>
          <w:rFonts w:ascii="Verdana" w:eastAsia="Calibri" w:hAnsi="Verdana" w:cs="Arial"/>
          <w:lang w:val="es-ES"/>
        </w:rPr>
      </w:pPr>
      <w:r>
        <w:rPr>
          <w:rFonts w:ascii="Verdana" w:eastAsia="Calibri" w:hAnsi="Verdana" w:cs="Arial"/>
          <w:noProof/>
          <w:lang w:val="es-ES"/>
        </w:rPr>
        <w:drawing>
          <wp:inline distT="0" distB="0" distL="0" distR="0" wp14:anchorId="7BA16CAA" wp14:editId="0295595B">
            <wp:extent cx="3390900" cy="952500"/>
            <wp:effectExtent l="0" t="0" r="0" b="0"/>
            <wp:docPr id="9657385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738560" name="Imagen 965738560"/>
                    <pic:cNvPicPr/>
                  </pic:nvPicPr>
                  <pic:blipFill>
                    <a:blip r:embed="rId10">
                      <a:extLst>
                        <a:ext uri="{28A0092B-C50C-407E-A947-70E740481C1C}">
                          <a14:useLocalDpi xmlns:a14="http://schemas.microsoft.com/office/drawing/2010/main" val="0"/>
                        </a:ext>
                      </a:extLst>
                    </a:blip>
                    <a:stretch>
                      <a:fillRect/>
                    </a:stretch>
                  </pic:blipFill>
                  <pic:spPr>
                    <a:xfrm>
                      <a:off x="0" y="0"/>
                      <a:ext cx="3390900" cy="952500"/>
                    </a:xfrm>
                    <a:prstGeom prst="rect">
                      <a:avLst/>
                    </a:prstGeom>
                  </pic:spPr>
                </pic:pic>
              </a:graphicData>
            </a:graphic>
          </wp:inline>
        </w:drawing>
      </w:r>
    </w:p>
    <w:p w14:paraId="0EF566DC" w14:textId="77777777" w:rsidR="0096562D" w:rsidRDefault="0096562D" w:rsidP="00B221BE">
      <w:pPr>
        <w:spacing w:after="0" w:line="240" w:lineRule="auto"/>
        <w:jc w:val="both"/>
        <w:rPr>
          <w:rFonts w:ascii="Verdana" w:eastAsia="Calibri" w:hAnsi="Verdana" w:cs="Arial"/>
          <w:lang w:val="es-ES" w:eastAsia="es-ES"/>
        </w:rPr>
      </w:pPr>
    </w:p>
    <w:p w14:paraId="32012B80" w14:textId="3691B5BA" w:rsidR="00B221BE" w:rsidRPr="00B221BE" w:rsidRDefault="00B221BE" w:rsidP="00B221BE">
      <w:pPr>
        <w:spacing w:after="0" w:line="240" w:lineRule="auto"/>
        <w:jc w:val="both"/>
        <w:rPr>
          <w:rFonts w:ascii="Verdana" w:eastAsia="Calibri" w:hAnsi="Verdana" w:cs="Arial"/>
          <w:lang w:val="es-ES" w:eastAsia="es-ES"/>
        </w:rPr>
      </w:pPr>
      <w:r w:rsidRPr="00B221BE">
        <w:rPr>
          <w:rFonts w:ascii="Verdana" w:eastAsia="Calibri" w:hAnsi="Verdana" w:cs="Arial"/>
          <w:lang w:val="es-ES" w:eastAsia="es-ES"/>
        </w:rPr>
        <w:t>Señor</w:t>
      </w:r>
    </w:p>
    <w:p w14:paraId="71EE8D1D" w14:textId="77777777" w:rsidR="00B221BE" w:rsidRPr="00B221BE" w:rsidRDefault="00B221BE" w:rsidP="00B221BE">
      <w:pPr>
        <w:spacing w:after="0" w:line="240" w:lineRule="auto"/>
        <w:rPr>
          <w:rFonts w:ascii="Verdana" w:eastAsia="Calibri" w:hAnsi="Verdana" w:cs="Arial"/>
          <w:b/>
          <w:lang w:val="es-ES_tradnl" w:eastAsia="es-ES_tradnl"/>
        </w:rPr>
      </w:pPr>
      <w:r w:rsidRPr="00B221BE">
        <w:rPr>
          <w:rFonts w:ascii="Verdana" w:eastAsia="Calibri" w:hAnsi="Verdana" w:cs="Arial"/>
          <w:b/>
          <w:lang w:val="es-ES_tradnl" w:eastAsia="es-ES_tradnl"/>
        </w:rPr>
        <w:t>Ricardo León Isaza Jiménez</w:t>
      </w:r>
    </w:p>
    <w:p w14:paraId="67A8738A" w14:textId="77777777" w:rsidR="00B221BE" w:rsidRPr="00B221BE" w:rsidRDefault="00B221BE" w:rsidP="00B221BE">
      <w:pPr>
        <w:spacing w:after="0" w:line="240" w:lineRule="auto"/>
        <w:rPr>
          <w:rFonts w:ascii="Verdana" w:eastAsia="Calibri" w:hAnsi="Verdana" w:cs="Arial"/>
          <w:b/>
          <w:bCs/>
          <w:lang w:val="es-ES" w:eastAsia="es-ES"/>
        </w:rPr>
      </w:pPr>
      <w:r w:rsidRPr="00B221BE">
        <w:rPr>
          <w:rFonts w:ascii="Verdana" w:eastAsia="Calibri" w:hAnsi="Verdana" w:cs="Arial"/>
          <w:lang w:val="es-ES" w:eastAsia="es-ES"/>
        </w:rPr>
        <w:t>Medellín, Antioquia</w:t>
      </w:r>
    </w:p>
    <w:p w14:paraId="44656573" w14:textId="77777777" w:rsidR="00B221BE" w:rsidRPr="00B221BE" w:rsidRDefault="00B221BE" w:rsidP="00B221BE">
      <w:pPr>
        <w:spacing w:after="0" w:line="240" w:lineRule="auto"/>
        <w:rPr>
          <w:rFonts w:ascii="Verdana" w:eastAsia="Calibri" w:hAnsi="Verdana" w:cs="Arial"/>
          <w:b/>
          <w:bCs/>
          <w:lang w:val="es-ES_tradnl" w:eastAsia="es-ES_tradnl"/>
        </w:rPr>
      </w:pPr>
    </w:p>
    <w:p w14:paraId="00F1D156" w14:textId="77777777" w:rsidR="00B221BE" w:rsidRPr="00B221BE" w:rsidRDefault="00B221BE" w:rsidP="00B221BE">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221BE" w:rsidRPr="00B221BE" w14:paraId="31EC6526" w14:textId="77777777" w:rsidTr="005A356F">
        <w:trPr>
          <w:trHeight w:val="884"/>
        </w:trPr>
        <w:tc>
          <w:tcPr>
            <w:tcW w:w="2689" w:type="dxa"/>
          </w:tcPr>
          <w:p w14:paraId="57F87A93" w14:textId="77777777" w:rsidR="00B221BE" w:rsidRPr="00B221BE" w:rsidRDefault="00B221BE" w:rsidP="00B221BE">
            <w:pPr>
              <w:jc w:val="both"/>
              <w:rPr>
                <w:rFonts w:ascii="Verdana" w:eastAsia="Calibri" w:hAnsi="Verdana" w:cs="Arial"/>
                <w:b/>
                <w:bCs/>
                <w:lang w:val="es-ES_tradnl" w:eastAsia="es-ES_tradnl"/>
              </w:rPr>
            </w:pPr>
          </w:p>
        </w:tc>
        <w:tc>
          <w:tcPr>
            <w:tcW w:w="6100" w:type="dxa"/>
          </w:tcPr>
          <w:p w14:paraId="72834B4B" w14:textId="77777777" w:rsidR="00B221BE" w:rsidRPr="00B221BE" w:rsidRDefault="00B221BE" w:rsidP="00B221BE">
            <w:pPr>
              <w:jc w:val="both"/>
              <w:rPr>
                <w:rFonts w:ascii="Verdana" w:eastAsia="Calibri" w:hAnsi="Verdana" w:cs="Arial"/>
                <w:b/>
                <w:bCs/>
                <w:lang w:val="es-ES" w:eastAsia="es-ES"/>
              </w:rPr>
            </w:pPr>
            <w:r w:rsidRPr="00B221BE">
              <w:rPr>
                <w:rFonts w:ascii="Verdana" w:eastAsia="Calibri" w:hAnsi="Verdana" w:cs="Arial"/>
                <w:b/>
                <w:bCs/>
                <w:lang w:val="es-ES" w:eastAsia="es-ES"/>
              </w:rPr>
              <w:t>Concepto C – 643 de 2025</w:t>
            </w:r>
          </w:p>
        </w:tc>
      </w:tr>
      <w:tr w:rsidR="00B221BE" w:rsidRPr="00B221BE" w14:paraId="0AF289D5" w14:textId="77777777" w:rsidTr="005A356F">
        <w:trPr>
          <w:trHeight w:val="884"/>
        </w:trPr>
        <w:tc>
          <w:tcPr>
            <w:tcW w:w="2689" w:type="dxa"/>
          </w:tcPr>
          <w:p w14:paraId="54F121AB" w14:textId="77777777" w:rsidR="00B221BE" w:rsidRPr="00B221BE" w:rsidRDefault="00B221BE" w:rsidP="00B221BE">
            <w:pPr>
              <w:jc w:val="both"/>
              <w:rPr>
                <w:rFonts w:ascii="Verdana" w:eastAsia="Calibri" w:hAnsi="Verdana" w:cs="Arial"/>
                <w:lang w:val="es-ES_tradnl" w:eastAsia="es-ES_tradnl"/>
              </w:rPr>
            </w:pPr>
            <w:r w:rsidRPr="00B221BE">
              <w:rPr>
                <w:rFonts w:ascii="Verdana" w:eastAsia="Calibri" w:hAnsi="Verdana" w:cs="Arial"/>
                <w:b/>
                <w:lang w:val="es-ES_tradnl" w:eastAsia="es-ES_tradnl"/>
              </w:rPr>
              <w:t>Temas:</w:t>
            </w:r>
            <w:r w:rsidRPr="00B221BE">
              <w:rPr>
                <w:rFonts w:ascii="Verdana" w:eastAsia="Calibri" w:hAnsi="Verdana" w:cs="Arial"/>
                <w:lang w:val="es-ES_tradnl" w:eastAsia="es-ES_tradnl"/>
              </w:rPr>
              <w:t xml:space="preserve">                   </w:t>
            </w:r>
          </w:p>
        </w:tc>
        <w:tc>
          <w:tcPr>
            <w:tcW w:w="6100" w:type="dxa"/>
          </w:tcPr>
          <w:p w14:paraId="41A5862C" w14:textId="77777777" w:rsidR="00B221BE" w:rsidRPr="00B221BE" w:rsidRDefault="00B221BE" w:rsidP="00B221BE">
            <w:pPr>
              <w:spacing w:line="276" w:lineRule="auto"/>
              <w:jc w:val="both"/>
              <w:rPr>
                <w:rFonts w:ascii="Verdana" w:eastAsia="Calibri" w:hAnsi="Verdana" w:cs="Times New Roman"/>
                <w:bCs/>
              </w:rPr>
            </w:pPr>
            <w:r w:rsidRPr="00B221BE">
              <w:rPr>
                <w:rFonts w:ascii="Verdana" w:eastAsia="Calibri" w:hAnsi="Verdana" w:cs="Arial"/>
                <w:bCs/>
              </w:rPr>
              <w:t xml:space="preserve">DOCUMENTOS TIPO DE INTERVENTORÍA DE INFRAESTRUCTURA DE TRANSPORTE – Versión 3 – Numeral 4.1 del documento base – Métodos de ponderación de la experiencia del proponente / DOCUMENTOS TIPO DE INTERVENTORÍA DE INFRAESTRUCTURA DE TRANSPORTE – Ponderación de la experiencia – TRM  </w:t>
            </w:r>
          </w:p>
          <w:p w14:paraId="061912CA" w14:textId="77777777" w:rsidR="00B221BE" w:rsidRPr="00B221BE" w:rsidRDefault="00B221BE" w:rsidP="00B221BE">
            <w:pPr>
              <w:spacing w:line="276" w:lineRule="auto"/>
              <w:jc w:val="both"/>
              <w:rPr>
                <w:rFonts w:ascii="Verdana" w:eastAsia="Calibri" w:hAnsi="Verdana" w:cs="Arial"/>
                <w:lang w:val="es-ES" w:eastAsia="es-ES"/>
              </w:rPr>
            </w:pPr>
          </w:p>
        </w:tc>
      </w:tr>
      <w:tr w:rsidR="00B221BE" w:rsidRPr="00B221BE" w14:paraId="6132CCC1" w14:textId="77777777" w:rsidTr="005A356F">
        <w:tc>
          <w:tcPr>
            <w:tcW w:w="2689" w:type="dxa"/>
          </w:tcPr>
          <w:p w14:paraId="159E5792" w14:textId="77777777" w:rsidR="00B221BE" w:rsidRPr="00B221BE" w:rsidRDefault="00B221BE" w:rsidP="00B221BE">
            <w:pPr>
              <w:jc w:val="both"/>
              <w:rPr>
                <w:rFonts w:ascii="Verdana" w:eastAsia="Calibri" w:hAnsi="Verdana" w:cs="Arial"/>
                <w:b/>
                <w:lang w:val="es-ES_tradnl" w:eastAsia="es-ES_tradnl"/>
              </w:rPr>
            </w:pPr>
            <w:r w:rsidRPr="00B221BE">
              <w:rPr>
                <w:rFonts w:ascii="Verdana" w:eastAsia="Calibri" w:hAnsi="Verdana" w:cs="Arial"/>
                <w:b/>
                <w:lang w:val="es-ES_tradnl" w:eastAsia="es-ES_tradnl"/>
              </w:rPr>
              <w:t>Radicación:</w:t>
            </w:r>
            <w:r w:rsidRPr="00B221BE">
              <w:rPr>
                <w:rFonts w:ascii="Verdana" w:eastAsia="Calibri" w:hAnsi="Verdana" w:cs="Arial"/>
                <w:lang w:val="es-ES_tradnl" w:eastAsia="es-ES_tradnl"/>
              </w:rPr>
              <w:t xml:space="preserve">               </w:t>
            </w:r>
          </w:p>
        </w:tc>
        <w:tc>
          <w:tcPr>
            <w:tcW w:w="6100" w:type="dxa"/>
          </w:tcPr>
          <w:p w14:paraId="76922F70" w14:textId="4C982EDD" w:rsidR="00B221BE" w:rsidRPr="00B221BE" w:rsidRDefault="00B221BE" w:rsidP="00B221BE">
            <w:pPr>
              <w:jc w:val="both"/>
              <w:rPr>
                <w:rFonts w:ascii="Verdana" w:eastAsia="Calibri" w:hAnsi="Verdana" w:cs="Arial"/>
                <w:lang w:val="es-ES_tradnl" w:eastAsia="es-ES_tradnl"/>
              </w:rPr>
            </w:pPr>
            <w:r w:rsidRPr="00B221BE">
              <w:rPr>
                <w:rFonts w:ascii="Verdana" w:eastAsia="Calibri" w:hAnsi="Verdana" w:cs="Arial"/>
                <w:lang w:val="es-ES_tradnl" w:eastAsia="es-ES_tradnl"/>
              </w:rPr>
              <w:t>Respuesta a consultas acumuladas con radicados No. P20250508004377, P2025</w:t>
            </w:r>
            <w:r w:rsidR="00BA023F">
              <w:rPr>
                <w:rFonts w:ascii="Verdana" w:eastAsia="Calibri" w:hAnsi="Verdana" w:cs="Arial"/>
                <w:lang w:val="es-ES_tradnl" w:eastAsia="es-ES_tradnl"/>
              </w:rPr>
              <w:t>0508004380</w:t>
            </w:r>
            <w:r w:rsidRPr="00B221BE">
              <w:rPr>
                <w:rFonts w:ascii="Verdana" w:eastAsia="Calibri" w:hAnsi="Verdana" w:cs="Arial"/>
                <w:lang w:val="es-ES_tradnl" w:eastAsia="es-ES_tradnl"/>
              </w:rPr>
              <w:t xml:space="preserve"> y P20250522004980</w:t>
            </w:r>
          </w:p>
        </w:tc>
      </w:tr>
    </w:tbl>
    <w:p w14:paraId="74E5E5B2" w14:textId="77777777" w:rsidR="00B221BE" w:rsidRPr="00B221BE" w:rsidRDefault="00B221BE" w:rsidP="00B221BE">
      <w:pPr>
        <w:spacing w:after="0" w:line="240" w:lineRule="auto"/>
        <w:jc w:val="both"/>
        <w:rPr>
          <w:rFonts w:ascii="Verdana" w:eastAsia="Calibri" w:hAnsi="Verdana" w:cs="Arial"/>
          <w:lang w:val="es-ES_tradnl" w:eastAsia="es-ES_tradnl"/>
        </w:rPr>
      </w:pPr>
    </w:p>
    <w:p w14:paraId="32A9D8D9" w14:textId="77777777" w:rsidR="00B221BE" w:rsidRPr="00B221BE" w:rsidRDefault="00B221BE" w:rsidP="00B221BE">
      <w:pPr>
        <w:spacing w:after="0" w:line="240" w:lineRule="auto"/>
        <w:jc w:val="both"/>
        <w:rPr>
          <w:rFonts w:ascii="Verdana" w:eastAsia="Calibri" w:hAnsi="Verdana" w:cs="Arial"/>
          <w:lang w:val="es-ES_tradnl" w:eastAsia="es-ES_tradnl"/>
        </w:rPr>
      </w:pPr>
    </w:p>
    <w:p w14:paraId="38F0C7FC" w14:textId="77777777" w:rsidR="00B221BE" w:rsidRPr="00B221BE" w:rsidRDefault="00B221BE" w:rsidP="00B221BE">
      <w:pPr>
        <w:spacing w:after="0" w:line="276" w:lineRule="auto"/>
        <w:jc w:val="both"/>
        <w:rPr>
          <w:rFonts w:ascii="Verdana" w:eastAsia="Calibri" w:hAnsi="Verdana" w:cs="Arial"/>
          <w:lang w:val="es-ES" w:eastAsia="es-ES"/>
        </w:rPr>
      </w:pPr>
      <w:r w:rsidRPr="00B221BE">
        <w:rPr>
          <w:rFonts w:ascii="Verdana" w:eastAsia="Calibri" w:hAnsi="Verdana" w:cs="Arial"/>
          <w:lang w:val="es-ES" w:eastAsia="es-ES"/>
        </w:rPr>
        <w:t xml:space="preserve">Estimado señor Isaza Jiménez: </w:t>
      </w:r>
    </w:p>
    <w:p w14:paraId="0834EF82" w14:textId="77777777" w:rsidR="00B221BE" w:rsidRPr="00B221BE" w:rsidRDefault="00B221BE" w:rsidP="00B221BE">
      <w:pPr>
        <w:tabs>
          <w:tab w:val="left" w:pos="3768"/>
        </w:tabs>
        <w:spacing w:after="0" w:line="276" w:lineRule="auto"/>
        <w:jc w:val="both"/>
        <w:rPr>
          <w:rFonts w:ascii="Verdana" w:eastAsia="Calibri" w:hAnsi="Verdana" w:cs="Arial"/>
          <w:lang w:val="es-ES" w:eastAsia="es-ES"/>
        </w:rPr>
      </w:pPr>
      <w:r w:rsidRPr="00B221BE">
        <w:rPr>
          <w:rFonts w:ascii="Verdana" w:eastAsia="Calibri" w:hAnsi="Verdana" w:cs="Arial"/>
          <w:lang w:val="es-ES" w:eastAsia="es-ES"/>
        </w:rPr>
        <w:tab/>
      </w:r>
    </w:p>
    <w:p w14:paraId="71D50359" w14:textId="77777777" w:rsidR="00B221BE" w:rsidRPr="00B221BE" w:rsidRDefault="00B221BE" w:rsidP="00B221BE">
      <w:pPr>
        <w:spacing w:after="0" w:line="276" w:lineRule="auto"/>
        <w:jc w:val="both"/>
        <w:rPr>
          <w:rFonts w:ascii="Verdana" w:eastAsia="Calibri" w:hAnsi="Verdana" w:cs="Arial"/>
          <w:lang w:val="es-ES" w:eastAsia="es-ES"/>
        </w:rPr>
      </w:pPr>
      <w:r w:rsidRPr="00B221BE">
        <w:rPr>
          <w:rFonts w:ascii="Verdana" w:eastAsia="Calibri" w:hAnsi="Verdana" w:cs="Arial"/>
          <w:lang w:val="es-ES" w:eastAsia="es-ES"/>
        </w:rPr>
        <w:t>En ejercicio de la competencia otorgada por los artículos 3, numeral 5º, y 11, numeral 8º, del Decreto Ley 4170 de 2011,</w:t>
      </w:r>
      <w:r w:rsidRPr="00B221BE">
        <w:rPr>
          <w:rFonts w:ascii="Verdana" w:eastAsia="Arial MT" w:hAnsi="Verdana" w:cs="Arial MT"/>
          <w:lang w:val="es-ES" w:eastAsia="es-ES"/>
        </w:rPr>
        <w:t xml:space="preserve"> </w:t>
      </w:r>
      <w:r w:rsidRPr="00B221BE">
        <w:rPr>
          <w:rFonts w:ascii="Verdana" w:eastAsia="Calibri" w:hAnsi="Verdana" w:cs="Arial"/>
        </w:rPr>
        <w:t xml:space="preserve">así como lo establecido en el artículo 4 de la Resolución 1707 de 2018 expedida por esta Entidad, </w:t>
      </w:r>
      <w:r w:rsidRPr="00B221BE">
        <w:rPr>
          <w:rFonts w:ascii="Verdana" w:eastAsia="Calibri" w:hAnsi="Verdana" w:cs="Arial"/>
          <w:lang w:val="es-ES" w:eastAsia="es-ES"/>
        </w:rPr>
        <w:t>la Agencia Nacional de Contratación Pública –Colombia Compra Eficiente– responde sus solicitudes de consultas acumuladas de fechas 8 y 22 de mayo de 2025, en las que manifiesta lo siguiente:</w:t>
      </w:r>
    </w:p>
    <w:p w14:paraId="13EE6538" w14:textId="77777777" w:rsidR="00B221BE" w:rsidRPr="00B221BE" w:rsidRDefault="00B221BE" w:rsidP="00B221BE">
      <w:pPr>
        <w:spacing w:after="0" w:line="240" w:lineRule="auto"/>
        <w:ind w:right="709"/>
        <w:jc w:val="both"/>
        <w:rPr>
          <w:rFonts w:ascii="Verdana" w:eastAsia="Century Gothic" w:hAnsi="Verdana" w:cs="Century Gothic"/>
          <w:sz w:val="20"/>
          <w:szCs w:val="20"/>
          <w:lang w:val="es-ES"/>
        </w:rPr>
      </w:pPr>
    </w:p>
    <w:p w14:paraId="3BADE0CC" w14:textId="77777777" w:rsidR="00B221BE" w:rsidRPr="00B221BE" w:rsidRDefault="00B221BE" w:rsidP="00B221BE">
      <w:pPr>
        <w:spacing w:after="0" w:line="240" w:lineRule="auto"/>
        <w:ind w:left="709" w:right="709"/>
        <w:jc w:val="both"/>
        <w:rPr>
          <w:rFonts w:ascii="Verdana" w:eastAsia="Century Gothic" w:hAnsi="Verdana" w:cs="Century Gothic"/>
          <w:sz w:val="21"/>
          <w:szCs w:val="21"/>
          <w:lang w:val="es-ES"/>
        </w:rPr>
      </w:pPr>
      <w:r w:rsidRPr="00B221BE">
        <w:rPr>
          <w:rFonts w:ascii="Verdana" w:eastAsia="Century Gothic" w:hAnsi="Verdana" w:cs="Century Gothic"/>
          <w:sz w:val="21"/>
          <w:szCs w:val="21"/>
          <w:lang w:val="es-ES"/>
        </w:rPr>
        <w:t xml:space="preserve">“Hemos denunciado q el no establecer topes a las </w:t>
      </w:r>
      <w:proofErr w:type="spellStart"/>
      <w:r w:rsidRPr="00B221BE">
        <w:rPr>
          <w:rFonts w:ascii="Verdana" w:eastAsia="Century Gothic" w:hAnsi="Verdana" w:cs="Century Gothic"/>
          <w:sz w:val="21"/>
          <w:szCs w:val="21"/>
          <w:lang w:val="es-ES"/>
        </w:rPr>
        <w:t>formulas</w:t>
      </w:r>
      <w:proofErr w:type="spellEnd"/>
      <w:r w:rsidRPr="00B221BE">
        <w:rPr>
          <w:rFonts w:ascii="Verdana" w:eastAsia="Century Gothic" w:hAnsi="Verdana" w:cs="Century Gothic"/>
          <w:sz w:val="21"/>
          <w:szCs w:val="21"/>
          <w:lang w:val="es-ES"/>
        </w:rPr>
        <w:t xml:space="preserve"> de los Pliegos Tipo en los contratos de interventoría de obra </w:t>
      </w:r>
      <w:proofErr w:type="spellStart"/>
      <w:r w:rsidRPr="00B221BE">
        <w:rPr>
          <w:rFonts w:ascii="Verdana" w:eastAsia="Century Gothic" w:hAnsi="Verdana" w:cs="Century Gothic"/>
          <w:sz w:val="21"/>
          <w:szCs w:val="21"/>
          <w:lang w:val="es-ES"/>
        </w:rPr>
        <w:t>publica</w:t>
      </w:r>
      <w:proofErr w:type="spellEnd"/>
      <w:r w:rsidRPr="00B221BE">
        <w:rPr>
          <w:rFonts w:ascii="Verdana" w:eastAsia="Century Gothic" w:hAnsi="Verdana" w:cs="Century Gothic"/>
          <w:sz w:val="21"/>
          <w:szCs w:val="21"/>
          <w:lang w:val="es-ES"/>
        </w:rPr>
        <w:t xml:space="preserve"> </w:t>
      </w:r>
      <w:proofErr w:type="spellStart"/>
      <w:r w:rsidRPr="00B221BE">
        <w:rPr>
          <w:rFonts w:ascii="Verdana" w:eastAsia="Century Gothic" w:hAnsi="Verdana" w:cs="Century Gothic"/>
          <w:sz w:val="21"/>
          <w:szCs w:val="21"/>
          <w:lang w:val="es-ES"/>
        </w:rPr>
        <w:t>esta</w:t>
      </w:r>
      <w:proofErr w:type="spellEnd"/>
      <w:r w:rsidRPr="00B221BE">
        <w:rPr>
          <w:rFonts w:ascii="Verdana" w:eastAsia="Century Gothic" w:hAnsi="Verdana" w:cs="Century Gothic"/>
          <w:sz w:val="21"/>
          <w:szCs w:val="21"/>
          <w:lang w:val="es-ES"/>
        </w:rPr>
        <w:t xml:space="preserve"> </w:t>
      </w:r>
      <w:r w:rsidRPr="00B221BE">
        <w:rPr>
          <w:rFonts w:ascii="Verdana" w:eastAsia="Century Gothic" w:hAnsi="Verdana" w:cs="Century Gothic"/>
          <w:sz w:val="21"/>
          <w:szCs w:val="21"/>
          <w:lang w:val="es-ES"/>
        </w:rPr>
        <w:lastRenderedPageBreak/>
        <w:t xml:space="preserve">llevando a colusión reiterada por algunos proponentes. El </w:t>
      </w:r>
      <w:proofErr w:type="spellStart"/>
      <w:r w:rsidRPr="00B221BE">
        <w:rPr>
          <w:rFonts w:ascii="Verdana" w:eastAsia="Century Gothic" w:hAnsi="Verdana" w:cs="Century Gothic"/>
          <w:sz w:val="21"/>
          <w:szCs w:val="21"/>
          <w:lang w:val="es-ES"/>
        </w:rPr>
        <w:t>ACTUALl</w:t>
      </w:r>
      <w:proofErr w:type="spellEnd"/>
      <w:r w:rsidRPr="00B221BE">
        <w:rPr>
          <w:rFonts w:ascii="Verdana" w:eastAsia="Century Gothic" w:hAnsi="Verdana" w:cs="Century Gothic"/>
          <w:sz w:val="21"/>
          <w:szCs w:val="21"/>
          <w:lang w:val="es-ES"/>
        </w:rPr>
        <w:t xml:space="preserve"> proceso de la alcaldía de </w:t>
      </w:r>
      <w:proofErr w:type="spellStart"/>
      <w:r w:rsidRPr="00B221BE">
        <w:rPr>
          <w:rFonts w:ascii="Verdana" w:eastAsia="Century Gothic" w:hAnsi="Verdana" w:cs="Century Gothic"/>
          <w:sz w:val="21"/>
          <w:szCs w:val="21"/>
          <w:lang w:val="es-ES"/>
        </w:rPr>
        <w:t>manizalez</w:t>
      </w:r>
      <w:proofErr w:type="spellEnd"/>
      <w:r w:rsidRPr="00B221BE">
        <w:rPr>
          <w:rFonts w:ascii="Verdana" w:eastAsia="Century Gothic" w:hAnsi="Verdana" w:cs="Century Gothic"/>
          <w:sz w:val="21"/>
          <w:szCs w:val="21"/>
          <w:lang w:val="es-ES"/>
        </w:rPr>
        <w:t xml:space="preserve"> CM-014-2025. La TRM de 08-05-2025 determinará formula de ponderación. El proponente No. 20 con una propuesta valida de 20.87 veces el presupuesto oficial, SABIENDO ANTICIPADAMENTE QUE CUALQUIER OPCIÓN LE DARÁ RESULTADO NEGATIVO, resigna opción de competir honestamente en favor de otros tres que son el 21 (14.8 veces), 25 (15.15 veces) y 51 (10.89 veces) siendo este último el que será seguramente el ganador si la TRM favorece la Media Aritmética Alta. Mediante formula que relacione parámetros de evaluación, NO en forma directa pues induciría a colocarse directamente allí en ese tope tanto para la BAJA como para la ALTA. En el ANTERIOR MÉTODO DE EVALUACIÓN (</w:t>
      </w:r>
      <w:proofErr w:type="spellStart"/>
      <w:r w:rsidRPr="00B221BE">
        <w:rPr>
          <w:rFonts w:ascii="Verdana" w:eastAsia="Century Gothic" w:hAnsi="Verdana" w:cs="Century Gothic"/>
          <w:sz w:val="21"/>
          <w:szCs w:val="21"/>
          <w:lang w:val="es-ES"/>
        </w:rPr>
        <w:t>Pph</w:t>
      </w:r>
      <w:proofErr w:type="spellEnd"/>
      <w:r w:rsidRPr="00B221BE">
        <w:rPr>
          <w:rFonts w:ascii="Verdana" w:eastAsia="Century Gothic" w:hAnsi="Verdana" w:cs="Century Gothic"/>
          <w:sz w:val="21"/>
          <w:szCs w:val="21"/>
          <w:lang w:val="es-ES"/>
        </w:rPr>
        <w:t xml:space="preserve">) había una formula q para </w:t>
      </w:r>
      <w:proofErr w:type="gramStart"/>
      <w:r w:rsidRPr="00B221BE">
        <w:rPr>
          <w:rFonts w:ascii="Verdana" w:eastAsia="Century Gothic" w:hAnsi="Verdana" w:cs="Century Gothic"/>
          <w:sz w:val="21"/>
          <w:szCs w:val="21"/>
          <w:lang w:val="es-ES"/>
        </w:rPr>
        <w:t>esto</w:t>
      </w:r>
      <w:proofErr w:type="gramEnd"/>
      <w:r w:rsidRPr="00B221BE">
        <w:rPr>
          <w:rFonts w:ascii="Verdana" w:eastAsia="Century Gothic" w:hAnsi="Verdana" w:cs="Century Gothic"/>
          <w:sz w:val="21"/>
          <w:szCs w:val="21"/>
          <w:lang w:val="es-ES"/>
        </w:rPr>
        <w:t xml:space="preserve"> pero creería q podría mejorarse pues permitía valores muy extremos</w:t>
      </w:r>
    </w:p>
    <w:p w14:paraId="1895C894" w14:textId="77777777" w:rsidR="00B221BE" w:rsidRPr="00B221BE" w:rsidRDefault="00B221BE" w:rsidP="00B221BE">
      <w:pPr>
        <w:spacing w:after="0" w:line="240" w:lineRule="auto"/>
        <w:ind w:left="709" w:right="709"/>
        <w:jc w:val="both"/>
        <w:rPr>
          <w:rFonts w:ascii="Verdana" w:eastAsia="Century Gothic" w:hAnsi="Verdana" w:cs="Century Gothic"/>
          <w:sz w:val="21"/>
          <w:szCs w:val="21"/>
          <w:lang w:val="es-ES"/>
        </w:rPr>
      </w:pPr>
    </w:p>
    <w:p w14:paraId="453CA0C5" w14:textId="77777777" w:rsidR="00B221BE" w:rsidRPr="00B221BE" w:rsidRDefault="00B221BE" w:rsidP="00B221BE">
      <w:pPr>
        <w:spacing w:after="0" w:line="240" w:lineRule="auto"/>
        <w:ind w:left="709" w:right="709"/>
        <w:jc w:val="both"/>
        <w:rPr>
          <w:rFonts w:ascii="Verdana" w:eastAsia="Century Gothic" w:hAnsi="Verdana" w:cs="Century Gothic"/>
          <w:sz w:val="21"/>
          <w:szCs w:val="21"/>
          <w:lang w:val="es-ES"/>
        </w:rPr>
      </w:pPr>
      <w:r w:rsidRPr="00B221BE">
        <w:rPr>
          <w:rFonts w:ascii="Verdana" w:eastAsia="Century Gothic" w:hAnsi="Verdana" w:cs="Century Gothic"/>
          <w:sz w:val="21"/>
          <w:szCs w:val="21"/>
          <w:lang w:val="es-ES"/>
        </w:rPr>
        <w:t xml:space="preserve">He Solicitado denuncia con radicado No. P20250508004377 en el cual denuncio POSIBLE caso de colusión en proceso alcaldía de Manizales CM 014-2025, favor tener en cuenta esto pues no me consta que los proponentes mencionados efectivamente estén incursos en el mencionado ilícito. En lo que me ratifico es en que esta práctica de presentar propuestas con valores </w:t>
      </w:r>
      <w:proofErr w:type="gramStart"/>
      <w:r w:rsidRPr="00B221BE">
        <w:rPr>
          <w:rFonts w:ascii="Verdana" w:eastAsia="Century Gothic" w:hAnsi="Verdana" w:cs="Century Gothic"/>
          <w:sz w:val="21"/>
          <w:szCs w:val="21"/>
          <w:lang w:val="es-ES"/>
        </w:rPr>
        <w:t>muy altos o muy bajos</w:t>
      </w:r>
      <w:proofErr w:type="gramEnd"/>
      <w:r w:rsidRPr="00B221BE">
        <w:rPr>
          <w:rFonts w:ascii="Verdana" w:eastAsia="Century Gothic" w:hAnsi="Verdana" w:cs="Century Gothic"/>
          <w:sz w:val="21"/>
          <w:szCs w:val="21"/>
          <w:lang w:val="es-ES"/>
        </w:rPr>
        <w:t xml:space="preserve"> y más ahora que </w:t>
      </w:r>
      <w:proofErr w:type="spellStart"/>
      <w:r w:rsidRPr="00B221BE">
        <w:rPr>
          <w:rFonts w:ascii="Verdana" w:eastAsia="Century Gothic" w:hAnsi="Verdana" w:cs="Century Gothic"/>
          <w:sz w:val="21"/>
          <w:szCs w:val="21"/>
          <w:lang w:val="es-ES"/>
        </w:rPr>
        <w:t>esta</w:t>
      </w:r>
      <w:proofErr w:type="spellEnd"/>
      <w:r w:rsidRPr="00B221BE">
        <w:rPr>
          <w:rFonts w:ascii="Verdana" w:eastAsia="Century Gothic" w:hAnsi="Verdana" w:cs="Century Gothic"/>
          <w:sz w:val="21"/>
          <w:szCs w:val="21"/>
          <w:lang w:val="es-ES"/>
        </w:rPr>
        <w:t xml:space="preserve"> vigente la media BAJA se debe corregir con la indicación de que además del puntaje nulo la propuesta debe ser calificada como NO HÁBIL. Insisto en un método analítico de limitar estos extremos además de lo anterior como en el caso anterior del famoso (</w:t>
      </w:r>
      <w:proofErr w:type="spellStart"/>
      <w:r w:rsidRPr="00B221BE">
        <w:rPr>
          <w:rFonts w:ascii="Verdana" w:eastAsia="Century Gothic" w:hAnsi="Verdana" w:cs="Century Gothic"/>
          <w:sz w:val="21"/>
          <w:szCs w:val="21"/>
          <w:lang w:val="es-ES"/>
        </w:rPr>
        <w:t>Pph</w:t>
      </w:r>
      <w:proofErr w:type="spellEnd"/>
      <w:r w:rsidRPr="00B221BE">
        <w:rPr>
          <w:rFonts w:ascii="Verdana" w:eastAsia="Century Gothic" w:hAnsi="Verdana" w:cs="Century Gothic"/>
          <w:sz w:val="21"/>
          <w:szCs w:val="21"/>
          <w:lang w:val="es-ES"/>
        </w:rPr>
        <w:t xml:space="preserve">) o acudiendo a la desviación Estándar de las propuestas </w:t>
      </w:r>
      <w:proofErr w:type="spellStart"/>
      <w:proofErr w:type="gramStart"/>
      <w:r w:rsidRPr="00B221BE">
        <w:rPr>
          <w:rFonts w:ascii="Verdana" w:eastAsia="Century Gothic" w:hAnsi="Verdana" w:cs="Century Gothic"/>
          <w:sz w:val="21"/>
          <w:szCs w:val="21"/>
          <w:lang w:val="es-ES"/>
        </w:rPr>
        <w:t>validas.PERO</w:t>
      </w:r>
      <w:proofErr w:type="spellEnd"/>
      <w:proofErr w:type="gramEnd"/>
      <w:r w:rsidRPr="00B221BE">
        <w:rPr>
          <w:rFonts w:ascii="Verdana" w:eastAsia="Century Gothic" w:hAnsi="Verdana" w:cs="Century Gothic"/>
          <w:sz w:val="21"/>
          <w:szCs w:val="21"/>
          <w:lang w:val="es-ES"/>
        </w:rPr>
        <w:t xml:space="preserve"> ESTO HAY QUE HACERLO PUES DESESTIMULA MUCHO EL EJERCICIO PROFESIONAL. Y RECUERDEN QUE QUIEN ACUDE A ESTAS MAÑAS POSIBLEMENTE, CON MAÑAS EJECUTA SU LABOR¡¡¡¡</w:t>
      </w:r>
    </w:p>
    <w:p w14:paraId="41F07896" w14:textId="77777777" w:rsidR="00B221BE" w:rsidRPr="00B221BE" w:rsidRDefault="00B221BE" w:rsidP="00B221BE">
      <w:pPr>
        <w:spacing w:after="0" w:line="240" w:lineRule="auto"/>
        <w:ind w:left="709" w:right="709"/>
        <w:jc w:val="both"/>
        <w:rPr>
          <w:rFonts w:ascii="Verdana" w:eastAsia="Century Gothic" w:hAnsi="Verdana" w:cs="Century Gothic"/>
          <w:sz w:val="21"/>
          <w:szCs w:val="21"/>
          <w:lang w:val="es-ES"/>
        </w:rPr>
      </w:pPr>
    </w:p>
    <w:p w14:paraId="414EF639" w14:textId="77777777" w:rsidR="00B221BE" w:rsidRPr="00B221BE" w:rsidRDefault="00B221BE" w:rsidP="00B221BE">
      <w:pPr>
        <w:spacing w:after="0" w:line="240" w:lineRule="auto"/>
        <w:ind w:left="709" w:right="709"/>
        <w:jc w:val="both"/>
        <w:rPr>
          <w:rFonts w:ascii="Verdana" w:eastAsia="Century Gothic" w:hAnsi="Verdana" w:cs="Century Gothic"/>
          <w:sz w:val="21"/>
          <w:szCs w:val="21"/>
          <w:lang w:val="es-ES"/>
        </w:rPr>
      </w:pPr>
      <w:r w:rsidRPr="00B221BE">
        <w:rPr>
          <w:rFonts w:ascii="Verdana" w:eastAsia="Century Gothic" w:hAnsi="Verdana" w:cs="Century Gothic"/>
          <w:sz w:val="21"/>
          <w:szCs w:val="21"/>
          <w:lang w:val="es-ES"/>
        </w:rPr>
        <w:t xml:space="preserve">Desde el 08/05/2025 a través del radicado P20250508004377 anticipé que proponente sería favorecido en el proceso CM-014-2025 de la Alcaldía de Manizales, en caso de que la TRM correspondiera a la Media Aritmética Alta. En la Evaluación final se puede comprobar </w:t>
      </w:r>
      <w:proofErr w:type="gramStart"/>
      <w:r w:rsidRPr="00B221BE">
        <w:rPr>
          <w:rFonts w:ascii="Verdana" w:eastAsia="Century Gothic" w:hAnsi="Verdana" w:cs="Century Gothic"/>
          <w:sz w:val="21"/>
          <w:szCs w:val="21"/>
          <w:lang w:val="es-ES"/>
        </w:rPr>
        <w:t>que</w:t>
      </w:r>
      <w:proofErr w:type="gramEnd"/>
      <w:r w:rsidRPr="00B221BE">
        <w:rPr>
          <w:rFonts w:ascii="Verdana" w:eastAsia="Century Gothic" w:hAnsi="Verdana" w:cs="Century Gothic"/>
          <w:sz w:val="21"/>
          <w:szCs w:val="21"/>
          <w:lang w:val="es-ES"/>
        </w:rPr>
        <w:t xml:space="preserve"> aunque la fracción decimal de la TRM no correspondió a esta alternativa es fácil de verificar que lo anticipado hubiera ocurrido SI o SI independiente de cualquier revisión de las demás propuestas. Un sencillo análisis de sensibilidad muestra cual es la cantidad de veces el presupuesto oficial suficiente para obtener el máximo puntaje a partir de otra propuesta "SACRIFICIO". Este tipo de manipulación aplica también para la Media Aritmética Baja. Por favor tener en cuenta lo solicitado Con el radicado No. P20250508004380 expuse que se debe poner un tope a través de algún método matemático que limite estas extravagancias.” [SIC]</w:t>
      </w:r>
    </w:p>
    <w:p w14:paraId="0D48B97C" w14:textId="77777777" w:rsidR="00B221BE" w:rsidRPr="00B221BE" w:rsidRDefault="00B221BE" w:rsidP="00B221BE">
      <w:pPr>
        <w:spacing w:after="0" w:line="240" w:lineRule="auto"/>
        <w:ind w:left="709" w:right="709"/>
        <w:jc w:val="both"/>
        <w:rPr>
          <w:rFonts w:ascii="Verdana" w:eastAsia="Century Gothic" w:hAnsi="Verdana" w:cs="Century Gothic"/>
          <w:lang w:val="es-ES"/>
        </w:rPr>
      </w:pPr>
      <w:r w:rsidRPr="00B221BE">
        <w:rPr>
          <w:rFonts w:ascii="Verdana" w:eastAsia="Century Gothic" w:hAnsi="Verdana" w:cs="Century Gothic"/>
          <w:sz w:val="20"/>
          <w:szCs w:val="20"/>
          <w:lang w:val="es-ES"/>
        </w:rPr>
        <w:t xml:space="preserve">   </w:t>
      </w:r>
    </w:p>
    <w:p w14:paraId="3A00762E" w14:textId="77777777" w:rsidR="00B221BE" w:rsidRPr="00B221BE" w:rsidRDefault="00B221BE" w:rsidP="00B221BE">
      <w:pPr>
        <w:spacing w:after="120" w:line="276" w:lineRule="auto"/>
        <w:ind w:firstLine="709"/>
        <w:jc w:val="both"/>
        <w:rPr>
          <w:rFonts w:ascii="Verdana" w:eastAsia="Calibri" w:hAnsi="Verdana" w:cs="Arial"/>
          <w:szCs w:val="24"/>
          <w:lang w:val="es-ES_tradnl" w:eastAsia="es-ES_tradnl"/>
        </w:rPr>
      </w:pPr>
      <w:r w:rsidRPr="00B221BE">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221BE">
        <w:rPr>
          <w:rFonts w:ascii="Verdana" w:eastAsia="Calibri" w:hAnsi="Verdana" w:cs="Arial"/>
          <w:szCs w:val="24"/>
          <w:lang w:val="es-ES_tradnl" w:eastAsia="es-ES_tradnl"/>
        </w:rPr>
        <w:tab/>
      </w:r>
    </w:p>
    <w:p w14:paraId="3EC29C07" w14:textId="77777777" w:rsidR="00B221BE" w:rsidRPr="00B221BE" w:rsidRDefault="00B221BE" w:rsidP="00B221BE">
      <w:pPr>
        <w:spacing w:after="0" w:line="276" w:lineRule="auto"/>
        <w:ind w:firstLine="709"/>
        <w:jc w:val="both"/>
        <w:rPr>
          <w:rFonts w:ascii="Verdana" w:eastAsia="Calibri" w:hAnsi="Verdana" w:cs="Arial"/>
          <w:lang w:val="es-ES" w:eastAsia="es-ES"/>
        </w:rPr>
      </w:pPr>
      <w:r w:rsidRPr="00B221BE">
        <w:rPr>
          <w:rFonts w:ascii="Verdana" w:eastAsia="Calibri" w:hAnsi="Verdana" w:cs="Arial"/>
          <w:lang w:val="es-ES"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AE87FCD" w14:textId="77777777" w:rsidR="00B221BE" w:rsidRPr="00B221BE" w:rsidRDefault="00B221BE" w:rsidP="00B221BE">
      <w:pPr>
        <w:spacing w:after="0" w:line="276" w:lineRule="auto"/>
        <w:ind w:firstLine="709"/>
        <w:jc w:val="both"/>
        <w:rPr>
          <w:rFonts w:ascii="Verdana" w:eastAsia="Calibri" w:hAnsi="Verdana" w:cs="Arial"/>
          <w:lang w:val="es-ES" w:eastAsia="es-ES"/>
        </w:rPr>
      </w:pPr>
    </w:p>
    <w:p w14:paraId="547BAB58" w14:textId="77777777" w:rsidR="00B221BE" w:rsidRPr="00B221BE" w:rsidRDefault="00B221BE" w:rsidP="00B221BE">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B221BE">
        <w:rPr>
          <w:rFonts w:ascii="Verdana" w:eastAsia="Century Gothic" w:hAnsi="Verdana" w:cs="Century Gothic"/>
          <w:b/>
          <w:bCs/>
          <w:lang w:val="es-ES"/>
        </w:rPr>
        <w:t>Problema planteado:</w:t>
      </w:r>
    </w:p>
    <w:p w14:paraId="276940F0" w14:textId="77777777" w:rsidR="00B221BE" w:rsidRPr="00B221BE" w:rsidRDefault="00B221BE" w:rsidP="00B221BE">
      <w:pPr>
        <w:tabs>
          <w:tab w:val="left" w:pos="426"/>
        </w:tabs>
        <w:spacing w:after="0" w:line="276" w:lineRule="auto"/>
        <w:jc w:val="both"/>
        <w:rPr>
          <w:rFonts w:ascii="Verdana" w:eastAsia="Century Gothic" w:hAnsi="Verdana" w:cs="Century Gothic"/>
          <w:lang w:val="es-ES"/>
        </w:rPr>
      </w:pPr>
    </w:p>
    <w:p w14:paraId="0BECF53B" w14:textId="1B1A90AC" w:rsidR="00B221BE" w:rsidRPr="00B221BE" w:rsidRDefault="00B221BE" w:rsidP="00B221BE">
      <w:pPr>
        <w:snapToGrid w:val="0"/>
        <w:spacing w:after="0" w:line="276" w:lineRule="auto"/>
        <w:jc w:val="both"/>
        <w:rPr>
          <w:rFonts w:ascii="Verdana" w:eastAsia="Century Gothic" w:hAnsi="Verdana" w:cs="Century Gothic"/>
        </w:rPr>
      </w:pPr>
      <w:r w:rsidRPr="00B221BE">
        <w:rPr>
          <w:rFonts w:ascii="Verdana" w:eastAsia="Century Gothic" w:hAnsi="Verdana" w:cs="Century Gothic"/>
        </w:rPr>
        <w:t>De acuerdo con el contenido de su solicitud, esta Agencia resolverá el siguiente problema jurídico relacionado con los documentos tipo de concurso de méritos para contratar la interventoría de obra pública de infraestructura de transporte –versión 3–: ¿cuál es el alcance de los métodos de ponderación de la experiencia y la TRM?</w:t>
      </w:r>
    </w:p>
    <w:p w14:paraId="1C889B32" w14:textId="77777777" w:rsidR="00B221BE" w:rsidRPr="00B221BE" w:rsidRDefault="00B221BE" w:rsidP="00B221BE">
      <w:pPr>
        <w:snapToGrid w:val="0"/>
        <w:spacing w:after="0" w:line="276" w:lineRule="auto"/>
        <w:jc w:val="both"/>
        <w:rPr>
          <w:rFonts w:ascii="Verdana" w:eastAsia="Calibri" w:hAnsi="Verdana" w:cs="Arial"/>
          <w:lang w:val="es-ES"/>
        </w:rPr>
      </w:pPr>
    </w:p>
    <w:p w14:paraId="3FB6A0EF" w14:textId="77777777" w:rsidR="00B221BE" w:rsidRPr="00B221BE" w:rsidRDefault="00B221BE" w:rsidP="00B221BE">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B221BE">
        <w:rPr>
          <w:rFonts w:ascii="Verdana" w:eastAsia="Century Gothic" w:hAnsi="Verdana" w:cs="Century Gothic"/>
          <w:b/>
          <w:bCs/>
          <w:lang w:val="es-ES"/>
        </w:rPr>
        <w:t>Respuesta:</w:t>
      </w:r>
    </w:p>
    <w:p w14:paraId="5C48CD82" w14:textId="77777777" w:rsidR="00B221BE" w:rsidRPr="00B221BE" w:rsidRDefault="00B221BE" w:rsidP="00B221BE">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221BE" w:rsidRPr="00B221BE" w14:paraId="4C923E46" w14:textId="77777777" w:rsidTr="005A356F">
        <w:tc>
          <w:tcPr>
            <w:tcW w:w="8828" w:type="dxa"/>
            <w:shd w:val="clear" w:color="auto" w:fill="auto"/>
          </w:tcPr>
          <w:p w14:paraId="7000E883" w14:textId="77777777" w:rsidR="00B221BE" w:rsidRPr="00B221BE" w:rsidRDefault="00B221BE" w:rsidP="00B221BE">
            <w:pPr>
              <w:spacing w:after="120" w:line="276" w:lineRule="auto"/>
              <w:jc w:val="both"/>
              <w:rPr>
                <w:rFonts w:ascii="Verdana" w:eastAsia="Aptos" w:hAnsi="Verdana" w:cs="Times New Roman"/>
              </w:rPr>
            </w:pPr>
            <w:r w:rsidRPr="00B221BE">
              <w:rPr>
                <w:rFonts w:ascii="Verdana" w:eastAsia="Aptos" w:hAnsi="Verdana" w:cs="Times New Roman"/>
              </w:rPr>
              <w:t xml:space="preserve">Una de las principales modificaciones se realizó en los documentos tipo de concurso de méritos para contratar la interventoría de obra pública de infraestructura de transporte –versión 3–, concierne a la etapa del proceso de contratación que servirá de referencia para conocer la TRM con la cual se determinará el método para ponderar la experiencia de los proponentes. </w:t>
            </w:r>
          </w:p>
          <w:p w14:paraId="6DE4E631" w14:textId="77777777" w:rsidR="00B221BE" w:rsidRPr="00B221BE" w:rsidRDefault="00B221BE" w:rsidP="00B221BE">
            <w:pPr>
              <w:spacing w:after="120" w:line="276" w:lineRule="auto"/>
              <w:ind w:firstLine="709"/>
              <w:jc w:val="both"/>
              <w:rPr>
                <w:rFonts w:ascii="Verdana" w:eastAsia="Aptos" w:hAnsi="Verdana" w:cs="Times New Roman"/>
              </w:rPr>
            </w:pPr>
            <w:r w:rsidRPr="00B221BE">
              <w:rPr>
                <w:rFonts w:ascii="Verdana" w:eastAsia="Aptos" w:hAnsi="Verdana" w:cs="Times New Roman"/>
              </w:rPr>
              <w:t xml:space="preserve">En la versión anterior, el documento base establecía que “la TRM que la Entidad utilizará para determinar el método de ponderación será la que rija el segundo día hábil de la </w:t>
            </w:r>
            <w:r w:rsidRPr="00B221BE">
              <w:rPr>
                <w:rFonts w:ascii="Verdana" w:eastAsia="Aptos" w:hAnsi="Verdana" w:cs="Times New Roman"/>
                <w:b/>
                <w:bCs/>
                <w:i/>
                <w:iCs/>
              </w:rPr>
              <w:t>fecha de cierre</w:t>
            </w:r>
            <w:r w:rsidRPr="00B221BE">
              <w:rPr>
                <w:rFonts w:ascii="Verdana" w:eastAsia="Aptos" w:hAnsi="Verdana" w:cs="Times New Roman"/>
              </w:rPr>
              <w:t xml:space="preserve">”; por su parte, en la versión actual </w:t>
            </w:r>
            <w:r w:rsidRPr="00B221BE">
              <w:rPr>
                <w:rFonts w:ascii="Verdana" w:eastAsia="Aptos" w:hAnsi="Verdana" w:cs="Times New Roman"/>
              </w:rPr>
              <w:lastRenderedPageBreak/>
              <w:t xml:space="preserve">se determinó que “la TRM que la Entidad utilizará para determinar el método de ponderación será la que rija el segundo día hábil </w:t>
            </w:r>
            <w:r w:rsidRPr="00B221BE">
              <w:rPr>
                <w:rFonts w:ascii="Verdana" w:eastAsia="Aptos" w:hAnsi="Verdana" w:cs="Times New Roman"/>
                <w:b/>
                <w:bCs/>
              </w:rPr>
              <w:t>después de finalizado el periodo de traslado del informe de evaluación</w:t>
            </w:r>
            <w:r w:rsidRPr="00B221BE">
              <w:rPr>
                <w:rFonts w:ascii="Verdana" w:eastAsia="Aptos" w:hAnsi="Verdana" w:cs="Times New Roman"/>
              </w:rPr>
              <w:t>”.</w:t>
            </w:r>
          </w:p>
          <w:p w14:paraId="601D37B4" w14:textId="77777777" w:rsidR="006B4E34" w:rsidRDefault="00B221BE" w:rsidP="006B4E34">
            <w:pPr>
              <w:spacing w:after="120" w:line="276" w:lineRule="auto"/>
              <w:ind w:firstLine="709"/>
              <w:jc w:val="both"/>
              <w:rPr>
                <w:rFonts w:ascii="Verdana" w:eastAsia="Aptos" w:hAnsi="Verdana" w:cs="Times New Roman"/>
              </w:rPr>
            </w:pPr>
            <w:r w:rsidRPr="00B221BE">
              <w:rPr>
                <w:rFonts w:ascii="Verdana" w:eastAsia="Aptos" w:hAnsi="Verdana" w:cs="Times New Roman"/>
              </w:rPr>
              <w:t>La incorporación de esta y otras precisiones se realizó con el objetivo de conocer la TRM que definirá el método de ponderación con posterioridad al desarrollo de cualquier proceso previo desarrollado en la etapa de subsanación que pueda incidir en la ponderación de la experiencia</w:t>
            </w:r>
            <w:r w:rsidR="007461B8">
              <w:rPr>
                <w:rFonts w:ascii="Verdana" w:eastAsia="Aptos" w:hAnsi="Verdana" w:cs="Times New Roman"/>
              </w:rPr>
              <w:t xml:space="preserve">  de acuerdo con algunas observaciones allegadas a esta Agencia</w:t>
            </w:r>
            <w:r w:rsidR="007B05F2">
              <w:rPr>
                <w:rFonts w:ascii="Verdana" w:eastAsia="Aptos" w:hAnsi="Verdana" w:cs="Times New Roman"/>
              </w:rPr>
              <w:t>.</w:t>
            </w:r>
          </w:p>
          <w:p w14:paraId="3A6AC03D" w14:textId="18397FC4" w:rsidR="000263D7" w:rsidRDefault="004F41BE" w:rsidP="004336D1">
            <w:pPr>
              <w:spacing w:line="276" w:lineRule="auto"/>
              <w:ind w:firstLine="709"/>
              <w:jc w:val="both"/>
              <w:rPr>
                <w:rFonts w:ascii="Verdana" w:hAnsi="Verdana"/>
              </w:rPr>
            </w:pPr>
            <w:r w:rsidRPr="001B2098">
              <w:rPr>
                <w:rFonts w:ascii="Verdana" w:eastAsia="Times New Roman" w:hAnsi="Verdana" w:cs="Arial"/>
                <w:u w:val="single"/>
                <w:lang w:eastAsia="es-CO"/>
              </w:rPr>
              <w:t>El numeral 4.1.4</w:t>
            </w:r>
            <w:r w:rsidR="00884900" w:rsidRPr="001B2098">
              <w:rPr>
                <w:rFonts w:ascii="Verdana" w:eastAsia="Times New Roman" w:hAnsi="Verdana" w:cs="Arial"/>
                <w:u w:val="single"/>
                <w:lang w:eastAsia="es-CO"/>
              </w:rPr>
              <w:t xml:space="preserve"> del Documento tipo de </w:t>
            </w:r>
            <w:r w:rsidR="002C4617" w:rsidRPr="001B2098">
              <w:rPr>
                <w:rFonts w:ascii="Verdana" w:eastAsia="Aptos" w:hAnsi="Verdana" w:cs="Times New Roman"/>
                <w:u w:val="single"/>
              </w:rPr>
              <w:t>concurso de méritos para contratar la interventoría de obra pública de infraestructura de transporte –versión 3–,</w:t>
            </w:r>
            <w:r w:rsidR="00884900" w:rsidRPr="001B2098">
              <w:rPr>
                <w:rFonts w:ascii="Verdana" w:eastAsia="Times New Roman" w:hAnsi="Verdana" w:cs="Arial"/>
                <w:u w:val="single"/>
                <w:lang w:eastAsia="es-CO"/>
              </w:rPr>
              <w:t xml:space="preserve"> </w:t>
            </w:r>
            <w:r w:rsidRPr="001B2098">
              <w:rPr>
                <w:rFonts w:ascii="Verdana" w:eastAsia="Times New Roman" w:hAnsi="Verdana" w:cs="Arial"/>
                <w:u w:val="single"/>
                <w:lang w:eastAsia="es-CO"/>
              </w:rPr>
              <w:t xml:space="preserve"> </w:t>
            </w:r>
            <w:r w:rsidR="000263D7" w:rsidRPr="001B2098">
              <w:rPr>
                <w:rFonts w:ascii="Verdana" w:eastAsia="Times New Roman" w:hAnsi="Verdana" w:cs="Arial"/>
                <w:u w:val="single"/>
                <w:lang w:eastAsia="es-CO"/>
              </w:rPr>
              <w:t>establece la</w:t>
            </w:r>
            <w:r w:rsidR="000263D7" w:rsidRPr="002C4617">
              <w:rPr>
                <w:rFonts w:ascii="Verdana" w:eastAsia="Times New Roman" w:hAnsi="Verdana" w:cs="Arial"/>
                <w:lang w:eastAsia="es-CO"/>
              </w:rPr>
              <w:t xml:space="preserve"> </w:t>
            </w:r>
            <w:r w:rsidR="000263D7" w:rsidRPr="001B2098">
              <w:rPr>
                <w:rFonts w:ascii="Verdana" w:hAnsi="Verdana"/>
              </w:rPr>
              <w:t>FORMA DE VERIFICACIÓN Y ASIGNACIÓN DE PUNTAJE POR LA EXPERIENCIA DEL PROPONENTE indicado en su literal C lo siguiente</w:t>
            </w:r>
            <w:r w:rsidR="00BC0058">
              <w:rPr>
                <w:rFonts w:ascii="Verdana" w:hAnsi="Verdana"/>
              </w:rPr>
              <w:t>:</w:t>
            </w:r>
            <w:r w:rsidR="000263D7" w:rsidRPr="001B2098">
              <w:rPr>
                <w:rFonts w:ascii="Verdana" w:hAnsi="Verdana"/>
              </w:rPr>
              <w:t xml:space="preserve"> </w:t>
            </w:r>
          </w:p>
          <w:p w14:paraId="333A3171" w14:textId="77777777" w:rsidR="004336D1" w:rsidRPr="006B4E34" w:rsidRDefault="004336D1" w:rsidP="004336D1">
            <w:pPr>
              <w:spacing w:line="276" w:lineRule="auto"/>
              <w:ind w:firstLine="709"/>
              <w:jc w:val="both"/>
              <w:rPr>
                <w:rFonts w:ascii="Verdana" w:eastAsia="Aptos" w:hAnsi="Verdana" w:cs="Times New Roman"/>
              </w:rPr>
            </w:pPr>
          </w:p>
          <w:p w14:paraId="70B987F4" w14:textId="654BEB65" w:rsidR="00B774B8" w:rsidRPr="00BC0058" w:rsidRDefault="00A64E0E" w:rsidP="00BC0058">
            <w:pPr>
              <w:ind w:left="709" w:right="709"/>
              <w:jc w:val="both"/>
              <w:rPr>
                <w:rFonts w:ascii="Verdana" w:eastAsia="Aptos" w:hAnsi="Verdana" w:cs="Times New Roman"/>
                <w:sz w:val="21"/>
                <w:szCs w:val="21"/>
              </w:rPr>
            </w:pPr>
            <w:r w:rsidRPr="00BC0058">
              <w:rPr>
                <w:rFonts w:ascii="Verdana" w:eastAsia="Aptos" w:hAnsi="Verdana" w:cs="Times New Roman"/>
                <w:sz w:val="21"/>
                <w:szCs w:val="21"/>
              </w:rPr>
              <w:t xml:space="preserve">La TRM que la Entidad utilizará para determinar el método de ponderación será la que rija el segundo día hábil después de finalizado el periodo de traslado del informe de evaluación. Esto es, la que la Superintendencia publique en horas de la tarde del día hábil siguiente a la fecha efectiva de finalizado el periodo de traslado del informe de evaluación. </w:t>
            </w:r>
            <w:r w:rsidRPr="00BC0058">
              <w:rPr>
                <w:rFonts w:ascii="Verdana" w:eastAsia="Aptos" w:hAnsi="Verdana" w:cs="Times New Roman"/>
                <w:sz w:val="21"/>
                <w:szCs w:val="21"/>
                <w:highlight w:val="lightGray"/>
              </w:rPr>
              <w:t>[Por ejemplo, si el termino de traslado del informe de evaluación finaliza el 10 de febrero, la TRM que se usará para determinar el método de evaluación será la del 12 de febrero, que se publica en la tarde del 11 de febrero</w:t>
            </w:r>
            <w:r w:rsidR="006B4E34" w:rsidRPr="00BC0058">
              <w:rPr>
                <w:rFonts w:ascii="Verdana" w:eastAsia="Aptos" w:hAnsi="Verdana" w:cs="Times New Roman"/>
                <w:sz w:val="21"/>
                <w:szCs w:val="21"/>
                <w:highlight w:val="lightGray"/>
              </w:rPr>
              <w:t>]</w:t>
            </w:r>
            <w:r w:rsidR="006B4E34" w:rsidRPr="00BC0058">
              <w:rPr>
                <w:rFonts w:ascii="Verdana" w:eastAsia="Aptos" w:hAnsi="Verdana" w:cs="Times New Roman"/>
                <w:sz w:val="21"/>
                <w:szCs w:val="21"/>
              </w:rPr>
              <w:t>.</w:t>
            </w:r>
          </w:p>
          <w:p w14:paraId="6FBF7445" w14:textId="77777777" w:rsidR="004336D1" w:rsidRDefault="004336D1" w:rsidP="00B221BE">
            <w:pPr>
              <w:spacing w:after="120" w:line="276" w:lineRule="auto"/>
              <w:ind w:firstLine="709"/>
              <w:jc w:val="both"/>
              <w:rPr>
                <w:rFonts w:ascii="Verdana" w:eastAsia="Times New Roman" w:hAnsi="Verdana" w:cs="Arial"/>
                <w:lang w:eastAsia="es-CO"/>
              </w:rPr>
            </w:pPr>
          </w:p>
          <w:p w14:paraId="42966601" w14:textId="22609EF9" w:rsidR="00B774B8" w:rsidRPr="00B221BE" w:rsidRDefault="00B774B8" w:rsidP="00B221BE">
            <w:pPr>
              <w:spacing w:after="120" w:line="276" w:lineRule="auto"/>
              <w:ind w:firstLine="709"/>
              <w:jc w:val="both"/>
              <w:rPr>
                <w:rFonts w:ascii="Verdana" w:eastAsia="Aptos" w:hAnsi="Verdana" w:cs="Times New Roman"/>
              </w:rPr>
            </w:pPr>
            <w:r w:rsidRPr="00D507FD">
              <w:rPr>
                <w:rFonts w:ascii="Verdana" w:eastAsia="Times New Roman" w:hAnsi="Verdana" w:cs="Arial"/>
                <w:lang w:eastAsia="es-CO"/>
              </w:rPr>
              <w:t>Estos cambios en el mecanismo para definir de forma aleatoria el método de ponderación de las ofertas económicas, garantizan mayor transparencia en la ponderación. Así, se incorporó en los documentos tipo de</w:t>
            </w:r>
            <w:r w:rsidR="00525987">
              <w:rPr>
                <w:rFonts w:ascii="Verdana" w:eastAsia="Times New Roman" w:hAnsi="Verdana" w:cs="Arial"/>
                <w:lang w:eastAsia="es-CO"/>
              </w:rPr>
              <w:t xml:space="preserve"> </w:t>
            </w:r>
            <w:r w:rsidR="002E2D26">
              <w:rPr>
                <w:rFonts w:ascii="Verdana" w:eastAsia="Times New Roman" w:hAnsi="Verdana" w:cs="Arial"/>
                <w:lang w:eastAsia="es-CO"/>
              </w:rPr>
              <w:t xml:space="preserve">Interventoría </w:t>
            </w:r>
            <w:r w:rsidRPr="00D507FD">
              <w:rPr>
                <w:rFonts w:ascii="Verdana" w:eastAsia="Times New Roman" w:hAnsi="Verdana" w:cs="Arial"/>
                <w:lang w:eastAsia="es-CO"/>
              </w:rPr>
              <w:t xml:space="preserve">de obra pública de infraestructura de transporte – versión </w:t>
            </w:r>
            <w:r w:rsidR="00525987">
              <w:rPr>
                <w:rFonts w:ascii="Verdana" w:eastAsia="Times New Roman" w:hAnsi="Verdana" w:cs="Arial"/>
                <w:lang w:eastAsia="es-CO"/>
              </w:rPr>
              <w:t>3</w:t>
            </w:r>
            <w:r w:rsidRPr="00D507FD">
              <w:rPr>
                <w:rFonts w:ascii="Verdana" w:eastAsia="Times New Roman" w:hAnsi="Verdana" w:cs="Arial"/>
                <w:lang w:eastAsia="es-CO"/>
              </w:rPr>
              <w:t xml:space="preserve"> reglas sobre la TRM con el propósito de que aquella no sea conocida en un tiempo prematuro.</w:t>
            </w:r>
          </w:p>
          <w:p w14:paraId="5897A498" w14:textId="77777777" w:rsidR="00B221BE" w:rsidRPr="00B221BE" w:rsidRDefault="00B221BE" w:rsidP="00B221BE">
            <w:pPr>
              <w:widowControl w:val="0"/>
              <w:tabs>
                <w:tab w:val="left" w:pos="981"/>
                <w:tab w:val="left" w:pos="1676"/>
              </w:tabs>
              <w:autoSpaceDE w:val="0"/>
              <w:autoSpaceDN w:val="0"/>
              <w:spacing w:line="276" w:lineRule="auto"/>
              <w:ind w:firstLine="709"/>
              <w:jc w:val="both"/>
              <w:rPr>
                <w:rFonts w:ascii="Verdana" w:eastAsia="Aptos" w:hAnsi="Verdana" w:cs="Times New Roman"/>
              </w:rPr>
            </w:pPr>
            <w:r w:rsidRPr="00B221BE">
              <w:rPr>
                <w:rFonts w:ascii="Verdana" w:eastAsia="Aptos" w:hAnsi="Verdana" w:cs="Times New Roman"/>
              </w:rPr>
              <w:t xml:space="preserve">Por lo demás, es importante advertir que, los ciudadanos en general, así como los interesados o los participantes en los procesos de contratación estatal, se encuentran habilitados para acudir ante las autoridades de control o judicial competentes, como la Procuraduría General de la Nación, Contraloría General de la República y/o Fiscalía General de la Nación, para “denunciar” aquellas situaciones particulares y concretas, cuando adviertan la comisión de presuntas irregularidades de las entidades públicas en desarrollo de su </w:t>
            </w:r>
            <w:r w:rsidRPr="00B221BE">
              <w:rPr>
                <w:rFonts w:ascii="Verdana" w:eastAsia="Aptos" w:hAnsi="Verdana" w:cs="Times New Roman"/>
              </w:rPr>
              <w:lastRenderedPageBreak/>
              <w:t>actividad contractual con documentos tipo. Esto con el fin de que sean aquellas autoridades quienes adelanten las investigaciones a que haya lugar y, si es del caso, establezcan la responsabilidad derivada de las infracciones al ordenamiento jurídico y contenido de los documentos tipo.</w:t>
            </w:r>
          </w:p>
        </w:tc>
      </w:tr>
    </w:tbl>
    <w:p w14:paraId="216BE237" w14:textId="77777777" w:rsidR="00B221BE" w:rsidRPr="00B221BE" w:rsidRDefault="00B221BE" w:rsidP="00B221BE">
      <w:pPr>
        <w:tabs>
          <w:tab w:val="left" w:pos="142"/>
          <w:tab w:val="left" w:pos="284"/>
        </w:tabs>
        <w:snapToGrid w:val="0"/>
        <w:spacing w:after="0" w:line="276" w:lineRule="auto"/>
        <w:jc w:val="both"/>
        <w:rPr>
          <w:rFonts w:ascii="Verdana" w:eastAsia="Century Gothic" w:hAnsi="Verdana" w:cs="Century Gothic"/>
          <w:b/>
          <w:bCs/>
          <w:lang w:val="es-ES"/>
        </w:rPr>
      </w:pPr>
    </w:p>
    <w:p w14:paraId="42D22934" w14:textId="77777777" w:rsidR="00B221BE" w:rsidRPr="00B221BE" w:rsidRDefault="00B221BE" w:rsidP="00B221BE">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B221BE">
        <w:rPr>
          <w:rFonts w:ascii="Verdana" w:eastAsia="Century Gothic" w:hAnsi="Verdana" w:cs="Century Gothic"/>
          <w:b/>
          <w:bCs/>
          <w:lang w:val="es-ES"/>
        </w:rPr>
        <w:t>Razones de la respuesta:</w:t>
      </w:r>
    </w:p>
    <w:p w14:paraId="138385D6" w14:textId="77777777" w:rsidR="00B221BE" w:rsidRPr="00B221BE" w:rsidRDefault="00B221BE" w:rsidP="00B221BE">
      <w:pPr>
        <w:tabs>
          <w:tab w:val="left" w:pos="142"/>
          <w:tab w:val="left" w:pos="284"/>
        </w:tabs>
        <w:snapToGrid w:val="0"/>
        <w:spacing w:after="0" w:line="276" w:lineRule="auto"/>
        <w:ind w:left="357"/>
        <w:jc w:val="both"/>
        <w:rPr>
          <w:rFonts w:ascii="Verdana" w:eastAsia="Century Gothic" w:hAnsi="Verdana" w:cs="Century Gothic"/>
          <w:b/>
          <w:bCs/>
          <w:lang w:val="es-ES"/>
        </w:rPr>
      </w:pPr>
    </w:p>
    <w:p w14:paraId="37B22355" w14:textId="77777777" w:rsidR="00B221BE" w:rsidRPr="00B221BE" w:rsidRDefault="00B221BE" w:rsidP="00B221BE">
      <w:pPr>
        <w:snapToGrid w:val="0"/>
        <w:spacing w:after="0" w:line="276" w:lineRule="auto"/>
        <w:jc w:val="both"/>
        <w:rPr>
          <w:rFonts w:ascii="Verdana" w:eastAsia="Calibri" w:hAnsi="Verdana" w:cs="Arial"/>
          <w:lang w:val="es-ES"/>
        </w:rPr>
      </w:pPr>
      <w:r w:rsidRPr="00B221BE">
        <w:rPr>
          <w:rFonts w:ascii="Verdana" w:eastAsia="Calibri" w:hAnsi="Verdana" w:cs="Arial"/>
          <w:lang w:val="es-ES"/>
        </w:rPr>
        <w:t xml:space="preserve">Lo anterior se sustenta en las siguientes consideraciones: </w:t>
      </w:r>
    </w:p>
    <w:p w14:paraId="48023D62" w14:textId="77777777" w:rsidR="00B221BE" w:rsidRPr="00B221BE" w:rsidRDefault="00B221BE" w:rsidP="00B221BE">
      <w:pPr>
        <w:tabs>
          <w:tab w:val="left" w:pos="-142"/>
        </w:tabs>
        <w:autoSpaceDE w:val="0"/>
        <w:autoSpaceDN w:val="0"/>
        <w:adjustRightInd w:val="0"/>
        <w:spacing w:after="0" w:line="276" w:lineRule="auto"/>
        <w:jc w:val="both"/>
        <w:outlineLvl w:val="2"/>
        <w:rPr>
          <w:rFonts w:ascii="Verdana" w:eastAsia="Calibri" w:hAnsi="Verdana" w:cs="Arial"/>
          <w:color w:val="000000"/>
          <w:lang w:val="es-MX"/>
        </w:rPr>
      </w:pPr>
      <w:bookmarkStart w:id="1" w:name="_Hlk94088065"/>
    </w:p>
    <w:p w14:paraId="18F9B9B6" w14:textId="77777777" w:rsidR="00B221BE" w:rsidRPr="00B221BE" w:rsidRDefault="00B221BE" w:rsidP="00B221BE">
      <w:pPr>
        <w:tabs>
          <w:tab w:val="left" w:pos="-142"/>
        </w:tabs>
        <w:autoSpaceDE w:val="0"/>
        <w:autoSpaceDN w:val="0"/>
        <w:adjustRightInd w:val="0"/>
        <w:spacing w:after="0" w:line="276" w:lineRule="auto"/>
        <w:jc w:val="both"/>
        <w:outlineLvl w:val="2"/>
        <w:rPr>
          <w:rFonts w:ascii="Verdana" w:eastAsia="Calibri" w:hAnsi="Verdana" w:cs="Arial"/>
          <w:lang w:val="x-none" w:eastAsia="es-ES"/>
        </w:rPr>
      </w:pPr>
      <w:r w:rsidRPr="00B221BE">
        <w:rPr>
          <w:rFonts w:ascii="Verdana" w:eastAsia="Calibri" w:hAnsi="Verdana" w:cs="Arial"/>
          <w:color w:val="000000"/>
          <w:lang w:val="es-MX"/>
        </w:rPr>
        <w:t>Los “Documentos Tipo – Versión 3” de concurso de méritos para contratar la interventoría de obra pública de infraestructura de transporte</w:t>
      </w:r>
      <w:r w:rsidRPr="00B221BE">
        <w:rPr>
          <w:rFonts w:ascii="Verdana" w:eastAsia="Calibri" w:hAnsi="Verdana" w:cs="Arial"/>
          <w:lang w:val="es-MX" w:eastAsia="es-ES"/>
        </w:rPr>
        <w:t xml:space="preserve">, </w:t>
      </w:r>
      <w:r w:rsidRPr="00B221BE">
        <w:rPr>
          <w:rFonts w:ascii="Verdana" w:eastAsia="Calibri" w:hAnsi="Verdana" w:cs="Arial"/>
          <w:lang w:val="x-none" w:eastAsia="es-ES"/>
        </w:rPr>
        <w:t xml:space="preserve">en el numeral </w:t>
      </w:r>
      <w:bookmarkStart w:id="2" w:name="_Toc32147369"/>
      <w:bookmarkStart w:id="3" w:name="_Toc84413953"/>
      <w:bookmarkStart w:id="4" w:name="_Hlk511666009"/>
      <w:r w:rsidRPr="00B221BE">
        <w:rPr>
          <w:rFonts w:ascii="Verdana" w:eastAsia="Calibri" w:hAnsi="Verdana" w:cs="Arial"/>
          <w:lang w:eastAsia="es-ES"/>
        </w:rPr>
        <w:t>4.1. “</w:t>
      </w:r>
      <w:bookmarkEnd w:id="2"/>
      <w:bookmarkEnd w:id="3"/>
      <w:bookmarkEnd w:id="4"/>
      <w:r w:rsidRPr="00B221BE">
        <w:rPr>
          <w:rFonts w:ascii="Verdana" w:eastAsia="Arial" w:hAnsi="Verdana" w:cs="Arial"/>
          <w:lang w:eastAsia="es-ES"/>
        </w:rPr>
        <w:t xml:space="preserve">forma de verificación y asignación de puntaje por la experiencia del proponente”, establece </w:t>
      </w:r>
      <w:r w:rsidRPr="00B221BE">
        <w:rPr>
          <w:rFonts w:ascii="Verdana" w:eastAsia="Calibri" w:hAnsi="Verdana" w:cs="Arial"/>
          <w:lang w:val="x-none" w:eastAsia="es-ES"/>
        </w:rPr>
        <w:t>cuatro</w:t>
      </w:r>
      <w:r w:rsidRPr="00B221BE">
        <w:rPr>
          <w:rFonts w:ascii="Verdana" w:eastAsia="Calibri" w:hAnsi="Verdana" w:cs="Arial"/>
          <w:lang w:val="es-MX" w:eastAsia="es-ES"/>
        </w:rPr>
        <w:t xml:space="preserve"> (4)</w:t>
      </w:r>
      <w:r w:rsidRPr="00B221BE">
        <w:rPr>
          <w:rFonts w:ascii="Verdana" w:eastAsia="Calibri" w:hAnsi="Verdana" w:cs="Arial"/>
          <w:lang w:val="x-none" w:eastAsia="es-ES"/>
        </w:rPr>
        <w:t xml:space="preserve"> alternativas para escoger el método de ponderación de la experiencia, a saber: i) mediana con valor absoluto; ii) media geométrica; iii) media aritmética alta, y iv) media aritmética baja.</w:t>
      </w:r>
      <w:r w:rsidRPr="00B221BE">
        <w:rPr>
          <w:rFonts w:ascii="Verdana" w:eastAsia="Calibri" w:hAnsi="Verdana" w:cs="Arial"/>
          <w:lang w:eastAsia="es-ES"/>
        </w:rPr>
        <w:t xml:space="preserve"> A partir de estas alternativas</w:t>
      </w:r>
      <w:r w:rsidRPr="00B221BE">
        <w:rPr>
          <w:rFonts w:ascii="Verdana" w:eastAsia="Calibri" w:hAnsi="Verdana" w:cs="Arial"/>
          <w:lang w:val="x-none" w:eastAsia="es-ES"/>
        </w:rPr>
        <w:t>, la entidad</w:t>
      </w:r>
      <w:r w:rsidRPr="00B221BE">
        <w:rPr>
          <w:rFonts w:ascii="Verdana" w:eastAsia="Calibri" w:hAnsi="Verdana" w:cs="Arial"/>
          <w:lang w:val="es-ES" w:eastAsia="es-ES"/>
        </w:rPr>
        <w:t>,</w:t>
      </w:r>
      <w:r w:rsidRPr="00B221BE">
        <w:rPr>
          <w:rFonts w:ascii="Verdana" w:eastAsia="Calibri" w:hAnsi="Verdana" w:cs="Arial"/>
          <w:lang w:val="x-none" w:eastAsia="es-ES"/>
        </w:rPr>
        <w:t xml:space="preserve"> para establecer el método de ponderación</w:t>
      </w:r>
      <w:r w:rsidRPr="00B221BE">
        <w:rPr>
          <w:rFonts w:ascii="Verdana" w:eastAsia="Calibri" w:hAnsi="Verdana" w:cs="Arial"/>
          <w:lang w:val="es-ES" w:eastAsia="es-ES"/>
        </w:rPr>
        <w:t>,</w:t>
      </w:r>
      <w:r w:rsidRPr="00B221BE">
        <w:rPr>
          <w:rFonts w:ascii="Verdana" w:eastAsia="Calibri" w:hAnsi="Verdana" w:cs="Arial"/>
          <w:lang w:val="x-none" w:eastAsia="es-ES"/>
        </w:rPr>
        <w:t xml:space="preserve"> tomará la parte decimal –centavos– de la Tasa Representativa del Mercado (TRM), certificada por la Superintendencia Financiera de Colombia</w:t>
      </w:r>
      <w:r w:rsidRPr="00B221BE">
        <w:rPr>
          <w:rFonts w:ascii="Verdana" w:eastAsia="Calibri" w:hAnsi="Verdana" w:cs="Arial"/>
          <w:color w:val="3A3A3A"/>
          <w:vertAlign w:val="superscript"/>
          <w:lang w:val="x-none" w:eastAsia="es-ES"/>
        </w:rPr>
        <w:footnoteReference w:id="1"/>
      </w:r>
      <w:r w:rsidRPr="00B221BE">
        <w:rPr>
          <w:rFonts w:ascii="Verdana" w:eastAsia="Calibri" w:hAnsi="Verdana" w:cs="Arial"/>
          <w:color w:val="3A3A3A"/>
          <w:lang w:val="x-none" w:eastAsia="es-ES"/>
        </w:rPr>
        <w:t>.</w:t>
      </w:r>
      <w:r w:rsidRPr="00B221BE">
        <w:rPr>
          <w:rFonts w:ascii="Verdana" w:eastAsia="Calibri" w:hAnsi="Verdana" w:cs="Arial"/>
          <w:lang w:val="x-none" w:eastAsia="es-ES"/>
        </w:rPr>
        <w:t xml:space="preserve"> </w:t>
      </w:r>
      <w:bookmarkEnd w:id="1"/>
    </w:p>
    <w:p w14:paraId="3F563E2E" w14:textId="77777777" w:rsidR="00B221BE" w:rsidRPr="00B221BE" w:rsidRDefault="00B221BE" w:rsidP="00B221BE">
      <w:pPr>
        <w:tabs>
          <w:tab w:val="left" w:pos="-142"/>
        </w:tabs>
        <w:autoSpaceDE w:val="0"/>
        <w:autoSpaceDN w:val="0"/>
        <w:adjustRightInd w:val="0"/>
        <w:spacing w:before="120" w:after="120" w:line="276" w:lineRule="auto"/>
        <w:ind w:firstLine="709"/>
        <w:jc w:val="both"/>
        <w:outlineLvl w:val="2"/>
        <w:rPr>
          <w:rFonts w:ascii="Verdana" w:eastAsia="Calibri" w:hAnsi="Verdana" w:cs="Arial"/>
          <w:lang w:val="x-none" w:eastAsia="es-ES"/>
        </w:rPr>
      </w:pPr>
      <w:r w:rsidRPr="00B221BE">
        <w:rPr>
          <w:rFonts w:ascii="Verdana" w:eastAsia="Calibri" w:hAnsi="Verdana" w:cs="Arial"/>
          <w:color w:val="000000"/>
          <w:kern w:val="2"/>
          <w:lang w:val="es-ES_tradnl"/>
          <w14:ligatures w14:val="standardContextual"/>
        </w:rPr>
        <w:t>La Tasa de Cambio Representativa del Mercado (TRM) “</w:t>
      </w:r>
      <w:r w:rsidRPr="00B221BE">
        <w:rPr>
          <w:rFonts w:ascii="Verdana" w:eastAsia="Calibri" w:hAnsi="Verdana" w:cs="Arial"/>
          <w:kern w:val="2"/>
          <w14:ligatures w14:val="standardContextual"/>
        </w:rPr>
        <w:t xml:space="preserve">es el promedio ponderado por monto de las operaciones de compra y venta de dólares de los Estados Unidos de América a cambio de moneda legal colombiana, pactadas para cumplimiento en ambas monedas el mismo día de su negociación, efectuadas por los Intermediarios del Mercado Cambiario (IMC) entre las 7:30 a.m. y la </w:t>
      </w:r>
      <w:r w:rsidRPr="00B221BE">
        <w:rPr>
          <w:rFonts w:ascii="Verdana" w:eastAsia="Calibri" w:hAnsi="Verdana" w:cs="Arial"/>
          <w:kern w:val="2"/>
          <w14:ligatures w14:val="standardContextual"/>
        </w:rPr>
        <w:lastRenderedPageBreak/>
        <w:t>1:00 p.m.</w:t>
      </w:r>
      <w:r w:rsidRPr="00B221BE">
        <w:rPr>
          <w:rFonts w:ascii="Verdana" w:eastAsia="Calibri" w:hAnsi="Verdana" w:cs="Arial"/>
          <w:color w:val="000000"/>
          <w:kern w:val="2"/>
          <w:lang w:val="es-ES_tradnl"/>
          <w14:ligatures w14:val="standardContextual"/>
        </w:rPr>
        <w:t>”</w:t>
      </w:r>
      <w:r w:rsidRPr="00B221BE">
        <w:rPr>
          <w:rFonts w:ascii="Verdana" w:eastAsia="Aptos" w:hAnsi="Verdana" w:cs="Times New Roman"/>
          <w:color w:val="000000"/>
          <w:kern w:val="2"/>
          <w:vertAlign w:val="superscript"/>
          <w:lang w:val="es-ES_tradnl"/>
          <w14:ligatures w14:val="standardContextual"/>
        </w:rPr>
        <w:footnoteReference w:id="2"/>
      </w:r>
      <w:r w:rsidRPr="00B221BE">
        <w:rPr>
          <w:rFonts w:ascii="Verdana" w:eastAsia="Calibri" w:hAnsi="Verdana" w:cs="Arial"/>
          <w:color w:val="000000"/>
          <w:kern w:val="2"/>
          <w:lang w:val="es-ES_tradnl"/>
          <w14:ligatures w14:val="standardContextual"/>
        </w:rPr>
        <w:t>, definida por la Superintendencia Financiera, es decir, denota la relación entre la moneda colombiana y el dólar. Por su parte, el Banco de la República ha definido la tasa de cambio representativa del mercado como “la cantidad de pesos que se deben pagar por un dólar”</w:t>
      </w:r>
      <w:r w:rsidRPr="00B221BE">
        <w:rPr>
          <w:rFonts w:ascii="Verdana" w:eastAsia="Aptos" w:hAnsi="Verdana" w:cs="Times New Roman"/>
          <w:color w:val="000000"/>
          <w:kern w:val="2"/>
          <w:vertAlign w:val="superscript"/>
          <w:lang w:val="es-ES_tradnl"/>
          <w14:ligatures w14:val="standardContextual"/>
        </w:rPr>
        <w:footnoteReference w:id="3"/>
      </w:r>
      <w:r w:rsidRPr="00B221BE">
        <w:rPr>
          <w:rFonts w:ascii="Verdana" w:eastAsia="Calibri" w:hAnsi="Verdana" w:cs="Arial"/>
          <w:color w:val="000000"/>
          <w:kern w:val="2"/>
          <w:lang w:val="es-ES_tradnl"/>
          <w14:ligatures w14:val="standardContextual"/>
        </w:rPr>
        <w:t xml:space="preserve">, de donde se desprende que la TRM es un valor que se origina en la fluctuación del mercado. </w:t>
      </w:r>
    </w:p>
    <w:p w14:paraId="6A9C33FD" w14:textId="77777777" w:rsidR="00B221BE" w:rsidRPr="00B221BE" w:rsidRDefault="00B221BE" w:rsidP="00B221BE">
      <w:pPr>
        <w:autoSpaceDE w:val="0"/>
        <w:autoSpaceDN w:val="0"/>
        <w:adjustRightInd w:val="0"/>
        <w:spacing w:before="120" w:after="0" w:line="276" w:lineRule="auto"/>
        <w:ind w:firstLine="709"/>
        <w:jc w:val="both"/>
        <w:rPr>
          <w:rFonts w:ascii="Verdana" w:eastAsia="Aptos" w:hAnsi="Verdana" w:cs="ArialMT"/>
          <w14:ligatures w14:val="standardContextual"/>
        </w:rPr>
      </w:pPr>
      <w:r w:rsidRPr="00B221BE">
        <w:rPr>
          <w:rFonts w:ascii="Verdana" w:eastAsia="Aptos" w:hAnsi="Verdana" w:cs="ArialMT"/>
          <w14:ligatures w14:val="standardContextual"/>
        </w:rPr>
        <w:t>Es importante precisar que en la nueva versión –versión 3– de los documentos tipo para procesos de interventoría de infraestructura de transporte, se realizaron precisiones respecto al método de asignación de puntaje, en el numeral 4.1 del documento base, los cuales se relacionan a continuación:</w:t>
      </w:r>
    </w:p>
    <w:p w14:paraId="0583637B" w14:textId="77777777" w:rsidR="00B221BE" w:rsidRPr="00B221BE" w:rsidRDefault="00B221BE" w:rsidP="00B221BE">
      <w:pPr>
        <w:autoSpaceDE w:val="0"/>
        <w:autoSpaceDN w:val="0"/>
        <w:adjustRightInd w:val="0"/>
        <w:spacing w:after="0" w:line="240" w:lineRule="auto"/>
        <w:jc w:val="both"/>
        <w:rPr>
          <w:rFonts w:ascii="Verdana" w:eastAsia="Aptos" w:hAnsi="Verdana" w:cs="ArialMT"/>
          <w:sz w:val="20"/>
          <w:szCs w:val="20"/>
          <w14:ligatures w14:val="standardContextual"/>
        </w:rPr>
      </w:pPr>
    </w:p>
    <w:p w14:paraId="1C8C0EBF" w14:textId="77777777" w:rsidR="00B221BE" w:rsidRPr="00B221BE" w:rsidRDefault="00B221BE" w:rsidP="00B221BE">
      <w:pPr>
        <w:spacing w:line="240" w:lineRule="auto"/>
        <w:ind w:left="709" w:right="709"/>
        <w:jc w:val="both"/>
        <w:rPr>
          <w:rFonts w:ascii="Verdana" w:eastAsia="Arial" w:hAnsi="Verdana" w:cs="Arial"/>
          <w:kern w:val="2"/>
          <w:sz w:val="20"/>
          <w:szCs w:val="20"/>
          <w:lang w:eastAsia="es-ES"/>
          <w14:ligatures w14:val="standardContextual"/>
        </w:rPr>
      </w:pPr>
      <w:r w:rsidRPr="00B221BE">
        <w:rPr>
          <w:rFonts w:ascii="Verdana" w:eastAsia="Arial" w:hAnsi="Verdana" w:cs="Arial"/>
          <w:kern w:val="2"/>
          <w:sz w:val="20"/>
          <w:szCs w:val="20"/>
          <w:lang w:eastAsia="es-ES"/>
          <w14:ligatures w14:val="standardContextual"/>
        </w:rPr>
        <w:t>“La Entidad evaluará la experiencia del Proponente de acuerdo con los siguientes pasos:</w:t>
      </w:r>
    </w:p>
    <w:p w14:paraId="441E7D8B" w14:textId="77777777" w:rsidR="00B221BE" w:rsidRPr="00B221BE" w:rsidRDefault="00B221BE" w:rsidP="00B221BE">
      <w:pPr>
        <w:spacing w:after="0" w:line="240" w:lineRule="auto"/>
        <w:ind w:left="709" w:right="709"/>
        <w:contextualSpacing/>
        <w:jc w:val="both"/>
        <w:rPr>
          <w:rFonts w:ascii="Verdana" w:eastAsia="Times New Roman" w:hAnsi="Verdana" w:cs="Times New Roman"/>
          <w:kern w:val="2"/>
          <w:sz w:val="20"/>
          <w:szCs w:val="20"/>
          <w:lang w:eastAsia="es-ES"/>
          <w14:ligatures w14:val="standardContextual"/>
        </w:rPr>
      </w:pPr>
      <w:r w:rsidRPr="00B221BE">
        <w:rPr>
          <w:rFonts w:ascii="Verdana" w:eastAsia="Arial" w:hAnsi="Verdana" w:cs="Arial"/>
          <w:kern w:val="2"/>
          <w:sz w:val="24"/>
          <w:szCs w:val="24"/>
          <w:lang w:eastAsia="es-ES"/>
          <w14:ligatures w14:val="standardContextual"/>
        </w:rPr>
        <w:t xml:space="preserve">A. </w:t>
      </w:r>
      <w:r w:rsidRPr="00B221BE">
        <w:rPr>
          <w:rFonts w:ascii="Verdana" w:eastAsia="Arial" w:hAnsi="Verdana" w:cs="Arial"/>
          <w:kern w:val="2"/>
          <w:sz w:val="20"/>
          <w:szCs w:val="20"/>
          <w:lang w:eastAsia="es-ES"/>
          <w14:ligatures w14:val="standardContextual"/>
        </w:rPr>
        <w:t>El Proponente cumplirá con la exigencia mínima de experiencia prevista en el numeral 3.8.1. del Pliego de Condiciones. De acuerdo con lo anterior, si el Proponente debió subsanar el cumplimiento de la experiencia mínima, para la asignación de puntaje no se tendrán en cuenta los contratos que hayan sido objeto de subsanación para definir el promedio de los contratos válidos aportados que se refiere el literal B) de este numeral.</w:t>
      </w:r>
    </w:p>
    <w:p w14:paraId="60C31443" w14:textId="77777777" w:rsidR="00B221BE" w:rsidRPr="00B221BE" w:rsidRDefault="00B221BE" w:rsidP="00B221BE">
      <w:pPr>
        <w:spacing w:line="240" w:lineRule="auto"/>
        <w:ind w:left="709" w:right="709"/>
        <w:contextualSpacing/>
        <w:jc w:val="both"/>
        <w:rPr>
          <w:rFonts w:ascii="Verdana" w:eastAsia="Aptos" w:hAnsi="Verdana" w:cs="Times New Roman"/>
          <w:kern w:val="2"/>
          <w:sz w:val="20"/>
          <w:szCs w:val="20"/>
          <w14:ligatures w14:val="standardContextual"/>
        </w:rPr>
      </w:pPr>
    </w:p>
    <w:p w14:paraId="36ED3538" w14:textId="77777777" w:rsidR="00B221BE" w:rsidRPr="00B221BE" w:rsidRDefault="00B221BE" w:rsidP="00B221BE">
      <w:pPr>
        <w:spacing w:line="240" w:lineRule="auto"/>
        <w:ind w:left="709" w:right="709"/>
        <w:contextualSpacing/>
        <w:jc w:val="both"/>
        <w:rPr>
          <w:rFonts w:ascii="Verdana" w:eastAsia="Aptos" w:hAnsi="Verdana" w:cs="Times New Roman"/>
          <w:kern w:val="2"/>
          <w:sz w:val="20"/>
          <w:szCs w:val="20"/>
          <w14:ligatures w14:val="standardContextual"/>
        </w:rPr>
      </w:pPr>
      <w:r w:rsidRPr="00B221BE">
        <w:rPr>
          <w:rFonts w:ascii="Verdana" w:eastAsia="Arial" w:hAnsi="Verdana" w:cs="Arial"/>
          <w:kern w:val="2"/>
          <w:sz w:val="20"/>
          <w:szCs w:val="20"/>
          <w14:ligatures w14:val="standardContextual"/>
        </w:rPr>
        <w:t>Cuando un Proponente haya subsanado la totalidad de los contratos aportados, su oferta no será tenida en cuenta para aplicar las fórmulas para la ponderación de la experiencia del Proponente, por lo que, además, por este criterio de asignación de puntaje obtendrá cero (0) puntos.</w:t>
      </w:r>
    </w:p>
    <w:p w14:paraId="451F67E1" w14:textId="77777777" w:rsidR="00B221BE" w:rsidRPr="00B221BE" w:rsidRDefault="00B221BE" w:rsidP="00B221BE">
      <w:pPr>
        <w:spacing w:line="240" w:lineRule="auto"/>
        <w:ind w:left="709" w:right="709"/>
        <w:contextualSpacing/>
        <w:jc w:val="both"/>
        <w:rPr>
          <w:rFonts w:ascii="Verdana" w:eastAsia="Arial" w:hAnsi="Verdana" w:cs="Arial"/>
          <w:kern w:val="2"/>
          <w:sz w:val="20"/>
          <w:szCs w:val="20"/>
          <w:lang w:eastAsia="es-ES"/>
          <w14:ligatures w14:val="standardContextual"/>
        </w:rPr>
      </w:pPr>
      <w:r w:rsidRPr="00B221BE">
        <w:rPr>
          <w:rFonts w:ascii="Verdana" w:eastAsia="Arial" w:hAnsi="Verdana" w:cs="Arial"/>
          <w:kern w:val="2"/>
          <w:sz w:val="20"/>
          <w:szCs w:val="20"/>
          <w:lang w:eastAsia="es-ES"/>
          <w14:ligatures w14:val="standardContextual"/>
        </w:rPr>
        <w:tab/>
      </w:r>
    </w:p>
    <w:p w14:paraId="60E107F7" w14:textId="77777777" w:rsidR="00B221BE" w:rsidRPr="00B221BE" w:rsidRDefault="00B221BE" w:rsidP="00B221BE">
      <w:pPr>
        <w:spacing w:after="0" w:line="240" w:lineRule="auto"/>
        <w:ind w:left="709" w:right="709"/>
        <w:contextualSpacing/>
        <w:jc w:val="both"/>
        <w:rPr>
          <w:rFonts w:ascii="Verdana" w:eastAsia="Arial" w:hAnsi="Verdana" w:cs="Arial"/>
          <w:kern w:val="2"/>
          <w:sz w:val="20"/>
          <w:szCs w:val="20"/>
          <w:lang w:eastAsia="es-ES"/>
          <w14:ligatures w14:val="standardContextual"/>
        </w:rPr>
      </w:pPr>
      <w:r w:rsidRPr="00B221BE">
        <w:rPr>
          <w:rFonts w:ascii="Verdana" w:eastAsia="Arial" w:hAnsi="Verdana" w:cs="Arial"/>
          <w:kern w:val="2"/>
          <w:sz w:val="24"/>
          <w:szCs w:val="24"/>
          <w:lang w:eastAsia="es-ES"/>
          <w14:ligatures w14:val="standardContextual"/>
        </w:rPr>
        <w:t xml:space="preserve">B. </w:t>
      </w:r>
      <w:r w:rsidRPr="00B221BE">
        <w:rPr>
          <w:rFonts w:ascii="Verdana" w:eastAsia="Arial" w:hAnsi="Verdana" w:cs="Arial"/>
          <w:kern w:val="2"/>
          <w:sz w:val="20"/>
          <w:szCs w:val="20"/>
          <w:lang w:eastAsia="es-ES"/>
          <w14:ligatures w14:val="standardContextual"/>
        </w:rPr>
        <w:t xml:space="preserve">Para la asignación de puntaje, se tomará el promedio de los contratos válidos aportados de cada propuesta hábil expresados en SMMLV registrados en el Registro Único de Proponentes (RUP) o en </w:t>
      </w:r>
      <w:r w:rsidRPr="00B221BE">
        <w:rPr>
          <w:rFonts w:ascii="Verdana" w:eastAsia="Arial" w:hAnsi="Verdana" w:cs="Arial"/>
          <w:kern w:val="2"/>
          <w:sz w:val="20"/>
          <w:szCs w:val="20"/>
          <w14:ligatures w14:val="standardContextual"/>
        </w:rPr>
        <w:t xml:space="preserve">alguno de los documentos válidos señalados en el numeral </w:t>
      </w:r>
      <w:r w:rsidRPr="00B221BE">
        <w:rPr>
          <w:rFonts w:ascii="Verdana" w:eastAsia="Arial" w:hAnsi="Verdana" w:cs="Arial"/>
          <w:kern w:val="2"/>
          <w:sz w:val="20"/>
          <w:szCs w:val="20"/>
          <w14:ligatures w14:val="standardContextual"/>
        </w:rPr>
        <w:fldChar w:fldCharType="begin"/>
      </w:r>
      <w:r w:rsidRPr="00B221BE">
        <w:rPr>
          <w:rFonts w:ascii="Verdana" w:eastAsia="Arial" w:hAnsi="Verdana" w:cs="Arial"/>
          <w:kern w:val="2"/>
          <w:sz w:val="20"/>
          <w:szCs w:val="20"/>
          <w14:ligatures w14:val="standardContextual"/>
        </w:rPr>
        <w:instrText xml:space="preserve"> REF _Ref58506494 \r \h  \* MERGEFORMAT </w:instrText>
      </w:r>
      <w:r w:rsidRPr="00B221BE">
        <w:rPr>
          <w:rFonts w:ascii="Verdana" w:eastAsia="Arial" w:hAnsi="Verdana" w:cs="Arial"/>
          <w:kern w:val="2"/>
          <w:sz w:val="20"/>
          <w:szCs w:val="20"/>
          <w14:ligatures w14:val="standardContextual"/>
        </w:rPr>
      </w:r>
      <w:r w:rsidRPr="00B221BE">
        <w:rPr>
          <w:rFonts w:ascii="Verdana" w:eastAsia="Arial" w:hAnsi="Verdana" w:cs="Arial"/>
          <w:kern w:val="2"/>
          <w:sz w:val="20"/>
          <w:szCs w:val="20"/>
          <w14:ligatures w14:val="standardContextual"/>
        </w:rPr>
        <w:fldChar w:fldCharType="separate"/>
      </w:r>
      <w:r w:rsidRPr="00B221BE">
        <w:rPr>
          <w:rFonts w:ascii="Verdana" w:eastAsia="Arial" w:hAnsi="Verdana" w:cs="Arial"/>
          <w:kern w:val="2"/>
          <w:sz w:val="20"/>
          <w:szCs w:val="20"/>
          <w14:ligatures w14:val="standardContextual"/>
        </w:rPr>
        <w:t>10.1.5</w:t>
      </w:r>
      <w:r w:rsidRPr="00B221BE">
        <w:rPr>
          <w:rFonts w:ascii="Verdana" w:eastAsia="Arial" w:hAnsi="Verdana" w:cs="Arial"/>
          <w:kern w:val="2"/>
          <w:sz w:val="20"/>
          <w:szCs w:val="20"/>
          <w14:ligatures w14:val="standardContextual"/>
        </w:rPr>
        <w:fldChar w:fldCharType="end"/>
      </w:r>
      <w:r w:rsidRPr="00B221BE">
        <w:rPr>
          <w:rFonts w:ascii="Verdana" w:eastAsia="Arial" w:hAnsi="Verdana" w:cs="Arial"/>
          <w:kern w:val="2"/>
          <w:sz w:val="20"/>
          <w:szCs w:val="20"/>
          <w14:ligatures w14:val="standardContextual"/>
        </w:rPr>
        <w:t>, que acredite su experiencia relacionada en el RUP</w:t>
      </w:r>
      <w:r w:rsidRPr="00B221BE">
        <w:rPr>
          <w:rFonts w:ascii="Verdana" w:eastAsia="Arial" w:hAnsi="Verdana" w:cs="Arial"/>
          <w:kern w:val="2"/>
          <w:sz w:val="20"/>
          <w:szCs w:val="20"/>
          <w:lang w:eastAsia="es-ES"/>
          <w14:ligatures w14:val="standardContextual"/>
        </w:rPr>
        <w:t xml:space="preserve">, y que en total hayan cumplido con lo mencionado en el literal A de esta sección. Dicho promedio será el valor que lo hará participar para la asignación del puntaje, según se detalla en esta sección. </w:t>
      </w:r>
    </w:p>
    <w:p w14:paraId="33FB77C8" w14:textId="77777777" w:rsidR="00B221BE" w:rsidRPr="00B221BE" w:rsidRDefault="00B221BE" w:rsidP="00B221BE">
      <w:pPr>
        <w:spacing w:line="240" w:lineRule="auto"/>
        <w:ind w:left="709" w:right="709"/>
        <w:contextualSpacing/>
        <w:jc w:val="both"/>
        <w:rPr>
          <w:rFonts w:ascii="Verdana" w:eastAsia="Arial" w:hAnsi="Verdana" w:cs="Arial"/>
          <w:kern w:val="2"/>
          <w:sz w:val="20"/>
          <w:szCs w:val="20"/>
          <w:lang w:eastAsia="es-ES"/>
          <w14:ligatures w14:val="standardContextual"/>
        </w:rPr>
      </w:pPr>
    </w:p>
    <w:p w14:paraId="512F0075" w14:textId="77777777" w:rsidR="00B221BE" w:rsidRPr="00B221BE" w:rsidRDefault="00B221BE" w:rsidP="00B221BE">
      <w:pPr>
        <w:spacing w:line="240" w:lineRule="auto"/>
        <w:ind w:left="709" w:right="709"/>
        <w:contextualSpacing/>
        <w:jc w:val="both"/>
        <w:rPr>
          <w:rFonts w:ascii="Verdana" w:eastAsia="Arial" w:hAnsi="Verdana" w:cs="Arial"/>
          <w:kern w:val="2"/>
          <w:sz w:val="20"/>
          <w:szCs w:val="20"/>
          <w:lang w:eastAsia="es-ES"/>
          <w14:ligatures w14:val="standardContextual"/>
        </w:rPr>
      </w:pPr>
    </w:p>
    <w:p w14:paraId="13316950" w14:textId="77777777" w:rsidR="00B221BE" w:rsidRPr="00B221BE" w:rsidRDefault="00B221BE" w:rsidP="00B221BE">
      <w:pPr>
        <w:spacing w:after="0" w:line="240" w:lineRule="auto"/>
        <w:ind w:left="709" w:right="709"/>
        <w:contextualSpacing/>
        <w:jc w:val="both"/>
        <w:rPr>
          <w:rFonts w:ascii="Verdana" w:eastAsia="Arial" w:hAnsi="Verdana" w:cs="Arial"/>
          <w:kern w:val="2"/>
          <w:sz w:val="20"/>
          <w:szCs w:val="20"/>
          <w:lang w:eastAsia="es-ES"/>
          <w14:ligatures w14:val="standardContextual"/>
        </w:rPr>
      </w:pPr>
      <w:r w:rsidRPr="00B221BE">
        <w:rPr>
          <w:rFonts w:ascii="Verdana" w:eastAsia="Arial" w:hAnsi="Verdana" w:cs="Arial"/>
          <w:kern w:val="2"/>
          <w:sz w:val="24"/>
          <w:szCs w:val="24"/>
          <w:lang w:eastAsia="es-ES"/>
          <w14:ligatures w14:val="standardContextual"/>
        </w:rPr>
        <w:t xml:space="preserve">C. </w:t>
      </w:r>
      <w:r w:rsidRPr="00B221BE">
        <w:rPr>
          <w:rFonts w:ascii="Verdana" w:eastAsia="Arial" w:hAnsi="Verdana" w:cs="Arial"/>
          <w:kern w:val="2"/>
          <w:sz w:val="20"/>
          <w:szCs w:val="20"/>
          <w:lang w:eastAsia="es-ES"/>
          <w14:ligatures w14:val="standardContextual"/>
        </w:rPr>
        <w:t xml:space="preserve">Posteriormente, se seleccionará un método aleatorio en función de la Tasa Representativa del Mercado (TRM) certificada por la </w:t>
      </w:r>
      <w:r w:rsidRPr="00B221BE">
        <w:rPr>
          <w:rFonts w:ascii="Verdana" w:eastAsia="Arial" w:hAnsi="Verdana" w:cs="Arial"/>
          <w:kern w:val="2"/>
          <w:sz w:val="20"/>
          <w:szCs w:val="20"/>
          <w:lang w:eastAsia="es-ES"/>
          <w14:ligatures w14:val="standardContextual"/>
        </w:rPr>
        <w:lastRenderedPageBreak/>
        <w:t xml:space="preserve">Superintendencia Financiera de Colombia </w:t>
      </w:r>
      <w:r w:rsidRPr="00B221BE">
        <w:rPr>
          <w:rFonts w:ascii="Verdana" w:eastAsia="Arial" w:hAnsi="Verdana" w:cs="Arial"/>
          <w:kern w:val="2"/>
          <w:sz w:val="20"/>
          <w:szCs w:val="20"/>
          <w:highlight w:val="lightGray"/>
          <w:lang w:eastAsia="es-ES"/>
          <w14:ligatures w14:val="standardContextual"/>
        </w:rPr>
        <w:t xml:space="preserve">[en su sitio web: </w:t>
      </w:r>
      <w:hyperlink r:id="rId11">
        <w:r w:rsidRPr="00B221BE">
          <w:rPr>
            <w:rFonts w:ascii="Verdana" w:eastAsia="Arial" w:hAnsi="Verdana" w:cs="Times New Roman"/>
            <w:kern w:val="2"/>
            <w:sz w:val="20"/>
            <w:szCs w:val="20"/>
            <w:highlight w:val="lightGray"/>
            <w:lang w:eastAsia="es-ES"/>
            <w14:ligatures w14:val="standardContextual"/>
          </w:rPr>
          <w:t>https://www.superfinanciera.gov.co/publicacion/60819</w:t>
        </w:r>
      </w:hyperlink>
      <w:r w:rsidRPr="00B221BE">
        <w:rPr>
          <w:rFonts w:ascii="Verdana" w:eastAsia="Arial" w:hAnsi="Verdana" w:cs="Arial"/>
          <w:kern w:val="2"/>
          <w:sz w:val="20"/>
          <w:szCs w:val="20"/>
          <w:highlight w:val="lightGray"/>
          <w:lang w:eastAsia="es-ES"/>
          <w14:ligatures w14:val="standardContextual"/>
        </w:rPr>
        <w:t>]</w:t>
      </w:r>
      <w:r w:rsidRPr="00B221BE">
        <w:rPr>
          <w:rFonts w:ascii="Verdana" w:eastAsia="Arial" w:hAnsi="Verdana" w:cs="Arial"/>
          <w:kern w:val="2"/>
          <w:sz w:val="20"/>
          <w:szCs w:val="20"/>
          <w:lang w:eastAsia="es-ES"/>
          <w14:ligatures w14:val="standardContextual"/>
        </w:rPr>
        <w:t>.</w:t>
      </w:r>
    </w:p>
    <w:p w14:paraId="69A1EF9C" w14:textId="77777777" w:rsidR="00B221BE" w:rsidRPr="00B221BE" w:rsidRDefault="00B221BE" w:rsidP="00B221BE">
      <w:pPr>
        <w:spacing w:line="240" w:lineRule="auto"/>
        <w:ind w:left="709" w:right="709"/>
        <w:contextualSpacing/>
        <w:jc w:val="both"/>
        <w:rPr>
          <w:rFonts w:ascii="Verdana" w:eastAsia="Arial" w:hAnsi="Verdana" w:cs="Arial"/>
          <w:kern w:val="2"/>
          <w:sz w:val="20"/>
          <w:szCs w:val="20"/>
          <w:lang w:eastAsia="es-ES"/>
          <w14:ligatures w14:val="standardContextual"/>
        </w:rPr>
      </w:pPr>
    </w:p>
    <w:p w14:paraId="047233CE" w14:textId="77777777" w:rsidR="00B221BE" w:rsidRPr="00B221BE" w:rsidRDefault="00B221BE" w:rsidP="00B221BE">
      <w:pPr>
        <w:spacing w:after="0" w:line="240" w:lineRule="auto"/>
        <w:ind w:left="709" w:right="709"/>
        <w:contextualSpacing/>
        <w:jc w:val="both"/>
        <w:rPr>
          <w:rFonts w:ascii="Verdana" w:eastAsia="Arial" w:hAnsi="Verdana" w:cs="Arial"/>
          <w:kern w:val="2"/>
          <w:sz w:val="20"/>
          <w:szCs w:val="20"/>
          <w:lang w:eastAsia="es-ES"/>
          <w14:ligatures w14:val="standardContextual"/>
        </w:rPr>
      </w:pPr>
      <w:r w:rsidRPr="00B221BE">
        <w:rPr>
          <w:rFonts w:ascii="Verdana" w:eastAsia="Arial" w:hAnsi="Verdana" w:cs="Arial"/>
          <w:kern w:val="2"/>
          <w:sz w:val="20"/>
          <w:szCs w:val="20"/>
          <w:lang w:eastAsia="es-ES"/>
          <w14:ligatures w14:val="standardContextual"/>
        </w:rPr>
        <w:t xml:space="preserve">La TRM que la Entidad utilizará para determinar el método de ponderación será la que rija el </w:t>
      </w:r>
      <w:r w:rsidRPr="00B221BE">
        <w:rPr>
          <w:rFonts w:ascii="Verdana" w:eastAsia="Arial" w:hAnsi="Verdana" w:cs="Arial"/>
          <w:i/>
          <w:iCs/>
          <w:kern w:val="2"/>
          <w:sz w:val="20"/>
          <w:szCs w:val="20"/>
          <w:lang w:eastAsia="es-ES"/>
          <w14:ligatures w14:val="standardContextual"/>
        </w:rPr>
        <w:t>segundo día hábil después de finalizado el periodo de traslado del informe de evaluación</w:t>
      </w:r>
      <w:r w:rsidRPr="00B221BE">
        <w:rPr>
          <w:rFonts w:ascii="Verdana" w:eastAsia="Arial" w:hAnsi="Verdana" w:cs="Arial"/>
          <w:kern w:val="2"/>
          <w:sz w:val="20"/>
          <w:szCs w:val="20"/>
          <w14:ligatures w14:val="standardContextual"/>
        </w:rPr>
        <w:t>.</w:t>
      </w:r>
      <w:r w:rsidRPr="00B221BE">
        <w:rPr>
          <w:rFonts w:ascii="Verdana" w:eastAsia="Arial" w:hAnsi="Verdana" w:cs="Arial"/>
          <w:kern w:val="2"/>
          <w:sz w:val="20"/>
          <w:szCs w:val="20"/>
          <w:lang w:eastAsia="es-ES"/>
          <w14:ligatures w14:val="standardContextual"/>
        </w:rPr>
        <w:t xml:space="preserve"> Esto es, la que la Superintendencia publique en horas de la tarde del día hábil siguiente a la fecha efectiva de finalizado el periodo de traslado del informe de evaluación. </w:t>
      </w:r>
      <w:r w:rsidRPr="00B221BE">
        <w:rPr>
          <w:rFonts w:ascii="Verdana" w:eastAsia="Arial" w:hAnsi="Verdana" w:cs="Arial"/>
          <w:kern w:val="2"/>
          <w:sz w:val="20"/>
          <w:szCs w:val="20"/>
          <w:highlight w:val="lightGray"/>
          <w:lang w:eastAsia="es-ES"/>
          <w14:ligatures w14:val="standardContextual"/>
        </w:rPr>
        <w:t>[Por ejemplo, si el termino de traslado del informe de evaluación finaliza el 10 de febrero, la TRM que se usará para determinar el método de evaluación será la del 12 de febrero, que se publica en la tarde del 11 de febrero]</w:t>
      </w:r>
      <w:r w:rsidRPr="00B221BE">
        <w:rPr>
          <w:rFonts w:ascii="Verdana" w:eastAsia="Arial" w:hAnsi="Verdana" w:cs="Arial"/>
          <w:kern w:val="2"/>
          <w:sz w:val="20"/>
          <w:szCs w:val="20"/>
          <w:lang w:eastAsia="es-ES"/>
          <w14:ligatures w14:val="standardContextual"/>
        </w:rPr>
        <w:t xml:space="preserve"> </w:t>
      </w:r>
    </w:p>
    <w:p w14:paraId="2C3A0A2D" w14:textId="77777777" w:rsidR="00B221BE" w:rsidRPr="00B221BE" w:rsidRDefault="00B221BE" w:rsidP="00B221BE">
      <w:pPr>
        <w:spacing w:before="210" w:after="0" w:line="240" w:lineRule="auto"/>
        <w:ind w:left="709" w:right="709"/>
        <w:jc w:val="both"/>
        <w:rPr>
          <w:rFonts w:ascii="Verdana" w:eastAsia="BlinkMacSystemFont" w:hAnsi="Verdana" w:cs="Arial"/>
          <w:i/>
          <w:iCs/>
          <w:kern w:val="2"/>
          <w:sz w:val="20"/>
          <w:szCs w:val="20"/>
          <w:u w:val="single"/>
          <w14:ligatures w14:val="standardContextual"/>
        </w:rPr>
      </w:pPr>
      <w:r w:rsidRPr="00B221BE">
        <w:rPr>
          <w:rFonts w:ascii="Verdana" w:eastAsia="BlinkMacSystemFont" w:hAnsi="Verdana" w:cs="Arial"/>
          <w:kern w:val="2"/>
          <w:sz w:val="20"/>
          <w:szCs w:val="20"/>
          <w14:ligatures w14:val="standardContextual"/>
        </w:rPr>
        <w:t xml:space="preserve">En el evento excepcional establecido en el numeral 1.6, cuando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deba requerir a algún proponente, </w:t>
      </w:r>
      <w:r w:rsidRPr="00B221BE">
        <w:rPr>
          <w:rFonts w:ascii="Verdana" w:eastAsia="BlinkMacSystemFont" w:hAnsi="Verdana" w:cs="Arial"/>
          <w:kern w:val="2"/>
          <w:sz w:val="20"/>
          <w:szCs w:val="20"/>
          <w:u w:val="single"/>
          <w14:ligatures w14:val="standardContextual"/>
        </w:rPr>
        <w:t xml:space="preserve">la TRM que la Entidad utilizará para determinar el método de ponderación será la que rija el </w:t>
      </w:r>
      <w:r w:rsidRPr="00B221BE">
        <w:rPr>
          <w:rFonts w:ascii="Verdana" w:eastAsia="BlinkMacSystemFont" w:hAnsi="Verdana" w:cs="Arial"/>
          <w:i/>
          <w:iCs/>
          <w:kern w:val="2"/>
          <w:sz w:val="20"/>
          <w:szCs w:val="20"/>
          <w:u w:val="single"/>
          <w14:ligatures w14:val="standardContextual"/>
        </w:rPr>
        <w:t>segundo día hábil después de finalizado el periodo concedido al proponente requerido para allegar la subsanación y/o aclaración solicitada</w:t>
      </w:r>
      <w:r w:rsidRPr="00B221BE">
        <w:rPr>
          <w:rFonts w:ascii="Verdana" w:eastAsia="BlinkMacSystemFont" w:hAnsi="Verdana" w:cs="Arial"/>
          <w:kern w:val="2"/>
          <w:sz w:val="20"/>
          <w:szCs w:val="20"/>
          <w:u w:val="single"/>
          <w14:ligatures w14:val="standardContextual"/>
        </w:rPr>
        <w:t>.</w:t>
      </w:r>
      <w:r w:rsidRPr="00B221BE">
        <w:rPr>
          <w:rFonts w:ascii="Verdana" w:eastAsia="BlinkMacSystemFont" w:hAnsi="Verdana" w:cs="Arial"/>
          <w:i/>
          <w:iCs/>
          <w:kern w:val="2"/>
          <w:sz w:val="20"/>
          <w:szCs w:val="20"/>
          <w:u w:val="single"/>
          <w14:ligatures w14:val="standardContextual"/>
        </w:rPr>
        <w:t xml:space="preserve"> </w:t>
      </w:r>
    </w:p>
    <w:p w14:paraId="49A53DDC" w14:textId="77777777" w:rsidR="00B221BE" w:rsidRPr="00B221BE" w:rsidRDefault="00B221BE" w:rsidP="00B221BE">
      <w:pPr>
        <w:spacing w:after="0" w:line="240" w:lineRule="auto"/>
        <w:ind w:left="709" w:right="709"/>
        <w:contextualSpacing/>
        <w:jc w:val="both"/>
        <w:rPr>
          <w:rFonts w:ascii="Verdana" w:eastAsia="Arial" w:hAnsi="Verdana" w:cs="Arial"/>
          <w:kern w:val="2"/>
          <w:sz w:val="20"/>
          <w:szCs w:val="20"/>
          <w:lang w:val="es-MX" w:eastAsia="es-ES"/>
          <w14:ligatures w14:val="standardContextual"/>
        </w:rPr>
      </w:pPr>
    </w:p>
    <w:p w14:paraId="6342EEC5" w14:textId="77777777" w:rsidR="00B221BE" w:rsidRPr="00B221BE" w:rsidRDefault="00B221BE" w:rsidP="00B221BE">
      <w:pPr>
        <w:spacing w:after="0" w:line="240" w:lineRule="auto"/>
        <w:ind w:left="709" w:right="709"/>
        <w:contextualSpacing/>
        <w:jc w:val="both"/>
        <w:rPr>
          <w:rFonts w:ascii="Verdana" w:eastAsia="Arial" w:hAnsi="Verdana" w:cs="Arial"/>
          <w:kern w:val="2"/>
          <w:sz w:val="20"/>
          <w:szCs w:val="20"/>
          <w:lang w:val="es-MX" w:eastAsia="es-ES"/>
          <w14:ligatures w14:val="standardContextual"/>
        </w:rPr>
      </w:pPr>
      <w:r w:rsidRPr="00B221BE">
        <w:rPr>
          <w:rFonts w:ascii="Verdana" w:eastAsia="Arial" w:hAnsi="Verdana" w:cs="Arial"/>
          <w:kern w:val="2"/>
          <w:sz w:val="20"/>
          <w:szCs w:val="20"/>
          <w:lang w:val="es-MX" w:eastAsia="es-ES"/>
          <w14:ligatures w14:val="standardContextual"/>
        </w:rPr>
        <w:t>Al momento de definir o modificar el cronograma del Proceso de Contratación la entidad deberá verificar que el día hábil siguiente a la finalización del periodo de traslado del informe de evaluación, no corresponda a un día festivo en Estados Unidos, con el objetivo de no afectar el proceso de definición del método de ponderación de las propuestas.</w:t>
      </w:r>
    </w:p>
    <w:p w14:paraId="19CEF135" w14:textId="77777777" w:rsidR="00B221BE" w:rsidRPr="00B221BE" w:rsidRDefault="00B221BE" w:rsidP="00B221BE">
      <w:pPr>
        <w:spacing w:after="0" w:line="240" w:lineRule="auto"/>
        <w:ind w:left="709" w:right="709"/>
        <w:contextualSpacing/>
        <w:jc w:val="both"/>
        <w:rPr>
          <w:rFonts w:ascii="Verdana" w:eastAsia="Arial" w:hAnsi="Verdana" w:cs="Arial"/>
          <w:kern w:val="2"/>
          <w:sz w:val="20"/>
          <w:szCs w:val="20"/>
          <w:lang w:eastAsia="es-ES"/>
          <w14:ligatures w14:val="standardContextual"/>
        </w:rPr>
      </w:pPr>
    </w:p>
    <w:p w14:paraId="33083879" w14:textId="77777777" w:rsidR="00B221BE" w:rsidRPr="00B221BE" w:rsidRDefault="00B221BE" w:rsidP="00B221BE">
      <w:pPr>
        <w:spacing w:after="0" w:line="240" w:lineRule="auto"/>
        <w:ind w:left="709" w:right="709"/>
        <w:contextualSpacing/>
        <w:jc w:val="both"/>
        <w:rPr>
          <w:rFonts w:ascii="Verdana" w:eastAsia="Arial" w:hAnsi="Verdana" w:cs="Arial"/>
          <w:kern w:val="2"/>
          <w:sz w:val="20"/>
          <w:szCs w:val="20"/>
          <w:lang w:eastAsia="es-ES"/>
          <w14:ligatures w14:val="standardContextual"/>
        </w:rPr>
      </w:pPr>
      <w:r w:rsidRPr="00B221BE">
        <w:rPr>
          <w:rFonts w:ascii="Verdana" w:eastAsia="Arial" w:hAnsi="Verdana" w:cs="Arial"/>
          <w:kern w:val="2"/>
          <w:sz w:val="20"/>
          <w:szCs w:val="20"/>
          <w:lang w:eastAsia="es-ES"/>
          <w14:ligatures w14:val="standardContextual"/>
        </w:rPr>
        <w:t>El método de ponderación se determinará de acuerdo con los rangos del siguiente cuadro, en función de la parte decimal -centavos- de la TRM:</w:t>
      </w:r>
    </w:p>
    <w:p w14:paraId="5D6B58F7" w14:textId="77777777" w:rsidR="00B221BE" w:rsidRPr="00B221BE" w:rsidRDefault="00B221BE" w:rsidP="00B221BE">
      <w:pPr>
        <w:ind w:left="709" w:right="709"/>
        <w:contextualSpacing/>
        <w:jc w:val="both"/>
        <w:rPr>
          <w:rFonts w:ascii="Verdana" w:eastAsia="Arial" w:hAnsi="Verdana" w:cs="Arial"/>
          <w:kern w:val="2"/>
          <w:sz w:val="16"/>
          <w:szCs w:val="16"/>
          <w:lang w:eastAsia="es-ES"/>
          <w14:ligatures w14:val="standardContextual"/>
        </w:rPr>
      </w:pPr>
      <w:r w:rsidRPr="00B221BE">
        <w:rPr>
          <w:rFonts w:ascii="Verdana" w:eastAsia="Arial" w:hAnsi="Verdana" w:cs="Arial"/>
          <w:kern w:val="2"/>
          <w:sz w:val="16"/>
          <w:szCs w:val="16"/>
          <w:lang w:eastAsia="es-ES"/>
          <w14:ligatures w14:val="standardContextual"/>
        </w:rPr>
        <w:t xml:space="preserve"> </w:t>
      </w:r>
    </w:p>
    <w:tbl>
      <w:tblPr>
        <w:tblW w:w="0" w:type="auto"/>
        <w:jc w:val="center"/>
        <w:tblLayout w:type="fixed"/>
        <w:tblLook w:val="00A0" w:firstRow="1" w:lastRow="0" w:firstColumn="1" w:lastColumn="0" w:noHBand="0" w:noVBand="0"/>
      </w:tblPr>
      <w:tblGrid>
        <w:gridCol w:w="1620"/>
        <w:gridCol w:w="1110"/>
        <w:gridCol w:w="2217"/>
      </w:tblGrid>
      <w:tr w:rsidR="00B221BE" w:rsidRPr="00B221BE" w14:paraId="5C8A9872" w14:textId="77777777" w:rsidTr="005A356F">
        <w:trPr>
          <w:trHeight w:val="15"/>
          <w:jc w:val="center"/>
        </w:trPr>
        <w:tc>
          <w:tcPr>
            <w:tcW w:w="1620" w:type="dxa"/>
            <w:tcBorders>
              <w:top w:val="double" w:sz="4" w:space="0" w:color="auto"/>
              <w:left w:val="double" w:sz="4" w:space="0" w:color="auto"/>
              <w:bottom w:val="single" w:sz="8" w:space="0" w:color="auto"/>
              <w:right w:val="single" w:sz="8" w:space="0" w:color="auto"/>
            </w:tcBorders>
            <w:shd w:val="clear" w:color="auto" w:fill="262626"/>
            <w:vAlign w:val="center"/>
          </w:tcPr>
          <w:p w14:paraId="7A40E1DB" w14:textId="77777777" w:rsidR="00B221BE" w:rsidRPr="00B221BE" w:rsidRDefault="00B221BE" w:rsidP="00B221BE">
            <w:pPr>
              <w:jc w:val="center"/>
              <w:rPr>
                <w:rFonts w:ascii="Verdana" w:eastAsia="Arial" w:hAnsi="Verdana" w:cs="Arial"/>
                <w:b/>
                <w:bCs/>
                <w:kern w:val="2"/>
                <w:sz w:val="16"/>
                <w:szCs w:val="16"/>
                <w:lang w:val="es"/>
                <w14:ligatures w14:val="standardContextual"/>
              </w:rPr>
            </w:pPr>
            <w:r w:rsidRPr="00B221BE">
              <w:rPr>
                <w:rFonts w:ascii="Verdana" w:eastAsia="Arial" w:hAnsi="Verdana" w:cs="Arial"/>
                <w:b/>
                <w:bCs/>
                <w:kern w:val="2"/>
                <w:sz w:val="16"/>
                <w:szCs w:val="16"/>
                <w:lang w:val="es"/>
                <w14:ligatures w14:val="standardContextual"/>
              </w:rPr>
              <w:t>Rango (inclusive)</w:t>
            </w:r>
          </w:p>
        </w:tc>
        <w:tc>
          <w:tcPr>
            <w:tcW w:w="1110" w:type="dxa"/>
            <w:tcBorders>
              <w:top w:val="double" w:sz="4" w:space="0" w:color="auto"/>
              <w:left w:val="single" w:sz="8" w:space="0" w:color="auto"/>
              <w:bottom w:val="single" w:sz="8" w:space="0" w:color="auto"/>
              <w:right w:val="single" w:sz="8" w:space="0" w:color="auto"/>
            </w:tcBorders>
            <w:shd w:val="clear" w:color="auto" w:fill="262626"/>
            <w:vAlign w:val="center"/>
          </w:tcPr>
          <w:p w14:paraId="26257E81" w14:textId="77777777" w:rsidR="00B221BE" w:rsidRPr="00B221BE" w:rsidRDefault="00B221BE" w:rsidP="00B221BE">
            <w:pPr>
              <w:jc w:val="center"/>
              <w:rPr>
                <w:rFonts w:ascii="Verdana" w:eastAsia="Arial" w:hAnsi="Verdana" w:cs="Arial"/>
                <w:b/>
                <w:bCs/>
                <w:kern w:val="2"/>
                <w:sz w:val="16"/>
                <w:szCs w:val="16"/>
                <w:lang w:val="es"/>
                <w14:ligatures w14:val="standardContextual"/>
              </w:rPr>
            </w:pPr>
            <w:r w:rsidRPr="00B221BE">
              <w:rPr>
                <w:rFonts w:ascii="Verdana" w:eastAsia="Arial" w:hAnsi="Verdana" w:cs="Arial"/>
                <w:b/>
                <w:bCs/>
                <w:kern w:val="2"/>
                <w:sz w:val="16"/>
                <w:szCs w:val="16"/>
                <w:lang w:val="es"/>
                <w14:ligatures w14:val="standardContextual"/>
              </w:rPr>
              <w:t>Número</w:t>
            </w:r>
          </w:p>
        </w:tc>
        <w:tc>
          <w:tcPr>
            <w:tcW w:w="2217" w:type="dxa"/>
            <w:tcBorders>
              <w:top w:val="double" w:sz="4" w:space="0" w:color="auto"/>
              <w:left w:val="single" w:sz="8" w:space="0" w:color="auto"/>
              <w:bottom w:val="single" w:sz="8" w:space="0" w:color="auto"/>
              <w:right w:val="double" w:sz="4" w:space="0" w:color="auto"/>
            </w:tcBorders>
            <w:shd w:val="clear" w:color="auto" w:fill="262626"/>
            <w:vAlign w:val="center"/>
          </w:tcPr>
          <w:p w14:paraId="0772DCBB" w14:textId="77777777" w:rsidR="00B221BE" w:rsidRPr="00B221BE" w:rsidRDefault="00B221BE" w:rsidP="00B221BE">
            <w:pPr>
              <w:jc w:val="center"/>
              <w:rPr>
                <w:rFonts w:ascii="Verdana" w:eastAsia="Arial" w:hAnsi="Verdana" w:cs="Arial"/>
                <w:b/>
                <w:bCs/>
                <w:kern w:val="2"/>
                <w:sz w:val="16"/>
                <w:szCs w:val="16"/>
                <w:lang w:val="es"/>
                <w14:ligatures w14:val="standardContextual"/>
              </w:rPr>
            </w:pPr>
            <w:r w:rsidRPr="00B221BE">
              <w:rPr>
                <w:rFonts w:ascii="Verdana" w:eastAsia="Arial" w:hAnsi="Verdana" w:cs="Arial"/>
                <w:b/>
                <w:bCs/>
                <w:kern w:val="2"/>
                <w:sz w:val="16"/>
                <w:szCs w:val="16"/>
                <w:lang w:val="es"/>
                <w14:ligatures w14:val="standardContextual"/>
              </w:rPr>
              <w:t>Método</w:t>
            </w:r>
          </w:p>
        </w:tc>
      </w:tr>
      <w:tr w:rsidR="00B221BE" w:rsidRPr="00B221BE" w14:paraId="35010D96" w14:textId="77777777" w:rsidTr="005A356F">
        <w:trPr>
          <w:trHeight w:val="15"/>
          <w:jc w:val="center"/>
        </w:trPr>
        <w:tc>
          <w:tcPr>
            <w:tcW w:w="1620" w:type="dxa"/>
            <w:tcBorders>
              <w:top w:val="single" w:sz="8" w:space="0" w:color="auto"/>
              <w:left w:val="double" w:sz="4" w:space="0" w:color="auto"/>
              <w:bottom w:val="single" w:sz="8" w:space="0" w:color="auto"/>
              <w:right w:val="single" w:sz="8" w:space="0" w:color="auto"/>
            </w:tcBorders>
            <w:vAlign w:val="center"/>
          </w:tcPr>
          <w:p w14:paraId="4C073530" w14:textId="77777777" w:rsidR="00B221BE" w:rsidRPr="00B221BE" w:rsidRDefault="00B221BE" w:rsidP="00B221BE">
            <w:pPr>
              <w:jc w:val="center"/>
              <w:rPr>
                <w:rFonts w:ascii="Verdana" w:eastAsia="Arial" w:hAnsi="Verdana" w:cs="Arial"/>
                <w:kern w:val="2"/>
                <w:sz w:val="16"/>
                <w:szCs w:val="16"/>
                <w:lang w:val="es"/>
                <w14:ligatures w14:val="standardContextual"/>
              </w:rPr>
            </w:pPr>
            <w:r w:rsidRPr="00B221BE">
              <w:rPr>
                <w:rFonts w:ascii="Verdana" w:eastAsia="Arial" w:hAnsi="Verdana" w:cs="Arial"/>
                <w:kern w:val="2"/>
                <w:sz w:val="16"/>
                <w:szCs w:val="16"/>
                <w:lang w:val="es"/>
                <w14:ligatures w14:val="standardContextual"/>
              </w:rPr>
              <w:t>De 0.00 a 0.24</w:t>
            </w:r>
          </w:p>
        </w:tc>
        <w:tc>
          <w:tcPr>
            <w:tcW w:w="1110" w:type="dxa"/>
            <w:tcBorders>
              <w:top w:val="single" w:sz="8" w:space="0" w:color="auto"/>
              <w:left w:val="single" w:sz="8" w:space="0" w:color="auto"/>
              <w:bottom w:val="single" w:sz="8" w:space="0" w:color="auto"/>
              <w:right w:val="single" w:sz="8" w:space="0" w:color="auto"/>
            </w:tcBorders>
            <w:vAlign w:val="center"/>
          </w:tcPr>
          <w:p w14:paraId="4B90623B" w14:textId="77777777" w:rsidR="00B221BE" w:rsidRPr="00B221BE" w:rsidRDefault="00B221BE" w:rsidP="00B221BE">
            <w:pPr>
              <w:jc w:val="center"/>
              <w:rPr>
                <w:rFonts w:ascii="Verdana" w:eastAsia="Arial" w:hAnsi="Verdana" w:cs="Arial"/>
                <w:kern w:val="2"/>
                <w:sz w:val="16"/>
                <w:szCs w:val="16"/>
                <w:lang w:val="es"/>
                <w14:ligatures w14:val="standardContextual"/>
              </w:rPr>
            </w:pPr>
            <w:r w:rsidRPr="00B221BE">
              <w:rPr>
                <w:rFonts w:ascii="Verdana" w:eastAsia="Arial" w:hAnsi="Verdana" w:cs="Arial"/>
                <w:kern w:val="2"/>
                <w:sz w:val="16"/>
                <w:szCs w:val="16"/>
                <w:lang w:val="es"/>
                <w14:ligatures w14:val="standardContextual"/>
              </w:rPr>
              <w:t>1</w:t>
            </w:r>
          </w:p>
        </w:tc>
        <w:tc>
          <w:tcPr>
            <w:tcW w:w="2217" w:type="dxa"/>
            <w:tcBorders>
              <w:top w:val="single" w:sz="8" w:space="0" w:color="auto"/>
              <w:left w:val="single" w:sz="8" w:space="0" w:color="auto"/>
              <w:bottom w:val="single" w:sz="8" w:space="0" w:color="auto"/>
              <w:right w:val="double" w:sz="4" w:space="0" w:color="auto"/>
            </w:tcBorders>
            <w:vAlign w:val="center"/>
          </w:tcPr>
          <w:p w14:paraId="7D154B92" w14:textId="77777777" w:rsidR="00B221BE" w:rsidRPr="00B221BE" w:rsidRDefault="00B221BE" w:rsidP="00B221BE">
            <w:pPr>
              <w:jc w:val="both"/>
              <w:rPr>
                <w:rFonts w:ascii="Verdana" w:eastAsia="Arial" w:hAnsi="Verdana" w:cs="Arial"/>
                <w:kern w:val="2"/>
                <w:sz w:val="16"/>
                <w:szCs w:val="16"/>
                <w:lang w:val="es"/>
                <w14:ligatures w14:val="standardContextual"/>
              </w:rPr>
            </w:pPr>
            <w:r w:rsidRPr="00B221BE">
              <w:rPr>
                <w:rFonts w:ascii="Verdana" w:eastAsia="Arial" w:hAnsi="Verdana" w:cs="Arial"/>
                <w:kern w:val="2"/>
                <w:sz w:val="16"/>
                <w:szCs w:val="16"/>
                <w:lang w:val="es"/>
                <w14:ligatures w14:val="standardContextual"/>
              </w:rPr>
              <w:t>Mediana con valor absoluto</w:t>
            </w:r>
          </w:p>
        </w:tc>
      </w:tr>
      <w:tr w:rsidR="00B221BE" w:rsidRPr="00B221BE" w14:paraId="651FB8D7" w14:textId="77777777" w:rsidTr="005A356F">
        <w:trPr>
          <w:trHeight w:val="30"/>
          <w:jc w:val="center"/>
        </w:trPr>
        <w:tc>
          <w:tcPr>
            <w:tcW w:w="1620" w:type="dxa"/>
            <w:tcBorders>
              <w:top w:val="single" w:sz="8" w:space="0" w:color="auto"/>
              <w:left w:val="double" w:sz="4" w:space="0" w:color="auto"/>
              <w:bottom w:val="single" w:sz="8" w:space="0" w:color="auto"/>
              <w:right w:val="single" w:sz="8" w:space="0" w:color="auto"/>
            </w:tcBorders>
            <w:vAlign w:val="center"/>
          </w:tcPr>
          <w:p w14:paraId="0472FC8D" w14:textId="77777777" w:rsidR="00B221BE" w:rsidRPr="00B221BE" w:rsidRDefault="00B221BE" w:rsidP="00B221BE">
            <w:pPr>
              <w:jc w:val="center"/>
              <w:rPr>
                <w:rFonts w:ascii="Verdana" w:eastAsia="Arial" w:hAnsi="Verdana" w:cs="Arial"/>
                <w:kern w:val="2"/>
                <w:sz w:val="16"/>
                <w:szCs w:val="16"/>
                <w:lang w:val="es"/>
                <w14:ligatures w14:val="standardContextual"/>
              </w:rPr>
            </w:pPr>
            <w:r w:rsidRPr="00B221BE">
              <w:rPr>
                <w:rFonts w:ascii="Verdana" w:eastAsia="Arial" w:hAnsi="Verdana" w:cs="Arial"/>
                <w:kern w:val="2"/>
                <w:sz w:val="16"/>
                <w:szCs w:val="16"/>
                <w:lang w:val="es"/>
                <w14:ligatures w14:val="standardContextual"/>
              </w:rPr>
              <w:t>De 0.25 a 0.49</w:t>
            </w:r>
          </w:p>
        </w:tc>
        <w:tc>
          <w:tcPr>
            <w:tcW w:w="1110" w:type="dxa"/>
            <w:tcBorders>
              <w:top w:val="single" w:sz="8" w:space="0" w:color="auto"/>
              <w:left w:val="single" w:sz="8" w:space="0" w:color="auto"/>
              <w:bottom w:val="single" w:sz="8" w:space="0" w:color="auto"/>
              <w:right w:val="single" w:sz="8" w:space="0" w:color="auto"/>
            </w:tcBorders>
            <w:vAlign w:val="center"/>
          </w:tcPr>
          <w:p w14:paraId="4A4F6485" w14:textId="77777777" w:rsidR="00B221BE" w:rsidRPr="00B221BE" w:rsidRDefault="00B221BE" w:rsidP="00B221BE">
            <w:pPr>
              <w:jc w:val="center"/>
              <w:rPr>
                <w:rFonts w:ascii="Verdana" w:eastAsia="Arial" w:hAnsi="Verdana" w:cs="Arial"/>
                <w:kern w:val="2"/>
                <w:sz w:val="16"/>
                <w:szCs w:val="16"/>
                <w:lang w:val="es"/>
                <w14:ligatures w14:val="standardContextual"/>
              </w:rPr>
            </w:pPr>
            <w:r w:rsidRPr="00B221BE">
              <w:rPr>
                <w:rFonts w:ascii="Verdana" w:eastAsia="Arial" w:hAnsi="Verdana" w:cs="Arial"/>
                <w:kern w:val="2"/>
                <w:sz w:val="16"/>
                <w:szCs w:val="16"/>
                <w:lang w:val="es"/>
                <w14:ligatures w14:val="standardContextual"/>
              </w:rPr>
              <w:t>2</w:t>
            </w:r>
          </w:p>
        </w:tc>
        <w:tc>
          <w:tcPr>
            <w:tcW w:w="2217" w:type="dxa"/>
            <w:tcBorders>
              <w:top w:val="single" w:sz="8" w:space="0" w:color="auto"/>
              <w:left w:val="single" w:sz="8" w:space="0" w:color="auto"/>
              <w:bottom w:val="single" w:sz="8" w:space="0" w:color="auto"/>
              <w:right w:val="double" w:sz="4" w:space="0" w:color="auto"/>
            </w:tcBorders>
            <w:vAlign w:val="center"/>
          </w:tcPr>
          <w:p w14:paraId="62D01E1A" w14:textId="77777777" w:rsidR="00B221BE" w:rsidRPr="00B221BE" w:rsidRDefault="00B221BE" w:rsidP="00B221BE">
            <w:pPr>
              <w:jc w:val="both"/>
              <w:rPr>
                <w:rFonts w:ascii="Verdana" w:eastAsia="Arial" w:hAnsi="Verdana" w:cs="Arial"/>
                <w:kern w:val="2"/>
                <w:sz w:val="16"/>
                <w:szCs w:val="16"/>
                <w:lang w:val="es"/>
                <w14:ligatures w14:val="standardContextual"/>
              </w:rPr>
            </w:pPr>
            <w:r w:rsidRPr="00B221BE">
              <w:rPr>
                <w:rFonts w:ascii="Verdana" w:eastAsia="Arial" w:hAnsi="Verdana" w:cs="Arial"/>
                <w:kern w:val="2"/>
                <w:sz w:val="16"/>
                <w:szCs w:val="16"/>
                <w:lang w:val="es"/>
                <w14:ligatures w14:val="standardContextual"/>
              </w:rPr>
              <w:t>Media geométrica</w:t>
            </w:r>
          </w:p>
        </w:tc>
      </w:tr>
      <w:tr w:rsidR="00B221BE" w:rsidRPr="00B221BE" w14:paraId="5246319A" w14:textId="77777777" w:rsidTr="005A356F">
        <w:trPr>
          <w:trHeight w:val="15"/>
          <w:jc w:val="center"/>
        </w:trPr>
        <w:tc>
          <w:tcPr>
            <w:tcW w:w="1620" w:type="dxa"/>
            <w:tcBorders>
              <w:top w:val="single" w:sz="8" w:space="0" w:color="auto"/>
              <w:left w:val="double" w:sz="4" w:space="0" w:color="auto"/>
              <w:bottom w:val="single" w:sz="8" w:space="0" w:color="auto"/>
              <w:right w:val="single" w:sz="8" w:space="0" w:color="auto"/>
            </w:tcBorders>
            <w:vAlign w:val="center"/>
          </w:tcPr>
          <w:p w14:paraId="0D02F171" w14:textId="77777777" w:rsidR="00B221BE" w:rsidRPr="00B221BE" w:rsidRDefault="00B221BE" w:rsidP="00B221BE">
            <w:pPr>
              <w:jc w:val="center"/>
              <w:rPr>
                <w:rFonts w:ascii="Verdana" w:eastAsia="Arial" w:hAnsi="Verdana" w:cs="Arial"/>
                <w:kern w:val="2"/>
                <w:sz w:val="16"/>
                <w:szCs w:val="16"/>
                <w:lang w:val="es"/>
                <w14:ligatures w14:val="standardContextual"/>
              </w:rPr>
            </w:pPr>
            <w:r w:rsidRPr="00B221BE">
              <w:rPr>
                <w:rFonts w:ascii="Verdana" w:eastAsia="Arial" w:hAnsi="Verdana" w:cs="Arial"/>
                <w:kern w:val="2"/>
                <w:sz w:val="16"/>
                <w:szCs w:val="16"/>
                <w:lang w:val="es"/>
                <w14:ligatures w14:val="standardContextual"/>
              </w:rPr>
              <w:t>De 0.50 a 0.74</w:t>
            </w:r>
          </w:p>
        </w:tc>
        <w:tc>
          <w:tcPr>
            <w:tcW w:w="1110" w:type="dxa"/>
            <w:tcBorders>
              <w:top w:val="single" w:sz="8" w:space="0" w:color="auto"/>
              <w:left w:val="single" w:sz="8" w:space="0" w:color="auto"/>
              <w:bottom w:val="single" w:sz="8" w:space="0" w:color="auto"/>
              <w:right w:val="single" w:sz="8" w:space="0" w:color="auto"/>
            </w:tcBorders>
            <w:vAlign w:val="center"/>
          </w:tcPr>
          <w:p w14:paraId="44F52DA7" w14:textId="77777777" w:rsidR="00B221BE" w:rsidRPr="00B221BE" w:rsidRDefault="00B221BE" w:rsidP="00B221BE">
            <w:pPr>
              <w:jc w:val="center"/>
              <w:rPr>
                <w:rFonts w:ascii="Verdana" w:eastAsia="Arial" w:hAnsi="Verdana" w:cs="Arial"/>
                <w:kern w:val="2"/>
                <w:sz w:val="16"/>
                <w:szCs w:val="16"/>
                <w:lang w:val="es"/>
                <w14:ligatures w14:val="standardContextual"/>
              </w:rPr>
            </w:pPr>
            <w:r w:rsidRPr="00B221BE">
              <w:rPr>
                <w:rFonts w:ascii="Verdana" w:eastAsia="Arial" w:hAnsi="Verdana" w:cs="Arial"/>
                <w:kern w:val="2"/>
                <w:sz w:val="16"/>
                <w:szCs w:val="16"/>
                <w:lang w:val="es"/>
                <w14:ligatures w14:val="standardContextual"/>
              </w:rPr>
              <w:t>3</w:t>
            </w:r>
          </w:p>
        </w:tc>
        <w:tc>
          <w:tcPr>
            <w:tcW w:w="2217" w:type="dxa"/>
            <w:tcBorders>
              <w:top w:val="single" w:sz="8" w:space="0" w:color="auto"/>
              <w:left w:val="single" w:sz="8" w:space="0" w:color="auto"/>
              <w:bottom w:val="single" w:sz="8" w:space="0" w:color="auto"/>
              <w:right w:val="double" w:sz="4" w:space="0" w:color="auto"/>
            </w:tcBorders>
            <w:vAlign w:val="center"/>
          </w:tcPr>
          <w:p w14:paraId="0CE542F4" w14:textId="77777777" w:rsidR="00B221BE" w:rsidRPr="00B221BE" w:rsidRDefault="00B221BE" w:rsidP="00B221BE">
            <w:pPr>
              <w:jc w:val="both"/>
              <w:rPr>
                <w:rFonts w:ascii="Verdana" w:eastAsia="Arial" w:hAnsi="Verdana" w:cs="Arial"/>
                <w:kern w:val="2"/>
                <w:sz w:val="16"/>
                <w:szCs w:val="16"/>
                <w:lang w:val="es"/>
                <w14:ligatures w14:val="standardContextual"/>
              </w:rPr>
            </w:pPr>
            <w:r w:rsidRPr="00B221BE">
              <w:rPr>
                <w:rFonts w:ascii="Verdana" w:eastAsia="Arial" w:hAnsi="Verdana" w:cs="Arial"/>
                <w:kern w:val="2"/>
                <w:sz w:val="16"/>
                <w:szCs w:val="16"/>
                <w:lang w:val="es"/>
                <w14:ligatures w14:val="standardContextual"/>
              </w:rPr>
              <w:t>Media aritmética alta</w:t>
            </w:r>
          </w:p>
        </w:tc>
      </w:tr>
      <w:tr w:rsidR="00B221BE" w:rsidRPr="00B221BE" w14:paraId="5E7E9891" w14:textId="77777777" w:rsidTr="005A356F">
        <w:trPr>
          <w:trHeight w:val="15"/>
          <w:jc w:val="center"/>
        </w:trPr>
        <w:tc>
          <w:tcPr>
            <w:tcW w:w="1620" w:type="dxa"/>
            <w:tcBorders>
              <w:top w:val="single" w:sz="8" w:space="0" w:color="auto"/>
              <w:left w:val="double" w:sz="4" w:space="0" w:color="auto"/>
              <w:bottom w:val="double" w:sz="4" w:space="0" w:color="auto"/>
              <w:right w:val="single" w:sz="8" w:space="0" w:color="auto"/>
            </w:tcBorders>
            <w:vAlign w:val="center"/>
          </w:tcPr>
          <w:p w14:paraId="69E9CC2A" w14:textId="77777777" w:rsidR="00B221BE" w:rsidRPr="00B221BE" w:rsidRDefault="00B221BE" w:rsidP="00B221BE">
            <w:pPr>
              <w:jc w:val="center"/>
              <w:rPr>
                <w:rFonts w:ascii="Verdana" w:eastAsia="Arial" w:hAnsi="Verdana" w:cs="Arial"/>
                <w:kern w:val="2"/>
                <w:sz w:val="16"/>
                <w:szCs w:val="16"/>
                <w:lang w:val="es"/>
                <w14:ligatures w14:val="standardContextual"/>
              </w:rPr>
            </w:pPr>
            <w:r w:rsidRPr="00B221BE">
              <w:rPr>
                <w:rFonts w:ascii="Verdana" w:eastAsia="Arial" w:hAnsi="Verdana" w:cs="Arial"/>
                <w:kern w:val="2"/>
                <w:sz w:val="16"/>
                <w:szCs w:val="16"/>
                <w:lang w:val="es"/>
                <w14:ligatures w14:val="standardContextual"/>
              </w:rPr>
              <w:t>De 0.75 a 0.99</w:t>
            </w:r>
          </w:p>
        </w:tc>
        <w:tc>
          <w:tcPr>
            <w:tcW w:w="1110" w:type="dxa"/>
            <w:tcBorders>
              <w:top w:val="single" w:sz="8" w:space="0" w:color="auto"/>
              <w:left w:val="single" w:sz="8" w:space="0" w:color="auto"/>
              <w:bottom w:val="double" w:sz="4" w:space="0" w:color="auto"/>
              <w:right w:val="single" w:sz="8" w:space="0" w:color="auto"/>
            </w:tcBorders>
            <w:vAlign w:val="center"/>
          </w:tcPr>
          <w:p w14:paraId="494A64B0" w14:textId="77777777" w:rsidR="00B221BE" w:rsidRPr="00B221BE" w:rsidRDefault="00B221BE" w:rsidP="00B221BE">
            <w:pPr>
              <w:jc w:val="center"/>
              <w:rPr>
                <w:rFonts w:ascii="Verdana" w:eastAsia="Arial" w:hAnsi="Verdana" w:cs="Arial"/>
                <w:kern w:val="2"/>
                <w:sz w:val="16"/>
                <w:szCs w:val="16"/>
                <w:lang w:val="es"/>
                <w14:ligatures w14:val="standardContextual"/>
              </w:rPr>
            </w:pPr>
            <w:r w:rsidRPr="00B221BE">
              <w:rPr>
                <w:rFonts w:ascii="Verdana" w:eastAsia="Arial" w:hAnsi="Verdana" w:cs="Arial"/>
                <w:kern w:val="2"/>
                <w:sz w:val="16"/>
                <w:szCs w:val="16"/>
                <w:lang w:val="es"/>
                <w14:ligatures w14:val="standardContextual"/>
              </w:rPr>
              <w:t>4</w:t>
            </w:r>
          </w:p>
        </w:tc>
        <w:tc>
          <w:tcPr>
            <w:tcW w:w="2217" w:type="dxa"/>
            <w:tcBorders>
              <w:top w:val="single" w:sz="8" w:space="0" w:color="auto"/>
              <w:left w:val="single" w:sz="8" w:space="0" w:color="auto"/>
              <w:bottom w:val="double" w:sz="4" w:space="0" w:color="auto"/>
              <w:right w:val="double" w:sz="4" w:space="0" w:color="auto"/>
            </w:tcBorders>
            <w:vAlign w:val="center"/>
          </w:tcPr>
          <w:p w14:paraId="46059053" w14:textId="77777777" w:rsidR="00B221BE" w:rsidRPr="00B221BE" w:rsidRDefault="00B221BE" w:rsidP="00B221BE">
            <w:pPr>
              <w:jc w:val="both"/>
              <w:rPr>
                <w:rFonts w:ascii="Verdana" w:eastAsia="Arial" w:hAnsi="Verdana" w:cs="Arial"/>
                <w:kern w:val="2"/>
                <w:sz w:val="16"/>
                <w:szCs w:val="16"/>
                <w:lang w:val="es"/>
                <w14:ligatures w14:val="standardContextual"/>
              </w:rPr>
            </w:pPr>
            <w:r w:rsidRPr="00B221BE">
              <w:rPr>
                <w:rFonts w:ascii="Verdana" w:eastAsia="Arial" w:hAnsi="Verdana" w:cs="Arial"/>
                <w:kern w:val="2"/>
                <w:sz w:val="16"/>
                <w:szCs w:val="16"/>
                <w:lang w:val="es"/>
                <w14:ligatures w14:val="standardContextual"/>
              </w:rPr>
              <w:t>Media aritmética baja</w:t>
            </w:r>
          </w:p>
        </w:tc>
      </w:tr>
    </w:tbl>
    <w:p w14:paraId="39AFD967" w14:textId="77777777" w:rsidR="00B221BE" w:rsidRPr="00B221BE" w:rsidRDefault="00B221BE" w:rsidP="00B221BE">
      <w:pPr>
        <w:ind w:left="720"/>
        <w:contextualSpacing/>
        <w:jc w:val="both"/>
        <w:rPr>
          <w:rFonts w:ascii="Verdana" w:eastAsia="Aptos" w:hAnsi="Verdana" w:cs="Times New Roman"/>
          <w:kern w:val="2"/>
          <w:sz w:val="16"/>
          <w:szCs w:val="16"/>
          <w:lang w:eastAsia="es-ES"/>
          <w14:ligatures w14:val="standardContextual"/>
        </w:rPr>
      </w:pPr>
    </w:p>
    <w:p w14:paraId="2A341F62" w14:textId="77777777" w:rsidR="00B221BE" w:rsidRPr="00B221BE" w:rsidRDefault="00B221BE" w:rsidP="00B221BE">
      <w:pPr>
        <w:spacing w:line="240" w:lineRule="auto"/>
        <w:ind w:left="709" w:right="709"/>
        <w:jc w:val="both"/>
        <w:rPr>
          <w:rFonts w:ascii="Verdana" w:eastAsia="Times New Roman" w:hAnsi="Verdana" w:cs="Times New Roman"/>
          <w:kern w:val="2"/>
          <w:sz w:val="20"/>
          <w:szCs w:val="20"/>
          <w:lang w:val="es-MX"/>
          <w14:ligatures w14:val="standardContextual"/>
        </w:rPr>
      </w:pPr>
      <w:r w:rsidRPr="00B221BE">
        <w:rPr>
          <w:rFonts w:ascii="Verdana" w:eastAsia="Times New Roman" w:hAnsi="Verdana" w:cs="Times New Roman"/>
          <w:kern w:val="2"/>
          <w:sz w:val="20"/>
          <w:szCs w:val="20"/>
          <w:lang w:val="es-MX"/>
          <w14:ligatures w14:val="standardContextual"/>
        </w:rPr>
        <w:t>En todos los casos se tendrá en cuenta hasta el séptimo (7°) decimal del valor obtenido como puntaje y las fórmulas se aplicarán con las propuestas que no han sido rechazadas y se encuentren válidas.</w:t>
      </w:r>
    </w:p>
    <w:p w14:paraId="2CA4B9B6" w14:textId="77777777" w:rsidR="00B221BE" w:rsidRPr="00B221BE" w:rsidRDefault="00B221BE" w:rsidP="00B221BE">
      <w:pPr>
        <w:spacing w:line="240" w:lineRule="auto"/>
        <w:ind w:left="709" w:right="709"/>
        <w:jc w:val="both"/>
        <w:rPr>
          <w:rFonts w:ascii="Verdana" w:eastAsia="Aptos" w:hAnsi="Verdana" w:cs="Times New Roman"/>
          <w:kern w:val="2"/>
          <w:sz w:val="20"/>
          <w:szCs w:val="20"/>
          <w:lang w:eastAsia="es-ES"/>
          <w14:ligatures w14:val="standardContextual"/>
        </w:rPr>
      </w:pPr>
      <w:r w:rsidRPr="00B221BE">
        <w:rPr>
          <w:rFonts w:ascii="Verdana" w:eastAsia="Times New Roman" w:hAnsi="Verdana" w:cs="Times New Roman"/>
          <w:kern w:val="2"/>
          <w:sz w:val="20"/>
          <w:szCs w:val="20"/>
          <w:highlight w:val="lightGray"/>
          <w:lang w:val="es-MX"/>
          <w14:ligatures w14:val="standardContextual"/>
        </w:rPr>
        <w:lastRenderedPageBreak/>
        <w:t>[Incluir en los procesos estructurados por lotes o por segmentos: En los Procesos de Contratación estructurados por lotes o por segmentos, la TRM definirá el método con el cual se asignará el puntaje para el primer lote o segmento a adjudicar, según el orden definido por la Entidad. Para la adjudicación del segundo lote o segmento se tomará el siguiente método de acuerdo con la tabla anterior, en orden ascendente de acuerdo con la numeración definida para los rangos, y así sucesivamente; teniendo en cuenta que se reiniciará desde el primer método en caso de agotarse el último método.]</w:t>
      </w:r>
    </w:p>
    <w:p w14:paraId="46753D0E" w14:textId="77777777" w:rsidR="00B221BE" w:rsidRPr="00B221BE" w:rsidRDefault="00B221BE" w:rsidP="00B221BE">
      <w:pPr>
        <w:spacing w:after="200" w:line="240" w:lineRule="auto"/>
        <w:ind w:left="709" w:right="709"/>
        <w:contextualSpacing/>
        <w:jc w:val="both"/>
        <w:rPr>
          <w:rFonts w:ascii="Verdana" w:eastAsia="Times New Roman" w:hAnsi="Verdana" w:cs="Times New Roman"/>
          <w:kern w:val="2"/>
          <w:sz w:val="20"/>
          <w:szCs w:val="20"/>
          <w:lang w:eastAsia="es-ES"/>
          <w14:ligatures w14:val="standardContextual"/>
        </w:rPr>
      </w:pPr>
      <w:r w:rsidRPr="00B221BE">
        <w:rPr>
          <w:rFonts w:ascii="Verdana" w:eastAsia="Arial" w:hAnsi="Verdana" w:cs="Arial"/>
          <w:kern w:val="2"/>
          <w:sz w:val="24"/>
          <w:szCs w:val="24"/>
          <w:lang w:eastAsia="es-ES"/>
          <w14:ligatures w14:val="standardContextual"/>
        </w:rPr>
        <w:t xml:space="preserve">D. </w:t>
      </w:r>
      <w:r w:rsidRPr="00B221BE">
        <w:rPr>
          <w:rFonts w:ascii="Verdana" w:eastAsia="Arial" w:hAnsi="Verdana" w:cs="Arial"/>
          <w:kern w:val="2"/>
          <w:sz w:val="20"/>
          <w:szCs w:val="20"/>
          <w:lang w:eastAsia="es-ES"/>
          <w14:ligatures w14:val="standardContextual"/>
        </w:rPr>
        <w:t xml:space="preserve">Dependiendo del método aleatorio establecido según la TRM, cada uno de los Proponentes habilitados participarán con el valor del promedio de los contratos válidos aportados, que no fueron objeto de subsanación, según la metodología descrita para cada alternativa.” </w:t>
      </w:r>
    </w:p>
    <w:p w14:paraId="1AB415EF" w14:textId="77777777" w:rsidR="00B221BE" w:rsidRPr="00B221BE" w:rsidRDefault="00B221BE" w:rsidP="00B221BE">
      <w:pPr>
        <w:autoSpaceDE w:val="0"/>
        <w:autoSpaceDN w:val="0"/>
        <w:adjustRightInd w:val="0"/>
        <w:spacing w:after="0" w:line="276" w:lineRule="auto"/>
        <w:jc w:val="both"/>
        <w:rPr>
          <w:rFonts w:ascii="Verdana" w:eastAsia="Aptos" w:hAnsi="Verdana" w:cs="ArialMT"/>
          <w14:ligatures w14:val="standardContextual"/>
        </w:rPr>
      </w:pPr>
    </w:p>
    <w:p w14:paraId="09BA2F1F" w14:textId="77777777" w:rsidR="00B221BE" w:rsidRPr="00B221BE" w:rsidRDefault="00B221BE" w:rsidP="00B221BE">
      <w:pPr>
        <w:spacing w:after="120" w:line="276" w:lineRule="auto"/>
        <w:ind w:firstLine="709"/>
        <w:jc w:val="both"/>
        <w:rPr>
          <w:rFonts w:ascii="Verdana" w:eastAsia="Aptos" w:hAnsi="Verdana" w:cs="Times New Roman"/>
          <w:kern w:val="2"/>
          <w14:ligatures w14:val="standardContextual"/>
        </w:rPr>
      </w:pPr>
      <w:r w:rsidRPr="00B221BE">
        <w:rPr>
          <w:rFonts w:ascii="Verdana" w:eastAsia="Aptos" w:hAnsi="Verdana" w:cs="Times New Roman"/>
          <w:kern w:val="2"/>
          <w14:ligatures w14:val="standardContextual"/>
        </w:rPr>
        <w:t xml:space="preserve">Como puede apreciarse, una de las principales modificaciones se realizó respecto a la etapa del proceso de contratación que servirá de referencia para conocer la TRM con la cual se determinará el método para ponderar la experiencia de los proponentes. </w:t>
      </w:r>
    </w:p>
    <w:p w14:paraId="46AE5BB4" w14:textId="77777777" w:rsidR="00B221BE" w:rsidRPr="00B221BE" w:rsidRDefault="00B221BE" w:rsidP="00B221BE">
      <w:pPr>
        <w:spacing w:after="120" w:line="276" w:lineRule="auto"/>
        <w:ind w:firstLine="709"/>
        <w:jc w:val="both"/>
        <w:rPr>
          <w:rFonts w:ascii="Verdana" w:eastAsia="Aptos" w:hAnsi="Verdana" w:cs="Times New Roman"/>
          <w:kern w:val="2"/>
          <w14:ligatures w14:val="standardContextual"/>
        </w:rPr>
      </w:pPr>
      <w:r w:rsidRPr="00B221BE">
        <w:rPr>
          <w:rFonts w:ascii="Verdana" w:eastAsia="Aptos" w:hAnsi="Verdana" w:cs="Times New Roman"/>
          <w:kern w:val="2"/>
          <w14:ligatures w14:val="standardContextual"/>
        </w:rPr>
        <w:t xml:space="preserve">En la versión anterior, el documento base establecía que “la TRM que la Entidad utilizará para determinar el método de ponderación será la que rija el segundo día hábil de la </w:t>
      </w:r>
      <w:r w:rsidRPr="00B221BE">
        <w:rPr>
          <w:rFonts w:ascii="Verdana" w:eastAsia="Aptos" w:hAnsi="Verdana" w:cs="Times New Roman"/>
          <w:b/>
          <w:bCs/>
          <w:i/>
          <w:iCs/>
          <w:kern w:val="2"/>
          <w14:ligatures w14:val="standardContextual"/>
        </w:rPr>
        <w:t>fecha de cierre</w:t>
      </w:r>
      <w:r w:rsidRPr="00B221BE">
        <w:rPr>
          <w:rFonts w:ascii="Verdana" w:eastAsia="Aptos" w:hAnsi="Verdana" w:cs="Times New Roman"/>
          <w:kern w:val="2"/>
          <w14:ligatures w14:val="standardContextual"/>
        </w:rPr>
        <w:t xml:space="preserve">”; por su parte, en la versión actual se determinó que “la TRM que la Entidad utilizará para determinar el método de ponderación será la que rija el segundo día hábil </w:t>
      </w:r>
      <w:r w:rsidRPr="00B221BE">
        <w:rPr>
          <w:rFonts w:ascii="Verdana" w:eastAsia="Aptos" w:hAnsi="Verdana" w:cs="Times New Roman"/>
          <w:b/>
          <w:bCs/>
          <w:kern w:val="2"/>
          <w14:ligatures w14:val="standardContextual"/>
        </w:rPr>
        <w:t>después de finalizado el periodo de traslado del informe de evaluación</w:t>
      </w:r>
      <w:r w:rsidRPr="00B221BE">
        <w:rPr>
          <w:rFonts w:ascii="Verdana" w:eastAsia="Aptos" w:hAnsi="Verdana" w:cs="Times New Roman"/>
          <w:kern w:val="2"/>
          <w14:ligatures w14:val="standardContextual"/>
        </w:rPr>
        <w:t>”.</w:t>
      </w:r>
    </w:p>
    <w:p w14:paraId="2A00DF02" w14:textId="77777777" w:rsidR="00B221BE" w:rsidRPr="00B221BE" w:rsidRDefault="00B221BE" w:rsidP="00B221BE">
      <w:pPr>
        <w:spacing w:after="120" w:line="276" w:lineRule="auto"/>
        <w:ind w:firstLine="709"/>
        <w:jc w:val="both"/>
        <w:rPr>
          <w:rFonts w:ascii="Verdana" w:eastAsia="Aptos" w:hAnsi="Verdana" w:cs="Times New Roman"/>
          <w:kern w:val="2"/>
          <w14:ligatures w14:val="standardContextual"/>
        </w:rPr>
      </w:pPr>
      <w:r w:rsidRPr="00B221BE">
        <w:rPr>
          <w:rFonts w:ascii="Verdana" w:eastAsia="Aptos" w:hAnsi="Verdana" w:cs="Times New Roman"/>
          <w:kern w:val="2"/>
          <w14:ligatures w14:val="standardContextual"/>
        </w:rPr>
        <w:t>La incorporación de esta y otras precisiones se realizó con el objetivo de conocer la TRM que definirá el método de ponderación con posterioridad al desarrollo de cualquier proceso previo desarrollado en la etapa de subsanación que pueda incidir en la ponderación de la experiencia, como podía ocurrir en la anterior versión de los documentos tipo.</w:t>
      </w:r>
    </w:p>
    <w:p w14:paraId="7E7828AA" w14:textId="77777777" w:rsidR="00B221BE" w:rsidRPr="00B221BE" w:rsidRDefault="00B221BE" w:rsidP="00B221BE">
      <w:pPr>
        <w:spacing w:after="120" w:line="276" w:lineRule="auto"/>
        <w:ind w:firstLine="709"/>
        <w:jc w:val="both"/>
        <w:rPr>
          <w:rFonts w:ascii="Verdana" w:eastAsia="Aptos" w:hAnsi="Verdana" w:cs="Times New Roman"/>
          <w:kern w:val="2"/>
          <w14:ligatures w14:val="standardContextual"/>
        </w:rPr>
      </w:pPr>
      <w:r w:rsidRPr="00B221BE">
        <w:rPr>
          <w:rFonts w:ascii="Verdana" w:eastAsia="Aptos" w:hAnsi="Verdana" w:cs="Times New Roman"/>
          <w:kern w:val="2"/>
          <w14:ligatures w14:val="standardContextual"/>
        </w:rPr>
        <w:t>En este sentido, debe resaltarse que este cambio se originó como resultado de observaciones remitidas por entidades contratantes y entidades técnicas especializadas. Así mismo, es clave resaltar que esta modificación permitirá un ejercicio más transparente de ponderación de puntaje por concepto de experiencia, evitando que se pueda incidir de manera directa en los potenciales resultados al conocer previamente el método de ponderación que se utilizará en el proceso.</w:t>
      </w:r>
    </w:p>
    <w:p w14:paraId="62BCF2E6" w14:textId="77777777" w:rsidR="00B221BE" w:rsidRPr="00B221BE" w:rsidRDefault="00B221BE" w:rsidP="00B221BE">
      <w:pPr>
        <w:spacing w:after="120" w:line="276" w:lineRule="auto"/>
        <w:ind w:firstLine="709"/>
        <w:jc w:val="both"/>
        <w:rPr>
          <w:rFonts w:ascii="Verdana" w:eastAsia="Aptos" w:hAnsi="Verdana" w:cs="Times New Roman"/>
          <w:kern w:val="2"/>
          <w14:ligatures w14:val="standardContextual"/>
        </w:rPr>
      </w:pPr>
      <w:r w:rsidRPr="00B221BE">
        <w:rPr>
          <w:rFonts w:ascii="Verdana" w:eastAsia="Aptos" w:hAnsi="Verdana" w:cs="Times New Roman"/>
          <w:kern w:val="2"/>
          <w14:ligatures w14:val="standardContextual"/>
        </w:rPr>
        <w:t xml:space="preserve">A su turno, es importante señalar que los métodos de ponderación incluidos están pensados para ponderar en mayor medida las propuestas que se </w:t>
      </w:r>
      <w:r w:rsidRPr="00B221BE">
        <w:rPr>
          <w:rFonts w:ascii="Verdana" w:eastAsia="Aptos" w:hAnsi="Verdana" w:cs="Times New Roman"/>
          <w:kern w:val="2"/>
          <w14:ligatures w14:val="standardContextual"/>
        </w:rPr>
        <w:lastRenderedPageBreak/>
        <w:t xml:space="preserve">encuentren ubicadas en la centralidad de la muestra i) mediana con valor absoluto, </w:t>
      </w:r>
      <w:proofErr w:type="spellStart"/>
      <w:r w:rsidRPr="00B221BE">
        <w:rPr>
          <w:rFonts w:ascii="Verdana" w:eastAsia="Aptos" w:hAnsi="Verdana" w:cs="Times New Roman"/>
          <w:kern w:val="2"/>
          <w14:ligatures w14:val="standardContextual"/>
        </w:rPr>
        <w:t>ii</w:t>
      </w:r>
      <w:proofErr w:type="spellEnd"/>
      <w:r w:rsidRPr="00B221BE">
        <w:rPr>
          <w:rFonts w:ascii="Verdana" w:eastAsia="Aptos" w:hAnsi="Verdana" w:cs="Times New Roman"/>
          <w:kern w:val="2"/>
          <w14:ligatures w14:val="standardContextual"/>
        </w:rPr>
        <w:t xml:space="preserve">) media geométrica, </w:t>
      </w:r>
      <w:proofErr w:type="spellStart"/>
      <w:r w:rsidRPr="00B221BE">
        <w:rPr>
          <w:rFonts w:ascii="Verdana" w:eastAsia="Aptos" w:hAnsi="Verdana" w:cs="Times New Roman"/>
          <w:kern w:val="2"/>
          <w14:ligatures w14:val="standardContextual"/>
        </w:rPr>
        <w:t>iii</w:t>
      </w:r>
      <w:proofErr w:type="spellEnd"/>
      <w:r w:rsidRPr="00B221BE">
        <w:rPr>
          <w:rFonts w:ascii="Verdana" w:eastAsia="Aptos" w:hAnsi="Verdana" w:cs="Times New Roman"/>
          <w:kern w:val="2"/>
          <w14:ligatures w14:val="standardContextual"/>
        </w:rPr>
        <w:t xml:space="preserve">) media aritmética alta y </w:t>
      </w:r>
      <w:proofErr w:type="spellStart"/>
      <w:r w:rsidRPr="00B221BE">
        <w:rPr>
          <w:rFonts w:ascii="Verdana" w:eastAsia="Aptos" w:hAnsi="Verdana" w:cs="Times New Roman"/>
          <w:kern w:val="2"/>
          <w14:ligatures w14:val="standardContextual"/>
        </w:rPr>
        <w:t>iv</w:t>
      </w:r>
      <w:proofErr w:type="spellEnd"/>
      <w:r w:rsidRPr="00B221BE">
        <w:rPr>
          <w:rFonts w:ascii="Verdana" w:eastAsia="Aptos" w:hAnsi="Verdana" w:cs="Times New Roman"/>
          <w:kern w:val="2"/>
          <w14:ligatures w14:val="standardContextual"/>
        </w:rPr>
        <w:t xml:space="preserve">) media aritmética baja. </w:t>
      </w:r>
    </w:p>
    <w:p w14:paraId="05BF4630" w14:textId="77777777" w:rsidR="00B221BE" w:rsidRPr="00B221BE" w:rsidRDefault="00B221BE" w:rsidP="00B221BE">
      <w:pPr>
        <w:spacing w:after="120" w:line="276" w:lineRule="auto"/>
        <w:ind w:firstLine="709"/>
        <w:jc w:val="both"/>
        <w:rPr>
          <w:rFonts w:ascii="Verdana" w:eastAsia="Aptos" w:hAnsi="Verdana" w:cs="Times New Roman"/>
          <w:kern w:val="2"/>
          <w14:ligatures w14:val="standardContextual"/>
        </w:rPr>
      </w:pPr>
      <w:r w:rsidRPr="00B221BE">
        <w:rPr>
          <w:rFonts w:ascii="Verdana" w:eastAsia="Aptos" w:hAnsi="Verdana" w:cs="Times New Roman"/>
          <w:kern w:val="2"/>
          <w14:ligatures w14:val="standardContextual"/>
        </w:rPr>
        <w:t xml:space="preserve">Debe precisarse que en este escenario (sumado a las modificaciones realizadas para determinar el método de ponderación), la asignación de </w:t>
      </w:r>
      <w:r w:rsidRPr="00B221BE">
        <w:rPr>
          <w:rFonts w:ascii="Verdana" w:eastAsia="Aptos" w:hAnsi="Verdana" w:cs="Times New Roman"/>
          <w:b/>
          <w:bCs/>
          <w:kern w:val="2"/>
          <w14:ligatures w14:val="standardContextual"/>
        </w:rPr>
        <w:t>0,0</w:t>
      </w:r>
      <w:r w:rsidRPr="00B221BE">
        <w:rPr>
          <w:rFonts w:ascii="Verdana" w:eastAsia="Aptos" w:hAnsi="Verdana" w:cs="Times New Roman"/>
          <w:kern w:val="2"/>
          <w14:ligatures w14:val="standardContextual"/>
        </w:rPr>
        <w:t xml:space="preserve"> puntos a un proponente cuando el resultado de la formula sea negativo, será resultado de la dispersión que una propuesta &lt;&lt;</w:t>
      </w:r>
      <w:r w:rsidRPr="00B221BE">
        <w:rPr>
          <w:rFonts w:ascii="Verdana" w:eastAsia="Aptos" w:hAnsi="Verdana" w:cs="Times New Roman"/>
          <w:b/>
          <w:bCs/>
          <w:kern w:val="2"/>
          <w14:ligatures w14:val="standardContextual"/>
        </w:rPr>
        <w:t>X</w:t>
      </w:r>
      <w:r w:rsidRPr="00B221BE">
        <w:rPr>
          <w:rFonts w:ascii="Verdana" w:eastAsia="Aptos" w:hAnsi="Verdana" w:cs="Times New Roman"/>
          <w:kern w:val="2"/>
          <w14:ligatures w14:val="standardContextual"/>
        </w:rPr>
        <w:t>&gt;&gt; tenga respecto a la centralidad de la medida de tendencia central.</w:t>
      </w:r>
    </w:p>
    <w:p w14:paraId="15F450BE" w14:textId="77777777" w:rsidR="00B221BE" w:rsidRPr="00B221BE" w:rsidRDefault="00B221BE" w:rsidP="00B221BE">
      <w:pPr>
        <w:spacing w:after="120" w:line="276" w:lineRule="auto"/>
        <w:ind w:firstLine="709"/>
        <w:jc w:val="both"/>
        <w:rPr>
          <w:rFonts w:ascii="Verdana" w:eastAsia="Aptos" w:hAnsi="Verdana" w:cs="Times New Roman"/>
          <w:kern w:val="2"/>
          <w14:ligatures w14:val="standardContextual"/>
        </w:rPr>
      </w:pPr>
      <w:r w:rsidRPr="00B221BE">
        <w:rPr>
          <w:rFonts w:ascii="Verdana" w:eastAsia="Aptos" w:hAnsi="Verdana" w:cs="Times New Roman"/>
          <w:kern w:val="2"/>
          <w14:ligatures w14:val="standardContextual"/>
        </w:rPr>
        <w:t>Conforme a lo anterior, esta Agencia considera que los problemas e inconsistencias que posiblemente se presentaban en la versión anterior del documento tipo respecto a los potenciales problemas de manipulación de los resultados de los métodos de ponderación, se subsanaron al modificar la etapa del proceso de contratación que servirá de referencia para conocer la TRM con la cual se determinará el método para ponderar la experiencia de los proponentes, lo cual dificultará a los proponentes realizar o no ajustes, modificaciones o subsanaciones con posterioridad a conocer el método de ponderación con el cual se evaluarán las ofertas.</w:t>
      </w:r>
    </w:p>
    <w:p w14:paraId="58CA506E" w14:textId="77777777" w:rsidR="00B221BE" w:rsidRPr="00B221BE" w:rsidRDefault="00B221BE" w:rsidP="00B221BE">
      <w:pPr>
        <w:spacing w:after="120" w:line="276" w:lineRule="auto"/>
        <w:ind w:firstLine="709"/>
        <w:jc w:val="both"/>
        <w:rPr>
          <w:rFonts w:ascii="Verdana" w:eastAsia="Aptos" w:hAnsi="Verdana" w:cs="Times New Roman"/>
          <w:kern w:val="2"/>
          <w14:ligatures w14:val="standardContextual"/>
        </w:rPr>
      </w:pPr>
      <w:r w:rsidRPr="00B221BE">
        <w:rPr>
          <w:rFonts w:ascii="Verdana" w:eastAsia="Aptos" w:hAnsi="Verdana" w:cs="Times New Roman"/>
          <w:kern w:val="2"/>
          <w14:ligatures w14:val="standardContextual"/>
        </w:rPr>
        <w:t xml:space="preserve">En este mismo sentido, es importante resaltar la inclusión del método de ponderación </w:t>
      </w:r>
      <w:r w:rsidRPr="00B221BE">
        <w:rPr>
          <w:rFonts w:ascii="Verdana" w:eastAsia="Aptos" w:hAnsi="Verdana" w:cs="Times New Roman"/>
          <w:b/>
          <w:bCs/>
          <w:kern w:val="2"/>
          <w14:ligatures w14:val="standardContextual"/>
        </w:rPr>
        <w:t>“media aritmética baja”,</w:t>
      </w:r>
      <w:r w:rsidRPr="00B221BE">
        <w:rPr>
          <w:rFonts w:ascii="Verdana" w:eastAsia="Aptos" w:hAnsi="Verdana" w:cs="Times New Roman"/>
          <w:kern w:val="2"/>
          <w14:ligatures w14:val="standardContextual"/>
        </w:rPr>
        <w:t xml:space="preserve"> el cual supone un mecanismo para ponderar en mayor medida la experiencia de los proponentes que podrían contar con menor experiencia en el marco del proceso de asignación de puntaje. </w:t>
      </w:r>
    </w:p>
    <w:p w14:paraId="647C69C5" w14:textId="77777777" w:rsidR="00B221BE" w:rsidRPr="00B221BE" w:rsidRDefault="00B221BE" w:rsidP="00B221BE">
      <w:pPr>
        <w:spacing w:after="120" w:line="276" w:lineRule="auto"/>
        <w:ind w:firstLine="709"/>
        <w:jc w:val="both"/>
        <w:rPr>
          <w:rFonts w:ascii="Verdana" w:eastAsia="Aptos" w:hAnsi="Verdana" w:cs="Times New Roman"/>
          <w:kern w:val="2"/>
          <w14:ligatures w14:val="standardContextual"/>
        </w:rPr>
      </w:pPr>
      <w:r w:rsidRPr="00B221BE">
        <w:rPr>
          <w:rFonts w:ascii="Verdana" w:eastAsia="Aptos" w:hAnsi="Verdana" w:cs="Times New Roman"/>
          <w:kern w:val="2"/>
          <w14:ligatures w14:val="standardContextual"/>
        </w:rPr>
        <w:t>Por otra parte, con referencia al caso planteado por el peticionario, se observa que en el evento en que los proponentes presenten propuestas articuladas a la expectativa de una determinada TRM (</w:t>
      </w:r>
      <w:r w:rsidRPr="00B221BE">
        <w:rPr>
          <w:rFonts w:ascii="Verdana" w:eastAsia="Aptos" w:hAnsi="Verdana" w:cs="Times New Roman"/>
          <w:i/>
          <w:iCs/>
          <w:kern w:val="2"/>
          <w14:ligatures w14:val="standardContextual"/>
        </w:rPr>
        <w:t xml:space="preserve">media aritmética alta </w:t>
      </w:r>
      <w:r w:rsidRPr="00B221BE">
        <w:rPr>
          <w:rFonts w:ascii="Verdana" w:eastAsia="Aptos" w:hAnsi="Verdana" w:cs="Times New Roman"/>
          <w:kern w:val="2"/>
          <w14:ligatures w14:val="standardContextual"/>
        </w:rPr>
        <w:t>en el ejemplo planteado) con la cual ponderar la experiencia, se enfrentan a la situación planteada por la nueva regla del documento tipo, toda vez que, el hecho de seleccionar la TRM con posterioridad a la finalización del periodo de traslado del informe de evaluación limita la capacidad de los proponentes de presentar su propuesta de acuerdo con la TRM que pueda beneficiar o ponderar, en mayor medida, la oferta presentada por este o aquellos con quienes presentó de forma articulada la propuesta. Este análisis parte del planteamiento realizado por el peticionario en donde evidencia irregularidades en las ofertas presentadas por algunos proponentes en el marco del proceso de selección referenciado.</w:t>
      </w:r>
    </w:p>
    <w:p w14:paraId="13F2944B" w14:textId="77777777" w:rsidR="00B221BE" w:rsidRPr="00B221BE" w:rsidRDefault="00B221BE" w:rsidP="00B221BE">
      <w:pPr>
        <w:widowControl w:val="0"/>
        <w:tabs>
          <w:tab w:val="left" w:pos="981"/>
          <w:tab w:val="left" w:pos="1676"/>
        </w:tabs>
        <w:autoSpaceDE w:val="0"/>
        <w:autoSpaceDN w:val="0"/>
        <w:spacing w:after="0" w:line="276" w:lineRule="auto"/>
        <w:ind w:firstLine="709"/>
        <w:jc w:val="both"/>
        <w:rPr>
          <w:rFonts w:ascii="Verdana" w:eastAsia="Aptos" w:hAnsi="Verdana" w:cs="Times New Roman"/>
          <w:kern w:val="2"/>
          <w14:ligatures w14:val="standardContextual"/>
        </w:rPr>
      </w:pPr>
      <w:r w:rsidRPr="00B221BE">
        <w:rPr>
          <w:rFonts w:ascii="Verdana" w:eastAsia="Aptos" w:hAnsi="Verdana" w:cs="Times New Roman"/>
          <w:kern w:val="2"/>
          <w14:ligatures w14:val="standardContextual"/>
        </w:rPr>
        <w:t xml:space="preserve">Finalmente, teniendo en cuenta el contenido de su solicitud, debe señalarse que, los ciudadanos en general, así como los interesados o los </w:t>
      </w:r>
      <w:r w:rsidRPr="00B221BE">
        <w:rPr>
          <w:rFonts w:ascii="Verdana" w:eastAsia="Aptos" w:hAnsi="Verdana" w:cs="Times New Roman"/>
          <w:kern w:val="2"/>
          <w14:ligatures w14:val="standardContextual"/>
        </w:rPr>
        <w:lastRenderedPageBreak/>
        <w:t>participantes en los procesos de contratación estatal, se encuentran habilitados para acudir ante las autoridades de control o judicial competentes, como la Procuraduría General de la Nación, Contraloría General de la República y/o Fiscalía General de la Nación, para “denunciar” aquellas situaciones particulares y concretas, cuando adviertan la comisión de presuntas irregularidades de las entidades públicas en desarrollo de su actividad contractual con documentos tipo. Esto con el fin de que sean aquellas autoridades quienes adelanten las investigaciones a que haya lugar y, si es del caso, establezcan la responsabilidad derivada de las infracciones al ordenamiento jurídico y contenido de los documentos tipo.</w:t>
      </w:r>
    </w:p>
    <w:p w14:paraId="5C2FC009" w14:textId="77777777" w:rsidR="00B221BE" w:rsidRPr="00B221BE" w:rsidRDefault="00B221BE" w:rsidP="00B221BE">
      <w:pPr>
        <w:widowControl w:val="0"/>
        <w:tabs>
          <w:tab w:val="left" w:pos="981"/>
          <w:tab w:val="left" w:pos="1676"/>
        </w:tabs>
        <w:autoSpaceDE w:val="0"/>
        <w:autoSpaceDN w:val="0"/>
        <w:spacing w:after="0" w:line="276" w:lineRule="auto"/>
        <w:ind w:firstLine="709"/>
        <w:jc w:val="both"/>
        <w:rPr>
          <w:rFonts w:ascii="Verdana" w:eastAsia="Aptos" w:hAnsi="Verdana" w:cs="Times New Roman"/>
          <w:kern w:val="2"/>
          <w14:ligatures w14:val="standardContextual"/>
        </w:rPr>
      </w:pPr>
    </w:p>
    <w:p w14:paraId="2EE6FB5A" w14:textId="77777777" w:rsidR="00B221BE" w:rsidRPr="00B221BE" w:rsidRDefault="00B221BE" w:rsidP="00B221BE">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B221BE">
        <w:rPr>
          <w:rFonts w:ascii="Verdana" w:eastAsia="Century Gothic" w:hAnsi="Verdana" w:cs="Century Gothic"/>
          <w:b/>
          <w:bCs/>
          <w:lang w:val="es-ES"/>
        </w:rPr>
        <w:t>Referencias normativas, jurisprudenciales y otras fuentes:</w:t>
      </w:r>
    </w:p>
    <w:p w14:paraId="6E457C9E" w14:textId="77777777" w:rsidR="00B221BE" w:rsidRPr="00B221BE" w:rsidRDefault="00B221BE" w:rsidP="00B221BE">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B221BE" w:rsidRPr="00B221BE" w14:paraId="41507718" w14:textId="77777777" w:rsidTr="005A356F">
        <w:trPr>
          <w:trHeight w:val="870"/>
        </w:trPr>
        <w:tc>
          <w:tcPr>
            <w:tcW w:w="8647" w:type="dxa"/>
          </w:tcPr>
          <w:p w14:paraId="7ACA99D4" w14:textId="77777777" w:rsidR="00B221BE" w:rsidRPr="00B221BE" w:rsidRDefault="00B221BE" w:rsidP="00B221BE">
            <w:pPr>
              <w:widowControl w:val="0"/>
              <w:numPr>
                <w:ilvl w:val="0"/>
                <w:numId w:val="17"/>
              </w:numPr>
              <w:autoSpaceDE w:val="0"/>
              <w:autoSpaceDN w:val="0"/>
              <w:spacing w:after="120" w:line="276" w:lineRule="auto"/>
              <w:jc w:val="both"/>
              <w:rPr>
                <w:rFonts w:ascii="Verdana" w:eastAsia="Calibri" w:hAnsi="Verdana" w:cs="Arial"/>
              </w:rPr>
            </w:pPr>
            <w:r w:rsidRPr="00B221BE">
              <w:rPr>
                <w:rFonts w:ascii="Verdana" w:eastAsia="Calibri" w:hAnsi="Verdana" w:cs="Arial"/>
              </w:rPr>
              <w:t>Ley 2022 de 2020, artículo 1.</w:t>
            </w:r>
          </w:p>
          <w:p w14:paraId="497C5187" w14:textId="77777777" w:rsidR="00B221BE" w:rsidRPr="00B221BE" w:rsidRDefault="00B221BE" w:rsidP="00B221BE">
            <w:pPr>
              <w:widowControl w:val="0"/>
              <w:numPr>
                <w:ilvl w:val="0"/>
                <w:numId w:val="17"/>
              </w:numPr>
              <w:autoSpaceDE w:val="0"/>
              <w:autoSpaceDN w:val="0"/>
              <w:spacing w:after="120" w:line="276" w:lineRule="auto"/>
              <w:jc w:val="both"/>
              <w:rPr>
                <w:rFonts w:ascii="Verdana" w:eastAsia="Calibri" w:hAnsi="Verdana" w:cs="Arial"/>
              </w:rPr>
            </w:pPr>
            <w:r w:rsidRPr="00B221BE">
              <w:rPr>
                <w:rFonts w:ascii="Verdana" w:eastAsia="Aptos" w:hAnsi="Verdana" w:cs="Arial"/>
                <w:spacing w:val="2"/>
                <w:lang w:eastAsia="es-CO"/>
              </w:rPr>
              <w:t xml:space="preserve">Documentos Tipo expedidos por la Agencia Nacional de Contratación Pública – Colombia Compra Eficiente. Disponibles en: </w:t>
            </w:r>
            <w:hyperlink r:id="rId12" w:history="1">
              <w:r w:rsidRPr="00B221BE">
                <w:rPr>
                  <w:rFonts w:ascii="Verdana" w:eastAsia="Aptos" w:hAnsi="Verdana" w:cs="Arial"/>
                  <w:color w:val="0000FF"/>
                  <w:spacing w:val="2"/>
                  <w:u w:val="single"/>
                  <w:lang w:eastAsia="es-CO"/>
                </w:rPr>
                <w:t>https://www.colombiacompra.gov.co/normativa-y-relatoria/documentos-tipo</w:t>
              </w:r>
            </w:hyperlink>
            <w:r w:rsidRPr="00B221BE">
              <w:rPr>
                <w:rFonts w:ascii="Verdana" w:eastAsia="Aptos" w:hAnsi="Verdana" w:cs="Arial"/>
                <w:spacing w:val="2"/>
                <w:lang w:eastAsia="es-CO"/>
              </w:rPr>
              <w:t xml:space="preserve">. </w:t>
            </w:r>
          </w:p>
        </w:tc>
      </w:tr>
    </w:tbl>
    <w:p w14:paraId="46F59F65" w14:textId="77777777" w:rsidR="00B221BE" w:rsidRPr="00B221BE" w:rsidRDefault="00B221BE" w:rsidP="00B221BE">
      <w:pPr>
        <w:widowControl w:val="0"/>
        <w:autoSpaceDE w:val="0"/>
        <w:autoSpaceDN w:val="0"/>
        <w:spacing w:after="0" w:line="276" w:lineRule="auto"/>
        <w:jc w:val="both"/>
        <w:rPr>
          <w:rFonts w:ascii="Verdana" w:eastAsia="Calibri" w:hAnsi="Verdana" w:cs="Arial"/>
        </w:rPr>
      </w:pPr>
    </w:p>
    <w:p w14:paraId="57F0D110" w14:textId="77777777" w:rsidR="00B221BE" w:rsidRPr="00B221BE" w:rsidRDefault="00B221BE" w:rsidP="00B221BE">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B221BE">
        <w:rPr>
          <w:rFonts w:ascii="Verdana" w:eastAsia="Century Gothic" w:hAnsi="Verdana" w:cs="Century Gothic"/>
          <w:b/>
          <w:bCs/>
          <w:lang w:val="es-ES"/>
        </w:rPr>
        <w:t>Doctrina de la Agencia Nacional de Contratación Pública:</w:t>
      </w:r>
    </w:p>
    <w:p w14:paraId="4C9137D1" w14:textId="77777777" w:rsidR="00B221BE" w:rsidRPr="00B221BE" w:rsidRDefault="00B221BE" w:rsidP="00B221BE">
      <w:pPr>
        <w:widowControl w:val="0"/>
        <w:autoSpaceDE w:val="0"/>
        <w:autoSpaceDN w:val="0"/>
        <w:spacing w:after="0" w:line="276" w:lineRule="auto"/>
        <w:jc w:val="both"/>
        <w:rPr>
          <w:rFonts w:ascii="Verdana" w:eastAsia="Calibri" w:hAnsi="Verdana" w:cs="Arial"/>
        </w:rPr>
      </w:pPr>
    </w:p>
    <w:p w14:paraId="7A172111" w14:textId="77777777" w:rsidR="00B221BE" w:rsidRPr="00B221BE" w:rsidRDefault="00B221BE" w:rsidP="00B221BE">
      <w:pPr>
        <w:widowControl w:val="0"/>
        <w:autoSpaceDE w:val="0"/>
        <w:autoSpaceDN w:val="0"/>
        <w:spacing w:after="0" w:line="276" w:lineRule="auto"/>
        <w:jc w:val="both"/>
        <w:rPr>
          <w:rFonts w:ascii="Verdana" w:eastAsia="Calibri" w:hAnsi="Verdana" w:cs="Arial"/>
          <w:shd w:val="clear" w:color="auto" w:fill="FFFFFF"/>
          <w:lang w:val="es-ES"/>
        </w:rPr>
      </w:pPr>
      <w:r w:rsidRPr="00B221BE">
        <w:rPr>
          <w:rFonts w:ascii="Verdana" w:eastAsia="Calibri" w:hAnsi="Verdana" w:cs="Arial"/>
          <w:shd w:val="clear" w:color="auto" w:fill="FFFFFF"/>
          <w:lang w:val="es-ES"/>
        </w:rPr>
        <w:t xml:space="preserve">La Agencia Nacional de Contratación Pública – Colombia Compra Eficiente se pronunció sobre los métodos de ponderación en los documentos tipo, en los </w:t>
      </w:r>
      <w:r w:rsidRPr="00B221BE">
        <w:rPr>
          <w:rFonts w:ascii="Verdana" w:eastAsia="Calibri" w:hAnsi="Verdana" w:cs="Arial"/>
          <w:kern w:val="2"/>
          <w:shd w:val="clear" w:color="auto" w:fill="FFFFFF"/>
          <w:lang w:val="es-ES_tradnl"/>
          <w14:ligatures w14:val="standardContextual"/>
        </w:rPr>
        <w:t>conceptos C-042 del 3 de marzo de 2021, C-174 del 26 de abril de 2021, C-402 y C-425 de 19 de agosto de 2021, C-209 del 02 de marzo de 2022, 20240322004912 del 22 de marzo de 2024, C-546 del 11 de octubre de 2024, C-555 del 25 de octubre de 2024, C-843 del 26 de diciembre de 2024, C-164 del 20 de marzo de 2025 y C-497 del 5 de junio de 2025</w:t>
      </w:r>
      <w:r w:rsidRPr="00B221BE">
        <w:rPr>
          <w:rFonts w:ascii="Verdana" w:eastAsia="Calibri" w:hAnsi="Verdana" w:cs="Arial"/>
          <w:shd w:val="clear" w:color="auto" w:fill="FFFFFF"/>
          <w:lang w:val="es-ES"/>
        </w:rPr>
        <w:t xml:space="preserve">. </w:t>
      </w:r>
      <w:r w:rsidRPr="00B221BE">
        <w:rPr>
          <w:rFonts w:ascii="Verdana" w:eastAsia="Times New Roman" w:hAnsi="Verdana" w:cs="Arial"/>
          <w:shd w:val="clear" w:color="auto" w:fill="FFFFFF"/>
          <w:lang w:val="es-ES"/>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3" w:tgtFrame="_blank" w:tooltip="Dirección URL original: https://relatoria.colombiacompra.gov.co/. Haga clic o pulse si confía en este vínculo." w:history="1">
        <w:r w:rsidRPr="00B221BE">
          <w:rPr>
            <w:rFonts w:ascii="Verdana" w:eastAsia="Times New Roman" w:hAnsi="Verdana" w:cs="Arial"/>
            <w:shd w:val="clear" w:color="auto" w:fill="FFFFFF"/>
            <w:lang w:val="es-ES"/>
          </w:rPr>
          <w:t>https://relatoria.colombiacompra.gov.co/</w:t>
        </w:r>
      </w:hyperlink>
      <w:r w:rsidRPr="00B221BE">
        <w:rPr>
          <w:rFonts w:ascii="Verdana" w:eastAsia="Times New Roman" w:hAnsi="Verdana" w:cs="Arial"/>
          <w:shd w:val="clear" w:color="auto" w:fill="FFFFFF"/>
          <w:lang w:val="es-ES"/>
        </w:rPr>
        <w:t>.</w:t>
      </w:r>
    </w:p>
    <w:p w14:paraId="645C88B4" w14:textId="77777777" w:rsidR="00B221BE" w:rsidRPr="00B221BE" w:rsidRDefault="00B221BE" w:rsidP="00B221BE">
      <w:pPr>
        <w:spacing w:after="0" w:line="240" w:lineRule="auto"/>
        <w:jc w:val="both"/>
        <w:rPr>
          <w:rFonts w:ascii="Verdana" w:eastAsia="Calibri" w:hAnsi="Verdana" w:cs="Arial"/>
          <w:color w:val="000000"/>
          <w:shd w:val="clear" w:color="auto" w:fill="FFFFFF"/>
        </w:rPr>
      </w:pPr>
    </w:p>
    <w:p w14:paraId="4CF54139" w14:textId="77777777" w:rsidR="00B221BE" w:rsidRPr="00B221BE" w:rsidRDefault="00B221BE" w:rsidP="00B221BE">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B221BE">
        <w:rPr>
          <w:rFonts w:ascii="Verdana" w:eastAsia="Calibri" w:hAnsi="Verdana" w:cs="Arial"/>
          <w:kern w:val="2"/>
          <w:shd w:val="clear" w:color="auto" w:fill="FFFFFF"/>
          <w:lang w:val="es-ES_tradnl"/>
          <w14:ligatures w14:val="standardContextual"/>
        </w:rPr>
        <w:t>La</w:t>
      </w:r>
      <w:r w:rsidRPr="00B221BE">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B221BE">
        <w:rPr>
          <w:rFonts w:ascii="Verdana" w:eastAsia="Calibri" w:hAnsi="Verdana" w:cs="Arial"/>
          <w:kern w:val="2"/>
          <w:shd w:val="clear" w:color="auto" w:fill="FFFFFF"/>
          <w:lang w:val="es-ES_tradnl"/>
          <w14:ligatures w14:val="standardContextual"/>
        </w:rPr>
        <w:t xml:space="preserve"> recomienda a todas las entidades públicas, independientemente de su </w:t>
      </w:r>
      <w:r w:rsidRPr="00B221BE">
        <w:rPr>
          <w:rFonts w:ascii="Verdana" w:eastAsia="Calibri" w:hAnsi="Verdana" w:cs="Arial"/>
          <w:kern w:val="2"/>
          <w:shd w:val="clear" w:color="auto" w:fill="FFFFFF"/>
          <w:lang w:val="es-ES_tradnl"/>
          <w14:ligatures w14:val="standardContextual"/>
        </w:rPr>
        <w:lastRenderedPageBreak/>
        <w:t>naturaleza, que gestionan recursos públicos, la aplicación de los </w:t>
      </w:r>
      <w:r w:rsidRPr="00B221BE">
        <w:rPr>
          <w:rFonts w:ascii="Verdana" w:eastAsia="Calibri" w:hAnsi="Verdana" w:cs="Arial"/>
          <w:b/>
          <w:bCs/>
          <w:kern w:val="2"/>
          <w:shd w:val="clear" w:color="auto" w:fill="FFFFFF"/>
          <w:lang w:val="es-ES_tradnl"/>
          <w14:ligatures w14:val="standardContextual"/>
        </w:rPr>
        <w:t>Documentos Tipo</w:t>
      </w:r>
      <w:r w:rsidRPr="00B221BE">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B221BE">
        <w:rPr>
          <w:rFonts w:ascii="Verdana" w:eastAsia="Calibri" w:hAnsi="Verdana" w:cs="Arial"/>
          <w:b/>
          <w:bCs/>
          <w:kern w:val="2"/>
          <w:shd w:val="clear" w:color="auto" w:fill="FFFFFF"/>
          <w:lang w:val="es-ES_tradnl"/>
          <w14:ligatures w14:val="standardContextual"/>
        </w:rPr>
        <w:t>transparencia</w:t>
      </w:r>
      <w:r w:rsidRPr="00B221BE">
        <w:rPr>
          <w:rFonts w:ascii="Verdana" w:eastAsia="Calibri" w:hAnsi="Verdana" w:cs="Arial"/>
          <w:kern w:val="2"/>
          <w:shd w:val="clear" w:color="auto" w:fill="FFFFFF"/>
          <w:lang w:val="es-ES_tradnl"/>
          <w14:ligatures w14:val="standardContextual"/>
        </w:rPr>
        <w:t> y promover un proceso de </w:t>
      </w:r>
      <w:r w:rsidRPr="00B221BE">
        <w:rPr>
          <w:rFonts w:ascii="Verdana" w:eastAsia="Calibri" w:hAnsi="Verdana" w:cs="Arial"/>
          <w:b/>
          <w:bCs/>
          <w:kern w:val="2"/>
          <w:shd w:val="clear" w:color="auto" w:fill="FFFFFF"/>
          <w:lang w:val="es-ES_tradnl"/>
          <w14:ligatures w14:val="standardContextual"/>
        </w:rPr>
        <w:t>selección objetiva</w:t>
      </w:r>
      <w:r w:rsidRPr="00B221BE">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77D40DC2" w14:textId="77777777" w:rsidR="00B221BE" w:rsidRPr="00B221BE" w:rsidRDefault="00B221BE" w:rsidP="00B221BE">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1D20B474" w14:textId="77777777" w:rsidR="00B221BE" w:rsidRPr="00B221BE" w:rsidRDefault="00B221BE" w:rsidP="00B221BE">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B221BE">
        <w:rPr>
          <w:rFonts w:ascii="Verdana" w:eastAsia="Calibri" w:hAnsi="Verdana" w:cs="Arial"/>
          <w:kern w:val="2"/>
          <w:shd w:val="clear" w:color="auto" w:fill="FFFFFF"/>
          <w:lang w:val="es-ES"/>
          <w14:ligatures w14:val="standardContextual"/>
        </w:rPr>
        <w:t>También, le contamos que ya se encuentra disponible la </w:t>
      </w:r>
      <w:r w:rsidRPr="00B221BE">
        <w:rPr>
          <w:rFonts w:ascii="Verdana" w:eastAsia="Calibri" w:hAnsi="Verdana" w:cs="Arial"/>
          <w:b/>
          <w:bCs/>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B221BE">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221BE">
        <w:rPr>
          <w:rFonts w:ascii="Verdana" w:eastAsia="Calibri" w:hAnsi="Verdana" w:cs="Arial"/>
          <w:kern w:val="2"/>
          <w:shd w:val="clear" w:color="auto" w:fill="FFFFFF"/>
          <w:lang w:val="es-ES"/>
          <w14:ligatures w14:val="standardContextual"/>
        </w:rPr>
        <w:t>Wayúu</w:t>
      </w:r>
      <w:proofErr w:type="spellEnd"/>
      <w:r w:rsidRPr="00B221BE">
        <w:rPr>
          <w:rFonts w:ascii="Verdana" w:eastAsia="Calibri" w:hAnsi="Verdana" w:cs="Arial"/>
          <w:kern w:val="2"/>
          <w:shd w:val="clear" w:color="auto" w:fill="FFFFFF"/>
          <w:lang w:val="es-ES"/>
          <w14:ligatures w14:val="standardContextual"/>
        </w:rPr>
        <w:t>. Puede consultar la guía en el siguiente enlace: </w:t>
      </w:r>
      <w:hyperlink r:id="rId14" w:tgtFrame="_blank" w:tooltip="Original URL: https://www.colombiacompra.gov.co/wp-content/uploads/2025/05/GUIA-DE-LINEAMIENTOS-DE-TRANSPARENCIA-Y-SELECCION-OBJETIVA-1.0.pdf. Click or tap if you trust this link." w:history="1">
        <w:r w:rsidRPr="00B221BE">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B221BE">
        <w:rPr>
          <w:rFonts w:ascii="Verdana" w:eastAsia="Calibri" w:hAnsi="Verdana" w:cs="Arial"/>
          <w:kern w:val="2"/>
          <w:u w:val="single"/>
          <w:shd w:val="clear" w:color="auto" w:fill="FFFFFF"/>
          <w:lang w:val="es-ES"/>
          <w14:ligatures w14:val="standardContextual"/>
        </w:rPr>
        <w:t>.</w:t>
      </w:r>
    </w:p>
    <w:p w14:paraId="0AB78C0D" w14:textId="77777777" w:rsidR="00B221BE" w:rsidRPr="00B221BE" w:rsidRDefault="00B221BE" w:rsidP="00B221BE">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E849442" w14:textId="77777777" w:rsidR="00B221BE" w:rsidRPr="00B221BE" w:rsidRDefault="00B221BE" w:rsidP="00B221BE">
      <w:pPr>
        <w:spacing w:after="0" w:line="276" w:lineRule="auto"/>
        <w:jc w:val="both"/>
        <w:rPr>
          <w:rFonts w:ascii="Verdana" w:eastAsia="Calibri" w:hAnsi="Verdana" w:cs="Times New Roman"/>
          <w:kern w:val="2"/>
          <w:lang w:val="es-ES_tradnl"/>
          <w14:ligatures w14:val="standardContextual"/>
        </w:rPr>
      </w:pPr>
      <w:r w:rsidRPr="00B221BE">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7F387107" w14:textId="77777777" w:rsidR="00B221BE" w:rsidRPr="00B221BE" w:rsidRDefault="00B221BE" w:rsidP="00B221BE">
      <w:pPr>
        <w:spacing w:after="0" w:line="240" w:lineRule="auto"/>
        <w:jc w:val="both"/>
        <w:rPr>
          <w:rFonts w:ascii="Verdana" w:eastAsia="Calibri" w:hAnsi="Verdana" w:cs="Times New Roman"/>
          <w:kern w:val="2"/>
          <w:lang w:val="es-ES_tradnl"/>
          <w14:ligatures w14:val="standardContextual"/>
        </w:rPr>
      </w:pPr>
    </w:p>
    <w:p w14:paraId="33551D91" w14:textId="77777777" w:rsidR="00B221BE" w:rsidRPr="00B221BE" w:rsidRDefault="00B221BE" w:rsidP="00B221BE">
      <w:pPr>
        <w:spacing w:after="0" w:line="240" w:lineRule="auto"/>
        <w:jc w:val="both"/>
        <w:rPr>
          <w:rFonts w:ascii="Verdana" w:eastAsia="Calibri" w:hAnsi="Verdana" w:cs="Times New Roman"/>
          <w:kern w:val="2"/>
          <w:lang w:val="es-ES_tradnl"/>
          <w14:ligatures w14:val="standardContextual"/>
        </w:rPr>
      </w:pPr>
      <w:r w:rsidRPr="00B221BE">
        <w:rPr>
          <w:rFonts w:ascii="Verdana" w:eastAsia="Calibri" w:hAnsi="Verdana" w:cs="Times New Roman"/>
          <w:kern w:val="2"/>
          <w:lang w:val="es-ES_tradnl"/>
          <w14:ligatures w14:val="standardContextual"/>
        </w:rPr>
        <w:t xml:space="preserve">Twitter: </w:t>
      </w:r>
      <w:r w:rsidRPr="00B221BE">
        <w:rPr>
          <w:rFonts w:ascii="Verdana" w:eastAsia="Calibri" w:hAnsi="Verdana" w:cs="Times New Roman"/>
          <w:kern w:val="2"/>
          <w:u w:val="single"/>
          <w:lang w:val="es-ES_tradnl"/>
          <w14:ligatures w14:val="standardContextual"/>
        </w:rPr>
        <w:t>@colombiacompra</w:t>
      </w:r>
      <w:r w:rsidRPr="00B221BE">
        <w:rPr>
          <w:rFonts w:ascii="Verdana" w:eastAsia="Calibri" w:hAnsi="Verdana" w:cs="Times New Roman"/>
          <w:kern w:val="2"/>
          <w:lang w:val="es-ES_tradnl"/>
          <w14:ligatures w14:val="standardContextual"/>
        </w:rPr>
        <w:t xml:space="preserve"> </w:t>
      </w:r>
    </w:p>
    <w:p w14:paraId="635C1F9C" w14:textId="77777777" w:rsidR="00B221BE" w:rsidRPr="00B221BE" w:rsidRDefault="00B221BE" w:rsidP="00B221BE">
      <w:pPr>
        <w:spacing w:after="0" w:line="240" w:lineRule="auto"/>
        <w:jc w:val="both"/>
        <w:rPr>
          <w:rFonts w:ascii="Verdana" w:eastAsia="Calibri" w:hAnsi="Verdana" w:cs="Times New Roman"/>
          <w:kern w:val="2"/>
          <w:lang w:val="es-ES"/>
          <w14:ligatures w14:val="standardContextual"/>
        </w:rPr>
      </w:pPr>
      <w:r w:rsidRPr="00B221BE">
        <w:rPr>
          <w:rFonts w:ascii="Verdana" w:eastAsia="Calibri" w:hAnsi="Verdana" w:cs="Times New Roman"/>
          <w:kern w:val="2"/>
          <w:lang w:val="es-ES"/>
          <w14:ligatures w14:val="standardContextual"/>
        </w:rPr>
        <w:t xml:space="preserve">Facebook: </w:t>
      </w:r>
      <w:proofErr w:type="spellStart"/>
      <w:r w:rsidRPr="00B221BE">
        <w:rPr>
          <w:rFonts w:ascii="Verdana" w:eastAsia="Calibri" w:hAnsi="Verdana" w:cs="Times New Roman"/>
          <w:kern w:val="2"/>
          <w:u w:val="single"/>
          <w:lang w:val="es-ES"/>
          <w14:ligatures w14:val="standardContextual"/>
        </w:rPr>
        <w:t>ColombiaCompraEficiente</w:t>
      </w:r>
      <w:proofErr w:type="spellEnd"/>
    </w:p>
    <w:p w14:paraId="60359F01" w14:textId="77777777" w:rsidR="00B221BE" w:rsidRPr="00B221BE" w:rsidRDefault="00B221BE" w:rsidP="00B221BE">
      <w:pPr>
        <w:spacing w:after="0" w:line="240" w:lineRule="auto"/>
        <w:jc w:val="both"/>
        <w:rPr>
          <w:rFonts w:ascii="Verdana" w:eastAsia="Calibri" w:hAnsi="Verdana" w:cs="Times New Roman"/>
          <w:kern w:val="2"/>
          <w:lang w:val="es-ES_tradnl"/>
          <w14:ligatures w14:val="standardContextual"/>
        </w:rPr>
      </w:pPr>
      <w:r w:rsidRPr="00B221BE">
        <w:rPr>
          <w:rFonts w:ascii="Verdana" w:eastAsia="Calibri" w:hAnsi="Verdana" w:cs="Times New Roman"/>
          <w:kern w:val="2"/>
          <w:lang w:val="es-ES_tradnl"/>
          <w14:ligatures w14:val="standardContextual"/>
        </w:rPr>
        <w:t xml:space="preserve">LinkedIn: </w:t>
      </w:r>
      <w:r w:rsidRPr="00B221BE">
        <w:rPr>
          <w:rFonts w:ascii="Verdana" w:eastAsia="Calibri" w:hAnsi="Verdana" w:cs="Times New Roman"/>
          <w:kern w:val="2"/>
          <w:u w:val="single"/>
          <w:lang w:val="es-ES_tradnl"/>
          <w14:ligatures w14:val="standardContextual"/>
        </w:rPr>
        <w:t>Agencia Nacional de Contratación Pública - Colombia Compra Eficiente</w:t>
      </w:r>
      <w:r w:rsidRPr="00B221BE">
        <w:rPr>
          <w:rFonts w:ascii="Verdana" w:eastAsia="Calibri" w:hAnsi="Verdana" w:cs="Times New Roman"/>
          <w:kern w:val="2"/>
          <w:lang w:val="es-ES_tradnl"/>
          <w14:ligatures w14:val="standardContextual"/>
        </w:rPr>
        <w:t xml:space="preserve"> Instagram: </w:t>
      </w:r>
      <w:r w:rsidRPr="00B221BE">
        <w:rPr>
          <w:rFonts w:ascii="Verdana" w:eastAsia="Calibri" w:hAnsi="Verdana" w:cs="Times New Roman"/>
          <w:kern w:val="2"/>
          <w:u w:val="single"/>
          <w:lang w:val="es-ES_tradnl"/>
          <w14:ligatures w14:val="standardContextual"/>
        </w:rPr>
        <w:t>@colombiacompraeficiente_cce</w:t>
      </w:r>
    </w:p>
    <w:p w14:paraId="0421C275" w14:textId="77777777" w:rsidR="00B221BE" w:rsidRPr="00B221BE" w:rsidRDefault="00B221BE" w:rsidP="00B221BE">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1E2DB4DC" w14:textId="77777777" w:rsidR="00B221BE" w:rsidRPr="00B221BE" w:rsidRDefault="00B221BE" w:rsidP="00B221BE">
      <w:pPr>
        <w:widowControl w:val="0"/>
        <w:autoSpaceDE w:val="0"/>
        <w:autoSpaceDN w:val="0"/>
        <w:spacing w:after="0" w:line="276" w:lineRule="auto"/>
        <w:jc w:val="both"/>
        <w:rPr>
          <w:rFonts w:ascii="Verdana" w:eastAsia="Calibri" w:hAnsi="Verdana" w:cs="Arial"/>
          <w:kern w:val="2"/>
          <w:lang w:val="es-ES_tradnl"/>
          <w14:ligatures w14:val="standardContextual"/>
        </w:rPr>
      </w:pPr>
      <w:r w:rsidRPr="00B221BE">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A8011CB" w14:textId="77777777" w:rsidR="00B221BE" w:rsidRPr="00B221BE" w:rsidRDefault="00B221BE" w:rsidP="00B221BE">
      <w:pPr>
        <w:widowControl w:val="0"/>
        <w:autoSpaceDE w:val="0"/>
        <w:autoSpaceDN w:val="0"/>
        <w:spacing w:after="0" w:line="276" w:lineRule="auto"/>
        <w:jc w:val="both"/>
        <w:rPr>
          <w:rFonts w:ascii="Verdana" w:eastAsia="Calibri" w:hAnsi="Verdana" w:cs="Arial"/>
        </w:rPr>
      </w:pPr>
    </w:p>
    <w:p w14:paraId="7E378996" w14:textId="77777777" w:rsidR="00B221BE" w:rsidRPr="00B221BE" w:rsidRDefault="00B221BE" w:rsidP="00B221BE">
      <w:pPr>
        <w:spacing w:after="0" w:line="240" w:lineRule="auto"/>
        <w:rPr>
          <w:rFonts w:ascii="Verdana" w:eastAsia="Calibri" w:hAnsi="Verdana" w:cs="Arial"/>
          <w:lang w:eastAsia="es-CO"/>
        </w:rPr>
      </w:pPr>
      <w:r w:rsidRPr="00B221BE">
        <w:rPr>
          <w:rFonts w:ascii="Verdana" w:eastAsia="Times New Roman" w:hAnsi="Verdana" w:cs="Arial"/>
          <w:lang w:eastAsia="es-CO"/>
        </w:rPr>
        <w:t>Atentamente,</w:t>
      </w:r>
      <w:r w:rsidRPr="00B221BE">
        <w:rPr>
          <w:rFonts w:ascii="Verdana" w:eastAsia="Calibri" w:hAnsi="Verdana" w:cs="Arial"/>
          <w:lang w:eastAsia="es-CO"/>
        </w:rPr>
        <w:t xml:space="preserve"> </w:t>
      </w:r>
    </w:p>
    <w:p w14:paraId="33A62E76" w14:textId="0175BB60" w:rsidR="00B221BE" w:rsidRPr="00B221BE" w:rsidRDefault="00AF6138" w:rsidP="00B221BE">
      <w:pPr>
        <w:spacing w:line="276" w:lineRule="auto"/>
        <w:jc w:val="center"/>
        <w:rPr>
          <w:rFonts w:ascii="Verdana" w:eastAsia="Calibri" w:hAnsi="Verdana" w:cs="Arial"/>
          <w:lang w:val="es-ES_tradnl" w:eastAsia="es-CO"/>
        </w:rPr>
      </w:pPr>
      <w:r w:rsidRPr="002C3AD6">
        <w:rPr>
          <w:rFonts w:ascii="Century Gothic" w:hAnsi="Century Gothic"/>
          <w:noProof/>
        </w:rPr>
        <w:lastRenderedPageBreak/>
        <w:drawing>
          <wp:inline distT="0" distB="0" distL="0" distR="0" wp14:anchorId="1CA1F073" wp14:editId="0B922374">
            <wp:extent cx="3486150" cy="1294101"/>
            <wp:effectExtent l="0" t="0" r="0" b="190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496489" cy="1297939"/>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221BE" w:rsidRPr="00B221BE" w14:paraId="6E0B8002" w14:textId="77777777" w:rsidTr="005A356F">
        <w:trPr>
          <w:trHeight w:val="315"/>
        </w:trPr>
        <w:tc>
          <w:tcPr>
            <w:tcW w:w="893" w:type="dxa"/>
            <w:vAlign w:val="center"/>
            <w:hideMark/>
          </w:tcPr>
          <w:p w14:paraId="09513F29" w14:textId="77777777" w:rsidR="00B221BE" w:rsidRPr="00B221BE" w:rsidRDefault="00B221BE" w:rsidP="00B221BE">
            <w:pPr>
              <w:rPr>
                <w:rFonts w:ascii="Verdana" w:eastAsia="Calibri" w:hAnsi="Verdana" w:cs="Arial"/>
                <w:sz w:val="16"/>
                <w:szCs w:val="16"/>
                <w:lang w:val="es-ES" w:eastAsia="es-ES"/>
              </w:rPr>
            </w:pPr>
            <w:r w:rsidRPr="00B221BE">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0CF0B6A7" w14:textId="77777777" w:rsidR="00B221BE" w:rsidRPr="00B221BE" w:rsidRDefault="00B221BE" w:rsidP="00B221BE">
            <w:pPr>
              <w:rPr>
                <w:rFonts w:ascii="Verdana" w:eastAsia="Arial" w:hAnsi="Verdana" w:cs="Arial"/>
                <w:sz w:val="16"/>
                <w:szCs w:val="16"/>
              </w:rPr>
            </w:pPr>
            <w:r w:rsidRPr="00B221BE">
              <w:rPr>
                <w:rFonts w:ascii="Verdana" w:eastAsia="Arial" w:hAnsi="Verdana" w:cs="Arial"/>
                <w:sz w:val="16"/>
                <w:szCs w:val="16"/>
              </w:rPr>
              <w:t>Kevin Arlid Herrera Santa</w:t>
            </w:r>
          </w:p>
          <w:p w14:paraId="099BE556" w14:textId="77777777" w:rsidR="00B221BE" w:rsidRPr="00B221BE" w:rsidRDefault="00B221BE" w:rsidP="00B221BE">
            <w:pPr>
              <w:rPr>
                <w:rFonts w:ascii="Verdana" w:eastAsia="Arial" w:hAnsi="Verdana" w:cs="Arial"/>
                <w:sz w:val="16"/>
                <w:szCs w:val="16"/>
              </w:rPr>
            </w:pPr>
            <w:r w:rsidRPr="00B221BE">
              <w:rPr>
                <w:rFonts w:ascii="Verdana" w:eastAsia="Arial" w:hAnsi="Verdana" w:cs="Arial"/>
                <w:sz w:val="16"/>
                <w:szCs w:val="16"/>
              </w:rPr>
              <w:t>Contratista de la Subdirección de Gestión Contractual</w:t>
            </w:r>
          </w:p>
          <w:p w14:paraId="3CB9BE5A" w14:textId="77777777" w:rsidR="00B221BE" w:rsidRPr="00B221BE" w:rsidRDefault="00B221BE" w:rsidP="00B221BE">
            <w:pPr>
              <w:rPr>
                <w:rFonts w:ascii="Verdana" w:eastAsia="Arial" w:hAnsi="Verdana" w:cs="Arial"/>
                <w:sz w:val="16"/>
                <w:szCs w:val="16"/>
              </w:rPr>
            </w:pPr>
            <w:r w:rsidRPr="00B221BE">
              <w:rPr>
                <w:rFonts w:ascii="Verdana" w:eastAsia="Arial" w:hAnsi="Verdana" w:cs="Arial"/>
                <w:sz w:val="16"/>
                <w:szCs w:val="16"/>
              </w:rPr>
              <w:t>Alejandro Gamboa Cárdenas</w:t>
            </w:r>
          </w:p>
          <w:p w14:paraId="3CC85FAF" w14:textId="77777777" w:rsidR="00B221BE" w:rsidRPr="00B221BE" w:rsidRDefault="00B221BE" w:rsidP="00B221BE">
            <w:pPr>
              <w:rPr>
                <w:rFonts w:ascii="Verdana" w:eastAsia="Arial" w:hAnsi="Verdana" w:cs="Arial"/>
                <w:sz w:val="16"/>
                <w:szCs w:val="16"/>
              </w:rPr>
            </w:pPr>
            <w:r w:rsidRPr="00B221BE">
              <w:rPr>
                <w:rFonts w:ascii="Verdana" w:eastAsia="Arial" w:hAnsi="Verdana" w:cs="Arial"/>
                <w:sz w:val="16"/>
                <w:szCs w:val="16"/>
              </w:rPr>
              <w:t>Contratista de la Subdirección de Gestión Contractual</w:t>
            </w:r>
          </w:p>
        </w:tc>
      </w:tr>
      <w:tr w:rsidR="00B221BE" w:rsidRPr="00B221BE" w14:paraId="43F99FCC" w14:textId="77777777" w:rsidTr="005A356F">
        <w:trPr>
          <w:trHeight w:val="330"/>
        </w:trPr>
        <w:tc>
          <w:tcPr>
            <w:tcW w:w="893" w:type="dxa"/>
            <w:vAlign w:val="center"/>
            <w:hideMark/>
          </w:tcPr>
          <w:p w14:paraId="4A3AB8D9" w14:textId="77777777" w:rsidR="00B221BE" w:rsidRPr="00B221BE" w:rsidRDefault="00B221BE" w:rsidP="00B221BE">
            <w:pPr>
              <w:rPr>
                <w:rFonts w:ascii="Verdana" w:eastAsia="Calibri" w:hAnsi="Verdana" w:cs="Arial"/>
                <w:sz w:val="16"/>
                <w:szCs w:val="16"/>
                <w:lang w:val="es-ES" w:eastAsia="es-ES"/>
              </w:rPr>
            </w:pPr>
            <w:r w:rsidRPr="00B221BE">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49D23ADE" w14:textId="77777777" w:rsidR="00B221BE" w:rsidRPr="00B221BE" w:rsidRDefault="00B221BE" w:rsidP="00B221BE">
            <w:pPr>
              <w:textAlignment w:val="baseline"/>
              <w:rPr>
                <w:rFonts w:ascii="Verdana" w:eastAsia="Times New Roman" w:hAnsi="Verdana" w:cs="Segoe UI"/>
                <w:sz w:val="16"/>
                <w:szCs w:val="16"/>
                <w:lang w:eastAsia="es-ES_tradnl"/>
              </w:rPr>
            </w:pPr>
            <w:r w:rsidRPr="00B221BE">
              <w:rPr>
                <w:rFonts w:ascii="Verdana" w:eastAsia="Times New Roman" w:hAnsi="Verdana" w:cs="Segoe UI"/>
                <w:sz w:val="16"/>
                <w:szCs w:val="16"/>
                <w:lang w:eastAsia="es-ES_tradnl"/>
              </w:rPr>
              <w:t xml:space="preserve">Adriana </w:t>
            </w:r>
            <w:proofErr w:type="spellStart"/>
            <w:r w:rsidRPr="00B221BE">
              <w:rPr>
                <w:rFonts w:ascii="Verdana" w:eastAsia="Times New Roman" w:hAnsi="Verdana" w:cs="Segoe UI"/>
                <w:sz w:val="16"/>
                <w:szCs w:val="16"/>
                <w:lang w:eastAsia="es-ES_tradnl"/>
              </w:rPr>
              <w:t>Katerine</w:t>
            </w:r>
            <w:proofErr w:type="spellEnd"/>
            <w:r w:rsidRPr="00B221BE">
              <w:rPr>
                <w:rFonts w:ascii="Verdana" w:eastAsia="Times New Roman" w:hAnsi="Verdana" w:cs="Segoe UI"/>
                <w:sz w:val="16"/>
                <w:szCs w:val="16"/>
                <w:lang w:eastAsia="es-ES_tradnl"/>
              </w:rPr>
              <w:t xml:space="preserve"> López Rodríguez</w:t>
            </w:r>
          </w:p>
          <w:p w14:paraId="21292EEB" w14:textId="77777777" w:rsidR="00B221BE" w:rsidRPr="00B221BE" w:rsidRDefault="00B221BE" w:rsidP="00B221BE">
            <w:pPr>
              <w:textAlignment w:val="baseline"/>
              <w:rPr>
                <w:rFonts w:ascii="Verdana" w:eastAsia="Times New Roman" w:hAnsi="Verdana" w:cs="Segoe UI"/>
                <w:sz w:val="16"/>
                <w:szCs w:val="16"/>
                <w:lang w:eastAsia="es-ES_tradnl"/>
              </w:rPr>
            </w:pPr>
            <w:r w:rsidRPr="00B221BE">
              <w:rPr>
                <w:rFonts w:ascii="Verdana" w:eastAsia="Times New Roman" w:hAnsi="Verdana" w:cs="Arial"/>
                <w:sz w:val="16"/>
                <w:szCs w:val="16"/>
                <w:lang w:val="es-ES" w:eastAsia="es-ES_tradnl"/>
              </w:rPr>
              <w:t>Contratista de la Subdirección de Gestión Contractual</w:t>
            </w:r>
            <w:r w:rsidRPr="00B221BE">
              <w:rPr>
                <w:rFonts w:ascii="Verdana" w:eastAsia="Times New Roman" w:hAnsi="Verdana" w:cs="Arial"/>
                <w:sz w:val="16"/>
                <w:szCs w:val="16"/>
                <w:lang w:eastAsia="es-ES_tradnl"/>
              </w:rPr>
              <w:t> </w:t>
            </w:r>
          </w:p>
        </w:tc>
      </w:tr>
      <w:tr w:rsidR="00B221BE" w:rsidRPr="00B221BE" w14:paraId="11AC27B2" w14:textId="77777777" w:rsidTr="005A356F">
        <w:trPr>
          <w:trHeight w:val="300"/>
        </w:trPr>
        <w:tc>
          <w:tcPr>
            <w:tcW w:w="893" w:type="dxa"/>
            <w:vAlign w:val="center"/>
          </w:tcPr>
          <w:p w14:paraId="5A743850" w14:textId="77777777" w:rsidR="00B221BE" w:rsidRPr="00B221BE" w:rsidRDefault="00B221BE" w:rsidP="00B221BE">
            <w:pPr>
              <w:rPr>
                <w:rFonts w:ascii="Verdana" w:eastAsia="Calibri" w:hAnsi="Verdana" w:cs="Arial"/>
                <w:sz w:val="16"/>
                <w:szCs w:val="16"/>
                <w:lang w:val="es-ES" w:eastAsia="es-ES"/>
              </w:rPr>
            </w:pPr>
            <w:r w:rsidRPr="00B221BE">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37A141C9" w14:textId="77777777" w:rsidR="00B221BE" w:rsidRPr="00B221BE" w:rsidRDefault="00B221BE" w:rsidP="00B221BE">
            <w:pPr>
              <w:rPr>
                <w:rFonts w:ascii="Verdana" w:eastAsia="Calibri" w:hAnsi="Verdana" w:cs="Arial"/>
                <w:sz w:val="16"/>
                <w:szCs w:val="16"/>
                <w:lang w:val="pt-BR" w:eastAsia="es-ES"/>
              </w:rPr>
            </w:pPr>
            <w:r w:rsidRPr="00B221BE">
              <w:rPr>
                <w:rFonts w:ascii="Verdana" w:eastAsia="Calibri" w:hAnsi="Verdana" w:cs="Arial"/>
                <w:sz w:val="16"/>
                <w:szCs w:val="16"/>
                <w:lang w:val="pt-BR" w:eastAsia="es-ES"/>
              </w:rPr>
              <w:t xml:space="preserve">Carolina Quintero </w:t>
            </w:r>
            <w:proofErr w:type="spellStart"/>
            <w:r w:rsidRPr="00B221BE">
              <w:rPr>
                <w:rFonts w:ascii="Verdana" w:eastAsia="Calibri" w:hAnsi="Verdana" w:cs="Arial"/>
                <w:sz w:val="16"/>
                <w:szCs w:val="16"/>
                <w:lang w:val="pt-BR" w:eastAsia="es-ES"/>
              </w:rPr>
              <w:t>Gacharná</w:t>
            </w:r>
            <w:proofErr w:type="spellEnd"/>
          </w:p>
          <w:p w14:paraId="40658500" w14:textId="77777777" w:rsidR="00B221BE" w:rsidRPr="00B221BE" w:rsidRDefault="00B221BE" w:rsidP="00B221BE">
            <w:pPr>
              <w:rPr>
                <w:rFonts w:ascii="Verdana" w:eastAsia="Calibri" w:hAnsi="Verdana" w:cs="Arial"/>
                <w:sz w:val="16"/>
                <w:szCs w:val="16"/>
                <w:lang w:val="pt-BR" w:eastAsia="es-ES"/>
              </w:rPr>
            </w:pPr>
            <w:r w:rsidRPr="00B221BE">
              <w:rPr>
                <w:rFonts w:ascii="Verdana" w:eastAsia="Calibri" w:hAnsi="Verdana" w:cs="Arial"/>
                <w:sz w:val="16"/>
                <w:szCs w:val="16"/>
                <w:lang w:eastAsia="es-ES"/>
              </w:rPr>
              <w:t>Subdirectora</w:t>
            </w:r>
            <w:r w:rsidRPr="00B221BE">
              <w:rPr>
                <w:rFonts w:ascii="Verdana" w:eastAsia="Calibri" w:hAnsi="Verdana" w:cs="Arial"/>
                <w:sz w:val="16"/>
                <w:szCs w:val="16"/>
                <w:lang w:val="pt-BR" w:eastAsia="es-ES"/>
              </w:rPr>
              <w:t xml:space="preserve"> de Gestión Contratual ANCP – CCE</w:t>
            </w:r>
          </w:p>
        </w:tc>
      </w:tr>
      <w:bookmarkEnd w:id="0"/>
    </w:tbl>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8219B" w14:textId="77777777" w:rsidR="002E2E75" w:rsidRDefault="002E2E75" w:rsidP="004A1847">
      <w:pPr>
        <w:spacing w:after="0" w:line="240" w:lineRule="auto"/>
      </w:pPr>
      <w:r>
        <w:separator/>
      </w:r>
    </w:p>
  </w:endnote>
  <w:endnote w:type="continuationSeparator" w:id="0">
    <w:p w14:paraId="4C9F207F" w14:textId="77777777" w:rsidR="002E2E75" w:rsidRDefault="002E2E7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linkMacSystemFont">
    <w:altName w:val="Cambria"/>
    <w:panose1 w:val="020B0604020202020204"/>
    <w:charset w:val="00"/>
    <w:family w:val="roman"/>
    <w:notTrueType/>
    <w:pitch w:val="default"/>
  </w:font>
  <w:font w:name="ArialMT">
    <w:altName w:val="Arial"/>
    <w:panose1 w:val="020B0604020202020204"/>
    <w:charset w:val="00"/>
    <w:family w:val="roman"/>
    <w:notTrueType/>
    <w:pitch w:val="default"/>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1A3FB0" w14:textId="77777777" w:rsidR="002E2E75" w:rsidRDefault="002E2E75" w:rsidP="004A1847">
      <w:pPr>
        <w:spacing w:after="0" w:line="240" w:lineRule="auto"/>
      </w:pPr>
      <w:r>
        <w:separator/>
      </w:r>
    </w:p>
  </w:footnote>
  <w:footnote w:type="continuationSeparator" w:id="0">
    <w:p w14:paraId="6C6E6864" w14:textId="77777777" w:rsidR="002E2E75" w:rsidRDefault="002E2E75" w:rsidP="004A1847">
      <w:pPr>
        <w:spacing w:after="0" w:line="240" w:lineRule="auto"/>
      </w:pPr>
      <w:r>
        <w:continuationSeparator/>
      </w:r>
    </w:p>
  </w:footnote>
  <w:footnote w:id="1">
    <w:p w14:paraId="2B1C73BB" w14:textId="77777777" w:rsidR="00B221BE" w:rsidRPr="001C47EE" w:rsidRDefault="00B221BE" w:rsidP="00B221BE">
      <w:pPr>
        <w:pStyle w:val="Textonotapie"/>
        <w:ind w:firstLine="709"/>
        <w:jc w:val="both"/>
        <w:rPr>
          <w:rFonts w:ascii="Verdana" w:hAnsi="Verdana" w:cs="Arial"/>
          <w:sz w:val="18"/>
          <w:szCs w:val="18"/>
        </w:rPr>
      </w:pPr>
      <w:r w:rsidRPr="001C47EE">
        <w:rPr>
          <w:rStyle w:val="Refdenotaalpie"/>
          <w:rFonts w:ascii="Verdana" w:hAnsi="Verdana" w:cs="Arial"/>
          <w:sz w:val="18"/>
          <w:szCs w:val="18"/>
        </w:rPr>
        <w:footnoteRef/>
      </w:r>
      <w:bookmarkStart w:id="5" w:name="_Hlk62047233"/>
      <w:r w:rsidRPr="001C47EE">
        <w:rPr>
          <w:rFonts w:ascii="Verdana" w:hAnsi="Verdana" w:cs="Arial"/>
          <w:sz w:val="18"/>
          <w:szCs w:val="18"/>
        </w:rPr>
        <w:t xml:space="preserve"> Documento Base: </w:t>
      </w:r>
      <w:bookmarkEnd w:id="5"/>
      <w:r w:rsidRPr="001C47EE">
        <w:rPr>
          <w:rFonts w:ascii="Verdana" w:hAnsi="Verdana" w:cs="Arial"/>
          <w:sz w:val="18"/>
          <w:szCs w:val="18"/>
        </w:rPr>
        <w:t>“4.1 FORMA DE VERIFICACIÓN Y ASIGNACIÓN DE PUNTAJE POR LA EXPERIENCIA DEL PROPONENTE</w:t>
      </w:r>
    </w:p>
    <w:p w14:paraId="7D9087F9" w14:textId="77777777" w:rsidR="00B221BE" w:rsidRPr="001C47EE" w:rsidRDefault="00B221BE" w:rsidP="00B221BE">
      <w:pPr>
        <w:pStyle w:val="Textonotapie"/>
        <w:ind w:firstLine="709"/>
        <w:jc w:val="both"/>
        <w:rPr>
          <w:rFonts w:ascii="Verdana" w:hAnsi="Verdana" w:cs="Arial"/>
          <w:sz w:val="18"/>
          <w:szCs w:val="18"/>
        </w:rPr>
      </w:pPr>
      <w:r w:rsidRPr="001C47EE">
        <w:rPr>
          <w:rFonts w:ascii="Verdana" w:hAnsi="Verdana" w:cs="Arial"/>
          <w:sz w:val="18"/>
          <w:szCs w:val="18"/>
        </w:rPr>
        <w:t>[…]</w:t>
      </w:r>
    </w:p>
    <w:p w14:paraId="2CBD60C2" w14:textId="77777777" w:rsidR="00B221BE" w:rsidRPr="001C47EE" w:rsidRDefault="00B221BE" w:rsidP="00B221BE">
      <w:pPr>
        <w:spacing w:after="0" w:line="240" w:lineRule="auto"/>
        <w:ind w:firstLine="709"/>
        <w:jc w:val="both"/>
        <w:rPr>
          <w:rFonts w:ascii="Verdana" w:eastAsia="Arial" w:hAnsi="Verdana" w:cs="Arial"/>
          <w:sz w:val="18"/>
          <w:szCs w:val="18"/>
          <w:lang w:eastAsia="es-ES"/>
        </w:rPr>
      </w:pPr>
      <w:r w:rsidRPr="001C47EE">
        <w:rPr>
          <w:rFonts w:ascii="Verdana" w:eastAsia="Arial" w:hAnsi="Verdana" w:cs="Arial"/>
          <w:sz w:val="18"/>
          <w:szCs w:val="18"/>
          <w:lang w:eastAsia="es-ES"/>
        </w:rPr>
        <w:t xml:space="preserve">C. Posteriormente, se seleccionará un método aleatorio en función de la Tasa Representativa del Mercado (TRM) certificada por la Superintendencia Financiera de Colombia </w:t>
      </w:r>
      <w:r w:rsidRPr="001C47EE">
        <w:rPr>
          <w:rFonts w:ascii="Verdana" w:eastAsia="Arial" w:hAnsi="Verdana" w:cs="Arial"/>
          <w:sz w:val="18"/>
          <w:szCs w:val="18"/>
          <w:highlight w:val="lightGray"/>
          <w:lang w:eastAsia="es-ES"/>
        </w:rPr>
        <w:t xml:space="preserve">[en su sitio web: </w:t>
      </w:r>
      <w:hyperlink r:id="rId1">
        <w:r w:rsidRPr="001C47EE">
          <w:rPr>
            <w:rFonts w:ascii="Verdana" w:eastAsia="Arial" w:hAnsi="Verdana"/>
            <w:sz w:val="18"/>
            <w:szCs w:val="18"/>
            <w:highlight w:val="lightGray"/>
            <w:lang w:eastAsia="es-ES"/>
          </w:rPr>
          <w:t>https://www.superfinanciera.gov.co/publicacion/60819</w:t>
        </w:r>
      </w:hyperlink>
      <w:r w:rsidRPr="001C47EE">
        <w:rPr>
          <w:rFonts w:ascii="Verdana" w:eastAsia="Arial" w:hAnsi="Verdana" w:cs="Arial"/>
          <w:sz w:val="18"/>
          <w:szCs w:val="18"/>
          <w:highlight w:val="lightGray"/>
          <w:lang w:eastAsia="es-ES"/>
        </w:rPr>
        <w:t>]</w:t>
      </w:r>
      <w:r w:rsidRPr="001C47EE">
        <w:rPr>
          <w:rFonts w:ascii="Verdana" w:eastAsia="Arial" w:hAnsi="Verdana" w:cs="Arial"/>
          <w:sz w:val="18"/>
          <w:szCs w:val="18"/>
          <w:lang w:eastAsia="es-ES"/>
        </w:rPr>
        <w:t>.</w:t>
      </w:r>
    </w:p>
    <w:p w14:paraId="7835AB58" w14:textId="77777777" w:rsidR="00B221BE" w:rsidRPr="001C47EE" w:rsidRDefault="00B221BE" w:rsidP="00B221BE">
      <w:pPr>
        <w:spacing w:after="0" w:line="240" w:lineRule="auto"/>
        <w:ind w:firstLine="709"/>
        <w:jc w:val="both"/>
        <w:rPr>
          <w:rFonts w:ascii="Verdana" w:eastAsia="Arial" w:hAnsi="Verdana" w:cs="Arial"/>
          <w:sz w:val="18"/>
          <w:szCs w:val="18"/>
          <w:lang w:eastAsia="es-ES"/>
        </w:rPr>
      </w:pPr>
      <w:r w:rsidRPr="001C47EE">
        <w:rPr>
          <w:rFonts w:ascii="Verdana" w:eastAsia="Arial" w:hAnsi="Verdana" w:cs="Arial"/>
          <w:sz w:val="18"/>
          <w:szCs w:val="18"/>
          <w:lang w:eastAsia="es-ES"/>
        </w:rPr>
        <w:t xml:space="preserve">La TRM que la Entidad utilizará para determinar el método de ponderación será la que rija el </w:t>
      </w:r>
      <w:r w:rsidRPr="001C47EE">
        <w:rPr>
          <w:rFonts w:ascii="Verdana" w:eastAsia="Arial" w:hAnsi="Verdana" w:cs="Arial"/>
          <w:i/>
          <w:iCs/>
          <w:sz w:val="18"/>
          <w:szCs w:val="18"/>
          <w:lang w:eastAsia="es-ES"/>
        </w:rPr>
        <w:t>segundo día hábil después de finalizado el periodo de traslado del informe de evaluación</w:t>
      </w:r>
      <w:r w:rsidRPr="001C47EE">
        <w:rPr>
          <w:rFonts w:ascii="Verdana" w:eastAsia="Arial" w:hAnsi="Verdana" w:cs="Arial"/>
          <w:sz w:val="18"/>
          <w:szCs w:val="18"/>
        </w:rPr>
        <w:t>.</w:t>
      </w:r>
      <w:r w:rsidRPr="001C47EE">
        <w:rPr>
          <w:rFonts w:ascii="Verdana" w:eastAsia="Arial" w:hAnsi="Verdana" w:cs="Arial"/>
          <w:sz w:val="18"/>
          <w:szCs w:val="18"/>
          <w:lang w:eastAsia="es-ES"/>
        </w:rPr>
        <w:t xml:space="preserve"> Esto es, la que la Superintendencia publique en horas de la tarde del día hábil siguiente a la fecha efectiva de finalizado el periodo de traslado del informe de evaluación. </w:t>
      </w:r>
      <w:r w:rsidRPr="001C47EE">
        <w:rPr>
          <w:rFonts w:ascii="Verdana" w:eastAsia="Arial" w:hAnsi="Verdana" w:cs="Arial"/>
          <w:sz w:val="18"/>
          <w:szCs w:val="18"/>
          <w:highlight w:val="lightGray"/>
          <w:lang w:eastAsia="es-ES"/>
        </w:rPr>
        <w:t>[Por ejemplo, si el termino de traslado del informe de evaluación finaliza el 10 de febrero, la TRM que se usará para determinar el método de evaluación será la del 12 de febrero, que se publica en la tarde del 11 de febrero]</w:t>
      </w:r>
      <w:r w:rsidRPr="001C47EE">
        <w:rPr>
          <w:rFonts w:ascii="Verdana" w:eastAsia="Arial" w:hAnsi="Verdana" w:cs="Arial"/>
          <w:sz w:val="18"/>
          <w:szCs w:val="18"/>
          <w:lang w:eastAsia="es-ES"/>
        </w:rPr>
        <w:t xml:space="preserve"> </w:t>
      </w:r>
    </w:p>
    <w:p w14:paraId="3DFB4A00" w14:textId="77777777" w:rsidR="00B221BE" w:rsidRPr="001C47EE" w:rsidRDefault="00B221BE" w:rsidP="00B221BE">
      <w:pPr>
        <w:spacing w:after="0" w:line="240" w:lineRule="auto"/>
        <w:ind w:firstLine="709"/>
        <w:jc w:val="both"/>
        <w:rPr>
          <w:rFonts w:ascii="Verdana" w:eastAsia="BlinkMacSystemFont" w:hAnsi="Verdana" w:cs="Arial"/>
          <w:sz w:val="18"/>
          <w:szCs w:val="18"/>
        </w:rPr>
      </w:pPr>
      <w:r w:rsidRPr="001C47EE">
        <w:rPr>
          <w:rFonts w:ascii="Verdana" w:eastAsia="BlinkMacSystemFont" w:hAnsi="Verdana" w:cs="Arial"/>
          <w:sz w:val="18"/>
          <w:szCs w:val="18"/>
        </w:rPr>
        <w:t>[…]</w:t>
      </w:r>
    </w:p>
    <w:p w14:paraId="6C52C5BA" w14:textId="77777777" w:rsidR="00B221BE" w:rsidRDefault="00B221BE" w:rsidP="00B221BE">
      <w:pPr>
        <w:spacing w:after="0" w:line="240" w:lineRule="auto"/>
        <w:ind w:firstLine="709"/>
        <w:jc w:val="both"/>
        <w:rPr>
          <w:rFonts w:ascii="Verdana" w:eastAsia="Arial" w:hAnsi="Verdana" w:cs="Arial"/>
          <w:sz w:val="18"/>
          <w:szCs w:val="18"/>
          <w:lang w:eastAsia="es-ES"/>
        </w:rPr>
      </w:pPr>
      <w:r w:rsidRPr="001C47EE">
        <w:rPr>
          <w:rFonts w:ascii="Verdana" w:eastAsia="Arial" w:hAnsi="Verdana" w:cs="Arial"/>
          <w:sz w:val="18"/>
          <w:szCs w:val="18"/>
          <w:lang w:eastAsia="es-ES"/>
        </w:rPr>
        <w:t>El método de ponderación se determinará de acuerdo con los rangos del siguiente cuadro, en función de la parte decimal -centavos- de la TRM: […]”</w:t>
      </w:r>
    </w:p>
    <w:p w14:paraId="3E7867B5" w14:textId="77777777" w:rsidR="00B221BE" w:rsidRPr="001C47EE" w:rsidRDefault="00B221BE" w:rsidP="00B221BE">
      <w:pPr>
        <w:spacing w:after="0" w:line="240" w:lineRule="auto"/>
        <w:jc w:val="both"/>
        <w:rPr>
          <w:rFonts w:ascii="Verdana" w:hAnsi="Verdana" w:cs="Arial"/>
          <w:sz w:val="18"/>
          <w:szCs w:val="18"/>
        </w:rPr>
      </w:pPr>
    </w:p>
  </w:footnote>
  <w:footnote w:id="2">
    <w:p w14:paraId="2C2F5D67" w14:textId="77777777" w:rsidR="00B221BE" w:rsidRPr="001C47EE" w:rsidRDefault="00B221BE" w:rsidP="00B221BE">
      <w:pPr>
        <w:pStyle w:val="Textonotapie"/>
        <w:ind w:firstLine="709"/>
        <w:jc w:val="both"/>
        <w:rPr>
          <w:rFonts w:ascii="Verdana" w:hAnsi="Verdana" w:cs="Arial"/>
          <w:color w:val="000000"/>
          <w:sz w:val="18"/>
          <w:szCs w:val="18"/>
        </w:rPr>
      </w:pPr>
      <w:r w:rsidRPr="001C47EE">
        <w:rPr>
          <w:rStyle w:val="Refdenotaalpie"/>
          <w:rFonts w:ascii="Verdana" w:hAnsi="Verdana" w:cs="Arial"/>
          <w:color w:val="000000"/>
          <w:sz w:val="18"/>
          <w:szCs w:val="18"/>
        </w:rPr>
        <w:footnoteRef/>
      </w:r>
      <w:r w:rsidRPr="001C47EE">
        <w:rPr>
          <w:rFonts w:ascii="Verdana" w:hAnsi="Verdana" w:cs="Arial"/>
          <w:color w:val="000000"/>
          <w:sz w:val="18"/>
          <w:szCs w:val="18"/>
        </w:rPr>
        <w:t xml:space="preserve"> BANCO DE LA REPÚBLICA. Circular Reglamentaria Externa – DOAM- 146 de 4 de noviembre de 2020. </w:t>
      </w:r>
    </w:p>
    <w:p w14:paraId="301EF94F" w14:textId="77777777" w:rsidR="00B221BE" w:rsidRPr="001C47EE" w:rsidRDefault="00B221BE" w:rsidP="00B221BE">
      <w:pPr>
        <w:pStyle w:val="Textonotapie"/>
        <w:ind w:firstLine="709"/>
        <w:jc w:val="both"/>
        <w:rPr>
          <w:rFonts w:ascii="Verdana" w:hAnsi="Verdana" w:cs="Arial"/>
          <w:color w:val="000000"/>
          <w:sz w:val="18"/>
          <w:szCs w:val="18"/>
        </w:rPr>
      </w:pPr>
    </w:p>
  </w:footnote>
  <w:footnote w:id="3">
    <w:p w14:paraId="2F4F0AB7" w14:textId="77777777" w:rsidR="00B221BE" w:rsidRPr="001C47EE" w:rsidRDefault="00B221BE" w:rsidP="00B221BE">
      <w:pPr>
        <w:pStyle w:val="Textonotapie"/>
        <w:ind w:firstLine="709"/>
        <w:jc w:val="both"/>
        <w:rPr>
          <w:rFonts w:ascii="Verdana" w:hAnsi="Verdana" w:cs="Arial"/>
          <w:color w:val="000000"/>
          <w:sz w:val="18"/>
          <w:szCs w:val="18"/>
        </w:rPr>
      </w:pPr>
      <w:r w:rsidRPr="001C47EE">
        <w:rPr>
          <w:rStyle w:val="Refdenotaalpie"/>
          <w:rFonts w:ascii="Verdana" w:hAnsi="Verdana" w:cs="Arial"/>
          <w:color w:val="000000"/>
          <w:sz w:val="18"/>
          <w:szCs w:val="18"/>
        </w:rPr>
        <w:footnoteRef/>
      </w:r>
      <w:r w:rsidRPr="001C47EE">
        <w:rPr>
          <w:rFonts w:ascii="Verdana" w:hAnsi="Verdana" w:cs="Arial"/>
          <w:color w:val="000000"/>
          <w:sz w:val="18"/>
          <w:szCs w:val="18"/>
        </w:rPr>
        <w:t xml:space="preserve"> BANCO DE LA REPÚBLICA. Disponible en línea: </w:t>
      </w:r>
      <w:hyperlink r:id="rId2" w:history="1">
        <w:r w:rsidRPr="001C47EE">
          <w:rPr>
            <w:rStyle w:val="Hipervnculo"/>
            <w:rFonts w:ascii="Verdana" w:hAnsi="Verdana" w:cs="Arial"/>
            <w:sz w:val="18"/>
            <w:szCs w:val="18"/>
          </w:rPr>
          <w:t>https://www.banrep.gov.co/es/glosario/tasa-cambio-trm</w:t>
        </w:r>
      </w:hyperlink>
      <w:r w:rsidRPr="001C47EE">
        <w:rPr>
          <w:rFonts w:ascii="Verdana" w:hAnsi="Verdana" w:cs="Arial"/>
          <w:color w:val="000000"/>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575E3EC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972015874" o:spid="_x0000_i1025" type="#_x0000_t75" style="width:11.25pt;height:11.25pt;visibility:visible;mso-wrap-style:square">
            <v:imagedata r:id="rId1" o:title=""/>
          </v:shape>
        </w:pict>
      </mc:Choice>
      <mc:Fallback>
        <w:drawing>
          <wp:inline distT="0" distB="0" distL="0" distR="0" wp14:anchorId="54B0FB80" wp14:editId="54B0FB81">
            <wp:extent cx="142875" cy="142875"/>
            <wp:effectExtent l="0" t="0" r="0" b="0"/>
            <wp:docPr id="972015874" name="Imagen 972015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3D7"/>
    <w:rsid w:val="00046945"/>
    <w:rsid w:val="00061B2A"/>
    <w:rsid w:val="000769CE"/>
    <w:rsid w:val="00082362"/>
    <w:rsid w:val="000A683E"/>
    <w:rsid w:val="000B19B9"/>
    <w:rsid w:val="000D0334"/>
    <w:rsid w:val="000F6486"/>
    <w:rsid w:val="00125105"/>
    <w:rsid w:val="00127233"/>
    <w:rsid w:val="001511A0"/>
    <w:rsid w:val="00165BEA"/>
    <w:rsid w:val="001769C8"/>
    <w:rsid w:val="00192751"/>
    <w:rsid w:val="001B2098"/>
    <w:rsid w:val="001E4177"/>
    <w:rsid w:val="001F7DC6"/>
    <w:rsid w:val="002131DF"/>
    <w:rsid w:val="002421BB"/>
    <w:rsid w:val="0025796E"/>
    <w:rsid w:val="002707A2"/>
    <w:rsid w:val="002951A0"/>
    <w:rsid w:val="002962BC"/>
    <w:rsid w:val="002A093D"/>
    <w:rsid w:val="002A0DD0"/>
    <w:rsid w:val="002A49AC"/>
    <w:rsid w:val="002A64FD"/>
    <w:rsid w:val="002B1612"/>
    <w:rsid w:val="002C4617"/>
    <w:rsid w:val="002C7A84"/>
    <w:rsid w:val="002E2D26"/>
    <w:rsid w:val="002E2E75"/>
    <w:rsid w:val="002E4FD9"/>
    <w:rsid w:val="00322A85"/>
    <w:rsid w:val="00324168"/>
    <w:rsid w:val="003448F4"/>
    <w:rsid w:val="00374F5E"/>
    <w:rsid w:val="00377E3E"/>
    <w:rsid w:val="003A779E"/>
    <w:rsid w:val="003D0F4D"/>
    <w:rsid w:val="003D5B0D"/>
    <w:rsid w:val="003E0499"/>
    <w:rsid w:val="003E7CB3"/>
    <w:rsid w:val="003F3941"/>
    <w:rsid w:val="00406575"/>
    <w:rsid w:val="00414C74"/>
    <w:rsid w:val="0042722E"/>
    <w:rsid w:val="004336D1"/>
    <w:rsid w:val="0044528D"/>
    <w:rsid w:val="004A1847"/>
    <w:rsid w:val="004A305D"/>
    <w:rsid w:val="004C75BB"/>
    <w:rsid w:val="004D53FB"/>
    <w:rsid w:val="004F21C4"/>
    <w:rsid w:val="004F41BE"/>
    <w:rsid w:val="004F545D"/>
    <w:rsid w:val="004F685F"/>
    <w:rsid w:val="00525987"/>
    <w:rsid w:val="00526DB6"/>
    <w:rsid w:val="005566E8"/>
    <w:rsid w:val="00574867"/>
    <w:rsid w:val="00591460"/>
    <w:rsid w:val="005B3816"/>
    <w:rsid w:val="005C3777"/>
    <w:rsid w:val="005C5CDC"/>
    <w:rsid w:val="005D476C"/>
    <w:rsid w:val="006219F8"/>
    <w:rsid w:val="00640CD1"/>
    <w:rsid w:val="00665D70"/>
    <w:rsid w:val="006900D9"/>
    <w:rsid w:val="006B4E34"/>
    <w:rsid w:val="00706C16"/>
    <w:rsid w:val="007461B8"/>
    <w:rsid w:val="00750FE9"/>
    <w:rsid w:val="00756841"/>
    <w:rsid w:val="007649AB"/>
    <w:rsid w:val="00771D0C"/>
    <w:rsid w:val="007833AC"/>
    <w:rsid w:val="007B05F2"/>
    <w:rsid w:val="007B268C"/>
    <w:rsid w:val="007B595C"/>
    <w:rsid w:val="007B7171"/>
    <w:rsid w:val="007C0C0F"/>
    <w:rsid w:val="007C3DC2"/>
    <w:rsid w:val="007E5497"/>
    <w:rsid w:val="00806F5F"/>
    <w:rsid w:val="00820278"/>
    <w:rsid w:val="008479AB"/>
    <w:rsid w:val="008518F4"/>
    <w:rsid w:val="008640B1"/>
    <w:rsid w:val="00867F95"/>
    <w:rsid w:val="00882985"/>
    <w:rsid w:val="008843B6"/>
    <w:rsid w:val="00884900"/>
    <w:rsid w:val="00891928"/>
    <w:rsid w:val="008A446D"/>
    <w:rsid w:val="008A5F09"/>
    <w:rsid w:val="008D0655"/>
    <w:rsid w:val="008D180B"/>
    <w:rsid w:val="008F0EA7"/>
    <w:rsid w:val="009018FF"/>
    <w:rsid w:val="00923EEF"/>
    <w:rsid w:val="009419F9"/>
    <w:rsid w:val="0095685E"/>
    <w:rsid w:val="00961B09"/>
    <w:rsid w:val="00965334"/>
    <w:rsid w:val="0096562D"/>
    <w:rsid w:val="0097093E"/>
    <w:rsid w:val="00986AC5"/>
    <w:rsid w:val="009A0DFA"/>
    <w:rsid w:val="009B2349"/>
    <w:rsid w:val="009B2D26"/>
    <w:rsid w:val="009C71FA"/>
    <w:rsid w:val="009C72E7"/>
    <w:rsid w:val="009D3058"/>
    <w:rsid w:val="009F3A13"/>
    <w:rsid w:val="00A122D3"/>
    <w:rsid w:val="00A17F13"/>
    <w:rsid w:val="00A20739"/>
    <w:rsid w:val="00A33C78"/>
    <w:rsid w:val="00A64E0E"/>
    <w:rsid w:val="00A8076C"/>
    <w:rsid w:val="00A9109E"/>
    <w:rsid w:val="00AB0ADB"/>
    <w:rsid w:val="00AF6138"/>
    <w:rsid w:val="00B01B1A"/>
    <w:rsid w:val="00B221BE"/>
    <w:rsid w:val="00B66319"/>
    <w:rsid w:val="00B72CD3"/>
    <w:rsid w:val="00B72FFF"/>
    <w:rsid w:val="00B774B8"/>
    <w:rsid w:val="00BA023F"/>
    <w:rsid w:val="00BC0058"/>
    <w:rsid w:val="00BC3D36"/>
    <w:rsid w:val="00BD7F72"/>
    <w:rsid w:val="00C04FB3"/>
    <w:rsid w:val="00C330EB"/>
    <w:rsid w:val="00C41061"/>
    <w:rsid w:val="00C754BE"/>
    <w:rsid w:val="00C76B1C"/>
    <w:rsid w:val="00CB6357"/>
    <w:rsid w:val="00CC1B26"/>
    <w:rsid w:val="00D423A2"/>
    <w:rsid w:val="00D520D8"/>
    <w:rsid w:val="00D57801"/>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A3E24"/>
    <w:rsid w:val="00EC38A7"/>
    <w:rsid w:val="00ED7384"/>
    <w:rsid w:val="00EE1AA8"/>
    <w:rsid w:val="00EE35EA"/>
    <w:rsid w:val="00F31EDC"/>
    <w:rsid w:val="00F35F38"/>
    <w:rsid w:val="00F462B3"/>
    <w:rsid w:val="00F52C78"/>
    <w:rsid w:val="00F5664F"/>
    <w:rsid w:val="00F575E2"/>
    <w:rsid w:val="00F666C4"/>
    <w:rsid w:val="00F76AFC"/>
    <w:rsid w:val="00FA47C0"/>
    <w:rsid w:val="00FB5DD1"/>
    <w:rsid w:val="00FC2B5D"/>
    <w:rsid w:val="00FF1449"/>
    <w:rsid w:val="00FF1CD4"/>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221BE"/>
    <w:pPr>
      <w:spacing w:line="240" w:lineRule="exact"/>
    </w:pPr>
    <w:rPr>
      <w:vertAlign w:val="superscript"/>
    </w:rPr>
  </w:style>
  <w:style w:type="character" w:styleId="Refdecomentario">
    <w:name w:val="annotation reference"/>
    <w:basedOn w:val="Fuentedeprrafopredeter"/>
    <w:uiPriority w:val="99"/>
    <w:semiHidden/>
    <w:unhideWhenUsed/>
    <w:rsid w:val="009B2349"/>
    <w:rPr>
      <w:sz w:val="16"/>
      <w:szCs w:val="16"/>
    </w:rPr>
  </w:style>
  <w:style w:type="paragraph" w:styleId="Textocomentario">
    <w:name w:val="annotation text"/>
    <w:basedOn w:val="Normal"/>
    <w:link w:val="TextocomentarioCar"/>
    <w:uiPriority w:val="99"/>
    <w:unhideWhenUsed/>
    <w:rsid w:val="009B2349"/>
    <w:pPr>
      <w:spacing w:line="240" w:lineRule="auto"/>
    </w:pPr>
    <w:rPr>
      <w:sz w:val="20"/>
      <w:szCs w:val="20"/>
    </w:rPr>
  </w:style>
  <w:style w:type="character" w:customStyle="1" w:styleId="TextocomentarioCar">
    <w:name w:val="Texto comentario Car"/>
    <w:basedOn w:val="Fuentedeprrafopredeter"/>
    <w:link w:val="Textocomentario"/>
    <w:uiPriority w:val="99"/>
    <w:rsid w:val="009B2349"/>
    <w:rPr>
      <w:sz w:val="20"/>
      <w:szCs w:val="20"/>
    </w:rPr>
  </w:style>
  <w:style w:type="paragraph" w:styleId="Asuntodelcomentario">
    <w:name w:val="annotation subject"/>
    <w:basedOn w:val="Textocomentario"/>
    <w:next w:val="Textocomentario"/>
    <w:link w:val="AsuntodelcomentarioCar"/>
    <w:uiPriority w:val="99"/>
    <w:semiHidden/>
    <w:unhideWhenUsed/>
    <w:rsid w:val="009B2349"/>
    <w:rPr>
      <w:b/>
      <w:bCs/>
    </w:rPr>
  </w:style>
  <w:style w:type="character" w:customStyle="1" w:styleId="AsuntodelcomentarioCar">
    <w:name w:val="Asunto del comentario Car"/>
    <w:basedOn w:val="TextocomentarioCar"/>
    <w:link w:val="Asuntodelcomentario"/>
    <w:uiPriority w:val="99"/>
    <w:semiHidden/>
    <w:rsid w:val="009B2349"/>
    <w:rPr>
      <w:b/>
      <w:bCs/>
      <w:sz w:val="20"/>
      <w:szCs w:val="20"/>
    </w:rPr>
  </w:style>
  <w:style w:type="character" w:styleId="Mencionar">
    <w:name w:val="Mention"/>
    <w:basedOn w:val="Fuentedeprrafopredeter"/>
    <w:uiPriority w:val="99"/>
    <w:unhideWhenUsed/>
    <w:rsid w:val="009B234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uperfinanciera.gov.co/publicacion/60819"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banrep.gov.co/es/glosario/tasa-cambio-trm" TargetMode="External"/><Relationship Id="rId1" Type="http://schemas.openxmlformats.org/officeDocument/2006/relationships/hyperlink" Target="https://www.superfinanciera.gov.co/publicacion/60819"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c086ebc9-8fd5-442b-abc4-722db14db030"/>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5A3EB85-2897-48C1-BD8D-38ADA4B53DB5}"/>
</file>

<file path=docProps/app.xml><?xml version="1.0" encoding="utf-8"?>
<Properties xmlns="http://schemas.openxmlformats.org/officeDocument/2006/extended-properties" xmlns:vt="http://schemas.openxmlformats.org/officeDocument/2006/docPropsVTypes">
  <Template>Normal.dotm</Template>
  <TotalTime>2</TotalTime>
  <Pages>13</Pages>
  <Words>4154</Words>
  <Characters>22852</Characters>
  <Application>Microsoft Office Word</Application>
  <DocSecurity>0</DocSecurity>
  <Lines>190</Lines>
  <Paragraphs>53</Paragraphs>
  <ScaleCrop>false</ScaleCrop>
  <Company/>
  <LinksUpToDate>false</LinksUpToDate>
  <CharactersWithSpaces>26953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4</cp:revision>
  <cp:lastPrinted>2023-01-10T21:18:00Z</cp:lastPrinted>
  <dcterms:created xsi:type="dcterms:W3CDTF">2025-06-20T01:49:00Z</dcterms:created>
  <dcterms:modified xsi:type="dcterms:W3CDTF">2025-06-20T01:51:00Z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